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center"/>
        <w:pageBreakBefore w:val="0"/>
        <w:spacing w:line="360" w:lineRule="auto"/>
        <w:rPr>
          <w:rFonts w:hint="eastAsia" w:ascii="宋体" w:hAnsi="宋体" w:eastAsia="宋体" w:cs="宋体"/>
          <w:b/>
          <w:color w:val="000000"/>
          <w:spacing w:val="40"/>
          <w:sz w:val="96"/>
          <w:szCs w:val="72"/>
          <w:highlight w:val="none"/>
        </w:rPr>
      </w:pPr>
      <w:r>
        <w:rPr>
          <w:rFonts w:hint="eastAsia" w:ascii="宋体" w:hAnsi="宋体" w:eastAsia="宋体" w:cs="宋体"/>
          <w:b/>
          <w:color w:val="000000"/>
          <w:spacing w:val="40"/>
          <w:sz w:val="72"/>
          <w:szCs w:val="56"/>
          <w:highlight w:val="none"/>
        </w:rPr>
        <w:t xml:space="preserve">苏州市相城区政府采购</w:t>
      </w:r>
      <w:r>
        <w:rPr>
          <w:rFonts w:hint="eastAsia" w:ascii="宋体" w:hAnsi="宋体" w:eastAsia="宋体" w:cs="宋体"/>
          <w:b/>
          <w:color w:val="000000"/>
          <w:spacing w:val="40"/>
          <w:sz w:val="96"/>
          <w:szCs w:val="72"/>
          <w:highlight w:val="none"/>
        </w:rPr>
      </w:r>
      <w:r/>
    </w:p>
    <w:p>
      <w:pPr>
        <w:pStyle w:val="1044"/>
        <w:jc w:val="center"/>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pacing w:val="40"/>
          <w:sz w:val="72"/>
          <w:szCs w:val="56"/>
          <w:highlight w:val="none"/>
        </w:rPr>
        <w:t xml:space="preserve">竞争性磋商</w:t>
      </w:r>
      <w:r>
        <w:rPr>
          <w:rFonts w:hint="eastAsia" w:ascii="宋体" w:hAnsi="宋体" w:eastAsia="宋体" w:cs="宋体"/>
          <w:b/>
          <w:color w:val="000000"/>
          <w:spacing w:val="20"/>
          <w:sz w:val="72"/>
          <w:szCs w:val="56"/>
          <w:highlight w:val="none"/>
        </w:rPr>
        <w:t xml:space="preserve">文件</w:t>
      </w:r>
      <w:r>
        <w:rPr>
          <w:rFonts w:hint="eastAsia" w:ascii="宋体" w:hAnsi="宋体" w:eastAsia="宋体" w:cs="宋体"/>
          <w:b/>
          <w:color w:val="000000"/>
          <w:sz w:val="32"/>
          <w:highlight w:val="none"/>
        </w:rPr>
      </w:r>
      <w:r/>
    </w:p>
    <w:p>
      <w:pPr>
        <w:pStyle w:val="1044"/>
        <w:ind w:firstLine="964"/>
        <w:pageBreakBefore w:val="0"/>
        <w:spacing w:line="360" w:lineRule="auto"/>
        <w:tabs>
          <w:tab w:val="left" w:pos="709"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ind w:left="0" w:firstLine="1263"/>
        <w:keepLines w:val="0"/>
        <w:keepNext w:val="0"/>
        <w:pageBreakBefore w:val="0"/>
        <w:spacing w:line="480" w:lineRule="auto"/>
        <w:widowControl w:val="off"/>
        <w:tabs>
          <w:tab w:val="left" w:pos="709"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lang w:eastAsia="zh-CN"/>
        </w:rPr>
        <w:t xml:space="preserve">JSZC-320507-SZZS-C2026-0029</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1044"/>
        <w:ind w:left="0" w:firstLine="1263"/>
        <w:keepLines w:val="0"/>
        <w:keepNext w:val="0"/>
        <w:pageBreakBefore w:val="0"/>
        <w:spacing w:line="480" w:lineRule="auto"/>
        <w:widowControl w:val="off"/>
        <w:tabs>
          <w:tab w:val="left" w:pos="709" w:leader="none"/>
        </w:tabs>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 xml:space="preserve">采购内容：</w:t>
      </w:r>
      <w:r>
        <w:rPr>
          <w:rFonts w:hint="eastAsia" w:ascii="宋体" w:hAnsi="宋体" w:eastAsia="宋体" w:cs="宋体"/>
          <w:b/>
          <w:color w:val="000000"/>
          <w:sz w:val="32"/>
          <w:highlight w:val="none"/>
          <w:lang w:eastAsia="zh-CN"/>
        </w:rPr>
        <w:t xml:space="preserve">书香公园文体游乐设施及配套项目</w:t>
      </w:r>
      <w:r>
        <w:rPr>
          <w:rFonts w:hint="eastAsia" w:ascii="宋体" w:hAnsi="宋体" w:eastAsia="宋体" w:cs="宋体"/>
          <w:b/>
          <w:color w:val="000000"/>
          <w:sz w:val="32"/>
          <w:highlight w:val="none"/>
          <w:lang w:eastAsia="zh-CN"/>
        </w:rPr>
      </w:r>
      <w:r/>
    </w:p>
    <w:p>
      <w:pPr>
        <w:pStyle w:val="1044"/>
        <w:ind w:left="0" w:firstLine="1263"/>
        <w:keepLines w:val="0"/>
        <w:keepNext w:val="0"/>
        <w:pageBreakBefore w:val="0"/>
        <w:spacing w:line="480" w:lineRule="auto"/>
        <w:widowControl w:val="off"/>
        <w:tabs>
          <w:tab w:val="left" w:pos="709" w:leader="none"/>
        </w:tabs>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 xml:space="preserve">采 购 人：</w:t>
      </w:r>
      <w:r>
        <w:rPr>
          <w:rFonts w:hint="eastAsia" w:ascii="宋体" w:hAnsi="宋体" w:eastAsia="宋体" w:cs="宋体"/>
          <w:b/>
          <w:color w:val="000000"/>
          <w:sz w:val="32"/>
          <w:highlight w:val="none"/>
          <w:lang w:eastAsia="zh-CN"/>
        </w:rPr>
        <w:t xml:space="preserve">苏州市相城区园林绿化建设管理中心</w:t>
      </w:r>
      <w:r>
        <w:rPr>
          <w:rFonts w:hint="eastAsia" w:ascii="宋体" w:hAnsi="宋体" w:eastAsia="宋体" w:cs="宋体"/>
          <w:b/>
          <w:color w:val="000000"/>
          <w:sz w:val="32"/>
          <w:highlight w:val="none"/>
          <w:lang w:eastAsia="zh-CN"/>
        </w:rPr>
      </w:r>
      <w:r/>
    </w:p>
    <w:p>
      <w:pPr>
        <w:pStyle w:val="1044"/>
        <w:ind w:left="0" w:firstLine="1263"/>
        <w:keepLines w:val="0"/>
        <w:keepNext w:val="0"/>
        <w:pageBreakBefore w:val="0"/>
        <w:spacing w:line="480" w:lineRule="auto"/>
        <w:widowControl w:val="off"/>
        <w:tabs>
          <w:tab w:val="left" w:pos="709"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项目类别：工程类</w:t>
      </w:r>
      <w:r>
        <w:rPr>
          <w:rFonts w:hint="eastAsia" w:ascii="宋体" w:hAnsi="宋体" w:eastAsia="宋体" w:cs="宋体"/>
          <w:b/>
          <w:color w:val="000000"/>
          <w:sz w:val="32"/>
          <w:highlight w:val="none"/>
        </w:rPr>
      </w:r>
      <w:r/>
    </w:p>
    <w:p>
      <w:pPr>
        <w:pStyle w:val="1044"/>
        <w:ind w:left="0" w:firstLine="1263"/>
        <w:keepLines w:val="0"/>
        <w:keepNext w:val="0"/>
        <w:pageBreakBefore w:val="0"/>
        <w:spacing w:line="480" w:lineRule="auto"/>
        <w:widowControl w:val="off"/>
        <w:tabs>
          <w:tab w:val="left" w:pos="709"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所属行业</w:t>
      </w:r>
      <w:r>
        <w:rPr>
          <w:rFonts w:hint="eastAsia" w:ascii="宋体" w:hAnsi="宋体" w:eastAsia="宋体" w:cs="宋体"/>
          <w:b/>
          <w:color w:val="000000"/>
          <w:sz w:val="32"/>
          <w:highlight w:val="none"/>
        </w:rPr>
        <w:t xml:space="preserve">：</w:t>
      </w:r>
      <w:r>
        <w:rPr>
          <w:rFonts w:hint="eastAsia" w:ascii="宋体" w:hAnsi="宋体" w:eastAsia="宋体" w:cs="宋体"/>
          <w:b/>
          <w:color w:val="000000"/>
          <w:spacing w:val="-6"/>
          <w:sz w:val="32"/>
          <w:szCs w:val="32"/>
          <w:highlight w:val="none"/>
        </w:rPr>
        <w:t xml:space="preserve">建筑业</w:t>
      </w:r>
      <w:r>
        <w:rPr>
          <w:rFonts w:hint="eastAsia" w:ascii="宋体" w:hAnsi="宋体" w:eastAsia="宋体" w:cs="宋体"/>
          <w:b/>
          <w:color w:val="000000"/>
          <w:sz w:val="32"/>
          <w:highlight w:val="none"/>
        </w:rPr>
      </w:r>
      <w:r/>
    </w:p>
    <w:p>
      <w:pPr>
        <w:pStyle w:val="1044"/>
        <w:ind w:firstLine="964"/>
        <w:pageBreakBefore w:val="0"/>
        <w:spacing w:line="360" w:lineRule="auto"/>
        <w:tabs>
          <w:tab w:val="left" w:pos="709"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jc w:val="center"/>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jc w:val="center"/>
        <w:pageBreakBefore w:val="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xml:space="preserve">中思项目管理咨询有限公司</w:t>
      </w:r>
      <w:r>
        <w:rPr>
          <w:rFonts w:hint="eastAsia" w:ascii="宋体" w:hAnsi="宋体" w:eastAsia="宋体" w:cs="宋体"/>
          <w:b/>
          <w:color w:val="000000"/>
          <w:sz w:val="32"/>
          <w:highlight w:val="none"/>
          <w:lang w:eastAsia="zh-CN"/>
        </w:rPr>
      </w:r>
      <w:r/>
    </w:p>
    <w:p>
      <w:pPr>
        <w:pStyle w:val="1044"/>
        <w:jc w:val="center"/>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0"/>
          <w:szCs w:val="30"/>
          <w:highlight w:val="none"/>
        </w:rPr>
        <w:t xml:space="preserve">二</w:t>
      </w:r>
      <w:r>
        <w:rPr>
          <w:rFonts w:hint="eastAsia" w:ascii="宋体" w:hAnsi="宋体" w:eastAsia="宋体" w:cs="宋体"/>
          <w:b/>
          <w:color w:val="000000"/>
          <w:sz w:val="30"/>
          <w:szCs w:val="30"/>
          <w:highlight w:val="none"/>
          <w:lang w:val="en-US" w:eastAsia="zh-CN"/>
        </w:rPr>
        <w:t xml:space="preserve">六</w:t>
      </w:r>
      <w:r>
        <w:rPr>
          <w:rFonts w:hint="eastAsia" w:ascii="宋体" w:hAnsi="宋体" w:eastAsia="宋体" w:cs="宋体"/>
          <w:b/>
          <w:color w:val="000000"/>
          <w:sz w:val="30"/>
          <w:szCs w:val="30"/>
          <w:highlight w:val="none"/>
        </w:rPr>
        <w:t xml:space="preserve">年</w:t>
      </w:r>
      <w:r>
        <w:rPr>
          <w:rFonts w:hint="eastAsia" w:ascii="宋体" w:hAnsi="宋体" w:eastAsia="宋体" w:cs="宋体"/>
          <w:b/>
          <w:color w:val="000000"/>
          <w:sz w:val="30"/>
          <w:szCs w:val="30"/>
          <w:highlight w:val="none"/>
          <w:lang w:val="en-US" w:eastAsia="zh-CN"/>
        </w:rPr>
        <w:t xml:space="preserve">九</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44"/>
        <w:jc w:val="center"/>
        <w:pageBreakBefore w:val="0"/>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4"/>
        <w:jc w:val="center"/>
        <w:pageBreakBefore w:val="0"/>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1044"/>
        <w:jc w:val="center"/>
        <w:pageBreakBefore w:val="0"/>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一、竞争性磋商采购公告</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二、供应商须知</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三、响应文件格式</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四、磋商采购文件</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五、合同主要条款</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六、技术要求</w:t>
      </w:r>
      <w:r>
        <w:rPr>
          <w:rFonts w:hint="eastAsia" w:ascii="宋体" w:hAnsi="宋体" w:eastAsia="宋体" w:cs="宋体"/>
          <w:color w:val="000000"/>
          <w:sz w:val="28"/>
          <w:szCs w:val="28"/>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color w:val="000000"/>
          <w:sz w:val="28"/>
          <w:szCs w:val="28"/>
          <w:highlight w:val="none"/>
        </w:rPr>
        <w:t xml:space="preserve">七、评审方法</w:t>
      </w: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jc w:val="center"/>
        <w:pageBreakBefore w:val="0"/>
        <w:spacing w:line="360" w:lineRule="auto"/>
        <w:widowControl/>
        <w:rPr>
          <w:rFonts w:hint="eastAsia" w:ascii="宋体" w:hAnsi="宋体" w:eastAsia="宋体" w:cs="宋体"/>
          <w:b/>
          <w:bCs/>
          <w:color w:val="000000"/>
          <w:spacing w:val="20"/>
          <w:sz w:val="32"/>
          <w:szCs w:val="32"/>
          <w:highlight w:val="none"/>
        </w:rPr>
        <w:sectPr>
          <w:footerReference w:type="default" r:id="rId14"/>
          <w:footnotePr/>
          <w:endnotePr>
            <w:numFmt w:val="decimal"/>
          </w:endnotePr>
          <w:type w:val="nextPage"/>
          <w:pgSz w:w="11906" w:h="16838" w:orient="portrait"/>
          <w:pgMar w:top="1304" w:right="1304" w:bottom="1304" w:left="1304" w:header="953" w:footer="799" w:gutter="0"/>
          <w:cols w:num="1" w:sep="0" w:space="1701" w:equalWidth="1"/>
          <w:docGrid w:linePitch="360"/>
        </w:sectPr>
      </w:pPr>
      <w:r/>
      <w:bookmarkStart w:id="0" w:name="_Toc492294162"/>
      <w:r>
        <w:rPr>
          <w:rFonts w:hint="eastAsia" w:ascii="宋体" w:hAnsi="宋体" w:eastAsia="宋体" w:cs="宋体"/>
          <w:b/>
          <w:bCs/>
          <w:color w:val="000000"/>
          <w:spacing w:val="20"/>
          <w:sz w:val="32"/>
          <w:szCs w:val="32"/>
          <w:highlight w:val="none"/>
        </w:rPr>
      </w:r>
      <w:r/>
    </w:p>
    <w:p>
      <w:pPr>
        <w:pStyle w:val="1044"/>
        <w:jc w:val="center"/>
        <w:pageBreakBefore w:val="0"/>
        <w:spacing w:line="360" w:lineRule="auto"/>
        <w:widowControl/>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前附表</w:t>
      </w:r>
      <w:bookmarkEnd w:id="0"/>
      <w:r>
        <w:rPr>
          <w:rFonts w:hint="eastAsia" w:ascii="宋体" w:hAnsi="宋体" w:eastAsia="宋体" w:cs="宋体"/>
          <w:b/>
          <w:bCs/>
          <w:color w:val="000000"/>
          <w:spacing w:val="20"/>
          <w:sz w:val="32"/>
          <w:szCs w:val="32"/>
          <w:highlight w:val="none"/>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09"/>
        <w:gridCol w:w="2347"/>
        <w:gridCol w:w="623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               容</w:t>
            </w:r>
            <w:r>
              <w:rPr>
                <w:rFonts w:hint="eastAsia" w:ascii="宋体" w:hAnsi="宋体" w:eastAsia="宋体" w:cs="宋体"/>
                <w:color w:val="000000"/>
                <w:szCs w:val="21"/>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JSZC-320507-SZZS-C2026-0029</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lang w:eastAsia="zh-CN"/>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tabs>
                <w:tab w:val="left" w:pos="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名称及地址</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中思项目管理咨询有限公司</w:t>
            </w:r>
            <w:r>
              <w:rPr>
                <w:rFonts w:hint="eastAsia" w:ascii="宋体" w:hAnsi="宋体" w:eastAsia="宋体" w:cs="宋体"/>
                <w:color w:val="000000"/>
                <w:szCs w:val="21"/>
                <w:highlight w:val="none"/>
                <w:lang w:eastAsia="zh-CN"/>
              </w:rPr>
            </w:r>
            <w:r/>
          </w:p>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联系地址：</w:t>
            </w:r>
            <w:r>
              <w:rPr>
                <w:rFonts w:hint="eastAsia" w:ascii="宋体" w:hAnsi="宋体" w:eastAsia="宋体" w:cs="宋体"/>
                <w:color w:val="000000"/>
                <w:szCs w:val="21"/>
                <w:highlight w:val="none"/>
                <w:lang w:eastAsia="zh-CN"/>
              </w:rPr>
              <w:t xml:space="preserve">苏州市姑苏西环路双桥868创意文化产业园629室</w:t>
            </w:r>
            <w:r>
              <w:rPr>
                <w:rFonts w:hint="eastAsia" w:ascii="宋体" w:hAnsi="宋体" w:eastAsia="宋体" w:cs="宋体"/>
                <w:color w:val="000000"/>
                <w:szCs w:val="21"/>
                <w:highlight w:val="none"/>
                <w:lang w:eastAsia="zh-CN"/>
              </w:rPr>
            </w:r>
            <w:r/>
          </w:p>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李天一</w:t>
            </w:r>
            <w:r>
              <w:rPr>
                <w:rFonts w:hint="eastAsia" w:ascii="宋体" w:hAnsi="宋体" w:eastAsia="宋体" w:cs="宋体"/>
                <w:color w:val="000000"/>
                <w:szCs w:val="21"/>
                <w:highlight w:val="none"/>
                <w:lang w:eastAsia="zh-CN"/>
              </w:rPr>
            </w:r>
            <w:r/>
          </w:p>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eastAsia="zh-CN"/>
              </w:rPr>
              <w:t xml:space="preserve">0512-68832715</w:t>
            </w:r>
            <w:r>
              <w:rPr>
                <w:rFonts w:hint="eastAsia" w:ascii="宋体" w:hAnsi="宋体" w:eastAsia="宋体" w:cs="宋体"/>
                <w:color w:val="000000"/>
                <w:szCs w:val="21"/>
                <w:highlight w:val="none"/>
                <w:lang w:eastAsia="zh-CN"/>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tabs>
                <w:tab w:val="left" w:pos="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苏州市相城区园林绿化建设管理中心</w:t>
            </w:r>
            <w:r>
              <w:rPr>
                <w:rFonts w:hint="eastAsia" w:ascii="宋体" w:hAnsi="宋体" w:eastAsia="宋体" w:cs="宋体"/>
                <w:color w:val="000000"/>
                <w:szCs w:val="21"/>
                <w:highlight w:val="none"/>
                <w:lang w:eastAsia="zh-CN"/>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lang w:eastAsia="zh-CN"/>
              </w:rPr>
              <w:t xml:space="preserve">苏州市相城区阳澄湖东路8号行政中心6号楼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郑洪倩</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eastAsia="zh-CN"/>
              </w:rPr>
              <w:t xml:space="preserve">0512-85181359</w:t>
            </w:r>
            <w:r>
              <w:rPr>
                <w:rFonts w:hint="eastAsia" w:ascii="宋体" w:hAnsi="宋体" w:eastAsia="宋体" w:cs="宋体"/>
                <w:color w:val="000000"/>
                <w:szCs w:val="21"/>
                <w:highlight w:val="none"/>
                <w:lang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tabs>
                <w:tab w:val="left" w:pos="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响应文件组成</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详见采购文件第三章</w:t>
            </w:r>
            <w:r>
              <w:rPr>
                <w:rFonts w:hint="eastAsia" w:ascii="宋体" w:hAnsi="宋体" w:eastAsia="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磋商保证金</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响应文件有效期</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响应文件提交截止之日起四十五天（日历日）</w:t>
            </w:r>
            <w:r>
              <w:rPr>
                <w:rFonts w:hint="eastAsia" w:ascii="宋体" w:hAnsi="宋体" w:eastAsia="宋体" w:cs="宋体"/>
                <w:color w:val="000000"/>
                <w:szCs w:val="21"/>
                <w:highlight w:val="none"/>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接收截止时间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点30分（北京时间） </w:t>
            </w:r>
            <w:r>
              <w:rPr>
                <w:rFonts w:hint="eastAsia" w:ascii="宋体" w:hAnsi="宋体" w:eastAsia="宋体" w:cs="宋体"/>
                <w:color w:val="000000"/>
                <w:szCs w:val="21"/>
                <w:highlight w:val="none"/>
              </w:rPr>
            </w:r>
            <w:r/>
          </w:p>
          <w:p>
            <w:pPr>
              <w:pStyle w:val="1083"/>
              <w:ind w:firstLine="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Cs w:val="21"/>
                <w:highlight w:val="none"/>
                <w:lang w:val="en-US" w:eastAsia="zh-CN"/>
              </w:rPr>
              <w:t xml:space="preserve">磋商响应文件必须在截止时间前完成提交（上传），逾期提交（上传）的磋商响应文件恕不接受。</w:t>
            </w:r>
            <w:r>
              <w:rPr>
                <w:rFonts w:hint="eastAsia" w:ascii="宋体" w:hAnsi="宋体" w:eastAsia="宋体" w:cs="宋体"/>
                <w:color w:val="000000"/>
                <w:highlight w:val="none"/>
                <w:lang w:val="en-US" w:eastAsia="zh-CN"/>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磋商时间和地点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点30分（北京时间）</w:t>
            </w: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“苏采云”系统（网址：</w:t>
            </w:r>
            <w:r>
              <w:rPr>
                <w:rFonts w:hint="eastAsia" w:ascii="宋体" w:hAnsi="宋体" w:eastAsia="宋体" w:cs="宋体"/>
                <w:color w:val="000000"/>
                <w:szCs w:val="21"/>
                <w:highlight w:val="none"/>
              </w:rPr>
              <w:t xml:space="preserve">http://jszfcg.jsczt.cn/</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本项目为不见面开标项目，开标阶段供应商在【供应商解密】环节必须使用 CA证书解密电子</w:t>
            </w:r>
            <w:r>
              <w:rPr>
                <w:rFonts w:hint="eastAsia" w:ascii="宋体" w:hAnsi="宋体" w:eastAsia="宋体" w:cs="宋体"/>
                <w:b/>
                <w:color w:val="000000"/>
                <w:szCs w:val="21"/>
                <w:highlight w:val="none"/>
                <w:lang w:eastAsia="zh-CN"/>
              </w:rPr>
              <w:t xml:space="preserve">磋商响应文件</w:t>
            </w:r>
            <w:r>
              <w:rPr>
                <w:rFonts w:hint="eastAsia" w:ascii="宋体" w:hAnsi="宋体" w:eastAsia="宋体" w:cs="宋体"/>
                <w:b/>
                <w:color w:val="000000"/>
                <w:szCs w:val="21"/>
                <w:highlight w:val="none"/>
              </w:rPr>
              <w:t xml:space="preserve">，如在系统规定的解密时间内未能完成解密的视为放弃投标。</w:t>
            </w:r>
            <w:r>
              <w:rPr>
                <w:rFonts w:hint="eastAsia" w:ascii="宋体" w:hAnsi="宋体" w:eastAsia="宋体" w:cs="宋体"/>
                <w:color w:val="000000"/>
                <w:szCs w:val="21"/>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磋商响应</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文件份数</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本项目采用电子响应文件，供应商按照采购文件要求制作上传电子响应文件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履约保证金</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评审办法</w:t>
            </w:r>
            <w:r>
              <w:rPr>
                <w:rFonts w:hint="eastAsia" w:ascii="宋体" w:hAnsi="宋体" w:eastAsia="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详见“四、评审方法及评分标准”</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导致废标</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因素</w:t>
            </w:r>
            <w:r>
              <w:rPr>
                <w:rFonts w:hint="eastAsia" w:ascii="宋体" w:hAnsi="宋体" w:eastAsia="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出现下列情形之一的，为废标： </w:t>
            </w:r>
            <w:r>
              <w:rPr>
                <w:rFonts w:hint="eastAsia" w:ascii="宋体" w:hAnsi="宋体" w:eastAsia="宋体" w:cs="宋体"/>
                <w:color w:val="000000"/>
                <w:szCs w:val="21"/>
                <w:highlight w:val="none"/>
              </w:rPr>
            </w:r>
            <w:r/>
          </w:p>
          <w:p>
            <w:pPr>
              <w:pStyle w:val="1044"/>
              <w:numPr>
                <w:ilvl w:val="0"/>
                <w:numId w:val="18"/>
              </w:numPr>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符合专业条件的投标人或者对采购文件作实质响应的投标人不足三家的；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（二）出现影响采购公正的违法、违规行为的；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（三）投标人的报价均超过了采购预算，采购人不能支付的；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（四）因重大变故，采购任务取消的。</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投标无效因素</w:t>
            </w:r>
            <w:r>
              <w:rPr>
                <w:rFonts w:hint="eastAsia" w:ascii="宋体" w:hAnsi="宋体" w:eastAsia="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（一）有下列情形之一的，视为投标人串通投标，其投标无效：</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1、不同投标人的响应文件由同一单位或者个人编制；</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2、不同投标人委托同一单位或者个人办理投标事宜；</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3、不同投标人的响应文件载明的项目管理成员或者联系人员为同一人；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4、不同投标人的响应文件异常一致或者投标报价呈规律性差异；</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（二）投标人存在下列情况之一的，投标无效:</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1、未按照采购文件的规定提交投标保证承诺书的；</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2、未按照采购文件规定要求签署、盖章；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3、不具备采购文件中规定资格要求；</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4、响应文件含有采购人不能接受的附加条件的；</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5、法律、法规和采购文件规定的其他无效情形。</w:t>
            </w: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4"/>
        <w:jc w:val="center"/>
        <w:pageBreakBefore w:val="0"/>
        <w:spacing w:line="360" w:lineRule="auto"/>
        <w:rPr>
          <w:rFonts w:hint="eastAsia" w:ascii="宋体" w:hAnsi="宋体" w:eastAsia="宋体" w:cs="宋体"/>
          <w:b/>
          <w:color w:val="000000"/>
          <w:sz w:val="32"/>
          <w:szCs w:val="2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20"/>
          <w:highlight w:val="none"/>
        </w:rPr>
        <w:t xml:space="preserve">一、竞争性磋商公告</w:t>
      </w:r>
      <w:r>
        <w:rPr>
          <w:rFonts w:hint="eastAsia" w:ascii="宋体" w:hAnsi="宋体" w:eastAsia="宋体" w:cs="宋体"/>
          <w:b/>
          <w:color w:val="000000"/>
          <w:sz w:val="32"/>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44"/>
              <w:ind w:firstLine="420"/>
              <w:pageBreakBefore w:val="0"/>
              <w:spacing w:line="360" w:lineRule="auto"/>
              <w:tabs>
                <w:tab w:val="left" w:pos="70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项目概况：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lang w:eastAsia="zh-CN"/>
              </w:rPr>
              <w:t xml:space="preserve">书香公园文体游乐设施及配套项目</w:t>
            </w:r>
            <w:r>
              <w:rPr>
                <w:rFonts w:hint="eastAsia" w:ascii="宋体" w:hAnsi="宋体" w:eastAsia="宋体" w:cs="宋体"/>
                <w:color w:val="000000"/>
                <w:szCs w:val="21"/>
                <w:highlight w:val="none"/>
              </w:rPr>
              <w:t xml:space="preserve">的潜在响应单位应在</w:t>
            </w:r>
            <w:r>
              <w:rPr>
                <w:rFonts w:hint="eastAsia" w:ascii="宋体" w:hAnsi="宋体" w:eastAsia="宋体" w:cs="宋体"/>
                <w:color w:val="000000"/>
                <w:highlight w:val="none"/>
                <w:u w:val="single"/>
                <w:shd w:val="clear" w:color="auto" w:fill="ffffff"/>
              </w:rPr>
              <w:t xml:space="preserve">“</w:t>
            </w:r>
            <w:r>
              <w:rPr>
                <w:rFonts w:hint="eastAsia" w:ascii="宋体" w:hAnsi="宋体" w:eastAsia="宋体" w:cs="宋体"/>
                <w:color w:val="000000"/>
                <w:highlight w:val="none"/>
                <w:u w:val="single"/>
                <w:shd w:val="clear" w:color="auto" w:fill="ffffff"/>
              </w:rPr>
              <w:t xml:space="preserve">苏</w:t>
            </w:r>
            <w:r>
              <w:rPr>
                <w:rStyle w:val="1211"/>
                <w:rFonts w:hint="eastAsia" w:ascii="宋体" w:hAnsi="宋体" w:eastAsia="宋体" w:cs="宋体"/>
                <w:color w:val="000000"/>
                <w:highlight w:val="none"/>
                <w:u w:val="single"/>
                <w:shd w:val="clear" w:color="auto" w:fill="ffffff"/>
              </w:rPr>
              <w:t xml:space="preserve">采云</w:t>
            </w:r>
            <w:r>
              <w:rPr>
                <w:rFonts w:hint="eastAsia" w:ascii="宋体" w:hAnsi="宋体" w:eastAsia="宋体" w:cs="宋体"/>
                <w:color w:val="000000"/>
                <w:highlight w:val="none"/>
                <w:u w:val="single"/>
                <w:shd w:val="clear" w:color="auto" w:fill="ffffff"/>
              </w:rPr>
              <w:t xml:space="preserve">”</w:t>
            </w:r>
            <w:r>
              <w:rPr>
                <w:rFonts w:hint="eastAsia" w:ascii="宋体" w:hAnsi="宋体" w:eastAsia="宋体" w:cs="宋体"/>
                <w:color w:val="000000"/>
                <w:highlight w:val="none"/>
                <w:u w:val="single"/>
                <w:shd w:val="clear" w:color="auto" w:fill="ffffff"/>
              </w:rPr>
              <w:t xml:space="preserve">系统中</w:t>
            </w:r>
            <w:r>
              <w:rPr>
                <w:rFonts w:hint="eastAsia" w:ascii="宋体" w:hAnsi="宋体" w:eastAsia="宋体" w:cs="宋体"/>
                <w:color w:val="000000"/>
                <w:szCs w:val="21"/>
                <w:highlight w:val="none"/>
              </w:rPr>
              <w:t xml:space="preserve">获取采购文件，并于</w:t>
            </w:r>
            <w:r>
              <w:rPr>
                <w:rFonts w:hint="eastAsia" w:ascii="宋体" w:hAnsi="宋体" w:eastAsia="宋体" w:cs="宋体"/>
                <w:color w:val="000000"/>
                <w:szCs w:val="21"/>
                <w:highlight w:val="none"/>
                <w:u w:val="single"/>
                <w:lang w:eastAsia="zh-CN"/>
              </w:rPr>
              <w:t xml:space="preserve">2026年</w:t>
            </w:r>
            <w:r>
              <w:rPr>
                <w:rFonts w:hint="eastAsia" w:ascii="宋体" w:hAnsi="宋体" w:eastAsia="宋体" w:cs="宋体"/>
                <w:color w:val="000000"/>
                <w:szCs w:val="21"/>
                <w:highlight w:val="none"/>
                <w:u w:val="single"/>
                <w:lang w:val="en-US" w:eastAsia="zh-CN"/>
              </w:rPr>
              <w:t xml:space="preserve">10</w:t>
            </w:r>
            <w:r>
              <w:rPr>
                <w:rFonts w:hint="eastAsia" w:ascii="宋体" w:hAnsi="宋体" w:eastAsia="宋体" w:cs="宋体"/>
                <w:color w:val="000000"/>
                <w:szCs w:val="21"/>
                <w:highlight w:val="none"/>
                <w:u w:val="single"/>
                <w:lang w:eastAsia="zh-CN"/>
              </w:rPr>
              <w:t xml:space="preserve">月</w:t>
            </w:r>
            <w:r>
              <w:rPr>
                <w:rFonts w:hint="eastAsia" w:ascii="宋体" w:hAnsi="宋体" w:eastAsia="宋体" w:cs="宋体"/>
                <w:color w:val="000000"/>
                <w:szCs w:val="21"/>
                <w:highlight w:val="none"/>
                <w:u w:val="single"/>
                <w:lang w:val="en-US" w:eastAsia="zh-CN"/>
              </w:rPr>
              <w:t xml:space="preserve">13</w:t>
            </w:r>
            <w:r>
              <w:rPr>
                <w:rFonts w:hint="eastAsia" w:ascii="宋体" w:hAnsi="宋体" w:eastAsia="宋体" w:cs="宋体"/>
                <w:color w:val="000000"/>
                <w:szCs w:val="21"/>
                <w:highlight w:val="none"/>
                <w:u w:val="single"/>
                <w:lang w:eastAsia="zh-CN"/>
              </w:rPr>
              <w:t xml:space="preserve">日</w:t>
            </w:r>
            <w:r>
              <w:rPr>
                <w:rFonts w:hint="eastAsia" w:ascii="宋体" w:hAnsi="宋体" w:eastAsia="宋体" w:cs="宋体"/>
                <w:color w:val="000000"/>
                <w:szCs w:val="21"/>
                <w:highlight w:val="none"/>
                <w:u w:val="single"/>
                <w:lang w:val="en-US" w:eastAsia="zh-CN"/>
              </w:rPr>
              <w:t xml:space="preserve">09</w:t>
            </w:r>
            <w:r>
              <w:rPr>
                <w:rFonts w:hint="eastAsia" w:ascii="宋体" w:hAnsi="宋体" w:eastAsia="宋体" w:cs="宋体"/>
                <w:color w:val="000000"/>
                <w:szCs w:val="21"/>
                <w:highlight w:val="none"/>
                <w:u w:val="single"/>
              </w:rPr>
              <w:t xml:space="preserve">点30分</w:t>
            </w:r>
            <w:r>
              <w:rPr>
                <w:rFonts w:hint="eastAsia" w:ascii="宋体" w:hAnsi="宋体" w:eastAsia="宋体" w:cs="宋体"/>
                <w:color w:val="000000"/>
                <w:szCs w:val="21"/>
                <w:highlight w:val="none"/>
              </w:rPr>
              <w:t xml:space="preserve">（北京时间）前递交响应文件。</w:t>
            </w:r>
            <w:r>
              <w:rPr>
                <w:rFonts w:hint="eastAsia" w:ascii="宋体" w:hAnsi="宋体" w:eastAsia="宋体" w:cs="宋体"/>
                <w:color w:val="000000"/>
                <w:szCs w:val="21"/>
                <w:highlight w:val="none"/>
              </w:rPr>
            </w:r>
            <w:r/>
          </w:p>
        </w:tc>
      </w:tr>
    </w:tbl>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一、项目基本情况</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JSZC-320507-SZZS-C2026-0029</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lang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4、采购预算：</w:t>
      </w:r>
      <w:r>
        <w:rPr>
          <w:rFonts w:hint="eastAsia" w:ascii="宋体" w:hAnsi="宋体" w:eastAsia="宋体" w:cs="宋体"/>
          <w:color w:val="000000"/>
          <w:szCs w:val="21"/>
          <w:highlight w:val="none"/>
          <w:lang w:val="en-US" w:eastAsia="zh-CN"/>
        </w:rPr>
        <w:t xml:space="preserve">人民币壹佰壹拾壹万壹仟零玖元壹角柒分（￥</w:t>
      </w:r>
      <w:r>
        <w:rPr>
          <w:rFonts w:hint="eastAsia" w:ascii="宋体" w:hAnsi="宋体" w:eastAsia="宋体" w:cs="宋体"/>
          <w:color w:val="000000"/>
          <w:szCs w:val="21"/>
          <w:highlight w:val="none"/>
          <w:lang w:eastAsia="zh-CN"/>
        </w:rPr>
        <w:t xml:space="preserve">1111009.17</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人民币壹佰壹拾壹万壹仟零玖元壹角柒分（￥</w:t>
      </w:r>
      <w:r>
        <w:rPr>
          <w:rFonts w:hint="eastAsia" w:ascii="宋体" w:hAnsi="宋体" w:eastAsia="宋体" w:cs="宋体"/>
          <w:color w:val="000000"/>
          <w:szCs w:val="21"/>
          <w:highlight w:val="none"/>
          <w:lang w:eastAsia="zh-CN"/>
        </w:rPr>
        <w:t xml:space="preserve">1111009.17</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5、采购需求：</w:t>
      </w:r>
      <w:r>
        <w:rPr>
          <w:rFonts w:hint="eastAsia" w:ascii="宋体" w:hAnsi="宋体" w:eastAsia="宋体" w:cs="宋体"/>
          <w:color w:val="000000"/>
          <w:szCs w:val="21"/>
          <w:highlight w:val="none"/>
        </w:rPr>
        <w:t xml:space="preserve">主要在书香公园内新增文体游乐设备及配套设施等。</w:t>
      </w:r>
      <w:r>
        <w:rPr>
          <w:rFonts w:hint="eastAsia" w:ascii="宋体" w:hAnsi="宋体" w:eastAsia="宋体" w:cs="宋体"/>
          <w:color w:val="000000"/>
          <w:szCs w:val="21"/>
          <w:highlight w:val="none"/>
        </w:rPr>
        <w:t xml:space="preserve">具体内容详见</w:t>
      </w:r>
      <w:r>
        <w:rPr>
          <w:rFonts w:hint="eastAsia" w:ascii="宋体" w:hAnsi="宋体" w:eastAsia="宋体" w:cs="宋体"/>
          <w:color w:val="000000"/>
          <w:szCs w:val="21"/>
          <w:highlight w:val="none"/>
          <w:lang w:val="en-US" w:eastAsia="zh-CN"/>
        </w:rPr>
        <w:t xml:space="preserve">采购文件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承包方式：包工包料</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质量要求：合格</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合同履行期限：工期</w:t>
      </w:r>
      <w:r>
        <w:rPr>
          <w:rFonts w:hint="eastAsia" w:ascii="宋体" w:hAnsi="宋体" w:eastAsia="宋体" w:cs="宋体"/>
          <w:color w:val="000000"/>
          <w:szCs w:val="21"/>
          <w:highlight w:val="none"/>
          <w:lang w:val="en-US" w:eastAsia="zh-CN"/>
        </w:rPr>
        <w:t xml:space="preserve">90</w:t>
      </w:r>
      <w:r>
        <w:rPr>
          <w:rFonts w:hint="eastAsia" w:ascii="宋体" w:hAnsi="宋体" w:eastAsia="宋体" w:cs="宋体"/>
          <w:color w:val="000000"/>
          <w:szCs w:val="21"/>
          <w:highlight w:val="none"/>
        </w:rPr>
        <w:t xml:space="preserve">天，如不能如期完工，采购单位有权终止合同，成交单位须承担由此对采购方造成的损失（实际开工日期以业主的开工报告为准）。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二、申请人的资格要求：</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（2）具有良好的商业信誉和健全的财务会计制度；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（3）具有履行合同所必</w:t>
      </w:r>
      <w:r>
        <w:rPr>
          <w:rFonts w:hint="eastAsia" w:ascii="宋体" w:hAnsi="宋体" w:eastAsia="宋体" w:cs="宋体"/>
          <w:color w:val="000000"/>
          <w:szCs w:val="21"/>
          <w:highlight w:val="none"/>
          <w:lang w:val="en-US" w:eastAsia="zh-CN"/>
        </w:rPr>
        <w:t xml:space="preserve">需</w:t>
      </w:r>
      <w:r>
        <w:rPr>
          <w:rFonts w:hint="eastAsia" w:ascii="宋体" w:hAnsi="宋体" w:eastAsia="宋体" w:cs="宋体"/>
          <w:color w:val="000000"/>
          <w:szCs w:val="21"/>
          <w:highlight w:val="none"/>
        </w:rPr>
        <w:t xml:space="preserve">的设备和专业技术能力；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（4）有依法缴纳税收和社会保障资金的良好记录；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2、落实政府采购政策需满足的资格要求：根据《政府采购促进中小企业发展管理办法》的相关规定，本项目专门面向中小企业，所属行业为建筑业，供应商应为中小微企业或监狱企业或残疾人福利性单位。</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3、本项目的特定资格要求：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bCs/>
          <w:i w:val="0"/>
          <w:iCs w:val="0"/>
          <w:caps w:val="0"/>
          <w:color w:val="000000"/>
          <w:spacing w:val="0"/>
          <w:sz w:val="21"/>
          <w:szCs w:val="21"/>
          <w:highlight w:val="none"/>
          <w:u w:val="single"/>
          <w:shd w:val="clear" w:color="auto" w:fill="ffffff"/>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）磋商供应商拟投入本项目的项目经理须</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符合苏园规字【2012】2 号文，</w:t>
      </w:r>
      <w:r>
        <w:rPr>
          <w:rFonts w:hint="eastAsia" w:ascii="宋体" w:hAnsi="宋体" w:eastAsia="宋体" w:cs="宋体"/>
          <w:color w:val="000000"/>
          <w:szCs w:val="21"/>
          <w:highlight w:val="none"/>
          <w:lang w:val="en-US" w:eastAsia="zh-CN"/>
        </w:rPr>
        <w:t xml:space="preserve">项目负责人</w:t>
      </w:r>
      <w:r>
        <w:rPr>
          <w:rFonts w:hint="eastAsia" w:ascii="宋体" w:hAnsi="宋体" w:eastAsia="宋体" w:cs="宋体"/>
          <w:color w:val="000000"/>
          <w:szCs w:val="21"/>
          <w:highlight w:val="none"/>
        </w:rPr>
        <w:t xml:space="preserve">可承揽工程造价在500万元以下的园林绿化工程:1.学历、职称要求(符合其中一条即可):(1)获得国家级园林绿化相关专业中级或以上职称的技术人员。(2)获得园林绿化相关专业初级职称3年以上的技术人员。2.业绩要求:近4年参与过2个工程造价100万元以上已验收合格的园林绿化建设工程。</w:t>
      </w:r>
      <w:r>
        <w:rPr>
          <w:rFonts w:hint="eastAsia" w:ascii="宋体" w:hAnsi="宋体" w:eastAsia="宋体" w:cs="宋体"/>
          <w:b/>
          <w:bCs/>
          <w:i w:val="0"/>
          <w:iCs w:val="0"/>
          <w:caps w:val="0"/>
          <w:color w:val="000000"/>
          <w:spacing w:val="0"/>
          <w:sz w:val="21"/>
          <w:szCs w:val="21"/>
          <w:highlight w:val="none"/>
          <w:u w:val="single"/>
          <w:shd w:val="clear" w:color="auto" w:fill="ffffff"/>
          <w:lang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注：项目负责人需同时满足下列条件：</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（3）本项目不接受联合体投标。</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（2）为采购项目提供整体设计、规范编制或者项目管理、监理、监测等服务的供应商，不得再参加该采购项目的其他采购活动。</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w:t>
      </w:r>
      <w:r>
        <w:rPr>
          <w:rFonts w:hint="eastAsia" w:ascii="宋体" w:hAnsi="宋体" w:eastAsia="宋体" w:cs="宋体"/>
          <w:color w:val="000000"/>
          <w:szCs w:val="21"/>
          <w:highlight w:val="none"/>
        </w:rPr>
        <w:t xml:space="preserve">获取采购文件</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Cs w:val="21"/>
          <w:highlight w:val="none"/>
        </w:rPr>
        <w:t xml:space="preserve">时间：</w:t>
      </w:r>
      <w:r>
        <w:rPr>
          <w:rFonts w:ascii="FangSong" w:hAnsi="FangSong" w:eastAsia="FangSong" w:cs="FangSong"/>
          <w:color w:val="000000"/>
          <w:sz w:val="22"/>
          <w:szCs w:val="22"/>
          <w:highlight w:val="none"/>
        </w:rPr>
        <w:t xml:space="preserve">自磋商文件公告发布之日起5个工作日</w:t>
      </w:r>
      <w:r>
        <w:rPr>
          <w:rFonts w:hint="eastAsia" w:ascii="宋体" w:hAnsi="宋体" w:eastAsia="宋体" w:cs="宋体"/>
          <w:color w:val="000000"/>
          <w:sz w:val="22"/>
          <w:szCs w:val="22"/>
          <w:highlight w:val="none"/>
          <w:lang w:val="en-US" w:eastAsia="zh-CN"/>
        </w:rPr>
      </w:r>
      <w:r>
        <w:rPr>
          <w:sz w:val="22"/>
          <w:szCs w:val="22"/>
        </w:rP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地点：苏采云系统</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方式：网上报名</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售价：0.00元</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四、响应文件提交</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时间：2026年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zh-CN"/>
        </w:rPr>
        <w:t xml:space="preserve">：30</w:t>
      </w:r>
      <w:r>
        <w:rPr>
          <w:rFonts w:hint="eastAsia" w:ascii="宋体" w:hAnsi="宋体" w:eastAsia="宋体" w:cs="宋体"/>
          <w:color w:val="000000"/>
          <w:szCs w:val="21"/>
          <w:highlight w:val="none"/>
          <w:lang w:val="zh-CN"/>
        </w:rPr>
        <w:t xml:space="preserve">（北京时间）</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地点：苏采云政府采购一体化平台开标大厅（网上不见面开标）</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五、开启</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13  9</w:t>
      </w:r>
      <w:r>
        <w:rPr>
          <w:rFonts w:hint="eastAsia" w:ascii="宋体" w:hAnsi="宋体" w:eastAsia="宋体" w:cs="宋体"/>
          <w:color w:val="000000"/>
          <w:szCs w:val="21"/>
          <w:highlight w:val="none"/>
        </w:rPr>
        <w:t xml:space="preserve">:30 （北京时间）</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地点：http://jszfcg.jsczt.cn/jszc/login苏采云系统</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六、公告期限</w:t>
      </w:r>
      <w:r>
        <w:rPr>
          <w:rFonts w:hint="eastAsia" w:ascii="宋体" w:hAnsi="宋体" w:eastAsia="宋体" w:cs="宋体"/>
          <w:color w:val="000000"/>
          <w:szCs w:val="21"/>
          <w:highlight w:val="none"/>
        </w:rPr>
      </w:r>
      <w:r/>
    </w:p>
    <w:p>
      <w:pPr>
        <w:pStyle w:val="1044"/>
        <w:ind w:right="-159"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七、其他补充事宜</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1、本次采购的有关信息同时刊登在苏州市政府采购网、江苏政府采购网，敬请留意。</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3、相城区</w:t>
      </w:r>
      <w:r>
        <w:rPr>
          <w:rFonts w:hint="eastAsia" w:ascii="宋体" w:hAnsi="宋体" w:eastAsia="宋体" w:cs="宋体"/>
          <w:color w:val="000000"/>
          <w:szCs w:val="21"/>
          <w:highlight w:val="none"/>
        </w:rPr>
        <w:t xml:space="preserve">政府采购监督管理部门监督电话：</w:t>
      </w:r>
      <w:r>
        <w:rPr>
          <w:rFonts w:hint="eastAsia" w:ascii="宋体" w:hAnsi="宋体" w:eastAsia="宋体" w:cs="宋体"/>
          <w:color w:val="000000"/>
          <w:szCs w:val="21"/>
          <w:highlight w:val="none"/>
          <w:lang w:bidi="ar"/>
        </w:rPr>
        <w:t xml:space="preserve">0512-</w:t>
      </w:r>
      <w:r>
        <w:rPr>
          <w:rFonts w:hint="eastAsia" w:ascii="宋体" w:hAnsi="宋体" w:eastAsia="宋体" w:cs="宋体"/>
          <w:color w:val="000000"/>
          <w:szCs w:val="21"/>
          <w:highlight w:val="none"/>
          <w:lang w:bidi="ar"/>
        </w:rPr>
        <w:t xml:space="preserve">67591005</w:t>
      </w: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lang w:bidi="ar"/>
        </w:rPr>
        <w:t xml:space="preserve">7591006</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4、政府采购履约资金扶持政策：中标供应商可凭政府采购合同办理融资贷款，详情请见江苏政府采购网‘政采贷’专栏。</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w:t>
      </w: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苏州市相城区园林绿化建设管理中心</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highlight w:val="none"/>
          <w:lang w:eastAsia="zh-CN"/>
        </w:rPr>
        <w:t xml:space="preserve">苏州市相城区阳澄湖东路8号行政中心6号楼</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郑洪倩</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eastAsia="zh-CN"/>
        </w:rPr>
        <w:t xml:space="preserve">0512-85181359</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中思项目管理咨询有限公司</w:t>
      </w:r>
      <w:r>
        <w:rPr>
          <w:rFonts w:hint="eastAsia" w:ascii="宋体" w:hAnsi="宋体" w:eastAsia="宋体" w:cs="宋体"/>
          <w:color w:val="000000"/>
          <w:szCs w:val="21"/>
          <w:highlight w:val="none"/>
          <w:lang w:eastAsia="zh-CN"/>
        </w:rPr>
      </w:r>
      <w:r/>
    </w:p>
    <w:p>
      <w:pPr>
        <w:pStyle w:val="1044"/>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地址：</w:t>
      </w:r>
      <w:r>
        <w:rPr>
          <w:rFonts w:hint="eastAsia" w:ascii="宋体" w:hAnsi="宋体" w:eastAsia="宋体" w:cs="宋体"/>
          <w:bCs/>
          <w:color w:val="000000"/>
          <w:szCs w:val="21"/>
          <w:highlight w:val="none"/>
          <w:lang w:eastAsia="zh-CN"/>
        </w:rPr>
        <w:t xml:space="preserve">苏州市姑苏西环路双桥868创意文化产业园629室</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李天一</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eastAsia="zh-CN"/>
        </w:rPr>
        <w:t xml:space="preserve">0512-68832715</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eastAsia="zh-CN"/>
        </w:rPr>
        <w:t xml:space="preserve">李天一</w:t>
      </w:r>
      <w:r>
        <w:rPr>
          <w:rFonts w:hint="eastAsia" w:ascii="宋体" w:hAnsi="宋体" w:eastAsia="宋体" w:cs="宋体"/>
          <w:color w:val="000000"/>
          <w:szCs w:val="21"/>
          <w:highlight w:val="none"/>
          <w:lang w:eastAsia="zh-CN"/>
        </w:rPr>
      </w:r>
      <w:r/>
    </w:p>
    <w:p>
      <w:pPr>
        <w:pStyle w:val="1044"/>
        <w:ind w:firstLine="42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lang w:eastAsia="zh-CN"/>
        </w:rPr>
        <w:t xml:space="preserve">0512-68832715</w:t>
      </w:r>
      <w:r>
        <w:rPr>
          <w:rFonts w:hint="eastAsia" w:ascii="宋体" w:hAnsi="宋体" w:eastAsia="宋体" w:cs="宋体"/>
          <w:color w:val="000000"/>
          <w:szCs w:val="21"/>
          <w:highlight w:val="none"/>
          <w:lang w:eastAsia="zh-CN"/>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二、供应商须知</w:t>
      </w:r>
      <w:r>
        <w:rPr>
          <w:rFonts w:hint="eastAsia" w:ascii="宋体" w:hAnsi="宋体" w:eastAsia="宋体" w:cs="宋体"/>
          <w:b/>
          <w:color w:val="000000"/>
          <w:sz w:val="32"/>
          <w:szCs w:val="32"/>
          <w:highlight w:val="none"/>
        </w:rPr>
      </w:r>
      <w:r/>
    </w:p>
    <w:p>
      <w:pPr>
        <w:pStyle w:val="104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（一）总  则</w:t>
      </w:r>
      <w:r>
        <w:rPr>
          <w:rFonts w:hint="eastAsia" w:ascii="宋体" w:hAnsi="宋体" w:eastAsia="宋体" w:cs="宋体"/>
          <w:b/>
          <w:color w:val="000000"/>
          <w:sz w:val="30"/>
          <w:szCs w:val="30"/>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rPr>
          <w:rFonts w:hint="eastAsia" w:ascii="宋体" w:hAnsi="宋体" w:eastAsia="宋体" w:cs="宋体"/>
          <w:b/>
          <w:bCs/>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2、现场条件：</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2.1施工现场平整情况：</w:t>
      </w:r>
      <w:r>
        <w:rPr>
          <w:rFonts w:hint="eastAsia" w:ascii="宋体" w:hAnsi="宋体" w:eastAsia="宋体" w:cs="宋体"/>
          <w:color w:val="000000"/>
          <w:szCs w:val="21"/>
          <w:highlight w:val="none"/>
          <w:u w:val="single"/>
        </w:rPr>
        <w:t xml:space="preserve">场地已平整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2.2场内外道路：</w:t>
      </w:r>
      <w:r>
        <w:rPr>
          <w:rFonts w:hint="eastAsia" w:ascii="宋体" w:hAnsi="宋体" w:eastAsia="宋体" w:cs="宋体"/>
          <w:color w:val="000000"/>
          <w:szCs w:val="21"/>
          <w:highlight w:val="none"/>
          <w:u w:val="single"/>
        </w:rPr>
        <w:t xml:space="preserve">原有现状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2.3施工用水电：</w:t>
      </w:r>
      <w:r>
        <w:rPr>
          <w:rFonts w:hint="eastAsia" w:ascii="宋体" w:hAnsi="宋体" w:eastAsia="宋体" w:cs="宋体"/>
          <w:color w:val="000000"/>
          <w:szCs w:val="21"/>
          <w:highlight w:val="none"/>
          <w:u w:val="single"/>
        </w:rPr>
        <w:t xml:space="preserve">自行解决，费用由承包商承担，考虑在报价中</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15"/>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3、发包范围:</w:t>
      </w: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rPr>
        <w:t xml:space="preserve">。具体内容详见工程量清单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4、工期要求：工期</w:t>
      </w:r>
      <w:r>
        <w:rPr>
          <w:rFonts w:hint="eastAsia" w:ascii="宋体" w:hAnsi="宋体" w:eastAsia="宋体" w:cs="宋体"/>
          <w:b/>
          <w:bCs/>
          <w:color w:val="000000"/>
          <w:szCs w:val="21"/>
          <w:highlight w:val="none"/>
          <w:lang w:val="en-US" w:eastAsia="zh-CN"/>
        </w:rPr>
        <w:t xml:space="preserve">9</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b/>
          <w:bCs/>
          <w:color w:val="000000"/>
          <w:szCs w:val="21"/>
          <w:highlight w:val="none"/>
        </w:rPr>
        <w:t xml:space="preserve">天，如不能如期完工，采购单位有权终止合同，成交单位须承担由此对采购方造成的损失（实际开工日期以业主的开工报告为准）。</w:t>
      </w:r>
      <w:r>
        <w:rPr>
          <w:rFonts w:hint="eastAsia" w:ascii="宋体" w:hAnsi="宋体" w:eastAsia="宋体" w:cs="宋体"/>
          <w:b/>
          <w:bCs/>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5、质量要求：</w:t>
      </w:r>
      <w:r>
        <w:rPr>
          <w:rFonts w:hint="eastAsia" w:ascii="宋体" w:hAnsi="宋体" w:eastAsia="宋体" w:cs="宋体"/>
          <w:bCs/>
          <w:color w:val="000000"/>
          <w:szCs w:val="21"/>
          <w:highlight w:val="none"/>
          <w:u w:val="single"/>
        </w:rPr>
        <w:t xml:space="preserve">合格</w:t>
      </w:r>
      <w:r>
        <w:rPr>
          <w:rFonts w:hint="eastAsia" w:ascii="宋体" w:hAnsi="宋体" w:eastAsia="宋体" w:cs="宋体"/>
          <w:bCs/>
          <w:color w:val="000000"/>
          <w:szCs w:val="21"/>
          <w:highlight w:val="none"/>
        </w:rPr>
        <w:t xml:space="preserve">。</w:t>
      </w:r>
      <w:r>
        <w:rPr>
          <w:rFonts w:hint="eastAsia" w:ascii="宋体" w:hAnsi="宋体" w:eastAsia="宋体" w:cs="宋体"/>
          <w:b/>
          <w:bCs/>
          <w:color w:val="000000"/>
          <w:szCs w:val="21"/>
          <w:highlight w:val="none"/>
        </w:rPr>
      </w:r>
      <w:r/>
    </w:p>
    <w:p>
      <w:pPr>
        <w:pStyle w:val="1044"/>
        <w:ind w:firstLine="422"/>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6、磋商响应单位资格要求</w:t>
      </w:r>
      <w:r>
        <w:rPr>
          <w:rFonts w:hint="eastAsia" w:ascii="宋体" w:hAnsi="宋体" w:eastAsia="宋体" w:cs="宋体"/>
          <w:color w:val="000000"/>
          <w:szCs w:val="21"/>
          <w:highlight w:val="none"/>
        </w:rPr>
      </w:r>
      <w:r/>
    </w:p>
    <w:p>
      <w:pPr>
        <w:pStyle w:val="1044"/>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6.1供应商应当具备下列一般条件：</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6.1.1具有独立承担民事责任的能力；</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6.1.2具有良好的商业信誉和健全的财务会计制度；</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6.1.3具有履行合同所必需的设备和专业技术能力；</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6.1.4有依法缴纳税收和社会保障资金的良好记录；</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6.1.5参加政府采购活动近三年内，在经营活动中没有重大违法记录；</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rPr>
        <w:t xml:space="preserve">6.1.6法律、行政法规规定的其他条件。</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6.2、落实政府采购政策需满足的资格要求：</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根据《政府采购促进中小企业发展管理办法》的相关规定，本项目专门面向中小微企业，所属行业为</w:t>
      </w:r>
      <w:r>
        <w:rPr>
          <w:rFonts w:hint="eastAsia" w:ascii="宋体" w:hAnsi="宋体" w:eastAsia="宋体" w:cs="宋体"/>
          <w:bCs/>
          <w:color w:val="000000"/>
          <w:szCs w:val="21"/>
          <w:highlight w:val="none"/>
          <w:u w:val="single"/>
        </w:rPr>
        <w:t xml:space="preserve">建筑业</w:t>
      </w:r>
      <w:r>
        <w:rPr>
          <w:rFonts w:hint="eastAsia" w:ascii="宋体" w:hAnsi="宋体" w:eastAsia="宋体" w:cs="宋体"/>
          <w:bCs/>
          <w:color w:val="000000"/>
          <w:szCs w:val="21"/>
          <w:highlight w:val="none"/>
        </w:rPr>
        <w:t xml:space="preserve">，承接服务的供应商应为中小微企业或监狱企业或残疾人福利性单位。</w:t>
      </w:r>
      <w:r>
        <w:rPr>
          <w:rFonts w:hint="eastAsia" w:ascii="宋体" w:hAnsi="宋体" w:eastAsia="宋体" w:cs="宋体"/>
          <w:b/>
          <w:color w:val="000000"/>
          <w:szCs w:val="21"/>
          <w:highlight w:val="none"/>
        </w:rPr>
      </w:r>
      <w:r/>
    </w:p>
    <w:p>
      <w:pPr>
        <w:pStyle w:val="1044"/>
        <w:ind w:firstLine="422"/>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rPr>
        <w:t xml:space="preserve">6.3供应商应当具备下列特殊条件：</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6.3.1申请人资质类别和等级：</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（1）申请人资质类别和等级：</w:t>
      </w:r>
      <w:r>
        <w:rPr>
          <w:rFonts w:hint="eastAsia" w:ascii="宋体" w:hAnsi="宋体" w:eastAsia="宋体" w:cs="宋体"/>
          <w:b/>
          <w:color w:val="000000"/>
          <w:szCs w:val="21"/>
          <w:highlight w:val="none"/>
          <w:lang w:val="en-US" w:eastAsia="zh-CN"/>
        </w:rPr>
        <w:t xml:space="preserve">/</w:t>
      </w:r>
      <w:r>
        <w:rPr>
          <w:rFonts w:hint="eastAsia" w:ascii="宋体" w:hAnsi="宋体" w:eastAsia="宋体" w:cs="宋体"/>
          <w:b/>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）拟选派项目经理资质等级：</w:t>
      </w:r>
      <w:r>
        <w:rPr>
          <w:rFonts w:hint="eastAsia" w:ascii="宋体" w:hAnsi="宋体" w:eastAsia="宋体" w:cs="宋体"/>
          <w:b/>
          <w:bCs/>
          <w:i w:val="0"/>
          <w:iCs w:val="0"/>
          <w:caps w:val="0"/>
          <w:color w:val="000000"/>
          <w:spacing w:val="0"/>
          <w:sz w:val="21"/>
          <w:szCs w:val="21"/>
          <w:highlight w:val="none"/>
          <w:u w:val="single"/>
          <w:shd w:val="clear" w:color="auto" w:fill="ffffff"/>
        </w:rPr>
        <w:t xml:space="preserve">符合苏园规字【2012】2 号文，</w:t>
      </w:r>
      <w:r>
        <w:rPr>
          <w:rFonts w:hint="eastAsia" w:ascii="宋体" w:hAnsi="宋体" w:eastAsia="宋体" w:cs="宋体"/>
          <w:b/>
          <w:bCs/>
          <w:i w:val="0"/>
          <w:iCs w:val="0"/>
          <w:caps w:val="0"/>
          <w:color w:val="000000"/>
          <w:spacing w:val="0"/>
          <w:sz w:val="21"/>
          <w:szCs w:val="21"/>
          <w:highlight w:val="none"/>
          <w:u w:val="single"/>
          <w:shd w:val="clear" w:color="auto" w:fill="ffffff"/>
          <w:lang w:val="en-US" w:eastAsia="zh-CN"/>
        </w:rPr>
        <w:t xml:space="preserve">项目负责人</w:t>
      </w:r>
      <w:r>
        <w:rPr>
          <w:rFonts w:hint="eastAsia" w:ascii="宋体" w:hAnsi="宋体" w:eastAsia="宋体" w:cs="宋体"/>
          <w:b/>
          <w:bCs/>
          <w:i w:val="0"/>
          <w:iCs w:val="0"/>
          <w:caps w:val="0"/>
          <w:color w:val="000000"/>
          <w:spacing w:val="0"/>
          <w:sz w:val="21"/>
          <w:szCs w:val="21"/>
          <w:highlight w:val="none"/>
          <w:u w:val="single"/>
          <w:shd w:val="clear" w:color="auto" w:fill="ffffff"/>
        </w:rPr>
        <w:t xml:space="preserve">可承揽工程造价在500万元以下的园林绿化工程:1.学历、职称要求(符合其中一条即可):(1)获得国家级园林绿化相关专业中级或以上职称的技术人员。(2)获得园林绿化相关专业初级职称3年以上的技术人员。2.业绩要求:近4年参与过2个工程造价100万元以上已验收合格的园林绿化建设工程</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根据政府采购法及相关法规，采购代理人将对供应商进行信用查询。对列入失信被执行人、重大税收违法案件当事人名单、政府采购严重违法失信行为记录名单的供应商，拒绝其参与政府采购活动。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1114"/>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本项目不接受联合体。</w:t>
      </w:r>
      <w:r>
        <w:rPr>
          <w:rFonts w:hint="eastAsia" w:ascii="宋体" w:hAnsi="宋体" w:eastAsia="宋体" w:cs="宋体"/>
          <w:color w:val="000000"/>
          <w:sz w:val="21"/>
          <w:szCs w:val="21"/>
          <w:highlight w:val="none"/>
          <w:lang w:val="en-US" w:eastAsia="zh-CN"/>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7、磋商费用：</w:t>
      </w:r>
      <w:r>
        <w:rPr>
          <w:rFonts w:hint="eastAsia" w:ascii="宋体" w:hAnsi="宋体" w:eastAsia="宋体" w:cs="宋体"/>
          <w:b/>
          <w:bCs/>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磋商供应商</w:t>
      </w:r>
      <w:r>
        <w:rPr>
          <w:rFonts w:hint="eastAsia" w:ascii="宋体" w:hAnsi="宋体" w:eastAsia="宋体" w:cs="宋体"/>
          <w:color w:val="000000"/>
          <w:szCs w:val="21"/>
          <w:highlight w:val="none"/>
        </w:rPr>
        <w:t xml:space="preserve">承担其编制</w:t>
      </w:r>
      <w:r>
        <w:rPr>
          <w:rFonts w:hint="eastAsia" w:ascii="宋体" w:hAnsi="宋体" w:eastAsia="宋体" w:cs="宋体"/>
          <w:color w:val="000000"/>
          <w:szCs w:val="21"/>
          <w:highlight w:val="none"/>
        </w:rPr>
        <w:t xml:space="preserve">及递交磋商响应</w:t>
      </w:r>
      <w:r>
        <w:rPr>
          <w:rFonts w:hint="eastAsia" w:ascii="宋体" w:hAnsi="宋体" w:eastAsia="宋体" w:cs="宋体"/>
          <w:color w:val="000000"/>
          <w:szCs w:val="21"/>
          <w:highlight w:val="none"/>
        </w:rPr>
        <w:t xml:space="preserve">文件的一切费用，无论结果如何，发包人对上述费用不负任何责任。</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44"/>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 w:val="30"/>
          <w:szCs w:val="30"/>
          <w:highlight w:val="none"/>
        </w:rPr>
        <w:t xml:space="preserve">（二）磋商采购文件</w:t>
      </w:r>
      <w:r>
        <w:rPr>
          <w:rFonts w:hint="eastAsia" w:ascii="宋体" w:hAnsi="宋体" w:eastAsia="宋体" w:cs="宋体"/>
          <w:b/>
          <w:color w:val="000000"/>
          <w:szCs w:val="21"/>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w:t>
      </w:r>
      <w:r>
        <w:rPr>
          <w:rFonts w:hint="eastAsia" w:ascii="宋体" w:hAnsi="宋体" w:eastAsia="宋体" w:cs="宋体"/>
          <w:b/>
          <w:color w:val="000000"/>
          <w:szCs w:val="21"/>
          <w:highlight w:val="none"/>
        </w:rPr>
        <w:t xml:space="preserve">磋商</w:t>
      </w:r>
      <w:r>
        <w:rPr>
          <w:rFonts w:hint="eastAsia" w:ascii="宋体" w:hAnsi="宋体" w:eastAsia="宋体" w:cs="宋体"/>
          <w:b/>
          <w:bCs/>
          <w:color w:val="000000"/>
          <w:szCs w:val="21"/>
          <w:highlight w:val="none"/>
        </w:rPr>
        <w:t xml:space="preserve">采购文件的组成</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8.1磋商采购文件包括下列内容：</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8.1.1竞争性磋商公告</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8.1.2磋商须知前附表</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8.1.3供应商须知</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8.1.4响应文件格式</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8.1.5磋商采购文件</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8.1.6合同主要条款</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8.1.7技术要求、图纸（如有）</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1"/>
          <w:highlight w:val="none"/>
        </w:rPr>
        <w:t xml:space="preserve">8.1.8评审方法与评审标准</w:t>
      </w:r>
      <w:r>
        <w:rPr>
          <w:rFonts w:hint="eastAsia" w:ascii="宋体" w:hAnsi="宋体" w:eastAsia="宋体" w:cs="宋体"/>
          <w:b/>
          <w:bCs/>
          <w:color w:val="000000"/>
          <w:szCs w:val="24"/>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9、磋商</w:t>
      </w:r>
      <w:r>
        <w:rPr>
          <w:rFonts w:hint="eastAsia" w:ascii="宋体" w:hAnsi="宋体" w:eastAsia="宋体" w:cs="宋体"/>
          <w:b/>
          <w:bCs/>
          <w:color w:val="000000"/>
          <w:szCs w:val="21"/>
          <w:highlight w:val="none"/>
        </w:rPr>
        <w:t xml:space="preserve">文件的澄清</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color w:val="000000"/>
          <w:szCs w:val="21"/>
          <w:highlight w:val="none"/>
        </w:rPr>
      </w:r>
      <w:r/>
    </w:p>
    <w:p>
      <w:pPr>
        <w:pStyle w:val="1044"/>
        <w:ind w:firstLine="42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0"/>
          <w:szCs w:val="30"/>
          <w:highlight w:val="none"/>
        </w:rPr>
        <w:t xml:space="preserve">（三）磋商报价说明</w:t>
      </w:r>
      <w:r>
        <w:rPr>
          <w:rFonts w:hint="eastAsia" w:ascii="宋体" w:hAnsi="宋体" w:eastAsia="宋体" w:cs="宋体"/>
          <w:b/>
          <w:color w:val="000000"/>
          <w:sz w:val="32"/>
          <w:szCs w:val="32"/>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10、报价说明</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投标报价应根据采购文件中的有关计价要求，并按照下列依据自主报价，但不得低于成本。</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(1)本磋商采购文件；</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(2)工程量清单编制依据（如有最新标准则以新标准为依据执行）：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《建设工程工程量清单计价标准》（GB/T50500-2024）及其9本工程量计算</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《江苏省市政工程消耗量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（2026年版）</w:t>
      </w:r>
      <w:r>
        <w:rPr>
          <w:rFonts w:hint="eastAsia" w:ascii="宋体" w:hAnsi="宋体" w:eastAsia="宋体" w:cs="宋体"/>
          <w:color w:val="000000"/>
          <w:szCs w:val="21"/>
          <w:highlight w:val="none"/>
          <w:lang w:eastAsia="zh-CN"/>
        </w:rPr>
        <w:t xml:space="preserve">、《江苏省建筑与装饰工程消耗量》（2026年版）、</w:t>
      </w:r>
      <w:r>
        <w:rPr>
          <w:rFonts w:hint="eastAsia" w:ascii="宋体" w:hAnsi="宋体" w:eastAsia="宋体" w:cs="宋体"/>
          <w:color w:val="000000"/>
          <w:szCs w:val="21"/>
          <w:highlight w:val="none"/>
        </w:rPr>
        <w:t xml:space="preserve">《江苏省建设工程费用参考》（2026年版）及现行有关文件执行。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(3)国家或省级、行业建设主管部门颁发的计价办法；</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(4)企业定额，国家或省级、行业建设主管部门颁发的计价定额；</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(5)磋商采购文件、招标采购工程量清单及其补充通知、答疑纪要；</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(6)建设工程设计文件及相关资料；</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(7)施工现场情况、工程特点及拟定的投标施工组织设计或施工方案；</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(8)与建设项目相关的标准、规范等技术资料；</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(9)市场价格信息或工程造价管理机构发布的工程造价信息；</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其他的相关资料。</w:t>
      </w:r>
      <w:r>
        <w:rPr>
          <w:rFonts w:hint="eastAsia" w:ascii="宋体" w:hAnsi="宋体" w:eastAsia="宋体" w:cs="宋体"/>
          <w:b/>
          <w:bCs/>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11、计价方式：本工程项目采用下列第1种计价方式。</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11.1工程量清单计价方式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11.2计价表计价方式</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12、报价方式：本工程项目采用下列第2种报价方式。</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固定单价报价。具体调整办法可如下：</w:t>
      </w:r>
      <w:r>
        <w:rPr>
          <w:rFonts w:hint="eastAsia" w:ascii="宋体" w:hAnsi="宋体" w:eastAsia="宋体" w:cs="宋体"/>
          <w:b/>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rPr>
          <w:rFonts w:hint="eastAsia" w:ascii="宋体" w:hAnsi="宋体" w:eastAsia="宋体" w:cs="宋体"/>
          <w:color w:val="000000"/>
          <w:szCs w:val="21"/>
          <w:highlight w:val="none"/>
        </w:rPr>
      </w:r>
      <w:r/>
    </w:p>
    <w:p>
      <w:pPr>
        <w:pStyle w:val="1133"/>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本项目报价包括完成该项目所需的全部人工费、材料费、机械费、检测、检验、管理费、利润、工程风险、税金，以及所需的施工准备、施工过程、缺陷责任期等所需的供货、运输、运杂保险、装卸、备品、备件、损耗、安装、调试、人员培训、售后服务、专利技术、履约验收等一切费用。</w:t>
      </w:r>
      <w:r>
        <w:rPr>
          <w:rFonts w:hint="eastAsia" w:ascii="宋体" w:hAnsi="宋体" w:eastAsia="宋体" w:cs="宋体"/>
          <w:color w:val="000000"/>
          <w:highlight w:val="none"/>
          <w:lang w:val="en-US" w:eastAsia="zh-CN"/>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w:t>
      </w:r>
      <w:r>
        <w:rPr>
          <w:rFonts w:hint="eastAsia" w:ascii="宋体" w:hAnsi="宋体" w:eastAsia="宋体" w:cs="宋体"/>
          <w:b/>
          <w:bCs/>
          <w:color w:val="000000"/>
          <w:szCs w:val="21"/>
          <w:highlight w:val="none"/>
        </w:rPr>
        <w:t xml:space="preserve">报价时，不可竞争费用均按规定计算，不得让利或随意调整计算标准，否则报价无效。</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14、计价格式中列明的所有需要填报的单价和合价，磋商响应单位均需填报，未填报的单价和合价，视为此项费用已包含在工程量清单的其他单价和合价中。</w:t>
      </w:r>
      <w:r>
        <w:rPr>
          <w:rFonts w:hint="eastAsia" w:ascii="宋体" w:hAnsi="宋体" w:eastAsia="宋体" w:cs="宋体"/>
          <w:bCs/>
          <w:color w:val="000000"/>
          <w:szCs w:val="21"/>
          <w:highlight w:val="none"/>
        </w:rPr>
      </w:r>
      <w:r/>
    </w:p>
    <w:p>
      <w:pPr>
        <w:pStyle w:val="1044"/>
        <w:ind w:firstLine="48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16、服</w:t>
      </w:r>
      <w:r>
        <w:rPr>
          <w:rFonts w:hint="eastAsia" w:ascii="宋体" w:hAnsi="宋体" w:eastAsia="宋体" w:cs="宋体"/>
          <w:color w:val="000000"/>
          <w:highlight w:val="none"/>
        </w:rPr>
        <w:t xml:space="preserve">务费：按苏财购告【</w:t>
      </w:r>
      <w:r>
        <w:rPr>
          <w:rFonts w:hint="eastAsia" w:ascii="宋体" w:hAnsi="宋体" w:eastAsia="宋体" w:cs="宋体"/>
          <w:color w:val="000000"/>
          <w:highlight w:val="none"/>
          <w:lang w:val="en-US"/>
        </w:rPr>
        <w:t xml:space="preserve">2017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rPr>
        <w:t xml:space="preserve">39</w:t>
      </w:r>
      <w:r>
        <w:rPr>
          <w:rFonts w:hint="eastAsia" w:ascii="宋体" w:hAnsi="宋体" w:eastAsia="宋体" w:cs="宋体"/>
          <w:color w:val="000000"/>
          <w:highlight w:val="none"/>
        </w:rPr>
        <w:t xml:space="preserve">号规定的收费标准收取</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本次招标项目中标服务费由</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支付，本项目代理费金额为</w:t>
      </w:r>
      <w:r>
        <w:rPr>
          <w:rFonts w:hint="eastAsia" w:ascii="宋体" w:hAnsi="宋体" w:eastAsia="宋体" w:cs="宋体"/>
          <w:color w:val="000000"/>
          <w:highlight w:val="none"/>
          <w:lang w:val="en-US" w:eastAsia="zh-CN"/>
        </w:rPr>
        <w:t xml:space="preserve">16221</w:t>
      </w:r>
      <w:r>
        <w:rPr>
          <w:rFonts w:hint="eastAsia" w:ascii="宋体" w:hAnsi="宋体" w:eastAsia="宋体" w:cs="宋体"/>
          <w:color w:val="000000"/>
          <w:highlight w:val="none"/>
        </w:rPr>
        <w:t xml:space="preserve">元。具体收费以如下比例按差额定率</w:t>
      </w:r>
      <w:r>
        <w:rPr>
          <w:rFonts w:hint="eastAsia" w:ascii="宋体" w:hAnsi="宋体" w:eastAsia="宋体" w:cs="宋体"/>
          <w:color w:val="000000"/>
          <w:highlight w:val="none"/>
        </w:rPr>
        <w:t xml:space="preserve">累进法进行计算：</w:t>
      </w:r>
      <w:r>
        <w:rPr>
          <w:rFonts w:hint="eastAsia" w:ascii="宋体" w:hAnsi="宋体" w:eastAsia="宋体" w:cs="宋体"/>
          <w:color w:val="000000"/>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收费标准：预算金额100万以下费率为预算金额的1.5%；</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预算金额100－500万费率为预算金额的1.1%。</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账 户 名：中思项目管理咨询有限公司黄桥分公司</w:t>
      </w:r>
      <w:r>
        <w:rPr>
          <w:rFonts w:hint="eastAsia" w:ascii="宋体" w:hAnsi="宋体" w:eastAsia="宋体" w:cs="宋体"/>
          <w:b/>
          <w:color w:val="000000"/>
          <w:szCs w:val="21"/>
          <w:highlight w:val="none"/>
          <w:lang w:eastAsia="zh-CN"/>
        </w:rPr>
      </w:r>
      <w:r/>
    </w:p>
    <w:p>
      <w:pPr>
        <w:pStyle w:val="1044"/>
        <w:ind w:firstLine="422"/>
        <w:jc w:val="left"/>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开户银行：</w:t>
      </w:r>
      <w:r>
        <w:rPr>
          <w:rFonts w:hint="eastAsia" w:ascii="宋体" w:hAnsi="宋体" w:eastAsia="宋体" w:cs="宋体"/>
          <w:b/>
          <w:color w:val="000000"/>
          <w:szCs w:val="21"/>
          <w:highlight w:val="none"/>
          <w:lang w:val="en-US" w:eastAsia="zh-CN"/>
        </w:rPr>
        <w:t xml:space="preserve">中国工商银行股份有限公司苏州桐泾路支行</w:t>
      </w:r>
      <w:r>
        <w:rPr>
          <w:rFonts w:hint="eastAsia" w:ascii="宋体" w:hAnsi="宋体" w:eastAsia="宋体" w:cs="宋体"/>
          <w:b/>
          <w:color w:val="000000"/>
          <w:szCs w:val="21"/>
          <w:highlight w:val="none"/>
          <w:lang w:eastAsia="zh-CN"/>
        </w:rPr>
        <w:t xml:space="preserve">    </w:t>
      </w:r>
      <w:r>
        <w:rPr>
          <w:rFonts w:hint="eastAsia" w:ascii="宋体" w:hAnsi="宋体" w:eastAsia="宋体" w:cs="宋体"/>
          <w:b/>
          <w:color w:val="000000"/>
          <w:szCs w:val="21"/>
          <w:highlight w:val="none"/>
          <w:lang w:eastAsia="zh-CN"/>
        </w:rPr>
      </w:r>
      <w:r/>
    </w:p>
    <w:p>
      <w:pPr>
        <w:pStyle w:val="1044"/>
        <w:ind w:firstLine="422"/>
        <w:jc w:val="left"/>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账    号：</w:t>
      </w:r>
      <w:r>
        <w:rPr>
          <w:rFonts w:hint="eastAsia" w:ascii="宋体" w:hAnsi="宋体" w:eastAsia="宋体" w:cs="宋体"/>
          <w:b/>
          <w:color w:val="000000"/>
          <w:szCs w:val="21"/>
          <w:highlight w:val="none"/>
          <w:lang w:val="en-US" w:eastAsia="zh-CN"/>
        </w:rPr>
        <w:t xml:space="preserve">1102261509000117716</w:t>
      </w:r>
      <w:r>
        <w:rPr>
          <w:rFonts w:hint="eastAsia" w:ascii="宋体" w:hAnsi="宋体" w:eastAsia="宋体" w:cs="宋体"/>
          <w:b/>
          <w:color w:val="000000"/>
          <w:szCs w:val="21"/>
          <w:highlight w:val="none"/>
          <w:lang w:eastAsia="zh-CN"/>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（四）磋商响应文件</w:t>
      </w:r>
      <w:r>
        <w:rPr>
          <w:rFonts w:hint="eastAsia" w:ascii="宋体" w:hAnsi="宋体" w:eastAsia="宋体" w:cs="宋体"/>
          <w:b/>
          <w:color w:val="000000"/>
          <w:sz w:val="30"/>
          <w:szCs w:val="30"/>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17、磋商响应文件组成：（采购文件内格式与系统内格式不一致的，以系统内格式要求为准）</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（1）封面；</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（2）开标一览表；</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（3）资格审查响应文件：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3.1供应商有效的营业执照原件扫描件；</w:t>
      </w:r>
      <w:r>
        <w:rPr>
          <w:rFonts w:hint="eastAsia" w:ascii="宋体" w:hAnsi="宋体" w:eastAsia="宋体" w:cs="宋体"/>
          <w:bCs/>
          <w:color w:val="000000"/>
          <w:sz w:val="21"/>
          <w:szCs w:val="21"/>
          <w:highlight w:val="none"/>
          <w:lang w:val="zh-CN"/>
        </w:rPr>
      </w:r>
      <w:r/>
    </w:p>
    <w:p>
      <w:pPr>
        <w:pStyle w:val="1044"/>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3.2项目</w:t>
      </w:r>
      <w:r>
        <w:rPr>
          <w:rFonts w:hint="eastAsia" w:ascii="宋体" w:hAnsi="宋体" w:eastAsia="宋体" w:cs="宋体"/>
          <w:bCs/>
          <w:color w:val="000000"/>
          <w:sz w:val="21"/>
          <w:szCs w:val="21"/>
          <w:highlight w:val="none"/>
          <w:lang w:val="en-US" w:eastAsia="zh-CN"/>
        </w:rPr>
        <w:t xml:space="preserve">负责人</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rPr>
        <w:t xml:space="preserve">身份证、</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在本单位最近一期社保证明及项目负责人业绩证明材料</w:t>
      </w:r>
      <w:r>
        <w:rPr>
          <w:rFonts w:hint="eastAsia" w:ascii="宋体" w:hAnsi="宋体" w:eastAsia="宋体" w:cs="宋体"/>
          <w:bCs/>
          <w:color w:val="000000"/>
          <w:sz w:val="21"/>
          <w:szCs w:val="21"/>
          <w:highlight w:val="none"/>
        </w:rPr>
        <w:t xml:space="preserve">等相关资料原件扫描件；</w:t>
      </w:r>
      <w:r>
        <w:rPr>
          <w:rFonts w:hint="eastAsia" w:ascii="宋体" w:hAnsi="宋体" w:eastAsia="宋体" w:cs="宋体"/>
          <w:bCs/>
          <w:color w:val="000000"/>
          <w:sz w:val="21"/>
          <w:szCs w:val="21"/>
          <w:highlight w:val="none"/>
          <w:lang w:val="en-US" w:eastAsia="zh-CN"/>
        </w:rPr>
        <w:t xml:space="preserve">注：1、</w:t>
      </w:r>
      <w:r>
        <w:rPr>
          <w:rFonts w:hint="eastAsia" w:ascii="宋体" w:hAnsi="宋体" w:eastAsia="宋体" w:cs="宋体"/>
          <w:i w:val="0"/>
          <w:iCs w:val="0"/>
          <w:caps w:val="0"/>
          <w:color w:val="000000"/>
          <w:spacing w:val="0"/>
          <w:sz w:val="21"/>
          <w:szCs w:val="21"/>
          <w:highlight w:val="none"/>
          <w:u w:val="single"/>
          <w:shd w:val="clear" w:color="auto" w:fill="ffffff"/>
          <w:lang w:val="en-US" w:eastAsia="zh-CN"/>
        </w:rPr>
        <w:t xml:space="preserve">项目负责人业绩证明材料</w:t>
      </w:r>
      <w:r>
        <w:rPr>
          <w:rFonts w:hint="eastAsia" w:ascii="宋体" w:hAnsi="宋体" w:eastAsia="宋体" w:cs="宋体"/>
          <w:i w:val="0"/>
          <w:iCs w:val="0"/>
          <w:caps w:val="0"/>
          <w:color w:val="000000"/>
          <w:spacing w:val="0"/>
          <w:sz w:val="21"/>
          <w:szCs w:val="21"/>
          <w:highlight w:val="none"/>
          <w:u w:val="single"/>
          <w:shd w:val="clear" w:color="auto" w:fill="ffffff"/>
        </w:rPr>
        <w:t xml:space="preserve">需提供中标通知书（适用于招标项目）、施工合同和竣工验收证明的原件扫描件；质量为合格；时间以竣工验收证明上的竣工验收时间为准，金额以中标通知书上的中标金额为准，非招标项目以合同金额为准。</w:t>
      </w:r>
      <w:r>
        <w:rPr>
          <w:rFonts w:hint="eastAsia" w:ascii="宋体" w:hAnsi="宋体" w:eastAsia="宋体" w:cs="宋体"/>
          <w:i w:val="0"/>
          <w:iCs w:val="0"/>
          <w:caps w:val="0"/>
          <w:color w:val="000000"/>
          <w:spacing w:val="0"/>
          <w:sz w:val="21"/>
          <w:szCs w:val="21"/>
          <w:highlight w:val="none"/>
          <w:u w:val="single"/>
          <w:shd w:val="clear" w:color="auto" w:fill="ffffff"/>
          <w:lang w:val="en-US" w:eastAsia="zh-CN"/>
        </w:rPr>
        <w:t xml:space="preserve">2、项目负责人业绩需是投标人的。</w:t>
      </w:r>
      <w:r>
        <w:rPr>
          <w:rFonts w:hint="eastAsia" w:ascii="宋体" w:hAnsi="宋体" w:eastAsia="宋体" w:cs="宋体"/>
          <w:i w:val="0"/>
          <w:iCs w:val="0"/>
          <w:caps w:val="0"/>
          <w:color w:val="000000"/>
          <w:spacing w:val="0"/>
          <w:sz w:val="21"/>
          <w:szCs w:val="21"/>
          <w:highlight w:val="none"/>
          <w:u w:val="single"/>
          <w:shd w:val="clear" w:color="auto" w:fill="ffffff"/>
        </w:rPr>
        <w:t xml:space="preserve">未按规定提供的视为资格审查不合格。</w:t>
      </w:r>
      <w:r>
        <w:rPr>
          <w:rFonts w:hint="eastAsia" w:ascii="宋体" w:hAnsi="宋体" w:eastAsia="宋体" w:cs="宋体"/>
          <w:bCs/>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3.3项目经理无在建工程承诺书</w:t>
      </w:r>
      <w:r>
        <w:rPr>
          <w:rFonts w:hint="eastAsia" w:ascii="宋体" w:hAnsi="宋体" w:eastAsia="宋体" w:cs="宋体"/>
          <w:bCs/>
          <w:color w:val="000000"/>
          <w:sz w:val="21"/>
          <w:szCs w:val="21"/>
          <w:highlight w:val="none"/>
          <w:lang w:val="zh-CN"/>
        </w:rPr>
        <w:t xml:space="preserve">（格式见附件）；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3.4供应商</w:t>
      </w:r>
      <w:r>
        <w:rPr>
          <w:rFonts w:hint="eastAsia" w:ascii="宋体" w:hAnsi="宋体" w:eastAsia="宋体" w:cs="宋体"/>
          <w:color w:val="000000"/>
          <w:sz w:val="21"/>
          <w:szCs w:val="21"/>
          <w:highlight w:val="none"/>
          <w:lang w:val="zh-CN"/>
        </w:rPr>
        <w:t xml:space="preserve">满足条件的资格证明文件：</w:t>
      </w:r>
      <w:r>
        <w:rPr>
          <w:rFonts w:hint="eastAsia" w:ascii="宋体" w:hAnsi="宋体" w:eastAsia="宋体" w:cs="宋体"/>
          <w:color w:val="000000"/>
          <w:sz w:val="21"/>
          <w:szCs w:val="21"/>
          <w:highlight w:val="none"/>
          <w:lang w:val="zh-CN"/>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宋体"/>
          <w:color w:val="000000"/>
          <w:sz w:val="21"/>
          <w:szCs w:val="21"/>
          <w:highlight w:val="none"/>
          <w:lang w:val="zh-CN"/>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eastAsia="宋体" w:cs="宋体"/>
          <w:color w:val="000000"/>
          <w:sz w:val="21"/>
          <w:szCs w:val="21"/>
          <w:highlight w:val="none"/>
          <w:lang w:val="zh-CN"/>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③具备履行合同所必需的设备和专业技术能力的证明材料；（具备履行合同的相关设备、人员等证明材料）</w:t>
      </w:r>
      <w:r>
        <w:rPr>
          <w:rFonts w:hint="eastAsia" w:ascii="宋体" w:hAnsi="宋体" w:eastAsia="宋体" w:cs="宋体"/>
          <w:color w:val="000000"/>
          <w:sz w:val="21"/>
          <w:szCs w:val="21"/>
          <w:highlight w:val="none"/>
          <w:lang w:val="zh-CN"/>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eastAsia="宋体" w:cs="宋体"/>
          <w:color w:val="000000"/>
          <w:sz w:val="21"/>
          <w:szCs w:val="21"/>
          <w:highlight w:val="none"/>
          <w:lang w:val="zh-CN"/>
        </w:rPr>
      </w:r>
      <w:r/>
    </w:p>
    <w:p>
      <w:pPr>
        <w:pStyle w:val="1044"/>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⑤近三年内未被“信用中国”网站（www.creditchina.gov.cn）或“国家企业信用信息公示系统”网站（http://www.gsxt.gov.cn）或中国政府采购网（www.ccgp.gov.cn）列入失信被执行人、重大税收违法失信主体名单、政府采购严重违法失信行为记录名单、经营(活动)异常名录、严重失信主体名单等体现不良信用的记录（提供以上相关网站网页截图</w:t>
      </w:r>
      <w:r>
        <w:rPr>
          <w:rFonts w:hint="eastAsia" w:ascii="宋体" w:hAnsi="宋体" w:eastAsia="宋体" w:cs="宋体"/>
          <w:color w:val="000000"/>
          <w:sz w:val="21"/>
          <w:szCs w:val="21"/>
          <w:highlight w:val="none"/>
          <w:lang w:val="zh-CN"/>
        </w:rPr>
        <w:t xml:space="preserve">并加盖公章</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44"/>
        <w:ind w:firstLine="42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rPr>
        <w:t xml:space="preserve">3.</w:t>
      </w: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eastAsia="宋体" w:cs="宋体"/>
          <w:b/>
          <w:color w:val="000000"/>
          <w:sz w:val="21"/>
          <w:szCs w:val="21"/>
          <w:highlight w:val="none"/>
        </w:rPr>
        <w:t xml:space="preserve">相关证明材料扫描件</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eastAsia="宋体" w:cs="宋体"/>
          <w:color w:val="000000"/>
          <w:sz w:val="21"/>
          <w:szCs w:val="21"/>
          <w:highlight w:val="none"/>
        </w:rPr>
        <w:t xml:space="preserve">认证证书</w:t>
      </w:r>
      <w:r>
        <w:rPr>
          <w:rFonts w:hint="eastAsia" w:ascii="宋体" w:hAnsi="宋体" w:eastAsia="宋体" w:cs="宋体"/>
          <w:color w:val="000000"/>
          <w:sz w:val="21"/>
          <w:szCs w:val="21"/>
          <w:highlight w:val="none"/>
        </w:rPr>
        <w:t xml:space="preserve">（如有）；</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（4）符合性审查响应文件：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4.1磋商响应单位法定代表人身份证扫描件（双面，须在有效期内）；</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4.2法定代表人授权委托书（如有授权）；</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4.3授权委托代理人身份证扫描件</w:t>
      </w:r>
      <w:r>
        <w:rPr>
          <w:rFonts w:hint="eastAsia" w:ascii="宋体" w:hAnsi="宋体" w:eastAsia="宋体" w:cs="宋体"/>
          <w:color w:val="000000"/>
          <w:sz w:val="21"/>
          <w:szCs w:val="21"/>
          <w:highlight w:val="none"/>
          <w:lang w:val="en-US" w:eastAsia="zh-CN"/>
        </w:rPr>
        <w:t xml:space="preserve">及最近一期社保证明</w:t>
      </w:r>
      <w:r>
        <w:rPr>
          <w:rFonts w:hint="eastAsia" w:ascii="宋体" w:hAnsi="宋体" w:eastAsia="宋体" w:cs="宋体"/>
          <w:color w:val="000000"/>
          <w:sz w:val="21"/>
          <w:szCs w:val="21"/>
          <w:highlight w:val="none"/>
        </w:rPr>
        <w:t xml:space="preserve">（如有授权）（双面，须在有效期内）；</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4.4磋商响应函（格式见附件）；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4.5工程量清单报价表（详见工程量清单格式，其附件请联系代理公司通过邮件发送）；</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4.6响应保证承诺书（格式见附件）；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4.7商务要求偏离表、服务（技术）要求偏离表；</w:t>
      </w:r>
      <w:r>
        <w:rPr>
          <w:rFonts w:hint="eastAsia" w:ascii="宋体" w:hAnsi="宋体" w:eastAsia="宋体" w:cs="宋体"/>
          <w:color w:val="000000"/>
          <w:sz w:val="21"/>
          <w:szCs w:val="21"/>
          <w:highlight w:val="none"/>
          <w:lang w:val="en-US" w:eastAsia="zh-CN"/>
        </w:rPr>
      </w:r>
      <w:r/>
    </w:p>
    <w:p>
      <w:pPr>
        <w:pStyle w:val="1044"/>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4.8项目组人员一览表、投入专用设施设备清单（格式自拟）；</w:t>
      </w:r>
      <w:r>
        <w:rPr>
          <w:rFonts w:hint="eastAsia" w:ascii="宋体" w:hAnsi="宋体" w:eastAsia="宋体" w:cs="宋体"/>
          <w:color w:val="000000"/>
          <w:sz w:val="21"/>
          <w:szCs w:val="21"/>
          <w:highlight w:val="none"/>
          <w:lang w:val="en-US" w:eastAsia="zh-CN"/>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t xml:space="preserve">采购文件中所涉及到的其他材料。</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）综合评审响应文件：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5.1《企业类似业绩一览表》（格式见附件）；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5.2施工方案（自拟）；</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5.3采购文件中采购需求、附件格式及评分标准中所涉及到的其他材料如人员证书、获奖文件、荣誉证书等与本项目有关的其它资料。</w:t>
      </w:r>
      <w:r>
        <w:rPr>
          <w:rFonts w:hint="eastAsia" w:ascii="宋体" w:hAnsi="宋体" w:eastAsia="宋体" w:cs="宋体"/>
          <w:color w:val="000000"/>
          <w:sz w:val="21"/>
          <w:szCs w:val="21"/>
          <w:highlight w:val="none"/>
        </w:rPr>
      </w:r>
      <w:r/>
    </w:p>
    <w:p>
      <w:pPr>
        <w:pStyle w:val="1044"/>
        <w:ind w:firstLine="422"/>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t xml:space="preserve">注：</w:t>
      </w:r>
      <w:r>
        <w:rPr>
          <w:rFonts w:hint="eastAsia" w:ascii="宋体" w:hAnsi="宋体" w:eastAsia="宋体" w:cs="宋体"/>
          <w:b/>
          <w:bCs/>
          <w:color w:val="000000"/>
          <w:sz w:val="21"/>
          <w:szCs w:val="21"/>
          <w:highlight w:val="none"/>
          <w:lang w:val="zh-CN"/>
        </w:rPr>
        <w:t xml:space="preserve">（1）以上3.1-3.</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eastAsia="宋体" w:cs="宋体"/>
          <w:b/>
          <w:bCs/>
          <w:color w:val="000000"/>
          <w:sz w:val="21"/>
          <w:szCs w:val="21"/>
          <w:highlight w:val="none"/>
          <w:lang w:val="zh-CN"/>
        </w:rPr>
      </w:r>
      <w:r/>
    </w:p>
    <w:p>
      <w:pPr>
        <w:pStyle w:val="1044"/>
        <w:ind w:firstLine="422"/>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（2）以上4.1-4.</w:t>
      </w:r>
      <w:r>
        <w:rPr>
          <w:rFonts w:hint="eastAsia" w:ascii="宋体" w:hAnsi="宋体" w:eastAsia="宋体" w:cs="宋体"/>
          <w:b/>
          <w:bCs/>
          <w:color w:val="000000"/>
          <w:sz w:val="21"/>
          <w:szCs w:val="21"/>
          <w:highlight w:val="none"/>
        </w:rPr>
        <w:t xml:space="preserve">7</w:t>
      </w:r>
      <w:r>
        <w:rPr>
          <w:rFonts w:hint="eastAsia" w:ascii="宋体" w:hAnsi="宋体" w:eastAsia="宋体" w:cs="宋体"/>
          <w:b/>
          <w:bCs/>
          <w:color w:val="000000"/>
          <w:sz w:val="21"/>
          <w:szCs w:val="21"/>
          <w:highlight w:val="none"/>
          <w:lang w:val="zh-CN"/>
        </w:rPr>
        <w:t xml:space="preserve">为符合性审查须提供的资料，响应供应商必须提供并加盖电子公章。否则，磋商响应文件将被认定为未实质性响应。</w:t>
      </w:r>
      <w:r>
        <w:rPr>
          <w:rFonts w:hint="eastAsia" w:ascii="宋体" w:hAnsi="宋体" w:eastAsia="宋体" w:cs="宋体"/>
          <w:b/>
          <w:bCs/>
          <w:color w:val="000000"/>
          <w:sz w:val="21"/>
          <w:szCs w:val="21"/>
          <w:highlight w:val="none"/>
          <w:lang w:val="zh-CN"/>
        </w:rPr>
      </w:r>
      <w:r/>
    </w:p>
    <w:p>
      <w:pPr>
        <w:pStyle w:val="1044"/>
        <w:ind w:right="-161" w:firstLine="422"/>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（3）</w:t>
      </w:r>
      <w:r>
        <w:rPr>
          <w:rFonts w:hint="eastAsia" w:ascii="宋体" w:hAnsi="宋体" w:eastAsia="宋体" w:cs="宋体"/>
          <w:b/>
          <w:bCs/>
          <w:color w:val="000000"/>
          <w:sz w:val="21"/>
          <w:szCs w:val="21"/>
          <w:highlight w:val="none"/>
          <w:lang w:val="zh-CN"/>
        </w:rPr>
        <w:t xml:space="preserve">响应单位所提交的其它资料文件的完整与否，将直接影响磋商供应商的评分。</w:t>
      </w:r>
      <w:r>
        <w:rPr>
          <w:rFonts w:hint="eastAsia" w:ascii="宋体" w:hAnsi="宋体" w:eastAsia="宋体" w:cs="宋体"/>
          <w:color w:val="000000"/>
          <w:sz w:val="21"/>
          <w:szCs w:val="21"/>
          <w:highlight w:val="none"/>
          <w:u w:val="single"/>
        </w:rPr>
      </w:r>
      <w:r/>
    </w:p>
    <w:p>
      <w:pPr>
        <w:pStyle w:val="1044"/>
        <w:ind w:firstLine="420"/>
        <w:pageBreakBefore w:val="0"/>
        <w:spacing w:line="360" w:lineRule="auto"/>
        <w:rPr>
          <w:rFonts w:hint="eastAsia" w:ascii="宋体" w:hAnsi="宋体" w:eastAsia="宋体" w:cs="宋体"/>
          <w:b/>
          <w:bCs/>
          <w:color w:val="000000"/>
          <w:sz w:val="21"/>
          <w:szCs w:val="21"/>
          <w:highlight w:val="none"/>
          <w:u w:val="none"/>
        </w:rPr>
      </w:pPr>
      <w:r>
        <w:rPr>
          <w:rFonts w:hint="eastAsia" w:ascii="宋体" w:hAnsi="宋体" w:eastAsia="宋体" w:cs="宋体"/>
          <w:b/>
          <w:bCs/>
          <w:color w:val="000000"/>
          <w:sz w:val="21"/>
          <w:szCs w:val="21"/>
          <w:highlight w:val="none"/>
          <w:u w:val="none"/>
        </w:rPr>
        <w:t xml:space="preserve">18、电子化要求：</w:t>
      </w:r>
      <w:r>
        <w:rPr>
          <w:rFonts w:hint="eastAsia" w:ascii="宋体" w:hAnsi="宋体" w:eastAsia="宋体" w:cs="宋体"/>
          <w:b/>
          <w:bCs/>
          <w:color w:val="000000"/>
          <w:sz w:val="21"/>
          <w:szCs w:val="21"/>
          <w:highlight w:val="none"/>
          <w:u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本项目采用电子响应文件，供应商按照采购文件要求制作上传电子响应文件，供应商无需提供纸质响应文件。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18.1电子投标准备：</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18.2磋商响应文件编制要求：</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color w:val="000000"/>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18.3响应文件提交：</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（1）地点：“苏采云”系统（网址：http://jszfcg.jsczt.cn/）。响应文件网上递交，不需要现场参加采购活动，无需提供纸质响应文件。</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18.4开启：</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（1）地点：“苏采云”系统（网址：http://jszfcg.jsczt.cn/）。</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color w:val="000000"/>
          <w:sz w:val="21"/>
          <w:szCs w:val="21"/>
          <w:highlight w:val="none"/>
        </w:rPr>
      </w:r>
      <w:r/>
    </w:p>
    <w:p>
      <w:pPr>
        <w:pStyle w:val="1044"/>
        <w:ind w:firstLine="420"/>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请供应商确保电脑、系统及其他设备（视频输入输出设备等）无误，且开启直至项目结束始终保持系统在线状态。</w:t>
      </w:r>
      <w:r>
        <w:rPr>
          <w:rFonts w:hint="eastAsia" w:ascii="宋体" w:hAnsi="宋体" w:eastAsia="宋体" w:cs="宋体"/>
          <w:b/>
          <w:color w:val="000000"/>
          <w:sz w:val="21"/>
          <w:szCs w:val="21"/>
          <w:highlight w:val="none"/>
          <w:u w:val="single"/>
        </w:rPr>
      </w:r>
      <w:r/>
    </w:p>
    <w:p>
      <w:pPr>
        <w:pStyle w:val="1044"/>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18.5本项目采用线上二次报价：</w:t>
      </w:r>
      <w:r>
        <w:rPr>
          <w:rFonts w:hint="eastAsia" w:ascii="宋体" w:hAnsi="宋体" w:eastAsia="宋体" w:cs="宋体"/>
          <w:bCs/>
          <w:color w:val="000000"/>
          <w:sz w:val="21"/>
          <w:szCs w:val="21"/>
          <w:highlight w:val="none"/>
        </w:rPr>
      </w:r>
      <w:r/>
    </w:p>
    <w:p>
      <w:pPr>
        <w:pStyle w:val="1044"/>
        <w:ind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1"/>
          <w:szCs w:val="21"/>
          <w:highlight w:val="none"/>
        </w:rPr>
      </w:r>
      <w:r/>
    </w:p>
    <w:p>
      <w:pPr>
        <w:pStyle w:val="1044"/>
        <w:ind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highlight w:val="none"/>
        </w:rPr>
      </w:r>
      <w:r/>
    </w:p>
    <w:p>
      <w:pPr>
        <w:pStyle w:val="104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1"/>
          <w:szCs w:val="21"/>
          <w:highlight w:val="none"/>
        </w:rPr>
      </w:r>
      <w:r/>
    </w:p>
    <w:p>
      <w:pPr>
        <w:pStyle w:val="1044"/>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19、节能产品和环境标志产品</w:t>
      </w:r>
      <w:r>
        <w:rPr>
          <w:rFonts w:hint="eastAsia" w:ascii="宋体" w:hAnsi="宋体" w:eastAsia="宋体" w:cs="宋体"/>
          <w:b/>
          <w:color w:val="000000"/>
          <w:sz w:val="21"/>
          <w:szCs w:val="21"/>
          <w:highlight w:val="none"/>
        </w:rPr>
      </w:r>
      <w:r/>
    </w:p>
    <w:p>
      <w:pPr>
        <w:pStyle w:val="1044"/>
        <w:ind w:firstLine="42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eastAsia="宋体" w:cs="宋体"/>
          <w:b/>
          <w:bCs/>
          <w:color w:val="000000"/>
          <w:sz w:val="21"/>
          <w:szCs w:val="21"/>
          <w:highlight w:val="none"/>
          <w:u w:val="single"/>
        </w:rPr>
        <w:t xml:space="preserve">节能产品政府采购品目清单中政府强制采购产品，需提供节能产品认证证书，作为响应文件的组成部分</w:t>
      </w:r>
      <w:r>
        <w:rPr>
          <w:rFonts w:hint="eastAsia" w:ascii="宋体" w:hAnsi="宋体" w:eastAsia="宋体" w:cs="宋体"/>
          <w:b/>
          <w:bCs/>
          <w:color w:val="000000"/>
          <w:sz w:val="21"/>
          <w:szCs w:val="21"/>
          <w:highlight w:val="none"/>
        </w:rPr>
        <w:t xml:space="preserve">，未提供或提供不全的将视为未实质性响应采购要求。</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hint="eastAsia" w:ascii="宋体" w:hAnsi="宋体" w:eastAsia="宋体" w:cs="宋体"/>
          <w:bCs/>
          <w:color w:val="000000"/>
          <w:sz w:val="21"/>
          <w:szCs w:val="21"/>
          <w:highlight w:val="none"/>
        </w:rPr>
      </w:r>
      <w:r/>
    </w:p>
    <w:p>
      <w:pPr>
        <w:pStyle w:val="1044"/>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20、信用记录评审</w:t>
      </w:r>
      <w:r>
        <w:rPr>
          <w:rFonts w:hint="eastAsia" w:ascii="宋体" w:hAnsi="宋体" w:eastAsia="宋体" w:cs="宋体"/>
          <w:b/>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（2.2）财政部门与法院、工商、税务等部门联合惩戒的失信信息。</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（3）查询渠道：</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（4）查询截止时点：在响应文件递交截止时间之前，供应商完成报名解密后，“供应商信用查询”系统将自动完成对供应商信用记录的查询。</w:t>
      </w:r>
      <w:r>
        <w:rPr>
          <w:rFonts w:hint="eastAsia" w:ascii="宋体" w:hAnsi="宋体" w:eastAsia="宋体" w:cs="宋体"/>
          <w:color w:val="000000"/>
          <w:sz w:val="21"/>
          <w:szCs w:val="21"/>
          <w:highlight w:val="none"/>
        </w:rPr>
      </w:r>
      <w:r/>
    </w:p>
    <w:p>
      <w:pPr>
        <w:pStyle w:val="1044"/>
        <w:ind w:firstLine="409"/>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4"/>
        <w:ind w:firstLine="42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21、相关政策</w:t>
      </w:r>
      <w:r>
        <w:rPr>
          <w:rFonts w:hint="eastAsia" w:ascii="宋体" w:hAnsi="宋体" w:eastAsia="宋体" w:cs="宋体"/>
          <w:b/>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21.1中小微企业相关政策</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（1）本项目属于专门面向中小微企业采购的项目。 </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（2）依据《政府采购促进中小企业发展管理办法》及本项目采购文件规定获得政府采购合同的中小微企业不得将合同分包给大型企业。 </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（3）本项目采购标的对应的中小企业划分标准所属行业为：</w:t>
      </w:r>
      <w:r>
        <w:rPr>
          <w:rFonts w:hint="eastAsia" w:ascii="宋体" w:hAnsi="宋体" w:eastAsia="宋体" w:cs="宋体"/>
          <w:color w:val="000000"/>
          <w:sz w:val="21"/>
          <w:szCs w:val="21"/>
          <w:highlight w:val="none"/>
          <w:u w:val="single"/>
        </w:rPr>
        <w:t xml:space="preserve">建筑业</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（5）本项目中供应商提供的服务由中小微企业承接，即提供服务的人员为中小微企业依照《中华人民共和国劳动合同法》订立劳动合同的从业人员。 </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（6）若供应商提供的《中小企业声明函》为虚假声明则视同提供虚假材料，按政府采购相关规定处理并报由政府监管部门给予行政处罚。</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21.2残疾人福利性单位相关政策</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根据《关于贯彻执行绿色采购、促进残疾人就业和支持监狱企业发展有关政</w:t>
      </w:r>
      <w:r>
        <w:rPr>
          <w:rFonts w:hint="eastAsia" w:ascii="宋体" w:hAnsi="宋体" w:eastAsia="宋体" w:cs="宋体"/>
          <w:color w:val="000000"/>
          <w:sz w:val="21"/>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21.3监狱企业相关政策</w:t>
      </w:r>
      <w:r>
        <w:rPr>
          <w:rFonts w:hint="eastAsia" w:ascii="宋体" w:hAnsi="宋体" w:eastAsia="宋体" w:cs="宋体"/>
          <w:color w:val="000000"/>
          <w:sz w:val="21"/>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044"/>
        <w:ind w:firstLine="422"/>
        <w:pageBreakBefore w:val="0"/>
        <w:spacing w:after="160"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lang w:val="en-US" w:eastAsia="zh-CN"/>
        </w:rPr>
        <w:t xml:space="preserve">21.4</w:t>
      </w:r>
      <w:r>
        <w:rPr>
          <w:rFonts w:hint="eastAsia" w:ascii="宋体" w:hAnsi="宋体" w:eastAsia="宋体" w:cs="宋体"/>
          <w:b/>
          <w:bCs/>
          <w:color w:val="000000"/>
          <w:sz w:val="21"/>
          <w:szCs w:val="21"/>
          <w:highlight w:val="none"/>
        </w:rPr>
        <w:t xml:space="preserve">关于推动解决政府采购异常低价问题相关工作的通知（财库〔2026〕2号）。</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21.4.</w:t>
      </w:r>
      <w:r>
        <w:rPr>
          <w:rFonts w:hint="eastAsia" w:ascii="宋体" w:hAnsi="宋体" w:eastAsia="宋体" w:cs="宋体"/>
          <w:b/>
          <w:bCs/>
          <w:color w:val="000000"/>
          <w:sz w:val="21"/>
          <w:szCs w:val="21"/>
          <w:highlight w:val="none"/>
        </w:rPr>
        <w:t xml:space="preserve">1评审过程中出现下列情形之一的，评审委员会应当启动异常低价投标（响应）审查程序：</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相关法律法规对供应商报价有规定的，从其规定。</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rPr>
      </w:r>
      <w:r/>
    </w:p>
    <w:p>
      <w:pPr>
        <w:pStyle w:val="1044"/>
        <w:ind w:firstLine="42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21.4.</w:t>
      </w:r>
      <w:r>
        <w:rPr>
          <w:rFonts w:hint="eastAsia" w:ascii="宋体" w:hAnsi="宋体" w:eastAsia="宋体" w:cs="宋体"/>
          <w:b/>
          <w:bCs/>
          <w:color w:val="000000"/>
          <w:sz w:val="21"/>
          <w:szCs w:val="21"/>
          <w:highlight w:val="none"/>
        </w:rPr>
        <w:t xml:space="preserve">2异常低价审查有关要求，均以财政部发布的《关于推动解决政府采购异常低价问题的通知》（ 财库〔2026〕2号）为准。</w:t>
      </w:r>
      <w:r>
        <w:rPr>
          <w:rFonts w:hint="eastAsia" w:ascii="宋体" w:hAnsi="宋体" w:eastAsia="宋体" w:cs="宋体"/>
          <w:b/>
          <w:color w:val="000000"/>
          <w:sz w:val="21"/>
          <w:szCs w:val="21"/>
          <w:highlight w:val="none"/>
        </w:rPr>
      </w:r>
      <w:r/>
    </w:p>
    <w:p>
      <w:pPr>
        <w:pStyle w:val="1044"/>
        <w:ind w:firstLine="42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21.5</w:t>
      </w:r>
      <w:r>
        <w:rPr>
          <w:rFonts w:hint="eastAsia" w:ascii="宋体" w:hAnsi="宋体" w:eastAsia="宋体" w:cs="宋体"/>
          <w:b/>
          <w:bCs/>
          <w:color w:val="000000"/>
          <w:sz w:val="21"/>
          <w:szCs w:val="21"/>
          <w:highlight w:val="none"/>
        </w:rPr>
        <w:t xml:space="preserve">响应单位需执行《国务院办公厅关于在政府采购中实施本国产品标准及相关政策的通知》国办发〔2025〕34号发文。</w:t>
      </w:r>
      <w:r>
        <w:rPr>
          <w:rFonts w:hint="eastAsia" w:ascii="宋体" w:hAnsi="宋体" w:eastAsia="宋体" w:cs="宋体"/>
          <w:b/>
          <w:color w:val="000000"/>
          <w:sz w:val="21"/>
          <w:szCs w:val="21"/>
          <w:highlight w:val="none"/>
        </w:rPr>
      </w:r>
      <w:r/>
    </w:p>
    <w:p>
      <w:pPr>
        <w:pStyle w:val="1044"/>
        <w:ind w:firstLine="42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22、报价（编制）要求的说明</w:t>
      </w:r>
      <w:r>
        <w:rPr>
          <w:rFonts w:hint="eastAsia" w:ascii="宋体" w:hAnsi="宋体" w:eastAsia="宋体" w:cs="宋体"/>
          <w:b/>
          <w:color w:val="000000"/>
          <w:sz w:val="21"/>
          <w:szCs w:val="21"/>
          <w:highlight w:val="none"/>
        </w:rPr>
      </w:r>
      <w:r/>
    </w:p>
    <w:p>
      <w:pPr>
        <w:pStyle w:val="1044"/>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22.1根据提供的磋商文件、工程量清单及有关资料单独编制相关项目实施的磋商报价并汇总填入《已标价</w:t>
      </w:r>
      <w:r>
        <w:rPr>
          <w:rFonts w:hint="eastAsia" w:ascii="宋体" w:hAnsi="宋体" w:eastAsia="宋体" w:cs="宋体"/>
          <w:color w:val="000000"/>
          <w:sz w:val="21"/>
          <w:szCs w:val="21"/>
          <w:highlight w:val="none"/>
        </w:rPr>
        <w:t xml:space="preserve">工程量清单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4"/>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rPr>
          <w:rFonts w:hint="eastAsia" w:ascii="宋体" w:hAnsi="宋体" w:eastAsia="宋体" w:cs="宋体"/>
          <w:color w:val="000000"/>
          <w:sz w:val="21"/>
          <w:szCs w:val="21"/>
          <w:highlight w:val="none"/>
        </w:rPr>
      </w:r>
      <w:r/>
    </w:p>
    <w:p>
      <w:pPr>
        <w:pStyle w:val="1044"/>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hint="eastAsia" w:ascii="宋体" w:hAnsi="宋体" w:eastAsia="宋体" w:cs="宋体"/>
          <w:color w:val="000000"/>
          <w:sz w:val="21"/>
          <w:szCs w:val="21"/>
          <w:highlight w:val="none"/>
        </w:rPr>
      </w:r>
      <w:r/>
    </w:p>
    <w:p>
      <w:pPr>
        <w:pStyle w:val="1044"/>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22.4一项响应内容只允许一个报价，采购人不接受任何有选择性的响应报价。</w:t>
      </w:r>
      <w:r>
        <w:rPr>
          <w:rFonts w:hint="eastAsia" w:ascii="宋体" w:hAnsi="宋体" w:eastAsia="宋体" w:cs="宋体"/>
          <w:color w:val="000000"/>
          <w:sz w:val="21"/>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22.5响应文件中报价全部采用人民币表示，除非合同的特殊条款另有规定。</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（五）磋商评审</w:t>
      </w:r>
      <w:r>
        <w:rPr>
          <w:rFonts w:hint="eastAsia" w:ascii="宋体" w:hAnsi="宋体" w:eastAsia="宋体" w:cs="宋体"/>
          <w:b/>
          <w:color w:val="000000"/>
          <w:sz w:val="30"/>
          <w:szCs w:val="30"/>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23、磋商程序</w:t>
      </w:r>
      <w:r>
        <w:rPr>
          <w:rFonts w:hint="eastAsia" w:ascii="宋体" w:hAnsi="宋体" w:eastAsia="宋体" w:cs="宋体"/>
          <w:b/>
          <w:bCs/>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（1）采购代理机构按本须知规定的时间、地点主持磋商采购活动。</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（3）由磋商小组审查供应商解密的响应文件。</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Cs w:val="21"/>
          <w:highlight w:val="none"/>
        </w:rPr>
      </w:r>
      <w:r/>
    </w:p>
    <w:p>
      <w:pPr>
        <w:pStyle w:val="1044"/>
        <w:ind w:firstLine="422"/>
        <w:pageBreakBefore w:val="0"/>
        <w:spacing w:line="360" w:lineRule="auto"/>
        <w:tabs>
          <w:tab w:val="left" w:pos="753"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eastAsia="宋体" w:cs="宋体"/>
          <w:color w:val="000000"/>
          <w:szCs w:val="21"/>
          <w:highlight w:val="none"/>
        </w:rPr>
      </w:r>
      <w:r/>
    </w:p>
    <w:p>
      <w:pPr>
        <w:pStyle w:val="1044"/>
        <w:ind w:firstLine="420"/>
        <w:pageBreakBefore w:val="0"/>
        <w:spacing w:line="360" w:lineRule="auto"/>
        <w:tabs>
          <w:tab w:val="left" w:pos="753" w:leader="none"/>
        </w:tabs>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Cs w:val="21"/>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（8）供应商应当按照采购文件的变动情况和磋商小组的要求，各供应商应及时关注【评审】环节等待询标澄清进行回复。</w:t>
      </w:r>
      <w:r>
        <w:rPr>
          <w:rFonts w:hint="eastAsia" w:ascii="宋体" w:hAnsi="宋体" w:eastAsia="宋体" w:cs="宋体"/>
          <w:color w:val="000000"/>
          <w:szCs w:val="21"/>
          <w:highlight w:val="none"/>
        </w:rPr>
      </w:r>
      <w:r/>
    </w:p>
    <w:p>
      <w:pPr>
        <w:pStyle w:val="1044"/>
        <w:ind w:firstLine="420"/>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磋商结束后，</w:t>
      </w:r>
      <w:r>
        <w:rPr>
          <w:rFonts w:hint="eastAsia" w:ascii="宋体" w:hAnsi="宋体" w:eastAsia="宋体" w:cs="宋体"/>
          <w:b/>
          <w:bCs/>
          <w:color w:val="000000"/>
          <w:szCs w:val="21"/>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（11）磋商小组根据磋商成交原则确定成交供应商，并将结果通知所有参加磋商的供应商。</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（12）如磋商过程中出现本采购文件未尽事宜，由磋商小组根据政府采购有关法律、法规讨论决定。</w:t>
      </w:r>
      <w:r>
        <w:rPr>
          <w:rFonts w:hint="eastAsia" w:ascii="宋体" w:hAnsi="宋体" w:eastAsia="宋体" w:cs="宋体"/>
          <w:color w:val="000000"/>
          <w:szCs w:val="21"/>
          <w:highlight w:val="none"/>
        </w:rPr>
      </w:r>
      <w:r/>
    </w:p>
    <w:p>
      <w:pPr>
        <w:pStyle w:val="1044"/>
        <w:ind w:firstLine="369"/>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b/>
          <w:color w:val="000000"/>
          <w:szCs w:val="21"/>
          <w:highlight w:val="none"/>
        </w:rPr>
        <w:t xml:space="preserve">出现下列情况之一的应为无效报价文件，将不予评审；</w:t>
      </w:r>
      <w:r>
        <w:rPr>
          <w:rFonts w:hint="eastAsia" w:ascii="宋体" w:hAnsi="宋体" w:eastAsia="宋体" w:cs="宋体"/>
          <w:b/>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（1）磋商响应文件未加盖磋商供应商公章、法定代表人或其授权委托人的印鉴或签字的；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（2）供应商资格不符合磋商公告要求的；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（3）报价高于采购预算或采购最高限价；</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（4）未满足发包人要求工期和质量等级要求的；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（5）擅自变更项目经理的；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（6）改变随同磋商文件提供的工程量清单中的项目编码、项目名称、项目特征、计量单位、工程量及不可竞争费用等的；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（7）未提供磋商文件中要求的原件及相关证明的；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（8）未满足磋商文件中其他要求的。</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25、磋商小组</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25.1磋商小组由磋商采购单位依法组建，由采购单位代表、专家评委组成。</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25.2磋商小组负责具体的磋商事务，并独立履行以下职责：</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25.3审查磋商响应文件是否符合磋商采购文件的要求，并作出评价；</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25.4可以要求磋商供应商对磋商响应文件有关事项作出解释或澄清；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25.5推荐成交候选供应商名单；</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25.6向磋商采购单位或者有关部门报告非法干预磋商工作的行为。</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25.7磋商小组成员应当履行下列义务：</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25.7.1遵纪守法，客观、公正、廉洁地履行职责；</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25.7.2按照磋商采购文件规定的评审办法和评分标准进行评审，对评审意见承担个人责任；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25.7.3对磋商过程和结果，以及磋商供应商的商业秘密保密；</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25.7.4参与评审报告的起草；</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25.7.5配合相关部门的投诉处理工作；</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25.7.6配合磋商采购单位答复磋商供应商提出的质疑。</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26、出现下列情况之一的应为无效报价文件，将不予评审：</w:t>
      </w:r>
      <w:r>
        <w:rPr>
          <w:rFonts w:hint="eastAsia" w:ascii="宋体" w:hAnsi="宋体" w:eastAsia="宋体" w:cs="宋体"/>
          <w:b/>
          <w:bCs/>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（1）磋商响应文件未加盖磋商供应商公章、法定代表人或其授权委托人的印鉴或签字的；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（2）供应商资格不符合磋商公告要求的；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（3）报价高于采购预算或采购最高限价；</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（4）未满足发包人要求工期和质量等级要求的；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（5）擅自变更项目经理的；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（6）改变随同磋商文件提供的工程量清单中的项目编码、项目名称、项目特征、计量单位、工程量及不可竞争费用等的；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（7）未提供磋商文件中要求的原件及相关证明的；</w:t>
      </w:r>
      <w:r>
        <w:rPr>
          <w:rFonts w:hint="eastAsia" w:ascii="宋体" w:hAnsi="宋体" w:eastAsia="宋体" w:cs="宋体"/>
          <w:color w:val="000000"/>
          <w:szCs w:val="21"/>
          <w:highlight w:val="none"/>
        </w:rPr>
      </w:r>
      <w:r/>
    </w:p>
    <w:p>
      <w:pPr>
        <w:pStyle w:val="1044"/>
        <w:ind w:firstLine="315"/>
        <w:pageBreakBefore w:val="0"/>
        <w:spacing w:line="360" w:lineRule="auto"/>
        <w:tabs>
          <w:tab w:val="left" w:pos="540" w:leader="none"/>
        </w:tabs>
        <w:rPr>
          <w:rFonts w:hint="eastAsia" w:ascii="宋体" w:hAnsi="宋体" w:eastAsia="宋体" w:cs="宋体"/>
          <w:color w:val="000000"/>
          <w:szCs w:val="24"/>
          <w:highlight w:val="none"/>
        </w:rPr>
      </w:pPr>
      <w:r>
        <w:rPr>
          <w:rFonts w:hint="eastAsia" w:ascii="宋体" w:hAnsi="宋体" w:eastAsia="宋体" w:cs="宋体"/>
          <w:color w:val="000000"/>
          <w:szCs w:val="21"/>
          <w:highlight w:val="none"/>
        </w:rPr>
        <w:t xml:space="preserve">（8）未满足磋商文件中其他要求</w:t>
      </w:r>
      <w:r>
        <w:rPr>
          <w:rFonts w:hint="eastAsia" w:ascii="宋体" w:hAnsi="宋体" w:eastAsia="宋体" w:cs="宋体"/>
          <w:color w:val="000000"/>
          <w:szCs w:val="24"/>
          <w:highlight w:val="none"/>
        </w:rPr>
        <w:t xml:space="preserve">的。</w:t>
      </w:r>
      <w:r>
        <w:rPr>
          <w:rFonts w:hint="eastAsia" w:ascii="宋体" w:hAnsi="宋体" w:eastAsia="宋体" w:cs="宋体"/>
          <w:color w:val="000000"/>
          <w:szCs w:val="24"/>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27、项目的终止</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出现下列情形之一的，</w:t>
      </w:r>
      <w:r>
        <w:rPr>
          <w:rFonts w:hint="eastAsia" w:ascii="宋体" w:hAnsi="宋体" w:eastAsia="宋体" w:cs="宋体"/>
          <w:color w:val="000000"/>
          <w:szCs w:val="21"/>
          <w:highlight w:val="none"/>
        </w:rPr>
        <w:t xml:space="preserve">将</w:t>
      </w:r>
      <w:r>
        <w:rPr>
          <w:rFonts w:hint="eastAsia" w:ascii="宋体" w:hAnsi="宋体" w:eastAsia="宋体" w:cs="宋体"/>
          <w:color w:val="000000"/>
          <w:szCs w:val="21"/>
          <w:highlight w:val="none"/>
        </w:rPr>
        <w:t xml:space="preserve">终止</w:t>
      </w:r>
      <w:r>
        <w:rPr>
          <w:rFonts w:hint="eastAsia" w:ascii="宋体" w:hAnsi="宋体" w:eastAsia="宋体" w:cs="宋体"/>
          <w:color w:val="000000"/>
          <w:szCs w:val="21"/>
          <w:highlight w:val="none"/>
        </w:rPr>
        <w:t xml:space="preserve">磋商性磋商</w:t>
      </w:r>
      <w:r>
        <w:rPr>
          <w:rFonts w:hint="eastAsia" w:ascii="宋体" w:hAnsi="宋体" w:eastAsia="宋体" w:cs="宋体"/>
          <w:color w:val="000000"/>
          <w:szCs w:val="21"/>
          <w:highlight w:val="none"/>
        </w:rPr>
        <w:t xml:space="preserve">采购活动：</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w:t>
      </w:r>
      <w:r>
        <w:rPr>
          <w:rFonts w:hint="eastAsia" w:ascii="宋体" w:hAnsi="宋体" w:eastAsia="宋体" w:cs="宋体"/>
          <w:color w:val="000000"/>
          <w:szCs w:val="21"/>
          <w:highlight w:val="none"/>
        </w:rPr>
        <w:t xml:space="preserve">因情况变化，不再符合规定的</w:t>
      </w: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t xml:space="preserve">采购方式适用情形的；</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27.2</w:t>
      </w: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w:t>
      </w:r>
      <w:r>
        <w:rPr>
          <w:rFonts w:hint="eastAsia" w:ascii="宋体" w:hAnsi="宋体" w:eastAsia="宋体" w:cs="宋体"/>
          <w:color w:val="000000"/>
          <w:szCs w:val="21"/>
          <w:highlight w:val="none"/>
        </w:rPr>
        <w:t xml:space="preserve">在采购过程中符合磋商要求的供应商或者报价未超过采购预算的供应商不足3家的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28、关于磋商的有关说明</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28.1二次报价超过预算价的，不能成交；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28.2供应商的二次报价均超过采购最高限价的，磋商采购失败。</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28.3评审不合格的不能成交；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28.4评审合格不满三家或进入二次报价的不满三家或二次报价在采购最高限价内不满三家的，磋商采购失败。</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1"/>
          <w:highlight w:val="none"/>
        </w:rPr>
        <w:t xml:space="preserve">28.5凡涉及磋商采购文件</w:t>
      </w:r>
      <w:r>
        <w:rPr>
          <w:rFonts w:hint="eastAsia" w:ascii="宋体" w:hAnsi="宋体" w:eastAsia="宋体" w:cs="宋体"/>
          <w:color w:val="000000"/>
          <w:szCs w:val="21"/>
          <w:highlight w:val="none"/>
        </w:rPr>
        <w:t xml:space="preserve">的补充说明和修改，均以</w:t>
      </w:r>
      <w:r>
        <w:rPr>
          <w:rFonts w:hint="eastAsia" w:ascii="宋体" w:hAnsi="宋体" w:eastAsia="宋体" w:cs="宋体"/>
          <w:color w:val="000000"/>
          <w:szCs w:val="21"/>
          <w:highlight w:val="none"/>
        </w:rPr>
        <w:t xml:space="preserve">苏州市政府采购网上发布的</w:t>
      </w:r>
      <w:r>
        <w:rPr>
          <w:rFonts w:hint="eastAsia" w:ascii="宋体" w:hAnsi="宋体" w:eastAsia="宋体" w:cs="宋体"/>
          <w:color w:val="000000"/>
          <w:szCs w:val="21"/>
          <w:highlight w:val="none"/>
        </w:rPr>
        <w:t xml:space="preserve">为准。</w:t>
      </w:r>
      <w:r>
        <w:rPr>
          <w:rFonts w:hint="eastAsia" w:ascii="宋体" w:hAnsi="宋体" w:eastAsia="宋体" w:cs="宋体"/>
          <w:color w:val="000000"/>
          <w:szCs w:val="24"/>
          <w:highlight w:val="none"/>
        </w:rPr>
      </w:r>
      <w:r/>
    </w:p>
    <w:p>
      <w:pPr>
        <w:pStyle w:val="1044"/>
        <w:pageBreakBefore w:val="0"/>
        <w:spacing w:line="360" w:lineRule="auto"/>
        <w:tabs>
          <w:tab w:val="left" w:pos="8930" w:leader="none"/>
          <w:tab w:val="left" w:pos="9306"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三、响应文件格式</w:t>
      </w:r>
      <w:r>
        <w:rPr>
          <w:rFonts w:hint="eastAsia" w:ascii="宋体" w:hAnsi="宋体" w:eastAsia="宋体" w:cs="宋体"/>
          <w:b/>
          <w:color w:val="000000"/>
          <w:sz w:val="32"/>
          <w:szCs w:val="32"/>
          <w:highlight w:val="none"/>
        </w:rPr>
      </w:r>
      <w:r/>
    </w:p>
    <w:p>
      <w:pPr>
        <w:pStyle w:val="1044"/>
        <w:jc w:val="left"/>
        <w:pageBreakBefore w:val="0"/>
        <w:spacing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说明：</w:t>
      </w:r>
      <w:r>
        <w:rPr>
          <w:rFonts w:hint="eastAsia" w:ascii="宋体" w:hAnsi="宋体" w:eastAsia="宋体" w:cs="宋体"/>
          <w:b/>
          <w:color w:val="000000"/>
          <w:sz w:val="24"/>
          <w:szCs w:val="20"/>
          <w:highlight w:val="none"/>
        </w:rPr>
      </w:r>
      <w:r/>
    </w:p>
    <w:p>
      <w:pPr>
        <w:pStyle w:val="1044"/>
        <w:ind w:firstLine="422"/>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Cs w:val="20"/>
          <w:highlight w:val="none"/>
        </w:rPr>
        <w:t xml:space="preserve">对本章所有的格式 ，供应商可根据自身情况进行补充和修改，但补充和修改不得造成与本格式内容有实质性的违背。</w:t>
      </w: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1、封面</w:t>
      </w:r>
      <w:r>
        <w:rPr>
          <w:rFonts w:hint="eastAsia" w:ascii="宋体" w:hAnsi="宋体" w:eastAsia="宋体" w:cs="宋体"/>
          <w:b/>
          <w:bCs/>
          <w:color w:val="000000"/>
          <w:sz w:val="24"/>
          <w:szCs w:val="24"/>
          <w:highlight w:val="none"/>
        </w:rPr>
      </w:r>
      <w:r/>
    </w:p>
    <w:p>
      <w:pPr>
        <w:pStyle w:val="1044"/>
        <w:jc w:val="center"/>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44"/>
        <w:jc w:val="center"/>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封面）         </w:t>
      </w:r>
      <w:r>
        <w:rPr>
          <w:rFonts w:hint="eastAsia" w:ascii="宋体" w:hAnsi="宋体" w:eastAsia="宋体" w:cs="宋体"/>
          <w:color w:val="000000"/>
          <w:szCs w:val="21"/>
          <w:highlight w:val="none"/>
        </w:rPr>
        <w:t xml:space="preserve">工程</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iCs/>
          <w:color w:val="000000"/>
          <w:sz w:val="24"/>
          <w:szCs w:val="24"/>
          <w:highlight w:val="none"/>
          <w:u w:val="single"/>
        </w:rPr>
      </w:pPr>
      <w:r>
        <w:rPr>
          <w:rFonts w:hint="eastAsia" w:ascii="宋体" w:hAnsi="宋体" w:eastAsia="宋体" w:cs="宋体"/>
          <w:iCs/>
          <w:color w:val="000000"/>
          <w:sz w:val="24"/>
          <w:szCs w:val="24"/>
          <w:highlight w:val="none"/>
          <w:u w:val="single"/>
        </w:rPr>
      </w:r>
      <w:r/>
    </w:p>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pageBreakBefore w:val="0"/>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竞 争 磋 商 报 价 文 件</w:t>
      </w:r>
      <w:r>
        <w:rPr>
          <w:rFonts w:hint="eastAsia" w:ascii="宋体" w:hAnsi="宋体" w:eastAsia="宋体" w:cs="宋体"/>
          <w:b/>
          <w:color w:val="000000"/>
          <w:sz w:val="44"/>
          <w:szCs w:val="4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126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响应单位</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u w:val="single"/>
        </w:rPr>
      </w:r>
      <w:r/>
    </w:p>
    <w:p>
      <w:pPr>
        <w:pStyle w:val="1044"/>
        <w:ind w:firstLine="126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115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法定代表人或委托代理人（签字或盖章）：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1155"/>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ind w:firstLine="1155"/>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2、磋商响应函</w:t>
      </w:r>
      <w:r>
        <w:rPr>
          <w:rFonts w:hint="eastAsia" w:ascii="宋体" w:hAnsi="宋体" w:eastAsia="宋体" w:cs="宋体"/>
          <w:b/>
          <w:color w:val="000000"/>
          <w:sz w:val="24"/>
          <w:szCs w:val="24"/>
          <w:highlight w:val="none"/>
        </w:rPr>
      </w:r>
      <w:r/>
    </w:p>
    <w:p>
      <w:pPr>
        <w:pStyle w:val="1044"/>
        <w:ind w:firstLine="422"/>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磋商响应函</w:t>
      </w:r>
      <w:r>
        <w:rPr>
          <w:rFonts w:hint="eastAsia" w:ascii="宋体" w:hAnsi="宋体" w:eastAsia="宋体" w:cs="宋体"/>
          <w:b/>
          <w:color w:val="000000"/>
          <w:szCs w:val="21"/>
          <w:highlight w:val="none"/>
        </w:rPr>
      </w:r>
      <w:r/>
    </w:p>
    <w:p>
      <w:pPr>
        <w:pStyle w:val="1044"/>
        <w:ind w:firstLine="422"/>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b/>
          <w:iCs/>
          <w:color w:val="000000"/>
          <w:szCs w:val="21"/>
          <w:highlight w:val="none"/>
          <w:u w:val="single"/>
        </w:rPr>
        <w:t xml:space="preserve">（采购代理机构）</w:t>
      </w: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p>
      <w:pPr>
        <w:pStyle w:val="1044"/>
        <w:ind w:firstLine="420"/>
        <w:pageBreakBefore w:val="0"/>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我们收到贵公司</w:t>
      </w:r>
      <w:r>
        <w:rPr>
          <w:rFonts w:hint="eastAsia" w:ascii="宋体" w:hAnsi="宋体" w:eastAsia="宋体" w:cs="宋体"/>
          <w:b/>
          <w:iCs/>
          <w:color w:val="000000"/>
          <w:szCs w:val="21"/>
          <w:highlight w:val="none"/>
          <w:u w:val="single"/>
        </w:rPr>
        <w:t xml:space="preserve">（采购编号）</w:t>
      </w:r>
      <w:r>
        <w:rPr>
          <w:rFonts w:hint="eastAsia" w:ascii="宋体" w:hAnsi="宋体" w:eastAsia="宋体" w:cs="宋体"/>
          <w:iCs/>
          <w:color w:val="000000"/>
          <w:szCs w:val="21"/>
          <w:highlight w:val="none"/>
        </w:rPr>
        <w:t xml:space="preserve">号磋商文件，经仔细阅读和研究，我们决定参加</w:t>
      </w:r>
      <w:r>
        <w:rPr>
          <w:rFonts w:hint="eastAsia" w:ascii="宋体" w:hAnsi="宋体" w:eastAsia="宋体" w:cs="宋体"/>
          <w:bCs/>
          <w:iCs/>
          <w:color w:val="000000"/>
          <w:szCs w:val="21"/>
          <w:highlight w:val="none"/>
        </w:rPr>
        <w:t xml:space="preserve">贵单位组织的本项目</w:t>
      </w:r>
      <w:r>
        <w:rPr>
          <w:rFonts w:hint="eastAsia" w:ascii="宋体" w:hAnsi="宋体" w:eastAsia="宋体" w:cs="宋体"/>
          <w:iCs/>
          <w:color w:val="000000"/>
          <w:szCs w:val="21"/>
          <w:highlight w:val="none"/>
        </w:rPr>
        <w:t xml:space="preserve">磋商活动。</w:t>
      </w:r>
      <w:r>
        <w:rPr>
          <w:rFonts w:hint="eastAsia" w:ascii="宋体" w:hAnsi="宋体" w:eastAsia="宋体" w:cs="宋体"/>
          <w:iCs/>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、我们愿意按照磋商文件的一切要求，完成该项目的全部内容。</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、如果我们的磋商响应文件被接受，我们将严格履行磋商文件中规定的每一项要求，按期、按质、按量履行合同的义务。</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、我们已</w:t>
      </w:r>
      <w:r>
        <w:rPr>
          <w:rFonts w:hint="eastAsia" w:ascii="宋体" w:hAnsi="宋体" w:eastAsia="宋体" w:cs="宋体"/>
          <w:color w:val="000000"/>
          <w:szCs w:val="21"/>
          <w:highlight w:val="none"/>
        </w:rPr>
        <w:t xml:space="preserve">详细</w:t>
      </w:r>
      <w:r>
        <w:rPr>
          <w:rFonts w:hint="eastAsia" w:ascii="宋体" w:hAnsi="宋体" w:eastAsia="宋体" w:cs="宋体"/>
          <w:color w:val="000000"/>
          <w:szCs w:val="21"/>
          <w:highlight w:val="none"/>
        </w:rPr>
        <w:t xml:space="preserve">阅读</w:t>
      </w:r>
      <w:r>
        <w:rPr>
          <w:rFonts w:hint="eastAsia" w:ascii="宋体" w:hAnsi="宋体" w:eastAsia="宋体" w:cs="宋体"/>
          <w:color w:val="000000"/>
          <w:szCs w:val="21"/>
          <w:highlight w:val="none"/>
        </w:rPr>
        <w:t xml:space="preserve">全部</w:t>
      </w:r>
      <w:r>
        <w:rPr>
          <w:rFonts w:hint="eastAsia" w:ascii="宋体" w:hAnsi="宋体" w:eastAsia="宋体" w:cs="宋体"/>
          <w:color w:val="000000"/>
          <w:szCs w:val="21"/>
          <w:highlight w:val="none"/>
        </w:rPr>
        <w:t xml:space="preserve">磋商文件</w:t>
      </w:r>
      <w:r>
        <w:rPr>
          <w:rFonts w:hint="eastAsia" w:ascii="宋体" w:hAnsi="宋体" w:eastAsia="宋体" w:cs="宋体"/>
          <w:color w:val="000000"/>
          <w:szCs w:val="21"/>
          <w:highlight w:val="none"/>
        </w:rPr>
        <w:t xml:space="preserve">，包括</w:t>
      </w:r>
      <w:r>
        <w:rPr>
          <w:rFonts w:hint="eastAsia" w:ascii="宋体" w:hAnsi="宋体" w:eastAsia="宋体" w:cs="宋体"/>
          <w:color w:val="000000"/>
          <w:szCs w:val="21"/>
          <w:highlight w:val="none"/>
        </w:rPr>
        <w:t xml:space="preserve">更正公告</w:t>
      </w:r>
      <w:r>
        <w:rPr>
          <w:rFonts w:hint="eastAsia" w:ascii="宋体" w:hAnsi="宋体" w:eastAsia="宋体" w:cs="宋体"/>
          <w:color w:val="000000"/>
          <w:szCs w:val="21"/>
          <w:highlight w:val="none"/>
        </w:rPr>
        <w:t xml:space="preserve">(如有)</w:t>
      </w:r>
      <w:r>
        <w:rPr>
          <w:rFonts w:hint="eastAsia" w:ascii="宋体" w:hAnsi="宋体" w:eastAsia="宋体" w:cs="宋体"/>
          <w:color w:val="000000"/>
          <w:szCs w:val="21"/>
          <w:highlight w:val="none"/>
        </w:rPr>
        <w:t xml:space="preserve">，对磋商文件及更正公告</w:t>
      </w:r>
      <w:r>
        <w:rPr>
          <w:rFonts w:hint="eastAsia" w:ascii="宋体" w:hAnsi="宋体" w:eastAsia="宋体" w:cs="宋体"/>
          <w:color w:val="000000"/>
          <w:szCs w:val="21"/>
          <w:highlight w:val="none"/>
        </w:rPr>
        <w:t xml:space="preserve">(如有)</w:t>
      </w:r>
      <w:r>
        <w:rPr>
          <w:rFonts w:hint="eastAsia" w:ascii="宋体" w:hAnsi="宋体" w:eastAsia="宋体" w:cs="宋体"/>
          <w:color w:val="000000"/>
          <w:szCs w:val="21"/>
          <w:highlight w:val="none"/>
        </w:rPr>
        <w:t xml:space="preserve">无任何异议。</w:t>
      </w:r>
      <w:r>
        <w:rPr>
          <w:rFonts w:hint="eastAsia" w:ascii="宋体" w:hAnsi="宋体" w:eastAsia="宋体" w:cs="宋体"/>
          <w:color w:val="000000"/>
          <w:szCs w:val="21"/>
          <w:highlight w:val="none"/>
        </w:rPr>
        <w:t xml:space="preserve">我们完全理解并同意放弃对这方面有不明及误解的权力。</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4、我们同意按磋商文件中的规定，本响应文件的有效期限自提交响应文件截止时间之日起</w:t>
      </w:r>
      <w:r>
        <w:rPr>
          <w:rFonts w:hint="eastAsia" w:ascii="宋体" w:hAnsi="宋体" w:eastAsia="宋体" w:cs="宋体"/>
          <w:color w:val="000000"/>
          <w:szCs w:val="21"/>
          <w:highlight w:val="none"/>
        </w:rPr>
        <w:t xml:space="preserve">45</w:t>
      </w:r>
      <w:r>
        <w:rPr>
          <w:rFonts w:hint="eastAsia" w:ascii="宋体" w:hAnsi="宋体" w:eastAsia="宋体" w:cs="宋体"/>
          <w:color w:val="000000"/>
          <w:szCs w:val="21"/>
          <w:highlight w:val="none"/>
        </w:rPr>
        <w:t xml:space="preserve">天。</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5、我们愿意提供磋商采购单位在磋商文件中要求的所有资料。</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6、我们愿意遵守磋商文件中所列的收费标准。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7、我们承诺该响应文件在磋商开始后的全过程中保持有效，不作任何更改和变动。</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8、我们承诺我公司符合磋商文件供应商须知中“合格供应商的基本、特定条件”的要求，若与真实情况不符，本公司愿意承担由此而产生的一切后果。</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我们声明：我们在参加本次政府采购活动前3年内在经营活动中没有重大违法记录。</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供应商：（公章）</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法定代表人或委托代理人：（签字或盖章）</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  月  日</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jc w:val="left"/>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b/>
          <w:color w:val="000000"/>
          <w:sz w:val="24"/>
          <w:szCs w:val="24"/>
          <w:highlight w:val="none"/>
        </w:rPr>
        <w:t xml:space="preserve">3、授权委托书</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授权委托书</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ind w:firstLine="525"/>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本授权委托书声明：我（姓名）系（磋商供应商名称）的法定代表人，现授权委托（单位名称）的（姓名）为我的委托代理人，以本公司的名义参加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组织实施的编号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号的磋商采购活动。代理人在磋商活动过程中所签署的一切文件和处理与这有关的一切事务，我均予以承认。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委托代理人在授权委托书有效期内签署的所有文件不因授权委托的撤销而失效，除非有撤销授权委托的书面通知，本授权委托书自磋商活动开始至合同履行完毕止。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委托代理人无转委托权。特此委托。</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响应单位：（单位盖章）</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委托代理人：（签字或盖章）</w:t>
      </w:r>
      <w:r>
        <w:rPr>
          <w:rFonts w:hint="eastAsia" w:ascii="宋体" w:hAnsi="宋体" w:eastAsia="宋体" w:cs="宋体"/>
          <w:color w:val="000000"/>
          <w:szCs w:val="21"/>
          <w:highlight w:val="none"/>
        </w:rPr>
      </w:r>
      <w:r/>
    </w:p>
    <w:p>
      <w:pPr>
        <w:pStyle w:val="1044"/>
        <w:pageBreakBefore w:val="0"/>
        <w:spacing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1044"/>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附：法定代表人身份证复印件（双面）</w:t>
      </w:r>
      <w:r>
        <w:rPr>
          <w:rFonts w:hint="eastAsia" w:ascii="宋体" w:hAnsi="宋体" w:eastAsia="宋体" w:cs="宋体"/>
          <w:bCs/>
          <w:color w:val="000000"/>
          <w:szCs w:val="21"/>
          <w:highlight w:val="none"/>
        </w:rPr>
      </w:r>
      <w:r/>
    </w:p>
    <w:p>
      <w:pPr>
        <w:pStyle w:val="1044"/>
        <w:ind w:firstLine="200"/>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委托代理人身份证复印件（双面、如有授权）</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2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b/>
          <w:bCs/>
          <w:color w:val="000000"/>
          <w:sz w:val="24"/>
          <w:szCs w:val="24"/>
          <w:highlight w:val="none"/>
        </w:rPr>
        <w:t xml:space="preserve">4、报价书</w:t>
      </w:r>
      <w:r>
        <w:rPr>
          <w:rFonts w:hint="eastAsia" w:ascii="宋体" w:hAnsi="宋体" w:eastAsia="宋体" w:cs="宋体"/>
          <w:b/>
          <w:bCs/>
          <w:color w:val="000000"/>
          <w:sz w:val="24"/>
          <w:szCs w:val="24"/>
          <w:highlight w:val="none"/>
        </w:rPr>
      </w:r>
      <w:r/>
    </w:p>
    <w:p>
      <w:pPr>
        <w:pStyle w:val="1044"/>
        <w:ind w:firstLine="422"/>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报 价 书（第一次报价）</w:t>
      </w:r>
      <w:r>
        <w:rPr>
          <w:rFonts w:hint="eastAsia" w:ascii="宋体" w:hAnsi="宋体" w:eastAsia="宋体" w:cs="宋体"/>
          <w:color w:val="000000"/>
          <w:szCs w:val="21"/>
          <w:highlight w:val="none"/>
        </w:rPr>
      </w:r>
      <w:r/>
    </w:p>
    <w:p>
      <w:pPr>
        <w:pStyle w:val="1044"/>
        <w:ind w:firstLine="42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u w:val="single"/>
        </w:rPr>
        <w:t xml:space="preserve">（采购代理机构）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（一）根据已收到的工程的磋商文件，遵照现行法律法规的有关规定，我单位经考察现场和研究</w:t>
      </w:r>
      <w:r>
        <w:rPr>
          <w:rFonts w:hint="eastAsia" w:ascii="宋体" w:hAnsi="宋体" w:eastAsia="宋体" w:cs="宋体"/>
          <w:bCs/>
          <w:color w:val="000000"/>
          <w:szCs w:val="21"/>
          <w:highlight w:val="none"/>
        </w:rPr>
        <w:t xml:space="preserve">磋商</w:t>
      </w:r>
      <w:r>
        <w:rPr>
          <w:rFonts w:hint="eastAsia" w:ascii="宋体" w:hAnsi="宋体" w:eastAsia="宋体" w:cs="宋体"/>
          <w:color w:val="000000"/>
          <w:szCs w:val="21"/>
          <w:highlight w:val="none"/>
        </w:rPr>
        <w:t xml:space="preserve">文件后，愿以人民币（大写）</w:t>
      </w:r>
      <w:r>
        <w:rPr>
          <w:rFonts w:hint="eastAsia" w:ascii="宋体" w:hAnsi="宋体" w:eastAsia="宋体" w:cs="宋体"/>
          <w:color w:val="000000"/>
          <w:szCs w:val="21"/>
          <w:highlight w:val="none"/>
          <w:u w:val="single"/>
        </w:rPr>
        <w:t xml:space="preserve">（¥         元）</w:t>
      </w:r>
      <w:r>
        <w:rPr>
          <w:rFonts w:hint="eastAsia" w:ascii="宋体" w:hAnsi="宋体" w:eastAsia="宋体" w:cs="宋体"/>
          <w:color w:val="000000"/>
          <w:szCs w:val="21"/>
          <w:highlight w:val="none"/>
        </w:rPr>
        <w:t xml:space="preserve">的总价，按</w:t>
      </w:r>
      <w:r>
        <w:rPr>
          <w:rFonts w:hint="eastAsia" w:ascii="宋体" w:hAnsi="宋体" w:eastAsia="宋体" w:cs="宋体"/>
          <w:bCs/>
          <w:color w:val="000000"/>
          <w:szCs w:val="21"/>
          <w:highlight w:val="none"/>
        </w:rPr>
        <w:t xml:space="preserve">磋商</w:t>
      </w:r>
      <w:r>
        <w:rPr>
          <w:rFonts w:hint="eastAsia" w:ascii="宋体" w:hAnsi="宋体" w:eastAsia="宋体" w:cs="宋体"/>
          <w:color w:val="000000"/>
          <w:szCs w:val="21"/>
          <w:highlight w:val="none"/>
        </w:rPr>
        <w:t xml:space="preserve">文件的要求承包本次发包范围内的全部工程。</w:t>
      </w:r>
      <w:r>
        <w:rPr>
          <w:rFonts w:hint="eastAsia" w:ascii="宋体" w:hAnsi="宋体" w:eastAsia="宋体" w:cs="宋体"/>
          <w:color w:val="000000"/>
          <w:szCs w:val="21"/>
          <w:highlight w:val="none"/>
        </w:rPr>
      </w:r>
      <w:r/>
    </w:p>
    <w:p>
      <w:pPr>
        <w:pStyle w:val="1044"/>
        <w:ind w:firstLine="480"/>
        <w:pageBreakBefore w:val="0"/>
        <w:spacing w:line="360" w:lineRule="auto"/>
        <w:rPr>
          <w:rFonts w:hint="eastAsia" w:ascii="宋体" w:hAnsi="宋体" w:eastAsia="宋体" w:cs="宋体"/>
          <w:color w:val="000000"/>
          <w:spacing w:val="16"/>
          <w:szCs w:val="21"/>
          <w:highlight w:val="none"/>
        </w:rPr>
      </w:pPr>
      <w:r>
        <w:rPr>
          <w:rFonts w:hint="eastAsia" w:ascii="宋体" w:hAnsi="宋体" w:eastAsia="宋体" w:cs="宋体"/>
          <w:color w:val="000000"/>
          <w:szCs w:val="21"/>
          <w:highlight w:val="none"/>
        </w:rPr>
        <w:t xml:space="preserve">（二）</w:t>
      </w:r>
      <w:r>
        <w:rPr>
          <w:rFonts w:hint="eastAsia" w:ascii="宋体" w:hAnsi="宋体" w:eastAsia="宋体" w:cs="宋体"/>
          <w:color w:val="000000"/>
          <w:spacing w:val="16"/>
          <w:szCs w:val="21"/>
          <w:highlight w:val="none"/>
        </w:rPr>
        <w:t xml:space="preserve">我单位保证在收到贵单位发出的书面开工令后立即开工，并在</w:t>
      </w:r>
      <w:r>
        <w:rPr>
          <w:rFonts w:hint="eastAsia" w:ascii="宋体" w:hAnsi="宋体" w:eastAsia="宋体" w:cs="宋体"/>
          <w:color w:val="000000"/>
          <w:spacing w:val="16"/>
          <w:szCs w:val="21"/>
          <w:highlight w:val="none"/>
          <w:u w:val="single"/>
        </w:rPr>
        <w:t xml:space="preserve">    天</w:t>
      </w:r>
      <w:r>
        <w:rPr>
          <w:rFonts w:hint="eastAsia" w:ascii="宋体" w:hAnsi="宋体" w:eastAsia="宋体" w:cs="宋体"/>
          <w:color w:val="000000"/>
          <w:spacing w:val="16"/>
          <w:szCs w:val="21"/>
          <w:highlight w:val="none"/>
        </w:rPr>
        <w:t xml:space="preserve">内竣工。</w:t>
      </w:r>
      <w:r>
        <w:rPr>
          <w:rFonts w:hint="eastAsia" w:ascii="宋体" w:hAnsi="宋体" w:eastAsia="宋体" w:cs="宋体"/>
          <w:color w:val="000000"/>
          <w:spacing w:val="16"/>
          <w:szCs w:val="21"/>
          <w:highlight w:val="none"/>
        </w:rPr>
      </w:r>
      <w:r/>
    </w:p>
    <w:p>
      <w:pPr>
        <w:pStyle w:val="1044"/>
        <w:ind w:firstLine="48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（三）我单位保证本工程质量达到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（四）贵单位的磋商文件、成交通知书和本磋商文件将构成约束我们双方的合同。</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磋商供应商（盖章）：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法人代表人或委托代理人（签字或盖章）：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日期：202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  月 </w:t>
      </w:r>
      <w:r>
        <w:rPr>
          <w:rFonts w:hint="eastAsia" w:ascii="宋体" w:hAnsi="宋体" w:eastAsia="宋体" w:cs="宋体"/>
          <w:color w:val="000000"/>
          <w:szCs w:val="21"/>
          <w:highlight w:val="none"/>
        </w:rPr>
        <w:t xml:space="preserve"> 日</w:t>
      </w: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5、工程量清单报价表，自行制作。（根据工程量清单报价）</w:t>
      </w:r>
      <w:r>
        <w:rPr>
          <w:rFonts w:hint="eastAsia" w:ascii="宋体" w:hAnsi="宋体" w:eastAsia="宋体" w:cs="宋体"/>
          <w:b/>
          <w:bCs/>
          <w:color w:val="000000"/>
          <w:sz w:val="24"/>
          <w:szCs w:val="24"/>
          <w:highlight w:val="none"/>
        </w:rPr>
      </w:r>
      <w:r/>
    </w:p>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6、施工组织方案（格式自拟）</w:t>
      </w:r>
      <w:r>
        <w:rPr>
          <w:rFonts w:hint="eastAsia" w:ascii="宋体" w:hAnsi="宋体" w:eastAsia="宋体" w:cs="宋体"/>
          <w:b/>
          <w:bCs/>
          <w:color w:val="000000"/>
          <w:sz w:val="24"/>
          <w:szCs w:val="24"/>
          <w:highlight w:val="none"/>
        </w:rPr>
      </w:r>
      <w:r/>
    </w:p>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7、施工组织机构人员名单</w:t>
      </w:r>
      <w:r>
        <w:rPr>
          <w:rFonts w:hint="eastAsia" w:ascii="宋体" w:hAnsi="宋体" w:eastAsia="宋体" w:cs="宋体"/>
          <w:b/>
          <w:bCs/>
          <w:color w:val="000000"/>
          <w:sz w:val="24"/>
          <w:szCs w:val="24"/>
          <w:highlight w:val="none"/>
        </w:rPr>
      </w:r>
      <w:r/>
    </w:p>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施工组织机构人员名单</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拟在本项目中</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担任的职务</w:t>
            </w: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职称/资格证书号（岗位证号）</w:t>
            </w: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主要资历和项目管理经历</w:t>
            </w: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r>
      <w:tr>
        <w:trPr>
          <w:trHeight w:val="619"/>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w:t>
            </w: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0"/>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9"/>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0"/>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9"/>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1"/>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0"/>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9"/>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0"/>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0"/>
        </w:trPr>
        <w:tc>
          <w:tcPr>
            <w:tcW w:w="94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8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63"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color w:val="000000"/>
          <w:szCs w:val="21"/>
          <w:highlight w:val="none"/>
          <w:lang w:val="zh-CN"/>
        </w:rPr>
        <w:t xml:space="preserve">供应商：（单位盖章）</w:t>
      </w: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法定代表人或委托代理人：（签字或盖章）</w:t>
      </w: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年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月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pageBreakBefore w:val="0"/>
        <w:spacing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w:t>
      </w:r>
      <w:r>
        <w:rPr>
          <w:rFonts w:hint="eastAsia" w:ascii="宋体" w:hAnsi="宋体" w:eastAsia="宋体" w:cs="宋体"/>
          <w:b/>
          <w:color w:val="000000"/>
          <w:sz w:val="24"/>
          <w:szCs w:val="24"/>
          <w:highlight w:val="none"/>
        </w:rPr>
        <w:t xml:space="preserve">、</w:t>
      </w:r>
      <w:bookmarkStart w:id="1" w:name="_Toc373488731"/>
      <w:r/>
      <w:bookmarkStart w:id="2" w:name="_Toc453492243"/>
      <w:r>
        <w:rPr>
          <w:rFonts w:hint="eastAsia" w:ascii="宋体" w:hAnsi="宋体" w:eastAsia="宋体" w:cs="宋体"/>
          <w:b/>
          <w:color w:val="000000"/>
          <w:sz w:val="24"/>
          <w:szCs w:val="24"/>
          <w:highlight w:val="none"/>
        </w:rPr>
        <w:t xml:space="preserve">类似业绩一览表</w:t>
      </w:r>
      <w:bookmarkEnd w:id="1"/>
      <w:r/>
      <w:bookmarkEnd w:id="2"/>
      <w:r>
        <w:rPr>
          <w:rFonts w:hint="eastAsia" w:ascii="宋体" w:hAnsi="宋体" w:eastAsia="宋体" w:cs="宋体"/>
          <w:b/>
          <w:color w:val="000000"/>
          <w:sz w:val="24"/>
          <w:szCs w:val="24"/>
          <w:highlight w:val="none"/>
        </w:rPr>
      </w:r>
      <w:r/>
    </w:p>
    <w:p>
      <w:pPr>
        <w:pStyle w:val="1044"/>
        <w:jc w:val="center"/>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类似业绩一览表</w:t>
      </w: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采购编号：</w:t>
      </w:r>
      <w:r>
        <w:rPr>
          <w:rFonts w:hint="eastAsia" w:ascii="宋体" w:hAnsi="宋体" w:eastAsia="宋体" w:cs="宋体"/>
          <w:b/>
          <w:color w:val="000000"/>
          <w:szCs w:val="21"/>
          <w:highlight w:val="none"/>
        </w:rPr>
      </w:r>
      <w:r/>
    </w:p>
    <w:tbl>
      <w:tblPr>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tabs>
                <w:tab w:val="left" w:pos="6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项目规模</w:t>
            </w:r>
            <w:r>
              <w:rPr>
                <w:rFonts w:hint="eastAsia" w:ascii="宋体" w:hAnsi="宋体" w:eastAsia="宋体" w:cs="宋体"/>
                <w:color w:val="000000"/>
                <w:szCs w:val="21"/>
                <w:highlight w:val="none"/>
              </w:rPr>
            </w:r>
            <w:r/>
          </w:p>
        </w:tc>
        <w:tc>
          <w:tcPr>
            <w:tcW w:w="1501" w:type="dxa"/>
            <w:vAlign w:val="center"/>
            <w:textDirection w:val="lrTb"/>
            <w:noWrap/>
          </w:tcPr>
          <w:p>
            <w:pPr>
              <w:pStyle w:val="1044"/>
              <w:jc w:val="center"/>
              <w:pageBreakBefore w:val="0"/>
              <w:spacing w:line="360" w:lineRule="auto"/>
              <w:tabs>
                <w:tab w:val="left" w:pos="6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合同签订时间</w:t>
            </w:r>
            <w:r>
              <w:rPr>
                <w:rFonts w:hint="eastAsia" w:ascii="宋体" w:hAnsi="宋体" w:eastAsia="宋体" w:cs="宋体"/>
                <w:color w:val="000000"/>
                <w:szCs w:val="21"/>
                <w:highlight w:val="none"/>
              </w:rPr>
            </w:r>
            <w:r/>
          </w:p>
        </w:tc>
        <w:tc>
          <w:tcPr>
            <w:tcW w:w="1650" w:type="dxa"/>
            <w:vAlign w:val="center"/>
            <w:textDirection w:val="lrTb"/>
            <w:noWrap/>
          </w:tcPr>
          <w:p>
            <w:pPr>
              <w:pStyle w:val="1044"/>
              <w:jc w:val="center"/>
              <w:pageBreakBefore w:val="0"/>
              <w:spacing w:line="360" w:lineRule="auto"/>
              <w:tabs>
                <w:tab w:val="left" w:pos="6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开、竣工日期</w:t>
            </w: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tabs>
                <w:tab w:val="left" w:pos="6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p>
            <w:pPr>
              <w:pStyle w:val="1044"/>
              <w:jc w:val="center"/>
              <w:pageBreakBefore w:val="0"/>
              <w:spacing w:line="360" w:lineRule="auto"/>
              <w:tabs>
                <w:tab w:val="left" w:pos="625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（人民币）</w:t>
            </w: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90"/>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819"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201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01"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50" w:type="dxa"/>
            <w:vAlign w:val="top"/>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附：合同、竣工验收单或相关竣工证明材料复印件。</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响应单位：（公章）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法定代表人或委托代理人：（签字或签章）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    年    月    日</w:t>
      </w: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 w:val="24"/>
          <w:szCs w:val="24"/>
          <w:highlight w:val="none"/>
        </w:rPr>
        <w:t xml:space="preserve">9、项目经理无在建工程承诺书</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项目经理无在建工程承诺书</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我公司拟派</w:t>
      </w:r>
      <w:r>
        <w:rPr>
          <w:rFonts w:hint="eastAsia" w:ascii="宋体" w:hAnsi="宋体" w:eastAsia="宋体" w:cs="宋体"/>
          <w:color w:val="000000"/>
          <w:szCs w:val="21"/>
          <w:highlight w:val="none"/>
          <w:u w:val="single"/>
        </w:rPr>
        <w:t xml:space="preserve">                        （项目名称）</w:t>
      </w:r>
      <w:r>
        <w:rPr>
          <w:rFonts w:hint="eastAsia" w:ascii="宋体" w:hAnsi="宋体" w:eastAsia="宋体" w:cs="宋体"/>
          <w:color w:val="000000"/>
          <w:szCs w:val="21"/>
          <w:highlight w:val="none"/>
        </w:rPr>
        <w:t xml:space="preserve">项目的项目经理</w:t>
      </w:r>
      <w:r>
        <w:rPr>
          <w:rFonts w:hint="eastAsia" w:ascii="宋体" w:hAnsi="宋体" w:eastAsia="宋体" w:cs="宋体"/>
          <w:color w:val="000000"/>
          <w:szCs w:val="21"/>
          <w:highlight w:val="none"/>
          <w:u w:val="single"/>
        </w:rPr>
        <w:t xml:space="preserve">         （姓名）</w:t>
      </w:r>
      <w:r>
        <w:rPr>
          <w:rFonts w:hint="eastAsia" w:ascii="宋体" w:hAnsi="宋体" w:eastAsia="宋体" w:cs="宋体"/>
          <w:color w:val="000000"/>
          <w:szCs w:val="21"/>
          <w:highlight w:val="none"/>
        </w:rPr>
        <w:t xml:space="preserve">属于下列：</w:t>
      </w:r>
      <w:r>
        <w:rPr>
          <w:rFonts w:hint="eastAsia" w:ascii="宋体" w:hAnsi="宋体" w:eastAsia="宋体" w:cs="宋体"/>
          <w:color w:val="000000"/>
          <w:szCs w:val="21"/>
          <w:highlight w:val="none"/>
        </w:rPr>
      </w:r>
      <w:r/>
    </w:p>
    <w:p>
      <w:pPr>
        <w:pStyle w:val="1044"/>
        <w:numPr>
          <w:ilvl w:val="0"/>
          <w:numId w:val="19"/>
        </w:num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非变更后无在建工程</w:t>
      </w:r>
      <w:r>
        <w:rPr>
          <w:rFonts w:hint="eastAsia" w:ascii="宋体" w:hAnsi="宋体" w:eastAsia="宋体" w:cs="宋体"/>
          <w:color w:val="000000"/>
          <w:szCs w:val="21"/>
          <w:highlight w:val="none"/>
        </w:rPr>
      </w:r>
      <w:r/>
    </w:p>
    <w:p>
      <w:pPr>
        <w:pStyle w:val="1044"/>
        <w:numPr>
          <w:ilvl w:val="0"/>
          <w:numId w:val="19"/>
        </w:num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变更后无在建工程（必须原合同工期已满且变更备案之日已满6个月）</w:t>
      </w:r>
      <w:r>
        <w:rPr>
          <w:rFonts w:hint="eastAsia" w:ascii="宋体" w:hAnsi="宋体" w:eastAsia="宋体" w:cs="宋体"/>
          <w:color w:val="000000"/>
          <w:szCs w:val="21"/>
          <w:highlight w:val="none"/>
        </w:rPr>
      </w:r>
      <w:r/>
    </w:p>
    <w:p>
      <w:pPr>
        <w:pStyle w:val="1044"/>
        <w:numPr>
          <w:ilvl w:val="0"/>
          <w:numId w:val="19"/>
        </w:num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因非承包方原因致使工程项目停工或因故不能按期开工、且已办理了项目经理解锁手续</w:t>
      </w:r>
      <w:r>
        <w:rPr>
          <w:rFonts w:hint="eastAsia" w:ascii="宋体" w:hAnsi="宋体" w:eastAsia="宋体" w:cs="宋体"/>
          <w:color w:val="000000"/>
          <w:szCs w:val="21"/>
          <w:highlight w:val="none"/>
        </w:rPr>
      </w:r>
      <w:r/>
    </w:p>
    <w:p>
      <w:pPr>
        <w:pStyle w:val="1044"/>
        <w:numPr>
          <w:ilvl w:val="0"/>
          <w:numId w:val="19"/>
        </w:numP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注：选择以上（2）、（3）、（4）的需提供证明材料扫描件，无证明材料不予认可。</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响应单位（盖公章）：</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jc w:val="left"/>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10、资格证明文件</w:t>
      </w:r>
      <w:r>
        <w:rPr>
          <w:rFonts w:hint="eastAsia" w:ascii="宋体" w:hAnsi="宋体" w:eastAsia="宋体" w:cs="宋体"/>
          <w:b/>
          <w:color w:val="000000"/>
          <w:sz w:val="24"/>
          <w:szCs w:val="24"/>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（1）关于资格文件的声明函</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关于资格文件的声明函</w:t>
      </w:r>
      <w:r>
        <w:rPr>
          <w:rFonts w:hint="eastAsia" w:ascii="宋体" w:hAnsi="宋体" w:eastAsia="宋体" w:cs="宋体"/>
          <w:color w:val="000000"/>
          <w:szCs w:val="21"/>
          <w:highlight w:val="none"/>
        </w:rPr>
      </w:r>
      <w:r/>
    </w:p>
    <w:p>
      <w:pPr>
        <w:pStyle w:val="1044"/>
        <w:ind w:firstLine="126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本公司愿就由贵公司组织实施的编号为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供应商：（单位盖章）</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法定代表人或委托代理人：（签字或盖章）</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（2）响应单位情况表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响应单位情况表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单位名称（盖章）</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W w:w="180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160"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成立日期</w:t>
            </w:r>
            <w:r>
              <w:rPr>
                <w:rFonts w:hint="eastAsia" w:ascii="宋体" w:hAnsi="宋体" w:eastAsia="宋体" w:cs="宋体"/>
                <w:color w:val="000000"/>
                <w:szCs w:val="21"/>
                <w:highlight w:val="none"/>
              </w:rPr>
            </w:r>
            <w:r/>
          </w:p>
        </w:tc>
        <w:tc>
          <w:tcPr>
            <w:gridSpan w:val="2"/>
            <w:tcW w:w="2560" w:type="dxa"/>
            <w:vAlign w:val="top"/>
            <w:textDirection w:val="lrTb"/>
            <w:noWrap/>
          </w:tcPr>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企业地址</w:t>
            </w:r>
            <w:r>
              <w:rPr>
                <w:rFonts w:hint="eastAsia" w:ascii="宋体" w:hAnsi="宋体" w:eastAsia="宋体" w:cs="宋体"/>
                <w:color w:val="000000"/>
                <w:szCs w:val="21"/>
                <w:highlight w:val="none"/>
              </w:rPr>
            </w:r>
            <w:r/>
          </w:p>
        </w:tc>
        <w:tc>
          <w:tcPr>
            <w:tcW w:w="180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160"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注册资本</w:t>
            </w:r>
            <w:r>
              <w:rPr>
                <w:rFonts w:hint="eastAsia" w:ascii="宋体" w:hAnsi="宋体" w:eastAsia="宋体" w:cs="宋体"/>
                <w:color w:val="000000"/>
                <w:szCs w:val="21"/>
                <w:highlight w:val="none"/>
              </w:rPr>
            </w:r>
            <w:r/>
          </w:p>
        </w:tc>
        <w:tc>
          <w:tcPr>
            <w:gridSpan w:val="2"/>
            <w:tcW w:w="256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职工人数</w:t>
            </w:r>
            <w:r>
              <w:rPr>
                <w:rFonts w:hint="eastAsia" w:ascii="宋体" w:hAnsi="宋体" w:eastAsia="宋体" w:cs="宋体"/>
                <w:color w:val="000000"/>
                <w:szCs w:val="21"/>
                <w:highlight w:val="none"/>
              </w:rPr>
            </w:r>
            <w:r/>
          </w:p>
        </w:tc>
        <w:tc>
          <w:tcPr>
            <w:tcW w:w="180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gridSpan w:val="2"/>
            <w:tcW w:w="3600"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其中：有中高级以上职称的人数</w:t>
            </w:r>
            <w:r>
              <w:rPr>
                <w:rFonts w:hint="eastAsia" w:ascii="宋体" w:hAnsi="宋体" w:eastAsia="宋体" w:cs="宋体"/>
                <w:color w:val="000000"/>
                <w:szCs w:val="21"/>
                <w:highlight w:val="none"/>
              </w:rPr>
            </w:r>
            <w:r/>
          </w:p>
        </w:tc>
        <w:tc>
          <w:tcPr>
            <w:tcW w:w="11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资产总计</w:t>
            </w:r>
            <w:r>
              <w:rPr>
                <w:rFonts w:hint="eastAsia" w:ascii="宋体" w:hAnsi="宋体" w:eastAsia="宋体" w:cs="宋体"/>
                <w:color w:val="000000"/>
                <w:szCs w:val="21"/>
                <w:highlight w:val="none"/>
              </w:rPr>
            </w:r>
            <w:r/>
          </w:p>
        </w:tc>
        <w:tc>
          <w:tcPr>
            <w:tcW w:w="180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c>
          <w:tcPr>
            <w:tcW w:w="2160"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净资产</w:t>
            </w:r>
            <w:r>
              <w:rPr>
                <w:rFonts w:hint="eastAsia" w:ascii="宋体" w:hAnsi="宋体" w:eastAsia="宋体" w:cs="宋体"/>
                <w:color w:val="000000"/>
                <w:szCs w:val="21"/>
                <w:highlight w:val="none"/>
              </w:rPr>
            </w:r>
            <w:r/>
          </w:p>
        </w:tc>
        <w:tc>
          <w:tcPr>
            <w:gridSpan w:val="2"/>
            <w:tcW w:w="2560" w:type="dxa"/>
            <w:vAlign w:val="top"/>
            <w:textDirection w:val="lrTb"/>
            <w:noWrap/>
          </w:tcPr>
          <w:p>
            <w:pPr>
              <w:pStyle w:val="1044"/>
              <w:ind w:firstLine="1522"/>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r>
      <w:tr>
        <w:trPr>
          <w:cantSplit/>
        </w:trPr>
        <w:tc>
          <w:tcPr>
            <w:tcW w:w="2953"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股东权益</w:t>
            </w:r>
            <w:r>
              <w:rPr>
                <w:rFonts w:hint="eastAsia" w:ascii="宋体" w:hAnsi="宋体" w:eastAsia="宋体" w:cs="宋体"/>
                <w:color w:val="000000"/>
                <w:szCs w:val="21"/>
                <w:highlight w:val="none"/>
              </w:rPr>
            </w:r>
            <w:r/>
          </w:p>
        </w:tc>
        <w:tc>
          <w:tcPr>
            <w:tcW w:w="1800" w:type="dxa"/>
            <w:vAlign w:val="center"/>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c>
          <w:tcPr>
            <w:tcW w:w="2160"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销售收入</w:t>
            </w:r>
            <w:r>
              <w:rPr>
                <w:rFonts w:hint="eastAsia" w:ascii="宋体" w:hAnsi="宋体" w:eastAsia="宋体" w:cs="宋体"/>
                <w:color w:val="000000"/>
                <w:szCs w:val="21"/>
                <w:highlight w:val="none"/>
              </w:rPr>
            </w:r>
            <w:r/>
          </w:p>
        </w:tc>
        <w:tc>
          <w:tcPr>
            <w:gridSpan w:val="2"/>
            <w:tcW w:w="2560" w:type="dxa"/>
            <w:vAlign w:val="top"/>
            <w:textDirection w:val="lrTb"/>
            <w:noWrap/>
          </w:tcPr>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 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       万元</w:t>
            </w: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实现利润</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    万元</w:t>
            </w:r>
            <w:r>
              <w:rPr>
                <w:rFonts w:hint="eastAsia" w:ascii="宋体" w:hAnsi="宋体" w:eastAsia="宋体" w:cs="宋体"/>
                <w:color w:val="000000"/>
                <w:szCs w:val="21"/>
                <w:highlight w:val="none"/>
              </w:rPr>
            </w:r>
            <w:r/>
          </w:p>
        </w:tc>
      </w:tr>
      <w:tr>
        <w:trPr>
          <w:cantSplit/>
        </w:trPr>
        <w:tc>
          <w:tcPr>
            <w:tcW w:w="2953"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经营面积</w:t>
            </w:r>
            <w:r>
              <w:rPr>
                <w:rFonts w:hint="eastAsia" w:ascii="宋体" w:hAnsi="宋体" w:eastAsia="宋体" w:cs="宋体"/>
                <w:color w:val="000000"/>
                <w:szCs w:val="21"/>
                <w:highlight w:val="none"/>
              </w:rPr>
            </w:r>
            <w:r/>
          </w:p>
        </w:tc>
        <w:tc>
          <w:tcPr>
            <w:tcW w:w="1800" w:type="dxa"/>
            <w:vAlign w:val="center"/>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平方米</w:t>
            </w:r>
            <w:r>
              <w:rPr>
                <w:rFonts w:hint="eastAsia" w:ascii="宋体" w:hAnsi="宋体" w:eastAsia="宋体" w:cs="宋体"/>
                <w:color w:val="000000"/>
                <w:szCs w:val="21"/>
                <w:highlight w:val="none"/>
              </w:rPr>
            </w:r>
            <w:r/>
          </w:p>
        </w:tc>
        <w:tc>
          <w:tcPr>
            <w:tcW w:w="2160" w:type="dxa"/>
            <w:vAlign w:val="center"/>
            <w:textDirection w:val="lrTb"/>
            <w:noWrap/>
          </w:tcPr>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其中：</w:t>
            </w:r>
            <w:r>
              <w:rPr>
                <w:rFonts w:hint="eastAsia" w:ascii="宋体" w:hAnsi="宋体" w:eastAsia="宋体" w:cs="宋体"/>
                <w:color w:val="000000"/>
                <w:szCs w:val="21"/>
                <w:highlight w:val="none"/>
              </w:rPr>
            </w:r>
            <w:r/>
          </w:p>
        </w:tc>
        <w:tc>
          <w:tcPr>
            <w:gridSpan w:val="2"/>
            <w:tcW w:w="2560"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自有面积     平方米</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承租面积     平方米</w:t>
            </w:r>
            <w:r>
              <w:rPr>
                <w:rFonts w:hint="eastAsia" w:ascii="宋体" w:hAnsi="宋体" w:eastAsia="宋体" w:cs="宋体"/>
                <w:color w:val="000000"/>
                <w:szCs w:val="21"/>
                <w:highlight w:val="none"/>
              </w:rPr>
            </w:r>
            <w:r/>
          </w:p>
        </w:tc>
      </w:tr>
      <w:tr>
        <w:trPr>
          <w:cantSplit/>
          <w:trHeight w:val="389"/>
        </w:trPr>
        <w:tc>
          <w:tcPr>
            <w:tcW w:w="2953"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单位简历及内设机构情况</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Height w:val="255"/>
        </w:trPr>
        <w:tc>
          <w:tcPr>
            <w:tcW w:w="2953"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单位优势及特长</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近三年来完成或正在履行的重大合同情况</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最近2年内在经营过程中受到何种奖励或处分</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（包括财政、工商、税务、物价、技监部门稽查情况和结果）</w:t>
            </w: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最近3年内有无因售假、售劣或是其他原因被消费者投诉或起诉的情况及说明</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（包括解决方式和结果）</w:t>
            </w: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最近3年内主要负责人有无经济犯罪被司法机关追究的情意及说明</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获得技术认证的工程师及简介</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cantSplit/>
        </w:trPr>
        <w:tc>
          <w:tcPr>
            <w:tcW w:w="2953" w:type="dxa"/>
            <w:vAlign w:val="top"/>
            <w:textDirection w:val="lrTb"/>
            <w:noWrap/>
          </w:tcPr>
          <w:p>
            <w:pPr>
              <w:pStyle w:val="1044"/>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其他需要说明的情况</w:t>
            </w:r>
            <w:r>
              <w:rPr>
                <w:rFonts w:hint="eastAsia" w:ascii="宋体" w:hAnsi="宋体" w:eastAsia="宋体" w:cs="宋体"/>
                <w:color w:val="000000"/>
                <w:szCs w:val="21"/>
                <w:highlight w:val="none"/>
              </w:rPr>
            </w:r>
            <w:r/>
          </w:p>
        </w:tc>
        <w:tc>
          <w:tcPr>
            <w:gridSpan w:val="4"/>
            <w:tcW w:w="6520" w:type="dxa"/>
            <w:vAlign w:val="top"/>
            <w:textDirection w:val="lrTb"/>
            <w:noWrap/>
          </w:tcPr>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bl>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（3）响应单位与其他单位存在控股、管理关系情况表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响应单位与其他单位存在控股、管理关系情况表</w:t>
      </w:r>
      <w:r>
        <w:rPr>
          <w:rFonts w:hint="eastAsia" w:ascii="宋体" w:hAnsi="宋体" w:eastAsia="宋体" w:cs="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与响应单位存在控股、管理关系的单位名称</w:t>
            </w: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控股、管理关系情况说明</w:t>
            </w: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4962"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67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注：磋商供应商须如实填写所有与之有控股、管理关系的情况。</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磋商供应商：（盖章）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法定代表人或委托代理人：（签字或盖章）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pageBreakBefore w:val="0"/>
        <w:spacing w:line="360" w:lineRule="auto"/>
        <w:tabs>
          <w:tab w:val="left" w:pos="342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pageBreakBefore w:val="0"/>
        <w:spacing w:line="360" w:lineRule="auto"/>
        <w:tabs>
          <w:tab w:val="left" w:pos="342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（4）中小企业声明函</w:t>
      </w:r>
      <w:r>
        <w:rPr>
          <w:rFonts w:hint="eastAsia" w:ascii="宋体" w:hAnsi="宋体" w:eastAsia="宋体" w:cs="宋体"/>
          <w:bCs/>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 w:val="24"/>
          <w:szCs w:val="24"/>
          <w:highlight w:val="none"/>
        </w:rPr>
        <w:t xml:space="preserve">中小企业声明函（工程、服务）</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建筑业</w:t>
      </w:r>
      <w:r>
        <w:rPr>
          <w:rFonts w:hint="eastAsia" w:ascii="宋体" w:hAnsi="宋体" w:eastAsia="宋体" w:cs="宋体"/>
          <w:color w:val="000000"/>
          <w:szCs w:val="21"/>
          <w:highlight w:val="none"/>
        </w:rPr>
        <w:t xml:space="preserve">；承接企业为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，从业人员人，营业收入为万元，资产总额为万元，属于</w:t>
      </w:r>
      <w:r>
        <w:rPr>
          <w:rFonts w:hint="eastAsia" w:ascii="宋体" w:hAnsi="宋体" w:eastAsia="宋体" w:cs="宋体"/>
          <w:color w:val="000000"/>
          <w:szCs w:val="21"/>
          <w:highlight w:val="none"/>
          <w:u w:val="single"/>
        </w:rPr>
        <w:t xml:space="preserve">    （中型企业、小型企业、微型企业）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建筑业</w:t>
      </w:r>
      <w:r>
        <w:rPr>
          <w:rFonts w:hint="eastAsia" w:ascii="宋体" w:hAnsi="宋体" w:eastAsia="宋体" w:cs="宋体"/>
          <w:color w:val="000000"/>
          <w:szCs w:val="21"/>
          <w:highlight w:val="none"/>
        </w:rPr>
        <w:t xml:space="preserve">；承接企业为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，从业人员人，营业收入为万元，资产总额为万元，属于</w:t>
      </w:r>
      <w:r>
        <w:rPr>
          <w:rFonts w:hint="eastAsia" w:ascii="宋体" w:hAnsi="宋体" w:eastAsia="宋体" w:cs="宋体"/>
          <w:color w:val="000000"/>
          <w:szCs w:val="21"/>
          <w:highlight w:val="none"/>
          <w:u w:val="single"/>
        </w:rPr>
        <w:t xml:space="preserve">    （中型企业、小型企业、微型企业）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hint="eastAsia" w:ascii="宋体" w:hAnsi="宋体" w:eastAsia="宋体" w:cs="宋体"/>
          <w:color w:val="000000"/>
          <w:szCs w:val="21"/>
          <w:highlight w:val="none"/>
        </w:rPr>
      </w:r>
      <w:r/>
    </w:p>
    <w:p>
      <w:pPr>
        <w:pStyle w:val="1044"/>
        <w:ind w:firstLine="42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企业名称（盖章）：</w:t>
      </w:r>
      <w:r>
        <w:rPr>
          <w:rFonts w:hint="eastAsia" w:ascii="宋体" w:hAnsi="宋体" w:eastAsia="宋体" w:cs="宋体"/>
          <w:color w:val="000000"/>
          <w:szCs w:val="21"/>
          <w:highlight w:val="none"/>
        </w:rPr>
      </w:r>
      <w:r/>
    </w:p>
    <w:p>
      <w:pPr>
        <w:pStyle w:val="1044"/>
        <w:ind w:firstLine="43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1、从业人员、营业收入、资产总额填报上一年度数据，无上一年度数据的新成立企业可不填报。</w:t>
      </w: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20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20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r>
      <w:r/>
    </w:p>
    <w:p>
      <w:pPr>
        <w:pStyle w:val="1044"/>
        <w:pageBreakBefore w:val="0"/>
        <w:spacing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r>
      <w:r/>
    </w:p>
    <w:p>
      <w:pPr>
        <w:pStyle w:val="1044"/>
        <w:pageBreakBefore w:val="0"/>
        <w:spacing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r>
      <w:r/>
    </w:p>
    <w:p>
      <w:pPr>
        <w:pStyle w:val="1044"/>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（5）残疾人福利性单位声明函</w:t>
      </w:r>
      <w:r>
        <w:rPr>
          <w:rFonts w:hint="eastAsia" w:ascii="宋体" w:hAnsi="宋体" w:eastAsia="宋体" w:cs="宋体"/>
          <w:bCs/>
          <w:color w:val="000000"/>
          <w:szCs w:val="21"/>
          <w:highlight w:val="none"/>
        </w:rPr>
      </w:r>
      <w:r/>
    </w:p>
    <w:p>
      <w:pPr>
        <w:pStyle w:val="1044"/>
        <w:jc w:val="center"/>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残疾人福利性单位声明函</w:t>
      </w:r>
      <w:r>
        <w:rPr>
          <w:rFonts w:hint="eastAsia" w:ascii="宋体" w:hAnsi="宋体" w:eastAsia="宋体" w:cs="宋体"/>
          <w:b/>
          <w:bCs/>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单位名称（盖章）：</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               日期：</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(6)响应保证承诺书</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响应保证承诺书（格式）</w:t>
      </w:r>
      <w:r>
        <w:rPr>
          <w:rFonts w:hint="eastAsia" w:ascii="宋体" w:hAnsi="宋体" w:eastAsia="宋体" w:cs="宋体"/>
          <w:color w:val="000000"/>
          <w:szCs w:val="21"/>
          <w:highlight w:val="none"/>
        </w:rPr>
      </w:r>
      <w:r/>
    </w:p>
    <w:p>
      <w:pPr>
        <w:pStyle w:val="1044"/>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u w:val="single"/>
        </w:rPr>
        <w:t xml:space="preserve">         （采购代理机构名称）</w:t>
      </w:r>
      <w:r>
        <w:rPr>
          <w:rFonts w:hint="eastAsia" w:ascii="宋体" w:hAnsi="宋体" w:eastAsia="宋体" w:cs="宋体"/>
          <w:color w:val="000000"/>
          <w:szCs w:val="21"/>
          <w:highlight w:val="none"/>
        </w:rPr>
      </w:r>
      <w:r/>
    </w:p>
    <w:p>
      <w:pPr>
        <w:pStyle w:val="1044"/>
        <w:ind w:firstLine="80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我（单位/本人，以下统称我单位）自愿参加</w:t>
      </w:r>
      <w:r>
        <w:rPr>
          <w:rFonts w:hint="eastAsia" w:ascii="宋体" w:hAnsi="宋体" w:eastAsia="宋体" w:cs="宋体"/>
          <w:color w:val="000000"/>
          <w:szCs w:val="21"/>
          <w:highlight w:val="none"/>
          <w:u w:val="single"/>
        </w:rPr>
        <w:t xml:space="preserve">              （项目名称和采购编号）</w:t>
      </w:r>
      <w:r>
        <w:rPr>
          <w:rFonts w:hint="eastAsia" w:ascii="宋体" w:hAnsi="宋体" w:eastAsia="宋体" w:cs="宋体"/>
          <w:color w:val="000000"/>
          <w:szCs w:val="21"/>
          <w:highlight w:val="none"/>
        </w:rPr>
        <w:t xml:space="preserve">的响应,并做出如下承诺：</w:t>
      </w:r>
      <w:r>
        <w:rPr>
          <w:rFonts w:hint="eastAsia" w:ascii="宋体" w:hAnsi="宋体" w:eastAsia="宋体" w:cs="宋体"/>
          <w:color w:val="000000"/>
          <w:szCs w:val="21"/>
          <w:highlight w:val="none"/>
        </w:rPr>
      </w:r>
      <w:r/>
    </w:p>
    <w:p>
      <w:pPr>
        <w:pStyle w:val="1044"/>
        <w:ind w:firstLine="80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1.自投标（响应）截止时间至本项目发布中标（成交）公告为止，撤销投标（响应）；</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2.中标（成交）后不依法与采购人签订合同；</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3.中标（成交）后不按本采购文件规定向贵方缴纳采购代理费。</w:t>
      </w:r>
      <w:r>
        <w:rPr>
          <w:rFonts w:hint="eastAsia" w:ascii="宋体" w:hAnsi="宋体" w:eastAsia="宋体" w:cs="宋体"/>
          <w:color w:val="000000"/>
          <w:szCs w:val="21"/>
          <w:highlight w:val="none"/>
        </w:rPr>
      </w:r>
      <w:r/>
    </w:p>
    <w:p>
      <w:pPr>
        <w:pStyle w:val="1044"/>
        <w:ind w:firstLine="80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二、我单位知晓上述行为的法律后果，承认本承诺书作为贵方</w:t>
      </w:r>
      <w:r>
        <w:rPr>
          <w:rFonts w:hint="eastAsia" w:ascii="宋体" w:hAnsi="宋体" w:eastAsia="宋体" w:cs="宋体"/>
          <w:color w:val="000000"/>
          <w:szCs w:val="21"/>
          <w:highlight w:val="none"/>
          <w:u w:val="single"/>
        </w:rPr>
        <w:t xml:space="preserve">（或采购人）</w:t>
      </w:r>
      <w:r>
        <w:rPr>
          <w:rFonts w:hint="eastAsia" w:ascii="宋体" w:hAnsi="宋体" w:eastAsia="宋体" w:cs="宋体"/>
          <w:color w:val="000000"/>
          <w:szCs w:val="21"/>
          <w:highlight w:val="none"/>
        </w:rPr>
        <w:t xml:space="preserve">要求我单位履行违约赔偿义务的依据作用。</w:t>
      </w:r>
      <w:r>
        <w:rPr>
          <w:rFonts w:hint="eastAsia" w:ascii="宋体" w:hAnsi="宋体" w:eastAsia="宋体" w:cs="宋体"/>
          <w:color w:val="000000"/>
          <w:szCs w:val="21"/>
          <w:highlight w:val="none"/>
        </w:rPr>
      </w:r>
      <w:r/>
    </w:p>
    <w:p>
      <w:pPr>
        <w:pStyle w:val="1044"/>
        <w:ind w:left="208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响应人：               （盖公章）</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      </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电子邮件：                                 </w:t>
      </w:r>
      <w:r>
        <w:rPr>
          <w:rFonts w:hint="eastAsia" w:ascii="宋体" w:hAnsi="宋体" w:eastAsia="宋体" w:cs="宋体"/>
          <w:color w:val="000000"/>
          <w:szCs w:val="21"/>
          <w:highlight w:val="none"/>
        </w:rPr>
      </w:r>
      <w:r/>
    </w:p>
    <w:p>
      <w:pPr>
        <w:pStyle w:val="1044"/>
        <w:ind w:firstLine="7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邮编：                               </w:t>
      </w:r>
      <w:r>
        <w:rPr>
          <w:rFonts w:hint="eastAsia" w:ascii="宋体" w:hAnsi="宋体" w:eastAsia="宋体" w:cs="宋体"/>
          <w:color w:val="000000"/>
          <w:szCs w:val="21"/>
          <w:highlight w:val="none"/>
        </w:rPr>
      </w:r>
      <w:r/>
    </w:p>
    <w:p>
      <w:pPr>
        <w:pStyle w:val="1044"/>
        <w:ind w:firstLine="63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法定代表人或委托代理人（签章）：</w:t>
      </w:r>
      <w:r>
        <w:rPr>
          <w:rFonts w:hint="eastAsia" w:ascii="宋体" w:hAnsi="宋体" w:eastAsia="宋体" w:cs="宋体"/>
          <w:color w:val="000000"/>
          <w:szCs w:val="21"/>
          <w:highlight w:val="none"/>
        </w:rPr>
      </w:r>
      <w:r/>
    </w:p>
    <w:p>
      <w:pPr>
        <w:pStyle w:val="1044"/>
        <w:ind w:left="420" w:firstLine="210"/>
        <w:pageBreakBefore w:val="0"/>
        <w:spacing w:after="12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 w:val="24"/>
          <w:szCs w:val="24"/>
          <w:highlight w:val="none"/>
        </w:rPr>
        <w:t xml:space="preserve">11、响应单位资格承诺书</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响应单位</w:t>
      </w:r>
      <w:r>
        <w:rPr>
          <w:rFonts w:hint="eastAsia" w:ascii="宋体" w:hAnsi="宋体" w:eastAsia="宋体" w:cs="宋体"/>
          <w:color w:val="000000"/>
          <w:szCs w:val="21"/>
          <w:highlight w:val="none"/>
          <w:lang w:val="zh-CN"/>
        </w:rPr>
        <w:t xml:space="preserve">资格承诺书</w:t>
      </w:r>
      <w:r>
        <w:rPr>
          <w:rFonts w:hint="eastAsia" w:ascii="宋体" w:hAnsi="宋体" w:eastAsia="宋体" w:cs="宋体"/>
          <w:color w:val="000000"/>
          <w:szCs w:val="21"/>
          <w:highlight w:val="none"/>
          <w:lang w:val="zh-CN"/>
        </w:rPr>
      </w:r>
      <w:r/>
    </w:p>
    <w:p>
      <w:pPr>
        <w:pStyle w:val="1044"/>
        <w:ind w:firstLine="800"/>
        <w:jc w:val="left"/>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采购编号</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tbl>
      <w:tblPr>
        <w:tblW w:w="96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trHeight w:val="567"/>
        </w:trPr>
        <w:tc>
          <w:tcPr>
            <w:tcW w:w="1101"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4836"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承诺事项</w:t>
            </w:r>
            <w:r>
              <w:rPr>
                <w:rFonts w:hint="eastAsia" w:ascii="宋体" w:hAnsi="宋体" w:eastAsia="宋体" w:cs="宋体"/>
                <w:color w:val="000000"/>
                <w:szCs w:val="21"/>
                <w:highlight w:val="none"/>
              </w:rPr>
            </w:r>
            <w:r/>
          </w:p>
        </w:tc>
        <w:tc>
          <w:tcPr>
            <w:tcW w:w="3667"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承诺内容（填：“实质性响应”或 “非实质性响应”）</w:t>
            </w:r>
            <w:r>
              <w:rPr>
                <w:rFonts w:hint="eastAsia" w:ascii="宋体" w:hAnsi="宋体" w:eastAsia="宋体" w:cs="宋体"/>
                <w:color w:val="000000"/>
                <w:szCs w:val="21"/>
                <w:highlight w:val="none"/>
              </w:rPr>
            </w:r>
            <w:r/>
          </w:p>
        </w:tc>
      </w:tr>
      <w:tr>
        <w:trPr>
          <w:trHeight w:val="567"/>
        </w:trPr>
        <w:tc>
          <w:tcPr>
            <w:gridSpan w:val="3"/>
            <w:tcW w:w="9604"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（一）合格供应商的一般条件</w:t>
            </w: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具有履行合同所必需的设备和专业技术能力</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有依法缴纳税收和社会保障资金的良好记录</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参加采购活动前三年内，在经营活动中没有重大违法记录</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ind w:firstLine="420"/>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4836" w:type="dxa"/>
            <w:vAlign w:val="center"/>
            <w:textDirection w:val="lrTb"/>
            <w:noWrap/>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法律、行政法规规定的其他条件</w:t>
            </w: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gridSpan w:val="3"/>
            <w:tcW w:w="9604" w:type="dxa"/>
            <w:vAlign w:val="center"/>
            <w:textDirection w:val="lrTb"/>
            <w:noWrap/>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（二）合格供应商的特殊条件（详见本项目采购公告，如未作要求则无需填写）</w:t>
            </w:r>
            <w:r>
              <w:rPr>
                <w:rFonts w:hint="eastAsia" w:ascii="宋体" w:hAnsi="宋体" w:eastAsia="宋体" w:cs="宋体"/>
                <w:color w:val="000000"/>
                <w:szCs w:val="21"/>
                <w:highlight w:val="none"/>
              </w:rPr>
            </w:r>
            <w:r/>
          </w:p>
        </w:tc>
      </w:tr>
      <w:tr>
        <w:trPr>
          <w:trHeight w:val="567"/>
        </w:trPr>
        <w:tc>
          <w:tcPr>
            <w:tcW w:w="1101"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36"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667" w:type="dxa"/>
            <w:vAlign w:val="center"/>
            <w:textDirection w:val="lrTb"/>
            <w:noWrap/>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响应单位</w:t>
      </w:r>
      <w:r>
        <w:rPr>
          <w:rFonts w:hint="eastAsia" w:ascii="宋体" w:hAnsi="宋体" w:eastAsia="宋体" w:cs="宋体"/>
          <w:color w:val="000000"/>
          <w:szCs w:val="21"/>
          <w:highlight w:val="none"/>
          <w:lang w:val="zh-CN"/>
        </w:rPr>
        <w:t xml:space="preserve">：（公章）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法定代表人或委托代理人：（签字或签章）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年  月  日</w:t>
      </w:r>
      <w:r>
        <w:rPr>
          <w:rFonts w:hint="eastAsia" w:ascii="宋体" w:hAnsi="宋体" w:eastAsia="宋体" w:cs="宋体"/>
          <w:b/>
          <w:color w:val="000000"/>
          <w:sz w:val="24"/>
          <w:szCs w:val="24"/>
          <w:highlight w:val="none"/>
        </w:rPr>
      </w:r>
      <w:r/>
    </w:p>
    <w:p>
      <w:pPr>
        <w:pStyle w:val="1044"/>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ind w:firstLine="200"/>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4"/>
        <w:pageBreakBefore w:val="0"/>
        <w:spacing w:line="360" w:lineRule="auto"/>
        <w:rPr>
          <w:rFonts w:hint="eastAsia" w:ascii="宋体" w:hAnsi="宋体" w:eastAsia="宋体" w:cs="宋体"/>
          <w:b/>
          <w:bCs/>
          <w:color w:val="000000"/>
          <w:sz w:val="28"/>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highlight w:val="none"/>
        </w:rPr>
        <w:t xml:space="preserve">12、</w:t>
      </w:r>
      <w:r>
        <w:rPr>
          <w:rFonts w:hint="eastAsia" w:ascii="宋体" w:hAnsi="宋体" w:eastAsia="宋体" w:cs="宋体"/>
          <w:b/>
          <w:color w:val="000000"/>
          <w:sz w:val="22"/>
          <w:szCs w:val="21"/>
          <w:highlight w:val="none"/>
        </w:rPr>
        <w:t xml:space="preserve">商务条款偏离表、服务要求偏离表</w:t>
      </w:r>
      <w:r>
        <w:rPr>
          <w:rFonts w:hint="eastAsia" w:ascii="宋体" w:hAnsi="宋体" w:eastAsia="宋体" w:cs="宋体"/>
          <w:b/>
          <w:bCs/>
          <w:color w:val="000000"/>
          <w:sz w:val="28"/>
          <w:szCs w:val="21"/>
          <w:highlight w:val="none"/>
        </w:rPr>
      </w:r>
      <w:r/>
    </w:p>
    <w:p>
      <w:pPr>
        <w:pStyle w:val="1044"/>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商务条款偏离表</w:t>
      </w:r>
      <w:r>
        <w:rPr>
          <w:rFonts w:hint="eastAsia" w:ascii="宋体" w:hAnsi="宋体" w:eastAsia="宋体" w:cs="宋体"/>
          <w:b/>
          <w:bCs/>
          <w:color w:val="000000"/>
          <w:sz w:val="32"/>
          <w:szCs w:val="32"/>
          <w:highlight w:val="none"/>
        </w:rPr>
      </w:r>
      <w:r/>
    </w:p>
    <w:p>
      <w:pPr>
        <w:pStyle w:val="1044"/>
        <w:jc w:val="center"/>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44"/>
        <w:ind w:firstLine="630"/>
        <w:pageBreakBefore w:val="0"/>
        <w:spacing w:line="360" w:lineRule="auto"/>
        <w:rPr>
          <w:rFonts w:hint="eastAsia" w:ascii="宋体" w:hAnsi="宋体" w:eastAsia="宋体" w:cs="宋体"/>
          <w:b/>
          <w:color w:val="000000"/>
          <w:spacing w:val="20"/>
          <w:szCs w:val="21"/>
          <w:highlight w:val="none"/>
        </w:rPr>
      </w:pPr>
      <w:r>
        <w:rPr>
          <w:rFonts w:hint="eastAsia" w:ascii="宋体" w:hAnsi="宋体" w:eastAsia="宋体" w:cs="宋体"/>
          <w:color w:val="000000"/>
          <w:szCs w:val="21"/>
          <w:highlight w:val="none"/>
          <w:lang w:val="zh-CN"/>
        </w:rPr>
        <w:t xml:space="preserve">供应商：                                      采购编号∶</w:t>
      </w:r>
      <w:r>
        <w:rPr>
          <w:rFonts w:hint="eastAsia" w:ascii="宋体" w:hAnsi="宋体" w:eastAsia="宋体" w:cs="宋体"/>
          <w:color w:val="000000"/>
          <w:szCs w:val="21"/>
          <w:highlight w:val="none"/>
        </w:rPr>
        <w:t xml:space="preserve">         </w:t>
      </w:r>
      <w:r>
        <w:rPr>
          <w:rFonts w:hint="eastAsia" w:ascii="宋体" w:hAnsi="宋体" w:eastAsia="宋体" w:cs="宋体"/>
          <w:b/>
          <w:color w:val="000000"/>
          <w:spacing w:val="20"/>
          <w:szCs w:val="21"/>
          <w:highlight w:val="none"/>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960" w:hRule="exact"/>
        </w:trPr>
        <w:tc>
          <w:tcPr>
            <w:tcW w:w="850" w:type="dxa"/>
            <w:vAlign w:val="center"/>
            <w:textDirection w:val="lrTb"/>
            <w:noWrap w:val="false"/>
          </w:tcPr>
          <w:p>
            <w:pPr>
              <w:pStyle w:val="1044"/>
              <w:jc w:val="center"/>
              <w:pageBreakBefore w:val="0"/>
              <w:spacing w:before="312" w:after="312"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4290" w:type="dxa"/>
            <w:vAlign w:val="center"/>
            <w:textDirection w:val="lrTb"/>
            <w:noWrap w:val="false"/>
          </w:tcPr>
          <w:p>
            <w:pPr>
              <w:pStyle w:val="1044"/>
              <w:jc w:val="center"/>
              <w:pageBreakBefore w:val="0"/>
              <w:spacing w:before="312" w:after="312"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招标文件的商务条款</w:t>
            </w:r>
            <w:r>
              <w:rPr>
                <w:rFonts w:hint="eastAsia" w:ascii="宋体" w:hAnsi="宋体" w:eastAsia="宋体" w:cs="宋体"/>
                <w:b/>
                <w:bCs/>
                <w:color w:val="000000"/>
                <w:szCs w:val="21"/>
                <w:highlight w:val="none"/>
              </w:rPr>
            </w:r>
            <w:r/>
          </w:p>
        </w:tc>
        <w:tc>
          <w:tcPr>
            <w:tcW w:w="2387" w:type="dxa"/>
            <w:vAlign w:val="center"/>
            <w:textDirection w:val="lrTb"/>
            <w:noWrap w:val="false"/>
          </w:tcPr>
          <w:p>
            <w:pPr>
              <w:pStyle w:val="1044"/>
              <w:jc w:val="center"/>
              <w:pageBreakBefore w:val="0"/>
              <w:spacing w:before="312" w:after="312"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磋商响应文件</w:t>
            </w:r>
            <w:r>
              <w:rPr>
                <w:rFonts w:hint="eastAsia" w:ascii="宋体" w:hAnsi="宋体" w:eastAsia="宋体" w:cs="宋体"/>
                <w:b/>
                <w:bCs/>
                <w:color w:val="000000"/>
                <w:szCs w:val="21"/>
                <w:highlight w:val="none"/>
              </w:rPr>
              <w:t xml:space="preserve">的商务条款</w:t>
            </w:r>
            <w:r>
              <w:rPr>
                <w:rFonts w:hint="eastAsia" w:ascii="宋体" w:hAnsi="宋体" w:eastAsia="宋体" w:cs="宋体"/>
                <w:b/>
                <w:bCs/>
                <w:color w:val="000000"/>
                <w:szCs w:val="21"/>
                <w:highlight w:val="none"/>
              </w:rPr>
            </w:r>
            <w:r/>
          </w:p>
        </w:tc>
        <w:tc>
          <w:tcPr>
            <w:tcW w:w="1344" w:type="dxa"/>
            <w:vAlign w:val="center"/>
            <w:textDirection w:val="lrTb"/>
            <w:noWrap w:val="false"/>
          </w:tcPr>
          <w:p>
            <w:pPr>
              <w:pStyle w:val="1044"/>
              <w:jc w:val="center"/>
              <w:pageBreakBefore w:val="0"/>
              <w:spacing w:before="312" w:after="312"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偏离说明</w:t>
            </w:r>
            <w:r>
              <w:rPr>
                <w:rFonts w:hint="eastAsia" w:ascii="宋体" w:hAnsi="宋体" w:eastAsia="宋体" w:cs="宋体"/>
                <w:b/>
                <w:bCs/>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85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9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87"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4"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ind w:firstLine="63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供应商：（加盖CA电子公章）</w:t>
      </w:r>
      <w:r>
        <w:rPr>
          <w:rFonts w:hint="eastAsia" w:ascii="宋体" w:hAnsi="宋体" w:eastAsia="宋体" w:cs="宋体"/>
          <w:color w:val="000000"/>
          <w:szCs w:val="21"/>
          <w:highlight w:val="none"/>
        </w:rPr>
      </w:r>
      <w:r/>
    </w:p>
    <w:p>
      <w:pPr>
        <w:pStyle w:val="1044"/>
        <w:ind w:firstLine="63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法定代表人或代理人（签字或盖章）</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44"/>
        <w:ind w:firstLine="63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磋商日期</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44"/>
        <w:jc w:val="center"/>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服务（技术）要求偏离表</w:t>
      </w:r>
      <w:r>
        <w:rPr>
          <w:rFonts w:hint="eastAsia" w:ascii="宋体" w:hAnsi="宋体" w:eastAsia="宋体" w:cs="宋体"/>
          <w:b/>
          <w:color w:val="000000"/>
          <w:sz w:val="32"/>
          <w:szCs w:val="32"/>
          <w:highlight w:val="none"/>
        </w:rPr>
      </w:r>
      <w:r/>
    </w:p>
    <w:p>
      <w:pPr>
        <w:pStyle w:val="1044"/>
        <w:ind w:firstLine="630"/>
        <w:pageBreakBefore w:val="0"/>
        <w:spacing w:line="360" w:lineRule="auto"/>
        <w:rPr>
          <w:rFonts w:hint="eastAsia" w:ascii="宋体" w:hAnsi="宋体" w:eastAsia="宋体" w:cs="宋体"/>
          <w:b/>
          <w:color w:val="000000"/>
          <w:spacing w:val="20"/>
          <w:szCs w:val="21"/>
          <w:highlight w:val="none"/>
        </w:rPr>
      </w:pP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采购编号</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       </w:t>
      </w:r>
      <w:r>
        <w:rPr>
          <w:rFonts w:hint="eastAsia" w:ascii="宋体" w:hAnsi="宋体" w:eastAsia="宋体" w:cs="宋体"/>
          <w:b/>
          <w:color w:val="000000"/>
          <w:spacing w:val="20"/>
          <w:szCs w:val="21"/>
          <w:highlight w:val="none"/>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W w:w="1356"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796"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采购内容</w:t>
            </w:r>
            <w:r>
              <w:rPr>
                <w:rFonts w:hint="eastAsia" w:ascii="宋体" w:hAnsi="宋体" w:eastAsia="宋体" w:cs="宋体"/>
                <w:b/>
                <w:color w:val="000000"/>
                <w:szCs w:val="21"/>
                <w:highlight w:val="none"/>
              </w:rPr>
            </w:r>
            <w:r/>
          </w:p>
        </w:tc>
        <w:tc>
          <w:tcPr>
            <w:tcW w:w="1796"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招标要求</w:t>
            </w:r>
            <w:r>
              <w:rPr>
                <w:rFonts w:hint="eastAsia" w:ascii="宋体" w:hAnsi="宋体" w:eastAsia="宋体" w:cs="宋体"/>
                <w:b/>
                <w:color w:val="000000"/>
                <w:szCs w:val="21"/>
                <w:highlight w:val="none"/>
              </w:rPr>
            </w:r>
            <w:r/>
          </w:p>
        </w:tc>
        <w:tc>
          <w:tcPr>
            <w:tcW w:w="1840"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投标要求</w:t>
            </w:r>
            <w:r>
              <w:rPr>
                <w:rFonts w:hint="eastAsia" w:ascii="宋体" w:hAnsi="宋体" w:eastAsia="宋体" w:cs="宋体"/>
                <w:b/>
                <w:color w:val="000000"/>
                <w:szCs w:val="21"/>
                <w:highlight w:val="none"/>
              </w:rPr>
            </w:r>
            <w:r/>
          </w:p>
        </w:tc>
        <w:tc>
          <w:tcPr>
            <w:tcW w:w="1902"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偏离/响应</w:t>
            </w:r>
            <w:r>
              <w:rPr>
                <w:rFonts w:hint="eastAsia" w:ascii="宋体" w:hAnsi="宋体" w:eastAsia="宋体" w:cs="宋体"/>
                <w:b/>
                <w:color w:val="000000"/>
                <w:szCs w:val="21"/>
                <w:highlight w:val="none"/>
              </w:rPr>
            </w:r>
            <w:r/>
          </w:p>
        </w:tc>
        <w:tc>
          <w:tcPr>
            <w:tcW w:w="1278" w:type="dxa"/>
            <w:vAlign w:val="center"/>
            <w:textDirection w:val="lrTb"/>
            <w:noWrap w:val="false"/>
          </w:tcPr>
          <w:p>
            <w:pPr>
              <w:pStyle w:val="1044"/>
              <w:jc w:val="center"/>
              <w:pageBreakBefore w:val="0"/>
              <w:spacing w:before="312" w:after="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说明</w:t>
            </w:r>
            <w:r>
              <w:rPr>
                <w:rFonts w:hint="eastAsia" w:ascii="宋体" w:hAnsi="宋体" w:eastAsia="宋体" w:cs="宋体"/>
                <w:b/>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hRule="exact"/>
        </w:trPr>
        <w:tc>
          <w:tcPr>
            <w:tcW w:w="135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96"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40"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02"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8" w:type="dxa"/>
            <w:vAlign w:val="center"/>
            <w:textDirection w:val="lrTb"/>
            <w:noWrap w:val="false"/>
          </w:tcPr>
          <w:p>
            <w:pPr>
              <w:pStyle w:val="1044"/>
              <w:pageBreakBefore w:val="0"/>
              <w:spacing w:before="312"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ind w:firstLine="63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63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供应商：（加盖CA电子公章）</w:t>
      </w:r>
      <w:r>
        <w:rPr>
          <w:rFonts w:hint="eastAsia" w:ascii="宋体" w:hAnsi="宋体" w:eastAsia="宋体" w:cs="宋体"/>
          <w:color w:val="000000"/>
          <w:szCs w:val="21"/>
          <w:highlight w:val="none"/>
        </w:rPr>
      </w:r>
      <w:r/>
    </w:p>
    <w:p>
      <w:pPr>
        <w:pStyle w:val="1044"/>
        <w:ind w:firstLine="63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法定代表人或代理人（签字或盖章）</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1044"/>
        <w:ind w:firstLine="63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磋商日期</w:t>
      </w:r>
      <w:r>
        <w:rPr>
          <w:rFonts w:hint="eastAsia" w:ascii="宋体" w:hAnsi="宋体" w:eastAsia="宋体" w:cs="宋体"/>
          <w:bCs/>
          <w:color w:val="000000"/>
          <w:szCs w:val="21"/>
          <w:highlight w:val="none"/>
        </w:rPr>
        <w:t xml:space="preserve">:</w:t>
      </w: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注：1、供应商应对照采购文件中服务要求等，所投标的物与采购文件的规定有偏离的，应在此表中申明与技术要求条文的偏差和例外。</w:t>
      </w:r>
      <w:r>
        <w:rPr>
          <w:rFonts w:hint="eastAsia" w:ascii="宋体" w:hAnsi="宋体" w:eastAsia="宋体" w:cs="宋体"/>
          <w:b/>
          <w:color w:val="000000"/>
          <w:szCs w:val="21"/>
          <w:highlight w:val="none"/>
        </w:rPr>
      </w:r>
      <w:r/>
    </w:p>
    <w:p>
      <w:pPr>
        <w:pStyle w:val="1044"/>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eastAsia="宋体" w:cs="宋体"/>
          <w:b/>
          <w:color w:val="000000"/>
          <w:szCs w:val="21"/>
          <w:highlight w:val="none"/>
        </w:rPr>
      </w:r>
      <w:r/>
    </w:p>
    <w:p>
      <w:pPr>
        <w:pStyle w:val="1046"/>
        <w:jc w:val="both"/>
        <w:pageBreakBefore w:val="0"/>
        <w:spacing w:before="0"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val="0"/>
          <w:color w:val="000000"/>
          <w:szCs w:val="21"/>
          <w:highlight w:val="none"/>
        </w:rPr>
        <w:br w:type="page" w:clear="all"/>
      </w:r>
      <w:r>
        <w:rPr>
          <w:rFonts w:hint="eastAsia" w:ascii="宋体" w:hAnsi="宋体" w:eastAsia="宋体" w:cs="宋体"/>
          <w:b/>
          <w:bCs w:val="0"/>
          <w:color w:val="000000"/>
          <w:sz w:val="22"/>
          <w:szCs w:val="21"/>
          <w:highlight w:val="none"/>
          <w:lang w:val="en-US" w:eastAsia="zh-CN" w:bidi="ar-SA"/>
        </w:rPr>
        <w:t xml:space="preserve">13、关于符合本国产品标准的声明函</w:t>
      </w:r>
      <w:r>
        <w:rPr>
          <w:rFonts w:hint="eastAsia" w:ascii="宋体" w:hAnsi="宋体" w:eastAsia="宋体" w:cs="宋体"/>
          <w:b/>
          <w:bCs w:val="0"/>
          <w:color w:val="000000"/>
          <w:sz w:val="22"/>
          <w:szCs w:val="21"/>
          <w:highlight w:val="none"/>
          <w:lang w:val="en-US" w:eastAsia="zh-CN" w:bidi="ar-SA"/>
        </w:rPr>
        <w:t xml:space="preserve"> </w:t>
      </w:r>
      <w:r>
        <w:rPr>
          <w:rFonts w:hint="eastAsia" w:ascii="宋体" w:hAnsi="宋体" w:eastAsia="宋体" w:cs="宋体"/>
          <w:b/>
          <w:bCs/>
          <w:color w:val="000000"/>
          <w:sz w:val="24"/>
          <w:szCs w:val="24"/>
          <w:highlight w:val="none"/>
        </w:rPr>
      </w:r>
      <w:r/>
    </w:p>
    <w:p>
      <w:pPr>
        <w:pStyle w:val="1044"/>
        <w:jc w:val="center"/>
        <w:pageBreakBefore w:val="0"/>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1044"/>
        <w:jc w:val="center"/>
        <w:pageBreakBefore w:val="0"/>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关于符合本国产品标准的声明函</w:t>
      </w:r>
      <w:r>
        <w:rPr>
          <w:rFonts w:hint="eastAsia" w:ascii="宋体" w:hAnsi="宋体" w:eastAsia="宋体" w:cs="宋体"/>
          <w:color w:val="000000"/>
          <w:highlight w:val="none"/>
        </w:rPr>
      </w:r>
      <w:r/>
    </w:p>
    <w:p>
      <w:pPr>
        <w:pStyle w:val="1044"/>
        <w:ind w:firstLine="42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1044"/>
        <w:ind w:firstLine="42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044"/>
        <w:ind w:firstLine="420"/>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（产品名称1）</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vertAlign w:val="superscript"/>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vertAlign w:val="superscript"/>
        </w:rPr>
        <w:t xml:space="preserve">4</w:t>
      </w:r>
      <w:r>
        <w:rPr>
          <w:rFonts w:hint="eastAsia" w:ascii="宋体" w:hAnsi="宋体" w:eastAsia="宋体" w:cs="宋体"/>
          <w:color w:val="000000"/>
          <w:sz w:val="24"/>
          <w:highlight w:val="none"/>
        </w:rPr>
        <w:t xml:space="preserve">在中国境内生产。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vertAlign w:val="superscript"/>
        </w:rPr>
        <w:t xml:space="preserve">5</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1044"/>
        <w:ind w:firstLine="420"/>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（产品名称2）</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在中国境内生产。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1044"/>
        <w:ind w:firstLine="420"/>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044"/>
        <w:ind w:firstLine="420"/>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本公司（单位）对上述声明内容的真实性负责。如有虚假，愿承担相应法律责任。</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1044"/>
        <w:jc w:val="right"/>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公司（单位）名称（盖章）：         </w:t>
      </w:r>
      <w:r>
        <w:rPr>
          <w:rFonts w:hint="eastAsia" w:ascii="宋体" w:hAnsi="宋体" w:eastAsia="宋体" w:cs="宋体"/>
          <w:color w:val="000000"/>
          <w:highlight w:val="none"/>
        </w:rPr>
      </w:r>
      <w:r/>
    </w:p>
    <w:p>
      <w:pPr>
        <w:pStyle w:val="1044"/>
        <w:jc w:val="center"/>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      年   月   日         </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_________________</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1.产品如有型号，请在“产品名称”栏一并填写。</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2.生产厂名与厂址应与生产厂营业执照载明的相关信息保持一致。</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3.该产品的中国境内生产的组件成本占比相关要求实施前，“规定比例”栏可不填，下同。</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4.该产品的关键组件要求实施前，“关键组件”栏可不填，下同。</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5.该产品的关键工序要求实施前，“关键工序”栏可不填，下同。</w:t>
      </w:r>
      <w:r>
        <w:rPr>
          <w:rFonts w:hint="eastAsia" w:ascii="宋体" w:hAnsi="宋体" w:eastAsia="宋体" w:cs="宋体"/>
          <w:color w:val="000000"/>
          <w:highlight w:val="none"/>
        </w:rPr>
      </w:r>
      <w:r/>
    </w:p>
    <w:p>
      <w:pPr>
        <w:pStyle w:val="1044"/>
        <w:pageBreakBefore w:val="0"/>
        <w:spacing w:before="30" w:after="3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6.《声明函》中标注“</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”的地方无需填写。</w:t>
      </w:r>
      <w:r>
        <w:rPr>
          <w:rFonts w:hint="eastAsia" w:ascii="宋体" w:hAnsi="宋体" w:eastAsia="宋体" w:cs="宋体"/>
          <w:color w:val="000000"/>
          <w:highlight w:val="none"/>
        </w:rPr>
      </w:r>
      <w:r/>
    </w:p>
    <w:p>
      <w:pPr>
        <w:pStyle w:val="1044"/>
        <w:pageBreakBefore w:val="0"/>
        <w:spacing w:line="360" w:lineRule="auto"/>
        <w:rPr>
          <w:rFonts w:hint="eastAsia" w:ascii="宋体" w:hAnsi="宋体" w:eastAsia="宋体" w:cs="宋体"/>
          <w:color w:val="000000"/>
          <w:highlight w:val="none"/>
        </w:rPr>
        <w:sectPr>
          <w:footerReference w:type="default" r:id="rId15"/>
          <w:footnotePr/>
          <w:endnotePr>
            <w:numFmt w:val="decimal"/>
          </w:endnotePr>
          <w:type w:val="nextPage"/>
          <w:pgSz w:w="11906" w:h="16838" w:orient="portrait"/>
          <w:pgMar w:top="1304" w:right="1304" w:bottom="1304" w:left="1304" w:header="953" w:footer="799" w:gutter="0"/>
          <w:pgNumType w:start="1"/>
          <w:cols w:num="1" w:sep="0" w:space="1701" w:equalWidth="1"/>
          <w:docGrid w:linePitch="360"/>
        </w:sectPr>
      </w:pPr>
      <w:r>
        <w:rPr>
          <w:rFonts w:hint="eastAsia" w:ascii="宋体" w:hAnsi="宋体" w:eastAsia="宋体" w:cs="宋体"/>
          <w:color w:val="000000"/>
          <w:highlight w:val="none"/>
        </w:rPr>
      </w:r>
      <w:r/>
    </w:p>
    <w:p>
      <w:pPr>
        <w:pStyle w:val="1044"/>
        <w:jc w:val="center"/>
        <w:keepLines/>
        <w:keepNext/>
        <w:pageBreakBefore w:val="0"/>
        <w:spacing w:before="260" w:after="260" w:line="360" w:lineRule="auto"/>
        <w:rPr>
          <w:rFonts w:hint="eastAsia" w:ascii="宋体" w:hAnsi="宋体" w:eastAsia="宋体" w:cs="宋体"/>
          <w:b/>
          <w:color w:val="000000"/>
          <w:sz w:val="32"/>
          <w:szCs w:val="20"/>
          <w:highlight w:val="none"/>
        </w:rPr>
        <w:outlineLvl w:val="1"/>
      </w:pPr>
      <w:r>
        <w:rPr>
          <w:rFonts w:hint="eastAsia" w:ascii="宋体" w:hAnsi="宋体" w:eastAsia="宋体" w:cs="宋体"/>
          <w:b/>
          <w:color w:val="000000"/>
          <w:sz w:val="32"/>
          <w:szCs w:val="20"/>
          <w:highlight w:val="none"/>
        </w:rPr>
        <w:t xml:space="preserve">四、竞争性磋商文件</w:t>
      </w:r>
      <w:r>
        <w:rPr>
          <w:rFonts w:hint="eastAsia" w:ascii="宋体" w:hAnsi="宋体" w:eastAsia="宋体" w:cs="宋体"/>
          <w:b/>
          <w:color w:val="000000"/>
          <w:sz w:val="32"/>
          <w:szCs w:val="20"/>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lang w:eastAsia="zh-CN"/>
        </w:rPr>
        <w:t xml:space="preserve">苏州市相城区园林绿化建设管理中心</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lang w:eastAsia="zh-CN"/>
        </w:rPr>
        <w:t xml:space="preserve">中思项目管理咨询有限公司</w:t>
      </w:r>
      <w:r>
        <w:rPr>
          <w:rFonts w:hint="eastAsia" w:ascii="宋体" w:hAnsi="宋体" w:eastAsia="宋体" w:cs="宋体"/>
          <w:color w:val="000000"/>
          <w:szCs w:val="21"/>
          <w:highlight w:val="none"/>
        </w:rPr>
        <w:t xml:space="preserve">对其需采购的</w:t>
      </w:r>
      <w:r>
        <w:rPr>
          <w:rFonts w:hint="eastAsia" w:ascii="宋体" w:hAnsi="宋体" w:eastAsia="宋体" w:cs="宋体"/>
          <w:color w:val="000000"/>
          <w:szCs w:val="21"/>
          <w:highlight w:val="none"/>
          <w:lang w:eastAsia="zh-CN"/>
        </w:rPr>
        <w:t xml:space="preserve">书香公园文体游乐设施及配套项目</w:t>
      </w:r>
      <w:r>
        <w:rPr>
          <w:rFonts w:hint="eastAsia" w:ascii="宋体" w:hAnsi="宋体" w:eastAsia="宋体" w:cs="宋体"/>
          <w:color w:val="000000"/>
          <w:szCs w:val="21"/>
          <w:highlight w:val="none"/>
        </w:rPr>
        <w:t xml:space="preserve">在国内组织竞争性磋商采购。欢迎符合资格条件的响应单位前来报名参加。</w:t>
      </w:r>
      <w:r>
        <w:rPr>
          <w:rFonts w:hint="eastAsia" w:ascii="宋体" w:hAnsi="宋体" w:eastAsia="宋体" w:cs="宋体"/>
          <w:color w:val="000000"/>
          <w:szCs w:val="21"/>
          <w:highlight w:val="none"/>
        </w:rPr>
      </w:r>
      <w:r/>
    </w:p>
    <w:p>
      <w:pPr>
        <w:pStyle w:val="1044"/>
        <w:ind w:firstLine="422"/>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一、采购编号：</w:t>
      </w:r>
      <w:r>
        <w:rPr>
          <w:rFonts w:hint="eastAsia" w:ascii="宋体" w:hAnsi="宋体" w:eastAsia="宋体" w:cs="宋体"/>
          <w:b/>
          <w:color w:val="000000"/>
          <w:szCs w:val="21"/>
          <w:highlight w:val="none"/>
          <w:lang w:eastAsia="zh-CN"/>
        </w:rPr>
        <w:t xml:space="preserve">JSZC-320507-SZZS-C2026-0029</w:t>
      </w:r>
      <w:r>
        <w:rPr>
          <w:rFonts w:hint="eastAsia" w:ascii="宋体" w:hAnsi="宋体" w:eastAsia="宋体" w:cs="宋体"/>
          <w:b/>
          <w:color w:val="000000"/>
          <w:szCs w:val="21"/>
          <w:highlight w:val="none"/>
        </w:rPr>
        <w:t xml:space="preserve">    </w:t>
      </w:r>
      <w:r>
        <w:rPr>
          <w:rFonts w:hint="eastAsia" w:ascii="宋体" w:hAnsi="宋体" w:eastAsia="宋体" w:cs="宋体"/>
          <w:b/>
          <w:color w:val="000000"/>
          <w:szCs w:val="21"/>
          <w:highlight w:val="none"/>
        </w:rPr>
      </w:r>
      <w:r/>
    </w:p>
    <w:p>
      <w:pPr>
        <w:pStyle w:val="1044"/>
        <w:ind w:firstLine="422"/>
        <w:jc w:val="left"/>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二、项目名称：</w:t>
      </w:r>
      <w:r>
        <w:rPr>
          <w:rFonts w:hint="eastAsia" w:ascii="宋体" w:hAnsi="宋体" w:eastAsia="宋体" w:cs="宋体"/>
          <w:b/>
          <w:color w:val="000000"/>
          <w:szCs w:val="21"/>
          <w:highlight w:val="none"/>
          <w:lang w:eastAsia="zh-CN"/>
        </w:rPr>
        <w:t xml:space="preserve">书香公园文体游乐设施及配套项目</w:t>
      </w:r>
      <w:r>
        <w:rPr>
          <w:rFonts w:hint="eastAsia" w:ascii="宋体" w:hAnsi="宋体" w:eastAsia="宋体" w:cs="宋体"/>
          <w:b/>
          <w:color w:val="000000"/>
          <w:szCs w:val="21"/>
          <w:highlight w:val="none"/>
          <w:lang w:eastAsia="zh-CN"/>
        </w:rPr>
      </w:r>
      <w:r/>
    </w:p>
    <w:p>
      <w:pPr>
        <w:pStyle w:val="1044"/>
        <w:ind w:firstLine="422"/>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三、采购预算：</w:t>
      </w:r>
      <w:bookmarkStart w:id="3" w:name="_Toc204052981"/>
      <w:r>
        <w:rPr>
          <w:rFonts w:hint="eastAsia" w:ascii="宋体" w:hAnsi="宋体" w:eastAsia="宋体" w:cs="宋体"/>
          <w:b/>
          <w:color w:val="000000"/>
          <w:szCs w:val="21"/>
          <w:highlight w:val="none"/>
          <w:lang w:val="en-US" w:eastAsia="zh-CN"/>
        </w:rPr>
        <w:t xml:space="preserve">1111009.17元</w:t>
      </w:r>
      <w:r>
        <w:rPr>
          <w:rFonts w:hint="eastAsia" w:ascii="宋体" w:hAnsi="宋体" w:eastAsia="宋体" w:cs="宋体"/>
          <w:b/>
          <w:color w:val="000000"/>
          <w:szCs w:val="21"/>
          <w:highlight w:val="none"/>
        </w:rPr>
      </w:r>
      <w:r/>
    </w:p>
    <w:p>
      <w:pPr>
        <w:pStyle w:val="1044"/>
        <w:ind w:firstLine="843"/>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最高限价：</w:t>
      </w:r>
      <w:bookmarkEnd w:id="3"/>
      <w:r>
        <w:rPr>
          <w:rFonts w:hint="eastAsia" w:ascii="宋体" w:hAnsi="宋体" w:eastAsia="宋体" w:cs="宋体"/>
          <w:b/>
          <w:color w:val="000000"/>
          <w:szCs w:val="21"/>
          <w:highlight w:val="none"/>
          <w:lang w:val="en-US" w:eastAsia="zh-CN"/>
        </w:rPr>
        <w:t xml:space="preserve">1111009.17元</w:t>
      </w:r>
      <w:r>
        <w:rPr>
          <w:rFonts w:hint="eastAsia" w:ascii="宋体" w:hAnsi="宋体" w:eastAsia="宋体" w:cs="宋体"/>
          <w:b/>
          <w:color w:val="000000"/>
          <w:szCs w:val="21"/>
          <w:highlight w:val="none"/>
        </w:rPr>
      </w:r>
      <w:r/>
    </w:p>
    <w:p>
      <w:pPr>
        <w:pStyle w:val="1044"/>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r>
        <w:rPr>
          <w:rFonts w:hint="eastAsia" w:ascii="宋体" w:hAnsi="宋体" w:eastAsia="宋体" w:cs="宋体"/>
          <w:b/>
          <w:bCs/>
          <w:color w:val="000000"/>
          <w:szCs w:val="21"/>
          <w:highlight w:val="none"/>
        </w:rPr>
        <w:t xml:space="preserve">采购内容：</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、采购方式：竞争性磋商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、工期要求：</w:t>
      </w:r>
      <w:r>
        <w:rPr>
          <w:rFonts w:hint="eastAsia" w:ascii="宋体" w:hAnsi="宋体" w:eastAsia="宋体" w:cs="宋体"/>
          <w:color w:val="000000"/>
          <w:szCs w:val="21"/>
          <w:highlight w:val="none"/>
          <w:lang w:val="en-US" w:eastAsia="zh-CN"/>
        </w:rPr>
        <w:t xml:space="preserve">90</w:t>
      </w:r>
      <w:r>
        <w:rPr>
          <w:rFonts w:hint="eastAsia" w:ascii="宋体" w:hAnsi="宋体" w:eastAsia="宋体" w:cs="宋体"/>
          <w:color w:val="000000"/>
          <w:szCs w:val="21"/>
          <w:highlight w:val="none"/>
        </w:rPr>
        <w:t xml:space="preserve">日历天（具体按采购人通知为准）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、工程地点：</w:t>
      </w:r>
      <w:r>
        <w:rPr>
          <w:rFonts w:hint="eastAsia" w:ascii="宋体" w:hAnsi="宋体" w:eastAsia="宋体" w:cs="宋体"/>
          <w:color w:val="000000"/>
          <w:szCs w:val="21"/>
          <w:highlight w:val="none"/>
          <w:lang w:eastAsia="zh-CN"/>
        </w:rPr>
        <w:t xml:space="preserve">书香公园</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4、项目承包方式：包工包料。</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5、项目质量要求：合格。</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6、需说明的其他问题：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（1）本工程赶工措施费不考虑，投标单位自行考虑报价。</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（2）本工程根据招标文件和技术要求已考虑需施工单位承担的费用，投标单位自行考虑报价，该费用包干使用、结算不调整。</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（3）其他未详尽之处，详见图纸、提疑回复及招标文件为准等。</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五、项目条件：</w:t>
      </w:r>
      <w:r>
        <w:rPr>
          <w:rFonts w:hint="eastAsia" w:ascii="宋体" w:hAnsi="宋体" w:eastAsia="宋体" w:cs="宋体"/>
          <w:b/>
          <w:bCs/>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1、本工程项目根据《中华人民共和国政府采购法》及其实施条例等有关规定，按照现行法律、法规和部门规章，通过竞争性磋商方式，选定承包人。</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2、现场条件：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2.1施工现场平整情况：</w:t>
      </w:r>
      <w:r>
        <w:rPr>
          <w:rFonts w:hint="eastAsia" w:ascii="宋体" w:hAnsi="宋体" w:eastAsia="宋体" w:cs="宋体"/>
          <w:color w:val="000000"/>
          <w:szCs w:val="21"/>
          <w:highlight w:val="none"/>
          <w:u w:val="single"/>
        </w:rPr>
        <w:t xml:space="preserve">场地已平整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2.2场内外道路：</w:t>
      </w:r>
      <w:r>
        <w:rPr>
          <w:rFonts w:hint="eastAsia" w:ascii="宋体" w:hAnsi="宋体" w:eastAsia="宋体" w:cs="宋体"/>
          <w:color w:val="000000"/>
          <w:szCs w:val="21"/>
          <w:highlight w:val="none"/>
          <w:u w:val="single"/>
        </w:rPr>
        <w:t xml:space="preserve">原有现状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2.3施工用水电：</w:t>
      </w:r>
      <w:r>
        <w:rPr>
          <w:rFonts w:hint="eastAsia" w:ascii="宋体" w:hAnsi="宋体" w:eastAsia="宋体" w:cs="宋体"/>
          <w:color w:val="000000"/>
          <w:szCs w:val="21"/>
          <w:highlight w:val="none"/>
          <w:u w:val="single"/>
        </w:rPr>
        <w:t xml:space="preserve">自行解决，费用由承包商承担，考虑在报价中。</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3、发包范围：</w:t>
      </w:r>
      <w:r>
        <w:rPr>
          <w:rFonts w:hint="eastAsia" w:ascii="宋体" w:hAnsi="宋体" w:eastAsia="宋体" w:cs="宋体"/>
          <w:color w:val="000000"/>
          <w:szCs w:val="21"/>
          <w:highlight w:val="none"/>
          <w:u w:val="single"/>
        </w:rPr>
        <w:t xml:space="preserve">施工主要内容是对</w:t>
      </w:r>
      <w:r>
        <w:rPr>
          <w:rFonts w:hint="eastAsia" w:ascii="宋体" w:hAnsi="宋体" w:eastAsia="宋体" w:cs="宋体"/>
          <w:color w:val="000000"/>
          <w:szCs w:val="21"/>
          <w:highlight w:val="none"/>
          <w:u w:val="single"/>
          <w:lang w:eastAsia="zh-CN"/>
        </w:rPr>
        <w:t xml:space="preserve">书香公园文体游乐设施及配套项目</w:t>
      </w:r>
      <w:r>
        <w:rPr>
          <w:rFonts w:hint="eastAsia" w:ascii="宋体" w:hAnsi="宋体" w:eastAsia="宋体" w:cs="宋体"/>
          <w:color w:val="000000"/>
          <w:szCs w:val="21"/>
          <w:highlight w:val="none"/>
          <w:u w:val="single"/>
        </w:rPr>
        <w:t xml:space="preserve">等，具体以图纸、工程量清单说明为准。</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、磋商费用：磋商供应商</w:t>
      </w:r>
      <w:r>
        <w:rPr>
          <w:rFonts w:hint="eastAsia" w:ascii="宋体" w:hAnsi="宋体" w:eastAsia="宋体" w:cs="宋体"/>
          <w:color w:val="000000"/>
          <w:szCs w:val="21"/>
          <w:highlight w:val="none"/>
        </w:rPr>
        <w:t xml:space="preserve">承担其编制</w:t>
      </w:r>
      <w:r>
        <w:rPr>
          <w:rFonts w:hint="eastAsia" w:ascii="宋体" w:hAnsi="宋体" w:eastAsia="宋体" w:cs="宋体"/>
          <w:color w:val="000000"/>
          <w:szCs w:val="21"/>
          <w:highlight w:val="none"/>
        </w:rPr>
        <w:t xml:space="preserve">及递交响应</w:t>
      </w:r>
      <w:r>
        <w:rPr>
          <w:rFonts w:hint="eastAsia" w:ascii="宋体" w:hAnsi="宋体" w:eastAsia="宋体" w:cs="宋体"/>
          <w:color w:val="000000"/>
          <w:szCs w:val="21"/>
          <w:highlight w:val="none"/>
        </w:rPr>
        <w:t xml:space="preserve">文件的一切费用，无论结果如何，发包人对上述费用不负任何责任。</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六</w:t>
      </w:r>
      <w:r>
        <w:rPr>
          <w:rFonts w:hint="eastAsia" w:ascii="宋体" w:hAnsi="宋体" w:eastAsia="宋体" w:cs="宋体"/>
          <w:b/>
          <w:bCs/>
          <w:color w:val="000000"/>
          <w:szCs w:val="21"/>
          <w:highlight w:val="none"/>
        </w:rPr>
        <w:t xml:space="preserve">、采购需求：</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1、工程量清单计价编制依据：</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（1）建设单位提供的相关资料；</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（2）工程量清单编制依据（如有最新标准则以新标准为依据执行）：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Cs w:val="21"/>
          <w:highlight w:val="none"/>
        </w:rPr>
        <w:t xml:space="preserve">建设单位提供的项目工程量清单等。</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Cs w:val="21"/>
          <w:highlight w:val="none"/>
        </w:rPr>
        <w:t xml:space="preserve">《建设工程工程量清单计价规范》(</w:t>
      </w:r>
      <w:r>
        <w:rPr>
          <w:rFonts w:hint="eastAsia" w:ascii="宋体" w:hAnsi="宋体" w:eastAsia="宋体" w:cs="宋体"/>
          <w:color w:val="000000"/>
          <w:szCs w:val="21"/>
          <w:highlight w:val="none"/>
          <w:lang w:eastAsia="zh-CN"/>
        </w:rPr>
        <w:t xml:space="preserve">GB50500-2024</w:t>
      </w:r>
      <w:r>
        <w:rPr>
          <w:rFonts w:hint="eastAsia" w:ascii="宋体" w:hAnsi="宋体" w:eastAsia="宋体" w:cs="宋体"/>
          <w:color w:val="000000"/>
          <w:szCs w:val="21"/>
          <w:highlight w:val="none"/>
        </w:rPr>
        <w:t xml:space="preserve">)及其9本工程量计算规范、《江苏省市政工程计价定额》（2014版）、《江苏省</w:t>
      </w:r>
      <w:r>
        <w:rPr>
          <w:rFonts w:hint="eastAsia" w:ascii="宋体" w:hAnsi="宋体" w:eastAsia="宋体" w:cs="宋体"/>
          <w:color w:val="000000"/>
          <w:szCs w:val="21"/>
          <w:highlight w:val="none"/>
          <w:lang w:val="en-US" w:eastAsia="zh-CN"/>
        </w:rPr>
        <w:t xml:space="preserve">建筑与装饰</w:t>
      </w:r>
      <w:r>
        <w:rPr>
          <w:rFonts w:hint="eastAsia" w:ascii="宋体" w:hAnsi="宋体" w:eastAsia="宋体" w:cs="宋体"/>
          <w:color w:val="000000"/>
          <w:szCs w:val="21"/>
          <w:highlight w:val="none"/>
        </w:rPr>
        <w:t xml:space="preserve">工程计价定额》（2014版）、《江苏省</w:t>
      </w:r>
      <w:r>
        <w:rPr>
          <w:rFonts w:hint="eastAsia" w:ascii="宋体" w:hAnsi="宋体" w:eastAsia="宋体" w:cs="宋体"/>
          <w:color w:val="000000"/>
          <w:szCs w:val="21"/>
          <w:highlight w:val="none"/>
          <w:lang w:val="en-US" w:eastAsia="zh-CN"/>
        </w:rPr>
        <w:t xml:space="preserve">园林</w:t>
      </w:r>
      <w:r>
        <w:rPr>
          <w:rFonts w:hint="eastAsia" w:ascii="宋体" w:hAnsi="宋体" w:eastAsia="宋体" w:cs="宋体"/>
          <w:color w:val="000000"/>
          <w:szCs w:val="21"/>
          <w:highlight w:val="none"/>
        </w:rPr>
        <w:t xml:space="preserve">计价定额》（20</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版）《江苏省建设工程费用定额》（2014版）及现行有关文件执行。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Cs w:val="21"/>
          <w:highlight w:val="none"/>
        </w:rPr>
        <w:t xml:space="preserve">人工工资调整按《江苏省住房城乡建设厅关于发布建设工程人工工资指导价的通知》（苏建函价〔202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27</w:t>
      </w:r>
      <w:r>
        <w:rPr>
          <w:rFonts w:hint="eastAsia" w:ascii="宋体" w:hAnsi="宋体" w:eastAsia="宋体" w:cs="宋体"/>
          <w:color w:val="000000"/>
          <w:szCs w:val="21"/>
          <w:highlight w:val="none"/>
        </w:rPr>
        <w:t xml:space="preserve">号文）。</w:t>
      </w:r>
      <w:r>
        <w:rPr>
          <w:rFonts w:hint="eastAsia" w:ascii="宋体" w:hAnsi="宋体" w:eastAsia="宋体" w:cs="宋体"/>
          <w:color w:val="000000"/>
          <w:szCs w:val="21"/>
          <w:highlight w:val="none"/>
        </w:rPr>
      </w:r>
      <w:r/>
    </w:p>
    <w:p>
      <w:pPr>
        <w:pStyle w:val="1044"/>
        <w:ind w:firstLine="422"/>
        <w:pageBreakBefore w:val="0"/>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七、综合说明及其它要求</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1、投标单位必须承诺磋商文件中提出的全部技术规格与要求，如果以其中某些条款不响应时，应在文件中逐条列出，未列出的视同响应。</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2、本项目需要配置项目负责人1名</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lang w:val="en-US" w:eastAsia="zh-CN"/>
        </w:rPr>
        <w:t xml:space="preserve">人员数名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供应商应建立健全环境保护管理体系，污染物处理及排放符合国家及地方环境保护标准，技术及管理措施到位，施工区须经常撒水，减少粉尘污染，施工机械油污处理得当。建设、城管或其它行政管理部门批评或开具处罚通知单，每发生一次，供应商除立即整改外，供应商向采购人还应支付5000元/次的违约金，采购人有权在应支付的工程款中直接予以扣除。</w:t>
      </w:r>
      <w:r>
        <w:rPr>
          <w:rFonts w:hint="eastAsia" w:ascii="宋体" w:hAnsi="宋体" w:eastAsia="宋体" w:cs="宋体"/>
          <w:color w:val="000000"/>
          <w:szCs w:val="21"/>
          <w:highlight w:val="none"/>
        </w:rPr>
      </w:r>
      <w:r/>
    </w:p>
    <w:p>
      <w:pPr>
        <w:pStyle w:val="1133"/>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供应商施工过程中的建筑垃圾和生活垃圾不得在施工场地内任意弃置，应进行及时清运并合理处置，应按指定的渣场弃渣，统一运至法定处置地点。对施工中难以避免滑入河道的渣土、因施工造成的场地塌滑与泥沙漫流等问题，应根据监理人指示和地方城管、环境保护部门要求，采取合理措施进行处理。如因供应商清运处置不当引起投诉、</w:t>
      </w:r>
      <w:r>
        <w:rPr>
          <w:rFonts w:hint="eastAsia" w:ascii="宋体" w:hAnsi="宋体" w:eastAsia="宋体" w:cs="宋体"/>
          <w:color w:val="000000"/>
          <w:szCs w:val="21"/>
          <w:highlight w:val="none"/>
          <w:lang w:val="en-US"/>
        </w:rPr>
        <w:t xml:space="preserve">处罚</w:t>
      </w:r>
      <w:r>
        <w:rPr>
          <w:rFonts w:hint="eastAsia" w:ascii="宋体" w:hAnsi="宋体" w:eastAsia="宋体" w:cs="宋体"/>
          <w:color w:val="000000"/>
          <w:szCs w:val="21"/>
          <w:highlight w:val="none"/>
          <w:lang w:val="en-US" w:eastAsia="zh-CN"/>
        </w:rPr>
        <w:t xml:space="preserve">等视为违约，每发生一次处合同金额10%的违约金，采购人</w:t>
      </w:r>
      <w:r>
        <w:rPr>
          <w:rFonts w:hint="eastAsia" w:ascii="宋体" w:hAnsi="宋体" w:eastAsia="宋体" w:cs="宋体"/>
          <w:color w:val="000000"/>
          <w:szCs w:val="21"/>
          <w:highlight w:val="none"/>
        </w:rPr>
        <w:t xml:space="preserve">有权在应支付的工程款中直接予以扣除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同时由此产生的一切后果由供应商承担。</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对实施后无法进行复核的变更签证（如拆除、垃圾清运等）,供应商必须留下可证明相应工作量的影像资料，结算时如无影像资料或提供资料无法反映相应的工作量，结算审计时有权按照有利于采购人权利进行处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、本工程追加费用不得超过原合同金额的10%；原合同金额10%以内的追加费用，限于原合同内工程清单数量调整增加的工程费用，原合同外工程内容不得计入。</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、因成交单位自身原因而导致的工程变更，成交单位无权要求追加合同价款及工期延长。</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、工程竣工验收结束后，成交单位应该做到工完场清，如果施工便道等没有清理，则采购人有权委托其他单位拆除清理，具体费用从成交单位工程款中扣除，若采购人要求保留，则不予扣除成交单位费用。</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构成本</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文件中有特别规定外，仅适用于</w:t>
      </w:r>
      <w:r>
        <w:rPr>
          <w:rFonts w:hint="eastAsia" w:ascii="宋体" w:hAnsi="宋体" w:eastAsia="宋体" w:cs="宋体"/>
          <w:color w:val="000000"/>
          <w:szCs w:val="21"/>
          <w:highlight w:val="none"/>
          <w:lang w:val="en-US" w:eastAsia="zh-CN"/>
        </w:rPr>
        <w:t xml:space="preserve">采购响应</w:t>
      </w:r>
      <w:r>
        <w:rPr>
          <w:rFonts w:hint="eastAsia" w:ascii="宋体" w:hAnsi="宋体" w:eastAsia="宋体" w:cs="宋体"/>
          <w:color w:val="000000"/>
          <w:szCs w:val="21"/>
          <w:highlight w:val="none"/>
        </w:rPr>
        <w:t xml:space="preserve">阶段的规定，按</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公告、</w:t>
      </w:r>
      <w:r>
        <w:rPr>
          <w:rFonts w:hint="eastAsia" w:ascii="宋体" w:hAnsi="宋体" w:eastAsia="宋体" w:cs="宋体"/>
          <w:color w:val="000000"/>
          <w:szCs w:val="21"/>
          <w:highlight w:val="none"/>
          <w:lang w:val="en-US" w:eastAsia="zh-CN"/>
        </w:rPr>
        <w:t xml:space="preserve">供应商须知、</w:t>
      </w:r>
      <w:r>
        <w:rPr>
          <w:rFonts w:hint="eastAsia" w:ascii="宋体" w:hAnsi="宋体" w:eastAsia="宋体" w:cs="宋体"/>
          <w:color w:val="000000"/>
          <w:szCs w:val="21"/>
          <w:highlight w:val="none"/>
        </w:rPr>
        <w:t xml:space="preserve">评标办法、</w:t>
      </w:r>
      <w:r>
        <w:rPr>
          <w:rFonts w:hint="eastAsia" w:ascii="宋体" w:hAnsi="宋体" w:eastAsia="宋体" w:cs="宋体"/>
          <w:color w:val="000000"/>
          <w:szCs w:val="21"/>
          <w:highlight w:val="none"/>
          <w:lang w:eastAsia="zh-CN"/>
        </w:rPr>
        <w:t xml:space="preserve">磋商响应文件</w:t>
      </w:r>
      <w:r>
        <w:rPr>
          <w:rFonts w:hint="eastAsia" w:ascii="宋体" w:hAnsi="宋体" w:eastAsia="宋体" w:cs="宋体"/>
          <w:color w:val="000000"/>
          <w:szCs w:val="21"/>
          <w:highlight w:val="none"/>
        </w:rPr>
        <w:t xml:space="preserve">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rPr>
        <w:t xml:space="preserve">负责解释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凡涉及</w:t>
      </w:r>
      <w:r>
        <w:rPr>
          <w:rFonts w:hint="eastAsia" w:ascii="宋体" w:hAnsi="宋体" w:eastAsia="宋体" w:cs="宋体"/>
          <w:color w:val="000000"/>
          <w:szCs w:val="21"/>
          <w:highlight w:val="none"/>
        </w:rPr>
        <w:t xml:space="preserve">磋商采购文件</w:t>
      </w:r>
      <w:r>
        <w:rPr>
          <w:rFonts w:hint="eastAsia" w:ascii="宋体" w:hAnsi="宋体" w:eastAsia="宋体" w:cs="宋体"/>
          <w:color w:val="000000"/>
          <w:szCs w:val="21"/>
          <w:highlight w:val="none"/>
        </w:rPr>
        <w:t xml:space="preserve">的补充说明和修改，均以</w:t>
      </w:r>
      <w:r>
        <w:rPr>
          <w:rFonts w:hint="eastAsia" w:ascii="宋体" w:hAnsi="宋体" w:eastAsia="宋体" w:cs="宋体"/>
          <w:color w:val="000000"/>
          <w:szCs w:val="21"/>
          <w:highlight w:val="none"/>
        </w:rPr>
        <w:t xml:space="preserve">苏州市政府采购网、江苏政府采购网上发布的</w:t>
      </w:r>
      <w:r>
        <w:rPr>
          <w:rFonts w:hint="eastAsia" w:ascii="宋体" w:hAnsi="宋体" w:eastAsia="宋体" w:cs="宋体"/>
          <w:color w:val="000000"/>
          <w:szCs w:val="21"/>
          <w:highlight w:val="none"/>
        </w:rPr>
        <w:t xml:space="preserve">通知为准。</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4"/>
          <w:highlight w:val="none"/>
        </w:rPr>
        <w:sectPr>
          <w:headerReference w:type="default" r:id="rId9"/>
          <w:footerReference w:type="default" r:id="rId16"/>
          <w:footerReference w:type="first" r:id="rId17"/>
          <w:footnotePr/>
          <w:endnotePr/>
          <w:type w:val="nextPage"/>
          <w:pgSz w:w="11906" w:h="16838" w:orient="portrait"/>
          <w:pgMar w:top="1440" w:right="1080" w:bottom="1440" w:left="1080" w:header="624" w:footer="510" w:gutter="113"/>
          <w:pgNumType w:start="1"/>
          <w:cols w:num="1" w:sep="0" w:space="1701" w:equalWidth="1"/>
          <w:docGrid w:linePitch="360"/>
          <w:titlePg/>
        </w:sectPr>
      </w:pPr>
      <w:r>
        <w:rPr>
          <w:rFonts w:hint="eastAsia" w:ascii="宋体" w:hAnsi="宋体" w:eastAsia="宋体" w:cs="宋体"/>
          <w:color w:val="000000"/>
          <w:szCs w:val="24"/>
          <w:highlight w:val="none"/>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五、合同主要条款</w:t>
      </w:r>
      <w:r>
        <w:rPr>
          <w:rFonts w:hint="eastAsia" w:ascii="宋体" w:hAnsi="宋体" w:eastAsia="宋体" w:cs="宋体"/>
          <w:b/>
          <w:color w:val="000000"/>
          <w:sz w:val="32"/>
          <w:szCs w:val="32"/>
          <w:highlight w:val="none"/>
        </w:rPr>
      </w:r>
      <w:r/>
    </w:p>
    <w:p>
      <w:pPr>
        <w:pStyle w:val="1044"/>
        <w:jc w:val="center"/>
        <w:pageBreakBefore w:val="0"/>
        <w:spacing w:line="360" w:lineRule="auto"/>
        <w:rPr>
          <w:rFonts w:hint="eastAsia" w:ascii="宋体" w:hAnsi="宋体" w:eastAsia="宋体" w:cs="宋体"/>
          <w:b/>
          <w:bCs/>
          <w:color w:val="000000"/>
          <w:spacing w:val="-4"/>
          <w:sz w:val="72"/>
          <w:szCs w:val="72"/>
          <w:highlight w:val="none"/>
        </w:rPr>
      </w:pPr>
      <w:r>
        <w:rPr>
          <w:rFonts w:hint="eastAsia" w:ascii="宋体" w:hAnsi="宋体" w:eastAsia="宋体" w:cs="宋体"/>
          <w:b/>
          <w:bCs/>
          <w:color w:val="000000"/>
          <w:spacing w:val="-4"/>
          <w:sz w:val="72"/>
          <w:szCs w:val="72"/>
          <w:highlight w:val="none"/>
        </w:rPr>
        <w:t xml:space="preserve">建设工程施工合同</w:t>
      </w:r>
      <w:r>
        <w:rPr>
          <w:rFonts w:hint="eastAsia" w:ascii="宋体" w:hAnsi="宋体" w:eastAsia="宋体" w:cs="宋体"/>
          <w:b/>
          <w:bCs/>
          <w:color w:val="000000"/>
          <w:spacing w:val="-4"/>
          <w:sz w:val="72"/>
          <w:szCs w:val="72"/>
          <w:highlight w:val="none"/>
        </w:rPr>
      </w:r>
      <w:r/>
    </w:p>
    <w:p>
      <w:pPr>
        <w:pStyle w:val="1044"/>
        <w:jc w:val="center"/>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color w:val="000000"/>
          <w:spacing w:val="4"/>
          <w:sz w:val="31"/>
          <w:szCs w:val="31"/>
          <w:highlight w:val="none"/>
        </w:rPr>
        <w:t xml:space="preserve">（</w:t>
      </w:r>
      <w:r>
        <w:rPr>
          <w:rFonts w:hint="eastAsia" w:ascii="宋体" w:hAnsi="宋体" w:eastAsia="宋体" w:cs="宋体"/>
          <w:color w:val="000000"/>
          <w:sz w:val="31"/>
          <w:szCs w:val="31"/>
          <w:highlight w:val="none"/>
        </w:rPr>
        <w:t xml:space="preserve">GF</w:t>
      </w:r>
      <w:r>
        <w:rPr>
          <w:rFonts w:hint="eastAsia" w:ascii="宋体" w:hAnsi="宋体" w:eastAsia="宋体" w:cs="宋体"/>
          <w:color w:val="000000"/>
          <w:spacing w:val="4"/>
          <w:sz w:val="31"/>
          <w:szCs w:val="31"/>
          <w:highlight w:val="none"/>
        </w:rPr>
        <w:t xml:space="preserve">—2017—0201</w:t>
      </w:r>
      <w:r>
        <w:rPr>
          <w:rFonts w:hint="eastAsia" w:ascii="宋体" w:hAnsi="宋体" w:eastAsia="宋体" w:cs="宋体"/>
          <w:color w:val="000000"/>
          <w:spacing w:val="4"/>
          <w:sz w:val="31"/>
          <w:szCs w:val="31"/>
          <w:highlight w:val="none"/>
        </w:rPr>
        <w:t xml:space="preserve">）</w:t>
      </w:r>
      <w:r>
        <w:rPr>
          <w:rFonts w:hint="eastAsia" w:ascii="宋体" w:hAnsi="宋体" w:eastAsia="宋体" w:cs="宋体"/>
          <w:b/>
          <w:color w:val="000000"/>
          <w:sz w:val="52"/>
          <w:szCs w:val="52"/>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w:t>
      </w:r>
      <w:r>
        <w:rPr>
          <w:rFonts w:hint="eastAsia" w:ascii="宋体" w:hAnsi="宋体" w:eastAsia="宋体" w:cs="宋体"/>
          <w:color w:val="000000"/>
          <w:sz w:val="30"/>
          <w:szCs w:val="30"/>
          <w:highlight w:val="none"/>
        </w:rPr>
        <w:t xml:space="preserve">名称</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书香公园文体游乐设施及配套项目</w:t>
      </w:r>
      <w:r>
        <w:rPr>
          <w:rFonts w:hint="eastAsia" w:ascii="宋体" w:hAnsi="宋体" w:eastAsia="宋体" w:cs="宋体"/>
          <w:color w:val="000000"/>
          <w:sz w:val="30"/>
          <w:szCs w:val="30"/>
          <w:highlight w:val="none"/>
          <w:lang w:eastAsia="zh-CN"/>
        </w:rPr>
      </w:r>
      <w:r/>
    </w:p>
    <w:p>
      <w:pPr>
        <w:pStyle w:val="1044"/>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签订</w:t>
      </w: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t xml:space="preserve">20</w:t>
      </w:r>
      <w:r>
        <w:rPr>
          <w:rFonts w:hint="eastAsia" w:ascii="宋体" w:hAnsi="宋体" w:eastAsia="宋体" w:cs="宋体"/>
          <w:color w:val="000000"/>
          <w:sz w:val="30"/>
          <w:szCs w:val="30"/>
          <w:highlight w:val="none"/>
        </w:rPr>
        <w:t xml:space="preserve">26</w:t>
      </w:r>
      <w:r>
        <w:rPr>
          <w:rFonts w:hint="eastAsia" w:ascii="宋体" w:hAnsi="宋体" w:eastAsia="宋体" w:cs="宋体"/>
          <w:color w:val="000000"/>
          <w:sz w:val="30"/>
          <w:szCs w:val="30"/>
          <w:highlight w:val="none"/>
        </w:rPr>
        <w:t xml:space="preserve">年   月   日</w:t>
      </w:r>
      <w:r>
        <w:rPr>
          <w:rFonts w:hint="eastAsia" w:ascii="宋体" w:hAnsi="宋体" w:eastAsia="宋体" w:cs="宋体"/>
          <w:color w:val="000000"/>
          <w:sz w:val="30"/>
          <w:szCs w:val="30"/>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ind w:right="964" w:firstLine="1755"/>
        <w:jc w:val="left"/>
        <w:pageBreakBefore w:val="0"/>
        <w:spacing w:before="58" w:line="360" w:lineRule="auto"/>
        <w:widowControl/>
        <w:rPr>
          <w:rFonts w:hint="eastAsia" w:ascii="宋体" w:hAnsi="宋体" w:eastAsia="宋体" w:cs="宋体"/>
          <w:color w:val="000000"/>
          <w:sz w:val="30"/>
          <w:szCs w:val="30"/>
          <w:highlight w:val="none"/>
        </w:rPr>
      </w:pPr>
      <w:r>
        <w:rPr>
          <w:rFonts w:hint="eastAsia" w:ascii="宋体" w:hAnsi="宋体" w:eastAsia="宋体" w:cs="宋体"/>
          <w:b/>
          <w:bCs/>
          <w:color w:val="000000"/>
          <w:spacing w:val="-15"/>
          <w:sz w:val="30"/>
          <w:szCs w:val="30"/>
          <w:highlight w:val="none"/>
        </w:rPr>
        <w:t xml:space="preserve">住</w:t>
      </w:r>
      <w:r>
        <w:rPr>
          <w:rFonts w:hint="eastAsia" w:ascii="宋体" w:hAnsi="宋体" w:eastAsia="宋体" w:cs="宋体"/>
          <w:color w:val="000000"/>
          <w:spacing w:val="-15"/>
          <w:sz w:val="30"/>
          <w:szCs w:val="30"/>
          <w:highlight w:val="none"/>
        </w:rPr>
        <w:t xml:space="preserve"> </w:t>
      </w:r>
      <w:r>
        <w:rPr>
          <w:rFonts w:hint="eastAsia" w:ascii="宋体" w:hAnsi="宋体" w:eastAsia="宋体" w:cs="宋体"/>
          <w:b/>
          <w:bCs/>
          <w:color w:val="000000"/>
          <w:spacing w:val="-15"/>
          <w:sz w:val="30"/>
          <w:szCs w:val="30"/>
          <w:highlight w:val="none"/>
        </w:rPr>
        <w:t xml:space="preserve">房</w:t>
      </w:r>
      <w:r>
        <w:rPr>
          <w:rFonts w:hint="eastAsia" w:ascii="宋体" w:hAnsi="宋体" w:eastAsia="宋体" w:cs="宋体"/>
          <w:color w:val="000000"/>
          <w:spacing w:val="18"/>
          <w:sz w:val="30"/>
          <w:szCs w:val="30"/>
          <w:highlight w:val="none"/>
        </w:rPr>
        <w:t xml:space="preserve"> </w:t>
      </w:r>
      <w:r>
        <w:rPr>
          <w:rFonts w:hint="eastAsia" w:ascii="宋体" w:hAnsi="宋体" w:eastAsia="宋体" w:cs="宋体"/>
          <w:b/>
          <w:bCs/>
          <w:color w:val="000000"/>
          <w:spacing w:val="-15"/>
          <w:sz w:val="30"/>
          <w:szCs w:val="30"/>
          <w:highlight w:val="none"/>
        </w:rPr>
        <w:t xml:space="preserve">和</w:t>
      </w:r>
      <w:r>
        <w:rPr>
          <w:rFonts w:hint="eastAsia" w:ascii="宋体" w:hAnsi="宋体" w:eastAsia="宋体" w:cs="宋体"/>
          <w:color w:val="000000"/>
          <w:spacing w:val="12"/>
          <w:sz w:val="30"/>
          <w:szCs w:val="30"/>
          <w:highlight w:val="none"/>
        </w:rPr>
        <w:t xml:space="preserve"> </w:t>
      </w:r>
      <w:r>
        <w:rPr>
          <w:rFonts w:hint="eastAsia" w:ascii="宋体" w:hAnsi="宋体" w:eastAsia="宋体" w:cs="宋体"/>
          <w:b/>
          <w:bCs/>
          <w:color w:val="000000"/>
          <w:spacing w:val="-15"/>
          <w:sz w:val="30"/>
          <w:szCs w:val="30"/>
          <w:highlight w:val="none"/>
        </w:rPr>
        <w:t xml:space="preserve">城</w:t>
      </w:r>
      <w:r>
        <w:rPr>
          <w:rFonts w:hint="eastAsia" w:ascii="宋体" w:hAnsi="宋体" w:eastAsia="宋体" w:cs="宋体"/>
          <w:color w:val="000000"/>
          <w:spacing w:val="40"/>
          <w:sz w:val="30"/>
          <w:szCs w:val="30"/>
          <w:highlight w:val="none"/>
        </w:rPr>
        <w:t xml:space="preserve"> </w:t>
      </w:r>
      <w:r>
        <w:rPr>
          <w:rFonts w:hint="eastAsia" w:ascii="宋体" w:hAnsi="宋体" w:eastAsia="宋体" w:cs="宋体"/>
          <w:b/>
          <w:bCs/>
          <w:color w:val="000000"/>
          <w:spacing w:val="-15"/>
          <w:sz w:val="30"/>
          <w:szCs w:val="30"/>
          <w:highlight w:val="none"/>
        </w:rPr>
        <w:t xml:space="preserve">乡</w:t>
      </w:r>
      <w:r>
        <w:rPr>
          <w:rFonts w:hint="eastAsia" w:ascii="宋体" w:hAnsi="宋体" w:eastAsia="宋体" w:cs="宋体"/>
          <w:color w:val="000000"/>
          <w:spacing w:val="15"/>
          <w:sz w:val="30"/>
          <w:szCs w:val="30"/>
          <w:highlight w:val="none"/>
        </w:rPr>
        <w:t xml:space="preserve"> </w:t>
      </w:r>
      <w:r>
        <w:rPr>
          <w:rFonts w:hint="eastAsia" w:ascii="宋体" w:hAnsi="宋体" w:eastAsia="宋体" w:cs="宋体"/>
          <w:b/>
          <w:bCs/>
          <w:color w:val="000000"/>
          <w:spacing w:val="-15"/>
          <w:sz w:val="30"/>
          <w:szCs w:val="30"/>
          <w:highlight w:val="none"/>
        </w:rPr>
        <w:t xml:space="preserve">建</w:t>
      </w:r>
      <w:r>
        <w:rPr>
          <w:rFonts w:hint="eastAsia" w:ascii="宋体" w:hAnsi="宋体" w:eastAsia="宋体" w:cs="宋体"/>
          <w:color w:val="000000"/>
          <w:spacing w:val="17"/>
          <w:sz w:val="30"/>
          <w:szCs w:val="30"/>
          <w:highlight w:val="none"/>
        </w:rPr>
        <w:t xml:space="preserve"> </w:t>
      </w:r>
      <w:r>
        <w:rPr>
          <w:rFonts w:hint="eastAsia" w:ascii="宋体" w:hAnsi="宋体" w:eastAsia="宋体" w:cs="宋体"/>
          <w:b/>
          <w:bCs/>
          <w:color w:val="000000"/>
          <w:spacing w:val="-15"/>
          <w:sz w:val="30"/>
          <w:szCs w:val="30"/>
          <w:highlight w:val="none"/>
        </w:rPr>
        <w:t xml:space="preserve">设</w:t>
      </w:r>
      <w:r>
        <w:rPr>
          <w:rFonts w:hint="eastAsia" w:ascii="宋体" w:hAnsi="宋体" w:eastAsia="宋体" w:cs="宋体"/>
          <w:color w:val="000000"/>
          <w:spacing w:val="15"/>
          <w:sz w:val="30"/>
          <w:szCs w:val="30"/>
          <w:highlight w:val="none"/>
        </w:rPr>
        <w:t xml:space="preserve"> </w:t>
      </w:r>
      <w:r>
        <w:rPr>
          <w:rFonts w:hint="eastAsia" w:ascii="宋体" w:hAnsi="宋体" w:eastAsia="宋体" w:cs="宋体"/>
          <w:b/>
          <w:bCs/>
          <w:color w:val="000000"/>
          <w:spacing w:val="-15"/>
          <w:sz w:val="30"/>
          <w:szCs w:val="30"/>
          <w:highlight w:val="none"/>
        </w:rPr>
        <w:t xml:space="preserve">部</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t xml:space="preserve">制订</w:t>
      </w:r>
      <w:r>
        <w:rPr>
          <w:rFonts w:hint="eastAsia" w:ascii="宋体" w:hAnsi="宋体" w:eastAsia="宋体" w:cs="宋体"/>
          <w:color w:val="000000"/>
          <w:sz w:val="30"/>
          <w:szCs w:val="30"/>
          <w:highlight w:val="none"/>
        </w:rPr>
      </w:r>
      <w:r/>
    </w:p>
    <w:p>
      <w:pPr>
        <w:pStyle w:val="1044"/>
        <w:ind w:right="964" w:firstLine="1788"/>
        <w:jc w:val="left"/>
        <w:pageBreakBefore w:val="0"/>
        <w:spacing w:before="58" w:line="360" w:lineRule="auto"/>
        <w:widowControl/>
        <w:rPr>
          <w:rFonts w:hint="eastAsia" w:ascii="宋体" w:hAnsi="宋体" w:eastAsia="宋体" w:cs="宋体"/>
          <w:color w:val="000000"/>
          <w:sz w:val="30"/>
          <w:szCs w:val="30"/>
          <w:highlight w:val="none"/>
        </w:rPr>
      </w:pPr>
      <w:r>
        <w:rPr>
          <w:rFonts w:hint="eastAsia" w:ascii="宋体" w:hAnsi="宋体" w:eastAsia="宋体" w:cs="宋体"/>
          <w:b/>
          <w:bCs/>
          <w:color w:val="000000"/>
          <w:spacing w:val="-1"/>
          <w:sz w:val="30"/>
          <w:szCs w:val="30"/>
          <w:highlight w:val="none"/>
        </w:rPr>
        <w:t xml:space="preserve">国家工商行政管理总局</w:t>
      </w:r>
      <w:r>
        <w:rPr>
          <w:rFonts w:hint="eastAsia" w:ascii="宋体" w:hAnsi="宋体" w:eastAsia="宋体" w:cs="宋体"/>
          <w:color w:val="000000"/>
          <w:sz w:val="30"/>
          <w:szCs w:val="30"/>
          <w:highlight w:val="none"/>
        </w:rPr>
      </w:r>
      <w:r/>
    </w:p>
    <w:p>
      <w:pPr>
        <w:pStyle w:val="1044"/>
        <w:jc w:val="center"/>
        <w:keepLines/>
        <w:keepNext/>
        <w:pageBreakBefore w:val="0"/>
        <w:spacing w:before="60" w:after="60" w:line="360" w:lineRule="auto"/>
        <w:rPr>
          <w:rFonts w:hint="eastAsia" w:ascii="宋体" w:hAnsi="宋体" w:eastAsia="宋体" w:cs="宋体"/>
          <w:b/>
          <w:bCs/>
          <w:color w:val="000000"/>
          <w:sz w:val="28"/>
          <w:szCs w:val="28"/>
          <w:highlight w:val="none"/>
        </w:rPr>
        <w:outlineLvl w:val="1"/>
      </w:pPr>
      <w:r>
        <w:rPr>
          <w:rFonts w:hint="eastAsia" w:ascii="宋体" w:hAnsi="宋体" w:eastAsia="宋体" w:cs="宋体"/>
          <w:color w:val="000000"/>
          <w:sz w:val="2"/>
          <w:szCs w:val="2"/>
          <w:highlight w:val="none"/>
        </w:rPr>
        <w:br w:type="column"/>
      </w:r>
      <w:bookmarkStart w:id="4" w:name="_Toc24743"/>
      <w:r/>
      <w:bookmarkStart w:id="5" w:name="_Toc14055"/>
      <w:r/>
      <w:bookmarkStart w:id="6" w:name="_Toc97573610"/>
      <w:r/>
      <w:bookmarkStart w:id="7" w:name="_Toc181449614"/>
      <w:r/>
      <w:bookmarkStart w:id="8" w:name="_Toc18170"/>
      <w:r/>
      <w:bookmarkStart w:id="9" w:name="_Toc85705300"/>
      <w:r/>
      <w:bookmarkStart w:id="10" w:name="_Toc97574338"/>
      <w:r/>
      <w:bookmarkStart w:id="11" w:name="_Toc57409908"/>
      <w:r/>
      <w:bookmarkStart w:id="12" w:name="_Toc351203652"/>
      <w:r/>
      <w:bookmarkStart w:id="13" w:name="_Toc520473372"/>
      <w:r/>
      <w:bookmarkStart w:id="14" w:name="_Toc498006744"/>
      <w:r/>
      <w:bookmarkStart w:id="15" w:name="_Toc7823"/>
      <w:r/>
      <w:bookmarkStart w:id="16" w:name="_Toc495568516"/>
      <w:r>
        <w:rPr>
          <w:rFonts w:hint="eastAsia" w:ascii="宋体" w:hAnsi="宋体" w:eastAsia="宋体" w:cs="宋体"/>
          <w:b/>
          <w:bCs/>
          <w:color w:val="000000"/>
          <w:sz w:val="28"/>
          <w:szCs w:val="28"/>
          <w:highlight w:val="none"/>
        </w:rPr>
        <w:t xml:space="preserve">第一部分 </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rPr>
        <w:t xml:space="preserve">合同协议书</w:t>
      </w:r>
      <w:bookmarkEnd w:id="4"/>
      <w:r/>
      <w:bookmarkEnd w:id="5"/>
      <w:r/>
      <w:bookmarkEnd w:id="6"/>
      <w:r/>
      <w:bookmarkEnd w:id="7"/>
      <w:r/>
      <w:bookmarkEnd w:id="8"/>
      <w:r/>
      <w:bookmarkEnd w:id="9"/>
      <w:r/>
      <w:bookmarkEnd w:id="10"/>
      <w:r>
        <w:rPr>
          <w:rFonts w:hint="eastAsia" w:ascii="宋体" w:hAnsi="宋体" w:eastAsia="宋体" w:cs="宋体"/>
          <w:b/>
          <w:bCs/>
          <w:color w:val="000000"/>
          <w:sz w:val="28"/>
          <w:szCs w:val="28"/>
          <w:highlight w:val="none"/>
        </w:rPr>
      </w:r>
      <w:r/>
    </w:p>
    <w:p>
      <w:pPr>
        <w:pStyle w:val="1044"/>
        <w:pageBreakBefore w:val="0"/>
        <w:spacing w:line="360" w:lineRule="auto"/>
        <w:rPr>
          <w:rFonts w:hint="eastAsia" w:ascii="宋体" w:hAnsi="宋体" w:eastAsia="宋体" w:cs="宋体"/>
          <w:b/>
          <w:color w:val="000000"/>
          <w:sz w:val="32"/>
          <w:szCs w:val="24"/>
          <w:highlight w:val="none"/>
          <w:lang w:eastAsia="zh-CN"/>
        </w:rPr>
      </w:pPr>
      <w:r>
        <w:rPr>
          <w:rFonts w:hint="eastAsia" w:ascii="宋体" w:hAnsi="宋体" w:eastAsia="宋体" w:cs="宋体"/>
          <w:b/>
          <w:color w:val="000000"/>
          <w:szCs w:val="21"/>
          <w:highlight w:val="none"/>
        </w:rPr>
        <w:t xml:space="preserve">发包人（全称）：</w:t>
      </w:r>
      <w:r>
        <w:rPr>
          <w:rFonts w:hint="eastAsia" w:ascii="宋体" w:hAnsi="宋体" w:eastAsia="宋体" w:cs="宋体"/>
          <w:b/>
          <w:bCs/>
          <w:color w:val="000000"/>
          <w:szCs w:val="24"/>
          <w:highlight w:val="none"/>
          <w:u w:val="single"/>
          <w:shd w:val="clear" w:color="auto" w:fill="ffffff"/>
          <w:lang w:eastAsia="zh-CN"/>
        </w:rPr>
        <w:t xml:space="preserve">苏州市相城区园林绿化建设管理中心</w:t>
      </w:r>
      <w:r>
        <w:rPr>
          <w:rFonts w:hint="eastAsia" w:ascii="宋体" w:hAnsi="宋体" w:eastAsia="宋体" w:cs="宋体"/>
          <w:b/>
          <w:color w:val="000000"/>
          <w:sz w:val="32"/>
          <w:szCs w:val="24"/>
          <w:highlight w:val="none"/>
          <w:lang w:eastAsia="zh-CN"/>
        </w:rPr>
      </w:r>
      <w:r/>
    </w:p>
    <w:p>
      <w:pPr>
        <w:pStyle w:val="1044"/>
        <w:pageBreakBefore w:val="0"/>
        <w:spacing w:line="360" w:lineRule="auto"/>
        <w:rPr>
          <w:rFonts w:hint="eastAsia" w:ascii="宋体" w:hAnsi="宋体" w:eastAsia="宋体" w:cs="宋体"/>
          <w:b/>
          <w:bCs/>
          <w:color w:val="000000"/>
          <w:szCs w:val="24"/>
          <w:highlight w:val="none"/>
          <w:u w:val="single"/>
          <w:shd w:val="clear" w:color="auto" w:fill="ffffff"/>
        </w:rPr>
      </w:pPr>
      <w:r>
        <w:rPr>
          <w:rFonts w:hint="eastAsia" w:ascii="宋体" w:hAnsi="宋体" w:eastAsia="宋体" w:cs="宋体"/>
          <w:b/>
          <w:color w:val="000000"/>
          <w:szCs w:val="21"/>
          <w:highlight w:val="none"/>
        </w:rPr>
        <w:t xml:space="preserve">承包人（全称）：</w:t>
      </w:r>
      <w:r>
        <w:rPr>
          <w:rFonts w:hint="eastAsia" w:ascii="宋体" w:hAnsi="宋体" w:eastAsia="宋体" w:cs="宋体"/>
          <w:b/>
          <w:bCs/>
          <w:color w:val="000000"/>
          <w:szCs w:val="24"/>
          <w:highlight w:val="none"/>
          <w:u w:val="single"/>
          <w:shd w:val="clear" w:color="auto" w:fill="ffffff"/>
        </w:rPr>
        <w:t xml:space="preserve"> </w:t>
      </w:r>
      <w:r>
        <w:rPr>
          <w:rFonts w:hint="eastAsia" w:ascii="宋体" w:hAnsi="宋体" w:eastAsia="宋体" w:cs="宋体"/>
          <w:b/>
          <w:bCs/>
          <w:color w:val="000000"/>
          <w:szCs w:val="24"/>
          <w:highlight w:val="none"/>
          <w:u w:val="single"/>
          <w:shd w:val="clear" w:color="auto" w:fill="ffffff"/>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Cs w:val="24"/>
          <w:highlight w:val="none"/>
          <w:u w:val="single"/>
          <w:shd w:val="clear" w:color="auto" w:fill="ffffff"/>
          <w:lang w:eastAsia="zh-CN"/>
        </w:rPr>
        <w:t xml:space="preserve">书香公园文体游乐设施及配套项目</w:t>
      </w:r>
      <w:r>
        <w:rPr>
          <w:rFonts w:hint="eastAsia" w:ascii="宋体" w:hAnsi="宋体" w:eastAsia="宋体" w:cs="宋体"/>
          <w:color w:val="000000"/>
          <w:szCs w:val="21"/>
          <w:highlight w:val="none"/>
        </w:rPr>
        <w:t xml:space="preserve">施工及有关事项协商一致，共同达成如下协议：</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17" w:name="_Toc97573611"/>
      <w:r/>
      <w:bookmarkStart w:id="18" w:name="_Toc27271"/>
      <w:r/>
      <w:bookmarkStart w:id="19" w:name="_Toc24304"/>
      <w:r/>
      <w:bookmarkStart w:id="20" w:name="_Toc12007"/>
      <w:r/>
      <w:bookmarkStart w:id="21" w:name="_Toc85705301"/>
      <w:r/>
      <w:bookmarkStart w:id="22" w:name="_Toc97574339"/>
      <w:r/>
      <w:bookmarkStart w:id="23" w:name="_Toc6879"/>
      <w:r/>
      <w:bookmarkStart w:id="24" w:name="_Toc27505"/>
      <w:r>
        <w:rPr>
          <w:rFonts w:hint="eastAsia" w:ascii="宋体" w:hAnsi="宋体" w:eastAsia="宋体" w:cs="宋体"/>
          <w:b/>
          <w:bCs/>
          <w:color w:val="000000"/>
          <w:szCs w:val="32"/>
          <w:highlight w:val="none"/>
        </w:rPr>
        <w:t xml:space="preserve">一、工程概况</w:t>
      </w:r>
      <w:bookmarkEnd w:id="17"/>
      <w:r/>
      <w:bookmarkEnd w:id="18"/>
      <w:r/>
      <w:bookmarkEnd w:id="19"/>
      <w:r/>
      <w:bookmarkEnd w:id="20"/>
      <w:r/>
      <w:bookmarkEnd w:id="21"/>
      <w:r/>
      <w:bookmarkEnd w:id="22"/>
      <w:r/>
      <w:bookmarkEnd w:id="23"/>
      <w:r/>
      <w:bookmarkEnd w:id="24"/>
      <w:r>
        <w:rPr>
          <w:rFonts w:hint="eastAsia" w:ascii="宋体" w:hAnsi="宋体" w:eastAsia="宋体" w:cs="宋体"/>
          <w:b/>
          <w:bCs/>
          <w:color w:val="000000"/>
          <w:szCs w:val="32"/>
          <w:highlight w:val="none"/>
        </w:rPr>
      </w:r>
      <w:r/>
    </w:p>
    <w:p>
      <w:pPr>
        <w:pStyle w:val="1044"/>
        <w:pageBreakBefore w:val="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rPr>
        <w:t xml:space="preserve">工程名称</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4"/>
          <w:highlight w:val="none"/>
          <w:u w:val="single"/>
          <w:shd w:val="clear" w:color="auto" w:fill="ffffff"/>
          <w:lang w:eastAsia="zh-CN"/>
        </w:rPr>
        <w:t xml:space="preserve">书香公园文体游乐设施及配套项目</w:t>
      </w:r>
      <w:r>
        <w:rPr>
          <w:rFonts w:hint="eastAsia" w:ascii="宋体" w:hAnsi="宋体" w:eastAsia="宋体" w:cs="宋体"/>
          <w:color w:val="000000"/>
          <w:szCs w:val="21"/>
          <w:highlight w:val="none"/>
          <w:u w:val="single"/>
          <w:lang w:eastAsia="zh-CN"/>
        </w:rPr>
      </w:r>
      <w:r/>
    </w:p>
    <w:p>
      <w:pPr>
        <w:pStyle w:val="1044"/>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t xml:space="preserve">工程地点：</w:t>
      </w:r>
      <w:r>
        <w:rPr>
          <w:rFonts w:hint="eastAsia" w:ascii="宋体" w:hAnsi="宋体" w:eastAsia="宋体" w:cs="宋体"/>
          <w:bCs/>
          <w:color w:val="000000"/>
          <w:szCs w:val="24"/>
          <w:highlight w:val="none"/>
          <w:u w:val="single"/>
          <w:shd w:val="clear" w:color="auto" w:fill="ffffff"/>
          <w:lang w:eastAsia="zh-CN"/>
        </w:rPr>
        <w:t xml:space="preserve">书香公园</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rPr>
        <w:t xml:space="preserve">工程立项批准文号：</w:t>
      </w:r>
      <w:r>
        <w:rPr>
          <w:rFonts w:hint="eastAsia" w:ascii="宋体" w:hAnsi="宋体" w:eastAsia="宋体" w:cs="宋体"/>
          <w:color w:val="000000"/>
          <w:szCs w:val="21"/>
          <w:highlight w:val="none"/>
          <w:u w:val="single"/>
          <w:shd w:val="clear" w:color="auto" w:fill="ffffff"/>
          <w:lang w:val="en-US" w:eastAsia="zh-CN"/>
        </w:rPr>
        <w:t xml:space="preserve">/</w:t>
      </w:r>
      <w:r>
        <w:rPr>
          <w:rFonts w:hint="eastAsia" w:ascii="宋体" w:hAnsi="宋体" w:eastAsia="宋体" w:cs="宋体"/>
          <w:bCs/>
          <w:color w:val="000000"/>
          <w:szCs w:val="21"/>
          <w:highlight w:val="none"/>
          <w:lang w:eastAsia="zh-CN"/>
        </w:rPr>
      </w:r>
      <w:r/>
    </w:p>
    <w:p>
      <w:pPr>
        <w:pStyle w:val="1044"/>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t xml:space="preserve">资金来源：</w:t>
      </w:r>
      <w:r>
        <w:rPr>
          <w:rFonts w:hint="eastAsia" w:ascii="宋体" w:hAnsi="宋体" w:eastAsia="宋体" w:cs="宋体"/>
          <w:bCs/>
          <w:color w:val="000000"/>
          <w:szCs w:val="24"/>
          <w:highlight w:val="none"/>
          <w:u w:val="single"/>
          <w:shd w:val="clear" w:color="auto" w:fill="ffffff"/>
          <w:lang w:val="en-US" w:eastAsia="zh-CN"/>
        </w:rPr>
        <w:t xml:space="preserve">财政</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bCs/>
          <w:color w:val="000000"/>
          <w:szCs w:val="21"/>
          <w:highlight w:val="none"/>
          <w:u w:val="single"/>
          <w:lang w:eastAsia="zh-CN"/>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rPr>
        <w:t xml:space="preserve">工程内容：</w:t>
      </w:r>
      <w:r>
        <w:rPr>
          <w:rFonts w:hint="eastAsia" w:ascii="宋体" w:hAnsi="宋体" w:eastAsia="宋体" w:cs="宋体"/>
          <w:bCs/>
          <w:color w:val="000000"/>
          <w:szCs w:val="24"/>
          <w:highlight w:val="none"/>
          <w:u w:val="single"/>
          <w:shd w:val="clear" w:color="auto" w:fill="ffffff"/>
          <w:lang w:eastAsia="zh-CN"/>
        </w:rPr>
        <w:t xml:space="preserve">书香公园文体游乐设施及配套项目</w:t>
      </w:r>
      <w:r>
        <w:rPr>
          <w:rFonts w:hint="eastAsia" w:ascii="宋体" w:hAnsi="宋体" w:eastAsia="宋体" w:cs="宋体"/>
          <w:bCs/>
          <w:color w:val="000000"/>
          <w:szCs w:val="21"/>
          <w:highlight w:val="none"/>
          <w:u w:val="single"/>
          <w:lang w:eastAsia="zh-CN"/>
        </w:rPr>
      </w:r>
      <w:r/>
    </w:p>
    <w:p>
      <w:pPr>
        <w:pStyle w:val="1044"/>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群体工程应附《承包人承揽工程项目一览表》（附件</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rPr>
        <w:t xml:space="preserve">工程承包范围：</w:t>
      </w:r>
      <w:r>
        <w:rPr>
          <w:rFonts w:hint="eastAsia" w:ascii="宋体" w:hAnsi="宋体" w:eastAsia="宋体" w:cs="宋体"/>
          <w:bCs/>
          <w:color w:val="000000"/>
          <w:szCs w:val="24"/>
          <w:highlight w:val="none"/>
          <w:u w:val="single"/>
          <w:shd w:val="clear" w:color="auto" w:fill="ffffff"/>
          <w:lang w:eastAsia="zh-CN"/>
        </w:rPr>
        <w:t xml:space="preserve">书香公园文体游乐设施及配套项目</w:t>
      </w:r>
      <w:r>
        <w:rPr>
          <w:rFonts w:hint="eastAsia" w:ascii="宋体" w:hAnsi="宋体" w:eastAsia="宋体" w:cs="宋体"/>
          <w:bCs/>
          <w:color w:val="000000"/>
          <w:szCs w:val="21"/>
          <w:highlight w:val="none"/>
          <w:u w:val="single"/>
        </w:rPr>
        <w:t xml:space="preserve">(详见工程量清单、图纸)。</w:t>
      </w:r>
      <w:r>
        <w:rPr>
          <w:rFonts w:hint="eastAsia" w:ascii="宋体" w:hAnsi="宋体" w:eastAsia="宋体" w:cs="宋体"/>
          <w:bCs/>
          <w:color w:val="000000"/>
          <w:szCs w:val="21"/>
          <w:highlight w:val="none"/>
          <w:u w:val="singl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25" w:name="_Toc21984"/>
      <w:r/>
      <w:bookmarkStart w:id="26" w:name="_Toc20213673"/>
      <w:r/>
      <w:bookmarkStart w:id="27" w:name="_Toc57409875"/>
      <w:r/>
      <w:bookmarkStart w:id="28" w:name="_Toc19186"/>
      <w:r/>
      <w:bookmarkStart w:id="29" w:name="_Toc85705308"/>
      <w:r/>
      <w:bookmarkStart w:id="30" w:name="_Toc2845"/>
      <w:r/>
      <w:bookmarkStart w:id="31" w:name="_Toc24856"/>
      <w:r/>
      <w:bookmarkStart w:id="32" w:name="_Toc97573618"/>
      <w:r/>
      <w:bookmarkStart w:id="33" w:name="_Toc97574346"/>
      <w:r/>
      <w:bookmarkStart w:id="34" w:name="_Toc24478"/>
      <w:r>
        <w:rPr>
          <w:rFonts w:hint="eastAsia" w:ascii="宋体" w:hAnsi="宋体" w:eastAsia="宋体" w:cs="宋体"/>
          <w:b/>
          <w:bCs/>
          <w:color w:val="000000"/>
          <w:szCs w:val="32"/>
          <w:highlight w:val="none"/>
        </w:rPr>
        <w:t xml:space="preserve">二、合同工期</w:t>
      </w:r>
      <w:bookmarkEnd w:id="25"/>
      <w:r/>
      <w:bookmarkEnd w:id="26"/>
      <w:r/>
      <w:bookmarkEnd w:id="27"/>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计划开工日期： </w:t>
      </w:r>
      <w:r>
        <w:rPr>
          <w:rFonts w:hint="eastAsia" w:ascii="宋体" w:hAnsi="宋体" w:eastAsia="宋体" w:cs="宋体"/>
          <w:color w:val="000000"/>
          <w:szCs w:val="21"/>
          <w:highlight w:val="none"/>
        </w:rPr>
        <w:t xml:space="preserve">2026</w:t>
      </w:r>
      <w:r>
        <w:rPr>
          <w:rFonts w:hint="eastAsia" w:ascii="宋体" w:hAnsi="宋体" w:eastAsia="宋体" w:cs="宋体"/>
          <w:color w:val="000000"/>
          <w:szCs w:val="21"/>
          <w:highlight w:val="none"/>
        </w:rPr>
        <w:t xml:space="preserve">年月日（</w:t>
      </w:r>
      <w:r>
        <w:rPr>
          <w:rFonts w:hint="eastAsia" w:ascii="宋体" w:hAnsi="宋体" w:eastAsia="宋体" w:cs="宋体"/>
          <w:color w:val="000000"/>
          <w:szCs w:val="24"/>
          <w:highlight w:val="none"/>
        </w:rPr>
        <w:t xml:space="preserve">实际以开工令为准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计划竣工日期： </w:t>
      </w:r>
      <w:r>
        <w:rPr>
          <w:rFonts w:hint="eastAsia" w:ascii="宋体" w:hAnsi="宋体" w:eastAsia="宋体" w:cs="宋体"/>
          <w:color w:val="000000"/>
          <w:szCs w:val="21"/>
          <w:highlight w:val="none"/>
        </w:rPr>
        <w:t xml:space="preserve">2026</w:t>
      </w:r>
      <w:r>
        <w:rPr>
          <w:rFonts w:hint="eastAsia" w:ascii="宋体" w:hAnsi="宋体" w:eastAsia="宋体" w:cs="宋体"/>
          <w:color w:val="000000"/>
          <w:szCs w:val="21"/>
          <w:highlight w:val="none"/>
        </w:rPr>
        <w:t xml:space="preserve">年月日</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工期总日历天数：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日历天。</w:t>
      </w:r>
      <w:r>
        <w:rPr>
          <w:rFonts w:hint="eastAsia" w:ascii="宋体" w:hAnsi="宋体" w:eastAsia="宋体" w:cs="宋体"/>
          <w:color w:val="000000"/>
          <w:szCs w:val="21"/>
          <w:highlight w:val="none"/>
        </w:rPr>
        <w:t xml:space="preserve">工期总日历天数与根据前述计划开竣工日期计算的工期天数不一致的， 以工期总日历天数为准。</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lang w:val="en-US" w:eastAsia="zh-CN"/>
        </w:rPr>
      </w:pPr>
      <w:r/>
      <w:bookmarkStart w:id="35" w:name="_Toc15739"/>
      <w:r/>
      <w:bookmarkStart w:id="36" w:name="_Toc20213674"/>
      <w:r/>
      <w:bookmarkStart w:id="37" w:name="_Toc57409876"/>
      <w:r>
        <w:rPr>
          <w:rFonts w:hint="eastAsia" w:ascii="宋体" w:hAnsi="宋体" w:eastAsia="宋体" w:cs="宋体"/>
          <w:color w:val="000000"/>
          <w:szCs w:val="21"/>
          <w:highlight w:val="none"/>
          <w:lang w:val="en-US" w:eastAsia="zh-CN"/>
        </w:rPr>
        <w:t xml:space="preserve">绿化部分养护期：一年。</w:t>
      </w:r>
      <w:r>
        <w:rPr>
          <w:rFonts w:hint="eastAsia" w:ascii="宋体" w:hAnsi="宋体" w:eastAsia="宋体" w:cs="宋体"/>
          <w:color w:val="000000"/>
          <w:szCs w:val="21"/>
          <w:highlight w:val="none"/>
          <w:lang w:val="en-US" w:eastAsia="zh-CN"/>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rPr>
          <w:rFonts w:hint="eastAsia" w:ascii="宋体" w:hAnsi="宋体" w:eastAsia="宋体" w:cs="宋体"/>
          <w:b/>
          <w:bCs/>
          <w:color w:val="000000"/>
          <w:szCs w:val="32"/>
          <w:highlight w:val="none"/>
        </w:rPr>
        <w:t xml:space="preserve">三、质量标准</w:t>
      </w:r>
      <w:bookmarkEnd w:id="35"/>
      <w:r/>
      <w:bookmarkEnd w:id="36"/>
      <w:r/>
      <w:bookmarkEnd w:id="37"/>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工程质量符合合格标准。</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38" w:name="_Toc20213675"/>
      <w:r/>
      <w:bookmarkStart w:id="39" w:name="_Toc57409877"/>
      <w:r/>
      <w:bookmarkStart w:id="40" w:name="_Toc31752"/>
      <w:r>
        <w:rPr>
          <w:rFonts w:hint="eastAsia" w:ascii="宋体" w:hAnsi="宋体" w:eastAsia="宋体" w:cs="宋体"/>
          <w:b/>
          <w:bCs/>
          <w:color w:val="000000"/>
          <w:szCs w:val="32"/>
          <w:highlight w:val="none"/>
        </w:rPr>
        <w:t xml:space="preserve">四、签约合同价与合同价格形式</w:t>
      </w:r>
      <w:bookmarkEnd w:id="38"/>
      <w:r/>
      <w:bookmarkEnd w:id="39"/>
      <w:r/>
      <w:bookmarkEnd w:id="40"/>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1.签约合同价为：含税价：人民币大写：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)；不含税价：人民币大写：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)，税率：</w:t>
      </w:r>
      <w:r>
        <w:rPr>
          <w:rFonts w:hint="eastAsia" w:ascii="宋体" w:hAnsi="宋体" w:eastAsia="宋体" w:cs="宋体"/>
          <w:color w:val="000000"/>
          <w:szCs w:val="21"/>
          <w:highlight w:val="none"/>
          <w:u w:val="single"/>
        </w:rPr>
        <w:t xml:space="preserve">9</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（1）安全文明施工费：</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人民币大写：；</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（2）材料和工程设备暂估价金额： 人民币（大写）(¥元)；</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（3）专业工程暂估价金额： 人民币（大写）(¥元)；</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（4）暂列金额： 人民币大写：。</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2.合同价格形式：固定综合单价。</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41" w:name="_Toc57409878"/>
      <w:r/>
      <w:bookmarkStart w:id="42" w:name="_Toc32629"/>
      <w:r/>
      <w:bookmarkStart w:id="43" w:name="_Toc20213676"/>
      <w:r>
        <w:rPr>
          <w:rFonts w:hint="eastAsia" w:ascii="宋体" w:hAnsi="宋体" w:eastAsia="宋体" w:cs="宋体"/>
          <w:b/>
          <w:bCs/>
          <w:color w:val="000000"/>
          <w:szCs w:val="32"/>
          <w:highlight w:val="none"/>
        </w:rPr>
        <w:t xml:space="preserve">五、项目经理</w:t>
      </w:r>
      <w:bookmarkEnd w:id="41"/>
      <w:r/>
      <w:bookmarkEnd w:id="42"/>
      <w:r/>
      <w:bookmarkEnd w:id="43"/>
      <w:r>
        <w:rPr>
          <w:rFonts w:hint="eastAsia" w:ascii="宋体" w:hAnsi="宋体" w:eastAsia="宋体" w:cs="宋体"/>
          <w:b/>
          <w:bCs/>
          <w:color w:val="000000"/>
          <w:szCs w:val="32"/>
          <w:highlight w:val="none"/>
        </w:rPr>
        <w:t xml:space="preserve">    </w:t>
      </w:r>
      <w:r>
        <w:rPr>
          <w:rFonts w:hint="eastAsia" w:ascii="宋体" w:hAnsi="宋体" w:eastAsia="宋体" w:cs="宋体"/>
          <w:b/>
          <w:bCs/>
          <w:color w:val="000000"/>
          <w:szCs w:val="32"/>
          <w:highlight w:val="none"/>
        </w:rPr>
      </w:r>
      <w:r/>
    </w:p>
    <w:p>
      <w:pPr>
        <w:pStyle w:val="1044"/>
        <w:pageBreakBefore w:val="0"/>
        <w:spacing w:line="360" w:lineRule="auto"/>
        <w:rPr>
          <w:rFonts w:hint="eastAsia" w:ascii="宋体" w:hAnsi="宋体" w:eastAsia="宋体" w:cs="宋体"/>
          <w:color w:val="000000"/>
          <w:sz w:val="20"/>
          <w:szCs w:val="32"/>
          <w:highlight w:val="none"/>
        </w:rPr>
      </w:pPr>
      <w:r>
        <w:rPr>
          <w:rFonts w:hint="eastAsia" w:ascii="宋体" w:hAnsi="宋体" w:eastAsia="宋体" w:cs="宋体"/>
          <w:color w:val="000000"/>
          <w:sz w:val="20"/>
          <w:szCs w:val="20"/>
          <w:highlight w:val="none"/>
        </w:rPr>
        <w:t xml:space="preserve">承包人项目经理：。</w:t>
      </w:r>
      <w:r>
        <w:rPr>
          <w:rFonts w:hint="eastAsia" w:ascii="宋体" w:hAnsi="宋体" w:eastAsia="宋体" w:cs="宋体"/>
          <w:color w:val="000000"/>
          <w:sz w:val="20"/>
          <w:szCs w:val="32"/>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44" w:name="_Toc6749"/>
      <w:r/>
      <w:bookmarkStart w:id="45" w:name="_Toc20213677"/>
      <w:r/>
      <w:bookmarkStart w:id="46" w:name="_Toc57409879"/>
      <w:r>
        <w:rPr>
          <w:rFonts w:hint="eastAsia" w:ascii="宋体" w:hAnsi="宋体" w:eastAsia="宋体" w:cs="宋体"/>
          <w:b/>
          <w:bCs/>
          <w:color w:val="000000"/>
          <w:szCs w:val="32"/>
          <w:highlight w:val="none"/>
        </w:rPr>
        <w:t xml:space="preserve">六、合同文件构成</w:t>
      </w:r>
      <w:bookmarkEnd w:id="44"/>
      <w:r/>
      <w:bookmarkEnd w:id="45"/>
      <w:r/>
      <w:bookmarkEnd w:id="46"/>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本协议书与下列文件一起构成合同文件：</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（1）本合同协议书；</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（2）中标通知书（如果有）；</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（3）招标答疑、补充或修改文件（如果有）；</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（4）投标函和澄清文件；</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（5）本合同专用条款及其附件；</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（6）本合同通用条款；</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（7）招标文件；</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（8）技术标准和要求；</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（9）图纸；</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（10）已标价工程量清单或预算书；</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（11）其他合同文件。</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在合同订立及履行过程中形成的与合同有关的文件均构成合同文件组成部分。 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47" w:name="_Toc29386"/>
      <w:r/>
      <w:bookmarkStart w:id="48" w:name="_Toc57409880"/>
      <w:r/>
      <w:bookmarkStart w:id="49" w:name="_Toc20213678"/>
      <w:r>
        <w:rPr>
          <w:rFonts w:hint="eastAsia" w:ascii="宋体" w:hAnsi="宋体" w:eastAsia="宋体" w:cs="宋体"/>
          <w:b/>
          <w:bCs/>
          <w:color w:val="000000"/>
          <w:szCs w:val="32"/>
          <w:highlight w:val="none"/>
        </w:rPr>
        <w:t xml:space="preserve">七、承诺</w:t>
      </w:r>
      <w:bookmarkEnd w:id="47"/>
      <w:r/>
      <w:bookmarkEnd w:id="48"/>
      <w:r/>
      <w:bookmarkEnd w:id="49"/>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3.发包人和承包人通过招投标形式签订合同的，双方理解并承诺不再就同一工程另行签订与合同实 质性内容相背离的协议。</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End w:id="28"/>
      <w:r/>
      <w:bookmarkEnd w:id="29"/>
      <w:r/>
      <w:bookmarkEnd w:id="30"/>
      <w:r/>
      <w:bookmarkEnd w:id="31"/>
      <w:r/>
      <w:bookmarkEnd w:id="32"/>
      <w:r/>
      <w:bookmarkEnd w:id="33"/>
      <w:r/>
      <w:bookmarkEnd w:id="34"/>
      <w:r/>
      <w:bookmarkStart w:id="50" w:name="_Toc57409881"/>
      <w:r/>
      <w:bookmarkStart w:id="51" w:name="_Toc25607"/>
      <w:r/>
      <w:bookmarkStart w:id="52" w:name="_Toc20213679"/>
      <w:r>
        <w:rPr>
          <w:rFonts w:hint="eastAsia" w:ascii="宋体" w:hAnsi="宋体" w:eastAsia="宋体" w:cs="宋体"/>
          <w:b/>
          <w:bCs/>
          <w:color w:val="000000"/>
          <w:szCs w:val="32"/>
          <w:highlight w:val="none"/>
        </w:rPr>
        <w:t xml:space="preserve">八、词语含义</w:t>
      </w:r>
      <w:bookmarkEnd w:id="50"/>
      <w:r/>
      <w:bookmarkEnd w:id="51"/>
      <w:r/>
      <w:bookmarkEnd w:id="52"/>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本协议书中词语含义与第二部分通用合同条款中赋予的含义相同。</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53" w:name="_Toc20213680"/>
      <w:r/>
      <w:bookmarkStart w:id="54" w:name="_Toc57409882"/>
      <w:r/>
      <w:bookmarkStart w:id="55" w:name="_Toc32506"/>
      <w:r>
        <w:rPr>
          <w:rFonts w:hint="eastAsia" w:ascii="宋体" w:hAnsi="宋体" w:eastAsia="宋体" w:cs="宋体"/>
          <w:b/>
          <w:bCs/>
          <w:color w:val="000000"/>
          <w:szCs w:val="32"/>
          <w:highlight w:val="none"/>
        </w:rPr>
        <w:t xml:space="preserve">九、签订时间</w:t>
      </w:r>
      <w:bookmarkEnd w:id="53"/>
      <w:r/>
      <w:bookmarkEnd w:id="54"/>
      <w:r/>
      <w:bookmarkEnd w:id="55"/>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签订。</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56" w:name="_Toc20213681"/>
      <w:r/>
      <w:bookmarkStart w:id="57" w:name="_Toc57409883"/>
      <w:r/>
      <w:bookmarkStart w:id="58" w:name="_Toc1936"/>
      <w:r>
        <w:rPr>
          <w:rFonts w:hint="eastAsia" w:ascii="宋体" w:hAnsi="宋体" w:eastAsia="宋体" w:cs="宋体"/>
          <w:b/>
          <w:bCs/>
          <w:color w:val="000000"/>
          <w:szCs w:val="32"/>
          <w:highlight w:val="none"/>
        </w:rPr>
        <w:t xml:space="preserve">十、签订地点</w:t>
      </w:r>
      <w:bookmarkEnd w:id="56"/>
      <w:r/>
      <w:bookmarkEnd w:id="57"/>
      <w:r/>
      <w:bookmarkEnd w:id="58"/>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本合同在</w:t>
      </w:r>
      <w:r>
        <w:rPr>
          <w:rFonts w:hint="eastAsia" w:ascii="宋体" w:hAnsi="宋体" w:eastAsia="宋体" w:cs="宋体"/>
          <w:color w:val="000000"/>
          <w:szCs w:val="21"/>
          <w:highlight w:val="none"/>
          <w:u w:val="single"/>
        </w:rPr>
        <w:t xml:space="preserve">相城区</w:t>
      </w:r>
      <w:r>
        <w:rPr>
          <w:rFonts w:hint="eastAsia" w:ascii="宋体" w:hAnsi="宋体" w:eastAsia="宋体" w:cs="宋体"/>
          <w:color w:val="000000"/>
          <w:szCs w:val="21"/>
          <w:highlight w:val="none"/>
        </w:rPr>
        <w:t xml:space="preserve">签订。</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59" w:name="_Toc20213682"/>
      <w:r/>
      <w:bookmarkStart w:id="60" w:name="_Toc12590"/>
      <w:r/>
      <w:bookmarkStart w:id="61" w:name="_Toc57409884"/>
      <w:r>
        <w:rPr>
          <w:rFonts w:hint="eastAsia" w:ascii="宋体" w:hAnsi="宋体" w:eastAsia="宋体" w:cs="宋体"/>
          <w:b/>
          <w:bCs/>
          <w:color w:val="000000"/>
          <w:szCs w:val="32"/>
          <w:highlight w:val="none"/>
        </w:rPr>
        <w:t xml:space="preserve">十一、补充协议</w:t>
      </w:r>
      <w:bookmarkEnd w:id="59"/>
      <w:r/>
      <w:bookmarkEnd w:id="60"/>
      <w:r/>
      <w:bookmarkEnd w:id="61"/>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合同未尽事宜，合同当事人另行签订补充协议，补充协议是合同的组成部分。</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
          <w:bCs/>
          <w:color w:val="000000"/>
          <w:szCs w:val="32"/>
          <w:highlight w:val="none"/>
        </w:rPr>
        <w:outlineLvl w:val="2"/>
      </w:pPr>
      <w:r/>
      <w:bookmarkStart w:id="62" w:name="_Toc20213683"/>
      <w:r/>
      <w:bookmarkStart w:id="63" w:name="_Toc57409885"/>
      <w:r/>
      <w:bookmarkStart w:id="64" w:name="_Toc15142"/>
      <w:r>
        <w:rPr>
          <w:rFonts w:hint="eastAsia" w:ascii="宋体" w:hAnsi="宋体" w:eastAsia="宋体" w:cs="宋体"/>
          <w:b/>
          <w:bCs/>
          <w:color w:val="000000"/>
          <w:szCs w:val="32"/>
          <w:highlight w:val="none"/>
        </w:rPr>
        <w:t xml:space="preserve">十二、合同生效</w:t>
      </w:r>
      <w:bookmarkEnd w:id="62"/>
      <w:r/>
      <w:bookmarkEnd w:id="63"/>
      <w:r/>
      <w:bookmarkEnd w:id="64"/>
      <w:r>
        <w:rPr>
          <w:rFonts w:hint="eastAsia" w:ascii="宋体" w:hAnsi="宋体" w:eastAsia="宋体" w:cs="宋体"/>
          <w:b/>
          <w:bCs/>
          <w:color w:val="000000"/>
          <w:szCs w:val="32"/>
          <w:highlight w:val="none"/>
        </w:rPr>
      </w:r>
      <w:r/>
    </w:p>
    <w:p>
      <w:pPr>
        <w:pStyle w:val="1044"/>
        <w:jc w:val="left"/>
        <w:pageBreakBefore w:val="0"/>
        <w:spacing w:before="9"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w:t>
      </w:r>
      <w:r>
        <w:rPr>
          <w:rFonts w:hint="eastAsia" w:ascii="宋体" w:hAnsi="宋体" w:eastAsia="宋体" w:cs="宋体"/>
          <w:color w:val="000000"/>
          <w:szCs w:val="21"/>
          <w:highlight w:val="none"/>
          <w:u w:val="single"/>
        </w:rPr>
        <w:t xml:space="preserve"> 双方签字盖章之日  </w:t>
      </w:r>
      <w:r>
        <w:rPr>
          <w:rFonts w:hint="eastAsia" w:ascii="宋体" w:hAnsi="宋体" w:eastAsia="宋体" w:cs="宋体"/>
          <w:color w:val="000000"/>
          <w:szCs w:val="21"/>
          <w:highlight w:val="none"/>
        </w:rPr>
        <w:t xml:space="preserve">自生效。</w:t>
      </w:r>
      <w:r>
        <w:rPr>
          <w:rFonts w:hint="eastAsia" w:ascii="宋体" w:hAnsi="宋体" w:eastAsia="宋体" w:cs="宋体"/>
          <w:color w:val="000000"/>
          <w:szCs w:val="21"/>
          <w:highlight w:val="none"/>
        </w:rPr>
      </w:r>
      <w:r/>
    </w:p>
    <w:p>
      <w:pPr>
        <w:pStyle w:val="1044"/>
        <w:jc w:val="left"/>
        <w:pageBreakBefore w:val="0"/>
        <w:spacing w:before="9"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十三、合同份数</w:t>
      </w:r>
      <w:r>
        <w:rPr>
          <w:rFonts w:hint="eastAsia" w:ascii="宋体" w:hAnsi="宋体" w:eastAsia="宋体" w:cs="宋体"/>
          <w:b/>
          <w:bCs/>
          <w:color w:val="000000"/>
          <w:szCs w:val="21"/>
          <w:highlight w:val="none"/>
        </w:rPr>
      </w:r>
      <w:r/>
    </w:p>
    <w:p>
      <w:pPr>
        <w:pStyle w:val="1044"/>
        <w:jc w:val="left"/>
        <w:pageBreakBefore w:val="0"/>
        <w:spacing w:before="9"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u w:val="single"/>
        </w:rPr>
        <w:t xml:space="preserve"> 捌 </w:t>
      </w:r>
      <w:r>
        <w:rPr>
          <w:rFonts w:hint="eastAsia" w:ascii="宋体" w:hAnsi="宋体" w:eastAsia="宋体" w:cs="宋体"/>
          <w:color w:val="000000"/>
          <w:szCs w:val="21"/>
          <w:highlight w:val="none"/>
        </w:rPr>
        <w:t xml:space="preserve">份，均具有同等法律效力，发包人执</w:t>
      </w:r>
      <w:r>
        <w:rPr>
          <w:rFonts w:hint="eastAsia" w:ascii="宋体" w:hAnsi="宋体" w:eastAsia="宋体" w:cs="宋体"/>
          <w:color w:val="000000"/>
          <w:szCs w:val="21"/>
          <w:highlight w:val="none"/>
          <w:u w:val="single"/>
        </w:rPr>
        <w:t xml:space="preserve"> 肆 </w:t>
      </w:r>
      <w:r>
        <w:rPr>
          <w:rFonts w:hint="eastAsia" w:ascii="宋体" w:hAnsi="宋体" w:eastAsia="宋体" w:cs="宋体"/>
          <w:color w:val="000000"/>
          <w:szCs w:val="21"/>
          <w:highlight w:val="none"/>
        </w:rPr>
        <w:t xml:space="preserve">份，承包人执</w:t>
      </w:r>
      <w:r>
        <w:rPr>
          <w:rFonts w:hint="eastAsia" w:ascii="宋体" w:hAnsi="宋体" w:eastAsia="宋体" w:cs="宋体"/>
          <w:color w:val="000000"/>
          <w:szCs w:val="21"/>
          <w:highlight w:val="none"/>
          <w:u w:val="single"/>
        </w:rPr>
        <w:t xml:space="preserve"> 肆 </w:t>
      </w:r>
      <w:r>
        <w:rPr>
          <w:rFonts w:hint="eastAsia" w:ascii="宋体" w:hAnsi="宋体" w:eastAsia="宋体" w:cs="宋体"/>
          <w:color w:val="000000"/>
          <w:szCs w:val="21"/>
          <w:highlight w:val="none"/>
        </w:rPr>
        <w:t xml:space="preserve">份。</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9606"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bookmarkEnd w:id="13"/>
            <w:r/>
            <w:bookmarkEnd w:id="14"/>
            <w:r/>
            <w:bookmarkStart w:id="65" w:name="_Toc22007"/>
            <w:r/>
            <w:bookmarkStart w:id="66" w:name="_Toc181449615"/>
            <w:r/>
            <w:bookmarkStart w:id="67" w:name="_Toc503182914"/>
            <w:r/>
            <w:bookmarkStart w:id="68" w:name="_Toc20213684"/>
            <w:r/>
            <w:bookmarkStart w:id="69" w:name="_Toc57409886"/>
            <w:r>
              <w:rPr>
                <w:rFonts w:hint="eastAsia" w:ascii="宋体" w:hAnsi="宋体" w:eastAsia="宋体" w:cs="宋体"/>
                <w:color w:val="000000"/>
                <w:szCs w:val="21"/>
                <w:highlight w:val="none"/>
              </w:rPr>
              <w:t xml:space="preserve">发包人：(公章)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承包人:(公章)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989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4283"/>
        <w:gridCol w:w="810"/>
      </w:tblGrid>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组织机构代码：</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组织机构代码： </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ind w:right="-1197"/>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28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rPr>
                <w:rFonts w:hint="eastAsia" w:ascii="宋体" w:hAnsi="宋体" w:eastAsia="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81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jc w:val="center"/>
        <w:keepLines/>
        <w:keepNext/>
        <w:pageBreakBefore w:val="0"/>
        <w:spacing w:line="360" w:lineRule="auto"/>
        <w:rPr>
          <w:rFonts w:hint="eastAsia" w:ascii="宋体" w:hAnsi="宋体" w:eastAsia="宋体" w:cs="宋体"/>
          <w:b/>
          <w:bCs/>
          <w:color w:val="000000"/>
          <w:sz w:val="32"/>
          <w:szCs w:val="44"/>
          <w:highlight w:val="none"/>
        </w:rPr>
        <w:outlineLvl w:val="0"/>
      </w:pPr>
      <w:r>
        <w:rPr>
          <w:rFonts w:hint="eastAsia" w:ascii="宋体" w:hAnsi="宋体" w:eastAsia="宋体" w:cs="宋体"/>
          <w:b/>
          <w:bCs/>
          <w:color w:val="000000"/>
          <w:sz w:val="32"/>
          <w:szCs w:val="44"/>
          <w:highlight w:val="none"/>
        </w:rPr>
      </w:r>
      <w:r/>
    </w:p>
    <w:p>
      <w:pPr>
        <w:pStyle w:val="1044"/>
        <w:jc w:val="center"/>
        <w:keepLines/>
        <w:keepNext/>
        <w:pageBreakBefore w:val="0"/>
        <w:spacing w:before="260" w:after="260" w:line="360" w:lineRule="auto"/>
        <w:widowControl w:val="off"/>
        <w:rPr>
          <w:rFonts w:hint="eastAsia" w:ascii="宋体" w:hAnsi="宋体" w:eastAsia="宋体" w:cs="宋体"/>
          <w:b/>
          <w:bCs/>
          <w:color w:val="000000"/>
          <w:sz w:val="44"/>
          <w:szCs w:val="44"/>
          <w:highlight w:val="none"/>
          <w:lang w:val="en-US" w:eastAsia="zh-CN" w:bidi="ar-SA"/>
        </w:rPr>
        <w:outlineLvl w:val="2"/>
      </w:pPr>
      <w:r>
        <w:rPr>
          <w:rFonts w:hint="eastAsia" w:ascii="宋体" w:hAnsi="宋体" w:eastAsia="宋体" w:cs="宋体"/>
          <w:b w:val="0"/>
          <w:bCs/>
          <w:color w:val="000000"/>
          <w:sz w:val="32"/>
          <w:szCs w:val="44"/>
          <w:highlight w:val="none"/>
          <w:lang w:val="en-US" w:eastAsia="zh-CN" w:bidi="ar-SA"/>
        </w:rPr>
        <w:br w:type="page" w:clear="all"/>
      </w:r>
      <w:bookmarkEnd w:id="11"/>
      <w:r/>
      <w:bookmarkEnd w:id="12"/>
      <w:r/>
      <w:bookmarkEnd w:id="15"/>
      <w:r/>
      <w:bookmarkEnd w:id="16"/>
      <w:r/>
      <w:bookmarkEnd w:id="65"/>
      <w:r/>
      <w:bookmarkEnd w:id="66"/>
      <w:r/>
      <w:bookmarkEnd w:id="67"/>
      <w:r/>
      <w:bookmarkEnd w:id="68"/>
      <w:r/>
      <w:bookmarkEnd w:id="69"/>
      <w:r>
        <w:rPr>
          <w:rFonts w:hint="eastAsia" w:ascii="宋体" w:hAnsi="宋体" w:eastAsia="宋体" w:cs="宋体"/>
          <w:b/>
          <w:bCs/>
          <w:color w:val="000000"/>
          <w:sz w:val="44"/>
          <w:szCs w:val="44"/>
          <w:highlight w:val="none"/>
          <w:lang w:val="en-US" w:eastAsia="zh-CN" w:bidi="ar-SA"/>
        </w:rPr>
        <w:t xml:space="preserve">第二部分  通用条款</w:t>
      </w:r>
      <w:r>
        <w:rPr>
          <w:rFonts w:hint="eastAsia" w:ascii="宋体" w:hAnsi="宋体" w:eastAsia="宋体" w:cs="宋体"/>
          <w:b/>
          <w:bCs/>
          <w:color w:val="000000"/>
          <w:sz w:val="44"/>
          <w:szCs w:val="44"/>
          <w:highlight w:val="none"/>
          <w:lang w:val="en-US" w:eastAsia="zh-CN" w:bidi="ar-SA"/>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参照住建部、国家工商行政管理局《建设工程施工合同（示范文本）》（</w:t>
      </w:r>
      <w:r>
        <w:rPr>
          <w:rFonts w:hint="eastAsia" w:ascii="宋体" w:hAnsi="宋体" w:eastAsia="宋体" w:cs="宋体"/>
          <w:color w:val="000000"/>
          <w:szCs w:val="21"/>
          <w:highlight w:val="none"/>
        </w:rPr>
        <w:t xml:space="preserve">GF-201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-0201</w:t>
      </w:r>
      <w:r>
        <w:rPr>
          <w:rFonts w:hint="eastAsia" w:ascii="宋体" w:hAnsi="宋体" w:eastAsia="宋体" w:cs="宋体"/>
          <w:color w:val="000000"/>
          <w:szCs w:val="21"/>
          <w:highlight w:val="none"/>
        </w:rPr>
        <w:t xml:space="preserve">）第二部分。</w:t>
      </w:r>
      <w:r>
        <w:rPr>
          <w:rFonts w:hint="eastAsia" w:ascii="宋体" w:hAnsi="宋体" w:eastAsia="宋体" w:cs="宋体"/>
          <w:color w:val="000000"/>
          <w:szCs w:val="21"/>
          <w:highlight w:val="none"/>
        </w:rPr>
      </w:r>
      <w:r/>
    </w:p>
    <w:p>
      <w:pPr>
        <w:pStyle w:val="1044"/>
        <w:jc w:val="center"/>
        <w:keepLines/>
        <w:keepNext/>
        <w:pageBreakBefore w:val="0"/>
        <w:spacing w:before="260" w:after="260" w:line="360" w:lineRule="auto"/>
        <w:rPr>
          <w:rFonts w:hint="eastAsia" w:ascii="宋体" w:hAnsi="宋体" w:eastAsia="宋体" w:cs="宋体"/>
          <w:b/>
          <w:bCs/>
          <w:color w:val="000000"/>
          <w:sz w:val="44"/>
          <w:szCs w:val="44"/>
          <w:highlight w:val="none"/>
        </w:rPr>
        <w:outlineLvl w:val="2"/>
      </w:pPr>
      <w:r/>
      <w:bookmarkStart w:id="70" w:name="_Toc351203632"/>
      <w:r>
        <w:rPr>
          <w:rFonts w:hint="eastAsia" w:ascii="宋体" w:hAnsi="宋体" w:eastAsia="宋体" w:cs="宋体"/>
          <w:b/>
          <w:bCs/>
          <w:color w:val="000000"/>
          <w:sz w:val="44"/>
          <w:szCs w:val="44"/>
          <w:highlight w:val="none"/>
        </w:rPr>
        <w:t xml:space="preserve">第三部分 专用合同条款</w:t>
      </w:r>
      <w:bookmarkEnd w:id="70"/>
      <w:r>
        <w:rPr>
          <w:rFonts w:hint="eastAsia" w:ascii="宋体" w:hAnsi="宋体" w:eastAsia="宋体" w:cs="宋体"/>
          <w:b/>
          <w:bCs/>
          <w:color w:val="000000"/>
          <w:sz w:val="44"/>
          <w:szCs w:val="44"/>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71" w:name="_Toc351203633"/>
      <w:r>
        <w:rPr>
          <w:rFonts w:hint="eastAsia" w:ascii="宋体" w:hAnsi="宋体" w:eastAsia="宋体" w:cs="宋体"/>
          <w:bCs/>
          <w:color w:val="000000"/>
          <w:szCs w:val="21"/>
          <w:highlight w:val="none"/>
        </w:rPr>
        <w:t xml:space="preserve">1</w:t>
      </w:r>
      <w:bookmarkStart w:id="72" w:name="_Toc296944495"/>
      <w:r/>
      <w:bookmarkStart w:id="73" w:name="_Toc292559866"/>
      <w:r/>
      <w:bookmarkStart w:id="74" w:name="_Toc296347155"/>
      <w:r/>
      <w:bookmarkStart w:id="75" w:name="_Toc297120456"/>
      <w:r/>
      <w:bookmarkStart w:id="76" w:name="_Toc296890984"/>
      <w:r/>
      <w:bookmarkStart w:id="77" w:name="_Toc297048342"/>
      <w:r/>
      <w:bookmarkStart w:id="78" w:name="_Toc296346657"/>
      <w:r/>
      <w:bookmarkStart w:id="79" w:name="_Toc296891196"/>
      <w:r/>
      <w:bookmarkStart w:id="80" w:name="_Toc296503156"/>
      <w:r/>
      <w:bookmarkStart w:id="81" w:name="_Toc292559361"/>
      <w:r>
        <w:rPr>
          <w:rFonts w:hint="eastAsia" w:ascii="宋体" w:hAnsi="宋体" w:eastAsia="宋体" w:cs="宋体"/>
          <w:bCs/>
          <w:color w:val="000000"/>
          <w:szCs w:val="21"/>
          <w:highlight w:val="none"/>
        </w:rPr>
        <w:t xml:space="preserve">. 一般约定</w:t>
      </w:r>
      <w:bookmarkEnd w:id="71"/>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color w:val="000000"/>
          <w:szCs w:val="21"/>
          <w:highlight w:val="none"/>
        </w:rPr>
        <w:t xml:space="preserve">1.1 词语定义</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1.1.1合同</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1.1.1.10其他合同文件包括：</w:t>
      </w:r>
      <w:r>
        <w:rPr>
          <w:rFonts w:hint="eastAsia" w:ascii="宋体" w:hAnsi="宋体" w:eastAsia="宋体" w:cs="宋体"/>
          <w:color w:val="000000"/>
          <w:szCs w:val="21"/>
          <w:highlight w:val="none"/>
          <w:u w:val="single"/>
        </w:rPr>
        <w:t xml:space="preserve">(1)本合同协议书；(2)中标通知书；(3)招标文件及答疑文件；(4)本合同专用条款；(5)本合同通用条款；(6)投标书及其附件；(7)技术标准和要求；(8)图纸；(9)已标价工程量清单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合同当事人及其他相关方</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1.1.2.4监理人：</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1.1.2.5 设计人：</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 工程和设备</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1.1.3.7 作为施工现场组成部分的其他场所包括：</w:t>
      </w:r>
      <w:r>
        <w:rPr>
          <w:rFonts w:hint="eastAsia" w:ascii="宋体" w:hAnsi="宋体" w:eastAsia="宋体" w:cs="宋体"/>
          <w:color w:val="000000"/>
          <w:szCs w:val="21"/>
          <w:highlight w:val="none"/>
          <w:u w:val="single"/>
        </w:rPr>
        <w:t xml:space="preserve"> 符合通用条款规定的发包人提供的施工场地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1.1.3.9 永久占地包括：</w:t>
      </w:r>
      <w:r>
        <w:rPr>
          <w:rFonts w:hint="eastAsia" w:ascii="宋体" w:hAnsi="宋体" w:eastAsia="宋体" w:cs="宋体"/>
          <w:color w:val="000000"/>
          <w:szCs w:val="21"/>
          <w:highlight w:val="none"/>
          <w:u w:val="single"/>
        </w:rPr>
        <w:t xml:space="preserve">        /   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1.1.3.10 临时占地包括：</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1.3法律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适用于合同的其他规范性文件：</w:t>
      </w:r>
      <w:r>
        <w:rPr>
          <w:rFonts w:hint="eastAsia" w:ascii="宋体" w:hAnsi="宋体" w:eastAsia="宋体" w:cs="宋体"/>
          <w:color w:val="000000"/>
          <w:szCs w:val="21"/>
          <w:highlight w:val="none"/>
          <w:u w:val="single"/>
        </w:rPr>
        <w:t xml:space="preserve">《中华人民共和国民法典》、《中华人民共和国建筑法》、《建设工程质量管理条例》、《中华人民共和国招标投标法》、《工程项目施工招标投标办法》（七部委30号令）、《建设工程施工发包与承包价格管理暂行规定》、《建设工程工程量清单计价标准》（</w:t>
      </w:r>
      <w:r>
        <w:rPr>
          <w:rFonts w:hint="eastAsia" w:ascii="宋体" w:hAnsi="宋体" w:eastAsia="宋体" w:cs="宋体"/>
          <w:color w:val="000000"/>
          <w:szCs w:val="21"/>
          <w:highlight w:val="none"/>
          <w:u w:val="single"/>
        </w:rPr>
        <w:t xml:space="preserve">GB/T 50500-2024</w:t>
      </w:r>
      <w:r>
        <w:rPr>
          <w:rFonts w:hint="eastAsia" w:ascii="宋体" w:hAnsi="宋体" w:eastAsia="宋体" w:cs="宋体"/>
          <w:color w:val="000000"/>
          <w:szCs w:val="21"/>
          <w:highlight w:val="none"/>
          <w:u w:val="single"/>
        </w:rPr>
        <w:t xml:space="preserve">）、其他法律法规以及江苏省和苏州市行政主管部门颁布的相关文件的规定，如地方法规与国家法律相抵触，按国家法律法规执行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标准和规范</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1.4.1适用于工程的标准规范包括：</w:t>
      </w:r>
      <w:r>
        <w:rPr>
          <w:rFonts w:hint="eastAsia" w:ascii="宋体" w:hAnsi="宋体" w:eastAsia="宋体" w:cs="宋体"/>
          <w:color w:val="000000"/>
          <w:szCs w:val="21"/>
          <w:highlight w:val="none"/>
          <w:u w:val="single"/>
        </w:rPr>
        <w:t xml:space="preserve">现行工程施工标准规范以及质量验收标准及规范，如现行施工标准规范与本招标文件所要求的质量验收标准及规范有相冲突的地方，发包人对其享有最终解释权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发包人提供国外标准、规范的名称：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如有涉及、双方另行协商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发包人提供国外标准、规范的份数：</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发包人提供国外标准、规范的名称：</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left="596"/>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1.4.3发包人对工程的技术标准和功能要求的特殊要求：</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 合同文件的优先顺序</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合同文件组成及优先顺序为：</w:t>
      </w:r>
      <w:r>
        <w:rPr>
          <w:rFonts w:hint="eastAsia" w:ascii="宋体" w:hAnsi="宋体" w:eastAsia="宋体" w:cs="宋体"/>
          <w:color w:val="000000"/>
          <w:szCs w:val="21"/>
          <w:highlight w:val="none"/>
          <w:u w:val="single"/>
        </w:rPr>
        <w:t xml:space="preserve">(1)本合同协议书；(2)中标通知书；(3)投标书及其附件；(4)专用合同条款及其附件；(5)本合同通用条款；(6)招标文件及答疑文件；(7)技术标准和要求；(8)图纸；(9)已标价工程量清单或预算书；（10）其他合同文件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 图纸和承包人文件</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图纸的提供</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发包人向承包人提供图纸的期限：</w:t>
      </w:r>
      <w:r>
        <w:rPr>
          <w:rFonts w:hint="eastAsia" w:ascii="宋体" w:hAnsi="宋体" w:eastAsia="宋体" w:cs="宋体"/>
          <w:color w:val="000000"/>
          <w:szCs w:val="21"/>
          <w:highlight w:val="none"/>
          <w:u w:val="single"/>
        </w:rPr>
        <w:t xml:space="preserve">开工之前14天</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发包人向承包人提供图纸的数量：</w:t>
      </w:r>
      <w:r>
        <w:rPr>
          <w:rFonts w:hint="eastAsia" w:ascii="宋体" w:hAnsi="宋体" w:eastAsia="宋体" w:cs="宋体"/>
          <w:color w:val="000000"/>
          <w:szCs w:val="21"/>
          <w:highlight w:val="none"/>
          <w:u w:val="single"/>
        </w:rPr>
        <w:t xml:space="preserve"> 施工图纸 </w:t>
      </w:r>
      <w:r>
        <w:rPr>
          <w:rFonts w:hint="eastAsia" w:ascii="宋体" w:hAnsi="宋体" w:eastAsia="宋体" w:cs="宋体"/>
          <w:color w:val="000000"/>
          <w:szCs w:val="21"/>
          <w:highlight w:val="none"/>
          <w:u w:val="single"/>
        </w:rPr>
        <w:t xml:space="preserve">1</w:t>
      </w:r>
      <w:r>
        <w:rPr>
          <w:rFonts w:hint="eastAsia" w:ascii="宋体" w:hAnsi="宋体" w:eastAsia="宋体" w:cs="宋体"/>
          <w:color w:val="000000"/>
          <w:szCs w:val="21"/>
          <w:highlight w:val="none"/>
          <w:u w:val="single"/>
        </w:rPr>
        <w:t xml:space="preserve"> 套(不含竣工图)。承包人需要增加图纸份数，发包人代为晒印，晒印费由承包人承担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发包人向承包人提供图纸的内容：</w:t>
      </w:r>
      <w:r>
        <w:rPr>
          <w:rFonts w:hint="eastAsia" w:ascii="宋体" w:hAnsi="宋体" w:eastAsia="宋体" w:cs="宋体"/>
          <w:color w:val="000000"/>
          <w:szCs w:val="21"/>
          <w:highlight w:val="none"/>
          <w:u w:val="single"/>
        </w:rPr>
        <w:t xml:space="preserve">工程承包范围内的全部施工图纸；未经发包人书面批准承包人不得向第三者提供任何图纸，如有违反，应向发包人支付违约金 1-10万元人民币，具体数额由发包人根据实际损失决定。承包人对发包人提供图纸负有保密义务，但不得因此要求发包人支付任何费用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 承包人文件</w:t>
      </w:r>
      <w:r>
        <w:rPr>
          <w:rFonts w:hint="eastAsia" w:ascii="宋体" w:hAnsi="宋体" w:eastAsia="宋体" w:cs="宋体"/>
          <w:color w:val="000000"/>
          <w:szCs w:val="21"/>
          <w:highlight w:val="none"/>
        </w:rPr>
      </w:r>
      <w:r/>
    </w:p>
    <w:p>
      <w:pPr>
        <w:pStyle w:val="1044"/>
        <w:ind w:left="596"/>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需要由承包人提供的文件，包括：</w:t>
      </w:r>
      <w:r>
        <w:rPr>
          <w:rFonts w:hint="eastAsia" w:ascii="宋体" w:hAnsi="宋体" w:eastAsia="宋体" w:cs="宋体"/>
          <w:color w:val="000000"/>
          <w:szCs w:val="21"/>
          <w:highlight w:val="none"/>
          <w:u w:val="single"/>
        </w:rPr>
        <w:t xml:space="preserve">承包人在接到中标通知书 7 日内须提供工程计划二份，分报监理和发包人审核；工程开工后每周五向监理及发包人提供周进度计划和统计报表各一份，每月向监理和发包人提供月进度计划报表和统计报表各一份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承包人提供的文件的期限为：</w:t>
      </w:r>
      <w:r>
        <w:rPr>
          <w:rFonts w:hint="eastAsia" w:ascii="宋体" w:hAnsi="宋体" w:eastAsia="宋体" w:cs="宋体"/>
          <w:color w:val="000000"/>
          <w:szCs w:val="21"/>
          <w:highlight w:val="none"/>
          <w:u w:val="single"/>
        </w:rPr>
        <w:t xml:space="preserve">该合同工期内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承包人提供的文件的数量为：</w:t>
      </w:r>
      <w:r>
        <w:rPr>
          <w:rFonts w:hint="eastAsia" w:ascii="宋体" w:hAnsi="宋体" w:eastAsia="宋体" w:cs="宋体"/>
          <w:color w:val="000000"/>
          <w:szCs w:val="21"/>
          <w:highlight w:val="none"/>
          <w:u w:val="single"/>
        </w:rPr>
        <w:t xml:space="preserve">双方另行约定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承包人提供的文件的形式为：</w:t>
      </w:r>
      <w:r>
        <w:rPr>
          <w:rFonts w:hint="eastAsia" w:ascii="宋体" w:hAnsi="宋体" w:eastAsia="宋体" w:cs="宋体"/>
          <w:color w:val="000000"/>
          <w:szCs w:val="21"/>
          <w:highlight w:val="none"/>
          <w:u w:val="single"/>
        </w:rPr>
        <w:t xml:space="preserve">双方另行约定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发包人审批承包人文件的期限：</w:t>
      </w:r>
      <w:r>
        <w:rPr>
          <w:rFonts w:hint="eastAsia" w:ascii="宋体" w:hAnsi="宋体" w:eastAsia="宋体" w:cs="宋体"/>
          <w:color w:val="000000"/>
          <w:szCs w:val="21"/>
          <w:highlight w:val="none"/>
          <w:u w:val="single"/>
        </w:rPr>
        <w:t xml:space="preserve">双方另行约定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1.6.5 现场图纸准备</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关于现场图纸准备的约定：</w:t>
      </w:r>
      <w:r>
        <w:rPr>
          <w:rFonts w:hint="eastAsia" w:ascii="宋体" w:hAnsi="宋体" w:eastAsia="宋体" w:cs="宋体"/>
          <w:color w:val="000000"/>
          <w:szCs w:val="21"/>
          <w:highlight w:val="none"/>
          <w:u w:val="single"/>
        </w:rPr>
        <w:t xml:space="preserve">开工前发包人向承包人提供施工图纸 </w:t>
      </w:r>
      <w:r>
        <w:rPr>
          <w:rFonts w:hint="eastAsia" w:ascii="宋体" w:hAnsi="宋体" w:eastAsia="宋体" w:cs="宋体"/>
          <w:color w:val="000000"/>
          <w:szCs w:val="21"/>
          <w:highlight w:val="none"/>
          <w:u w:val="single"/>
        </w:rPr>
        <w:t xml:space="preserve">1</w:t>
      </w:r>
      <w:r>
        <w:rPr>
          <w:rFonts w:hint="eastAsia" w:ascii="宋体" w:hAnsi="宋体" w:eastAsia="宋体" w:cs="宋体"/>
          <w:color w:val="000000"/>
          <w:szCs w:val="21"/>
          <w:highlight w:val="none"/>
          <w:u w:val="single"/>
        </w:rPr>
        <w:t xml:space="preserve"> 套。承包人需要增加图纸份数，发包人代为晒印，晒印费用由承包人承担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1.7 联络</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1.7.1发包人和承包人应当在</w:t>
      </w:r>
      <w:r>
        <w:rPr>
          <w:rFonts w:hint="eastAsia" w:ascii="宋体" w:hAnsi="宋体" w:eastAsia="宋体" w:cs="宋体"/>
          <w:color w:val="000000"/>
          <w:szCs w:val="21"/>
          <w:highlight w:val="none"/>
          <w:u w:val="single"/>
        </w:rPr>
        <w:t xml:space="preserve">7   </w:t>
      </w:r>
      <w:r>
        <w:rPr>
          <w:rFonts w:hint="eastAsia" w:ascii="宋体" w:hAnsi="宋体" w:eastAsia="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发包人接收文件的地点：</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发包人指定的接收人为：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承包人接收文件的地点：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承包人指定的接收人为：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监理人接收文件的地点：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监理人指定的接收人为：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1.10 交通运输</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w:t>
      </w:r>
      <w:bookmarkStart w:id="82" w:name="_Toc300934943"/>
      <w:r/>
      <w:bookmarkStart w:id="83" w:name="_Toc303539100"/>
      <w:r/>
      <w:bookmarkStart w:id="84" w:name="_Toc318581155"/>
      <w:r/>
      <w:bookmarkStart w:id="85" w:name="_Toc304295521"/>
      <w:r/>
      <w:bookmarkStart w:id="86" w:name="_Toc312677986"/>
      <w:r>
        <w:rPr>
          <w:rFonts w:hint="eastAsia" w:ascii="宋体" w:hAnsi="宋体" w:eastAsia="宋体" w:cs="宋体"/>
          <w:color w:val="000000"/>
          <w:szCs w:val="21"/>
          <w:highlight w:val="none"/>
        </w:rPr>
        <w:t xml:space="preserve">.10.1 出入现场的权利</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关于出入现场的权利的约定：</w:t>
      </w:r>
      <w:r>
        <w:rPr>
          <w:rFonts w:hint="eastAsia" w:ascii="宋体" w:hAnsi="宋体" w:eastAsia="宋体" w:cs="宋体"/>
          <w:color w:val="000000"/>
          <w:szCs w:val="21"/>
          <w:highlight w:val="none"/>
          <w:u w:val="single"/>
        </w:rPr>
        <w:t xml:space="preserve">按通用条款执行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bookmarkEnd w:id="82"/>
      <w:r/>
      <w:bookmarkEnd w:id="83"/>
      <w:r/>
      <w:bookmarkEnd w:id="84"/>
      <w:r/>
      <w:bookmarkEnd w:id="85"/>
      <w:r/>
      <w:bookmarkEnd w:id="86"/>
      <w:r>
        <w:rPr>
          <w:rFonts w:hint="eastAsia" w:ascii="宋体" w:hAnsi="宋体" w:eastAsia="宋体" w:cs="宋体"/>
          <w:color w:val="000000"/>
          <w:szCs w:val="21"/>
          <w:highlight w:val="none"/>
        </w:rPr>
        <w:t xml:space="preserve">1</w:t>
      </w:r>
      <w:bookmarkStart w:id="87" w:name="_Toc300934944"/>
      <w:r/>
      <w:bookmarkStart w:id="88" w:name="_Toc304295522"/>
      <w:r/>
      <w:bookmarkStart w:id="89" w:name="_Toc312677987"/>
      <w:r/>
      <w:bookmarkStart w:id="90" w:name="_Toc318581156"/>
      <w:r/>
      <w:bookmarkStart w:id="91" w:name="_Toc303539101"/>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场内交通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关于场外交通和场内交通的边界的约定：</w:t>
      </w:r>
      <w:r>
        <w:rPr>
          <w:rFonts w:hint="eastAsia" w:ascii="宋体" w:hAnsi="宋体" w:eastAsia="宋体" w:cs="宋体"/>
          <w:color w:val="000000"/>
          <w:szCs w:val="21"/>
          <w:highlight w:val="none"/>
          <w:u w:val="single"/>
        </w:rPr>
        <w:t xml:space="preserve">按承包人施工现场平面布置图所示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关于发包人向承包人免费提供满足工程施工需要的场内道路和交通设施的约定：</w:t>
      </w:r>
      <w:r>
        <w:rPr>
          <w:rFonts w:hint="eastAsia" w:ascii="宋体" w:hAnsi="宋体" w:eastAsia="宋体" w:cs="宋体"/>
          <w:color w:val="000000"/>
          <w:szCs w:val="21"/>
          <w:highlight w:val="none"/>
          <w:u w:val="single"/>
        </w:rPr>
        <w:t xml:space="preserve">发包人向承包人提供的场内道路和交通设施应满足承包人施工方案所需全部大型机械设备和运输车辆进出施工现场及通行的需要</w:t>
      </w:r>
      <w:r>
        <w:rPr>
          <w:rFonts w:hint="eastAsia" w:ascii="宋体" w:hAnsi="宋体" w:eastAsia="宋体" w:cs="宋体"/>
          <w:color w:val="000000"/>
          <w:szCs w:val="21"/>
          <w:highlight w:val="none"/>
        </w:rPr>
        <w:t xml:space="preserve">。</w:t>
      </w:r>
      <w:bookmarkEnd w:id="87"/>
      <w:r/>
      <w:bookmarkEnd w:id="88"/>
      <w:r/>
      <w:bookmarkEnd w:id="89"/>
      <w:r/>
      <w:bookmarkEnd w:id="90"/>
      <w:r/>
      <w:bookmarkEnd w:id="91"/>
      <w:r>
        <w:rPr>
          <w:rFonts w:hint="eastAsia" w:ascii="宋体" w:hAnsi="宋体" w:eastAsia="宋体" w:cs="宋体"/>
          <w:color w:val="000000"/>
          <w:szCs w:val="21"/>
          <w:highlight w:val="none"/>
        </w:rPr>
        <w:t xml:space="preserve">  </w:t>
      </w:r>
      <w:bookmarkStart w:id="92" w:name="_Toc318581157"/>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1.10.4超大件和超重件的运输</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运输超大件或超重件所需的道路和桥梁临时加固改造费用和其他有关费用由</w:t>
      </w:r>
      <w:r>
        <w:rPr>
          <w:rFonts w:hint="eastAsia" w:ascii="宋体" w:hAnsi="宋体" w:eastAsia="宋体" w:cs="宋体"/>
          <w:color w:val="000000"/>
          <w:szCs w:val="21"/>
          <w:highlight w:val="none"/>
          <w:u w:val="single"/>
        </w:rPr>
        <w:t xml:space="preserve"> 承包人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bookmarkEnd w:id="92"/>
      <w:r>
        <w:rPr>
          <w:rFonts w:hint="eastAsia" w:ascii="宋体" w:hAnsi="宋体" w:eastAsia="宋体" w:cs="宋体"/>
          <w:color w:val="000000"/>
          <w:szCs w:val="21"/>
          <w:highlight w:val="none"/>
        </w:rPr>
        <w:t xml:space="preserve">1.11 知识产权</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highlight w:val="none"/>
          <w:u w:val="single"/>
        </w:rPr>
        <w:t xml:space="preserve">按照通用条款执行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关于发包人提供的上述文件的使用限制的要求：</w:t>
      </w:r>
      <w:r>
        <w:rPr>
          <w:rFonts w:hint="eastAsia" w:ascii="宋体" w:hAnsi="宋体" w:eastAsia="宋体" w:cs="宋体"/>
          <w:color w:val="000000"/>
          <w:szCs w:val="21"/>
          <w:highlight w:val="none"/>
          <w:u w:val="single"/>
        </w:rPr>
        <w:t xml:space="preserve"> 仅供本项目施工使用，未经发包人同意，不得外借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1.11.2 关于承包人为实施工程所编制文件的著作权的归属：</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关于承包人提供的上述文件的使用限制的要求：</w:t>
      </w:r>
      <w:r>
        <w:rPr>
          <w:rFonts w:hint="eastAsia" w:ascii="宋体" w:hAnsi="宋体" w:eastAsia="宋体" w:cs="宋体"/>
          <w:color w:val="000000"/>
          <w:szCs w:val="21"/>
          <w:highlight w:val="none"/>
          <w:u w:val="single"/>
        </w:rPr>
        <w:t xml:space="preserve">仅供本项目施工使用，未经发包人同意，不得外借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1.11.</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承包人在施工过程中所采用的专利、专有技术、技术秘密的使用费的承担方式：</w:t>
      </w:r>
      <w:r>
        <w:rPr>
          <w:rFonts w:hint="eastAsia" w:ascii="宋体" w:hAnsi="宋体" w:eastAsia="宋体" w:cs="宋体"/>
          <w:color w:val="000000"/>
          <w:szCs w:val="21"/>
          <w:highlight w:val="none"/>
          <w:u w:val="single"/>
        </w:rPr>
        <w:t xml:space="preserve">按通用条款执行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工程量清单缺陷的修正</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工程量清单缺陷指</w:t>
      </w:r>
      <w:r>
        <w:rPr>
          <w:rFonts w:hint="eastAsia" w:ascii="宋体" w:hAnsi="宋体" w:eastAsia="宋体" w:cs="宋体"/>
          <w:color w:val="000000"/>
          <w:szCs w:val="21"/>
          <w:highlight w:val="none"/>
        </w:rPr>
        <w:t xml:space="preserve">工程量清单的分部分项工程项目清单中所列的清单项目与对应的合同图纸及合同规范所要求的清单项目在列项、项目特征、工程数量上存在的差异包括工程量清单多列项、错漏项、项目特征不符、工程数量偏差及其他同类。</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出现工程量清单缺陷时，是否调整合同价格：</w:t>
      </w:r>
      <w:r>
        <w:rPr>
          <w:rFonts w:hint="eastAsia" w:ascii="宋体" w:hAnsi="宋体" w:eastAsia="宋体" w:cs="宋体"/>
          <w:color w:val="000000"/>
          <w:szCs w:val="21"/>
          <w:highlight w:val="none"/>
          <w:u w:val="single"/>
        </w:rPr>
        <w:t xml:space="preserve">  是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93" w:name="_Toc351203634"/>
      <w:r>
        <w:rPr>
          <w:rFonts w:hint="eastAsia" w:ascii="宋体" w:hAnsi="宋体" w:eastAsia="宋体" w:cs="宋体"/>
          <w:bCs/>
          <w:color w:val="000000"/>
          <w:szCs w:val="21"/>
          <w:highlight w:val="none"/>
        </w:rPr>
        <w:t xml:space="preserve">2</w:t>
      </w:r>
      <w:bookmarkStart w:id="94" w:name="_Toc296944496"/>
      <w:r/>
      <w:bookmarkStart w:id="95" w:name="_Toc296890985"/>
      <w:r/>
      <w:bookmarkStart w:id="96" w:name="_Toc297120457"/>
      <w:r/>
      <w:bookmarkStart w:id="97" w:name="_Toc292559362"/>
      <w:r/>
      <w:bookmarkStart w:id="98" w:name="_Toc296346658"/>
      <w:r/>
      <w:bookmarkStart w:id="99" w:name="_Toc292559867"/>
      <w:r/>
      <w:bookmarkStart w:id="100" w:name="_Toc296891197"/>
      <w:r/>
      <w:bookmarkStart w:id="101" w:name="_Toc296503157"/>
      <w:r/>
      <w:bookmarkStart w:id="102" w:name="_Toc296347156"/>
      <w:r/>
      <w:bookmarkStart w:id="103" w:name="_Toc297048343"/>
      <w:r>
        <w:rPr>
          <w:rFonts w:hint="eastAsia" w:ascii="宋体" w:hAnsi="宋体" w:eastAsia="宋体" w:cs="宋体"/>
          <w:bCs/>
          <w:color w:val="000000"/>
          <w:szCs w:val="21"/>
          <w:highlight w:val="none"/>
        </w:rPr>
        <w:t xml:space="preserve">. 发包人</w:t>
      </w:r>
      <w:bookmarkEnd w:id="93"/>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发包人代表</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发包人代表：</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发包人对发包人代表的授权范围如下：</w:t>
      </w:r>
      <w:r>
        <w:rPr>
          <w:rFonts w:hint="eastAsia" w:ascii="宋体" w:hAnsi="宋体" w:eastAsia="宋体" w:cs="宋体"/>
          <w:color w:val="000000"/>
          <w:szCs w:val="21"/>
          <w:highlight w:val="none"/>
          <w:u w:val="single"/>
        </w:rPr>
        <w:t xml:space="preserve">协调施工现场的各项工作，控制工程进度、监督工程质量、现场有关工程变更的确认及发包人委托的其他权利   </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施工现场、施工条件和基础资料的提供</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.1 提供施工现场</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关于发包人移交施工现场的期限要求：</w:t>
      </w:r>
      <w:r>
        <w:rPr>
          <w:rFonts w:hint="eastAsia" w:ascii="宋体" w:hAnsi="宋体" w:eastAsia="宋体" w:cs="宋体"/>
          <w:color w:val="000000"/>
          <w:szCs w:val="21"/>
          <w:highlight w:val="none"/>
          <w:u w:val="single"/>
        </w:rPr>
        <w:t xml:space="preserve">根据工作面开展，发包人向承包人陆续提供全部工程施工所需的场地；如现有红线内场地无法满足施工需要，由承包人自行解决，并承担相应费用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Start w:id="104" w:name="_Hlk157155011"/>
      <w:r>
        <w:rPr>
          <w:rFonts w:hint="eastAsia" w:ascii="宋体" w:hAnsi="宋体" w:eastAsia="宋体" w:cs="宋体"/>
          <w:color w:val="000000"/>
          <w:szCs w:val="21"/>
          <w:highlight w:val="none"/>
          <w:u w:val="single"/>
        </w:rPr>
        <w:t xml:space="preserve">投标单位应充分考虑施工现场实际情况，自行踏勘，工人住宿基地、临时设施费用、堆场处理等情况，产生的相关费用计入投标报价中，竣工结算不调整。</w:t>
      </w:r>
      <w:bookmarkEnd w:id="104"/>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.2 提供施工条件</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关于发包人应负责提供施工所需要的条件，包括：</w:t>
      </w:r>
      <w:r>
        <w:rPr>
          <w:rFonts w:hint="eastAsia" w:ascii="宋体" w:hAnsi="宋体" w:eastAsia="宋体" w:cs="宋体"/>
          <w:color w:val="000000"/>
          <w:szCs w:val="21"/>
          <w:highlight w:val="none"/>
          <w:u w:val="single"/>
        </w:rPr>
        <w:t xml:space="preserve">场内铺设电路、水路由施工单位自理，施工用电用水费用由承包人承担，包含在合同价中</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(1)施工场地具备施工条件的要求及完成的时间：在开工前场地平整具备施工条件。</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(2)将施工所需的水、电线路接至施工场地的时间、地点和供应要求：施工场地内铺设施工用临时电路、水路由承包人自理，施工用水、电费用已含在施工单位合同价中。电讯线路由承包人自理。</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(3)施工场地与公共道路的通道开通时间和要求：在开工前具备施工车辆通行条件。</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(4)工程地质和地下管线资料的提供时间：工程地质勘察报告由发包人提供，地下管线资料由发包人提供、承包人协助收集。由发包人负责在开工前提供书面资料并现场进行交接并对资料的真实性、准确性负责。</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(5)水准点与座标控制点交验要求：正式开工前，现场交接。</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(6)图纸会审和设计交底时间：正式开工前。</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t xml:space="preserve">(7)协调处理施工场地周围地下管线和邻近建筑物、构筑物(含文物保护建筑)、古树名木的保护工作，由承包人负责保护工作。因承包人未及时采取有效保护措施或其他原因导致上述施工场地周围地下管线、相邻建筑物、构筑物（含文物保护建筑）、古树名木损坏的，由承包人承担相应赔偿责任。</w:t>
      </w:r>
      <w:r>
        <w:rPr>
          <w:rFonts w:hint="eastAsia" w:ascii="宋体" w:hAnsi="宋体" w:eastAsia="宋体" w:cs="宋体"/>
          <w:b/>
          <w:bCs/>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资金来源证明及支付担保</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发包人提供资金来源证明的期限要求：</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发包人是否提供支付担保：</w:t>
      </w:r>
      <w:r>
        <w:rPr>
          <w:rFonts w:hint="eastAsia" w:ascii="宋体" w:hAnsi="宋体" w:eastAsia="宋体" w:cs="宋体"/>
          <w:color w:val="000000"/>
          <w:szCs w:val="21"/>
          <w:highlight w:val="none"/>
          <w:u w:val="single"/>
        </w:rPr>
        <w:t xml:space="preserve">否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发包人提供支付担保的形式：</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105" w:name="_Toc351203635"/>
      <w:r>
        <w:rPr>
          <w:rFonts w:hint="eastAsia" w:ascii="宋体" w:hAnsi="宋体" w:eastAsia="宋体" w:cs="宋体"/>
          <w:bCs/>
          <w:color w:val="000000"/>
          <w:szCs w:val="21"/>
          <w:highlight w:val="none"/>
        </w:rPr>
        <w:t xml:space="preserve">3</w:t>
      </w:r>
      <w:bookmarkStart w:id="106" w:name="_Toc297120458"/>
      <w:r/>
      <w:bookmarkStart w:id="107" w:name="_Toc296944497"/>
      <w:r/>
      <w:bookmarkStart w:id="108" w:name="_Toc296891198"/>
      <w:r/>
      <w:bookmarkStart w:id="109" w:name="_Toc296346659"/>
      <w:r/>
      <w:bookmarkStart w:id="110" w:name="_Toc296503158"/>
      <w:r/>
      <w:bookmarkStart w:id="111" w:name="_Toc292559363"/>
      <w:r/>
      <w:bookmarkStart w:id="112" w:name="_Toc296890986"/>
      <w:r/>
      <w:bookmarkStart w:id="113" w:name="_Toc292559868"/>
      <w:r/>
      <w:bookmarkStart w:id="114" w:name="_Toc297048344"/>
      <w:r/>
      <w:bookmarkStart w:id="115" w:name="_Toc296347157"/>
      <w:r>
        <w:rPr>
          <w:rFonts w:hint="eastAsia" w:ascii="宋体" w:hAnsi="宋体" w:eastAsia="宋体" w:cs="宋体"/>
          <w:bCs/>
          <w:color w:val="000000"/>
          <w:szCs w:val="21"/>
          <w:highlight w:val="none"/>
        </w:rPr>
        <w:t xml:space="preserve">. 承包人</w:t>
      </w:r>
      <w:bookmarkEnd w:id="105"/>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color w:val="000000"/>
          <w:szCs w:val="21"/>
          <w:highlight w:val="none"/>
        </w:rPr>
        <w:t xml:space="preserve">3.1 承包人的一般义务</w:t>
      </w:r>
      <w:r>
        <w:rPr>
          <w:rFonts w:hint="eastAsia" w:ascii="宋体" w:hAnsi="宋体" w:eastAsia="宋体" w:cs="宋体"/>
          <w:color w:val="000000"/>
          <w:szCs w:val="21"/>
          <w:highlight w:val="none"/>
        </w:rPr>
      </w:r>
      <w:r/>
    </w:p>
    <w:p>
      <w:pPr>
        <w:pStyle w:val="1044"/>
        <w:ind w:firstLine="21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承包人提交的竣工资料的内容：</w:t>
      </w:r>
      <w:r>
        <w:rPr>
          <w:rFonts w:hint="eastAsia" w:ascii="宋体" w:hAnsi="宋体" w:eastAsia="宋体" w:cs="宋体"/>
          <w:color w:val="000000"/>
          <w:szCs w:val="21"/>
          <w:highlight w:val="none"/>
          <w:u w:val="single"/>
        </w:rPr>
        <w:t xml:space="preserve"> 竣工验收证书颁发后</w:t>
      </w:r>
      <w:r>
        <w:rPr>
          <w:rFonts w:hint="eastAsia" w:ascii="宋体" w:hAnsi="宋体" w:eastAsia="宋体" w:cs="宋体"/>
          <w:color w:val="000000"/>
          <w:szCs w:val="21"/>
          <w:highlight w:val="none"/>
          <w:u w:val="single"/>
        </w:rPr>
        <w:t xml:space="preserve">56</w:t>
      </w:r>
      <w:r>
        <w:rPr>
          <w:rFonts w:hint="eastAsia" w:ascii="宋体" w:hAnsi="宋体" w:eastAsia="宋体" w:cs="宋体"/>
          <w:color w:val="000000"/>
          <w:szCs w:val="21"/>
          <w:highlight w:val="none"/>
          <w:u w:val="single"/>
        </w:rPr>
        <w:t xml:space="preserve">天内，向监理工程师和发包人提供竣工图纸、文字资料和工程照片一式四份等全部竣工资料。</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承包人需要提交的竣工资料套数：</w:t>
      </w:r>
      <w:r>
        <w:rPr>
          <w:rFonts w:hint="eastAsia" w:ascii="宋体" w:hAnsi="宋体" w:eastAsia="宋体" w:cs="宋体"/>
          <w:color w:val="000000"/>
          <w:szCs w:val="21"/>
          <w:highlight w:val="none"/>
          <w:u w:val="single"/>
        </w:rPr>
        <w:t xml:space="preserve"> 肆套纸质（图纸由承包人提供）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承包人提交的竣工资料的费用承担：</w:t>
      </w:r>
      <w:r>
        <w:rPr>
          <w:rFonts w:hint="eastAsia" w:ascii="宋体" w:hAnsi="宋体" w:eastAsia="宋体" w:cs="宋体"/>
          <w:color w:val="000000"/>
          <w:szCs w:val="21"/>
          <w:highlight w:val="none"/>
          <w:u w:val="single"/>
        </w:rPr>
        <w:t xml:space="preserve">    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承包人提交的竣工资料移交时间:通过竣工验收后56天内。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承包人提交的竣工资料形式要求：</w:t>
      </w:r>
      <w:r>
        <w:rPr>
          <w:rFonts w:hint="eastAsia" w:ascii="宋体" w:hAnsi="宋体" w:eastAsia="宋体" w:cs="宋体"/>
          <w:color w:val="000000"/>
          <w:szCs w:val="21"/>
          <w:highlight w:val="none"/>
          <w:u w:val="single"/>
        </w:rPr>
        <w:t xml:space="preserve">   符合城建档案馆要求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t xml:space="preserve">）承包人应履行的其他义务：</w:t>
      </w:r>
      <w:r>
        <w:rPr>
          <w:rFonts w:hint="eastAsia" w:ascii="宋体" w:hAnsi="宋体" w:eastAsia="宋体" w:cs="宋体"/>
          <w:color w:val="000000"/>
          <w:szCs w:val="21"/>
          <w:highlight w:val="none"/>
          <w:u w:val="single"/>
        </w:rPr>
        <w:t xml:space="preserve">1、承包人必须维护日常和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向发包人提供两间办公用房及相关设施。</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需承包人办理的有关施工场地交通、环卫和施工噪音管理等手续：按苏州市、苏州相城区有关规定以及有关职能部门要求办理有关手续，费用由承包人承担，已包含到合同价款中。在相城区举行重大活动时，根据发包人要求，需积极做好道路保洁、交通畅通、施工噪音等方面的临时突击工作，费用由承包人承担，已包含到合同价款中。</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已完工程成品保护的特殊要求及费用承担：已竣工工程未交付发包人之前，承包人应负责保护，保护期间发生损坏，承包人自费予以修复。</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施工场地周围地下管线和邻近建筑物、构筑物（含文物保护建筑）、古树名木的保护要求及费用承担：承包人应自觉做好施工场地地下管线的保护工作，应考虑做好施工场地居民安全、沿线地下管线和临近建筑物、构筑物、高压线、古树名木等的保护工作，费用由承包人承担，包含到合同价款中。（按规范要求的基坑加固除外）。</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施工场地清洁卫生的要求：按照苏州市及相城区现场施工清洁卫生规定执行；交工前清理现场达到监理工程师和发包人要求，承担因违反有关规定造成的损失和罚款。</w:t>
      </w:r>
      <w:r>
        <w:rPr>
          <w:rFonts w:hint="eastAsia" w:ascii="宋体" w:hAnsi="宋体" w:eastAsia="宋体" w:cs="宋体"/>
          <w:color w:val="000000"/>
          <w:szCs w:val="21"/>
          <w:highlight w:val="none"/>
          <w:u w:val="single"/>
        </w:rPr>
      </w:r>
      <w:r/>
    </w:p>
    <w:p>
      <w:pPr>
        <w:pStyle w:val="1044"/>
        <w:numPr>
          <w:ilvl w:val="0"/>
          <w:numId w:val="20"/>
        </w:numPr>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已竣工工程未交付发包人之前，承包人应负责保护；承包人必须保护施工现场周围道路、路灯、绿化、施工围栏等市政设施，保护期间发生损坏，因承包人原因造成的损坏损失由承包人修复，并承担相应的责任，由此造成发包人的经济损失在工程进度付款中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8、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9、承包人必须确保进入现场的所有车辆和设备的正常通行，维护所属区域的施工便道。</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10、配合发包人的其他工作，协助发包人办理有关手续。</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11、交叉施工和各综合管线保护。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12、消火栓保护：在施工期间，承包人不得擅自开启或破坏消火栓。否则承包人除接受消火栓管理单位罚款外，承包人按 500 元/次作为违约金无条件支付给发包人，发包人可从承包人的工程款中直接扣除。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13、扬尘治理具体措施：</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bookmarkStart w:id="116" w:name="_Hlk157155259"/>
      <w:r>
        <w:rPr>
          <w:rFonts w:hint="eastAsia" w:ascii="宋体" w:hAnsi="宋体" w:eastAsia="宋体" w:cs="宋体"/>
          <w:color w:val="000000"/>
          <w:szCs w:val="21"/>
          <w:highlight w:val="none"/>
          <w:u w:val="single"/>
        </w:rPr>
        <w:t xml:space="preserve">施工现场必须设置硬质围挡，施工现场的主要道路必须进行硬化处理,土方应集中堆放:裸露的场地和集中堆放的土方应采取覆盖、固化或绿化等措施；施工湿法作业:施工场内道路、砂浆搅拌场所以及进行土方作业、现场爆破、拆除、切割等作业时应采取洒水降尘措施或设置喷淋设施；从事土方、渣土和施工垃圾运输的车辆应采用密闭式运输车辆或采取覆盖措施,施工</w:t>
      </w:r>
      <w:r>
        <w:rPr>
          <w:rFonts w:hint="eastAsia" w:ascii="宋体" w:hAnsi="宋体" w:eastAsia="宋体" w:cs="宋体"/>
          <w:color w:val="000000"/>
          <w:szCs w:val="21"/>
          <w:highlight w:val="none"/>
          <w:u w:val="single"/>
        </w:rPr>
        <w:t xml:space="preserve">现场出入口应采取保证车辆清洁的措施；施工现场的材料存放场地必须平整坚实,水泥和其它易飞扬的细颗粒施工材料应密闭存放或采取覆盖等措施；施工现场的混凝土搅拌场所应采取封闭、降尘措施；施工区内的施工垃圾应及时清运,适量洒水,减少污染,并采用袋装,严禁随意抛撒；施工现场应设置密闭式垃圾站,施工垃圾和生活垃圾分类存放，并应及时清运出场；水泥和其他易飞扬物、细颗粒散体材料,安排在库内存放或遮盖,运输时要防止遗洒、飞扬,卸运时采取码放措施,减少污染；对运输车辆要加强遗洒的管理,要求所有运输车辆必须装设防止遗洒的活动装置。</w:t>
      </w:r>
      <w:bookmarkEnd w:id="116"/>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未采取措施进行施工现场扬尘治理的，视情况严重程度，处以罚款;拒不改正的，责令停工整治或者停业整治，因此造成的工期延误，由承包人承担。</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为规范施工行为，杜绝施工现场日常出现的造成扬尘污染的违章行为，制定以下奖罚措施:</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① 外运渣土未密闭或冒装超载的行为，罚款100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② 进出场车辆不按规定进行冲洗不干净就强行上路的行为，罚款100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③ 应采用湿法作业而未进行湿法作业的行为，罚款100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④ 施工用水等未经过沉淀池而随意排放的行为，罚款100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⑤ 露天堆放含粉尘建筑材料未覆盖的行为，罚款100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⑥ 拌制混凝土或砂浆时未控制粉尘弥漫的行为，罚款100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⑦ 各工序施工过程中，当天对作业面不清理或工完场不清的行为，罚款100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⑧ 建筑垃圾上车时产生扬尘未进行洒水降尘的行为， 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⑨ 因施工扬尘控制不善造成的上级处理和通报批评的，罚款100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0元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⑩ 其他引起现场扬尘而未采取有效措施的，罚款100</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元</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b/>
          <w:bCs/>
          <w:color w:val="000000"/>
          <w:szCs w:val="21"/>
          <w:highlight w:val="none"/>
          <w:u w:val="single"/>
        </w:rPr>
      </w:pPr>
      <w:r>
        <w:rPr>
          <w:rFonts w:hint="eastAsia" w:ascii="宋体" w:hAnsi="宋体" w:eastAsia="宋体" w:cs="宋体"/>
          <w:color w:val="000000"/>
          <w:szCs w:val="21"/>
          <w:highlight w:val="none"/>
          <w:u w:val="single"/>
        </w:rPr>
        <w:t xml:space="preserve">发生上述情形的，对于的罚款发包人可从承包人的工程款中直接扣除。</w:t>
      </w:r>
      <w:r>
        <w:rPr>
          <w:rFonts w:hint="eastAsia" w:ascii="宋体" w:hAnsi="宋体" w:eastAsia="宋体" w:cs="宋体"/>
          <w:b/>
          <w:bCs/>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14、噪声控制 ：减少施工噪声对周边的影响。采取措施，控制施工噪声。如因防噪措施不到位招致沿线单位投诉，发包人除要求承包人及时采取措施外，承包人5000 元/次作为违约金无条件支付给发包人，发包人可从承包人的工程款中直接扣除。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15、道路保洁和养护: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苗木、垃圾和工程渣土飞扬、洒落或者流溢。如因保洁或养护不到位招致投诉，发包人除要求承包人及时整改处理外，承包人按1000元/次作为违约金无条件支付给发包人，发包人可从承包人的工程款中直接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16、雨污水管维护：工程施工期间，需保持工程范围内雨污水管通畅，施工期间雨污水管道的养护疏通费用在投标报价时请投标单位考虑在内，严禁发生雨污水管道堵塞、溢流的现象，否则承包人按1000元/次作为违约金无条件支付给发包人，发包人可从承包人的工程款中直接扣除。工程竣工时，相关单位将做一次全面检查，不合格者发包人将拒绝竣工验收。</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17、余料或废料（含不符合招标要求的材料等）处理：本工程余料或废料不得在现场或相城区其他地方任意丢弃。否则，除接受相关单位处罚外，承包人按1000元/次作为违约金无条件支付给发包人，发包人可从承包人的工程款中直接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18、临建设施：工地现场搭设办公、生活等临建设施要与施工区域分开设置， 应采用坚固、安全、整洁、美观的彩钢板房 ，严禁采用石棉瓦等材料搭设简易工棚。临建设施内部需硬化，外围用彩钢板进行维护。临设外侧需挂牌注明工程名称、工程范围、工期、各主要负责人及联系电话等内容，并制定相应的生活、卫生管理制度，重点加强环境、食品卫生、用电安全的管理。临时设施搭设场地由承包人自行考虑，由此而增加的费用已包含在合同价款中。</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19、文明卫生：必须保护施工区域内外环境，施工人员穿着和行为要文明。在现场要设置定点的垃圾桶，每天生活垃圾必须委托环卫部门及时清理外运，严禁堆放现场或在相城区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投诉的，承包人按1000元/次作为违约金无条件支付给发包人，发包人可从承包人的工程款中直接扣除。</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20、承包人应履行的其他义务：</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bookmarkStart w:id="117" w:name="_Hlk157155352"/>
      <w:r>
        <w:rPr>
          <w:rFonts w:hint="eastAsia" w:ascii="宋体" w:hAnsi="宋体" w:eastAsia="宋体" w:cs="宋体"/>
          <w:color w:val="000000"/>
          <w:szCs w:val="21"/>
          <w:highlight w:val="none"/>
          <w:u w:val="single"/>
        </w:rPr>
        <w:t xml:space="preserve">承包人应当在工程开工建设前，到项目所在地商业银行开设农民工工资专用账户，专项用于支付该工程建设项目农民工工资。承包人应及时向项目所在地保证金管理部门缴存农民工工资保证金，并做好分包单位农民工工资保证金缴存的查验工作。承包人应当在工程项目部配备劳资专管员，对分包单位劳动用工实施监督管理。实行分包单位农民工工资委托施工总承包单位代发制度。承包人应当按照与农民工依法约定的工资支付周期和具体支付日期支付工资，且每月至少向农民工足额支付一次工资。</w:t>
      </w:r>
      <w:bookmarkEnd w:id="117"/>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承包人应当在施工现场醒目位置设立维权信息告示牌，明示：（1）建设单位、施工总承包单位及所在项目部、分包单位、行业监管部门、劳资专管员等基本信息；（2）劳动用工相关法律法规、当地最低工资标准、工资支付日期等基本信息；（3）属地行业监管部门和劳动保障监察投诉举报电话、劳动争议调解仲裁申请渠道等信息。</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 项目经理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w:t>
      </w:r>
      <w:r>
        <w:rPr>
          <w:rFonts w:hint="eastAsia" w:ascii="宋体" w:hAnsi="宋体" w:eastAsia="宋体" w:cs="宋体"/>
          <w:color w:val="000000"/>
          <w:szCs w:val="21"/>
          <w:highlight w:val="none"/>
        </w:rPr>
        <w:t xml:space="preserve">项目经理：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负责对本合同承包人承包范围内工程内容的施工组织、实施并对工程质量、进度、安全、文明施工、工地治安、合同价结算、工程款资金回收负责。</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除承包人书面加盖公司公章确认，任何人（包括但不限于公司职工、分公司及其职工、项目部及其成员等）均无权作出以下意思表示，不论其形式是补充协议或单方承诺，否则无效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减少合同价款；</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延迟发包人的付款时间、变更付款方式和收款人；</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加重承包人的违约责任；</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出具借条、欠条、收条等或签订借款合同等；</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提供担保及办理结算；</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出具结算清单、结算协议书、付款承诺书、付款计划书等债务凭证；</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0" w:leader="none"/>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其他任何增加承包人义务和减轻发包人义务的意思表示；</w:t>
      </w:r>
      <w:r>
        <w:rPr>
          <w:rFonts w:hint="eastAsia" w:ascii="宋体" w:hAnsi="宋体" w:eastAsia="宋体" w:cs="宋体"/>
          <w:color w:val="000000"/>
          <w:szCs w:val="21"/>
          <w:highlight w:val="none"/>
        </w:rPr>
      </w:r>
      <w:r/>
    </w:p>
    <w:p>
      <w:pPr>
        <w:pStyle w:val="1044"/>
        <w:numPr>
          <w:ilvl w:val="0"/>
          <w:numId w:val="21"/>
        </w:numPr>
        <w:ind w:left="1680" w:hanging="1080"/>
        <w:pageBreakBefore w:val="0"/>
        <w:spacing w:line="360" w:lineRule="auto"/>
        <w:tabs>
          <w:tab w:val="left" w:pos="0" w:leader="none"/>
          <w:tab w:val="left" w:pos="16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其他应需承包人加盖公司公章、合同章确认方可生效的事宜。</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Start w:id="118" w:name="_Hlk204676159"/>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 常驻现场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项目经理未经批准，擅自离开施工现场的违约责任：</w:t>
      </w:r>
      <w:r>
        <w:rPr>
          <w:rFonts w:hint="eastAsia" w:ascii="宋体" w:hAnsi="宋体" w:eastAsia="宋体" w:cs="宋体"/>
          <w:bCs/>
          <w:color w:val="000000"/>
          <w:szCs w:val="21"/>
          <w:highlight w:val="none"/>
          <w:u w:val="single"/>
        </w:rPr>
        <w:t xml:space="preserve">  无书面申请，未经发包人书面同意，项目经理不得擅自离开工地现场，以发包人的工地现场考勤表为准，如发现离开现场，承包人按 1000 元/次作为违约金无条件支付给发包人，发包人可从承包人的工程款中直接扣除。累计超过 3 次应视同项目经理无履约能力，承包人应在接到发包人书面通知后 7 天内予以更换，且承包人按人民币 </w:t>
      </w:r>
      <w:r>
        <w:rPr>
          <w:rFonts w:hint="eastAsia" w:ascii="宋体" w:hAnsi="宋体" w:eastAsia="宋体" w:cs="宋体"/>
          <w:bCs/>
          <w:color w:val="000000"/>
          <w:szCs w:val="21"/>
          <w:highlight w:val="none"/>
          <w:u w:val="single"/>
        </w:rPr>
        <w:t xml:space="preserve">5</w:t>
      </w:r>
      <w:r>
        <w:rPr>
          <w:rFonts w:hint="eastAsia" w:ascii="宋体" w:hAnsi="宋体" w:eastAsia="宋体" w:cs="宋体"/>
          <w:bCs/>
          <w:color w:val="000000"/>
          <w:szCs w:val="21"/>
          <w:highlight w:val="none"/>
          <w:u w:val="single"/>
        </w:rPr>
        <w:t xml:space="preserve">000元作为违约金无条件支付给发包人，发包人可从承包人的工程款中直接扣除</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项目经理未经批准，擅自离开施工现场的违约责任：</w:t>
      </w:r>
      <w:r>
        <w:rPr>
          <w:rFonts w:hint="eastAsia" w:ascii="宋体" w:hAnsi="宋体" w:eastAsia="宋体" w:cs="宋体"/>
          <w:bCs/>
          <w:color w:val="000000"/>
          <w:szCs w:val="21"/>
          <w:highlight w:val="none"/>
          <w:u w:val="single"/>
        </w:rPr>
        <w:t xml:space="preserve">未经发包人批准脱离施工现场超过1天的，每发生1次，向发包人支付1</w:t>
      </w:r>
      <w:r>
        <w:rPr>
          <w:rFonts w:hint="eastAsia" w:ascii="宋体" w:hAnsi="宋体" w:eastAsia="宋体" w:cs="宋体"/>
          <w:bCs/>
          <w:color w:val="000000"/>
          <w:szCs w:val="21"/>
          <w:highlight w:val="none"/>
          <w:u w:val="single"/>
        </w:rPr>
        <w:t xml:space="preserve">000</w:t>
      </w:r>
      <w:r>
        <w:rPr>
          <w:rFonts w:hint="eastAsia" w:ascii="宋体" w:hAnsi="宋体" w:eastAsia="宋体" w:cs="宋体"/>
          <w:bCs/>
          <w:color w:val="000000"/>
          <w:szCs w:val="21"/>
          <w:highlight w:val="none"/>
          <w:u w:val="single"/>
        </w:rPr>
        <w:t xml:space="preserve">元的违约金；发生3次以上，发包人有权要求承包人更换项目经理。承包人更换的项目经理经发包人同意后报招投标管理部门备案且新更换项目经理的执业资格不得低于原中标项目经理执业资格；由此给发包人造成的一切损失由承包人负责赔偿</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u w:val="single"/>
        </w:rPr>
      </w:r>
      <w:r/>
    </w:p>
    <w:p>
      <w:pPr>
        <w:pStyle w:val="1044"/>
        <w:ind w:firstLine="420"/>
        <w:jc w:val="left"/>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3.2.3 承包人擅自更换项目经理的违约责任：</w:t>
      </w:r>
      <w:r>
        <w:rPr>
          <w:rFonts w:hint="eastAsia" w:ascii="宋体" w:hAnsi="宋体" w:eastAsia="宋体" w:cs="宋体"/>
          <w:bCs/>
          <w:color w:val="000000"/>
          <w:szCs w:val="21"/>
          <w:highlight w:val="none"/>
          <w:u w:val="single"/>
        </w:rPr>
        <w:t xml:space="preserve">承包人派驻现场的项目经理应与</w:t>
      </w:r>
      <w:r>
        <w:rPr>
          <w:rFonts w:hint="eastAsia" w:ascii="宋体" w:hAnsi="宋体" w:eastAsia="宋体" w:cs="宋体"/>
          <w:bCs/>
          <w:color w:val="000000"/>
          <w:szCs w:val="21"/>
          <w:highlight w:val="none"/>
          <w:u w:val="single"/>
          <w:lang w:eastAsia="zh-CN"/>
        </w:rPr>
        <w:t xml:space="preserve">磋商响应文件</w:t>
      </w:r>
      <w:r>
        <w:rPr>
          <w:rFonts w:hint="eastAsia" w:ascii="宋体" w:hAnsi="宋体" w:eastAsia="宋体" w:cs="宋体"/>
          <w:bCs/>
          <w:color w:val="000000"/>
          <w:szCs w:val="21"/>
          <w:highlight w:val="none"/>
          <w:u w:val="single"/>
        </w:rPr>
        <w:t xml:space="preserve">相符，承包人擅自更换项目经理的，承包人应向发包人缴纳合同总价款1%的违约金；发包人有权单方终止合同，将部分或全部合同内容另行委托有能力的施工单位，并令承包人立即退场，由此给发包人造成的一切损失由承包人负责赔偿。</w:t>
      </w:r>
      <w:r>
        <w:rPr>
          <w:rFonts w:hint="eastAsia" w:ascii="宋体" w:hAnsi="宋体" w:eastAsia="宋体" w:cs="宋体"/>
          <w:bCs/>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bookmarkStart w:id="119" w:name="_Hlk157155598"/>
      <w:r>
        <w:rPr>
          <w:rFonts w:hint="eastAsia" w:ascii="宋体" w:hAnsi="宋体" w:eastAsia="宋体" w:cs="宋体"/>
          <w:color w:val="000000"/>
          <w:szCs w:val="21"/>
          <w:highlight w:val="none"/>
        </w:rPr>
        <w:t xml:space="preserve">3.3 承包人人员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18"/>
      <w:r>
        <w:rPr>
          <w:rFonts w:hint="eastAsia" w:ascii="宋体" w:hAnsi="宋体" w:eastAsia="宋体" w:cs="宋体"/>
          <w:color w:val="000000"/>
          <w:szCs w:val="21"/>
          <w:highlight w:val="none"/>
        </w:rPr>
        <w:t xml:space="preserve">3.3.1 承包人提交项目管理机构及施工现场管理人员安排报道的期限：</w:t>
      </w:r>
      <w:r>
        <w:rPr>
          <w:rFonts w:hint="eastAsia" w:ascii="宋体" w:hAnsi="宋体" w:eastAsia="宋体" w:cs="宋体"/>
          <w:color w:val="000000"/>
          <w:szCs w:val="21"/>
          <w:highlight w:val="none"/>
          <w:u w:val="single"/>
        </w:rPr>
        <w:t xml:space="preserve">承包人接到开工通知后7天内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如相关管理人员未经发包人书面同意撤换，承包人按人民币5000元/人作为违约金无条件支付给发包人，发包人可从承包人的工程款中直接扣除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w:t>
      </w:r>
      <w:r>
        <w:rPr>
          <w:rFonts w:hint="eastAsia" w:ascii="宋体" w:hAnsi="宋体" w:eastAsia="宋体" w:cs="宋体"/>
          <w:color w:val="000000"/>
          <w:szCs w:val="21"/>
          <w:highlight w:val="none"/>
          <w:u w:val="single"/>
        </w:rPr>
        <w:t xml:space="preserve">承包人的主要施工管理人员离开施工现场应征得发包人和监理人同意，每月累计不超过 5 天，且应指定一名有经验的人员临时代行其职责；离开施工现场每月累计超过 5 天的，应视同承包人主要施工管理人员无履约能力，承包人应在接到发包人书面通知后 7 天内予以更换，且承包人按人民币 1000元/人/次作为违约金无条件支付给发包人，发包人可从承包人的工程款中直接扣除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如相关管理人员未经发包人书面同意撤换，承包人按人民币 5000元/人作为违约金无条件支付给发包人，发包人可从承包人的工程款中直接扣除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承包人主要施工管理人员擅自离开施工现场的违约责任：</w:t>
      </w:r>
      <w:r>
        <w:rPr>
          <w:rFonts w:hint="eastAsia" w:ascii="宋体" w:hAnsi="宋体" w:eastAsia="宋体" w:cs="宋体"/>
          <w:color w:val="000000"/>
          <w:szCs w:val="21"/>
          <w:highlight w:val="none"/>
          <w:u w:val="single"/>
        </w:rPr>
        <w:t xml:space="preserve"> 未经监理人或发包人同意，承包人主要施工管理人员不得擅自离开工地现场，以发包人的工地现场考勤表为准，如发现离开现场，承包人按 1000 元/次作为违约金无条件支付给发包人，累计超过 3 次应视同承包人主要施工管理人员无履约能力，承包人应在接到发包人书面通知后 7 天内予以更换，且承包人按人民币 5000元/人/次作为违约金无条件支付给发包人，发包人可从承包人的工程款中直接扣除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120" w:name="_Toc297216151"/>
      <w:r/>
      <w:bookmarkStart w:id="121" w:name="_Toc303539102"/>
      <w:r/>
      <w:bookmarkStart w:id="122" w:name="_Toc304295523"/>
      <w:r/>
      <w:bookmarkStart w:id="123" w:name="_Toc296346660"/>
      <w:r/>
      <w:bookmarkStart w:id="124" w:name="_Toc296890987"/>
      <w:r/>
      <w:bookmarkStart w:id="125" w:name="_Toc292559364"/>
      <w:r/>
      <w:bookmarkStart w:id="126" w:name="_Toc297120459"/>
      <w:r/>
      <w:bookmarkStart w:id="127" w:name="_Toc300934945"/>
      <w:r/>
      <w:bookmarkStart w:id="128" w:name="_Toc312677988"/>
      <w:r/>
      <w:bookmarkStart w:id="129" w:name="_Toc296503159"/>
      <w:r/>
      <w:bookmarkStart w:id="130" w:name="_Toc297123492"/>
      <w:r/>
      <w:bookmarkStart w:id="131" w:name="_Toc292559869"/>
      <w:r/>
      <w:bookmarkStart w:id="132" w:name="_Toc296891199"/>
      <w:r/>
      <w:bookmarkStart w:id="133" w:name="_Toc297048345"/>
      <w:r/>
      <w:bookmarkStart w:id="134" w:name="_Toc296347158"/>
      <w:r/>
      <w:bookmarkStart w:id="135" w:name="_Toc296944498"/>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分包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eastAsia="宋体" w:cs="宋体"/>
          <w:color w:val="000000"/>
          <w:szCs w:val="21"/>
          <w:highlight w:val="none"/>
        </w:rPr>
        <w:t xml:space="preserve">3</w:t>
      </w:r>
      <w:bookmarkStart w:id="136" w:name="_Toc292559365"/>
      <w:r/>
      <w:bookmarkStart w:id="137" w:name="_Toc296890988"/>
      <w:r/>
      <w:bookmarkStart w:id="138" w:name="_Toc312677989"/>
      <w:r/>
      <w:bookmarkStart w:id="139" w:name="_Toc296944499"/>
      <w:r/>
      <w:bookmarkStart w:id="140" w:name="_Toc296346661"/>
      <w:r/>
      <w:bookmarkStart w:id="141" w:name="_Toc300934946"/>
      <w:r/>
      <w:bookmarkStart w:id="142" w:name="_Toc318581158"/>
      <w:r/>
      <w:bookmarkStart w:id="143" w:name="_Toc296891200"/>
      <w:r/>
      <w:bookmarkStart w:id="144" w:name="_Toc292559870"/>
      <w:r/>
      <w:bookmarkStart w:id="145" w:name="_Toc297120460"/>
      <w:r/>
      <w:bookmarkStart w:id="146" w:name="_Toc297216152"/>
      <w:r/>
      <w:bookmarkStart w:id="147" w:name="_Toc296503160"/>
      <w:r/>
      <w:bookmarkStart w:id="148" w:name="_Toc296347159"/>
      <w:r/>
      <w:bookmarkStart w:id="149" w:name="_Toc297123493"/>
      <w:r/>
      <w:bookmarkStart w:id="150" w:name="_Toc303539103"/>
      <w:r/>
      <w:bookmarkStart w:id="151" w:name="_Toc304295524"/>
      <w:r/>
      <w:bookmarkStart w:id="152" w:name="_Toc297048346"/>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.1 分包的一般约定</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19"/>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Start w:id="153" w:name="_Toc296944500"/>
      <w:r/>
      <w:bookmarkStart w:id="154" w:name="_Toc303539104"/>
      <w:r/>
      <w:bookmarkStart w:id="155" w:name="_Toc297048347"/>
      <w:r/>
      <w:bookmarkStart w:id="156" w:name="_Toc296346662"/>
      <w:r/>
      <w:bookmarkStart w:id="157" w:name="_Toc296503161"/>
      <w:r/>
      <w:bookmarkStart w:id="158" w:name="_Toc297216153"/>
      <w:r/>
      <w:bookmarkStart w:id="159" w:name="_Toc304295525"/>
      <w:r/>
      <w:bookmarkStart w:id="160" w:name="_Toc297120461"/>
      <w:r/>
      <w:bookmarkStart w:id="161" w:name="_Toc296891201"/>
      <w:r/>
      <w:bookmarkStart w:id="162" w:name="_Toc297123494"/>
      <w:r/>
      <w:bookmarkStart w:id="163" w:name="_Toc300934947"/>
      <w:r/>
      <w:bookmarkStart w:id="164" w:name="_Toc296890989"/>
      <w:r/>
      <w:bookmarkStart w:id="165" w:name="_Toc296347160"/>
      <w:r/>
      <w:bookmarkStart w:id="166" w:name="_Toc318581159"/>
      <w:r/>
      <w:bookmarkStart w:id="167" w:name="_Toc312677990"/>
      <w:r>
        <w:rPr>
          <w:rFonts w:hint="eastAsia" w:ascii="宋体" w:hAnsi="宋体" w:eastAsia="宋体" w:cs="宋体"/>
          <w:color w:val="000000"/>
          <w:szCs w:val="21"/>
          <w:highlight w:val="none"/>
        </w:rPr>
        <w:t xml:space="preserve">禁止分包的工程包括：</w:t>
      </w:r>
      <w:r>
        <w:rPr>
          <w:rFonts w:hint="eastAsia" w:ascii="宋体" w:hAnsi="宋体" w:eastAsia="宋体" w:cs="宋体"/>
          <w:bCs/>
          <w:color w:val="000000"/>
          <w:szCs w:val="21"/>
          <w:highlight w:val="none"/>
          <w:u w:val="single"/>
        </w:rPr>
        <w:t xml:space="preserve">承包人不得将其承包的全部工作转包给第三人，或将其承包的全部工程肢解后以分包的名义转包给第三人。承包人不得将工程主体结构、关键性工作禁止分包的专业工程分包。若发现擅自分包，发包人有权要求承包人退场，切损失均由承包人承担，并视情况向建设行政主管部门报告。承包人自行施工质量不能达到国家相关标准的或不满足相关专业资质要求的，承包人必须提前申请报发包人予以确认同意后，并按国家相关规定分包给具有相应资质条件的单位，发包人同意的工程分包，并不能解除承包人对履行本合同承包内容的任何责任与义务。</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主体结构、关键性工作的范围：</w:t>
      </w:r>
      <w:r>
        <w:rPr>
          <w:rFonts w:hint="eastAsia" w:ascii="宋体" w:hAnsi="宋体" w:eastAsia="宋体" w:cs="宋体"/>
          <w:bCs/>
          <w:color w:val="000000"/>
          <w:szCs w:val="21"/>
          <w:highlight w:val="none"/>
          <w:u w:val="single"/>
        </w:rPr>
        <w:t xml:space="preserve">按现行相关文件规定执行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.2分包的确定</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允许分包的专业工程包括：</w:t>
      </w:r>
      <w:r>
        <w:rPr>
          <w:rFonts w:hint="eastAsia" w:ascii="宋体" w:hAnsi="宋体" w:eastAsia="宋体" w:cs="宋体"/>
          <w:color w:val="000000"/>
          <w:szCs w:val="21"/>
          <w:highlight w:val="none"/>
          <w:u w:val="single"/>
        </w:rPr>
        <w:t xml:space="preserve">按现行国家和地方主管部门相关规定执行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其他关于分包的约定：</w:t>
      </w:r>
      <w:r>
        <w:rPr>
          <w:rFonts w:hint="eastAsia" w:ascii="宋体" w:hAnsi="宋体" w:eastAsia="宋体" w:cs="宋体"/>
          <w:color w:val="000000"/>
          <w:szCs w:val="21"/>
          <w:highlight w:val="none"/>
          <w:u w:val="single"/>
        </w:rPr>
        <w:t xml:space="preserve"> 按规定并经发包人同意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.4 分包合同价款</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关于分包合同价款支付的约定：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66"/>
      <w:r/>
      <w:bookmarkEnd w:id="167"/>
      <w:r/>
      <w:bookmarkStart w:id="168" w:name="_Hlk157155919"/>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 工程照管与成品、半成品保护</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169" w:name="_Hlk157172204"/>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自发包人向承包人移交施工现场起至颁发工程接收证书之日止</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关于工程照管与成品、半成品保护的补充：</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u w:val="single"/>
          <w:lang w:val="zh-CN"/>
        </w:rPr>
      </w:pPr>
      <w:r>
        <w:rPr>
          <w:rFonts w:hint="eastAsia" w:ascii="宋体" w:hAnsi="宋体" w:eastAsia="宋体" w:cs="宋体"/>
          <w:bCs/>
          <w:color w:val="000000"/>
          <w:szCs w:val="21"/>
          <w:highlight w:val="none"/>
          <w:u w:val="single"/>
          <w:lang w:val="zh-CN"/>
        </w:rPr>
        <w:t xml:space="preserve">承包人全面负责照管本工程的范围包括发包人专业发包的工程和承包人分包的工程，工程保护费包含在承包人投标报价中。 </w:t>
      </w:r>
      <w:r>
        <w:rPr>
          <w:rFonts w:hint="eastAsia" w:ascii="宋体" w:hAnsi="宋体" w:eastAsia="宋体" w:cs="宋体"/>
          <w:bCs/>
          <w:color w:val="000000"/>
          <w:szCs w:val="21"/>
          <w:highlight w:val="none"/>
          <w:u w:val="single"/>
          <w:lang w:val="zh-CN"/>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u w:val="single"/>
          <w:lang w:val="zh-CN"/>
        </w:rPr>
        <w:t xml:space="preserve">在颁发工程接收证书之前，本工程及场地范围内的任何部位、材料、设施、设备、成品、半成品或临时设施受到破坏、损伤、损坏或损失，均由承包人负责保护及看护工作、负责修复和弥补；如果有证据证明该破坏、损伤、损坏或损失是由承包人及其分包人以外的其他人造成的，承包人修复、弥补后，可以向有关责任人追偿，发包人对承包人追偿给予协助。 </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 履约担保</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168"/>
      <w:r/>
      <w:bookmarkEnd w:id="169"/>
      <w:r/>
      <w:bookmarkStart w:id="170" w:name="_Toc351203636"/>
      <w:r>
        <w:rPr>
          <w:rFonts w:hint="eastAsia" w:ascii="宋体" w:hAnsi="宋体" w:eastAsia="宋体" w:cs="宋体"/>
          <w:bCs/>
          <w:color w:val="000000"/>
          <w:szCs w:val="21"/>
          <w:highlight w:val="none"/>
        </w:rPr>
        <w:t xml:space="preserve">4</w:t>
      </w:r>
      <w:bookmarkStart w:id="171" w:name="_Toc297120462"/>
      <w:r/>
      <w:bookmarkStart w:id="172" w:name="_Toc296347161"/>
      <w:r/>
      <w:bookmarkStart w:id="173" w:name="_Toc297048348"/>
      <w:r/>
      <w:bookmarkStart w:id="174" w:name="_Toc292559871"/>
      <w:r/>
      <w:bookmarkStart w:id="175" w:name="_Toc296503162"/>
      <w:r/>
      <w:bookmarkStart w:id="176" w:name="_Toc292559366"/>
      <w:r/>
      <w:bookmarkStart w:id="177" w:name="_Toc296944501"/>
      <w:r/>
      <w:bookmarkStart w:id="178" w:name="_Toc296346663"/>
      <w:r/>
      <w:bookmarkStart w:id="179" w:name="_Toc296890990"/>
      <w:r/>
      <w:bookmarkStart w:id="180" w:name="_Toc267251413"/>
      <w:r/>
      <w:bookmarkStart w:id="181" w:name="_Toc296891202"/>
      <w:r>
        <w:rPr>
          <w:rFonts w:hint="eastAsia" w:ascii="宋体" w:hAnsi="宋体" w:eastAsia="宋体" w:cs="宋体"/>
          <w:bCs/>
          <w:color w:val="000000"/>
          <w:szCs w:val="21"/>
          <w:highlight w:val="none"/>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bCs/>
          <w:color w:val="000000"/>
          <w:szCs w:val="21"/>
          <w:highlight w:val="none"/>
        </w:rPr>
        <w:t xml:space="preserve">理人</w:t>
      </w:r>
      <w:bookmarkEnd w:id="170"/>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w:t>
      </w:r>
      <w:r>
        <w:rPr>
          <w:rFonts w:hint="eastAsia" w:ascii="宋体" w:hAnsi="宋体" w:eastAsia="宋体" w:cs="宋体"/>
          <w:color w:val="000000"/>
          <w:szCs w:val="21"/>
          <w:highlight w:val="none"/>
          <w:u w:val="single"/>
        </w:rPr>
        <w:t xml:space="preserve"> 本工程施工过程中质量、进度、投资控制、安全文明施工监督管理、合同、信息等方面的协调管理及工程保修阶段监理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w:t>
      </w:r>
      <w:r>
        <w:rPr>
          <w:rFonts w:hint="eastAsia" w:ascii="宋体" w:hAnsi="宋体" w:eastAsia="宋体" w:cs="宋体"/>
          <w:color w:val="000000"/>
          <w:szCs w:val="21"/>
          <w:highlight w:val="none"/>
          <w:u w:val="single"/>
        </w:rPr>
        <w:t xml:space="preserve">  见《建设工程监理合同》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w:t>
      </w:r>
      <w:r>
        <w:rPr>
          <w:rFonts w:hint="eastAsia" w:ascii="宋体" w:hAnsi="宋体" w:eastAsia="宋体" w:cs="宋体"/>
          <w:color w:val="000000"/>
          <w:szCs w:val="21"/>
          <w:highlight w:val="none"/>
          <w:u w:val="single"/>
        </w:rPr>
        <w:t xml:space="preserve"> </w:t>
      </w:r>
      <w:bookmarkStart w:id="182" w:name="_Hlk157172234"/>
      <w:r>
        <w:rPr>
          <w:rFonts w:hint="eastAsia" w:ascii="宋体" w:hAnsi="宋体" w:eastAsia="宋体" w:cs="宋体"/>
          <w:color w:val="000000"/>
          <w:szCs w:val="21"/>
          <w:highlight w:val="none"/>
          <w:u w:val="single"/>
        </w:rPr>
        <w:t xml:space="preserve">承包人免费为发包人和监理人提供现场临时用房，满足发包人和监理人使用需求 </w:t>
      </w:r>
      <w:bookmarkEnd w:id="182"/>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关于监理人的其他约定：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 商定或确定</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183" w:name="_Toc267251418"/>
      <w:r>
        <w:rPr>
          <w:rFonts w:hint="eastAsia" w:ascii="宋体" w:hAnsi="宋体" w:eastAsia="宋体" w:cs="宋体"/>
          <w:color w:val="000000"/>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184" w:name="_Toc351203637"/>
      <w:r>
        <w:rPr>
          <w:rFonts w:hint="eastAsia" w:ascii="宋体" w:hAnsi="宋体" w:eastAsia="宋体" w:cs="宋体"/>
          <w:bCs/>
          <w:color w:val="000000"/>
          <w:szCs w:val="21"/>
          <w:highlight w:val="none"/>
        </w:rPr>
        <w:t xml:space="preserve">5</w:t>
      </w:r>
      <w:bookmarkEnd w:id="183"/>
      <w:r/>
      <w:bookmarkStart w:id="185" w:name="_Toc296891203"/>
      <w:r/>
      <w:bookmarkStart w:id="186" w:name="_Toc297048349"/>
      <w:r/>
      <w:bookmarkStart w:id="187" w:name="_Toc292559367"/>
      <w:r/>
      <w:bookmarkStart w:id="188" w:name="_Toc296890991"/>
      <w:r/>
      <w:bookmarkStart w:id="189" w:name="_Toc296346664"/>
      <w:r/>
      <w:bookmarkStart w:id="190" w:name="_Toc296503163"/>
      <w:r/>
      <w:bookmarkStart w:id="191" w:name="_Toc296944502"/>
      <w:r/>
      <w:bookmarkStart w:id="192" w:name="_Toc292559872"/>
      <w:r/>
      <w:bookmarkStart w:id="193" w:name="_Toc296347162"/>
      <w:r/>
      <w:bookmarkStart w:id="194" w:name="_Toc297120463"/>
      <w:r>
        <w:rPr>
          <w:rFonts w:hint="eastAsia" w:ascii="宋体" w:hAnsi="宋体" w:eastAsia="宋体" w:cs="宋体"/>
          <w:bCs/>
          <w:color w:val="000000"/>
          <w:szCs w:val="21"/>
          <w:highlight w:val="none"/>
        </w:rPr>
        <w:t xml:space="preserve">. 工程质量</w:t>
      </w:r>
      <w:bookmarkEnd w:id="184"/>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5.1 质量要求</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bookmarkStart w:id="195" w:name="_Toc312677997"/>
      <w:r/>
      <w:bookmarkStart w:id="196" w:name="_Toc297216155"/>
      <w:r/>
      <w:bookmarkStart w:id="197" w:name="_Toc304295527"/>
      <w:r/>
      <w:bookmarkStart w:id="198" w:name="_Toc318581164"/>
      <w:r/>
      <w:bookmarkStart w:id="199" w:name="_Toc300934949"/>
      <w:r/>
      <w:bookmarkStart w:id="200" w:name="_Toc303539106"/>
      <w:r/>
      <w:bookmarkStart w:id="201" w:name="_Toc297123496"/>
      <w:r>
        <w:rPr>
          <w:rFonts w:hint="eastAsia" w:ascii="宋体" w:hAnsi="宋体" w:eastAsia="宋体" w:cs="宋体"/>
          <w:color w:val="000000"/>
          <w:szCs w:val="21"/>
          <w:highlight w:val="none"/>
        </w:rPr>
        <w:t xml:space="preserve">.1.1 特殊质量标准和要求：</w:t>
      </w:r>
      <w:r>
        <w:rPr>
          <w:rFonts w:hint="eastAsia" w:ascii="宋体" w:hAnsi="宋体" w:eastAsia="宋体" w:cs="宋体"/>
          <w:color w:val="000000"/>
          <w:szCs w:val="21"/>
          <w:highlight w:val="none"/>
          <w:u w:val="single"/>
        </w:rPr>
        <w:t xml:space="preserve">    合格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关于工程奖项的约定：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 隐蔽工程检查</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.2承包人提前通知监理人隐蔽工程检查的期限的约定：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 1、在隐蔽工程检查前不少于 48 小时。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2、有效的工程变更单中必须满足以下条件：</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（1）事前、事中、事后能充分反映现场造价变化的照片为证；</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工程，（2）变更必须经过监理、施工项目负责人、建设方现场代表三方签字，；</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（3）施工单位在 3 天内办理变更。若不满足上述三点要求的，则视为无效变更单。</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监理人不能按时进行检查时，应提前</w:t>
      </w:r>
      <w:r>
        <w:rPr>
          <w:rFonts w:hint="eastAsia" w:ascii="宋体" w:hAnsi="宋体" w:eastAsia="宋体" w:cs="宋体"/>
          <w:color w:val="000000"/>
          <w:szCs w:val="21"/>
          <w:highlight w:val="none"/>
          <w:u w:val="single"/>
        </w:rPr>
        <w:t xml:space="preserve">  24   </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   48    </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202" w:name="_Toc351203638"/>
      <w:r>
        <w:rPr>
          <w:rFonts w:hint="eastAsia" w:ascii="宋体" w:hAnsi="宋体" w:eastAsia="宋体" w:cs="宋体"/>
          <w:bCs/>
          <w:color w:val="000000"/>
          <w:szCs w:val="21"/>
          <w:highlight w:val="none"/>
        </w:rPr>
        <w:t xml:space="preserve">6. 安全文明施工与环境保护</w:t>
      </w:r>
      <w:bookmarkEnd w:id="202"/>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6.1.1 项目安全生产的达标目标及相应事项的约定：</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u w:val="single"/>
        </w:rPr>
        <w:t xml:space="preserve">安全文明施工，无安全生产责任及伤亡事故</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 关于治安保卫的特别约定：</w:t>
      </w:r>
      <w:r>
        <w:rPr>
          <w:rFonts w:hint="eastAsia" w:ascii="宋体" w:hAnsi="宋体" w:eastAsia="宋体" w:cs="宋体"/>
          <w:color w:val="000000"/>
          <w:szCs w:val="21"/>
          <w:highlight w:val="none"/>
          <w:u w:val="single"/>
        </w:rPr>
        <w:t xml:space="preserve">  其他约定按国家及地方相关法律、法规执行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关于编制施工场地治安管理计划的约定：</w:t>
      </w:r>
      <w:r>
        <w:rPr>
          <w:rFonts w:hint="eastAsia" w:ascii="宋体" w:hAnsi="宋体" w:eastAsia="宋体" w:cs="宋体"/>
          <w:color w:val="000000"/>
          <w:szCs w:val="21"/>
          <w:highlight w:val="none"/>
          <w:u w:val="single"/>
        </w:rPr>
        <w:t xml:space="preserve">  按补充条款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 文明施工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合同当事人对文明施工的要求：</w:t>
      </w:r>
      <w:r>
        <w:rPr>
          <w:rFonts w:hint="eastAsia" w:ascii="宋体" w:hAnsi="宋体" w:eastAsia="宋体" w:cs="宋体"/>
          <w:color w:val="000000"/>
          <w:szCs w:val="21"/>
          <w:highlight w:val="none"/>
          <w:u w:val="single"/>
        </w:rPr>
        <w:t xml:space="preserve">    按补充条款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bCs/>
          <w:color w:val="000000"/>
          <w:szCs w:val="21"/>
          <w:highlight w:val="none"/>
        </w:rPr>
      </w:pPr>
      <w:r/>
      <w:bookmarkStart w:id="203" w:name="_Hlk157156117"/>
      <w:r>
        <w:rPr>
          <w:rFonts w:hint="eastAsia" w:ascii="宋体" w:hAnsi="宋体" w:eastAsia="宋体" w:cs="宋体"/>
          <w:bCs/>
          <w:color w:val="000000"/>
          <w:szCs w:val="21"/>
          <w:highlight w:val="none"/>
        </w:rPr>
        <w:t xml:space="preserve">6.1.</w:t>
      </w:r>
      <w:r>
        <w:rPr>
          <w:rFonts w:hint="eastAsia" w:ascii="宋体" w:hAnsi="宋体" w:eastAsia="宋体" w:cs="宋体"/>
          <w:bCs/>
          <w:color w:val="000000"/>
          <w:szCs w:val="21"/>
          <w:highlight w:val="none"/>
        </w:rPr>
        <w:t xml:space="preserve">10</w:t>
      </w:r>
      <w:r>
        <w:rPr>
          <w:rFonts w:hint="eastAsia" w:ascii="宋体" w:hAnsi="宋体" w:eastAsia="宋体" w:cs="宋体"/>
          <w:bCs/>
          <w:color w:val="000000"/>
          <w:szCs w:val="21"/>
          <w:highlight w:val="none"/>
        </w:rPr>
        <w:t xml:space="preserve">关于安全文明施工的补充：</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（1）承包人应根据批准的施工组织设计，按照苏州市标准化文明工地的要求进行文明施工工地的布置。</w:t>
      </w:r>
      <w:r>
        <w:rPr>
          <w:rFonts w:hint="eastAsia" w:ascii="宋体" w:hAnsi="宋体" w:eastAsia="宋体" w:cs="宋体"/>
          <w:bCs/>
          <w:color w:val="000000"/>
          <w:szCs w:val="21"/>
          <w:highlight w:val="none"/>
          <w:u w:val="singl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u w:val="single"/>
        </w:rPr>
        <w:t xml:space="preserve">（2）承包人应</w:t>
      </w:r>
      <w:r>
        <w:rPr>
          <w:rFonts w:hint="eastAsia" w:ascii="宋体" w:hAnsi="宋体" w:eastAsia="宋体" w:cs="宋体"/>
          <w:bCs/>
          <w:color w:val="000000"/>
          <w:szCs w:val="21"/>
          <w:highlight w:val="none"/>
          <w:u w:val="single"/>
          <w:lang w:val="zh-CN"/>
        </w:rPr>
        <w:t xml:space="preserve">按工程需要及苏州市的有关规定提供并维护施工使用的照明、警卫、围栏和警示等</w:t>
      </w:r>
      <w:r>
        <w:rPr>
          <w:rFonts w:hint="eastAsia" w:ascii="宋体" w:hAnsi="宋体" w:eastAsia="宋体" w:cs="宋体"/>
          <w:bCs/>
          <w:color w:val="000000"/>
          <w:szCs w:val="21"/>
          <w:highlight w:val="none"/>
          <w:u w:val="single"/>
        </w:rPr>
        <w:t xml:space="preserve">，费用由承包人承担；如承包人未履行上述义务造成的工程、财产损失和人身伤害，由承包人承担责任及所发生的费用。</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（3）承包人应根据有关规定及时办理安全文明各项手续，费用已包含在合同价款中；如承包人未履行上述义务造成的工程、财产损失和人身伤害，由承包人承担责任及所发生的费用。</w:t>
      </w:r>
      <w:r>
        <w:rPr>
          <w:rFonts w:hint="eastAsia" w:ascii="宋体" w:hAnsi="宋体" w:eastAsia="宋体" w:cs="宋体"/>
          <w:bCs/>
          <w:color w:val="000000"/>
          <w:szCs w:val="21"/>
          <w:highlight w:val="none"/>
          <w:u w:val="singl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（4）未尽事宜详见《安全生产合同》。</w:t>
      </w:r>
      <w:r>
        <w:rPr>
          <w:rFonts w:hint="eastAsia" w:ascii="宋体" w:hAnsi="宋体" w:eastAsia="宋体" w:cs="宋体"/>
          <w:bCs/>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195"/>
      <w:r/>
      <w:bookmarkEnd w:id="196"/>
      <w:r/>
      <w:bookmarkEnd w:id="197"/>
      <w:r/>
      <w:bookmarkEnd w:id="198"/>
      <w:r/>
      <w:bookmarkEnd w:id="199"/>
      <w:r/>
      <w:bookmarkEnd w:id="200"/>
      <w:r/>
      <w:bookmarkEnd w:id="201"/>
      <w:r/>
      <w:bookmarkEnd w:id="203"/>
      <w:r/>
      <w:bookmarkStart w:id="204" w:name="_Toc351203639"/>
      <w:r>
        <w:rPr>
          <w:rFonts w:hint="eastAsia" w:ascii="宋体" w:hAnsi="宋体" w:eastAsia="宋体" w:cs="宋体"/>
          <w:bCs/>
          <w:color w:val="000000"/>
          <w:szCs w:val="21"/>
          <w:highlight w:val="none"/>
        </w:rPr>
        <w:t xml:space="preserve">7. 工期和进度</w:t>
      </w:r>
      <w:bookmarkEnd w:id="204"/>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7.1.1 合</w:t>
      </w:r>
      <w:r>
        <w:rPr>
          <w:rFonts w:hint="eastAsia" w:ascii="宋体" w:hAnsi="宋体" w:eastAsia="宋体" w:cs="宋体"/>
          <w:color w:val="000000"/>
          <w:szCs w:val="21"/>
          <w:highlight w:val="none"/>
        </w:rPr>
        <w:t xml:space="preserve">同当事人约定的施工组织设计应包括的其他内容：</w:t>
      </w:r>
      <w:r>
        <w:rPr>
          <w:rFonts w:hint="eastAsia" w:ascii="宋体" w:hAnsi="宋体" w:eastAsia="宋体" w:cs="宋体"/>
          <w:color w:val="000000"/>
          <w:szCs w:val="21"/>
          <w:highlight w:val="none"/>
          <w:u w:val="single"/>
        </w:rPr>
        <w:t xml:space="preserve">根据工程进度提供相应的进度计划书，单项工程必须分别编制详细施工计划，承包人应确保工程同时完成、同时验收、同时交付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 </w:t>
      </w:r>
      <w:r>
        <w:rPr>
          <w:rFonts w:hint="eastAsia" w:ascii="宋体" w:hAnsi="宋体" w:eastAsia="宋体" w:cs="宋体"/>
          <w:color w:val="000000"/>
          <w:szCs w:val="21"/>
          <w:highlight w:val="none"/>
        </w:rPr>
        <w:t xml:space="preserve">施工组织设计的提交和修改</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bookmarkStart w:id="205" w:name="_Hlk157156231"/>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color w:val="000000"/>
          <w:szCs w:val="21"/>
          <w:highlight w:val="none"/>
          <w:u w:val="single"/>
        </w:rPr>
        <w:t xml:space="preserve"> 承包人应在合同签订后7天内将经承包人公司总工程师审批同意的施工组织设计（施工方案）和工程进度计划、材料设备采购和使用计划、工程用款计划、施工设备配备和进场计划、施工用工计划交给监理人审核，并获得发包人批准后实施。承包人编制前述文件，应当符合本合同约定的工程节点工期和总工期的要求，编制工程进度计划应当绘制网络图并标明关键线路和关键工作。</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承包人提交的材料设备采购和使用计划中，应当包括发包人供应材料设备的需用计划，明确需用材料设备的规格、型号、数量、交货地点和使用时间。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205"/>
      <w:r/>
      <w:bookmarkStart w:id="206" w:name="_Hlk157172411"/>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color w:val="000000"/>
          <w:szCs w:val="21"/>
          <w:highlight w:val="none"/>
          <w:u w:val="single"/>
        </w:rPr>
        <w:t xml:space="preserve">  收到施工组织设计后7天内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206"/>
      <w:r>
        <w:rPr>
          <w:rFonts w:hint="eastAsia" w:ascii="宋体" w:hAnsi="宋体" w:eastAsia="宋体" w:cs="宋体"/>
          <w:color w:val="000000"/>
          <w:szCs w:val="21"/>
          <w:highlight w:val="none"/>
        </w:rPr>
        <w:t xml:space="preserve">7</w:t>
      </w:r>
      <w:bookmarkStart w:id="207" w:name="_Toc304295541"/>
      <w:r/>
      <w:bookmarkStart w:id="208" w:name="_Toc312678005"/>
      <w:r/>
      <w:bookmarkStart w:id="209" w:name="_Toc300934966"/>
      <w:r/>
      <w:bookmarkStart w:id="210" w:name="_Toc312677479"/>
      <w:r/>
      <w:bookmarkStart w:id="211" w:name="_Toc303539123"/>
      <w:r/>
      <w:bookmarkStart w:id="212" w:name="_Toc297216173"/>
      <w:r/>
      <w:bookmarkStart w:id="213" w:name="_Toc297123514"/>
      <w:r>
        <w:rPr>
          <w:rFonts w:hint="eastAsia" w:ascii="宋体" w:hAnsi="宋体" w:eastAsia="宋体" w:cs="宋体"/>
          <w:color w:val="000000"/>
          <w:szCs w:val="21"/>
          <w:highlight w:val="none"/>
        </w:rPr>
        <w:t xml:space="preserve">.2 施工进度计划</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rPr>
        <w:t xml:space="preserve">施工进度计划的修订</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color w:val="000000"/>
          <w:szCs w:val="21"/>
          <w:highlight w:val="none"/>
          <w:u w:val="single"/>
        </w:rPr>
        <w:t xml:space="preserve">收到施工进度计划后7天内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hint="eastAsia" w:ascii="宋体" w:hAnsi="宋体" w:eastAsia="宋体" w:cs="宋体"/>
          <w:color w:val="000000"/>
          <w:szCs w:val="21"/>
          <w:highlight w:val="none"/>
        </w:rPr>
      </w:r>
      <w:r/>
    </w:p>
    <w:p>
      <w:pPr>
        <w:pStyle w:val="1044"/>
        <w:ind w:firstLine="645"/>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关于承包人提交</w:t>
      </w:r>
      <w:r>
        <w:rPr>
          <w:rFonts w:hint="eastAsia" w:ascii="宋体" w:hAnsi="宋体" w:eastAsia="宋体" w:cs="宋体"/>
          <w:color w:val="000000"/>
          <w:szCs w:val="21"/>
          <w:highlight w:val="none"/>
        </w:rPr>
        <w:t xml:space="preserve">工程开工报审表的期限：</w:t>
      </w:r>
      <w:r>
        <w:rPr>
          <w:rFonts w:hint="eastAsia" w:ascii="宋体" w:hAnsi="宋体" w:eastAsia="宋体" w:cs="宋体"/>
          <w:color w:val="000000"/>
          <w:szCs w:val="21"/>
          <w:highlight w:val="none"/>
          <w:u w:val="single"/>
        </w:rPr>
        <w:t xml:space="preserve">    开工日期前7天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color w:val="000000"/>
          <w:szCs w:val="21"/>
          <w:highlight w:val="none"/>
          <w:u w:val="single"/>
        </w:rPr>
        <w:t xml:space="preserve"> 开工日期前7天施工现场的条件需满足开工要求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color w:val="000000"/>
          <w:szCs w:val="21"/>
          <w:highlight w:val="none"/>
          <w:u w:val="single"/>
        </w:rPr>
        <w:t xml:space="preserve"> 按通用条款及专用条款7.1.2款期限要求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7.3.2开工通知</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Start w:id="214" w:name="_Hlk157172489"/>
      <w:r/>
      <w:bookmarkStart w:id="215" w:name="_Hlk157156467"/>
      <w:r>
        <w:rPr>
          <w:rFonts w:hint="eastAsia" w:ascii="宋体" w:hAnsi="宋体" w:eastAsia="宋体" w:cs="宋体"/>
          <w:color w:val="000000"/>
          <w:szCs w:val="21"/>
          <w:highlight w:val="none"/>
        </w:rPr>
        <w:t xml:space="preserve">因发包人原因造成监理人未能在计划开工日期之日起</w:t>
      </w:r>
      <w:r>
        <w:rPr>
          <w:rFonts w:hint="eastAsia" w:ascii="宋体" w:hAnsi="宋体" w:eastAsia="宋体" w:cs="宋体"/>
          <w:color w:val="000000"/>
          <w:szCs w:val="21"/>
          <w:highlight w:val="none"/>
          <w:u w:val="single"/>
        </w:rPr>
        <w:t xml:space="preserve"> 90 </w:t>
      </w:r>
      <w:r>
        <w:rPr>
          <w:rFonts w:hint="eastAsia" w:ascii="宋体" w:hAnsi="宋体" w:eastAsia="宋体" w:cs="宋体"/>
          <w:color w:val="000000"/>
          <w:szCs w:val="21"/>
          <w:highlight w:val="none"/>
        </w:rPr>
        <w:t xml:space="preserve">天内发出开工通知的，可解除合同且不承担赔偿责任。</w:t>
      </w:r>
      <w:bookmarkEnd w:id="214"/>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207"/>
      <w:r/>
      <w:bookmarkEnd w:id="208"/>
      <w:r/>
      <w:bookmarkEnd w:id="209"/>
      <w:r/>
      <w:bookmarkEnd w:id="210"/>
      <w:r/>
      <w:bookmarkEnd w:id="211"/>
      <w:r/>
      <w:bookmarkEnd w:id="212"/>
      <w:r/>
      <w:bookmarkEnd w:id="213"/>
      <w:r/>
      <w:bookmarkEnd w:id="215"/>
      <w:r>
        <w:rPr>
          <w:rFonts w:hint="eastAsia" w:ascii="宋体" w:hAnsi="宋体" w:eastAsia="宋体" w:cs="宋体"/>
          <w:color w:val="000000"/>
          <w:szCs w:val="21"/>
          <w:highlight w:val="none"/>
        </w:rPr>
        <w:t xml:space="preserve">7.4 测量放线</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7.4.1发包人通过监理人向承包人提供测量基准点、基准线和水准点及其书面资料的期限：</w:t>
      </w:r>
      <w:r>
        <w:rPr>
          <w:rFonts w:hint="eastAsia" w:ascii="宋体" w:hAnsi="宋体" w:eastAsia="宋体" w:cs="宋体"/>
          <w:color w:val="000000"/>
          <w:szCs w:val="21"/>
          <w:highlight w:val="none"/>
          <w:u w:val="single"/>
        </w:rPr>
        <w:t xml:space="preserve">正式开工前7天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216" w:name="_Toc297216175"/>
      <w:r/>
      <w:bookmarkStart w:id="217" w:name="_Toc300934968"/>
      <w:r/>
      <w:bookmarkStart w:id="218" w:name="_Toc297123516"/>
      <w:r/>
      <w:bookmarkStart w:id="219" w:name="_Toc312677484"/>
      <w:r/>
      <w:bookmarkStart w:id="220" w:name="_Toc312678010"/>
      <w:r/>
      <w:bookmarkStart w:id="221" w:name="_Toc304295546"/>
      <w:r/>
      <w:bookmarkStart w:id="222" w:name="_Toc303539125"/>
      <w:r>
        <w:rPr>
          <w:rFonts w:hint="eastAsia" w:ascii="宋体" w:hAnsi="宋体" w:eastAsia="宋体" w:cs="宋体"/>
          <w:color w:val="000000"/>
          <w:szCs w:val="21"/>
          <w:highlight w:val="none"/>
        </w:rPr>
        <w:t xml:space="preserve">.5 工期延误</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216"/>
      <w:r/>
      <w:bookmarkEnd w:id="217"/>
      <w:r/>
      <w:bookmarkEnd w:id="218"/>
      <w:r/>
      <w:bookmarkEnd w:id="219"/>
      <w:r/>
      <w:bookmarkEnd w:id="220"/>
      <w:r/>
      <w:bookmarkEnd w:id="221"/>
      <w:r/>
      <w:bookmarkEnd w:id="222"/>
      <w:r>
        <w:rPr>
          <w:rFonts w:hint="eastAsia" w:ascii="宋体" w:hAnsi="宋体" w:eastAsia="宋体" w:cs="宋体"/>
          <w:color w:val="000000"/>
          <w:szCs w:val="21"/>
          <w:highlight w:val="none"/>
        </w:rPr>
        <w:t xml:space="preserve">7.5.1 因发包人原因导致工期延误</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（7）因发包人原因导致工期延误的其他情形：</w:t>
      </w:r>
      <w:r>
        <w:rPr>
          <w:rFonts w:hint="eastAsia" w:ascii="宋体" w:hAnsi="宋体" w:eastAsia="宋体" w:cs="宋体"/>
          <w:color w:val="000000"/>
          <w:szCs w:val="21"/>
          <w:highlight w:val="non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 ①具体导致工期延误的事项的证据；</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②要有举证实际延误的天数；</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③导致工期延误的事项跟延误的天数之间的因果关系成立。</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这三个条件，承包人必须都要举证证明且举证证明应该属实，否则发包人不予以工期顺延。由于发包人原因和不可抗力导致的工期延误, 工期可相应顺延（但需要发包人出具书面通知）。如果因为拆迁等发包人原因所造成的工程推迟开工或延期，顺延工期自拆迁等发包人原因所造成的因素解除后起算（同时需要发包人出具书面通知）。因工期顺延，合同工期作相应调整（原合同工期加顺延工期为调整后的合同工期）,承包人不得提出任何其他补偿或索赔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223" w:name="_Toc297216177"/>
      <w:r/>
      <w:bookmarkStart w:id="224" w:name="_Toc304295548"/>
      <w:r/>
      <w:bookmarkStart w:id="225" w:name="_Toc300934970"/>
      <w:r/>
      <w:bookmarkStart w:id="226" w:name="_Toc312677486"/>
      <w:r/>
      <w:bookmarkStart w:id="227" w:name="_Toc318581169"/>
      <w:r/>
      <w:bookmarkStart w:id="228" w:name="_Toc303539127"/>
      <w:r/>
      <w:bookmarkStart w:id="229" w:name="_Toc312678012"/>
      <w:r/>
      <w:bookmarkStart w:id="230" w:name="_Toc297123518"/>
      <w:r>
        <w:rPr>
          <w:rFonts w:hint="eastAsia" w:ascii="宋体" w:hAnsi="宋体" w:eastAsia="宋体" w:cs="宋体"/>
          <w:color w:val="000000"/>
          <w:szCs w:val="21"/>
          <w:highlight w:val="none"/>
        </w:rPr>
        <w:t xml:space="preserve">.5.2 因承包人原因导致工期延误</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bookmarkEnd w:id="223"/>
      <w:r/>
      <w:bookmarkEnd w:id="224"/>
      <w:r/>
      <w:bookmarkEnd w:id="225"/>
      <w:r/>
      <w:bookmarkEnd w:id="226"/>
      <w:r/>
      <w:bookmarkEnd w:id="227"/>
      <w:r/>
      <w:bookmarkEnd w:id="228"/>
      <w:r/>
      <w:bookmarkEnd w:id="229"/>
      <w:r/>
      <w:bookmarkEnd w:id="230"/>
      <w:r/>
      <w:bookmarkStart w:id="231" w:name="_Hlk157156544"/>
      <w:r>
        <w:rPr>
          <w:rFonts w:hint="eastAsia" w:ascii="宋体" w:hAnsi="宋体" w:eastAsia="宋体" w:cs="宋体"/>
          <w:color w:val="000000"/>
          <w:szCs w:val="21"/>
          <w:highlight w:val="none"/>
          <w:u w:val="single"/>
        </w:rPr>
        <w:t xml:space="preserve">因承包人原因造成工期延误，逾期竣工违约金的计算方法为：</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bookmarkStart w:id="232" w:name="_Hlk157172547"/>
      <w:r>
        <w:rPr>
          <w:rFonts w:hint="eastAsia" w:ascii="宋体" w:hAnsi="宋体" w:eastAsia="宋体" w:cs="宋体"/>
          <w:color w:val="000000"/>
          <w:szCs w:val="21"/>
          <w:highlight w:val="none"/>
          <w:u w:val="single"/>
        </w:rPr>
        <w:t xml:space="preserve">(1)</w:t>
      </w:r>
      <w:r>
        <w:rPr>
          <w:rFonts w:hint="eastAsia" w:ascii="宋体" w:hAnsi="宋体" w:eastAsia="宋体" w:cs="宋体"/>
          <w:color w:val="000000"/>
          <w:szCs w:val="21"/>
          <w:highlight w:val="none"/>
          <w:u w:val="single"/>
        </w:rPr>
        <w:t xml:space="preserve">各节点施工进度要求未在本合同中体现的，以发包人书面要求为准。各节点完成时间，发包人可以在合同签订后任何阶段提出，承包人需无条件配合。因项目进度需要，发包人在施工管理过程中，可能会变更各节点完成时间，承包人需无条件配合。</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)本工程实际施工工期比投标工期提前不奖励；</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3</w:t>
      </w:r>
      <w:r>
        <w:rPr>
          <w:rFonts w:hint="eastAsia" w:ascii="宋体" w:hAnsi="宋体" w:eastAsia="宋体" w:cs="宋体"/>
          <w:color w:val="000000"/>
          <w:szCs w:val="21"/>
          <w:highlight w:val="none"/>
          <w:u w:val="single"/>
        </w:rPr>
        <w:t xml:space="preserve">)因承包人原因引起的(除发包人原因和不可抗力以外)各节点工期或总工期延误，则每延误一天，则承包人按2000元/天作为违约金无条件支付给发包人。</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4</w:t>
      </w:r>
      <w:r>
        <w:rPr>
          <w:rFonts w:hint="eastAsia" w:ascii="宋体" w:hAnsi="宋体" w:eastAsia="宋体" w:cs="宋体"/>
          <w:color w:val="000000"/>
          <w:szCs w:val="21"/>
          <w:highlight w:val="none"/>
          <w:u w:val="single"/>
        </w:rPr>
        <w:t xml:space="preserve">)如果延误工期超过 15 日历天，发包人有权另行选定其他承包人来完成剩余工程，并加收剩余工程造价10%的管理费。</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5</w:t>
      </w:r>
      <w:r>
        <w:rPr>
          <w:rFonts w:hint="eastAsia" w:ascii="宋体" w:hAnsi="宋体" w:eastAsia="宋体" w:cs="宋体"/>
          <w:color w:val="000000"/>
          <w:szCs w:val="21"/>
          <w:highlight w:val="none"/>
          <w:u w:val="single"/>
        </w:rPr>
        <w:t xml:space="preserve">)因承包人原因造成工期延误，逾期竣工违约金的上限：合同总价的10%。</w:t>
      </w:r>
      <w:bookmarkEnd w:id="231"/>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232"/>
      <w:r>
        <w:rPr>
          <w:rFonts w:hint="eastAsia" w:ascii="宋体" w:hAnsi="宋体" w:eastAsia="宋体" w:cs="宋体"/>
          <w:color w:val="000000"/>
          <w:szCs w:val="21"/>
          <w:highlight w:val="none"/>
        </w:rPr>
        <w:t xml:space="preserve">7</w:t>
      </w:r>
      <w:bookmarkStart w:id="233" w:name="_Toc300934971"/>
      <w:r/>
      <w:bookmarkStart w:id="234" w:name="_Toc303539128"/>
      <w:r/>
      <w:bookmarkStart w:id="235" w:name="_Toc312678015"/>
      <w:r/>
      <w:bookmarkStart w:id="236" w:name="_Toc304295549"/>
      <w:r/>
      <w:bookmarkStart w:id="237" w:name="_Toc297123519"/>
      <w:r/>
      <w:bookmarkStart w:id="238" w:name="_Toc297216178"/>
      <w:r>
        <w:rPr>
          <w:rFonts w:hint="eastAsia" w:ascii="宋体" w:hAnsi="宋体" w:eastAsia="宋体" w:cs="宋体"/>
          <w:color w:val="000000"/>
          <w:szCs w:val="21"/>
          <w:highlight w:val="none"/>
        </w:rPr>
        <w:t xml:space="preserve">.6 不</w:t>
      </w:r>
      <w:bookmarkEnd w:id="233"/>
      <w:r/>
      <w:bookmarkEnd w:id="234"/>
      <w:r/>
      <w:bookmarkEnd w:id="235"/>
      <w:r/>
      <w:bookmarkEnd w:id="236"/>
      <w:r/>
      <w:bookmarkEnd w:id="237"/>
      <w:r/>
      <w:bookmarkEnd w:id="238"/>
      <w:r>
        <w:rPr>
          <w:rFonts w:hint="eastAsia" w:ascii="宋体" w:hAnsi="宋体" w:eastAsia="宋体" w:cs="宋体"/>
          <w:color w:val="000000"/>
          <w:szCs w:val="21"/>
          <w:highlight w:val="none"/>
        </w:rPr>
        <w:t xml:space="preserve">利物质条件</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bookmarkStart w:id="239" w:name="_Toc297123520"/>
      <w:r/>
      <w:bookmarkStart w:id="240" w:name="_Toc304295550"/>
      <w:r/>
      <w:bookmarkStart w:id="241" w:name="_Toc297216179"/>
      <w:r/>
      <w:bookmarkStart w:id="242" w:name="_Toc303539129"/>
      <w:r/>
      <w:bookmarkStart w:id="243" w:name="_Toc318581172"/>
      <w:r/>
      <w:bookmarkStart w:id="244" w:name="_Toc312678016"/>
      <w:r/>
      <w:bookmarkStart w:id="245" w:name="_Toc300934972"/>
      <w:r>
        <w:rPr>
          <w:rFonts w:hint="eastAsia" w:ascii="宋体" w:hAnsi="宋体" w:eastAsia="宋体" w:cs="宋体"/>
          <w:color w:val="000000"/>
          <w:szCs w:val="21"/>
          <w:highlight w:val="none"/>
        </w:rPr>
        <w:t xml:space="preserve">不利物质条件的其他情形和有关约定：</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239"/>
      <w:r/>
      <w:bookmarkEnd w:id="240"/>
      <w:r/>
      <w:bookmarkEnd w:id="241"/>
      <w:r/>
      <w:bookmarkEnd w:id="242"/>
      <w:r/>
      <w:bookmarkEnd w:id="243"/>
      <w:r/>
      <w:bookmarkEnd w:id="244"/>
      <w:r/>
      <w:bookmarkEnd w:id="245"/>
      <w:r>
        <w:rPr>
          <w:rFonts w:hint="eastAsia" w:ascii="宋体" w:hAnsi="宋体" w:eastAsia="宋体" w:cs="宋体"/>
          <w:color w:val="000000"/>
          <w:szCs w:val="21"/>
          <w:highlight w:val="none"/>
        </w:rPr>
        <w:t xml:space="preserve">7</w:t>
      </w:r>
      <w:bookmarkStart w:id="246" w:name="_Toc300934973"/>
      <w:r/>
      <w:bookmarkStart w:id="247" w:name="_Toc304295551"/>
      <w:r/>
      <w:bookmarkStart w:id="248" w:name="_Toc297216180"/>
      <w:r/>
      <w:bookmarkStart w:id="249" w:name="_Toc297123521"/>
      <w:r/>
      <w:bookmarkStart w:id="250" w:name="_Toc312678017"/>
      <w:r/>
      <w:bookmarkStart w:id="251" w:name="_Toc303539130"/>
      <w:r>
        <w:rPr>
          <w:rFonts w:hint="eastAsia" w:ascii="宋体" w:hAnsi="宋体" w:eastAsia="宋体" w:cs="宋体"/>
          <w:color w:val="000000"/>
          <w:szCs w:val="21"/>
          <w:highlight w:val="none"/>
        </w:rPr>
        <w:t xml:space="preserve">.7异常恶劣的气候条件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246"/>
      <w:r/>
      <w:bookmarkEnd w:id="247"/>
      <w:r/>
      <w:bookmarkEnd w:id="248"/>
      <w:r/>
      <w:bookmarkEnd w:id="249"/>
      <w:r/>
      <w:bookmarkEnd w:id="250"/>
      <w:r/>
      <w:bookmarkEnd w:id="251"/>
      <w:r>
        <w:rPr>
          <w:rFonts w:hint="eastAsia" w:ascii="宋体" w:hAnsi="宋体" w:eastAsia="宋体" w:cs="宋体"/>
          <w:color w:val="000000"/>
          <w:szCs w:val="21"/>
          <w:highlight w:val="none"/>
        </w:rPr>
        <w:t xml:space="preserve">发包人和承包人同意以下情形视为异常恶劣的气候条件：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以国家及地方政府认定可延期的异常恶劣的气候条件为准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 提前竣工的奖励</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7.9.2提前竣工的奖励：</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252" w:name="_Toc351203640"/>
      <w:r>
        <w:rPr>
          <w:rFonts w:hint="eastAsia" w:ascii="宋体" w:hAnsi="宋体" w:eastAsia="宋体" w:cs="宋体"/>
          <w:bCs/>
          <w:color w:val="000000"/>
          <w:szCs w:val="21"/>
          <w:highlight w:val="none"/>
        </w:rPr>
        <w:t xml:space="preserve">8. 材料与设备</w:t>
      </w:r>
      <w:bookmarkEnd w:id="252"/>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eastAsia="宋体" w:cs="宋体"/>
          <w:color w:val="000000"/>
          <w:szCs w:val="21"/>
          <w:highlight w:val="none"/>
        </w:rPr>
        <w:t xml:space="preserve">8</w:t>
      </w:r>
      <w:bookmarkStart w:id="253" w:name="_Toc312677493"/>
      <w:r/>
      <w:bookmarkStart w:id="254" w:name="_Toc292559372"/>
      <w:r/>
      <w:bookmarkStart w:id="255" w:name="_Toc297123527"/>
      <w:r/>
      <w:bookmarkStart w:id="256" w:name="_Toc296346668"/>
      <w:r/>
      <w:bookmarkStart w:id="257" w:name="_Toc280868654"/>
      <w:r/>
      <w:bookmarkStart w:id="258" w:name="_Toc296503167"/>
      <w:r/>
      <w:bookmarkStart w:id="259" w:name="_Toc297216186"/>
      <w:r/>
      <w:bookmarkStart w:id="260" w:name="_Toc296890995"/>
      <w:r/>
      <w:bookmarkStart w:id="261" w:name="_Toc312678019"/>
      <w:r/>
      <w:bookmarkStart w:id="262" w:name="_Toc292559877"/>
      <w:r/>
      <w:bookmarkStart w:id="263" w:name="_Toc296891207"/>
      <w:r/>
      <w:bookmarkStart w:id="264" w:name="_Toc303539136"/>
      <w:r/>
      <w:bookmarkStart w:id="265" w:name="_Toc296944506"/>
      <w:r/>
      <w:bookmarkStart w:id="266" w:name="_Toc297048353"/>
      <w:r/>
      <w:bookmarkStart w:id="267" w:name="_Toc297120467"/>
      <w:r/>
      <w:bookmarkStart w:id="268" w:name="_Toc296347166"/>
      <w:r/>
      <w:bookmarkStart w:id="269" w:name="_Toc304295556"/>
      <w:r/>
      <w:bookmarkStart w:id="270" w:name="_Toc300934979"/>
      <w:r/>
      <w:bookmarkStart w:id="271" w:name="_Toc280868655"/>
      <w:r/>
      <w:bookmarkStart w:id="272" w:name="_Toc267251424"/>
      <w:r/>
      <w:bookmarkStart w:id="273" w:name="_Toc280868656"/>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材料与工程设备的保管与使用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cs="宋体"/>
          <w:color w:val="000000"/>
          <w:szCs w:val="21"/>
          <w:highlight w:val="none"/>
        </w:rPr>
        <w:t xml:space="preserve">8</w:t>
      </w:r>
      <w:bookmarkStart w:id="274" w:name="_Toc292559373"/>
      <w:r/>
      <w:bookmarkStart w:id="275" w:name="_Toc297216187"/>
      <w:r/>
      <w:bookmarkStart w:id="276" w:name="_Toc296891208"/>
      <w:r/>
      <w:bookmarkStart w:id="277" w:name="_Toc312678020"/>
      <w:r/>
      <w:bookmarkStart w:id="278" w:name="_Toc297123528"/>
      <w:r/>
      <w:bookmarkStart w:id="279" w:name="_Toc296944507"/>
      <w:r/>
      <w:bookmarkStart w:id="280" w:name="_Toc300934980"/>
      <w:r/>
      <w:bookmarkStart w:id="281" w:name="_Toc296503168"/>
      <w:r/>
      <w:bookmarkStart w:id="282" w:name="_Toc296347167"/>
      <w:r/>
      <w:bookmarkStart w:id="283" w:name="_Toc304295557"/>
      <w:r/>
      <w:bookmarkStart w:id="284" w:name="_Toc297120468"/>
      <w:r/>
      <w:bookmarkStart w:id="285" w:name="_Toc303539137"/>
      <w:r/>
      <w:bookmarkStart w:id="286" w:name="_Toc296346669"/>
      <w:r/>
      <w:bookmarkStart w:id="287" w:name="_Toc312677494"/>
      <w:r/>
      <w:bookmarkStart w:id="288" w:name="_Toc297048354"/>
      <w:r/>
      <w:bookmarkStart w:id="289" w:name="_Toc296890996"/>
      <w:r/>
      <w:bookmarkStart w:id="290" w:name="_Toc318581173"/>
      <w:r/>
      <w:bookmarkStart w:id="291" w:name="_Toc292559878"/>
      <w:r>
        <w:rPr>
          <w:rFonts w:hint="eastAsia" w:ascii="宋体" w:hAnsi="宋体" w:eastAsia="宋体" w:cs="宋体"/>
          <w:color w:val="000000"/>
          <w:szCs w:val="21"/>
          <w:highlight w:val="none"/>
        </w:rPr>
        <w:t xml:space="preserve">.4.1发包人供应的材料设备的保管费用的承担：</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bookmarkEnd w:id="274"/>
      <w:r/>
      <w:bookmarkEnd w:id="291"/>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 样品</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color w:val="000000"/>
          <w:szCs w:val="21"/>
          <w:highlight w:val="none"/>
          <w:u w:val="single"/>
        </w:rPr>
        <w:t xml:space="preserve"> 承包人清点后由承包人妥善保管，保管费用由发包人承担，但已标价工程量清单或预算书已经列支除外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 施工设备和临时设施</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.1 承包人提供的施工设备和临时设施</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关于修建临时设施费用承担的约定：</w:t>
      </w:r>
      <w:r>
        <w:rPr>
          <w:rFonts w:hint="eastAsia" w:ascii="宋体" w:hAnsi="宋体" w:eastAsia="宋体" w:cs="宋体"/>
          <w:color w:val="000000"/>
          <w:szCs w:val="21"/>
          <w:highlight w:val="none"/>
          <w:u w:val="single"/>
        </w:rPr>
        <w:t xml:space="preserve">  承包人承担 (包括临时占地所需的费用)，发包人协助办理相关手续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Start w:id="292" w:name="_Toc351203641"/>
      <w:r>
        <w:rPr>
          <w:rFonts w:hint="eastAsia" w:ascii="宋体" w:hAnsi="宋体" w:eastAsia="宋体" w:cs="宋体"/>
          <w:bCs/>
          <w:color w:val="000000"/>
          <w:szCs w:val="21"/>
          <w:highlight w:val="none"/>
        </w:rPr>
        <w:t xml:space="preserve">9</w:t>
      </w:r>
      <w:bookmarkEnd w:id="271"/>
      <w:r/>
      <w:bookmarkEnd w:id="272"/>
      <w:r/>
      <w:bookmarkEnd w:id="273"/>
      <w:r/>
      <w:bookmarkStart w:id="293" w:name="_Toc297123533"/>
      <w:r/>
      <w:bookmarkStart w:id="294" w:name="_Toc312677495"/>
      <w:r/>
      <w:bookmarkStart w:id="295" w:name="_Toc300934982"/>
      <w:r/>
      <w:bookmarkStart w:id="296" w:name="_Toc303539139"/>
      <w:r/>
      <w:bookmarkStart w:id="297" w:name="_Toc312678021"/>
      <w:r/>
      <w:bookmarkStart w:id="298" w:name="_Toc304295559"/>
      <w:r/>
      <w:bookmarkStart w:id="299" w:name="_Toc297216192"/>
      <w:r/>
      <w:bookmarkStart w:id="300" w:name="_Toc296891001"/>
      <w:r/>
      <w:bookmarkStart w:id="301" w:name="_Toc296347172"/>
      <w:r/>
      <w:bookmarkStart w:id="302" w:name="_Toc297048359"/>
      <w:r/>
      <w:bookmarkStart w:id="303" w:name="_Toc292559378"/>
      <w:r/>
      <w:bookmarkStart w:id="304" w:name="_Toc292559883"/>
      <w:r/>
      <w:bookmarkStart w:id="305" w:name="_Toc296891213"/>
      <w:r/>
      <w:bookmarkStart w:id="306" w:name="_Toc296944512"/>
      <w:r/>
      <w:bookmarkStart w:id="307" w:name="_Toc296503173"/>
      <w:r/>
      <w:bookmarkStart w:id="308" w:name="_Toc296346674"/>
      <w:r/>
      <w:bookmarkStart w:id="309" w:name="_Toc267251428"/>
      <w:r/>
      <w:bookmarkStart w:id="310" w:name="_Toc297120473"/>
      <w:r/>
      <w:bookmarkStart w:id="311" w:name="_Toc267251427"/>
      <w:r>
        <w:rPr>
          <w:rFonts w:hint="eastAsia" w:ascii="宋体" w:hAnsi="宋体" w:eastAsia="宋体" w:cs="宋体"/>
          <w:bCs/>
          <w:color w:val="000000"/>
          <w:szCs w:val="21"/>
          <w:highlight w:val="none"/>
        </w:rPr>
        <w:t xml:space="preserve">. 试验与检验</w:t>
      </w:r>
      <w:bookmarkEnd w:id="292"/>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293"/>
      <w:r/>
      <w:bookmarkEnd w:id="294"/>
      <w:r/>
      <w:bookmarkEnd w:id="295"/>
      <w:r/>
      <w:bookmarkEnd w:id="296"/>
      <w:r/>
      <w:bookmarkEnd w:id="297"/>
      <w:r/>
      <w:bookmarkEnd w:id="298"/>
      <w:r/>
      <w:bookmarkEnd w:id="299"/>
      <w:r>
        <w:rPr>
          <w:rFonts w:hint="eastAsia" w:ascii="宋体" w:hAnsi="宋体" w:eastAsia="宋体" w:cs="宋体"/>
          <w:color w:val="000000"/>
          <w:szCs w:val="21"/>
          <w:highlight w:val="none"/>
        </w:rPr>
        <w:t xml:space="preserve">9</w:t>
      </w:r>
      <w:bookmarkStart w:id="312" w:name="_Toc297123534"/>
      <w:r/>
      <w:bookmarkStart w:id="313" w:name="_Toc300934983"/>
      <w:r/>
      <w:bookmarkStart w:id="314" w:name="_Toc297216193"/>
      <w:r/>
      <w:bookmarkStart w:id="315" w:name="_Toc312677496"/>
      <w:r/>
      <w:bookmarkStart w:id="316" w:name="_Toc304295560"/>
      <w:r/>
      <w:bookmarkStart w:id="317" w:name="_Toc303539140"/>
      <w:r/>
      <w:bookmarkStart w:id="318" w:name="_Toc312678022"/>
      <w:r>
        <w:rPr>
          <w:rFonts w:hint="eastAsia" w:ascii="宋体" w:hAnsi="宋体" w:eastAsia="宋体" w:cs="宋体"/>
          <w:color w:val="000000"/>
          <w:szCs w:val="21"/>
          <w:highlight w:val="none"/>
        </w:rPr>
        <w:t xml:space="preserve">.1试验设备与试验人员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312"/>
      <w:r/>
      <w:bookmarkEnd w:id="313"/>
      <w:r/>
      <w:bookmarkEnd w:id="314"/>
      <w:r/>
      <w:bookmarkEnd w:id="315"/>
      <w:r/>
      <w:bookmarkEnd w:id="316"/>
      <w:r/>
      <w:bookmarkEnd w:id="317"/>
      <w:r/>
      <w:bookmarkEnd w:id="318"/>
      <w:r>
        <w:rPr>
          <w:rFonts w:hint="eastAsia" w:ascii="宋体" w:hAnsi="宋体" w:eastAsia="宋体" w:cs="宋体"/>
          <w:color w:val="000000"/>
          <w:szCs w:val="21"/>
          <w:highlight w:val="none"/>
        </w:rPr>
        <w:t xml:space="preserve">9</w:t>
      </w:r>
      <w:bookmarkStart w:id="319" w:name="_Toc297216194"/>
      <w:r/>
      <w:bookmarkStart w:id="320" w:name="_Toc297123535"/>
      <w:r/>
      <w:bookmarkStart w:id="321" w:name="_Toc303539141"/>
      <w:r/>
      <w:bookmarkStart w:id="322" w:name="_Toc300934984"/>
      <w:r/>
      <w:bookmarkStart w:id="323" w:name="_Toc312677497"/>
      <w:r/>
      <w:bookmarkStart w:id="324" w:name="_Toc312678023"/>
      <w:r/>
      <w:bookmarkStart w:id="325" w:name="_Toc318581174"/>
      <w:r/>
      <w:bookmarkStart w:id="326" w:name="_Toc304295561"/>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 试验设备</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施工现场需要配置的试验场所：</w:t>
      </w:r>
      <w:bookmarkEnd w:id="319"/>
      <w:r/>
      <w:bookmarkEnd w:id="320"/>
      <w:r/>
      <w:bookmarkEnd w:id="321"/>
      <w:r/>
      <w:bookmarkEnd w:id="322"/>
      <w:r/>
      <w:bookmarkEnd w:id="323"/>
      <w:r/>
      <w:bookmarkEnd w:id="324"/>
      <w:r/>
      <w:bookmarkEnd w:id="326"/>
      <w:r/>
      <w:bookmarkStart w:id="327" w:name="_Toc297216195"/>
      <w:r/>
      <w:bookmarkStart w:id="328" w:name="_Toc300934985"/>
      <w:r/>
      <w:bookmarkStart w:id="329" w:name="_Toc312678024"/>
      <w:r/>
      <w:bookmarkStart w:id="330" w:name="_Toc304295562"/>
      <w:r/>
      <w:bookmarkStart w:id="331" w:name="_Toc312677498"/>
      <w:r/>
      <w:bookmarkStart w:id="332" w:name="_Toc297123536"/>
      <w:r/>
      <w:bookmarkStart w:id="333" w:name="_Toc303539142"/>
      <w:r>
        <w:rPr>
          <w:rFonts w:hint="eastAsia" w:ascii="宋体" w:hAnsi="宋体" w:eastAsia="宋体" w:cs="宋体"/>
          <w:color w:val="000000"/>
          <w:szCs w:val="21"/>
          <w:highlight w:val="none"/>
          <w:u w:val="single"/>
        </w:rPr>
        <w:t xml:space="preserve">  承包人自行配置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施工现场需要配备的试验设备：</w:t>
      </w:r>
      <w:r>
        <w:rPr>
          <w:rFonts w:hint="eastAsia" w:ascii="宋体" w:hAnsi="宋体" w:eastAsia="宋体" w:cs="宋体"/>
          <w:color w:val="000000"/>
          <w:szCs w:val="21"/>
          <w:highlight w:val="none"/>
          <w:u w:val="single"/>
        </w:rPr>
        <w:t xml:space="preserve">  承包人自行配置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施工现场需要具备的其他试验条件：</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 现场工艺试验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现场工艺试验的有关约定：</w:t>
      </w:r>
      <w:r>
        <w:rPr>
          <w:rFonts w:hint="eastAsia" w:ascii="宋体" w:hAnsi="宋体" w:eastAsia="宋体" w:cs="宋体"/>
          <w:color w:val="000000"/>
          <w:szCs w:val="21"/>
          <w:highlight w:val="none"/>
          <w:u w:val="single"/>
        </w:rPr>
        <w:t xml:space="preserve">规范要求必须进行的原材料、成品、设备、建筑实体的质量检测、试验、监测等由发包人委托第三方检测单位实施，费用由发包人承担 。如材料检测不合格，重新送检的检测费用，由承包人承担。</w:t>
      </w:r>
      <w:r>
        <w:rPr>
          <w:rFonts w:hint="eastAsia" w:ascii="宋体" w:hAnsi="宋体" w:eastAsia="宋体" w:cs="宋体"/>
          <w:color w:val="000000"/>
          <w:szCs w:val="21"/>
          <w:highlight w:val="none"/>
          <w:u w:val="singl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325"/>
      <w:r/>
      <w:bookmarkEnd w:id="327"/>
      <w:r/>
      <w:bookmarkEnd w:id="328"/>
      <w:r/>
      <w:bookmarkEnd w:id="329"/>
      <w:r/>
      <w:bookmarkEnd w:id="330"/>
      <w:r/>
      <w:bookmarkEnd w:id="331"/>
      <w:r/>
      <w:bookmarkEnd w:id="332"/>
      <w:r/>
      <w:bookmarkEnd w:id="333"/>
      <w:r/>
      <w:bookmarkStart w:id="334" w:name="_Toc351203642"/>
      <w:r>
        <w:rPr>
          <w:rFonts w:hint="eastAsia" w:ascii="宋体" w:hAnsi="宋体" w:eastAsia="宋体" w:cs="宋体"/>
          <w:bCs/>
          <w:color w:val="000000"/>
          <w:szCs w:val="21"/>
          <w:highlight w:val="none"/>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5" w:name="_Toc296944532"/>
      <w:r/>
      <w:bookmarkStart w:id="336" w:name="_Toc296503193"/>
      <w:r/>
      <w:bookmarkStart w:id="337" w:name="_Toc292559398"/>
      <w:r/>
      <w:bookmarkStart w:id="338" w:name="_Toc296891021"/>
      <w:r/>
      <w:bookmarkStart w:id="339" w:name="_Toc296347192"/>
      <w:r/>
      <w:bookmarkStart w:id="340" w:name="_Toc300934989"/>
      <w:r/>
      <w:bookmarkStart w:id="341" w:name="_Toc292559903"/>
      <w:r/>
      <w:bookmarkStart w:id="342" w:name="_Toc296891233"/>
      <w:r/>
      <w:bookmarkStart w:id="343" w:name="_Toc304295566"/>
      <w:r/>
      <w:bookmarkStart w:id="344" w:name="_Toc297120493"/>
      <w:r/>
      <w:bookmarkStart w:id="345" w:name="_Toc297123540"/>
      <w:r/>
      <w:bookmarkStart w:id="346" w:name="_Toc297048379"/>
      <w:r/>
      <w:bookmarkStart w:id="347" w:name="_Toc297216199"/>
      <w:r/>
      <w:bookmarkStart w:id="348" w:name="_Toc296346694"/>
      <w:r/>
      <w:bookmarkStart w:id="349" w:name="_Toc303539146"/>
      <w:r/>
      <w:bookmarkStart w:id="350" w:name="_Toc312677499"/>
      <w:r/>
      <w:bookmarkStart w:id="351" w:name="_Toc312678025"/>
      <w:r/>
      <w:bookmarkStart w:id="352" w:name="_Toc267251437"/>
      <w:r/>
      <w:bookmarkStart w:id="353" w:name="_Toc267251440"/>
      <w:r/>
      <w:bookmarkStart w:id="354" w:name="_Toc267251433"/>
      <w:r/>
      <w:bookmarkStart w:id="355" w:name="_Toc267251441"/>
      <w:r/>
      <w:bookmarkStart w:id="356" w:name="_Toc267251435"/>
      <w:r/>
      <w:bookmarkStart w:id="357" w:name="_Toc267251439"/>
      <w:r/>
      <w:bookmarkStart w:id="358" w:name="_Toc267251442"/>
      <w:r>
        <w:rPr>
          <w:rFonts w:hint="eastAsia" w:ascii="宋体" w:hAnsi="宋体" w:eastAsia="宋体" w:cs="宋体"/>
          <w:bCs/>
          <w:color w:val="000000"/>
          <w:szCs w:val="21"/>
          <w:highlight w:val="none"/>
        </w:rPr>
        <w:t xml:space="preserve">0. 工程变更</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350"/>
      <w:r/>
      <w:bookmarkEnd w:id="351"/>
      <w:r>
        <w:rPr>
          <w:rFonts w:hint="eastAsia" w:ascii="宋体" w:hAnsi="宋体" w:eastAsia="宋体" w:cs="宋体"/>
          <w:color w:val="000000"/>
          <w:szCs w:val="21"/>
          <w:highlight w:val="none"/>
        </w:rPr>
        <w:t xml:space="preserve">1</w:t>
      </w:r>
      <w:bookmarkStart w:id="359" w:name="_Toc312678026"/>
      <w:r/>
      <w:bookmarkStart w:id="360" w:name="_Toc312677500"/>
      <w:r/>
      <w:bookmarkStart w:id="361" w:name="_Toc296891234"/>
      <w:r/>
      <w:bookmarkStart w:id="362" w:name="_Toc297216200"/>
      <w:r/>
      <w:bookmarkStart w:id="363" w:name="_Toc297120494"/>
      <w:r/>
      <w:bookmarkStart w:id="364" w:name="_Toc296346695"/>
      <w:r/>
      <w:bookmarkStart w:id="365" w:name="_Toc300934990"/>
      <w:r/>
      <w:bookmarkStart w:id="366" w:name="_Toc296503194"/>
      <w:r/>
      <w:bookmarkStart w:id="367" w:name="_Toc297123541"/>
      <w:r/>
      <w:bookmarkStart w:id="368" w:name="_Toc292559399"/>
      <w:r/>
      <w:bookmarkStart w:id="369" w:name="_Toc296944533"/>
      <w:r/>
      <w:bookmarkStart w:id="370" w:name="_Toc303539147"/>
      <w:r/>
      <w:bookmarkStart w:id="371" w:name="_Toc296891022"/>
      <w:r/>
      <w:bookmarkStart w:id="372" w:name="_Toc296347193"/>
      <w:r/>
      <w:bookmarkStart w:id="373" w:name="_Toc297048380"/>
      <w:r/>
      <w:bookmarkStart w:id="374" w:name="_Toc292559904"/>
      <w:r/>
      <w:bookmarkStart w:id="375" w:name="_Toc304295567"/>
      <w:r>
        <w:rPr>
          <w:rFonts w:hint="eastAsia" w:ascii="宋体" w:hAnsi="宋体" w:eastAsia="宋体" w:cs="宋体"/>
          <w:color w:val="000000"/>
          <w:szCs w:val="21"/>
          <w:highlight w:val="none"/>
        </w:rPr>
        <w:t xml:space="preserve">0.1工程变更的范围</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按相发改[2019]8号关于印发《苏州市相城区区级政府投资建设工程变更备案管理实施细则》的通知执行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变更指，经发包人批准的对合同工程工作内容、合同图纸、合同规范、位置与尺寸、施工顺序与时间、施工条件、合同条款或其他特征等的改变。包括对合同工程的增加、减少、取消、替代和使用材料等的改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 工程变更估价</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.1 变更估价原则</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关于变更估价的约定: </w:t>
      </w:r>
      <w:r>
        <w:rPr>
          <w:rFonts w:hint="eastAsia" w:ascii="宋体" w:hAnsi="宋体" w:eastAsia="宋体" w:cs="宋体"/>
          <w:color w:val="000000"/>
          <w:szCs w:val="21"/>
          <w:highlight w:val="none"/>
          <w:u w:val="single"/>
        </w:rPr>
        <w:t xml:space="preserve"> 工程变更工程价款按以下条款确定，最终价款以造价事务所出具的审计报告为准：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(1)有两项以上施工内容组成的清单项目，当其中的部分项出现变更时，仅调整变更项的单价，其余不变。变更项的单价确定办法同上。</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(2)对材料品牌和规格发生变更，发包人有权以拟选用材料与被替换材料的市场差价为参考依据，来确定变更价格。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(3)若承包人报价中单价明显偏离市场价，发包人有按市场价格计算进行变更费用的权利，承包人不得对此提出异议。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(4)对于发包人要求在本合同施工段范围内变更增加工程量，承包人必须无条件服从合同约定。</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（5）其他工程变更估价原则，按照专用条款12.1约定。</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76" w:name="_Toc292559907"/>
      <w:r/>
      <w:bookmarkStart w:id="377" w:name="_Toc297216203"/>
      <w:r/>
      <w:bookmarkStart w:id="378" w:name="_Toc296503197"/>
      <w:r/>
      <w:bookmarkStart w:id="379" w:name="_Toc296891237"/>
      <w:r/>
      <w:bookmarkStart w:id="380" w:name="_Toc303539150"/>
      <w:r/>
      <w:bookmarkStart w:id="381" w:name="_Toc296347196"/>
      <w:r/>
      <w:bookmarkStart w:id="382" w:name="_Toc296944536"/>
      <w:r/>
      <w:bookmarkStart w:id="383" w:name="_Toc297123544"/>
      <w:r/>
      <w:bookmarkStart w:id="384" w:name="_Toc297048383"/>
      <w:r/>
      <w:bookmarkStart w:id="385" w:name="_Toc292559402"/>
      <w:r/>
      <w:bookmarkStart w:id="386" w:name="_Toc296891025"/>
      <w:r/>
      <w:bookmarkStart w:id="387" w:name="_Toc297120497"/>
      <w:r/>
      <w:bookmarkStart w:id="388" w:name="_Toc300934993"/>
      <w:r/>
      <w:bookmarkStart w:id="389" w:name="_Toc296346698"/>
      <w:r/>
      <w:bookmarkStart w:id="390" w:name="_Toc304295570"/>
      <w:r/>
      <w:bookmarkStart w:id="391" w:name="_Toc312677503"/>
      <w:r/>
      <w:bookmarkStart w:id="392" w:name="_Toc312678029"/>
      <w:r>
        <w:rPr>
          <w:rFonts w:hint="eastAsia" w:ascii="宋体" w:hAnsi="宋体" w:eastAsia="宋体" w:cs="宋体"/>
          <w:color w:val="000000"/>
          <w:szCs w:val="21"/>
          <w:highlight w:val="none"/>
        </w:rPr>
        <w:t xml:space="preserve">0.5承</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Start w:id="393" w:name="_Toc297123545"/>
      <w:r/>
      <w:bookmarkStart w:id="394" w:name="_Toc297216204"/>
      <w:r/>
      <w:bookmarkStart w:id="395" w:name="_Toc292559408"/>
      <w:r/>
      <w:bookmarkStart w:id="396" w:name="_Toc296347202"/>
      <w:r/>
      <w:bookmarkStart w:id="397" w:name="_Toc296346704"/>
      <w:r/>
      <w:bookmarkStart w:id="398" w:name="_Toc296891243"/>
      <w:r/>
      <w:bookmarkStart w:id="399" w:name="_Toc296503203"/>
      <w:r/>
      <w:bookmarkStart w:id="400" w:name="_Toc297048389"/>
      <w:r/>
      <w:bookmarkStart w:id="401" w:name="_Toc296891031"/>
      <w:r/>
      <w:bookmarkStart w:id="402" w:name="_Toc303539151"/>
      <w:r/>
      <w:bookmarkStart w:id="403" w:name="_Toc292559913"/>
      <w:r/>
      <w:bookmarkStart w:id="404" w:name="_Toc296944542"/>
      <w:r/>
      <w:bookmarkStart w:id="405" w:name="_Toc300934994"/>
      <w:r/>
      <w:bookmarkStart w:id="406" w:name="_Toc297120503"/>
      <w:r>
        <w:rPr>
          <w:rFonts w:hint="eastAsia" w:ascii="宋体" w:hAnsi="宋体" w:eastAsia="宋体" w:cs="宋体"/>
          <w:color w:val="000000"/>
          <w:szCs w:val="21"/>
          <w:highlight w:val="none"/>
        </w:rPr>
        <w:t xml:space="preserve">包人的合理化建议</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color w:val="000000"/>
          <w:szCs w:val="21"/>
          <w:highlight w:val="none"/>
        </w:rPr>
        <w:t xml:space="preserve">监理人审查承包人合理化建议的期限：</w:t>
      </w:r>
      <w:r>
        <w:rPr>
          <w:rFonts w:hint="eastAsia" w:ascii="宋体" w:hAnsi="宋体" w:eastAsia="宋体" w:cs="宋体"/>
          <w:color w:val="000000"/>
          <w:szCs w:val="21"/>
          <w:highlight w:val="none"/>
          <w:u w:val="single"/>
        </w:rPr>
        <w:t xml:space="preserve">  收到承包人提交的合理化建议后7天内审查完毕报送发包人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发包人审批承包人合理化建议的期限：</w:t>
      </w:r>
      <w:r>
        <w:rPr>
          <w:rFonts w:hint="eastAsia" w:ascii="宋体" w:hAnsi="宋体" w:eastAsia="宋体" w:cs="宋体"/>
          <w:color w:val="000000"/>
          <w:szCs w:val="21"/>
          <w:highlight w:val="none"/>
          <w:u w:val="single"/>
        </w:rPr>
        <w:t xml:space="preserve">  发包人应在收到监理人报送的合理化建议后7天内审查完毕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w:t>
      </w:r>
      <w:bookmarkStart w:id="407" w:name="_Toc304295571"/>
      <w:r/>
      <w:bookmarkStart w:id="408" w:name="_Toc296891244"/>
      <w:r/>
      <w:bookmarkStart w:id="409" w:name="_Toc297216205"/>
      <w:r/>
      <w:bookmarkStart w:id="410" w:name="_Toc297123546"/>
      <w:r/>
      <w:bookmarkStart w:id="411" w:name="_Toc296891032"/>
      <w:r/>
      <w:bookmarkStart w:id="412" w:name="_Toc296944543"/>
      <w:r/>
      <w:bookmarkStart w:id="413" w:name="_Toc297048390"/>
      <w:r/>
      <w:bookmarkStart w:id="414" w:name="_Toc300934995"/>
      <w:r/>
      <w:bookmarkStart w:id="415" w:name="_Toc312677504"/>
      <w:r/>
      <w:bookmarkStart w:id="416" w:name="_Toc296346705"/>
      <w:r/>
      <w:bookmarkStart w:id="417" w:name="_Toc303539152"/>
      <w:r/>
      <w:bookmarkStart w:id="418" w:name="_Toc296503204"/>
      <w:r/>
      <w:bookmarkStart w:id="419" w:name="_Toc297120504"/>
      <w:r/>
      <w:bookmarkStart w:id="420" w:name="_Toc318581175"/>
      <w:r/>
      <w:bookmarkStart w:id="421" w:name="_Toc312678030"/>
      <w:r/>
      <w:bookmarkStart w:id="422" w:name="_Toc292559914"/>
      <w:r/>
      <w:bookmarkStart w:id="423" w:name="_Toc292559409"/>
      <w:r/>
      <w:bookmarkStart w:id="424" w:name="_Toc296347203"/>
      <w:r>
        <w:rPr>
          <w:rFonts w:hint="eastAsia" w:ascii="宋体" w:hAnsi="宋体" w:eastAsia="宋体" w:cs="宋体"/>
          <w:color w:val="000000"/>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lang w:val="en-US" w:eastAsia="zh-CN"/>
        </w:rPr>
        <w:outlineLvl w:val="0"/>
      </w:pPr>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color w:val="000000"/>
          <w:szCs w:val="21"/>
          <w:highlight w:val="none"/>
        </w:rPr>
        <w:t xml:space="preserve">1</w:t>
      </w:r>
      <w:bookmarkStart w:id="425" w:name="_Toc303539154"/>
      <w:r/>
      <w:bookmarkStart w:id="426" w:name="_Toc296346700"/>
      <w:r/>
      <w:bookmarkStart w:id="427" w:name="_Toc292559909"/>
      <w:r/>
      <w:bookmarkStart w:id="428" w:name="_Toc312678033"/>
      <w:r/>
      <w:bookmarkStart w:id="429" w:name="_Toc300934997"/>
      <w:r/>
      <w:bookmarkStart w:id="430" w:name="_Toc292559404"/>
      <w:r/>
      <w:bookmarkStart w:id="431" w:name="_Toc297048385"/>
      <w:r/>
      <w:bookmarkStart w:id="432" w:name="_Toc297216207"/>
      <w:r/>
      <w:bookmarkStart w:id="433" w:name="_Toc297120499"/>
      <w:r/>
      <w:bookmarkStart w:id="434" w:name="_Toc312677507"/>
      <w:r/>
      <w:bookmarkStart w:id="435" w:name="_Toc304295574"/>
      <w:r/>
      <w:bookmarkStart w:id="436" w:name="_Toc296891027"/>
      <w:r/>
      <w:bookmarkStart w:id="437" w:name="_Toc296347198"/>
      <w:r/>
      <w:bookmarkStart w:id="438" w:name="_Toc296503199"/>
      <w:r/>
      <w:bookmarkStart w:id="439" w:name="_Toc296944538"/>
      <w:r/>
      <w:bookmarkStart w:id="440" w:name="_Toc296891239"/>
      <w:r/>
      <w:bookmarkStart w:id="441" w:name="_Toc297123548"/>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 暂估价</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lang w:val="en-US" w:eastAsia="zh-CN"/>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t xml:space="preserve">8 </w:t>
      </w:r>
      <w:r>
        <w:rPr>
          <w:rFonts w:hint="eastAsia" w:ascii="宋体" w:hAnsi="宋体" w:eastAsia="宋体" w:cs="宋体"/>
          <w:color w:val="000000"/>
          <w:szCs w:val="21"/>
          <w:highlight w:val="none"/>
        </w:rPr>
        <w:t xml:space="preserve">暂列金额</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442" w:name="_Toc351203643"/>
      <w:r>
        <w:rPr>
          <w:rFonts w:hint="eastAsia" w:ascii="宋体" w:hAnsi="宋体" w:eastAsia="宋体" w:cs="宋体"/>
          <w:bCs/>
          <w:color w:val="000000"/>
          <w:szCs w:val="21"/>
          <w:highlight w:val="none"/>
        </w:rPr>
        <w:t xml:space="preserve">11. 价格调整</w:t>
      </w:r>
      <w:bookmarkEnd w:id="442"/>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443" w:name="_Toc297123550"/>
      <w:r/>
      <w:bookmarkStart w:id="444" w:name="_Toc296891241"/>
      <w:r/>
      <w:bookmarkStart w:id="445" w:name="_Toc296503201"/>
      <w:r/>
      <w:bookmarkStart w:id="446" w:name="_Toc297216209"/>
      <w:r/>
      <w:bookmarkStart w:id="447" w:name="_Toc303539157"/>
      <w:r/>
      <w:bookmarkStart w:id="448" w:name="_Toc292559406"/>
      <w:r/>
      <w:bookmarkStart w:id="449" w:name="_Toc304295577"/>
      <w:r/>
      <w:bookmarkStart w:id="450" w:name="_Toc300935000"/>
      <w:r/>
      <w:bookmarkStart w:id="451" w:name="_Toc296346702"/>
      <w:r/>
      <w:bookmarkStart w:id="452" w:name="_Toc296891029"/>
      <w:r/>
      <w:bookmarkStart w:id="453" w:name="_Toc297048387"/>
      <w:r/>
      <w:bookmarkStart w:id="454" w:name="_Toc312678039"/>
      <w:r/>
      <w:bookmarkStart w:id="455" w:name="_Toc297120501"/>
      <w:r/>
      <w:bookmarkStart w:id="456" w:name="_Toc296944540"/>
      <w:r/>
      <w:bookmarkStart w:id="457" w:name="_Toc296347200"/>
      <w:r/>
      <w:bookmarkStart w:id="458" w:name="_Toc292559911"/>
      <w:r>
        <w:rPr>
          <w:rFonts w:hint="eastAsia" w:ascii="宋体" w:hAnsi="宋体" w:eastAsia="宋体" w:cs="宋体"/>
          <w:color w:val="000000"/>
          <w:szCs w:val="21"/>
          <w:highlight w:val="none"/>
        </w:rPr>
        <w:t xml:space="preserve">11.1 市场价格波动引起的调整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color w:val="000000"/>
          <w:szCs w:val="21"/>
          <w:highlight w:val="none"/>
        </w:rPr>
        <w:t xml:space="preserve">市场价格波动是否调整合同价格的约定：</w:t>
      </w:r>
      <w:r>
        <w:rPr>
          <w:rFonts w:hint="eastAsia" w:ascii="宋体" w:hAnsi="宋体" w:eastAsia="宋体" w:cs="宋体"/>
          <w:color w:val="000000"/>
          <w:szCs w:val="21"/>
          <w:highlight w:val="none"/>
          <w:u w:val="single"/>
        </w:rPr>
        <w:t xml:space="preserve"> </w:t>
      </w:r>
      <w:r>
        <w:rPr>
          <w:rFonts w:hint="eastAsia" w:ascii="宋体" w:hAnsi="宋体" w:eastAsia="宋体" w:cs="宋体"/>
          <w:b/>
          <w:bCs/>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因市场价格波动调整合同价格，采用以下第</w:t>
      </w:r>
      <w:r>
        <w:rPr>
          <w:rFonts w:hint="eastAsia" w:ascii="宋体" w:hAnsi="宋体" w:eastAsia="宋体" w:cs="宋体"/>
          <w:color w:val="000000"/>
          <w:szCs w:val="21"/>
          <w:highlight w:val="none"/>
          <w:u w:val="single"/>
        </w:rPr>
        <w:t xml:space="preserve"> </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种方式对合同价格进行调整：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第1种方式：采用价格指数进行价格调整。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关于各可调因子、定值和变值权重，以及基本价格指数及其来源的约定：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第2种方式：采用造价信息进行价格调整。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（2）关于基准价格的约定：</w:t>
      </w:r>
      <w:r>
        <w:rPr>
          <w:rFonts w:hint="eastAsia" w:ascii="宋体" w:hAnsi="宋体" w:eastAsia="宋体" w:cs="宋体"/>
          <w:color w:val="000000"/>
          <w:szCs w:val="21"/>
          <w:highlight w:val="none"/>
          <w:u w:val="single"/>
        </w:rPr>
        <w:t xml:space="preserve"> </w:t>
      </w:r>
      <w:r>
        <w:rPr>
          <w:rFonts w:hint="eastAsia" w:ascii="宋体" w:hAnsi="宋体" w:eastAsia="宋体" w:cs="宋体"/>
          <w:b/>
          <w:bCs/>
          <w:color w:val="000000"/>
          <w:szCs w:val="21"/>
          <w:highlight w:val="none"/>
          <w:u w:val="singl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%时，或材料单价跌幅以已标价工程量清单或预算书中载明材料单价为基础超过</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%时，其超过部分据实调整。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%时，材料单价涨幅以已标价工程量清单或预算书中载明材料单价为基础超过</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%时，其超过部分据实调整。</w:t>
      </w:r>
      <w:r>
        <w:rPr>
          <w:rFonts w:hint="eastAsia" w:ascii="宋体" w:hAnsi="宋体" w:eastAsia="宋体" w:cs="宋体"/>
          <w:color w:val="000000"/>
          <w:szCs w:val="21"/>
          <w:highlight w:val="none"/>
        </w:rPr>
      </w:r>
      <w:r/>
    </w:p>
    <w:p>
      <w:pPr>
        <w:pStyle w:val="1044"/>
        <w:ind w:firstLine="645"/>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%时，其超过部分据实调整。</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第3种方式：其他价格调整方式：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352"/>
      <w:r/>
      <w:bookmarkEnd w:id="353"/>
      <w:r/>
      <w:bookmarkEnd w:id="354"/>
      <w:r/>
      <w:bookmarkEnd w:id="355"/>
      <w:r/>
      <w:bookmarkEnd w:id="356"/>
      <w:r/>
      <w:bookmarkEnd w:id="357"/>
      <w:r/>
      <w:bookmarkStart w:id="459" w:name="_Toc296891033"/>
      <w:r/>
      <w:bookmarkStart w:id="460" w:name="_Toc296347204"/>
      <w:r/>
      <w:bookmarkStart w:id="461" w:name="_Toc296891245"/>
      <w:r/>
      <w:bookmarkStart w:id="462" w:name="_Toc297120505"/>
      <w:r/>
      <w:bookmarkStart w:id="463" w:name="_Toc296503205"/>
      <w:r/>
      <w:bookmarkStart w:id="464" w:name="_Toc296346706"/>
      <w:r/>
      <w:bookmarkStart w:id="465" w:name="_Toc292559915"/>
      <w:r/>
      <w:bookmarkStart w:id="466" w:name="_Toc297048391"/>
      <w:r/>
      <w:bookmarkStart w:id="467" w:name="_Toc296944544"/>
      <w:r/>
      <w:bookmarkStart w:id="468" w:name="_Toc351203644"/>
      <w:r/>
      <w:bookmarkStart w:id="469" w:name="_Toc303539159"/>
      <w:r/>
      <w:bookmarkStart w:id="470" w:name="_Toc312678040"/>
      <w:r/>
      <w:bookmarkStart w:id="471" w:name="_Toc297123552"/>
      <w:r/>
      <w:bookmarkStart w:id="472" w:name="_Toc297216211"/>
      <w:r/>
      <w:bookmarkStart w:id="473" w:name="_Toc292559410"/>
      <w:r/>
      <w:bookmarkStart w:id="474" w:name="_Toc300935002"/>
      <w:r/>
      <w:bookmarkStart w:id="475" w:name="_Toc304295579"/>
      <w:r>
        <w:rPr>
          <w:rFonts w:hint="eastAsia" w:ascii="宋体" w:hAnsi="宋体" w:eastAsia="宋体" w:cs="宋体"/>
          <w:bCs/>
          <w:color w:val="000000"/>
          <w:szCs w:val="21"/>
          <w:highlight w:val="none"/>
        </w:rPr>
        <w:t xml:space="preserve">12. </w:t>
      </w:r>
      <w:bookmarkEnd w:id="459"/>
      <w:r/>
      <w:bookmarkEnd w:id="460"/>
      <w:r/>
      <w:bookmarkEnd w:id="461"/>
      <w:r/>
      <w:bookmarkEnd w:id="462"/>
      <w:r/>
      <w:bookmarkEnd w:id="463"/>
      <w:r/>
      <w:bookmarkEnd w:id="464"/>
      <w:r/>
      <w:bookmarkEnd w:id="465"/>
      <w:r/>
      <w:bookmarkEnd w:id="466"/>
      <w:r/>
      <w:bookmarkEnd w:id="467"/>
      <w:r/>
      <w:bookmarkEnd w:id="473"/>
      <w:r>
        <w:rPr>
          <w:rFonts w:hint="eastAsia" w:ascii="宋体" w:hAnsi="宋体" w:eastAsia="宋体" w:cs="宋体"/>
          <w:bCs/>
          <w:color w:val="000000"/>
          <w:szCs w:val="21"/>
          <w:highlight w:val="none"/>
        </w:rPr>
        <w:t xml:space="preserve">合同价格、计量与支付</w:t>
      </w:r>
      <w:bookmarkEnd w:id="468"/>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469"/>
      <w:r/>
      <w:bookmarkEnd w:id="470"/>
      <w:r/>
      <w:bookmarkEnd w:id="471"/>
      <w:r/>
      <w:bookmarkEnd w:id="472"/>
      <w:r/>
      <w:bookmarkEnd w:id="474"/>
      <w:r/>
      <w:bookmarkEnd w:id="475"/>
      <w:r/>
      <w:bookmarkStart w:id="476" w:name="_Toc292559916"/>
      <w:r/>
      <w:bookmarkStart w:id="477" w:name="_Toc267251461"/>
      <w:r/>
      <w:bookmarkStart w:id="478" w:name="_Toc296891034"/>
      <w:r/>
      <w:bookmarkStart w:id="479" w:name="_Toc296346707"/>
      <w:r/>
      <w:bookmarkStart w:id="480" w:name="_Toc296503206"/>
      <w:r/>
      <w:bookmarkStart w:id="481" w:name="_Toc296944545"/>
      <w:r/>
      <w:bookmarkStart w:id="482" w:name="_Toc296347205"/>
      <w:r/>
      <w:bookmarkStart w:id="483" w:name="_Toc297048392"/>
      <w:r/>
      <w:bookmarkStart w:id="484" w:name="_Toc296891246"/>
      <w:r/>
      <w:bookmarkStart w:id="485" w:name="_Toc297120506"/>
      <w:r/>
      <w:bookmarkStart w:id="486" w:name="_Toc303539160"/>
      <w:r/>
      <w:bookmarkStart w:id="487" w:name="_Toc304295580"/>
      <w:r/>
      <w:bookmarkStart w:id="488" w:name="_Toc297216212"/>
      <w:r/>
      <w:bookmarkStart w:id="489" w:name="_Toc297123553"/>
      <w:r/>
      <w:bookmarkStart w:id="490" w:name="_Toc300935003"/>
      <w:r/>
      <w:bookmarkStart w:id="491" w:name="_Toc292559411"/>
      <w:r/>
      <w:bookmarkStart w:id="492" w:name="_Toc312678041"/>
      <w:r>
        <w:rPr>
          <w:rFonts w:hint="eastAsia" w:ascii="宋体" w:hAnsi="宋体" w:eastAsia="宋体" w:cs="宋体"/>
          <w:color w:val="000000"/>
          <w:szCs w:val="21"/>
          <w:highlight w:val="none"/>
        </w:rPr>
        <w:t xml:space="preserve">12.1 合</w:t>
      </w:r>
      <w:bookmarkEnd w:id="476"/>
      <w:r/>
      <w:bookmarkEnd w:id="477"/>
      <w:r/>
      <w:bookmarkEnd w:id="491"/>
      <w:r>
        <w:rPr>
          <w:rFonts w:hint="eastAsia" w:ascii="宋体" w:hAnsi="宋体" w:eastAsia="宋体" w:cs="宋体"/>
          <w:color w:val="000000"/>
          <w:szCs w:val="21"/>
          <w:highlight w:val="none"/>
        </w:rPr>
        <w:t xml:space="preserve">同价</w:t>
      </w:r>
      <w:bookmarkEnd w:id="478"/>
      <w:r/>
      <w:bookmarkEnd w:id="479"/>
      <w:r/>
      <w:bookmarkEnd w:id="480"/>
      <w:r/>
      <w:bookmarkEnd w:id="481"/>
      <w:r/>
      <w:bookmarkEnd w:id="482"/>
      <w:r/>
      <w:bookmarkEnd w:id="483"/>
      <w:r/>
      <w:bookmarkEnd w:id="484"/>
      <w:r/>
      <w:bookmarkEnd w:id="485"/>
      <w:r>
        <w:rPr>
          <w:rFonts w:hint="eastAsia" w:ascii="宋体" w:hAnsi="宋体" w:eastAsia="宋体" w:cs="宋体"/>
          <w:color w:val="000000"/>
          <w:szCs w:val="21"/>
          <w:highlight w:val="none"/>
        </w:rPr>
        <w:t xml:space="preserve">格形式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486"/>
      <w:r/>
      <w:bookmarkEnd w:id="487"/>
      <w:r/>
      <w:bookmarkEnd w:id="488"/>
      <w:r/>
      <w:bookmarkEnd w:id="489"/>
      <w:r/>
      <w:bookmarkEnd w:id="490"/>
      <w:r/>
      <w:bookmarkEnd w:id="492"/>
      <w:r>
        <w:rPr>
          <w:rFonts w:hint="eastAsia" w:ascii="宋体" w:hAnsi="宋体" w:eastAsia="宋体" w:cs="宋体"/>
          <w:color w:val="000000"/>
          <w:szCs w:val="21"/>
          <w:highlight w:val="none"/>
        </w:rPr>
        <w:t xml:space="preserve">1、单价合同。</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采用固定单价合同，除图纸错误、工程变更、工程量清单缺陷、政策性文件调整、指导性文件调整、法律法规调整外，综合单价不允许调整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 按招标文件要求计取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color w:val="000000"/>
          <w:szCs w:val="21"/>
          <w:highlight w:val="none"/>
          <w:u w:val="single"/>
        </w:rPr>
        <w:t xml:space="preserve">本工程采用固定综合单价合同，除本条款约定的合同价款的调整因素外，合同价款不调整。</w:t>
      </w:r>
      <w:r>
        <w:rPr>
          <w:rFonts w:hint="eastAsia" w:ascii="宋体" w:hAnsi="宋体" w:eastAsia="宋体" w:cs="宋体"/>
          <w:color w:val="000000"/>
          <w:szCs w:val="21"/>
          <w:highlight w:val="none"/>
        </w:rPr>
      </w:r>
      <w:r/>
    </w:p>
    <w:p>
      <w:pPr>
        <w:pStyle w:val="1044"/>
        <w:numPr>
          <w:ilvl w:val="0"/>
          <w:numId w:val="22"/>
        </w:numPr>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工程量的调整</w:t>
      </w:r>
      <w:r>
        <w:rPr>
          <w:rFonts w:hint="eastAsia" w:ascii="宋体" w:hAnsi="宋体" w:eastAsia="宋体" w:cs="宋体"/>
          <w:color w:val="000000"/>
          <w:szCs w:val="21"/>
          <w:highlight w:val="none"/>
        </w:rPr>
      </w:r>
      <w:r/>
    </w:p>
    <w:p>
      <w:pPr>
        <w:pStyle w:val="1044"/>
        <w:numPr>
          <w:ilvl w:val="0"/>
          <w:numId w:val="23"/>
        </w:numPr>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调整范围：工程变更、工程量清单缺陷等；</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（2）工程量调整办法：① 工程变更、工程量清单缺陷等引起工程数量发生变化时，均按实调整；</w:t>
      </w:r>
      <w:r>
        <w:rPr>
          <w:rFonts w:hint="eastAsia" w:ascii="宋体" w:hAnsi="宋体" w:eastAsia="宋体" w:cs="宋体"/>
          <w:color w:val="000000"/>
          <w:szCs w:val="21"/>
          <w:highlight w:val="none"/>
          <w:u w:val="single"/>
        </w:rPr>
      </w:r>
      <w:r/>
    </w:p>
    <w:p>
      <w:pPr>
        <w:pStyle w:val="1044"/>
        <w:numPr>
          <w:ilvl w:val="0"/>
          <w:numId w:val="22"/>
        </w:numPr>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综合单价的调整</w:t>
      </w:r>
      <w:r>
        <w:rPr>
          <w:rFonts w:hint="eastAsia" w:ascii="宋体" w:hAnsi="宋体" w:eastAsia="宋体" w:cs="宋体"/>
          <w:color w:val="000000"/>
          <w:szCs w:val="21"/>
          <w:highlight w:val="none"/>
          <w:u w:val="single"/>
        </w:rPr>
      </w:r>
      <w:r/>
    </w:p>
    <w:p>
      <w:pPr>
        <w:pStyle w:val="1044"/>
        <w:numPr>
          <w:ilvl w:val="0"/>
          <w:numId w:val="24"/>
        </w:numPr>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调整范围：工程变更、预算工资单价等政策性调整、工程量清单缺陷、暂定价等；</w:t>
      </w:r>
      <w:r>
        <w:rPr>
          <w:rFonts w:hint="eastAsia" w:ascii="宋体" w:hAnsi="宋体" w:eastAsia="宋体" w:cs="宋体"/>
          <w:color w:val="000000"/>
          <w:szCs w:val="21"/>
          <w:highlight w:val="none"/>
          <w:u w:val="single"/>
        </w:rPr>
      </w:r>
      <w:r/>
    </w:p>
    <w:p>
      <w:pPr>
        <w:pStyle w:val="1044"/>
        <w:numPr>
          <w:ilvl w:val="0"/>
          <w:numId w:val="24"/>
        </w:numPr>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综合单价调整办法：</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Ⅰ、工程量的变化调整综合单价</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①采用单价合同的工程，因工程变更或工程量清单缺陷引起分部分项工程的清单项目变化(项目增减)，或清单工程量发生变化且工程量变化不超过15%(含15%)时，或新增工程，发承包双方应依据《建设工程工程量清单计价标准》（</w:t>
      </w:r>
      <w:r>
        <w:rPr>
          <w:rFonts w:hint="eastAsia" w:ascii="宋体" w:hAnsi="宋体" w:eastAsia="宋体" w:cs="宋体"/>
          <w:color w:val="000000"/>
          <w:szCs w:val="21"/>
          <w:highlight w:val="none"/>
          <w:u w:val="single"/>
        </w:rPr>
        <w:t xml:space="preserve">GB/T 50500-2024</w:t>
      </w:r>
      <w:r>
        <w:rPr>
          <w:rFonts w:hint="eastAsia" w:ascii="宋体" w:hAnsi="宋体" w:eastAsia="宋体" w:cs="宋体"/>
          <w:color w:val="000000"/>
          <w:szCs w:val="21"/>
          <w:highlight w:val="none"/>
          <w:u w:val="single"/>
        </w:rPr>
        <w:t xml:space="preserve">）确定综合单价并计价,调整合同价格:</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1）相同施工条件下实施相同项目特征的清单项目，应采用相应的合同单价;</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2）相同施工条件下实施类似项目特征的清单项目或类似施工条件下实施相同项目特征的清单项目，应采用类似清单项目的合同单价换算调整后的综合单价;</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按中标下浮率下浮后，并报发包人确认，作为结算的依据。</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4）不同施工条件下实施不同项目特征的清单项目可依据工程实施情况，结合同类工程类似清单项目的综合单价，协商确定市场合理的综合单价。按中标下浮率下浮后，并报发包人确认，作为结算的依据。</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5）因减少或取消清单项目的工程变更显著改变了实施中的工程施工条件，可根据实施工程的具体情况，市场价格、合同单价计价规则及报价水平协商确定工程变更的综合单价。按中标下浮率下浮后，并报发包人确认，作为结算的依据。</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6）"不同施工条件"包括地理环境差异(如软土层、流沙层、地下水位异常)、实施高度、深度、重量变化、工程实施期、施工环境、运输方式变化、施工环境变更等均属于不同施工条件。</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②因清单工程量计算误差引起工程量偏差超过±15%时，或其影响分部分项工程费超过0.1%时，</w:t>
      </w:r>
      <w:r>
        <w:rPr>
          <w:rFonts w:hint="eastAsia" w:ascii="宋体" w:hAnsi="宋体" w:eastAsia="宋体" w:cs="宋体"/>
          <w:b/>
          <w:bCs/>
          <w:color w:val="000000"/>
          <w:szCs w:val="21"/>
          <w:highlight w:val="none"/>
          <w:u w:val="single"/>
        </w:rPr>
        <w:t xml:space="preserve">或工程变更，</w:t>
      </w:r>
      <w:r>
        <w:rPr>
          <w:rFonts w:hint="eastAsia" w:ascii="宋体" w:hAnsi="宋体" w:eastAsia="宋体" w:cs="宋体"/>
          <w:color w:val="000000"/>
          <w:szCs w:val="21"/>
          <w:highlight w:val="none"/>
          <w:u w:val="single"/>
        </w:rPr>
        <w:t xml:space="preserve">可进行调整。当工程量增加15%以上时，增加部分的工程量的综合单价应予调低；当工程量减少15%以上时，减少后剩余部分的工程量的综合单价应予调高。调整部分的综合单价由承包人提出，发包人确认。如未确认的，综合单价按最高投标限价编制当期的人、材、机价格结合计价表、取费标准组价后计价标准组价，按中标下浮率让利。</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中标下浮率计算公式：(最高投标限价-中标价)/[最高投标限价-暂列金额×(1＋税率)]。</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Ⅱ、因人工工资单价的政策性变化调整单价</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①人工工日数的确定：合同约定范围内的工日数以中标价中的工日数为准。政策性调整涉及跨月度工程，按审定完成合格月度支付中的工日为准。② 预算人工按省级或行业建设主管部门或其授权的工程造价管理机构发布的人工费等文件调整合同价格，但承包人对人工费或人工单价的报价高于发布价格的除外。承包人对人工单价下浮的，只能以最高投标限价中人工单价为基数进行调整。③ 仅</w:t>
      </w:r>
      <w:bookmarkStart w:id="493" w:name="_Hlk231290744"/>
      <w:r>
        <w:rPr>
          <w:rFonts w:hint="eastAsia" w:ascii="宋体" w:hAnsi="宋体" w:eastAsia="宋体" w:cs="宋体"/>
          <w:color w:val="000000"/>
          <w:szCs w:val="21"/>
          <w:highlight w:val="none"/>
          <w:u w:val="single"/>
        </w:rPr>
        <w:t xml:space="preserve">计取人工费调整金额和相应税金</w:t>
      </w:r>
      <w:bookmarkEnd w:id="493"/>
      <w:r>
        <w:rPr>
          <w:rFonts w:hint="eastAsia" w:ascii="宋体" w:hAnsi="宋体" w:eastAsia="宋体" w:cs="宋体"/>
          <w:color w:val="000000"/>
          <w:szCs w:val="21"/>
          <w:highlight w:val="none"/>
          <w:u w:val="single"/>
        </w:rPr>
        <w:t xml:space="preserve">，并按合同中标下浮率下浮。</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Ⅲ、暂定价的调整 ① 暂定材料价格调整：原投标综合单价中有发包人约定为暂定材料价格的，在实际使用时，投标报价中有相同品种的采用投标价；没有投标价的，只调整实际使用材料（或品牌）同口径市场价的价差按中标比例下浮后执行。原投标综合单价按发包人要求变更时，结算时按发包人确认后的变更材料（或品牌）同口径市场价的价差按中标比例下浮后执行。② 暂定项目费用调整办法：按发包人确定发生的调整。</w:t>
      </w:r>
      <w:r>
        <w:rPr>
          <w:rFonts w:hint="eastAsia" w:ascii="宋体" w:hAnsi="宋体" w:eastAsia="宋体" w:cs="宋体"/>
          <w:color w:val="000000"/>
          <w:szCs w:val="21"/>
          <w:highlight w:val="none"/>
          <w:u w:val="single"/>
        </w:rPr>
      </w:r>
      <w:r/>
    </w:p>
    <w:p>
      <w:pPr>
        <w:pStyle w:val="1044"/>
        <w:numPr>
          <w:ilvl w:val="0"/>
          <w:numId w:val="22"/>
        </w:numPr>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措施费的调整</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除新增工程外的措施项目费调整：除安全生产费按实调整外，措施项目费清单与计价汇总表中其他项目一律不予调整，包干使用。按项编制的措施项目清单的完整性及准确性均由承包人承担。建筑垃圾消纳、处置费用包含在工程量清单项目的综合单价中。</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新增工程的措施费调整：完成新增工程导致原工程措施项目需要延期使用，或需要额外自行设置的措施项目的，在确定新增工程措施项目费用时应考虑增加的施工机具费、临时设施费、施工现场管理人员费用、其他可能增加的措施项目费用;同时，安全生产措施费应符合国家及省级、行业主管部门的规定计取。</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四、其他项目费的调整</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总承包服务费：本项目不涉及。</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总价包含的风险范围：</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494" w:name="_Toc303539161"/>
      <w:r/>
      <w:bookmarkStart w:id="495" w:name="_Toc297123554"/>
      <w:r/>
      <w:bookmarkStart w:id="496" w:name="_Toc304295581"/>
      <w:r/>
      <w:bookmarkStart w:id="497" w:name="_Toc297216213"/>
      <w:r/>
      <w:bookmarkStart w:id="498" w:name="_Toc312678042"/>
      <w:r/>
      <w:bookmarkStart w:id="499" w:name="_Toc300935004"/>
      <w:r/>
      <w:bookmarkStart w:id="500" w:name="_Toc297048393"/>
      <w:r/>
      <w:bookmarkStart w:id="501" w:name="_Toc296891035"/>
      <w:r/>
      <w:bookmarkStart w:id="502" w:name="_Toc296346708"/>
      <w:r/>
      <w:bookmarkStart w:id="503" w:name="_Toc292559917"/>
      <w:r/>
      <w:bookmarkStart w:id="504" w:name="_Toc296891247"/>
      <w:r/>
      <w:bookmarkStart w:id="505" w:name="_Toc296347206"/>
      <w:r/>
      <w:bookmarkStart w:id="506" w:name="_Toc292559412"/>
      <w:r/>
      <w:bookmarkStart w:id="507" w:name="_Toc297120507"/>
      <w:r/>
      <w:bookmarkStart w:id="508" w:name="_Toc296503207"/>
      <w:r/>
      <w:bookmarkStart w:id="509" w:name="_Toc296944546"/>
      <w:r>
        <w:rPr>
          <w:rFonts w:hint="eastAsia" w:ascii="宋体" w:hAnsi="宋体" w:eastAsia="宋体" w:cs="宋体"/>
          <w:color w:val="000000"/>
          <w:szCs w:val="21"/>
          <w:highlight w:val="none"/>
        </w:rPr>
        <w:t xml:space="preserve">12.2 预付款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494"/>
      <w:r/>
      <w:bookmarkEnd w:id="495"/>
      <w:r/>
      <w:bookmarkEnd w:id="496"/>
      <w:r/>
      <w:bookmarkEnd w:id="497"/>
      <w:r/>
      <w:bookmarkEnd w:id="498"/>
      <w:r/>
      <w:bookmarkEnd w:id="499"/>
      <w:r>
        <w:rPr>
          <w:rFonts w:hint="eastAsia" w:ascii="宋体" w:hAnsi="宋体" w:eastAsia="宋体" w:cs="宋体"/>
          <w:color w:val="000000"/>
          <w:szCs w:val="21"/>
          <w:highlight w:val="none"/>
        </w:rPr>
        <w:t xml:space="preserve">12.2.1 预付款的支付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color w:val="000000"/>
          <w:szCs w:val="21"/>
          <w:highlight w:val="none"/>
          <w:u w:val="single"/>
          <w:lang w:val="en-US" w:eastAsia="zh-CN"/>
        </w:rPr>
        <w:t xml:space="preserve">合同金额的10%</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lang w:val="en-US" w:eastAsia="zh-CN"/>
        </w:rPr>
        <w:t xml:space="preserve">竣工验收前一次在工程款中扣回。</w:t>
      </w:r>
      <w:r>
        <w:rPr>
          <w:rFonts w:hint="eastAsia" w:ascii="宋体" w:hAnsi="宋体" w:eastAsia="宋体" w:cs="宋体"/>
          <w:color w:val="000000"/>
          <w:szCs w:val="21"/>
          <w:highlight w:val="none"/>
          <w:u w:val="single"/>
          <w:lang w:val="en-US" w:eastAsia="zh-CN"/>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甲方向乙方支付合同金额的10%作为预付款（如乙方明确说明不需预付款的，甲方不予支付）。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12.2.2 预付款担保</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承包人提交预付款担保的期限：</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预付款担保的形式为：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eastAsia="宋体" w:cs="宋体"/>
          <w:color w:val="000000"/>
          <w:szCs w:val="21"/>
          <w:highlight w:val="none"/>
        </w:rPr>
        <w:t xml:space="preserve">12.3 计量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工程量计算规则：</w:t>
      </w:r>
      <w:r>
        <w:rPr>
          <w:rFonts w:hint="eastAsia" w:ascii="宋体" w:hAnsi="宋体" w:eastAsia="宋体" w:cs="宋体"/>
          <w:color w:val="000000"/>
          <w:szCs w:val="21"/>
          <w:highlight w:val="none"/>
          <w:u w:val="single"/>
        </w:rPr>
        <w:t xml:space="preserve"> 《建设工程工程量清单计价标准》（</w:t>
      </w:r>
      <w:r>
        <w:rPr>
          <w:rFonts w:hint="eastAsia" w:ascii="宋体" w:hAnsi="宋体" w:eastAsia="宋体" w:cs="宋体"/>
          <w:color w:val="000000"/>
          <w:szCs w:val="21"/>
          <w:highlight w:val="none"/>
          <w:u w:val="single"/>
        </w:rPr>
        <w:t xml:space="preserve">GB/T 50500-2024</w:t>
      </w:r>
      <w:r>
        <w:rPr>
          <w:rFonts w:hint="eastAsia" w:ascii="宋体" w:hAnsi="宋体" w:eastAsia="宋体" w:cs="宋体"/>
          <w:color w:val="000000"/>
          <w:szCs w:val="21"/>
          <w:highlight w:val="none"/>
          <w:u w:val="single"/>
        </w:rPr>
        <w:t xml:space="preserve">）、《江苏省建筑与装饰工程消耗量》（</w:t>
      </w:r>
      <w:r>
        <w:rPr>
          <w:rFonts w:hint="eastAsia" w:ascii="宋体" w:hAnsi="宋体" w:eastAsia="宋体" w:cs="宋体"/>
          <w:color w:val="000000"/>
          <w:szCs w:val="21"/>
          <w:highlight w:val="none"/>
          <w:u w:val="single"/>
        </w:rPr>
        <w:t xml:space="preserve">2026</w:t>
      </w:r>
      <w:r>
        <w:rPr>
          <w:rFonts w:hint="eastAsia" w:ascii="宋体" w:hAnsi="宋体" w:eastAsia="宋体" w:cs="宋体"/>
          <w:color w:val="000000"/>
          <w:szCs w:val="21"/>
          <w:highlight w:val="none"/>
          <w:u w:val="single"/>
        </w:rPr>
        <w:t xml:space="preserve">版）、《江苏省通用安装工程消耗量》（</w:t>
      </w:r>
      <w:r>
        <w:rPr>
          <w:rFonts w:hint="eastAsia" w:ascii="宋体" w:hAnsi="宋体" w:eastAsia="宋体" w:cs="宋体"/>
          <w:color w:val="000000"/>
          <w:szCs w:val="21"/>
          <w:highlight w:val="none"/>
          <w:u w:val="single"/>
        </w:rPr>
        <w:t xml:space="preserve">2026</w:t>
      </w:r>
      <w:r>
        <w:rPr>
          <w:rFonts w:hint="eastAsia" w:ascii="宋体" w:hAnsi="宋体" w:eastAsia="宋体" w:cs="宋体"/>
          <w:color w:val="000000"/>
          <w:szCs w:val="21"/>
          <w:highlight w:val="none"/>
          <w:u w:val="single"/>
        </w:rPr>
        <w:t xml:space="preserve">版）、《江苏省市政工程消耗量》（</w:t>
      </w:r>
      <w:r>
        <w:rPr>
          <w:rFonts w:hint="eastAsia" w:ascii="宋体" w:hAnsi="宋体" w:eastAsia="宋体" w:cs="宋体"/>
          <w:color w:val="000000"/>
          <w:szCs w:val="21"/>
          <w:highlight w:val="none"/>
          <w:u w:val="single"/>
        </w:rPr>
        <w:t xml:space="preserve">2026</w:t>
      </w:r>
      <w:r>
        <w:rPr>
          <w:rFonts w:hint="eastAsia" w:ascii="宋体" w:hAnsi="宋体" w:eastAsia="宋体" w:cs="宋体"/>
          <w:color w:val="000000"/>
          <w:szCs w:val="21"/>
          <w:highlight w:val="none"/>
          <w:u w:val="single"/>
        </w:rPr>
        <w:t xml:space="preserve">版）、《江苏省建设工程费用参考》（2026版）、《江苏建设工程施工机具台班费用参考表》（</w:t>
      </w:r>
      <w:r>
        <w:rPr>
          <w:rFonts w:hint="eastAsia" w:ascii="宋体" w:hAnsi="宋体" w:eastAsia="宋体" w:cs="宋体"/>
          <w:color w:val="000000"/>
          <w:szCs w:val="21"/>
          <w:highlight w:val="none"/>
          <w:u w:val="single"/>
        </w:rPr>
        <w:t xml:space="preserve">2026</w:t>
      </w:r>
      <w:r>
        <w:rPr>
          <w:rFonts w:hint="eastAsia" w:ascii="宋体" w:hAnsi="宋体" w:eastAsia="宋体" w:cs="宋体"/>
          <w:color w:val="000000"/>
          <w:szCs w:val="21"/>
          <w:highlight w:val="none"/>
          <w:u w:val="single"/>
        </w:rPr>
        <w:t xml:space="preserve">版）、江苏省、苏州市现行相关造价文件规定。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color w:val="000000"/>
          <w:szCs w:val="21"/>
          <w:highlight w:val="none"/>
          <w:u w:val="single"/>
        </w:rPr>
        <w:t xml:space="preserve">  每月 20 日前承包人提供当月计量报表六份、当月不少于十张施工照片一式二份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12.3.4 总价合同的计量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关于总价合同计量的约定：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12.3.5总价合同采用支付分解表计量支付的，是否适用第</w:t>
      </w:r>
      <w:r>
        <w:rPr>
          <w:rFonts w:hint="eastAsia" w:ascii="宋体" w:hAnsi="宋体" w:eastAsia="宋体" w:cs="宋体"/>
          <w:color w:val="000000"/>
          <w:szCs w:val="21"/>
          <w:highlight w:val="none"/>
        </w:rPr>
        <w:t xml:space="preserve">12.3.4 </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〔总价合同的计量〕</w:t>
      </w:r>
      <w:r>
        <w:rPr>
          <w:rFonts w:hint="eastAsia" w:ascii="宋体" w:hAnsi="宋体" w:eastAsia="宋体" w:cs="宋体"/>
          <w:color w:val="000000"/>
          <w:szCs w:val="21"/>
          <w:highlight w:val="none"/>
        </w:rPr>
        <w:t xml:space="preserve">约定进行计量：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12.3.6 其他价格形式合同的计量</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其他价格形式的计量方式和程序：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Start w:id="510" w:name="_Toc296503211"/>
      <w:r/>
      <w:bookmarkStart w:id="511" w:name="_Toc292559921"/>
      <w:r/>
      <w:bookmarkStart w:id="512" w:name="_Toc292559416"/>
      <w:r/>
      <w:bookmarkStart w:id="513" w:name="_Toc303539163"/>
      <w:r/>
      <w:bookmarkStart w:id="514" w:name="_Toc297123556"/>
      <w:r/>
      <w:bookmarkStart w:id="515" w:name="_Toc296891039"/>
      <w:r/>
      <w:bookmarkStart w:id="516" w:name="_Toc297216215"/>
      <w:r/>
      <w:bookmarkStart w:id="517" w:name="_Toc296346712"/>
      <w:r/>
      <w:bookmarkStart w:id="518" w:name="_Toc300935006"/>
      <w:r/>
      <w:bookmarkStart w:id="519" w:name="_Toc296944550"/>
      <w:r/>
      <w:bookmarkStart w:id="520" w:name="_Toc297048397"/>
      <w:r/>
      <w:bookmarkStart w:id="521" w:name="_Toc297120511"/>
      <w:r/>
      <w:bookmarkStart w:id="522" w:name="_Toc296891251"/>
      <w:r/>
      <w:bookmarkStart w:id="523" w:name="_Toc296347210"/>
      <w:r>
        <w:rPr>
          <w:rFonts w:hint="eastAsia" w:ascii="宋体" w:hAnsi="宋体" w:eastAsia="宋体" w:cs="宋体"/>
          <w:color w:val="000000"/>
          <w:szCs w:val="21"/>
          <w:highlight w:val="none"/>
        </w:rPr>
        <w:t xml:space="preserve">12.4.1 付款周期</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关于付款周期的约定：</w:t>
      </w:r>
      <w:r>
        <w:rPr>
          <w:rFonts w:hint="eastAsia" w:ascii="宋体" w:hAnsi="宋体" w:eastAsia="宋体" w:cs="宋体"/>
          <w:color w:val="000000"/>
          <w:szCs w:val="21"/>
          <w:highlight w:val="none"/>
          <w:u w:val="single"/>
        </w:rPr>
        <w:t xml:space="preserve">（1）工程进度款根据工程形象进度拨付，每月最高付至合同价的50%；（2）工程竣工验收合格后进度款最高付至合同价的80%；（3）审计结束后1年内最高付至审定价的97%</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rPr>
        <w:t xml:space="preserve">（4）审计结束且缺陷责任期满后付清。</w:t>
      </w:r>
      <w:r>
        <w:rPr>
          <w:rFonts w:hint="eastAsia" w:ascii="宋体" w:hAnsi="宋体" w:eastAsia="宋体" w:cs="宋体"/>
          <w:color w:val="000000"/>
          <w:szCs w:val="21"/>
          <w:highlight w:val="none"/>
          <w:u w:val="single"/>
          <w:lang w:val="en-US" w:eastAsia="zh-CN"/>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12.4.2 进度付款申请单的编制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color w:val="000000"/>
          <w:szCs w:val="21"/>
          <w:highlight w:val="none"/>
          <w:u w:val="single"/>
        </w:rPr>
        <w:t xml:space="preserve">  承包人每次请付工程款时须提供与当次发包人付款等额的建设工程正式的增值税发票</w:t>
      </w:r>
      <w:r>
        <w:rPr>
          <w:rFonts w:hint="eastAsia" w:ascii="宋体" w:hAnsi="宋体" w:eastAsia="宋体" w:cs="宋体"/>
          <w:b/>
          <w:bCs/>
          <w:color w:val="000000"/>
          <w:szCs w:val="21"/>
          <w:highlight w:val="none"/>
          <w:u w:val="single"/>
        </w:rPr>
        <w:t xml:space="preserve">。</w:t>
      </w:r>
      <w:r>
        <w:rPr>
          <w:rFonts w:hint="eastAsia" w:ascii="宋体" w:hAnsi="宋体" w:eastAsia="宋体" w:cs="宋体"/>
          <w:color w:val="000000"/>
          <w:szCs w:val="21"/>
          <w:highlight w:val="none"/>
          <w:u w:val="single"/>
        </w:rPr>
        <w:t xml:space="preserve">承包人每月申报月进度款时须同时提供该月新增的质量保证资料：包括隐蔽工程的验收单（有监理签字）、各项质保资料、各项材料试验报告（第三方检测报告）、基坑验槽报告等资料。如因承包人未按要求提供相关资料，发包人及各管理方有权延审、延批进度款，直至承包人提交为止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eastAsia="宋体" w:cs="宋体"/>
          <w:color w:val="000000"/>
          <w:szCs w:val="21"/>
          <w:highlight w:val="none"/>
        </w:rPr>
        <w:t xml:space="preserve">2.4.3 进度付款申请单的提交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（1）单价合同进度付款申请单提交的约定：</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（2）总价合同进度付款申请单提交的约定：</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（3）其他价格形式合同进度付款申请单提交的约定：</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12.4.4 进度款审核和支付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（1）监理人审查并报送发包人的期限：</w:t>
      </w:r>
      <w:r>
        <w:rPr>
          <w:rFonts w:hint="eastAsia" w:ascii="宋体" w:hAnsi="宋体" w:eastAsia="宋体" w:cs="宋体"/>
          <w:color w:val="000000"/>
          <w:szCs w:val="21"/>
          <w:highlight w:val="none"/>
          <w:u w:val="single"/>
        </w:rPr>
        <w:t xml:space="preserve">  监理人应在收到承包人进度付款申请单以及相关资料后3天内完成审查并报送发包人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发包人完成审批并签发进度款支付证书的期限：</w:t>
      </w:r>
      <w:r>
        <w:rPr>
          <w:rFonts w:hint="eastAsia" w:ascii="宋体" w:hAnsi="宋体" w:eastAsia="宋体" w:cs="宋体"/>
          <w:color w:val="000000"/>
          <w:szCs w:val="21"/>
          <w:highlight w:val="none"/>
          <w:u w:val="single"/>
        </w:rPr>
        <w:t xml:space="preserve"> 收到监理人审批的月报表后7天内完成审批并签发进度款支付证书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（2）发包人支付进度款的期限：</w:t>
      </w:r>
      <w:r>
        <w:rPr>
          <w:rFonts w:hint="eastAsia" w:ascii="宋体" w:hAnsi="宋体" w:eastAsia="宋体" w:cs="宋体"/>
          <w:color w:val="000000"/>
          <w:szCs w:val="21"/>
          <w:highlight w:val="none"/>
          <w:u w:val="single"/>
        </w:rPr>
        <w:t xml:space="preserve"> 于次月25 日前支付工程进度款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发包人逾期支付进度款的违约金的计算方式：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525"/>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12.4.6 支付分解表的编制</w:t>
      </w:r>
      <w:r>
        <w:rPr>
          <w:rFonts w:hint="eastAsia" w:ascii="宋体" w:hAnsi="宋体" w:eastAsia="宋体" w:cs="宋体"/>
          <w:color w:val="000000"/>
          <w:szCs w:val="21"/>
          <w:highlight w:val="none"/>
        </w:rPr>
      </w:r>
      <w:r/>
    </w:p>
    <w:p>
      <w:pPr>
        <w:pStyle w:val="1044"/>
        <w:ind w:left="4200" w:hanging="420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2、总价合同支付分解表的编制与审批：</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3、单价合同的总价项目支付分解表的编制与审批：</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358"/>
      <w:r/>
      <w:bookmarkStart w:id="524" w:name="_Toc351203645"/>
      <w:r/>
      <w:bookmarkStart w:id="525" w:name="_Toc312678053"/>
      <w:r/>
      <w:bookmarkStart w:id="526" w:name="_Toc303539172"/>
      <w:r/>
      <w:bookmarkStart w:id="527" w:name="_Toc292559929"/>
      <w:r/>
      <w:bookmarkStart w:id="528" w:name="_Toc296944558"/>
      <w:r/>
      <w:bookmarkStart w:id="529" w:name="_Toc297123564"/>
      <w:r/>
      <w:bookmarkStart w:id="530" w:name="_Toc296891047"/>
      <w:r/>
      <w:bookmarkStart w:id="531" w:name="_Toc296503219"/>
      <w:r/>
      <w:bookmarkStart w:id="532" w:name="_Toc297120519"/>
      <w:r/>
      <w:bookmarkStart w:id="533" w:name="_Toc296891259"/>
      <w:r/>
      <w:bookmarkStart w:id="534" w:name="_Toc297216223"/>
      <w:r/>
      <w:bookmarkStart w:id="535" w:name="_Toc296346720"/>
      <w:r/>
      <w:bookmarkStart w:id="536" w:name="_Toc304295593"/>
      <w:r/>
      <w:bookmarkStart w:id="537" w:name="_Toc292559424"/>
      <w:r/>
      <w:bookmarkStart w:id="538" w:name="_Toc300935015"/>
      <w:r/>
      <w:bookmarkStart w:id="539" w:name="_Toc297048405"/>
      <w:r/>
      <w:bookmarkStart w:id="540" w:name="_Toc296347218"/>
      <w:r>
        <w:rPr>
          <w:rFonts w:hint="eastAsia" w:ascii="宋体" w:hAnsi="宋体" w:eastAsia="宋体" w:cs="宋体"/>
          <w:bCs/>
          <w:color w:val="000000"/>
          <w:szCs w:val="21"/>
          <w:highlight w:val="none"/>
        </w:rPr>
        <w:t xml:space="preserve">13. 验收和工程试车</w:t>
      </w:r>
      <w:bookmarkEnd w:id="524"/>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rFonts w:hint="eastAsia" w:ascii="宋体" w:hAnsi="宋体" w:eastAsia="宋体" w:cs="宋体"/>
          <w:color w:val="000000"/>
          <w:szCs w:val="21"/>
          <w:highlight w:val="none"/>
        </w:rPr>
        <w:t xml:space="preserve">13.1 分部分项工程验收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13.1.2监理人不能按时进行验收时，应提前</w:t>
      </w:r>
      <w:r>
        <w:rPr>
          <w:rFonts w:hint="eastAsia" w:ascii="宋体" w:hAnsi="宋体" w:eastAsia="宋体" w:cs="宋体"/>
          <w:color w:val="000000"/>
          <w:szCs w:val="21"/>
          <w:highlight w:val="none"/>
          <w:u w:val="single"/>
        </w:rPr>
        <w:t xml:space="preserve">  24   </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   48    </w:t>
      </w:r>
      <w:r>
        <w:rPr>
          <w:rFonts w:hint="eastAsia" w:ascii="宋体" w:hAnsi="宋体" w:eastAsia="宋体" w:cs="宋体"/>
          <w:color w:val="000000"/>
          <w:szCs w:val="21"/>
          <w:highlight w:val="none"/>
        </w:rPr>
        <w:t xml:space="preserve">小时。</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541" w:name="_Toc292559933"/>
      <w:r/>
      <w:bookmarkStart w:id="542" w:name="_Toc296944562"/>
      <w:r/>
      <w:bookmarkStart w:id="543" w:name="_Toc297216224"/>
      <w:r/>
      <w:bookmarkStart w:id="544" w:name="_Toc292559428"/>
      <w:r/>
      <w:bookmarkStart w:id="545" w:name="_Toc304295596"/>
      <w:r/>
      <w:bookmarkStart w:id="546" w:name="_Toc312678056"/>
      <w:r/>
      <w:bookmarkStart w:id="547" w:name="_Toc296891051"/>
      <w:r/>
      <w:bookmarkStart w:id="548" w:name="_Toc297123565"/>
      <w:r/>
      <w:bookmarkStart w:id="549" w:name="_Toc297120523"/>
      <w:r/>
      <w:bookmarkStart w:id="550" w:name="_Toc300935016"/>
      <w:r/>
      <w:bookmarkStart w:id="551" w:name="_Toc296503223"/>
      <w:r/>
      <w:bookmarkStart w:id="552" w:name="_Toc296347222"/>
      <w:r/>
      <w:bookmarkStart w:id="553" w:name="_Toc296346724"/>
      <w:r/>
      <w:bookmarkStart w:id="554" w:name="_Toc297048409"/>
      <w:r/>
      <w:bookmarkStart w:id="555" w:name="_Toc296891263"/>
      <w:r/>
      <w:bookmarkStart w:id="556" w:name="_Toc303539173"/>
      <w:r/>
      <w:bookmarkStart w:id="557" w:name="_Toc267251471"/>
      <w:r/>
      <w:bookmarkStart w:id="558" w:name="_Toc267251475"/>
      <w:r/>
      <w:bookmarkStart w:id="559" w:name="_Toc267251474"/>
      <w:r/>
      <w:bookmarkStart w:id="560" w:name="_Toc267251472"/>
      <w:r/>
      <w:bookmarkStart w:id="561" w:name="_Toc267251473"/>
      <w:r/>
      <w:bookmarkStart w:id="562" w:name="_Toc267251470"/>
      <w:r/>
      <w:bookmarkStart w:id="563" w:name="_Toc267251476"/>
      <w:r>
        <w:rPr>
          <w:rFonts w:hint="eastAsia" w:ascii="宋体" w:hAnsi="宋体" w:eastAsia="宋体" w:cs="宋体"/>
          <w:color w:val="000000"/>
          <w:szCs w:val="21"/>
          <w:highlight w:val="none"/>
        </w:rPr>
        <w:t xml:space="preserve">13.2 竣工验收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Start w:id="564" w:name="_Toc280868704"/>
      <w:r/>
      <w:bookmarkStart w:id="565" w:name="_Toc280868705"/>
      <w:r/>
      <w:bookmarkStart w:id="566" w:name="_Toc280868706"/>
      <w:r/>
      <w:bookmarkStart w:id="567" w:name="_Toc280868707"/>
      <w:r/>
      <w:bookmarkStart w:id="568" w:name="_Toc280868708"/>
      <w:r/>
      <w:bookmarkStart w:id="569" w:name="_Toc280868709"/>
      <w:r>
        <w:rPr>
          <w:rFonts w:hint="eastAsia" w:ascii="宋体" w:hAnsi="宋体" w:eastAsia="宋体" w:cs="宋体"/>
          <w:color w:val="000000"/>
          <w:szCs w:val="21"/>
          <w:highlight w:val="none"/>
        </w:rPr>
        <w:t xml:space="preserve">13.2.2竣工验收程序</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u w:val="single"/>
        </w:rPr>
      </w:pPr>
      <w:r/>
      <w:bookmarkEnd w:id="564"/>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color w:val="000000"/>
          <w:szCs w:val="21"/>
          <w:highlight w:val="none"/>
          <w:u w:val="single"/>
        </w:rPr>
        <w:t xml:space="preserve"> （1）承包人向监理人报送竣工验收申请报告，监理人应在收到竣工验收申请报告后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（3）竣工验收合格的，发包人应在验收合格后 14 天内向承包人签发工程接收证书。发包人无正当理由逾期不颁发工程接收证书的，自验收合格后第 15 天起视为已颁发工程接收证书。</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（5）工程未经验收或验收不合格，发包人擅自使用的，应在转移占有工程后 7 天内向承包人颁发工程接收证书；发包人无正当理由逾期不颁发工程接收证书的，自转移占有后第 15 天起视为已颁发工程接收证书。</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发包人不按照本项约定组织竣工验收、颁发工程接收证书的违约金的计算方法：</w:t>
      </w:r>
      <w:r>
        <w:rPr>
          <w:rFonts w:hint="eastAsia" w:ascii="宋体" w:hAnsi="宋体" w:eastAsia="宋体" w:cs="宋体"/>
          <w:color w:val="000000"/>
          <w:szCs w:val="21"/>
          <w:highlight w:val="none"/>
          <w:u w:val="single"/>
        </w:rPr>
        <w:t xml:space="preserve"> 自监理人批准竣工验收请求报告后，每逾期1天，应以签约合同价为基数，按中国人民银行发布的同期同类贷款基准利率支付违约金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565"/>
      <w:r>
        <w:rPr>
          <w:rFonts w:hint="eastAsia" w:ascii="宋体" w:hAnsi="宋体" w:eastAsia="宋体" w:cs="宋体"/>
          <w:color w:val="000000"/>
          <w:szCs w:val="21"/>
          <w:highlight w:val="none"/>
        </w:rPr>
        <w:t xml:space="preserve">13.2.5移交、接收全部与部分工程</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566"/>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color w:val="000000"/>
          <w:szCs w:val="21"/>
          <w:highlight w:val="none"/>
          <w:u w:val="single"/>
        </w:rPr>
        <w:t xml:space="preserve"> 合同当事人应当在颁发工程接收证书并获得接收部门同意后7天内完成工程的移交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bookmarkEnd w:id="567"/>
      <w:r>
        <w:rPr>
          <w:rFonts w:hint="eastAsia" w:ascii="宋体" w:hAnsi="宋体" w:eastAsia="宋体" w:cs="宋体"/>
          <w:color w:val="000000"/>
          <w:szCs w:val="21"/>
          <w:highlight w:val="none"/>
        </w:rPr>
        <w:t xml:space="preserve">发包人未按本合同约定接收全部或部分工程的，违约金的计算方法为：</w:t>
      </w:r>
      <w:r>
        <w:rPr>
          <w:rFonts w:hint="eastAsia" w:ascii="宋体" w:hAnsi="宋体" w:eastAsia="宋体" w:cs="宋体"/>
          <w:bCs/>
          <w:color w:val="000000"/>
          <w:szCs w:val="21"/>
          <w:highlight w:val="none"/>
          <w:u w:val="single"/>
        </w:rPr>
        <w:t xml:space="preserve">因特殊情况，发包人无法或未按本合同约定接收全部或部分工程的，承包人仍应承担工程照管、成品保护、保管等工作，并承担由此发生的各项费用，发包人不予支付任何费用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承包人未按时移交工程的，违约金的计算方法为：</w:t>
      </w:r>
      <w:r>
        <w:rPr>
          <w:rFonts w:hint="eastAsia" w:ascii="宋体" w:hAnsi="宋体" w:eastAsia="宋体" w:cs="宋体"/>
          <w:bCs/>
          <w:color w:val="000000"/>
          <w:szCs w:val="21"/>
          <w:highlight w:val="none"/>
          <w:u w:val="single"/>
        </w:rPr>
        <w:t xml:space="preserve">承包人无正当理由不移交工程的，每逾期一天，按5万元/天向发包人支付违约金</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 工程试车</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End w:id="568"/>
      <w:r>
        <w:rPr>
          <w:rFonts w:hint="eastAsia" w:ascii="宋体" w:hAnsi="宋体" w:eastAsia="宋体" w:cs="宋体"/>
          <w:color w:val="000000"/>
          <w:szCs w:val="21"/>
          <w:highlight w:val="none"/>
        </w:rPr>
        <w:t xml:space="preserve">13.3.1 试车程序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工程试车内容：</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u w:val="single"/>
        </w:rPr>
        <w:t xml:space="preserve">按发包人要求</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（1）单机无负荷试车费用由</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u w:val="single"/>
        </w:rPr>
        <w:t xml:space="preserve">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（2）无负荷联动试车费用由</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u w:val="single"/>
        </w:rPr>
        <w:t xml:space="preserve">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13.3.3 投料试车</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关于投料试车相关事项的约定：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13.6 竣工退场</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承包人应在移交工程后 10 天内完成竣工退场，逾期未完成的，视作承包人放弃，发包人有权出售或另行处理承包人遗留的物品，由此支出的费用由承包人承担，发包人有权从应付工程款中扣除。</w:t>
      </w:r>
      <w:r>
        <w:rPr>
          <w:rFonts w:hint="eastAsia" w:ascii="宋体" w:hAnsi="宋体" w:eastAsia="宋体" w:cs="宋体"/>
          <w:color w:val="000000"/>
          <w:szCs w:val="21"/>
          <w:highlight w:val="none"/>
          <w:u w:val="singl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570" w:name="_Toc351203646"/>
      <w:r>
        <w:rPr>
          <w:rFonts w:hint="eastAsia" w:ascii="宋体" w:hAnsi="宋体" w:eastAsia="宋体" w:cs="宋体"/>
          <w:bCs/>
          <w:color w:val="000000"/>
          <w:szCs w:val="21"/>
          <w:highlight w:val="none"/>
        </w:rPr>
        <w:t xml:space="preserve">14. 竣工结算</w:t>
      </w:r>
      <w:bookmarkEnd w:id="570"/>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承包人提交竣工结算申请单的期限：</w:t>
      </w:r>
      <w:r>
        <w:rPr>
          <w:rFonts w:hint="eastAsia" w:ascii="宋体" w:hAnsi="宋体" w:eastAsia="宋体" w:cs="宋体"/>
          <w:color w:val="000000"/>
          <w:szCs w:val="21"/>
          <w:highlight w:val="none"/>
          <w:u w:val="single"/>
        </w:rPr>
        <w:t xml:space="preserve"> 承包人应在工程竣工验收合格后</w:t>
      </w:r>
      <w:r>
        <w:rPr>
          <w:rFonts w:hint="eastAsia" w:ascii="宋体" w:hAnsi="宋体" w:eastAsia="宋体" w:cs="宋体"/>
          <w:color w:val="000000"/>
          <w:szCs w:val="21"/>
          <w:highlight w:val="none"/>
          <w:u w:val="single"/>
        </w:rPr>
        <w:t xml:space="preserve">56</w:t>
      </w:r>
      <w:r>
        <w:rPr>
          <w:rFonts w:hint="eastAsia" w:ascii="宋体" w:hAnsi="宋体" w:eastAsia="宋体" w:cs="宋体"/>
          <w:color w:val="000000"/>
          <w:szCs w:val="21"/>
          <w:highlight w:val="none"/>
          <w:u w:val="single"/>
        </w:rPr>
        <w:t xml:space="preserve">天内向发包人和监理人提交竣工结算申请单，并提交完整的结算资料。</w:t>
      </w:r>
      <w:r>
        <w:rPr>
          <w:rFonts w:hint="eastAsia" w:ascii="宋体" w:hAnsi="宋体" w:eastAsia="宋体" w:cs="宋体"/>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14.2 竣工结算审核</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发包人审批竣工付款申请单的期限：</w:t>
      </w:r>
      <w:r>
        <w:rPr>
          <w:rFonts w:hint="eastAsia" w:ascii="宋体" w:hAnsi="宋体" w:eastAsia="宋体" w:cs="宋体"/>
          <w:color w:val="000000"/>
          <w:szCs w:val="21"/>
          <w:highlight w:val="none"/>
          <w:u w:val="single"/>
        </w:rPr>
        <w:t xml:space="preserve"> 发包人依据审计部门的审计时间，另行确定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发包人完成竣工付款的期限：</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关于竣工付款证书异议部分复核的方式和程序：</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color w:val="000000"/>
          <w:szCs w:val="21"/>
          <w:highlight w:val="none"/>
          <w:u w:val="single"/>
        </w:rPr>
        <w:t xml:space="preserve">   4份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14.4.2 最终结清证书和支付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（1）发包人完成最终结清申请单的审批并颁发最终结清证书的期限：</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（2）发包人完成支付的期限：</w:t>
      </w:r>
      <w:r>
        <w:rPr>
          <w:rFonts w:hint="eastAsia" w:ascii="宋体" w:hAnsi="宋体" w:eastAsia="宋体" w:cs="宋体"/>
          <w:color w:val="000000"/>
          <w:szCs w:val="21"/>
          <w:highlight w:val="none"/>
          <w:u w:val="single"/>
        </w:rPr>
        <w:t xml:space="preserve">     按通用条款执行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557"/>
      <w:r/>
      <w:bookmarkEnd w:id="558"/>
      <w:r/>
      <w:bookmarkEnd w:id="559"/>
      <w:r/>
      <w:bookmarkEnd w:id="560"/>
      <w:r/>
      <w:bookmarkEnd w:id="561"/>
      <w:r/>
      <w:bookmarkEnd w:id="562"/>
      <w:r/>
      <w:bookmarkEnd w:id="563"/>
      <w:r/>
      <w:bookmarkEnd w:id="569"/>
      <w:r/>
      <w:bookmarkStart w:id="571" w:name="_Toc351203647"/>
      <w:r/>
      <w:bookmarkStart w:id="572" w:name="_Toc267251483"/>
      <w:r/>
      <w:bookmarkStart w:id="573" w:name="_Toc267251484"/>
      <w:r/>
      <w:bookmarkStart w:id="574" w:name="_Toc267251482"/>
      <w:r/>
      <w:bookmarkStart w:id="575" w:name="_Toc267251485"/>
      <w:r/>
      <w:bookmarkStart w:id="576" w:name="_Toc267251488"/>
      <w:r/>
      <w:bookmarkStart w:id="577" w:name="_Toc267251486"/>
      <w:r/>
      <w:bookmarkStart w:id="578" w:name="_Toc267251490"/>
      <w:r/>
      <w:bookmarkStart w:id="579" w:name="_Toc267251489"/>
      <w:r/>
      <w:bookmarkStart w:id="580" w:name="_Toc267251507"/>
      <w:r/>
      <w:bookmarkStart w:id="581" w:name="_Toc267251515"/>
      <w:r/>
      <w:bookmarkStart w:id="582" w:name="_Toc267251509"/>
      <w:r/>
      <w:bookmarkStart w:id="583" w:name="_Toc267251513"/>
      <w:r/>
      <w:bookmarkStart w:id="584" w:name="_Toc267251508"/>
      <w:r/>
      <w:bookmarkStart w:id="585" w:name="_Toc267251514"/>
      <w:r/>
      <w:bookmarkStart w:id="586" w:name="_Toc267251499"/>
      <w:r/>
      <w:bookmarkStart w:id="587" w:name="_Toc267251497"/>
      <w:r/>
      <w:bookmarkStart w:id="588" w:name="_Toc267251493"/>
      <w:r/>
      <w:bookmarkStart w:id="589" w:name="_Toc267251502"/>
      <w:r/>
      <w:bookmarkStart w:id="590" w:name="_Toc267251495"/>
      <w:r/>
      <w:bookmarkStart w:id="591" w:name="_Toc267251494"/>
      <w:r/>
      <w:bookmarkStart w:id="592" w:name="_Toc267251501"/>
      <w:r/>
      <w:bookmarkStart w:id="593" w:name="_Toc267251498"/>
      <w:r/>
      <w:bookmarkStart w:id="594" w:name="_Toc267251503"/>
      <w:r/>
      <w:bookmarkStart w:id="595" w:name="_Toc267251491"/>
      <w:r/>
      <w:bookmarkStart w:id="596" w:name="_Toc267251511"/>
      <w:r/>
      <w:bookmarkStart w:id="597" w:name="_Toc267251496"/>
      <w:r/>
      <w:bookmarkStart w:id="598" w:name="_Toc267251492"/>
      <w:r/>
      <w:bookmarkStart w:id="599" w:name="_Toc267251510"/>
      <w:r/>
      <w:bookmarkStart w:id="600" w:name="_Toc267251506"/>
      <w:r/>
      <w:bookmarkStart w:id="601" w:name="_Toc267251504"/>
      <w:r>
        <w:rPr>
          <w:rFonts w:hint="eastAsia" w:ascii="宋体" w:hAnsi="宋体" w:eastAsia="宋体" w:cs="宋体"/>
          <w:bCs/>
          <w:color w:val="000000"/>
          <w:szCs w:val="21"/>
          <w:highlight w:val="none"/>
        </w:rPr>
        <w:t xml:space="preserve">15. 缺陷责任期与保修</w:t>
      </w:r>
      <w:bookmarkEnd w:id="571"/>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572"/>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12个月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15.3 质量保证金</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15.3.1 承包人提供质量保证金的方式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质量保证金采用以下第</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种方式：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（1）质量保证金保函，保证金额为：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%的工程款；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15.3.2 质量保证金的扣留 </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质量保证金的扣留采取以下第</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种方式：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（2）工程竣工结算时一次性扣留质量保证金；</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（3）其他扣留方式: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573"/>
      <w:r/>
      <w:bookmarkEnd w:id="574"/>
      <w:r>
        <w:rPr>
          <w:rFonts w:hint="eastAsia" w:ascii="宋体" w:hAnsi="宋体" w:eastAsia="宋体" w:cs="宋体"/>
          <w:color w:val="000000"/>
          <w:szCs w:val="21"/>
          <w:highlight w:val="none"/>
        </w:rPr>
        <w:t xml:space="preserve">15.4保修</w:t>
      </w:r>
      <w:r>
        <w:rPr>
          <w:rFonts w:hint="eastAsia" w:ascii="宋体" w:hAnsi="宋体" w:eastAsia="宋体" w:cs="宋体"/>
          <w:color w:val="000000"/>
          <w:szCs w:val="21"/>
          <w:highlight w:val="none"/>
        </w:rPr>
      </w:r>
      <w:r/>
    </w:p>
    <w:p>
      <w:pPr>
        <w:pStyle w:val="1044"/>
        <w:ind w:firstLine="409"/>
        <w:jc w:val="left"/>
        <w:pageBreakBefore w:val="0"/>
        <w:spacing w:line="360" w:lineRule="auto"/>
        <w:rPr>
          <w:rFonts w:hint="eastAsia" w:ascii="宋体" w:hAnsi="宋体" w:eastAsia="宋体" w:cs="宋体"/>
          <w:color w:val="000000"/>
          <w:szCs w:val="21"/>
          <w:highlight w:val="none"/>
        </w:rPr>
      </w:pPr>
      <w:r/>
      <w:bookmarkEnd w:id="575"/>
      <w:r>
        <w:rPr>
          <w:rFonts w:hint="eastAsia" w:ascii="宋体" w:hAnsi="宋体" w:eastAsia="宋体" w:cs="宋体"/>
          <w:color w:val="000000"/>
          <w:szCs w:val="21"/>
          <w:highlight w:val="none"/>
        </w:rPr>
        <w:t xml:space="preserve">15.4.1 保修责任</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    见《工程质量保修书》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09"/>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15.4.3 修复通知</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承包人收到保修通知并到达工程现场的合理时间：</w:t>
      </w:r>
      <w:r>
        <w:rPr>
          <w:rFonts w:hint="eastAsia" w:ascii="宋体" w:hAnsi="宋体" w:eastAsia="宋体" w:cs="宋体"/>
          <w:color w:val="000000"/>
          <w:szCs w:val="21"/>
          <w:highlight w:val="none"/>
          <w:u w:val="single"/>
        </w:rPr>
        <w:t xml:space="preserve">24小时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576"/>
      <w:r/>
      <w:bookmarkEnd w:id="577"/>
      <w:r/>
      <w:bookmarkEnd w:id="578"/>
      <w:r/>
      <w:bookmarkEnd w:id="579"/>
      <w:r/>
      <w:bookmarkStart w:id="602" w:name="_Toc351203648"/>
      <w:r/>
      <w:bookmarkStart w:id="603" w:name="_Toc280868717"/>
      <w:r/>
      <w:bookmarkStart w:id="604" w:name="_Toc280868718"/>
      <w:r>
        <w:rPr>
          <w:rFonts w:hint="eastAsia" w:ascii="宋体" w:hAnsi="宋体" w:eastAsia="宋体" w:cs="宋体"/>
          <w:bCs/>
          <w:color w:val="000000"/>
          <w:szCs w:val="21"/>
          <w:highlight w:val="none"/>
        </w:rPr>
        <w:t xml:space="preserve">16. 违约</w:t>
      </w:r>
      <w:bookmarkEnd w:id="602"/>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16.1 发包人违约</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16.1.1发包人违约的情形</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发包人违约的其他情形：</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left="1050" w:hanging="105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16.1.2 发包人违约的责任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发包人违约责任的承担方式和计算方法：</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bookmarkStart w:id="605" w:name="_Hlk157158888"/>
      <w:r>
        <w:rPr>
          <w:rFonts w:hint="eastAsia" w:ascii="宋体" w:hAnsi="宋体" w:eastAsia="宋体" w:cs="宋体"/>
          <w:color w:val="000000"/>
          <w:szCs w:val="21"/>
          <w:highlight w:val="none"/>
        </w:rPr>
        <w:t xml:space="preserve">（1）因发包人原因未能在计划开工日期前7天内下达开工通知的违约责任：</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工期相应顺延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（2）因发包人原因未能按合同约定支付合同价款的违约责任：</w:t>
      </w:r>
      <w:r>
        <w:rPr>
          <w:rFonts w:hint="eastAsia" w:ascii="宋体" w:hAnsi="宋体" w:eastAsia="宋体" w:cs="宋体"/>
          <w:color w:val="000000"/>
          <w:szCs w:val="21"/>
          <w:highlight w:val="none"/>
          <w:u w:val="single"/>
        </w:rPr>
        <w:t xml:space="preserve">  发包人不承担违约责任，双方约定不会因此而增加或赔偿任何费用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Cs w:val="21"/>
          <w:highlight w:val="none"/>
          <w:u w:val="single"/>
        </w:rPr>
        <w:t xml:space="preserve">发包人不承担违约责任，双方约定不会因此而增加或赔偿任何费用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因发包人上述原因给承包人造成工期延误的，经发包人书面确认后，工期相应顺延，承包人不得向发包人要求增加任何费用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（5）因发包人违反合同约定造成暂停施工的违约责任：</w:t>
      </w:r>
      <w:r>
        <w:rPr>
          <w:rFonts w:hint="eastAsia" w:ascii="宋体" w:hAnsi="宋体" w:eastAsia="宋体" w:cs="宋体"/>
          <w:color w:val="000000"/>
          <w:szCs w:val="21"/>
          <w:highlight w:val="none"/>
          <w:u w:val="single"/>
        </w:rPr>
        <w:t xml:space="preserve">工期相应顺延，发包人不承担其他任何责任，双方约定不会因此而增加或赔偿任何费用（本合同另有约定的除外）</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（6）发包人无正当理由没有在约定期限内发出复工指示，导致承包人无法复工的违约责任：</w:t>
      </w:r>
      <w:r>
        <w:rPr>
          <w:rFonts w:hint="eastAsia" w:ascii="宋体" w:hAnsi="宋体" w:eastAsia="宋体" w:cs="宋体"/>
          <w:color w:val="000000"/>
          <w:szCs w:val="21"/>
          <w:highlight w:val="none"/>
          <w:u w:val="single"/>
        </w:rPr>
        <w:t xml:space="preserve">工期相应顺延发包人不承担其他任何责任，双方约定不会因此而增加或赔偿任何费用 。</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bookmarkEnd w:id="605"/>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16.1.3 因发包人违约解除合同</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bookmarkStart w:id="606" w:name="_Hlk157158989"/>
      <w:r>
        <w:rPr>
          <w:rFonts w:hint="eastAsia" w:ascii="宋体" w:hAnsi="宋体" w:eastAsia="宋体" w:cs="宋体"/>
          <w:color w:val="000000"/>
          <w:szCs w:val="21"/>
          <w:highlight w:val="none"/>
        </w:rPr>
        <w:t xml:space="preserve">本合同无因发包人违约解除合同的情形。</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bookmarkEnd w:id="606"/>
      <w:r/>
      <w:bookmarkStart w:id="607" w:name="_Hlk157159044"/>
      <w:r>
        <w:rPr>
          <w:rFonts w:hint="eastAsia" w:ascii="宋体" w:hAnsi="宋体" w:eastAsia="宋体" w:cs="宋体"/>
          <w:color w:val="000000"/>
          <w:szCs w:val="21"/>
          <w:highlight w:val="none"/>
        </w:rPr>
        <w:t xml:space="preserve">16.2 承包人违约</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16.2.1 承包人违约的情形</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承包人违约的其他情形：</w:t>
      </w:r>
      <w:r>
        <w:rPr>
          <w:rFonts w:hint="eastAsia" w:ascii="宋体" w:hAnsi="宋体" w:eastAsia="宋体" w:cs="宋体"/>
          <w:bCs/>
          <w:color w:val="000000"/>
          <w:szCs w:val="21"/>
          <w:highlight w:val="none"/>
          <w:u w:val="single"/>
        </w:rPr>
        <w:t xml:space="preserve">1.承包人派驻现场的人员不能满足</w:t>
      </w:r>
      <w:r>
        <w:rPr>
          <w:rFonts w:hint="eastAsia" w:ascii="宋体" w:hAnsi="宋体" w:eastAsia="宋体" w:cs="宋体"/>
          <w:bCs/>
          <w:color w:val="000000"/>
          <w:szCs w:val="21"/>
          <w:highlight w:val="none"/>
          <w:u w:val="single"/>
          <w:lang w:eastAsia="zh-CN"/>
        </w:rPr>
        <w:t xml:space="preserve">磋商响应文件</w:t>
      </w:r>
      <w:r>
        <w:rPr>
          <w:rFonts w:hint="eastAsia" w:ascii="宋体" w:hAnsi="宋体" w:eastAsia="宋体" w:cs="宋体"/>
          <w:bCs/>
          <w:color w:val="000000"/>
          <w:szCs w:val="21"/>
          <w:highlight w:val="none"/>
          <w:u w:val="single"/>
        </w:rPr>
        <w:t xml:space="preserve">承诺的；2.承包人派驻现场的人员不能有效履行其职责，在发包人发出书面更换通知后7天内不更换人员的或按发包人要求更换后仍不能胜任其职责的；3.承包人派驻现场的项目经理、技术负责人、五大员等主要人员未经发包人批准脱离现场超过1天的；4.承包人未按工程需要使用</w:t>
      </w:r>
      <w:r>
        <w:rPr>
          <w:rFonts w:hint="eastAsia" w:ascii="宋体" w:hAnsi="宋体" w:eastAsia="宋体" w:cs="宋体"/>
          <w:bCs/>
          <w:color w:val="000000"/>
          <w:szCs w:val="21"/>
          <w:highlight w:val="none"/>
          <w:u w:val="single"/>
          <w:lang w:eastAsia="zh-CN"/>
        </w:rPr>
        <w:t xml:space="preserve">磋商响应文件</w:t>
      </w:r>
      <w:r>
        <w:rPr>
          <w:rFonts w:hint="eastAsia" w:ascii="宋体" w:hAnsi="宋体" w:eastAsia="宋体" w:cs="宋体"/>
          <w:bCs/>
          <w:color w:val="000000"/>
          <w:szCs w:val="21"/>
          <w:highlight w:val="none"/>
          <w:u w:val="single"/>
        </w:rPr>
        <w:t xml:space="preserve">中配备的机械设备、检测设备和仪器的；5.承包人不按发包人批准的施工组织设计实施的；6.承包人不按要求提报施工组织设计、施工方案、进度计划的；7.承包人不及时执行发包人代表指令的；8.出现安全、工程质量问题的；9.未经批准或检测不合格的材料设备进入工地现场；10.承包人所提供货物未采用合格材料和工艺制成的非全新的,不符合发包人招标文件要求及承包人</w:t>
      </w:r>
      <w:r>
        <w:rPr>
          <w:rFonts w:hint="eastAsia" w:ascii="宋体" w:hAnsi="宋体" w:eastAsia="宋体" w:cs="宋体"/>
          <w:bCs/>
          <w:color w:val="000000"/>
          <w:szCs w:val="21"/>
          <w:highlight w:val="none"/>
          <w:u w:val="single"/>
          <w:lang w:eastAsia="zh-CN"/>
        </w:rPr>
        <w:t xml:space="preserve">磋商响应文件</w:t>
      </w:r>
      <w:r>
        <w:rPr>
          <w:rFonts w:hint="eastAsia" w:ascii="宋体" w:hAnsi="宋体" w:eastAsia="宋体" w:cs="宋体"/>
          <w:bCs/>
          <w:color w:val="000000"/>
          <w:szCs w:val="21"/>
          <w:highlight w:val="none"/>
          <w:u w:val="single"/>
        </w:rPr>
        <w:t xml:space="preserve">承诺的质量、规格标准;承包人所提供货物,不符合国家有关法律、规范和环保、主管部门要求及发包人的技术要求，提供的设备品牌未按照投标时的品牌要求供货，私自更换品牌的；11.承包人不遵守发包人对施工现场的管理规定的；12.因承包人原因造成工程竣工一次性验收未达到合格标准，承包人返工仍然达不到合格标准的；13.未经发包人书面批准承包人擅自更换项目经理的；14.出现严重安全、质量事故的；15.承包人野蛮施工且不服从发包人管理的；1</w:t>
      </w:r>
      <w:r>
        <w:rPr>
          <w:rFonts w:hint="eastAsia" w:ascii="宋体" w:hAnsi="宋体" w:eastAsia="宋体" w:cs="宋体"/>
          <w:bCs/>
          <w:color w:val="000000"/>
          <w:szCs w:val="21"/>
          <w:highlight w:val="none"/>
          <w:u w:val="single"/>
        </w:rPr>
        <w:t xml:space="preserve">6.</w:t>
      </w:r>
      <w:r>
        <w:rPr>
          <w:rFonts w:hint="eastAsia" w:ascii="宋体" w:hAnsi="宋体" w:eastAsia="宋体" w:cs="宋体"/>
          <w:bCs/>
          <w:color w:val="000000"/>
          <w:szCs w:val="21"/>
          <w:highlight w:val="none"/>
          <w:u w:val="single"/>
        </w:rPr>
        <w:t xml:space="preserve">承包人未经发包人同意甩项的；1</w:t>
      </w:r>
      <w:r>
        <w:rPr>
          <w:rFonts w:hint="eastAsia" w:ascii="宋体" w:hAnsi="宋体" w:eastAsia="宋体" w:cs="宋体"/>
          <w:bCs/>
          <w:color w:val="000000"/>
          <w:szCs w:val="21"/>
          <w:highlight w:val="none"/>
          <w:u w:val="single"/>
        </w:rPr>
        <w:t xml:space="preserve">7</w:t>
      </w:r>
      <w:r>
        <w:rPr>
          <w:rFonts w:hint="eastAsia" w:ascii="宋体" w:hAnsi="宋体" w:eastAsia="宋体" w:cs="宋体"/>
          <w:bCs/>
          <w:color w:val="000000"/>
          <w:szCs w:val="21"/>
          <w:highlight w:val="none"/>
          <w:u w:val="single"/>
        </w:rPr>
        <w:t xml:space="preserve">.承包人未履行本合同中应履行的义务。</w:t>
      </w:r>
      <w:r>
        <w:rPr>
          <w:rFonts w:hint="eastAsia" w:ascii="宋体" w:hAnsi="宋体" w:eastAsia="宋体" w:cs="宋体"/>
          <w:bCs/>
          <w:color w:val="000000"/>
          <w:szCs w:val="21"/>
          <w:highlight w:val="none"/>
          <w:u w:val="singl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u w:val="single"/>
        </w:rPr>
        <w:t xml:space="preserve">承包人履行义务时所发生的费用已包含在合同价款中，如承包人未履行上述义务造成的工程、财产损失和人身伤害，由承包人承担责任及所发生的费用。</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16.2.2承包人违约的责任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承包人违约责任的承担方式和计算方法：</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详见专用合同相关条款</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16.2.3 因承包人违约解除合同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关于承包人违约解除合同的特别约定：</w:t>
      </w:r>
      <w:bookmarkStart w:id="608" w:name="_Toc351203649"/>
      <w:r>
        <w:rPr>
          <w:rFonts w:hint="eastAsia" w:ascii="宋体" w:hAnsi="宋体" w:eastAsia="宋体" w:cs="宋体"/>
          <w:bCs/>
          <w:color w:val="000000"/>
          <w:szCs w:val="21"/>
          <w:highlight w:val="none"/>
          <w:u w:val="single"/>
        </w:rPr>
        <w:t xml:space="preserve">承包人有下列情形之一的，发包人有权单方终止合同，将部分或全部合同内容另行委托有能力的施工单位，并令承包人立即退场，由此造成的一切损失由承包人负责赔偿：</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（1）因承包人原因造成工期延误30天以上的；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（2）因承包人原因造成工程竣工一次性验收未达到合格标准，承包人返工仍然达不到合格标准的；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（3）承包人转包或未经发包人同意分包的；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（4）未经发包人批准变换项目经理的；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（5）出现严重安全、质量事故的；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（6）野蛮施工且不服从发包人管理的；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（7）承包人明确表示或者以其行为表明不履行合同主要义务的；</w:t>
      </w:r>
      <w:r>
        <w:rPr>
          <w:rFonts w:hint="eastAsia" w:ascii="宋体" w:hAnsi="宋体" w:eastAsia="宋体" w:cs="宋体"/>
          <w:bCs/>
          <w:color w:val="000000"/>
          <w:szCs w:val="21"/>
          <w:highlight w:val="none"/>
          <w:u w:val="single"/>
        </w:rPr>
      </w:r>
      <w:r/>
    </w:p>
    <w:p>
      <w:pPr>
        <w:pStyle w:val="1044"/>
        <w:ind w:firstLine="420"/>
        <w:pageBreakBefore w:val="0"/>
        <w:spacing w:line="360" w:lineRule="auto"/>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（8）监理人发出整改通知后，承包人在指定的合理期限内仍不纠正违约行为并致使合同目的不能实现的。</w:t>
      </w:r>
      <w:r>
        <w:rPr>
          <w:rFonts w:hint="eastAsia" w:ascii="宋体" w:hAnsi="宋体" w:eastAsia="宋体" w:cs="宋体"/>
          <w:bCs/>
          <w:color w:val="000000"/>
          <w:szCs w:val="21"/>
          <w:highlight w:val="none"/>
          <w:u w:val="single"/>
        </w:rPr>
      </w:r>
      <w:r/>
    </w:p>
    <w:p>
      <w:pPr>
        <w:pStyle w:val="1044"/>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合同解除后，承包人应妥善做好已完工程和已购材料、设备的保护和移交工作，按发包人要求将承包人装备和人员撤出施工场地，退场所发生的费用由承包人承担。已经订货的材料设备由订货方负责退货或解除订货合同，不能退还的货款和因退货、解除订货合同发生的费用，由承包人承担，因未及时退货造成的损失由责任方承担。合同解除后，因继续完成工程的需要，发包人有权使用承包人在施工现场的材料、设备、临时工程、承包人文件和由承包人或以其名义编制的其他文件，相应费用双方协商确定。合同解除后，不影响双方在合同中约定的质量保修条款的效力。</w:t>
      </w:r>
      <w:r>
        <w:rPr>
          <w:rFonts w:hint="eastAsia" w:ascii="宋体" w:hAnsi="宋体" w:eastAsia="宋体" w:cs="宋体"/>
          <w:bCs/>
          <w:color w:val="000000"/>
          <w:szCs w:val="21"/>
          <w:highlight w:val="none"/>
          <w:u w:val="singl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Cs w:val="21"/>
          <w:highlight w:val="none"/>
          <w:u w:val="single"/>
        </w:rPr>
        <w:t xml:space="preserve">双方另行协商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如本合同不同条款就承包人的同一违约事项所约定的违约责任不一致，则发包人有权决定选择适用其中任一条款。</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Cs w:val="21"/>
          <w:highlight w:val="none"/>
          <w:u w:val="single"/>
        </w:rPr>
        <w:t xml:space="preserve">   因继续完成工程的需要，发包人有权无偿使用承包人在施工现场的材料、设备、临时工程、承包人文件和由承包人或以其名义编制的其他文件 </w:t>
      </w:r>
      <w:r>
        <w:rPr>
          <w:rFonts w:hint="eastAsia" w:ascii="宋体" w:hAnsi="宋体" w:eastAsia="宋体" w:cs="宋体"/>
          <w:color w:val="000000"/>
          <w:szCs w:val="21"/>
          <w:highlight w:val="none"/>
        </w:rPr>
        <w:t xml:space="preserve">。</w:t>
      </w:r>
      <w:bookmarkEnd w:id="607"/>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 不可抗力</w:t>
      </w:r>
      <w:bookmarkEnd w:id="608"/>
      <w:r>
        <w:rPr>
          <w:rFonts w:hint="eastAsia" w:ascii="宋体" w:hAnsi="宋体" w:eastAsia="宋体" w:cs="宋体"/>
          <w:b/>
          <w:color w:val="000000"/>
          <w:szCs w:val="21"/>
          <w:highlight w:val="none"/>
        </w:rPr>
        <w:t xml:space="preserve"> </w:t>
      </w:r>
      <w:bookmarkEnd w:id="603"/>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不可抗力的确认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除通用合同条款约定的不可抗力事件之外，视为不可抗力的其他情形：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17.4 因不可抗力解除合同</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合同解除后，发包人应在商定或确定发包人应支付款项后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60</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天内完成款项的支付。</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Start w:id="609" w:name="_Toc351203650"/>
      <w:r>
        <w:rPr>
          <w:rFonts w:hint="eastAsia" w:ascii="宋体" w:hAnsi="宋体" w:eastAsia="宋体" w:cs="宋体"/>
          <w:bCs/>
          <w:color w:val="000000"/>
          <w:szCs w:val="21"/>
          <w:highlight w:val="none"/>
        </w:rPr>
        <w:t xml:space="preserve">18. 保险</w:t>
      </w:r>
      <w:bookmarkEnd w:id="609"/>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End w:id="604"/>
      <w:r>
        <w:rPr>
          <w:rFonts w:hint="eastAsia" w:ascii="宋体" w:hAnsi="宋体" w:eastAsia="宋体" w:cs="宋体"/>
          <w:color w:val="000000"/>
          <w:szCs w:val="21"/>
          <w:highlight w:val="none"/>
        </w:rPr>
        <w:t xml:space="preserve">18.1 工程保险</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关于工程保险的特别约定：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承包人投保内容：工程一切险和第三方责任险(包括建设工程、发包人自有人员、第三人生命财产、运至施工场地内用于工程的材料和待安装设备)和按文件规定由承包人投保的内容。因承包人未及时办理保险，当发生其保险范围的事项时，导致工程及其它损失均由承包人承担。在竣工决算时，若承包人不能提供投保合同，则在工程结算审计中按不低于工程结算总造价 0.05％的比例扣除该项费用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18.3 其他保险</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承包人是否应为其施工设备等办理财产保险：</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18.7 通知义务</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关于变更保险合同时的通知义务的约定：</w:t>
      </w:r>
      <w:r>
        <w:rPr>
          <w:rFonts w:hint="eastAsia" w:ascii="宋体" w:hAnsi="宋体" w:eastAsia="宋体" w:cs="宋体"/>
          <w:color w:val="000000"/>
          <w:szCs w:val="21"/>
          <w:highlight w:val="none"/>
          <w:u w:val="single"/>
        </w:rPr>
        <w:t xml:space="preserve">执行通用合同条款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keepLines/>
        <w:keepNext/>
        <w:pageBreakBefore w:val="0"/>
        <w:spacing w:line="360" w:lineRule="auto"/>
        <w:rPr>
          <w:rFonts w:hint="eastAsia" w:ascii="宋体" w:hAnsi="宋体" w:eastAsia="宋体" w:cs="宋体"/>
          <w:bCs/>
          <w:color w:val="000000"/>
          <w:szCs w:val="21"/>
          <w:highlight w:val="none"/>
        </w:rPr>
        <w:outlineLvl w:val="3"/>
      </w:pPr>
      <w:r/>
      <w:bookmarkEnd w:id="586"/>
      <w:r/>
      <w:bookmarkEnd w:id="587"/>
      <w:r/>
      <w:bookmarkEnd w:id="588"/>
      <w:r/>
      <w:bookmarkEnd w:id="589"/>
      <w:r/>
      <w:bookmarkEnd w:id="590"/>
      <w:r/>
      <w:bookmarkEnd w:id="591"/>
      <w:r/>
      <w:bookmarkEnd w:id="592"/>
      <w:r/>
      <w:bookmarkEnd w:id="593"/>
      <w:r/>
      <w:bookmarkEnd w:id="594"/>
      <w:r/>
      <w:bookmarkEnd w:id="595"/>
      <w:r/>
      <w:bookmarkEnd w:id="597"/>
      <w:r/>
      <w:bookmarkEnd w:id="598"/>
      <w:r/>
      <w:bookmarkStart w:id="610" w:name="_Toc351203651"/>
      <w:r>
        <w:rPr>
          <w:rFonts w:hint="eastAsia" w:ascii="宋体" w:hAnsi="宋体" w:eastAsia="宋体" w:cs="宋体"/>
          <w:bCs/>
          <w:color w:val="000000"/>
          <w:szCs w:val="21"/>
          <w:highlight w:val="none"/>
        </w:rPr>
        <w:t xml:space="preserve">20. 争议解决</w:t>
      </w:r>
      <w:bookmarkEnd w:id="610"/>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bookmarkEnd w:id="600"/>
      <w:r/>
      <w:bookmarkEnd w:id="601"/>
      <w:r>
        <w:rPr>
          <w:rFonts w:hint="eastAsia" w:ascii="宋体" w:hAnsi="宋体" w:eastAsia="宋体" w:cs="宋体"/>
          <w:color w:val="000000"/>
          <w:szCs w:val="21"/>
          <w:highlight w:val="none"/>
        </w:rPr>
        <w:t xml:space="preserve">20.3 争</w:t>
      </w:r>
      <w:bookmarkEnd w:id="580"/>
      <w:r>
        <w:rPr>
          <w:rFonts w:hint="eastAsia" w:ascii="宋体" w:hAnsi="宋体" w:eastAsia="宋体" w:cs="宋体"/>
          <w:color w:val="000000"/>
          <w:szCs w:val="21"/>
          <w:highlight w:val="none"/>
        </w:rPr>
        <w:t xml:space="preserve">议评审</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合同当事人是否同意将工程争议提交争议评审小组决定：</w:t>
      </w:r>
      <w:r>
        <w:rPr>
          <w:rFonts w:hint="eastAsia" w:ascii="宋体" w:hAnsi="宋体" w:eastAsia="宋体" w:cs="宋体"/>
          <w:color w:val="000000"/>
          <w:szCs w:val="21"/>
          <w:highlight w:val="none"/>
          <w:u w:val="single"/>
        </w:rPr>
        <w:t xml:space="preserve">按通用条款执行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20.3.1 争议评审小组的确定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争议评审小组成员的确定：</w:t>
      </w:r>
      <w:r>
        <w:rPr>
          <w:rFonts w:hint="eastAsia" w:ascii="宋体" w:hAnsi="宋体" w:eastAsia="宋体" w:cs="宋体"/>
          <w:color w:val="000000"/>
          <w:szCs w:val="21"/>
          <w:highlight w:val="none"/>
          <w:u w:val="single"/>
        </w:rPr>
        <w:t xml:space="preserve">      另行商定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选定争议评审员的期限：</w:t>
      </w:r>
      <w:r>
        <w:rPr>
          <w:rFonts w:hint="eastAsia" w:ascii="宋体" w:hAnsi="宋体" w:eastAsia="宋体" w:cs="宋体"/>
          <w:color w:val="000000"/>
          <w:szCs w:val="21"/>
          <w:highlight w:val="none"/>
          <w:u w:val="single"/>
        </w:rPr>
        <w:t xml:space="preserve">        另行商定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争议评审小组成员的报酬承担方式：</w:t>
      </w:r>
      <w:r>
        <w:rPr>
          <w:rFonts w:hint="eastAsia" w:ascii="宋体" w:hAnsi="宋体" w:eastAsia="宋体" w:cs="宋体"/>
          <w:color w:val="000000"/>
          <w:szCs w:val="21"/>
          <w:highlight w:val="none"/>
          <w:u w:val="single"/>
        </w:rPr>
        <w:t xml:space="preserve">  另行商定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其他事项的约定：</w:t>
      </w:r>
      <w:r>
        <w:rPr>
          <w:rFonts w:hint="eastAsia" w:ascii="宋体" w:hAnsi="宋体" w:eastAsia="宋体" w:cs="宋体"/>
          <w:color w:val="000000"/>
          <w:szCs w:val="21"/>
          <w:highlight w:val="none"/>
          <w:u w:val="single"/>
        </w:rPr>
        <w:t xml:space="preserve">    请建设行政主管部门调解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20.3.2 争议评审小组的决定</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合同当事人关于本项的约定：</w:t>
      </w:r>
      <w:r>
        <w:rPr>
          <w:rFonts w:hint="eastAsia" w:ascii="宋体" w:hAnsi="宋体" w:eastAsia="宋体" w:cs="宋体"/>
          <w:color w:val="000000"/>
          <w:szCs w:val="21"/>
          <w:highlight w:val="none"/>
          <w:u w:val="single"/>
        </w:rPr>
        <w:t xml:space="preserve">     另行商定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20.4仲裁或诉讼</w:t>
      </w:r>
      <w:bookmarkEnd w:id="584"/>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种方式解决：</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（1）向</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仲裁委员会申请仲裁；</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  苏州市相城区  </w:t>
      </w:r>
      <w:r>
        <w:rPr>
          <w:rFonts w:hint="eastAsia" w:ascii="宋体" w:hAnsi="宋体" w:eastAsia="宋体" w:cs="宋体"/>
          <w:color w:val="000000"/>
          <w:szCs w:val="21"/>
          <w:highlight w:val="none"/>
        </w:rPr>
        <w:t xml:space="preserve">人民法院起诉。</w:t>
      </w:r>
      <w:bookmarkEnd w:id="581"/>
      <w:r/>
      <w:bookmarkEnd w:id="582"/>
      <w:r/>
      <w:bookmarkEnd w:id="583"/>
      <w:r/>
      <w:bookmarkEnd w:id="585"/>
      <w:r/>
      <w:bookmarkEnd w:id="596"/>
      <w:r/>
      <w:bookmarkEnd w:id="599"/>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补充条款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一、合同专用条款第3.1条承包人一般义务补充：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按法律规定和合同约定完成工程，并在保修期内承担保修义务；</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承包人应严格落实安全文明施工，如工程实施期间国家、省、市有新的安全文明施工要求的，承包人应无条件执行。</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承包人应根据工程进度计划的要求编制详细的施工组织设计、专项施工方案、见证取样送检方案等，对施工作业和施工方法的完备性和可靠性负责。</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占用或使用他人的施工场地，影响他人作业或生活的，应承担相应责任。己竣工工程未交付发包人之前，承包人必须保护施工现场周围道路、路灯、绿化等市政设施，因承包人原因造成损坏的由承包人修复，承包人收到通知后两天内不予修复的，发包人可委托第三方修复，发包人可凭第三方发票扣除相同金额的工程进度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按照通用条款第6.3款【环境保护】约定负责施工场地及其周边环境与生态的保护工作；</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按通用条款第6.1款【安全文明施工】约定采取施工安全措施，确保工程及其人员、材料、设备和设施的安全，防止因工程施工造成的人身伤害和财产损失。</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TW"/>
        </w:rPr>
        <w:t xml:space="preserve">合同专用条款第</w:t>
      </w:r>
      <w:r>
        <w:rPr>
          <w:rFonts w:hint="eastAsia" w:ascii="宋体" w:hAnsi="宋体" w:eastAsia="宋体" w:cs="宋体"/>
          <w:color w:val="000000"/>
          <w:szCs w:val="21"/>
          <w:highlight w:val="none"/>
        </w:rPr>
        <w:t xml:space="preserve">6.1</w:t>
      </w:r>
      <w:r>
        <w:rPr>
          <w:rFonts w:hint="eastAsia" w:ascii="宋体" w:hAnsi="宋体" w:eastAsia="宋体" w:cs="宋体"/>
          <w:color w:val="000000"/>
          <w:szCs w:val="21"/>
          <w:highlight w:val="none"/>
          <w:lang w:val="zh-TW"/>
        </w:rPr>
        <w:t xml:space="preserve">条补充：</w:t>
      </w:r>
      <w:r>
        <w:rPr>
          <w:rFonts w:hint="eastAsia" w:ascii="宋体" w:hAnsi="宋体" w:eastAsia="宋体" w:cs="宋体"/>
          <w:color w:val="000000"/>
          <w:szCs w:val="21"/>
          <w:highlight w:val="none"/>
        </w:rPr>
        <w:t xml:space="preserve">6. 1.3</w:t>
      </w:r>
      <w:r>
        <w:rPr>
          <w:rFonts w:hint="eastAsia" w:ascii="宋体" w:hAnsi="宋体" w:eastAsia="宋体" w:cs="宋体"/>
          <w:color w:val="000000"/>
          <w:szCs w:val="21"/>
          <w:highlight w:val="none"/>
          <w:lang w:val="zh-TW"/>
        </w:rPr>
        <w:t xml:space="preserve">特别安全生产事项</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其他安全施工事项：承包人除按照通用合同条款第</w:t>
      </w:r>
      <w:r>
        <w:rPr>
          <w:rFonts w:hint="eastAsia" w:ascii="宋体" w:hAnsi="宋体" w:eastAsia="宋体" w:cs="宋体"/>
          <w:color w:val="000000"/>
          <w:szCs w:val="21"/>
          <w:highlight w:val="none"/>
        </w:rPr>
        <w:t xml:space="preserve">6.1.3</w:t>
      </w:r>
      <w:r>
        <w:rPr>
          <w:rFonts w:hint="eastAsia" w:ascii="宋体" w:hAnsi="宋体" w:eastAsia="宋体" w:cs="宋体"/>
          <w:color w:val="000000"/>
          <w:szCs w:val="21"/>
          <w:highlight w:val="none"/>
          <w:lang w:val="zh-TW"/>
        </w:rPr>
        <w:t xml:space="preserve">条内容要求实施外，还应满足如下 要求：</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TW"/>
        </w:rPr>
        <w:t xml:space="preserve">承包人负责组织需要通过专家论证确定的专项方案。专家论证会议费用（包括但不限于会议费、专家补助费、住宿费、往返交通费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TW"/>
        </w:rPr>
        <w:t xml:space="preserve">均应含在合同价款中。</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TW"/>
        </w:rPr>
        <w:t xml:space="preserve">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（3）承包人在雨天、雾天、大风等不良天气时，不得在地块内的高压电力线路保护区内进行施工，其它时间在此区域施工也要做好相应的防护，否则由此引起的一切责任由承包人承担。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TW"/>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三、合同专用条款第14.2条竣工结算审核补充：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（1）本项目工程竣工决算以审计结果为准。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竣工后90天内，施工单位须将制作整理的竣工结算材料送审计。如因施工单位原因导致逾期送审，中标金额低于400万的项目，每逾期一天扣除1000元，最高不超过伍万元整；中标金额超过400万(含)的项目，每逾期一天扣除2000元，最高不超过壹拾万元整。</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TW"/>
        </w:rPr>
        <w:t xml:space="preserve">项目结（决)算以审计后的书面结论为准，工程结算价款以其审计结论作为结算依据。</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b/>
          <w:color w:val="000000"/>
          <w:szCs w:val="21"/>
          <w:highlight w:val="none"/>
          <w:lang w:val="zh-TW"/>
        </w:rPr>
      </w:pPr>
      <w:r>
        <w:rPr>
          <w:rFonts w:hint="eastAsia" w:ascii="宋体" w:hAnsi="宋体" w:eastAsia="宋体" w:cs="宋体"/>
          <w:color w:val="000000"/>
          <w:szCs w:val="21"/>
          <w:highlight w:val="none"/>
        </w:rPr>
        <w:t xml:space="preserve">（4）施工单位在编制工程结（决）算时要求做到真实、准确、严肃，不得故意抬高结（决）算价。如工程结（决）算审计净核减金额超过总价的7%，则超过7%部分的核减造价按4%计算费用（因漏项引起的核增造价不得抵冲，核增造价、增补送审按该按部分审定金额5%计算费用），由施工单位承担，上述费用作为承包人的让利，由审计机构在审定工程总造价中直接扣除。</w:t>
      </w:r>
      <w:r>
        <w:rPr>
          <w:rFonts w:hint="eastAsia" w:ascii="宋体" w:hAnsi="宋体" w:eastAsia="宋体" w:cs="宋体"/>
          <w:b/>
          <w:color w:val="000000"/>
          <w:szCs w:val="21"/>
          <w:highlight w:val="none"/>
          <w:lang w:val="zh-TW"/>
        </w:rPr>
      </w:r>
      <w:r/>
    </w:p>
    <w:p>
      <w:pPr>
        <w:pStyle w:val="1044"/>
        <w:ind w:left="63" w:right="63"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承包人在编制结算时要求做到真实、准确、严肃，不得故意抬高结算价。工程竣工结算审计核减率超过10%（不含10%），由审计机构按以下表格扣除超额核减费，作为承包人让利在审定总价中扣除：</w:t>
      </w:r>
      <w:r>
        <w:rPr>
          <w:rFonts w:hint="eastAsia" w:ascii="宋体" w:hAnsi="宋体" w:eastAsia="宋体" w:cs="宋体"/>
          <w:color w:val="000000"/>
          <w:szCs w:val="21"/>
          <w:highlight w:val="none"/>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977"/>
        <w:gridCol w:w="2835"/>
        <w:gridCol w:w="1131"/>
      </w:tblGrid>
      <w:tr>
        <w:trPr>
          <w:trHeight w:val="843"/>
        </w:trPr>
        <w:tc>
          <w:tcPr>
            <w:tcW w:w="2093"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r>
            <w:r/>
          </w:p>
        </w:tc>
        <w:tc>
          <w:tcPr>
            <w:tcW w:w="2977"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审计核减率在10%至15%</w:t>
            </w:r>
            <w:r>
              <w:rPr>
                <w:rFonts w:hint="eastAsia" w:ascii="宋体" w:hAnsi="宋体" w:eastAsia="宋体" w:cs="宋体"/>
                <w:color w:val="000000"/>
                <w:spacing w:val="7"/>
                <w:szCs w:val="21"/>
                <w:highlight w:val="none"/>
              </w:rPr>
            </w:r>
            <w:r/>
          </w:p>
        </w:tc>
        <w:tc>
          <w:tcPr>
            <w:tcW w:w="2835"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审计核减率在15%以上</w:t>
            </w:r>
            <w:r>
              <w:rPr>
                <w:rFonts w:hint="eastAsia" w:ascii="宋体" w:hAnsi="宋体" w:eastAsia="宋体" w:cs="宋体"/>
                <w:color w:val="000000"/>
                <w:spacing w:val="7"/>
                <w:szCs w:val="21"/>
                <w:highlight w:val="none"/>
              </w:rPr>
            </w:r>
            <w:r/>
          </w:p>
        </w:tc>
        <w:tc>
          <w:tcPr>
            <w:tcW w:w="1131"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备注</w:t>
            </w:r>
            <w:r>
              <w:rPr>
                <w:rFonts w:hint="eastAsia" w:ascii="宋体" w:hAnsi="宋体" w:eastAsia="宋体" w:cs="宋体"/>
                <w:color w:val="000000"/>
                <w:spacing w:val="7"/>
                <w:szCs w:val="21"/>
                <w:highlight w:val="none"/>
              </w:rPr>
            </w:r>
            <w:r/>
          </w:p>
        </w:tc>
      </w:tr>
      <w:tr>
        <w:trPr>
          <w:trHeight w:val="754"/>
        </w:trPr>
        <w:tc>
          <w:tcPr>
            <w:tcW w:w="2093"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区间核减造价再次下浮率</w:t>
            </w:r>
            <w:r>
              <w:rPr>
                <w:rFonts w:hint="eastAsia" w:ascii="宋体" w:hAnsi="宋体" w:eastAsia="宋体" w:cs="宋体"/>
                <w:color w:val="000000"/>
                <w:spacing w:val="7"/>
                <w:szCs w:val="21"/>
                <w:highlight w:val="none"/>
              </w:rPr>
            </w:r>
            <w:r/>
          </w:p>
        </w:tc>
        <w:tc>
          <w:tcPr>
            <w:tcW w:w="2977"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2%</w:t>
            </w:r>
            <w:r>
              <w:rPr>
                <w:rFonts w:hint="eastAsia" w:ascii="宋体" w:hAnsi="宋体" w:eastAsia="宋体" w:cs="宋体"/>
                <w:color w:val="000000"/>
                <w:spacing w:val="7"/>
                <w:szCs w:val="21"/>
                <w:highlight w:val="none"/>
              </w:rPr>
            </w:r>
            <w:r/>
          </w:p>
        </w:tc>
        <w:tc>
          <w:tcPr>
            <w:tcW w:w="2835"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t xml:space="preserve">4%</w:t>
            </w:r>
            <w:r>
              <w:rPr>
                <w:rFonts w:hint="eastAsia" w:ascii="宋体" w:hAnsi="宋体" w:eastAsia="宋体" w:cs="宋体"/>
                <w:color w:val="000000"/>
                <w:spacing w:val="7"/>
                <w:szCs w:val="21"/>
                <w:highlight w:val="none"/>
              </w:rPr>
            </w:r>
            <w:r/>
          </w:p>
        </w:tc>
        <w:tc>
          <w:tcPr>
            <w:tcW w:w="1131" w:type="dxa"/>
            <w:vAlign w:val="center"/>
            <w:textDirection w:val="lrTb"/>
            <w:noWrap w:val="false"/>
          </w:tcPr>
          <w:p>
            <w:pPr>
              <w:pStyle w:val="1044"/>
              <w:ind w:left="63" w:right="63"/>
              <w:jc w:val="center"/>
              <w:pageBreakBefore w:val="0"/>
              <w:spacing w:line="360" w:lineRule="auto"/>
              <w:rPr>
                <w:rFonts w:hint="eastAsia" w:ascii="宋体" w:hAnsi="宋体" w:eastAsia="宋体" w:cs="宋体"/>
                <w:color w:val="000000"/>
                <w:spacing w:val="7"/>
                <w:szCs w:val="21"/>
                <w:highlight w:val="none"/>
              </w:rPr>
            </w:pPr>
            <w:r>
              <w:rPr>
                <w:rFonts w:hint="eastAsia" w:ascii="宋体" w:hAnsi="宋体" w:eastAsia="宋体" w:cs="宋体"/>
                <w:color w:val="000000"/>
                <w:spacing w:val="7"/>
                <w:szCs w:val="21"/>
                <w:highlight w:val="none"/>
              </w:rPr>
            </w:r>
            <w:r/>
          </w:p>
        </w:tc>
      </w:tr>
    </w:tbl>
    <w:p>
      <w:pPr>
        <w:pStyle w:val="1044"/>
        <w:ind w:left="63" w:right="63"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超额核减费计算说明：</w:t>
      </w:r>
      <w:r>
        <w:rPr>
          <w:rFonts w:hint="eastAsia" w:ascii="宋体" w:hAnsi="宋体" w:eastAsia="宋体" w:cs="宋体"/>
          <w:color w:val="000000"/>
          <w:szCs w:val="21"/>
          <w:highlight w:val="none"/>
        </w:rPr>
      </w:r>
      <w:r/>
    </w:p>
    <w:p>
      <w:pPr>
        <w:pStyle w:val="1044"/>
        <w:ind w:left="63" w:right="63"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如送审金额1000万元，核减率18%的超额核减费为：</w:t>
      </w:r>
      <w:r>
        <w:rPr>
          <w:rFonts w:hint="eastAsia" w:ascii="宋体" w:hAnsi="宋体" w:eastAsia="宋体" w:cs="宋体"/>
          <w:color w:val="000000"/>
          <w:szCs w:val="21"/>
          <w:highlight w:val="none"/>
        </w:rPr>
      </w:r>
      <w:r/>
    </w:p>
    <w:p>
      <w:pPr>
        <w:pStyle w:val="1044"/>
        <w:ind w:left="63" w:right="63"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1000*（15%-10%）*2%+1000*（18%-15%）*4%=2.2万元。</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TW"/>
        </w:rPr>
        <w:t xml:space="preserve">本工程严格按苏州市相城区相关审计文件规定实施，由于</w:t>
      </w:r>
      <w:r>
        <w:rPr>
          <w:rFonts w:hint="eastAsia" w:ascii="宋体" w:hAnsi="宋体" w:eastAsia="宋体" w:cs="宋体"/>
          <w:color w:val="000000"/>
          <w:szCs w:val="21"/>
          <w:highlight w:val="none"/>
        </w:rPr>
        <w:t xml:space="preserve">承包人</w:t>
      </w:r>
      <w:r>
        <w:rPr>
          <w:rFonts w:hint="eastAsia" w:ascii="宋体" w:hAnsi="宋体" w:eastAsia="宋体" w:cs="宋体"/>
          <w:color w:val="000000"/>
          <w:szCs w:val="21"/>
          <w:highlight w:val="none"/>
          <w:lang w:val="zh-TW"/>
        </w:rPr>
        <w:t xml:space="preserve">提供的竣工结算文件资料不全，或相关的变更和验收资料等程序不规范、手续不完善等原因，导致相关分项工程造价事后认定困难的，</w:t>
      </w:r>
      <w:r>
        <w:rPr>
          <w:rFonts w:hint="eastAsia" w:ascii="宋体" w:hAnsi="宋体" w:eastAsia="宋体" w:cs="宋体"/>
          <w:color w:val="000000"/>
          <w:szCs w:val="21"/>
          <w:highlight w:val="none"/>
        </w:rPr>
        <w:t xml:space="preserve">承包人</w:t>
      </w:r>
      <w:r>
        <w:rPr>
          <w:rFonts w:hint="eastAsia" w:ascii="宋体" w:hAnsi="宋体" w:eastAsia="宋体" w:cs="宋体"/>
          <w:color w:val="000000"/>
          <w:szCs w:val="21"/>
          <w:highlight w:val="none"/>
          <w:lang w:val="zh-TW"/>
        </w:rPr>
        <w:t xml:space="preserve">应承担相应责任。</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（6）本工程的变更备案手续</w:t>
      </w:r>
      <w:r>
        <w:rPr>
          <w:rFonts w:hint="eastAsia" w:ascii="宋体" w:hAnsi="宋体" w:eastAsia="宋体" w:cs="宋体"/>
          <w:color w:val="000000"/>
          <w:szCs w:val="21"/>
          <w:highlight w:val="none"/>
          <w:lang w:val="zh-TW"/>
        </w:rPr>
        <w:t xml:space="preserve">按苏州市相城区最新文件相关规定，未经备案的变更、材料在进度款中不予以支付、竣工结算审计时不予以认可。项目定案前，审计初步结果或审计报告征求意见稿送达甲、乙双方后，双方应于十日内向苏州市审计职能部门提出具体详细的书面意见，并配合对账。如果在规定期限内没有提出书面意见，视为无意见。</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五、</w:t>
      </w:r>
      <w:r>
        <w:rPr>
          <w:rFonts w:hint="eastAsia" w:ascii="宋体" w:hAnsi="宋体" w:eastAsia="宋体" w:cs="宋体"/>
          <w:color w:val="000000"/>
          <w:szCs w:val="21"/>
          <w:highlight w:val="none"/>
          <w:lang w:val="zh-TW"/>
        </w:rPr>
        <w:t xml:space="preserve">合同专用条款第18条保险补充：</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承包人应在申请第一笔工程款项时向发包人提供承包人为履行合同的全部员工办理的工伤保险、以及分包人及承包人为履行合同聘请的第三方的工伤保险、第三方人员（包括发包人聘请的第三方人员）意外伤害保险、承包人施工现场全部人员意外伤害保险、施工设备财产保险等保险的相关材料文件。</w:t>
      </w:r>
      <w:r>
        <w:rPr>
          <w:rFonts w:hint="eastAsia" w:ascii="宋体" w:hAnsi="宋体" w:eastAsia="宋体" w:cs="宋体"/>
          <w:color w:val="000000"/>
          <w:szCs w:val="21"/>
          <w:highlight w:val="none"/>
          <w:lang w:val="zh-TW"/>
        </w:rPr>
      </w:r>
      <w:r/>
    </w:p>
    <w:p>
      <w:pPr>
        <w:pStyle w:val="1044"/>
        <w:ind w:left="60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六、工程建设管理其他要求：</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本工程设计的危险性较大分部分项工程清单包括但不限于：模板工程及支撑、起重吊装及起重机械安装拆卸工程、脚手架工程等工程，上述描述不全的由承包人应自行补充，并按照住建部发布的《危险性较大的分部分项工程安全管理规定》明确所有危大工程的安全管理措施。</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施工监控：施工期间，监控除满足质量监督站等行政主管部门规定外，必须在主要出入口、重要施工区域等进行监控覆盖。监控方案需报发包人审核，按发包人审核确定的监控方案设置。</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TW"/>
        </w:rPr>
        <w:t xml:space="preserve">承包人必须按要求安装“建管通”，费用由承包人综合考虑并计入</w:t>
      </w:r>
      <w:r>
        <w:rPr>
          <w:rFonts w:hint="eastAsia" w:ascii="宋体" w:hAnsi="宋体" w:eastAsia="宋体" w:cs="宋体"/>
          <w:color w:val="000000"/>
          <w:szCs w:val="21"/>
          <w:highlight w:val="none"/>
        </w:rPr>
        <w:t xml:space="preserve">投标报价中。</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七、</w:t>
      </w:r>
      <w:r>
        <w:rPr>
          <w:rFonts w:hint="eastAsia" w:ascii="宋体" w:hAnsi="宋体" w:eastAsia="宋体" w:cs="宋体"/>
          <w:color w:val="000000"/>
          <w:szCs w:val="21"/>
          <w:highlight w:val="none"/>
          <w:lang w:val="zh-TW"/>
        </w:rPr>
        <w:t xml:space="preserve">根据《2018年苏州市建筑领域治欠保支工作要点》要求，项目现场必须安装实名制管理系统。</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八、</w:t>
      </w:r>
      <w:r>
        <w:rPr>
          <w:rFonts w:hint="eastAsia" w:ascii="宋体" w:hAnsi="宋体" w:eastAsia="宋体" w:cs="宋体"/>
          <w:color w:val="000000"/>
          <w:szCs w:val="21"/>
          <w:highlight w:val="none"/>
          <w:lang w:val="zh-TW"/>
        </w:rPr>
        <w:t xml:space="preserve">发包人所规定使用的品牌见附表，承包人施工时必须使用发包人推荐的品牌。承包人可自行任选其中一款品牌，实施时除非发包人同意不得更换品牌。</w:t>
      </w:r>
      <w:r>
        <w:rPr>
          <w:rFonts w:hint="eastAsia" w:ascii="宋体" w:hAnsi="宋体" w:eastAsia="宋体" w:cs="宋体"/>
          <w:color w:val="000000"/>
          <w:szCs w:val="21"/>
          <w:highlight w:val="none"/>
          <w:lang w:val="zh-TW"/>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九、招标文件及相应答疑文件是合同的有效组成部分。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总工期中包括整个工程各承包人之间交叉施工中可能产生的工期损失。当承包人与进入现场的发包人的其它承包人发生冲突时，应无条件服从现场监理和发包人协调；承包人应在报价中考虑与发包人的其它承包人交叉施工的因素，由于第三方因素对工程造成的工期延误及相关损失而引起的索赔费用将不予考虑。</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十一、（1）施工用水用电费用：费用自行考虑在合同价款中，结算不做调整。（2）场内外道路：施工便道设置各承包人自行解决，施工完成后恢复原状，费用在合同价款中考虑。</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十二、施工过程中如因质量、文明、安全或环境保护以及其它问题而遭受环保、建设、城管或其它行政管理部门批评或开具处罚通知单，每发生一次，承包人除立即整改外，承包人向发包人还应支付2000 元/次的违约金，发包人有权在应支付的工程款中直接予以扣除。</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三、承包人因拖欠货款、工程款、农民工工资等而使其直接向发包人追索价款或到发包人处、政府滋生事端的，承包人应向发包人支付10000元/次违约金，发包人有权动用发包人应付承包人的任何款项支付货款、工程款或农民工工资。</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四、承包人出现拖欠工资等债务纠纷或在现场产生公害等不正当行为，给发包人造成不便或影响相城区公众形象的事件，则每出现一次上述情况，除第十五条处罚外，承包人还应向发包人支付人民币5000元的违约金。若违约金无法弥补发包人的损失，承包人应赔偿发包人的经济损失，即使这种不正当行为或违约是在工程竣工之后发现。</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十五、施工过程中对于工程师提出的质量、文明、安全或环境保护的整改要求，承包人 24 小时内未进行整改或整改后仍然无法满足要求时，每发生一次，承包人应向发包人支付人民币2000元的违约金。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十</w:t>
      </w:r>
      <w:r>
        <w:rPr>
          <w:rFonts w:hint="eastAsia" w:ascii="宋体" w:hAnsi="宋体" w:eastAsia="宋体" w:cs="宋体"/>
          <w:color w:val="000000"/>
          <w:szCs w:val="21"/>
          <w:highlight w:val="none"/>
        </w:rPr>
        <w:t xml:space="preserve">六</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t xml:space="preserve">承包人不按照发包人提供的施工图纸施工，属违约行为，发包人可以要求施工方承担以下责任：</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（1）返工责任：由于不按照施工图纸施工引起的返工由施工单位负全部责任，损失由施工单位承担。</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（2）修改设计图：由于施工单位不按图施工，如果无法返工只能修改施工图时，修改施工图所需的设计、图纸修改和审查等的全部费用由施工单位承担。</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（3）延期交付责任：由此引起的项目延期交付使用造成的全部损失由施工单位承担。</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（4）其他责任：由于不按图施工导致的降低质量标准、或者超出规划面积引起的罚款等损失由施工单位承担。</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（5）施工单位不按图施工除要求整改到位外，扣除相应的分部分项的工程造价的10%作为违约金，待施工单位整改到位后方可申请工程竣工验收。</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bookmarkStart w:id="611" w:name="_Hlk157090775"/>
      <w:r>
        <w:rPr>
          <w:rFonts w:hint="eastAsia" w:ascii="宋体" w:hAnsi="宋体" w:eastAsia="宋体" w:cs="宋体"/>
          <w:color w:val="000000"/>
          <w:szCs w:val="21"/>
          <w:highlight w:val="none"/>
        </w:rPr>
        <w:t xml:space="preserve">十</w:t>
      </w:r>
      <w:r>
        <w:rPr>
          <w:rFonts w:hint="eastAsia" w:ascii="宋体" w:hAnsi="宋体" w:eastAsia="宋体" w:cs="宋体"/>
          <w:b/>
          <w:color w:val="000000"/>
          <w:szCs w:val="21"/>
          <w:highlight w:val="none"/>
        </w:rPr>
        <w:t xml:space="preserve">七</w:t>
      </w:r>
      <w:r>
        <w:rPr>
          <w:rFonts w:hint="eastAsia" w:ascii="宋体" w:hAnsi="宋体" w:eastAsia="宋体" w:cs="宋体"/>
          <w:color w:val="000000"/>
          <w:szCs w:val="21"/>
          <w:highlight w:val="none"/>
        </w:rPr>
        <w:t xml:space="preserve">、工地上的生活污水及废水应排入公共污水管网。临时排污须由承包商负责接通至市政污水主井，并向相关部门报批开通，与主管部门协同安排与公共污水管网联网的问题并支付与此有关的费用与维护费。承包商必须对其中所发生的损坏负责并保障发包人不承担有关污水管网连接中的一切责任。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八、废料处理：工程完工后必须做到工完场清，工程的拆除废料、剩余土方不得在现场或相城区其他地方任意丢弃，均按外运考虑。如承包人不清理或清理不干净，发包人有权委托其它单位或个人清理，所产生的一切费用由承包人负责，发包人在工程款结算时在承包人的工程款中按所发生的费用双倍扣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十九、所有发包人向承包人收取的违约金或承包人向发包人支付的违约金，无需承包人同意，发包人将直接从承包人工程款中扣除</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由于承包人原因造成工程存在潜在质量不利因素，从而造成工程在合理使用期内发生重大质量缺陷而影响工程使用，由承包人承担无限期返修至合格工程责任。在此期间，如存在发包人应付承包人而未付的任何款项 ，发包人有权动用该款项用于工程维修至合格状态。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二十一、消火栓保护：在施工期间，承包人不得擅自开启或破坏消火栓。否则承包人除接受消火栓管理单位罚款外，承包人按500元/次作为违约金无条件支付给发包人。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二、对实施后无法进行复核的变更（如拆除、垃圾清运等）,承包人必须留下可证明相应工作量的影像资料，结算时如无影像资料或提供资料无法反映相应的工作量，结算审核时有权按照有利于发包人权利进行处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二十三、本工程系公开招标项目</w:t>
      </w:r>
      <w:bookmarkEnd w:id="611"/>
      <w:r>
        <w:rPr>
          <w:rFonts w:hint="eastAsia" w:ascii="宋体" w:hAnsi="宋体" w:eastAsia="宋体" w:cs="宋体"/>
          <w:color w:val="000000"/>
          <w:szCs w:val="21"/>
          <w:highlight w:val="none"/>
        </w:rPr>
        <w:t xml:space="preserve">，招标文件的所有内容，是本合同必须遵守之条款，除合同以外的其他书面文件产生与招标文件相悖的内容，招标文件的有关条款将得到优先执行。招标文件的有关条款和合同条款不一致的，以合同条款为准。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二十四、对于覆盖前的隐蔽工程，应提前书面通知监理人及发包人，经检查合格办理隐蔽工程验收手续后，隐蔽工程方可覆盖。未办理验收手续的隐蔽工程，发包人不予认可。</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二十五、承包人需在合同签订后</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日历天内提供材料计划报发包人确认主要材料、设备等的品牌、规格及型号。</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（1）所有品牌均要求原厂生产，拒绝采用副厂、代工厂贴牌的材料、设备；</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（2）可以直接购买的材料、设备等，经发包人确认同意后，承包人方可安排进场；</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（3）根据本项目实际使用需求进行定制的，报发包人确认同意后方可安排定制生产，承包人需预留合理的报发包人审核确认的时间；</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承包人使用的材料设备为副厂、代工厂贴牌的或承包人未经发包人同意自行安排进场的或承包人未经发包人同意自行安排定制生产的，发包人有权要求承包人将未经确认的材料、设备等搬离施工现场，更换、返工造成的全部经济损失和工期延误由承包人自行承担，发包人不支付相关费用且不承担违约责任及赔偿责任，发包人还应按不符合要求的材料、设备金额的2倍对承包人进行处罚，费用直接在总承包费用中扣除，因材料、设备等的品牌、规格及型号不符合发包人要求而造成的工期延误，由承包人承担，延误赔偿金额详见</w:t>
      </w:r>
      <w:r>
        <w:rPr>
          <w:rFonts w:hint="eastAsia" w:ascii="宋体" w:hAnsi="宋体" w:eastAsia="宋体" w:cs="宋体"/>
          <w:color w:val="000000"/>
          <w:szCs w:val="21"/>
          <w:highlight w:val="none"/>
        </w:rPr>
        <w:t xml:space="preserve">7.5.2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二十</w:t>
      </w:r>
      <w:r>
        <w:rPr>
          <w:rFonts w:hint="eastAsia" w:ascii="宋体" w:hAnsi="宋体" w:eastAsia="宋体" w:cs="宋体"/>
          <w:color w:val="000000"/>
          <w:szCs w:val="21"/>
          <w:highlight w:val="none"/>
        </w:rPr>
        <w:t xml:space="preserve">六</w:t>
      </w:r>
      <w:r>
        <w:rPr>
          <w:rFonts w:hint="eastAsia" w:ascii="宋体" w:hAnsi="宋体" w:eastAsia="宋体" w:cs="宋体"/>
          <w:bCs/>
          <w:color w:val="000000"/>
          <w:szCs w:val="21"/>
          <w:highlight w:val="none"/>
        </w:rPr>
        <w:t xml:space="preserve">、关于工程变更备案的其他约定：承包人不配合发包人要求及时完成工程变更备案手续的，经发包人催促依然不配合按时完成相关手续的，发包人有权不支付相应工程款。</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工程变更申请书及其他资料，需做到月结月清，未做到月结月清的，承包人需每月支付2000元违约金给发包人，违约金直接在工程款中扣除。</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w:t>
      </w:r>
      <w:r>
        <w:rPr>
          <w:rFonts w:hint="eastAsia" w:ascii="宋体" w:hAnsi="宋体" w:eastAsia="宋体" w:cs="宋体"/>
          <w:bCs/>
          <w:color w:val="000000"/>
          <w:szCs w:val="21"/>
          <w:highlight w:val="none"/>
        </w:rPr>
        <w:t xml:space="preserve">七</w:t>
      </w:r>
      <w:r>
        <w:rPr>
          <w:rFonts w:hint="eastAsia" w:ascii="宋体" w:hAnsi="宋体" w:eastAsia="宋体" w:cs="宋体"/>
          <w:color w:val="000000"/>
          <w:szCs w:val="21"/>
          <w:highlight w:val="none"/>
        </w:rPr>
        <w:t xml:space="preserve">、承包人应在合同签订后一个月内完成所有招标图纸对应的工程量计算，发现有工程量计算错误或者清单漏项的，及时通知发包人，发包人组织清标工作。承包人未在一个月内提出工程量计算错误或者清单漏项的，发包人不再组织清标工作，默认为该部分的费用已含在合同价内，由此造成的损失由承包人承担。</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w:t>
      </w:r>
      <w:r>
        <w:rPr>
          <w:rFonts w:hint="eastAsia" w:ascii="宋体" w:hAnsi="宋体" w:eastAsia="宋体" w:cs="宋体"/>
          <w:bCs/>
          <w:color w:val="000000"/>
          <w:szCs w:val="21"/>
          <w:highlight w:val="none"/>
        </w:rPr>
        <w:t xml:space="preserve">八</w:t>
      </w:r>
      <w:r>
        <w:rPr>
          <w:rFonts w:hint="eastAsia" w:ascii="宋体" w:hAnsi="宋体" w:eastAsia="宋体" w:cs="宋体"/>
          <w:color w:val="000000"/>
          <w:szCs w:val="21"/>
          <w:highlight w:val="none"/>
        </w:rPr>
        <w:t xml:space="preserve">、未经发包人同意，承包人不得以任何理由甩项。承包人私自甩项的，承包人需支付甩项费用同等金额的违约金给发包人，该违约金在结算审计时扣除。</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二十九、发包人支付工程款的方式为银行转账或数字人民币或电子银行承兑汇票，无论发包人以哪种方式支付，承包人需无条件接受。</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十、临时围挡由承包人统一按地方主管部门要求及发包人要求施工到位，围挡施工费用由承包人承担。围挡由承包人负责安全、维护、调整、保修及本合同所约定的工作，费用由承包人承担，不另计。围挡公益广告承包人按照政府要求适时更新，费用由承包人承担。承包人拒绝按发包人要求布置的，发包人有权将施工围挡布置交给第三方，因此产生的费用在结算审计时直接扣除。</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三十一、施工单位应按时回复监理单位开出的监理通知单等文件，施工单位未按时回复的，每一份文件施工单位支付1000元违约金，在结算审计时直接扣除。</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三十</w:t>
      </w:r>
      <w:r>
        <w:rPr>
          <w:rFonts w:hint="eastAsia" w:ascii="宋体" w:hAnsi="宋体" w:eastAsia="宋体" w:cs="宋体"/>
          <w:color w:val="000000"/>
          <w:szCs w:val="21"/>
          <w:highlight w:val="none"/>
        </w:rPr>
        <w:t xml:space="preserve">二</w:t>
      </w:r>
      <w:r>
        <w:rPr>
          <w:rFonts w:hint="eastAsia" w:ascii="宋体" w:hAnsi="宋体" w:eastAsia="宋体" w:cs="宋体"/>
          <w:bCs/>
          <w:color w:val="000000"/>
          <w:szCs w:val="21"/>
          <w:highlight w:val="none"/>
        </w:rPr>
        <w:t xml:space="preserve">、关于建筑垃圾处理要求；</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施工场地清洁卫生应当按照苏州市现场施工清洁卫生规定执行；承包人在施工期间，负责定期将施工场地范围内的建筑垃圾、建筑杂物、生活垃圾等清理干净，并及时清除出施工现场。竣工前清理现场达到监理和发包人要求，如承包人不清理或清理不干净，发包人将向承包人收取违约金2000元/次，除此之外发包人有权委托其它单位或个人清理，所产生的一切费用由承包人负责，发包人可从承包人的工程款中直接扣除。</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工地设置必要的车辆除泥、冲洗设施，配备保洁人员确保净车上路，门前无污染。</w:t>
      </w:r>
      <w:r>
        <w:rPr>
          <w:rFonts w:hint="eastAsia" w:ascii="宋体" w:hAnsi="宋体" w:eastAsia="宋体" w:cs="宋体"/>
          <w:bCs/>
          <w:color w:val="000000"/>
          <w:szCs w:val="21"/>
          <w:highlight w:val="none"/>
        </w:rPr>
      </w:r>
      <w:r/>
    </w:p>
    <w:p>
      <w:pPr>
        <w:pStyle w:val="104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（2）相关文件规定：具体按相城区相关文件执行，若相城区无相关文件的，按苏州市相关文件执行。</w:t>
      </w:r>
      <w:r>
        <w:rPr>
          <w:rFonts w:hint="eastAsia" w:ascii="宋体" w:hAnsi="宋体" w:eastAsia="宋体" w:cs="宋体"/>
          <w:bCs/>
          <w:color w:val="000000"/>
          <w:szCs w:val="21"/>
          <w:highlight w:val="none"/>
        </w:rPr>
      </w:r>
      <w:r/>
    </w:p>
    <w:p>
      <w:pPr>
        <w:pStyle w:val="1044"/>
        <w:ind w:left="48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三十三、承包人按发包人要求完成合同约定工程范围外的新增工程，除合同相关约定外需另行签订补充协议。新增工程指发包人要求并获得承包人接受的、不属于合同约定的工程范围及（或）其完工交付要求范围的实体工程。</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三十四、凡合同条款未尽事宜，按有关法律法规规定及相城区相关文件执行。</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协议书附件：</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附件1：承包人承揽工程项目一览表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专用合同条款附件：</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附件2：发包人供应材料设备一览表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附件3：工程质量保修书</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附件4：主要建设工程文件目录</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附件5：承包人用于本工程施工的机械设备表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附件6：承包人主要施工管理人员表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附件7：分包人主要施工管理人员表</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附件8：履约担保格式</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附件9：预付款担保格式</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附件10：支付担保格式</w:t>
      </w:r>
      <w:r>
        <w:rPr>
          <w:rFonts w:hint="eastAsia" w:ascii="宋体" w:hAnsi="宋体" w:eastAsia="宋体" w:cs="宋体"/>
          <w:color w:val="000000"/>
          <w:szCs w:val="21"/>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sectPr>
          <w:headerReference w:type="default" r:id="rId10"/>
          <w:footerReference w:type="default" r:id="rId18"/>
          <w:footerReference w:type="first" r:id="rId19"/>
          <w:footnotePr/>
          <w:endnotePr/>
          <w:type w:val="nextPage"/>
          <w:pgSz w:w="11906" w:h="16838" w:orient="portrait"/>
          <w:pgMar w:top="1418" w:right="1531" w:bottom="1418" w:left="1554" w:header="851" w:footer="992"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1044"/>
        <w:jc w:val="left"/>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w:t>
      </w:r>
      <w:r>
        <w:rPr>
          <w:rFonts w:hint="eastAsia" w:ascii="宋体" w:hAnsi="宋体" w:eastAsia="宋体" w:cs="宋体"/>
          <w:color w:val="000000"/>
          <w:sz w:val="24"/>
          <w:szCs w:val="24"/>
          <w:highlight w:val="none"/>
        </w:rPr>
      </w:r>
      <w:r/>
    </w:p>
    <w:p>
      <w:pPr>
        <w:pStyle w:val="1044"/>
        <w:jc w:val="center"/>
        <w:pageBreakBefore w:val="0"/>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承包人承揽工程项目一览表</w:t>
      </w:r>
      <w:r>
        <w:rPr>
          <w:rFonts w:hint="eastAsia" w:ascii="宋体" w:hAnsi="宋体" w:eastAsia="宋体" w:cs="宋体"/>
          <w:color w:val="000000"/>
          <w:sz w:val="24"/>
          <w:szCs w:val="24"/>
          <w:highlight w:val="none"/>
        </w:rPr>
      </w:r>
      <w:r/>
    </w:p>
    <w:tbl>
      <w:tblPr>
        <w:tblW w:w="0" w:type="auto"/>
        <w:tblInd w:w="-50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建筑面积(平方米)</w:t>
            </w: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Cs w:val="22"/>
                <w:highlight w:val="none"/>
              </w:rPr>
              <w:t xml:space="preserve">详见工程量清单</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7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4"/>
        <w:pageBreakBefore w:val="0"/>
        <w:spacing w:line="360" w:lineRule="auto"/>
        <w:rPr>
          <w:rFonts w:hint="eastAsia" w:ascii="宋体" w:hAnsi="宋体" w:eastAsia="宋体" w:cs="宋体"/>
          <w:b/>
          <w:color w:val="000000"/>
          <w:sz w:val="24"/>
          <w:highlight w:val="none"/>
        </w:rPr>
        <w:sectPr>
          <w:footnotePr/>
          <w:endnotePr/>
          <w:type w:val="nextPage"/>
          <w:pgSz w:w="16838" w:h="11906" w:orient="landscape"/>
          <w:pgMar w:top="1554" w:right="1418" w:bottom="1531" w:left="1418" w:header="851" w:footer="992" w:gutter="0"/>
          <w:pgNumType w:start="1"/>
          <w:cols w:num="1" w:sep="0" w:space="1701" w:equalWidth="1"/>
          <w:docGrid w:linePitch="360"/>
          <w:titlePg/>
        </w:sectPr>
      </w:pPr>
      <w:r>
        <w:rPr>
          <w:rFonts w:hint="eastAsia" w:ascii="宋体" w:hAnsi="宋体" w:eastAsia="宋体" w:cs="宋体"/>
          <w:b/>
          <w:color w:val="000000"/>
          <w:sz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612" w:name="_Toc296346726"/>
      <w:r/>
      <w:bookmarkStart w:id="613" w:name="_Toc296891265"/>
      <w:r/>
      <w:bookmarkStart w:id="614" w:name="_Toc296347224"/>
      <w:r/>
      <w:bookmarkStart w:id="615" w:name="_Toc296944564"/>
      <w:r/>
      <w:bookmarkStart w:id="616" w:name="_Toc267261692"/>
      <w:r/>
      <w:bookmarkStart w:id="617" w:name="_Toc296503225"/>
      <w:r/>
      <w:bookmarkStart w:id="618" w:name="_Toc296891053"/>
      <w:r>
        <w:rPr>
          <w:rFonts w:hint="eastAsia" w:ascii="宋体" w:hAnsi="宋体" w:eastAsia="宋体" w:cs="宋体"/>
          <w:color w:val="000000"/>
          <w:sz w:val="24"/>
          <w:szCs w:val="24"/>
          <w:highlight w:val="none"/>
        </w:rPr>
        <w:t xml:space="preserve">件2：</w:t>
      </w:r>
      <w:r>
        <w:rPr>
          <w:rFonts w:hint="eastAsia" w:ascii="宋体" w:hAnsi="宋体" w:eastAsia="宋体" w:cs="宋体"/>
          <w:color w:val="000000"/>
          <w:sz w:val="24"/>
          <w:szCs w:val="24"/>
          <w:highlight w:val="none"/>
        </w:rPr>
      </w:r>
      <w:r/>
    </w:p>
    <w:p>
      <w:pPr>
        <w:pStyle w:val="1044"/>
        <w:jc w:val="center"/>
        <w:pageBreakBefore w:val="0"/>
        <w:spacing w:before="156" w:after="156" w:line="360" w:lineRule="auto"/>
        <w:rPr>
          <w:rFonts w:hint="eastAsia" w:ascii="宋体" w:hAnsi="宋体" w:eastAsia="宋体" w:cs="宋体"/>
          <w:color w:val="000000"/>
          <w:sz w:val="24"/>
          <w:szCs w:val="24"/>
          <w:highlight w:val="none"/>
        </w:rPr>
      </w:pPr>
      <w:r/>
      <w:bookmarkEnd w:id="612"/>
      <w:r/>
      <w:bookmarkEnd w:id="613"/>
      <w:r/>
      <w:bookmarkEnd w:id="614"/>
      <w:r/>
      <w:bookmarkEnd w:id="615"/>
      <w:r/>
      <w:bookmarkEnd w:id="616"/>
      <w:r/>
      <w:bookmarkEnd w:id="617"/>
      <w:r/>
      <w:bookmarkEnd w:id="618"/>
      <w:r>
        <w:rPr>
          <w:rFonts w:hint="eastAsia" w:ascii="宋体" w:hAnsi="宋体" w:eastAsia="宋体" w:cs="宋体"/>
          <w:color w:val="000000"/>
          <w:sz w:val="24"/>
          <w:szCs w:val="24"/>
          <w:highlight w:val="none"/>
        </w:rPr>
        <w:t xml:space="preserve">发包人供应材料设备一览表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材料、</w:t>
            </w:r>
            <w:r>
              <w:rPr>
                <w:rFonts w:hint="eastAsia" w:ascii="宋体" w:hAnsi="宋体" w:eastAsia="宋体" w:cs="宋体"/>
                <w:color w:val="000000"/>
                <w:sz w:val="24"/>
                <w:szCs w:val="24"/>
                <w:highlight w:val="none"/>
              </w:rPr>
            </w:r>
            <w:r/>
          </w:p>
          <w:p>
            <w:pPr>
              <w:pStyle w:val="1044"/>
              <w:ind w:right="63"/>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Cs w:val="22"/>
                <w:highlight w:val="none"/>
              </w:rPr>
              <w:t xml:space="preserve">无</w:t>
            </w: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044"/>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619" w:name="_Toc296944565"/>
      <w:r/>
      <w:bookmarkStart w:id="620" w:name="_Toc296347225"/>
      <w:r/>
      <w:bookmarkStart w:id="621" w:name="_Toc296891266"/>
      <w:r/>
      <w:bookmarkStart w:id="622" w:name="_Toc296503226"/>
      <w:r/>
      <w:bookmarkStart w:id="623" w:name="_Toc296346727"/>
      <w:r/>
      <w:bookmarkStart w:id="624" w:name="_Toc267261693"/>
      <w:r/>
      <w:bookmarkStart w:id="625" w:name="_Toc296891054"/>
      <w:r>
        <w:rPr>
          <w:rFonts w:hint="eastAsia" w:ascii="宋体" w:hAnsi="宋体" w:eastAsia="宋体" w:cs="宋体"/>
          <w:color w:val="000000"/>
          <w:sz w:val="24"/>
          <w:szCs w:val="24"/>
          <w:highlight w:val="none"/>
        </w:rPr>
        <w:t xml:space="preserve">件3：</w:t>
      </w:r>
      <w:bookmarkEnd w:id="619"/>
      <w:r/>
      <w:bookmarkEnd w:id="620"/>
      <w:r/>
      <w:bookmarkEnd w:id="621"/>
      <w:r/>
      <w:bookmarkEnd w:id="622"/>
      <w:r/>
      <w:bookmarkEnd w:id="623"/>
      <w:r/>
      <w:bookmarkEnd w:id="624"/>
      <w:r/>
      <w:bookmarkEnd w:id="625"/>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发包人和承包人根据《中华人民共和国建筑法》和《建设工程质量管理条例》，经协商一致就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（工程全称）签订工程质量保修书。</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一、工程质量保修范围和内容</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承包人在质量保修期内，按照有关法律规定和合同约定，承担工程质量保修责任。</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b/>
          <w:color w:val="000000"/>
          <w:szCs w:val="21"/>
          <w:highlight w:val="none"/>
        </w:rPr>
        <w:t xml:space="preserve">　　</w:t>
      </w:r>
      <w:r>
        <w:rPr>
          <w:rFonts w:hint="eastAsia" w:ascii="宋体" w:hAnsi="宋体" w:eastAsia="宋体" w:cs="宋体"/>
          <w:color w:val="000000"/>
          <w:szCs w:val="21"/>
          <w:highlight w:val="none"/>
        </w:rPr>
        <w:t xml:space="preserve">二、质量保修期</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1．地基基础工程和主体结构工程为设计文件规定的工程合理使用年限；</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2．屋面防水工程、有防水要求的卫生间、房间和外墙面的防渗为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伍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44"/>
        <w:ind w:left="420" w:firstLine="1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3．装修工程为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44"/>
        <w:ind w:left="420" w:firstLine="1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4．电气管线、给排水管道、设备安装工程为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贰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44"/>
        <w:ind w:left="420" w:firstLine="1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5．供热与供冷系统为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贰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个采暖期、供冷期；</w:t>
      </w:r>
      <w:r>
        <w:rPr>
          <w:rFonts w:hint="eastAsia" w:ascii="宋体" w:hAnsi="宋体" w:eastAsia="宋体" w:cs="宋体"/>
          <w:color w:val="000000"/>
          <w:szCs w:val="21"/>
          <w:highlight w:val="none"/>
        </w:rPr>
      </w:r>
      <w:r/>
    </w:p>
    <w:p>
      <w:pPr>
        <w:pStyle w:val="1044"/>
        <w:ind w:left="420" w:firstLine="1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6．住宅小区内的给排水设施、道路等配套工程为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1044"/>
        <w:ind w:left="420" w:firstLine="105"/>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7．其他项目保修期限约定如下：</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质量保修期自工程竣工验收合格之日起计算。</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三、缺陷责任期</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12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缺陷责任期终止后，发包人应退还剩余的质量保证金。</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四、质量保修责任</w:t>
      </w:r>
      <w:r>
        <w:rPr>
          <w:rFonts w:hint="eastAsia" w:ascii="宋体" w:hAnsi="宋体" w:eastAsia="宋体" w:cs="宋体"/>
          <w:color w:val="000000"/>
          <w:szCs w:val="21"/>
          <w:highlight w:val="none"/>
        </w:rPr>
      </w:r>
      <w:r/>
    </w:p>
    <w:p>
      <w:pPr>
        <w:pStyle w:val="1044"/>
        <w:ind w:left="105" w:firstLine="43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属于保修范围、内容的项目，承包人应当在接到保修通知之日起7天内派人保修。承包人不在约定期限内派人保修的，发包人可以委托他人修理，因此产生的费用，发包人有权从质保金中予以扣除，不足部分，发包人有权继续向承包人追偿。</w:t>
      </w:r>
      <w:r>
        <w:rPr>
          <w:rFonts w:hint="eastAsia" w:ascii="宋体" w:hAnsi="宋体" w:eastAsia="宋体" w:cs="宋体"/>
          <w:color w:val="000000"/>
          <w:szCs w:val="21"/>
          <w:highlight w:val="none"/>
        </w:rPr>
      </w:r>
      <w:r/>
    </w:p>
    <w:p>
      <w:pPr>
        <w:pStyle w:val="1044"/>
        <w:ind w:left="105" w:firstLine="43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2．发生紧急事故需抢修的，承包人在接到事故通知后，应当立即到达事故现场抢修。</w:t>
      </w:r>
      <w:r>
        <w:rPr>
          <w:rFonts w:hint="eastAsia" w:ascii="宋体" w:hAnsi="宋体" w:eastAsia="宋体" w:cs="宋体"/>
          <w:color w:val="000000"/>
          <w:szCs w:val="21"/>
          <w:highlight w:val="none"/>
        </w:rPr>
      </w:r>
      <w:r/>
    </w:p>
    <w:p>
      <w:pPr>
        <w:pStyle w:val="1044"/>
        <w:ind w:left="105" w:firstLine="43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Cs w:val="21"/>
          <w:highlight w:val="none"/>
        </w:rPr>
      </w:r>
      <w:r/>
    </w:p>
    <w:p>
      <w:pPr>
        <w:pStyle w:val="1044"/>
        <w:ind w:left="105" w:firstLine="43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4．质量保修完成后，由发包人组织验收。</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五、保修费用</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保修费用由造成质量缺陷的责任方承担。</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六</w:t>
      </w:r>
      <w:r>
        <w:rPr>
          <w:rFonts w:hint="eastAsia" w:ascii="宋体" w:hAnsi="宋体" w:eastAsia="宋体" w:cs="宋体"/>
          <w:color w:val="000000"/>
          <w:szCs w:val="21"/>
          <w:highlight w:val="none"/>
        </w:rPr>
        <w:t xml:space="preserve">、双方约定的其他工程质量保修事项：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39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Cs w:val="21"/>
          <w:highlight w:val="none"/>
        </w:rPr>
      </w:r>
      <w:r/>
    </w:p>
    <w:p>
      <w:pPr>
        <w:pStyle w:val="1044"/>
        <w:ind w:firstLine="39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39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39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39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发包人(公章)：</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 承包人(公章)：</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法定代表人(签字)：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委托代理人(签字)：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传  真：</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开户银行：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账  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邮政编码：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附件4：</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主要建设工程文件目录</w:t>
      </w:r>
      <w:r>
        <w:rPr>
          <w:rFonts w:hint="eastAsia" w:ascii="宋体" w:hAnsi="宋体" w:eastAsia="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文件名称</w:t>
            </w: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套数</w:t>
            </w: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费用（元）</w:t>
            </w: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w:t>
            </w:r>
            <w:r>
              <w:rPr>
                <w:rFonts w:hint="eastAsia" w:ascii="宋体" w:hAnsi="宋体" w:eastAsia="宋体" w:cs="宋体"/>
                <w:color w:val="000000"/>
                <w:szCs w:val="21"/>
                <w:highlight w:val="none"/>
              </w:rPr>
            </w:r>
            <w:r/>
          </w:p>
        </w:tc>
        <w:tc>
          <w:tcPr>
            <w:tcW w:w="1450" w:type="dxa"/>
            <w:vAlign w:val="top"/>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移交时间</w:t>
            </w:r>
            <w:r>
              <w:rPr>
                <w:rFonts w:hint="eastAsia" w:ascii="宋体" w:hAnsi="宋体" w:eastAsia="宋体" w:cs="宋体"/>
                <w:color w:val="000000"/>
                <w:szCs w:val="21"/>
                <w:highlight w:val="none"/>
              </w:rPr>
            </w:r>
            <w:r/>
          </w:p>
        </w:tc>
        <w:tc>
          <w:tcPr>
            <w:tcW w:w="1667" w:type="dxa"/>
            <w:vAlign w:val="top"/>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责任人</w:t>
            </w: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95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3"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67"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w:t>
      </w:r>
      <w:bookmarkStart w:id="626" w:name="_Toc296346728"/>
      <w:r/>
      <w:bookmarkStart w:id="627" w:name="_Toc296503227"/>
      <w:r/>
      <w:bookmarkStart w:id="628" w:name="_Toc296891267"/>
      <w:r/>
      <w:bookmarkStart w:id="629" w:name="_Toc296944566"/>
      <w:r/>
      <w:bookmarkStart w:id="630" w:name="_Toc296891055"/>
      <w:r/>
      <w:bookmarkStart w:id="631" w:name="_Toc267261698"/>
      <w:r/>
      <w:bookmarkStart w:id="632" w:name="_Toc296347226"/>
      <w:r>
        <w:rPr>
          <w:rFonts w:hint="eastAsia" w:ascii="宋体" w:hAnsi="宋体" w:eastAsia="宋体" w:cs="宋体"/>
          <w:color w:val="000000"/>
          <w:szCs w:val="21"/>
          <w:highlight w:val="none"/>
        </w:rPr>
        <w:t xml:space="preserve">件5：</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bookmarkEnd w:id="626"/>
      <w:r/>
      <w:bookmarkEnd w:id="627"/>
      <w:r/>
      <w:bookmarkEnd w:id="628"/>
      <w:r/>
      <w:bookmarkEnd w:id="629"/>
      <w:r/>
      <w:bookmarkEnd w:id="630"/>
      <w:r/>
      <w:bookmarkEnd w:id="631"/>
      <w:r/>
      <w:bookmarkEnd w:id="632"/>
      <w:r>
        <w:rPr>
          <w:rFonts w:hint="eastAsia" w:ascii="宋体" w:hAnsi="宋体" w:eastAsia="宋体" w:cs="宋体"/>
          <w:color w:val="000000"/>
          <w:szCs w:val="21"/>
          <w:highlight w:val="none"/>
        </w:rPr>
        <w:t xml:space="preserve">承包人用于本工程施工的机械设备表</w:t>
      </w:r>
      <w:r>
        <w:rPr>
          <w:rFonts w:hint="eastAsia" w:ascii="宋体" w:hAnsi="宋体" w:eastAsia="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机械或设备名称</w:t>
            </w: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产地</w:t>
            </w: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制造年份</w:t>
            </w: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额定功率(kW)</w:t>
            </w: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生产能力</w:t>
            </w: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详见施工组织设计</w:t>
            </w: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1162"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8"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1" w:type="dxa"/>
            <w:vAlign w:val="top"/>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w:t>
      </w:r>
      <w:bookmarkStart w:id="633" w:name="_Toc296891268"/>
      <w:r/>
      <w:bookmarkStart w:id="634" w:name="_Toc296891056"/>
      <w:r/>
      <w:bookmarkStart w:id="635" w:name="_Toc267261699"/>
      <w:r/>
      <w:bookmarkStart w:id="636" w:name="_Toc296503228"/>
      <w:r/>
      <w:bookmarkStart w:id="637" w:name="_Toc296346729"/>
      <w:r/>
      <w:bookmarkStart w:id="638" w:name="_Toc296944567"/>
      <w:r/>
      <w:bookmarkStart w:id="639" w:name="_Toc296347227"/>
      <w:r>
        <w:rPr>
          <w:rFonts w:hint="eastAsia" w:ascii="宋体" w:hAnsi="宋体" w:eastAsia="宋体" w:cs="宋体"/>
          <w:color w:val="000000"/>
          <w:szCs w:val="21"/>
          <w:highlight w:val="none"/>
        </w:rPr>
        <w:t xml:space="preserve">件6：</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bookmarkEnd w:id="633"/>
      <w:r/>
      <w:bookmarkEnd w:id="634"/>
      <w:r/>
      <w:bookmarkEnd w:id="635"/>
      <w:r/>
      <w:bookmarkEnd w:id="636"/>
      <w:r/>
      <w:bookmarkEnd w:id="637"/>
      <w:r/>
      <w:bookmarkEnd w:id="638"/>
      <w:r/>
      <w:bookmarkEnd w:id="639"/>
      <w:r>
        <w:rPr>
          <w:rFonts w:hint="eastAsia" w:ascii="宋体" w:hAnsi="宋体" w:eastAsia="宋体" w:cs="宋体"/>
          <w:color w:val="000000"/>
          <w:szCs w:val="21"/>
          <w:highlight w:val="none"/>
        </w:rPr>
        <w:t xml:space="preserve">承包人主要施工管理人员表</w:t>
      </w:r>
      <w:r>
        <w:rPr>
          <w:rFonts w:hint="eastAsia" w:ascii="宋体" w:hAnsi="宋体" w:eastAsia="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职务</w:t>
            </w: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主要资历、经验及承担过的项目</w:t>
            </w:r>
            <w:r>
              <w:rPr>
                <w:rFonts w:hint="eastAsia" w:ascii="宋体" w:hAnsi="宋体" w:eastAsia="宋体" w:cs="宋体"/>
                <w:color w:val="000000"/>
                <w:szCs w:val="21"/>
                <w:highlight w:val="none"/>
              </w:rPr>
            </w:r>
            <w:r/>
          </w:p>
        </w:tc>
      </w:tr>
      <w:tr>
        <w:trPr/>
        <w:tc>
          <w:tcPr>
            <w:gridSpan w:val="5"/>
            <w:tcW w:w="9809"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一、总部人员</w:t>
            </w: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项目主管</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其他人员</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5"/>
            <w:tcW w:w="9809"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二、现场人员</w:t>
            </w: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项目副经理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造价管理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材料管理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restart"/>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其他人员</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w:t>
      </w:r>
      <w:bookmarkStart w:id="640" w:name="_Toc296944568"/>
      <w:r/>
      <w:bookmarkStart w:id="641" w:name="_Toc296891269"/>
      <w:r/>
      <w:bookmarkStart w:id="642" w:name="_Toc296503229"/>
      <w:r/>
      <w:bookmarkStart w:id="643" w:name="_Toc296347228"/>
      <w:r/>
      <w:bookmarkStart w:id="644" w:name="_Toc296891057"/>
      <w:r/>
      <w:bookmarkStart w:id="645" w:name="_Toc296346730"/>
      <w:r>
        <w:rPr>
          <w:rFonts w:hint="eastAsia" w:ascii="宋体" w:hAnsi="宋体" w:eastAsia="宋体" w:cs="宋体"/>
          <w:color w:val="000000"/>
          <w:szCs w:val="21"/>
          <w:highlight w:val="none"/>
        </w:rPr>
        <w:t xml:space="preserve">件7：</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bookmarkEnd w:id="640"/>
      <w:r/>
      <w:bookmarkEnd w:id="641"/>
      <w:r/>
      <w:bookmarkEnd w:id="642"/>
      <w:r/>
      <w:bookmarkEnd w:id="643"/>
      <w:r/>
      <w:bookmarkEnd w:id="644"/>
      <w:r/>
      <w:bookmarkEnd w:id="645"/>
      <w:r>
        <w:rPr>
          <w:rFonts w:hint="eastAsia" w:ascii="宋体" w:hAnsi="宋体" w:eastAsia="宋体" w:cs="宋体"/>
          <w:color w:val="000000"/>
          <w:szCs w:val="21"/>
          <w:highlight w:val="none"/>
        </w:rPr>
        <w:t xml:space="preserve">分包人主要施工管理人员表</w:t>
      </w:r>
      <w:r>
        <w:rPr>
          <w:rFonts w:hint="eastAsia" w:ascii="宋体" w:hAnsi="宋体" w:eastAsia="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职务</w:t>
            </w: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主要资历、经验及承担过的项目</w:t>
            </w:r>
            <w:r>
              <w:rPr>
                <w:rFonts w:hint="eastAsia" w:ascii="宋体" w:hAnsi="宋体" w:eastAsia="宋体" w:cs="宋体"/>
                <w:color w:val="000000"/>
                <w:szCs w:val="21"/>
                <w:highlight w:val="none"/>
              </w:rPr>
            </w:r>
            <w:r/>
          </w:p>
        </w:tc>
      </w:tr>
      <w:tr>
        <w:trPr/>
        <w:tc>
          <w:tcPr>
            <w:gridSpan w:val="5"/>
            <w:tcW w:w="9809"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一、总部人员</w:t>
            </w: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项目主管</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其他人员</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5"/>
            <w:tcW w:w="9809"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二、现场人员</w:t>
            </w: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项目副经理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造价管理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材料管理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安全管理</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restart"/>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其他人员</w:t>
            </w: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871" w:type="dxa"/>
            <w:vAlign w:val="center"/>
            <w:vMerge w:val="continue"/>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8"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252" w:type="dxa"/>
            <w:vAlign w:val="center"/>
            <w:textDirection w:val="lrTb"/>
            <w:noWrap w:val="false"/>
          </w:tcPr>
          <w:p>
            <w:pPr>
              <w:pStyle w:val="1044"/>
              <w:ind w:left="63" w:right="63"/>
              <w:jc w:val="center"/>
              <w:keepNex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bookmarkStart w:id="646" w:name="_Toc267261701"/>
      <w:r>
        <w:rPr>
          <w:rFonts w:hint="eastAsia" w:ascii="宋体" w:hAnsi="宋体" w:eastAsia="宋体" w:cs="宋体"/>
          <w:color w:val="000000"/>
          <w:szCs w:val="21"/>
          <w:highlight w:val="none"/>
        </w:rPr>
        <w:t xml:space="preserve">附</w:t>
      </w:r>
      <w:bookmarkStart w:id="647" w:name="_Toc296891271"/>
      <w:r/>
      <w:bookmarkStart w:id="648" w:name="_Toc296346732"/>
      <w:r/>
      <w:bookmarkStart w:id="649" w:name="_Toc296347230"/>
      <w:r/>
      <w:bookmarkStart w:id="650" w:name="_Toc296891059"/>
      <w:r/>
      <w:bookmarkStart w:id="651" w:name="_Toc296503231"/>
      <w:r/>
      <w:bookmarkStart w:id="652" w:name="_Toc296944570"/>
      <w:r>
        <w:rPr>
          <w:rFonts w:hint="eastAsia" w:ascii="宋体" w:hAnsi="宋体" w:eastAsia="宋体" w:cs="宋体"/>
          <w:color w:val="000000"/>
          <w:szCs w:val="21"/>
          <w:highlight w:val="none"/>
        </w:rPr>
        <w:t xml:space="preserve">件8：</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bookmarkEnd w:id="646"/>
      <w:r/>
      <w:bookmarkEnd w:id="647"/>
      <w:r/>
      <w:bookmarkEnd w:id="648"/>
      <w:r/>
      <w:bookmarkEnd w:id="649"/>
      <w:r/>
      <w:bookmarkEnd w:id="650"/>
      <w:r/>
      <w:bookmarkEnd w:id="651"/>
      <w:r/>
      <w:bookmarkEnd w:id="652"/>
      <w:r>
        <w:rPr>
          <w:rFonts w:hint="eastAsia" w:ascii="宋体" w:hAnsi="宋体" w:eastAsia="宋体" w:cs="宋体"/>
          <w:color w:val="000000"/>
          <w:szCs w:val="21"/>
          <w:highlight w:val="none"/>
        </w:rPr>
        <w:t xml:space="preserve">履约担保</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t xml:space="preserve">（发包人名称）：</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鉴于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（发包人名称，以下简称“发包人”）与</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（承包人名称）（以下称“承包人”）于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担保金额人民币（大写）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担保有效期自你方与承包人签订的合同生效之日起至你方签发或应签发工程接收证书之日止。</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你方和承包人按合同约定变更合同时，我方承担本担保规定的义务不变。</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因本保函发生的纠纷，可由双方协商解决，协商不成的，任何一方均可提请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仲裁委员会仲裁。</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 本保函自我方法定代表人（或其授权代理人）签字并加盖公章之日起生效。</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担 保 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1044"/>
        <w:ind w:left="1329" w:hanging="1329"/>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44"/>
        <w:ind w:left="1519" w:hanging="1519"/>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653" w:name="_Toc296503232"/>
      <w:r/>
      <w:bookmarkStart w:id="654" w:name="_Toc296347231"/>
      <w:r/>
      <w:bookmarkStart w:id="655" w:name="_Toc267261702"/>
      <w:r/>
      <w:bookmarkStart w:id="656" w:name="_Toc296891272"/>
      <w:r/>
      <w:bookmarkStart w:id="657" w:name="_Toc296346733"/>
      <w:r/>
      <w:bookmarkStart w:id="658" w:name="_Toc296891060"/>
      <w:r/>
      <w:bookmarkStart w:id="659" w:name="_Toc296944571"/>
      <w:r>
        <w:rPr>
          <w:rFonts w:hint="eastAsia" w:ascii="宋体" w:hAnsi="宋体" w:eastAsia="宋体" w:cs="宋体"/>
          <w:color w:val="000000"/>
          <w:sz w:val="24"/>
          <w:szCs w:val="24"/>
          <w:highlight w:val="none"/>
        </w:rPr>
        <w:t xml:space="preserve">件9 ：</w:t>
      </w:r>
      <w:r>
        <w:rPr>
          <w:rFonts w:hint="eastAsia" w:ascii="宋体" w:hAnsi="宋体" w:eastAsia="宋体" w:cs="宋体"/>
          <w:color w:val="000000"/>
          <w:sz w:val="24"/>
          <w:szCs w:val="24"/>
          <w:highlight w:val="none"/>
        </w:rPr>
      </w:r>
      <w:r/>
    </w:p>
    <w:p>
      <w:pPr>
        <w:pStyle w:val="1044"/>
        <w:jc w:val="center"/>
        <w:pageBreakBefore w:val="0"/>
        <w:spacing w:before="156" w:after="156" w:line="360" w:lineRule="auto"/>
        <w:rPr>
          <w:rFonts w:hint="eastAsia" w:ascii="宋体" w:hAnsi="宋体" w:eastAsia="宋体" w:cs="宋体"/>
          <w:color w:val="000000"/>
          <w:sz w:val="24"/>
          <w:szCs w:val="24"/>
          <w:highlight w:val="none"/>
        </w:rPr>
      </w:pPr>
      <w:r/>
      <w:bookmarkEnd w:id="653"/>
      <w:r/>
      <w:bookmarkEnd w:id="654"/>
      <w:r/>
      <w:bookmarkEnd w:id="655"/>
      <w:r/>
      <w:bookmarkEnd w:id="656"/>
      <w:r/>
      <w:bookmarkEnd w:id="657"/>
      <w:r/>
      <w:bookmarkEnd w:id="658"/>
      <w:r/>
      <w:bookmarkEnd w:id="659"/>
      <w:r>
        <w:rPr>
          <w:rFonts w:hint="eastAsia" w:ascii="宋体" w:hAnsi="宋体" w:eastAsia="宋体" w:cs="宋体"/>
          <w:color w:val="000000"/>
          <w:sz w:val="24"/>
          <w:szCs w:val="24"/>
          <w:highlight w:val="none"/>
        </w:rPr>
        <w:t xml:space="preserve">预付款担保</w:t>
      </w: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（发包人名称）：</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（承包人名称）（以下称“承包人”）与</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（发包人名称）（以下简称“发包人”）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日签订的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担保金额人民币（大写）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担保有效期自预付款支付给承包人起生效，至你方签发的进度款支付证书说明已完全扣清止。</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你方和承包人按合同约定变更合同时，我方承担本保函规定的义务不变。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因本保函发生的纠纷，可由双方协商解决，协商不成的，任何一方均可提请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仲裁委员会仲裁。</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 本保函自我方法定代表人（或其授权代理人）签字并加盖公章之日起生效。</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担保人：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660" w:name="_Toc296944572"/>
      <w:r/>
      <w:bookmarkStart w:id="661" w:name="_Toc296891273"/>
      <w:r/>
      <w:bookmarkStart w:id="662" w:name="_Toc296346734"/>
      <w:r/>
      <w:bookmarkStart w:id="663" w:name="_Toc296503233"/>
      <w:r/>
      <w:bookmarkStart w:id="664" w:name="_Toc296891061"/>
      <w:r/>
      <w:bookmarkStart w:id="665" w:name="_Toc296347232"/>
      <w:r>
        <w:rPr>
          <w:rFonts w:hint="eastAsia" w:ascii="宋体" w:hAnsi="宋体" w:eastAsia="宋体" w:cs="宋体"/>
          <w:color w:val="000000"/>
          <w:sz w:val="24"/>
          <w:szCs w:val="24"/>
          <w:highlight w:val="none"/>
        </w:rPr>
        <w:t xml:space="preserve">件10:  </w:t>
      </w:r>
      <w:r>
        <w:rPr>
          <w:rFonts w:hint="eastAsia" w:ascii="宋体" w:hAnsi="宋体" w:eastAsia="宋体" w:cs="宋体"/>
          <w:color w:val="000000"/>
          <w:sz w:val="24"/>
          <w:szCs w:val="24"/>
          <w:highlight w:val="none"/>
        </w:rPr>
      </w:r>
      <w:r/>
    </w:p>
    <w:p>
      <w:pPr>
        <w:pStyle w:val="1044"/>
        <w:jc w:val="center"/>
        <w:pageBreakBefore w:val="0"/>
        <w:spacing w:before="156" w:after="156" w:line="360" w:lineRule="auto"/>
        <w:rPr>
          <w:rFonts w:hint="eastAsia" w:ascii="宋体" w:hAnsi="宋体" w:eastAsia="宋体" w:cs="宋体"/>
          <w:color w:val="000000"/>
          <w:sz w:val="24"/>
          <w:szCs w:val="24"/>
          <w:highlight w:val="none"/>
        </w:rPr>
      </w:pPr>
      <w:r/>
      <w:bookmarkEnd w:id="660"/>
      <w:r/>
      <w:bookmarkEnd w:id="661"/>
      <w:r/>
      <w:bookmarkEnd w:id="662"/>
      <w:r/>
      <w:bookmarkEnd w:id="663"/>
      <w:r/>
      <w:bookmarkEnd w:id="664"/>
      <w:r/>
      <w:bookmarkEnd w:id="665"/>
      <w:r>
        <w:rPr>
          <w:rFonts w:hint="eastAsia" w:ascii="宋体" w:hAnsi="宋体" w:eastAsia="宋体" w:cs="宋体"/>
          <w:color w:val="000000"/>
          <w:sz w:val="24"/>
          <w:szCs w:val="24"/>
          <w:highlight w:val="none"/>
        </w:rPr>
        <w:t xml:space="preserve">支付担保</w:t>
      </w:r>
      <w:r>
        <w:rPr>
          <w:rFonts w:hint="eastAsia" w:ascii="宋体" w:hAnsi="宋体" w:eastAsia="宋体" w:cs="宋体"/>
          <w:color w:val="000000"/>
          <w:sz w:val="24"/>
          <w:szCs w:val="24"/>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（承包人）：</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鉴于你方作为承包人已经与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（发包人名称）（以下称“发包人”）于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日签订了</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一、保证的范围及保证金额</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我方的保证范围是主合同约定的工程款。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本保函所称主合同约定的工程款是指主合同约定的除工程质量保证金以外的合同价款。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我方保证的金额是主合同约定的工程款的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%，数额最高不超过人民币元（大写：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二、保证的方式及保证期间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我方保证的方式为：连带责任保证。</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我方保证的期间为：自本合同生效之日起至主合同约定的工程款支付完毕之日后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日内。</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你方与发包人协议变更工程款支付日期的，经我方书面同意后，保证期间按照变更后的支付日期做相应调整。</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三、承担保证责任的形式</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我方承担保证责任的形式是代为支付。发包人未按主合同约定向你方支付工程款的，由我方在保证金额内代为支付。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四、代偿的安排</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我方收到你方的书面索赔通知及相应的证明材料后７天内无条件支付。</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五、保证责任的解除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在本保函承诺的保证期间内，你方未书面向我方主张保证责任的，自保证期间届满次日起，我方保证责任解除。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发包人按主合同约定履行了工程款的全部支付义务的，自本保函承诺的保证期间届满次日起，我方保证责任解除。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按照法律法规的规定或出现应解除我方保证责任的其他情形的，我方在本保函项下的保证责任亦解除。</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我方解除保证责任后，你方应自我方保证责任解除之日起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个工作日内，将本保函原件返还我方。</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六、免责条款</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因你方违约致使发包人不能履行义务的，我方不承担保证责任。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依照法律法规的规定或你方与发包人的另行约定，免除发包人部分或全部义务的，我方亦免除其相应的保证责任。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因不可抗力造成发包人不能履行义务的，我方不承担保证责任。</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七、争议解决</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因本保函或本保函相关事项发生的纠纷，可由双方协商解决，协商不成的，按下列第</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2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种方式解决：</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（1）向</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仲裁委员会申请仲裁；</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   苏州市相城区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人民法院起诉。</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八、保函的生效</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本保函自我方法定代表人（或其授权代理人）签字并加盖公章之日起生效。</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right="60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right="60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担保人：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（盖章）</w:t>
      </w:r>
      <w:r>
        <w:rPr>
          <w:rFonts w:hint="eastAsia" w:ascii="宋体" w:hAnsi="宋体" w:eastAsia="宋体" w:cs="宋体"/>
          <w:color w:val="000000"/>
          <w:szCs w:val="21"/>
          <w:highlight w:val="none"/>
        </w:rPr>
      </w:r>
      <w:r/>
    </w:p>
    <w:p>
      <w:pPr>
        <w:pStyle w:val="1044"/>
        <w:ind w:right="120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ind w:right="150" w:firstLine="420"/>
        <w:jc w:val="left"/>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1044"/>
        <w:ind w:right="150"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keepLines/>
        <w:keepNext/>
        <w:pageBreakBefore w:val="0"/>
        <w:spacing w:before="260" w:after="260" w:line="360" w:lineRule="auto"/>
        <w:rPr>
          <w:rFonts w:hint="eastAsia" w:ascii="宋体" w:hAnsi="宋体" w:eastAsia="宋体" w:cs="宋体"/>
          <w:b/>
          <w:bCs/>
          <w:color w:val="000000"/>
          <w:sz w:val="44"/>
          <w:szCs w:val="44"/>
          <w:highlight w:val="none"/>
        </w:rPr>
        <w:outlineLvl w:val="2"/>
      </w:pPr>
      <w:r/>
      <w:bookmarkStart w:id="666" w:name="_Toc9094"/>
      <w:r/>
      <w:bookmarkStart w:id="667" w:name="_Toc37840172"/>
      <w:r>
        <w:rPr>
          <w:rFonts w:hint="eastAsia" w:ascii="宋体" w:hAnsi="宋体" w:eastAsia="宋体" w:cs="宋体"/>
          <w:b/>
          <w:bCs/>
          <w:color w:val="000000"/>
          <w:sz w:val="44"/>
          <w:szCs w:val="44"/>
          <w:highlight w:val="none"/>
        </w:rPr>
        <w:t xml:space="preserve">第四部分 建设工程廉政合同</w:t>
      </w:r>
      <w:bookmarkEnd w:id="666"/>
      <w:r/>
      <w:bookmarkEnd w:id="667"/>
      <w:r>
        <w:rPr>
          <w:rFonts w:hint="eastAsia" w:ascii="宋体" w:hAnsi="宋体" w:eastAsia="宋体" w:cs="宋体"/>
          <w:b/>
          <w:bCs/>
          <w:color w:val="000000"/>
          <w:sz w:val="44"/>
          <w:szCs w:val="44"/>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发包人（甲方）：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承包人（乙方）：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第一条 甲乙双方的责任 </w:t>
      </w:r>
      <w:r>
        <w:rPr>
          <w:rFonts w:hint="eastAsia" w:ascii="宋体" w:hAnsi="宋体" w:eastAsia="宋体" w:cs="宋体"/>
          <w:color w:val="000000"/>
          <w:szCs w:val="21"/>
          <w:highlight w:val="none"/>
        </w:rPr>
      </w:r>
      <w:r/>
    </w:p>
    <w:p>
      <w:pPr>
        <w:pStyle w:val="1044"/>
        <w:numPr>
          <w:ilvl w:val="0"/>
          <w:numId w:val="25"/>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甲乙双方应共同遵守国家和江苏省、苏州市以及行发包人管部门关于加强  工程建设项目管理以及党风廉政建设的各项规定。 </w:t>
      </w:r>
      <w:r>
        <w:rPr>
          <w:rFonts w:hint="eastAsia" w:ascii="宋体" w:hAnsi="宋体" w:eastAsia="宋体" w:cs="宋体"/>
          <w:color w:val="000000"/>
          <w:szCs w:val="21"/>
          <w:highlight w:val="none"/>
        </w:rPr>
      </w:r>
      <w:r/>
    </w:p>
    <w:p>
      <w:pPr>
        <w:pStyle w:val="1044"/>
        <w:numPr>
          <w:ilvl w:val="0"/>
          <w:numId w:val="25"/>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甲乙双方应严格执行工程建设项目承发包合同文件，自觉按合同办事。</w:t>
      </w:r>
      <w:r>
        <w:rPr>
          <w:rFonts w:hint="eastAsia" w:ascii="宋体" w:hAnsi="宋体" w:eastAsia="宋体" w:cs="宋体"/>
          <w:color w:val="000000"/>
          <w:szCs w:val="21"/>
          <w:highlight w:val="none"/>
        </w:rPr>
      </w:r>
      <w:r/>
    </w:p>
    <w:p>
      <w:pPr>
        <w:pStyle w:val="1044"/>
        <w:numPr>
          <w:ilvl w:val="0"/>
          <w:numId w:val="25"/>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除非法律认定的商业秘密和合同文件另有规定之外，甲乙双方的业务活动应坚持公开、公正、透明的原则，严禁损害国家和集体利益、违反工程建设项目管理规章制度的不正当交易。</w:t>
      </w:r>
      <w:r>
        <w:rPr>
          <w:rFonts w:hint="eastAsia" w:ascii="宋体" w:hAnsi="宋体" w:eastAsia="宋体" w:cs="宋体"/>
          <w:color w:val="000000"/>
          <w:szCs w:val="21"/>
          <w:highlight w:val="none"/>
        </w:rPr>
      </w:r>
      <w:r/>
    </w:p>
    <w:p>
      <w:pPr>
        <w:pStyle w:val="1044"/>
        <w:numPr>
          <w:ilvl w:val="0"/>
          <w:numId w:val="25"/>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甲乙双方如发现对方在业务活动中有违规、违纪、违法的行为，应及时提醒对方，情节严重的，应向其上级主管部门或相城区纪检监察部门举报。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第二条 甲方的责任</w:t>
      </w:r>
      <w:r>
        <w:rPr>
          <w:rFonts w:hint="eastAsia" w:ascii="宋体" w:hAnsi="宋体" w:eastAsia="宋体" w:cs="宋体"/>
          <w:color w:val="000000"/>
          <w:szCs w:val="21"/>
          <w:highlight w:val="none"/>
        </w:rPr>
      </w:r>
      <w:r/>
    </w:p>
    <w:p>
      <w:pPr>
        <w:pStyle w:val="1044"/>
        <w:ind w:firstLine="411"/>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甲方的领导和从事该工程建设项目的工作人员，在工程建设的事前、事中、事后应遵守以下规定：</w:t>
      </w:r>
      <w:r>
        <w:rPr>
          <w:rFonts w:hint="eastAsia" w:ascii="宋体" w:hAnsi="宋体" w:eastAsia="宋体" w:cs="宋体"/>
          <w:color w:val="000000"/>
          <w:szCs w:val="21"/>
          <w:highlight w:val="none"/>
        </w:rPr>
      </w:r>
      <w:r/>
    </w:p>
    <w:p>
      <w:pPr>
        <w:pStyle w:val="1044"/>
        <w:numPr>
          <w:ilvl w:val="0"/>
          <w:numId w:val="26"/>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不准向乙方和相关单位索要或接受回扣、礼金、有价证券、贵重物品和好处费等。 </w:t>
      </w:r>
      <w:r>
        <w:rPr>
          <w:rFonts w:hint="eastAsia" w:ascii="宋体" w:hAnsi="宋体" w:eastAsia="宋体" w:cs="宋体"/>
          <w:color w:val="000000"/>
          <w:szCs w:val="21"/>
          <w:highlight w:val="none"/>
        </w:rPr>
      </w:r>
      <w:r/>
    </w:p>
    <w:p>
      <w:pPr>
        <w:pStyle w:val="1044"/>
        <w:numPr>
          <w:ilvl w:val="0"/>
          <w:numId w:val="26"/>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不准在乙方和相关单位报销任何应由甲方或个人支付的费用。 </w:t>
      </w:r>
      <w:r>
        <w:rPr>
          <w:rFonts w:hint="eastAsia" w:ascii="宋体" w:hAnsi="宋体" w:eastAsia="宋体" w:cs="宋体"/>
          <w:color w:val="000000"/>
          <w:szCs w:val="21"/>
          <w:highlight w:val="none"/>
        </w:rPr>
      </w:r>
      <w:r/>
    </w:p>
    <w:p>
      <w:pPr>
        <w:pStyle w:val="1044"/>
        <w:numPr>
          <w:ilvl w:val="0"/>
          <w:numId w:val="26"/>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不准要求、暗示或接受乙方和相关单位为个人装修住房、婚丧嫁娶、配偶子女的工作安排以及出国（境）、旅游等提供方便。 </w:t>
      </w:r>
      <w:r>
        <w:rPr>
          <w:rFonts w:hint="eastAsia" w:ascii="宋体" w:hAnsi="宋体" w:eastAsia="宋体" w:cs="宋体"/>
          <w:color w:val="000000"/>
          <w:szCs w:val="21"/>
          <w:highlight w:val="none"/>
        </w:rPr>
      </w:r>
      <w:r/>
    </w:p>
    <w:p>
      <w:pPr>
        <w:pStyle w:val="1044"/>
        <w:numPr>
          <w:ilvl w:val="0"/>
          <w:numId w:val="26"/>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不准参加有可能影响公正执行公务的乙方和相关单位的宴请、娱乐等活动。</w:t>
      </w:r>
      <w:r>
        <w:rPr>
          <w:rFonts w:hint="eastAsia" w:ascii="宋体" w:hAnsi="宋体" w:eastAsia="宋体" w:cs="宋体"/>
          <w:color w:val="000000"/>
          <w:szCs w:val="21"/>
          <w:highlight w:val="none"/>
        </w:rPr>
      </w:r>
      <w:r/>
    </w:p>
    <w:p>
      <w:pPr>
        <w:pStyle w:val="1044"/>
        <w:numPr>
          <w:ilvl w:val="0"/>
          <w:numId w:val="26"/>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第三条 乙方的责任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乙方应与甲方保持正常的业务交往，按照有关法律法规和程序开展业务工作，严格执行工程建设的有关方针、政策，并遵守以下规定：</w:t>
      </w:r>
      <w:r>
        <w:rPr>
          <w:rFonts w:hint="eastAsia" w:ascii="宋体" w:hAnsi="宋体" w:eastAsia="宋体" w:cs="宋体"/>
          <w:color w:val="000000"/>
          <w:szCs w:val="21"/>
          <w:highlight w:val="none"/>
        </w:rPr>
      </w:r>
      <w:r/>
    </w:p>
    <w:p>
      <w:pPr>
        <w:pStyle w:val="1044"/>
        <w:numPr>
          <w:ilvl w:val="0"/>
          <w:numId w:val="27"/>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不准以任何理由向甲方及其工作人员索要、接受或赠送礼金、有价证券、贵重物品及回扣、好处费等。</w:t>
      </w:r>
      <w:r>
        <w:rPr>
          <w:rFonts w:hint="eastAsia" w:ascii="宋体" w:hAnsi="宋体" w:eastAsia="宋体" w:cs="宋体"/>
          <w:color w:val="000000"/>
          <w:szCs w:val="21"/>
          <w:highlight w:val="none"/>
        </w:rPr>
      </w:r>
      <w:r/>
    </w:p>
    <w:p>
      <w:pPr>
        <w:pStyle w:val="1044"/>
        <w:numPr>
          <w:ilvl w:val="0"/>
          <w:numId w:val="27"/>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不准以任何理由为甲方和相关单位报销应由对方或个人支付的费用。</w:t>
      </w:r>
      <w:r>
        <w:rPr>
          <w:rFonts w:hint="eastAsia" w:ascii="宋体" w:hAnsi="宋体" w:eastAsia="宋体" w:cs="宋体"/>
          <w:color w:val="000000"/>
          <w:szCs w:val="21"/>
          <w:highlight w:val="none"/>
        </w:rPr>
      </w:r>
      <w:r/>
    </w:p>
    <w:p>
      <w:pPr>
        <w:pStyle w:val="1044"/>
        <w:numPr>
          <w:ilvl w:val="0"/>
          <w:numId w:val="27"/>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不准接受或暗示为甲方、相关单位或个人装修住房、婚丧嫁娶、配偶子女的工作安排以及出国（境）、旅游等提供方便。</w:t>
      </w:r>
      <w:r>
        <w:rPr>
          <w:rFonts w:hint="eastAsia" w:ascii="宋体" w:hAnsi="宋体" w:eastAsia="宋体" w:cs="宋体"/>
          <w:color w:val="000000"/>
          <w:szCs w:val="21"/>
          <w:highlight w:val="none"/>
        </w:rPr>
      </w:r>
      <w:r/>
    </w:p>
    <w:p>
      <w:pPr>
        <w:pStyle w:val="1044"/>
        <w:numPr>
          <w:ilvl w:val="0"/>
          <w:numId w:val="27"/>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不准以任何理由为甲方、相关单位或个人组织有可能影响公正执行公务的宴请、娱乐等活动。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第四条 违约责任</w:t>
      </w:r>
      <w:r>
        <w:rPr>
          <w:rFonts w:hint="eastAsia" w:ascii="宋体" w:hAnsi="宋体" w:eastAsia="宋体" w:cs="宋体"/>
          <w:color w:val="000000"/>
          <w:szCs w:val="21"/>
          <w:highlight w:val="none"/>
        </w:rPr>
      </w:r>
      <w:r/>
    </w:p>
    <w:p>
      <w:pPr>
        <w:pStyle w:val="1044"/>
        <w:numPr>
          <w:ilvl w:val="0"/>
          <w:numId w:val="28"/>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甲方或甲方工作人员有违反本合同第一、二条规定的，按照管理权限，由相城区纪检监察部门依据有关法律法规给予党纪、政纪处分；涉嫌犯罪的，移交司法机关追究刑事责任。</w:t>
      </w:r>
      <w:r>
        <w:rPr>
          <w:rFonts w:hint="eastAsia" w:ascii="宋体" w:hAnsi="宋体" w:eastAsia="宋体" w:cs="宋体"/>
          <w:color w:val="000000"/>
          <w:szCs w:val="21"/>
          <w:highlight w:val="none"/>
        </w:rPr>
      </w:r>
      <w:r/>
    </w:p>
    <w:p>
      <w:pPr>
        <w:pStyle w:val="1044"/>
        <w:numPr>
          <w:ilvl w:val="0"/>
          <w:numId w:val="28"/>
        </w:numPr>
        <w:ind w:firstLine="420"/>
        <w:pageBreakBefore w:val="0"/>
        <w:spacing w:line="360" w:lineRule="auto"/>
        <w:tabs>
          <w:tab w:val="left" w:pos="420" w:leader="none"/>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乙方或乙方工作人员有违反本合同第一、三条规定的，按照管理权限，相城区纪检监察部门将建议相关建设主管部门给与相应的行政处罚；涉嫌犯罪的，移交司法机关追究刑事责任。</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第五条 本合同书作为工程建设项目施工合同的附件，与工程建设项目施工合同具有同等法律效力。经双方签署后立即生效。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第六条 本合同书一式捌份，由甲方、乙方各执肆份。</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日签订于苏州市相城区。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      方：                                                （盖章）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                                                       （签字）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其委托代理人：</w:t>
      </w:r>
      <w:r>
        <w:rPr>
          <w:rFonts w:hint="eastAsia" w:ascii="宋体" w:hAnsi="宋体" w:eastAsia="宋体" w:cs="宋体"/>
          <w:color w:val="000000"/>
          <w:szCs w:val="21"/>
          <w:highlight w:val="none"/>
        </w:rPr>
      </w:r>
      <w:r/>
    </w:p>
    <w:p>
      <w:pPr>
        <w:pStyle w:val="1044"/>
        <w:ind w:left="-2" w:firstLine="10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left="-2" w:firstLine="10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left="-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      方：                                                 （盖章）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                                                       （签字）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其委托代理人：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pageBreakBefore w:val="0"/>
        <w:spacing w:line="360" w:lineRule="auto"/>
        <w:rPr>
          <w:rFonts w:hint="eastAsia" w:ascii="宋体" w:hAnsi="宋体" w:eastAsia="宋体" w:cs="宋体"/>
          <w:color w:val="000000"/>
          <w:sz w:val="24"/>
          <w:szCs w:val="24"/>
          <w:highlight w:val="none"/>
        </w:rPr>
      </w:pPr>
      <w:r/>
      <w:bookmarkStart w:id="668" w:name="_Toc37840173"/>
      <w:r/>
      <w:bookmarkStart w:id="669" w:name="_Toc11912"/>
      <w:r/>
      <w:bookmarkStart w:id="670" w:name="_Toc32326972"/>
      <w:r>
        <w:rPr>
          <w:rFonts w:hint="eastAsia" w:ascii="宋体" w:hAnsi="宋体" w:eastAsia="宋体" w:cs="宋体"/>
          <w:b/>
          <w:color w:val="000000"/>
          <w:sz w:val="24"/>
          <w:szCs w:val="24"/>
          <w:highlight w:val="none"/>
        </w:rPr>
        <w:t xml:space="preserve">第五部分 施工单位考评表</w:t>
      </w:r>
      <w:bookmarkEnd w:id="668"/>
      <w:r/>
      <w:bookmarkEnd w:id="669"/>
      <w:r/>
      <w:bookmarkEnd w:id="670"/>
      <w:r>
        <w:rPr>
          <w:rFonts w:hint="eastAsia" w:ascii="宋体" w:hAnsi="宋体" w:eastAsia="宋体" w:cs="宋体"/>
          <w:color w:val="000000"/>
          <w:sz w:val="24"/>
          <w:szCs w:val="24"/>
          <w:highlight w:val="none"/>
        </w:rPr>
      </w:r>
      <w:r/>
    </w:p>
    <w:tbl>
      <w:tblPr>
        <w:tblpPr w:horzAnchor="margin" w:tblpXSpec="left" w:vertAnchor="page" w:tblpY="1945" w:leftFromText="180" w:topFromText="0" w:rightFromText="180" w:bottomFromText="0"/>
        <w:tblW w:w="9179" w:type="dxa"/>
        <w:tblInd w:w="-108" w:type="dxa"/>
        <w:tblLayout w:type="fixed"/>
        <w:tblCellMar>
          <w:left w:w="108" w:type="dxa"/>
          <w:top w:w="0" w:type="dxa"/>
          <w:right w:w="108" w:type="dxa"/>
          <w:bottom w:w="0" w:type="dxa"/>
        </w:tblCellMar>
        <w:tblLook w:val="04A0" w:firstRow="1" w:lastRow="0" w:firstColumn="1" w:lastColumn="0" w:noHBand="0" w:noVBand="1"/>
      </w:tblPr>
      <w:tblGrid>
        <w:gridCol w:w="929"/>
        <w:gridCol w:w="5604"/>
        <w:gridCol w:w="1245"/>
        <w:gridCol w:w="1401"/>
      </w:tblGrid>
      <w:tr>
        <w:trPr>
          <w:trHeight w:val="497"/>
        </w:trPr>
        <w:tc>
          <w:tcPr>
            <w:shd w:val="clear" w:color="000000"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序号</w:t>
            </w:r>
            <w:r>
              <w:rPr>
                <w:rFonts w:hint="eastAsia" w:ascii="宋体" w:hAnsi="宋体" w:eastAsia="宋体" w:cs="宋体"/>
                <w:color w:val="000000"/>
                <w:szCs w:val="22"/>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评分项</w:t>
            </w:r>
            <w:r>
              <w:rPr>
                <w:rFonts w:hint="eastAsia" w:ascii="宋体" w:hAnsi="宋体" w:eastAsia="宋体" w:cs="宋体"/>
                <w:color w:val="000000"/>
                <w:szCs w:val="22"/>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分值区间</w:t>
            </w:r>
            <w:r>
              <w:rPr>
                <w:rFonts w:hint="eastAsia" w:ascii="宋体" w:hAnsi="宋体" w:eastAsia="宋体" w:cs="宋体"/>
                <w:color w:val="000000"/>
                <w:szCs w:val="22"/>
                <w:highlight w:val="none"/>
              </w:rPr>
            </w:r>
            <w:r/>
          </w:p>
        </w:tc>
        <w:tc>
          <w:tcPr>
            <w:shd w:val="clear" w:color="000000"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 月得分</w:t>
            </w:r>
            <w:r>
              <w:rPr>
                <w:rFonts w:hint="eastAsia" w:ascii="宋体" w:hAnsi="宋体" w:eastAsia="宋体" w:cs="宋体"/>
                <w:color w:val="000000"/>
                <w:szCs w:val="22"/>
                <w:highlight w:val="none"/>
              </w:rPr>
            </w:r>
            <w:r/>
          </w:p>
        </w:tc>
      </w:tr>
      <w:tr>
        <w:trPr>
          <w:trHeight w:val="37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技术力量</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28</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9"/>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项目管理架构清晰程度</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76"/>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人员配置数量、稳定性及综合素质</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725"/>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施工组织设计、施工方案合理可行，施工技术交底的执行</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0-10</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文件资料规范性</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0-8</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8"/>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质量管理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20</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4"/>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材料设备的供应、使用规范</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0-2</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工序质量控制点设置合理，控制措施到位</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交接验收制度执行到位，交接验收记录资料齐全</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0-3</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具有切实可行的质量通病防治措施</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71"/>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2.5</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质量整改积极主动，不故意拖延</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进度管理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20</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2"/>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3.1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施工进度计划合理，预判、预控能力</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75"/>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3.2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实际进度与计划进度吻合程度</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8"/>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3.3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进度计划未完成时的补救能力</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4"/>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3.4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对其他交叉、并行施工单位的协同能力</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配合意识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20</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4"/>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4.1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积极响应甲方、监理指令</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0-5</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4.2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积极参加例会，响应会议共识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0-4</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71"/>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4.3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对于图纸、资料问题，能积极提出建设性意见</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0-4</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725"/>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4.4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积极配合分包单位，对分包单位的施工进行协调与管理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0-7</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2"/>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5</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安全文明管理</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12</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5.1</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有效的半成品、成品保护措施</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0-2</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90"/>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5.2</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临时用电规范，不存在违规用电现象</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0-2</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84"/>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5.3</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安全防护措施到位，未发生安全事故</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0-4</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67"/>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5.4</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现场材料堆放整齐、垃圾清运及时、扬尘控制到位</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0-4</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r>
        <w:trPr>
          <w:trHeight w:val="376"/>
        </w:trPr>
        <w:tc>
          <w:tcPr>
            <w:shd w:val="clear" w:color="000000" w:fill="auto"/>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6</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5604" w:type="dxa"/>
            <w:vAlign w:val="center"/>
            <w:textDirection w:val="lrTb"/>
            <w:noWrap w:val="false"/>
          </w:tcPr>
          <w:p>
            <w:pPr>
              <w:pStyle w:val="1044"/>
              <w:jc w:val="left"/>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合计</w:t>
            </w:r>
            <w:r>
              <w:rPr>
                <w:rFonts w:hint="eastAsia" w:ascii="宋体" w:hAnsi="宋体" w:eastAsia="宋体" w:cs="宋体"/>
                <w:color w:val="000000"/>
                <w:szCs w:val="22"/>
                <w:highlight w:val="none"/>
              </w:rPr>
            </w:r>
            <w:r/>
          </w:p>
        </w:tc>
        <w:tc>
          <w:tcPr>
            <w:shd w:val="clear" w:color="000000" w:fill="auto"/>
            <w:tcBorders>
              <w:top w:val="none" w:color="000000" w:sz="4" w:space="0"/>
              <w:left w:val="none" w:color="000000" w:sz="4" w:space="0"/>
              <w:bottom w:val="single" w:color="000000" w:sz="4" w:space="0"/>
              <w:right w:val="single" w:color="000000" w:sz="4" w:space="0"/>
            </w:tcBorders>
            <w:tcW w:w="1245" w:type="dxa"/>
            <w:vAlign w:val="top"/>
            <w:textDirection w:val="lrTb"/>
            <w:noWrap w:val="false"/>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t xml:space="preserve">100</w:t>
            </w:r>
            <w:r>
              <w:rPr>
                <w:rFonts w:hint="eastAsia" w:ascii="宋体" w:hAnsi="宋体" w:eastAsia="宋体" w:cs="宋体"/>
                <w:color w:val="000000"/>
                <w:szCs w:val="22"/>
                <w:highlight w:val="none"/>
              </w:rPr>
            </w:r>
            <w:r/>
          </w:p>
        </w:tc>
        <w:tc>
          <w:tcPr>
            <w:shd w:val="clear" w:color="000000" w:fill="auto"/>
            <w:tcBorders>
              <w:top w:val="none" w:color="000000" w:sz="4" w:space="0"/>
              <w:left w:val="single" w:color="000000" w:sz="4" w:space="0"/>
              <w:bottom w:val="single" w:color="000000" w:sz="4" w:space="0"/>
              <w:right w:val="single" w:color="000000" w:sz="4" w:space="0"/>
            </w:tcBorders>
            <w:tcW w:w="1401" w:type="dxa"/>
            <w:vAlign w:val="center"/>
            <w:textDirection w:val="lrTb"/>
            <w:noWrap/>
          </w:tcPr>
          <w:p>
            <w:pPr>
              <w:pStyle w:val="1044"/>
              <w:jc w:val="center"/>
              <w:pageBreakBefore w:val="0"/>
              <w:spacing w:line="360" w:lineRule="auto"/>
              <w:widowControl/>
              <w:rPr>
                <w:rFonts w:hint="eastAsia" w:ascii="宋体" w:hAnsi="宋体" w:eastAsia="宋体" w:cs="宋体"/>
                <w:color w:val="000000"/>
                <w:szCs w:val="22"/>
                <w:highlight w:val="none"/>
              </w:rPr>
              <w:framePr w:vAnchor="page" w:hAnchor="margin" w:y="1945"/>
            </w:pPr>
            <w:r>
              <w:rPr>
                <w:rFonts w:hint="eastAsia" w:ascii="宋体" w:hAnsi="宋体" w:eastAsia="宋体" w:cs="宋体"/>
                <w:color w:val="000000"/>
                <w:szCs w:val="22"/>
                <w:highlight w:val="none"/>
              </w:rPr>
            </w:r>
            <w:r/>
          </w:p>
        </w:tc>
      </w:tr>
    </w:tbl>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评定得分为89（含）分</w:t>
      </w:r>
      <w:r>
        <w:rPr>
          <w:rFonts w:hint="eastAsia" w:ascii="宋体" w:hAnsi="宋体" w:eastAsia="宋体" w:cs="宋体"/>
          <w:color w:val="000000"/>
          <w:szCs w:val="21"/>
          <w:highlight w:val="none"/>
          <w:lang w:val="en-US" w:eastAsia="zh-CN"/>
        </w:rPr>
        <w:t xml:space="preserve">以上的，不扣除；</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t xml:space="preserve">评定得分为80（含）~89分的，按扣减分每分200元从工程款中扣除；评定得分为70（含）~79分的，按扣减分每分300元从工程款中扣除；评定得分为60（含）~69分的，按扣减分每分400元从工程款中扣除；评定得分为59分（含）以下的，按扣减分每分</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00元从工程款中扣除。2、经审计的审定价=造价事务所审定的工程总价－施工单位每月的考评分扣款。</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jc w:val="center"/>
        <w:keepLines/>
        <w:keepNext/>
        <w:pageBreakBefore w:val="0"/>
        <w:spacing w:before="260" w:after="260" w:line="360" w:lineRule="auto"/>
        <w:rPr>
          <w:rFonts w:hint="eastAsia" w:ascii="宋体" w:hAnsi="宋体" w:eastAsia="宋体" w:cs="宋体"/>
          <w:b/>
          <w:bCs/>
          <w:color w:val="000000"/>
          <w:sz w:val="44"/>
          <w:szCs w:val="44"/>
          <w:highlight w:val="none"/>
        </w:rPr>
        <w:outlineLvl w:val="2"/>
      </w:pPr>
      <w:r>
        <w:rPr>
          <w:rFonts w:hint="eastAsia" w:ascii="宋体" w:hAnsi="宋体" w:eastAsia="宋体" w:cs="宋体"/>
          <w:b/>
          <w:bCs/>
          <w:color w:val="000000"/>
          <w:sz w:val="44"/>
          <w:szCs w:val="44"/>
          <w:highlight w:val="none"/>
        </w:rPr>
        <w:t xml:space="preserve">第六部分</w:t>
      </w:r>
      <w:bookmarkStart w:id="671" w:name="_Toc13002_WPSOffice_Level1"/>
      <w:r/>
      <w:bookmarkStart w:id="672" w:name="_Toc20670_WPSOffice_Level1"/>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安全生产合同</w:t>
      </w:r>
      <w:bookmarkEnd w:id="671"/>
      <w:r/>
      <w:bookmarkEnd w:id="672"/>
      <w:r>
        <w:rPr>
          <w:rFonts w:hint="eastAsia" w:ascii="宋体" w:hAnsi="宋体" w:eastAsia="宋体" w:cs="宋体"/>
          <w:b/>
          <w:bCs/>
          <w:color w:val="000000"/>
          <w:sz w:val="44"/>
          <w:szCs w:val="44"/>
          <w:highlight w:val="none"/>
        </w:rPr>
      </w:r>
      <w:r/>
    </w:p>
    <w:p>
      <w:pPr>
        <w:pStyle w:val="1044"/>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44"/>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施工合同的实施过程中创造安全、高效的施工环境，切实搞好本项目的安全管理工作，本项目发包人（以下简称“甲方”）与承包人（以下简称“乙方”）依据相关法律法规及本项目施工合同特此签订安全生产合同：</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bookmarkStart w:id="673" w:name="_Toc1017_WPSOffice_Level1"/>
      <w:r/>
      <w:bookmarkStart w:id="674" w:name="_Toc5481_WPSOffice_Level1"/>
      <w:r>
        <w:rPr>
          <w:rFonts w:hint="eastAsia" w:ascii="宋体" w:hAnsi="宋体" w:eastAsia="宋体" w:cs="宋体"/>
          <w:color w:val="000000"/>
          <w:szCs w:val="21"/>
          <w:highlight w:val="none"/>
        </w:rPr>
        <w:t xml:space="preserve">一、甲方职责</w:t>
      </w:r>
      <w:bookmarkEnd w:id="673"/>
      <w:r/>
      <w:bookmarkEnd w:id="674"/>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1、严格遵守国家有关安全生产的法律法规。</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2、按照“安全第一、预防为主”和坚持“管生产必须管安全”的原则督促乙方做好安全生产管理工作。</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3、定期召开安全生产调度会，及时传达中央及地方有关安全生产的精神。</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4、组织对乙方施工现场安全生产检查，监督乙方及时处理发现的各种安全隐患。</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bookmarkStart w:id="675" w:name="_Toc12278_WPSOffice_Level1"/>
      <w:r/>
      <w:bookmarkStart w:id="676" w:name="_Toc16330_WPSOffice_Level1"/>
      <w:r>
        <w:rPr>
          <w:rFonts w:hint="eastAsia" w:ascii="宋体" w:hAnsi="宋体" w:eastAsia="宋体" w:cs="宋体"/>
          <w:color w:val="000000"/>
          <w:szCs w:val="21"/>
          <w:highlight w:val="none"/>
        </w:rPr>
        <w:t xml:space="preserve">二、乙方职责</w:t>
      </w:r>
      <w:bookmarkEnd w:id="675"/>
      <w:r/>
      <w:bookmarkEnd w:id="676"/>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1、严格遵守国家有关安全生产的法律法规及甲方的安全生产管理规定，认真执行工程承包合同中的有关安全要求。</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是施工现场安全生产的第一责任人。现场设置的安全机构，应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11、乙方负责办理所有相关的工程保险和人员保险，自行承担人身、财产、安全责任。</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bookmarkStart w:id="677" w:name="_Toc25132_WPSOffice_Level1"/>
      <w:r/>
      <w:bookmarkStart w:id="678" w:name="_Toc28692_WPSOffice_Level1"/>
      <w:r>
        <w:rPr>
          <w:rFonts w:hint="eastAsia" w:ascii="宋体" w:hAnsi="宋体" w:eastAsia="宋体" w:cs="宋体"/>
          <w:color w:val="000000"/>
          <w:szCs w:val="21"/>
          <w:highlight w:val="none"/>
        </w:rPr>
        <w:t xml:space="preserve">三、违约责任</w:t>
      </w:r>
      <w:bookmarkEnd w:id="677"/>
      <w:r/>
      <w:bookmarkEnd w:id="678"/>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1、乙方应严格遵守《中华人民共和国安全生产法》、《建设工程安全生产管理条例》及甲方有关规章制度规定，并承担下述安全生产违约责任：</w:t>
      </w:r>
      <w:r>
        <w:rPr>
          <w:rFonts w:hint="eastAsia" w:ascii="宋体" w:hAnsi="宋体" w:eastAsia="宋体" w:cs="宋体"/>
          <w:color w:val="000000"/>
          <w:szCs w:val="21"/>
          <w:highlight w:val="none"/>
        </w:rPr>
      </w:r>
      <w:r/>
    </w:p>
    <w:p>
      <w:pPr>
        <w:pStyle w:val="1044"/>
        <w:ind w:firstLine="422"/>
        <w:pageBreakBefore w:val="0"/>
        <w:spacing w:line="360" w:lineRule="auto"/>
        <w:widowControl/>
        <w:rPr>
          <w:rFonts w:hint="eastAsia" w:ascii="宋体" w:hAnsi="宋体" w:eastAsia="宋体" w:cs="宋体"/>
          <w:b/>
          <w:color w:val="000000"/>
          <w:szCs w:val="21"/>
          <w:highlight w:val="none"/>
        </w:rPr>
      </w:pPr>
      <w:r/>
      <w:bookmarkStart w:id="679" w:name="_Toc13922_WPSOffice_Level1"/>
      <w:r/>
      <w:bookmarkStart w:id="680" w:name="_Toc15211_WPSOffice_Level1"/>
      <w:r>
        <w:rPr>
          <w:rFonts w:hint="eastAsia" w:ascii="宋体" w:hAnsi="宋体" w:eastAsia="宋体" w:cs="宋体"/>
          <w:b/>
          <w:color w:val="000000"/>
          <w:szCs w:val="21"/>
          <w:highlight w:val="none"/>
        </w:rPr>
        <w:t xml:space="preserve">制度管理：</w:t>
      </w:r>
      <w:bookmarkEnd w:id="679"/>
      <w:r/>
      <w:bookmarkEnd w:id="680"/>
      <w:r>
        <w:rPr>
          <w:rFonts w:hint="eastAsia" w:ascii="宋体" w:hAnsi="宋体" w:eastAsia="宋体" w:cs="宋体"/>
          <w:b/>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1）安全生产责任制的建立及实施：未建立的，罚款2000元，未实施或实施不到位的，罚款2000元；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2）安全生产台帐和资料归档：未建立的，罚款2000元，资料不全的，每处按200元罚款；</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3）各项操作规程：未建立的，每项罚款2000元；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4）应急预案及应急救援队伍：未制定应急救援预案或未成立应急救援队伍的，各按5000元罚款；</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5）事故报告：未建立事故报告制度的，罚款2000元；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6）事故隐患整改：未建立事故隐患排查治理计划的，罚款5000元；</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7）因安全生产工作处置不力，引起举报和上访的，每次按1万元罚款；</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8）未建立企业职工三级安全生产培训教育制度或未进行培训教育的，罚款5000元；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9）参加安全生产会议无故迟到或报表超时的，每次罚款500元。无故不参加安全生产会议或不报表的，每次罚款1000元；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10）其他未按照国家安全生产法律法规制定各项规章制度的，每项按500元罚款。</w:t>
      </w:r>
      <w:r>
        <w:rPr>
          <w:rFonts w:hint="eastAsia" w:ascii="宋体" w:hAnsi="宋体" w:eastAsia="宋体" w:cs="宋体"/>
          <w:color w:val="000000"/>
          <w:szCs w:val="21"/>
          <w:highlight w:val="none"/>
          <w:u w:val="single"/>
        </w:rPr>
      </w:r>
      <w:r/>
    </w:p>
    <w:p>
      <w:pPr>
        <w:pStyle w:val="1044"/>
        <w:ind w:firstLine="422"/>
        <w:pageBreakBefore w:val="0"/>
        <w:spacing w:line="360" w:lineRule="auto"/>
        <w:widowControl/>
        <w:rPr>
          <w:rFonts w:hint="eastAsia" w:ascii="宋体" w:hAnsi="宋体" w:eastAsia="宋体" w:cs="宋体"/>
          <w:b/>
          <w:color w:val="000000"/>
          <w:szCs w:val="21"/>
          <w:highlight w:val="none"/>
        </w:rPr>
      </w:pPr>
      <w:r/>
      <w:bookmarkStart w:id="681" w:name="_Toc28293_WPSOffice_Level1"/>
      <w:r/>
      <w:bookmarkStart w:id="682" w:name="_Toc26594_WPSOffice_Level1"/>
      <w:r>
        <w:rPr>
          <w:rFonts w:hint="eastAsia" w:ascii="宋体" w:hAnsi="宋体" w:eastAsia="宋体" w:cs="宋体"/>
          <w:b/>
          <w:color w:val="000000"/>
          <w:szCs w:val="21"/>
          <w:highlight w:val="none"/>
        </w:rPr>
        <w:t xml:space="preserve">现场管理：</w:t>
      </w:r>
      <w:bookmarkEnd w:id="681"/>
      <w:r/>
      <w:bookmarkEnd w:id="682"/>
      <w:r>
        <w:rPr>
          <w:rFonts w:hint="eastAsia" w:ascii="宋体" w:hAnsi="宋体" w:eastAsia="宋体" w:cs="宋体"/>
          <w:b/>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11）违章指挥、违章作业、违反操作规程造成一般事故的，罚款3万元；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12）使用未检或超时限检验特种设备的，每发现一次罚款2000元； </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13）施工现场人员未着安全帽、工作服等劳动防护用品的，每发现一人罚款300元；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14）不按照操作规程运输、储存、使用化学危险品的，每次罚款5000元；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15）作业场所及有关设备无安全警示标志、高处作业缺乏防护措施、易燃易爆部位缺少消防设施设备的，每处罚款2000元；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16）特种作业人员无从事相应作业资质的，责令其停止作业，并处罚款1万元；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17）发生事故后推诿拖延、救援不力的，视情节罚款1万元至5万元； </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18）发生酗酒闹事、打架斗殴等致人轻伤以上的治安案件，罚款10万元；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19）其他违反国家安全生产法律、法规、规章、标准，施工现场出现冒险作业、不听指令的，未造成事故的，罚款5000元。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20）不服从发包人管理的，或对发包人提出的要求不予及时整改的，发包人视情节给予1000元至10万元的罚款。</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1）施工单位需按苏建筑安全委办</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t xml:space="preserve">2022]8号文配备建筑施工安全管理人员。</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2）为贯彻落实建筑施工过程中“零事故”目标，有效减少建筑施工现场“三违”现象发生，须在建筑工地实施“一带一帽”管理，施工单位未按要求实施“一带一帽”管理的，</w:t>
      </w:r>
      <w:r>
        <w:rPr>
          <w:rFonts w:hint="eastAsia" w:ascii="宋体" w:hAnsi="宋体" w:eastAsia="宋体" w:cs="宋体"/>
          <w:color w:val="000000"/>
          <w:szCs w:val="21"/>
          <w:highlight w:val="none"/>
          <w:u w:val="single"/>
        </w:rPr>
        <w:t xml:space="preserve">在工程结算时安全生产、文明施工措施费参照《相城区政府（国资）项目施工现场安全生产、文明施工措施费检查考核表》予以相应的扣减，详见附件1。</w:t>
      </w:r>
      <w:r>
        <w:rPr>
          <w:rFonts w:hint="eastAsia" w:ascii="宋体" w:hAnsi="宋体" w:eastAsia="宋体" w:cs="宋体"/>
          <w:color w:val="000000"/>
          <w:szCs w:val="21"/>
          <w:highlight w:val="none"/>
          <w:u w:val="single"/>
        </w:rPr>
      </w:r>
      <w:r/>
    </w:p>
    <w:p>
      <w:pPr>
        <w:pStyle w:val="1044"/>
        <w:ind w:firstLine="422"/>
        <w:pageBreakBefore w:val="0"/>
        <w:spacing w:line="360" w:lineRule="auto"/>
        <w:widowControl/>
        <w:rPr>
          <w:rFonts w:hint="eastAsia" w:ascii="宋体" w:hAnsi="宋体" w:eastAsia="宋体" w:cs="宋体"/>
          <w:b/>
          <w:color w:val="000000"/>
          <w:szCs w:val="21"/>
          <w:highlight w:val="none"/>
        </w:rPr>
      </w:pPr>
      <w:r/>
      <w:bookmarkStart w:id="683" w:name="_Toc26733_WPSOffice_Level1"/>
      <w:r/>
      <w:bookmarkStart w:id="684" w:name="_Toc11594_WPSOffice_Level1"/>
      <w:r>
        <w:rPr>
          <w:rFonts w:hint="eastAsia" w:ascii="宋体" w:hAnsi="宋体" w:eastAsia="宋体" w:cs="宋体"/>
          <w:b/>
          <w:color w:val="000000"/>
          <w:szCs w:val="21"/>
          <w:highlight w:val="none"/>
        </w:rPr>
        <w:t xml:space="preserve">事故处理：</w:t>
      </w:r>
      <w:bookmarkEnd w:id="683"/>
      <w:r/>
      <w:bookmarkEnd w:id="684"/>
      <w:r>
        <w:rPr>
          <w:rFonts w:hint="eastAsia" w:ascii="宋体" w:hAnsi="宋体" w:eastAsia="宋体" w:cs="宋体"/>
          <w:b/>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3）</w:t>
      </w:r>
      <w:r>
        <w:rPr>
          <w:rFonts w:hint="eastAsia" w:ascii="宋体" w:hAnsi="宋体" w:eastAsia="宋体" w:cs="宋体"/>
          <w:color w:val="000000"/>
          <w:szCs w:val="21"/>
          <w:highlight w:val="none"/>
          <w:u w:val="single"/>
        </w:rPr>
        <w:t xml:space="preserve">造成一般责任事故（是指造成3人以下死亡，或者10人以下重伤，或者1000万元以下直接经济损失的事故）的，除依法处理外，罚款合同总价款的</w:t>
      </w:r>
      <w:r>
        <w:rPr>
          <w:rFonts w:hint="eastAsia" w:ascii="宋体" w:hAnsi="宋体" w:eastAsia="宋体" w:cs="宋体"/>
          <w:color w:val="000000"/>
          <w:szCs w:val="21"/>
          <w:highlight w:val="none"/>
          <w:u w:val="single"/>
        </w:rPr>
        <w:t xml:space="preserve">5%；</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4</w:t>
      </w:r>
      <w:r>
        <w:rPr>
          <w:rFonts w:hint="eastAsia" w:ascii="宋体" w:hAnsi="宋体" w:eastAsia="宋体" w:cs="宋体"/>
          <w:color w:val="000000"/>
          <w:szCs w:val="21"/>
          <w:highlight w:val="none"/>
          <w:u w:val="single"/>
        </w:rPr>
        <w:t xml:space="preserve">）造成较大责任事故（是指造成3人以上10人以下死亡，或者10人以上50人以下重伤，或者1000万元以上5000万元以下直接经济损失的事故）的，除依法处理外，罚款合同总价款的</w:t>
      </w:r>
      <w:r>
        <w:rPr>
          <w:rFonts w:hint="eastAsia" w:ascii="宋体" w:hAnsi="宋体" w:eastAsia="宋体" w:cs="宋体"/>
          <w:color w:val="000000"/>
          <w:szCs w:val="21"/>
          <w:highlight w:val="none"/>
          <w:u w:val="single"/>
        </w:rPr>
        <w:t xml:space="preserve">10</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5</w:t>
      </w:r>
      <w:r>
        <w:rPr>
          <w:rFonts w:hint="eastAsia" w:ascii="宋体" w:hAnsi="宋体" w:eastAsia="宋体" w:cs="宋体"/>
          <w:color w:val="000000"/>
          <w:szCs w:val="21"/>
          <w:highlight w:val="none"/>
          <w:u w:val="single"/>
        </w:rPr>
        <w:t xml:space="preserve">）造成重大责任事故（是指造成10人以上30人以下死亡，或者50人以上100人以下重伤，或者5000万元以上1亿元以下直接经济损失的事故）的，除依法处理外，罚款合同总价款的</w:t>
      </w:r>
      <w:r>
        <w:rPr>
          <w:rFonts w:hint="eastAsia" w:ascii="宋体" w:hAnsi="宋体" w:eastAsia="宋体" w:cs="宋体"/>
          <w:color w:val="000000"/>
          <w:szCs w:val="21"/>
          <w:highlight w:val="none"/>
          <w:u w:val="single"/>
        </w:rPr>
        <w:t xml:space="preserve">15</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6</w:t>
      </w:r>
      <w:r>
        <w:rPr>
          <w:rFonts w:hint="eastAsia" w:ascii="宋体" w:hAnsi="宋体" w:eastAsia="宋体" w:cs="宋体"/>
          <w:color w:val="000000"/>
          <w:szCs w:val="21"/>
          <w:highlight w:val="none"/>
          <w:u w:val="single"/>
        </w:rPr>
        <w:t xml:space="preserve">）造成特别重大责任事故（是指造成30人以上死亡，或者100人以上重伤，包括急性工业中毒，或者1亿元以上直接经济损失的事故）的，除依法处理外，罚款合同总价款的</w:t>
      </w:r>
      <w:r>
        <w:rPr>
          <w:rFonts w:hint="eastAsia" w:ascii="宋体" w:hAnsi="宋体" w:eastAsia="宋体" w:cs="宋体"/>
          <w:color w:val="000000"/>
          <w:szCs w:val="21"/>
          <w:highlight w:val="none"/>
          <w:u w:val="single"/>
        </w:rPr>
        <w:t xml:space="preserve">20</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7</w:t>
      </w:r>
      <w:r>
        <w:rPr>
          <w:rFonts w:hint="eastAsia" w:ascii="宋体" w:hAnsi="宋体" w:eastAsia="宋体" w:cs="宋体"/>
          <w:color w:val="000000"/>
          <w:szCs w:val="21"/>
          <w:highlight w:val="none"/>
          <w:u w:val="single"/>
        </w:rPr>
        <w:t xml:space="preserve">）发生事故后不报告或者拖延报告造成不良影响的，除依法处理外，视影响程度，罚款10万元至50万元；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u w:val="single"/>
        </w:rPr>
        <w:t xml:space="preserve">8</w:t>
      </w:r>
      <w:r>
        <w:rPr>
          <w:rFonts w:hint="eastAsia" w:ascii="宋体" w:hAnsi="宋体" w:eastAsia="宋体" w:cs="宋体"/>
          <w:color w:val="000000"/>
          <w:szCs w:val="21"/>
          <w:highlight w:val="none"/>
          <w:u w:val="single"/>
        </w:rPr>
        <w:t xml:space="preserve">）其他违反国家法律、法规、规章，弄虚作假、不配合事故调查的，罚款1</w:t>
      </w:r>
      <w:r>
        <w:rPr>
          <w:rFonts w:hint="eastAsia" w:ascii="宋体" w:hAnsi="宋体" w:eastAsia="宋体" w:cs="宋体"/>
          <w:color w:val="000000"/>
          <w:szCs w:val="21"/>
          <w:highlight w:val="none"/>
          <w:u w:val="single"/>
        </w:rPr>
        <w:t xml:space="preserve">0</w:t>
      </w:r>
      <w:r>
        <w:rPr>
          <w:rFonts w:hint="eastAsia" w:ascii="宋体" w:hAnsi="宋体" w:eastAsia="宋体" w:cs="宋体"/>
          <w:color w:val="000000"/>
          <w:szCs w:val="21"/>
          <w:highlight w:val="none"/>
          <w:u w:val="single"/>
        </w:rPr>
        <w:t xml:space="preserve">万元。</w:t>
      </w:r>
      <w:r>
        <w:rPr>
          <w:rFonts w:hint="eastAsia" w:ascii="宋体" w:hAnsi="宋体" w:eastAsia="宋体" w:cs="宋体"/>
          <w:color w:val="000000"/>
          <w:szCs w:val="21"/>
          <w:highlight w:val="none"/>
          <w:u w:val="singl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施工过程中发生的一切安全问题、安全事故，乙方应第一时间进行处理、救援，因乙方处理不及时或处理不恰当而造成上访或不良社会影响等，乙方除按上述约定向甲方支付罚款外，还应向甲方支付合同总价款</w:t>
      </w:r>
      <w:r>
        <w:rPr>
          <w:rFonts w:hint="eastAsia" w:ascii="宋体" w:hAnsi="宋体" w:eastAsia="宋体" w:cs="宋体"/>
          <w:color w:val="000000"/>
          <w:szCs w:val="21"/>
          <w:highlight w:val="none"/>
        </w:rPr>
        <w:t xml:space="preserve">2%的违约金</w:t>
      </w:r>
      <w:r>
        <w:rPr>
          <w:rFonts w:hint="eastAsia" w:ascii="宋体" w:hAnsi="宋体" w:eastAsia="宋体" w:cs="宋体"/>
          <w:color w:val="000000"/>
          <w:szCs w:val="21"/>
          <w:highlight w:val="none"/>
        </w:rPr>
        <w:t xml:space="preserve">，且应赔偿因乙方对安全问题、事故处理不利而给甲方造成的一切损失。</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3、本项目施工过程中发生的一切安全事故由乙方自行负责，乙方应及时依法处理并承担法律责任，与甲方无关。</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rPr>
        <w:t xml:space="preserve">捌</w:t>
      </w:r>
      <w:r>
        <w:rPr>
          <w:rFonts w:hint="eastAsia" w:ascii="宋体" w:hAnsi="宋体" w:eastAsia="宋体" w:cs="宋体"/>
          <w:color w:val="000000"/>
          <w:szCs w:val="21"/>
          <w:highlight w:val="none"/>
        </w:rPr>
        <w:t xml:space="preserve">份，甲方执肆份，乙方执肆份，具有同等的法律效力。由双方加盖公章后生效。</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日签订于苏州市相城区。</w:t>
      </w: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firstLine="42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      方：                                                （盖章）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                                                       （签字）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其委托代理人：</w:t>
      </w:r>
      <w:r>
        <w:rPr>
          <w:rFonts w:hint="eastAsia" w:ascii="宋体" w:hAnsi="宋体" w:eastAsia="宋体" w:cs="宋体"/>
          <w:color w:val="000000"/>
          <w:szCs w:val="21"/>
          <w:highlight w:val="none"/>
        </w:rPr>
      </w:r>
      <w:r/>
    </w:p>
    <w:p>
      <w:pPr>
        <w:pStyle w:val="1044"/>
        <w:ind w:left="-2" w:firstLine="10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left="-2" w:firstLine="10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left="-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      方：                                                 （盖章） </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                                                       （签字）</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其委托代理人：</w:t>
      </w:r>
      <w:r>
        <w:rPr>
          <w:rFonts w:hint="eastAsia" w:ascii="宋体" w:hAnsi="宋体" w:eastAsia="宋体" w:cs="宋体"/>
          <w:color w:val="000000"/>
          <w:szCs w:val="21"/>
          <w:highlight w:val="none"/>
        </w:rPr>
      </w:r>
      <w:r/>
    </w:p>
    <w:p>
      <w:pPr>
        <w:pStyle w:val="1044"/>
        <w:pageBreakBefore w:val="0"/>
        <w:spacing w:line="360" w:lineRule="auto"/>
        <w:rPr>
          <w:rFonts w:hint="eastAsia" w:ascii="宋体" w:hAnsi="宋体" w:eastAsia="宋体" w:cs="宋体"/>
          <w:color w:val="000000"/>
          <w:sz w:val="32"/>
          <w:szCs w:val="32"/>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eastAsia="宋体" w:cs="宋体"/>
          <w:color w:val="000000"/>
          <w:sz w:val="32"/>
          <w:szCs w:val="32"/>
          <w:highlight w:val="none"/>
        </w:rPr>
      </w:r>
      <w:r/>
    </w:p>
    <w:p>
      <w:pPr>
        <w:pStyle w:val="1044"/>
        <w:pageBreakBefore w:val="0"/>
        <w:spacing w:line="360" w:lineRule="auto"/>
        <w:rPr>
          <w:rFonts w:hint="eastAsia" w:ascii="宋体" w:hAnsi="宋体" w:eastAsia="宋体" w:cs="宋体"/>
          <w:color w:val="000000"/>
          <w:sz w:val="36"/>
          <w:szCs w:val="22"/>
          <w:highlight w:val="none"/>
        </w:rPr>
      </w:pPr>
      <w:r>
        <w:rPr>
          <w:rFonts w:hint="eastAsia" w:ascii="宋体" w:hAnsi="宋体" w:eastAsia="宋体" w:cs="宋体"/>
          <w:color w:val="000000"/>
          <w:sz w:val="32"/>
          <w:szCs w:val="32"/>
          <w:highlight w:val="none"/>
        </w:rPr>
        <w:t xml:space="preserve">附件</w:t>
      </w:r>
      <w:r>
        <w:rPr>
          <w:rFonts w:hint="eastAsia" w:ascii="宋体" w:hAnsi="宋体" w:eastAsia="宋体" w:cs="宋体"/>
          <w:color w:val="000000"/>
          <w:sz w:val="32"/>
          <w:szCs w:val="32"/>
          <w:highlight w:val="none"/>
        </w:rPr>
        <w:t xml:space="preserve">1  </w:t>
      </w:r>
      <w:r>
        <w:rPr>
          <w:rFonts w:hint="eastAsia" w:ascii="宋体" w:hAnsi="宋体" w:eastAsia="宋体" w:cs="宋体"/>
          <w:color w:val="000000"/>
          <w:sz w:val="36"/>
          <w:szCs w:val="22"/>
          <w:highlight w:val="none"/>
        </w:rPr>
        <w:t xml:space="preserve">相城区政府（国资）项目施工现场安全文明施工措施费检查考核表</w:t>
      </w:r>
      <w:r>
        <w:rPr>
          <w:rFonts w:hint="eastAsia" w:ascii="宋体" w:hAnsi="宋体" w:eastAsia="宋体" w:cs="宋体"/>
          <w:color w:val="000000"/>
          <w:sz w:val="36"/>
          <w:szCs w:val="22"/>
          <w:highlight w:val="none"/>
        </w:rPr>
      </w:r>
      <w:r/>
    </w:p>
    <w:tbl>
      <w:tblPr>
        <w:tblW w:w="13722" w:type="dxa"/>
        <w:tblInd w:w="-108" w:type="dxa"/>
        <w:tblLayout w:type="fixed"/>
        <w:tblCellMar>
          <w:left w:w="108" w:type="dxa"/>
          <w:top w:w="0" w:type="dxa"/>
          <w:right w:w="108" w:type="dxa"/>
          <w:bottom w:w="0" w:type="dxa"/>
        </w:tblCellMar>
        <w:tblLook w:val="04A0" w:firstRow="1" w:lastRow="0" w:firstColumn="1" w:lastColumn="0" w:noHBand="0" w:noVBand="1"/>
      </w:tblPr>
      <w:tblGrid>
        <w:gridCol w:w="744"/>
        <w:gridCol w:w="1509"/>
        <w:gridCol w:w="381"/>
        <w:gridCol w:w="360"/>
        <w:gridCol w:w="867"/>
        <w:gridCol w:w="2739"/>
        <w:gridCol w:w="447"/>
        <w:gridCol w:w="574"/>
        <w:gridCol w:w="2835"/>
        <w:gridCol w:w="353"/>
        <w:gridCol w:w="1326"/>
        <w:gridCol w:w="867"/>
        <w:gridCol w:w="720"/>
      </w:tblGrid>
      <w:tr>
        <w:trPr>
          <w:trHeight w:val="624" w:hRule="exact"/>
        </w:trPr>
        <w:tc>
          <w:tcPr>
            <w:gridSpan w:val="3"/>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项目名称</w:t>
            </w:r>
            <w:r>
              <w:rPr>
                <w:rFonts w:hint="eastAsia" w:ascii="宋体" w:hAnsi="宋体" w:eastAsia="宋体" w:cs="宋体"/>
                <w:color w:val="000000"/>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建设单位</w:t>
            </w:r>
            <w:r>
              <w:rPr>
                <w:rFonts w:hint="eastAsia" w:ascii="宋体" w:hAnsi="宋体" w:eastAsia="宋体" w:cs="宋体"/>
                <w:color w:val="000000"/>
                <w:szCs w:val="21"/>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624" w:hRule="exact"/>
        </w:trPr>
        <w:tc>
          <w:tcPr>
            <w:gridSpan w:val="3"/>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施工企业</w:t>
            </w:r>
            <w:r>
              <w:rPr>
                <w:rFonts w:hint="eastAsia" w:ascii="宋体" w:hAnsi="宋体" w:eastAsia="宋体" w:cs="宋体"/>
                <w:color w:val="000000"/>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项目经理</w:t>
            </w:r>
            <w:r>
              <w:rPr>
                <w:rFonts w:hint="eastAsia" w:ascii="宋体" w:hAnsi="宋体" w:eastAsia="宋体" w:cs="宋体"/>
                <w:color w:val="000000"/>
                <w:szCs w:val="21"/>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624" w:hRule="exact"/>
        </w:trPr>
        <w:tc>
          <w:tcPr>
            <w:gridSpan w:val="3"/>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监理企业</w:t>
            </w:r>
            <w:r>
              <w:rPr>
                <w:rFonts w:hint="eastAsia" w:ascii="宋体" w:hAnsi="宋体" w:eastAsia="宋体" w:cs="宋体"/>
                <w:color w:val="000000"/>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项目总监</w:t>
            </w:r>
            <w:r>
              <w:rPr>
                <w:rFonts w:hint="eastAsia" w:ascii="宋体" w:hAnsi="宋体" w:eastAsia="宋体" w:cs="宋体"/>
                <w:color w:val="000000"/>
                <w:szCs w:val="21"/>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533"/>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检查对象</w:t>
            </w:r>
            <w:r>
              <w:rPr>
                <w:rFonts w:hint="eastAsia" w:ascii="宋体" w:hAnsi="宋体" w:eastAsia="宋体" w:cs="宋体"/>
                <w:color w:val="000000"/>
                <w:szCs w:val="21"/>
                <w:highlight w:val="none"/>
                <w:lang w:bidi="ar"/>
              </w:rPr>
            </w:r>
            <w:r/>
          </w:p>
        </w:tc>
        <w:tc>
          <w:tcPr>
            <w:gridSpan w:val="9"/>
            <w:tcBorders>
              <w:top w:val="single" w:color="000000" w:sz="4" w:space="0"/>
              <w:left w:val="single" w:color="000000" w:sz="4" w:space="0"/>
              <w:bottom w:val="single" w:color="000000" w:sz="4" w:space="0"/>
              <w:right w:val="single" w:color="000000" w:sz="4" w:space="0"/>
            </w:tcBorders>
            <w:tcW w:w="988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违规事项</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有/无</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整改</w:t>
            </w:r>
            <w:r>
              <w:rPr>
                <w:rFonts w:hint="eastAsia" w:ascii="宋体" w:hAnsi="宋体" w:eastAsia="宋体" w:cs="宋体"/>
                <w:color w:val="000000"/>
                <w:szCs w:val="21"/>
                <w:highlight w:val="none"/>
                <w:lang w:bidi="ar"/>
              </w:rPr>
            </w:r>
            <w:r/>
          </w:p>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措施</w:t>
            </w:r>
            <w:r>
              <w:rPr>
                <w:rFonts w:hint="eastAsia" w:ascii="宋体" w:hAnsi="宋体" w:eastAsia="宋体" w:cs="宋体"/>
                <w:color w:val="000000"/>
                <w:szCs w:val="21"/>
                <w:highlight w:val="none"/>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施工企业</w:t>
            </w:r>
            <w:r>
              <w:rPr>
                <w:rFonts w:hint="eastAsia" w:ascii="宋体" w:hAnsi="宋体" w:eastAsia="宋体" w:cs="宋体"/>
                <w:color w:val="000000"/>
                <w:szCs w:val="21"/>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608"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专款专用</w:t>
            </w:r>
            <w:r>
              <w:rPr>
                <w:rFonts w:hint="eastAsia" w:ascii="宋体" w:hAnsi="宋体" w:eastAsia="宋体" w:cs="宋体"/>
                <w:color w:val="000000"/>
                <w:szCs w:val="21"/>
                <w:highlight w:val="none"/>
                <w:lang w:bidi="ar"/>
              </w:rPr>
            </w:r>
            <w:r/>
          </w:p>
        </w:tc>
        <w:tc>
          <w:tcPr>
            <w:gridSpan w:val="6"/>
            <w:tcBorders>
              <w:top w:val="single" w:color="000000" w:sz="4" w:space="0"/>
              <w:left w:val="single" w:color="000000" w:sz="4" w:space="0"/>
              <w:bottom w:val="single" w:color="000000" w:sz="4" w:space="0"/>
              <w:right w:val="single" w:color="000000" w:sz="4" w:space="0"/>
            </w:tcBorders>
            <w:tcW w:w="8274"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未设立安全文明施工措施费专项资金帐户或无安全文明施工措施费用清单</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608" w:type="dxa"/>
            <w:vAlign w:val="center"/>
            <w:vMerge w:val="continue"/>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gridSpan w:val="6"/>
            <w:tcBorders>
              <w:top w:val="single" w:color="000000" w:sz="4" w:space="0"/>
              <w:left w:val="single" w:color="000000" w:sz="4" w:space="0"/>
              <w:bottom w:val="single" w:color="000000" w:sz="4" w:space="0"/>
              <w:right w:val="single" w:color="000000" w:sz="4" w:space="0"/>
            </w:tcBorders>
            <w:tcW w:w="827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挪用安全防护、文明施工措施费用</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6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序号</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检查项目</w:t>
            </w:r>
            <w:r>
              <w:rPr>
                <w:rFonts w:hint="eastAsia" w:ascii="宋体" w:hAnsi="宋体" w:eastAsia="宋体" w:cs="宋体"/>
                <w:color w:val="000000"/>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违规事项</w:t>
            </w:r>
            <w:r>
              <w:rPr>
                <w:rFonts w:hint="eastAsia" w:ascii="宋体" w:hAnsi="宋体" w:eastAsia="宋体" w:cs="宋体"/>
                <w:color w:val="000000"/>
                <w:szCs w:val="21"/>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对应条款</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扣减标准</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数量</w:t>
            </w:r>
            <w:r>
              <w:rPr>
                <w:rFonts w:hint="eastAsia" w:ascii="宋体" w:hAnsi="宋体" w:eastAsia="宋体" w:cs="宋体"/>
                <w:color w:val="000000"/>
                <w:szCs w:val="21"/>
                <w:highlight w:val="none"/>
                <w:lang w:bidi="ar"/>
              </w:rPr>
            </w:r>
            <w:r/>
          </w:p>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（处/人次）</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扣减</w:t>
            </w:r>
            <w:r>
              <w:rPr>
                <w:rFonts w:hint="eastAsia" w:ascii="宋体" w:hAnsi="宋体" w:eastAsia="宋体" w:cs="宋体"/>
                <w:color w:val="000000"/>
                <w:szCs w:val="21"/>
                <w:highlight w:val="none"/>
                <w:lang w:bidi="ar"/>
              </w:rPr>
            </w:r>
            <w:r/>
          </w:p>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比例</w:t>
            </w:r>
            <w:r>
              <w:rPr>
                <w:rFonts w:hint="eastAsia" w:ascii="宋体" w:hAnsi="宋体" w:eastAsia="宋体" w:cs="宋体"/>
                <w:color w:val="000000"/>
                <w:szCs w:val="21"/>
                <w:highlight w:val="none"/>
                <w:lang w:bidi="ar"/>
              </w:rPr>
            </w:r>
            <w:r/>
          </w:p>
        </w:tc>
      </w:tr>
      <w:tr>
        <w:trPr>
          <w:trHeight w:val="898"/>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预防高坠措施</w:t>
            </w:r>
            <w:r>
              <w:rPr>
                <w:rFonts w:hint="eastAsia" w:ascii="宋体" w:hAnsi="宋体" w:eastAsia="宋体" w:cs="宋体"/>
                <w:color w:val="000000"/>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临边</w:t>
            </w:r>
            <w:r>
              <w:rPr>
                <w:rFonts w:hint="eastAsia" w:ascii="宋体" w:hAnsi="宋体" w:eastAsia="宋体" w:cs="宋体"/>
                <w:color w:val="000000"/>
                <w:szCs w:val="21"/>
                <w:highlight w:val="none"/>
                <w:lang w:bidi="ar"/>
              </w:rPr>
            </w:r>
            <w:r/>
          </w:p>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防护</w:t>
            </w:r>
            <w:r>
              <w:rPr>
                <w:rFonts w:hint="eastAsia" w:ascii="宋体" w:hAnsi="宋体" w:eastAsia="宋体" w:cs="宋体"/>
                <w:color w:val="000000"/>
                <w:szCs w:val="21"/>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坠落高度基准面2m及以上进行临边作业时，临空一侧未设置防护栏杆；未采用密目式安全立网或工具式栏板封闭</w:t>
            </w:r>
            <w:r>
              <w:rPr>
                <w:rFonts w:hint="eastAsia" w:ascii="宋体" w:hAnsi="宋体" w:eastAsia="宋体" w:cs="宋体"/>
                <w:color w:val="000000"/>
                <w:szCs w:val="21"/>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《建筑施工高处作业安全技术规范》（JGJ80-2016）第4.1.1条</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r>
      <w:tr>
        <w:trPr>
          <w:trHeight w:val="659"/>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施工的楼梯口、楼梯平台和梯段边，未安装防护栏杆</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《建筑施工高处作业安全技术规范》（JGJ80-2016）第4.1.2条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014"/>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预防高坠措施</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洞口</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防护</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垂直洞口短边边长大于或等于500mm时，未在临空一侧设置高度不低于1.2m的防护栏杆；栏杆未采用密目式安全立网或工具式栏板封闭；栏杆未设置挡脚板</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《建筑施工高处作业安全技术规范》（JGJ80-2016）第4.2.1条第1款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3"/>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非竖向洞口短边边长为25mm-500mm时，未采用承载力满足使用要求的盖板覆盖</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《建筑施工高处作业安全技术规范》（JGJ80-2016）第4.2.1条第2款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2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非竖向洞口短边边长为500mm-1500mm时， 未采用盖板覆盖或防护栏杆等措施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《建筑施工高处作业安全技术规范》（JGJ80-2016）第4.2.1条第3款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94"/>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非竖向洞口短边边长大于或等于1500mm时，未在洞口作业侧设置高度不小于1.2m的防护栏杆；未在洞口采用安全平网封闭</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《建筑施工高处作业安全技术规范》（JGJ80-2016）第4.2.1条第4款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8"/>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电梯井口未设置防护门</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31"/>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电梯井道内每隔2层且不大于10m未加设一道安全平网</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《建筑施工高处作业安全技术规范》（JGJ80-2016）第4.2.3条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45"/>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通道</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口防</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护</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施工现场人员进出的通道口未搭设安全防护棚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《建筑施工高处作业安全技术规范》（JGJ80-2016）第7.1.4条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防护棚两侧未设置防护措施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《建筑施工安全检查标准》（JGJ59-2011）第3.13.3条第6款2）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59"/>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搭设防护棚宽度小于通道口宽度，长度不符合规范要求</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《建筑施工安全检查标准》（JGJ59-2011）第3.13.3条第6款3）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3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建筑物高度超过24m，通道口防护顶棚未采用双层防护</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《建筑施工高处作业安全技术规范》（JGJ80-2016）第7.2.1条第2款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处于起重机臂架回转范围之内的通道，未搭设安全防护棚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《建筑施工高处作业安全技术规范》（JGJ80-2016）第7.1.3条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8"/>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安全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带</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在2m及以上的无可靠安全防护设施的高处作业时，未系挂安全带</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《建筑施工作业劳动保护用品配备及使用标准》（JGJ184-2009）第2.0.4条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每发现1人次扣1%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8"/>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施工现场使用的安全带未经检测合格</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《建筑施工安全检查标准》（JGJ59-2011）第3.13.3条第3款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每发现1根扣1%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9"/>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预防高坠措施</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安全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网</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密目式安全立网质量不合格，网目密度在10cm×10cm 面积小于2000 目</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《建筑施工高处作业安全技术规范》（JGJ80-2016）第8.1.1条第2款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应采用平网防护时，使用密目式安全立网代替平网使用</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《建筑施工高处作业安全技术规范》（JGJ80-2016）第8.1.2条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脚手架架体外围未用密目式安全网全封闭</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《建筑施工扣件式钢管脚手架安全技术规范》（JGJ130-2011）第9.0.12条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46"/>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三违情况</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安全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进入施工现场的人员未佩戴安全帽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《建筑施工作业劳动保护用品配备及使用标准》（JGJ184-2009）第2.0.4条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每发现1人次扣0.5%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6"/>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现场使用的安全帽质量不满足《安全帽》(GB2118-2007)要求</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《建筑施工安全检查标准》（JGJ59-2011）第3.13.3条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每发现1顶扣1%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工作</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行为</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借助悬挑式钢管脚手架起吊重物</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《建筑施工悬挑式钢管脚手架安全技术规程》（DGJ32/J121－2011）第8.0.9条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悬挑脚手架在使用期间，任意拆除型钢悬挑构件；或任意拆除主节点处的纵、横向水平杆，纵、横向扫地杆和连墙件</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《建筑施工悬挑式钢管脚手架安全技术规程》（DGJ32/J121－2011）第8.0.11条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在吊篮内的作业人员未正确挂置在独立设置的安全绳上</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《建筑施工工具式脚手架安全技术规范》（JGJ202-2010）第5.5.10条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高处作业时，拆卸下的物料及余料和废料随意放置或向下丢弃</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《建筑施工高处作业安全技术规范》（JGJ80-2016）第3.0.6条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临时拆除或变动安全防护设施，作业后未立即恢复</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《建筑施工高处作业安全技术规范》（JGJ80-2016）第3.0.9 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使用物料提升机载人</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《龙门架及井架物料提升机安全技术规范》（JGJ88-2010）第11.0.3 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6"/>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在施工升降机运行中进行保养、维修作业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《建筑施工升降机安装、使用、 拆卸安全技术规程》（JGJ215-2010）第5.3.9条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塔式起重机使用时，起重臂和吊物下方有人员停留；或物件吊运时，从人员上方通过</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《建筑施工塔式起重机安装、使用、拆卸安全技术规程》（JGJ196-2010）第2.0.17条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4"/>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三违情况</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安全</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教育</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当施工人员入场时，未组织进行三级安全教育培训和考核</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《建筑施工安全检查标准》（JGJ59-2011）第3.1.3条第5款2）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每发现3人次扣1%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1"/>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当施工人员变换工种或采用新技术、新工艺、新设备、新材料施工时，未进行安全教育培训</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《建筑施工安全检查标准》（JGJ59-2011）第3.1.3条第5款3）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施工管理人员、专职安全员每年度未进行安全教育培训和考核</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《建筑施工安全检查标准》（JGJ59-2011）第3.1.3条第5款4）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动火</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管理</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动火操作人员不具有相应资格</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《建设工程施工现场消防安全技术规范》(GB50720-2011)第6.3.1条第2款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每发现1人次扣0.5%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动火作业前，未对作业现场的可燃物进行清理；无法移走的可燃物，未采用不燃材料对其覆盖或隔离</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《建设工程施工现场消防安全技术规范》(GB50720-2011)第6.3.1条第3款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在裸露的可燃材料上直接进行动火作业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《建设工程施工现场消防安全技术规范》(GB50720-2011)第6.3.1条第4款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隐患</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消除</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对企业自查中发现的事故隐患未下达隐患整改通知单；未定人、定时进行整改</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《建筑施工安全检查标准》（JGJ59-2011）第3.1.3条第4款3）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特种</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作业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特种作业人员未取得特种作业操作资格证书上岗作业</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《建设工程安全生产管理条例》（国务院令第393号）第二十五条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每发现1人次扣0.5%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危大工程措施</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top"/>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方案</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编制</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施工企业在危大工程施工前未组织工程技术人员编制专项施工方案</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《危险性较大的分部分项工程安全管理规定》（建设部第37号令）第十条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每发现1项扣5%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8"/>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专家</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论证</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对于超过一定规模的危大工程，施工企业未组织召开专家论证会对专项施工方案进行论证</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《危险性较大的分部分项工程安全管理规定》（建设部第37号令）第十二条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方案</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施工企业未严格按照专项施工方案组织施工，擅自修改专项施工方案</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《危险性较大的分部分项工程安全管理规定》（建设部第37号令）第十六条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警示</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标志</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施工企业未在施工现场显著位置公告危大工程名称、施工时间和具体责任人员的；未在危险区域设置安全警示标志</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《危险性较大的分部分项工程安全管理规定》（建设部第37号令）第十四条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6"/>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17</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危大工程措施</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基坑</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工程</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支护结构强度未达到设计要求提前开挖</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《建筑施工土石方工程安全技术规范》（JGJ180-2009）第6.3.2 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基坑开挖可能造成损害的毗邻建筑物、构筑物和地下管线等，施工企业未采取专项防护措施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《建设工程安全生产管理条例》（中华人民共和国国务院令第393号）第三十条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基坑内土方机械、施工人员的安全距离不符合规范要求</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《建筑施工安全检查标准》（JGJ59-2011）第3.11.4条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0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开挖深度大于等于5m或小于5m但现场地质条件比较复杂的基坑工程，未实施基坑工程监测</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《建筑基坑工程监测技术规范》（GB50497-2009）第3.0.1条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基坑内设置的作业人员上下坡道或爬梯数量少2个</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《建筑深基坑工程施工安全技术规范》(JGJ311-2013）第11.2.6条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38"/>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基坑工程施工过程中安全监测结果达到报警值后，未启动应急预案，组织专家会同基坑设计、监测、监理等单位进行专门论证</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《建筑深基坑工程施工安全技术规范》(JGJ311-2013）第3.0.15条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32"/>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18</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模板</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工程</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模板支撑体系与外脚手架相连</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《建筑施工扣件式钢管脚手架安全技术规范》（JGJ130-2011）第9.0.5条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45"/>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立柱接长采用搭接形式</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《建筑施工模板安全术规范》（JGJ162-2008）第6.2.4条第3款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19</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起重</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吊装</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及起</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重机</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械安</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装拆</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卸工</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程</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未安装齐全有效的安全保护装置</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《建筑起重机械安全监督管理规定》（建设部令第166号）第七条第5款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擅自在建筑起重机械上安装非原制造厂制造的标准节和附着装置</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《建筑起重机械安全监督管理规定》（建设部令第166号）第二十条第3款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施工升降机吊笼门未设有电气安全开关</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《施工升降机》（GB/T10054-2005）</w:t>
            </w:r>
            <w:r>
              <w:rPr>
                <w:rFonts w:hint="eastAsia" w:ascii="宋体" w:hAnsi="宋体" w:eastAsia="宋体" w:cs="宋体"/>
                <w:color w:val="000000"/>
                <w:szCs w:val="21"/>
                <w:highlight w:val="none"/>
                <w:lang w:bidi="ar"/>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第5.2.3.5.8 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46"/>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施工升降机载人吊笼的紧急逃离门未设有电气安全开关联锁</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《施工升降机》（GB/T10054-2005）</w:t>
            </w:r>
            <w:r>
              <w:rPr>
                <w:rFonts w:hint="eastAsia" w:ascii="宋体" w:hAnsi="宋体" w:eastAsia="宋体" w:cs="宋体"/>
                <w:color w:val="000000"/>
                <w:szCs w:val="21"/>
                <w:highlight w:val="none"/>
                <w:lang w:bidi="ar"/>
              </w:rPr>
            </w:r>
            <w:r/>
          </w:p>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第5.2.3.6.2条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塔式起重机未安装起重力矩限制器</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《塔式起重机安全规程》（GB5144-2006）第6.2条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34"/>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塔式起重机未安装行走限位、幅度限位、起升高度限位器、回转限位器等行程限位装置</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《塔式起重机安全规程》（GB5144-2006）第6.3条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文明施工</w:t>
            </w: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条件</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施工现场未采用硬质围挡实行封闭管理</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《建设工程施工现场环境与卫生标准》（JGJ146-2013）第3.0.8条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施工现场的主要道路未进行硬化处理</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《建设工程施工现场环境与卫生标准》（JGJ146-2013）第4.2.1条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2"/>
        </w:trPr>
        <w:tc>
          <w:tcPr>
            <w:tcBorders>
              <w:top w:val="single" w:color="000000" w:sz="4" w:space="0"/>
              <w:left w:val="single" w:color="000000" w:sz="4" w:space="0"/>
              <w:bottom w:val="none" w:color="000000" w:sz="4" w:space="0"/>
              <w:right w:val="single" w:color="000000" w:sz="4" w:space="0"/>
            </w:tcBorders>
            <w:tcW w:w="744"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21</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none" w:color="000000" w:sz="4" w:space="0"/>
              <w:right w:val="single" w:color="000000" w:sz="4" w:space="0"/>
            </w:tcBorders>
            <w:tcW w:w="741"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控尘</w:t>
            </w:r>
            <w:r>
              <w:rPr>
                <w:rFonts w:hint="eastAsia" w:ascii="宋体" w:hAnsi="宋体" w:eastAsia="宋体" w:cs="宋体"/>
                <w:color w:val="000000"/>
                <w:szCs w:val="21"/>
                <w:highlight w:val="none"/>
              </w:rPr>
            </w:r>
            <w:r/>
          </w:p>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措施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施工现场出口处未设置车辆冲洗设施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《建设工程施工现场环境与卫生标准》（JGJ146-2013）第4.2.4条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每发现1处扣1%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44"/>
        </w:trPr>
        <w:tc>
          <w:tcPr>
            <w:tcBorders>
              <w:top w:val="single" w:color="000000" w:sz="4" w:space="0"/>
              <w:left w:val="single" w:color="000000" w:sz="4" w:space="0"/>
              <w:bottom w:val="non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施工现场出口处未对驶出车辆进行清洗</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《建设工程施工现场环境与卫生标准》（JGJ146-2013）第4.2.4条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每发现3起扣1%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38"/>
        </w:trPr>
        <w:tc>
          <w:tcPr>
            <w:tcBorders>
              <w:top w:val="single" w:color="000000" w:sz="4" w:space="0"/>
              <w:left w:val="single" w:color="000000" w:sz="4" w:space="0"/>
              <w:bottom w:val="non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施工现场裸露的场地和堆放土方未采取覆盖、固化或绿化措施</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《建设工程施工现场环境与卫生标准》（JGJ146-2013）第4.2.1条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每发现3处扣1%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47"/>
        </w:trPr>
        <w:tc>
          <w:tcPr>
            <w:tcBorders>
              <w:top w:val="single" w:color="000000" w:sz="4" w:space="0"/>
              <w:left w:val="single" w:color="000000" w:sz="4" w:space="0"/>
              <w:bottom w:val="none" w:color="000000" w:sz="4" w:space="0"/>
              <w:right w:val="single" w:color="000000" w:sz="4" w:space="0"/>
            </w:tcBorders>
            <w:tcW w:w="744"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1509"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Borders>
              <w:top w:val="singl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施工现场焚烧各类废弃物</w:t>
            </w:r>
            <w:r>
              <w:rPr>
                <w:rFonts w:hint="eastAsia" w:ascii="宋体" w:hAnsi="宋体" w:eastAsia="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《建设工程施工现场环境与卫生标准》（JGJ146-2013）第4.2.6条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4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62"/>
        </w:trPr>
        <w:tc>
          <w:tcPr>
            <w:gridSpan w:val="12"/>
            <w:tcBorders>
              <w:top w:val="single" w:color="000000" w:sz="4" w:space="0"/>
              <w:left w:val="single" w:color="000000" w:sz="4" w:space="0"/>
              <w:bottom w:val="single" w:color="000000" w:sz="4" w:space="0"/>
              <w:right w:val="single" w:color="000000" w:sz="4" w:space="0"/>
            </w:tcBorders>
            <w:tcW w:w="13002"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累计扣减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44"/>
              <w:jc w:val="center"/>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605"/>
        </w:trPr>
        <w:tc>
          <w:tcPr>
            <w:gridSpan w:val="6"/>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代建单位（第三方质量安全服务机构）：</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检查人员（签字）</w:t>
            </w:r>
            <w:r>
              <w:rPr>
                <w:rFonts w:hint="eastAsia" w:ascii="宋体" w:hAnsi="宋体" w:eastAsia="宋体" w:cs="宋体"/>
                <w:color w:val="000000"/>
                <w:szCs w:val="21"/>
                <w:highlight w:val="none"/>
              </w:rPr>
            </w:r>
            <w:r/>
          </w:p>
          <w:p>
            <w:pPr>
              <w:pStyle w:val="1044"/>
              <w:ind w:right="21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（单位盖章）</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年     月     日</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7122" w:type="dxa"/>
            <w:vAlign w:val="top"/>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施工企业：</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项目经理（签字）</w:t>
            </w:r>
            <w:r>
              <w:rPr>
                <w:rFonts w:hint="eastAsia" w:ascii="宋体" w:hAnsi="宋体" w:eastAsia="宋体" w:cs="宋体"/>
                <w:color w:val="000000"/>
                <w:szCs w:val="21"/>
                <w:highlight w:val="none"/>
              </w:rPr>
            </w:r>
            <w:r/>
          </w:p>
          <w:p>
            <w:pPr>
              <w:pStyle w:val="1044"/>
              <w:ind w:right="21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（企业盖章）</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年     月     日</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48"/>
        </w:trPr>
        <w:tc>
          <w:tcPr>
            <w:gridSpan w:val="6"/>
            <w:tcBorders>
              <w:top w:val="single" w:color="000000" w:sz="4" w:space="0"/>
              <w:left w:val="single" w:color="000000" w:sz="4" w:space="0"/>
              <w:bottom w:val="single" w:color="000000" w:sz="4" w:space="0"/>
              <w:right w:val="single" w:color="000000" w:sz="4" w:space="0"/>
            </w:tcBorders>
            <w:tcW w:w="6600" w:type="dxa"/>
            <w:vAlign w:val="top"/>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监理企业：</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项目总监（签字）</w:t>
            </w:r>
            <w:r>
              <w:rPr>
                <w:rFonts w:hint="eastAsia" w:ascii="宋体" w:hAnsi="宋体" w:eastAsia="宋体" w:cs="宋体"/>
                <w:color w:val="000000"/>
                <w:szCs w:val="21"/>
                <w:highlight w:val="none"/>
              </w:rPr>
            </w:r>
            <w:r/>
          </w:p>
          <w:p>
            <w:pPr>
              <w:pStyle w:val="1044"/>
              <w:ind w:right="21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（企业盖章）</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年     月     日</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7122" w:type="dxa"/>
            <w:vAlign w:val="top"/>
            <w:textDirection w:val="lrTb"/>
            <w:noWrap w:val="false"/>
          </w:tcPr>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建设单位：</w:t>
            </w: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项目负责人（签字）</w:t>
            </w:r>
            <w:r>
              <w:rPr>
                <w:rFonts w:hint="eastAsia" w:ascii="宋体" w:hAnsi="宋体" w:eastAsia="宋体" w:cs="宋体"/>
                <w:color w:val="000000"/>
                <w:szCs w:val="21"/>
                <w:highlight w:val="none"/>
              </w:rPr>
            </w:r>
            <w:r/>
          </w:p>
          <w:p>
            <w:pPr>
              <w:pStyle w:val="1044"/>
              <w:ind w:right="210"/>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（单位盖章）</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年     月     日</w:t>
            </w:r>
            <w:r>
              <w:rPr>
                <w:rFonts w:hint="eastAsia" w:ascii="宋体" w:hAnsi="宋体" w:eastAsia="宋体" w:cs="宋体"/>
                <w:color w:val="000000"/>
                <w:szCs w:val="21"/>
                <w:highlight w:val="none"/>
              </w:rPr>
            </w:r>
            <w:r/>
          </w:p>
          <w:p>
            <w:pPr>
              <w:pStyle w:val="1044"/>
              <w:jc w:val="righ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4"/>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备注：1.安全文明施工措施费包括基本费、标化工地增加费、扬尘污染防治增加费三部分费用。扣减基数为基本费部分。</w:t>
      </w:r>
      <w:r>
        <w:rPr>
          <w:rFonts w:hint="eastAsia" w:ascii="宋体" w:hAnsi="宋体" w:eastAsia="宋体" w:cs="宋体"/>
          <w:color w:val="000000"/>
          <w:szCs w:val="21"/>
          <w:highlight w:val="none"/>
        </w:rPr>
      </w:r>
      <w:r/>
    </w:p>
    <w:p>
      <w:pPr>
        <w:pStyle w:val="1044"/>
        <w:ind w:firstLine="63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2.如项目在建设周期内被抽查2次及以上，则按其中扣减最多的一次进行扣减。</w:t>
      </w:r>
      <w:r>
        <w:rPr>
          <w:rFonts w:hint="eastAsia" w:ascii="宋体" w:hAnsi="宋体" w:eastAsia="宋体" w:cs="宋体"/>
          <w:color w:val="000000"/>
          <w:szCs w:val="21"/>
          <w:highlight w:val="none"/>
          <w:lang w:bidi="ar"/>
        </w:rPr>
      </w:r>
      <w:r/>
    </w:p>
    <w:p>
      <w:pPr>
        <w:pStyle w:val="1044"/>
        <w:pageBreakBefore w:val="0"/>
        <w:spacing w:line="360" w:lineRule="auto"/>
        <w:rPr>
          <w:rFonts w:hint="eastAsia" w:ascii="宋体" w:hAnsi="宋体" w:eastAsia="宋体" w:cs="宋体"/>
          <w:color w:val="000000"/>
          <w:szCs w:val="21"/>
          <w:highlight w:val="none"/>
        </w:rPr>
        <w:sectPr>
          <w:footnotePr/>
          <w:endnotePr/>
          <w:type w:val="nextPage"/>
          <w:pgSz w:w="16838" w:h="11906" w:orient="landscape"/>
          <w:pgMar w:top="1531" w:right="1418" w:bottom="1555" w:left="1418" w:header="851" w:footer="992" w:gutter="0"/>
          <w:pgNumType w:start="1"/>
          <w:cols w:num="1" w:sep="0" w:space="1701" w:equalWidth="1"/>
          <w:docGrid w:linePitch="360"/>
          <w:titlePg/>
        </w:sectPr>
      </w:pPr>
      <w:r>
        <w:rPr>
          <w:rFonts w:hint="eastAsia" w:ascii="宋体" w:hAnsi="宋体" w:eastAsia="宋体" w:cs="宋体"/>
          <w:color w:val="000000"/>
          <w:szCs w:val="21"/>
          <w:highlight w:val="none"/>
        </w:rPr>
      </w:r>
      <w:r/>
    </w:p>
    <w:p>
      <w:pPr>
        <w:pStyle w:val="1044"/>
        <w:ind w:right="-340"/>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六、技术要求</w:t>
      </w:r>
      <w:r>
        <w:rPr>
          <w:rFonts w:hint="eastAsia" w:ascii="宋体" w:hAnsi="宋体" w:eastAsia="宋体" w:cs="宋体"/>
          <w:b/>
          <w:color w:val="000000"/>
          <w:sz w:val="32"/>
          <w:szCs w:val="32"/>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一、现行国家技术、施工及验收规范规程，对施工工艺的特殊要求，按国家有关规定执行。</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t xml:space="preserve">其他</w:t>
      </w:r>
      <w:r>
        <w:rPr>
          <w:rFonts w:hint="eastAsia" w:ascii="宋体" w:hAnsi="宋体" w:eastAsia="宋体" w:cs="宋体"/>
          <w:bCs/>
          <w:color w:val="000000"/>
          <w:szCs w:val="21"/>
          <w:highlight w:val="none"/>
        </w:rPr>
        <w:t xml:space="preserve">技术要求及主要材料品牌表。</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三、工程量清单、图纸。</w:t>
      </w:r>
      <w:r>
        <w:rPr>
          <w:rFonts w:hint="eastAsia" w:ascii="宋体" w:hAnsi="宋体" w:eastAsia="宋体" w:cs="宋体"/>
          <w:bCs/>
          <w:color w:val="000000"/>
          <w:szCs w:val="21"/>
          <w:highlight w:val="none"/>
        </w:rPr>
      </w:r>
      <w:r/>
    </w:p>
    <w:p>
      <w:pPr>
        <w:pStyle w:val="1044"/>
        <w:ind w:firstLine="420"/>
        <w:jc w:val="left"/>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工程量清单、图纸等资料</w:t>
      </w:r>
      <w:r>
        <w:rPr>
          <w:rFonts w:hint="eastAsia" w:ascii="宋体" w:hAnsi="宋体" w:eastAsia="宋体" w:cs="宋体"/>
          <w:color w:val="000000"/>
          <w:szCs w:val="21"/>
          <w:highlight w:val="none"/>
        </w:rPr>
        <w:t xml:space="preserve">请发邮件至代理机构</w:t>
      </w:r>
      <w:r>
        <w:rPr>
          <w:rFonts w:hint="eastAsia" w:ascii="宋体" w:hAnsi="宋体" w:eastAsia="宋体" w:cs="宋体"/>
          <w:color w:val="000000"/>
          <w:szCs w:val="21"/>
          <w:highlight w:val="none"/>
        </w:rPr>
        <w:t xml:space="preserve">领取</w:t>
      </w: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t xml:space="preserve">569368763@qq.com</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pageBreakBefore w:val="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jc w:val="center"/>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44"/>
          <w:szCs w:val="24"/>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color w:val="000000"/>
          <w:sz w:val="32"/>
          <w:szCs w:val="32"/>
          <w:highlight w:val="none"/>
        </w:rPr>
        <w:t xml:space="preserve">七</w:t>
      </w:r>
      <w:r>
        <w:rPr>
          <w:rFonts w:hint="eastAsia" w:ascii="宋体" w:hAnsi="宋体" w:eastAsia="宋体" w:cs="宋体"/>
          <w:b/>
          <w:color w:val="000000"/>
          <w:sz w:val="44"/>
          <w:szCs w:val="24"/>
          <w:highlight w:val="none"/>
        </w:rPr>
        <w:t xml:space="preserve">、</w:t>
      </w:r>
      <w:r>
        <w:rPr>
          <w:rFonts w:hint="eastAsia" w:ascii="宋体" w:hAnsi="宋体" w:eastAsia="宋体" w:cs="宋体"/>
          <w:b/>
          <w:color w:val="000000"/>
          <w:sz w:val="32"/>
          <w:szCs w:val="32"/>
          <w:highlight w:val="none"/>
        </w:rPr>
        <w:t xml:space="preserve">评审办法</w:t>
      </w:r>
      <w:r>
        <w:rPr>
          <w:rFonts w:hint="eastAsia" w:ascii="宋体" w:hAnsi="宋体" w:eastAsia="宋体" w:cs="宋体"/>
          <w:b/>
          <w:color w:val="000000"/>
          <w:sz w:val="32"/>
          <w:szCs w:val="32"/>
          <w:highlight w:val="none"/>
        </w:rPr>
      </w:r>
      <w:r/>
    </w:p>
    <w:p>
      <w:pPr>
        <w:pStyle w:val="1044"/>
        <w:ind w:firstLine="422"/>
        <w:jc w:val="left"/>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一、评审办法</w:t>
      </w:r>
      <w:r>
        <w:rPr>
          <w:rFonts w:hint="eastAsia" w:ascii="宋体" w:hAnsi="宋体" w:eastAsia="宋体" w:cs="宋体"/>
          <w:b/>
          <w:bCs/>
          <w:color w:val="000000"/>
          <w:szCs w:val="21"/>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1.评标办法采用</w:t>
      </w:r>
      <w:r>
        <w:rPr>
          <w:rFonts w:hint="eastAsia" w:ascii="宋体" w:hAnsi="宋体" w:eastAsia="宋体" w:cs="宋体"/>
          <w:b/>
          <w:color w:val="000000"/>
          <w:sz w:val="21"/>
          <w:szCs w:val="20"/>
          <w:highlight w:val="none"/>
        </w:rPr>
        <w:t xml:space="preserve">综合评分法</w:t>
      </w:r>
      <w:r>
        <w:rPr>
          <w:rFonts w:hint="eastAsia" w:ascii="宋体" w:hAnsi="宋体" w:eastAsia="宋体" w:cs="宋体"/>
          <w:color w:val="000000"/>
          <w:sz w:val="21"/>
          <w:szCs w:val="20"/>
          <w:highlight w:val="none"/>
        </w:rPr>
        <w:t xml:space="preserve">。评标结果按评审后得分由高到低顺序排列。得分相同的，按投标报价由低到高顺序排列。得分且投标报价相同的并列，</w:t>
      </w:r>
      <w:r>
        <w:rPr>
          <w:rFonts w:hint="eastAsia" w:ascii="宋体" w:hAnsi="宋体" w:eastAsia="宋体" w:cs="宋体"/>
          <w:color w:val="000000"/>
          <w:sz w:val="21"/>
          <w:szCs w:val="21"/>
          <w:highlight w:val="none"/>
        </w:rPr>
        <w:t xml:space="preserve">则由</w:t>
      </w:r>
      <w:r>
        <w:rPr>
          <w:rFonts w:hint="eastAsia" w:ascii="宋体" w:hAnsi="宋体" w:eastAsia="宋体" w:cs="宋体"/>
          <w:color w:val="000000"/>
          <w:sz w:val="21"/>
          <w:szCs w:val="20"/>
          <w:highlight w:val="none"/>
        </w:rPr>
        <w:t xml:space="preserve">评标委员会</w:t>
      </w:r>
      <w:r>
        <w:rPr>
          <w:rFonts w:hint="eastAsia" w:ascii="宋体" w:hAnsi="宋体" w:eastAsia="宋体" w:cs="宋体"/>
          <w:color w:val="000000"/>
          <w:sz w:val="21"/>
          <w:szCs w:val="21"/>
          <w:highlight w:val="none"/>
        </w:rPr>
        <w:t xml:space="preserve">组织抽签确定中标人。</w:t>
      </w:r>
      <w:r>
        <w:rPr>
          <w:rFonts w:hint="eastAsia" w:ascii="宋体" w:hAnsi="宋体" w:eastAsia="宋体" w:cs="宋体"/>
          <w:color w:val="000000"/>
          <w:sz w:val="21"/>
          <w:szCs w:val="20"/>
          <w:highlight w:val="none"/>
          <w:lang w:eastAsia="zh-CN"/>
        </w:rPr>
        <w:t xml:space="preserve">磋商响应文件</w:t>
      </w:r>
      <w:r>
        <w:rPr>
          <w:rFonts w:hint="eastAsia" w:ascii="宋体" w:hAnsi="宋体" w:eastAsia="宋体" w:cs="宋体"/>
          <w:color w:val="000000"/>
          <w:sz w:val="21"/>
          <w:szCs w:val="20"/>
          <w:highlight w:val="none"/>
        </w:rPr>
        <w:t xml:space="preserve">满足招标文件全部实质性要求，且按照评审因素的量化指标评审得分最高的投标人为排名第一的中标候选人。</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0"/>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ascii="宋体" w:hAnsi="宋体" w:eastAsia="宋体" w:cs="宋体"/>
          <w:b/>
          <w:color w:val="000000"/>
          <w:sz w:val="21"/>
          <w:szCs w:val="21"/>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3.如投标人存在“苏财购〔2017〕11号”文件中所列的失信或不良行为，按照相关规定执行。</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bCs/>
          <w:color w:val="000000"/>
          <w:sz w:val="20"/>
          <w:szCs w:val="24"/>
          <w:highlight w:val="none"/>
        </w:rPr>
      </w:pPr>
      <w:r>
        <w:rPr>
          <w:rFonts w:hint="eastAsia" w:ascii="宋体" w:hAnsi="宋体" w:eastAsia="宋体" w:cs="宋体"/>
          <w:color w:val="000000"/>
          <w:sz w:val="21"/>
          <w:szCs w:val="20"/>
          <w:highlight w:val="none"/>
        </w:rPr>
        <w:t xml:space="preserve">4.</w:t>
      </w:r>
      <w:r>
        <w:rPr>
          <w:rFonts w:hint="eastAsia" w:ascii="宋体" w:hAnsi="宋体" w:eastAsia="宋体" w:cs="宋体"/>
          <w:bCs/>
          <w:color w:val="000000"/>
          <w:sz w:val="20"/>
          <w:szCs w:val="24"/>
          <w:highlight w:val="none"/>
        </w:rPr>
        <w:t xml:space="preserve">如出现评审总得分最高的投标单位有两个或两个以上的，以报价较低者优先作为中标候选人，如果报价也相同的，则由招标方组织以抽签方式确定中标候选人。</w:t>
      </w:r>
      <w:r>
        <w:rPr>
          <w:rFonts w:hint="eastAsia" w:ascii="宋体" w:hAnsi="宋体" w:eastAsia="宋体" w:cs="宋体"/>
          <w:bCs/>
          <w:color w:val="000000"/>
          <w:sz w:val="20"/>
          <w:szCs w:val="24"/>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w:t>
      </w:r>
      <w:r>
        <w:rPr>
          <w:rFonts w:hint="eastAsia" w:ascii="宋体" w:hAnsi="宋体" w:eastAsia="宋体" w:cs="宋体"/>
          <w:color w:val="000000"/>
          <w:sz w:val="21"/>
          <w:szCs w:val="20"/>
          <w:highlight w:val="none"/>
        </w:rPr>
        <w:t xml:space="preserve">关于对参与供应商信用记录的政府采购要求</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.1采购代理机构会在接收</w:t>
      </w:r>
      <w:r>
        <w:rPr>
          <w:rFonts w:hint="eastAsia" w:ascii="宋体" w:hAnsi="宋体" w:eastAsia="宋体" w:cs="宋体"/>
          <w:color w:val="000000"/>
          <w:sz w:val="21"/>
          <w:szCs w:val="20"/>
          <w:highlight w:val="none"/>
          <w:lang w:eastAsia="zh-CN"/>
        </w:rPr>
        <w:t xml:space="preserve">磋商响应文件</w:t>
      </w:r>
      <w:r>
        <w:rPr>
          <w:rFonts w:hint="eastAsia" w:ascii="宋体" w:hAnsi="宋体" w:eastAsia="宋体" w:cs="宋体"/>
          <w:color w:val="000000"/>
          <w:sz w:val="21"/>
          <w:szCs w:val="20"/>
          <w:highlight w:val="none"/>
        </w:rPr>
        <w:t xml:space="preserve">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.3供应商若在经营活动中受到罚款的，请携带相关地方、部门对较大数额认定标准的证明材料，与</w:t>
      </w:r>
      <w:r>
        <w:rPr>
          <w:rFonts w:hint="eastAsia" w:ascii="宋体" w:hAnsi="宋体" w:eastAsia="宋体" w:cs="宋体"/>
          <w:color w:val="000000"/>
          <w:sz w:val="21"/>
          <w:szCs w:val="20"/>
          <w:highlight w:val="none"/>
          <w:lang w:eastAsia="zh-CN"/>
        </w:rPr>
        <w:t xml:space="preserve">磋商响应文件</w:t>
      </w:r>
      <w:r>
        <w:rPr>
          <w:rFonts w:hint="eastAsia" w:ascii="宋体" w:hAnsi="宋体" w:eastAsia="宋体" w:cs="宋体"/>
          <w:color w:val="000000"/>
          <w:sz w:val="21"/>
          <w:szCs w:val="20"/>
          <w:highlight w:val="none"/>
        </w:rPr>
        <w:t xml:space="preserve">一并提交。若无法提供，则可能承担投标无效等相应不利后果。</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.4对存在失信信息的供应商，由失信供应商应签名确认。同时，采购代理机构工作人员应根据评审小组确认的失信信息，登陆到相关来源网站页面进行复核并打印，作为证据留存。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5</w:t>
      </w:r>
      <w:r>
        <w:rPr>
          <w:rFonts w:hint="eastAsia" w:ascii="宋体" w:hAnsi="宋体" w:eastAsia="宋体" w:cs="宋体"/>
          <w:color w:val="000000"/>
          <w:sz w:val="21"/>
          <w:szCs w:val="20"/>
          <w:highlight w:val="none"/>
        </w:rPr>
        <w:t xml:space="preserve">.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0"/>
          <w:highlight w:val="none"/>
        </w:rPr>
        <w:t xml:space="preserve">6</w:t>
      </w:r>
      <w:r>
        <w:rPr>
          <w:rFonts w:hint="eastAsia" w:ascii="宋体" w:hAnsi="宋体" w:eastAsia="宋体" w:cs="宋体"/>
          <w:color w:val="000000"/>
          <w:sz w:val="21"/>
          <w:szCs w:val="20"/>
          <w:highlight w:val="none"/>
        </w:rPr>
        <w:t xml:space="preserve">.针对中小型企业、残疾人福利企业和监狱企业的评审：</w:t>
      </w:r>
      <w:r>
        <w:rPr>
          <w:rFonts w:hint="eastAsia" w:ascii="宋体" w:hAnsi="宋体" w:eastAsia="宋体" w:cs="宋体"/>
          <w:b/>
          <w:color w:val="000000"/>
          <w:sz w:val="21"/>
          <w:szCs w:val="21"/>
          <w:highlight w:val="none"/>
        </w:rPr>
      </w:r>
      <w:r/>
    </w:p>
    <w:p>
      <w:pPr>
        <w:pStyle w:val="1044"/>
        <w:ind w:left="0" w:firstLine="420"/>
        <w:pageBreakBefore w:val="0"/>
        <w:spacing w:line="360" w:lineRule="auto"/>
        <w:widowControl/>
        <w:rPr>
          <w:rFonts w:hint="eastAsia" w:ascii="宋体" w:hAnsi="宋体" w:eastAsia="宋体" w:cs="宋体"/>
          <w:b/>
          <w:color w:val="000000"/>
          <w:sz w:val="21"/>
          <w:szCs w:val="20"/>
          <w:highlight w:val="none"/>
        </w:rPr>
      </w:pPr>
      <w:r>
        <w:rPr>
          <w:rFonts w:hint="eastAsia" w:ascii="宋体" w:hAnsi="宋体" w:eastAsia="宋体" w:cs="宋体"/>
          <w:color w:val="000000"/>
          <w:sz w:val="21"/>
          <w:szCs w:val="20"/>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000000"/>
          <w:sz w:val="21"/>
          <w:szCs w:val="20"/>
          <w:highlight w:val="none"/>
        </w:rPr>
        <w:t xml:space="preserve">20%</w:t>
      </w:r>
      <w:r>
        <w:rPr>
          <w:rFonts w:hint="eastAsia" w:ascii="宋体" w:hAnsi="宋体" w:eastAsia="宋体" w:cs="宋体"/>
          <w:color w:val="000000"/>
          <w:sz w:val="21"/>
          <w:szCs w:val="20"/>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color w:val="000000"/>
          <w:sz w:val="21"/>
          <w:szCs w:val="20"/>
          <w:highlight w:val="none"/>
        </w:rPr>
        <w:t xml:space="preserve">服务类项目中供应商若使用退休人员，将不享受中小企业扶持政策。</w:t>
      </w:r>
      <w:r>
        <w:rPr>
          <w:rFonts w:hint="eastAsia" w:ascii="宋体" w:hAnsi="宋体" w:eastAsia="宋体" w:cs="宋体"/>
          <w:b/>
          <w:color w:val="000000"/>
          <w:sz w:val="21"/>
          <w:szCs w:val="20"/>
          <w:highlight w:val="none"/>
        </w:rPr>
      </w:r>
      <w:r/>
    </w:p>
    <w:p>
      <w:pPr>
        <w:pStyle w:val="1044"/>
        <w:ind w:left="0" w:firstLine="420"/>
        <w:pageBreakBefore w:val="0"/>
        <w:spacing w:line="360" w:lineRule="auto"/>
        <w:widowControl/>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color w:val="000000"/>
          <w:sz w:val="21"/>
          <w:szCs w:val="20"/>
          <w:highlight w:val="none"/>
        </w:rPr>
      </w:r>
      <w:r/>
    </w:p>
    <w:p>
      <w:pPr>
        <w:pStyle w:val="1044"/>
        <w:ind w:left="0" w:firstLine="42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0"/>
          <w:highlight w:val="none"/>
        </w:rPr>
        <w:t xml:space="preserve">注：</w:t>
      </w:r>
      <w:r>
        <w:rPr>
          <w:rFonts w:hint="eastAsia" w:ascii="宋体" w:hAnsi="宋体" w:eastAsia="宋体" w:cs="宋体"/>
          <w:b/>
          <w:color w:val="000000"/>
          <w:sz w:val="21"/>
          <w:szCs w:val="21"/>
          <w:highlight w:val="none"/>
        </w:rPr>
      </w:r>
      <w:r/>
    </w:p>
    <w:p>
      <w:pPr>
        <w:pStyle w:val="1044"/>
        <w:ind w:left="0" w:firstLine="42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0"/>
          <w:highlight w:val="none"/>
        </w:rPr>
        <w:t xml:space="preserve">①填报“中小企业声明函”需严格按“工信部联企业〔2011〕300号通知中的《中小企业划型标准规定》进行。</w:t>
      </w:r>
      <w:r>
        <w:rPr>
          <w:rFonts w:hint="eastAsia" w:ascii="宋体" w:hAnsi="宋体" w:eastAsia="宋体" w:cs="宋体"/>
          <w:b/>
          <w:color w:val="000000"/>
          <w:sz w:val="21"/>
          <w:szCs w:val="21"/>
          <w:highlight w:val="none"/>
        </w:rPr>
      </w:r>
      <w:r/>
    </w:p>
    <w:p>
      <w:pPr>
        <w:pStyle w:val="1044"/>
        <w:ind w:left="210" w:firstLine="210"/>
        <w:jc w:val="both"/>
        <w:pageBreakBefore w:val="0"/>
        <w:spacing w:line="360" w:lineRule="auto"/>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t xml:space="preserve">②若供应商提供的声明函或认定证明为虚假材料，按“政府采购法”相关规定处理并报请政府监管部门给予行政处罚。</w:t>
      </w:r>
      <w:r>
        <w:rPr>
          <w:rFonts w:hint="eastAsia" w:ascii="宋体" w:hAnsi="宋体" w:eastAsia="宋体" w:cs="宋体"/>
          <w:color w:val="000000"/>
          <w:sz w:val="21"/>
          <w:highlight w:val="none"/>
          <w:lang w:val="en-US" w:eastAsia="zh-CN" w:bidi="ar-SA"/>
        </w:rPr>
      </w:r>
      <w:r/>
    </w:p>
    <w:p>
      <w:pPr>
        <w:pStyle w:val="1044"/>
        <w:ind w:left="0" w:firstLine="422"/>
        <w:pageBreakBefore w:val="0"/>
        <w:spacing w:line="360" w:lineRule="auto"/>
        <w:widowControl/>
        <w:rPr>
          <w:rFonts w:hint="eastAsia" w:ascii="宋体" w:hAnsi="宋体" w:eastAsia="宋体" w:cs="宋体"/>
          <w:b/>
          <w:color w:val="000000"/>
          <w:sz w:val="21"/>
          <w:szCs w:val="20"/>
          <w:highlight w:val="none"/>
        </w:rPr>
      </w:pPr>
      <w:r>
        <w:rPr>
          <w:rFonts w:hint="eastAsia" w:ascii="宋体" w:hAnsi="宋体" w:eastAsia="宋体" w:cs="宋体"/>
          <w:b/>
          <w:color w:val="000000"/>
          <w:sz w:val="21"/>
          <w:szCs w:val="20"/>
          <w:highlight w:val="none"/>
        </w:rPr>
        <w:t xml:space="preserve">③本项目为专门面向中小企业采购的项目或者采购包，不再执行价格评审优惠的扶持政策。</w:t>
      </w:r>
      <w:r>
        <w:rPr>
          <w:rFonts w:hint="eastAsia" w:ascii="宋体" w:hAnsi="宋体" w:eastAsia="宋体" w:cs="宋体"/>
          <w:b/>
          <w:color w:val="000000"/>
          <w:sz w:val="21"/>
          <w:szCs w:val="20"/>
          <w:highlight w:val="none"/>
        </w:rPr>
      </w:r>
      <w:r/>
    </w:p>
    <w:p>
      <w:pPr>
        <w:pStyle w:val="1044"/>
        <w:ind w:firstLine="422"/>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二、评分标准</w:t>
      </w:r>
      <w:r>
        <w:rPr>
          <w:rFonts w:hint="eastAsia" w:ascii="宋体" w:hAnsi="宋体" w:eastAsia="宋体" w:cs="宋体"/>
          <w:b/>
          <w:color w:val="000000"/>
          <w:szCs w:val="21"/>
          <w:highlight w:val="none"/>
        </w:rPr>
      </w:r>
      <w:r/>
    </w:p>
    <w:p>
      <w:pPr>
        <w:pStyle w:val="1044"/>
        <w:ind w:right="105" w:firstLine="422"/>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（一）报价得分（</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b/>
          <w:bCs/>
          <w:color w:val="000000"/>
          <w:szCs w:val="21"/>
          <w:highlight w:val="none"/>
        </w:rPr>
        <w:t xml:space="preserve">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磋商总报价</w:t>
      </w:r>
      <w:r>
        <w:rPr>
          <w:rFonts w:hint="eastAsia" w:ascii="宋体" w:hAnsi="宋体" w:eastAsia="宋体" w:cs="宋体"/>
          <w:color w:val="000000"/>
          <w:szCs w:val="21"/>
          <w:highlight w:val="none"/>
        </w:rPr>
        <w:t xml:space="preserve">（总价）</w:t>
      </w:r>
      <w:r>
        <w:rPr>
          <w:rFonts w:hint="eastAsia" w:ascii="宋体" w:hAnsi="宋体" w:eastAsia="宋体" w:cs="宋体"/>
          <w:color w:val="000000"/>
          <w:szCs w:val="21"/>
          <w:highlight w:val="none"/>
        </w:rPr>
        <w:t xml:space="preserve">低于或等于最高限价的，为有效磋商报价。超最高限价的投标报价为无效响应报价。无效响应报价的响应文件不得中标。</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w:t>
      </w:r>
      <w:r>
        <w:rPr>
          <w:rFonts w:hint="eastAsia" w:ascii="宋体" w:hAnsi="宋体" w:eastAsia="宋体" w:cs="宋体"/>
          <w:color w:val="000000"/>
          <w:szCs w:val="21"/>
          <w:highlight w:val="none"/>
        </w:rPr>
        <w:t xml:space="preserve">，即满足磋商文件要求且最后报价最低的供应商的价格为磋商基准价，其价格分为满分。其他供应商的价格分统一按照下列公式计算：</w:t>
      </w:r>
      <w:r>
        <w:rPr>
          <w:rFonts w:hint="eastAsia" w:ascii="宋体" w:hAnsi="宋体" w:eastAsia="宋体" w:cs="宋体"/>
          <w:color w:val="000000"/>
          <w:szCs w:val="21"/>
          <w:highlight w:val="none"/>
        </w:rPr>
      </w:r>
      <w:r/>
    </w:p>
    <w:p>
      <w:pPr>
        <w:pStyle w:val="1044"/>
        <w:ind w:firstLine="420"/>
        <w:jc w:val="left"/>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磋商报价得分=（评标基准价/最后磋商报价）*价格权值*100，小数点后保留两位（价格权值为</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rPr>
        <w:t xml:space="preserve">项目评审过程中，不得去掉最后报价中的最高报价和最低报价。</w:t>
      </w:r>
      <w:r>
        <w:rPr>
          <w:rFonts w:hint="eastAsia" w:ascii="宋体" w:hAnsi="宋体" w:eastAsia="宋体" w:cs="宋体"/>
          <w:color w:val="000000"/>
          <w:szCs w:val="21"/>
          <w:highlight w:val="none"/>
        </w:rPr>
      </w:r>
      <w:r/>
    </w:p>
    <w:p>
      <w:pPr>
        <w:pStyle w:val="1044"/>
        <w:ind w:firstLine="482"/>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（二）技术方案及施工组织设计（65分）</w:t>
      </w:r>
      <w:r>
        <w:rPr>
          <w:rFonts w:hint="eastAsia" w:ascii="宋体" w:hAnsi="宋体" w:eastAsia="宋体" w:cs="宋体"/>
          <w:b/>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1、总体概述（7分）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概述、总体安排、及施工部署、项目组织管理机构等健全、合理、规范、高效，具有可操作性强，内容描述详细的得7分；可操作性尚可，内容描述较详细的得5分；可操作性一般，内容描述一般的得3分；可操作性差，内容描述特少的得1分,没有描述的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2、主要施工方案及技术措施（8分）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工程施工方案包含本项目图纸、工程量清单内所有内容、关键施工技术、工艺及工程项目实施的重点、难点和解决方案齐全、科学合理、操作性强、规范、高效，内容描述详细的得8分；可操作性尚可，内容描述较详细的得6分；可操作性一般，内容描述一般的得4分；可操作性差，内容描述特少的得2分,没有描述的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3、施工现场平面布置和临时设施的比较（8分）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平面布置和临时设施的比较（改造项目不得影响采购方正常办公，临时设施的布置应符合规范要求）；方案内容规范合理、针对性强、可实施性强的得满分8分；方案较完整、科学、合理、但有缺陷的得5分；方案不够完整、科学、合理、且有重大缺陷的得2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4、施工进度计划及保证措施（8分）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施工进度计划及保证措施的比较；方案内容规范合理、针对性强、可实施性强的得满分8分；方案较完整、科学、合理、但有缺陷的得5分；方案不够完整、科学、合理、且有重大缺陷的得2分；不提供不得分。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5、施工质量保证措施的比较（8分）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施工质量保证措施的比较；方案内容规范合理、针对性强、可实施性强的得满分8分；方案较完整、科学、合理、但有缺陷的得5分；方案不够完整、科学、合理、且有重大缺陷的得2分；不提供不得分。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6、安全文明施工专项方案（8分）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及环境保护措施的比较（针对本项目的施工现场扬尘、噪声污染防治措施及其他环境保护方面的措施）；方案内容规范合理、针对性强、可实施性强的得满分8分；方案较完整、科学、合理、但有缺陷的得5分；方案不够完整、科学、合理、且有重大缺陷的得2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7、材料设备供应及劳动力配备计划（6分）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材料设备供应及劳动力配备计划；计划最完整、科学、合理、全面的得满分6分；计划较完整、合理、但有缺陷的得3分；计划不够完整且有重大缺陷的得1分；不提供不得分。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8、施工机械及相关检测仪器仪表的配备比较（6分）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投入的设备满足采购要求，设备的完整程度、先进性等，提供内容规范合理、针对性强、可实施性强的得6分；提供内容科学完善、合理全面的得3分；有涉及但不全面的得1分；不提供不得分。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9、竣工验收资料归档（6分）</w:t>
      </w:r>
      <w:r>
        <w:rPr>
          <w:rFonts w:hint="eastAsia" w:ascii="宋体" w:hAnsi="宋体" w:eastAsia="宋体" w:cs="宋体"/>
          <w:color w:val="000000"/>
          <w:sz w:val="21"/>
          <w:szCs w:val="21"/>
          <w:highlight w:val="none"/>
        </w:rPr>
      </w:r>
      <w:r/>
    </w:p>
    <w:p>
      <w:pPr>
        <w:pStyle w:val="1044"/>
        <w:ind w:firstLine="48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资料管理方案、竣工验收程序规范、高效，具有可操作性强，内容描述详细的得6分；可操作性尚可，内容描述较详细的得3分；可操作性一般，内容描述一般的得1分；没有描述的不得分。</w:t>
      </w:r>
      <w:r>
        <w:rPr>
          <w:rFonts w:hint="eastAsia" w:ascii="宋体" w:hAnsi="宋体" w:eastAsia="宋体" w:cs="宋体"/>
          <w:color w:val="000000"/>
          <w:sz w:val="21"/>
          <w:szCs w:val="21"/>
          <w:highlight w:val="none"/>
        </w:rPr>
      </w:r>
      <w:r/>
    </w:p>
    <w:p>
      <w:pPr>
        <w:pStyle w:val="1044"/>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（三）项目组人员配备：（</w:t>
      </w:r>
      <w:r>
        <w:rPr>
          <w:rFonts w:hint="eastAsia" w:ascii="宋体" w:hAnsi="宋体" w:eastAsia="宋体" w:cs="宋体"/>
          <w:b/>
          <w:color w:val="000000"/>
          <w:szCs w:val="21"/>
          <w:highlight w:val="none"/>
          <w:lang w:val="en-US" w:eastAsia="zh-CN"/>
        </w:rPr>
        <w:t xml:space="preserve">10</w:t>
      </w:r>
      <w:r>
        <w:rPr>
          <w:rFonts w:hint="eastAsia" w:ascii="宋体" w:hAnsi="宋体" w:eastAsia="宋体" w:cs="宋体"/>
          <w:b/>
          <w:color w:val="000000"/>
          <w:szCs w:val="21"/>
          <w:highlight w:val="none"/>
          <w:lang w:val="zh-CN"/>
        </w:rPr>
        <w:t xml:space="preserve">分）</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、拟投入本项目的项目组成员（项目经理除外）具有中级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每提供一人得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助理</w:t>
      </w:r>
      <w:r>
        <w:rPr>
          <w:rFonts w:hint="eastAsia" w:ascii="宋体" w:hAnsi="宋体" w:eastAsia="宋体" w:cs="宋体"/>
          <w:color w:val="000000"/>
          <w:sz w:val="21"/>
          <w:szCs w:val="21"/>
          <w:highlight w:val="none"/>
        </w:rPr>
        <w:t xml:space="preserve">工程师职称的，每提供一人得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分。(响应文件中需提供该人员职称资格证书扫描件、最近一期缴纳的社保证明文件扫描件，不提供或提供不全不得分）。</w:t>
      </w:r>
      <w:r>
        <w:rPr>
          <w:rFonts w:hint="eastAsia" w:ascii="宋体" w:hAnsi="宋体" w:eastAsia="宋体" w:cs="宋体"/>
          <w:color w:val="000000"/>
          <w:sz w:val="21"/>
          <w:szCs w:val="21"/>
          <w:highlight w:val="none"/>
        </w:rPr>
      </w:r>
      <w:r/>
    </w:p>
    <w:p>
      <w:pPr>
        <w:pStyle w:val="1044"/>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（四）履约能力：（</w:t>
      </w:r>
      <w:r>
        <w:rPr>
          <w:rFonts w:hint="eastAsia" w:ascii="宋体" w:hAnsi="宋体" w:eastAsia="宋体" w:cs="宋体"/>
          <w:b/>
          <w:color w:val="000000"/>
          <w:szCs w:val="21"/>
          <w:highlight w:val="none"/>
          <w:lang w:val="en-US" w:eastAsia="zh-CN"/>
        </w:rPr>
        <w:t xml:space="preserve">15</w:t>
      </w:r>
      <w:r>
        <w:rPr>
          <w:rFonts w:hint="eastAsia" w:ascii="宋体" w:hAnsi="宋体" w:eastAsia="宋体" w:cs="宋体"/>
          <w:b/>
          <w:color w:val="000000"/>
          <w:szCs w:val="21"/>
          <w:highlight w:val="none"/>
          <w:lang w:val="zh-CN"/>
        </w:rPr>
        <w:t xml:space="preserve">分）</w:t>
      </w:r>
      <w:r>
        <w:rPr>
          <w:rFonts w:hint="eastAsia" w:ascii="宋体" w:hAnsi="宋体" w:eastAsia="宋体" w:cs="宋体"/>
          <w:b/>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1、响应单位提供自</w:t>
      </w:r>
      <w:r>
        <w:rPr>
          <w:rFonts w:hint="eastAsia" w:ascii="宋体" w:hAnsi="宋体" w:eastAsia="宋体" w:cs="宋体"/>
          <w:color w:val="000000"/>
          <w:szCs w:val="21"/>
          <w:highlight w:val="none"/>
          <w:lang w:val="en-US" w:eastAsia="zh-CN"/>
        </w:rPr>
        <w:t xml:space="preserve">2023</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1月1日</w:t>
      </w:r>
      <w:r>
        <w:rPr>
          <w:rFonts w:hint="eastAsia" w:ascii="宋体" w:hAnsi="宋体" w:eastAsia="宋体" w:cs="宋体"/>
          <w:color w:val="000000"/>
          <w:szCs w:val="21"/>
          <w:highlight w:val="none"/>
        </w:rPr>
        <w:t xml:space="preserve">至今（以合同签订时间为准）承担过</w:t>
      </w:r>
      <w:r>
        <w:rPr>
          <w:rFonts w:hint="eastAsia" w:ascii="宋体" w:hAnsi="宋体" w:eastAsia="宋体" w:cs="宋体"/>
          <w:bCs/>
          <w:color w:val="000000"/>
          <w:szCs w:val="21"/>
          <w:highlight w:val="none"/>
          <w:lang w:val="en-US" w:eastAsia="zh-CN"/>
        </w:rPr>
        <w:t xml:space="preserve">景观绿化</w:t>
      </w:r>
      <w:r>
        <w:rPr>
          <w:rFonts w:hint="eastAsia" w:ascii="宋体" w:hAnsi="宋体" w:eastAsia="宋体" w:cs="宋体"/>
          <w:bCs/>
          <w:color w:val="000000"/>
          <w:szCs w:val="21"/>
          <w:highlight w:val="none"/>
        </w:rPr>
        <w:t xml:space="preserve">项目</w:t>
      </w:r>
      <w:r>
        <w:rPr>
          <w:rFonts w:hint="eastAsia" w:ascii="宋体" w:hAnsi="宋体" w:eastAsia="宋体" w:cs="宋体"/>
          <w:color w:val="000000"/>
          <w:szCs w:val="21"/>
          <w:highlight w:val="none"/>
        </w:rPr>
        <w:t xml:space="preserve">业绩的每提供一个得3分，本项共</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分。（响应文件中提供施工合同及部分发票扫描件，未按要求提供不得分）</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2、响应单位具有有效期内质量</w:t>
      </w:r>
      <w:r>
        <w:rPr>
          <w:rFonts w:hint="eastAsia" w:ascii="宋体" w:hAnsi="宋体" w:eastAsia="宋体" w:cs="宋体"/>
          <w:color w:val="000000"/>
          <w:szCs w:val="21"/>
          <w:highlight w:val="none"/>
          <w:lang w:val="en-US" w:eastAsia="zh-CN"/>
        </w:rPr>
        <w:t xml:space="preserve">管理</w:t>
      </w:r>
      <w:r>
        <w:rPr>
          <w:rFonts w:hint="eastAsia" w:ascii="宋体" w:hAnsi="宋体" w:eastAsia="宋体" w:cs="宋体"/>
          <w:color w:val="000000"/>
          <w:szCs w:val="21"/>
          <w:highlight w:val="none"/>
        </w:rPr>
        <w:t xml:space="preserve">体系认证、环境</w:t>
      </w:r>
      <w:r>
        <w:rPr>
          <w:rFonts w:hint="eastAsia" w:ascii="宋体" w:hAnsi="宋体" w:eastAsia="宋体" w:cs="宋体"/>
          <w:color w:val="000000"/>
          <w:szCs w:val="21"/>
          <w:highlight w:val="none"/>
          <w:lang w:val="en-US" w:eastAsia="zh-CN"/>
        </w:rPr>
        <w:t xml:space="preserve">管理</w:t>
      </w:r>
      <w:r>
        <w:rPr>
          <w:rFonts w:hint="eastAsia" w:ascii="宋体" w:hAnsi="宋体" w:eastAsia="宋体" w:cs="宋体"/>
          <w:color w:val="000000"/>
          <w:szCs w:val="21"/>
          <w:highlight w:val="none"/>
        </w:rPr>
        <w:t xml:space="preserve">体系认证、职业健康安全</w:t>
      </w:r>
      <w:r>
        <w:rPr>
          <w:rFonts w:hint="eastAsia" w:ascii="宋体" w:hAnsi="宋体" w:eastAsia="宋体" w:cs="宋体"/>
          <w:color w:val="000000"/>
          <w:szCs w:val="21"/>
          <w:highlight w:val="none"/>
          <w:lang w:val="en-US" w:eastAsia="zh-CN"/>
        </w:rPr>
        <w:t xml:space="preserve">管理</w:t>
      </w:r>
      <w:r>
        <w:rPr>
          <w:rFonts w:hint="eastAsia" w:ascii="宋体" w:hAnsi="宋体" w:eastAsia="宋体" w:cs="宋体"/>
          <w:color w:val="000000"/>
          <w:szCs w:val="21"/>
          <w:highlight w:val="none"/>
        </w:rPr>
        <w:t xml:space="preserve">体系认证的，有1个得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分，本项共</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bCs/>
          <w:color w:val="000000"/>
          <w:szCs w:val="21"/>
          <w:highlight w:val="none"/>
          <w:lang w:val="en-US" w:eastAsia="zh-CN"/>
        </w:rPr>
        <w:t xml:space="preserve">响应</w:t>
      </w:r>
      <w:r>
        <w:rPr>
          <w:rFonts w:hint="eastAsia" w:ascii="宋体" w:hAnsi="宋体" w:eastAsia="宋体" w:cs="宋体"/>
          <w:bCs/>
          <w:color w:val="000000"/>
          <w:szCs w:val="21"/>
          <w:highlight w:val="none"/>
        </w:rPr>
        <w:t xml:space="preserve">文件中提供认证证书复印件，并提供中国国家认证认可监督管理委员会官网http://cx.cnca.cn/证书查询结果页面截图，未按要求提供不得分。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44"/>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月以来，响应单位承担的项目获得过市级及以上政府部门颁发的奖项荣誉的得3分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获得过</w:t>
      </w:r>
      <w:r>
        <w:rPr>
          <w:rFonts w:hint="eastAsia" w:ascii="宋体" w:hAnsi="宋体" w:eastAsia="宋体" w:cs="宋体"/>
          <w:color w:val="000000"/>
          <w:szCs w:val="21"/>
          <w:highlight w:val="none"/>
          <w:lang w:val="en-US" w:eastAsia="zh-CN"/>
        </w:rPr>
        <w:t xml:space="preserve">区（县）</w:t>
      </w:r>
      <w:r>
        <w:rPr>
          <w:rFonts w:hint="eastAsia" w:ascii="宋体" w:hAnsi="宋体" w:eastAsia="宋体" w:cs="宋体"/>
          <w:color w:val="000000"/>
          <w:szCs w:val="21"/>
          <w:highlight w:val="none"/>
        </w:rPr>
        <w:t xml:space="preserve">级政府部门颁发的奖项荣誉的得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本项共3分</w:t>
      </w:r>
      <w:r>
        <w:rPr>
          <w:rFonts w:hint="eastAsia" w:ascii="宋体" w:hAnsi="宋体" w:eastAsia="宋体" w:cs="宋体"/>
          <w:color w:val="000000"/>
          <w:szCs w:val="21"/>
          <w:highlight w:val="none"/>
        </w:rPr>
        <w:t xml:space="preserve">。（以获奖时间为准，提供奖项证明材料</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rPr>
        <w:t xml:space="preserve">未提供或提供不全的不得分）。</w:t>
      </w:r>
      <w:r>
        <w:rPr>
          <w:rFonts w:hint="eastAsia" w:ascii="宋体" w:hAnsi="宋体" w:eastAsia="宋体" w:cs="宋体"/>
          <w:color w:val="000000"/>
          <w:szCs w:val="21"/>
          <w:highlight w:val="none"/>
        </w:rPr>
      </w:r>
      <w:r/>
    </w:p>
    <w:p>
      <w:pPr>
        <w:pStyle w:val="1044"/>
        <w:pageBreakBefore w:val="0"/>
        <w:spacing w:after="120"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注：</w:t>
      </w:r>
      <w:r>
        <w:rPr>
          <w:rFonts w:hint="eastAsia" w:ascii="宋体" w:hAnsi="宋体" w:eastAsia="宋体" w:cs="宋体"/>
          <w:b/>
          <w:bCs/>
          <w:color w:val="000000"/>
          <w:szCs w:val="21"/>
          <w:highlight w:val="none"/>
        </w:rPr>
      </w:r>
      <w:r/>
    </w:p>
    <w:p>
      <w:pPr>
        <w:pStyle w:val="1044"/>
        <w:jc w:val="left"/>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1、报价超过最高限价的将不进入综合评审程序，也不得标。</w:t>
      </w:r>
      <w:r>
        <w:rPr>
          <w:rFonts w:hint="eastAsia" w:ascii="宋体" w:hAnsi="宋体" w:eastAsia="宋体" w:cs="宋体"/>
          <w:b/>
          <w:color w:val="000000"/>
          <w:szCs w:val="21"/>
          <w:highlight w:val="none"/>
        </w:rPr>
      </w:r>
      <w:r/>
    </w:p>
    <w:p>
      <w:pPr>
        <w:pStyle w:val="1044"/>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2、针对评分标准中评分的每一条，响应供应商均应提供相关对应资料，并作出相应说明，供评委评判，否则视为不具备相关项得分的条件。</w:t>
      </w:r>
      <w:r>
        <w:rPr>
          <w:rFonts w:hint="eastAsia" w:ascii="宋体" w:hAnsi="宋体" w:eastAsia="宋体" w:cs="宋体"/>
          <w:b/>
          <w:color w:val="000000"/>
          <w:szCs w:val="21"/>
          <w:highlight w:val="none"/>
        </w:rPr>
      </w:r>
      <w:r/>
    </w:p>
    <w:p>
      <w:pPr>
        <w:pStyle w:val="1109"/>
        <w:ind w:right="480"/>
        <w:jc w:val="right"/>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（全文完）</w:t>
      </w:r>
      <w:r/>
    </w:p>
    <w:sectPr>
      <w:headerReference w:type="default" r:id="rId11"/>
      <w:headerReference w:type="even" r:id="rId12"/>
      <w:headerReference w:type="first" r:id="rId13"/>
      <w:footerReference w:type="default" r:id="rId20"/>
      <w:footerReference w:type="even" r:id="rId21"/>
      <w:footerReference w:type="first" r:id="rId22"/>
      <w:footnotePr/>
      <w:endnotePr/>
      <w:type w:val="nextPage"/>
      <w:pgSz w:w="11906" w:h="16838" w:orient="portrait"/>
      <w:pgMar w:top="1440" w:right="1274"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w:t>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w:t>
                    </w:r>
                    <w:r/>
                  </w:p>
                  <w:p>
                    <w:pPr>
                      <w:pStyle w:val="10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tabs>
                        <w:tab w:val="clear" w:pos="4153" w:leader="none"/>
                        <w:tab w:val="clear"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p>
                    <w:pPr>
                      <w:pStyle w:val="1044"/>
                    </w:pPr>
                    <w:r/>
                    <w:r/>
                  </w:p>
                </w:txbxContent>
              </v:textbox>
            </v:shape>
          </w:pict>
        </mc:Fallback>
      </mc:AlternateContent>
    </w:r>
    <w:r/>
  </w:p>
  <w:p>
    <w:pPr>
      <w:pStyle w:val="110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left="3462" w:firstLine="720"/>
      <w:jc w:val="both"/>
      <w:spacing w:after="120" w:line="212" w:lineRule="auto"/>
      <w:widowControl w:val="off"/>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18</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18</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44"/>
                    </w:pPr>
                    <w:r/>
                    <w:r/>
                  </w:p>
                </w:txbxContent>
              </v:textbox>
            </v:shape>
          </w:pict>
        </mc:Fallback>
      </mc:AlternateContent>
    </w:r>
    <w:r>
      <w:rPr>
        <w:rFonts w:hint="eastAsia"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jc w:val="center"/>
                            <w:widowControl w:val="off"/>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w:t>
                          </w:r>
                          <w:r>
                            <w:rPr>
                              <w:rFonts w:ascii="Times New Roman" w:hAnsi="Times New Roman" w:eastAsia="宋体" w:cs="Times New Roman"/>
                              <w:sz w:val="18"/>
                              <w:szCs w:val="18"/>
                              <w:lang w:val="en-US" w:eastAsia="zh-CN" w:bidi="ar-SA"/>
                            </w:rPr>
                            <w:fldChar w:fldCharType="end"/>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jc w:val="center"/>
                      <w:widowControl w:val="off"/>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w:t>
                    </w:r>
                    <w:r>
                      <w:rPr>
                        <w:rFonts w:ascii="Times New Roman" w:hAnsi="Times New Roman" w:eastAsia="宋体" w:cs="Times New Roman"/>
                        <w:sz w:val="18"/>
                        <w:szCs w:val="18"/>
                        <w:lang w:val="en-US" w:eastAsia="zh-CN" w:bidi="ar-SA"/>
                      </w:rPr>
                      <w:fldChar w:fldCharType="end"/>
                    </w:r>
                    <w:r/>
                  </w:p>
                  <w:p>
                    <w:pPr>
                      <w:pStyle w:val="1044"/>
                    </w:pPr>
                    <w:r/>
                    <w:r/>
                  </w:p>
                </w:txbxContent>
              </v:textbox>
            </v:shape>
          </w:pict>
        </mc:Fallback>
      </mc:AlternateContent>
    </w:r>
    <w:r>
      <w:rPr>
        <w:rFonts w:ascii="Times New Roman" w:hAnsi="Times New Roman" w:eastAsia="宋体" w:cs="Times New Roman"/>
        <w:sz w:val="18"/>
        <w:szCs w:val="18"/>
        <w:lang w:val="en-US" w:eastAsia="zh-CN" w:bidi="ar-SA"/>
      </w:rPr>
    </w:r>
    <w:r/>
  </w:p>
  <w:p>
    <w:pPr>
      <w:pStyle w:val="1044"/>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jc w:val="center"/>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78</w:t>
                          </w:r>
                          <w:r>
                            <w:fldChar w:fldCharType="end"/>
                          </w:r>
                          <w:r/>
                        </w:p>
                        <w:p>
                          <w:pPr>
                            <w:pStyle w:val="104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jc w:val="center"/>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78</w:t>
                    </w:r>
                    <w:r>
                      <w:fldChar w:fldCharType="end"/>
                    </w:r>
                    <w:r/>
                  </w:p>
                  <w:p>
                    <w:pPr>
                      <w:pStyle w:val="1044"/>
                    </w:pPr>
                    <w:r/>
                    <w:r/>
                  </w:p>
                </w:txbxContent>
              </v:textbox>
            </v:shape>
          </w:pict>
        </mc:Fallback>
      </mc:AlternateContent>
    </w:r>
    <w:r/>
  </w:p>
  <w:p>
    <w:pPr>
      <w:pStyle w:val="104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Style w:val="1138"/>
      </w:rPr>
      <w:framePr w:wrap="around" w:vAnchor="text" w:hAnchor="margin" w:xAlign="center" w:y="1"/>
    </w:pPr>
    <w:r>
      <w:rPr>
        <w:rStyle w:val="1138"/>
      </w:rPr>
      <w:fldChar w:fldCharType="begin"/>
    </w:r>
    <w:r>
      <w:rPr>
        <w:rStyle w:val="1138"/>
      </w:rPr>
      <w:instrText xml:space="preserve">PAGE  </w:instrText>
    </w:r>
    <w:r>
      <w:rPr>
        <w:rStyle w:val="1138"/>
      </w:rPr>
      <w:fldChar w:fldCharType="end"/>
    </w:r>
    <w:r>
      <w:rPr>
        <w:rStyle w:val="1138"/>
      </w:rPr>
    </w:r>
    <w:r/>
  </w:p>
  <w:p>
    <w:pPr>
      <w:pStyle w:val="1103"/>
      <w:tabs>
        <w:tab w:val="center" w:pos="4153" w:leader="none"/>
        <w:tab w:val="right" w:pos="8306" w:leader="none"/>
      </w:tabs>
    </w:pPr>
    <w:r/>
    <w:r/>
  </w:p>
  <w:p>
    <w:pPr>
      <w:pStyle w:val="1044"/>
    </w:pPr>
    <w:r/>
    <w:r/>
  </w:p>
  <w:p>
    <w:pPr>
      <w:pStyle w:val="104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rPr>
        <w:highlight w:val="none"/>
      </w:rPr>
    </w:pPr>
    <w:r>
      <w:rPr>
        <w:rFonts w:hint="eastAsia"/>
      </w:rPr>
      <w:t xml:space="preserve">                             </w:t>
    </w:r>
    <w:r>
      <w:tab/>
    </w:r>
    <w:r>
      <w:t xml:space="preserve">                               </w:t>
    </w:r>
    <w:r>
      <w:rPr>
        <w:highlight w:val="none"/>
      </w:rPr>
      <w:t xml:space="preserve">      </w:t>
    </w:r>
    <w:r>
      <w:rPr>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widowControl w:val="off"/>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p>
    <w:pPr>
      <w:pStyle w:val="10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p>
    <w:pPr>
      <w:pStyle w:val="1044"/>
    </w:pPr>
    <w:r/>
    <w:r/>
  </w:p>
  <w:p>
    <w:pPr>
      <w:pStyle w:val="104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27"/>
      <w:isLgl w:val="false"/>
      <w:suff w:val="tab"/>
      <w:lvlText w:val="%1、"/>
      <w:lvlJc w:val="left"/>
      <w:pPr>
        <w:pStyle w:val="1044"/>
        <w:ind w:left="420" w:hanging="420"/>
        <w:tabs>
          <w:tab w:val="num" w:pos="420" w:leader="none"/>
        </w:tabs>
      </w:pPr>
      <w:rPr>
        <w:rFonts w:hint="eastAsia"/>
        <w:b/>
      </w:rPr>
    </w:lvl>
    <w:lvl w:ilvl="1">
      <w:start w:val="1"/>
      <w:numFmt w:val="decimal"/>
      <w:isLgl w:val="false"/>
      <w:suff w:val="tab"/>
      <w:lvlText w:val="%2."/>
      <w:lvlJc w:val="left"/>
      <w:pPr>
        <w:pStyle w:val="1044"/>
        <w:ind w:left="840" w:hanging="420"/>
        <w:tabs>
          <w:tab w:val="num" w:pos="840" w:leader="none"/>
        </w:tabs>
      </w:pPr>
      <w:rPr>
        <w:rFonts w:hint="eastAsia"/>
      </w:rPr>
    </w:lvl>
    <w:lvl w:ilvl="2">
      <w:start w:val="3"/>
      <w:numFmt w:val="decimal"/>
      <w:isLgl w:val="false"/>
      <w:suff w:val="tab"/>
      <w:lvlText w:val="%3."/>
      <w:lvlJc w:val="left"/>
      <w:pPr>
        <w:pStyle w:val="1044"/>
        <w:ind w:left="1260" w:hanging="420"/>
        <w:tabs>
          <w:tab w:val="num" w:pos="1260" w:leader="none"/>
        </w:tabs>
      </w:pPr>
      <w:rPr>
        <w:rFonts w:hint="eastAsia"/>
      </w:r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2">
    <w:multiLevelType w:val="hybridMultilevel"/>
    <w:lvl w:ilvl="0">
      <w:start w:val="1"/>
      <w:numFmt w:val="decimal"/>
      <w:pStyle w:val="1582"/>
      <w:isLgl w:val="false"/>
      <w:suff w:val="tab"/>
      <w:lvlText w:val="%1."/>
      <w:lvlJc w:val="left"/>
      <w:pPr>
        <w:pStyle w:val="1044"/>
        <w:ind w:left="420" w:hanging="420"/>
      </w:pPr>
      <w:rPr>
        <w:b w:val="0"/>
      </w:rPr>
    </w:lvl>
    <w:lvl w:ilvl="1">
      <w:start w:val="1"/>
      <w:numFmt w:val="lowerLetter"/>
      <w:isLgl w:val="false"/>
      <w:suff w:val="tab"/>
      <w:lvlText w:val="%2)"/>
      <w:lvlJc w:val="left"/>
      <w:pPr>
        <w:pStyle w:val="1044"/>
        <w:ind w:left="840" w:hanging="420"/>
      </w:pPr>
    </w:lvl>
    <w:lvl w:ilvl="2">
      <w:start w:val="1"/>
      <w:numFmt w:val="lowerRoman"/>
      <w:isLgl w:val="false"/>
      <w:suff w:val="tab"/>
      <w:lvlText w:val="%3."/>
      <w:lvlJc w:val="right"/>
      <w:pPr>
        <w:pStyle w:val="1044"/>
        <w:ind w:left="1260" w:hanging="420"/>
      </w:pPr>
    </w:lvl>
    <w:lvl w:ilvl="3">
      <w:start w:val="1"/>
      <w:numFmt w:val="decimal"/>
      <w:isLgl w:val="false"/>
      <w:suff w:val="tab"/>
      <w:lvlText w:val="%4."/>
      <w:lvlJc w:val="left"/>
      <w:pPr>
        <w:pStyle w:val="1044"/>
        <w:ind w:left="1680" w:hanging="420"/>
      </w:pPr>
    </w:lvl>
    <w:lvl w:ilvl="4">
      <w:start w:val="1"/>
      <w:numFmt w:val="lowerLetter"/>
      <w:isLgl w:val="false"/>
      <w:suff w:val="tab"/>
      <w:lvlText w:val="%5)"/>
      <w:lvlJc w:val="left"/>
      <w:pPr>
        <w:pStyle w:val="1044"/>
        <w:ind w:left="2100" w:hanging="420"/>
      </w:pPr>
    </w:lvl>
    <w:lvl w:ilvl="5">
      <w:start w:val="1"/>
      <w:numFmt w:val="lowerRoman"/>
      <w:isLgl w:val="false"/>
      <w:suff w:val="tab"/>
      <w:lvlText w:val="%6."/>
      <w:lvlJc w:val="right"/>
      <w:pPr>
        <w:pStyle w:val="1044"/>
        <w:ind w:left="2520" w:hanging="420"/>
      </w:pPr>
    </w:lvl>
    <w:lvl w:ilvl="6">
      <w:start w:val="1"/>
      <w:numFmt w:val="decimal"/>
      <w:isLgl w:val="false"/>
      <w:suff w:val="tab"/>
      <w:lvlText w:val="%7."/>
      <w:lvlJc w:val="left"/>
      <w:pPr>
        <w:pStyle w:val="1044"/>
        <w:ind w:left="2940" w:hanging="420"/>
      </w:pPr>
    </w:lvl>
    <w:lvl w:ilvl="7">
      <w:start w:val="1"/>
      <w:numFmt w:val="lowerLetter"/>
      <w:isLgl w:val="false"/>
      <w:suff w:val="tab"/>
      <w:lvlText w:val="%8)"/>
      <w:lvlJc w:val="left"/>
      <w:pPr>
        <w:pStyle w:val="1044"/>
        <w:ind w:left="3360" w:hanging="420"/>
      </w:pPr>
    </w:lvl>
    <w:lvl w:ilvl="8">
      <w:start w:val="1"/>
      <w:numFmt w:val="lowerRoman"/>
      <w:isLgl w:val="false"/>
      <w:suff w:val="tab"/>
      <w:lvlText w:val="%9."/>
      <w:lvlJc w:val="right"/>
      <w:pPr>
        <w:pStyle w:val="1044"/>
        <w:ind w:left="3780" w:hanging="420"/>
      </w:pPr>
    </w:lvl>
  </w:abstractNum>
  <w:abstractNum w:abstractNumId="3">
    <w:multiLevelType w:val="hybridMultilevel"/>
    <w:lvl w:ilvl="0">
      <w:start w:val="1"/>
      <w:numFmt w:val="bullet"/>
      <w:pStyle w:val="1088"/>
      <w:isLgl w:val="false"/>
      <w:suff w:val="tab"/>
      <w:lvlText w:val=""/>
      <w:lvlJc w:val="left"/>
      <w:pPr>
        <w:pStyle w:val="1044"/>
        <w:ind w:left="780" w:hanging="360"/>
        <w:tabs>
          <w:tab w:val="num" w:pos="780" w:leader="none"/>
        </w:tabs>
      </w:pPr>
      <w:rPr>
        <w:rFonts w:ascii="Wingdings" w:hAnsi="Wingdings"/>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4">
    <w:multiLevelType w:val="hybridMultilevel"/>
    <w:lvl w:ilvl="0">
      <w:start w:val="1"/>
      <w:numFmt w:val="bullet"/>
      <w:pStyle w:val="1671"/>
      <w:isLgl w:val="false"/>
      <w:suff w:val="tab"/>
      <w:lvlText w:val="•"/>
      <w:lvlJc w:val="left"/>
      <w:pPr>
        <w:pStyle w:val="1044"/>
        <w:ind w:left="780" w:hanging="420"/>
      </w:pPr>
      <w:rPr>
        <w:rFonts w:ascii="Arial" w:hAnsi="Arial"/>
      </w:rPr>
    </w:lvl>
    <w:lvl w:ilvl="1">
      <w:start w:val="1"/>
      <w:numFmt w:val="bullet"/>
      <w:isLgl w:val="false"/>
      <w:suff w:val="tab"/>
      <w:lvlText w:val="•"/>
      <w:lvlJc w:val="left"/>
      <w:pPr>
        <w:pStyle w:val="1044"/>
        <w:ind w:left="1200" w:hanging="420"/>
      </w:pPr>
      <w:rPr>
        <w:rFonts w:ascii="Arial" w:hAnsi="Arial"/>
      </w:rPr>
    </w:lvl>
    <w:lvl w:ilvl="2">
      <w:start w:val="1"/>
      <w:numFmt w:val="bullet"/>
      <w:isLgl w:val="false"/>
      <w:suff w:val="tab"/>
      <w:lvlText w:val=""/>
      <w:lvlJc w:val="left"/>
      <w:pPr>
        <w:pStyle w:val="1044"/>
        <w:ind w:left="1620" w:hanging="420"/>
      </w:pPr>
      <w:rPr>
        <w:rFonts w:ascii="Wingdings" w:hAnsi="Wingdings"/>
      </w:rPr>
    </w:lvl>
    <w:lvl w:ilvl="3">
      <w:start w:val="1"/>
      <w:numFmt w:val="bullet"/>
      <w:isLgl w:val="false"/>
      <w:suff w:val="tab"/>
      <w:lvlText w:val=""/>
      <w:lvlJc w:val="left"/>
      <w:pPr>
        <w:pStyle w:val="1044"/>
        <w:ind w:left="2040" w:hanging="420"/>
      </w:pPr>
      <w:rPr>
        <w:rFonts w:ascii="Wingdings" w:hAnsi="Wingdings"/>
      </w:rPr>
    </w:lvl>
    <w:lvl w:ilvl="4">
      <w:start w:val="1"/>
      <w:numFmt w:val="bullet"/>
      <w:isLgl w:val="false"/>
      <w:suff w:val="tab"/>
      <w:lvlText w:val=""/>
      <w:lvlJc w:val="left"/>
      <w:pPr>
        <w:pStyle w:val="1044"/>
        <w:ind w:left="2460" w:hanging="420"/>
      </w:pPr>
      <w:rPr>
        <w:rFonts w:ascii="Wingdings" w:hAnsi="Wingdings"/>
      </w:rPr>
    </w:lvl>
    <w:lvl w:ilvl="5">
      <w:start w:val="1"/>
      <w:numFmt w:val="bullet"/>
      <w:isLgl w:val="false"/>
      <w:suff w:val="tab"/>
      <w:lvlText w:val=""/>
      <w:lvlJc w:val="left"/>
      <w:pPr>
        <w:pStyle w:val="1044"/>
        <w:ind w:left="2880" w:hanging="420"/>
      </w:pPr>
      <w:rPr>
        <w:rFonts w:ascii="Wingdings" w:hAnsi="Wingdings"/>
      </w:rPr>
    </w:lvl>
    <w:lvl w:ilvl="6">
      <w:start w:val="1"/>
      <w:numFmt w:val="bullet"/>
      <w:isLgl w:val="false"/>
      <w:suff w:val="tab"/>
      <w:lvlText w:val=""/>
      <w:lvlJc w:val="left"/>
      <w:pPr>
        <w:pStyle w:val="1044"/>
        <w:ind w:left="3300" w:hanging="420"/>
      </w:pPr>
      <w:rPr>
        <w:rFonts w:ascii="Wingdings" w:hAnsi="Wingdings"/>
      </w:rPr>
    </w:lvl>
    <w:lvl w:ilvl="7">
      <w:start w:val="1"/>
      <w:numFmt w:val="bullet"/>
      <w:isLgl w:val="false"/>
      <w:suff w:val="tab"/>
      <w:lvlText w:val=""/>
      <w:lvlJc w:val="left"/>
      <w:pPr>
        <w:pStyle w:val="1044"/>
        <w:ind w:left="3720" w:hanging="420"/>
      </w:pPr>
      <w:rPr>
        <w:rFonts w:ascii="Wingdings" w:hAnsi="Wingdings"/>
      </w:rPr>
    </w:lvl>
    <w:lvl w:ilvl="8">
      <w:start w:val="1"/>
      <w:numFmt w:val="bullet"/>
      <w:isLgl w:val="false"/>
      <w:suff w:val="tab"/>
      <w:lvlText w:val=""/>
      <w:lvlJc w:val="left"/>
      <w:pPr>
        <w:pStyle w:val="1044"/>
        <w:ind w:left="4140" w:hanging="420"/>
      </w:pPr>
      <w:rPr>
        <w:rFonts w:ascii="Wingdings" w:hAnsi="Wingdings"/>
      </w:rPr>
    </w:lvl>
  </w:abstractNum>
  <w:abstractNum w:abstractNumId="5">
    <w:multiLevelType w:val="hybridMultilevel"/>
    <w:lvl w:ilvl="0">
      <w:start w:val="1"/>
      <w:numFmt w:val="decimal"/>
      <w:isLgl w:val="false"/>
      <w:suff w:val="tab"/>
      <w:lvlText w:val="（%1）"/>
      <w:lvlJc w:val="left"/>
      <w:pPr>
        <w:pStyle w:val="1044"/>
        <w:ind w:left="1680" w:hanging="1080"/>
        <w:tabs>
          <w:tab w:val="num" w:pos="1680" w:leader="none"/>
        </w:tabs>
      </w:pPr>
    </w:lvl>
    <w:lvl w:ilvl="1">
      <w:start w:val="1"/>
      <w:numFmt w:val="lowerLetter"/>
      <w:isLgl w:val="false"/>
      <w:suff w:val="tab"/>
      <w:lvlText w:val="%2)"/>
      <w:lvlJc w:val="left"/>
      <w:pPr>
        <w:pStyle w:val="1044"/>
        <w:ind w:left="1440" w:hanging="420"/>
        <w:tabs>
          <w:tab w:val="num" w:pos="1440" w:leader="none"/>
        </w:tabs>
      </w:pPr>
    </w:lvl>
    <w:lvl w:ilvl="2">
      <w:start w:val="1"/>
      <w:numFmt w:val="lowerRoman"/>
      <w:isLgl w:val="false"/>
      <w:suff w:val="tab"/>
      <w:lvlText w:val="%3."/>
      <w:lvlJc w:val="right"/>
      <w:pPr>
        <w:pStyle w:val="1044"/>
        <w:ind w:left="1860" w:hanging="420"/>
        <w:tabs>
          <w:tab w:val="num" w:pos="1860" w:leader="none"/>
        </w:tabs>
      </w:pPr>
    </w:lvl>
    <w:lvl w:ilvl="3">
      <w:start w:val="1"/>
      <w:numFmt w:val="decimal"/>
      <w:isLgl w:val="false"/>
      <w:suff w:val="tab"/>
      <w:lvlText w:val="%4."/>
      <w:lvlJc w:val="left"/>
      <w:pPr>
        <w:pStyle w:val="1044"/>
        <w:ind w:left="2280" w:hanging="420"/>
        <w:tabs>
          <w:tab w:val="num" w:pos="2280" w:leader="none"/>
        </w:tabs>
      </w:pPr>
    </w:lvl>
    <w:lvl w:ilvl="4">
      <w:start w:val="1"/>
      <w:numFmt w:val="lowerLetter"/>
      <w:isLgl w:val="false"/>
      <w:suff w:val="tab"/>
      <w:lvlText w:val="%5)"/>
      <w:lvlJc w:val="left"/>
      <w:pPr>
        <w:pStyle w:val="1044"/>
        <w:ind w:left="2700" w:hanging="420"/>
        <w:tabs>
          <w:tab w:val="num" w:pos="2700" w:leader="none"/>
        </w:tabs>
      </w:pPr>
    </w:lvl>
    <w:lvl w:ilvl="5">
      <w:start w:val="1"/>
      <w:numFmt w:val="lowerRoman"/>
      <w:isLgl w:val="false"/>
      <w:suff w:val="tab"/>
      <w:lvlText w:val="%6."/>
      <w:lvlJc w:val="right"/>
      <w:pPr>
        <w:pStyle w:val="1044"/>
        <w:ind w:left="3120" w:hanging="420"/>
        <w:tabs>
          <w:tab w:val="num" w:pos="3120" w:leader="none"/>
        </w:tabs>
      </w:pPr>
    </w:lvl>
    <w:lvl w:ilvl="6">
      <w:start w:val="1"/>
      <w:numFmt w:val="decimal"/>
      <w:isLgl w:val="false"/>
      <w:suff w:val="tab"/>
      <w:lvlText w:val="%7."/>
      <w:lvlJc w:val="left"/>
      <w:pPr>
        <w:pStyle w:val="1044"/>
        <w:ind w:left="3540" w:hanging="420"/>
        <w:tabs>
          <w:tab w:val="num" w:pos="3540" w:leader="none"/>
        </w:tabs>
      </w:pPr>
    </w:lvl>
    <w:lvl w:ilvl="7">
      <w:start w:val="1"/>
      <w:numFmt w:val="lowerLetter"/>
      <w:isLgl w:val="false"/>
      <w:suff w:val="tab"/>
      <w:lvlText w:val="%8)"/>
      <w:lvlJc w:val="left"/>
      <w:pPr>
        <w:pStyle w:val="1044"/>
        <w:ind w:left="3960" w:hanging="420"/>
        <w:tabs>
          <w:tab w:val="num" w:pos="3960" w:leader="none"/>
        </w:tabs>
      </w:pPr>
    </w:lvl>
    <w:lvl w:ilvl="8">
      <w:start w:val="1"/>
      <w:numFmt w:val="lowerRoman"/>
      <w:isLgl w:val="false"/>
      <w:suff w:val="tab"/>
      <w:lvlText w:val="%9."/>
      <w:lvlJc w:val="right"/>
      <w:pPr>
        <w:pStyle w:val="1044"/>
        <w:ind w:left="4380" w:hanging="420"/>
        <w:tabs>
          <w:tab w:val="num" w:pos="4380" w:leader="none"/>
        </w:tabs>
      </w:pPr>
    </w:lvl>
  </w:abstractNum>
  <w:abstractNum w:abstractNumId="6">
    <w:multiLevelType w:val="hybridMultilevel"/>
    <w:lvl w:ilvl="0">
      <w:start w:val="1"/>
      <w:numFmt w:val="upperLetter"/>
      <w:pStyle w:val="1601"/>
      <w:isLgl w:val="false"/>
      <w:suff w:val="tab"/>
      <w:lvlText w:val="%1."/>
      <w:lvlJc w:val="left"/>
      <w:pPr>
        <w:pStyle w:val="1044"/>
        <w:ind w:left="900" w:hanging="420"/>
      </w:pPr>
    </w:lvl>
    <w:lvl w:ilvl="1">
      <w:start w:val="1"/>
      <w:numFmt w:val="bullet"/>
      <w:isLgl w:val="false"/>
      <w:suff w:val="tab"/>
      <w:lvlText w:val=""/>
      <w:lvlJc w:val="left"/>
      <w:pPr>
        <w:pStyle w:val="1044"/>
        <w:ind w:left="1320" w:hanging="420"/>
      </w:pPr>
      <w:rPr>
        <w:rFonts w:ascii="Wingdings" w:hAnsi="Wingdings"/>
      </w:rPr>
    </w:lvl>
    <w:lvl w:ilvl="2">
      <w:start w:val="1"/>
      <w:numFmt w:val="bullet"/>
      <w:isLgl w:val="false"/>
      <w:suff w:val="tab"/>
      <w:lvlText w:val=""/>
      <w:lvlJc w:val="left"/>
      <w:pPr>
        <w:pStyle w:val="1044"/>
        <w:ind w:left="1740" w:hanging="420"/>
      </w:pPr>
      <w:rPr>
        <w:rFonts w:ascii="Wingdings" w:hAnsi="Wingdings"/>
      </w:rPr>
    </w:lvl>
    <w:lvl w:ilvl="3">
      <w:start w:val="1"/>
      <w:numFmt w:val="bullet"/>
      <w:isLgl w:val="false"/>
      <w:suff w:val="tab"/>
      <w:lvlText w:val=""/>
      <w:lvlJc w:val="left"/>
      <w:pPr>
        <w:pStyle w:val="1044"/>
        <w:ind w:left="2160" w:hanging="420"/>
      </w:pPr>
      <w:rPr>
        <w:rFonts w:ascii="Wingdings" w:hAnsi="Wingdings"/>
      </w:rPr>
    </w:lvl>
    <w:lvl w:ilvl="4">
      <w:start w:val="1"/>
      <w:numFmt w:val="bullet"/>
      <w:isLgl w:val="false"/>
      <w:suff w:val="tab"/>
      <w:lvlText w:val=""/>
      <w:lvlJc w:val="left"/>
      <w:pPr>
        <w:pStyle w:val="1044"/>
        <w:ind w:left="2580" w:hanging="420"/>
      </w:pPr>
      <w:rPr>
        <w:rFonts w:ascii="Wingdings" w:hAnsi="Wingdings"/>
      </w:rPr>
    </w:lvl>
    <w:lvl w:ilvl="5">
      <w:start w:val="1"/>
      <w:numFmt w:val="bullet"/>
      <w:isLgl w:val="false"/>
      <w:suff w:val="tab"/>
      <w:lvlText w:val=""/>
      <w:lvlJc w:val="left"/>
      <w:pPr>
        <w:pStyle w:val="1044"/>
        <w:ind w:left="3000" w:hanging="420"/>
      </w:pPr>
      <w:rPr>
        <w:rFonts w:ascii="Wingdings" w:hAnsi="Wingdings"/>
      </w:rPr>
    </w:lvl>
    <w:lvl w:ilvl="6">
      <w:start w:val="1"/>
      <w:numFmt w:val="bullet"/>
      <w:isLgl w:val="false"/>
      <w:suff w:val="tab"/>
      <w:lvlText w:val=""/>
      <w:lvlJc w:val="left"/>
      <w:pPr>
        <w:pStyle w:val="1044"/>
        <w:ind w:left="3420" w:hanging="420"/>
      </w:pPr>
      <w:rPr>
        <w:rFonts w:ascii="Wingdings" w:hAnsi="Wingdings"/>
      </w:rPr>
    </w:lvl>
    <w:lvl w:ilvl="7">
      <w:start w:val="1"/>
      <w:numFmt w:val="bullet"/>
      <w:isLgl w:val="false"/>
      <w:suff w:val="tab"/>
      <w:lvlText w:val=""/>
      <w:lvlJc w:val="left"/>
      <w:pPr>
        <w:pStyle w:val="1044"/>
        <w:ind w:left="3840" w:hanging="420"/>
      </w:pPr>
      <w:rPr>
        <w:rFonts w:ascii="Wingdings" w:hAnsi="Wingdings"/>
      </w:rPr>
    </w:lvl>
    <w:lvl w:ilvl="8">
      <w:start w:val="1"/>
      <w:numFmt w:val="bullet"/>
      <w:isLgl w:val="false"/>
      <w:suff w:val="tab"/>
      <w:lvlText w:val=""/>
      <w:lvlJc w:val="left"/>
      <w:pPr>
        <w:pStyle w:val="1044"/>
        <w:ind w:left="4260" w:hanging="420"/>
      </w:pPr>
      <w:rPr>
        <w:rFonts w:ascii="Wingdings" w:hAnsi="Wingdings"/>
      </w:rPr>
    </w:lvl>
  </w:abstractNum>
  <w:abstractNum w:abstractNumId="7">
    <w:multiLevelType w:val="hybridMultilevel"/>
    <w:lvl w:ilvl="0">
      <w:start w:val="1"/>
      <w:numFmt w:val="chineseCountingThousand"/>
      <w:isLgl w:val="false"/>
      <w:suff w:val="tab"/>
      <w:lvlText w:val="(%1)"/>
      <w:lvlJc w:val="left"/>
      <w:pPr>
        <w:pStyle w:val="1044"/>
        <w:ind w:left="420" w:hanging="420"/>
        <w:tabs>
          <w:tab w:val="num" w:pos="420"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8">
    <w:multiLevelType w:val="hybridMultilevel"/>
    <w:lvl w:ilvl="0">
      <w:start w:val="1"/>
      <w:numFmt w:val="decimal"/>
      <w:pStyle w:val="1072"/>
      <w:isLgl w:val="false"/>
      <w:suff w:val="tab"/>
      <w:lvlText w:val="%1."/>
      <w:lvlJc w:val="left"/>
      <w:pPr>
        <w:pStyle w:val="1044"/>
        <w:ind w:left="360" w:hanging="360"/>
        <w:tabs>
          <w:tab w:val="num" w:pos="360" w:leader="none"/>
        </w:tabs>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pStyle w:val="1044"/>
        <w:ind w:left="420" w:hanging="420"/>
        <w:tabs>
          <w:tab w:val="num" w:pos="420"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10">
    <w:multiLevelType w:val="hybridMultilevel"/>
    <w:lvl w:ilvl="0">
      <w:start w:val="1"/>
      <w:numFmt w:val="chineseCountingThousand"/>
      <w:isLgl w:val="false"/>
      <w:suff w:val="tab"/>
      <w:lvlText w:val="(%1)"/>
      <w:lvlJc w:val="left"/>
      <w:pPr>
        <w:pStyle w:val="1044"/>
        <w:ind w:left="420" w:hanging="420"/>
        <w:tabs>
          <w:tab w:val="num" w:pos="420"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11">
    <w:multiLevelType w:val="hybridMultilevel"/>
    <w:lvl w:ilvl="0">
      <w:start w:val="1"/>
      <w:numFmt w:val="bullet"/>
      <w:pStyle w:val="1655"/>
      <w:isLgl w:val="false"/>
      <w:suff w:val="tab"/>
      <w:lvlText w:val=""/>
      <w:lvlJc w:val="left"/>
      <w:pPr>
        <w:pStyle w:val="1044"/>
        <w:ind w:left="709" w:hanging="425"/>
        <w:tabs>
          <w:tab w:val="num" w:pos="0" w:leader="none"/>
        </w:tabs>
      </w:pPr>
      <w:rPr>
        <w:rFonts w:ascii="Wingdings" w:hAnsi="Wingdings"/>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646"/>
      <w:isLgl w:val="false"/>
      <w:suff w:val="tab"/>
      <w:lvlText w:val="%1."/>
      <w:lvlJc w:val="left"/>
      <w:pPr>
        <w:pStyle w:val="1044"/>
        <w:ind w:left="420" w:hanging="420"/>
        <w:tabs>
          <w:tab w:val="num" w:pos="420" w:leader="none"/>
        </w:tabs>
      </w:pPr>
    </w:lvl>
    <w:lvl w:ilvl="1">
      <w:start w:val="1"/>
      <w:numFmt w:val="decimal"/>
      <w:pStyle w:val="1571"/>
      <w:isLgl w:val="false"/>
      <w:suff w:val="tab"/>
      <w:lvlText w:val="%2．"/>
      <w:lvlJc w:val="left"/>
      <w:pPr>
        <w:pStyle w:val="1044"/>
        <w:ind w:left="780" w:hanging="360"/>
        <w:tabs>
          <w:tab w:val="num" w:pos="780" w:leader="none"/>
        </w:tabs>
      </w:pPr>
    </w:lvl>
    <w:lvl w:ilvl="2">
      <w:start w:val="5"/>
      <w:numFmt w:val="japaneseCounting"/>
      <w:isLgl w:val="false"/>
      <w:suff w:val="tab"/>
      <w:lvlText w:val="%3、"/>
      <w:lvlJc w:val="left"/>
      <w:pPr>
        <w:pStyle w:val="1044"/>
        <w:ind w:left="1560" w:hanging="720"/>
        <w:tabs>
          <w:tab w:val="num" w:pos="15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1044"/>
        <w:ind w:left="720" w:hanging="720"/>
      </w:pPr>
    </w:lvl>
    <w:lvl w:ilvl="1">
      <w:start w:val="1"/>
      <w:numFmt w:val="lowerLetter"/>
      <w:isLgl w:val="false"/>
      <w:suff w:val="tab"/>
      <w:lvlText w:val="%2)"/>
      <w:lvlJc w:val="left"/>
      <w:pPr>
        <w:pStyle w:val="1044"/>
        <w:ind w:left="840" w:hanging="420"/>
      </w:pPr>
    </w:lvl>
    <w:lvl w:ilvl="2">
      <w:start w:val="1"/>
      <w:numFmt w:val="lowerRoman"/>
      <w:isLgl w:val="false"/>
      <w:suff w:val="tab"/>
      <w:lvlText w:val="%3."/>
      <w:lvlJc w:val="right"/>
      <w:pPr>
        <w:pStyle w:val="1044"/>
        <w:ind w:left="1260" w:hanging="420"/>
      </w:pPr>
    </w:lvl>
    <w:lvl w:ilvl="3">
      <w:start w:val="1"/>
      <w:numFmt w:val="decimal"/>
      <w:isLgl w:val="false"/>
      <w:suff w:val="tab"/>
      <w:lvlText w:val="%4."/>
      <w:lvlJc w:val="left"/>
      <w:pPr>
        <w:pStyle w:val="1044"/>
        <w:ind w:left="1680" w:hanging="420"/>
      </w:pPr>
    </w:lvl>
    <w:lvl w:ilvl="4">
      <w:start w:val="1"/>
      <w:numFmt w:val="lowerLetter"/>
      <w:isLgl w:val="false"/>
      <w:suff w:val="tab"/>
      <w:lvlText w:val="%5)"/>
      <w:lvlJc w:val="left"/>
      <w:pPr>
        <w:pStyle w:val="1044"/>
        <w:ind w:left="2100" w:hanging="420"/>
      </w:pPr>
    </w:lvl>
    <w:lvl w:ilvl="5">
      <w:start w:val="1"/>
      <w:numFmt w:val="lowerRoman"/>
      <w:isLgl w:val="false"/>
      <w:suff w:val="tab"/>
      <w:lvlText w:val="%6."/>
      <w:lvlJc w:val="right"/>
      <w:pPr>
        <w:pStyle w:val="1044"/>
        <w:ind w:left="2520" w:hanging="420"/>
      </w:pPr>
    </w:lvl>
    <w:lvl w:ilvl="6">
      <w:start w:val="1"/>
      <w:numFmt w:val="decimal"/>
      <w:isLgl w:val="false"/>
      <w:suff w:val="tab"/>
      <w:lvlText w:val="%7."/>
      <w:lvlJc w:val="left"/>
      <w:pPr>
        <w:pStyle w:val="1044"/>
        <w:ind w:left="2940" w:hanging="420"/>
      </w:pPr>
    </w:lvl>
    <w:lvl w:ilvl="7">
      <w:start w:val="1"/>
      <w:numFmt w:val="lowerLetter"/>
      <w:isLgl w:val="false"/>
      <w:suff w:val="tab"/>
      <w:lvlText w:val="%8)"/>
      <w:lvlJc w:val="left"/>
      <w:pPr>
        <w:pStyle w:val="1044"/>
        <w:ind w:left="3360" w:hanging="420"/>
      </w:pPr>
    </w:lvl>
    <w:lvl w:ilvl="8">
      <w:start w:val="1"/>
      <w:numFmt w:val="lowerRoman"/>
      <w:isLgl w:val="false"/>
      <w:suff w:val="tab"/>
      <w:lvlText w:val="%9."/>
      <w:lvlJc w:val="right"/>
      <w:pPr>
        <w:pStyle w:val="1044"/>
        <w:ind w:left="3780" w:hanging="420"/>
      </w:pPr>
    </w:lvl>
  </w:abstractNum>
  <w:abstractNum w:abstractNumId="15">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tab"/>
      <w:lvlText w:val="%1. "/>
      <w:legacy w:legacy="1" w:legacyIndent="0" w:legacySpace="0"/>
      <w:lvlJc w:val="left"/>
      <w:pPr>
        <w:pStyle w:val="1044"/>
      </w:pPr>
      <w:rPr>
        <w:sz w:val="32"/>
      </w:rPr>
    </w:lvl>
    <w:lvl w:ilvl="1">
      <w:start w:val="1"/>
      <w:numFmt w:val="decimal"/>
      <w:isLgl w:val="false"/>
      <w:suff w:val="nothing"/>
      <w:lvlText w:val=""/>
      <w:lvlJc w:val="left"/>
      <w:pPr>
        <w:pStyle w:val="1044"/>
      </w:pPr>
    </w:lvl>
    <w:lvl w:ilvl="2">
      <w:start w:val="1"/>
      <w:numFmt w:val="decimal"/>
      <w:isLgl w:val="false"/>
      <w:suff w:val="nothing"/>
      <w:lvlText w:val=""/>
      <w:lvlJc w:val="left"/>
      <w:pPr>
        <w:pStyle w:val="1044"/>
      </w:pPr>
    </w:lvl>
    <w:lvl w:ilvl="3">
      <w:start w:val="1"/>
      <w:numFmt w:val="decimal"/>
      <w:isLgl w:val="false"/>
      <w:suff w:val="nothing"/>
      <w:lvlText w:val=""/>
      <w:lvlJc w:val="left"/>
      <w:pPr>
        <w:pStyle w:val="1044"/>
      </w:pPr>
    </w:lvl>
    <w:lvl w:ilvl="4">
      <w:start w:val="1"/>
      <w:numFmt w:val="decimal"/>
      <w:isLgl w:val="false"/>
      <w:suff w:val="nothing"/>
      <w:lvlText w:val=""/>
      <w:lvlJc w:val="left"/>
      <w:pPr>
        <w:pStyle w:val="1044"/>
      </w:pPr>
    </w:lvl>
    <w:lvl w:ilvl="5">
      <w:start w:val="1"/>
      <w:numFmt w:val="decimal"/>
      <w:isLgl w:val="false"/>
      <w:suff w:val="nothing"/>
      <w:lvlText w:val=""/>
      <w:lvlJc w:val="left"/>
      <w:pPr>
        <w:pStyle w:val="1044"/>
      </w:pPr>
    </w:lvl>
    <w:lvl w:ilvl="6">
      <w:start w:val="1"/>
      <w:numFmt w:val="decimal"/>
      <w:pStyle w:val="1051"/>
      <w:isLgl w:val="false"/>
      <w:suff w:val="nothing"/>
      <w:lvlText w:val=""/>
      <w:lvlJc w:val="left"/>
      <w:pPr>
        <w:pStyle w:val="1044"/>
      </w:pPr>
    </w:lvl>
    <w:lvl w:ilvl="7">
      <w:start w:val="1"/>
      <w:numFmt w:val="decimal"/>
      <w:pStyle w:val="1052"/>
      <w:isLgl w:val="false"/>
      <w:suff w:val="nothing"/>
      <w:lvlText w:val=""/>
      <w:lvlJc w:val="left"/>
      <w:pPr>
        <w:pStyle w:val="1044"/>
      </w:pPr>
    </w:lvl>
    <w:lvl w:ilvl="8">
      <w:start w:val="1"/>
      <w:numFmt w:val="decimal"/>
      <w:pStyle w:val="1053"/>
      <w:isLgl w:val="false"/>
      <w:suff w:val="nothing"/>
      <w:lvlText w:val=""/>
      <w:lvlJc w:val="left"/>
      <w:pPr>
        <w:pStyle w:val="1044"/>
      </w:pPr>
    </w:lvl>
  </w:abstractNum>
  <w:abstractNum w:abstractNumId="17">
    <w:multiLevelType w:val="hybridMultilevel"/>
    <w:lvl w:ilvl="0">
      <w:start w:val="1"/>
      <w:numFmt w:val="bullet"/>
      <w:pStyle w:val="1074"/>
      <w:isLgl w:val="false"/>
      <w:suff w:val="tab"/>
      <w:lvlText w:val=""/>
      <w:lvlJc w:val="left"/>
      <w:pPr>
        <w:pStyle w:val="1044"/>
        <w:ind w:left="360" w:hanging="360"/>
        <w:tabs>
          <w:tab w:val="num" w:pos="360" w:leader="none"/>
        </w:tabs>
      </w:pPr>
      <w:rPr>
        <w:rFonts w:ascii="Wingdings" w:hAnsi="Wingdings"/>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18">
    <w:multiLevelType w:val="hybridMultilevel"/>
    <w:lvl w:ilvl="0">
      <w:start w:val="1"/>
      <w:numFmt w:val="chineseCountingThousand"/>
      <w:isLgl w:val="false"/>
      <w:suff w:val="tab"/>
      <w:lvlText w:val="(%1)"/>
      <w:lvlJc w:val="left"/>
      <w:pPr>
        <w:pStyle w:val="1044"/>
        <w:ind w:left="420" w:hanging="420"/>
        <w:tabs>
          <w:tab w:val="num" w:pos="420"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19">
    <w:multiLevelType w:val="hybridMultilevel"/>
    <w:lvl w:ilvl="0">
      <w:start w:val="1"/>
      <w:numFmt w:val="decimal"/>
      <w:pStyle w:val="1069"/>
      <w:isLgl w:val="false"/>
      <w:suff w:val="tab"/>
      <w:lvlText w:val="%1."/>
      <w:lvlJc w:val="left"/>
      <w:pPr>
        <w:pStyle w:val="1044"/>
        <w:ind w:left="780" w:hanging="360"/>
        <w:tabs>
          <w:tab w:val="num" w:pos="780" w:leader="none"/>
        </w:tabs>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0">
    <w:multiLevelType w:val="hybridMultilevel"/>
    <w:lvl w:ilvl="0">
      <w:start w:val="0"/>
      <w:numFmt w:val="bullet"/>
      <w:pStyle w:val="1131"/>
      <w:isLgl w:val="false"/>
      <w:suff w:val="tab"/>
      <w:lvlText w:val=""/>
      <w:lvlJc w:val="left"/>
      <w:pPr>
        <w:pStyle w:val="1044"/>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1044"/>
        <w:ind w:left="833" w:hanging="420"/>
        <w:tabs>
          <w:tab w:val="num" w:pos="833" w:leader="none"/>
        </w:tabs>
      </w:pPr>
    </w:lvl>
    <w:lvl w:ilvl="2">
      <w:start w:val="1"/>
      <w:numFmt w:val="decimal"/>
      <w:isLgl w:val="false"/>
      <w:suff w:val="tab"/>
      <w:lvlText w:val="%3、"/>
      <w:lvlJc w:val="left"/>
      <w:pPr>
        <w:pStyle w:val="1044"/>
        <w:ind w:left="1389" w:hanging="556"/>
        <w:tabs>
          <w:tab w:val="num" w:pos="1389" w:leader="none"/>
        </w:tabs>
      </w:pPr>
    </w:lvl>
    <w:lvl w:ilvl="3">
      <w:start w:val="1"/>
      <w:numFmt w:val="bullet"/>
      <w:isLgl w:val="false"/>
      <w:suff w:val="tab"/>
      <w:lvlText w:val=""/>
      <w:lvlJc w:val="left"/>
      <w:pPr>
        <w:pStyle w:val="1044"/>
        <w:ind w:left="1673" w:hanging="420"/>
        <w:tabs>
          <w:tab w:val="num" w:pos="1673" w:leader="none"/>
        </w:tabs>
      </w:pPr>
      <w:rPr>
        <w:rFonts w:ascii="Wingdings" w:hAnsi="Wingdings"/>
      </w:rPr>
    </w:lvl>
    <w:lvl w:ilvl="4">
      <w:start w:val="1"/>
      <w:numFmt w:val="bullet"/>
      <w:isLgl w:val="false"/>
      <w:suff w:val="tab"/>
      <w:lvlText w:val=""/>
      <w:lvlJc w:val="left"/>
      <w:pPr>
        <w:pStyle w:val="1044"/>
        <w:ind w:left="2093" w:hanging="420"/>
        <w:tabs>
          <w:tab w:val="num" w:pos="2093" w:leader="none"/>
        </w:tabs>
      </w:pPr>
      <w:rPr>
        <w:rFonts w:ascii="Wingdings" w:hAnsi="Wingdings"/>
      </w:rPr>
    </w:lvl>
    <w:lvl w:ilvl="5">
      <w:start w:val="1"/>
      <w:numFmt w:val="bullet"/>
      <w:isLgl w:val="false"/>
      <w:suff w:val="tab"/>
      <w:lvlText w:val=""/>
      <w:lvlJc w:val="left"/>
      <w:pPr>
        <w:pStyle w:val="1044"/>
        <w:ind w:left="2513" w:hanging="420"/>
        <w:tabs>
          <w:tab w:val="num" w:pos="2513" w:leader="none"/>
        </w:tabs>
      </w:pPr>
      <w:rPr>
        <w:rFonts w:ascii="Wingdings" w:hAnsi="Wingdings"/>
      </w:rPr>
    </w:lvl>
    <w:lvl w:ilvl="6">
      <w:start w:val="1"/>
      <w:numFmt w:val="bullet"/>
      <w:isLgl w:val="false"/>
      <w:suff w:val="tab"/>
      <w:lvlText w:val=""/>
      <w:lvlJc w:val="left"/>
      <w:pPr>
        <w:pStyle w:val="1044"/>
        <w:ind w:left="2933" w:hanging="420"/>
        <w:tabs>
          <w:tab w:val="num" w:pos="2933" w:leader="none"/>
        </w:tabs>
      </w:pPr>
      <w:rPr>
        <w:rFonts w:ascii="Wingdings" w:hAnsi="Wingdings"/>
      </w:rPr>
    </w:lvl>
    <w:lvl w:ilvl="7">
      <w:start w:val="1"/>
      <w:numFmt w:val="bullet"/>
      <w:isLgl w:val="false"/>
      <w:suff w:val="tab"/>
      <w:lvlText w:val=""/>
      <w:lvlJc w:val="left"/>
      <w:pPr>
        <w:pStyle w:val="1044"/>
        <w:ind w:left="3353" w:hanging="420"/>
        <w:tabs>
          <w:tab w:val="num" w:pos="3353" w:leader="none"/>
        </w:tabs>
      </w:pPr>
      <w:rPr>
        <w:rFonts w:ascii="Wingdings" w:hAnsi="Wingdings"/>
      </w:rPr>
    </w:lvl>
    <w:lvl w:ilvl="8">
      <w:start w:val="1"/>
      <w:numFmt w:val="bullet"/>
      <w:isLgl w:val="false"/>
      <w:suff w:val="tab"/>
      <w:lvlText w:val=""/>
      <w:lvlJc w:val="left"/>
      <w:pPr>
        <w:pStyle w:val="1044"/>
        <w:ind w:left="3773" w:hanging="420"/>
        <w:tabs>
          <w:tab w:val="num" w:pos="3773" w:leader="none"/>
        </w:tabs>
      </w:pPr>
      <w:rPr>
        <w:rFonts w:ascii="Wingdings" w:hAnsi="Wingdings"/>
      </w:rPr>
    </w:lvl>
  </w:abstractNum>
  <w:abstractNum w:abstractNumId="21">
    <w:multiLevelType w:val="hybridMultilevel"/>
    <w:lvl w:ilvl="0">
      <w:start w:val="1"/>
      <w:numFmt w:val="decimal"/>
      <w:pStyle w:val="1621"/>
      <w:isLgl w:val="false"/>
      <w:suff w:val="tab"/>
      <w:lvlText w:val="%1）"/>
      <w:lvlJc w:val="left"/>
      <w:pPr>
        <w:pStyle w:val="1044"/>
        <w:ind w:left="360" w:hanging="360"/>
        <w:tabs>
          <w:tab w:val="num" w:pos="360" w:leader="none"/>
        </w:tabs>
      </w:pPr>
      <w:rPr>
        <w:rFonts w:hint="eastAsia"/>
      </w:r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22">
    <w:multiLevelType w:val="hybridMultilevel"/>
    <w:lvl w:ilvl="0">
      <w:start w:val="1"/>
      <w:numFmt w:val="chineseCounting"/>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pStyle w:val="1190"/>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086"/>
      <w:isLgl w:val="false"/>
      <w:suff w:val="tab"/>
      <w:lvlText w:val="%1."/>
      <w:lvlJc w:val="left"/>
      <w:pPr>
        <w:pStyle w:val="1044"/>
        <w:ind w:left="1200" w:hanging="360"/>
        <w:tabs>
          <w:tab w:val="num" w:pos="1200" w:leader="none"/>
        </w:tabs>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044"/>
        <w:ind w:left="240" w:hanging="240"/>
        <w:tabs>
          <w:tab w:val="num" w:pos="240" w:leader="none"/>
        </w:tabs>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pStyle w:val="1575"/>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044"/>
        <w:ind w:left="420" w:hanging="420"/>
      </w:pPr>
      <w:rPr>
        <w:b w:val="0"/>
      </w:rPr>
    </w:lvl>
    <w:lvl w:ilvl="1">
      <w:start w:val="1"/>
      <w:numFmt w:val="lowerLetter"/>
      <w:pStyle w:val="1608"/>
      <w:isLgl w:val="false"/>
      <w:suff w:val="tab"/>
      <w:lvlText w:val="%2)"/>
      <w:lvlJc w:val="left"/>
      <w:pPr>
        <w:pStyle w:val="1044"/>
        <w:ind w:left="840" w:hanging="420"/>
      </w:pPr>
    </w:lvl>
    <w:lvl w:ilvl="2">
      <w:start w:val="1"/>
      <w:numFmt w:val="lowerRoman"/>
      <w:isLgl w:val="false"/>
      <w:suff w:val="tab"/>
      <w:lvlText w:val="%3."/>
      <w:lvlJc w:val="right"/>
      <w:pPr>
        <w:pStyle w:val="1044"/>
        <w:ind w:left="1260" w:hanging="420"/>
      </w:pPr>
    </w:lvl>
    <w:lvl w:ilvl="3">
      <w:start w:val="1"/>
      <w:numFmt w:val="decimal"/>
      <w:isLgl w:val="false"/>
      <w:suff w:val="tab"/>
      <w:lvlText w:val="%4."/>
      <w:lvlJc w:val="left"/>
      <w:pPr>
        <w:pStyle w:val="1044"/>
        <w:ind w:left="1680" w:hanging="420"/>
      </w:pPr>
    </w:lvl>
    <w:lvl w:ilvl="4">
      <w:start w:val="1"/>
      <w:numFmt w:val="lowerLetter"/>
      <w:isLgl w:val="false"/>
      <w:suff w:val="tab"/>
      <w:lvlText w:val="%5)"/>
      <w:lvlJc w:val="left"/>
      <w:pPr>
        <w:pStyle w:val="1044"/>
        <w:ind w:left="2100" w:hanging="420"/>
      </w:pPr>
    </w:lvl>
    <w:lvl w:ilvl="5">
      <w:start w:val="1"/>
      <w:numFmt w:val="lowerRoman"/>
      <w:isLgl w:val="false"/>
      <w:suff w:val="tab"/>
      <w:lvlText w:val="%6."/>
      <w:lvlJc w:val="right"/>
      <w:pPr>
        <w:pStyle w:val="1044"/>
        <w:ind w:left="2520" w:hanging="420"/>
      </w:pPr>
    </w:lvl>
    <w:lvl w:ilvl="6">
      <w:start w:val="1"/>
      <w:numFmt w:val="decimal"/>
      <w:isLgl w:val="false"/>
      <w:suff w:val="tab"/>
      <w:lvlText w:val="%7."/>
      <w:lvlJc w:val="left"/>
      <w:pPr>
        <w:pStyle w:val="1044"/>
        <w:ind w:left="2940" w:hanging="420"/>
      </w:pPr>
    </w:lvl>
    <w:lvl w:ilvl="7">
      <w:start w:val="1"/>
      <w:numFmt w:val="lowerLetter"/>
      <w:isLgl w:val="false"/>
      <w:suff w:val="tab"/>
      <w:lvlText w:val="%8)"/>
      <w:lvlJc w:val="left"/>
      <w:pPr>
        <w:pStyle w:val="1044"/>
        <w:ind w:left="3360" w:hanging="420"/>
      </w:pPr>
    </w:lvl>
    <w:lvl w:ilvl="8">
      <w:start w:val="1"/>
      <w:numFmt w:val="lowerRoman"/>
      <w:isLgl w:val="false"/>
      <w:suff w:val="tab"/>
      <w:lvlText w:val="%9."/>
      <w:lvlJc w:val="right"/>
      <w:pPr>
        <w:pStyle w:val="1044"/>
        <w:ind w:left="3780" w:hanging="420"/>
      </w:pPr>
    </w:lvl>
  </w:abstractNum>
  <w:num w:numId="1">
    <w:abstractNumId w:val="16"/>
  </w:num>
  <w:num w:numId="2">
    <w:abstractNumId w:val="19"/>
  </w:num>
  <w:num w:numId="3">
    <w:abstractNumId w:val="8"/>
  </w:num>
  <w:num w:numId="4">
    <w:abstractNumId w:val="17"/>
  </w:num>
  <w:num w:numId="5">
    <w:abstractNumId w:val="25"/>
  </w:num>
  <w:num w:numId="6">
    <w:abstractNumId w:val="3"/>
  </w:num>
  <w:num w:numId="7">
    <w:abstractNumId w:val="1"/>
  </w:num>
  <w:num w:numId="8">
    <w:abstractNumId w:val="20"/>
  </w:num>
  <w:num w:numId="9">
    <w:abstractNumId w:val="23"/>
  </w:num>
  <w:num w:numId="10">
    <w:abstractNumId w:val="13"/>
  </w:num>
  <w:num w:numId="11">
    <w:abstractNumId w:val="26"/>
  </w:num>
  <w:num w:numId="12">
    <w:abstractNumId w:val="2"/>
  </w:num>
  <w:num w:numId="13">
    <w:abstractNumId w:val="6"/>
  </w:num>
  <w:num w:numId="14">
    <w:abstractNumId w:val="27"/>
  </w:num>
  <w:num w:numId="15">
    <w:abstractNumId w:val="21"/>
  </w:num>
  <w:num w:numId="16">
    <w:abstractNumId w:val="11"/>
  </w:num>
  <w:num w:numId="17">
    <w:abstractNumId w:val="4"/>
  </w:num>
  <w:num w:numId="18">
    <w:abstractNumId w:val="22"/>
  </w:num>
  <w:num w:numId="19">
    <w:abstractNumId w:val="14"/>
  </w:num>
  <w:num w:numId="20">
    <w:abstractNumId w:val="0"/>
  </w:num>
  <w:num w:numId="21">
    <w:abstractNumId w:val="5"/>
  </w:num>
  <w:num w:numId="22">
    <w:abstractNumId w:val="24"/>
  </w:num>
  <w:num w:numId="23">
    <w:abstractNumId w:val="15"/>
  </w:num>
  <w:num w:numId="24">
    <w:abstractNumId w:val="12"/>
  </w:num>
  <w:num w:numId="25">
    <w:abstractNumId w:val="7"/>
  </w:num>
  <w:num w:numId="26">
    <w:abstractNumId w:val="9"/>
  </w:num>
  <w:num w:numId="27">
    <w:abstractNumId w:val="1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44"/>
    <w:next w:val="1044"/>
    <w:link w:val="1500"/>
    <w:uiPriority w:val="9"/>
    <w:qFormat/>
    <w:pPr>
      <w:keepLines/>
      <w:keepNext/>
      <w:spacing w:before="480" w:after="200"/>
      <w:outlineLvl w:val="0"/>
    </w:pPr>
    <w:rPr>
      <w:rFonts w:ascii="Arial" w:hAnsi="Arial" w:eastAsia="Arial" w:cs="Arial"/>
      <w:sz w:val="40"/>
      <w:szCs w:val="40"/>
    </w:rPr>
  </w:style>
  <w:style w:type="paragraph" w:styleId="14">
    <w:name w:val="Heading 2"/>
    <w:basedOn w:val="1044"/>
    <w:next w:val="1044"/>
    <w:link w:val="1417"/>
    <w:uiPriority w:val="9"/>
    <w:unhideWhenUsed/>
    <w:qFormat/>
    <w:pPr>
      <w:keepLines/>
      <w:keepNext/>
      <w:spacing w:before="360" w:after="200"/>
      <w:outlineLvl w:val="1"/>
    </w:pPr>
    <w:rPr>
      <w:rFonts w:ascii="Arial" w:hAnsi="Arial" w:eastAsia="Arial" w:cs="Arial"/>
      <w:sz w:val="34"/>
    </w:rPr>
  </w:style>
  <w:style w:type="paragraph" w:styleId="16">
    <w:name w:val="Heading 3"/>
    <w:basedOn w:val="1044"/>
    <w:next w:val="1044"/>
    <w:link w:val="14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44"/>
    <w:next w:val="1044"/>
    <w:link w:val="152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44"/>
    <w:next w:val="1044"/>
    <w:link w:val="137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44"/>
    <w:next w:val="1044"/>
    <w:link w:val="121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44"/>
    <w:next w:val="1044"/>
    <w:link w:val="121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44"/>
    <w:next w:val="1044"/>
    <w:link w:val="121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44"/>
    <w:next w:val="1044"/>
    <w:link w:val="121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10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44"/>
    <w:next w:val="1044"/>
    <w:link w:val="1389"/>
    <w:uiPriority w:val="10"/>
    <w:qFormat/>
    <w:pPr>
      <w:contextualSpacing/>
      <w:spacing w:before="300" w:after="200"/>
    </w:pPr>
    <w:rPr>
      <w:sz w:val="48"/>
      <w:szCs w:val="48"/>
    </w:rPr>
  </w:style>
  <w:style w:type="paragraph" w:styleId="35">
    <w:name w:val="Subtitle"/>
    <w:basedOn w:val="1044"/>
    <w:next w:val="1044"/>
    <w:link w:val="1218"/>
    <w:uiPriority w:val="11"/>
    <w:qFormat/>
    <w:pPr>
      <w:spacing w:before="200" w:after="200"/>
    </w:pPr>
    <w:rPr>
      <w:sz w:val="24"/>
      <w:szCs w:val="24"/>
    </w:rPr>
  </w:style>
  <w:style w:type="paragraph" w:styleId="37">
    <w:name w:val="Quote"/>
    <w:basedOn w:val="1044"/>
    <w:next w:val="1044"/>
    <w:link w:val="1221"/>
    <w:uiPriority w:val="29"/>
    <w:qFormat/>
    <w:pPr>
      <w:ind w:left="720" w:right="720"/>
    </w:pPr>
    <w:rPr>
      <w:i/>
    </w:rPr>
  </w:style>
  <w:style w:type="paragraph" w:styleId="39">
    <w:name w:val="Intense Quote"/>
    <w:basedOn w:val="1044"/>
    <w:next w:val="1044"/>
    <w:link w:val="12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1044"/>
    <w:link w:val="1407"/>
    <w:uiPriority w:val="99"/>
    <w:unhideWhenUsed/>
    <w:pPr>
      <w:spacing w:after="0" w:line="240" w:lineRule="auto"/>
      <w:tabs>
        <w:tab w:val="center" w:pos="7143" w:leader="none"/>
        <w:tab w:val="right" w:pos="14287" w:leader="none"/>
      </w:tabs>
    </w:pPr>
  </w:style>
  <w:style w:type="paragraph" w:styleId="43">
    <w:name w:val="Footer"/>
    <w:basedOn w:val="1044"/>
    <w:link w:val="1225"/>
    <w:uiPriority w:val="99"/>
    <w:unhideWhenUsed/>
    <w:pPr>
      <w:spacing w:after="0" w:line="240" w:lineRule="auto"/>
      <w:tabs>
        <w:tab w:val="center" w:pos="7143" w:leader="none"/>
        <w:tab w:val="right" w:pos="14287" w:leader="none"/>
      </w:tabs>
    </w:pPr>
  </w:style>
  <w:style w:type="paragraph" w:styleId="45">
    <w:name w:val="Caption"/>
    <w:basedOn w:val="1044"/>
    <w:next w:val="104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1044"/>
    <w:link w:val="148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44"/>
    <w:next w:val="1044"/>
    <w:uiPriority w:val="39"/>
    <w:unhideWhenUsed/>
    <w:pPr>
      <w:ind w:left="0" w:right="0" w:firstLine="0"/>
      <w:spacing w:after="57"/>
    </w:pPr>
  </w:style>
  <w:style w:type="paragraph" w:styleId="181">
    <w:name w:val="toc 2"/>
    <w:basedOn w:val="1044"/>
    <w:next w:val="1044"/>
    <w:uiPriority w:val="39"/>
    <w:unhideWhenUsed/>
    <w:pPr>
      <w:ind w:left="283" w:right="0" w:firstLine="0"/>
      <w:spacing w:after="57"/>
    </w:pPr>
  </w:style>
  <w:style w:type="paragraph" w:styleId="182">
    <w:name w:val="toc 3"/>
    <w:basedOn w:val="1044"/>
    <w:next w:val="1044"/>
    <w:uiPriority w:val="39"/>
    <w:unhideWhenUsed/>
    <w:pPr>
      <w:ind w:left="567" w:right="0" w:firstLine="0"/>
      <w:spacing w:after="57"/>
    </w:pPr>
  </w:style>
  <w:style w:type="paragraph" w:styleId="183">
    <w:name w:val="toc 4"/>
    <w:basedOn w:val="1044"/>
    <w:next w:val="1044"/>
    <w:uiPriority w:val="39"/>
    <w:unhideWhenUsed/>
    <w:pPr>
      <w:ind w:left="850" w:right="0" w:firstLine="0"/>
      <w:spacing w:after="57"/>
    </w:pPr>
  </w:style>
  <w:style w:type="paragraph" w:styleId="184">
    <w:name w:val="toc 5"/>
    <w:basedOn w:val="1044"/>
    <w:next w:val="1044"/>
    <w:uiPriority w:val="39"/>
    <w:unhideWhenUsed/>
    <w:pPr>
      <w:ind w:left="1134" w:right="0" w:firstLine="0"/>
      <w:spacing w:after="57"/>
    </w:pPr>
  </w:style>
  <w:style w:type="paragraph" w:styleId="185">
    <w:name w:val="toc 6"/>
    <w:basedOn w:val="1044"/>
    <w:next w:val="1044"/>
    <w:uiPriority w:val="39"/>
    <w:unhideWhenUsed/>
    <w:pPr>
      <w:ind w:left="1417" w:right="0" w:firstLine="0"/>
      <w:spacing w:after="57"/>
    </w:pPr>
  </w:style>
  <w:style w:type="paragraph" w:styleId="186">
    <w:name w:val="toc 7"/>
    <w:basedOn w:val="1044"/>
    <w:next w:val="1044"/>
    <w:uiPriority w:val="39"/>
    <w:unhideWhenUsed/>
    <w:pPr>
      <w:ind w:left="1701" w:right="0" w:firstLine="0"/>
      <w:spacing w:after="57"/>
    </w:pPr>
  </w:style>
  <w:style w:type="paragraph" w:styleId="187">
    <w:name w:val="toc 8"/>
    <w:basedOn w:val="1044"/>
    <w:next w:val="1044"/>
    <w:uiPriority w:val="39"/>
    <w:unhideWhenUsed/>
    <w:pPr>
      <w:ind w:left="1984" w:right="0" w:firstLine="0"/>
      <w:spacing w:after="57"/>
    </w:pPr>
  </w:style>
  <w:style w:type="paragraph" w:styleId="188">
    <w:name w:val="toc 9"/>
    <w:basedOn w:val="1044"/>
    <w:next w:val="10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sz w:val="21"/>
      <w:szCs w:val="22"/>
      <w:lang w:val="en-US" w:eastAsia="zh-CN" w:bidi="ar-SA"/>
    </w:rPr>
  </w:style>
  <w:style w:type="paragraph" w:styleId="1045">
    <w:name w:val="标题 1"/>
    <w:basedOn w:val="1044"/>
    <w:next w:val="1044"/>
    <w:link w:val="1056"/>
    <w:uiPriority w:val="9"/>
    <w:qFormat/>
    <w:pPr>
      <w:keepLines/>
      <w:keepNext/>
      <w:spacing w:before="340" w:after="330" w:line="578" w:lineRule="auto"/>
      <w:outlineLvl w:val="0"/>
    </w:pPr>
    <w:rPr>
      <w:b/>
      <w:bCs/>
      <w:sz w:val="44"/>
      <w:szCs w:val="44"/>
    </w:rPr>
  </w:style>
  <w:style w:type="paragraph" w:styleId="1046">
    <w:name w:val="标题 2"/>
    <w:basedOn w:val="1044"/>
    <w:next w:val="1044"/>
    <w:link w:val="1057"/>
    <w:uiPriority w:val="9"/>
    <w:qFormat/>
    <w:pPr>
      <w:keepLines/>
      <w:keepNext/>
      <w:spacing w:before="260" w:after="260" w:line="416" w:lineRule="auto"/>
      <w:outlineLvl w:val="1"/>
    </w:pPr>
    <w:rPr>
      <w:rFonts w:ascii="Cambria" w:hAnsi="Cambria"/>
      <w:b/>
      <w:bCs/>
      <w:sz w:val="32"/>
      <w:szCs w:val="32"/>
    </w:rPr>
  </w:style>
  <w:style w:type="paragraph" w:styleId="1047">
    <w:name w:val="标题 3"/>
    <w:basedOn w:val="1044"/>
    <w:next w:val="1059"/>
    <w:link w:val="1058"/>
    <w:uiPriority w:val="9"/>
    <w:qFormat/>
    <w:pPr>
      <w:jc w:val="left"/>
      <w:outlineLvl w:val="2"/>
    </w:pPr>
    <w:rPr>
      <w:rFonts w:ascii="宋体" w:hAnsi="宋体"/>
      <w:b/>
      <w:szCs w:val="21"/>
    </w:rPr>
  </w:style>
  <w:style w:type="paragraph" w:styleId="1048">
    <w:name w:val="标题 4"/>
    <w:basedOn w:val="1044"/>
    <w:next w:val="1044"/>
    <w:link w:val="1061"/>
    <w:uiPriority w:val="9"/>
    <w:qFormat/>
    <w:pPr>
      <w:keepLines/>
      <w:keepNext/>
      <w:spacing w:before="280" w:after="290" w:line="376" w:lineRule="auto"/>
      <w:outlineLvl w:val="3"/>
    </w:pPr>
    <w:rPr>
      <w:rFonts w:ascii="Cambria" w:hAnsi="Cambria"/>
      <w:b/>
      <w:bCs/>
      <w:sz w:val="28"/>
      <w:szCs w:val="28"/>
    </w:rPr>
  </w:style>
  <w:style w:type="paragraph" w:styleId="1049">
    <w:name w:val="标题 5"/>
    <w:basedOn w:val="1044"/>
    <w:next w:val="1044"/>
    <w:link w:val="1062"/>
    <w:uiPriority w:val="9"/>
    <w:qFormat/>
    <w:pPr>
      <w:spacing w:before="240" w:after="60"/>
      <w:outlineLvl w:val="4"/>
    </w:pPr>
    <w:rPr>
      <w:b/>
      <w:bCs/>
      <w:i/>
      <w:iCs/>
      <w:sz w:val="26"/>
      <w:szCs w:val="26"/>
    </w:rPr>
  </w:style>
  <w:style w:type="paragraph" w:styleId="1050">
    <w:name w:val="标题 6"/>
    <w:basedOn w:val="1044"/>
    <w:next w:val="1044"/>
    <w:link w:val="1063"/>
    <w:uiPriority w:val="9"/>
    <w:qFormat/>
    <w:pPr>
      <w:keepLines/>
      <w:keepNext/>
      <w:spacing w:before="240" w:after="64" w:line="320" w:lineRule="auto"/>
      <w:outlineLvl w:val="5"/>
    </w:pPr>
    <w:rPr>
      <w:rFonts w:ascii="Arial" w:hAnsi="Arial" w:eastAsia="黑体"/>
      <w:b/>
      <w:bCs/>
      <w:sz w:val="24"/>
      <w:szCs w:val="24"/>
    </w:rPr>
  </w:style>
  <w:style w:type="paragraph" w:styleId="1051">
    <w:name w:val="标题 7"/>
    <w:basedOn w:val="1044"/>
    <w:next w:val="1044"/>
    <w:link w:val="1064"/>
    <w:uiPriority w:val="9"/>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1052">
    <w:name w:val="标题 8"/>
    <w:basedOn w:val="1044"/>
    <w:next w:val="1044"/>
    <w:link w:val="1065"/>
    <w:uiPriority w:val="9"/>
    <w:qFormat/>
    <w:pPr>
      <w:numPr>
        <w:ilvl w:val="7"/>
        <w:numId w:val="1"/>
      </w:numPr>
      <w:keepLines/>
      <w:keepNext/>
      <w:spacing w:before="240" w:after="64" w:line="320" w:lineRule="atLeast"/>
      <w:outlineLvl w:val="7"/>
    </w:pPr>
    <w:rPr>
      <w:rFonts w:ascii="Arial" w:hAnsi="Arial" w:eastAsia="黑体"/>
      <w:sz w:val="24"/>
      <w:szCs w:val="24"/>
    </w:rPr>
  </w:style>
  <w:style w:type="paragraph" w:styleId="1053">
    <w:name w:val="标题 9"/>
    <w:basedOn w:val="1044"/>
    <w:next w:val="1044"/>
    <w:link w:val="1066"/>
    <w:uiPriority w:val="9"/>
    <w:qFormat/>
    <w:pPr>
      <w:numPr>
        <w:ilvl w:val="8"/>
        <w:numId w:val="1"/>
      </w:numPr>
      <w:keepLines/>
      <w:keepNext/>
      <w:spacing w:before="240" w:after="64" w:line="320" w:lineRule="atLeast"/>
      <w:outlineLvl w:val="8"/>
    </w:pPr>
    <w:rPr>
      <w:rFonts w:ascii="Arial" w:hAnsi="Arial" w:eastAsia="黑体"/>
      <w:sz w:val="28"/>
      <w:szCs w:val="24"/>
    </w:rPr>
  </w:style>
  <w:style w:type="character" w:styleId="1054">
    <w:name w:val="默认段落字体"/>
    <w:next w:val="1054"/>
    <w:link w:val="1044"/>
    <w:uiPriority w:val="1"/>
    <w:unhideWhenUsed/>
  </w:style>
  <w:style w:type="table" w:styleId="1055">
    <w:name w:val="普通表格"/>
    <w:next w:val="1055"/>
    <w:link w:val="1044"/>
    <w:uiPriority w:val="99"/>
    <w:unhideWhenUsed/>
    <w:tblPr/>
  </w:style>
  <w:style w:type="character" w:styleId="1056">
    <w:name w:val="标题 1 Char"/>
    <w:next w:val="1056"/>
    <w:link w:val="1045"/>
    <w:qFormat/>
    <w:rPr>
      <w:b/>
      <w:bCs/>
      <w:sz w:val="44"/>
      <w:szCs w:val="44"/>
    </w:rPr>
  </w:style>
  <w:style w:type="character" w:styleId="1057">
    <w:name w:val="标题 2 Char"/>
    <w:next w:val="1057"/>
    <w:link w:val="1046"/>
    <w:qFormat/>
    <w:rPr>
      <w:rFonts w:ascii="Cambria" w:hAnsi="Cambria"/>
      <w:b/>
      <w:bCs/>
      <w:sz w:val="32"/>
      <w:szCs w:val="32"/>
    </w:rPr>
  </w:style>
  <w:style w:type="character" w:styleId="1058">
    <w:name w:val="标题 3 Char"/>
    <w:next w:val="1058"/>
    <w:link w:val="1047"/>
    <w:qFormat/>
    <w:rPr>
      <w:rFonts w:ascii="宋体" w:hAnsi="宋体"/>
      <w:b/>
      <w:sz w:val="21"/>
      <w:szCs w:val="21"/>
    </w:rPr>
  </w:style>
  <w:style w:type="paragraph" w:styleId="1059">
    <w:name w:val="正文缩进"/>
    <w:basedOn w:val="1044"/>
    <w:next w:val="1044"/>
    <w:link w:val="1060"/>
    <w:uiPriority w:val="99"/>
    <w:qFormat/>
    <w:pPr>
      <w:ind w:firstLine="420"/>
      <w:jc w:val="left"/>
    </w:pPr>
    <w:rPr>
      <w:rFonts w:eastAsia="楷体_GB2312"/>
      <w:sz w:val="24"/>
      <w:szCs w:val="20"/>
    </w:rPr>
  </w:style>
  <w:style w:type="character" w:styleId="1060">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060"/>
    <w:link w:val="1059"/>
    <w:qFormat/>
    <w:rPr>
      <w:rFonts w:eastAsia="楷体_GB2312"/>
      <w:sz w:val="24"/>
    </w:rPr>
  </w:style>
  <w:style w:type="character" w:styleId="1061">
    <w:name w:val="标题 4 Char"/>
    <w:next w:val="1061"/>
    <w:link w:val="1048"/>
    <w:qFormat/>
    <w:rPr>
      <w:rFonts w:ascii="Cambria" w:hAnsi="Cambria"/>
      <w:b/>
      <w:bCs/>
      <w:sz w:val="28"/>
      <w:szCs w:val="28"/>
    </w:rPr>
  </w:style>
  <w:style w:type="character" w:styleId="1062">
    <w:name w:val="标题 5 Char"/>
    <w:next w:val="1062"/>
    <w:link w:val="1049"/>
    <w:qFormat/>
    <w:rPr>
      <w:b/>
      <w:bCs/>
      <w:i/>
      <w:iCs/>
      <w:sz w:val="26"/>
      <w:szCs w:val="26"/>
    </w:rPr>
  </w:style>
  <w:style w:type="character" w:styleId="1063">
    <w:name w:val="标题 6 字符"/>
    <w:next w:val="1063"/>
    <w:link w:val="1050"/>
    <w:uiPriority w:val="9"/>
    <w:rPr>
      <w:rFonts w:ascii="Arial" w:hAnsi="Arial" w:eastAsia="黑体"/>
      <w:b/>
      <w:bCs/>
      <w:sz w:val="24"/>
      <w:szCs w:val="24"/>
    </w:rPr>
  </w:style>
  <w:style w:type="character" w:styleId="1064">
    <w:name w:val="标题 7 字符"/>
    <w:next w:val="1064"/>
    <w:link w:val="1051"/>
    <w:uiPriority w:val="9"/>
    <w:rPr>
      <w:rFonts w:ascii="宋体" w:hAnsi="Tahoma" w:eastAsia="仿宋_GB2312"/>
      <w:b/>
      <w:sz w:val="24"/>
      <w:szCs w:val="24"/>
    </w:rPr>
  </w:style>
  <w:style w:type="character" w:styleId="1065">
    <w:name w:val="标题 8 字符"/>
    <w:next w:val="1065"/>
    <w:link w:val="1052"/>
    <w:uiPriority w:val="9"/>
    <w:rPr>
      <w:rFonts w:ascii="Arial" w:hAnsi="Arial" w:eastAsia="黑体"/>
      <w:sz w:val="24"/>
      <w:szCs w:val="24"/>
    </w:rPr>
  </w:style>
  <w:style w:type="character" w:styleId="1066">
    <w:name w:val="标题 9 字符"/>
    <w:next w:val="1066"/>
    <w:link w:val="1053"/>
    <w:uiPriority w:val="9"/>
    <w:rPr>
      <w:rFonts w:ascii="Arial" w:hAnsi="Arial" w:eastAsia="黑体"/>
      <w:sz w:val="28"/>
      <w:szCs w:val="24"/>
    </w:rPr>
  </w:style>
  <w:style w:type="paragraph" w:styleId="1067">
    <w:name w:val="列表 3"/>
    <w:basedOn w:val="1044"/>
    <w:next w:val="1067"/>
    <w:link w:val="1044"/>
    <w:qFormat/>
    <w:pPr>
      <w:ind w:left="100" w:hanging="200"/>
    </w:pPr>
    <w:rPr>
      <w:rFonts w:ascii="Times New Roman" w:hAnsi="Times New Roman"/>
      <w:szCs w:val="24"/>
    </w:rPr>
  </w:style>
  <w:style w:type="paragraph" w:styleId="1068">
    <w:name w:val="目录 7"/>
    <w:basedOn w:val="1044"/>
    <w:next w:val="1044"/>
    <w:link w:val="1044"/>
    <w:uiPriority w:val="39"/>
    <w:unhideWhenUsed/>
    <w:pPr>
      <w:ind w:left="2520"/>
    </w:pPr>
  </w:style>
  <w:style w:type="paragraph" w:styleId="1069">
    <w:name w:val="列表编号 2"/>
    <w:basedOn w:val="1044"/>
    <w:next w:val="1069"/>
    <w:link w:val="1044"/>
    <w:uiPriority w:val="99"/>
    <w:unhideWhenUsed/>
    <w:pPr>
      <w:numPr>
        <w:ilvl w:val="0"/>
        <w:numId w:val="2"/>
      </w:numPr>
      <w:widowControl/>
      <w:tabs>
        <w:tab w:val="left" w:pos="780" w:leader="none"/>
      </w:tabs>
    </w:pPr>
    <w:rPr>
      <w:rFonts w:ascii="Times New Roman" w:hAnsi="Times New Roman"/>
      <w:szCs w:val="24"/>
    </w:rPr>
  </w:style>
  <w:style w:type="paragraph" w:styleId="1070">
    <w:name w:val="注释标题"/>
    <w:basedOn w:val="1044"/>
    <w:next w:val="1044"/>
    <w:link w:val="1071"/>
    <w:uiPriority w:val="99"/>
    <w:unhideWhenUsed/>
    <w:pPr>
      <w:jc w:val="center"/>
      <w:spacing w:line="360" w:lineRule="auto"/>
    </w:pPr>
    <w:rPr>
      <w:rFonts w:ascii="Times New Roman" w:hAnsi="Times New Roman"/>
      <w:sz w:val="24"/>
      <w:szCs w:val="24"/>
    </w:rPr>
  </w:style>
  <w:style w:type="character" w:styleId="1071">
    <w:name w:val="注释标题 字符"/>
    <w:next w:val="1071"/>
    <w:link w:val="1070"/>
    <w:uiPriority w:val="99"/>
    <w:rPr>
      <w:rFonts w:ascii="Times New Roman" w:hAnsi="Times New Roman"/>
      <w:sz w:val="24"/>
      <w:szCs w:val="24"/>
    </w:rPr>
  </w:style>
  <w:style w:type="paragraph" w:styleId="1072">
    <w:name w:val="列表编号"/>
    <w:basedOn w:val="1044"/>
    <w:next w:val="1072"/>
    <w:link w:val="1044"/>
    <w:uiPriority w:val="99"/>
    <w:unhideWhenUsed/>
    <w:pPr>
      <w:numPr>
        <w:ilvl w:val="0"/>
        <w:numId w:val="3"/>
      </w:numPr>
      <w:widowControl/>
      <w:tabs>
        <w:tab w:val="left" w:pos="360" w:leader="none"/>
      </w:tabs>
    </w:pPr>
    <w:rPr>
      <w:rFonts w:ascii="Times New Roman" w:hAnsi="Times New Roman"/>
      <w:szCs w:val="24"/>
    </w:rPr>
  </w:style>
  <w:style w:type="paragraph" w:styleId="1073">
    <w:name w:val="题注"/>
    <w:basedOn w:val="1044"/>
    <w:next w:val="1044"/>
    <w:link w:val="1044"/>
    <w:uiPriority w:val="35"/>
    <w:qFormat/>
    <w:pPr>
      <w:spacing w:before="152" w:after="160"/>
    </w:pPr>
    <w:rPr>
      <w:rFonts w:ascii="Arial" w:hAnsi="Arial" w:eastAsia="黑体" w:cs="Arial"/>
      <w:sz w:val="20"/>
      <w:szCs w:val="20"/>
    </w:rPr>
  </w:style>
  <w:style w:type="paragraph" w:styleId="1074">
    <w:name w:val="列表项目符号"/>
    <w:basedOn w:val="1044"/>
    <w:next w:val="1074"/>
    <w:link w:val="1044"/>
    <w:uiPriority w:val="99"/>
    <w:unhideWhenUsed/>
    <w:pPr>
      <w:numPr>
        <w:ilvl w:val="0"/>
        <w:numId w:val="4"/>
      </w:numPr>
      <w:widowControl/>
      <w:tabs>
        <w:tab w:val="left" w:pos="360" w:leader="none"/>
      </w:tabs>
    </w:pPr>
    <w:rPr>
      <w:rFonts w:ascii="Times New Roman" w:hAnsi="Times New Roman"/>
      <w:szCs w:val="24"/>
    </w:rPr>
  </w:style>
  <w:style w:type="paragraph" w:styleId="1075">
    <w:name w:val="文档结构图"/>
    <w:basedOn w:val="1044"/>
    <w:next w:val="1075"/>
    <w:link w:val="1076"/>
    <w:uiPriority w:val="99"/>
    <w:qFormat/>
    <w:pPr>
      <w:shd w:val="clear" w:color="auto" w:fill="000080"/>
    </w:pPr>
    <w:rPr>
      <w:rFonts w:ascii="Times New Roman" w:hAnsi="Times New Roman"/>
      <w:szCs w:val="24"/>
    </w:rPr>
  </w:style>
  <w:style w:type="character" w:styleId="1076">
    <w:name w:val="文档结构图 Char"/>
    <w:next w:val="1076"/>
    <w:link w:val="1075"/>
    <w:semiHidden/>
    <w:qFormat/>
    <w:rPr>
      <w:rFonts w:ascii="Times New Roman" w:hAnsi="Times New Roman"/>
      <w:sz w:val="21"/>
      <w:szCs w:val="24"/>
      <w:shd w:val="clear" w:color="auto" w:fill="000080"/>
    </w:rPr>
  </w:style>
  <w:style w:type="paragraph" w:styleId="1077">
    <w:name w:val="批注文字"/>
    <w:basedOn w:val="1044"/>
    <w:next w:val="1077"/>
    <w:link w:val="1078"/>
    <w:uiPriority w:val="99"/>
    <w:qFormat/>
    <w:pPr>
      <w:jc w:val="left"/>
    </w:pPr>
    <w:rPr>
      <w:szCs w:val="24"/>
    </w:rPr>
  </w:style>
  <w:style w:type="character" w:styleId="1078">
    <w:name w:val="批注文字 Char"/>
    <w:next w:val="1078"/>
    <w:link w:val="1077"/>
    <w:qFormat/>
    <w:rPr>
      <w:sz w:val="21"/>
      <w:szCs w:val="24"/>
    </w:rPr>
  </w:style>
  <w:style w:type="paragraph" w:styleId="1079">
    <w:name w:val="正文文本 3"/>
    <w:basedOn w:val="1044"/>
    <w:next w:val="1079"/>
    <w:link w:val="1080"/>
    <w:uiPriority w:val="99"/>
    <w:unhideWhenUsed/>
    <w:pPr>
      <w:spacing w:after="120"/>
    </w:pPr>
    <w:rPr>
      <w:rFonts w:ascii="Tahoma" w:hAnsi="Tahoma"/>
      <w:sz w:val="16"/>
      <w:szCs w:val="16"/>
    </w:rPr>
  </w:style>
  <w:style w:type="character" w:styleId="1080">
    <w:name w:val="正文文本 3 字符"/>
    <w:next w:val="1080"/>
    <w:link w:val="1079"/>
    <w:uiPriority w:val="99"/>
    <w:rPr>
      <w:rFonts w:ascii="Tahoma" w:hAnsi="Tahoma"/>
      <w:sz w:val="16"/>
      <w:szCs w:val="16"/>
    </w:rPr>
  </w:style>
  <w:style w:type="paragraph" w:styleId="1081">
    <w:name w:val="正文文本"/>
    <w:basedOn w:val="1044"/>
    <w:next w:val="1044"/>
    <w:link w:val="1082"/>
    <w:uiPriority w:val="99"/>
    <w:qFormat/>
    <w:pPr>
      <w:tabs>
        <w:tab w:val="left" w:pos="5250" w:leader="none"/>
      </w:tabs>
    </w:pPr>
    <w:rPr>
      <w:sz w:val="28"/>
      <w:szCs w:val="24"/>
    </w:rPr>
  </w:style>
  <w:style w:type="character" w:styleId="1082">
    <w:name w:val="正文文本 Char"/>
    <w:next w:val="1082"/>
    <w:link w:val="1081"/>
    <w:rPr>
      <w:sz w:val="28"/>
      <w:szCs w:val="24"/>
    </w:rPr>
  </w:style>
  <w:style w:type="paragraph" w:styleId="1083">
    <w:name w:val="正文文本缩进"/>
    <w:basedOn w:val="1044"/>
    <w:next w:val="1085"/>
    <w:link w:val="1084"/>
    <w:qFormat/>
    <w:pPr>
      <w:ind w:firstLine="435"/>
      <w:spacing w:line="480" w:lineRule="exact"/>
    </w:pPr>
    <w:rPr>
      <w:szCs w:val="32"/>
    </w:rPr>
  </w:style>
  <w:style w:type="character" w:styleId="1084">
    <w:name w:val="正文文本缩进 Char"/>
    <w:next w:val="1084"/>
    <w:link w:val="1083"/>
    <w:rPr>
      <w:sz w:val="21"/>
      <w:szCs w:val="32"/>
    </w:rPr>
  </w:style>
  <w:style w:type="paragraph" w:styleId="1085">
    <w:name w:val="寄信人地址"/>
    <w:basedOn w:val="1044"/>
    <w:next w:val="1085"/>
    <w:link w:val="1044"/>
    <w:qFormat/>
    <w:pPr>
      <w:ind w:left="0"/>
      <w:widowControl w:val="off"/>
    </w:pPr>
    <w:rPr>
      <w:rFonts w:ascii="Arial" w:hAnsi="Arial" w:eastAsia="宋体" w:cs="Times New Roman"/>
      <w:sz w:val="26"/>
      <w:szCs w:val="24"/>
    </w:rPr>
  </w:style>
  <w:style w:type="paragraph" w:styleId="1086">
    <w:name w:val="列表编号 3"/>
    <w:basedOn w:val="1044"/>
    <w:next w:val="1086"/>
    <w:link w:val="1044"/>
    <w:uiPriority w:val="99"/>
    <w:unhideWhenUsed/>
    <w:pPr>
      <w:numPr>
        <w:ilvl w:val="0"/>
        <w:numId w:val="5"/>
      </w:numPr>
      <w:widowControl/>
      <w:tabs>
        <w:tab w:val="left" w:pos="1200" w:leader="none"/>
      </w:tabs>
    </w:pPr>
    <w:rPr>
      <w:rFonts w:ascii="Times New Roman" w:hAnsi="Times New Roman"/>
      <w:szCs w:val="24"/>
    </w:rPr>
  </w:style>
  <w:style w:type="paragraph" w:styleId="1087">
    <w:name w:val="文本块"/>
    <w:basedOn w:val="1044"/>
    <w:next w:val="1087"/>
    <w:link w:val="1044"/>
    <w:uiPriority w:val="99"/>
    <w:qFormat/>
    <w:pPr>
      <w:ind w:left="630" w:right="-609" w:firstLine="420"/>
      <w:spacing w:line="360" w:lineRule="auto"/>
    </w:pPr>
    <w:rPr>
      <w:rFonts w:hint="eastAsia" w:ascii="仿宋_GB2312" w:hAnsi="Times New Roman" w:eastAsia="仿宋_GB2312"/>
      <w:szCs w:val="20"/>
    </w:rPr>
  </w:style>
  <w:style w:type="paragraph" w:styleId="1088">
    <w:name w:val="列表项目符号 2"/>
    <w:basedOn w:val="1044"/>
    <w:next w:val="1088"/>
    <w:link w:val="1044"/>
    <w:uiPriority w:val="99"/>
    <w:unhideWhenUsed/>
    <w:pPr>
      <w:numPr>
        <w:ilvl w:val="0"/>
        <w:numId w:val="6"/>
      </w:numPr>
      <w:widowControl/>
      <w:tabs>
        <w:tab w:val="left" w:pos="780" w:leader="none"/>
      </w:tabs>
    </w:pPr>
    <w:rPr>
      <w:rFonts w:ascii="Times New Roman" w:hAnsi="Times New Roman"/>
      <w:szCs w:val="24"/>
    </w:rPr>
  </w:style>
  <w:style w:type="paragraph" w:styleId="1089">
    <w:name w:val="索引 4"/>
    <w:basedOn w:val="1044"/>
    <w:next w:val="1044"/>
    <w:link w:val="1044"/>
    <w:uiPriority w:val="99"/>
    <w:unhideWhenUsed/>
    <w:pPr>
      <w:ind w:left="600"/>
    </w:pPr>
    <w:rPr>
      <w:rFonts w:ascii="Times New Roman" w:hAnsi="Times New Roman"/>
      <w:szCs w:val="24"/>
    </w:rPr>
  </w:style>
  <w:style w:type="paragraph" w:styleId="1090">
    <w:name w:val="目录 5"/>
    <w:basedOn w:val="1044"/>
    <w:next w:val="1044"/>
    <w:link w:val="1044"/>
    <w:uiPriority w:val="39"/>
    <w:unhideWhenUsed/>
    <w:pPr>
      <w:ind w:left="1050"/>
      <w:tabs>
        <w:tab w:val="right" w:pos="8296" w:leader="dot"/>
      </w:tabs>
    </w:pPr>
  </w:style>
  <w:style w:type="paragraph" w:styleId="1091">
    <w:name w:val="目录 3"/>
    <w:basedOn w:val="1044"/>
    <w:next w:val="1044"/>
    <w:link w:val="1044"/>
    <w:uiPriority w:val="39"/>
    <w:unhideWhenUsed/>
    <w:pPr>
      <w:ind w:left="840"/>
    </w:pPr>
    <w:rPr>
      <w:rFonts w:ascii="Times New Roman" w:hAnsi="Times New Roman"/>
      <w:szCs w:val="24"/>
    </w:rPr>
  </w:style>
  <w:style w:type="paragraph" w:styleId="1092">
    <w:name w:val="纯文本"/>
    <w:basedOn w:val="1044"/>
    <w:next w:val="1092"/>
    <w:link w:val="1093"/>
    <w:uiPriority w:val="99"/>
    <w:qFormat/>
    <w:rPr>
      <w:rFonts w:ascii="宋体" w:hAnsi="Courier New"/>
      <w:sz w:val="20"/>
      <w:szCs w:val="21"/>
    </w:rPr>
  </w:style>
  <w:style w:type="character" w:styleId="1093">
    <w:name w:val="纯文本 Char1"/>
    <w:next w:val="1093"/>
    <w:link w:val="1092"/>
    <w:uiPriority w:val="99"/>
    <w:qFormat/>
    <w:rPr>
      <w:rFonts w:ascii="宋体" w:hAnsi="Courier New"/>
      <w:szCs w:val="21"/>
    </w:rPr>
  </w:style>
  <w:style w:type="paragraph" w:styleId="1094">
    <w:name w:val="目录 8"/>
    <w:basedOn w:val="1044"/>
    <w:next w:val="1044"/>
    <w:link w:val="1044"/>
    <w:uiPriority w:val="39"/>
    <w:unhideWhenUsed/>
    <w:pPr>
      <w:ind w:left="2940"/>
    </w:pPr>
  </w:style>
  <w:style w:type="paragraph" w:styleId="1095">
    <w:name w:val="日期"/>
    <w:basedOn w:val="1044"/>
    <w:next w:val="1044"/>
    <w:link w:val="1096"/>
    <w:uiPriority w:val="99"/>
    <w:qFormat/>
    <w:pPr>
      <w:ind w:left="100"/>
    </w:pPr>
    <w:rPr>
      <w:sz w:val="36"/>
      <w:szCs w:val="20"/>
    </w:rPr>
  </w:style>
  <w:style w:type="character" w:styleId="1096">
    <w:name w:val="日期 Char"/>
    <w:next w:val="1096"/>
    <w:link w:val="1095"/>
    <w:qFormat/>
    <w:rPr>
      <w:sz w:val="36"/>
    </w:rPr>
  </w:style>
  <w:style w:type="paragraph" w:styleId="1097">
    <w:name w:val="正文文本缩进 2"/>
    <w:basedOn w:val="1044"/>
    <w:next w:val="1097"/>
    <w:link w:val="1098"/>
    <w:uiPriority w:val="99"/>
    <w:qFormat/>
    <w:pPr>
      <w:ind w:left="420"/>
      <w:spacing w:after="120" w:line="480" w:lineRule="auto"/>
    </w:pPr>
    <w:rPr>
      <w:rFonts w:ascii="Times New Roman" w:hAnsi="Times New Roman"/>
      <w:szCs w:val="24"/>
    </w:rPr>
  </w:style>
  <w:style w:type="character" w:styleId="1098">
    <w:name w:val="正文文本缩进 2 Char"/>
    <w:next w:val="1098"/>
    <w:link w:val="1097"/>
    <w:qFormat/>
    <w:rPr>
      <w:rFonts w:ascii="Times New Roman" w:hAnsi="Times New Roman"/>
      <w:sz w:val="21"/>
      <w:szCs w:val="24"/>
    </w:rPr>
  </w:style>
  <w:style w:type="paragraph" w:styleId="1099">
    <w:name w:val="尾注文本"/>
    <w:next w:val="1099"/>
    <w:link w:val="1100"/>
    <w:uiPriority w:val="99"/>
    <w:unhideWhenUsed/>
    <w:rPr>
      <w:lang w:val="en-US" w:eastAsia="zh-CN" w:bidi="ar-SA"/>
    </w:rPr>
  </w:style>
  <w:style w:type="character" w:styleId="1100">
    <w:name w:val="尾注文本 字符"/>
    <w:basedOn w:val="1054"/>
    <w:next w:val="1100"/>
    <w:link w:val="1099"/>
    <w:uiPriority w:val="99"/>
    <w:semiHidden/>
  </w:style>
  <w:style w:type="paragraph" w:styleId="1101">
    <w:name w:val="批注框文本"/>
    <w:basedOn w:val="1044"/>
    <w:next w:val="1101"/>
    <w:link w:val="1102"/>
    <w:uiPriority w:val="99"/>
    <w:qFormat/>
    <w:rPr>
      <w:sz w:val="18"/>
      <w:szCs w:val="18"/>
    </w:rPr>
  </w:style>
  <w:style w:type="character" w:styleId="1102">
    <w:name w:val="批注框文本 Char"/>
    <w:next w:val="1102"/>
    <w:link w:val="1101"/>
    <w:qFormat/>
    <w:rPr>
      <w:sz w:val="18"/>
      <w:szCs w:val="18"/>
    </w:rPr>
  </w:style>
  <w:style w:type="paragraph" w:styleId="1103">
    <w:name w:val="页脚"/>
    <w:basedOn w:val="1044"/>
    <w:next w:val="1103"/>
    <w:link w:val="1104"/>
    <w:uiPriority w:val="99"/>
    <w:qFormat/>
    <w:pPr>
      <w:jc w:val="left"/>
      <w:tabs>
        <w:tab w:val="center" w:pos="4153" w:leader="none"/>
        <w:tab w:val="right" w:pos="8306" w:leader="none"/>
      </w:tabs>
    </w:pPr>
    <w:rPr>
      <w:sz w:val="18"/>
      <w:szCs w:val="18"/>
    </w:rPr>
  </w:style>
  <w:style w:type="character" w:styleId="1104">
    <w:name w:val="页脚 Char"/>
    <w:next w:val="1104"/>
    <w:link w:val="1103"/>
    <w:uiPriority w:val="99"/>
    <w:qFormat/>
    <w:rPr>
      <w:rFonts w:ascii="Calibri" w:hAnsi="Calibri" w:eastAsia="宋体" w:cs="Times New Roman"/>
      <w:sz w:val="18"/>
      <w:szCs w:val="18"/>
    </w:rPr>
  </w:style>
  <w:style w:type="paragraph" w:styleId="1105">
    <w:name w:val="页眉"/>
    <w:basedOn w:val="1044"/>
    <w:next w:val="1105"/>
    <w:link w:val="1106"/>
    <w:uiPriority w:val="99"/>
    <w:unhideWhenUsed/>
    <w:qFormat/>
    <w:pPr>
      <w:jc w:val="center"/>
      <w:tabs>
        <w:tab w:val="center" w:pos="4153" w:leader="none"/>
        <w:tab w:val="right" w:pos="8306" w:leader="none"/>
      </w:tabs>
    </w:pPr>
    <w:rPr>
      <w:sz w:val="18"/>
      <w:szCs w:val="18"/>
    </w:rPr>
  </w:style>
  <w:style w:type="character" w:styleId="1106">
    <w:name w:val="页眉 Char"/>
    <w:next w:val="1106"/>
    <w:link w:val="1105"/>
    <w:uiPriority w:val="99"/>
    <w:qFormat/>
    <w:rPr>
      <w:sz w:val="18"/>
      <w:szCs w:val="18"/>
    </w:rPr>
  </w:style>
  <w:style w:type="paragraph" w:styleId="1107">
    <w:name w:val="目录 1"/>
    <w:basedOn w:val="1044"/>
    <w:next w:val="1044"/>
    <w:link w:val="1044"/>
    <w:uiPriority w:val="39"/>
    <w:qFormat/>
    <w:pPr>
      <w:jc w:val="left"/>
    </w:pPr>
    <w:rPr>
      <w:rFonts w:ascii="Times New Roman" w:hAnsi="Times New Roman" w:eastAsia="楷体_GB2312"/>
      <w:sz w:val="24"/>
      <w:szCs w:val="20"/>
    </w:rPr>
  </w:style>
  <w:style w:type="paragraph" w:styleId="1108">
    <w:name w:val="目录 4"/>
    <w:basedOn w:val="1044"/>
    <w:next w:val="1044"/>
    <w:link w:val="1044"/>
    <w:uiPriority w:val="39"/>
    <w:unhideWhenUsed/>
    <w:pPr>
      <w:ind w:left="630"/>
      <w:tabs>
        <w:tab w:val="left" w:pos="1890" w:leader="none"/>
        <w:tab w:val="right" w:pos="8296" w:leader="dot"/>
      </w:tabs>
    </w:pPr>
  </w:style>
  <w:style w:type="paragraph" w:styleId="1109">
    <w:name w:val="副标题"/>
    <w:basedOn w:val="1044"/>
    <w:next w:val="1044"/>
    <w:link w:val="1110"/>
    <w:uiPriority w:val="11"/>
    <w:qFormat/>
    <w:pPr>
      <w:jc w:val="center"/>
      <w:spacing w:before="240" w:after="60" w:line="312" w:lineRule="auto"/>
      <w:outlineLvl w:val="1"/>
    </w:pPr>
    <w:rPr>
      <w:rFonts w:ascii="Cambria" w:hAnsi="Cambria"/>
      <w:b/>
      <w:bCs/>
      <w:sz w:val="32"/>
      <w:szCs w:val="32"/>
    </w:rPr>
  </w:style>
  <w:style w:type="character" w:styleId="1110">
    <w:name w:val="副标题 Char"/>
    <w:next w:val="1110"/>
    <w:link w:val="1109"/>
    <w:qFormat/>
    <w:rPr>
      <w:rFonts w:ascii="Cambria" w:hAnsi="Cambria"/>
      <w:b/>
      <w:bCs/>
      <w:sz w:val="32"/>
      <w:szCs w:val="32"/>
    </w:rPr>
  </w:style>
  <w:style w:type="paragraph" w:styleId="1111">
    <w:name w:val="脚注文本"/>
    <w:basedOn w:val="1044"/>
    <w:next w:val="1111"/>
    <w:link w:val="1112"/>
    <w:uiPriority w:val="99"/>
    <w:unhideWhenUsed/>
    <w:pPr>
      <w:jc w:val="left"/>
      <w:spacing w:line="312" w:lineRule="atLeast"/>
    </w:pPr>
    <w:rPr>
      <w:sz w:val="18"/>
      <w:szCs w:val="20"/>
    </w:rPr>
  </w:style>
  <w:style w:type="character" w:styleId="1112">
    <w:name w:val="脚注文本 字符"/>
    <w:next w:val="1112"/>
    <w:link w:val="1111"/>
    <w:uiPriority w:val="99"/>
    <w:rPr>
      <w:sz w:val="18"/>
    </w:rPr>
  </w:style>
  <w:style w:type="paragraph" w:styleId="1113">
    <w:name w:val="目录 6"/>
    <w:basedOn w:val="1044"/>
    <w:next w:val="1044"/>
    <w:link w:val="1044"/>
    <w:uiPriority w:val="39"/>
    <w:unhideWhenUsed/>
    <w:pPr>
      <w:ind w:left="2100"/>
    </w:pPr>
  </w:style>
  <w:style w:type="paragraph" w:styleId="1114">
    <w:name w:val="正文文本缩进 3"/>
    <w:basedOn w:val="1044"/>
    <w:next w:val="1114"/>
    <w:link w:val="1115"/>
    <w:qFormat/>
    <w:pPr>
      <w:ind w:firstLine="480"/>
      <w:spacing w:line="360" w:lineRule="auto"/>
      <w:widowControl/>
    </w:pPr>
    <w:rPr>
      <w:sz w:val="24"/>
      <w:szCs w:val="24"/>
    </w:rPr>
  </w:style>
  <w:style w:type="character" w:styleId="1115">
    <w:name w:val="正文文本缩进 3 Char"/>
    <w:next w:val="1115"/>
    <w:link w:val="1114"/>
    <w:qFormat/>
    <w:rPr>
      <w:sz w:val="24"/>
      <w:szCs w:val="24"/>
    </w:rPr>
  </w:style>
  <w:style w:type="paragraph" w:styleId="1116">
    <w:name w:val="图表目录"/>
    <w:next w:val="1116"/>
    <w:link w:val="1044"/>
    <w:uiPriority w:val="99"/>
    <w:unhideWhenUsed/>
    <w:rPr>
      <w:lang w:val="en-US" w:eastAsia="zh-CN" w:bidi="ar-SA"/>
    </w:rPr>
  </w:style>
  <w:style w:type="paragraph" w:styleId="1117">
    <w:name w:val="目录 2"/>
    <w:basedOn w:val="1044"/>
    <w:next w:val="1044"/>
    <w:link w:val="1044"/>
    <w:uiPriority w:val="39"/>
    <w:unhideWhenUsed/>
    <w:pPr>
      <w:ind w:left="420"/>
    </w:pPr>
    <w:rPr>
      <w:rFonts w:ascii="Times New Roman" w:hAnsi="Times New Roman"/>
      <w:szCs w:val="24"/>
    </w:rPr>
  </w:style>
  <w:style w:type="paragraph" w:styleId="1118">
    <w:name w:val="目录 9"/>
    <w:basedOn w:val="1044"/>
    <w:next w:val="1044"/>
    <w:link w:val="1044"/>
    <w:uiPriority w:val="39"/>
    <w:unhideWhenUsed/>
    <w:pPr>
      <w:ind w:left="3360"/>
    </w:pPr>
  </w:style>
  <w:style w:type="paragraph" w:styleId="1119">
    <w:name w:val="正文文本 2"/>
    <w:basedOn w:val="1044"/>
    <w:next w:val="1119"/>
    <w:link w:val="1120"/>
    <w:pPr>
      <w:ind w:left="720" w:hanging="720"/>
      <w:widowControl/>
    </w:pPr>
    <w:rPr>
      <w:rFonts w:ascii="Times New Roman" w:hAnsi="Times New Roman"/>
      <w:sz w:val="24"/>
      <w:szCs w:val="20"/>
      <w:lang w:val="en-GB"/>
    </w:rPr>
  </w:style>
  <w:style w:type="character" w:styleId="1120">
    <w:name w:val="正文文本 2 字符"/>
    <w:next w:val="1120"/>
    <w:link w:val="1119"/>
    <w:rPr>
      <w:rFonts w:ascii="Times New Roman" w:hAnsi="Times New Roman"/>
      <w:sz w:val="24"/>
      <w:lang w:val="en-GB"/>
    </w:rPr>
  </w:style>
  <w:style w:type="paragraph" w:styleId="1121">
    <w:name w:val="列表 4"/>
    <w:basedOn w:val="1044"/>
    <w:next w:val="1121"/>
    <w:link w:val="1044"/>
    <w:uiPriority w:val="99"/>
    <w:unhideWhenUsed/>
    <w:pPr>
      <w:ind w:left="1680" w:hanging="420"/>
    </w:pPr>
    <w:rPr>
      <w:rFonts w:ascii="Times New Roman" w:hAnsi="Times New Roman" w:eastAsia="仿宋_GB2312"/>
      <w:sz w:val="30"/>
      <w:szCs w:val="20"/>
    </w:rPr>
  </w:style>
  <w:style w:type="paragraph" w:styleId="1122">
    <w:name w:val="HTML 预设格式"/>
    <w:basedOn w:val="1044"/>
    <w:next w:val="1122"/>
    <w:link w:val="1123"/>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123">
    <w:name w:val="HTML 预设格式 字符"/>
    <w:next w:val="1123"/>
    <w:link w:val="1122"/>
    <w:uiPriority w:val="99"/>
    <w:rPr>
      <w:rFonts w:ascii="宋体" w:hAnsi="宋体" w:cs="宋体"/>
      <w:sz w:val="24"/>
      <w:szCs w:val="24"/>
    </w:rPr>
  </w:style>
  <w:style w:type="paragraph" w:styleId="1124">
    <w:name w:val="普通(网站)"/>
    <w:basedOn w:val="1044"/>
    <w:next w:val="1124"/>
    <w:link w:val="1125"/>
    <w:uiPriority w:val="99"/>
    <w:qFormat/>
    <w:pPr>
      <w:jc w:val="left"/>
    </w:pPr>
    <w:rPr>
      <w:sz w:val="24"/>
      <w:szCs w:val="24"/>
    </w:rPr>
  </w:style>
  <w:style w:type="character" w:styleId="1125">
    <w:name w:val="普通(网站) 字符"/>
    <w:next w:val="1125"/>
    <w:link w:val="1124"/>
    <w:uiPriority w:val="99"/>
    <w:rPr>
      <w:sz w:val="24"/>
      <w:szCs w:val="24"/>
    </w:rPr>
  </w:style>
  <w:style w:type="paragraph" w:styleId="1126">
    <w:name w:val="索引 2"/>
    <w:basedOn w:val="1044"/>
    <w:next w:val="1044"/>
    <w:link w:val="1044"/>
    <w:uiPriority w:val="99"/>
    <w:unhideWhenUsed/>
    <w:pPr>
      <w:ind w:left="420"/>
    </w:pPr>
    <w:rPr>
      <w:rFonts w:ascii="Times New Roman" w:hAnsi="Times New Roman" w:eastAsia="楷体_GB2312"/>
      <w:sz w:val="26"/>
      <w:szCs w:val="20"/>
    </w:rPr>
  </w:style>
  <w:style w:type="paragraph" w:styleId="1127">
    <w:name w:val="标题"/>
    <w:basedOn w:val="1044"/>
    <w:next w:val="1127"/>
    <w:link w:val="1128"/>
    <w:uiPriority w:val="10"/>
    <w:qFormat/>
    <w:pPr>
      <w:numPr>
        <w:ilvl w:val="0"/>
        <w:numId w:val="7"/>
      </w:numPr>
      <w:jc w:val="center"/>
      <w:spacing w:before="240" w:after="60"/>
      <w:tabs>
        <w:tab w:val="left" w:pos="432" w:leader="none"/>
        <w:tab w:val="left" w:pos="1140" w:leader="none"/>
      </w:tabs>
      <w:outlineLvl w:val="0"/>
    </w:pPr>
    <w:rPr>
      <w:rFonts w:ascii="Arial" w:hAnsi="Arial"/>
      <w:b/>
      <w:bCs/>
      <w:sz w:val="32"/>
      <w:szCs w:val="32"/>
    </w:rPr>
  </w:style>
  <w:style w:type="character" w:styleId="1128">
    <w:name w:val="标题 Char"/>
    <w:next w:val="1128"/>
    <w:link w:val="1127"/>
    <w:qFormat/>
    <w:rPr>
      <w:rFonts w:ascii="Arial" w:hAnsi="Arial"/>
      <w:b/>
      <w:bCs/>
      <w:sz w:val="32"/>
      <w:szCs w:val="32"/>
    </w:rPr>
  </w:style>
  <w:style w:type="paragraph" w:styleId="1129">
    <w:name w:val="批注主题"/>
    <w:basedOn w:val="1077"/>
    <w:next w:val="1077"/>
    <w:link w:val="1130"/>
    <w:uiPriority w:val="99"/>
    <w:qFormat/>
    <w:rPr>
      <w:b/>
      <w:bCs/>
    </w:rPr>
  </w:style>
  <w:style w:type="character" w:styleId="1130">
    <w:name w:val="批注主题 Char"/>
    <w:next w:val="1130"/>
    <w:link w:val="1129"/>
    <w:qFormat/>
    <w:rPr>
      <w:b/>
      <w:bCs/>
      <w:sz w:val="21"/>
      <w:szCs w:val="24"/>
    </w:rPr>
  </w:style>
  <w:style w:type="paragraph" w:styleId="1131">
    <w:name w:val="正文首行缩进"/>
    <w:basedOn w:val="1081"/>
    <w:next w:val="1131"/>
    <w:link w:val="1132"/>
    <w:uiPriority w:val="99"/>
    <w:unhideWhenUsed/>
    <w:pPr>
      <w:numPr>
        <w:ilvl w:val="0"/>
        <w:numId w:val="8"/>
      </w:numPr>
      <w:ind w:left="0" w:firstLine="420"/>
      <w:spacing w:after="120"/>
      <w:tabs>
        <w:tab w:val="clear" w:pos="780" w:leader="none"/>
      </w:tabs>
    </w:pPr>
    <w:rPr>
      <w:sz w:val="20"/>
      <w:szCs w:val="20"/>
      <w:lang w:val="en-US" w:eastAsia="zh-CN"/>
    </w:rPr>
  </w:style>
  <w:style w:type="character" w:styleId="1132">
    <w:name w:val="正文首行缩进 字符"/>
    <w:basedOn w:val="1082"/>
    <w:next w:val="1132"/>
    <w:link w:val="1131"/>
    <w:uiPriority w:val="99"/>
  </w:style>
  <w:style w:type="paragraph" w:styleId="1133">
    <w:name w:val="正文首行缩进 2"/>
    <w:basedOn w:val="1083"/>
    <w:next w:val="1133"/>
    <w:link w:val="1134"/>
    <w:uiPriority w:val="99"/>
    <w:qFormat/>
    <w:pPr>
      <w:ind w:firstLine="420"/>
    </w:pPr>
  </w:style>
  <w:style w:type="character" w:styleId="1134">
    <w:name w:val="正文首行缩进 2 Char"/>
    <w:next w:val="1134"/>
    <w:link w:val="1133"/>
  </w:style>
  <w:style w:type="table" w:styleId="1135">
    <w:name w:val="网格型"/>
    <w:basedOn w:val="1055"/>
    <w:next w:val="1135"/>
    <w:link w:val="1044"/>
    <w:qFormat/>
    <w:pPr>
      <w:jc w:val="both"/>
      <w:widowControl w:val="off"/>
    </w:pPr>
    <w:tblPr/>
  </w:style>
  <w:style w:type="character" w:styleId="1136">
    <w:name w:val="要点"/>
    <w:next w:val="1136"/>
    <w:link w:val="1044"/>
    <w:uiPriority w:val="22"/>
    <w:qFormat/>
    <w:rPr>
      <w:b/>
      <w:bCs/>
    </w:rPr>
  </w:style>
  <w:style w:type="character" w:styleId="1137">
    <w:name w:val="尾注引用"/>
    <w:next w:val="1137"/>
    <w:link w:val="1044"/>
    <w:uiPriority w:val="99"/>
    <w:unhideWhenUsed/>
    <w:rPr>
      <w:vertAlign w:val="superscript"/>
    </w:rPr>
  </w:style>
  <w:style w:type="character" w:styleId="1138">
    <w:name w:val="页码"/>
    <w:next w:val="1138"/>
    <w:link w:val="1044"/>
    <w:uiPriority w:val="99"/>
    <w:unhideWhenUsed/>
    <w:qFormat/>
  </w:style>
  <w:style w:type="character" w:styleId="1139">
    <w:name w:val="已访问的超链接"/>
    <w:next w:val="1139"/>
    <w:link w:val="1044"/>
    <w:uiPriority w:val="99"/>
    <w:qFormat/>
    <w:rPr>
      <w:color w:val="333333"/>
      <w:u w:val="none"/>
    </w:rPr>
  </w:style>
  <w:style w:type="character" w:styleId="1140">
    <w:name w:val="强调"/>
    <w:next w:val="1140"/>
    <w:link w:val="1044"/>
    <w:uiPriority w:val="20"/>
    <w:qFormat/>
  </w:style>
  <w:style w:type="character" w:styleId="1141">
    <w:name w:val="行号"/>
    <w:next w:val="1141"/>
    <w:link w:val="1044"/>
    <w:uiPriority w:val="99"/>
    <w:unhideWhenUsed/>
    <w:rPr>
      <w:rFonts w:ascii="Tahoma" w:hAnsi="Tahoma" w:eastAsia="宋体" w:cs="Times New Roman"/>
      <w:sz w:val="24"/>
      <w:szCs w:val="24"/>
      <w:lang w:val="en-US" w:eastAsia="zh-CN" w:bidi="ar-SA"/>
    </w:rPr>
  </w:style>
  <w:style w:type="character" w:styleId="1142">
    <w:name w:val="HTML 打字机"/>
    <w:next w:val="1142"/>
    <w:link w:val="1044"/>
    <w:uiPriority w:val="99"/>
    <w:unhideWhenUsed/>
    <w:rPr>
      <w:rFonts w:ascii="宋体" w:hAnsi="宋体" w:eastAsia="宋体" w:cs="宋体"/>
      <w:sz w:val="24"/>
      <w:szCs w:val="24"/>
      <w:lang w:val="en-US" w:eastAsia="zh-CN" w:bidi="ar-SA"/>
    </w:rPr>
  </w:style>
  <w:style w:type="character" w:styleId="1143">
    <w:name w:val="超链接"/>
    <w:next w:val="1143"/>
    <w:link w:val="1044"/>
    <w:uiPriority w:val="99"/>
    <w:qFormat/>
    <w:rPr>
      <w:color w:val="333333"/>
      <w:u w:val="none"/>
    </w:rPr>
  </w:style>
  <w:style w:type="character" w:styleId="1144">
    <w:name w:val="批注引用"/>
    <w:next w:val="1144"/>
    <w:link w:val="1044"/>
    <w:uiPriority w:val="99"/>
    <w:qFormat/>
    <w:rPr>
      <w:sz w:val="21"/>
      <w:szCs w:val="21"/>
    </w:rPr>
  </w:style>
  <w:style w:type="character" w:styleId="1145">
    <w:name w:val="HTML 引文"/>
    <w:next w:val="1145"/>
    <w:link w:val="1044"/>
    <w:uiPriority w:val="99"/>
    <w:qFormat/>
  </w:style>
  <w:style w:type="character" w:styleId="1146">
    <w:name w:val="脚注引用"/>
    <w:next w:val="1146"/>
    <w:link w:val="1044"/>
    <w:uiPriority w:val="99"/>
    <w:unhideWhenUsed/>
    <w:rPr>
      <w:vertAlign w:val="superscript"/>
    </w:rPr>
  </w:style>
  <w:style w:type="character" w:styleId="1147">
    <w:name w:val="NormalCharacter1"/>
    <w:next w:val="1147"/>
    <w:link w:val="1044"/>
    <w:qFormat/>
    <w:rPr>
      <w:sz w:val="21"/>
      <w:szCs w:val="22"/>
      <w:lang w:val="en-US" w:eastAsia="zh-CN" w:bidi="ar-SA"/>
    </w:rPr>
  </w:style>
  <w:style w:type="paragraph" w:styleId="1148">
    <w:name w:val="段"/>
    <w:next w:val="1044"/>
    <w:link w:val="1044"/>
    <w:qFormat/>
    <w:pPr>
      <w:ind w:firstLine="200"/>
      <w:jc w:val="both"/>
    </w:pPr>
    <w:rPr>
      <w:rFonts w:ascii="宋体"/>
      <w:sz w:val="21"/>
      <w:szCs w:val="22"/>
      <w:lang w:val="en-US" w:eastAsia="zh-CN" w:bidi="ar-SA"/>
    </w:rPr>
  </w:style>
  <w:style w:type="character" w:styleId="1149">
    <w:name w:val="纯文本 Char,普通文字 Char"/>
    <w:next w:val="1149"/>
    <w:link w:val="1044"/>
    <w:uiPriority w:val="99"/>
    <w:qFormat/>
    <w:rPr>
      <w:rFonts w:ascii="宋体" w:hAnsi="Courier New" w:cs="Courier New"/>
      <w:sz w:val="21"/>
      <w:szCs w:val="21"/>
    </w:rPr>
  </w:style>
  <w:style w:type="character" w:styleId="1150">
    <w:name w:val="Plain Text Char Char"/>
    <w:next w:val="1150"/>
    <w:link w:val="1151"/>
    <w:qFormat/>
    <w:rPr>
      <w:rFonts w:ascii="宋体" w:hAnsi="Courier New" w:eastAsia="楷体_GB2312"/>
      <w:sz w:val="28"/>
    </w:rPr>
  </w:style>
  <w:style w:type="paragraph" w:styleId="1151">
    <w:name w:val="纯文本1"/>
    <w:basedOn w:val="1044"/>
    <w:next w:val="1151"/>
    <w:link w:val="1150"/>
    <w:qFormat/>
    <w:rPr>
      <w:rFonts w:ascii="宋体" w:hAnsi="Courier New" w:eastAsia="楷体_GB2312"/>
      <w:sz w:val="28"/>
      <w:szCs w:val="20"/>
    </w:rPr>
  </w:style>
  <w:style w:type="character" w:styleId="1152">
    <w:name w:val="font111"/>
    <w:next w:val="1152"/>
    <w:link w:val="1044"/>
    <w:qFormat/>
    <w:rPr>
      <w:rFonts w:ascii="Times New Roman" w:hAnsi="Times New Roman" w:cs="Times New Roman"/>
      <w:color w:val="000000"/>
      <w:sz w:val="20"/>
      <w:szCs w:val="20"/>
      <w:u w:val="none"/>
    </w:rPr>
  </w:style>
  <w:style w:type="character" w:styleId="1153">
    <w:name w:val="font31"/>
    <w:next w:val="1153"/>
    <w:link w:val="1044"/>
    <w:qFormat/>
    <w:rPr>
      <w:rFonts w:hint="eastAsia" w:ascii="宋体" w:hAnsi="宋体" w:eastAsia="宋体" w:cs="宋体"/>
      <w:b/>
      <w:color w:val="000000"/>
      <w:sz w:val="28"/>
      <w:szCs w:val="28"/>
      <w:u w:val="none"/>
    </w:rPr>
  </w:style>
  <w:style w:type="character" w:styleId="1154">
    <w:name w:val="font41"/>
    <w:next w:val="1154"/>
    <w:link w:val="1044"/>
    <w:qFormat/>
    <w:rPr>
      <w:rFonts w:hint="eastAsia" w:ascii="宋体" w:hAnsi="宋体" w:eastAsia="宋体" w:cs="宋体"/>
      <w:color w:val="000000"/>
      <w:sz w:val="24"/>
      <w:szCs w:val="24"/>
      <w:u w:val="none"/>
    </w:rPr>
  </w:style>
  <w:style w:type="character" w:styleId="1155">
    <w:name w:val="font81"/>
    <w:next w:val="1155"/>
    <w:link w:val="1044"/>
    <w:qFormat/>
    <w:rPr>
      <w:rFonts w:hint="eastAsia" w:ascii="宋体" w:hAnsi="宋体" w:eastAsia="宋体" w:cs="宋体"/>
      <w:color w:val="000000"/>
      <w:sz w:val="24"/>
      <w:szCs w:val="24"/>
      <w:u w:val="none"/>
    </w:rPr>
  </w:style>
  <w:style w:type="character" w:styleId="1156">
    <w:name w:val="font121"/>
    <w:next w:val="1156"/>
    <w:link w:val="1044"/>
    <w:qFormat/>
    <w:rPr>
      <w:rFonts w:hint="eastAsia" w:ascii="宋体" w:hAnsi="宋体" w:eastAsia="宋体" w:cs="宋体"/>
      <w:color w:val="000000"/>
      <w:sz w:val="20"/>
      <w:szCs w:val="20"/>
      <w:u w:val="none"/>
    </w:rPr>
  </w:style>
  <w:style w:type="character" w:styleId="1157">
    <w:name w:val="Andy_正文 Char"/>
    <w:next w:val="1157"/>
    <w:link w:val="1158"/>
    <w:qFormat/>
    <w:rPr>
      <w:sz w:val="24"/>
      <w:szCs w:val="24"/>
    </w:rPr>
  </w:style>
  <w:style w:type="paragraph" w:styleId="1158">
    <w:name w:val="Andy_正文"/>
    <w:basedOn w:val="1044"/>
    <w:next w:val="1158"/>
    <w:link w:val="1157"/>
    <w:qFormat/>
    <w:pPr>
      <w:ind w:firstLine="480"/>
      <w:spacing w:line="360" w:lineRule="auto"/>
    </w:pPr>
    <w:rPr>
      <w:sz w:val="24"/>
      <w:szCs w:val="24"/>
    </w:rPr>
  </w:style>
  <w:style w:type="character" w:styleId="1159">
    <w:name w:val="font61"/>
    <w:next w:val="1159"/>
    <w:link w:val="1044"/>
    <w:qFormat/>
    <w:rPr>
      <w:rFonts w:ascii="font-weight : 400" w:hAnsi="font-weight : 400" w:eastAsia="font-weight : 400" w:cs="font-weight : 400"/>
      <w:color w:val="000000"/>
      <w:sz w:val="20"/>
      <w:szCs w:val="20"/>
      <w:u w:val="none"/>
    </w:rPr>
  </w:style>
  <w:style w:type="character" w:styleId="1160">
    <w:name w:val="列出段落 Char"/>
    <w:next w:val="1160"/>
    <w:link w:val="1161"/>
    <w:qFormat/>
    <w:rPr>
      <w:sz w:val="22"/>
    </w:rPr>
  </w:style>
  <w:style w:type="paragraph" w:styleId="1161">
    <w:name w:val="列出段落1"/>
    <w:basedOn w:val="1044"/>
    <w:next w:val="1161"/>
    <w:link w:val="1160"/>
    <w:qFormat/>
    <w:pPr>
      <w:ind w:firstLine="200"/>
      <w:spacing w:line="360" w:lineRule="auto"/>
    </w:pPr>
    <w:rPr>
      <w:sz w:val="22"/>
      <w:szCs w:val="20"/>
    </w:rPr>
  </w:style>
  <w:style w:type="character" w:styleId="1162">
    <w:name w:val="font01"/>
    <w:next w:val="1162"/>
    <w:link w:val="1044"/>
    <w:qFormat/>
    <w:rPr>
      <w:rFonts w:hint="eastAsia" w:ascii="宋体" w:hAnsi="宋体" w:eastAsia="宋体" w:cs="宋体"/>
      <w:color w:val="000000"/>
      <w:sz w:val="24"/>
      <w:szCs w:val="24"/>
      <w:u w:val="none"/>
    </w:rPr>
  </w:style>
  <w:style w:type="character" w:styleId="1163">
    <w:name w:val="font21"/>
    <w:next w:val="1163"/>
    <w:link w:val="1044"/>
    <w:qFormat/>
    <w:rPr>
      <w:rFonts w:ascii="Times New Roman" w:hAnsi="Times New Roman" w:cs="Times New Roman"/>
      <w:color w:val="000000"/>
      <w:sz w:val="24"/>
      <w:szCs w:val="24"/>
      <w:u w:val="none"/>
    </w:rPr>
  </w:style>
  <w:style w:type="character" w:styleId="1164">
    <w:name w:val="font11"/>
    <w:next w:val="1164"/>
    <w:link w:val="1044"/>
    <w:qFormat/>
    <w:rPr>
      <w:rFonts w:hint="eastAsia" w:ascii="宋体" w:hAnsi="宋体" w:eastAsia="宋体" w:cs="宋体"/>
      <w:color w:val="000000"/>
      <w:sz w:val="24"/>
      <w:szCs w:val="24"/>
      <w:u w:val="none"/>
      <w:vertAlign w:val="subscript"/>
    </w:rPr>
  </w:style>
  <w:style w:type="paragraph" w:styleId="1165">
    <w:name w:val="正文 1.1"/>
    <w:basedOn w:val="1044"/>
    <w:next w:val="1166"/>
    <w:link w:val="1044"/>
    <w:qFormat/>
    <w:pPr>
      <w:ind w:left="980" w:hanging="980"/>
      <w:spacing w:line="360" w:lineRule="auto"/>
      <w:tabs>
        <w:tab w:val="left" w:pos="840" w:leader="none"/>
      </w:tabs>
      <w:outlineLvl w:val="1"/>
    </w:pPr>
    <w:rPr>
      <w:rFonts w:ascii="仿宋" w:hAnsi="仿宋" w:eastAsia="仿宋"/>
      <w:b/>
      <w:sz w:val="28"/>
      <w:szCs w:val="21"/>
    </w:rPr>
  </w:style>
  <w:style w:type="paragraph" w:styleId="1166">
    <w:name w:val="正文 1.1.1"/>
    <w:basedOn w:val="1044"/>
    <w:next w:val="1044"/>
    <w:link w:val="1044"/>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167">
    <w:name w:val="正文空4格  1）"/>
    <w:basedOn w:val="1044"/>
    <w:next w:val="1167"/>
    <w:link w:val="1044"/>
    <w:qFormat/>
    <w:pPr>
      <w:ind w:firstLine="1120"/>
      <w:spacing w:line="360" w:lineRule="auto"/>
    </w:pPr>
    <w:rPr>
      <w:rFonts w:ascii="宋体" w:eastAsia="仿宋" w:cs="宋体"/>
      <w:sz w:val="28"/>
      <w:szCs w:val="20"/>
    </w:rPr>
  </w:style>
  <w:style w:type="paragraph" w:styleId="1168">
    <w:name w:val="彩色列表 - 着色 11"/>
    <w:basedOn w:val="1044"/>
    <w:next w:val="1168"/>
    <w:link w:val="1044"/>
    <w:uiPriority w:val="34"/>
    <w:qFormat/>
    <w:pPr>
      <w:ind w:firstLine="420"/>
    </w:pPr>
    <w:rPr>
      <w:szCs w:val="20"/>
    </w:rPr>
  </w:style>
  <w:style w:type="paragraph" w:styleId="1169">
    <w:name w:val="首行缩进"/>
    <w:basedOn w:val="1044"/>
    <w:next w:val="1169"/>
    <w:link w:val="1044"/>
    <w:qFormat/>
    <w:pPr>
      <w:ind w:firstLine="480"/>
      <w:jc w:val="left"/>
      <w:widowControl/>
    </w:pPr>
    <w:rPr>
      <w:sz w:val="24"/>
      <w:szCs w:val="24"/>
      <w:lang w:val="zh-CN"/>
    </w:rPr>
  </w:style>
  <w:style w:type="paragraph" w:styleId="1170">
    <w:name w:val="纯文本4"/>
    <w:basedOn w:val="1044"/>
    <w:next w:val="1170"/>
    <w:link w:val="1044"/>
    <w:qFormat/>
    <w:rPr>
      <w:rFonts w:ascii="宋体" w:hAnsi="Courier New" w:eastAsia="楷体_GB2312"/>
      <w:sz w:val="28"/>
      <w:szCs w:val="24"/>
    </w:rPr>
  </w:style>
  <w:style w:type="paragraph" w:styleId="1171">
    <w:name w:val="正文空2格  1."/>
    <w:basedOn w:val="1044"/>
    <w:next w:val="1171"/>
    <w:link w:val="1044"/>
    <w:qFormat/>
    <w:pPr>
      <w:ind w:firstLine="480"/>
      <w:spacing w:line="360" w:lineRule="auto"/>
    </w:pPr>
    <w:rPr>
      <w:rFonts w:ascii="宋体" w:eastAsia="仿宋" w:cs="宋体"/>
      <w:sz w:val="28"/>
      <w:szCs w:val="20"/>
    </w:rPr>
  </w:style>
  <w:style w:type="paragraph" w:styleId="1172">
    <w:name w:val="_Style 1"/>
    <w:basedOn w:val="1044"/>
    <w:next w:val="1172"/>
    <w:link w:val="1044"/>
    <w:uiPriority w:val="99"/>
    <w:qFormat/>
    <w:pPr>
      <w:ind w:firstLine="420"/>
    </w:pPr>
    <w:rPr>
      <w:rFonts w:eastAsia="楷体_GB2312"/>
      <w:sz w:val="26"/>
      <w:szCs w:val="20"/>
    </w:rPr>
  </w:style>
  <w:style w:type="paragraph" w:styleId="1173">
    <w:name w:val="列出段落11"/>
    <w:basedOn w:val="1044"/>
    <w:next w:val="1173"/>
    <w:link w:val="1044"/>
    <w:qFormat/>
    <w:pPr>
      <w:ind w:firstLine="420"/>
    </w:pPr>
    <w:rPr>
      <w:szCs w:val="24"/>
    </w:rPr>
  </w:style>
  <w:style w:type="paragraph" w:styleId="1174">
    <w:name w:val="纯文本111"/>
    <w:basedOn w:val="1044"/>
    <w:next w:val="1174"/>
    <w:link w:val="1044"/>
    <w:qFormat/>
    <w:rPr>
      <w:rFonts w:ascii="宋体" w:hAnsi="Courier New" w:eastAsia="楷体_GB2312"/>
      <w:sz w:val="26"/>
      <w:szCs w:val="24"/>
    </w:rPr>
  </w:style>
  <w:style w:type="paragraph" w:styleId="1175">
    <w:name w:val="修订1"/>
    <w:next w:val="1175"/>
    <w:link w:val="1044"/>
    <w:uiPriority w:val="99"/>
    <w:unhideWhenUsed/>
    <w:qFormat/>
    <w:rPr>
      <w:sz w:val="21"/>
      <w:szCs w:val="24"/>
      <w:lang w:val="en-US" w:eastAsia="zh-CN" w:bidi="ar-SA"/>
    </w:rPr>
  </w:style>
  <w:style w:type="paragraph" w:styleId="1176">
    <w:name w:val="列出段落"/>
    <w:basedOn w:val="1044"/>
    <w:next w:val="1176"/>
    <w:link w:val="1177"/>
    <w:qFormat/>
    <w:pPr>
      <w:ind w:firstLine="420"/>
    </w:pPr>
    <w:rPr>
      <w:szCs w:val="24"/>
    </w:rPr>
  </w:style>
  <w:style w:type="character" w:styleId="1177">
    <w:name w:val="列出段落 字符"/>
    <w:next w:val="1177"/>
    <w:link w:val="1176"/>
    <w:rPr>
      <w:sz w:val="21"/>
      <w:szCs w:val="24"/>
    </w:rPr>
  </w:style>
  <w:style w:type="paragraph" w:styleId="1178">
    <w:name w:val="纯文本11"/>
    <w:basedOn w:val="1044"/>
    <w:next w:val="1178"/>
    <w:link w:val="1044"/>
    <w:qFormat/>
    <w:rPr>
      <w:rFonts w:ascii="宋体" w:hAnsi="Courier New" w:eastAsia="楷体_GB2312"/>
      <w:sz w:val="26"/>
      <w:szCs w:val="24"/>
    </w:rPr>
  </w:style>
  <w:style w:type="character" w:styleId="1179">
    <w:name w:val="文字正文主体 Char Char"/>
    <w:next w:val="1179"/>
    <w:link w:val="1180"/>
    <w:qFormat/>
    <w:rPr>
      <w:rFonts w:ascii="仿宋" w:hAnsi="仿宋" w:eastAsia="仿宋"/>
      <w:color w:val="3a3a3a"/>
      <w:sz w:val="28"/>
    </w:rPr>
  </w:style>
  <w:style w:type="paragraph" w:styleId="1180">
    <w:name w:val="文字正文主体"/>
    <w:basedOn w:val="1044"/>
    <w:next w:val="1180"/>
    <w:link w:val="117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181">
    <w:name w:val="Char Char5"/>
    <w:next w:val="1181"/>
    <w:link w:val="1044"/>
    <w:qFormat/>
    <w:rPr>
      <w:sz w:val="24"/>
    </w:rPr>
  </w:style>
  <w:style w:type="character" w:styleId="1182">
    <w:name w:val="Char Char8"/>
    <w:next w:val="1182"/>
    <w:link w:val="1044"/>
    <w:qFormat/>
    <w:rPr>
      <w:sz w:val="18"/>
    </w:rPr>
  </w:style>
  <w:style w:type="character" w:styleId="1183">
    <w:name w:val="Char Char11"/>
    <w:next w:val="1183"/>
    <w:link w:val="1044"/>
    <w:qFormat/>
    <w:rPr>
      <w:sz w:val="21"/>
    </w:rPr>
  </w:style>
  <w:style w:type="character" w:styleId="1184">
    <w:name w:val="c lh15"/>
    <w:next w:val="1184"/>
    <w:link w:val="1044"/>
    <w:qFormat/>
  </w:style>
  <w:style w:type="character" w:styleId="1185">
    <w:name w:val="+正文 Char3"/>
    <w:next w:val="1185"/>
    <w:link w:val="1186"/>
    <w:qFormat/>
    <w:rPr>
      <w:sz w:val="24"/>
    </w:rPr>
  </w:style>
  <w:style w:type="paragraph" w:styleId="1186">
    <w:name w:val="+正文"/>
    <w:basedOn w:val="1044"/>
    <w:next w:val="1186"/>
    <w:link w:val="1185"/>
    <w:qFormat/>
    <w:pPr>
      <w:ind w:firstLine="200"/>
      <w:spacing w:line="360" w:lineRule="auto"/>
    </w:pPr>
    <w:rPr>
      <w:sz w:val="24"/>
      <w:szCs w:val="20"/>
    </w:rPr>
  </w:style>
  <w:style w:type="character" w:styleId="1187">
    <w:name w:val="日期 Char1"/>
    <w:next w:val="1187"/>
    <w:link w:val="1044"/>
    <w:qFormat/>
    <w:rPr>
      <w:sz w:val="21"/>
      <w:szCs w:val="24"/>
    </w:rPr>
  </w:style>
  <w:style w:type="character" w:styleId="1188">
    <w:name w:val="标题 Char1"/>
    <w:next w:val="1188"/>
    <w:link w:val="1044"/>
    <w:uiPriority w:val="10"/>
    <w:qFormat/>
    <w:rPr>
      <w:rFonts w:ascii="Cambria" w:hAnsi="Cambria" w:cs="Times New Roman"/>
      <w:b/>
      <w:bCs/>
      <w:sz w:val="32"/>
      <w:szCs w:val="32"/>
    </w:rPr>
  </w:style>
  <w:style w:type="paragraph" w:styleId="1189">
    <w:name w:val="纯文本14"/>
    <w:basedOn w:val="1044"/>
    <w:next w:val="1189"/>
    <w:link w:val="1044"/>
    <w:qFormat/>
    <w:rPr>
      <w:rFonts w:ascii="宋体" w:hAnsi="Courier New" w:eastAsia="楷体_GB2312"/>
      <w:sz w:val="28"/>
      <w:szCs w:val="20"/>
    </w:rPr>
  </w:style>
  <w:style w:type="paragraph" w:styleId="1190">
    <w:name w:val="Char Char Char Char Char Char Char Char Char Char"/>
    <w:basedOn w:val="1044"/>
    <w:next w:val="1190"/>
    <w:link w:val="1044"/>
    <w:qFormat/>
    <w:pPr>
      <w:numPr>
        <w:ilvl w:val="0"/>
        <w:numId w:val="9"/>
      </w:numPr>
      <w:tabs>
        <w:tab w:val="left" w:pos="420" w:leader="none"/>
      </w:tabs>
    </w:pPr>
    <w:rPr>
      <w:rFonts w:ascii="Times New Roman" w:hAnsi="Times New Roman"/>
      <w:sz w:val="24"/>
      <w:szCs w:val="24"/>
    </w:rPr>
  </w:style>
  <w:style w:type="paragraph" w:styleId="1191">
    <w:name w:val="Plain Text1"/>
    <w:basedOn w:val="1044"/>
    <w:next w:val="1191"/>
    <w:link w:val="1044"/>
    <w:qFormat/>
    <w:rPr>
      <w:rFonts w:hint="eastAsia" w:ascii="宋体" w:hAnsi="Courier New"/>
      <w:szCs w:val="24"/>
    </w:rPr>
  </w:style>
  <w:style w:type="paragraph" w:styleId="1192">
    <w:name w:val="正文首行缩进两字符"/>
    <w:basedOn w:val="1044"/>
    <w:next w:val="1192"/>
    <w:link w:val="1044"/>
    <w:qFormat/>
    <w:pPr>
      <w:ind w:firstLine="200"/>
      <w:spacing w:line="360" w:lineRule="auto"/>
    </w:pPr>
    <w:rPr>
      <w:rFonts w:ascii="Times New Roman" w:hAnsi="Times New Roman"/>
      <w:szCs w:val="24"/>
    </w:rPr>
  </w:style>
  <w:style w:type="paragraph" w:styleId="1193">
    <w:name w:val="Char Char Char Char Char Char Char Char Char1 Char Char Char Char"/>
    <w:basedOn w:val="1075"/>
    <w:next w:val="1193"/>
    <w:link w:val="1044"/>
    <w:qFormat/>
    <w:pPr>
      <w:spacing w:line="360" w:lineRule="auto"/>
    </w:pPr>
    <w:rPr>
      <w:rFonts w:eastAsia="楷体_GB2312"/>
      <w:sz w:val="26"/>
      <w:szCs w:val="20"/>
    </w:rPr>
  </w:style>
  <w:style w:type="paragraph" w:styleId="1194">
    <w:name w:val="正文2"/>
    <w:basedOn w:val="1044"/>
    <w:next w:val="1194"/>
    <w:link w:val="1044"/>
    <w:qFormat/>
    <w:pPr>
      <w:ind w:firstLine="200"/>
      <w:jc w:val="left"/>
      <w:spacing w:after="160" w:line="360" w:lineRule="auto"/>
      <w:widowControl/>
    </w:pPr>
    <w:rPr>
      <w:rFonts w:ascii="Verdana" w:hAnsi="Verdana" w:eastAsia="黑体"/>
      <w:szCs w:val="20"/>
      <w:lang w:eastAsia="en-US"/>
    </w:rPr>
  </w:style>
  <w:style w:type="paragraph" w:styleId="1195">
    <w:name w:val="Char Char Char"/>
    <w:basedOn w:val="1075"/>
    <w:next w:val="1195"/>
    <w:link w:val="1044"/>
    <w:qFormat/>
    <w:pPr>
      <w:spacing w:line="360" w:lineRule="auto"/>
    </w:pPr>
    <w:rPr>
      <w:rFonts w:ascii="Tahoma" w:hAnsi="Tahoma"/>
      <w:sz w:val="24"/>
    </w:rPr>
  </w:style>
  <w:style w:type="paragraph" w:styleId="1196">
    <w:name w:val="无间隔"/>
    <w:next w:val="1196"/>
    <w:link w:val="1197"/>
    <w:qFormat/>
    <w:pPr>
      <w:jc w:val="both"/>
      <w:widowControl w:val="off"/>
    </w:pPr>
    <w:rPr>
      <w:rFonts w:ascii="Times New Roman" w:hAnsi="Times New Roman"/>
      <w:sz w:val="21"/>
      <w:szCs w:val="24"/>
      <w:lang w:val="en-US" w:eastAsia="zh-CN" w:bidi="ar-SA"/>
    </w:rPr>
  </w:style>
  <w:style w:type="character" w:styleId="1197">
    <w:name w:val="无间隔 字符"/>
    <w:next w:val="1197"/>
    <w:link w:val="1196"/>
    <w:rPr>
      <w:rFonts w:ascii="Times New Roman" w:hAnsi="Times New Roman"/>
      <w:sz w:val="21"/>
      <w:szCs w:val="24"/>
    </w:rPr>
  </w:style>
  <w:style w:type="paragraph" w:styleId="1198">
    <w:name w:val="正文1"/>
    <w:next w:val="1044"/>
    <w:link w:val="1044"/>
    <w:qFormat/>
    <w:pPr>
      <w:jc w:val="both"/>
      <w:spacing w:line="315" w:lineRule="atLeast"/>
      <w:widowControl w:val="off"/>
    </w:pPr>
    <w:rPr>
      <w:rFonts w:ascii="宋体" w:hAnsi="宋体"/>
      <w:sz w:val="21"/>
      <w:lang w:val="en-US" w:eastAsia="zh-CN" w:bidi="ar-SA"/>
    </w:rPr>
  </w:style>
  <w:style w:type="paragraph" w:styleId="1199">
    <w:name w:val="纯文本2"/>
    <w:basedOn w:val="1044"/>
    <w:next w:val="1199"/>
    <w:link w:val="1044"/>
    <w:qFormat/>
    <w:rPr>
      <w:rFonts w:ascii="宋体" w:hAnsi="Courier New" w:eastAsia="楷体_GB2312"/>
      <w:sz w:val="28"/>
      <w:szCs w:val="20"/>
    </w:rPr>
  </w:style>
  <w:style w:type="paragraph" w:styleId="1200">
    <w:name w:val="正文 A"/>
    <w:next w:val="1200"/>
    <w:link w:val="1044"/>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201">
    <w:name w:val="Char Char Char1 Char Char Char Char"/>
    <w:basedOn w:val="1044"/>
    <w:next w:val="1201"/>
    <w:link w:val="1044"/>
    <w:qFormat/>
    <w:pPr>
      <w:jc w:val="left"/>
      <w:spacing w:after="160" w:line="240" w:lineRule="exact"/>
      <w:widowControl/>
    </w:pPr>
    <w:rPr>
      <w:rFonts w:ascii="Times New Roman" w:hAnsi="Times New Roman"/>
      <w:sz w:val="24"/>
      <w:szCs w:val="24"/>
    </w:rPr>
  </w:style>
  <w:style w:type="paragraph" w:styleId="1202">
    <w:name w:val="Char"/>
    <w:basedOn w:val="1044"/>
    <w:next w:val="1202"/>
    <w:link w:val="1044"/>
    <w:qFormat/>
    <w:pPr>
      <w:tabs>
        <w:tab w:val="left" w:pos="420" w:leader="none"/>
      </w:tabs>
    </w:pPr>
    <w:rPr>
      <w:rFonts w:ascii="Times New Roman" w:hAnsi="Times New Roman"/>
      <w:sz w:val="24"/>
      <w:szCs w:val="24"/>
    </w:rPr>
  </w:style>
  <w:style w:type="paragraph" w:styleId="1203">
    <w:name w:val="Char Char Char Char Char Char Char Char Char1 Char"/>
    <w:basedOn w:val="1075"/>
    <w:next w:val="1203"/>
    <w:link w:val="1044"/>
    <w:qFormat/>
    <w:pPr>
      <w:spacing w:line="360" w:lineRule="auto"/>
    </w:pPr>
    <w:rPr>
      <w:rFonts w:ascii="Tahoma" w:hAnsi="Tahoma"/>
      <w:sz w:val="24"/>
    </w:rPr>
  </w:style>
  <w:style w:type="paragraph" w:styleId="1204">
    <w:name w:val="Char1 Char Char Char"/>
    <w:basedOn w:val="1044"/>
    <w:next w:val="1204"/>
    <w:link w:val="1044"/>
    <w:qFormat/>
    <w:rPr>
      <w:rFonts w:ascii="Tahoma" w:hAnsi="Tahoma"/>
      <w:sz w:val="24"/>
      <w:szCs w:val="20"/>
    </w:rPr>
  </w:style>
  <w:style w:type="paragraph" w:styleId="1205">
    <w:name w:val="Default"/>
    <w:next w:val="1205"/>
    <w:link w:val="1044"/>
    <w:qFormat/>
    <w:pPr>
      <w:widowControl w:val="off"/>
    </w:pPr>
    <w:rPr>
      <w:rFonts w:ascii="宋体" w:hAnsi="Times New Roman" w:cs="宋体"/>
      <w:color w:val="000000"/>
      <w:sz w:val="24"/>
      <w:szCs w:val="24"/>
      <w:lang w:val="en-US" w:eastAsia="zh-CN" w:bidi="ar-SA"/>
    </w:rPr>
  </w:style>
  <w:style w:type="paragraph" w:styleId="1206">
    <w:name w:val="Char Char Char Char"/>
    <w:basedOn w:val="1075"/>
    <w:next w:val="1206"/>
    <w:link w:val="1044"/>
    <w:qFormat/>
    <w:pPr>
      <w:spacing w:line="360" w:lineRule="auto"/>
    </w:pPr>
    <w:rPr>
      <w:sz w:val="24"/>
      <w:szCs w:val="20"/>
    </w:rPr>
  </w:style>
  <w:style w:type="character" w:styleId="1207">
    <w:name w:val="NormalCharacter1"/>
    <w:next w:val="1207"/>
    <w:link w:val="1044"/>
    <w:qFormat/>
  </w:style>
  <w:style w:type="paragraph" w:styleId="1208">
    <w:name w:val="正文缩进1"/>
    <w:basedOn w:val="1044"/>
    <w:next w:val="1044"/>
    <w:link w:val="1044"/>
    <w:qFormat/>
    <w:pPr>
      <w:ind w:firstLine="420"/>
      <w:jc w:val="left"/>
    </w:pPr>
    <w:rPr>
      <w:rFonts w:ascii="Times New Roman" w:hAnsi="Times New Roman" w:eastAsia="楷体_GB2312"/>
      <w:sz w:val="24"/>
      <w:szCs w:val="20"/>
    </w:rPr>
  </w:style>
  <w:style w:type="character" w:styleId="1209">
    <w:name w:val="超链接1"/>
    <w:next w:val="1209"/>
    <w:link w:val="1044"/>
    <w:uiPriority w:val="99"/>
    <w:qFormat/>
    <w:rPr>
      <w:rFonts w:ascii="Times New Roman" w:hAnsi="Times New Roman" w:eastAsia="宋体" w:cs="Times New Roman"/>
      <w:color w:val="0000ff"/>
      <w:u w:val="single"/>
    </w:rPr>
  </w:style>
  <w:style w:type="paragraph" w:styleId="1210">
    <w:name w:val="正文文本缩进 31"/>
    <w:basedOn w:val="1044"/>
    <w:next w:val="1210"/>
    <w:link w:val="1044"/>
    <w:qFormat/>
    <w:pPr>
      <w:ind w:firstLine="617"/>
      <w:spacing w:line="360" w:lineRule="auto"/>
    </w:pPr>
    <w:rPr>
      <w:sz w:val="24"/>
      <w:szCs w:val="24"/>
    </w:rPr>
  </w:style>
  <w:style w:type="character" w:styleId="1211">
    <w:name w:val="grame"/>
    <w:next w:val="1211"/>
    <w:link w:val="1044"/>
  </w:style>
  <w:style w:type="character" w:styleId="1212">
    <w:name w:val="正文缩进 字符"/>
    <w:next w:val="1212"/>
    <w:link w:val="1044"/>
    <w:uiPriority w:val="99"/>
    <w:qFormat/>
    <w:rPr>
      <w:rFonts w:ascii="楷体_GB2312" w:eastAsia="楷体_GB2312"/>
      <w:sz w:val="24"/>
    </w:rPr>
  </w:style>
  <w:style w:type="character" w:styleId="1213">
    <w:name w:val="标题 1 字符"/>
    <w:next w:val="1213"/>
    <w:link w:val="1044"/>
    <w:uiPriority w:val="9"/>
    <w:qFormat/>
    <w:rPr>
      <w:rFonts w:ascii="Arial" w:hAnsi="Arial" w:eastAsia="Arial" w:cs="Arial"/>
      <w:sz w:val="40"/>
      <w:szCs w:val="40"/>
    </w:rPr>
  </w:style>
  <w:style w:type="character" w:styleId="1214">
    <w:name w:val="Heading 6 Char"/>
    <w:next w:val="1214"/>
    <w:link w:val="1044"/>
    <w:uiPriority w:val="9"/>
    <w:rPr>
      <w:rFonts w:ascii="Arial" w:hAnsi="Arial" w:eastAsia="Arial" w:cs="Arial"/>
      <w:b/>
      <w:bCs/>
      <w:sz w:val="22"/>
      <w:szCs w:val="22"/>
    </w:rPr>
  </w:style>
  <w:style w:type="character" w:styleId="1215">
    <w:name w:val="Heading 7 Char"/>
    <w:next w:val="1215"/>
    <w:link w:val="1044"/>
    <w:uiPriority w:val="9"/>
    <w:rPr>
      <w:rFonts w:ascii="Arial" w:hAnsi="Arial" w:eastAsia="Arial" w:cs="Arial"/>
      <w:b/>
      <w:bCs/>
      <w:i/>
      <w:iCs/>
      <w:sz w:val="22"/>
      <w:szCs w:val="22"/>
    </w:rPr>
  </w:style>
  <w:style w:type="character" w:styleId="1216">
    <w:name w:val="Heading 8 Char"/>
    <w:next w:val="1216"/>
    <w:link w:val="1044"/>
    <w:uiPriority w:val="9"/>
    <w:rPr>
      <w:rFonts w:ascii="Arial" w:hAnsi="Arial" w:eastAsia="Arial" w:cs="Arial"/>
      <w:i/>
      <w:iCs/>
      <w:sz w:val="22"/>
      <w:szCs w:val="22"/>
    </w:rPr>
  </w:style>
  <w:style w:type="character" w:styleId="1217">
    <w:name w:val="Heading 9 Char"/>
    <w:next w:val="1217"/>
    <w:link w:val="1044"/>
    <w:uiPriority w:val="9"/>
    <w:rPr>
      <w:rFonts w:ascii="Arial" w:hAnsi="Arial" w:eastAsia="Arial" w:cs="Arial"/>
      <w:i/>
      <w:iCs/>
      <w:sz w:val="21"/>
      <w:szCs w:val="21"/>
    </w:rPr>
  </w:style>
  <w:style w:type="character" w:styleId="1218">
    <w:name w:val="Subtitle Char"/>
    <w:next w:val="1218"/>
    <w:link w:val="1044"/>
    <w:uiPriority w:val="11"/>
    <w:rPr>
      <w:sz w:val="24"/>
      <w:szCs w:val="24"/>
    </w:rPr>
  </w:style>
  <w:style w:type="paragraph" w:styleId="1219">
    <w:name w:val="引用"/>
    <w:basedOn w:val="1044"/>
    <w:next w:val="1044"/>
    <w:link w:val="1220"/>
    <w:qFormat/>
    <w:rPr>
      <w:i/>
      <w:iCs/>
      <w:color w:val="000000"/>
      <w:sz w:val="24"/>
    </w:rPr>
  </w:style>
  <w:style w:type="character" w:styleId="1220">
    <w:name w:val="引用 字符"/>
    <w:next w:val="1220"/>
    <w:link w:val="1219"/>
    <w:rPr>
      <w:i/>
      <w:iCs/>
      <w:color w:val="000000"/>
      <w:sz w:val="24"/>
      <w:szCs w:val="22"/>
    </w:rPr>
  </w:style>
  <w:style w:type="character" w:styleId="1221">
    <w:name w:val="Quote Char"/>
    <w:next w:val="1221"/>
    <w:link w:val="1044"/>
    <w:uiPriority w:val="29"/>
    <w:rPr>
      <w:i/>
    </w:rPr>
  </w:style>
  <w:style w:type="paragraph" w:styleId="1222">
    <w:name w:val="明显引用"/>
    <w:basedOn w:val="1044"/>
    <w:next w:val="1044"/>
    <w:link w:val="1223"/>
    <w:qFormat/>
    <w:pPr>
      <w:ind w:left="936" w:right="936"/>
      <w:spacing w:before="200" w:after="280"/>
      <w:pBdr>
        <w:bottom w:val="single" w:color="4F81BD" w:sz="4" w:space="4"/>
      </w:pBdr>
    </w:pPr>
    <w:rPr>
      <w:b/>
      <w:bCs/>
      <w:i/>
      <w:iCs/>
      <w:color w:val="4f81bd"/>
      <w:sz w:val="24"/>
    </w:rPr>
  </w:style>
  <w:style w:type="character" w:styleId="1223">
    <w:name w:val="明显引用 字符"/>
    <w:next w:val="1223"/>
    <w:link w:val="1222"/>
    <w:rPr>
      <w:b/>
      <w:bCs/>
      <w:i/>
      <w:iCs/>
      <w:color w:val="4f81bd"/>
      <w:sz w:val="24"/>
      <w:szCs w:val="22"/>
    </w:rPr>
  </w:style>
  <w:style w:type="character" w:styleId="1224">
    <w:name w:val="Intense Quote Char"/>
    <w:next w:val="1224"/>
    <w:link w:val="1044"/>
    <w:uiPriority w:val="30"/>
    <w:rPr>
      <w:i/>
    </w:rPr>
  </w:style>
  <w:style w:type="character" w:styleId="1225">
    <w:name w:val="Caption Char"/>
    <w:next w:val="1225"/>
    <w:link w:val="1044"/>
    <w:uiPriority w:val="99"/>
  </w:style>
  <w:style w:type="table" w:styleId="1226">
    <w:name w:val="网格型1"/>
    <w:basedOn w:val="1055"/>
    <w:next w:val="1226"/>
    <w:link w:val="1044"/>
    <w:uiPriority w:val="59"/>
    <w:pPr>
      <w:jc w:val="both"/>
      <w:widowControl w:val="off"/>
    </w:pPr>
    <w:rPr>
      <w:rFonts w:ascii="Times New Roman" w:hAnsi="Times New Roman"/>
    </w:rPr>
    <w:tblPr/>
  </w:style>
  <w:style w:type="table" w:styleId="1227">
    <w:name w:val="Table Grid Light"/>
    <w:next w:val="1227"/>
    <w:link w:val="1044"/>
    <w:uiPriority w:val="59"/>
    <w:rPr>
      <w:lang w:val="en-US" w:eastAsia="zh-CN" w:bidi="ar-SA"/>
    </w:rPr>
    <w:tblPr/>
  </w:style>
  <w:style w:type="table" w:styleId="1228">
    <w:name w:val="无格式表格 11"/>
    <w:next w:val="1228"/>
    <w:link w:val="1044"/>
    <w:uiPriority w:val="59"/>
    <w:rPr>
      <w:lang w:val="en-US" w:eastAsia="zh-CN" w:bidi="ar-SA"/>
    </w:rPr>
    <w:tblPr/>
  </w:style>
  <w:style w:type="table" w:styleId="1229">
    <w:name w:val="无格式表格 21"/>
    <w:next w:val="1229"/>
    <w:link w:val="1044"/>
    <w:uiPriority w:val="59"/>
    <w:rPr>
      <w:lang w:val="en-US" w:eastAsia="zh-CN" w:bidi="ar-SA"/>
    </w:rPr>
    <w:tblPr/>
  </w:style>
  <w:style w:type="table" w:styleId="1230">
    <w:name w:val="无格式表格 31"/>
    <w:next w:val="1230"/>
    <w:link w:val="1044"/>
    <w:uiPriority w:val="99"/>
    <w:rPr>
      <w:lang w:val="en-US" w:eastAsia="zh-CN" w:bidi="ar-SA"/>
    </w:rPr>
    <w:tblPr/>
  </w:style>
  <w:style w:type="table" w:styleId="1231">
    <w:name w:val="无格式表格 41"/>
    <w:next w:val="1231"/>
    <w:link w:val="1044"/>
    <w:uiPriority w:val="99"/>
    <w:rPr>
      <w:lang w:val="en-US" w:eastAsia="zh-CN" w:bidi="ar-SA"/>
    </w:rPr>
    <w:tblPr/>
  </w:style>
  <w:style w:type="table" w:styleId="1232">
    <w:name w:val="无格式表格 51"/>
    <w:next w:val="1232"/>
    <w:link w:val="1044"/>
    <w:uiPriority w:val="99"/>
    <w:rPr>
      <w:lang w:val="en-US" w:eastAsia="zh-CN" w:bidi="ar-SA"/>
    </w:rPr>
    <w:tblPr/>
  </w:style>
  <w:style w:type="table" w:styleId="1233">
    <w:name w:val="网格表 1 浅色1"/>
    <w:next w:val="1233"/>
    <w:link w:val="1044"/>
    <w:uiPriority w:val="99"/>
    <w:rPr>
      <w:lang w:val="en-US" w:eastAsia="zh-CN" w:bidi="ar-SA"/>
    </w:rPr>
    <w:tblPr/>
  </w:style>
  <w:style w:type="table" w:styleId="1234">
    <w:name w:val="Grid Table 1 Light - Accent 1"/>
    <w:next w:val="1234"/>
    <w:link w:val="1044"/>
    <w:uiPriority w:val="99"/>
    <w:rPr>
      <w:lang w:val="en-US" w:eastAsia="zh-CN" w:bidi="ar-SA"/>
    </w:rPr>
    <w:tblPr/>
  </w:style>
  <w:style w:type="table" w:styleId="1235">
    <w:name w:val="Grid Table 1 Light - Accent 2"/>
    <w:next w:val="1235"/>
    <w:link w:val="1044"/>
    <w:uiPriority w:val="99"/>
    <w:rPr>
      <w:lang w:val="en-US" w:eastAsia="zh-CN" w:bidi="ar-SA"/>
    </w:rPr>
    <w:tblPr/>
  </w:style>
  <w:style w:type="table" w:styleId="1236">
    <w:name w:val="Grid Table 1 Light - Accent 3"/>
    <w:next w:val="1236"/>
    <w:link w:val="1044"/>
    <w:uiPriority w:val="99"/>
    <w:rPr>
      <w:lang w:val="en-US" w:eastAsia="zh-CN" w:bidi="ar-SA"/>
    </w:rPr>
    <w:tblPr/>
  </w:style>
  <w:style w:type="table" w:styleId="1237">
    <w:name w:val="Grid Table 1 Light - Accent 4"/>
    <w:next w:val="1237"/>
    <w:link w:val="1044"/>
    <w:uiPriority w:val="99"/>
    <w:rPr>
      <w:lang w:val="en-US" w:eastAsia="zh-CN" w:bidi="ar-SA"/>
    </w:rPr>
    <w:tblPr/>
  </w:style>
  <w:style w:type="table" w:styleId="1238">
    <w:name w:val="Grid Table 1 Light - Accent 5"/>
    <w:next w:val="1238"/>
    <w:link w:val="1044"/>
    <w:uiPriority w:val="99"/>
    <w:rPr>
      <w:lang w:val="en-US" w:eastAsia="zh-CN" w:bidi="ar-SA"/>
    </w:rPr>
    <w:tblPr/>
  </w:style>
  <w:style w:type="table" w:styleId="1239">
    <w:name w:val="Grid Table 1 Light - Accent 6"/>
    <w:next w:val="1239"/>
    <w:link w:val="1044"/>
    <w:uiPriority w:val="99"/>
    <w:rPr>
      <w:lang w:val="en-US" w:eastAsia="zh-CN" w:bidi="ar-SA"/>
    </w:rPr>
    <w:tblPr/>
  </w:style>
  <w:style w:type="table" w:styleId="1240">
    <w:name w:val="网格表 21"/>
    <w:next w:val="1240"/>
    <w:link w:val="1044"/>
    <w:uiPriority w:val="99"/>
    <w:rPr>
      <w:lang w:val="en-US" w:eastAsia="zh-CN" w:bidi="ar-SA"/>
    </w:rPr>
    <w:tblPr/>
  </w:style>
  <w:style w:type="table" w:styleId="1241">
    <w:name w:val="Grid Table 2 - Accent 1"/>
    <w:next w:val="1241"/>
    <w:link w:val="1044"/>
    <w:uiPriority w:val="99"/>
    <w:rPr>
      <w:lang w:val="en-US" w:eastAsia="zh-CN" w:bidi="ar-SA"/>
    </w:rPr>
    <w:tblPr/>
  </w:style>
  <w:style w:type="table" w:styleId="1242">
    <w:name w:val="Grid Table 2 - Accent 2"/>
    <w:next w:val="1242"/>
    <w:link w:val="1044"/>
    <w:uiPriority w:val="99"/>
    <w:rPr>
      <w:lang w:val="en-US" w:eastAsia="zh-CN" w:bidi="ar-SA"/>
    </w:rPr>
    <w:tblPr/>
  </w:style>
  <w:style w:type="table" w:styleId="1243">
    <w:name w:val="Grid Table 2 - Accent 3"/>
    <w:next w:val="1243"/>
    <w:link w:val="1044"/>
    <w:uiPriority w:val="99"/>
    <w:rPr>
      <w:lang w:val="en-US" w:eastAsia="zh-CN" w:bidi="ar-SA"/>
    </w:rPr>
    <w:tblPr/>
  </w:style>
  <w:style w:type="table" w:styleId="1244">
    <w:name w:val="Grid Table 2 - Accent 4"/>
    <w:next w:val="1244"/>
    <w:link w:val="1044"/>
    <w:uiPriority w:val="99"/>
    <w:rPr>
      <w:lang w:val="en-US" w:eastAsia="zh-CN" w:bidi="ar-SA"/>
    </w:rPr>
    <w:tblPr/>
  </w:style>
  <w:style w:type="table" w:styleId="1245">
    <w:name w:val="Grid Table 2 - Accent 5"/>
    <w:next w:val="1245"/>
    <w:link w:val="1044"/>
    <w:uiPriority w:val="99"/>
    <w:rPr>
      <w:lang w:val="en-US" w:eastAsia="zh-CN" w:bidi="ar-SA"/>
    </w:rPr>
    <w:tblPr/>
  </w:style>
  <w:style w:type="table" w:styleId="1246">
    <w:name w:val="Grid Table 2 - Accent 6"/>
    <w:next w:val="1246"/>
    <w:link w:val="1044"/>
    <w:uiPriority w:val="99"/>
    <w:rPr>
      <w:lang w:val="en-US" w:eastAsia="zh-CN" w:bidi="ar-SA"/>
    </w:rPr>
    <w:tblPr/>
  </w:style>
  <w:style w:type="table" w:styleId="1247">
    <w:name w:val="网格表 31"/>
    <w:next w:val="1247"/>
    <w:link w:val="1044"/>
    <w:uiPriority w:val="99"/>
    <w:rPr>
      <w:lang w:val="en-US" w:eastAsia="zh-CN" w:bidi="ar-SA"/>
    </w:rPr>
    <w:tblPr/>
  </w:style>
  <w:style w:type="table" w:styleId="1248">
    <w:name w:val="Grid Table 3 - Accent 1"/>
    <w:next w:val="1248"/>
    <w:link w:val="1044"/>
    <w:uiPriority w:val="99"/>
    <w:rPr>
      <w:lang w:val="en-US" w:eastAsia="zh-CN" w:bidi="ar-SA"/>
    </w:rPr>
    <w:tblPr/>
  </w:style>
  <w:style w:type="table" w:styleId="1249">
    <w:name w:val="Grid Table 3 - Accent 2"/>
    <w:next w:val="1249"/>
    <w:link w:val="1044"/>
    <w:uiPriority w:val="99"/>
    <w:rPr>
      <w:lang w:val="en-US" w:eastAsia="zh-CN" w:bidi="ar-SA"/>
    </w:rPr>
    <w:tblPr/>
  </w:style>
  <w:style w:type="table" w:styleId="1250">
    <w:name w:val="Grid Table 3 - Accent 3"/>
    <w:next w:val="1250"/>
    <w:link w:val="1044"/>
    <w:uiPriority w:val="99"/>
    <w:rPr>
      <w:lang w:val="en-US" w:eastAsia="zh-CN" w:bidi="ar-SA"/>
    </w:rPr>
    <w:tblPr/>
  </w:style>
  <w:style w:type="table" w:styleId="1251">
    <w:name w:val="Grid Table 3 - Accent 4"/>
    <w:next w:val="1251"/>
    <w:link w:val="1044"/>
    <w:uiPriority w:val="99"/>
    <w:rPr>
      <w:lang w:val="en-US" w:eastAsia="zh-CN" w:bidi="ar-SA"/>
    </w:rPr>
    <w:tblPr/>
  </w:style>
  <w:style w:type="table" w:styleId="1252">
    <w:name w:val="Grid Table 3 - Accent 5"/>
    <w:next w:val="1252"/>
    <w:link w:val="1044"/>
    <w:uiPriority w:val="99"/>
    <w:rPr>
      <w:lang w:val="en-US" w:eastAsia="zh-CN" w:bidi="ar-SA"/>
    </w:rPr>
    <w:tblPr/>
  </w:style>
  <w:style w:type="table" w:styleId="1253">
    <w:name w:val="Grid Table 3 - Accent 6"/>
    <w:next w:val="1253"/>
    <w:link w:val="1044"/>
    <w:uiPriority w:val="99"/>
    <w:rPr>
      <w:lang w:val="en-US" w:eastAsia="zh-CN" w:bidi="ar-SA"/>
    </w:rPr>
    <w:tblPr/>
  </w:style>
  <w:style w:type="table" w:styleId="1254">
    <w:name w:val="网格表 41"/>
    <w:next w:val="1254"/>
    <w:link w:val="1044"/>
    <w:uiPriority w:val="59"/>
    <w:rPr>
      <w:lang w:val="en-US" w:eastAsia="zh-CN" w:bidi="ar-SA"/>
    </w:rPr>
    <w:tblPr/>
  </w:style>
  <w:style w:type="table" w:styleId="1255">
    <w:name w:val="Grid Table 4 - Accent 1"/>
    <w:next w:val="1255"/>
    <w:link w:val="1044"/>
    <w:uiPriority w:val="59"/>
    <w:rPr>
      <w:lang w:val="en-US" w:eastAsia="zh-CN" w:bidi="ar-SA"/>
    </w:rPr>
    <w:tblPr/>
  </w:style>
  <w:style w:type="table" w:styleId="1256">
    <w:name w:val="Grid Table 4 - Accent 2"/>
    <w:next w:val="1256"/>
    <w:link w:val="1044"/>
    <w:uiPriority w:val="59"/>
    <w:rPr>
      <w:lang w:val="en-US" w:eastAsia="zh-CN" w:bidi="ar-SA"/>
    </w:rPr>
    <w:tblPr/>
  </w:style>
  <w:style w:type="table" w:styleId="1257">
    <w:name w:val="Grid Table 4 - Accent 3"/>
    <w:next w:val="1257"/>
    <w:link w:val="1044"/>
    <w:uiPriority w:val="59"/>
    <w:rPr>
      <w:lang w:val="en-US" w:eastAsia="zh-CN" w:bidi="ar-SA"/>
    </w:rPr>
    <w:tblPr/>
  </w:style>
  <w:style w:type="table" w:styleId="1258">
    <w:name w:val="Grid Table 4 - Accent 4"/>
    <w:next w:val="1258"/>
    <w:link w:val="1044"/>
    <w:uiPriority w:val="59"/>
    <w:rPr>
      <w:lang w:val="en-US" w:eastAsia="zh-CN" w:bidi="ar-SA"/>
    </w:rPr>
    <w:tblPr/>
  </w:style>
  <w:style w:type="table" w:styleId="1259">
    <w:name w:val="Grid Table 4 - Accent 5"/>
    <w:next w:val="1259"/>
    <w:link w:val="1044"/>
    <w:uiPriority w:val="59"/>
    <w:rPr>
      <w:lang w:val="en-US" w:eastAsia="zh-CN" w:bidi="ar-SA"/>
    </w:rPr>
    <w:tblPr/>
  </w:style>
  <w:style w:type="table" w:styleId="1260">
    <w:name w:val="Grid Table 4 - Accent 6"/>
    <w:next w:val="1260"/>
    <w:link w:val="1044"/>
    <w:uiPriority w:val="59"/>
    <w:rPr>
      <w:lang w:val="en-US" w:eastAsia="zh-CN" w:bidi="ar-SA"/>
    </w:rPr>
    <w:tblPr/>
  </w:style>
  <w:style w:type="table" w:styleId="1261">
    <w:name w:val="网格表 5 深色1"/>
    <w:next w:val="1261"/>
    <w:link w:val="1044"/>
    <w:uiPriority w:val="99"/>
    <w:rPr>
      <w:lang w:val="en-US" w:eastAsia="zh-CN" w:bidi="ar-SA"/>
    </w:rPr>
    <w:tblPr/>
  </w:style>
  <w:style w:type="table" w:styleId="1262">
    <w:name w:val="Grid Table 5 Dark- Accent 1"/>
    <w:next w:val="1262"/>
    <w:link w:val="1044"/>
    <w:uiPriority w:val="99"/>
    <w:rPr>
      <w:lang w:val="en-US" w:eastAsia="zh-CN" w:bidi="ar-SA"/>
    </w:rPr>
    <w:tblPr/>
  </w:style>
  <w:style w:type="table" w:styleId="1263">
    <w:name w:val="Grid Table 5 Dark - Accent 2"/>
    <w:next w:val="1263"/>
    <w:link w:val="1044"/>
    <w:uiPriority w:val="99"/>
    <w:rPr>
      <w:lang w:val="en-US" w:eastAsia="zh-CN" w:bidi="ar-SA"/>
    </w:rPr>
    <w:tblPr/>
  </w:style>
  <w:style w:type="table" w:styleId="1264">
    <w:name w:val="Grid Table 5 Dark - Accent 3"/>
    <w:next w:val="1264"/>
    <w:link w:val="1044"/>
    <w:uiPriority w:val="99"/>
    <w:rPr>
      <w:lang w:val="en-US" w:eastAsia="zh-CN" w:bidi="ar-SA"/>
    </w:rPr>
    <w:tblPr/>
  </w:style>
  <w:style w:type="table" w:styleId="1265">
    <w:name w:val="Grid Table 5 Dark- Accent 4"/>
    <w:next w:val="1265"/>
    <w:link w:val="1044"/>
    <w:uiPriority w:val="99"/>
    <w:rPr>
      <w:lang w:val="en-US" w:eastAsia="zh-CN" w:bidi="ar-SA"/>
    </w:rPr>
    <w:tblPr/>
  </w:style>
  <w:style w:type="table" w:styleId="1266">
    <w:name w:val="Grid Table 5 Dark - Accent 5"/>
    <w:next w:val="1266"/>
    <w:link w:val="1044"/>
    <w:uiPriority w:val="99"/>
    <w:rPr>
      <w:lang w:val="en-US" w:eastAsia="zh-CN" w:bidi="ar-SA"/>
    </w:rPr>
    <w:tblPr/>
  </w:style>
  <w:style w:type="table" w:styleId="1267">
    <w:name w:val="Grid Table 5 Dark - Accent 6"/>
    <w:next w:val="1267"/>
    <w:link w:val="1044"/>
    <w:uiPriority w:val="99"/>
    <w:rPr>
      <w:lang w:val="en-US" w:eastAsia="zh-CN" w:bidi="ar-SA"/>
    </w:rPr>
    <w:tblPr/>
  </w:style>
  <w:style w:type="table" w:styleId="1268">
    <w:name w:val="网格表 6 彩色1"/>
    <w:next w:val="1268"/>
    <w:link w:val="1044"/>
    <w:uiPriority w:val="99"/>
    <w:rPr>
      <w:lang w:val="en-US" w:eastAsia="zh-CN" w:bidi="ar-SA"/>
    </w:rPr>
    <w:tblPr/>
  </w:style>
  <w:style w:type="table" w:styleId="1269">
    <w:name w:val="Grid Table 6 Colorful - Accent 1"/>
    <w:next w:val="1269"/>
    <w:link w:val="1044"/>
    <w:uiPriority w:val="99"/>
    <w:rPr>
      <w:lang w:val="en-US" w:eastAsia="zh-CN" w:bidi="ar-SA"/>
    </w:rPr>
    <w:tblPr/>
  </w:style>
  <w:style w:type="table" w:styleId="1270">
    <w:name w:val="Grid Table 6 Colorful - Accent 2"/>
    <w:next w:val="1270"/>
    <w:link w:val="1044"/>
    <w:uiPriority w:val="99"/>
    <w:rPr>
      <w:lang w:val="en-US" w:eastAsia="zh-CN" w:bidi="ar-SA"/>
    </w:rPr>
    <w:tblPr/>
  </w:style>
  <w:style w:type="table" w:styleId="1271">
    <w:name w:val="Grid Table 6 Colorful - Accent 3"/>
    <w:next w:val="1271"/>
    <w:link w:val="1044"/>
    <w:uiPriority w:val="99"/>
    <w:rPr>
      <w:lang w:val="en-US" w:eastAsia="zh-CN" w:bidi="ar-SA"/>
    </w:rPr>
    <w:tblPr/>
  </w:style>
  <w:style w:type="table" w:styleId="1272">
    <w:name w:val="Grid Table 6 Colorful - Accent 4"/>
    <w:next w:val="1272"/>
    <w:link w:val="1044"/>
    <w:uiPriority w:val="99"/>
    <w:rPr>
      <w:lang w:val="en-US" w:eastAsia="zh-CN" w:bidi="ar-SA"/>
    </w:rPr>
    <w:tblPr/>
  </w:style>
  <w:style w:type="table" w:styleId="1273">
    <w:name w:val="Grid Table 6 Colorful - Accent 5"/>
    <w:next w:val="1273"/>
    <w:link w:val="1044"/>
    <w:uiPriority w:val="99"/>
    <w:rPr>
      <w:lang w:val="en-US" w:eastAsia="zh-CN" w:bidi="ar-SA"/>
    </w:rPr>
    <w:tblPr/>
  </w:style>
  <w:style w:type="table" w:styleId="1274">
    <w:name w:val="Grid Table 6 Colorful - Accent 6"/>
    <w:next w:val="1274"/>
    <w:link w:val="1044"/>
    <w:uiPriority w:val="99"/>
    <w:rPr>
      <w:lang w:val="en-US" w:eastAsia="zh-CN" w:bidi="ar-SA"/>
    </w:rPr>
    <w:tblPr/>
  </w:style>
  <w:style w:type="table" w:styleId="1275">
    <w:name w:val="网格表 7 彩色1"/>
    <w:next w:val="1275"/>
    <w:link w:val="1044"/>
    <w:uiPriority w:val="99"/>
    <w:rPr>
      <w:lang w:val="en-US" w:eastAsia="zh-CN" w:bidi="ar-SA"/>
    </w:rPr>
    <w:tblPr/>
  </w:style>
  <w:style w:type="table" w:styleId="1276">
    <w:name w:val="Grid Table 7 Colorful - Accent 1"/>
    <w:next w:val="1276"/>
    <w:link w:val="1044"/>
    <w:uiPriority w:val="99"/>
    <w:rPr>
      <w:lang w:val="en-US" w:eastAsia="zh-CN" w:bidi="ar-SA"/>
    </w:rPr>
    <w:tblPr/>
  </w:style>
  <w:style w:type="table" w:styleId="1277">
    <w:name w:val="Grid Table 7 Colorful - Accent 2"/>
    <w:next w:val="1277"/>
    <w:link w:val="1044"/>
    <w:uiPriority w:val="99"/>
    <w:rPr>
      <w:lang w:val="en-US" w:eastAsia="zh-CN" w:bidi="ar-SA"/>
    </w:rPr>
    <w:tblPr/>
  </w:style>
  <w:style w:type="table" w:styleId="1278">
    <w:name w:val="Grid Table 7 Colorful - Accent 3"/>
    <w:next w:val="1278"/>
    <w:link w:val="1044"/>
    <w:uiPriority w:val="99"/>
    <w:rPr>
      <w:lang w:val="en-US" w:eastAsia="zh-CN" w:bidi="ar-SA"/>
    </w:rPr>
    <w:tblPr/>
  </w:style>
  <w:style w:type="table" w:styleId="1279">
    <w:name w:val="Grid Table 7 Colorful - Accent 4"/>
    <w:next w:val="1279"/>
    <w:link w:val="1044"/>
    <w:uiPriority w:val="99"/>
    <w:rPr>
      <w:lang w:val="en-US" w:eastAsia="zh-CN" w:bidi="ar-SA"/>
    </w:rPr>
    <w:tblPr/>
  </w:style>
  <w:style w:type="table" w:styleId="1280">
    <w:name w:val="Grid Table 7 Colorful - Accent 5"/>
    <w:next w:val="1280"/>
    <w:link w:val="1044"/>
    <w:uiPriority w:val="99"/>
    <w:rPr>
      <w:lang w:val="en-US" w:eastAsia="zh-CN" w:bidi="ar-SA"/>
    </w:rPr>
    <w:tblPr/>
  </w:style>
  <w:style w:type="table" w:styleId="1281">
    <w:name w:val="Grid Table 7 Colorful - Accent 6"/>
    <w:next w:val="1281"/>
    <w:link w:val="1044"/>
    <w:uiPriority w:val="99"/>
    <w:rPr>
      <w:lang w:val="en-US" w:eastAsia="zh-CN" w:bidi="ar-SA"/>
    </w:rPr>
    <w:tblPr/>
  </w:style>
  <w:style w:type="table" w:styleId="1282">
    <w:name w:val="清单表 1 浅色1"/>
    <w:next w:val="1282"/>
    <w:link w:val="1044"/>
    <w:uiPriority w:val="99"/>
    <w:rPr>
      <w:lang w:val="en-US" w:eastAsia="zh-CN" w:bidi="ar-SA"/>
    </w:rPr>
    <w:tblPr/>
  </w:style>
  <w:style w:type="table" w:styleId="1283">
    <w:name w:val="List Table 1 Light - Accent 1"/>
    <w:next w:val="1283"/>
    <w:link w:val="1044"/>
    <w:uiPriority w:val="99"/>
    <w:rPr>
      <w:lang w:val="en-US" w:eastAsia="zh-CN" w:bidi="ar-SA"/>
    </w:rPr>
    <w:tblPr/>
  </w:style>
  <w:style w:type="table" w:styleId="1284">
    <w:name w:val="List Table 1 Light - Accent 2"/>
    <w:next w:val="1284"/>
    <w:link w:val="1044"/>
    <w:uiPriority w:val="99"/>
    <w:rPr>
      <w:lang w:val="en-US" w:eastAsia="zh-CN" w:bidi="ar-SA"/>
    </w:rPr>
    <w:tblPr/>
  </w:style>
  <w:style w:type="table" w:styleId="1285">
    <w:name w:val="List Table 1 Light - Accent 3"/>
    <w:next w:val="1285"/>
    <w:link w:val="1044"/>
    <w:uiPriority w:val="99"/>
    <w:rPr>
      <w:lang w:val="en-US" w:eastAsia="zh-CN" w:bidi="ar-SA"/>
    </w:rPr>
    <w:tblPr/>
  </w:style>
  <w:style w:type="table" w:styleId="1286">
    <w:name w:val="List Table 1 Light - Accent 4"/>
    <w:next w:val="1286"/>
    <w:link w:val="1044"/>
    <w:uiPriority w:val="99"/>
    <w:rPr>
      <w:lang w:val="en-US" w:eastAsia="zh-CN" w:bidi="ar-SA"/>
    </w:rPr>
    <w:tblPr/>
  </w:style>
  <w:style w:type="table" w:styleId="1287">
    <w:name w:val="List Table 1 Light - Accent 5"/>
    <w:next w:val="1287"/>
    <w:link w:val="1044"/>
    <w:uiPriority w:val="99"/>
    <w:rPr>
      <w:lang w:val="en-US" w:eastAsia="zh-CN" w:bidi="ar-SA"/>
    </w:rPr>
    <w:tblPr/>
  </w:style>
  <w:style w:type="table" w:styleId="1288">
    <w:name w:val="List Table 1 Light - Accent 6"/>
    <w:next w:val="1288"/>
    <w:link w:val="1044"/>
    <w:uiPriority w:val="99"/>
    <w:rPr>
      <w:lang w:val="en-US" w:eastAsia="zh-CN" w:bidi="ar-SA"/>
    </w:rPr>
    <w:tblPr/>
  </w:style>
  <w:style w:type="table" w:styleId="1289">
    <w:name w:val="清单表 21"/>
    <w:next w:val="1289"/>
    <w:link w:val="1044"/>
    <w:uiPriority w:val="99"/>
    <w:rPr>
      <w:lang w:val="en-US" w:eastAsia="zh-CN" w:bidi="ar-SA"/>
    </w:rPr>
    <w:tblPr/>
  </w:style>
  <w:style w:type="table" w:styleId="1290">
    <w:name w:val="List Table 2 - Accent 1"/>
    <w:next w:val="1290"/>
    <w:link w:val="1044"/>
    <w:uiPriority w:val="99"/>
    <w:rPr>
      <w:lang w:val="en-US" w:eastAsia="zh-CN" w:bidi="ar-SA"/>
    </w:rPr>
    <w:tblPr/>
  </w:style>
  <w:style w:type="table" w:styleId="1291">
    <w:name w:val="List Table 2 - Accent 2"/>
    <w:next w:val="1291"/>
    <w:link w:val="1044"/>
    <w:uiPriority w:val="99"/>
    <w:rPr>
      <w:lang w:val="en-US" w:eastAsia="zh-CN" w:bidi="ar-SA"/>
    </w:rPr>
    <w:tblPr/>
  </w:style>
  <w:style w:type="table" w:styleId="1292">
    <w:name w:val="List Table 2 - Accent 3"/>
    <w:next w:val="1292"/>
    <w:link w:val="1044"/>
    <w:uiPriority w:val="99"/>
    <w:rPr>
      <w:lang w:val="en-US" w:eastAsia="zh-CN" w:bidi="ar-SA"/>
    </w:rPr>
    <w:tblPr/>
  </w:style>
  <w:style w:type="table" w:styleId="1293">
    <w:name w:val="List Table 2 - Accent 4"/>
    <w:next w:val="1293"/>
    <w:link w:val="1044"/>
    <w:uiPriority w:val="99"/>
    <w:rPr>
      <w:lang w:val="en-US" w:eastAsia="zh-CN" w:bidi="ar-SA"/>
    </w:rPr>
    <w:tblPr/>
  </w:style>
  <w:style w:type="table" w:styleId="1294">
    <w:name w:val="List Table 2 - Accent 5"/>
    <w:next w:val="1294"/>
    <w:link w:val="1044"/>
    <w:uiPriority w:val="99"/>
    <w:rPr>
      <w:lang w:val="en-US" w:eastAsia="zh-CN" w:bidi="ar-SA"/>
    </w:rPr>
    <w:tblPr/>
  </w:style>
  <w:style w:type="table" w:styleId="1295">
    <w:name w:val="List Table 2 - Accent 6"/>
    <w:next w:val="1295"/>
    <w:link w:val="1044"/>
    <w:uiPriority w:val="99"/>
    <w:rPr>
      <w:lang w:val="en-US" w:eastAsia="zh-CN" w:bidi="ar-SA"/>
    </w:rPr>
    <w:tblPr/>
  </w:style>
  <w:style w:type="table" w:styleId="1296">
    <w:name w:val="清单表 31"/>
    <w:next w:val="1296"/>
    <w:link w:val="1044"/>
    <w:uiPriority w:val="99"/>
    <w:rPr>
      <w:lang w:val="en-US" w:eastAsia="zh-CN" w:bidi="ar-SA"/>
    </w:rPr>
    <w:tblPr/>
  </w:style>
  <w:style w:type="table" w:styleId="1297">
    <w:name w:val="List Table 3 - Accent 1"/>
    <w:next w:val="1297"/>
    <w:link w:val="1044"/>
    <w:uiPriority w:val="99"/>
    <w:rPr>
      <w:lang w:val="en-US" w:eastAsia="zh-CN" w:bidi="ar-SA"/>
    </w:rPr>
    <w:tblPr/>
  </w:style>
  <w:style w:type="table" w:styleId="1298">
    <w:name w:val="List Table 3 - Accent 2"/>
    <w:next w:val="1298"/>
    <w:link w:val="1044"/>
    <w:uiPriority w:val="99"/>
    <w:rPr>
      <w:lang w:val="en-US" w:eastAsia="zh-CN" w:bidi="ar-SA"/>
    </w:rPr>
    <w:tblPr/>
  </w:style>
  <w:style w:type="table" w:styleId="1299">
    <w:name w:val="List Table 3 - Accent 3"/>
    <w:next w:val="1299"/>
    <w:link w:val="1044"/>
    <w:uiPriority w:val="99"/>
    <w:rPr>
      <w:lang w:val="en-US" w:eastAsia="zh-CN" w:bidi="ar-SA"/>
    </w:rPr>
    <w:tblPr/>
  </w:style>
  <w:style w:type="table" w:styleId="1300">
    <w:name w:val="List Table 3 - Accent 4"/>
    <w:next w:val="1300"/>
    <w:link w:val="1044"/>
    <w:uiPriority w:val="99"/>
    <w:rPr>
      <w:lang w:val="en-US" w:eastAsia="zh-CN" w:bidi="ar-SA"/>
    </w:rPr>
    <w:tblPr/>
  </w:style>
  <w:style w:type="table" w:styleId="1301">
    <w:name w:val="List Table 3 - Accent 5"/>
    <w:next w:val="1301"/>
    <w:link w:val="1044"/>
    <w:uiPriority w:val="99"/>
    <w:rPr>
      <w:lang w:val="en-US" w:eastAsia="zh-CN" w:bidi="ar-SA"/>
    </w:rPr>
    <w:tblPr/>
  </w:style>
  <w:style w:type="table" w:styleId="1302">
    <w:name w:val="List Table 3 - Accent 6"/>
    <w:next w:val="1302"/>
    <w:link w:val="1044"/>
    <w:uiPriority w:val="99"/>
    <w:rPr>
      <w:lang w:val="en-US" w:eastAsia="zh-CN" w:bidi="ar-SA"/>
    </w:rPr>
    <w:tblPr/>
  </w:style>
  <w:style w:type="table" w:styleId="1303">
    <w:name w:val="清单表 41"/>
    <w:next w:val="1303"/>
    <w:link w:val="1044"/>
    <w:uiPriority w:val="99"/>
    <w:rPr>
      <w:lang w:val="en-US" w:eastAsia="zh-CN" w:bidi="ar-SA"/>
    </w:rPr>
    <w:tblPr/>
  </w:style>
  <w:style w:type="table" w:styleId="1304">
    <w:name w:val="List Table 4 - Accent 1"/>
    <w:next w:val="1304"/>
    <w:link w:val="1044"/>
    <w:uiPriority w:val="99"/>
    <w:rPr>
      <w:lang w:val="en-US" w:eastAsia="zh-CN" w:bidi="ar-SA"/>
    </w:rPr>
    <w:tblPr/>
  </w:style>
  <w:style w:type="table" w:styleId="1305">
    <w:name w:val="List Table 4 - Accent 2"/>
    <w:next w:val="1305"/>
    <w:link w:val="1044"/>
    <w:uiPriority w:val="99"/>
    <w:rPr>
      <w:lang w:val="en-US" w:eastAsia="zh-CN" w:bidi="ar-SA"/>
    </w:rPr>
    <w:tblPr/>
  </w:style>
  <w:style w:type="table" w:styleId="1306">
    <w:name w:val="List Table 4 - Accent 3"/>
    <w:next w:val="1306"/>
    <w:link w:val="1044"/>
    <w:uiPriority w:val="99"/>
    <w:rPr>
      <w:lang w:val="en-US" w:eastAsia="zh-CN" w:bidi="ar-SA"/>
    </w:rPr>
    <w:tblPr/>
  </w:style>
  <w:style w:type="table" w:styleId="1307">
    <w:name w:val="List Table 4 - Accent 4"/>
    <w:next w:val="1307"/>
    <w:link w:val="1044"/>
    <w:uiPriority w:val="99"/>
    <w:rPr>
      <w:lang w:val="en-US" w:eastAsia="zh-CN" w:bidi="ar-SA"/>
    </w:rPr>
    <w:tblPr/>
  </w:style>
  <w:style w:type="table" w:styleId="1308">
    <w:name w:val="List Table 4 - Accent 5"/>
    <w:next w:val="1308"/>
    <w:link w:val="1044"/>
    <w:uiPriority w:val="99"/>
    <w:rPr>
      <w:lang w:val="en-US" w:eastAsia="zh-CN" w:bidi="ar-SA"/>
    </w:rPr>
    <w:tblPr/>
  </w:style>
  <w:style w:type="table" w:styleId="1309">
    <w:name w:val="List Table 4 - Accent 6"/>
    <w:next w:val="1309"/>
    <w:link w:val="1044"/>
    <w:uiPriority w:val="99"/>
    <w:rPr>
      <w:lang w:val="en-US" w:eastAsia="zh-CN" w:bidi="ar-SA"/>
    </w:rPr>
    <w:tblPr/>
  </w:style>
  <w:style w:type="table" w:styleId="1310">
    <w:name w:val="清单表 5 深色1"/>
    <w:next w:val="1310"/>
    <w:link w:val="1044"/>
    <w:uiPriority w:val="99"/>
    <w:rPr>
      <w:lang w:val="en-US" w:eastAsia="zh-CN" w:bidi="ar-SA"/>
    </w:rPr>
    <w:tblPr/>
  </w:style>
  <w:style w:type="table" w:styleId="1311">
    <w:name w:val="List Table 5 Dark - Accent 1"/>
    <w:next w:val="1311"/>
    <w:link w:val="1044"/>
    <w:uiPriority w:val="99"/>
    <w:rPr>
      <w:lang w:val="en-US" w:eastAsia="zh-CN" w:bidi="ar-SA"/>
    </w:rPr>
    <w:tblPr/>
  </w:style>
  <w:style w:type="table" w:styleId="1312">
    <w:name w:val="List Table 5 Dark - Accent 2"/>
    <w:next w:val="1312"/>
    <w:link w:val="1044"/>
    <w:uiPriority w:val="99"/>
    <w:rPr>
      <w:lang w:val="en-US" w:eastAsia="zh-CN" w:bidi="ar-SA"/>
    </w:rPr>
    <w:tblPr/>
  </w:style>
  <w:style w:type="table" w:styleId="1313">
    <w:name w:val="List Table 5 Dark - Accent 3"/>
    <w:next w:val="1313"/>
    <w:link w:val="1044"/>
    <w:uiPriority w:val="99"/>
    <w:rPr>
      <w:lang w:val="en-US" w:eastAsia="zh-CN" w:bidi="ar-SA"/>
    </w:rPr>
    <w:tblPr/>
  </w:style>
  <w:style w:type="table" w:styleId="1314">
    <w:name w:val="List Table 5 Dark - Accent 4"/>
    <w:next w:val="1314"/>
    <w:link w:val="1044"/>
    <w:uiPriority w:val="99"/>
    <w:rPr>
      <w:lang w:val="en-US" w:eastAsia="zh-CN" w:bidi="ar-SA"/>
    </w:rPr>
    <w:tblPr/>
  </w:style>
  <w:style w:type="table" w:styleId="1315">
    <w:name w:val="List Table 5 Dark - Accent 5"/>
    <w:next w:val="1315"/>
    <w:link w:val="1044"/>
    <w:uiPriority w:val="99"/>
    <w:rPr>
      <w:lang w:val="en-US" w:eastAsia="zh-CN" w:bidi="ar-SA"/>
    </w:rPr>
    <w:tblPr/>
  </w:style>
  <w:style w:type="table" w:styleId="1316">
    <w:name w:val="List Table 5 Dark - Accent 6"/>
    <w:next w:val="1316"/>
    <w:link w:val="1044"/>
    <w:uiPriority w:val="99"/>
    <w:rPr>
      <w:lang w:val="en-US" w:eastAsia="zh-CN" w:bidi="ar-SA"/>
    </w:rPr>
    <w:tblPr/>
  </w:style>
  <w:style w:type="table" w:styleId="1317">
    <w:name w:val="清单表 6 彩色1"/>
    <w:next w:val="1317"/>
    <w:link w:val="1044"/>
    <w:uiPriority w:val="99"/>
    <w:rPr>
      <w:lang w:val="en-US" w:eastAsia="zh-CN" w:bidi="ar-SA"/>
    </w:rPr>
    <w:tblPr/>
  </w:style>
  <w:style w:type="table" w:styleId="1318">
    <w:name w:val="List Table 6 Colorful - Accent 1"/>
    <w:next w:val="1318"/>
    <w:link w:val="1044"/>
    <w:uiPriority w:val="99"/>
    <w:rPr>
      <w:lang w:val="en-US" w:eastAsia="zh-CN" w:bidi="ar-SA"/>
    </w:rPr>
    <w:tblPr/>
  </w:style>
  <w:style w:type="table" w:styleId="1319">
    <w:name w:val="List Table 6 Colorful - Accent 2"/>
    <w:next w:val="1319"/>
    <w:link w:val="1044"/>
    <w:uiPriority w:val="99"/>
    <w:rPr>
      <w:lang w:val="en-US" w:eastAsia="zh-CN" w:bidi="ar-SA"/>
    </w:rPr>
    <w:tblPr/>
  </w:style>
  <w:style w:type="table" w:styleId="1320">
    <w:name w:val="List Table 6 Colorful - Accent 3"/>
    <w:next w:val="1320"/>
    <w:link w:val="1044"/>
    <w:uiPriority w:val="99"/>
    <w:rPr>
      <w:lang w:val="en-US" w:eastAsia="zh-CN" w:bidi="ar-SA"/>
    </w:rPr>
    <w:tblPr/>
  </w:style>
  <w:style w:type="table" w:styleId="1321">
    <w:name w:val="List Table 6 Colorful - Accent 4"/>
    <w:next w:val="1321"/>
    <w:link w:val="1044"/>
    <w:uiPriority w:val="99"/>
    <w:rPr>
      <w:lang w:val="en-US" w:eastAsia="zh-CN" w:bidi="ar-SA"/>
    </w:rPr>
    <w:tblPr/>
  </w:style>
  <w:style w:type="table" w:styleId="1322">
    <w:name w:val="List Table 6 Colorful - Accent 5"/>
    <w:next w:val="1322"/>
    <w:link w:val="1044"/>
    <w:uiPriority w:val="99"/>
    <w:rPr>
      <w:lang w:val="en-US" w:eastAsia="zh-CN" w:bidi="ar-SA"/>
    </w:rPr>
    <w:tblPr/>
  </w:style>
  <w:style w:type="table" w:styleId="1323">
    <w:name w:val="List Table 6 Colorful - Accent 6"/>
    <w:next w:val="1323"/>
    <w:link w:val="1044"/>
    <w:uiPriority w:val="99"/>
    <w:rPr>
      <w:lang w:val="en-US" w:eastAsia="zh-CN" w:bidi="ar-SA"/>
    </w:rPr>
    <w:tblPr/>
  </w:style>
  <w:style w:type="table" w:styleId="1324">
    <w:name w:val="清单表 7 彩色1"/>
    <w:next w:val="1324"/>
    <w:link w:val="1044"/>
    <w:uiPriority w:val="99"/>
    <w:rPr>
      <w:lang w:val="en-US" w:eastAsia="zh-CN" w:bidi="ar-SA"/>
    </w:rPr>
    <w:tblPr/>
  </w:style>
  <w:style w:type="table" w:styleId="1325">
    <w:name w:val="List Table 7 Colorful - Accent 1"/>
    <w:next w:val="1325"/>
    <w:link w:val="1044"/>
    <w:uiPriority w:val="99"/>
    <w:rPr>
      <w:lang w:val="en-US" w:eastAsia="zh-CN" w:bidi="ar-SA"/>
    </w:rPr>
    <w:tblPr/>
  </w:style>
  <w:style w:type="table" w:styleId="1326">
    <w:name w:val="List Table 7 Colorful - Accent 2"/>
    <w:next w:val="1326"/>
    <w:link w:val="1044"/>
    <w:uiPriority w:val="99"/>
    <w:rPr>
      <w:lang w:val="en-US" w:eastAsia="zh-CN" w:bidi="ar-SA"/>
    </w:rPr>
    <w:tblPr/>
  </w:style>
  <w:style w:type="table" w:styleId="1327">
    <w:name w:val="List Table 7 Colorful - Accent 3"/>
    <w:next w:val="1327"/>
    <w:link w:val="1044"/>
    <w:uiPriority w:val="99"/>
    <w:rPr>
      <w:lang w:val="en-US" w:eastAsia="zh-CN" w:bidi="ar-SA"/>
    </w:rPr>
    <w:tblPr/>
  </w:style>
  <w:style w:type="table" w:styleId="1328">
    <w:name w:val="List Table 7 Colorful - Accent 4"/>
    <w:next w:val="1328"/>
    <w:link w:val="1044"/>
    <w:uiPriority w:val="99"/>
    <w:rPr>
      <w:lang w:val="en-US" w:eastAsia="zh-CN" w:bidi="ar-SA"/>
    </w:rPr>
    <w:tblPr/>
  </w:style>
  <w:style w:type="table" w:styleId="1329">
    <w:name w:val="List Table 7 Colorful - Accent 5"/>
    <w:next w:val="1329"/>
    <w:link w:val="1044"/>
    <w:uiPriority w:val="99"/>
    <w:rPr>
      <w:lang w:val="en-US" w:eastAsia="zh-CN" w:bidi="ar-SA"/>
    </w:rPr>
    <w:tblPr/>
  </w:style>
  <w:style w:type="table" w:styleId="1330">
    <w:name w:val="List Table 7 Colorful - Accent 6"/>
    <w:next w:val="1330"/>
    <w:link w:val="1044"/>
    <w:uiPriority w:val="99"/>
    <w:rPr>
      <w:lang w:val="en-US" w:eastAsia="zh-CN" w:bidi="ar-SA"/>
    </w:rPr>
    <w:tblPr/>
  </w:style>
  <w:style w:type="table" w:styleId="1331">
    <w:name w:val="Lined - Accent"/>
    <w:next w:val="1331"/>
    <w:link w:val="1044"/>
    <w:uiPriority w:val="99"/>
    <w:rPr>
      <w:color w:val="404040"/>
      <w:lang w:val="en-US" w:eastAsia="zh-CN" w:bidi="ar-SA"/>
    </w:rPr>
    <w:tblPr/>
  </w:style>
  <w:style w:type="table" w:styleId="1332">
    <w:name w:val="Lined - Accent 1"/>
    <w:next w:val="1332"/>
    <w:link w:val="1044"/>
    <w:uiPriority w:val="99"/>
    <w:rPr>
      <w:color w:val="404040"/>
      <w:lang w:val="en-US" w:eastAsia="zh-CN" w:bidi="ar-SA"/>
    </w:rPr>
    <w:tblPr/>
  </w:style>
  <w:style w:type="table" w:styleId="1333">
    <w:name w:val="Lined - Accent 2"/>
    <w:next w:val="1333"/>
    <w:link w:val="1044"/>
    <w:uiPriority w:val="99"/>
    <w:rPr>
      <w:color w:val="404040"/>
      <w:lang w:val="en-US" w:eastAsia="zh-CN" w:bidi="ar-SA"/>
    </w:rPr>
    <w:tblPr/>
  </w:style>
  <w:style w:type="table" w:styleId="1334">
    <w:name w:val="Lined - Accent 3"/>
    <w:next w:val="1334"/>
    <w:link w:val="1044"/>
    <w:uiPriority w:val="99"/>
    <w:rPr>
      <w:color w:val="404040"/>
      <w:lang w:val="en-US" w:eastAsia="zh-CN" w:bidi="ar-SA"/>
    </w:rPr>
    <w:tblPr/>
  </w:style>
  <w:style w:type="table" w:styleId="1335">
    <w:name w:val="Lined - Accent 4"/>
    <w:next w:val="1335"/>
    <w:link w:val="1044"/>
    <w:uiPriority w:val="99"/>
    <w:rPr>
      <w:color w:val="404040"/>
      <w:lang w:val="en-US" w:eastAsia="zh-CN" w:bidi="ar-SA"/>
    </w:rPr>
    <w:tblPr/>
  </w:style>
  <w:style w:type="table" w:styleId="1336">
    <w:name w:val="Lined - Accent 5"/>
    <w:next w:val="1336"/>
    <w:link w:val="1044"/>
    <w:uiPriority w:val="99"/>
    <w:rPr>
      <w:color w:val="404040"/>
      <w:lang w:val="en-US" w:eastAsia="zh-CN" w:bidi="ar-SA"/>
    </w:rPr>
    <w:tblPr/>
  </w:style>
  <w:style w:type="table" w:styleId="1337">
    <w:name w:val="Lined - Accent 6"/>
    <w:next w:val="1337"/>
    <w:link w:val="1044"/>
    <w:uiPriority w:val="99"/>
    <w:rPr>
      <w:color w:val="404040"/>
      <w:lang w:val="en-US" w:eastAsia="zh-CN" w:bidi="ar-SA"/>
    </w:rPr>
    <w:tblPr/>
  </w:style>
  <w:style w:type="table" w:styleId="1338">
    <w:name w:val="Bordered &amp; Lined - Accent"/>
    <w:next w:val="1338"/>
    <w:link w:val="1044"/>
    <w:uiPriority w:val="99"/>
    <w:rPr>
      <w:color w:val="404040"/>
      <w:lang w:val="en-US" w:eastAsia="zh-CN" w:bidi="ar-SA"/>
    </w:rPr>
    <w:tblPr/>
  </w:style>
  <w:style w:type="table" w:styleId="1339">
    <w:name w:val="Bordered &amp; Lined - Accent 1"/>
    <w:next w:val="1339"/>
    <w:link w:val="1044"/>
    <w:uiPriority w:val="99"/>
    <w:rPr>
      <w:color w:val="404040"/>
      <w:lang w:val="en-US" w:eastAsia="zh-CN" w:bidi="ar-SA"/>
    </w:rPr>
    <w:tblPr/>
  </w:style>
  <w:style w:type="table" w:styleId="1340">
    <w:name w:val="Bordered &amp; Lined - Accent 2"/>
    <w:next w:val="1340"/>
    <w:link w:val="1044"/>
    <w:uiPriority w:val="99"/>
    <w:rPr>
      <w:color w:val="404040"/>
      <w:lang w:val="en-US" w:eastAsia="zh-CN" w:bidi="ar-SA"/>
    </w:rPr>
    <w:tblPr/>
  </w:style>
  <w:style w:type="table" w:styleId="1341">
    <w:name w:val="Bordered &amp; Lined - Accent 3"/>
    <w:next w:val="1341"/>
    <w:link w:val="1044"/>
    <w:uiPriority w:val="99"/>
    <w:rPr>
      <w:color w:val="404040"/>
      <w:lang w:val="en-US" w:eastAsia="zh-CN" w:bidi="ar-SA"/>
    </w:rPr>
    <w:tblPr/>
  </w:style>
  <w:style w:type="table" w:styleId="1342">
    <w:name w:val="Bordered &amp; Lined - Accent 4"/>
    <w:next w:val="1342"/>
    <w:link w:val="1044"/>
    <w:uiPriority w:val="99"/>
    <w:rPr>
      <w:color w:val="404040"/>
      <w:lang w:val="en-US" w:eastAsia="zh-CN" w:bidi="ar-SA"/>
    </w:rPr>
    <w:tblPr/>
  </w:style>
  <w:style w:type="table" w:styleId="1343">
    <w:name w:val="Bordered &amp; Lined - Accent 5"/>
    <w:next w:val="1343"/>
    <w:link w:val="1044"/>
    <w:uiPriority w:val="99"/>
    <w:rPr>
      <w:color w:val="404040"/>
      <w:lang w:val="en-US" w:eastAsia="zh-CN" w:bidi="ar-SA"/>
    </w:rPr>
    <w:tblPr/>
  </w:style>
  <w:style w:type="table" w:styleId="1344">
    <w:name w:val="Bordered &amp; Lined - Accent 6"/>
    <w:next w:val="1344"/>
    <w:link w:val="1044"/>
    <w:uiPriority w:val="99"/>
    <w:rPr>
      <w:color w:val="404040"/>
      <w:lang w:val="en-US" w:eastAsia="zh-CN" w:bidi="ar-SA"/>
    </w:rPr>
    <w:tblPr/>
  </w:style>
  <w:style w:type="table" w:styleId="1345">
    <w:name w:val="Bordered"/>
    <w:next w:val="1345"/>
    <w:link w:val="1044"/>
    <w:uiPriority w:val="99"/>
    <w:rPr>
      <w:lang w:val="en-US" w:eastAsia="zh-CN" w:bidi="ar-SA"/>
    </w:rPr>
    <w:tblPr/>
  </w:style>
  <w:style w:type="table" w:styleId="1346">
    <w:name w:val="Bordered - Accent 1"/>
    <w:next w:val="1346"/>
    <w:link w:val="1044"/>
    <w:uiPriority w:val="99"/>
    <w:rPr>
      <w:lang w:val="en-US" w:eastAsia="zh-CN" w:bidi="ar-SA"/>
    </w:rPr>
    <w:tblPr/>
  </w:style>
  <w:style w:type="table" w:styleId="1347">
    <w:name w:val="Bordered - Accent 2"/>
    <w:next w:val="1347"/>
    <w:link w:val="1044"/>
    <w:uiPriority w:val="99"/>
    <w:rPr>
      <w:lang w:val="en-US" w:eastAsia="zh-CN" w:bidi="ar-SA"/>
    </w:rPr>
    <w:tblPr/>
  </w:style>
  <w:style w:type="table" w:styleId="1348">
    <w:name w:val="Bordered - Accent 3"/>
    <w:next w:val="1348"/>
    <w:link w:val="1044"/>
    <w:uiPriority w:val="99"/>
    <w:rPr>
      <w:lang w:val="en-US" w:eastAsia="zh-CN" w:bidi="ar-SA"/>
    </w:rPr>
    <w:tblPr/>
  </w:style>
  <w:style w:type="table" w:styleId="1349">
    <w:name w:val="Bordered - Accent 4"/>
    <w:next w:val="1349"/>
    <w:link w:val="1044"/>
    <w:uiPriority w:val="99"/>
    <w:rPr>
      <w:lang w:val="en-US" w:eastAsia="zh-CN" w:bidi="ar-SA"/>
    </w:rPr>
    <w:tblPr/>
  </w:style>
  <w:style w:type="table" w:styleId="1350">
    <w:name w:val="Bordered - Accent 5"/>
    <w:next w:val="1350"/>
    <w:link w:val="1044"/>
    <w:uiPriority w:val="99"/>
    <w:rPr>
      <w:lang w:val="en-US" w:eastAsia="zh-CN" w:bidi="ar-SA"/>
    </w:rPr>
    <w:tblPr/>
  </w:style>
  <w:style w:type="table" w:styleId="1351">
    <w:name w:val="Bordered - Accent 6"/>
    <w:next w:val="1351"/>
    <w:link w:val="1044"/>
    <w:uiPriority w:val="99"/>
    <w:rPr>
      <w:lang w:val="en-US" w:eastAsia="zh-CN" w:bidi="ar-SA"/>
    </w:rPr>
    <w:tblPr/>
  </w:style>
  <w:style w:type="paragraph" w:styleId="1352">
    <w:name w:val="TOC 标题"/>
    <w:basedOn w:val="1045"/>
    <w:next w:val="1044"/>
    <w:link w:val="1044"/>
    <w:qFormat/>
    <w:pPr>
      <w:spacing w:before="480" w:after="0" w:line="276" w:lineRule="auto"/>
      <w:widowControl/>
      <w:outlineLvl w:val="9"/>
    </w:pPr>
    <w:rPr>
      <w:rFonts w:ascii="Cambria" w:hAnsi="Cambria"/>
      <w:b w:val="0"/>
      <w:bCs w:val="0"/>
      <w:color w:val="365f91"/>
      <w:sz w:val="28"/>
      <w:szCs w:val="20"/>
      <w:lang w:val="en-US" w:eastAsia="zh-CN"/>
    </w:rPr>
  </w:style>
  <w:style w:type="character" w:styleId="1353">
    <w:name w:val="正文文本 字符"/>
    <w:next w:val="1353"/>
    <w:link w:val="1044"/>
    <w:uiPriority w:val="99"/>
    <w:rPr>
      <w:rFonts w:ascii="Times New Roman" w:hAnsi="Times New Roman" w:eastAsia="宋体" w:cs="Times New Roman"/>
      <w:szCs w:val="24"/>
    </w:rPr>
  </w:style>
  <w:style w:type="character" w:styleId="1354">
    <w:name w:val="标题 2 字符"/>
    <w:next w:val="1354"/>
    <w:link w:val="1044"/>
    <w:uiPriority w:val="9"/>
    <w:rPr>
      <w:rFonts w:ascii="Arial" w:hAnsi="Arial" w:eastAsia="黑体" w:cs="Times New Roman"/>
      <w:b/>
      <w:bCs/>
      <w:sz w:val="32"/>
      <w:szCs w:val="32"/>
    </w:rPr>
  </w:style>
  <w:style w:type="character" w:styleId="1355">
    <w:name w:val="标题 3 字符"/>
    <w:next w:val="1355"/>
    <w:link w:val="1044"/>
    <w:uiPriority w:val="9"/>
    <w:rPr>
      <w:rFonts w:ascii="Times New Roman" w:hAnsi="Times New Roman" w:eastAsia="宋体" w:cs="Times New Roman"/>
      <w:b/>
      <w:bCs/>
      <w:sz w:val="32"/>
      <w:szCs w:val="32"/>
    </w:rPr>
  </w:style>
  <w:style w:type="character" w:styleId="1356">
    <w:name w:val="标题 4 字符"/>
    <w:next w:val="1356"/>
    <w:link w:val="1044"/>
    <w:uiPriority w:val="9"/>
    <w:rPr>
      <w:rFonts w:ascii="Times New Roman" w:hAnsi="Times New Roman" w:eastAsia="宋体" w:cs="Times New Roman"/>
      <w:b/>
      <w:bCs/>
      <w:sz w:val="28"/>
      <w:szCs w:val="28"/>
    </w:rPr>
  </w:style>
  <w:style w:type="character" w:styleId="1357">
    <w:name w:val="标题 5 字符"/>
    <w:next w:val="1357"/>
    <w:link w:val="1044"/>
    <w:uiPriority w:val="9"/>
    <w:rPr>
      <w:rFonts w:ascii="Times New Roman" w:hAnsi="Times New Roman" w:eastAsia="宋体" w:cs="Times New Roman"/>
      <w:b/>
      <w:bCs/>
      <w:sz w:val="28"/>
      <w:szCs w:val="28"/>
    </w:rPr>
  </w:style>
  <w:style w:type="character" w:styleId="1358">
    <w:name w:val="文档结构图 字符"/>
    <w:next w:val="1358"/>
    <w:link w:val="1044"/>
    <w:uiPriority w:val="99"/>
    <w:rPr>
      <w:rFonts w:ascii="宋体" w:hAnsi="Calibri" w:eastAsia="宋体" w:cs="Times New Roman"/>
      <w:sz w:val="18"/>
      <w:szCs w:val="18"/>
    </w:rPr>
  </w:style>
  <w:style w:type="character" w:styleId="1359">
    <w:name w:val="批注文字 字符"/>
    <w:next w:val="1359"/>
    <w:link w:val="1044"/>
    <w:uiPriority w:val="99"/>
    <w:rPr>
      <w:rFonts w:ascii="Tahoma" w:hAnsi="Tahoma" w:eastAsia="宋体" w:cs="Times New Roman"/>
      <w:szCs w:val="24"/>
    </w:rPr>
  </w:style>
  <w:style w:type="character" w:styleId="1360">
    <w:name w:val="正文文本缩进 字符"/>
    <w:next w:val="1360"/>
    <w:link w:val="1044"/>
    <w:rPr>
      <w:rFonts w:ascii="Times New Roman" w:hAnsi="Times New Roman" w:eastAsia="宋体" w:cs="Times New Roman"/>
      <w:szCs w:val="24"/>
    </w:rPr>
  </w:style>
  <w:style w:type="character" w:styleId="1361">
    <w:name w:val="日期 字符"/>
    <w:next w:val="1361"/>
    <w:link w:val="1044"/>
    <w:uiPriority w:val="99"/>
    <w:rPr>
      <w:rFonts w:ascii="宋体" w:hAnsi="宋体" w:eastAsia="楷体_GB2312" w:cs="Times New Roman"/>
      <w:sz w:val="24"/>
      <w:szCs w:val="24"/>
    </w:rPr>
  </w:style>
  <w:style w:type="character" w:styleId="1362">
    <w:name w:val="正文文本缩进 2 字符"/>
    <w:next w:val="1362"/>
    <w:link w:val="1044"/>
    <w:uiPriority w:val="99"/>
    <w:rPr>
      <w:rFonts w:ascii="Calibri" w:hAnsi="Calibri" w:eastAsia="宋体" w:cs="Times New Roman"/>
      <w:sz w:val="24"/>
      <w:szCs w:val="24"/>
    </w:rPr>
  </w:style>
  <w:style w:type="character" w:styleId="1363">
    <w:name w:val="批注框文本 字符"/>
    <w:next w:val="1363"/>
    <w:link w:val="1044"/>
    <w:uiPriority w:val="99"/>
    <w:rPr>
      <w:rFonts w:ascii="Calibri" w:hAnsi="Calibri" w:eastAsia="楷体_GB2312" w:cs="Times New Roman"/>
      <w:sz w:val="18"/>
      <w:szCs w:val="18"/>
    </w:rPr>
  </w:style>
  <w:style w:type="character" w:styleId="1364">
    <w:name w:val="页脚 字符"/>
    <w:next w:val="1364"/>
    <w:link w:val="1044"/>
    <w:uiPriority w:val="99"/>
    <w:rPr>
      <w:rFonts w:ascii="Times New Roman" w:hAnsi="Times New Roman" w:eastAsia="宋体" w:cs="Times New Roman"/>
      <w:sz w:val="18"/>
      <w:szCs w:val="18"/>
    </w:rPr>
  </w:style>
  <w:style w:type="character" w:styleId="1365">
    <w:name w:val="页眉 字符"/>
    <w:next w:val="1365"/>
    <w:link w:val="1044"/>
    <w:uiPriority w:val="99"/>
    <w:rPr>
      <w:sz w:val="18"/>
    </w:rPr>
  </w:style>
  <w:style w:type="character" w:styleId="1366">
    <w:name w:val="副标题 字符"/>
    <w:next w:val="1366"/>
    <w:link w:val="1044"/>
    <w:uiPriority w:val="11"/>
    <w:rPr>
      <w:rFonts w:ascii="Cambria" w:hAnsi="Cambria" w:eastAsia="宋体" w:cs="Times New Roman"/>
      <w:b/>
      <w:bCs/>
      <w:sz w:val="32"/>
      <w:szCs w:val="32"/>
    </w:rPr>
  </w:style>
  <w:style w:type="character" w:styleId="1367">
    <w:name w:val="正文文本缩进 3 字符"/>
    <w:next w:val="1367"/>
    <w:link w:val="1044"/>
    <w:uiPriority w:val="99"/>
    <w:rPr>
      <w:rFonts w:ascii="Calibri" w:hAnsi="Calibri" w:eastAsia="宋体" w:cs="Times New Roman"/>
      <w:sz w:val="16"/>
      <w:szCs w:val="16"/>
    </w:rPr>
  </w:style>
  <w:style w:type="character" w:styleId="1368">
    <w:name w:val="标题 字符"/>
    <w:next w:val="1368"/>
    <w:link w:val="1044"/>
    <w:uiPriority w:val="10"/>
    <w:rPr>
      <w:rFonts w:ascii="Cambria" w:hAnsi="Cambria" w:eastAsia="宋体" w:cs="Times New Roman"/>
      <w:b/>
      <w:bCs/>
      <w:sz w:val="32"/>
      <w:szCs w:val="32"/>
    </w:rPr>
  </w:style>
  <w:style w:type="character" w:styleId="1369">
    <w:name w:val="批注主题 字符"/>
    <w:next w:val="1369"/>
    <w:link w:val="1044"/>
    <w:uiPriority w:val="99"/>
    <w:rPr>
      <w:rFonts w:ascii="Tahoma" w:hAnsi="Tahoma" w:eastAsia="宋体" w:cs="Times New Roman"/>
      <w:b/>
      <w:bCs/>
      <w:szCs w:val="24"/>
    </w:rPr>
  </w:style>
  <w:style w:type="character" w:styleId="1370">
    <w:name w:val="正文首行缩进 2 字符"/>
    <w:next w:val="1370"/>
    <w:link w:val="1044"/>
    <w:uiPriority w:val="99"/>
    <w:rPr>
      <w:rFonts w:ascii="Calibri" w:hAnsi="Calibri" w:eastAsia="宋体" w:cs="Times New Roman"/>
      <w:szCs w:val="24"/>
    </w:rPr>
  </w:style>
  <w:style w:type="paragraph" w:styleId="1371">
    <w:name w:val="PlainText1"/>
    <w:basedOn w:val="1044"/>
    <w:next w:val="1371"/>
    <w:link w:val="1044"/>
    <w:qFormat/>
    <w:pPr>
      <w:jc w:val="left"/>
      <w:widowControl/>
    </w:pPr>
    <w:rPr>
      <w:rFonts w:ascii="宋体" w:hAnsi="Courier New" w:eastAsia="楷体_GB2312"/>
      <w:sz w:val="26"/>
      <w:szCs w:val="24"/>
    </w:rPr>
  </w:style>
  <w:style w:type="paragraph" w:styleId="1372">
    <w:name w:val="UserStyle_107"/>
    <w:basedOn w:val="1044"/>
    <w:next w:val="1372"/>
    <w:link w:val="1044"/>
    <w:qFormat/>
    <w:pPr>
      <w:ind w:firstLine="360"/>
      <w:jc w:val="left"/>
      <w:widowControl/>
    </w:pPr>
    <w:rPr>
      <w:rFonts w:ascii="宋体" w:hAnsi="Courier New" w:eastAsia="楷体_GB2312"/>
      <w:sz w:val="26"/>
      <w:szCs w:val="20"/>
      <w:lang w:eastAsia="en-US" w:bidi="en-US"/>
    </w:rPr>
  </w:style>
  <w:style w:type="paragraph" w:styleId="1373">
    <w:name w:val="NormalIndent1"/>
    <w:basedOn w:val="1044"/>
    <w:next w:val="1373"/>
    <w:link w:val="1044"/>
    <w:qFormat/>
    <w:pPr>
      <w:ind w:firstLine="420"/>
      <w:jc w:val="left"/>
      <w:widowControl/>
    </w:pPr>
    <w:rPr>
      <w:rFonts w:ascii="Times New Roman" w:hAnsi="Times New Roman" w:eastAsia="楷体_GB2312"/>
      <w:sz w:val="24"/>
      <w:szCs w:val="20"/>
    </w:rPr>
  </w:style>
  <w:style w:type="paragraph" w:styleId="1374">
    <w:name w:val="Heading41"/>
    <w:basedOn w:val="1044"/>
    <w:next w:val="1044"/>
    <w:link w:val="1044"/>
    <w:qFormat/>
    <w:pPr>
      <w:keepNext/>
      <w:spacing w:before="240" w:after="60"/>
    </w:pPr>
    <w:rPr>
      <w:rFonts w:ascii="Times New Roman" w:hAnsi="Times New Roman"/>
      <w:sz w:val="28"/>
      <w:szCs w:val="28"/>
    </w:rPr>
  </w:style>
  <w:style w:type="paragraph" w:styleId="1375">
    <w:name w:val="UserStyle_314"/>
    <w:next w:val="1375"/>
    <w:link w:val="1044"/>
    <w:pPr>
      <w:jc w:val="both"/>
    </w:pPr>
    <w:rPr>
      <w:sz w:val="21"/>
      <w:szCs w:val="22"/>
      <w:lang w:val="en-US" w:eastAsia="zh-CN" w:bidi="ar-SA"/>
    </w:rPr>
  </w:style>
  <w:style w:type="character" w:styleId="1376">
    <w:name w:val="正文缩进 Char1"/>
    <w:next w:val="1376"/>
    <w:link w:val="1044"/>
    <w:rPr>
      <w:rFonts w:ascii="Calibri" w:hAnsi="Calibri" w:eastAsia="楷体_GB2312" w:cs="Times New Roman"/>
      <w:sz w:val="24"/>
      <w:szCs w:val="20"/>
    </w:rPr>
  </w:style>
  <w:style w:type="character" w:styleId="1377">
    <w:name w:val="副标题 Char1"/>
    <w:next w:val="1377"/>
    <w:link w:val="1044"/>
    <w:uiPriority w:val="11"/>
    <w:rPr>
      <w:rFonts w:ascii="Cambria" w:hAnsi="Cambria" w:eastAsia="宋体" w:cs="Times New Roman"/>
      <w:b/>
      <w:bCs/>
      <w:sz w:val="32"/>
      <w:szCs w:val="32"/>
    </w:rPr>
  </w:style>
  <w:style w:type="character" w:styleId="1378">
    <w:name w:val="Char Char3"/>
    <w:next w:val="1378"/>
    <w:link w:val="1044"/>
    <w:rPr>
      <w:rFonts w:ascii="Calibri" w:hAnsi="Calibri" w:eastAsia="楷体_GB2312" w:cs="Times New Roman"/>
      <w:sz w:val="24"/>
      <w:lang w:val="en-US" w:eastAsia="zh-CN" w:bidi="ar-SA"/>
    </w:rPr>
  </w:style>
  <w:style w:type="character" w:styleId="1379">
    <w:name w:val="Heading 5 Char"/>
    <w:next w:val="1379"/>
    <w:link w:val="1044"/>
    <w:rPr>
      <w:rFonts w:ascii="Calibri" w:hAnsi="Calibri" w:eastAsia="宋体" w:cs="Times New Roman"/>
      <w:b/>
      <w:bCs/>
      <w:sz w:val="28"/>
      <w:szCs w:val="28"/>
      <w:lang w:val="en-US" w:eastAsia="zh-CN" w:bidi="ar-SA"/>
    </w:rPr>
  </w:style>
  <w:style w:type="character" w:styleId="1380">
    <w:name w:val="Balloon Text Char"/>
    <w:next w:val="1380"/>
    <w:link w:val="1044"/>
    <w:rPr>
      <w:rFonts w:ascii="Calibri" w:hAnsi="Calibri" w:eastAsia="宋体" w:cs="Times New Roman"/>
      <w:sz w:val="18"/>
      <w:lang w:bidi="ar-SA"/>
    </w:rPr>
  </w:style>
  <w:style w:type="character" w:styleId="1381">
    <w:name w:val="正文文本缩进 2 Char1"/>
    <w:next w:val="1381"/>
    <w:link w:val="1044"/>
    <w:rPr>
      <w:rFonts w:ascii="Calibri" w:hAnsi="Calibri" w:eastAsia="宋体" w:cs="Times New Roman"/>
      <w:sz w:val="21"/>
      <w:szCs w:val="24"/>
    </w:rPr>
  </w:style>
  <w:style w:type="character" w:styleId="1382">
    <w:name w:val="Char Char1"/>
    <w:next w:val="1382"/>
    <w:link w:val="1044"/>
    <w:rPr>
      <w:rFonts w:ascii="宋体" w:hAnsi="Courier New" w:eastAsia="楷体_GB2312" w:cs="Times New Roman"/>
      <w:sz w:val="28"/>
      <w:szCs w:val="24"/>
      <w:lang w:val="en-US" w:eastAsia="zh-CN" w:bidi="ar-SA"/>
    </w:rPr>
  </w:style>
  <w:style w:type="character" w:styleId="1383">
    <w:name w:val="HTML Markup"/>
    <w:next w:val="1383"/>
    <w:link w:val="1044"/>
    <w:rPr>
      <w:rFonts w:ascii="Calibri" w:hAnsi="Calibri" w:eastAsia="宋体" w:cs="Times New Roman"/>
      <w:vanish/>
      <w:color w:val="ff0000"/>
    </w:rPr>
  </w:style>
  <w:style w:type="character" w:styleId="1384">
    <w:name w:val="Definition"/>
    <w:next w:val="1384"/>
    <w:link w:val="1044"/>
    <w:rPr>
      <w:rFonts w:ascii="Calibri" w:hAnsi="Calibri" w:eastAsia="宋体" w:cs="Times New Roman"/>
      <w:i/>
    </w:rPr>
  </w:style>
  <w:style w:type="character" w:styleId="1385">
    <w:name w:val="不明显强调"/>
    <w:next w:val="1385"/>
    <w:link w:val="1044"/>
    <w:qFormat/>
    <w:rPr>
      <w:rFonts w:ascii="Calibri" w:hAnsi="Calibri" w:eastAsia="宋体" w:cs="Times New Roman"/>
      <w:i/>
      <w:iCs/>
      <w:color w:val="808080"/>
    </w:rPr>
  </w:style>
  <w:style w:type="character" w:styleId="1386">
    <w:name w:val="Char Char22"/>
    <w:next w:val="1386"/>
    <w:link w:val="1044"/>
    <w:rPr>
      <w:rFonts w:ascii="Times New Roman" w:hAnsi="Times New Roman" w:eastAsia="宋体" w:cs="Times New Roman"/>
      <w:b/>
      <w:bCs/>
      <w:sz w:val="32"/>
      <w:szCs w:val="44"/>
    </w:rPr>
  </w:style>
  <w:style w:type="character" w:styleId="1387">
    <w:name w:val="标题 2 Char1"/>
    <w:next w:val="1387"/>
    <w:link w:val="1044"/>
    <w:rPr>
      <w:rFonts w:ascii="Arial" w:hAnsi="Arial" w:eastAsia="黑体" w:cs="Calibri"/>
      <w:b/>
      <w:sz w:val="32"/>
      <w:szCs w:val="20"/>
    </w:rPr>
  </w:style>
  <w:style w:type="character" w:styleId="1388">
    <w:name w:val="A8"/>
    <w:next w:val="1388"/>
    <w:link w:val="1044"/>
    <w:rPr>
      <w:rFonts w:ascii="华文细黑." w:hAnsi="Calibri" w:eastAsia="华文细黑." w:cs="华文细黑."/>
      <w:color w:val="000000"/>
      <w:sz w:val="14"/>
      <w:szCs w:val="14"/>
    </w:rPr>
  </w:style>
  <w:style w:type="character" w:styleId="1389">
    <w:name w:val="Title Char"/>
    <w:next w:val="1389"/>
    <w:link w:val="1044"/>
    <w:rPr>
      <w:rFonts w:ascii="Cambria" w:hAnsi="Cambria" w:eastAsia="宋体" w:cs="Times New Roman"/>
      <w:b/>
      <w:sz w:val="32"/>
      <w:lang w:bidi="ar-SA"/>
    </w:rPr>
  </w:style>
  <w:style w:type="character" w:styleId="1390">
    <w:name w:val="CITE"/>
    <w:next w:val="1390"/>
    <w:link w:val="1044"/>
    <w:rPr>
      <w:rFonts w:ascii="Calibri" w:hAnsi="Calibri" w:eastAsia="宋体" w:cs="Times New Roman"/>
      <w:i/>
    </w:rPr>
  </w:style>
  <w:style w:type="character" w:styleId="1391">
    <w:name w:val="标题5 Char Char"/>
    <w:next w:val="1391"/>
    <w:link w:val="1392"/>
    <w:rPr>
      <w:rFonts w:ascii="Arial" w:hAnsi="Arial" w:cs="Arial"/>
      <w:sz w:val="24"/>
    </w:rPr>
  </w:style>
  <w:style w:type="paragraph" w:styleId="1392">
    <w:name w:val="标题5"/>
    <w:basedOn w:val="1047"/>
    <w:next w:val="1392"/>
    <w:link w:val="1391"/>
    <w:pPr>
      <w:jc w:val="both"/>
      <w:keepLines/>
      <w:keepNext/>
      <w:spacing w:before="260" w:after="260" w:line="412" w:lineRule="auto"/>
    </w:pPr>
    <w:rPr>
      <w:rFonts w:ascii="Arial" w:hAnsi="Arial" w:cs="Arial"/>
      <w:b w:val="0"/>
      <w:sz w:val="24"/>
      <w:szCs w:val="20"/>
      <w:lang w:val="en-US" w:eastAsia="zh-CN"/>
    </w:rPr>
  </w:style>
  <w:style w:type="character" w:styleId="1393">
    <w:name w:val="标题 2 Char_1"/>
    <w:next w:val="1393"/>
    <w:link w:val="1394"/>
    <w:rPr>
      <w:rFonts w:ascii="黑体" w:hAnsi="宋体" w:eastAsia="黑体"/>
      <w:sz w:val="30"/>
      <w:szCs w:val="30"/>
    </w:rPr>
  </w:style>
  <w:style w:type="paragraph" w:styleId="1394">
    <w:name w:val="标题 2_1"/>
    <w:basedOn w:val="1395"/>
    <w:next w:val="1396"/>
    <w:link w:val="1393"/>
    <w:unhideWhenUsed/>
    <w:pPr>
      <w:keepLines/>
      <w:keepNext/>
      <w:spacing w:before="120" w:after="120" w:line="360" w:lineRule="auto"/>
      <w:outlineLvl w:val="1"/>
    </w:pPr>
    <w:rPr>
      <w:rFonts w:ascii="黑体" w:hAnsi="宋体" w:eastAsia="黑体"/>
      <w:b w:val="0"/>
      <w:bCs w:val="0"/>
      <w:sz w:val="30"/>
      <w:szCs w:val="30"/>
    </w:rPr>
  </w:style>
  <w:style w:type="paragraph" w:styleId="1395">
    <w:name w:val="标题_1"/>
    <w:basedOn w:val="1396"/>
    <w:next w:val="1396"/>
    <w:link w:val="1397"/>
    <w:qFormat/>
    <w:pPr>
      <w:jc w:val="center"/>
      <w:spacing w:before="240" w:after="60"/>
      <w:outlineLvl w:val="0"/>
    </w:pPr>
    <w:rPr>
      <w:rFonts w:ascii="Cambria" w:hAnsi="Cambria"/>
      <w:b/>
      <w:bCs/>
      <w:sz w:val="32"/>
      <w:szCs w:val="32"/>
    </w:rPr>
  </w:style>
  <w:style w:type="paragraph" w:styleId="1396">
    <w:name w:val="正文_2"/>
    <w:next w:val="1396"/>
    <w:link w:val="1044"/>
    <w:qFormat/>
    <w:pPr>
      <w:jc w:val="both"/>
      <w:widowControl w:val="off"/>
    </w:pPr>
    <w:rPr>
      <w:rFonts w:ascii="Times New Roman" w:hAnsi="Times New Roman"/>
      <w:sz w:val="21"/>
      <w:szCs w:val="22"/>
      <w:lang w:val="en-US" w:eastAsia="zh-CN" w:bidi="ar-SA"/>
    </w:rPr>
  </w:style>
  <w:style w:type="character" w:styleId="1397">
    <w:name w:val="标题 Char_1"/>
    <w:next w:val="1397"/>
    <w:link w:val="1395"/>
    <w:rPr>
      <w:rFonts w:ascii="Cambria" w:hAnsi="Cambria"/>
      <w:b/>
      <w:bCs/>
      <w:sz w:val="32"/>
      <w:szCs w:val="32"/>
    </w:rPr>
  </w:style>
  <w:style w:type="character" w:styleId="1398">
    <w:name w:val="style21"/>
    <w:next w:val="1398"/>
    <w:link w:val="1044"/>
    <w:rPr>
      <w:rFonts w:ascii="Tahoma" w:hAnsi="Tahoma" w:eastAsia="宋体" w:cs="Times New Roman"/>
      <w:color w:val="2e65b5"/>
      <w:sz w:val="24"/>
      <w:szCs w:val="24"/>
      <w:lang w:val="en-US" w:eastAsia="zh-CN" w:bidi="ar-SA"/>
    </w:rPr>
  </w:style>
  <w:style w:type="character" w:styleId="1399">
    <w:name w:val="Comment Text Char"/>
    <w:next w:val="1399"/>
    <w:link w:val="1044"/>
    <w:rPr>
      <w:rFonts w:ascii="Calibri" w:hAnsi="Calibri" w:eastAsia="宋体" w:cs="Times New Roman"/>
      <w:sz w:val="24"/>
      <w:szCs w:val="24"/>
    </w:rPr>
  </w:style>
  <w:style w:type="character" w:styleId="1400">
    <w:name w:val="文档结构图 Char1"/>
    <w:next w:val="1400"/>
    <w:link w:val="1044"/>
    <w:rPr>
      <w:rFonts w:hint="eastAsia" w:ascii="宋体" w:hAnsi="宋体" w:eastAsia="宋体" w:cs="Times New Roman"/>
      <w:sz w:val="18"/>
      <w:szCs w:val="18"/>
    </w:rPr>
  </w:style>
  <w:style w:type="character" w:styleId="1401">
    <w:name w:val="Char Char9"/>
    <w:next w:val="1401"/>
    <w:link w:val="1044"/>
    <w:rPr>
      <w:rFonts w:ascii="Calibri" w:hAnsi="Calibri" w:eastAsia="宋体" w:cs="Times New Roman"/>
      <w:b/>
      <w:bCs/>
      <w:sz w:val="32"/>
      <w:szCs w:val="44"/>
      <w:lang w:val="en-US" w:eastAsia="zh-CN" w:bidi="ar-SA"/>
    </w:rPr>
  </w:style>
  <w:style w:type="character" w:styleId="1402">
    <w:name w:val="Char Char18"/>
    <w:next w:val="1402"/>
    <w:link w:val="1044"/>
    <w:rPr>
      <w:rFonts w:ascii="Cambria" w:hAnsi="Cambria" w:eastAsia="宋体" w:cs="Times New Roman"/>
      <w:b/>
      <w:bCs/>
      <w:sz w:val="32"/>
      <w:szCs w:val="32"/>
      <w:lang w:val="en-US" w:eastAsia="zh-CN" w:bidi="ar-SA"/>
    </w:rPr>
  </w:style>
  <w:style w:type="character" w:styleId="1403">
    <w:name w:val="Char Char10"/>
    <w:next w:val="1403"/>
    <w:link w:val="1044"/>
    <w:rPr>
      <w:rFonts w:ascii="Times New Roman" w:hAnsi="Times New Roman" w:eastAsia="宋体" w:cs="Times New Roman"/>
      <w:b/>
      <w:bCs/>
      <w:sz w:val="28"/>
      <w:szCs w:val="28"/>
    </w:rPr>
  </w:style>
  <w:style w:type="character" w:styleId="1404">
    <w:name w:val="纯文本 字符"/>
    <w:next w:val="1404"/>
    <w:link w:val="1044"/>
    <w:rPr>
      <w:rFonts w:ascii="宋体" w:hAnsi="Courier New" w:eastAsia="楷体_GB2312"/>
      <w:sz w:val="26"/>
    </w:rPr>
  </w:style>
  <w:style w:type="character" w:styleId="1405">
    <w:name w:val="apple-style-span"/>
    <w:next w:val="1405"/>
    <w:link w:val="1044"/>
    <w:rPr>
      <w:rFonts w:ascii="Tahoma" w:hAnsi="Tahoma" w:eastAsia="宋体" w:cs="Times New Roman"/>
      <w:sz w:val="24"/>
      <w:szCs w:val="24"/>
      <w:lang w:val="en-US" w:eastAsia="zh-CN" w:bidi="ar-SA"/>
    </w:rPr>
  </w:style>
  <w:style w:type="character" w:styleId="1406">
    <w:name w:val="Char Char19"/>
    <w:next w:val="1406"/>
    <w:link w:val="1044"/>
    <w:rPr>
      <w:rFonts w:ascii="Arial" w:hAnsi="Arial" w:eastAsia="宋体" w:cs="Times New Roman"/>
      <w:b/>
      <w:bCs/>
      <w:szCs w:val="28"/>
    </w:rPr>
  </w:style>
  <w:style w:type="character" w:styleId="1407">
    <w:name w:val="Header Char"/>
    <w:next w:val="1407"/>
    <w:link w:val="1044"/>
    <w:rPr>
      <w:rFonts w:ascii="Calibri" w:hAnsi="Calibri" w:eastAsia="宋体" w:cs="Times New Roman"/>
      <w:sz w:val="18"/>
      <w:szCs w:val="18"/>
      <w:lang w:val="en-US" w:eastAsia="zh-CN" w:bidi="ar-SA"/>
    </w:rPr>
  </w:style>
  <w:style w:type="character" w:styleId="1408">
    <w:name w:val="Variable"/>
    <w:next w:val="1408"/>
    <w:link w:val="1044"/>
    <w:rPr>
      <w:rFonts w:ascii="Calibri" w:hAnsi="Calibri" w:eastAsia="宋体" w:cs="Times New Roman"/>
      <w:i/>
    </w:rPr>
  </w:style>
  <w:style w:type="character" w:styleId="1409">
    <w:name w:val="标题 3 Char1"/>
    <w:next w:val="1409"/>
    <w:link w:val="1044"/>
    <w:rPr>
      <w:rFonts w:ascii="Calibri" w:hAnsi="Calibri" w:eastAsia="宋体" w:cs="Arial"/>
      <w:b/>
      <w:sz w:val="32"/>
      <w:szCs w:val="20"/>
    </w:rPr>
  </w:style>
  <w:style w:type="character" w:styleId="1410">
    <w:name w:val="Char Char4"/>
    <w:next w:val="1410"/>
    <w:link w:val="1044"/>
    <w:rPr>
      <w:rFonts w:ascii="宋体" w:hAnsi="宋体" w:eastAsia="黑体" w:cs="Arial"/>
      <w:b/>
      <w:sz w:val="28"/>
      <w:szCs w:val="32"/>
      <w:lang w:val="en-US" w:eastAsia="zh-CN" w:bidi="ar-SA"/>
    </w:rPr>
  </w:style>
  <w:style w:type="character" w:styleId="1411">
    <w:name w:val="Heading 3 Char1"/>
    <w:next w:val="1411"/>
    <w:link w:val="1044"/>
    <w:rPr>
      <w:rFonts w:ascii="Calibri" w:hAnsi="Calibri" w:eastAsia="宋体" w:cs="Times New Roman"/>
      <w:b/>
      <w:bCs/>
      <w:sz w:val="24"/>
      <w:szCs w:val="32"/>
      <w:lang w:val="en-US" w:eastAsia="zh-CN" w:bidi="ar-SA"/>
    </w:rPr>
  </w:style>
  <w:style w:type="character" w:styleId="1412">
    <w:name w:val="正文文本缩进 Char1,正文小标题 Char1,正文文字4 Char1"/>
    <w:next w:val="1412"/>
    <w:link w:val="1044"/>
    <w:rPr>
      <w:rFonts w:ascii="宋体" w:hAnsi="Tahoma" w:eastAsia="宋体" w:cs="Times New Roman"/>
      <w:sz w:val="24"/>
      <w:szCs w:val="24"/>
      <w:lang w:val="en-US" w:eastAsia="zh-CN" w:bidi="ar-SA"/>
    </w:rPr>
  </w:style>
  <w:style w:type="character" w:styleId="1413">
    <w:name w:val="超链接_0"/>
    <w:next w:val="1413"/>
    <w:link w:val="1044"/>
    <w:uiPriority w:val="99"/>
    <w:rPr>
      <w:rFonts w:ascii="Calibri" w:hAnsi="Calibri" w:eastAsia="宋体" w:cs="Times New Roman"/>
      <w:color w:val="0000ff"/>
      <w:u w:val="single"/>
    </w:rPr>
  </w:style>
  <w:style w:type="character" w:styleId="1414">
    <w:name w:val="Document Map Char"/>
    <w:next w:val="1414"/>
    <w:link w:val="1044"/>
    <w:rPr>
      <w:rFonts w:ascii="Calibri" w:hAnsi="Calibri" w:eastAsia="宋体" w:cs="Times New Roman"/>
      <w:sz w:val="21"/>
      <w:szCs w:val="24"/>
      <w:lang w:val="en-US" w:eastAsia="zh-CN" w:bidi="ar-SA"/>
    </w:rPr>
  </w:style>
  <w:style w:type="character" w:styleId="1415">
    <w:name w:val="明显引用 Char2"/>
    <w:next w:val="1415"/>
    <w:link w:val="1044"/>
    <w:uiPriority w:val="30"/>
    <w:rPr>
      <w:rFonts w:ascii="Calibri" w:hAnsi="Calibri" w:eastAsia="宋体" w:cs="Times New Roman"/>
      <w:b/>
      <w:bCs/>
      <w:i/>
      <w:iCs/>
      <w:color w:val="4f81bd"/>
      <w:sz w:val="21"/>
      <w:szCs w:val="24"/>
    </w:rPr>
  </w:style>
  <w:style w:type="character" w:styleId="1416">
    <w:name w:val="ca-0"/>
    <w:next w:val="1416"/>
    <w:link w:val="1044"/>
    <w:rPr>
      <w:rFonts w:ascii="Tahoma" w:hAnsi="Tahoma" w:eastAsia="宋体" w:cs="Times New Roman"/>
      <w:sz w:val="24"/>
      <w:szCs w:val="24"/>
      <w:lang w:val="en-US" w:eastAsia="zh-CN" w:bidi="ar-SA"/>
    </w:rPr>
  </w:style>
  <w:style w:type="character" w:styleId="1417">
    <w:name w:val="Heading 2 Char"/>
    <w:next w:val="1417"/>
    <w:link w:val="1044"/>
    <w:rPr>
      <w:rFonts w:ascii="Arial" w:hAnsi="Arial" w:eastAsia="黑体" w:cs="Times New Roman"/>
      <w:b/>
      <w:bCs/>
      <w:sz w:val="32"/>
      <w:szCs w:val="32"/>
      <w:lang w:val="en-US" w:eastAsia="zh-CN" w:bidi="ar-SA"/>
    </w:rPr>
  </w:style>
  <w:style w:type="character" w:styleId="1418">
    <w:name w:val="Plain Text Char"/>
    <w:next w:val="1418"/>
    <w:link w:val="1044"/>
    <w:rPr>
      <w:rFonts w:ascii="宋体" w:hAnsi="Courier New" w:eastAsia="宋体" w:cs="Times New Roman"/>
      <w:sz w:val="24"/>
      <w:lang w:bidi="ar-SA"/>
    </w:rPr>
  </w:style>
  <w:style w:type="character" w:styleId="1419">
    <w:name w:val="正文文本 Char2"/>
    <w:next w:val="1419"/>
    <w:link w:val="1044"/>
    <w:uiPriority w:val="99"/>
    <w:semiHidden/>
    <w:rPr>
      <w:rFonts w:ascii="Calibri" w:hAnsi="Calibri" w:eastAsia="宋体" w:cs="Times New Roman"/>
    </w:rPr>
  </w:style>
  <w:style w:type="character" w:styleId="1420">
    <w:name w:val="Strong1"/>
    <w:next w:val="1420"/>
    <w:link w:val="1044"/>
    <w:uiPriority w:val="22"/>
    <w:qFormat/>
    <w:rPr>
      <w:rFonts w:ascii="Tahoma" w:hAnsi="Tahoma" w:eastAsia="宋体" w:cs="Times New Roman"/>
      <w:b/>
      <w:bCs/>
      <w:sz w:val="24"/>
      <w:szCs w:val="24"/>
      <w:lang w:val="en-US" w:eastAsia="zh-CN" w:bidi="ar-SA"/>
    </w:rPr>
  </w:style>
  <w:style w:type="character" w:styleId="1421">
    <w:name w:val="Char Char20"/>
    <w:next w:val="1421"/>
    <w:link w:val="1044"/>
    <w:rPr>
      <w:rFonts w:ascii="Times New Roman" w:hAnsi="Times New Roman" w:eastAsia="宋体" w:cs="Times New Roman"/>
      <w:b/>
      <w:bCs/>
      <w:sz w:val="24"/>
      <w:szCs w:val="32"/>
    </w:rPr>
  </w:style>
  <w:style w:type="character" w:styleId="1422">
    <w:name w:val="wen Char1"/>
    <w:next w:val="1422"/>
    <w:link w:val="1423"/>
    <w:rPr>
      <w:rFonts w:ascii="微软雅黑" w:hAnsi="微软雅黑" w:eastAsia="微软雅黑"/>
    </w:rPr>
  </w:style>
  <w:style w:type="paragraph" w:styleId="1423">
    <w:name w:val="wen"/>
    <w:basedOn w:val="1044"/>
    <w:next w:val="1423"/>
    <w:link w:val="1422"/>
    <w:pPr>
      <w:ind w:firstLine="425"/>
      <w:spacing w:line="269" w:lineRule="auto"/>
    </w:pPr>
    <w:rPr>
      <w:rFonts w:ascii="微软雅黑" w:hAnsi="微软雅黑" w:eastAsia="微软雅黑"/>
      <w:sz w:val="20"/>
      <w:szCs w:val="20"/>
    </w:rPr>
  </w:style>
  <w:style w:type="character" w:styleId="1424">
    <w:name w:val="para"/>
    <w:next w:val="1424"/>
    <w:link w:val="1044"/>
    <w:rPr>
      <w:rFonts w:ascii="Tahoma" w:hAnsi="Tahoma" w:eastAsia="宋体" w:cs="Times New Roman"/>
      <w:sz w:val="24"/>
      <w:szCs w:val="24"/>
      <w:lang w:val="en-US" w:eastAsia="zh-CN" w:bidi="ar-SA"/>
    </w:rPr>
  </w:style>
  <w:style w:type="character" w:styleId="1425">
    <w:name w:val="icon-down"/>
    <w:next w:val="1425"/>
    <w:link w:val="1044"/>
    <w:rPr>
      <w:rFonts w:ascii="宋体" w:hAnsi="宋体" w:eastAsia="宋体" w:cs="Times New Roman"/>
      <w:sz w:val="24"/>
      <w:szCs w:val="24"/>
      <w:lang w:val="en-US" w:eastAsia="zh-CN" w:bidi="ar-SA"/>
    </w:rPr>
  </w:style>
  <w:style w:type="character" w:styleId="1426">
    <w:name w:val="样式 标题 3 + (中文) 黑体 小四 非加粗 段前: 7.8 磅 段后: 0 磅 行距: 固定值 20 磅 Char"/>
    <w:next w:val="1426"/>
    <w:link w:val="1044"/>
    <w:rPr>
      <w:rFonts w:ascii="黑体" w:hAnsi="宋体" w:eastAsia="黑体" w:cs="宋体"/>
      <w:b/>
      <w:bCs/>
      <w:sz w:val="24"/>
      <w:lang w:val="en-US" w:eastAsia="zh-CN" w:bidi="ar-SA"/>
    </w:rPr>
  </w:style>
  <w:style w:type="character" w:styleId="1427">
    <w:name w:val="引用 Char2"/>
    <w:next w:val="1427"/>
    <w:link w:val="1044"/>
    <w:uiPriority w:val="29"/>
    <w:rPr>
      <w:rFonts w:ascii="Calibri" w:hAnsi="Calibri" w:eastAsia="宋体" w:cs="Times New Roman"/>
      <w:i/>
      <w:iCs/>
      <w:color w:val="000000"/>
      <w:sz w:val="21"/>
      <w:szCs w:val="24"/>
    </w:rPr>
  </w:style>
  <w:style w:type="character" w:styleId="1428">
    <w:name w:val="标题 Char_0"/>
    <w:next w:val="1428"/>
    <w:link w:val="1429"/>
  </w:style>
  <w:style w:type="paragraph" w:styleId="1429">
    <w:name w:val="标题_0"/>
    <w:basedOn w:val="1044"/>
    <w:next w:val="1429"/>
    <w:link w:val="1428"/>
    <w:qFormat/>
    <w:rPr>
      <w:sz w:val="20"/>
      <w:szCs w:val="20"/>
    </w:rPr>
  </w:style>
  <w:style w:type="character" w:styleId="1430">
    <w:name w:val="z-窗体底端 字符"/>
    <w:next w:val="1430"/>
    <w:link w:val="1431"/>
    <w:rPr>
      <w:rFonts w:ascii="Arial" w:hAnsi="Tahoma"/>
      <w:vanish/>
      <w:sz w:val="16"/>
    </w:rPr>
  </w:style>
  <w:style w:type="paragraph" w:styleId="1431">
    <w:name w:val="z-窗体底端"/>
    <w:basedOn w:val="1044"/>
    <w:next w:val="1044"/>
    <w:link w:val="1430"/>
    <w:unhideWhenUsed/>
    <w:pPr>
      <w:jc w:val="center"/>
      <w:pBdr>
        <w:top w:val="single" w:color="000000" w:sz="6" w:space="1"/>
      </w:pBdr>
    </w:pPr>
    <w:rPr>
      <w:rFonts w:ascii="Arial" w:hAnsi="Tahoma"/>
      <w:vanish/>
      <w:sz w:val="16"/>
      <w:szCs w:val="20"/>
    </w:rPr>
  </w:style>
  <w:style w:type="character" w:styleId="1432">
    <w:name w:val="z-窗体底端 字符1"/>
    <w:next w:val="1432"/>
    <w:link w:val="1044"/>
    <w:uiPriority w:val="99"/>
    <w:semiHidden/>
    <w:rPr>
      <w:rFonts w:ascii="Arial" w:hAnsi="Arial" w:cs="Arial"/>
      <w:vanish/>
      <w:sz w:val="16"/>
      <w:szCs w:val="16"/>
    </w:rPr>
  </w:style>
  <w:style w:type="character" w:styleId="1433">
    <w:name w:val="z-窗体底端 Char1"/>
    <w:next w:val="1433"/>
    <w:link w:val="1044"/>
    <w:uiPriority w:val="99"/>
    <w:semiHidden/>
    <w:rPr>
      <w:rFonts w:ascii="Arial" w:hAnsi="Arial" w:cs="Arial"/>
      <w:vanish/>
      <w:sz w:val="16"/>
      <w:szCs w:val="16"/>
    </w:rPr>
  </w:style>
  <w:style w:type="character" w:styleId="1434">
    <w:name w:val="正文文本 Char1,手改 Char1"/>
    <w:next w:val="1434"/>
    <w:link w:val="1044"/>
    <w:rPr>
      <w:rFonts w:ascii="Calibri" w:hAnsi="Calibri" w:eastAsia="宋体" w:cs="Times New Roman"/>
      <w:sz w:val="21"/>
      <w:szCs w:val="22"/>
    </w:rPr>
  </w:style>
  <w:style w:type="character" w:styleId="1435">
    <w:name w:val="Keyboard"/>
    <w:next w:val="1435"/>
    <w:link w:val="1044"/>
    <w:rPr>
      <w:rFonts w:ascii="Courier New" w:hAnsi="Courier New" w:eastAsia="宋体" w:cs="Times New Roman"/>
      <w:b/>
      <w:sz w:val="20"/>
    </w:rPr>
  </w:style>
  <w:style w:type="character" w:styleId="1436">
    <w:name w:val="Heading 3 Char"/>
    <w:next w:val="1436"/>
    <w:link w:val="1044"/>
    <w:rPr>
      <w:rFonts w:ascii="Calibri" w:hAnsi="Calibri" w:eastAsia="宋体" w:cs="Times New Roman"/>
      <w:b/>
      <w:bCs/>
      <w:sz w:val="32"/>
      <w:szCs w:val="32"/>
    </w:rPr>
  </w:style>
  <w:style w:type="character" w:styleId="1437">
    <w:name w:val="Char Char7"/>
    <w:next w:val="1437"/>
    <w:link w:val="1044"/>
    <w:rPr>
      <w:rFonts w:ascii="Times New Roman" w:hAnsi="Times New Roman" w:eastAsia="宋体" w:cs="Times New Roman"/>
      <w:sz w:val="24"/>
      <w:szCs w:val="24"/>
    </w:rPr>
  </w:style>
  <w:style w:type="character" w:styleId="1438">
    <w:name w:val="正文首行缩进2字 Char"/>
    <w:next w:val="1438"/>
    <w:link w:val="1439"/>
    <w:rPr>
      <w:rFonts w:eastAsia="楷体_GB2312"/>
      <w:sz w:val="24"/>
    </w:rPr>
  </w:style>
  <w:style w:type="paragraph" w:styleId="1439">
    <w:name w:val="正文首行缩进2字"/>
    <w:basedOn w:val="1044"/>
    <w:next w:val="1439"/>
    <w:link w:val="1438"/>
    <w:pPr>
      <w:ind w:firstLine="540"/>
      <w:spacing w:line="288" w:lineRule="auto"/>
    </w:pPr>
    <w:rPr>
      <w:rFonts w:eastAsia="楷体_GB2312"/>
      <w:sz w:val="24"/>
      <w:szCs w:val="20"/>
    </w:rPr>
  </w:style>
  <w:style w:type="character" w:styleId="1440">
    <w:name w:val="04 标题4 Char"/>
    <w:next w:val="1440"/>
    <w:link w:val="1441"/>
    <w:rPr>
      <w:rFonts w:ascii="宋体" w:hAnsi="宋体" w:eastAsia="黑体"/>
      <w:szCs w:val="32"/>
    </w:rPr>
  </w:style>
  <w:style w:type="paragraph" w:styleId="1441">
    <w:name w:val="04 标题4"/>
    <w:basedOn w:val="1044"/>
    <w:next w:val="1441"/>
    <w:link w:val="1440"/>
    <w:qFormat/>
    <w:pPr>
      <w:ind w:firstLine="420"/>
      <w:keepNext/>
      <w:spacing w:after="120" w:line="360" w:lineRule="auto"/>
      <w:widowControl/>
      <w:outlineLvl w:val="3"/>
    </w:pPr>
    <w:rPr>
      <w:rFonts w:ascii="宋体" w:hAnsi="宋体" w:eastAsia="黑体"/>
      <w:sz w:val="20"/>
      <w:szCs w:val="32"/>
    </w:rPr>
  </w:style>
  <w:style w:type="character" w:styleId="1442">
    <w:name w:val="Char Char24"/>
    <w:next w:val="1442"/>
    <w:link w:val="1044"/>
    <w:rPr>
      <w:rFonts w:ascii="Calibri" w:hAnsi="Calibri" w:eastAsia="宋体" w:cs="Times New Roman"/>
      <w:b/>
      <w:bCs/>
      <w:sz w:val="32"/>
      <w:szCs w:val="44"/>
      <w:lang w:val="en-US" w:eastAsia="zh-CN" w:bidi="ar-SA"/>
    </w:rPr>
  </w:style>
  <w:style w:type="character" w:styleId="1443">
    <w:name w:val="textcontents"/>
    <w:next w:val="1443"/>
    <w:link w:val="1044"/>
    <w:rPr>
      <w:rFonts w:ascii="Times New Roman" w:hAnsi="Times New Roman" w:eastAsia="宋体" w:cs="Times New Roman"/>
    </w:rPr>
  </w:style>
  <w:style w:type="character" w:styleId="1444">
    <w:name w:val="CODE"/>
    <w:next w:val="1444"/>
    <w:link w:val="1044"/>
    <w:rPr>
      <w:rFonts w:ascii="Courier New" w:hAnsi="Courier New" w:eastAsia="宋体" w:cs="Times New Roman"/>
      <w:sz w:val="20"/>
    </w:rPr>
  </w:style>
  <w:style w:type="character" w:styleId="1445">
    <w:name w:val="日期 Char2"/>
    <w:next w:val="1445"/>
    <w:link w:val="1044"/>
    <w:rPr>
      <w:rFonts w:ascii="Calibri" w:hAnsi="Calibri" w:eastAsia="宋体" w:cs="Times New Roman"/>
    </w:rPr>
  </w:style>
  <w:style w:type="character" w:styleId="1446">
    <w:name w:val="icon-play"/>
    <w:next w:val="1446"/>
    <w:link w:val="1044"/>
    <w:rPr>
      <w:rFonts w:ascii="宋体" w:hAnsi="宋体" w:eastAsia="宋体" w:cs="Times New Roman"/>
      <w:sz w:val="24"/>
      <w:szCs w:val="24"/>
      <w:lang w:val="en-US" w:eastAsia="zh-CN" w:bidi="ar-SA"/>
    </w:rPr>
  </w:style>
  <w:style w:type="character" w:styleId="1447">
    <w:name w:val="03 小标 Char"/>
    <w:next w:val="1447"/>
    <w:link w:val="1448"/>
    <w:rPr>
      <w:rFonts w:ascii="Tahoma" w:hAnsi="Tahoma"/>
      <w:sz w:val="22"/>
    </w:rPr>
  </w:style>
  <w:style w:type="paragraph" w:styleId="1448">
    <w:name w:val="03 小标"/>
    <w:basedOn w:val="1047"/>
    <w:next w:val="1448"/>
    <w:link w:val="1447"/>
    <w:qFormat/>
    <w:pPr>
      <w:jc w:val="both"/>
      <w:keepLines/>
      <w:keepNext/>
      <w:spacing w:before="260" w:after="260" w:line="416" w:lineRule="auto"/>
    </w:pPr>
    <w:rPr>
      <w:rFonts w:ascii="Tahoma" w:hAnsi="Tahoma"/>
      <w:b w:val="0"/>
      <w:sz w:val="22"/>
      <w:szCs w:val="20"/>
      <w:lang w:val="en-US" w:eastAsia="zh-CN"/>
    </w:rPr>
  </w:style>
  <w:style w:type="character" w:styleId="1449">
    <w:name w:val="del1"/>
    <w:next w:val="1449"/>
    <w:link w:val="1044"/>
    <w:rPr>
      <w:rFonts w:ascii="宋体" w:hAnsi="宋体" w:eastAsia="宋体" w:cs="Times New Roman"/>
      <w:vanish/>
      <w:color w:val="666666"/>
      <w:sz w:val="18"/>
      <w:szCs w:val="18"/>
      <w:u w:val="single"/>
      <w:lang w:val="en-US" w:eastAsia="zh-CN" w:bidi="ar-SA"/>
    </w:rPr>
  </w:style>
  <w:style w:type="character" w:styleId="1450">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450"/>
    <w:link w:val="1044"/>
    <w:rPr>
      <w:rFonts w:ascii="宋体" w:hAnsi="Courier New" w:eastAsia="楷体_GB2312" w:cs="Times New Roman"/>
      <w:sz w:val="26"/>
      <w:lang w:val="en-US" w:eastAsia="zh-CN" w:bidi="ar-SA"/>
    </w:rPr>
  </w:style>
  <w:style w:type="character" w:styleId="1451">
    <w:name w:val="s1"/>
    <w:next w:val="1451"/>
    <w:link w:val="1044"/>
    <w:rPr>
      <w:rFonts w:ascii="Tahoma" w:hAnsi="Tahoma" w:eastAsia="宋体" w:cs="Times New Roman"/>
      <w:sz w:val="24"/>
      <w:szCs w:val="24"/>
      <w:lang w:val="en-US" w:eastAsia="zh-CN" w:bidi="ar-SA"/>
    </w:rPr>
  </w:style>
  <w:style w:type="character" w:styleId="1452">
    <w:name w:val="style141"/>
    <w:next w:val="1452"/>
    <w:link w:val="1044"/>
    <w:rPr>
      <w:rFonts w:hint="eastAsia" w:ascii="宋体" w:hAnsi="宋体" w:eastAsia="宋体" w:cs="Times New Roman"/>
    </w:rPr>
  </w:style>
  <w:style w:type="character" w:styleId="1453">
    <w:name w:val="表格 Char Char"/>
    <w:next w:val="1453"/>
    <w:link w:val="1454"/>
    <w:rPr>
      <w:rFonts w:ascii="仿宋_GB2312" w:hAnsi="宋体" w:eastAsia="仿宋_GB2312"/>
      <w:szCs w:val="21"/>
    </w:rPr>
  </w:style>
  <w:style w:type="paragraph" w:styleId="1454">
    <w:name w:val="表格"/>
    <w:basedOn w:val="1044"/>
    <w:next w:val="1454"/>
    <w:link w:val="1453"/>
    <w:pPr>
      <w:spacing w:after="120"/>
      <w:framePr w:hSpace="180" w:wrap="around" w:vAnchor="page" w:hAnchor="margin" w:y="2377"/>
    </w:pPr>
    <w:rPr>
      <w:rFonts w:ascii="仿宋_GB2312" w:hAnsi="宋体" w:eastAsia="仿宋_GB2312"/>
      <w:sz w:val="20"/>
      <w:szCs w:val="21"/>
    </w:rPr>
  </w:style>
  <w:style w:type="character" w:styleId="1455">
    <w:name w:val="Char Char26"/>
    <w:next w:val="1455"/>
    <w:link w:val="1044"/>
    <w:rPr>
      <w:rFonts w:ascii="宋体" w:hAnsi="Arial" w:eastAsia="宋体" w:cs="Arial"/>
      <w:b/>
      <w:sz w:val="24"/>
      <w:szCs w:val="44"/>
      <w:lang w:val="en-US" w:eastAsia="zh-CN" w:bidi="ar-SA"/>
    </w:rPr>
  </w:style>
  <w:style w:type="character" w:styleId="1456">
    <w:name w:val="批注框文本 Char1"/>
    <w:next w:val="1456"/>
    <w:link w:val="1044"/>
    <w:rPr>
      <w:rFonts w:ascii="Calibri" w:hAnsi="Calibri" w:eastAsia="宋体" w:cs="Times New Roman"/>
      <w:sz w:val="18"/>
      <w:szCs w:val="18"/>
    </w:rPr>
  </w:style>
  <w:style w:type="character" w:styleId="1457">
    <w:name w:val="样式 Char"/>
    <w:next w:val="1457"/>
    <w:link w:val="1458"/>
    <w:rPr>
      <w:rFonts w:ascii="宋体" w:hAnsi="宋体" w:cs="宋体"/>
      <w:sz w:val="24"/>
      <w:szCs w:val="24"/>
    </w:rPr>
  </w:style>
  <w:style w:type="paragraph" w:styleId="1458">
    <w:name w:val="样式"/>
    <w:next w:val="1458"/>
    <w:link w:val="1457"/>
    <w:pPr>
      <w:widowControl w:val="off"/>
    </w:pPr>
    <w:rPr>
      <w:rFonts w:ascii="宋体" w:hAnsi="宋体" w:cs="宋体"/>
      <w:sz w:val="24"/>
      <w:szCs w:val="24"/>
      <w:lang w:val="en-US" w:eastAsia="zh-CN" w:bidi="ar-SA"/>
    </w:rPr>
  </w:style>
  <w:style w:type="character" w:styleId="1459">
    <w:name w:val="style4 style24"/>
    <w:next w:val="1459"/>
    <w:link w:val="1044"/>
    <w:rPr>
      <w:rFonts w:ascii="Tahoma" w:hAnsi="Tahoma" w:eastAsia="宋体" w:cs="Times New Roman"/>
      <w:sz w:val="24"/>
      <w:szCs w:val="24"/>
      <w:lang w:val="en-US" w:eastAsia="zh-CN" w:bidi="ar-SA"/>
    </w:rPr>
  </w:style>
  <w:style w:type="character" w:styleId="1460">
    <w:name w:val="明显引用 Char1"/>
    <w:next w:val="1460"/>
    <w:link w:val="1044"/>
    <w:uiPriority w:val="30"/>
    <w:rPr>
      <w:b/>
      <w:bCs/>
      <w:i/>
      <w:iCs/>
      <w:color w:val="4f81bd"/>
    </w:rPr>
  </w:style>
  <w:style w:type="character" w:styleId="1461">
    <w:name w:val="content1"/>
    <w:next w:val="1461"/>
    <w:link w:val="1044"/>
    <w:rPr>
      <w:rFonts w:ascii="Tahoma" w:hAnsi="Tahoma" w:eastAsia="宋体" w:cs="Tahoma"/>
      <w:sz w:val="21"/>
      <w:szCs w:val="21"/>
    </w:rPr>
  </w:style>
  <w:style w:type="character" w:styleId="1462">
    <w:name w:val="表格正文 Char"/>
    <w:next w:val="1462"/>
    <w:link w:val="1463"/>
    <w:rPr>
      <w:sz w:val="24"/>
    </w:rPr>
  </w:style>
  <w:style w:type="paragraph" w:styleId="1463">
    <w:name w:val="表格正文"/>
    <w:basedOn w:val="1044"/>
    <w:next w:val="1464"/>
    <w:link w:val="1462"/>
    <w:pPr>
      <w:jc w:val="left"/>
      <w:spacing w:line="300" w:lineRule="auto"/>
    </w:pPr>
    <w:rPr>
      <w:sz w:val="24"/>
      <w:szCs w:val="20"/>
    </w:rPr>
  </w:style>
  <w:style w:type="paragraph" w:styleId="1464">
    <w:name w:val="此正文"/>
    <w:basedOn w:val="1044"/>
    <w:next w:val="1464"/>
    <w:link w:val="1044"/>
    <w:pPr>
      <w:ind w:firstLine="200"/>
      <w:spacing w:line="360" w:lineRule="auto"/>
    </w:pPr>
    <w:rPr>
      <w:rFonts w:ascii="Times New Roman" w:hAnsi="Times New Roman"/>
      <w:sz w:val="24"/>
      <w:szCs w:val="24"/>
    </w:rPr>
  </w:style>
  <w:style w:type="character" w:styleId="1465">
    <w:name w:val="fc01294d3e-4153-482a-aea1-4b54892b7913-1"/>
    <w:next w:val="1465"/>
    <w:link w:val="1044"/>
    <w:rPr>
      <w:rFonts w:ascii="Tahoma" w:hAnsi="Tahoma" w:eastAsia="宋体" w:cs="Times New Roman"/>
      <w:sz w:val="24"/>
      <w:szCs w:val="24"/>
      <w:lang w:val="en-US" w:eastAsia="zh-CN" w:bidi="ar-SA"/>
    </w:rPr>
  </w:style>
  <w:style w:type="character" w:styleId="1466">
    <w:name w:val="param-name"/>
    <w:next w:val="1466"/>
    <w:link w:val="1044"/>
    <w:rPr>
      <w:rFonts w:ascii="Tahoma" w:hAnsi="Tahoma" w:eastAsia="宋体" w:cs="Times New Roman"/>
      <w:sz w:val="24"/>
      <w:szCs w:val="24"/>
      <w:lang w:val="en-US" w:eastAsia="zh-CN" w:bidi="ar-SA"/>
    </w:rPr>
  </w:style>
  <w:style w:type="character" w:styleId="1467">
    <w:name w:val="icon-doc"/>
    <w:next w:val="1467"/>
    <w:link w:val="1044"/>
    <w:rPr>
      <w:rFonts w:ascii="宋体" w:hAnsi="宋体" w:eastAsia="宋体" w:cs="Times New Roman"/>
      <w:sz w:val="24"/>
      <w:szCs w:val="24"/>
      <w:lang w:val="en-US" w:eastAsia="zh-CN" w:bidi="ar-SA"/>
    </w:rPr>
  </w:style>
  <w:style w:type="character" w:styleId="1468">
    <w:name w:val="z-窗体顶端 字符"/>
    <w:next w:val="1468"/>
    <w:link w:val="1469"/>
    <w:rPr>
      <w:rFonts w:ascii="Arial" w:hAnsi="Tahoma"/>
      <w:vanish/>
      <w:sz w:val="16"/>
    </w:rPr>
  </w:style>
  <w:style w:type="paragraph" w:styleId="1469">
    <w:name w:val="z-窗体顶端"/>
    <w:basedOn w:val="1044"/>
    <w:next w:val="1044"/>
    <w:link w:val="1468"/>
    <w:unhideWhenUsed/>
    <w:pPr>
      <w:jc w:val="center"/>
      <w:pBdr>
        <w:bottom w:val="single" w:color="000000" w:sz="6" w:space="1"/>
      </w:pBdr>
    </w:pPr>
    <w:rPr>
      <w:rFonts w:ascii="Arial" w:hAnsi="Tahoma"/>
      <w:vanish/>
      <w:sz w:val="16"/>
      <w:szCs w:val="20"/>
    </w:rPr>
  </w:style>
  <w:style w:type="character" w:styleId="1470">
    <w:name w:val="z-窗体顶端 字符1"/>
    <w:next w:val="1470"/>
    <w:link w:val="1044"/>
    <w:uiPriority w:val="99"/>
    <w:semiHidden/>
    <w:rPr>
      <w:rFonts w:ascii="Arial" w:hAnsi="Arial" w:cs="Arial"/>
      <w:vanish/>
      <w:sz w:val="16"/>
      <w:szCs w:val="16"/>
    </w:rPr>
  </w:style>
  <w:style w:type="character" w:styleId="1471">
    <w:name w:val="z-窗体顶端 Char1"/>
    <w:next w:val="1471"/>
    <w:link w:val="1044"/>
    <w:uiPriority w:val="99"/>
    <w:semiHidden/>
    <w:rPr>
      <w:rFonts w:ascii="Arial" w:hAnsi="Arial" w:cs="Arial"/>
      <w:vanish/>
      <w:sz w:val="16"/>
      <w:szCs w:val="16"/>
    </w:rPr>
  </w:style>
  <w:style w:type="character" w:styleId="1472">
    <w:name w:val="Date Char"/>
    <w:next w:val="1472"/>
    <w:link w:val="1044"/>
    <w:rPr>
      <w:rFonts w:ascii="Calibri" w:hAnsi="Calibri" w:eastAsia="宋体" w:cs="Times New Roman"/>
      <w:sz w:val="21"/>
      <w:szCs w:val="24"/>
      <w:lang w:val="en-US" w:eastAsia="zh-CN" w:bidi="ar-SA"/>
    </w:rPr>
  </w:style>
  <w:style w:type="character" w:styleId="1473">
    <w:name w:val="style181"/>
    <w:next w:val="1473"/>
    <w:link w:val="1044"/>
    <w:rPr>
      <w:rFonts w:ascii="Calibri" w:hAnsi="Calibri" w:eastAsia="宋体" w:cs="Times New Roman"/>
      <w:sz w:val="18"/>
      <w:szCs w:val="18"/>
    </w:rPr>
  </w:style>
  <w:style w:type="character" w:styleId="1474">
    <w:name w:val="ca-1"/>
    <w:next w:val="1474"/>
    <w:link w:val="1044"/>
    <w:rPr>
      <w:rFonts w:ascii="Tahoma" w:hAnsi="Tahoma" w:eastAsia="宋体" w:cs="Times New Roman"/>
      <w:sz w:val="24"/>
      <w:szCs w:val="24"/>
      <w:lang w:val="en-US" w:eastAsia="zh-CN" w:bidi="ar-SA"/>
    </w:rPr>
  </w:style>
  <w:style w:type="character" w:styleId="1475">
    <w:name w:val="书籍标题"/>
    <w:next w:val="1475"/>
    <w:link w:val="1044"/>
    <w:qFormat/>
    <w:rPr>
      <w:rFonts w:ascii="Calibri" w:hAnsi="Calibri" w:eastAsia="宋体" w:cs="Times New Roman"/>
      <w:b/>
      <w:bCs/>
      <w:smallCaps/>
      <w:spacing w:val="5"/>
    </w:rPr>
  </w:style>
  <w:style w:type="character" w:styleId="1476">
    <w:name w:val="批注主题 Char1"/>
    <w:next w:val="1476"/>
    <w:link w:val="1044"/>
    <w:rPr>
      <w:rFonts w:ascii="Calibri" w:hAnsi="Calibri" w:eastAsia="宋体" w:cs="Times New Roman"/>
      <w:b/>
      <w:bCs/>
      <w:sz w:val="21"/>
      <w:szCs w:val="22"/>
    </w:rPr>
  </w:style>
  <w:style w:type="character" w:styleId="1477">
    <w:name w:val="fcc182633d-d73f-4ad0-85fb-0a229eb6ca9a-1"/>
    <w:next w:val="1477"/>
    <w:link w:val="1044"/>
    <w:rPr>
      <w:rFonts w:ascii="Calibri" w:hAnsi="Calibri" w:eastAsia="宋体" w:cs="Times New Roman"/>
    </w:rPr>
  </w:style>
  <w:style w:type="character" w:styleId="1478">
    <w:name w:val="批注文字 Char Char"/>
    <w:next w:val="1478"/>
    <w:link w:val="1044"/>
    <w:rPr>
      <w:rFonts w:hint="eastAsia" w:ascii="宋体" w:hAnsi="Times New Roman" w:eastAsia="宋体" w:cs="Times New Roman"/>
      <w:sz w:val="28"/>
      <w:szCs w:val="20"/>
    </w:rPr>
  </w:style>
  <w:style w:type="character" w:styleId="1479">
    <w:name w:val="Char Char23"/>
    <w:next w:val="1479"/>
    <w:link w:val="1044"/>
    <w:rPr>
      <w:rFonts w:ascii="Calibri" w:hAnsi="Calibri" w:eastAsia="宋体" w:cs="Times New Roman"/>
      <w:b/>
      <w:bCs/>
      <w:sz w:val="32"/>
      <w:szCs w:val="44"/>
      <w:lang w:val="en-US" w:eastAsia="zh-CN" w:bidi="ar-SA"/>
    </w:rPr>
  </w:style>
  <w:style w:type="character" w:styleId="1480">
    <w:name w:val="Footnote Text Char"/>
    <w:next w:val="1480"/>
    <w:link w:val="1044"/>
    <w:rPr>
      <w:rFonts w:ascii="Calibri" w:hAnsi="Calibri" w:eastAsia="宋体" w:cs="Times New Roman"/>
      <w:sz w:val="18"/>
      <w:lang w:val="en-US" w:eastAsia="zh-CN" w:bidi="ar-SA"/>
    </w:rPr>
  </w:style>
  <w:style w:type="character" w:styleId="1481">
    <w:name w:val="文档结构图 Char2"/>
    <w:next w:val="1481"/>
    <w:link w:val="1044"/>
    <w:rPr>
      <w:rFonts w:hint="eastAsia" w:ascii="宋体" w:hAnsi="Calibri" w:eastAsia="宋体" w:cs="Times New Roman"/>
      <w:sz w:val="18"/>
      <w:szCs w:val="18"/>
    </w:rPr>
  </w:style>
  <w:style w:type="character" w:styleId="1482">
    <w:name w:val="size31"/>
    <w:next w:val="1482"/>
    <w:link w:val="1044"/>
    <w:rPr>
      <w:rFonts w:ascii="Arial" w:hAnsi="Arial" w:eastAsia="宋体" w:cs="Arial"/>
      <w:b/>
      <w:bCs/>
      <w:color w:val="2d2d2d"/>
      <w:sz w:val="18"/>
      <w:szCs w:val="18"/>
      <w:lang w:val="en-US" w:eastAsia="en-US" w:bidi="ar-SA"/>
    </w:rPr>
  </w:style>
  <w:style w:type="character" w:styleId="1483">
    <w:name w:val="Char Char91"/>
    <w:next w:val="1483"/>
    <w:link w:val="1044"/>
    <w:rPr>
      <w:rFonts w:ascii="Calibri" w:hAnsi="Calibri" w:eastAsia="宋体" w:cs="Times New Roman"/>
      <w:b/>
      <w:bCs/>
      <w:sz w:val="32"/>
      <w:szCs w:val="44"/>
      <w:lang w:val="en-US" w:eastAsia="zh-CN" w:bidi="ar-SA"/>
    </w:rPr>
  </w:style>
  <w:style w:type="character" w:styleId="1484">
    <w:name w:val="标题 Char2"/>
    <w:next w:val="1484"/>
    <w:link w:val="1044"/>
    <w:rPr>
      <w:rFonts w:ascii="Cambria" w:hAnsi="Cambria" w:eastAsia="宋体" w:cs="Times New Roman"/>
      <w:b/>
      <w:bCs/>
      <w:sz w:val="32"/>
      <w:szCs w:val="32"/>
    </w:rPr>
  </w:style>
  <w:style w:type="character" w:styleId="1485">
    <w:name w:val="Char Char6"/>
    <w:next w:val="1485"/>
    <w:link w:val="1044"/>
    <w:rPr>
      <w:rFonts w:ascii="Calibri" w:hAnsi="Calibri" w:eastAsia="宋体" w:cs="Times New Roman"/>
      <w:b/>
      <w:bCs/>
      <w:sz w:val="32"/>
      <w:szCs w:val="44"/>
      <w:lang w:val="en-US" w:eastAsia="zh-CN" w:bidi="ar-SA"/>
    </w:rPr>
  </w:style>
  <w:style w:type="character" w:styleId="1486">
    <w:name w:val="Comment Subject Char"/>
    <w:next w:val="1486"/>
    <w:link w:val="1044"/>
    <w:rPr>
      <w:rFonts w:ascii="Calibri" w:hAnsi="Calibri" w:eastAsia="宋体" w:cs="Times New Roman"/>
      <w:b/>
      <w:sz w:val="24"/>
      <w:lang w:bidi="ar-SA"/>
    </w:rPr>
  </w:style>
  <w:style w:type="character" w:styleId="1487">
    <w:name w:val="Comment"/>
    <w:next w:val="1487"/>
    <w:link w:val="1044"/>
    <w:rPr>
      <w:rFonts w:ascii="Calibri" w:hAnsi="Calibri" w:eastAsia="宋体" w:cs="Times New Roman"/>
      <w:vanish/>
    </w:rPr>
  </w:style>
  <w:style w:type="character" w:styleId="1488">
    <w:name w:val="Char Char181"/>
    <w:next w:val="1488"/>
    <w:link w:val="1044"/>
    <w:rPr>
      <w:rFonts w:ascii="Calibri" w:hAnsi="Calibri" w:eastAsia="宋体" w:cs="Times New Roman"/>
      <w:b/>
      <w:bCs/>
      <w:sz w:val="44"/>
      <w:szCs w:val="44"/>
    </w:rPr>
  </w:style>
  <w:style w:type="character" w:styleId="1489">
    <w:name w:val="批注文字 Char3"/>
    <w:next w:val="1489"/>
    <w:link w:val="1044"/>
    <w:rPr>
      <w:rFonts w:ascii="Calibri" w:hAnsi="Calibri" w:eastAsia="宋体" w:cs="Times New Roman"/>
      <w:sz w:val="21"/>
      <w:szCs w:val="24"/>
    </w:rPr>
  </w:style>
  <w:style w:type="character" w:styleId="1490">
    <w:name w:val="para1"/>
    <w:next w:val="1490"/>
    <w:link w:val="1044"/>
    <w:rPr>
      <w:rFonts w:ascii="Arial" w:hAnsi="Arial" w:eastAsia="宋体" w:cs="Arial"/>
      <w:sz w:val="18"/>
      <w:szCs w:val="18"/>
    </w:rPr>
  </w:style>
  <w:style w:type="character" w:styleId="1491">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491"/>
    <w:link w:val="1044"/>
    <w:rPr>
      <w:rFonts w:ascii="Calibri" w:hAnsi="Calibri" w:eastAsia="楷体_GB2312" w:cs="Times New Roman"/>
      <w:sz w:val="24"/>
    </w:rPr>
  </w:style>
  <w:style w:type="character" w:styleId="1492">
    <w:name w:val="脚注文本 Char1"/>
    <w:next w:val="1492"/>
    <w:link w:val="1044"/>
    <w:rPr>
      <w:rFonts w:ascii="Tahoma" w:hAnsi="Tahoma" w:eastAsia="宋体" w:cs="Times New Roman"/>
      <w:sz w:val="18"/>
      <w:szCs w:val="18"/>
      <w:lang w:val="en-US" w:eastAsia="zh-CN" w:bidi="ar-SA"/>
    </w:rPr>
  </w:style>
  <w:style w:type="character" w:styleId="1493">
    <w:name w:val="Body Text Indent 2 Char"/>
    <w:next w:val="1493"/>
    <w:link w:val="1044"/>
    <w:rPr>
      <w:rFonts w:ascii="Calibri" w:hAnsi="Calibri" w:eastAsia="宋体" w:cs="Times New Roman"/>
      <w:sz w:val="21"/>
      <w:szCs w:val="24"/>
      <w:lang w:val="en-US" w:eastAsia="zh-CN" w:bidi="ar-SA"/>
    </w:rPr>
  </w:style>
  <w:style w:type="character" w:styleId="1494">
    <w:name w:val="05 标题5 Char"/>
    <w:next w:val="1494"/>
    <w:link w:val="1495"/>
    <w:rPr>
      <w:rFonts w:ascii="宋体" w:hAnsi="宋体"/>
      <w:b/>
      <w:szCs w:val="32"/>
    </w:rPr>
  </w:style>
  <w:style w:type="paragraph" w:styleId="1495">
    <w:name w:val="05 标题5"/>
    <w:basedOn w:val="1044"/>
    <w:next w:val="1495"/>
    <w:link w:val="1494"/>
    <w:qFormat/>
    <w:pPr>
      <w:ind w:firstLine="422"/>
      <w:keepNext/>
      <w:spacing w:line="360" w:lineRule="auto"/>
      <w:widowControl/>
      <w:outlineLvl w:val="4"/>
    </w:pPr>
    <w:rPr>
      <w:rFonts w:ascii="宋体" w:hAnsi="宋体"/>
      <w:b/>
      <w:sz w:val="20"/>
      <w:szCs w:val="32"/>
    </w:rPr>
  </w:style>
  <w:style w:type="character" w:styleId="1496">
    <w:name w:val="del"/>
    <w:next w:val="1496"/>
    <w:link w:val="1044"/>
    <w:rPr>
      <w:rFonts w:ascii="宋体" w:hAnsi="宋体" w:eastAsia="宋体" w:cs="Times New Roman"/>
      <w:sz w:val="24"/>
      <w:szCs w:val="24"/>
      <w:lang w:val="en-US" w:eastAsia="zh-CN" w:bidi="ar-SA"/>
    </w:rPr>
  </w:style>
  <w:style w:type="character" w:styleId="1497">
    <w:name w:val="05 正文 Char"/>
    <w:next w:val="1497"/>
    <w:link w:val="1498"/>
    <w:rPr>
      <w:rFonts w:ascii="宋体" w:hAnsi="宋体"/>
      <w:szCs w:val="21"/>
    </w:rPr>
  </w:style>
  <w:style w:type="paragraph" w:styleId="1498">
    <w:name w:val="05 正文"/>
    <w:basedOn w:val="1044"/>
    <w:next w:val="1498"/>
    <w:link w:val="1497"/>
    <w:pPr>
      <w:ind w:firstLine="420"/>
      <w:spacing w:line="360" w:lineRule="auto"/>
    </w:pPr>
    <w:rPr>
      <w:rFonts w:ascii="宋体" w:hAnsi="宋体"/>
      <w:sz w:val="20"/>
      <w:szCs w:val="21"/>
    </w:rPr>
  </w:style>
  <w:style w:type="character" w:styleId="1499">
    <w:name w:val="Typewriter"/>
    <w:next w:val="1499"/>
    <w:link w:val="1044"/>
    <w:rPr>
      <w:rFonts w:ascii="Courier New" w:hAnsi="Courier New" w:eastAsia="宋体" w:cs="Times New Roman"/>
      <w:sz w:val="20"/>
    </w:rPr>
  </w:style>
  <w:style w:type="character" w:styleId="1500">
    <w:name w:val="Heading 1 Char"/>
    <w:next w:val="1500"/>
    <w:link w:val="1044"/>
    <w:rPr>
      <w:rFonts w:ascii="Calibri" w:hAnsi="Calibri" w:eastAsia="宋体" w:cs="Times New Roman"/>
      <w:b/>
      <w:bCs/>
      <w:sz w:val="32"/>
      <w:szCs w:val="44"/>
      <w:lang w:val="en-US" w:eastAsia="zh-CN" w:bidi="ar-SA"/>
    </w:rPr>
  </w:style>
  <w:style w:type="character" w:styleId="1501">
    <w:name w:val="Sample"/>
    <w:next w:val="1501"/>
    <w:link w:val="1044"/>
    <w:rPr>
      <w:rFonts w:ascii="Courier New" w:hAnsi="Courier New" w:eastAsia="宋体" w:cs="Times New Roman"/>
    </w:rPr>
  </w:style>
  <w:style w:type="character" w:styleId="1502">
    <w:name w:val="引用 Char1"/>
    <w:next w:val="1502"/>
    <w:link w:val="1044"/>
    <w:uiPriority w:val="29"/>
    <w:rPr>
      <w:i/>
      <w:iCs/>
      <w:color w:val="000000"/>
    </w:rPr>
  </w:style>
  <w:style w:type="character" w:styleId="1503">
    <w:name w:val="apple-converted-space"/>
    <w:next w:val="1503"/>
    <w:link w:val="1044"/>
    <w:rPr>
      <w:rFonts w:ascii="Tahoma" w:hAnsi="Tahoma" w:eastAsia="宋体" w:cs="Times New Roman"/>
      <w:sz w:val="24"/>
      <w:szCs w:val="24"/>
      <w:lang w:val="en-US" w:eastAsia="zh-CN" w:bidi="ar-SA"/>
    </w:rPr>
  </w:style>
  <w:style w:type="character" w:styleId="1504">
    <w:name w:val="ca-11"/>
    <w:next w:val="1504"/>
    <w:link w:val="1044"/>
    <w:rPr>
      <w:rFonts w:hint="eastAsia" w:ascii="宋体" w:hAnsi="宋体" w:eastAsia="宋体" w:cs="Times New Roman"/>
      <w:sz w:val="24"/>
      <w:szCs w:val="24"/>
    </w:rPr>
  </w:style>
  <w:style w:type="character" w:styleId="1505">
    <w:name w:val="Body Text Indent Char"/>
    <w:next w:val="1505"/>
    <w:link w:val="1044"/>
    <w:rPr>
      <w:rFonts w:ascii="宋体" w:hAnsi="宋体" w:eastAsia="宋体" w:cs="Times New Roman"/>
      <w:sz w:val="21"/>
      <w:lang w:val="en-US" w:eastAsia="zh-CN" w:bidi="ar-SA"/>
    </w:rPr>
  </w:style>
  <w:style w:type="character" w:styleId="1506">
    <w:name w:val="arr"/>
    <w:next w:val="1506"/>
    <w:link w:val="1044"/>
    <w:rPr>
      <w:rFonts w:ascii="宋体" w:hAnsi="宋体" w:eastAsia="宋体" w:cs="Times New Roman"/>
      <w:sz w:val="24"/>
      <w:szCs w:val="24"/>
      <w:lang w:val="en-US" w:eastAsia="zh-CN" w:bidi="ar-SA"/>
    </w:rPr>
  </w:style>
  <w:style w:type="character" w:styleId="1507">
    <w:name w:val="Char Char2"/>
    <w:next w:val="1507"/>
    <w:link w:val="1044"/>
    <w:semiHidden/>
    <w:rPr>
      <w:rFonts w:ascii="Calibri" w:hAnsi="Calibri" w:eastAsia="宋体" w:cs="Times New Roman"/>
      <w:sz w:val="21"/>
      <w:szCs w:val="24"/>
      <w:lang w:val="en-US" w:eastAsia="zh-CN" w:bidi="ar-SA"/>
    </w:rPr>
  </w:style>
  <w:style w:type="character" w:styleId="1508">
    <w:name w:val="Char Char21"/>
    <w:next w:val="1508"/>
    <w:link w:val="1044"/>
    <w:rPr>
      <w:rFonts w:ascii="Arial" w:hAnsi="Arial" w:eastAsia="黑体" w:cs="Times New Roman"/>
      <w:b/>
      <w:bCs/>
      <w:sz w:val="32"/>
      <w:szCs w:val="32"/>
    </w:rPr>
  </w:style>
  <w:style w:type="character" w:styleId="1509">
    <w:name w:val="02 标题 Char"/>
    <w:next w:val="1509"/>
    <w:link w:val="1510"/>
    <w:rPr>
      <w:rFonts w:ascii="宋体" w:hAnsi="宋体"/>
      <w:sz w:val="22"/>
    </w:rPr>
  </w:style>
  <w:style w:type="paragraph" w:styleId="1510">
    <w:name w:val="02 标题"/>
    <w:basedOn w:val="1047"/>
    <w:next w:val="1510"/>
    <w:link w:val="1509"/>
    <w:qFormat/>
    <w:pPr>
      <w:jc w:val="center"/>
      <w:keepLines/>
      <w:keepNext/>
      <w:spacing w:before="260" w:after="260" w:line="416" w:lineRule="auto"/>
    </w:pPr>
    <w:rPr>
      <w:b w:val="0"/>
      <w:sz w:val="22"/>
      <w:szCs w:val="20"/>
      <w:lang w:val="en-US" w:eastAsia="zh-CN"/>
    </w:rPr>
  </w:style>
  <w:style w:type="character" w:styleId="1511">
    <w:name w:val="_正文段落 Char"/>
    <w:next w:val="1511"/>
    <w:link w:val="1512"/>
    <w:qFormat/>
    <w:rPr>
      <w:rFonts w:ascii="宋体" w:hAnsi="宋体"/>
      <w:sz w:val="24"/>
    </w:rPr>
  </w:style>
  <w:style w:type="paragraph" w:styleId="1512">
    <w:name w:val="_正文段落"/>
    <w:basedOn w:val="1044"/>
    <w:next w:val="1512"/>
    <w:link w:val="1511"/>
    <w:qFormat/>
    <w:pPr>
      <w:ind w:firstLine="480"/>
      <w:spacing w:line="360" w:lineRule="auto"/>
    </w:pPr>
    <w:rPr>
      <w:rFonts w:ascii="宋体" w:hAnsi="宋体"/>
      <w:sz w:val="24"/>
      <w:szCs w:val="20"/>
    </w:rPr>
  </w:style>
  <w:style w:type="character" w:styleId="1513">
    <w:name w:val="icon-game"/>
    <w:next w:val="1513"/>
    <w:link w:val="1044"/>
    <w:rPr>
      <w:rFonts w:ascii="宋体" w:hAnsi="宋体" w:eastAsia="宋体" w:cs="Times New Roman"/>
      <w:sz w:val="24"/>
      <w:szCs w:val="24"/>
      <w:lang w:val="en-US" w:eastAsia="zh-CN" w:bidi="ar-SA"/>
    </w:rPr>
  </w:style>
  <w:style w:type="character" w:styleId="1514">
    <w:name w:val="标题 2 Char_0"/>
    <w:next w:val="1514"/>
    <w:link w:val="1515"/>
  </w:style>
  <w:style w:type="paragraph" w:styleId="1515">
    <w:name w:val="标题 2_0"/>
    <w:basedOn w:val="1044"/>
    <w:next w:val="1515"/>
    <w:link w:val="1514"/>
    <w:rPr>
      <w:sz w:val="20"/>
      <w:szCs w:val="20"/>
    </w:rPr>
  </w:style>
  <w:style w:type="character" w:styleId="1516">
    <w:name w:val="标题4 Char Char"/>
    <w:next w:val="1516"/>
    <w:link w:val="1517"/>
    <w:rPr>
      <w:sz w:val="24"/>
    </w:rPr>
  </w:style>
  <w:style w:type="paragraph" w:styleId="1517">
    <w:name w:val="标题4"/>
    <w:basedOn w:val="1046"/>
    <w:next w:val="1089"/>
    <w:link w:val="1516"/>
    <w:pPr>
      <w:spacing w:before="60" w:after="60" w:line="413" w:lineRule="auto"/>
    </w:pPr>
    <w:rPr>
      <w:rFonts w:ascii="Calibri" w:hAnsi="Calibri"/>
      <w:b w:val="0"/>
      <w:bCs w:val="0"/>
      <w:sz w:val="24"/>
      <w:szCs w:val="20"/>
      <w:lang w:val="en-US" w:eastAsia="zh-CN"/>
    </w:rPr>
  </w:style>
  <w:style w:type="character" w:styleId="1518">
    <w:name w:val="明显参考"/>
    <w:next w:val="1518"/>
    <w:link w:val="1044"/>
    <w:qFormat/>
    <w:rPr>
      <w:rFonts w:ascii="Calibri" w:hAnsi="Calibri" w:eastAsia="宋体" w:cs="Times New Roman"/>
      <w:b/>
      <w:bCs/>
      <w:smallCaps/>
      <w:color w:val="c0504d"/>
      <w:spacing w:val="5"/>
      <w:u w:val="single"/>
    </w:rPr>
  </w:style>
  <w:style w:type="character" w:styleId="1519">
    <w:name w:val="style221"/>
    <w:next w:val="1519"/>
    <w:link w:val="1044"/>
    <w:rPr>
      <w:rFonts w:ascii="Calibri" w:hAnsi="Calibri" w:eastAsia="宋体" w:cs="Times New Roman"/>
      <w:b/>
      <w:bCs/>
      <w:color w:val="000099"/>
    </w:rPr>
  </w:style>
  <w:style w:type="character" w:styleId="1520">
    <w:name w:val="Comment Text Char1"/>
    <w:next w:val="1520"/>
    <w:link w:val="1044"/>
    <w:rPr>
      <w:rFonts w:ascii="Calibri" w:hAnsi="Calibri" w:eastAsia="宋体" w:cs="Times New Roman"/>
      <w:sz w:val="24"/>
      <w:lang w:bidi="ar-SA"/>
    </w:rPr>
  </w:style>
  <w:style w:type="character" w:styleId="1521">
    <w:name w:val="Heading 4 Char"/>
    <w:next w:val="1521"/>
    <w:link w:val="1044"/>
    <w:rPr>
      <w:rFonts w:ascii="Arial" w:hAnsi="Arial" w:eastAsia="宋体" w:cs="Times New Roman"/>
      <w:b/>
      <w:bCs/>
      <w:sz w:val="21"/>
      <w:szCs w:val="28"/>
      <w:lang w:val="en-US" w:eastAsia="zh-CN" w:bidi="ar-SA"/>
    </w:rPr>
  </w:style>
  <w:style w:type="character" w:styleId="1522">
    <w:name w:val="标题 1 Char1"/>
    <w:next w:val="1522"/>
    <w:link w:val="1044"/>
    <w:rPr>
      <w:rFonts w:ascii="Calibri" w:hAnsi="Calibri" w:eastAsia="宋体" w:cs="Arial"/>
      <w:b/>
      <w:sz w:val="44"/>
      <w:szCs w:val="20"/>
    </w:rPr>
  </w:style>
  <w:style w:type="character" w:styleId="1523">
    <w:name w:val="批注文字 Char2"/>
    <w:next w:val="1523"/>
    <w:link w:val="1044"/>
    <w:rPr>
      <w:rFonts w:ascii="Calibri" w:hAnsi="Calibri" w:eastAsia="宋体" w:cs="Times New Roman"/>
      <w:sz w:val="21"/>
      <w:szCs w:val="24"/>
    </w:rPr>
  </w:style>
  <w:style w:type="character" w:styleId="1524">
    <w:name w:val="明显强调"/>
    <w:next w:val="1524"/>
    <w:link w:val="1044"/>
    <w:qFormat/>
    <w:rPr>
      <w:rFonts w:ascii="Calibri" w:hAnsi="Calibri" w:eastAsia="宋体" w:cs="Times New Roman"/>
      <w:b/>
      <w:bCs/>
      <w:i/>
      <w:iCs/>
      <w:color w:val="4f81bd"/>
    </w:rPr>
  </w:style>
  <w:style w:type="character" w:styleId="1525">
    <w:name w:val="Footer Char"/>
    <w:next w:val="1525"/>
    <w:link w:val="1044"/>
    <w:rPr>
      <w:rFonts w:ascii="Calibri" w:hAnsi="Calibri" w:eastAsia="宋体" w:cs="Times New Roman"/>
      <w:sz w:val="18"/>
      <w:szCs w:val="18"/>
      <w:lang w:val="en-US" w:eastAsia="zh-CN" w:bidi="ar-SA"/>
    </w:rPr>
  </w:style>
  <w:style w:type="character" w:styleId="1526">
    <w:name w:val="不明显参考"/>
    <w:next w:val="1526"/>
    <w:link w:val="1044"/>
    <w:qFormat/>
    <w:rPr>
      <w:rFonts w:ascii="Calibri" w:hAnsi="Calibri" w:eastAsia="宋体" w:cs="Times New Roman"/>
      <w:smallCaps/>
      <w:color w:val="c0504d"/>
      <w:u w:val="single"/>
    </w:rPr>
  </w:style>
  <w:style w:type="character" w:styleId="1527">
    <w:name w:val="批注框文本 Char2"/>
    <w:next w:val="1527"/>
    <w:link w:val="1044"/>
    <w:uiPriority w:val="99"/>
    <w:semiHidden/>
    <w:rPr>
      <w:rFonts w:ascii="Calibri" w:hAnsi="Calibri" w:eastAsia="宋体" w:cs="Times New Roman"/>
      <w:sz w:val="18"/>
      <w:szCs w:val="18"/>
    </w:rPr>
  </w:style>
  <w:style w:type="character" w:styleId="1528">
    <w:name w:val="06正文 Char"/>
    <w:next w:val="1528"/>
    <w:link w:val="1529"/>
    <w:rPr>
      <w:rFonts w:ascii="宋体" w:hAnsi="宋体"/>
      <w:szCs w:val="21"/>
    </w:rPr>
  </w:style>
  <w:style w:type="paragraph" w:styleId="1529">
    <w:name w:val="06正文"/>
    <w:basedOn w:val="1044"/>
    <w:next w:val="1529"/>
    <w:link w:val="1528"/>
    <w:qFormat/>
    <w:pPr>
      <w:ind w:firstLine="420"/>
      <w:spacing w:line="360" w:lineRule="auto"/>
      <w:widowControl/>
    </w:pPr>
    <w:rPr>
      <w:rFonts w:ascii="宋体" w:hAnsi="宋体"/>
      <w:sz w:val="20"/>
      <w:szCs w:val="21"/>
    </w:rPr>
  </w:style>
  <w:style w:type="character" w:styleId="1530">
    <w:name w:val="批注主题 Char2"/>
    <w:next w:val="1530"/>
    <w:link w:val="1044"/>
    <w:rPr>
      <w:rFonts w:ascii="Calibri" w:hAnsi="Calibri" w:eastAsia="宋体" w:cs="Times New Roman"/>
      <w:b/>
      <w:bCs/>
    </w:rPr>
  </w:style>
  <w:style w:type="character" w:styleId="1531">
    <w:name w:val="正文文本缩进 3 Char1"/>
    <w:next w:val="1531"/>
    <w:link w:val="1044"/>
    <w:semiHidden/>
    <w:rPr>
      <w:rFonts w:ascii="Times New Roman" w:hAnsi="Times New Roman" w:eastAsia="宋体" w:cs="Times New Roman"/>
      <w:sz w:val="16"/>
      <w:szCs w:val="16"/>
      <w:lang w:val="en-US" w:eastAsia="zh-CN" w:bidi="ar-SA"/>
    </w:rPr>
  </w:style>
  <w:style w:type="character" w:styleId="1532">
    <w:name w:val="icon-read"/>
    <w:next w:val="1532"/>
    <w:link w:val="1044"/>
    <w:rPr>
      <w:rFonts w:ascii="宋体" w:hAnsi="宋体" w:eastAsia="宋体" w:cs="Times New Roman"/>
      <w:sz w:val="24"/>
      <w:szCs w:val="24"/>
      <w:lang w:val="en-US" w:eastAsia="zh-CN" w:bidi="ar-SA"/>
    </w:rPr>
  </w:style>
  <w:style w:type="character" w:styleId="1533">
    <w:name w:val="批注文字 Char4"/>
    <w:next w:val="1533"/>
    <w:link w:val="1044"/>
    <w:uiPriority w:val="99"/>
    <w:semiHidden/>
    <w:rPr>
      <w:rFonts w:ascii="Times New Roman" w:hAnsi="Times New Roman" w:eastAsia="宋体" w:cs="Times New Roman"/>
      <w:sz w:val="21"/>
      <w:szCs w:val="24"/>
    </w:rPr>
  </w:style>
  <w:style w:type="character" w:styleId="1534">
    <w:name w:val="正文文本缩进 2 Char2"/>
    <w:next w:val="1534"/>
    <w:link w:val="1044"/>
    <w:uiPriority w:val="99"/>
    <w:semiHidden/>
    <w:rPr>
      <w:rFonts w:ascii="Times New Roman" w:hAnsi="Times New Roman" w:eastAsia="宋体" w:cs="Times New Roman"/>
      <w:sz w:val="21"/>
      <w:szCs w:val="24"/>
    </w:rPr>
  </w:style>
  <w:style w:type="character" w:styleId="1535">
    <w:name w:val="正文首行缩进 Char1"/>
    <w:next w:val="1535"/>
    <w:link w:val="1044"/>
    <w:uiPriority w:val="99"/>
    <w:semiHidden/>
    <w:rPr>
      <w:rFonts w:ascii="Calibri" w:hAnsi="Calibri" w:eastAsia="宋体" w:cs="Times New Roman"/>
    </w:rPr>
  </w:style>
  <w:style w:type="character" w:styleId="1536">
    <w:name w:val="正文文本 3 Char1"/>
    <w:next w:val="1536"/>
    <w:link w:val="1044"/>
    <w:uiPriority w:val="99"/>
    <w:semiHidden/>
    <w:rPr>
      <w:rFonts w:ascii="Times New Roman" w:hAnsi="Times New Roman" w:eastAsia="宋体" w:cs="Times New Roman"/>
      <w:sz w:val="16"/>
      <w:szCs w:val="16"/>
    </w:rPr>
  </w:style>
  <w:style w:type="character" w:styleId="1537">
    <w:name w:val="HTML 预设格式 Char1"/>
    <w:next w:val="1537"/>
    <w:link w:val="1044"/>
    <w:uiPriority w:val="99"/>
    <w:semiHidden/>
    <w:rPr>
      <w:rFonts w:ascii="Courier New" w:hAnsi="Courier New" w:eastAsia="宋体" w:cs="Courier New"/>
    </w:rPr>
  </w:style>
  <w:style w:type="character" w:styleId="1538">
    <w:name w:val="正文文本缩进 3 Char2"/>
    <w:next w:val="1538"/>
    <w:link w:val="1044"/>
    <w:uiPriority w:val="99"/>
    <w:semiHidden/>
    <w:rPr>
      <w:rFonts w:ascii="Times New Roman" w:hAnsi="Times New Roman" w:eastAsia="宋体" w:cs="Times New Roman"/>
      <w:sz w:val="16"/>
      <w:szCs w:val="16"/>
    </w:rPr>
  </w:style>
  <w:style w:type="character" w:styleId="1539">
    <w:name w:val="脚注文本 Char2"/>
    <w:next w:val="1539"/>
    <w:link w:val="1044"/>
    <w:uiPriority w:val="99"/>
    <w:semiHidden/>
    <w:rPr>
      <w:rFonts w:ascii="Times New Roman" w:hAnsi="Times New Roman" w:eastAsia="宋体" w:cs="Times New Roman"/>
      <w:sz w:val="18"/>
      <w:szCs w:val="18"/>
    </w:rPr>
  </w:style>
  <w:style w:type="character" w:styleId="1540">
    <w:name w:val="正文首行缩进 2 Char1"/>
    <w:next w:val="1540"/>
    <w:link w:val="1044"/>
    <w:uiPriority w:val="99"/>
    <w:semiHidden/>
    <w:rPr>
      <w:rFonts w:ascii="Calibri" w:hAnsi="Calibri" w:eastAsia="宋体" w:cs="Times New Roman"/>
    </w:rPr>
  </w:style>
  <w:style w:type="character" w:styleId="1541">
    <w:name w:val="纯文本 Char2"/>
    <w:next w:val="1541"/>
    <w:link w:val="1044"/>
    <w:uiPriority w:val="99"/>
    <w:semiHidden/>
    <w:rPr>
      <w:rFonts w:ascii="宋体" w:hAnsi="Courier New" w:eastAsia="宋体" w:cs="Courier New"/>
      <w:sz w:val="21"/>
      <w:szCs w:val="21"/>
    </w:rPr>
  </w:style>
  <w:style w:type="character" w:styleId="1542">
    <w:name w:val="文档结构图 Char3"/>
    <w:next w:val="1542"/>
    <w:link w:val="1044"/>
    <w:uiPriority w:val="99"/>
    <w:semiHidden/>
    <w:rPr>
      <w:rFonts w:ascii="宋体" w:hAnsi="Times New Roman" w:eastAsia="宋体" w:cs="Times New Roman"/>
      <w:sz w:val="18"/>
      <w:szCs w:val="18"/>
    </w:rPr>
  </w:style>
  <w:style w:type="character" w:styleId="1543">
    <w:name w:val="正文文本 2 Char1"/>
    <w:next w:val="1543"/>
    <w:link w:val="1044"/>
    <w:uiPriority w:val="99"/>
    <w:semiHidden/>
    <w:rPr>
      <w:rFonts w:ascii="Times New Roman" w:hAnsi="Times New Roman" w:eastAsia="宋体" w:cs="Times New Roman"/>
      <w:sz w:val="21"/>
      <w:szCs w:val="24"/>
    </w:rPr>
  </w:style>
  <w:style w:type="character" w:styleId="1544">
    <w:name w:val="页眉 Char1"/>
    <w:next w:val="1544"/>
    <w:link w:val="1044"/>
    <w:uiPriority w:val="99"/>
    <w:semiHidden/>
    <w:rPr>
      <w:rFonts w:ascii="Times New Roman" w:hAnsi="Times New Roman" w:eastAsia="宋体" w:cs="Times New Roman"/>
      <w:sz w:val="18"/>
      <w:szCs w:val="18"/>
    </w:rPr>
  </w:style>
  <w:style w:type="character" w:styleId="1545">
    <w:name w:val="日期 Char3"/>
    <w:next w:val="1545"/>
    <w:link w:val="1044"/>
    <w:uiPriority w:val="99"/>
    <w:semiHidden/>
    <w:rPr>
      <w:rFonts w:ascii="Times New Roman" w:hAnsi="Times New Roman" w:eastAsia="宋体" w:cs="Times New Roman"/>
      <w:sz w:val="21"/>
      <w:szCs w:val="24"/>
    </w:rPr>
  </w:style>
  <w:style w:type="paragraph" w:styleId="1546">
    <w:name w:val="style2"/>
    <w:basedOn w:val="1044"/>
    <w:next w:val="1546"/>
    <w:link w:val="1044"/>
    <w:pPr>
      <w:jc w:val="left"/>
      <w:spacing w:before="100" w:beforeAutospacing="1" w:after="100" w:afterAutospacing="1"/>
      <w:widowControl/>
    </w:pPr>
    <w:rPr>
      <w:rFonts w:hint="eastAsia" w:ascii="宋体" w:hAnsi="宋体" w:cs="Arial Unicode MS"/>
      <w:sz w:val="18"/>
      <w:szCs w:val="18"/>
    </w:rPr>
  </w:style>
  <w:style w:type="character" w:styleId="1547">
    <w:name w:val="标题 Char3"/>
    <w:next w:val="1547"/>
    <w:link w:val="1044"/>
    <w:uiPriority w:val="10"/>
    <w:rPr>
      <w:rFonts w:ascii="Cambria" w:hAnsi="Cambria" w:eastAsia="宋体" w:cs="Times New Roman"/>
      <w:b/>
      <w:bCs/>
      <w:sz w:val="32"/>
      <w:szCs w:val="32"/>
    </w:rPr>
  </w:style>
  <w:style w:type="character" w:styleId="1548">
    <w:name w:val="批注框文本 Char3"/>
    <w:next w:val="1548"/>
    <w:link w:val="1044"/>
    <w:uiPriority w:val="99"/>
    <w:semiHidden/>
    <w:rPr>
      <w:rFonts w:ascii="Times New Roman" w:hAnsi="Times New Roman" w:eastAsia="宋体" w:cs="Times New Roman"/>
      <w:sz w:val="18"/>
      <w:szCs w:val="18"/>
    </w:rPr>
  </w:style>
  <w:style w:type="character" w:styleId="1549">
    <w:name w:val="批注主题 Char3"/>
    <w:next w:val="1549"/>
    <w:link w:val="1044"/>
    <w:uiPriority w:val="99"/>
    <w:semiHidden/>
    <w:rPr>
      <w:rFonts w:ascii="Times New Roman" w:hAnsi="Times New Roman" w:eastAsia="宋体" w:cs="Times New Roman"/>
      <w:b/>
      <w:bCs/>
      <w:sz w:val="21"/>
      <w:szCs w:val="24"/>
    </w:rPr>
  </w:style>
  <w:style w:type="character" w:styleId="1550">
    <w:name w:val="副标题 Char2"/>
    <w:next w:val="1550"/>
    <w:link w:val="1044"/>
    <w:uiPriority w:val="11"/>
    <w:rPr>
      <w:rFonts w:ascii="Cambria" w:hAnsi="Cambria" w:eastAsia="宋体" w:cs="Times New Roman"/>
      <w:b/>
      <w:bCs/>
      <w:sz w:val="32"/>
      <w:szCs w:val="32"/>
    </w:rPr>
  </w:style>
  <w:style w:type="character" w:styleId="1551">
    <w:name w:val="页脚 Char1"/>
    <w:next w:val="1551"/>
    <w:link w:val="1044"/>
    <w:uiPriority w:val="99"/>
    <w:semiHidden/>
    <w:rPr>
      <w:rFonts w:ascii="Times New Roman" w:hAnsi="Times New Roman" w:eastAsia="宋体" w:cs="Times New Roman"/>
      <w:sz w:val="18"/>
      <w:szCs w:val="18"/>
    </w:rPr>
  </w:style>
  <w:style w:type="paragraph" w:styleId="1552">
    <w:name w:val="z-Bottom of Form"/>
    <w:next w:val="1044"/>
    <w:link w:val="1044"/>
    <w:pPr>
      <w:jc w:val="center"/>
      <w:widowControl w:val="off"/>
      <w:pBdr>
        <w:top w:val="single" w:color="000000" w:sz="2" w:space="0"/>
      </w:pBdr>
    </w:pPr>
    <w:rPr>
      <w:rFonts w:ascii="Arial" w:hAnsi="Arial"/>
      <w:vanish/>
      <w:sz w:val="16"/>
      <w:lang w:val="en-US" w:eastAsia="zh-CN" w:bidi="ar-SA"/>
    </w:rPr>
  </w:style>
  <w:style w:type="paragraph" w:styleId="1553">
    <w:name w:val="H5"/>
    <w:basedOn w:val="1044"/>
    <w:next w:val="1044"/>
    <w:link w:val="1044"/>
    <w:pPr>
      <w:jc w:val="left"/>
      <w:keepNext/>
      <w:spacing w:before="100" w:after="100"/>
      <w:outlineLvl w:val="5"/>
    </w:pPr>
    <w:rPr>
      <w:b/>
      <w:sz w:val="20"/>
      <w:szCs w:val="20"/>
    </w:rPr>
  </w:style>
  <w:style w:type="paragraph" w:styleId="1554">
    <w:name w:val="表头"/>
    <w:basedOn w:val="1073"/>
    <w:next w:val="1554"/>
    <w:link w:val="1044"/>
    <w:pPr>
      <w:jc w:val="center"/>
      <w:keepLines/>
      <w:keepNext/>
      <w:spacing w:before="120" w:after="120" w:line="300" w:lineRule="auto"/>
      <w:widowControl/>
    </w:pPr>
    <w:rPr>
      <w:rFonts w:cs="Times New Roman"/>
      <w:sz w:val="21"/>
    </w:rPr>
  </w:style>
  <w:style w:type="paragraph" w:styleId="1555">
    <w:name w:val="文档正文"/>
    <w:basedOn w:val="1044"/>
    <w:next w:val="1555"/>
    <w:link w:val="1044"/>
    <w:pPr>
      <w:ind w:firstLine="567"/>
      <w:spacing w:line="500" w:lineRule="exact"/>
    </w:pPr>
    <w:rPr>
      <w:rFonts w:ascii="仿宋_GB2312" w:hAnsi="Times New Roman" w:eastAsia="仿宋_GB2312"/>
      <w:sz w:val="28"/>
      <w:szCs w:val="20"/>
    </w:rPr>
  </w:style>
  <w:style w:type="paragraph" w:styleId="1556">
    <w:name w:val="Char Char2 Char Char"/>
    <w:basedOn w:val="1044"/>
    <w:next w:val="1556"/>
    <w:link w:val="1044"/>
    <w:rPr>
      <w:rFonts w:ascii="Tahoma" w:hAnsi="Tahoma"/>
      <w:sz w:val="24"/>
      <w:szCs w:val="20"/>
    </w:rPr>
  </w:style>
  <w:style w:type="paragraph" w:styleId="1557">
    <w:name w:val="Char Char Char Char Char Char1 Char"/>
    <w:basedOn w:val="1044"/>
    <w:next w:val="1557"/>
    <w:link w:val="1044"/>
    <w:rPr>
      <w:rFonts w:ascii="Tahoma" w:hAnsi="Tahoma"/>
      <w:sz w:val="24"/>
      <w:szCs w:val="20"/>
    </w:rPr>
  </w:style>
  <w:style w:type="paragraph" w:styleId="1558">
    <w:name w:val="H4"/>
    <w:basedOn w:val="1044"/>
    <w:next w:val="1044"/>
    <w:link w:val="1044"/>
    <w:pPr>
      <w:jc w:val="left"/>
      <w:keepNext/>
      <w:spacing w:before="100" w:after="100"/>
      <w:outlineLvl w:val="4"/>
    </w:pPr>
    <w:rPr>
      <w:b/>
      <w:sz w:val="24"/>
      <w:szCs w:val="20"/>
    </w:rPr>
  </w:style>
  <w:style w:type="paragraph" w:styleId="1559">
    <w:name w:val="font9"/>
    <w:basedOn w:val="1044"/>
    <w:next w:val="1559"/>
    <w:link w:val="1044"/>
    <w:pPr>
      <w:jc w:val="left"/>
      <w:spacing w:before="100" w:beforeAutospacing="1" w:after="100" w:afterAutospacing="1"/>
      <w:widowControl/>
    </w:pPr>
    <w:rPr>
      <w:rFonts w:ascii="宋体" w:hAnsi="宋体" w:cs="宋体"/>
      <w:sz w:val="22"/>
    </w:rPr>
  </w:style>
  <w:style w:type="paragraph" w:styleId="1560">
    <w:name w:val="xl66"/>
    <w:basedOn w:val="1044"/>
    <w:next w:val="1560"/>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1">
    <w:name w:val="修订"/>
    <w:next w:val="1561"/>
    <w:link w:val="1044"/>
    <w:uiPriority w:val="99"/>
    <w:unhideWhenUsed/>
    <w:rPr>
      <w:rFonts w:ascii="Times New Roman" w:hAnsi="Times New Roman"/>
      <w:sz w:val="21"/>
      <w:szCs w:val="24"/>
      <w:lang w:val="en-US" w:eastAsia="zh-CN" w:bidi="ar-SA"/>
    </w:rPr>
  </w:style>
  <w:style w:type="paragraph" w:styleId="1562">
    <w:name w:val="默认段落字体 Para Char Char Char Char Char Char Char"/>
    <w:basedOn w:val="1075"/>
    <w:next w:val="1562"/>
    <w:link w:val="1044"/>
    <w:pPr>
      <w:ind w:left="357"/>
      <w:jc w:val="left"/>
      <w:spacing w:line="436" w:lineRule="exact"/>
      <w:outlineLvl w:val="3"/>
    </w:pPr>
    <w:rPr>
      <w:rFonts w:ascii="Tahoma" w:hAnsi="Tahoma"/>
      <w:b/>
      <w:sz w:val="24"/>
      <w:lang w:val="en-US" w:eastAsia="zh-CN"/>
    </w:rPr>
  </w:style>
  <w:style w:type="paragraph" w:styleId="1563">
    <w:name w:val="正文_0"/>
    <w:next w:val="1563"/>
    <w:link w:val="1044"/>
    <w:qFormat/>
    <w:pPr>
      <w:jc w:val="both"/>
      <w:widowControl w:val="off"/>
    </w:pPr>
    <w:rPr>
      <w:rFonts w:ascii="Times New Roman" w:hAnsi="Times New Roman"/>
      <w:sz w:val="21"/>
      <w:szCs w:val="22"/>
      <w:lang w:val="en-US" w:eastAsia="zh-CN" w:bidi="ar-SA"/>
    </w:rPr>
  </w:style>
  <w:style w:type="paragraph" w:styleId="1564">
    <w:name w:val="wfxRecipient"/>
    <w:basedOn w:val="1044"/>
    <w:next w:val="1564"/>
    <w:link w:val="1044"/>
    <w:pPr>
      <w:jc w:val="left"/>
      <w:widowControl/>
    </w:pPr>
    <w:rPr>
      <w:rFonts w:ascii="Times New Roman" w:hAnsi="Times New Roman"/>
      <w:sz w:val="20"/>
      <w:szCs w:val="20"/>
      <w:lang w:eastAsia="en-US"/>
    </w:rPr>
  </w:style>
  <w:style w:type="paragraph" w:styleId="1565">
    <w:name w:val="a1"/>
    <w:basedOn w:val="1044"/>
    <w:next w:val="1565"/>
    <w:link w:val="1044"/>
    <w:pPr>
      <w:jc w:val="left"/>
      <w:spacing w:before="100" w:beforeAutospacing="1" w:after="100" w:afterAutospacing="1"/>
      <w:widowControl/>
    </w:pPr>
    <w:rPr>
      <w:rFonts w:ascii="宋体" w:hAnsi="宋体" w:cs="宋体"/>
      <w:sz w:val="24"/>
      <w:szCs w:val="24"/>
    </w:rPr>
  </w:style>
  <w:style w:type="paragraph" w:styleId="1566">
    <w:name w:val="正文编号1级"/>
    <w:basedOn w:val="1133"/>
    <w:next w:val="1566"/>
    <w:link w:val="1044"/>
    <w:qFormat/>
    <w:pPr>
      <w:ind w:left="840" w:hanging="420"/>
      <w:spacing w:line="300" w:lineRule="auto"/>
      <w:tabs>
        <w:tab w:val="left" w:pos="840" w:leader="none"/>
      </w:tabs>
    </w:pPr>
    <w:rPr>
      <w:rFonts w:ascii="宋体"/>
      <w:szCs w:val="21"/>
      <w:lang w:val="en-US" w:eastAsia="zh-CN"/>
    </w:rPr>
  </w:style>
  <w:style w:type="paragraph" w:styleId="1567">
    <w:name w:val="Char Char1 Char Char Char Char Char Char Char"/>
    <w:basedOn w:val="1044"/>
    <w:next w:val="1567"/>
    <w:link w:val="1044"/>
    <w:rPr>
      <w:rFonts w:ascii="Times New Roman" w:hAnsi="Times New Roman" w:eastAsia="楷体_GB2312"/>
      <w:sz w:val="26"/>
      <w:szCs w:val="20"/>
    </w:rPr>
  </w:style>
  <w:style w:type="paragraph" w:styleId="1568">
    <w:name w:val="_Style 37"/>
    <w:basedOn w:val="1044"/>
    <w:next w:val="1044"/>
    <w:link w:val="1044"/>
    <w:rPr>
      <w:rFonts w:ascii="Times New Roman" w:hAnsi="Times New Roman"/>
      <w:szCs w:val="24"/>
    </w:rPr>
  </w:style>
  <w:style w:type="paragraph" w:styleId="1569">
    <w:name w:val="H6"/>
    <w:basedOn w:val="1044"/>
    <w:next w:val="1044"/>
    <w:link w:val="1044"/>
    <w:pPr>
      <w:jc w:val="left"/>
      <w:keepNext/>
      <w:spacing w:before="100" w:after="100"/>
      <w:outlineLvl w:val="6"/>
    </w:pPr>
    <w:rPr>
      <w:b/>
      <w:sz w:val="16"/>
      <w:szCs w:val="20"/>
    </w:rPr>
  </w:style>
  <w:style w:type="paragraph" w:styleId="1570">
    <w:name w:val="p1"/>
    <w:basedOn w:val="1044"/>
    <w:next w:val="1570"/>
    <w:link w:val="1044"/>
    <w:pPr>
      <w:jc w:val="left"/>
      <w:spacing w:before="100" w:beforeAutospacing="1" w:after="100" w:afterAutospacing="1"/>
      <w:widowControl/>
    </w:pPr>
    <w:rPr>
      <w:rFonts w:ascii="宋体" w:hAnsi="宋体" w:cs="宋体"/>
      <w:sz w:val="24"/>
      <w:szCs w:val="24"/>
    </w:rPr>
  </w:style>
  <w:style w:type="paragraph" w:styleId="1571">
    <w:name w:val="样式 样式 标题 2 + (中文) 宋体 小四 非加粗 段前: 0 磅 段后: 0 磅 行距: 单倍行距 + 行距: 固定值 2..."/>
    <w:basedOn w:val="1044"/>
    <w:next w:val="1571"/>
    <w:link w:val="1044"/>
    <w:pPr>
      <w:numPr>
        <w:ilvl w:val="1"/>
        <w:numId w:val="10"/>
      </w:numPr>
      <w:ind w:left="360"/>
      <w:keepLines/>
      <w:keepNext/>
      <w:spacing w:before="120" w:after="120" w:line="400" w:lineRule="atLeast"/>
      <w:tabs>
        <w:tab w:val="left" w:pos="780" w:leader="none"/>
      </w:tabs>
      <w:outlineLvl w:val="1"/>
    </w:pPr>
    <w:rPr>
      <w:rFonts w:ascii="Arial" w:hAnsi="Arial"/>
      <w:b/>
      <w:sz w:val="28"/>
      <w:szCs w:val="30"/>
    </w:rPr>
  </w:style>
  <w:style w:type="paragraph" w:styleId="1572">
    <w:name w:val="xl103"/>
    <w:basedOn w:val="1044"/>
    <w:next w:val="1572"/>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73">
    <w:name w:val="标题 4_0"/>
    <w:basedOn w:val="1563"/>
    <w:next w:val="1563"/>
    <w:link w:val="1044"/>
    <w:pPr>
      <w:keepLines/>
      <w:keepNext/>
      <w:spacing w:before="280" w:after="290" w:line="372" w:lineRule="auto"/>
      <w:outlineLvl w:val="3"/>
    </w:pPr>
    <w:rPr>
      <w:rFonts w:ascii="Cambria" w:hAnsi="Cambria"/>
      <w:b/>
      <w:bCs/>
      <w:sz w:val="28"/>
      <w:szCs w:val="28"/>
    </w:rPr>
  </w:style>
  <w:style w:type="paragraph" w:styleId="1574">
    <w:name w:val="H1"/>
    <w:basedOn w:val="1044"/>
    <w:next w:val="1044"/>
    <w:link w:val="1044"/>
    <w:pPr>
      <w:jc w:val="left"/>
      <w:keepNext/>
      <w:spacing w:before="100" w:after="100"/>
      <w:outlineLvl w:val="1"/>
    </w:pPr>
    <w:rPr>
      <w:b/>
      <w:sz w:val="48"/>
      <w:szCs w:val="20"/>
    </w:rPr>
  </w:style>
  <w:style w:type="paragraph" w:styleId="1575">
    <w:name w:val="样式 标题 3 + 小四 非加粗 段前: 0 磅 段后: 0 磅 行距: 单倍行距"/>
    <w:basedOn w:val="1047"/>
    <w:next w:val="1575"/>
    <w:link w:val="1044"/>
    <w:pPr>
      <w:numPr>
        <w:ilvl w:val="2"/>
        <w:numId w:val="11"/>
      </w:numPr>
      <w:spacing w:before="120" w:after="120"/>
      <w:tabs>
        <w:tab w:val="left" w:pos="240" w:leader="none"/>
      </w:tabs>
    </w:pPr>
    <w:rPr>
      <w:rFonts w:ascii="Times New Roman" w:hAnsi="Times New Roman"/>
      <w:b w:val="0"/>
      <w:color w:val="000000"/>
      <w:sz w:val="24"/>
      <w:szCs w:val="20"/>
      <w:lang w:val="en-US" w:eastAsia="zh-CN"/>
    </w:rPr>
  </w:style>
  <w:style w:type="character" w:styleId="1576">
    <w:name w:val="明显引用 Char3"/>
    <w:next w:val="1576"/>
    <w:link w:val="1044"/>
    <w:uiPriority w:val="30"/>
    <w:rPr>
      <w:rFonts w:ascii="Times New Roman" w:hAnsi="Times New Roman" w:eastAsia="宋体" w:cs="Times New Roman"/>
      <w:b/>
      <w:bCs/>
      <w:i/>
      <w:iCs/>
      <w:color w:val="4f81bd"/>
      <w:sz w:val="21"/>
      <w:szCs w:val="24"/>
    </w:rPr>
  </w:style>
  <w:style w:type="paragraph" w:styleId="1577">
    <w:name w:val="xl71"/>
    <w:basedOn w:val="1044"/>
    <w:next w:val="1577"/>
    <w:link w:val="10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78">
    <w:name w:val="Char Char Char Char Char Char Char Char Char Char Char Char Char Char Char Char"/>
    <w:basedOn w:val="1044"/>
    <w:next w:val="1578"/>
    <w:link w:val="1044"/>
    <w:pPr>
      <w:tabs>
        <w:tab w:val="left" w:pos="360" w:leader="none"/>
      </w:tabs>
    </w:pPr>
    <w:rPr>
      <w:rFonts w:ascii="Times New Roman" w:hAnsi="Times New Roman"/>
      <w:sz w:val="24"/>
      <w:szCs w:val="24"/>
    </w:rPr>
  </w:style>
  <w:style w:type="paragraph" w:styleId="1579">
    <w:name w:val="2-2ji"/>
    <w:basedOn w:val="1046"/>
    <w:next w:val="1579"/>
    <w:link w:val="1044"/>
    <w:pPr>
      <w:jc w:val="center"/>
      <w:spacing w:before="0" w:after="0" w:line="360" w:lineRule="auto"/>
    </w:pPr>
    <w:rPr>
      <w:rFonts w:ascii="宋体" w:hAnsi="宋体"/>
      <w:sz w:val="36"/>
      <w:szCs w:val="24"/>
      <w:lang w:val="en-US" w:eastAsia="zh-CN"/>
    </w:rPr>
  </w:style>
  <w:style w:type="paragraph" w:styleId="1580">
    <w:name w:val="p17"/>
    <w:basedOn w:val="1044"/>
    <w:next w:val="1580"/>
    <w:link w:val="1044"/>
    <w:pPr>
      <w:widowControl/>
    </w:pPr>
    <w:rPr>
      <w:rFonts w:ascii="Times New Roman" w:hAnsi="Times New Roman"/>
      <w:szCs w:val="21"/>
    </w:rPr>
  </w:style>
  <w:style w:type="paragraph" w:styleId="1581">
    <w:name w:val="xl24"/>
    <w:basedOn w:val="1044"/>
    <w:next w:val="1581"/>
    <w:link w:val="1044"/>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582">
    <w:name w:val="p0"/>
    <w:basedOn w:val="1044"/>
    <w:next w:val="1582"/>
    <w:link w:val="1044"/>
    <w:pPr>
      <w:numPr>
        <w:ilvl w:val="0"/>
        <w:numId w:val="12"/>
      </w:numPr>
      <w:ind w:left="0" w:firstLine="0"/>
      <w:widowControl/>
    </w:pPr>
    <w:rPr>
      <w:rFonts w:ascii="Times New Roman" w:hAnsi="Times New Roman"/>
      <w:szCs w:val="21"/>
    </w:rPr>
  </w:style>
  <w:style w:type="paragraph" w:styleId="1583">
    <w:name w:val="无间隔1"/>
    <w:next w:val="1583"/>
    <w:link w:val="1044"/>
    <w:pPr>
      <w:jc w:val="both"/>
      <w:widowControl w:val="off"/>
    </w:pPr>
    <w:rPr>
      <w:rFonts w:ascii="Times New Roman" w:hAnsi="Times New Roman"/>
      <w:sz w:val="21"/>
      <w:szCs w:val="24"/>
      <w:lang w:val="en-US" w:eastAsia="zh-CN" w:bidi="ar-SA"/>
    </w:rPr>
  </w:style>
  <w:style w:type="paragraph" w:styleId="1584">
    <w:name w:val="Pa1"/>
    <w:basedOn w:val="1044"/>
    <w:next w:val="1044"/>
    <w:link w:val="1044"/>
    <w:pPr>
      <w:jc w:val="left"/>
      <w:spacing w:line="241" w:lineRule="atLeast"/>
    </w:pPr>
    <w:rPr>
      <w:rFonts w:ascii="华文细黑" w:hAnsi="Times New Roman" w:eastAsia="华文细黑"/>
      <w:sz w:val="24"/>
      <w:szCs w:val="24"/>
    </w:rPr>
  </w:style>
  <w:style w:type="paragraph" w:styleId="1585">
    <w:name w:val="Char1"/>
    <w:basedOn w:val="1075"/>
    <w:next w:val="1585"/>
    <w:link w:val="1044"/>
    <w:pPr>
      <w:ind w:left="357"/>
      <w:jc w:val="left"/>
      <w:spacing w:line="436" w:lineRule="exact"/>
      <w:outlineLvl w:val="3"/>
    </w:pPr>
    <w:rPr>
      <w:rFonts w:ascii="Tahoma" w:hAnsi="Tahoma"/>
      <w:b/>
      <w:sz w:val="24"/>
      <w:lang w:val="en-US" w:eastAsia="zh-CN"/>
    </w:rPr>
  </w:style>
  <w:style w:type="paragraph" w:styleId="1586">
    <w:name w:val="pa-14"/>
    <w:basedOn w:val="1044"/>
    <w:next w:val="1586"/>
    <w:link w:val="1044"/>
    <w:pPr>
      <w:jc w:val="left"/>
      <w:spacing w:before="100" w:beforeAutospacing="1" w:after="100" w:afterAutospacing="1"/>
      <w:widowControl/>
    </w:pPr>
    <w:rPr>
      <w:rFonts w:ascii="宋体" w:hAnsi="宋体" w:cs="宋体"/>
      <w:sz w:val="24"/>
      <w:szCs w:val="24"/>
    </w:rPr>
  </w:style>
  <w:style w:type="paragraph" w:styleId="1587">
    <w:name w:val="空半行"/>
    <w:basedOn w:val="1044"/>
    <w:next w:val="1587"/>
    <w:link w:val="1044"/>
    <w:pPr>
      <w:spacing w:line="120" w:lineRule="exact"/>
    </w:pPr>
    <w:rPr>
      <w:rFonts w:ascii="Times New Roman" w:hAnsi="Times New Roman" w:eastAsia="仿宋_GB2312"/>
      <w:color w:val="ffffff"/>
      <w:sz w:val="30"/>
      <w:szCs w:val="20"/>
    </w:rPr>
  </w:style>
  <w:style w:type="paragraph" w:styleId="1588">
    <w:name w:val="分发表内容"/>
    <w:basedOn w:val="1044"/>
    <w:next w:val="1588"/>
    <w:link w:val="1044"/>
    <w:pPr>
      <w:jc w:val="center"/>
      <w:spacing w:before="120" w:after="120"/>
    </w:pPr>
    <w:rPr>
      <w:rFonts w:ascii="昆仑仿宋" w:hAnsi="Times New Roman" w:eastAsia="昆仑仿宋"/>
      <w:szCs w:val="20"/>
    </w:rPr>
  </w:style>
  <w:style w:type="paragraph" w:styleId="1589">
    <w:name w:val="Table Paragraph"/>
    <w:basedOn w:val="1044"/>
    <w:next w:val="1589"/>
    <w:link w:val="1044"/>
    <w:uiPriority w:val="1"/>
    <w:qFormat/>
    <w:pPr>
      <w:jc w:val="left"/>
    </w:pPr>
    <w:rPr>
      <w:rFonts w:ascii="宋体" w:hAnsi="宋体" w:cs="宋体"/>
      <w:sz w:val="22"/>
      <w:lang w:val="zh-CN" w:bidi="zh-CN"/>
    </w:rPr>
  </w:style>
  <w:style w:type="paragraph" w:styleId="1590">
    <w:name w:val="样式 表格正文 + 两端对齐"/>
    <w:basedOn w:val="1044"/>
    <w:next w:val="1590"/>
    <w:link w:val="1044"/>
    <w:pPr>
      <w:spacing w:line="300" w:lineRule="auto"/>
    </w:pPr>
    <w:rPr>
      <w:rFonts w:ascii="Times New Roman" w:hAnsi="Times New Roman"/>
      <w:sz w:val="24"/>
      <w:szCs w:val="20"/>
    </w:rPr>
  </w:style>
  <w:style w:type="paragraph" w:styleId="1591">
    <w:name w:val="正文段"/>
    <w:basedOn w:val="1044"/>
    <w:next w:val="1591"/>
    <w:link w:val="1044"/>
    <w:pPr>
      <w:ind w:firstLine="200"/>
      <w:spacing w:after="50"/>
      <w:widowControl/>
    </w:pPr>
    <w:rPr>
      <w:rFonts w:ascii="Times New Roman" w:hAnsi="Times New Roman"/>
      <w:sz w:val="24"/>
      <w:szCs w:val="20"/>
    </w:rPr>
  </w:style>
  <w:style w:type="paragraph" w:styleId="1592">
    <w:name w:val="Pa3"/>
    <w:basedOn w:val="1044"/>
    <w:next w:val="1044"/>
    <w:link w:val="1044"/>
    <w:pPr>
      <w:jc w:val="left"/>
      <w:spacing w:line="181" w:lineRule="atLeast"/>
    </w:pPr>
    <w:rPr>
      <w:rFonts w:ascii="微软雅黑." w:hAnsi="Times New Roman" w:eastAsia="微软雅黑."/>
      <w:sz w:val="24"/>
      <w:szCs w:val="24"/>
    </w:rPr>
  </w:style>
  <w:style w:type="paragraph" w:styleId="1593">
    <w:name w:val="xl104"/>
    <w:basedOn w:val="1044"/>
    <w:next w:val="1593"/>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4">
    <w:name w:val="H2"/>
    <w:basedOn w:val="1044"/>
    <w:next w:val="1044"/>
    <w:link w:val="1044"/>
    <w:pPr>
      <w:jc w:val="left"/>
      <w:keepNext/>
      <w:spacing w:before="100" w:after="100"/>
      <w:outlineLvl w:val="2"/>
    </w:pPr>
    <w:rPr>
      <w:b/>
      <w:sz w:val="36"/>
      <w:szCs w:val="20"/>
    </w:rPr>
  </w:style>
  <w:style w:type="paragraph" w:styleId="1595">
    <w:name w:val="样式 标题 3 + (中文) 黑体 小四 非加粗 段前: 7.8 磅 段后: 0 磅 行距: 固定值 20 磅"/>
    <w:basedOn w:val="1047"/>
    <w:next w:val="1595"/>
    <w:link w:val="1044"/>
    <w:pPr>
      <w:jc w:val="both"/>
      <w:keepLines/>
      <w:keepNext/>
      <w:spacing w:line="400" w:lineRule="exact"/>
    </w:pPr>
    <w:rPr>
      <w:rFonts w:ascii="Times New Roman" w:hAnsi="Times New Roman" w:cs="宋体"/>
      <w:sz w:val="22"/>
      <w:szCs w:val="20"/>
      <w:lang w:val="en-US" w:eastAsia="zh-CN"/>
    </w:rPr>
  </w:style>
  <w:style w:type="paragraph" w:styleId="1596">
    <w:name w:val="Address"/>
    <w:basedOn w:val="1044"/>
    <w:next w:val="1044"/>
    <w:link w:val="1044"/>
    <w:pPr>
      <w:jc w:val="left"/>
    </w:pPr>
    <w:rPr>
      <w:i/>
      <w:sz w:val="24"/>
      <w:szCs w:val="20"/>
    </w:rPr>
  </w:style>
  <w:style w:type="paragraph" w:styleId="1597">
    <w:name w:val="Javis"/>
    <w:basedOn w:val="1044"/>
    <w:next w:val="1597"/>
    <w:link w:val="1044"/>
    <w:pPr>
      <w:ind w:right="210"/>
      <w:spacing w:line="360" w:lineRule="auto"/>
    </w:pPr>
    <w:rPr>
      <w:rFonts w:ascii="Times New Roman" w:hAnsi="Times New Roman" w:cs="宋体"/>
      <w:sz w:val="24"/>
      <w:szCs w:val="20"/>
    </w:rPr>
  </w:style>
  <w:style w:type="paragraph" w:styleId="1598">
    <w:name w:val="表格内文"/>
    <w:basedOn w:val="1044"/>
    <w:next w:val="1598"/>
    <w:link w:val="1044"/>
    <w:pPr>
      <w:spacing w:line="360" w:lineRule="auto"/>
    </w:pPr>
    <w:rPr>
      <w:rFonts w:ascii="宋体" w:hAnsi="宋体"/>
      <w:color w:val="000000"/>
      <w:szCs w:val="20"/>
    </w:rPr>
  </w:style>
  <w:style w:type="paragraph" w:styleId="1599">
    <w:name w:val="段落正文 Char Char"/>
    <w:basedOn w:val="1044"/>
    <w:next w:val="1599"/>
    <w:link w:val="1044"/>
    <w:pPr>
      <w:ind w:firstLine="461"/>
      <w:spacing w:line="360" w:lineRule="auto"/>
    </w:pPr>
    <w:rPr>
      <w:rFonts w:ascii="宋体" w:hAnsi="宋体"/>
      <w:sz w:val="24"/>
      <w:szCs w:val="24"/>
    </w:rPr>
  </w:style>
  <w:style w:type="paragraph" w:styleId="1600">
    <w:name w:val="flNote"/>
    <w:basedOn w:val="1044"/>
    <w:next w:val="1600"/>
    <w:link w:val="1044"/>
    <w:pPr>
      <w:jc w:val="center"/>
      <w:spacing w:before="320" w:after="160" w:line="360" w:lineRule="atLeast"/>
    </w:pPr>
    <w:rPr>
      <w:rFonts w:ascii="Arial" w:hAnsi="Times New Roman" w:eastAsia="黑体"/>
      <w:sz w:val="30"/>
      <w:szCs w:val="20"/>
    </w:rPr>
  </w:style>
  <w:style w:type="paragraph" w:styleId="1601">
    <w:name w:val="图"/>
    <w:basedOn w:val="1044"/>
    <w:next w:val="1601"/>
    <w:link w:val="1044"/>
    <w:pPr>
      <w:numPr>
        <w:ilvl w:val="0"/>
        <w:numId w:val="13"/>
      </w:numPr>
      <w:ind w:left="0" w:firstLine="0"/>
      <w:jc w:val="center"/>
      <w:keepNext/>
      <w:spacing w:before="60" w:after="60" w:line="300" w:lineRule="auto"/>
    </w:pPr>
    <w:rPr>
      <w:rFonts w:ascii="Times New Roman" w:hAnsi="Times New Roman"/>
      <w:spacing w:val="20"/>
      <w:sz w:val="24"/>
      <w:szCs w:val="20"/>
    </w:rPr>
  </w:style>
  <w:style w:type="paragraph" w:styleId="1602">
    <w:name w:val="1"/>
    <w:next w:val="1602"/>
    <w:link w:val="1044"/>
    <w:pPr>
      <w:jc w:val="both"/>
      <w:widowControl w:val="off"/>
    </w:pPr>
    <w:rPr>
      <w:rFonts w:ascii="Times New Roman" w:hAnsi="Times New Roman"/>
      <w:sz w:val="21"/>
      <w:szCs w:val="24"/>
      <w:lang w:val="en-US" w:eastAsia="zh-CN" w:bidi="ar-SA"/>
    </w:rPr>
  </w:style>
  <w:style w:type="paragraph" w:styleId="1603">
    <w:name w:val="Char Char1 Char Char Char Char Char Char Char Char"/>
    <w:basedOn w:val="1044"/>
    <w:next w:val="1603"/>
    <w:link w:val="1044"/>
    <w:pPr>
      <w:jc w:val="left"/>
      <w:spacing w:after="160" w:line="240" w:lineRule="exact"/>
      <w:widowControl/>
    </w:pPr>
    <w:rPr>
      <w:rFonts w:ascii="Verdana" w:hAnsi="Verdana"/>
      <w:sz w:val="20"/>
      <w:szCs w:val="20"/>
      <w:lang w:eastAsia="en-US"/>
    </w:rPr>
  </w:style>
  <w:style w:type="paragraph" w:styleId="1604">
    <w:name w:val="xl65"/>
    <w:basedOn w:val="1044"/>
    <w:next w:val="1604"/>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name w:val="xl72"/>
    <w:basedOn w:val="1044"/>
    <w:next w:val="1605"/>
    <w:link w:val="104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606">
    <w:name w:val="p5"/>
    <w:basedOn w:val="1044"/>
    <w:next w:val="1606"/>
    <w:link w:val="1044"/>
    <w:pPr>
      <w:jc w:val="left"/>
      <w:spacing w:before="100" w:beforeAutospacing="1" w:after="100" w:afterAutospacing="1"/>
      <w:widowControl/>
    </w:pPr>
    <w:rPr>
      <w:rFonts w:ascii="宋体" w:hAnsi="宋体" w:cs="宋体"/>
      <w:sz w:val="24"/>
      <w:szCs w:val="24"/>
    </w:rPr>
  </w:style>
  <w:style w:type="paragraph" w:styleId="1607">
    <w:name w:val="text12"/>
    <w:basedOn w:val="1044"/>
    <w:next w:val="1607"/>
    <w:link w:val="1044"/>
    <w:pPr>
      <w:ind w:firstLine="480"/>
      <w:jc w:val="left"/>
      <w:spacing w:before="100" w:beforeAutospacing="1" w:after="100" w:afterAutospacing="1"/>
      <w:widowControl/>
    </w:pPr>
    <w:rPr>
      <w:rFonts w:ascii="Arial Unicode MS" w:hAnsi="Arial Unicode MS"/>
      <w:sz w:val="24"/>
      <w:szCs w:val="24"/>
    </w:rPr>
  </w:style>
  <w:style w:type="paragraph" w:styleId="1608">
    <w:name w:val="剑鱼三"/>
    <w:basedOn w:val="1044"/>
    <w:next w:val="1044"/>
    <w:link w:val="1044"/>
    <w:pPr>
      <w:numPr>
        <w:ilvl w:val="1"/>
        <w:numId w:val="14"/>
      </w:numPr>
    </w:pPr>
    <w:rPr>
      <w:rFonts w:ascii="Arial" w:hAnsi="Arial"/>
      <w:b/>
      <w:szCs w:val="21"/>
    </w:rPr>
  </w:style>
  <w:style w:type="paragraph" w:styleId="1609">
    <w:name w:val="pic-info"/>
    <w:basedOn w:val="1044"/>
    <w:next w:val="1609"/>
    <w:link w:val="1044"/>
    <w:pPr>
      <w:jc w:val="left"/>
      <w:spacing w:before="100" w:beforeAutospacing="1" w:after="100" w:afterAutospacing="1"/>
      <w:widowControl/>
    </w:pPr>
    <w:rPr>
      <w:rFonts w:ascii="宋体" w:hAnsi="宋体" w:cs="宋体"/>
      <w:sz w:val="24"/>
      <w:szCs w:val="24"/>
    </w:rPr>
  </w:style>
  <w:style w:type="paragraph" w:styleId="1610">
    <w:name w:val="标题 3_0"/>
    <w:basedOn w:val="1563"/>
    <w:next w:val="1563"/>
    <w:link w:val="1044"/>
    <w:pPr>
      <w:keepLines/>
      <w:keepNext/>
      <w:spacing w:before="260" w:after="260" w:line="413" w:lineRule="auto"/>
      <w:outlineLvl w:val="2"/>
    </w:pPr>
    <w:rPr>
      <w:b/>
      <w:bCs/>
      <w:sz w:val="32"/>
      <w:szCs w:val="32"/>
    </w:rPr>
  </w:style>
  <w:style w:type="paragraph" w:styleId="1611">
    <w:name w:val="Definition Term"/>
    <w:basedOn w:val="1044"/>
    <w:next w:val="1044"/>
    <w:link w:val="1044"/>
    <w:pPr>
      <w:jc w:val="left"/>
    </w:pPr>
    <w:rPr>
      <w:rFonts w:ascii="Times New Roman" w:hAnsi="Times New Roman"/>
      <w:sz w:val="24"/>
      <w:szCs w:val="20"/>
    </w:rPr>
  </w:style>
  <w:style w:type="paragraph" w:styleId="1612">
    <w:name w:val="样式5"/>
    <w:basedOn w:val="1127"/>
    <w:next w:val="1612"/>
    <w:link w:val="1044"/>
    <w:pPr>
      <w:numPr>
        <w:ilvl w:val="0"/>
        <w:numId w:val="0"/>
      </w:numPr>
      <w:tabs>
        <w:tab w:val="clear" w:pos="432" w:leader="none"/>
        <w:tab w:val="clear" w:pos="1140" w:leader="none"/>
      </w:tabs>
    </w:pPr>
    <w:rPr>
      <w:rFonts w:cs="Arial"/>
      <w:lang w:val="en-US" w:eastAsia="zh-CN"/>
    </w:rPr>
  </w:style>
  <w:style w:type="paragraph" w:styleId="1613">
    <w:name w:val="样式 标题 1 + 黑体 三号 非加粗 居中 段前: 6 磅 段后: 6 磅 行距: 固定值 20 磅"/>
    <w:basedOn w:val="1045"/>
    <w:next w:val="1613"/>
    <w:link w:val="1044"/>
    <w:pPr>
      <w:spacing w:line="400" w:lineRule="exact"/>
    </w:pPr>
    <w:rPr>
      <w:rFonts w:ascii="Times New Roman" w:hAnsi="黑体" w:cs="宋体"/>
      <w:b w:val="0"/>
      <w:bCs w:val="0"/>
      <w:sz w:val="32"/>
      <w:szCs w:val="20"/>
      <w:lang w:val="en-US" w:eastAsia="zh-CN"/>
    </w:rPr>
  </w:style>
  <w:style w:type="paragraph" w:styleId="1614">
    <w:name w:val="缩正文"/>
    <w:basedOn w:val="1133"/>
    <w:next w:val="1614"/>
    <w:link w:val="1044"/>
    <w:pPr>
      <w:ind w:left="2268" w:firstLine="0"/>
      <w:spacing w:after="120" w:line="240" w:lineRule="auto"/>
    </w:pPr>
    <w:rPr>
      <w:szCs w:val="20"/>
      <w:lang w:val="en-US" w:eastAsia="zh-CN"/>
    </w:rPr>
  </w:style>
  <w:style w:type="paragraph" w:styleId="1615">
    <w:name w:val="_Style 30"/>
    <w:basedOn w:val="1044"/>
    <w:next w:val="1092"/>
    <w:link w:val="1044"/>
    <w:rPr>
      <w:rFonts w:ascii="宋体" w:hAnsi="Courier New"/>
      <w:szCs w:val="20"/>
    </w:rPr>
  </w:style>
  <w:style w:type="paragraph" w:styleId="1616">
    <w:name w:val="xl64"/>
    <w:basedOn w:val="1044"/>
    <w:next w:val="1616"/>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17">
    <w:name w:val="默认段落字体 Para Char Char Char Char"/>
    <w:basedOn w:val="1044"/>
    <w:next w:val="1617"/>
    <w:link w:val="1044"/>
    <w:rPr>
      <w:rFonts w:ascii="Times New Roman" w:hAnsi="Times New Roman"/>
      <w:szCs w:val="24"/>
    </w:rPr>
  </w:style>
  <w:style w:type="paragraph" w:styleId="1618">
    <w:name w:val="reader-word-layer"/>
    <w:basedOn w:val="1044"/>
    <w:next w:val="1618"/>
    <w:link w:val="1044"/>
    <w:pPr>
      <w:jc w:val="left"/>
      <w:spacing w:before="100" w:beforeAutospacing="1" w:after="100" w:afterAutospacing="1"/>
      <w:widowControl/>
    </w:pPr>
    <w:rPr>
      <w:rFonts w:ascii="宋体" w:hAnsi="宋体" w:cs="宋体"/>
      <w:sz w:val="24"/>
      <w:szCs w:val="24"/>
    </w:rPr>
  </w:style>
  <w:style w:type="paragraph" w:styleId="1619">
    <w:name w:val="南通方案正文"/>
    <w:basedOn w:val="1044"/>
    <w:next w:val="1619"/>
    <w:link w:val="1044"/>
    <w:pPr>
      <w:ind w:firstLine="480"/>
      <w:spacing w:line="360" w:lineRule="auto"/>
    </w:pPr>
    <w:rPr>
      <w:rFonts w:ascii="Times New Roman" w:hAnsi="Times New Roman"/>
      <w:sz w:val="24"/>
      <w:szCs w:val="20"/>
    </w:rPr>
  </w:style>
  <w:style w:type="paragraph" w:styleId="1620">
    <w:name w:val="标书标准正文"/>
    <w:basedOn w:val="1044"/>
    <w:next w:val="1620"/>
    <w:link w:val="1044"/>
    <w:pPr>
      <w:ind w:firstLine="540"/>
      <w:spacing w:line="360" w:lineRule="auto"/>
    </w:pPr>
    <w:rPr>
      <w:rFonts w:ascii="Times New Roman" w:hAnsi="Times New Roman"/>
      <w:sz w:val="24"/>
      <w:szCs w:val="24"/>
    </w:rPr>
  </w:style>
  <w:style w:type="paragraph" w:styleId="1621">
    <w:name w:val="正文符号1"/>
    <w:basedOn w:val="1439"/>
    <w:next w:val="1621"/>
    <w:link w:val="1044"/>
    <w:pPr>
      <w:numPr>
        <w:ilvl w:val="0"/>
        <w:numId w:val="15"/>
      </w:numPr>
      <w:ind w:left="975" w:hanging="340"/>
      <w:tabs>
        <w:tab w:val="left" w:pos="840" w:leader="none"/>
        <w:tab w:val="left" w:pos="975" w:leader="none"/>
        <w:tab w:val="left" w:pos="1080" w:leader="none"/>
      </w:tabs>
    </w:pPr>
  </w:style>
  <w:style w:type="paragraph" w:styleId="1622">
    <w:name w:val="正文－恩普"/>
    <w:basedOn w:val="1059"/>
    <w:next w:val="1622"/>
    <w:link w:val="1044"/>
    <w:pPr>
      <w:ind w:firstLine="200"/>
      <w:jc w:val="both"/>
      <w:spacing w:line="360" w:lineRule="auto"/>
    </w:pPr>
    <w:rPr>
      <w:lang w:val="en-US" w:eastAsia="zh-CN"/>
    </w:rPr>
  </w:style>
  <w:style w:type="paragraph" w:styleId="1623">
    <w:name w:val="xl105"/>
    <w:basedOn w:val="1044"/>
    <w:next w:val="1623"/>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24">
    <w:name w:val="xl100"/>
    <w:basedOn w:val="1044"/>
    <w:next w:val="1624"/>
    <w:link w:val="1044"/>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625">
    <w:name w:val="样式 首行缩进:  0 字符"/>
    <w:basedOn w:val="1044"/>
    <w:next w:val="1625"/>
    <w:link w:val="1044"/>
    <w:pPr>
      <w:ind w:firstLine="200"/>
      <w:spacing w:line="360" w:lineRule="auto"/>
    </w:pPr>
    <w:rPr>
      <w:rFonts w:ascii="Arial" w:hAnsi="Arial" w:cs="宋体"/>
      <w:sz w:val="24"/>
      <w:szCs w:val="20"/>
    </w:rPr>
  </w:style>
  <w:style w:type="paragraph" w:styleId="1626">
    <w:name w:val="Char2"/>
    <w:basedOn w:val="1044"/>
    <w:next w:val="1626"/>
    <w:link w:val="1044"/>
    <w:pPr>
      <w:ind w:left="432" w:hanging="432"/>
    </w:pPr>
    <w:rPr>
      <w:rFonts w:ascii="Times New Roman" w:hAnsi="Times New Roman"/>
      <w:sz w:val="24"/>
      <w:szCs w:val="24"/>
    </w:rPr>
  </w:style>
  <w:style w:type="paragraph" w:styleId="1627">
    <w:name w:val="z-Top of Form"/>
    <w:next w:val="1044"/>
    <w:link w:val="1044"/>
    <w:pPr>
      <w:jc w:val="center"/>
      <w:widowControl w:val="off"/>
      <w:pBdr>
        <w:bottom w:val="single" w:color="000000" w:sz="2" w:space="0"/>
      </w:pBdr>
    </w:pPr>
    <w:rPr>
      <w:rFonts w:ascii="Arial" w:hAnsi="Arial"/>
      <w:vanish/>
      <w:sz w:val="16"/>
      <w:lang w:val="en-US" w:eastAsia="zh-CN" w:bidi="ar-SA"/>
    </w:rPr>
  </w:style>
  <w:style w:type="paragraph" w:styleId="1628">
    <w:name w:val="正文_1"/>
    <w:next w:val="1628"/>
    <w:link w:val="1044"/>
    <w:qFormat/>
    <w:pPr>
      <w:jc w:val="both"/>
      <w:widowControl w:val="off"/>
    </w:pPr>
    <w:rPr>
      <w:rFonts w:ascii="Times New Roman" w:hAnsi="Times New Roman"/>
      <w:sz w:val="21"/>
      <w:szCs w:val="22"/>
      <w:lang w:val="en-US" w:eastAsia="zh-CN" w:bidi="ar-SA"/>
    </w:rPr>
  </w:style>
  <w:style w:type="paragraph" w:styleId="1629">
    <w:name w:val="Default Paragraph Font Para Char"/>
    <w:basedOn w:val="1044"/>
    <w:next w:val="1629"/>
    <w:link w:val="1044"/>
    <w:pPr>
      <w:jc w:val="left"/>
      <w:spacing w:after="160" w:line="240" w:lineRule="exact"/>
      <w:widowControl/>
    </w:pPr>
    <w:rPr>
      <w:rFonts w:ascii="Verdana" w:hAnsi="Verdana"/>
      <w:sz w:val="20"/>
      <w:szCs w:val="20"/>
      <w:lang w:eastAsia="en-US"/>
    </w:rPr>
  </w:style>
  <w:style w:type="paragraph" w:styleId="1630">
    <w:name w:val="样式6"/>
    <w:basedOn w:val="1046"/>
    <w:next w:val="1630"/>
    <w:link w:val="1044"/>
    <w:pPr>
      <w:jc w:val="center"/>
      <w:spacing w:line="240" w:lineRule="auto"/>
    </w:pPr>
    <w:rPr>
      <w:rFonts w:ascii="Arial" w:hAnsi="Arial" w:eastAsia="黑体"/>
      <w:lang w:val="en-US" w:eastAsia="zh-CN"/>
    </w:rPr>
  </w:style>
  <w:style w:type="paragraph" w:styleId="1631">
    <w:name w:val="正文文本_0"/>
    <w:basedOn w:val="1563"/>
    <w:next w:val="1631"/>
    <w:link w:val="1044"/>
    <w:qFormat/>
    <w:pPr>
      <w:ind w:left="72" w:right="30"/>
      <w:jc w:val="center"/>
      <w:spacing w:after="60" w:line="360" w:lineRule="atLeast"/>
    </w:pPr>
    <w:rPr>
      <w:sz w:val="20"/>
      <w:szCs w:val="20"/>
    </w:rPr>
  </w:style>
  <w:style w:type="paragraph" w:styleId="1632">
    <w:name w:val="Table Text"/>
    <w:basedOn w:val="1044"/>
    <w:next w:val="1632"/>
    <w:link w:val="1044"/>
    <w:pPr>
      <w:jc w:val="left"/>
      <w:widowControl/>
      <w:tabs>
        <w:tab w:val="decimal" w:pos="0" w:leader="none"/>
      </w:tabs>
    </w:pPr>
    <w:rPr>
      <w:rFonts w:ascii="Times New Roman" w:hAnsi="Times New Roman" w:eastAsia="Times New Roman"/>
      <w:szCs w:val="20"/>
      <w:lang w:eastAsia="en-US"/>
    </w:rPr>
  </w:style>
  <w:style w:type="paragraph" w:styleId="1633">
    <w:name w:val="font7"/>
    <w:basedOn w:val="1044"/>
    <w:next w:val="1633"/>
    <w:link w:val="1044"/>
    <w:pPr>
      <w:jc w:val="left"/>
      <w:spacing w:before="100" w:beforeAutospacing="1" w:after="100" w:afterAutospacing="1"/>
      <w:widowControl/>
    </w:pPr>
    <w:rPr>
      <w:rFonts w:ascii="Times New Roman" w:hAnsi="Times New Roman"/>
      <w:sz w:val="20"/>
      <w:szCs w:val="20"/>
    </w:rPr>
  </w:style>
  <w:style w:type="paragraph" w:styleId="1634">
    <w:name w:val="样式 正文缩进 + 首行缩进:  2 字符"/>
    <w:basedOn w:val="1059"/>
    <w:next w:val="1634"/>
    <w:link w:val="1044"/>
    <w:pPr>
      <w:ind w:firstLine="200"/>
      <w:spacing w:line="360" w:lineRule="auto"/>
    </w:pPr>
    <w:rPr>
      <w:szCs w:val="22"/>
      <w:lang w:val="en-US" w:eastAsia="zh-CN"/>
    </w:rPr>
  </w:style>
  <w:style w:type="paragraph" w:styleId="1635">
    <w:name w:val="样式4"/>
    <w:basedOn w:val="1127"/>
    <w:next w:val="1635"/>
    <w:link w:val="1044"/>
    <w:pPr>
      <w:numPr>
        <w:ilvl w:val="0"/>
        <w:numId w:val="0"/>
      </w:numPr>
      <w:spacing w:line="480" w:lineRule="auto"/>
      <w:tabs>
        <w:tab w:val="right" w:pos="8494" w:leader="dot"/>
      </w:tabs>
    </w:pPr>
    <w:rPr>
      <w:rFonts w:eastAsia="黑体" w:cs="Arial"/>
      <w:b w:val="0"/>
      <w:bCs w:val="0"/>
      <w:lang w:val="en-US" w:eastAsia="zh-CN"/>
    </w:rPr>
  </w:style>
  <w:style w:type="paragraph" w:styleId="1636">
    <w:name w:val="多级符号2"/>
    <w:basedOn w:val="1044"/>
    <w:next w:val="1636"/>
    <w:link w:val="1044"/>
    <w:pPr>
      <w:ind w:left="420" w:hanging="420"/>
      <w:jc w:val="left"/>
      <w:spacing w:line="360" w:lineRule="auto"/>
    </w:pPr>
    <w:rPr>
      <w:rFonts w:ascii="Times New Roman" w:hAnsi="Times New Roman" w:eastAsia="仿宋_GB2312"/>
      <w:sz w:val="24"/>
      <w:szCs w:val="24"/>
    </w:rPr>
  </w:style>
  <w:style w:type="paragraph" w:styleId="1637">
    <w:name w:val="标题 1_0"/>
    <w:basedOn w:val="1563"/>
    <w:next w:val="1563"/>
    <w:link w:val="1044"/>
    <w:pPr>
      <w:keepLines/>
      <w:keepNext/>
      <w:spacing w:before="340" w:after="330" w:line="576" w:lineRule="auto"/>
      <w:outlineLvl w:val="0"/>
    </w:pPr>
    <w:rPr>
      <w:b/>
      <w:bCs/>
      <w:sz w:val="44"/>
      <w:szCs w:val="44"/>
    </w:rPr>
  </w:style>
  <w:style w:type="paragraph" w:styleId="1638">
    <w:name w:val="Blockquote"/>
    <w:basedOn w:val="1044"/>
    <w:next w:val="1638"/>
    <w:link w:val="1044"/>
    <w:pPr>
      <w:ind w:left="360" w:right="360"/>
      <w:jc w:val="left"/>
      <w:spacing w:before="100" w:after="100"/>
    </w:pPr>
    <w:rPr>
      <w:rFonts w:ascii="Times New Roman" w:hAnsi="Times New Roman"/>
      <w:sz w:val="24"/>
      <w:szCs w:val="20"/>
    </w:rPr>
  </w:style>
  <w:style w:type="paragraph" w:styleId="1639">
    <w:name w:val="Pa8"/>
    <w:basedOn w:val="1044"/>
    <w:next w:val="1044"/>
    <w:link w:val="1044"/>
    <w:pPr>
      <w:jc w:val="left"/>
      <w:spacing w:line="481" w:lineRule="atLeast"/>
    </w:pPr>
    <w:rPr>
      <w:rFonts w:ascii="微软雅黑." w:hAnsi="Times New Roman" w:eastAsia="微软雅黑."/>
      <w:sz w:val="24"/>
      <w:szCs w:val="24"/>
    </w:rPr>
  </w:style>
  <w:style w:type="paragraph" w:styleId="1640">
    <w:name w:val="H3"/>
    <w:basedOn w:val="1044"/>
    <w:next w:val="1044"/>
    <w:link w:val="1044"/>
    <w:pPr>
      <w:jc w:val="left"/>
      <w:keepNext/>
      <w:spacing w:before="100" w:after="100"/>
      <w:outlineLvl w:val="3"/>
    </w:pPr>
    <w:rPr>
      <w:b/>
      <w:sz w:val="28"/>
      <w:szCs w:val="20"/>
    </w:rPr>
  </w:style>
  <w:style w:type="paragraph" w:styleId="1641">
    <w:name w:val="font5"/>
    <w:basedOn w:val="1044"/>
    <w:next w:val="1641"/>
    <w:link w:val="1044"/>
    <w:pPr>
      <w:jc w:val="left"/>
      <w:spacing w:before="100" w:beforeAutospacing="1" w:after="100" w:afterAutospacing="1"/>
      <w:widowControl/>
    </w:pPr>
    <w:rPr>
      <w:rFonts w:ascii="宋体" w:hAnsi="宋体" w:cs="宋体"/>
      <w:sz w:val="18"/>
      <w:szCs w:val="18"/>
    </w:rPr>
  </w:style>
  <w:style w:type="paragraph" w:styleId="1642">
    <w:name w:val="Preformatted"/>
    <w:basedOn w:val="1044"/>
    <w:next w:val="1642"/>
    <w:link w:val="1044"/>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43">
    <w:name w:val="font6"/>
    <w:basedOn w:val="1044"/>
    <w:next w:val="1643"/>
    <w:link w:val="1044"/>
    <w:pPr>
      <w:jc w:val="left"/>
      <w:spacing w:before="100" w:beforeAutospacing="1" w:after="100" w:afterAutospacing="1"/>
      <w:widowControl/>
    </w:pPr>
    <w:rPr>
      <w:rFonts w:ascii="宋体" w:hAnsi="宋体" w:cs="宋体"/>
      <w:sz w:val="18"/>
      <w:szCs w:val="18"/>
    </w:rPr>
  </w:style>
  <w:style w:type="paragraph" w:styleId="1644">
    <w:name w:val="样式2"/>
    <w:basedOn w:val="1045"/>
    <w:next w:val="1644"/>
    <w:link w:val="1044"/>
    <w:pPr>
      <w:jc w:val="center"/>
      <w:spacing w:line="578" w:lineRule="atLeast"/>
    </w:pPr>
    <w:rPr>
      <w:rFonts w:ascii="宋体" w:hAnsi="宋体"/>
      <w:b w:val="0"/>
      <w:bCs w:val="0"/>
      <w:lang w:val="en-US" w:eastAsia="zh-CN"/>
    </w:rPr>
  </w:style>
  <w:style w:type="paragraph" w:styleId="1645">
    <w:name w:val="正文文本 Char Char"/>
    <w:basedOn w:val="1044"/>
    <w:next w:val="1645"/>
    <w:link w:val="1044"/>
    <w:pPr>
      <w:jc w:val="center"/>
    </w:pPr>
    <w:rPr>
      <w:rFonts w:ascii="Times New Roman" w:hAnsi="Times New Roman"/>
      <w:szCs w:val="24"/>
    </w:rPr>
  </w:style>
  <w:style w:type="paragraph" w:styleId="1646">
    <w:name w:val="Bullet"/>
    <w:basedOn w:val="1044"/>
    <w:next w:val="1646"/>
    <w:link w:val="1044"/>
    <w:pPr>
      <w:numPr>
        <w:ilvl w:val="0"/>
        <w:numId w:val="10"/>
      </w:numPr>
      <w:ind w:right="709"/>
      <w:spacing w:before="60" w:after="60"/>
      <w:tabs>
        <w:tab w:val="left" w:pos="420" w:leader="none"/>
        <w:tab w:val="left" w:pos="2552" w:leader="none"/>
      </w:tabs>
    </w:pPr>
    <w:rPr>
      <w:rFonts w:ascii="Times New Roman" w:hAnsi="Times New Roman" w:eastAsia="2OcuAe"/>
      <w:spacing w:val="2"/>
      <w:sz w:val="20"/>
      <w:szCs w:val="20"/>
      <w:lang w:eastAsia="zh-TW"/>
    </w:rPr>
  </w:style>
  <w:style w:type="paragraph" w:styleId="1647">
    <w:name w:val="xl73"/>
    <w:basedOn w:val="1044"/>
    <w:next w:val="1647"/>
    <w:link w:val="1044"/>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648">
    <w:name w:val="样式1"/>
    <w:basedOn w:val="1044"/>
    <w:next w:val="1648"/>
    <w:link w:val="1044"/>
    <w:pPr>
      <w:spacing w:line="360" w:lineRule="auto"/>
    </w:pPr>
    <w:rPr>
      <w:rFonts w:ascii="宋体" w:hAnsi="宋体" w:eastAsia="微软雅黑"/>
      <w:bCs/>
      <w:sz w:val="18"/>
      <w:szCs w:val="20"/>
    </w:rPr>
  </w:style>
  <w:style w:type="paragraph" w:styleId="1649">
    <w:name w:val="Char Char Char Char Char Char Char"/>
    <w:basedOn w:val="1044"/>
    <w:next w:val="1649"/>
    <w:link w:val="1044"/>
    <w:pPr>
      <w:jc w:val="left"/>
      <w:spacing w:after="160" w:line="240" w:lineRule="exact"/>
      <w:widowControl/>
    </w:pPr>
    <w:rPr>
      <w:rFonts w:ascii="Times New Roman" w:hAnsi="Times New Roman"/>
      <w:szCs w:val="24"/>
    </w:rPr>
  </w:style>
  <w:style w:type="paragraph" w:styleId="1650">
    <w:name w:val="p2"/>
    <w:basedOn w:val="1044"/>
    <w:next w:val="1650"/>
    <w:link w:val="1044"/>
    <w:pPr>
      <w:jc w:val="left"/>
      <w:spacing w:before="100" w:beforeAutospacing="1" w:after="100" w:afterAutospacing="1"/>
      <w:widowControl/>
    </w:pPr>
    <w:rPr>
      <w:rFonts w:ascii="宋体" w:hAnsi="宋体" w:cs="宋体"/>
      <w:sz w:val="24"/>
      <w:szCs w:val="24"/>
    </w:rPr>
  </w:style>
  <w:style w:type="paragraph" w:styleId="1651">
    <w:name w:val="xl67"/>
    <w:basedOn w:val="1044"/>
    <w:next w:val="1651"/>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name w:val="_Style 216"/>
    <w:next w:val="1044"/>
    <w:link w:val="1044"/>
    <w:uiPriority w:val="99"/>
    <w:pPr>
      <w:jc w:val="both"/>
      <w:widowControl w:val="off"/>
    </w:pPr>
    <w:rPr>
      <w:rFonts w:ascii="Times New Roman" w:hAnsi="Times New Roman"/>
      <w:sz w:val="21"/>
      <w:lang w:val="en-US" w:eastAsia="zh-CN" w:bidi="ar-SA"/>
    </w:rPr>
  </w:style>
  <w:style w:type="paragraph" w:styleId="1653">
    <w:name w:val="xl70"/>
    <w:basedOn w:val="1044"/>
    <w:next w:val="1653"/>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4">
    <w:name w:val="000左齐平"/>
    <w:basedOn w:val="1044"/>
    <w:next w:val="1654"/>
    <w:link w:val="1044"/>
    <w:qFormat/>
    <w:pPr>
      <w:jc w:val="left"/>
    </w:pPr>
    <w:rPr>
      <w:color w:val="000000"/>
    </w:rPr>
  </w:style>
  <w:style w:type="paragraph" w:styleId="1655">
    <w:name w:val="正式行文"/>
    <w:basedOn w:val="1044"/>
    <w:next w:val="1655"/>
    <w:link w:val="1044"/>
    <w:pPr>
      <w:numPr>
        <w:ilvl w:val="0"/>
        <w:numId w:val="16"/>
      </w:numPr>
      <w:ind w:left="0" w:firstLine="200"/>
      <w:spacing w:line="360" w:lineRule="auto"/>
      <w:tabs>
        <w:tab w:val="clear" w:pos="0" w:leader="none"/>
      </w:tabs>
    </w:pPr>
    <w:rPr>
      <w:rFonts w:ascii="Times New Roman" w:hAnsi="Times New Roman"/>
      <w:sz w:val="24"/>
      <w:szCs w:val="24"/>
    </w:rPr>
  </w:style>
  <w:style w:type="paragraph" w:styleId="1656">
    <w:name w:val="带上框线页脚"/>
    <w:basedOn w:val="1044"/>
    <w:next w:val="1656"/>
    <w:link w:val="1044"/>
    <w:pPr>
      <w:jc w:val="left"/>
      <w:spacing w:after="156"/>
      <w:widowControl/>
      <w:pBdr>
        <w:top w:val="single" w:color="000000" w:sz="4" w:space="1"/>
      </w:pBdr>
    </w:pPr>
    <w:rPr>
      <w:rFonts w:ascii="Times New Roman" w:hAnsi="Times New Roman"/>
      <w:sz w:val="18"/>
      <w:szCs w:val="20"/>
    </w:rPr>
  </w:style>
  <w:style w:type="paragraph" w:styleId="1657">
    <w:name w:val="tabletext"/>
    <w:basedOn w:val="1044"/>
    <w:next w:val="1657"/>
    <w:link w:val="1044"/>
    <w:pPr>
      <w:jc w:val="left"/>
      <w:spacing w:before="100" w:beforeAutospacing="1" w:after="100" w:afterAutospacing="1"/>
      <w:widowControl/>
    </w:pPr>
    <w:rPr>
      <w:rFonts w:ascii="宋体" w:hAnsi="宋体" w:cs="宋体"/>
      <w:sz w:val="24"/>
      <w:szCs w:val="24"/>
    </w:rPr>
  </w:style>
  <w:style w:type="paragraph" w:styleId="1658">
    <w:name w:val="Definition List"/>
    <w:basedOn w:val="1044"/>
    <w:next w:val="1044"/>
    <w:link w:val="1044"/>
    <w:pPr>
      <w:ind w:left="360"/>
      <w:jc w:val="left"/>
    </w:pPr>
    <w:rPr>
      <w:rFonts w:ascii="Times New Roman" w:hAnsi="Times New Roman"/>
      <w:sz w:val="24"/>
      <w:szCs w:val="20"/>
    </w:rPr>
  </w:style>
  <w:style w:type="paragraph" w:styleId="1659">
    <w:name w:val="勾股定理"/>
    <w:next w:val="1659"/>
    <w:link w:val="1044"/>
    <w:pPr>
      <w:spacing w:after="200" w:line="276" w:lineRule="auto"/>
    </w:pPr>
    <w:rPr>
      <w:rFonts w:ascii="Times New Roman" w:hAnsi="Times New Roman"/>
      <w:sz w:val="22"/>
      <w:szCs w:val="22"/>
      <w:lang w:val="en-US" w:eastAsia="zh-CN" w:bidi="ar-SA"/>
    </w:rPr>
  </w:style>
  <w:style w:type="paragraph" w:styleId="1660">
    <w:name w:val="style23"/>
    <w:basedOn w:val="1044"/>
    <w:next w:val="1660"/>
    <w:link w:val="1044"/>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61">
    <w:name w:val="IBM 正文"/>
    <w:basedOn w:val="1044"/>
    <w:next w:val="1661"/>
    <w:link w:val="1044"/>
    <w:pPr>
      <w:spacing w:line="400" w:lineRule="exact"/>
    </w:pPr>
    <w:rPr>
      <w:rFonts w:ascii="Times New Roman" w:hAnsi="Times New Roman"/>
      <w:spacing w:val="20"/>
      <w:sz w:val="24"/>
      <w:szCs w:val="20"/>
    </w:rPr>
  </w:style>
  <w:style w:type="paragraph" w:styleId="1662">
    <w:name w:val="p4"/>
    <w:basedOn w:val="1044"/>
    <w:next w:val="1662"/>
    <w:link w:val="1044"/>
    <w:pPr>
      <w:jc w:val="left"/>
      <w:spacing w:before="100" w:beforeAutospacing="1" w:after="100" w:afterAutospacing="1"/>
      <w:widowControl/>
    </w:pPr>
    <w:rPr>
      <w:rFonts w:ascii="宋体" w:hAnsi="宋体" w:cs="宋体"/>
      <w:sz w:val="24"/>
      <w:szCs w:val="24"/>
    </w:rPr>
  </w:style>
  <w:style w:type="paragraph" w:styleId="1663">
    <w:name w:val="_Style 12"/>
    <w:basedOn w:val="1075"/>
    <w:next w:val="1663"/>
    <w:link w:val="1044"/>
    <w:pPr>
      <w:jc w:val="left"/>
      <w:spacing w:line="360" w:lineRule="auto"/>
      <w:widowControl/>
    </w:pPr>
    <w:rPr>
      <w:rFonts w:hAnsi="Calibri"/>
      <w:sz w:val="24"/>
      <w:lang w:val="en-US" w:eastAsia="zh-CN"/>
    </w:rPr>
  </w:style>
  <w:style w:type="paragraph" w:styleId="1664">
    <w:name w:val="小四 段落 宋体 Char Char"/>
    <w:basedOn w:val="1044"/>
    <w:next w:val="1664"/>
    <w:link w:val="1044"/>
    <w:pPr>
      <w:ind w:firstLine="480"/>
      <w:spacing w:line="360" w:lineRule="auto"/>
    </w:pPr>
    <w:rPr>
      <w:rFonts w:ascii="宋体" w:hAnsi="宋体"/>
      <w:sz w:val="24"/>
      <w:szCs w:val="24"/>
    </w:rPr>
  </w:style>
  <w:style w:type="paragraph" w:styleId="1665">
    <w:name w:val="Char Char"/>
    <w:basedOn w:val="1044"/>
    <w:next w:val="1665"/>
    <w:link w:val="1044"/>
    <w:rPr>
      <w:rFonts w:ascii="Tahoma" w:hAnsi="Tahoma"/>
      <w:sz w:val="24"/>
      <w:szCs w:val="20"/>
    </w:rPr>
  </w:style>
  <w:style w:type="paragraph" w:styleId="1666">
    <w:name w:val="样式 标题 2 + Times New Roman 四号 非加粗 段前: 5 磅 段后: 0 磅 行距: 固定值 20..."/>
    <w:basedOn w:val="1046"/>
    <w:next w:val="1666"/>
    <w:link w:val="1044"/>
    <w:pPr>
      <w:jc w:val="center"/>
      <w:spacing w:before="100" w:after="0" w:line="400" w:lineRule="exact"/>
    </w:pPr>
    <w:rPr>
      <w:rFonts w:ascii="Times New Roman" w:hAnsi="Times New Roman" w:eastAsia="黑体" w:cs="宋体"/>
      <w:b w:val="0"/>
      <w:szCs w:val="20"/>
      <w:lang w:val="en-US" w:eastAsia="zh-CN"/>
    </w:rPr>
  </w:style>
  <w:style w:type="paragraph" w:styleId="1667">
    <w:name w:val="TOC 标题_0"/>
    <w:basedOn w:val="1637"/>
    <w:next w:val="1563"/>
    <w:link w:val="1044"/>
    <w:qFormat/>
    <w:pPr>
      <w:outlineLvl w:val="9"/>
    </w:pPr>
    <w:rPr>
      <w:rFonts w:ascii="Calibri" w:hAnsi="Calibri"/>
    </w:rPr>
  </w:style>
  <w:style w:type="paragraph" w:styleId="1668">
    <w:name w:val="l18"/>
    <w:basedOn w:val="1044"/>
    <w:next w:val="1668"/>
    <w:link w:val="1044"/>
    <w:pPr>
      <w:ind w:left="90"/>
      <w:jc w:val="left"/>
      <w:spacing w:before="30" w:after="100" w:afterAutospacing="1" w:line="270" w:lineRule="atLeast"/>
      <w:widowControl/>
    </w:pPr>
    <w:rPr>
      <w:rFonts w:ascii="Arial" w:hAnsi="Arial" w:cs="Arial"/>
      <w:color w:val="000000"/>
      <w:sz w:val="18"/>
      <w:szCs w:val="18"/>
    </w:rPr>
  </w:style>
  <w:style w:type="character" w:styleId="1669">
    <w:name w:val="引用 Char3"/>
    <w:next w:val="1669"/>
    <w:link w:val="1044"/>
    <w:uiPriority w:val="29"/>
    <w:rPr>
      <w:rFonts w:ascii="Times New Roman" w:hAnsi="Times New Roman" w:eastAsia="宋体" w:cs="Times New Roman"/>
      <w:i/>
      <w:iCs/>
      <w:color w:val="000000"/>
      <w:sz w:val="21"/>
      <w:szCs w:val="24"/>
    </w:rPr>
  </w:style>
  <w:style w:type="paragraph" w:styleId="1670">
    <w:name w:val="xl102"/>
    <w:basedOn w:val="1044"/>
    <w:next w:val="1670"/>
    <w:link w:val="1044"/>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71">
    <w:name w:val="样式 列表编号 + 段后: 0.5 行"/>
    <w:basedOn w:val="1072"/>
    <w:next w:val="1671"/>
    <w:link w:val="1044"/>
    <w:pPr>
      <w:numPr>
        <w:ilvl w:val="0"/>
        <w:numId w:val="17"/>
      </w:numPr>
      <w:spacing w:after="120"/>
      <w:widowControl w:val="off"/>
      <w:tabs>
        <w:tab w:val="left" w:pos="360" w:leader="none"/>
      </w:tabs>
    </w:pPr>
    <w:rPr>
      <w:rFonts w:cs="宋体"/>
    </w:rPr>
  </w:style>
  <w:style w:type="paragraph" w:styleId="1672">
    <w:name w:val="font8"/>
    <w:basedOn w:val="1044"/>
    <w:next w:val="1672"/>
    <w:link w:val="1044"/>
    <w:pPr>
      <w:jc w:val="left"/>
      <w:spacing w:before="100" w:beforeAutospacing="1" w:after="100" w:afterAutospacing="1"/>
      <w:widowControl/>
    </w:pPr>
    <w:rPr>
      <w:rFonts w:ascii="Times New Roman" w:hAnsi="Times New Roman"/>
      <w:sz w:val="22"/>
    </w:rPr>
  </w:style>
  <w:style w:type="paragraph" w:styleId="1673">
    <w:name w:val="xl22"/>
    <w:basedOn w:val="1044"/>
    <w:next w:val="1673"/>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4">
    <w:name w:val="正文标准"/>
    <w:basedOn w:val="1044"/>
    <w:next w:val="1674"/>
    <w:link w:val="1044"/>
    <w:pPr>
      <w:ind w:firstLine="200"/>
      <w:spacing w:line="360" w:lineRule="auto"/>
    </w:pPr>
    <w:rPr>
      <w:rFonts w:ascii="Times New Roman" w:hAnsi="Times New Roman" w:eastAsia="MS Gothic"/>
      <w:sz w:val="24"/>
      <w:szCs w:val="21"/>
    </w:rPr>
  </w:style>
  <w:style w:type="paragraph" w:styleId="1675">
    <w:name w:val="Normal1"/>
    <w:next w:val="1675"/>
    <w:link w:val="1044"/>
    <w:pPr>
      <w:jc w:val="both"/>
      <w:widowControl w:val="off"/>
    </w:pPr>
    <w:rPr>
      <w:rFonts w:ascii="Times New Roman" w:hAnsi="Times New Roman"/>
      <w:lang w:val="en-US" w:eastAsia="zh-CN" w:bidi="ar-SA"/>
    </w:rPr>
  </w:style>
  <w:style w:type="paragraph" w:styleId="1676">
    <w:name w:val="xl101"/>
    <w:basedOn w:val="1044"/>
    <w:next w:val="1676"/>
    <w:link w:val="1044"/>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77">
    <w:name w:val="正文缩进_0"/>
    <w:basedOn w:val="1628"/>
    <w:next w:val="1677"/>
    <w:link w:val="1044"/>
    <w:qFormat/>
    <w:pPr>
      <w:ind w:firstLine="420"/>
    </w:pPr>
    <w:rPr>
      <w:u w:val="single"/>
    </w:rPr>
  </w:style>
  <w:style w:type="paragraph" w:styleId="1678">
    <w:name w:val="xl69"/>
    <w:basedOn w:val="1044"/>
    <w:next w:val="1678"/>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name w:val="Char Char3 Char Char Char Char Char Char Char Char Char Char Char Char Char Char Char Char Char Char"/>
    <w:basedOn w:val="1044"/>
    <w:next w:val="1679"/>
    <w:link w:val="1044"/>
    <w:pPr>
      <w:ind w:firstLine="200"/>
      <w:jc w:val="left"/>
      <w:spacing w:after="160" w:line="360" w:lineRule="auto"/>
      <w:widowControl/>
    </w:pPr>
    <w:rPr>
      <w:rFonts w:ascii="宋体" w:hAnsi="宋体"/>
      <w:sz w:val="24"/>
      <w:szCs w:val="24"/>
    </w:rPr>
  </w:style>
  <w:style w:type="paragraph" w:styleId="1680">
    <w:name w:val="样式 (西文) 仿宋_GB2312 居中 行距: 1.5 倍行距"/>
    <w:basedOn w:val="1044"/>
    <w:next w:val="1680"/>
    <w:link w:val="1044"/>
    <w:pPr>
      <w:jc w:val="center"/>
      <w:spacing w:line="360" w:lineRule="auto"/>
    </w:pPr>
    <w:rPr>
      <w:rFonts w:ascii="宋体" w:hAnsi="宋体" w:cs="宋体"/>
      <w:szCs w:val="20"/>
    </w:rPr>
  </w:style>
  <w:style w:type="paragraph" w:styleId="1681">
    <w:name w:val="xl68"/>
    <w:basedOn w:val="1044"/>
    <w:next w:val="1681"/>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name w:val="普通(Web)9"/>
    <w:basedOn w:val="1044"/>
    <w:next w:val="1682"/>
    <w:link w:val="1044"/>
    <w:pPr>
      <w:jc w:val="left"/>
      <w:spacing w:before="100" w:beforeAutospacing="1" w:after="100" w:afterAutospacing="1"/>
      <w:widowControl/>
    </w:pPr>
    <w:rPr>
      <w:rFonts w:ascii="宋体" w:hAnsi="宋体" w:cs="宋体"/>
      <w:szCs w:val="21"/>
    </w:rPr>
  </w:style>
  <w:style w:type="paragraph" w:styleId="1683">
    <w:name w:val="正文编号1级head"/>
    <w:basedOn w:val="1566"/>
    <w:next w:val="1566"/>
    <w:link w:val="1044"/>
    <w:qFormat/>
    <w:pPr>
      <w:ind w:left="360" w:hanging="360"/>
      <w:tabs>
        <w:tab w:val="left" w:pos="360" w:leader="none"/>
        <w:tab w:val="left" w:pos="840" w:leader="none"/>
      </w:tabs>
    </w:pPr>
  </w:style>
  <w:style w:type="table" w:styleId="1684">
    <w:name w:val="Table Normal"/>
    <w:next w:val="1684"/>
    <w:link w:val="1044"/>
    <w:uiPriority w:val="2"/>
    <w:unhideWhenUsed/>
    <w:qFormat/>
    <w:pPr>
      <w:widowControl w:val="off"/>
    </w:pPr>
    <w:rPr>
      <w:rFonts w:ascii="Times New Roman" w:hAnsi="Times New Roman"/>
      <w:sz w:val="22"/>
      <w:szCs w:val="22"/>
      <w:lang w:val="en-US" w:eastAsia="en-US" w:bidi="ar-SA"/>
    </w:rPr>
    <w:tblPr/>
  </w:style>
  <w:style w:type="paragraph" w:styleId="1685">
    <w:name w:val="Heading21"/>
    <w:basedOn w:val="1044"/>
    <w:next w:val="1044"/>
    <w:link w:val="1044"/>
    <w:pPr>
      <w:keepLines/>
      <w:keepNext/>
      <w:spacing w:before="260" w:after="260" w:line="416" w:lineRule="auto"/>
    </w:pPr>
    <w:rPr>
      <w:rFonts w:ascii="Cambria" w:hAnsi="Cambria"/>
      <w:sz w:val="32"/>
      <w:szCs w:val="20"/>
    </w:rPr>
  </w:style>
  <w:style w:type="table" w:styleId="1686">
    <w:name w:val="无格式表格 1"/>
    <w:basedOn w:val="1055"/>
    <w:next w:val="1686"/>
    <w:link w:val="1044"/>
    <w:uiPriority w:val="41"/>
    <w:tblPr/>
  </w:style>
  <w:style w:type="table" w:styleId="1687">
    <w:name w:val="无格式表格 2"/>
    <w:basedOn w:val="1055"/>
    <w:next w:val="1687"/>
    <w:link w:val="1044"/>
    <w:uiPriority w:val="42"/>
    <w:tblPr/>
  </w:style>
  <w:style w:type="table" w:styleId="1688">
    <w:name w:val="无格式表格 3"/>
    <w:basedOn w:val="1055"/>
    <w:next w:val="1688"/>
    <w:link w:val="1044"/>
    <w:uiPriority w:val="43"/>
    <w:tblPr/>
  </w:style>
  <w:style w:type="table" w:styleId="1689">
    <w:name w:val="无格式表格 4"/>
    <w:basedOn w:val="1055"/>
    <w:next w:val="1689"/>
    <w:link w:val="1044"/>
    <w:uiPriority w:val="44"/>
    <w:tblPr/>
  </w:style>
  <w:style w:type="table" w:styleId="1690">
    <w:name w:val="无格式表格 5"/>
    <w:basedOn w:val="1055"/>
    <w:next w:val="1690"/>
    <w:link w:val="1044"/>
    <w:uiPriority w:val="45"/>
    <w:tblPr/>
  </w:style>
  <w:style w:type="table" w:styleId="1691">
    <w:name w:val="网格表 1 浅色"/>
    <w:basedOn w:val="1055"/>
    <w:next w:val="1691"/>
    <w:link w:val="1044"/>
    <w:uiPriority w:val="46"/>
    <w:tblPr/>
  </w:style>
  <w:style w:type="table" w:styleId="1692">
    <w:name w:val="网格表 2"/>
    <w:basedOn w:val="1055"/>
    <w:next w:val="1692"/>
    <w:link w:val="1044"/>
    <w:uiPriority w:val="47"/>
    <w:tblPr/>
  </w:style>
  <w:style w:type="table" w:styleId="1693">
    <w:name w:val="网格表 3"/>
    <w:basedOn w:val="1055"/>
    <w:next w:val="1693"/>
    <w:link w:val="1044"/>
    <w:uiPriority w:val="48"/>
    <w:tblPr/>
  </w:style>
  <w:style w:type="table" w:styleId="1694">
    <w:name w:val="网格表 4"/>
    <w:basedOn w:val="1055"/>
    <w:next w:val="1694"/>
    <w:link w:val="1044"/>
    <w:uiPriority w:val="49"/>
    <w:tblPr/>
  </w:style>
  <w:style w:type="table" w:styleId="1695">
    <w:name w:val="网格表 5 深色"/>
    <w:basedOn w:val="1055"/>
    <w:next w:val="1695"/>
    <w:link w:val="1044"/>
    <w:uiPriority w:val="50"/>
    <w:tblPr/>
  </w:style>
  <w:style w:type="table" w:styleId="1696">
    <w:name w:val="网格表 6 彩色"/>
    <w:basedOn w:val="1055"/>
    <w:next w:val="1696"/>
    <w:link w:val="1044"/>
    <w:uiPriority w:val="51"/>
    <w:rPr>
      <w:color w:val="000000"/>
    </w:rPr>
    <w:tblPr/>
  </w:style>
  <w:style w:type="table" w:styleId="1697">
    <w:name w:val="网格表 7 彩色"/>
    <w:basedOn w:val="1055"/>
    <w:next w:val="1697"/>
    <w:link w:val="1044"/>
    <w:uiPriority w:val="52"/>
    <w:rPr>
      <w:color w:val="000000"/>
    </w:rPr>
    <w:tblPr/>
  </w:style>
  <w:style w:type="table" w:styleId="1698">
    <w:name w:val="清单表 1 浅色"/>
    <w:basedOn w:val="1055"/>
    <w:next w:val="1698"/>
    <w:link w:val="1044"/>
    <w:uiPriority w:val="46"/>
    <w:tblPr/>
  </w:style>
  <w:style w:type="table" w:styleId="1699">
    <w:name w:val="清单表 2"/>
    <w:basedOn w:val="1055"/>
    <w:next w:val="1699"/>
    <w:link w:val="1044"/>
    <w:uiPriority w:val="47"/>
    <w:tblPr/>
  </w:style>
  <w:style w:type="table" w:styleId="1700">
    <w:name w:val="清单表 3"/>
    <w:basedOn w:val="1055"/>
    <w:next w:val="1700"/>
    <w:link w:val="1044"/>
    <w:uiPriority w:val="48"/>
    <w:tblPr/>
  </w:style>
  <w:style w:type="table" w:styleId="1701">
    <w:name w:val="清单表 4"/>
    <w:basedOn w:val="1055"/>
    <w:next w:val="1701"/>
    <w:link w:val="1044"/>
    <w:uiPriority w:val="49"/>
    <w:tblPr/>
  </w:style>
  <w:style w:type="table" w:styleId="1702">
    <w:name w:val="清单表 5 深色"/>
    <w:basedOn w:val="1055"/>
    <w:next w:val="1702"/>
    <w:link w:val="1044"/>
    <w:uiPriority w:val="50"/>
    <w:rPr>
      <w:color w:val="ffffff"/>
    </w:rPr>
    <w:tblPr/>
  </w:style>
  <w:style w:type="table" w:styleId="1703">
    <w:name w:val="清单表 6 彩色"/>
    <w:basedOn w:val="1055"/>
    <w:next w:val="1703"/>
    <w:link w:val="1044"/>
    <w:uiPriority w:val="51"/>
    <w:rPr>
      <w:color w:val="000000"/>
    </w:rPr>
    <w:tblPr/>
  </w:style>
  <w:style w:type="table" w:styleId="1704">
    <w:name w:val="清单表 7 彩色"/>
    <w:basedOn w:val="1055"/>
    <w:next w:val="1704"/>
    <w:link w:val="1044"/>
    <w:uiPriority w:val="52"/>
    <w:rPr>
      <w:color w:val="000000"/>
    </w:rPr>
    <w:tblPr/>
  </w:style>
  <w:style w:type="paragraph" w:styleId="1705">
    <w:name w:val="正文文本缩进1"/>
    <w:next w:val="1705"/>
    <w:link w:val="1044"/>
    <w:qFormat/>
    <w:pPr>
      <w:ind w:firstLine="425"/>
      <w:jc w:val="both"/>
      <w:spacing w:line="360" w:lineRule="auto"/>
      <w:widowControl w:val="off"/>
    </w:pPr>
    <w:rPr>
      <w:rFonts w:ascii="Times New Roman" w:hAnsi="Times New Roman" w:eastAsia="宋体" w:cs="Times New Roman"/>
      <w:sz w:val="24"/>
      <w:lang w:val="zh-CN" w:eastAsia="zh-CN" w:bidi="ar-SA"/>
    </w:rPr>
  </w:style>
  <w:style w:type="character" w:styleId="34341" w:default="1">
    <w:name w:val="Default Paragraph Font"/>
    <w:uiPriority w:val="1"/>
    <w:semiHidden/>
    <w:unhideWhenUsed/>
  </w:style>
  <w:style w:type="numbering" w:styleId="34342" w:default="1">
    <w:name w:val="No List"/>
    <w:uiPriority w:val="99"/>
    <w:semiHidden/>
    <w:unhideWhenUsed/>
  </w:style>
  <w:style w:type="table" w:styleId="343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符美婷</cp:lastModifiedBy>
  <cp:revision>12</cp:revision>
  <dcterms:created xsi:type="dcterms:W3CDTF">2024-06-25T08:26:00Z</dcterms:created>
  <dcterms:modified xsi:type="dcterms:W3CDTF">2026-09-22T07:06:37Z</dcterms:modified>
</cp:coreProperties>
</file>