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11" w:name="_GoBack"/>
      <w:r/>
      <w:r/>
    </w:p>
    <w:p>
      <w:pPr>
        <w:pStyle w:val="788"/>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rPr>
          <w:rFonts w:hint="eastAsia"/>
          <w:color w:val="auto"/>
          <w:highlight w:val="none"/>
        </w:rPr>
      </w:pPr>
      <w:r>
        <w:rPr>
          <w:rFonts w:hint="eastAsia"/>
          <w:color w:val="auto"/>
          <w:highlight w:val="none"/>
        </w:rPr>
      </w:r>
      <w:r/>
    </w:p>
    <w:p>
      <w:pPr>
        <w:jc w:val="center"/>
        <w:spacing w:line="240" w:lineRule="auto"/>
        <w:rPr>
          <w:rFonts w:hint="default" w:ascii="黑体" w:hAnsi="华文中宋" w:eastAsia="黑体" w:cs="Times New Roman"/>
          <w:bCs/>
          <w:color w:val="auto"/>
          <w:spacing w:val="20"/>
          <w:sz w:val="72"/>
          <w:szCs w:val="72"/>
          <w:highlight w:val="none"/>
        </w:rPr>
      </w:pPr>
      <w:r>
        <w:rPr>
          <w:rFonts w:hint="eastAsia" w:ascii="黑体" w:hAnsi="华文中宋" w:eastAsia="黑体" w:cs="Times New Roman"/>
          <w:bCs/>
          <w:color w:val="auto"/>
          <w:spacing w:val="20"/>
          <w:sz w:val="72"/>
          <w:szCs w:val="72"/>
          <w:highlight w:val="none"/>
        </w:rPr>
        <w:t xml:space="preserve">无锡市新吴区政府采购</w:t>
      </w:r>
      <w:r/>
    </w:p>
    <w:p>
      <w:pPr>
        <w:jc w:val="center"/>
        <w:spacing w:line="240" w:lineRule="auto"/>
        <w:tabs>
          <w:tab w:val="left" w:pos="9921" w:leader="none"/>
        </w:tabs>
        <w:rPr>
          <w:rFonts w:hint="default" w:ascii="华文中宋" w:hAnsi="华文中宋" w:eastAsia="华文中宋" w:cs="Times New Roman"/>
          <w:bCs/>
          <w:color w:val="auto"/>
          <w:sz w:val="30"/>
          <w:highlight w:val="none"/>
        </w:rPr>
      </w:pPr>
      <w:r>
        <w:rPr>
          <w:rFonts w:hint="eastAsia" w:ascii="华文中宋" w:hAnsi="华文中宋" w:eastAsia="华文中宋" w:cs="Times New Roman"/>
          <w:bCs/>
          <w:color w:val="auto"/>
          <w:sz w:val="30"/>
          <w:highlight w:val="none"/>
        </w:rPr>
        <w:t xml:space="preserve">（全流程电子化）</w:t>
      </w:r>
      <w:r/>
    </w:p>
    <w:p>
      <w:pPr>
        <w:spacing w:line="240" w:lineRule="auto"/>
        <w:rPr>
          <w:rFonts w:hint="default" w:ascii="华文中宋" w:hAnsi="华文中宋" w:eastAsia="华文中宋" w:cs="Times New Roman"/>
          <w:bCs/>
          <w:color w:val="auto"/>
          <w:sz w:val="30"/>
          <w:highlight w:val="none"/>
        </w:rPr>
      </w:pPr>
      <w:r>
        <w:rPr>
          <w:rFonts w:hint="default" w:ascii="华文中宋" w:hAnsi="华文中宋" w:eastAsia="华文中宋" w:cs="Times New Roman"/>
          <w:bCs/>
          <w:color w:val="auto"/>
          <w:sz w:val="30"/>
          <w:highlight w:val="none"/>
        </w:rPr>
      </w:r>
      <w:r/>
    </w:p>
    <w:p>
      <w:pPr>
        <w:jc w:val="center"/>
        <w:spacing w:line="240" w:lineRule="auto"/>
        <w:rPr>
          <w:rFonts w:hint="default" w:ascii="黑体" w:hAnsi="华文中宋" w:eastAsia="黑体" w:cs="Times New Roman"/>
          <w:bCs/>
          <w:color w:val="auto"/>
          <w:spacing w:val="20"/>
          <w:sz w:val="48"/>
          <w:szCs w:val="48"/>
          <w:highlight w:val="none"/>
        </w:rPr>
      </w:pPr>
      <w:r>
        <w:rPr>
          <w:rFonts w:hint="eastAsia" w:ascii="黑体" w:hAnsi="华文中宋" w:eastAsia="黑体" w:cs="Times New Roman"/>
          <w:bCs/>
          <w:color w:val="auto"/>
          <w:spacing w:val="20"/>
          <w:sz w:val="48"/>
          <w:szCs w:val="48"/>
          <w:highlight w:val="none"/>
        </w:rPr>
        <w:t xml:space="preserve">公开</w:t>
      </w:r>
      <w:r/>
    </w:p>
    <w:p>
      <w:pPr>
        <w:jc w:val="center"/>
        <w:spacing w:line="240" w:lineRule="auto"/>
        <w:rPr>
          <w:rFonts w:hint="default" w:ascii="黑体" w:hAnsi="华文中宋" w:eastAsia="黑体" w:cs="Times New Roman"/>
          <w:bCs/>
          <w:color w:val="auto"/>
          <w:spacing w:val="20"/>
          <w:sz w:val="52"/>
          <w:szCs w:val="52"/>
          <w:highlight w:val="none"/>
        </w:rPr>
      </w:pPr>
      <w:r>
        <w:rPr>
          <w:rFonts w:hint="default" w:ascii="Times New Roman" w:hAnsi="Times New Roman" w:cs="Times New Roman"/>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cs="Times New Roman"/>
          <w:bCs/>
          <w:color w:val="auto"/>
          <w:spacing w:val="20"/>
          <w:sz w:val="52"/>
          <w:szCs w:val="52"/>
          <w:highlight w:val="none"/>
        </w:rPr>
        <w:t xml:space="preserve">招标文件</w:t>
      </w:r>
      <w:r/>
    </w:p>
    <w:p>
      <w:pPr>
        <w:jc w:val="center"/>
        <w:spacing w:line="240" w:lineRule="auto"/>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（暗标）</w:t>
      </w:r>
      <w:r/>
    </w:p>
    <w:p>
      <w:pPr>
        <w:jc w:val="left"/>
        <w:rPr>
          <w:rFonts w:hint="eastAsia" w:ascii="华文中宋" w:hAnsi="华文中宋" w:eastAsia="华文中宋"/>
          <w:bCs/>
          <w:color w:val="auto"/>
          <w:sz w:val="30"/>
          <w:highlight w:val="none"/>
          <w:lang w:eastAsia="zh-CN"/>
        </w:rPr>
      </w:pPr>
      <w:r>
        <w:rPr>
          <w:rFonts w:hint="eastAsia" w:ascii="华文中宋" w:hAnsi="华文中宋" w:eastAsia="华文中宋"/>
          <w:bCs/>
          <w:color w:val="auto"/>
          <w:sz w:val="30"/>
          <w:highlight w:val="none"/>
          <w:lang w:eastAsia="zh-CN"/>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JSZC-320214-JSZH-G2026-0081</w:t>
      </w:r>
      <w:r/>
    </w:p>
    <w:p>
      <w:pPr>
        <w:ind w:firstLine="900"/>
        <w:jc w:val="left"/>
        <w:tabs>
          <w:tab w:val="left" w:pos="312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无锡经济开发区消防特勤指挥中心投勤配套家具</w:t>
      </w:r>
      <w:r>
        <w:rPr>
          <w:rFonts w:hint="eastAsia" w:ascii="黑体" w:hAnsi="华文中宋" w:eastAsia="黑体"/>
          <w:bCs/>
          <w:color w:val="auto"/>
          <w:sz w:val="30"/>
          <w:szCs w:val="30"/>
          <w:highlight w:val="none"/>
          <w:lang w:val="en-US" w:eastAsia="zh-CN"/>
        </w:rPr>
        <w:tab/>
      </w:r>
      <w:r>
        <w:rPr>
          <w:rFonts w:hint="eastAsia" w:ascii="黑体" w:hAnsi="华文中宋" w:eastAsia="黑体"/>
          <w:bCs/>
          <w:color w:val="auto"/>
          <w:sz w:val="30"/>
          <w:szCs w:val="30"/>
          <w:highlight w:val="none"/>
          <w:lang w:eastAsia="zh-CN"/>
        </w:rPr>
        <w:t xml:space="preserve">采购项目（</w:t>
      </w:r>
      <w:r>
        <w:rPr>
          <w:rFonts w:hint="eastAsia" w:ascii="黑体" w:hAnsi="华文中宋" w:eastAsia="黑体"/>
          <w:bCs/>
          <w:color w:val="auto"/>
          <w:sz w:val="30"/>
          <w:szCs w:val="30"/>
          <w:highlight w:val="none"/>
          <w:lang w:val="en-US" w:eastAsia="zh-CN"/>
        </w:rPr>
        <w:t xml:space="preserve">第二次</w:t>
      </w:r>
      <w:r>
        <w:rPr>
          <w:rFonts w:hint="eastAsia" w:ascii="黑体" w:hAnsi="华文中宋" w:eastAsia="黑体"/>
          <w:bCs/>
          <w:color w:val="auto"/>
          <w:sz w:val="30"/>
          <w:szCs w:val="30"/>
          <w:highlight w:val="none"/>
          <w:lang w:eastAsia="zh-CN"/>
        </w:rPr>
        <w:t xml:space="preserve">）</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九</w:t>
      </w:r>
      <w:r>
        <w:rPr>
          <w:rFonts w:hint="eastAsia" w:ascii="黑体" w:hAnsi="华文中宋" w:eastAsia="黑体"/>
          <w:bCs/>
          <w:color w:val="auto"/>
          <w:sz w:val="36"/>
          <w:szCs w:val="36"/>
          <w:highlight w:val="none"/>
        </w:rPr>
        <w:t xml:space="preserve">月</w:t>
      </w:r>
      <w:r/>
    </w:p>
    <w:p>
      <w:pPr>
        <w:jc w:val="center"/>
        <w:rPr>
          <w:rStyle w:val="992"/>
          <w:rFonts w:eastAsia="黑体"/>
          <w:bCs/>
          <w:color w:val="auto"/>
          <w:sz w:val="4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ind w:left="0" w:right="0" w:firstLine="0"/>
        <w:jc w:val="center"/>
        <w:spacing w:before="0" w:after="0" w:line="240" w:lineRule="auto"/>
        <w:rPr>
          <w:rFonts w:hint="eastAsia" w:asciiTheme="minorEastAsia" w:hAnsiTheme="minorEastAsia" w:eastAsiaTheme="minorEastAsia" w:cstheme="minorEastAsia"/>
          <w:b/>
          <w:bCs/>
          <w:color w:val="auto"/>
          <w:sz w:val="40"/>
          <w:szCs w:val="40"/>
          <w:highlight w:val="none"/>
          <w:lang w:val="en-US" w:eastAsia="zh-CN" w:bidi="ar-SA"/>
        </w:rPr>
      </w:pPr>
      <w:r/>
      <w:bookmarkStart w:id="0" w:name="报价方须知前附表"/>
      <w:r/>
      <w:bookmarkEnd w:id="0"/>
      <w:r/>
      <w:r/>
    </w:p>
    <w:sdt>
      <w:sdtPr>
        <w15:appearance w15:val="boundingBox"/>
        <w15:color w:val="dbdbdb"/>
        <w:id w:val="147453472"/>
        <w:docPartObj>
          <w:docPartGallery w:val="Table of Contents"/>
          <w:docPartUnique w:val="true"/>
        </w:docPartObj>
        <w:rPr>
          <w:rFonts w:hint="eastAsia" w:asciiTheme="minorEastAsia" w:hAnsiTheme="minorEastAsia" w:eastAsiaTheme="minorEastAsia" w:cstheme="minorEastAsia"/>
          <w:b/>
          <w:bCs/>
          <w:color w:val="auto"/>
          <w:sz w:val="44"/>
          <w:szCs w:val="4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 xml:space="preserve">目   录</w:t>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TOC \o "1-1" \h \u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_Toc20791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一．投标邀请函</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_Toc20791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_Toc2037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二．投标人须知</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_Toc2037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7</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_Toc13689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三．项目技术要求和有关说明</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_Toc13689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19</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_Toc7525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四．合同书（格式文本）</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_Toc7525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_Toc9002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五．合同条款（格式）</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_Toc9002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24</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4"/>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_Toc27756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六．附件</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_Toc27756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28</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rPr>
              <w:color w:val="auto"/>
              <w:highlight w:val="none"/>
            </w:rPr>
          </w:pPr>
          <w:r>
            <w:rPr>
              <w:rFonts w:hint="eastAsia" w:asciiTheme="minorEastAsia" w:hAnsiTheme="minorEastAsia" w:eastAsiaTheme="minorEastAsia" w:cstheme="minorEastAsia"/>
              <w:b/>
              <w:bCs/>
              <w:color w:val="auto"/>
              <w:sz w:val="32"/>
              <w:szCs w:val="32"/>
              <w:highlight w:val="none"/>
            </w:rPr>
            <w:fldChar w:fldCharType="end"/>
          </w:r>
          <w:r/>
        </w:p>
      </w:sdtContent>
    </w:sdt>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0791"/>
      <w:r>
        <w:rPr>
          <w:rFonts w:hint="eastAsia" w:ascii="黑体" w:eastAsia="黑体"/>
          <w:bCs/>
          <w:color w:val="auto"/>
          <w:sz w:val="28"/>
          <w:szCs w:val="28"/>
          <w:highlight w:val="none"/>
        </w:rPr>
        <w:t xml:space="preserve">一．投标邀请函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无锡经济开发区消防特勤指挥中心投勤配套家具采购项目（第二次）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无锡经济开发区消防特勤指挥中心投勤配套家具采购项目（第二次）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JSZC-320214-JSZH-G2026-0081</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交货期：合同签订后一个月</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无锡市新吴区机关事务服务中心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1.请有意参加本项目采购活动的供应商按以下流程进行操作：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（2）办理“意源”CA数字证书和“方正”电子签章（办理地址：无锡市滨湖区观山路199号12号楼</w:t>
      </w:r>
      <w:r>
        <w:rPr>
          <w:rFonts w:hint="eastAsia" w:ascii="宋体" w:hAnsi="宋体" w:cs="Times New Roman"/>
          <w:color w:val="auto"/>
          <w:sz w:val="24"/>
          <w:szCs w:val="24"/>
          <w:highlight w:val="none"/>
          <w:lang w:val="en-US" w:eastAsia="zh-CN"/>
        </w:rPr>
        <w:t xml:space="preserve">一楼</w:t>
      </w:r>
      <w:r>
        <w:rPr>
          <w:rFonts w:hint="eastAsia" w:ascii="宋体" w:hAnsi="宋体" w:cs="Times New Roman"/>
          <w:color w:val="auto"/>
          <w:sz w:val="24"/>
          <w:szCs w:val="24"/>
          <w:highlight w:val="none"/>
        </w:rPr>
        <w:t xml:space="preserve">窗口），办理指南链接：http://jsxcmm.com/help/help.html。</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（3）CA驱动下载：</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技术服务电话：0510-81827781（服务时间：工作日 9:00-11:30，13:00-17:00）</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HYPERLINK "http://cz.wuxi.gov.cn/doc/2023/10/11/4080287.shtml" \t "_blank" </w:instrText>
      </w:r>
      <w:r>
        <w:rPr>
          <w:rFonts w:hint="eastAsia" w:ascii="Times New Roman" w:hAnsi="Times New Roman" w:cs="Times New Roman"/>
          <w:color w:val="auto"/>
          <w:sz w:val="21"/>
          <w:highlight w:val="none"/>
        </w:rPr>
        <w:fldChar w:fldCharType="separate"/>
      </w:r>
      <w:r>
        <w:rPr>
          <w:rFonts w:hint="eastAsia" w:ascii="宋体" w:hAnsi="宋体" w:cs="Times New Roman"/>
          <w:color w:val="auto"/>
          <w:sz w:val="24"/>
          <w:szCs w:val="24"/>
          <w:highlight w:val="none"/>
        </w:rPr>
        <w:t xml:space="preserve">“苏采云”系统供应商操作手册</w:t>
      </w:r>
      <w:r>
        <w:rPr>
          <w:rFonts w:hint="eastAsia" w:ascii="宋体" w:hAnsi="宋体" w:cs="Times New Roman"/>
          <w:color w:val="auto"/>
          <w:sz w:val="24"/>
          <w:szCs w:val="24"/>
          <w:highlight w:val="none"/>
        </w:rPr>
        <w:fldChar w:fldCharType="end"/>
      </w:r>
      <w:r>
        <w:rPr>
          <w:rFonts w:hint="eastAsia" w:ascii="宋体" w:hAnsi="宋体" w:cs="Times New Roman"/>
          <w:color w:val="auto"/>
          <w:sz w:val="24"/>
          <w:szCs w:val="24"/>
          <w:highlight w:val="none"/>
        </w:rPr>
        <w:t xml:space="preserve">。</w:t>
      </w:r>
      <w:r/>
    </w:p>
    <w:p>
      <w:pPr>
        <w:ind w:firstLine="480"/>
        <w:spacing w:line="360" w:lineRule="auto"/>
        <w:rPr>
          <w:rFonts w:hint="default"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JSZC-320214-JSZH-G2026-0081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Pr>
          <w:rFonts w:hint="eastAsia" w:ascii="宋体" w:hAnsi="宋体"/>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lang w:eastAsia="zh-CN"/>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采购人：无锡市新吴区机关事务服务中心</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采购人地址：无锡市新吴区和风路28号</w:t>
      </w:r>
      <w:r/>
    </w:p>
    <w:p>
      <w:pPr>
        <w:pStyle w:val="984"/>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田大伟</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联系电话：0510-81890176</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984"/>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984"/>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84"/>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984"/>
        <w:ind w:firstLine="480"/>
        <w:spacing w:before="0" w:beforeAutospacing="0" w:after="0" w:afterAutospacing="0" w:line="460" w:lineRule="exact"/>
        <w:tabs>
          <w:tab w:val="left" w:pos="0" w:leader="none"/>
        </w:tabs>
        <w:rPr>
          <w:rFonts w:hint="eastAsia" w:ascii="黑体" w:hAnsi="黑体" w:eastAsia="黑体"/>
          <w:bCs/>
          <w:color w:val="auto"/>
          <w:highlight w:val="none"/>
          <w:lang w:eastAsia="zh-CN"/>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84"/>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84"/>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037"/>
      <w:r>
        <w:rPr>
          <w:rFonts w:hint="eastAsia" w:ascii="黑体" w:eastAsia="黑体"/>
          <w:bCs/>
          <w:color w:val="auto"/>
          <w:sz w:val="28"/>
          <w:szCs w:val="28"/>
          <w:highlight w:val="none"/>
        </w:rPr>
        <w:t xml:space="preserve">二．投标人须知</w:t>
      </w:r>
      <w:bookmarkEnd w:id="3"/>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04"/>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04"/>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中小企业声明函（格式见附件）；</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关于符合本国产品标准的声明函</w:t>
      </w:r>
      <w:r>
        <w:rPr>
          <w:rFonts w:hint="eastAsia" w:ascii="宋体" w:hAnsi="宋体"/>
          <w:b/>
          <w:color w:val="auto"/>
          <w:sz w:val="24"/>
          <w:szCs w:val="24"/>
          <w:highlight w:val="none"/>
        </w:rPr>
        <w:t xml:space="preserve">（格式见附件）</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b w:val="0"/>
          <w:bCs/>
          <w:color w:val="auto"/>
          <w:sz w:val="24"/>
          <w:szCs w:val="24"/>
          <w:highlight w:val="none"/>
          <w:lang w:val="en-US" w:eastAsia="zh-CN"/>
        </w:rPr>
        <w:t xml:space="preserve">9.</w:t>
      </w:r>
      <w:r>
        <w:rPr>
          <w:rFonts w:hint="eastAsia" w:ascii="宋体" w:hAnsi="宋体"/>
          <w:bCs/>
          <w:color w:val="auto"/>
          <w:sz w:val="24"/>
          <w:szCs w:val="24"/>
          <w:highlight w:val="none"/>
        </w:rPr>
        <w:t xml:space="preserve">技术文件</w:t>
      </w:r>
      <w:r>
        <w:rPr>
          <w:rFonts w:hint="eastAsia" w:ascii="宋体" w:hAnsi="宋体" w:cs="Times New Roman"/>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投标供应商进行网上投标请参照《政府采购项目电子交易管理操作指南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8.</w:t>
      </w: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left="0" w:firstLine="480"/>
        <w:keepLines w:val="0"/>
        <w:keepNext w:val="0"/>
        <w:pageBreakBefore w:val="0"/>
        <w:spacing w:line="360" w:lineRule="auto"/>
        <w:widowControl w:val="off"/>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0" w:firstLine="480"/>
        <w:keepLines w:val="0"/>
        <w:keepNext w:val="0"/>
        <w:pageBreakBefore w:val="0"/>
        <w:spacing w:line="360" w:lineRule="auto"/>
        <w:widowControl w:val="off"/>
        <w:tabs>
          <w:tab w:val="left" w:pos="945" w:leader="none"/>
        </w:tabs>
        <w:rPr>
          <w:rFonts w:hint="default"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cs="Times New Roman"/>
          <w:bCs/>
          <w:color w:val="auto"/>
          <w:sz w:val="24"/>
          <w:szCs w:val="24"/>
          <w:highlight w:val="none"/>
          <w:lang w:eastAsia="zh-CN"/>
        </w:rPr>
        <w:t xml:space="preserve">；</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cs="Times New Roman"/>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highlight w:val="none"/>
        </w:rPr>
        <w:t xml:space="preserve">，100万</w:t>
      </w:r>
      <w:r>
        <w:rPr>
          <w:rFonts w:hint="eastAsia" w:ascii="宋体" w:hAnsi="宋体"/>
          <w:color w:val="auto"/>
          <w:highlight w:val="none"/>
          <w:lang w:val="en-US" w:eastAsia="zh-CN"/>
        </w:rPr>
        <w:t xml:space="preserve">元</w:t>
      </w:r>
      <w:r>
        <w:rPr>
          <w:rFonts w:hint="eastAsia" w:ascii="宋体" w:hAnsi="宋体"/>
          <w:color w:val="auto"/>
          <w:highlight w:val="none"/>
        </w:rPr>
        <w:t xml:space="preserve">－500</w:t>
      </w:r>
      <w:r>
        <w:rPr>
          <w:rFonts w:hint="eastAsia" w:ascii="宋体" w:hAnsi="宋体"/>
          <w:color w:val="auto"/>
          <w:highlight w:val="none"/>
          <w:lang w:val="en-US" w:eastAsia="zh-CN"/>
        </w:rPr>
        <w:t xml:space="preserve">万元</w:t>
      </w:r>
      <w:r>
        <w:rPr>
          <w:rFonts w:hint="eastAsia" w:ascii="宋体" w:hAnsi="宋体"/>
          <w:color w:val="auto"/>
          <w:highlight w:val="none"/>
        </w:rPr>
        <w:t xml:space="preserve">费率为1.1%</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折计取。</w:t>
      </w:r>
      <w:r/>
    </w:p>
    <w:p>
      <w:pPr>
        <w:ind w:firstLine="480"/>
        <w:keepLines w:val="0"/>
        <w:keepNext w:val="0"/>
        <w:pageBreakBefore w:val="0"/>
        <w:spacing w:line="360" w:lineRule="auto"/>
        <w:widowControl w:val="off"/>
        <w:tabs>
          <w:tab w:val="left" w:pos="1140" w:leader="none"/>
        </w:tabs>
        <w:rPr>
          <w:rFonts w:hint="default" w:ascii="宋体" w:hAnsi="宋体" w:cs="Times New Roman"/>
          <w:bCs/>
          <w:color w:val="auto"/>
          <w:sz w:val="24"/>
          <w:highlight w:val="none"/>
        </w:rPr>
      </w:pPr>
      <w:r>
        <w:rPr>
          <w:rFonts w:hint="eastAsia" w:ascii="宋体" w:hAnsi="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s="Times New Roman"/>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4" w:name="_Toc13689"/>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本项目中的</w:t>
      </w:r>
      <w:r>
        <w:rPr>
          <w:rFonts w:hint="eastAsia" w:ascii="宋体" w:hAnsi="宋体" w:cs="宋体"/>
          <w:b w:val="0"/>
          <w:bCs w:val="0"/>
          <w:color w:val="auto"/>
          <w:sz w:val="24"/>
          <w:highlight w:val="none"/>
          <w:lang w:val="en-US" w:eastAsia="zh-CN"/>
        </w:rPr>
        <w:t xml:space="preserve">战斗服架</w:t>
      </w:r>
      <w:r>
        <w:rPr>
          <w:rFonts w:hint="eastAsia" w:ascii="宋体" w:hAnsi="宋体" w:cs="宋体"/>
          <w:b w:val="0"/>
          <w:bCs w:val="0"/>
          <w:color w:val="auto"/>
          <w:sz w:val="24"/>
          <w:highlight w:val="none"/>
        </w:rPr>
        <w:t xml:space="preserve">为核心产品</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rPr>
        <w:t xml:space="preserve">基本要求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采购内容：</w:t>
      </w:r>
      <w:r>
        <w:rPr>
          <w:rFonts w:hint="eastAsia" w:ascii="宋体" w:hAnsi="宋体"/>
          <w:color w:val="auto"/>
          <w:highlight w:val="none"/>
          <w:lang w:eastAsia="zh-CN"/>
        </w:rPr>
        <w:t xml:space="preserve">无锡经济开发区消防特勤指挥中心投勤配套家具供货、安装及相关服务</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交货期：合同签订后一个月</w:t>
      </w:r>
      <w:r>
        <w:rPr>
          <w:rFonts w:hint="eastAsia" w:ascii="宋体" w:hAnsi="宋体" w:eastAsia="宋体" w:cs="宋体"/>
          <w:b w:val="0"/>
          <w:bCs w:val="0"/>
          <w:color w:val="auto"/>
          <w:sz w:val="24"/>
          <w:szCs w:val="24"/>
          <w:highlight w:val="none"/>
          <w:lang w:val="en-US" w:eastAsia="zh-CN"/>
        </w:rPr>
        <w:t xml:space="preserve">；误期违约金：合同价格的千分之五/天，上限为合同价10%；</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质量要求：</w:t>
      </w:r>
      <w:r>
        <w:rPr>
          <w:rFonts w:hint="eastAsia" w:ascii="宋体" w:hAnsi="宋体" w:cs="宋体"/>
          <w:b w:val="0"/>
          <w:bCs w:val="0"/>
          <w:color w:val="auto"/>
          <w:sz w:val="24"/>
          <w:szCs w:val="24"/>
          <w:highlight w:val="none"/>
          <w:lang w:val="en-US" w:eastAsia="zh-CN"/>
        </w:rPr>
        <w:t xml:space="preserve">符合国家及行业标准的合格产品，满足采购人的使用需求</w:t>
      </w:r>
      <w:r>
        <w:rPr>
          <w:rFonts w:hint="eastAsia" w:ascii="宋体" w:hAnsi="宋体" w:eastAsia="宋体" w:cs="宋体"/>
          <w:b w:val="0"/>
          <w:bCs w:val="0"/>
          <w:color w:val="auto"/>
          <w:sz w:val="24"/>
          <w:szCs w:val="24"/>
          <w:highlight w:val="none"/>
          <w:lang w:val="en-US" w:eastAsia="zh-CN"/>
        </w:rPr>
        <w:t xml:space="preserve">；质量违约金：合同价的</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质保期：</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cs="宋体"/>
          <w:b w:val="0"/>
          <w:bCs w:val="0"/>
          <w:color w:val="auto"/>
          <w:sz w:val="24"/>
          <w:szCs w:val="24"/>
          <w:highlight w:val="none"/>
          <w:lang w:val="en-US" w:eastAsia="zh-CN"/>
        </w:rPr>
        <w:t xml:space="preserve">自验收合格之日起</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项目预算：309.00万元</w:t>
      </w:r>
      <w:r/>
    </w:p>
    <w:p>
      <w:pPr>
        <w:ind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最高限价：309.00万元</w:t>
      </w:r>
      <w:r/>
    </w:p>
    <w:p>
      <w:pPr>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二、采购清单及技术参数见附件《</w:t>
      </w:r>
      <w:r>
        <w:rPr>
          <w:rFonts w:hint="eastAsia" w:ascii="宋体" w:hAnsi="宋体"/>
          <w:b/>
          <w:bCs/>
          <w:color w:val="auto"/>
          <w:highlight w:val="none"/>
          <w:lang w:eastAsia="zh-CN"/>
        </w:rPr>
        <w:t xml:space="preserve">无锡经济开发区消防特勤指挥中心投勤配套家具采购项目（第二次）</w:t>
      </w:r>
      <w:r>
        <w:rPr>
          <w:rFonts w:hint="eastAsia" w:ascii="宋体" w:hAnsi="宋体"/>
          <w:b/>
          <w:bCs/>
          <w:color w:val="auto"/>
          <w:highlight w:val="none"/>
          <w:lang w:val="en-US" w:eastAsia="zh-CN"/>
        </w:rPr>
        <w:t xml:space="preserve">清单</w:t>
      </w:r>
      <w:r>
        <w:rPr>
          <w:rFonts w:hint="eastAsia" w:ascii="宋体"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注：1.投标供应商应对投标货物品牌、尺寸规格、颜色、材料、质量、性能等作出说明，提供所投产品的技术参数偏离表，按实际情况在</w:t>
      </w:r>
      <w:r>
        <w:rPr>
          <w:rFonts w:hint="eastAsia" w:ascii="宋体" w:hAnsi="宋体" w:eastAsia="宋体" w:cs="宋体"/>
          <w:color w:val="auto"/>
          <w:szCs w:val="21"/>
          <w:highlight w:val="none"/>
          <w:lang w:eastAsia="zh-CN"/>
        </w:rPr>
        <w:t xml:space="preserve">投标偏离表</w:t>
      </w:r>
      <w:r>
        <w:rPr>
          <w:rFonts w:hint="eastAsia" w:ascii="宋体" w:hAnsi="宋体" w:cs="宋体"/>
          <w:color w:val="auto"/>
          <w:szCs w:val="21"/>
          <w:highlight w:val="none"/>
          <w:lang w:val="en-US" w:eastAsia="zh-CN"/>
        </w:rPr>
        <w:t xml:space="preserve">中</w:t>
      </w:r>
      <w:r>
        <w:rPr>
          <w:rFonts w:hint="eastAsia" w:ascii="宋体" w:hAnsi="宋体" w:cs="宋体"/>
          <w:b/>
          <w:bCs/>
          <w:color w:val="auto"/>
          <w:sz w:val="24"/>
          <w:szCs w:val="24"/>
          <w:highlight w:val="none"/>
          <w:lang w:val="en-US" w:eastAsia="zh-CN"/>
        </w:rPr>
        <w:t xml:space="preserve">注明以上清单产品各项技术参数偏离情况（正偏离/满足/负偏离），技术要求偏离表不能违背真实的参数和指标。</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3.项目需求中指出的技术标准与规范如有更新，应以最新的标准规范实施。</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4.所有采购家具产品，中标供应商均需经使用方确认最终的色样方可采购或制作。</w:t>
      </w:r>
      <w:r/>
    </w:p>
    <w:p>
      <w:pPr>
        <w:ind w:firstLine="482"/>
        <w:jc w:val="left"/>
        <w:spacing w:before="120"/>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三、</w:t>
      </w:r>
      <w:r>
        <w:rPr>
          <w:rFonts w:hint="eastAsia" w:ascii="宋体" w:hAnsi="宋体" w:eastAsia="宋体" w:cs="Times New Roman"/>
          <w:b/>
          <w:bCs/>
          <w:color w:val="auto"/>
          <w:szCs w:val="24"/>
          <w:highlight w:val="none"/>
          <w:lang w:val="zh-CN" w:eastAsia="zh-CN"/>
        </w:rPr>
        <w:t xml:space="preserve">售后服务要求</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1.投标供应商应对任何由于不当包装或防护措施不力而导致的商品损坏、损失、锈蚀、费用增长等后果负责。</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免费保修期要求在3年及以上。免费保修期内，如果有因质量问题而引起的损坏，中标供应商应对产品予以维修或更换，全部服务费和更换产品或配件的费用由中标供应商承担，中标供应商如不能修理或不能调换，按产品原价赔偿处理。</w:t>
      </w:r>
      <w:r/>
    </w:p>
    <w:p>
      <w:pPr>
        <w:numPr>
          <w:ilvl w:val="255"/>
          <w:numId w:val="0"/>
        </w:numPr>
        <w:ind w:firstLine="482"/>
        <w:jc w:val="left"/>
        <w:widowControl/>
        <w:rPr>
          <w:rFonts w:hint="default"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质保期内因制造缺陷、材料或工艺问题导致但不限于以下故障，中标</w:t>
      </w:r>
      <w:r>
        <w:rPr>
          <w:rFonts w:hint="eastAsia" w:ascii="宋体" w:hAnsi="宋体" w:eastAsia="宋体" w:cs="宋体"/>
          <w:b/>
          <w:bCs/>
          <w:color w:val="auto"/>
          <w:szCs w:val="21"/>
          <w:highlight w:val="none"/>
          <w:lang w:eastAsia="zh-CN"/>
        </w:rPr>
        <w:t xml:space="preserve">供应商</w:t>
      </w:r>
      <w:r>
        <w:rPr>
          <w:rFonts w:hint="eastAsia" w:ascii="宋体" w:hAnsi="宋体" w:eastAsia="宋体" w:cs="宋体"/>
          <w:b/>
          <w:bCs/>
          <w:color w:val="auto"/>
          <w:szCs w:val="21"/>
          <w:highlight w:val="none"/>
          <w:lang w:val="zh-CN" w:eastAsia="zh-CN"/>
        </w:rPr>
        <w:t xml:space="preserve">须免费更换：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①台面类：腐蚀破损（≥1cm²）、承重变形或翘边（形变≥2mm）、渗液、变色（色差 ΔE≥3）等；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②通风柜类：气体泄漏＞0.5ppm、风机风量＜80%额定值、视窗卡顿/脱落、导流板变形；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③柜体类：表面涂层剥落（≥1cm²）、层板变形（在额定承重内）、密封条老化失效、锁具失灵；</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④结构类：框架变形（倾斜≥2°）、支脚松动/断裂、水槽/试剂架连接处漏水；</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⑤五金配件：铰链/滑轨锈蚀卡顿、水龙头/阀门漏水、同部位维修两次仍故障；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⑥其他专项：危化品柜等通风不合格、实验凳升降失效或脚轮卡死等。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保修期自验收签字之日起计算。保修期满前1个月内中标供应商应负责一次免费全面检查，并写出正式报告，如发现潜在问题，应负责排除。</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3.维修响应时间：中标供应商应在24小时内对用户的服务要求做出响应，一般问题在48小时内解决，重大问题或其他无法立刻解决的问题应在一周内解决或提出明确的解决方案，否则中标供应商应赔偿相应的损失。</w:t>
      </w:r>
      <w:r/>
    </w:p>
    <w:p>
      <w:pPr>
        <w:numPr>
          <w:ilvl w:val="255"/>
          <w:numId w:val="0"/>
        </w:numPr>
        <w:ind w:firstLine="480"/>
        <w:jc w:val="lef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eastAsia="zh-CN"/>
        </w:rPr>
        <w:t xml:space="preserve">.免费保修期后，继续支持维修，并按成本价标准收取维修及零件费用。在质保期内发生故障，在设备维修好后，质保期顺延</w:t>
      </w:r>
      <w:r>
        <w:rPr>
          <w:rFonts w:hint="eastAsia" w:ascii="宋体" w:hAnsi="宋体" w:eastAsia="宋体" w:cs="宋体"/>
          <w:color w:val="auto"/>
          <w:szCs w:val="21"/>
          <w:highlight w:val="none"/>
          <w:lang w:val="zh-CN" w:eastAsia="zh-CN"/>
        </w:rPr>
        <w:t xml:space="preserve">。</w:t>
      </w:r>
      <w:r/>
    </w:p>
    <w:p>
      <w:pPr>
        <w:numPr>
          <w:ilvl w:val="255"/>
          <w:numId w:val="0"/>
        </w:numPr>
        <w:ind w:firstLine="480"/>
        <w:jc w:val="left"/>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四、</w:t>
      </w:r>
      <w:r>
        <w:rPr>
          <w:rFonts w:hint="eastAsia" w:ascii="宋体" w:hAnsi="宋体" w:eastAsia="宋体" w:cs="Times New Roman"/>
          <w:b/>
          <w:bCs/>
          <w:color w:val="auto"/>
          <w:szCs w:val="24"/>
          <w:highlight w:val="none"/>
          <w:lang w:val="zh-CN" w:eastAsia="zh-CN"/>
        </w:rPr>
        <w:t xml:space="preserve">安装调试及验收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1.投标供应商应在</w:t>
      </w:r>
      <w:r>
        <w:rPr>
          <w:rFonts w:hint="eastAsia" w:ascii="宋体" w:hAnsi="宋体" w:eastAsia="宋体" w:cs="宋体"/>
          <w:color w:val="auto"/>
          <w:szCs w:val="21"/>
          <w:highlight w:val="none"/>
          <w:lang w:val="en-US" w:eastAsia="zh-CN"/>
        </w:rPr>
        <w:t xml:space="preserve">家具</w:t>
      </w:r>
      <w:r>
        <w:rPr>
          <w:rFonts w:hint="eastAsia" w:ascii="宋体" w:hAnsi="宋体" w:eastAsia="宋体" w:cs="宋体"/>
          <w:color w:val="auto"/>
          <w:szCs w:val="21"/>
          <w:highlight w:val="none"/>
          <w:lang w:val="zh-CN" w:eastAsia="zh-CN"/>
        </w:rPr>
        <w:t xml:space="preserve">到货前1天安排人员到现场进行安装卸货前协调工作。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2.由采购人按合同和招标、投标文件约定的要求和标准及中华人民共和国现行的验收规范和评定标准进行交货验收。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4.验收标准：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（1）设备全新，外观无伤痕变形或明显修饰痕迹。</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（3）技术文件资料按规定移交完毕。</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（4）按照招标文件要求及投标文件提供的技术要求验收必须合格。</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（6）货物具备产品合格证。</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（7）在货物安装调试合格后，所有技术指标达到技术规范要求，经验收合格后，双方共同签署验收报告。</w:t>
      </w:r>
      <w:r/>
    </w:p>
    <w:p>
      <w:pPr>
        <w:ind w:firstLine="480"/>
        <w:jc w:val="left"/>
        <w:widowControl/>
        <w:rPr>
          <w:rFonts w:hint="eastAsia" w:ascii="Arial" w:hAnsi="Arial" w:eastAsia="宋体" w:cs="Arial"/>
          <w:color w:val="auto"/>
          <w:szCs w:val="21"/>
          <w:highlight w:val="none"/>
          <w:lang w:val="zh-CN" w:eastAsia="zh-CN"/>
        </w:rPr>
      </w:pPr>
      <w:r>
        <w:rPr>
          <w:rFonts w:hint="eastAsia" w:ascii="宋体" w:hAnsi="宋体" w:eastAsia="宋体" w:cs="宋体"/>
          <w:color w:val="auto"/>
          <w:szCs w:val="21"/>
          <w:highlight w:val="none"/>
          <w:lang w:val="zh-CN" w:eastAsia="zh-CN"/>
        </w:rPr>
        <w:t xml:space="preserve">5.投标供应商在中标后，采购人有权要求中标人提供投标文件内全部产品报告、证书等证明材料复印件并加盖原厂公章原件给采购人，如不能满足，采购人有权终止合同，并依法追究</w:t>
      </w:r>
      <w:r>
        <w:rPr>
          <w:rFonts w:hint="eastAsia" w:ascii="Arial" w:hAnsi="Arial" w:eastAsia="宋体" w:cs="Arial"/>
          <w:color w:val="auto"/>
          <w:szCs w:val="21"/>
          <w:highlight w:val="none"/>
          <w:lang w:val="zh-CN" w:eastAsia="zh-CN"/>
        </w:rPr>
        <w:t xml:space="preserve">其责任。</w:t>
      </w:r>
      <w:r/>
    </w:p>
    <w:p>
      <w:pPr>
        <w:ind w:firstLine="480"/>
        <w:jc w:val="left"/>
        <w:widowControl/>
        <w:rPr>
          <w:rFonts w:hint="default" w:ascii="Arial" w:hAnsi="Arial" w:eastAsia="宋体" w:cs="Arial"/>
          <w:color w:val="auto"/>
          <w:szCs w:val="21"/>
          <w:highlight w:val="none"/>
          <w:lang w:eastAsia="zh-CN"/>
        </w:rPr>
      </w:pPr>
      <w:r>
        <w:rPr>
          <w:rFonts w:hint="eastAsia" w:ascii="Arial" w:hAnsi="Arial" w:eastAsia="宋体" w:cs="Arial"/>
          <w:b/>
          <w:bCs/>
          <w:color w:val="auto"/>
          <w:szCs w:val="21"/>
          <w:highlight w:val="none"/>
          <w:lang w:val="en-US" w:eastAsia="zh-CN"/>
        </w:rPr>
        <w:t xml:space="preserve">五、</w:t>
      </w:r>
      <w:r>
        <w:rPr>
          <w:rFonts w:hint="eastAsia" w:ascii="Arial" w:hAnsi="Arial" w:eastAsia="宋体" w:cs="Arial"/>
          <w:b/>
          <w:color w:val="auto"/>
          <w:szCs w:val="21"/>
          <w:highlight w:val="none"/>
          <w:lang w:eastAsia="zh-CN"/>
        </w:rPr>
        <w:t xml:space="preserve">其他有关说明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2.通过中国海关报关验放进入中国境内且产自中国境外的产品不在本项目的报价范围。</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3.投标供应商必须在满足招标文件要求的基础上进行报价，如有技术偏离请于投标偏离表中说明。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4.本项目合同履行地点：</w:t>
      </w:r>
      <w:r>
        <w:rPr>
          <w:rFonts w:hint="eastAsia" w:ascii="宋体" w:hAnsi="宋体" w:eastAsia="宋体" w:cs="宋体"/>
          <w:color w:val="auto"/>
          <w:szCs w:val="21"/>
          <w:highlight w:val="none"/>
          <w:lang w:val="en-US" w:eastAsia="zh-CN"/>
        </w:rPr>
        <w:t xml:space="preserve">采购人指定地点</w:t>
      </w:r>
      <w:r>
        <w:rPr>
          <w:rFonts w:hint="eastAsia" w:ascii="宋体" w:hAnsi="宋体" w:eastAsia="宋体" w:cs="宋体"/>
          <w:color w:val="auto"/>
          <w:szCs w:val="21"/>
          <w:highlight w:val="none"/>
          <w:lang w:eastAsia="zh-CN"/>
        </w:rPr>
        <w:t xml:space="preserve">，具体地点以合同书约定为准。中标供应商必须按采购人要求将本项目中货物送到指定地点（包括可能的分布范围），并实施安装调试。</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b/>
          <w:bCs/>
          <w:color w:val="auto"/>
          <w:szCs w:val="21"/>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（1）合同履行过程中，采购人有权对中标供应商</w:t>
      </w:r>
      <w:r>
        <w:rPr>
          <w:rFonts w:hint="eastAsia" w:ascii="宋体" w:hAnsi="宋体" w:eastAsia="宋体" w:cs="宋体"/>
          <w:b/>
          <w:bCs/>
          <w:color w:val="auto"/>
          <w:szCs w:val="21"/>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Cs w:val="21"/>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eastAsia="宋体" w:cs="宋体"/>
          <w:b/>
          <w:bCs/>
          <w:color w:val="auto"/>
          <w:szCs w:val="21"/>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.本项目中如有</w:t>
      </w:r>
      <w:r>
        <w:rPr>
          <w:rFonts w:hint="eastAsia" w:ascii="宋体" w:hAnsi="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lang w:val="en-US" w:eastAsia="zh-CN"/>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color w:val="auto"/>
          <w:sz w:val="24"/>
          <w:szCs w:val="24"/>
          <w:highlight w:val="none"/>
          <w:lang w:val="en-US" w:eastAsia="zh-CN"/>
        </w:rPr>
        <w:t xml:space="preserve">件中</w:t>
      </w:r>
      <w:r>
        <w:rPr>
          <w:rFonts w:hint="eastAsia" w:ascii="宋体" w:hAnsi="宋体" w:eastAsia="宋体" w:cs="宋体"/>
          <w:color w:val="auto"/>
          <w:sz w:val="24"/>
          <w:szCs w:val="24"/>
          <w:highlight w:val="none"/>
          <w:lang w:val="en-US" w:eastAsia="zh-CN"/>
        </w:rPr>
        <w:t xml:space="preserve">对商品包装和快递包装提出具体要求的，在政府采购合同中应当载明对政府采购供应商提</w:t>
      </w:r>
      <w:r>
        <w:rPr>
          <w:rFonts w:hint="eastAsia" w:ascii="宋体" w:hAnsi="宋体" w:cs="宋体"/>
          <w:color w:val="auto"/>
          <w:sz w:val="24"/>
          <w:szCs w:val="24"/>
          <w:highlight w:val="none"/>
          <w:lang w:val="en-US" w:eastAsia="zh-CN"/>
        </w:rPr>
        <w:t xml:space="preserve">供的</w:t>
      </w:r>
      <w:r>
        <w:rPr>
          <w:rFonts w:hint="eastAsia" w:ascii="宋体" w:hAnsi="宋体" w:eastAsia="宋体" w:cs="宋体"/>
          <w:color w:val="auto"/>
          <w:sz w:val="24"/>
          <w:szCs w:val="24"/>
          <w:highlight w:val="none"/>
          <w:lang w:val="en-US" w:eastAsia="zh-CN"/>
        </w:rPr>
        <w:t xml:space="preserve">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付款方式：合同签订后支付合同总价的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s="Times New Roman"/>
          <w:b w:val="0"/>
          <w:bCs/>
          <w:color w:val="auto"/>
          <w:sz w:val="24"/>
          <w:highlight w:val="none"/>
          <w:lang w:val="en-US" w:eastAsia="zh-CN" w:bidi="ar-SA"/>
        </w:rPr>
        <w:t xml:space="preserve">12</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》第七十七条第一款的规定追究法律责任。</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bookmarkStart w:id="5" w:name="_Toc7525"/>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rPr>
          <w:rFonts w:hint="eastAsia" w:ascii="宋体" w:hAnsi="宋体" w:cs="宋体"/>
          <w:bCs/>
          <w:color w:val="auto"/>
          <w:sz w:val="24"/>
          <w:highlight w:val="none"/>
          <w:u w:val="single"/>
        </w:rPr>
        <w:t xml:space="preserve">                                                          </w:t>
      </w:r>
      <w:bookmarkEnd w:id="6"/>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rPr>
        <w:t xml:space="preserve">；</w:t>
      </w:r>
      <w:r>
        <w:rPr>
          <w:rFonts w:hint="eastAsia" w:ascii="宋体" w:hAnsi="宋体" w:cs="宋体"/>
          <w:bCs/>
          <w:color w:val="auto"/>
          <w:sz w:val="24"/>
          <w:highlight w:val="none"/>
          <w:u w:val="none"/>
        </w:rPr>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w:t>
      </w:r>
      <w:r>
        <w:rPr>
          <w:rFonts w:hint="eastAsia" w:ascii="宋体" w:hAnsi="宋体" w:cs="宋体"/>
          <w:bCs/>
          <w:color w:val="auto"/>
          <w:sz w:val="24"/>
          <w:highlight w:val="none"/>
          <w:lang w:val="en-US" w:eastAsia="zh-CN"/>
        </w:rPr>
        <w:t xml:space="preserve">两份</w:t>
      </w:r>
      <w:r>
        <w:rPr>
          <w:rFonts w:hint="eastAsia" w:ascii="宋体" w:hAnsi="宋体" w:cs="宋体"/>
          <w:bCs/>
          <w:color w:val="auto"/>
          <w:sz w:val="24"/>
          <w:highlight w:val="none"/>
        </w:rPr>
        <w:t xml:space="preserve">，见证方一份。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9002"/>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合同条款（格式）</w:t>
      </w:r>
      <w:bookmarkEnd w:id="7"/>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65"/>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一、货物内容</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1.1 货物名称：</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1.2 型号规格：</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1.3 数量（单位）：</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二、合同金额</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三、技术资料</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乙方应按招标文件规定的时间向甲方提供使用货物的有关技术资料。</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w:t>
      </w:r>
      <w:r>
        <w:rPr>
          <w:rFonts w:hint="eastAsia" w:hAnsi="宋体"/>
          <w:color w:val="auto"/>
          <w:sz w:val="24"/>
          <w:szCs w:val="24"/>
          <w:highlight w:val="none"/>
          <w:lang w:eastAsia="zh-CN"/>
        </w:rPr>
        <w:t xml:space="preserve">给</w:t>
      </w:r>
      <w:r>
        <w:rPr>
          <w:rFonts w:hint="eastAsia" w:hAnsi="宋体"/>
          <w:color w:val="auto"/>
          <w:sz w:val="24"/>
          <w:szCs w:val="24"/>
          <w:highlight w:val="none"/>
          <w:lang w:val="en-US" w:eastAsia="zh-CN"/>
        </w:rPr>
        <w:t xml:space="preserve">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65"/>
        <w:spacing w:before="120" w:after="120" w:line="440" w:lineRule="exact"/>
        <w:rPr>
          <w:rFonts w:hint="eastAsia" w:hAnsi="宋体"/>
          <w:color w:val="auto"/>
          <w:sz w:val="24"/>
          <w:szCs w:val="24"/>
          <w:highlight w:val="none"/>
          <w:u w:val="single"/>
        </w:rPr>
      </w:pPr>
      <w:r>
        <w:rPr>
          <w:rFonts w:hAnsi="宋体"/>
          <w:b/>
          <w:color w:val="auto"/>
          <w:sz w:val="24"/>
          <w:szCs w:val="24"/>
          <w:highlight w:val="none"/>
        </w:rPr>
        <w:t xml:space="preserve">五、产权担保</w:t>
      </w:r>
      <w:r/>
    </w:p>
    <w:p>
      <w:pPr>
        <w:pStyle w:val="965"/>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hint="eastAsia" w:ascii="宋体" w:hAnsi="宋体" w:eastAsia="仿宋_GB2312"/>
          <w:b/>
          <w:color w:val="auto"/>
          <w:sz w:val="24"/>
          <w:highlight w:val="none"/>
        </w:rPr>
      </w:pPr>
      <w:r>
        <w:rPr>
          <w:rFonts w:hint="eastAsia" w:ascii="宋体" w:hAnsi="宋体"/>
          <w:b/>
          <w:color w:val="auto"/>
          <w:sz w:val="24"/>
          <w:highlight w:val="none"/>
        </w:rPr>
        <w:t xml:space="preserve">六</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转包或分包</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本合同范围的货物，应由乙方直接供应，不得转让他人供应；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交货方式：送货至甲方指定地点</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8.3 交货地点：甲方指定地点</w:t>
      </w:r>
      <w:r/>
    </w:p>
    <w:p>
      <w:pPr>
        <w:pStyle w:val="965"/>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rPr>
        <w:t xml:space="preserve">九、</w:t>
      </w:r>
      <w:r>
        <w:rPr>
          <w:rFonts w:hint="eastAsia" w:hAnsi="宋体" w:cs="宋体"/>
          <w:b/>
          <w:bCs/>
          <w:color w:val="auto"/>
          <w:sz w:val="24"/>
          <w:szCs w:val="24"/>
          <w:highlight w:val="none"/>
        </w:rPr>
        <w:t xml:space="preserve">货款支付</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9.1 付款方式：</w:t>
      </w:r>
      <w:r/>
    </w:p>
    <w:p>
      <w:pPr>
        <w:pStyle w:val="965"/>
        <w:ind w:firstLine="480"/>
        <w:spacing w:before="120" w:after="12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pStyle w:val="965"/>
        <w:spacing w:before="120" w:after="120" w:line="44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十、税</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10.1本合同执行中相关的一切税费均由乙方负担。</w:t>
      </w:r>
      <w:r/>
    </w:p>
    <w:p>
      <w:pPr>
        <w:pStyle w:val="965"/>
        <w:spacing w:before="120" w:after="120" w:line="440" w:lineRule="exact"/>
        <w:rPr>
          <w:rFonts w:hint="eastAsia"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、质量保证及售后服务</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更换：由乙方承担所发生的全部费用。</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贬值处理：由甲乙双方合议定价。</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.3 在质保期内，乙方应对货物出现的质量及安全问题负责处理解决并承担一切费用。</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 </w:t>
      </w:r>
      <w:r>
        <w:rPr>
          <w:rFonts w:hAnsi="宋体"/>
          <w:color w:val="auto"/>
          <w:sz w:val="24"/>
          <w:szCs w:val="24"/>
          <w:highlight w:val="none"/>
        </w:rPr>
        <w:t xml:space="preserve">上述的货物免费保修期为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、调试和验收</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w:t>
      </w:r>
      <w:r>
        <w:rPr>
          <w:rFonts w:hint="eastAsia" w:hAnsi="宋体"/>
          <w:color w:val="auto"/>
          <w:sz w:val="24"/>
          <w:szCs w:val="24"/>
          <w:highlight w:val="none"/>
        </w:rPr>
        <w:t xml:space="preserve"> 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65"/>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、货物包装、发运及运输</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965"/>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、违约责任</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65"/>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14.5乙方在</w:t>
      </w:r>
      <w:r>
        <w:rPr>
          <w:rFonts w:hint="eastAsia" w:hAnsi="宋体" w:cs="宋体"/>
          <w:color w:val="auto"/>
          <w:sz w:val="24"/>
          <w:highlight w:val="none"/>
        </w:rPr>
        <w:t xml:space="preserve">发现问题于</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小时内响应，</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小时内到达现场，进行设备检修。因仪器故障超过</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 xml:space="preserve">小时未能解决的，应采取应急处置方案。</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五</w:t>
      </w:r>
      <w:r>
        <w:rPr>
          <w:rFonts w:hAnsi="宋体"/>
          <w:b/>
          <w:color w:val="auto"/>
          <w:sz w:val="24"/>
          <w:szCs w:val="24"/>
          <w:highlight w:val="none"/>
        </w:rPr>
        <w:t xml:space="preserve">、不可抗力事件处理</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.2 不可抗力事件发生后，应立即通知对方，并寄送有关权威机构出具的证明。</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.3 不可抗力事件延续120天以上，双方应通过友好协商，确定是否继续履行合同。</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六</w:t>
      </w:r>
      <w:r>
        <w:rPr>
          <w:rFonts w:hAnsi="宋体"/>
          <w:b/>
          <w:color w:val="auto"/>
          <w:sz w:val="24"/>
          <w:szCs w:val="24"/>
          <w:highlight w:val="none"/>
        </w:rPr>
        <w:t xml:space="preserve">、诉讼</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965"/>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，并经见证方盖章</w:t>
      </w:r>
      <w:r>
        <w:rPr>
          <w:rFonts w:hAnsi="宋体"/>
          <w:color w:val="auto"/>
          <w:sz w:val="24"/>
          <w:szCs w:val="24"/>
          <w:highlight w:val="none"/>
        </w:rPr>
        <w:t xml:space="preserve">后生效。</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965"/>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五</w:t>
      </w:r>
      <w:r>
        <w:rPr>
          <w:rFonts w:hAnsi="宋体"/>
          <w:color w:val="auto"/>
          <w:sz w:val="24"/>
          <w:szCs w:val="24"/>
          <w:highlight w:val="none"/>
        </w:rPr>
        <w:t xml:space="preserve">份，具有同等法律效力，</w:t>
      </w:r>
      <w:r>
        <w:rPr>
          <w:rFonts w:hint="eastAsia" w:hAnsi="宋体"/>
          <w:color w:val="auto"/>
          <w:sz w:val="24"/>
          <w:szCs w:val="24"/>
          <w:highlight w:val="none"/>
          <w:lang w:eastAsia="zh-CN"/>
        </w:rPr>
        <w:t xml:space="preserve">甲乙双方各执两份</w:t>
      </w:r>
      <w:r>
        <w:rPr>
          <w:rFonts w:hint="eastAsia" w:hAnsi="宋体"/>
          <w:color w:val="auto"/>
          <w:sz w:val="24"/>
          <w:szCs w:val="24"/>
          <w:highlight w:val="none"/>
        </w:rPr>
        <w:t xml:space="preserve">，见证方一份</w:t>
      </w:r>
      <w:r>
        <w:rPr>
          <w:rFonts w:hAnsi="宋体"/>
          <w:color w:val="auto"/>
          <w:sz w:val="24"/>
          <w:szCs w:val="24"/>
          <w:highlight w:val="none"/>
        </w:rPr>
        <w:t xml:space="preserve">。</w:t>
      </w:r>
      <w:r/>
    </w:p>
    <w:p>
      <w:pPr>
        <w:pStyle w:val="965"/>
        <w:ind w:left="480" w:hanging="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  甲方：                                   乙方：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地址：                                   地址： </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965"/>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965"/>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965"/>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27756"/>
      <w:r>
        <w:rPr>
          <w:rFonts w:hint="eastAsia" w:ascii="黑体" w:eastAsia="黑体"/>
          <w:bCs/>
          <w:color w:val="auto"/>
          <w:sz w:val="28"/>
          <w:szCs w:val="28"/>
          <w:highlight w:val="none"/>
        </w:rPr>
        <w:t xml:space="preserve">六．附件</w:t>
      </w:r>
      <w:bookmarkEnd w:id="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1.投标报价（</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1）本国产品价格扣除政策</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none"/>
        </w:rPr>
        <w:t xml:space="preserve">对于仅有本国产品参与竞争的政府采购项目或采购包，本国产品不享受价格扣除评审优惠。</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firstLine="480"/>
        <w:jc w:val="left"/>
        <w:spacing w:line="500" w:lineRule="exact"/>
        <w:tabs>
          <w:tab w:val="left" w:pos="1401" w:leader="none"/>
        </w:tabs>
        <w:rPr>
          <w:rFonts w:hint="eastAsia" w:ascii="宋体" w:hAnsi="宋体"/>
          <w:bCs/>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业绩（2分）：</w:t>
      </w:r>
      <w:r>
        <w:rPr>
          <w:rFonts w:hint="eastAsia" w:ascii="宋体" w:hAnsi="宋体"/>
          <w:color w:val="auto"/>
          <w:highlight w:val="none"/>
        </w:rPr>
        <w:t xml:space="preserve">投标供应商自202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年1月1日以来具有</w:t>
      </w:r>
      <w:r>
        <w:rPr>
          <w:rFonts w:hint="eastAsia" w:ascii="宋体" w:hAnsi="宋体"/>
          <w:bCs/>
          <w:color w:val="auto"/>
          <w:highlight w:val="none"/>
        </w:rPr>
        <w:t xml:space="preserve">同类项目业绩，有一个得</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分，本项最高得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分【以合同签订时间为准；提供合同</w:t>
      </w:r>
      <w:r>
        <w:rPr>
          <w:rFonts w:hint="eastAsia" w:ascii="宋体" w:hAnsi="宋体"/>
          <w:bCs/>
          <w:color w:val="auto"/>
          <w:highlight w:val="none"/>
          <w:lang w:val="en-US" w:eastAsia="zh-CN"/>
        </w:rPr>
        <w:t xml:space="preserve">及</w:t>
      </w:r>
      <w:r>
        <w:rPr>
          <w:rFonts w:hint="eastAsia" w:ascii="宋体" w:hAnsi="宋体" w:eastAsia="宋体" w:cs="宋体"/>
          <w:bCs/>
          <w:color w:val="auto"/>
          <w:sz w:val="24"/>
          <w:szCs w:val="24"/>
          <w:highlight w:val="none"/>
        </w:rPr>
        <w:t xml:space="preserve">验收证明（能够证明本项目已完成的证明材料）</w:t>
      </w:r>
      <w:r>
        <w:rPr>
          <w:rFonts w:hint="eastAsia" w:ascii="宋体" w:hAnsi="宋体" w:eastAsia="宋体" w:cs="宋体"/>
          <w:bCs/>
          <w:color w:val="auto"/>
          <w:sz w:val="24"/>
          <w:szCs w:val="24"/>
          <w:highlight w:val="none"/>
          <w:lang w:val="en-US" w:eastAsia="zh-CN"/>
        </w:rPr>
        <w:t xml:space="preserve">原件</w:t>
      </w:r>
      <w:r>
        <w:rPr>
          <w:rFonts w:hint="eastAsia" w:ascii="宋体" w:hAnsi="宋体"/>
          <w:bCs/>
          <w:color w:val="auto"/>
          <w:highlight w:val="none"/>
        </w:rPr>
        <w:t xml:space="preserve">扫描件上传至电子投标文件，未按要求提供不得分】</w:t>
      </w:r>
      <w:r/>
    </w:p>
    <w:p>
      <w:pPr>
        <w:numPr>
          <w:ilvl w:val="2"/>
          <w:numId w:val="0"/>
        </w:numPr>
        <w:ind w:firstLine="523"/>
        <w:jc w:val="left"/>
        <w:spacing w:line="500" w:lineRule="exact"/>
        <w:tabs>
          <w:tab w:val="left" w:pos="1401"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产品品质认证情况</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分）：针对本项目核心产品战斗服架，投标人</w:t>
      </w:r>
      <w:r>
        <w:rPr>
          <w:rFonts w:hint="eastAsia" w:ascii="宋体" w:hAnsi="宋体" w:cs="宋体"/>
          <w:bCs/>
          <w:color w:val="auto"/>
          <w:sz w:val="24"/>
          <w:highlight w:val="none"/>
          <w:lang w:val="en-US" w:eastAsia="zh-CN"/>
        </w:rPr>
        <w:t xml:space="preserve">或制造商</w:t>
      </w:r>
      <w:r>
        <w:rPr>
          <w:rFonts w:hint="eastAsia" w:ascii="宋体" w:hAnsi="宋体" w:cs="宋体"/>
          <w:bCs/>
          <w:color w:val="auto"/>
          <w:sz w:val="24"/>
          <w:highlight w:val="none"/>
        </w:rPr>
        <w:t xml:space="preserve">具有有效期内的中国环保产品认证证书</w:t>
      </w:r>
      <w:r>
        <w:rPr>
          <w:rFonts w:hint="eastAsia" w:ascii="宋体" w:hAnsi="宋体" w:cs="宋体"/>
          <w:bCs/>
          <w:color w:val="auto"/>
          <w:sz w:val="24"/>
          <w:highlight w:val="none"/>
          <w:lang w:eastAsia="zh-CN"/>
        </w:rPr>
        <w:t xml:space="preserve">、</w:t>
      </w:r>
      <w:r>
        <w:rPr>
          <w:rFonts w:hint="eastAsia" w:ascii="宋体" w:hAnsi="宋体" w:eastAsia="宋体" w:cs="宋体"/>
          <w:color w:val="auto"/>
          <w:spacing w:val="-3"/>
          <w:sz w:val="24"/>
          <w:szCs w:val="24"/>
          <w:highlight w:val="none"/>
        </w:rPr>
        <w:t xml:space="preserve">家具中有害物质限量认证证书</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bCs/>
          <w:color w:val="auto"/>
          <w:sz w:val="24"/>
          <w:szCs w:val="24"/>
          <w:highlight w:val="none"/>
        </w:rPr>
        <w:t xml:space="preserve">中国绿色产品认证证书</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有1个</w:t>
      </w:r>
      <w:r>
        <w:rPr>
          <w:rFonts w:hint="eastAsia" w:ascii="宋体" w:hAnsi="宋体" w:cs="宋体"/>
          <w:bCs/>
          <w:color w:val="auto"/>
          <w:sz w:val="24"/>
          <w:highlight w:val="none"/>
        </w:rPr>
        <w:t xml:space="preserve">得2分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本项最高得6分</w:t>
      </w:r>
      <w:r>
        <w:rPr>
          <w:rFonts w:hint="eastAsia" w:ascii="宋体" w:hAnsi="宋体" w:cs="宋体"/>
          <w:bCs/>
          <w:color w:val="auto"/>
          <w:sz w:val="24"/>
          <w:highlight w:val="none"/>
        </w:rPr>
        <w:t xml:space="preserve">【提供有效期内的认证证书原件扫描件上传至电子投标文件，</w:t>
      </w:r>
      <w:r>
        <w:rPr>
          <w:rFonts w:hint="eastAsia" w:ascii="宋体" w:hAnsi="宋体" w:eastAsia="宋体" w:cs="宋体"/>
          <w:b/>
          <w:bCs/>
          <w:color w:val="auto"/>
          <w:spacing w:val="1"/>
          <w:sz w:val="24"/>
          <w:szCs w:val="24"/>
          <w:highlight w:val="none"/>
        </w:rPr>
        <w:t xml:space="preserve">认证内容与上述名称不同，但内容实质相同的视作等同</w:t>
      </w:r>
      <w:r>
        <w:rPr>
          <w:rFonts w:hint="eastAsia" w:ascii="宋体" w:hAnsi="宋体" w:eastAsia="宋体" w:cs="宋体"/>
          <w:b/>
          <w:bCs/>
          <w:color w:val="auto"/>
          <w:spacing w:val="1"/>
          <w:sz w:val="24"/>
          <w:szCs w:val="24"/>
          <w:highlight w:val="none"/>
          <w:lang w:eastAsia="zh-CN"/>
        </w:rPr>
        <w:t xml:space="preserve">。</w:t>
      </w:r>
      <w:r>
        <w:rPr>
          <w:rFonts w:hint="eastAsia" w:ascii="宋体" w:hAnsi="宋体" w:cs="宋体"/>
          <w:bCs/>
          <w:color w:val="auto"/>
          <w:sz w:val="24"/>
          <w:highlight w:val="none"/>
        </w:rPr>
        <w:t xml:space="preserve">未按要求提供不得分】</w:t>
      </w:r>
      <w:r/>
    </w:p>
    <w:p>
      <w:pPr>
        <w:numPr>
          <w:ilvl w:val="2"/>
          <w:numId w:val="0"/>
        </w:numPr>
        <w:ind w:firstLine="523"/>
        <w:jc w:val="left"/>
        <w:spacing w:line="500" w:lineRule="exact"/>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val="en-US" w:eastAsia="zh-CN"/>
        </w:rPr>
        <w:t xml:space="preserve">3</w:t>
      </w:r>
      <w:r>
        <w:rPr>
          <w:rFonts w:hint="eastAsia" w:ascii="宋体" w:hAnsi="宋体"/>
          <w:color w:val="auto"/>
          <w:sz w:val="24"/>
          <w:highlight w:val="none"/>
          <w:shd w:val="clear" w:color="auto" w:fill="ffffff"/>
        </w:rPr>
        <w:t xml:space="preserve">）</w:t>
      </w:r>
      <w:r>
        <w:rPr>
          <w:rFonts w:hint="eastAsia" w:ascii="宋体" w:hAnsi="宋体"/>
          <w:b/>
          <w:bCs/>
          <w:color w:val="auto"/>
          <w:sz w:val="24"/>
          <w:szCs w:val="24"/>
          <w:highlight w:val="none"/>
        </w:rPr>
        <w:t xml:space="preserve">节能、环保产品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》，投标人能够提供所投产品为政府采购节能（政府强制采购节能产品除外）产品的得1分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能够提供所投产品为环保产品的得1分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本项最高得2分</w:t>
      </w:r>
      <w:r>
        <w:rPr>
          <w:rFonts w:hint="eastAsia" w:ascii="宋体" w:hAnsi="宋体"/>
          <w:color w:val="auto"/>
          <w:sz w:val="24"/>
          <w:highlight w:val="none"/>
          <w:shd w:val="clear" w:color="auto" w:fill="ffffff"/>
        </w:rPr>
        <w:t xml:space="preserve">【</w:t>
      </w:r>
      <w:r>
        <w:rPr>
          <w:rFonts w:hint="eastAsia" w:ascii="宋体" w:hAnsi="宋体" w:cs="宋体"/>
          <w:b w:val="0"/>
          <w:bCs w:val="0"/>
          <w:color w:val="auto"/>
          <w:sz w:val="24"/>
          <w:highlight w:val="none"/>
          <w:shd w:val="clear" w:color="auto" w:fill="ffffff"/>
        </w:rPr>
        <w:t xml:space="preserve">节能产品、环境标志产品认证证书为同一产品的，不重复加分；投标时提供证书</w:t>
      </w:r>
      <w:r>
        <w:rPr>
          <w:rFonts w:hint="eastAsia" w:ascii="宋体" w:hAnsi="宋体"/>
          <w:color w:val="auto"/>
          <w:sz w:val="24"/>
          <w:highlight w:val="none"/>
          <w:shd w:val="clear" w:color="auto" w:fill="ffffff"/>
        </w:rPr>
        <w:t xml:space="preserve">扫描件上传至电子投标文件，未按要求提供不得分】</w:t>
      </w:r>
      <w:r/>
    </w:p>
    <w:p>
      <w:pPr>
        <w:ind w:left="547"/>
        <w:jc w:val="left"/>
        <w:spacing w:line="500" w:lineRule="exact"/>
        <w:tabs>
          <w:tab w:val="left" w:pos="140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3.技术文件</w:t>
      </w:r>
      <w:r>
        <w:rPr>
          <w:rFonts w:hint="eastAsia" w:ascii="宋体" w:hAnsi="宋体" w:eastAsia="宋体" w:cs="宋体"/>
          <w:b/>
          <w:bCs/>
          <w:color w:val="auto"/>
          <w:sz w:val="24"/>
          <w:szCs w:val="24"/>
          <w:highlight w:val="none"/>
          <w:lang w:val="en-US" w:eastAsia="zh-CN" w:bidi="ar"/>
        </w:rPr>
        <w:t xml:space="preserve">（暗标）</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40</w:t>
      </w:r>
      <w:r>
        <w:rPr>
          <w:rFonts w:hint="eastAsia" w:ascii="宋体" w:hAnsi="宋体" w:cs="宋体"/>
          <w:b/>
          <w:bCs/>
          <w:color w:val="auto"/>
          <w:sz w:val="24"/>
          <w:highlight w:val="none"/>
        </w:rPr>
        <w:t xml:space="preserve">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（1）质量管理及安全措施（8分）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内容包括：①产品质量管控方案；②工艺流程图；③安全生产保证措施方案；④包装方案；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（2）单件家具深化设计方案（8分）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①根据所投家具产品投标人需提供①1#1F车库：战斗服架；②2#4F党委会议室指挥中心：控制台；③2#2F档案室：智能档案柜；以上三个家具的深化设计结构图，生产工艺图，安装示意图、单品效果图，提供的设计图纸且方案科学、合理，可用于实际实施。所提供的设计图纸为最终供货标准，采购人以此为验收标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方案完整、科学合理，设计清晰详细，完全符合本项目需求，且能够提供上述3项全部方案的，得8分；方案较完整，科学合理性较强，设计较清晰详细，能够符合本项目需求，能够提供上述2-3项方案的，得</w:t>
      </w:r>
      <w:r>
        <w:rPr>
          <w:rFonts w:hint="eastAsia" w:ascii="宋体" w:hAnsi="宋体" w:cs="宋体"/>
          <w:b w:val="0"/>
          <w:bCs w:val="0"/>
          <w:color w:val="auto"/>
          <w:sz w:val="24"/>
          <w:highlight w:val="none"/>
          <w:shd w:val="clear" w:color="auto" w:fill="ffffff"/>
          <w:lang w:val="en-US" w:eastAsia="zh-CN"/>
        </w:rPr>
        <w:t xml:space="preserve">6</w:t>
      </w:r>
      <w:r>
        <w:rPr>
          <w:rFonts w:hint="eastAsia" w:ascii="宋体" w:hAnsi="宋体" w:cs="宋体"/>
          <w:b w:val="0"/>
          <w:bCs w:val="0"/>
          <w:color w:val="auto"/>
          <w:sz w:val="24"/>
          <w:highlight w:val="none"/>
          <w:shd w:val="clear" w:color="auto" w:fill="ffffff"/>
        </w:rPr>
        <w:t xml:space="preserve">分；方案完整性一般，科学合理性一般，设计清晰详细程度一般，能够符合本项目需求，能够提供上述1-3项方案的，得</w:t>
      </w:r>
      <w:r>
        <w:rPr>
          <w:rFonts w:hint="eastAsia" w:ascii="宋体" w:hAnsi="宋体" w:cs="宋体"/>
          <w:b w:val="0"/>
          <w:bCs w:val="0"/>
          <w:color w:val="auto"/>
          <w:sz w:val="24"/>
          <w:highlight w:val="none"/>
          <w:shd w:val="clear" w:color="auto" w:fill="ffffff"/>
          <w:lang w:val="en-US" w:eastAsia="zh-CN"/>
        </w:rPr>
        <w:t xml:space="preserve">4</w:t>
      </w:r>
      <w:r>
        <w:rPr>
          <w:rFonts w:hint="eastAsia" w:ascii="宋体" w:hAnsi="宋体" w:cs="宋体"/>
          <w:b w:val="0"/>
          <w:bCs w:val="0"/>
          <w:color w:val="auto"/>
          <w:sz w:val="24"/>
          <w:highlight w:val="none"/>
          <w:shd w:val="clear" w:color="auto" w:fill="ffffff"/>
        </w:rPr>
        <w:t xml:space="preserve">分；方案完整性、科学合理性、设计的清晰详细程度等只能基本满足要求，能够提供上述1-2项方案的，得</w:t>
      </w:r>
      <w:r>
        <w:rPr>
          <w:rFonts w:hint="eastAsia" w:ascii="宋体" w:hAnsi="宋体" w:cs="宋体"/>
          <w:b w:val="0"/>
          <w:bCs w:val="0"/>
          <w:color w:val="auto"/>
          <w:sz w:val="24"/>
          <w:highlight w:val="none"/>
          <w:shd w:val="clear" w:color="auto" w:fill="ffffff"/>
          <w:lang w:val="en-US" w:eastAsia="zh-CN"/>
        </w:rPr>
        <w:t xml:space="preserve">2</w:t>
      </w:r>
      <w:r>
        <w:rPr>
          <w:rFonts w:hint="eastAsia" w:ascii="宋体" w:hAnsi="宋体" w:cs="宋体"/>
          <w:b w:val="0"/>
          <w:bCs w:val="0"/>
          <w:color w:val="auto"/>
          <w:sz w:val="24"/>
          <w:highlight w:val="none"/>
          <w:shd w:val="clear" w:color="auto" w:fill="ffffff"/>
        </w:rPr>
        <w:t xml:space="preserve">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（3）供货及安装调试方案（8分）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内容包括：①投标人总体概述；②施工方案及文明安装环境保护措施；③验收准备工作、验收标准；④家具验收流程及后续；</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（4）售后服务方案（8分）：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内容包括：①售后服务方案；②售后管理制度；③质量保障措施；④日常维护保养；</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（5）应急方案（8分）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内容包括：①应急人员安排；②应急响应时限；③备品备件的完备性；④运输应急预案；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2"/>
        <w:jc w:val="left"/>
        <w:spacing w:line="360" w:lineRule="auto"/>
        <w:tabs>
          <w:tab w:val="left" w:pos="1401" w:leader="none"/>
        </w:tabs>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未列入本评分细则的其他条件不作为评分内容。</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JSZC-320214-JSZH-G2026-0081</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无锡经济开发区消防特勤指挥中心投勤配套家具采购项目（第二次）</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3"/>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JSZC-320214-JSZH-G2026-0081</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无锡市新吴区机关事务服务中心</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w:t>
      </w:r>
      <w:r>
        <w:rPr>
          <w:rFonts w:hint="eastAsia" w:ascii="宋体" w:hAnsi="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1008"/>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1008"/>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w:t>
      </w:r>
      <w:r>
        <w:rPr>
          <w:rFonts w:hint="eastAsia" w:ascii="宋体" w:hAnsi="宋体"/>
          <w:color w:val="auto"/>
          <w:sz w:val="24"/>
          <w:highlight w:val="none"/>
          <w:lang w:eastAsia="zh-CN"/>
        </w:rPr>
        <w:t xml:space="preserve">提供通信</w:t>
      </w:r>
      <w:r>
        <w:rPr>
          <w:rFonts w:hint="eastAsia" w:ascii="宋体" w:hAnsi="宋体"/>
          <w:color w:val="auto"/>
          <w:sz w:val="24"/>
          <w:highlight w:val="none"/>
        </w:rPr>
        <w:t xml:space="preserve">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80" w:lineRule="auto"/>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JSZC-320214-JSZH-G2026-0081</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19"/>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57"/>
              <w:jc w:val="center"/>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6200" w:type="dxa"/>
            <w:vAlign w:val="center"/>
            <w:textDirection w:val="lrTb"/>
            <w:noWrap w:val="false"/>
          </w:tcPr>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957"/>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交货期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1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黑体" w:hAnsi="宋体" w:eastAsia="黑体" w:cs="黑体"/>
                <w:b/>
                <w:bCs/>
                <w:color w:val="auto"/>
                <w:szCs w:val="21"/>
                <w:highlight w:val="none"/>
                <w:lang w:val="en-US" w:eastAsia="zh-CN" w:bidi="ar"/>
              </w:rPr>
            </w:pPr>
            <w:r>
              <w:rPr>
                <w:rFonts w:hint="eastAsia" w:ascii="宋体" w:hAnsi="宋体" w:cs="宋体"/>
                <w:b/>
                <w:bCs/>
                <w:color w:val="auto"/>
                <w:sz w:val="24"/>
                <w:szCs w:val="24"/>
                <w:highlight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both"/>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大写：</w:t>
            </w:r>
            <w:r/>
          </w:p>
          <w:p>
            <w:pPr>
              <w:jc w:val="both"/>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小写：</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left"/>
              <w:spacing w:before="5"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p>
          <w:p>
            <w:pPr>
              <w:jc w:val="center"/>
              <w:rPr>
                <w:rFonts w:hint="eastAsia" w:ascii="宋体" w:hAnsi="宋体" w:cs="宋体"/>
                <w:b/>
                <w:bCs/>
                <w:color w:val="auto"/>
                <w:sz w:val="24"/>
                <w:szCs w:val="24"/>
                <w:highlight w:val="none"/>
                <w:lang w:bidi="ar"/>
              </w:rPr>
            </w:pPr>
            <w:r>
              <w:rPr>
                <w:rFonts w:hint="eastAsia" w:ascii="宋体" w:hAnsi="宋体" w:eastAsia="宋体" w:cs="宋体"/>
                <w:color w:val="auto"/>
                <w:sz w:val="24"/>
                <w:szCs w:val="24"/>
                <w:highlight w:val="none"/>
              </w:rPr>
              <w:t xml:space="preserve">本采购项目或采购包中提供的符合本国产品标准的产品成本之和占提供的全部产品成本之和的比例为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011"/>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011"/>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1649"/>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554"/>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957"/>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JSZC-320214-JSZH-G2026-0081</w:t>
      </w:r>
      <w:r/>
    </w:p>
    <w:tbl>
      <w:tblPr>
        <w:tblStyle w:val="719"/>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spacing w:line="460" w:lineRule="exact"/>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19"/>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5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50"/>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50"/>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50"/>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50"/>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spacing w:line="240" w:lineRule="auto"/>
        <w:rPr>
          <w:rFonts w:hint="eastAsia" w:ascii="黑体" w:hAnsi="宋体" w:eastAsia="黑体" w:cs="Times New Roman"/>
          <w:bCs/>
          <w:color w:val="auto"/>
          <w:sz w:val="24"/>
          <w:szCs w:val="24"/>
          <w:highlight w:val="none"/>
          <w:lang w:eastAsia="zh-CN"/>
        </w:rPr>
        <w:outlineLvl w:val="9"/>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cs="Times New Roman"/>
          <w:bCs/>
          <w:color w:val="auto"/>
          <w:sz w:val="24"/>
          <w:szCs w:val="24"/>
          <w:highlight w:val="none"/>
        </w:rPr>
        <w:t xml:space="preserve">（十二）关于符合本国产品标准的声明函</w:t>
      </w:r>
      <w:r>
        <w:rPr>
          <w:rFonts w:hint="eastAsia" w:ascii="黑体" w:hAnsi="宋体" w:eastAsia="黑体" w:cs="Times New Roman"/>
          <w:bCs/>
          <w:color w:val="auto"/>
          <w:sz w:val="24"/>
          <w:szCs w:val="24"/>
          <w:highlight w:val="none"/>
          <w:lang w:eastAsia="zh-CN"/>
        </w:rPr>
        <w:t xml:space="preserve">（格式）</w:t>
      </w:r>
      <w:r/>
    </w:p>
    <w:p>
      <w:pPr>
        <w:ind w:left="0" w:right="0" w:firstLine="0"/>
        <w:jc w:val="center"/>
        <w:keepLines w:val="0"/>
        <w:keepNext w:val="0"/>
        <w:spacing w:before="30" w:beforeAutospacing="0" w:after="30" w:afterAutospacing="0"/>
        <w:shd w:val="clear" w:color="auto" w:fill="ffffff"/>
        <w:widowControl/>
        <w:rPr>
          <w:rStyle w:val="746"/>
          <w:rFonts w:hint="eastAsia" w:ascii="宋体" w:hAnsi="宋体" w:eastAsia="宋体" w:cs="宋体"/>
          <w:bCs w:val="0"/>
          <w:i w:val="0"/>
          <w:caps w:val="0"/>
          <w:color w:val="auto"/>
          <w:spacing w:val="0"/>
          <w:sz w:val="36"/>
          <w:szCs w:val="36"/>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36"/>
          <w:szCs w:val="36"/>
          <w:highlight w:val="none"/>
          <w:lang w:val="en-US" w:eastAsia="zh-CN" w:bidi="ar"/>
        </w:rPr>
      </w:r>
      <w:r/>
    </w:p>
    <w:p>
      <w:pPr>
        <w:ind w:left="0" w:right="0" w:firstLine="0"/>
        <w:jc w:val="center"/>
        <w:keepLines w:val="0"/>
        <w:keepNext w:val="0"/>
        <w:spacing w:before="30" w:beforeAutospacing="0" w:after="30" w:afterAutospacing="0"/>
        <w:shd w:val="clear" w:color="auto" w:fill="ffffff"/>
        <w:widowControl/>
        <w:rPr>
          <w:rFonts w:hint="eastAsia" w:ascii="黑体" w:hAnsi="宋体" w:eastAsia="黑体" w:cs="Times New Roman"/>
          <w:iCs w:val="0"/>
          <w:color w:val="auto"/>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Times New Roman"/>
          <w:bCs/>
          <w:color w:val="auto"/>
          <w:sz w:val="24"/>
          <w:szCs w:val="24"/>
          <w:highlight w:val="none"/>
          <w:lang w:val="en-US" w:eastAsia="zh-CN" w:bidi="ar"/>
        </w:rPr>
        <w:t xml:space="preserve">关于符合本国产品标准的声明函</w:t>
      </w:r>
      <w:r/>
    </w:p>
    <w:p>
      <w:pPr>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8"/>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righ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公司（单位）名称（加盖CA电子公章）：　        </w:t>
      </w:r>
      <w:r/>
    </w:p>
    <w:p>
      <w:pPr>
        <w:ind w:left="0" w:right="0" w:firstLine="0"/>
        <w:jc w:val="center"/>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日期：　     年　  月　  日         </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_________________</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5.该产品的关键工序要求实施前，“关键工序”栏可不填，下同。</w:t>
      </w:r>
      <w:r/>
    </w:p>
    <w:p>
      <w:pPr>
        <w:spacing w:line="360" w:lineRule="auto"/>
        <w:rPr>
          <w:rFonts w:hint="eastAsia" w:ascii="黑体" w:hAnsi="宋体" w:eastAsia="黑体" w:cs="Times New Roman"/>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8"/>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”的地方无需填写。</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十三</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技术</w:t>
      </w:r>
      <w:r>
        <w:rPr>
          <w:rFonts w:hint="eastAsia" w:ascii="黑体" w:hAnsi="黑体" w:eastAsia="黑体" w:cs="黑体"/>
          <w:bCs/>
          <w:color w:val="auto"/>
          <w:sz w:val="24"/>
          <w:szCs w:val="24"/>
          <w:highlight w:val="none"/>
        </w:rPr>
        <w:t xml:space="preserve">方案（格式自拟</w:t>
      </w:r>
      <w:r>
        <w:rPr>
          <w:rFonts w:hint="eastAsia" w:ascii="宋体" w:hAnsi="宋体" w:cs="宋体"/>
          <w:bCs/>
          <w:color w:val="auto"/>
          <w:sz w:val="24"/>
          <w:szCs w:val="24"/>
          <w:highlight w:val="none"/>
        </w:rPr>
        <w:t xml:space="preserve">）</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1005"/>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1005"/>
        <w:ind w:firstLine="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1004"/>
        <w:ind w:firstLine="0"/>
        <w:rPr>
          <w:rFonts w:hint="eastAsia" w:ascii="宋体" w:hAnsi="宋体"/>
          <w:bCs/>
          <w:color w:val="auto"/>
          <w:sz w:val="24"/>
          <w:szCs w:val="24"/>
          <w:highlight w:val="none"/>
        </w:rPr>
      </w:pPr>
      <w:r>
        <w:rPr>
          <w:rFonts w:hint="eastAsia" w:ascii="宋体" w:hAnsi="宋体"/>
          <w:bCs/>
          <w:color w:val="auto"/>
          <w:sz w:val="24"/>
          <w:szCs w:val="24"/>
          <w:highlight w:val="none"/>
        </w:rPr>
      </w:r>
      <w:bookmarkEnd w:id="11"/>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right" w:pos="9921" w:leader="none"/>
      </w:tabs>
    </w:pPr>
    <w:r>
      <w:rPr>
        <w:rFonts w:hint="eastAsia" w:ascii="宋体" w:hAnsi="宋体"/>
        <w:lang w:eastAsia="zh-CN"/>
      </w:rPr>
      <w:t xml:space="preserve">JSZC-320214-JSZH-G2026-0081</w:t>
    </w:r>
    <w:r>
      <w:rPr>
        <w:rFonts w:ascii="宋体" w:hAnsi="宋体"/>
      </w:rPr>
      <w:t xml:space="preserve">       </w:t>
    </w:r>
    <w:r>
      <w:rPr>
        <w:rFonts w:hint="eastAsia" w:ascii="宋体" w:hAnsi="宋体"/>
        <w:lang w:eastAsia="zh-CN"/>
      </w:rPr>
      <w:t xml:space="preserve">无锡经济开发区消防特勤指挥中心投勤配套家具采购项目（第二次）</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3">
    <w:multiLevelType w:val="hybridMultilevel"/>
    <w:lvl w:ilvl="0">
      <w:start w:val="1"/>
      <w:numFmt w:val="bullet"/>
      <w:pStyle w:val="97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6">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4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7"/>
  </w:num>
  <w:num w:numId="2">
    <w:abstractNumId w:val="3"/>
  </w:num>
  <w:num w:numId="3">
    <w:abstractNumId w:val="8"/>
  </w:num>
  <w:num w:numId="4">
    <w:abstractNumId w:val="12"/>
  </w:num>
  <w:num w:numId="5">
    <w:abstractNumId w:val="10"/>
  </w:num>
  <w:num w:numId="6">
    <w:abstractNumId w:val="9"/>
  </w:num>
  <w:num w:numId="7">
    <w:abstractNumId w:val="2"/>
  </w:num>
  <w:num w:numId="8">
    <w:abstractNumId w:val="6"/>
  </w:num>
  <w:num w:numId="9">
    <w:abstractNumId w:val="1"/>
  </w:num>
  <w:num w:numId="10">
    <w:abstractNumId w:val="0"/>
  </w:num>
  <w:num w:numId="11">
    <w:abstractNumId w:val="4"/>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spacing w:line="360" w:lineRule="auto"/>
      <w:widowControl w:val="off"/>
    </w:pPr>
    <w:rPr>
      <w:rFonts w:hint="default" w:ascii="Times New Roman" w:hAnsi="Times New Roman" w:eastAsia="宋体" w:cs="Times New Roman"/>
      <w:sz w:val="24"/>
      <w:lang w:val="en-US" w:eastAsia="zh-CN" w:bidi="ar-SA"/>
    </w:rPr>
  </w:style>
  <w:style w:type="paragraph" w:styleId="709">
    <w:name w:val="Heading 1"/>
    <w:basedOn w:val="708"/>
    <w:next w:val="708"/>
    <w:link w:val="79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9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9"/>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next w:val="708"/>
    <w:uiPriority w:val="99"/>
    <w:unhideWhenUsed/>
    <w:qFormat/>
    <w:pPr>
      <w:ind w:firstLine="420"/>
    </w:pPr>
  </w:style>
  <w:style w:type="paragraph" w:styleId="722">
    <w:name w:val="Caption"/>
    <w:basedOn w:val="708"/>
    <w:next w:val="708"/>
    <w:uiPriority w:val="35"/>
    <w:semiHidden/>
    <w:unhideWhenUsed/>
    <w:qFormat/>
    <w:pPr>
      <w:spacing w:line="276" w:lineRule="auto"/>
    </w:pPr>
    <w:rPr>
      <w:b/>
      <w:bCs/>
      <w:color w:val="4f81bd"/>
      <w:sz w:val="18"/>
      <w:szCs w:val="18"/>
    </w:rPr>
  </w:style>
  <w:style w:type="paragraph" w:styleId="723">
    <w:name w:val="annotation text"/>
    <w:basedOn w:val="708"/>
    <w:uiPriority w:val="99"/>
    <w:semiHidden/>
    <w:unhideWhenUsed/>
    <w:qFormat/>
    <w:pPr>
      <w:jc w:val="left"/>
    </w:pPr>
  </w:style>
  <w:style w:type="paragraph" w:styleId="724">
    <w:name w:val="Body Text"/>
    <w:basedOn w:val="708"/>
    <w:next w:val="725"/>
    <w:uiPriority w:val="0"/>
    <w:qFormat/>
    <w:pPr>
      <w:spacing w:after="120" w:afterAutospacing="0"/>
    </w:pPr>
  </w:style>
  <w:style w:type="paragraph" w:styleId="725">
    <w:name w:val="Body Text First Indent"/>
    <w:basedOn w:val="724"/>
    <w:next w:val="721"/>
    <w:uiPriority w:val="0"/>
    <w:unhideWhenUsed/>
    <w:qFormat/>
    <w:pPr>
      <w:ind w:firstLine="420"/>
      <w:spacing w:after="120"/>
    </w:pPr>
    <w:rPr>
      <w:rFonts w:ascii="Times New Roman" w:eastAsia="宋体"/>
      <w:sz w:val="20"/>
      <w:lang w:val="en-US" w:bidi="mn-Mong-CN"/>
    </w:rPr>
  </w:style>
  <w:style w:type="paragraph" w:styleId="726">
    <w:name w:val="Body Text Indent"/>
    <w:basedOn w:val="708"/>
    <w:next w:val="727"/>
    <w:uiPriority w:val="0"/>
    <w:qFormat/>
    <w:pPr>
      <w:ind w:left="570"/>
      <w:spacing w:line="520" w:lineRule="exact"/>
    </w:pPr>
    <w:rPr>
      <w:rFonts w:ascii="方正仿宋简体" w:hAnsi="创艺简仿宋" w:eastAsia="方正仿宋简体"/>
    </w:rPr>
  </w:style>
  <w:style w:type="paragraph" w:styleId="727">
    <w:name w:val="envelope return"/>
    <w:basedOn w:val="708"/>
    <w:uiPriority w:val="0"/>
    <w:qFormat/>
    <w:rPr>
      <w:rFonts w:ascii="Arial" w:hAnsi="Arial"/>
    </w:rPr>
  </w:style>
  <w:style w:type="paragraph" w:styleId="728">
    <w:name w:val="toc 5"/>
    <w:basedOn w:val="708"/>
    <w:next w:val="708"/>
    <w:uiPriority w:val="39"/>
    <w:unhideWhenUsed/>
    <w:qFormat/>
    <w:pPr>
      <w:ind w:left="1134"/>
      <w:spacing w:after="57"/>
    </w:pPr>
  </w:style>
  <w:style w:type="paragraph" w:styleId="729">
    <w:name w:val="toc 3"/>
    <w:basedOn w:val="708"/>
    <w:next w:val="708"/>
    <w:uiPriority w:val="39"/>
    <w:unhideWhenUsed/>
    <w:qFormat/>
    <w:pPr>
      <w:ind w:left="567"/>
      <w:spacing w:after="57"/>
    </w:pPr>
  </w:style>
  <w:style w:type="paragraph" w:styleId="730">
    <w:name w:val="toc 8"/>
    <w:basedOn w:val="708"/>
    <w:next w:val="708"/>
    <w:uiPriority w:val="39"/>
    <w:unhideWhenUsed/>
    <w:qFormat/>
    <w:pPr>
      <w:ind w:left="1984"/>
      <w:spacing w:after="57"/>
    </w:pPr>
  </w:style>
  <w:style w:type="paragraph" w:styleId="731">
    <w:name w:val="endnote text"/>
    <w:basedOn w:val="708"/>
    <w:link w:val="936"/>
    <w:uiPriority w:val="99"/>
    <w:semiHidden/>
    <w:unhideWhenUsed/>
    <w:qFormat/>
    <w:rPr>
      <w:sz w:val="20"/>
    </w:rPr>
  </w:style>
  <w:style w:type="paragraph" w:styleId="732">
    <w:name w:val="Footer"/>
    <w:basedOn w:val="708"/>
    <w:link w:val="809"/>
    <w:uiPriority w:val="99"/>
    <w:unhideWhenUsed/>
    <w:qFormat/>
    <w:pPr>
      <w:tabs>
        <w:tab w:val="center" w:pos="7143" w:leader="none"/>
        <w:tab w:val="right" w:pos="14287" w:leader="none"/>
      </w:tabs>
    </w:pPr>
  </w:style>
  <w:style w:type="paragraph" w:styleId="733">
    <w:name w:val="Header"/>
    <w:basedOn w:val="708"/>
    <w:link w:val="807"/>
    <w:uiPriority w:val="99"/>
    <w:unhideWhenUsed/>
    <w:qFormat/>
    <w:pPr>
      <w:tabs>
        <w:tab w:val="center" w:pos="7143" w:leader="none"/>
        <w:tab w:val="right" w:pos="14287" w:leader="none"/>
      </w:tabs>
    </w:pPr>
  </w:style>
  <w:style w:type="paragraph" w:styleId="734">
    <w:name w:val="toc 1"/>
    <w:basedOn w:val="708"/>
    <w:next w:val="708"/>
    <w:uiPriority w:val="39"/>
    <w:unhideWhenUsed/>
    <w:qFormat/>
    <w:pPr>
      <w:spacing w:after="57"/>
    </w:pPr>
  </w:style>
  <w:style w:type="paragraph" w:styleId="735">
    <w:name w:val="toc 4"/>
    <w:basedOn w:val="708"/>
    <w:next w:val="708"/>
    <w:uiPriority w:val="39"/>
    <w:unhideWhenUsed/>
    <w:qFormat/>
    <w:pPr>
      <w:ind w:left="850"/>
      <w:spacing w:after="57"/>
    </w:pPr>
  </w:style>
  <w:style w:type="paragraph" w:styleId="736">
    <w:name w:val="Subtitle"/>
    <w:basedOn w:val="708"/>
    <w:next w:val="708"/>
    <w:link w:val="802"/>
    <w:uiPriority w:val="11"/>
    <w:qFormat/>
    <w:pPr>
      <w:spacing w:before="200" w:after="200"/>
    </w:pPr>
    <w:rPr>
      <w:sz w:val="24"/>
      <w:szCs w:val="24"/>
    </w:rPr>
  </w:style>
  <w:style w:type="paragraph" w:styleId="737">
    <w:name w:val="footnote text"/>
    <w:basedOn w:val="708"/>
    <w:link w:val="935"/>
    <w:uiPriority w:val="99"/>
    <w:semiHidden/>
    <w:unhideWhenUsed/>
    <w:qFormat/>
    <w:pPr>
      <w:spacing w:after="40"/>
    </w:pPr>
    <w:rPr>
      <w:sz w:val="18"/>
    </w:rPr>
  </w:style>
  <w:style w:type="paragraph" w:styleId="738">
    <w:name w:val="toc 6"/>
    <w:basedOn w:val="708"/>
    <w:next w:val="708"/>
    <w:uiPriority w:val="39"/>
    <w:unhideWhenUsed/>
    <w:qFormat/>
    <w:pPr>
      <w:ind w:left="1417"/>
      <w:spacing w:after="57"/>
    </w:pPr>
  </w:style>
  <w:style w:type="paragraph" w:styleId="739">
    <w:name w:val="table of figures"/>
    <w:basedOn w:val="708"/>
    <w:next w:val="708"/>
    <w:uiPriority w:val="99"/>
    <w:unhideWhenUsed/>
    <w:qFormat/>
  </w:style>
  <w:style w:type="paragraph" w:styleId="740">
    <w:name w:val="toc 2"/>
    <w:basedOn w:val="708"/>
    <w:next w:val="708"/>
    <w:uiPriority w:val="39"/>
    <w:unhideWhenUsed/>
    <w:qFormat/>
    <w:pPr>
      <w:ind w:left="283"/>
      <w:spacing w:after="57"/>
    </w:pPr>
  </w:style>
  <w:style w:type="paragraph" w:styleId="741">
    <w:name w:val="toc 9"/>
    <w:basedOn w:val="708"/>
    <w:next w:val="708"/>
    <w:uiPriority w:val="39"/>
    <w:unhideWhenUsed/>
    <w:qFormat/>
    <w:pPr>
      <w:ind w:left="2268"/>
      <w:spacing w:after="57"/>
    </w:pPr>
  </w:style>
  <w:style w:type="paragraph" w:styleId="742">
    <w:name w:val="Normal (Web)"/>
    <w:basedOn w:val="708"/>
    <w:uiPriority w:val="0"/>
    <w:qFormat/>
    <w:pPr>
      <w:jc w:val="left"/>
      <w:spacing w:beforeAutospacing="1" w:afterAutospacing="1"/>
      <w:widowControl/>
    </w:pPr>
    <w:rPr>
      <w:rFonts w:ascii="宋体" w:hAnsi="宋体"/>
      <w:sz w:val="24"/>
      <w:szCs w:val="24"/>
    </w:rPr>
  </w:style>
  <w:style w:type="paragraph" w:styleId="743">
    <w:name w:val="Title"/>
    <w:basedOn w:val="708"/>
    <w:next w:val="708"/>
    <w:link w:val="801"/>
    <w:uiPriority w:val="10"/>
    <w:qFormat/>
    <w:pPr>
      <w:contextualSpacing/>
      <w:spacing w:before="300" w:after="200"/>
    </w:pPr>
    <w:rPr>
      <w:sz w:val="48"/>
      <w:szCs w:val="48"/>
    </w:rPr>
  </w:style>
  <w:style w:type="paragraph" w:styleId="744">
    <w:name w:val="Body Text First Indent 2"/>
    <w:basedOn w:val="726"/>
    <w:next w:val="708"/>
    <w:uiPriority w:val="0"/>
    <w:qFormat/>
    <w:pPr>
      <w:ind w:firstLine="420"/>
    </w:p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22"/>
    <w:qFormat/>
    <w:rPr>
      <w:b/>
    </w:rPr>
  </w:style>
  <w:style w:type="character" w:styleId="747">
    <w:name w:val="endnote reference"/>
    <w:uiPriority w:val="99"/>
    <w:semiHidden/>
    <w:unhideWhenUsed/>
    <w:qFormat/>
    <w:rPr>
      <w:vertAlign w:val="superscript"/>
    </w:rPr>
  </w:style>
  <w:style w:type="character" w:styleId="748">
    <w:name w:val="Emphasis"/>
    <w:uiPriority w:val="20"/>
    <w:qFormat/>
    <w:rPr>
      <w:i/>
    </w:rPr>
  </w:style>
  <w:style w:type="character" w:styleId="749">
    <w:name w:val="Hyperlink"/>
    <w:uiPriority w:val="99"/>
    <w:unhideWhenUsed/>
    <w:qFormat/>
    <w:rPr>
      <w:color w:val="0000ff"/>
      <w:u w:val="single"/>
    </w:rPr>
  </w:style>
  <w:style w:type="character" w:styleId="750">
    <w:name w:val="footnote reference"/>
    <w:uiPriority w:val="99"/>
    <w:unhideWhenUsed/>
    <w:qFormat/>
    <w:rPr>
      <w:vertAlign w:val="superscript"/>
    </w:rPr>
  </w:style>
  <w:style w:type="character" w:styleId="751" w:customStyle="1">
    <w:name w:val="Heading 1 Char"/>
    <w:basedOn w:val="718"/>
    <w:uiPriority w:val="9"/>
    <w:rPr>
      <w:rFonts w:ascii="Arial" w:hAnsi="Arial" w:eastAsia="Arial" w:cs="Arial"/>
      <w:sz w:val="40"/>
      <w:szCs w:val="40"/>
    </w:rPr>
  </w:style>
  <w:style w:type="character" w:styleId="752" w:customStyle="1">
    <w:name w:val="Heading 2 Char"/>
    <w:basedOn w:val="718"/>
    <w:uiPriority w:val="9"/>
    <w:rPr>
      <w:rFonts w:ascii="Arial" w:hAnsi="Arial" w:eastAsia="Arial" w:cs="Arial"/>
      <w:sz w:val="34"/>
    </w:rPr>
  </w:style>
  <w:style w:type="character" w:styleId="753" w:customStyle="1">
    <w:name w:val="Heading 3 Char"/>
    <w:basedOn w:val="718"/>
    <w:uiPriority w:val="9"/>
    <w:qFormat/>
    <w:rPr>
      <w:rFonts w:ascii="Arial" w:hAnsi="Arial" w:eastAsia="Arial" w:cs="Arial"/>
      <w:sz w:val="30"/>
      <w:szCs w:val="30"/>
    </w:rPr>
  </w:style>
  <w:style w:type="character" w:styleId="754" w:customStyle="1">
    <w:name w:val="Heading 4 Char"/>
    <w:basedOn w:val="718"/>
    <w:uiPriority w:val="9"/>
    <w:rPr>
      <w:rFonts w:ascii="Arial" w:hAnsi="Arial" w:eastAsia="Arial" w:cs="Arial"/>
      <w:b/>
      <w:bCs/>
      <w:sz w:val="26"/>
      <w:szCs w:val="26"/>
    </w:rPr>
  </w:style>
  <w:style w:type="character" w:styleId="755" w:customStyle="1">
    <w:name w:val="Heading 5 Char"/>
    <w:basedOn w:val="718"/>
    <w:uiPriority w:val="9"/>
    <w:rPr>
      <w:rFonts w:ascii="Arial" w:hAnsi="Arial" w:eastAsia="Arial" w:cs="Arial"/>
      <w:b/>
      <w:bCs/>
      <w:sz w:val="24"/>
      <w:szCs w:val="24"/>
    </w:rPr>
  </w:style>
  <w:style w:type="character" w:styleId="756" w:customStyle="1">
    <w:name w:val="Heading 6 Char"/>
    <w:basedOn w:val="718"/>
    <w:uiPriority w:val="9"/>
    <w:rPr>
      <w:rFonts w:ascii="Arial" w:hAnsi="Arial" w:eastAsia="Arial" w:cs="Arial"/>
      <w:b/>
      <w:bCs/>
      <w:sz w:val="22"/>
      <w:szCs w:val="22"/>
    </w:rPr>
  </w:style>
  <w:style w:type="character" w:styleId="757" w:customStyle="1">
    <w:name w:val="Heading 7 Char"/>
    <w:basedOn w:val="718"/>
    <w:uiPriority w:val="9"/>
    <w:rPr>
      <w:rFonts w:ascii="Arial" w:hAnsi="Arial" w:eastAsia="Arial" w:cs="Arial"/>
      <w:b/>
      <w:bCs/>
      <w:i/>
      <w:iCs/>
      <w:sz w:val="22"/>
      <w:szCs w:val="22"/>
    </w:rPr>
  </w:style>
  <w:style w:type="character" w:styleId="758" w:customStyle="1">
    <w:name w:val="Heading 8 Char"/>
    <w:basedOn w:val="718"/>
    <w:uiPriority w:val="9"/>
    <w:rPr>
      <w:rFonts w:ascii="Arial" w:hAnsi="Arial" w:eastAsia="Arial" w:cs="Arial"/>
      <w:i/>
      <w:iCs/>
      <w:sz w:val="22"/>
      <w:szCs w:val="22"/>
    </w:rPr>
  </w:style>
  <w:style w:type="character" w:styleId="759" w:customStyle="1">
    <w:name w:val="Heading 9 Char"/>
    <w:basedOn w:val="718"/>
    <w:uiPriority w:val="9"/>
    <w:rPr>
      <w:rFonts w:ascii="Arial" w:hAnsi="Arial" w:eastAsia="Arial" w:cs="Arial"/>
      <w:i/>
      <w:iCs/>
      <w:sz w:val="21"/>
      <w:szCs w:val="21"/>
    </w:rPr>
  </w:style>
  <w:style w:type="character" w:styleId="760" w:customStyle="1">
    <w:name w:val="Title Char"/>
    <w:basedOn w:val="718"/>
    <w:uiPriority w:val="10"/>
    <w:rPr>
      <w:sz w:val="48"/>
      <w:szCs w:val="48"/>
    </w:rPr>
  </w:style>
  <w:style w:type="character" w:styleId="761" w:customStyle="1">
    <w:name w:val="Subtitle Char"/>
    <w:basedOn w:val="718"/>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character" w:styleId="764" w:customStyle="1">
    <w:name w:val="Header Char"/>
    <w:basedOn w:val="718"/>
    <w:uiPriority w:val="99"/>
  </w:style>
  <w:style w:type="character" w:styleId="765" w:customStyle="1">
    <w:name w:val="Caption Char"/>
    <w:uiPriority w:val="99"/>
  </w:style>
  <w:style w:type="table" w:styleId="766" w:customStyle="1">
    <w:name w:val="Plain Table 1"/>
    <w:basedOn w:val="71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1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1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1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正文文本缩进11"/>
    <w:basedOn w:val="708"/>
    <w:next w:val="708"/>
    <w:uiPriority w:val="0"/>
    <w:qFormat/>
    <w:pPr>
      <w:ind w:firstLine="570"/>
      <w:spacing w:line="360" w:lineRule="auto"/>
    </w:pPr>
    <w:rPr>
      <w:sz w:val="24"/>
    </w:rPr>
  </w:style>
  <w:style w:type="paragraph" w:styleId="78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90" w:customStyle="1">
    <w:name w:val="列出段落1"/>
    <w:basedOn w:val="708"/>
    <w:uiPriority w:val="0"/>
    <w:qFormat/>
    <w:pPr>
      <w:ind w:firstLine="420"/>
    </w:pPr>
    <w:rPr>
      <w:szCs w:val="24"/>
    </w:rPr>
  </w:style>
  <w:style w:type="character" w:styleId="791" w:customStyle="1">
    <w:name w:val="标题 1 字符"/>
    <w:link w:val="709"/>
    <w:uiPriority w:val="9"/>
    <w:qFormat/>
    <w:rPr>
      <w:rFonts w:ascii="Arial" w:hAnsi="Arial" w:eastAsia="Arial" w:cs="Arial"/>
      <w:sz w:val="40"/>
      <w:szCs w:val="40"/>
    </w:rPr>
  </w:style>
  <w:style w:type="character" w:styleId="792" w:customStyle="1">
    <w:name w:val="标题 2 字符"/>
    <w:link w:val="710"/>
    <w:uiPriority w:val="9"/>
    <w:qFormat/>
    <w:rPr>
      <w:rFonts w:ascii="Arial" w:hAnsi="Arial" w:eastAsia="Arial" w:cs="Arial"/>
      <w:sz w:val="34"/>
    </w:rPr>
  </w:style>
  <w:style w:type="character" w:styleId="793" w:customStyle="1">
    <w:name w:val="标题 3 字符"/>
    <w:link w:val="711"/>
    <w:uiPriority w:val="9"/>
    <w:qFormat/>
    <w:rPr>
      <w:rFonts w:ascii="Arial" w:hAnsi="Arial" w:eastAsia="Arial" w:cs="Arial"/>
      <w:sz w:val="30"/>
      <w:szCs w:val="30"/>
    </w:rPr>
  </w:style>
  <w:style w:type="character" w:styleId="794" w:customStyle="1">
    <w:name w:val="标题 4 字符"/>
    <w:link w:val="712"/>
    <w:uiPriority w:val="9"/>
    <w:qFormat/>
    <w:rPr>
      <w:rFonts w:ascii="Arial" w:hAnsi="Arial" w:eastAsia="Arial" w:cs="Arial"/>
      <w:b/>
      <w:bCs/>
      <w:sz w:val="26"/>
      <w:szCs w:val="26"/>
    </w:rPr>
  </w:style>
  <w:style w:type="character" w:styleId="795" w:customStyle="1">
    <w:name w:val="标题 5 字符"/>
    <w:link w:val="713"/>
    <w:uiPriority w:val="9"/>
    <w:qFormat/>
    <w:rPr>
      <w:rFonts w:ascii="Arial" w:hAnsi="Arial" w:eastAsia="Arial" w:cs="Arial"/>
      <w:b/>
      <w:bCs/>
      <w:sz w:val="24"/>
      <w:szCs w:val="24"/>
    </w:rPr>
  </w:style>
  <w:style w:type="character" w:styleId="796" w:customStyle="1">
    <w:name w:val="标题 6 字符"/>
    <w:link w:val="714"/>
    <w:uiPriority w:val="9"/>
    <w:qFormat/>
    <w:rPr>
      <w:rFonts w:ascii="Arial" w:hAnsi="Arial" w:eastAsia="Arial" w:cs="Arial"/>
      <w:b/>
      <w:bCs/>
      <w:sz w:val="22"/>
      <w:szCs w:val="22"/>
    </w:rPr>
  </w:style>
  <w:style w:type="character" w:styleId="797" w:customStyle="1">
    <w:name w:val="标题 7 字符"/>
    <w:link w:val="715"/>
    <w:uiPriority w:val="9"/>
    <w:qFormat/>
    <w:rPr>
      <w:rFonts w:ascii="Arial" w:hAnsi="Arial" w:eastAsia="Arial" w:cs="Arial"/>
      <w:b/>
      <w:bCs/>
      <w:i/>
      <w:iCs/>
      <w:sz w:val="22"/>
      <w:szCs w:val="22"/>
    </w:rPr>
  </w:style>
  <w:style w:type="character" w:styleId="798" w:customStyle="1">
    <w:name w:val="标题 8 字符"/>
    <w:link w:val="716"/>
    <w:uiPriority w:val="9"/>
    <w:qFormat/>
    <w:rPr>
      <w:rFonts w:ascii="Arial" w:hAnsi="Arial" w:eastAsia="Arial" w:cs="Arial"/>
      <w:i/>
      <w:iCs/>
      <w:sz w:val="22"/>
      <w:szCs w:val="22"/>
    </w:rPr>
  </w:style>
  <w:style w:type="character" w:styleId="799" w:customStyle="1">
    <w:name w:val="标题 9 字符"/>
    <w:link w:val="717"/>
    <w:uiPriority w:val="9"/>
    <w:qFormat/>
    <w:rPr>
      <w:rFonts w:ascii="Arial" w:hAnsi="Arial" w:eastAsia="Arial" w:cs="Arial"/>
      <w:i/>
      <w:iCs/>
      <w:sz w:val="21"/>
      <w:szCs w:val="21"/>
    </w:rPr>
  </w:style>
  <w:style w:type="paragraph" w:styleId="800">
    <w:name w:val="No Spacing"/>
    <w:uiPriority w:val="1"/>
    <w:qFormat/>
    <w:rPr>
      <w:rFonts w:hint="default" w:ascii="Times New Roman" w:hAnsi="Times New Roman" w:eastAsia="宋体" w:cs="Times New Roman"/>
      <w:lang w:val="en-US" w:eastAsia="zh-CN" w:bidi="ar-SA"/>
    </w:rPr>
  </w:style>
  <w:style w:type="character" w:styleId="801" w:customStyle="1">
    <w:name w:val="标题 字符"/>
    <w:link w:val="743"/>
    <w:uiPriority w:val="10"/>
    <w:qFormat/>
    <w:rPr>
      <w:sz w:val="48"/>
      <w:szCs w:val="48"/>
    </w:rPr>
  </w:style>
  <w:style w:type="character" w:styleId="802" w:customStyle="1">
    <w:name w:val="副标题 字符"/>
    <w:link w:val="736"/>
    <w:uiPriority w:val="11"/>
    <w:qFormat/>
    <w:rPr>
      <w:sz w:val="24"/>
      <w:szCs w:val="24"/>
    </w:rPr>
  </w:style>
  <w:style w:type="paragraph" w:styleId="803">
    <w:name w:val="Quote"/>
    <w:basedOn w:val="708"/>
    <w:next w:val="708"/>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
    <w:link w:val="733"/>
    <w:uiPriority w:val="99"/>
    <w:qFormat/>
  </w:style>
  <w:style w:type="character" w:styleId="808" w:customStyle="1">
    <w:name w:val="Footer Char"/>
    <w:uiPriority w:val="99"/>
    <w:qFormat/>
  </w:style>
  <w:style w:type="character" w:styleId="809" w:customStyle="1">
    <w:name w:val="页脚 字符"/>
    <w:link w:val="732"/>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3" w:customStyle="1">
    <w:name w:val="无格式表格 31"/>
    <w:uiPriority w:val="99"/>
    <w:qFormat/>
    <w:tblPr>
      <w:tblCellMar>
        <w:left w:w="0" w:type="dxa"/>
        <w:top w:w="0" w:type="dxa"/>
        <w:right w:w="0" w:type="dxa"/>
        <w:bottom w:w="0" w:type="dxa"/>
      </w:tblCellMar>
    </w:tblPr>
  </w:style>
  <w:style w:type="table" w:styleId="814" w:customStyle="1">
    <w:name w:val="无格式表格 41"/>
    <w:uiPriority w:val="99"/>
    <w:qFormat/>
    <w:tblPr>
      <w:tblCellMar>
        <w:left w:w="0" w:type="dxa"/>
        <w:top w:w="0" w:type="dxa"/>
        <w:right w:w="0" w:type="dxa"/>
        <w:bottom w:w="0" w:type="dxa"/>
      </w:tblCellMar>
    </w:tblPr>
  </w:style>
  <w:style w:type="table" w:styleId="815" w:customStyle="1">
    <w:name w:val="无格式表格 51"/>
    <w:uiPriority w:val="99"/>
    <w:qFormat/>
    <w:tblPr>
      <w:tblCellMar>
        <w:left w:w="0" w:type="dxa"/>
        <w:top w:w="0" w:type="dxa"/>
        <w:right w:w="0" w:type="dxa"/>
        <w:bottom w:w="0" w:type="dxa"/>
      </w:tblCellMar>
    </w:tblPr>
  </w:style>
  <w:style w:type="table" w:styleId="8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清单表 1 浅色1"/>
    <w:uiPriority w:val="99"/>
    <w:qFormat/>
    <w:tblPr>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字符"/>
    <w:link w:val="737"/>
    <w:uiPriority w:val="99"/>
    <w:qFormat/>
    <w:rPr>
      <w:sz w:val="18"/>
    </w:rPr>
  </w:style>
  <w:style w:type="character" w:styleId="936" w:customStyle="1">
    <w:name w:val="尾注文本 字符"/>
    <w:link w:val="731"/>
    <w:uiPriority w:val="99"/>
    <w:qFormat/>
    <w:rPr>
      <w:sz w:val="20"/>
    </w:rPr>
  </w:style>
  <w:style w:type="paragraph" w:styleId="937" w:customStyle="1">
    <w:name w:val="TOC 标题1"/>
    <w:uiPriority w:val="39"/>
    <w:unhideWhenUsed/>
    <w:qFormat/>
    <w:rPr>
      <w:rFonts w:hint="default" w:ascii="Times New Roman" w:hAnsi="Times New Roman" w:eastAsia="宋体" w:cs="Times New Roman"/>
      <w:lang w:val="en-US" w:eastAsia="zh-CN" w:bidi="ar-SA"/>
    </w:rPr>
  </w:style>
  <w:style w:type="paragraph" w:styleId="938" w:customStyle="1">
    <w:name w:val="标题 11"/>
    <w:basedOn w:val="708"/>
    <w:next w:val="708"/>
    <w:link w:val="945"/>
    <w:uiPriority w:val="99"/>
    <w:qFormat/>
    <w:pPr>
      <w:jc w:val="center"/>
      <w:keepNext/>
      <w:outlineLvl w:val="0"/>
    </w:pPr>
    <w:rPr>
      <w:rFonts w:ascii="楷体_GB2312" w:eastAsia="楷体_GB2312"/>
      <w:b/>
      <w:sz w:val="28"/>
    </w:rPr>
  </w:style>
  <w:style w:type="paragraph" w:styleId="939" w:customStyle="1">
    <w:name w:val="标题 21"/>
    <w:basedOn w:val="708"/>
    <w:next w:val="708"/>
    <w:link w:val="946"/>
    <w:uiPriority w:val="99"/>
    <w:qFormat/>
    <w:pPr>
      <w:jc w:val="center"/>
      <w:keepNext/>
      <w:outlineLvl w:val="1"/>
    </w:pPr>
    <w:rPr>
      <w:rFonts w:ascii="楷体_GB2312" w:eastAsia="楷体_GB2312"/>
      <w:b/>
      <w:bCs/>
      <w:sz w:val="18"/>
    </w:rPr>
  </w:style>
  <w:style w:type="paragraph" w:styleId="940" w:customStyle="1">
    <w:name w:val="标题 31"/>
    <w:basedOn w:val="708"/>
    <w:next w:val="708"/>
    <w:link w:val="947"/>
    <w:uiPriority w:val="99"/>
    <w:qFormat/>
    <w:pPr>
      <w:jc w:val="center"/>
      <w:keepNext/>
      <w:outlineLvl w:val="2"/>
    </w:pPr>
    <w:rPr>
      <w:rFonts w:eastAsia="楷体_GB2312"/>
      <w:b/>
      <w:bCs/>
      <w:sz w:val="15"/>
    </w:rPr>
  </w:style>
  <w:style w:type="paragraph" w:styleId="941" w:customStyle="1">
    <w:name w:val="标题 41"/>
    <w:basedOn w:val="708"/>
    <w:next w:val="708"/>
    <w:link w:val="948"/>
    <w:uiPriority w:val="99"/>
    <w:qFormat/>
    <w:pPr>
      <w:jc w:val="center"/>
      <w:keepNext/>
      <w:outlineLvl w:val="3"/>
    </w:pPr>
    <w:rPr>
      <w:rFonts w:eastAsia="楷体_GB2312"/>
      <w:b/>
      <w:bCs/>
      <w:sz w:val="13"/>
    </w:rPr>
  </w:style>
  <w:style w:type="paragraph" w:styleId="942" w:customStyle="1">
    <w:name w:val="标题 51"/>
    <w:basedOn w:val="708"/>
    <w:next w:val="708"/>
    <w:link w:val="949"/>
    <w:uiPriority w:val="99"/>
    <w:qFormat/>
    <w:pPr>
      <w:numPr>
        <w:ilvl w:val="0"/>
        <w:numId w:val="1"/>
      </w:numPr>
      <w:keepNext/>
      <w:outlineLvl w:val="4"/>
    </w:pPr>
    <w:rPr>
      <w:rFonts w:ascii="楷体_GB2312" w:eastAsia="楷体_GB2312"/>
      <w:bCs/>
      <w:sz w:val="28"/>
    </w:rPr>
  </w:style>
  <w:style w:type="character" w:styleId="943" w:customStyle="1">
    <w:name w:val="默认段落字体1"/>
    <w:uiPriority w:val="1"/>
    <w:unhideWhenUsed/>
    <w:qFormat/>
  </w:style>
  <w:style w:type="table" w:styleId="944" w:customStyle="1">
    <w:name w:val="普通表格1"/>
    <w:uiPriority w:val="99"/>
    <w:unhideWhenUsed/>
    <w:qFormat/>
    <w:tblPr>
      <w:tblCellMar>
        <w:left w:w="0" w:type="dxa"/>
        <w:top w:w="0" w:type="dxa"/>
        <w:right w:w="0" w:type="dxa"/>
        <w:bottom w:w="0" w:type="dxa"/>
      </w:tblCellMar>
    </w:tblPr>
  </w:style>
  <w:style w:type="character" w:styleId="945" w:customStyle="1">
    <w:name w:val="标题 1 Char"/>
    <w:link w:val="938"/>
    <w:uiPriority w:val="99"/>
    <w:qFormat/>
    <w:rPr>
      <w:rFonts w:ascii="楷体_GB2312" w:hAnsi="Times New Roman" w:eastAsia="楷体_GB2312" w:cs="Times New Roman"/>
      <w:b/>
      <w:sz w:val="28"/>
      <w:szCs w:val="20"/>
    </w:rPr>
  </w:style>
  <w:style w:type="character" w:styleId="946" w:customStyle="1">
    <w:name w:val="标题 2 Char"/>
    <w:link w:val="939"/>
    <w:uiPriority w:val="99"/>
    <w:qFormat/>
    <w:rPr>
      <w:rFonts w:ascii="楷体_GB2312" w:hAnsi="Times New Roman" w:eastAsia="楷体_GB2312" w:cs="Times New Roman"/>
      <w:b/>
      <w:bCs/>
      <w:sz w:val="18"/>
      <w:szCs w:val="20"/>
    </w:rPr>
  </w:style>
  <w:style w:type="character" w:styleId="947" w:customStyle="1">
    <w:name w:val="标题 3 Char"/>
    <w:link w:val="940"/>
    <w:uiPriority w:val="99"/>
    <w:qFormat/>
    <w:rPr>
      <w:rFonts w:ascii="Times New Roman" w:hAnsi="Times New Roman" w:eastAsia="楷体_GB2312" w:cs="Times New Roman"/>
      <w:b/>
      <w:bCs/>
      <w:sz w:val="15"/>
      <w:szCs w:val="20"/>
    </w:rPr>
  </w:style>
  <w:style w:type="character" w:styleId="948" w:customStyle="1">
    <w:name w:val="标题 4 Char"/>
    <w:link w:val="941"/>
    <w:uiPriority w:val="99"/>
    <w:qFormat/>
    <w:rPr>
      <w:rFonts w:ascii="Times New Roman" w:hAnsi="Times New Roman" w:eastAsia="楷体_GB2312" w:cs="Times New Roman"/>
      <w:b/>
      <w:bCs/>
      <w:sz w:val="13"/>
      <w:szCs w:val="20"/>
    </w:rPr>
  </w:style>
  <w:style w:type="character" w:styleId="949" w:customStyle="1">
    <w:name w:val="标题 5 Char"/>
    <w:link w:val="942"/>
    <w:uiPriority w:val="99"/>
    <w:qFormat/>
    <w:rPr>
      <w:rFonts w:ascii="楷体_GB2312" w:hAnsi="Times New Roman" w:eastAsia="楷体_GB2312" w:cs="Times New Roman"/>
      <w:bCs/>
      <w:sz w:val="28"/>
      <w:szCs w:val="20"/>
    </w:rPr>
  </w:style>
  <w:style w:type="paragraph" w:styleId="950" w:customStyle="1">
    <w:name w:val="正文缩进1"/>
    <w:basedOn w:val="708"/>
    <w:link w:val="951"/>
    <w:uiPriority w:val="0"/>
    <w:unhideWhenUsed/>
    <w:qFormat/>
    <w:pPr>
      <w:ind w:firstLine="420"/>
    </w:pPr>
    <w:rPr>
      <w:szCs w:val="24"/>
    </w:rPr>
  </w:style>
  <w:style w:type="character" w:styleId="951" w:customStyle="1">
    <w:name w:val="正文缩进 Char"/>
    <w:link w:val="950"/>
    <w:uiPriority w:val="0"/>
    <w:qFormat/>
    <w:rPr>
      <w:rFonts w:ascii="Times New Roman" w:hAnsi="Times New Roman"/>
      <w:sz w:val="21"/>
      <w:szCs w:val="24"/>
    </w:rPr>
  </w:style>
  <w:style w:type="paragraph" w:styleId="952" w:customStyle="1">
    <w:name w:val="索引 51"/>
    <w:basedOn w:val="708"/>
    <w:next w:val="708"/>
    <w:uiPriority w:val="99"/>
    <w:unhideWhenUsed/>
    <w:qFormat/>
    <w:pPr>
      <w:ind w:left="800"/>
    </w:pPr>
  </w:style>
  <w:style w:type="paragraph" w:styleId="953" w:customStyle="1">
    <w:name w:val="文档结构图1"/>
    <w:basedOn w:val="708"/>
    <w:next w:val="708"/>
    <w:link w:val="954"/>
    <w:uiPriority w:val="99"/>
    <w:semiHidden/>
    <w:qFormat/>
    <w:pPr>
      <w:shd w:val="clear" w:color="auto" w:fill="000080"/>
    </w:pPr>
    <w:rPr>
      <w:sz w:val="20"/>
    </w:rPr>
  </w:style>
  <w:style w:type="character" w:styleId="954" w:customStyle="1">
    <w:name w:val="文档结构图 Char"/>
    <w:link w:val="953"/>
    <w:uiPriority w:val="99"/>
    <w:semiHidden/>
    <w:qFormat/>
    <w:rPr>
      <w:rFonts w:ascii="Times New Roman" w:hAnsi="Times New Roman" w:eastAsia="宋体" w:cs="Times New Roman"/>
      <w:szCs w:val="20"/>
      <w:shd w:val="clear" w:color="auto" w:fill="000080"/>
    </w:rPr>
  </w:style>
  <w:style w:type="paragraph" w:styleId="955" w:customStyle="1">
    <w:name w:val="批注文字1"/>
    <w:basedOn w:val="708"/>
    <w:link w:val="956"/>
    <w:uiPriority w:val="0"/>
    <w:semiHidden/>
    <w:qFormat/>
    <w:pPr>
      <w:jc w:val="left"/>
    </w:pPr>
    <w:rPr>
      <w:sz w:val="20"/>
      <w:szCs w:val="24"/>
    </w:rPr>
  </w:style>
  <w:style w:type="character" w:styleId="956" w:customStyle="1">
    <w:name w:val="批注文字 Char"/>
    <w:link w:val="955"/>
    <w:uiPriority w:val="0"/>
    <w:semiHidden/>
    <w:qFormat/>
    <w:rPr>
      <w:rFonts w:ascii="Times New Roman" w:hAnsi="Times New Roman" w:eastAsia="宋体" w:cs="Times New Roman"/>
      <w:szCs w:val="24"/>
    </w:rPr>
  </w:style>
  <w:style w:type="paragraph" w:styleId="957" w:customStyle="1">
    <w:name w:val="正文文本1"/>
    <w:basedOn w:val="708"/>
    <w:next w:val="958"/>
    <w:link w:val="959"/>
    <w:uiPriority w:val="99"/>
    <w:qFormat/>
    <w:rPr>
      <w:rFonts w:ascii="华文中宋" w:eastAsia="华文中宋"/>
      <w:bCs/>
      <w:sz w:val="28"/>
    </w:rPr>
  </w:style>
  <w:style w:type="paragraph" w:styleId="958" w:customStyle="1">
    <w:name w:val="正文首行缩进1"/>
    <w:basedOn w:val="957"/>
    <w:link w:val="960"/>
    <w:uiPriority w:val="99"/>
    <w:unhideWhenUsed/>
    <w:qFormat/>
    <w:pPr>
      <w:ind w:firstLine="420"/>
      <w:spacing w:after="120"/>
    </w:pPr>
  </w:style>
  <w:style w:type="character" w:styleId="959" w:customStyle="1">
    <w:name w:val="正文文本 Char"/>
    <w:link w:val="957"/>
    <w:uiPriority w:val="99"/>
    <w:qFormat/>
    <w:rPr>
      <w:rFonts w:ascii="华文中宋" w:hAnsi="Times New Roman" w:eastAsia="华文中宋" w:cs="Times New Roman"/>
      <w:bCs/>
      <w:sz w:val="28"/>
      <w:szCs w:val="20"/>
    </w:rPr>
  </w:style>
  <w:style w:type="character" w:styleId="960" w:customStyle="1">
    <w:name w:val="正文首行缩进 Char"/>
    <w:link w:val="958"/>
    <w:uiPriority w:val="99"/>
    <w:semiHidden/>
    <w:qFormat/>
    <w:rPr>
      <w:rFonts w:ascii="Times New Roman" w:hAnsi="Times New Roman" w:eastAsia="华文中宋" w:cs="Times New Roman"/>
      <w:sz w:val="21"/>
      <w:szCs w:val="20"/>
    </w:rPr>
  </w:style>
  <w:style w:type="paragraph" w:styleId="961" w:customStyle="1">
    <w:name w:val="正文文本缩进1"/>
    <w:basedOn w:val="708"/>
    <w:next w:val="962"/>
    <w:link w:val="963"/>
    <w:uiPriority w:val="0"/>
    <w:qFormat/>
    <w:pPr>
      <w:ind w:firstLine="576"/>
    </w:pPr>
    <w:rPr>
      <w:b/>
      <w:sz w:val="30"/>
    </w:rPr>
  </w:style>
  <w:style w:type="paragraph" w:styleId="962" w:customStyle="1">
    <w:name w:val="寄信人地址1"/>
    <w:basedOn w:val="708"/>
    <w:uiPriority w:val="99"/>
    <w:unhideWhenUsed/>
    <w:qFormat/>
    <w:rPr>
      <w:rFonts w:hint="eastAsia" w:ascii="Arial" w:hAnsi="Arial"/>
      <w:sz w:val="24"/>
      <w:szCs w:val="24"/>
    </w:rPr>
  </w:style>
  <w:style w:type="character" w:styleId="963" w:customStyle="1">
    <w:name w:val="正文文本缩进 Char"/>
    <w:link w:val="961"/>
    <w:uiPriority w:val="0"/>
    <w:qFormat/>
    <w:rPr>
      <w:rFonts w:ascii="Times New Roman" w:hAnsi="Times New Roman" w:eastAsia="宋体" w:cs="Times New Roman"/>
      <w:b/>
      <w:sz w:val="30"/>
      <w:szCs w:val="20"/>
    </w:rPr>
  </w:style>
  <w:style w:type="paragraph" w:styleId="964" w:customStyle="1">
    <w:name w:val="索引 41"/>
    <w:basedOn w:val="708"/>
    <w:next w:val="708"/>
    <w:uiPriority w:val="0"/>
    <w:qFormat/>
    <w:pPr>
      <w:ind w:left="1260"/>
    </w:pPr>
    <w:rPr>
      <w:rFonts w:eastAsia="楷体_GB2312"/>
      <w:sz w:val="26"/>
    </w:rPr>
  </w:style>
  <w:style w:type="paragraph" w:styleId="965" w:customStyle="1">
    <w:name w:val="纯文本1"/>
    <w:basedOn w:val="708"/>
    <w:link w:val="966"/>
    <w:uiPriority w:val="0"/>
    <w:qFormat/>
    <w:rPr>
      <w:rFonts w:ascii="宋体" w:hAnsi="Courier New"/>
      <w:szCs w:val="21"/>
    </w:rPr>
  </w:style>
  <w:style w:type="character" w:styleId="966" w:customStyle="1">
    <w:name w:val="纯文本 Char"/>
    <w:link w:val="965"/>
    <w:uiPriority w:val="0"/>
    <w:qFormat/>
    <w:rPr>
      <w:rFonts w:ascii="宋体" w:hAnsi="Courier New"/>
      <w:sz w:val="21"/>
      <w:szCs w:val="21"/>
    </w:rPr>
  </w:style>
  <w:style w:type="paragraph" w:styleId="967" w:customStyle="1">
    <w:name w:val="日期1"/>
    <w:basedOn w:val="708"/>
    <w:next w:val="708"/>
    <w:link w:val="968"/>
    <w:uiPriority w:val="99"/>
    <w:qFormat/>
    <w:rPr>
      <w:rFonts w:eastAsia="黑体"/>
      <w:b/>
      <w:sz w:val="36"/>
    </w:rPr>
  </w:style>
  <w:style w:type="character" w:styleId="968" w:customStyle="1">
    <w:name w:val="日期 Char"/>
    <w:link w:val="967"/>
    <w:uiPriority w:val="99"/>
    <w:qFormat/>
    <w:rPr>
      <w:rFonts w:ascii="Times New Roman" w:hAnsi="Times New Roman" w:eastAsia="黑体" w:cs="Times New Roman"/>
      <w:b/>
      <w:sz w:val="36"/>
      <w:szCs w:val="20"/>
    </w:rPr>
  </w:style>
  <w:style w:type="paragraph" w:styleId="969" w:customStyle="1">
    <w:name w:val="正文文本缩进 21"/>
    <w:basedOn w:val="708"/>
    <w:link w:val="970"/>
    <w:uiPriority w:val="99"/>
    <w:qFormat/>
    <w:pPr>
      <w:ind w:left="900"/>
    </w:pPr>
    <w:rPr>
      <w:rFonts w:ascii="楷体_GB2312" w:eastAsia="楷体_GB2312"/>
      <w:b/>
      <w:sz w:val="28"/>
    </w:rPr>
  </w:style>
  <w:style w:type="character" w:styleId="970" w:customStyle="1">
    <w:name w:val="正文文本缩进 2 Char"/>
    <w:link w:val="969"/>
    <w:uiPriority w:val="99"/>
    <w:qFormat/>
    <w:rPr>
      <w:rFonts w:ascii="楷体_GB2312" w:hAnsi="Times New Roman" w:eastAsia="楷体_GB2312" w:cs="Times New Roman"/>
      <w:b/>
      <w:sz w:val="28"/>
      <w:szCs w:val="20"/>
    </w:rPr>
  </w:style>
  <w:style w:type="paragraph" w:styleId="971" w:customStyle="1">
    <w:name w:val="批注框文本1"/>
    <w:basedOn w:val="708"/>
    <w:link w:val="972"/>
    <w:uiPriority w:val="99"/>
    <w:unhideWhenUsed/>
    <w:qFormat/>
    <w:rPr>
      <w:sz w:val="18"/>
      <w:szCs w:val="18"/>
    </w:rPr>
  </w:style>
  <w:style w:type="character" w:styleId="972" w:customStyle="1">
    <w:name w:val="批注框文本 Char"/>
    <w:link w:val="971"/>
    <w:uiPriority w:val="99"/>
    <w:semiHidden/>
    <w:qFormat/>
    <w:rPr>
      <w:rFonts w:ascii="Times New Roman" w:hAnsi="Times New Roman" w:eastAsia="宋体" w:cs="Times New Roman"/>
      <w:sz w:val="18"/>
      <w:szCs w:val="18"/>
    </w:rPr>
  </w:style>
  <w:style w:type="paragraph" w:styleId="973" w:customStyle="1">
    <w:name w:val="页脚1"/>
    <w:basedOn w:val="708"/>
    <w:link w:val="974"/>
    <w:uiPriority w:val="99"/>
    <w:unhideWhenUsed/>
    <w:qFormat/>
    <w:pPr>
      <w:jc w:val="left"/>
      <w:tabs>
        <w:tab w:val="center" w:pos="4153" w:leader="none"/>
        <w:tab w:val="right" w:pos="8306" w:leader="none"/>
      </w:tabs>
    </w:pPr>
    <w:rPr>
      <w:sz w:val="18"/>
      <w:szCs w:val="18"/>
    </w:rPr>
  </w:style>
  <w:style w:type="character" w:styleId="974" w:customStyle="1">
    <w:name w:val="页脚 Char"/>
    <w:link w:val="973"/>
    <w:uiPriority w:val="99"/>
    <w:qFormat/>
    <w:rPr>
      <w:sz w:val="18"/>
      <w:szCs w:val="18"/>
    </w:rPr>
  </w:style>
  <w:style w:type="paragraph" w:styleId="975" w:customStyle="1">
    <w:name w:val="页眉11"/>
    <w:basedOn w:val="708"/>
    <w:link w:val="97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76" w:customStyle="1">
    <w:name w:val="页眉 Char"/>
    <w:link w:val="975"/>
    <w:uiPriority w:val="0"/>
    <w:qFormat/>
    <w:rPr>
      <w:sz w:val="18"/>
      <w:szCs w:val="18"/>
    </w:rPr>
  </w:style>
  <w:style w:type="paragraph" w:styleId="977" w:customStyle="1">
    <w:name w:val="列表1"/>
    <w:basedOn w:val="708"/>
    <w:uiPriority w:val="0"/>
    <w:qFormat/>
    <w:pPr>
      <w:numPr>
        <w:ilvl w:val="0"/>
        <w:numId w:val="2"/>
      </w:numPr>
      <w:spacing w:after="20" w:line="288" w:lineRule="auto"/>
    </w:pPr>
    <w:rPr>
      <w:lang w:val="en-GB"/>
    </w:rPr>
  </w:style>
  <w:style w:type="paragraph" w:styleId="978" w:customStyle="1">
    <w:name w:val="脚注文本1"/>
    <w:basedOn w:val="708"/>
    <w:next w:val="952"/>
    <w:link w:val="979"/>
    <w:uiPriority w:val="0"/>
    <w:qFormat/>
    <w:pPr>
      <w:ind w:firstLine="425"/>
      <w:jc w:val="left"/>
      <w:spacing w:before="120" w:line="360" w:lineRule="auto"/>
    </w:pPr>
    <w:rPr>
      <w:sz w:val="18"/>
    </w:rPr>
  </w:style>
  <w:style w:type="character" w:styleId="979" w:customStyle="1">
    <w:name w:val="脚注文本 Char"/>
    <w:link w:val="978"/>
    <w:uiPriority w:val="0"/>
    <w:qFormat/>
    <w:rPr>
      <w:rFonts w:ascii="Times New Roman" w:hAnsi="Times New Roman"/>
      <w:sz w:val="18"/>
    </w:rPr>
  </w:style>
  <w:style w:type="paragraph" w:styleId="980" w:customStyle="1">
    <w:name w:val="正文文本缩进 31"/>
    <w:basedOn w:val="708"/>
    <w:link w:val="981"/>
    <w:uiPriority w:val="99"/>
    <w:qFormat/>
    <w:pPr>
      <w:ind w:left="359" w:firstLine="359"/>
    </w:pPr>
    <w:rPr>
      <w:sz w:val="20"/>
    </w:rPr>
  </w:style>
  <w:style w:type="character" w:styleId="981" w:customStyle="1">
    <w:name w:val="正文文本缩进 3 Char"/>
    <w:link w:val="980"/>
    <w:uiPriority w:val="99"/>
    <w:qFormat/>
    <w:rPr>
      <w:rFonts w:ascii="Times New Roman" w:hAnsi="Times New Roman" w:eastAsia="宋体" w:cs="Times New Roman"/>
      <w:szCs w:val="20"/>
    </w:rPr>
  </w:style>
  <w:style w:type="paragraph" w:styleId="982" w:customStyle="1">
    <w:name w:val="正文文本 211"/>
    <w:basedOn w:val="708"/>
    <w:link w:val="983"/>
    <w:uiPriority w:val="99"/>
    <w:qFormat/>
    <w:pPr>
      <w:spacing w:after="120" w:line="480" w:lineRule="auto"/>
    </w:pPr>
    <w:rPr>
      <w:sz w:val="20"/>
    </w:rPr>
  </w:style>
  <w:style w:type="character" w:styleId="983" w:customStyle="1">
    <w:name w:val="正文文本 2 Char"/>
    <w:link w:val="982"/>
    <w:uiPriority w:val="99"/>
    <w:qFormat/>
    <w:rPr>
      <w:rFonts w:ascii="Times New Roman" w:hAnsi="Times New Roman" w:eastAsia="宋体" w:cs="Times New Roman"/>
      <w:szCs w:val="20"/>
    </w:rPr>
  </w:style>
  <w:style w:type="paragraph" w:styleId="984" w:customStyle="1">
    <w:name w:val="普通(网站)1"/>
    <w:basedOn w:val="708"/>
    <w:link w:val="98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85" w:customStyle="1">
    <w:name w:val="普通(网站) Char"/>
    <w:link w:val="984"/>
    <w:uiPriority w:val="0"/>
    <w:qFormat/>
    <w:rPr>
      <w:rFonts w:ascii="宋体" w:hAnsi="宋体"/>
      <w:sz w:val="24"/>
      <w:szCs w:val="24"/>
    </w:rPr>
  </w:style>
  <w:style w:type="paragraph" w:styleId="986" w:customStyle="1">
    <w:name w:val="批注主题1"/>
    <w:basedOn w:val="955"/>
    <w:next w:val="955"/>
    <w:link w:val="987"/>
    <w:uiPriority w:val="0"/>
    <w:semiHidden/>
    <w:qFormat/>
    <w:rPr>
      <w:b/>
      <w:bCs/>
    </w:rPr>
  </w:style>
  <w:style w:type="character" w:styleId="987" w:customStyle="1">
    <w:name w:val="批注主题 Char"/>
    <w:link w:val="986"/>
    <w:uiPriority w:val="0"/>
    <w:semiHidden/>
    <w:qFormat/>
    <w:rPr>
      <w:rFonts w:ascii="Times New Roman" w:hAnsi="Times New Roman" w:eastAsia="宋体" w:cs="Times New Roman"/>
      <w:b/>
      <w:bCs/>
      <w:szCs w:val="24"/>
    </w:rPr>
  </w:style>
  <w:style w:type="paragraph" w:styleId="988" w:customStyle="1">
    <w:name w:val="正文首行缩进 21"/>
    <w:basedOn w:val="961"/>
    <w:next w:val="708"/>
    <w:uiPriority w:val="0"/>
    <w:qFormat/>
    <w:pPr>
      <w:ind w:left="420" w:firstLine="420"/>
      <w:spacing w:after="120"/>
    </w:pPr>
    <w:rPr>
      <w:rFonts w:ascii="Cambria" w:hAnsi="Cambria" w:eastAsia="华文细黑"/>
      <w:sz w:val="21"/>
    </w:rPr>
  </w:style>
  <w:style w:type="table" w:styleId="989" w:customStyle="1">
    <w:name w:val="网格型1"/>
    <w:basedOn w:val="944"/>
    <w:uiPriority w:val="39"/>
    <w:qFormat/>
    <w:tblPr>
      <w:tblCellMar>
        <w:left w:w="0" w:type="dxa"/>
        <w:top w:w="0" w:type="dxa"/>
        <w:right w:w="0" w:type="dxa"/>
        <w:bottom w:w="0" w:type="dxa"/>
      </w:tblCellMar>
    </w:tblPr>
  </w:style>
  <w:style w:type="character" w:styleId="990" w:customStyle="1">
    <w:name w:val="要点1"/>
    <w:uiPriority w:val="99"/>
    <w:qFormat/>
    <w:rPr>
      <w:rFonts w:cs="Times New Roman"/>
      <w:b/>
      <w:bCs/>
    </w:rPr>
  </w:style>
  <w:style w:type="character" w:styleId="991" w:customStyle="1">
    <w:name w:val="页码1"/>
    <w:uiPriority w:val="0"/>
    <w:qFormat/>
    <w:rPr>
      <w:rFonts w:cs="Times New Roman"/>
    </w:rPr>
  </w:style>
  <w:style w:type="character" w:styleId="992" w:customStyle="1">
    <w:name w:val="已访问的超链接1"/>
    <w:uiPriority w:val="99"/>
    <w:qFormat/>
    <w:rPr>
      <w:rFonts w:cs="Times New Roman"/>
      <w:color w:val="000000"/>
      <w:u w:val="none"/>
    </w:rPr>
  </w:style>
  <w:style w:type="character" w:styleId="993" w:customStyle="1">
    <w:name w:val="HTML 打字机1"/>
    <w:uiPriority w:val="99"/>
    <w:qFormat/>
    <w:rPr>
      <w:rFonts w:ascii="宋体" w:hAnsi="宋体" w:eastAsia="宋体" w:cs="宋体"/>
      <w:sz w:val="24"/>
      <w:szCs w:val="24"/>
    </w:rPr>
  </w:style>
  <w:style w:type="character" w:styleId="994" w:customStyle="1">
    <w:name w:val="超链接1"/>
    <w:uiPriority w:val="0"/>
    <w:qFormat/>
    <w:rPr>
      <w:color w:val="000000"/>
      <w:u w:val="none"/>
    </w:rPr>
  </w:style>
  <w:style w:type="character" w:styleId="995" w:customStyle="1">
    <w:name w:val="批注引用1"/>
    <w:uiPriority w:val="0"/>
    <w:unhideWhenUsed/>
    <w:qFormat/>
    <w:rPr>
      <w:sz w:val="21"/>
      <w:szCs w:val="21"/>
    </w:rPr>
  </w:style>
  <w:style w:type="character" w:styleId="996" w:customStyle="1">
    <w:name w:val="批注框文本 Char1"/>
    <w:uiPriority w:val="99"/>
    <w:semiHidden/>
    <w:qFormat/>
    <w:rPr>
      <w:rFonts w:ascii="Times New Roman" w:hAnsi="Times New Roman" w:eastAsia="宋体" w:cs="Times New Roman"/>
      <w:sz w:val="18"/>
      <w:szCs w:val="18"/>
    </w:rPr>
  </w:style>
  <w:style w:type="character" w:styleId="997" w:customStyle="1">
    <w:name w:val="正文文本 2 Char1"/>
    <w:uiPriority w:val="99"/>
    <w:semiHidden/>
    <w:qFormat/>
    <w:rPr>
      <w:rFonts w:ascii="Times New Roman" w:hAnsi="Times New Roman" w:eastAsia="宋体" w:cs="Times New Roman"/>
      <w:szCs w:val="20"/>
    </w:rPr>
  </w:style>
  <w:style w:type="character" w:styleId="998" w:customStyle="1">
    <w:name w:val="文档结构图 Char1"/>
    <w:uiPriority w:val="99"/>
    <w:semiHidden/>
    <w:qFormat/>
    <w:rPr>
      <w:rFonts w:ascii="宋体" w:hAnsi="Times New Roman" w:eastAsia="宋体" w:cs="Times New Roman"/>
      <w:sz w:val="18"/>
      <w:szCs w:val="18"/>
    </w:rPr>
  </w:style>
  <w:style w:type="character" w:styleId="999" w:customStyle="1">
    <w:name w:val="正文文本缩进 Char1"/>
    <w:uiPriority w:val="99"/>
    <w:semiHidden/>
    <w:qFormat/>
    <w:rPr>
      <w:rFonts w:ascii="Times New Roman" w:hAnsi="Times New Roman" w:eastAsia="宋体" w:cs="Times New Roman"/>
      <w:szCs w:val="20"/>
    </w:rPr>
  </w:style>
  <w:style w:type="character" w:styleId="1000" w:customStyle="1">
    <w:name w:val="15"/>
    <w:uiPriority w:val="0"/>
    <w:qFormat/>
    <w:rPr>
      <w:rFonts w:ascii="Times New Roman" w:hAnsi="Times New Roman" w:cs="Times New Roman"/>
    </w:rPr>
  </w:style>
  <w:style w:type="character" w:styleId="1001" w:customStyle="1">
    <w:name w:val="正文文本缩进 2 Char1"/>
    <w:uiPriority w:val="99"/>
    <w:semiHidden/>
    <w:qFormat/>
    <w:rPr>
      <w:rFonts w:ascii="Times New Roman" w:hAnsi="Times New Roman" w:eastAsia="宋体" w:cs="Times New Roman"/>
      <w:szCs w:val="20"/>
    </w:rPr>
  </w:style>
  <w:style w:type="character" w:styleId="1002" w:customStyle="1">
    <w:name w:val="日期 Char1"/>
    <w:uiPriority w:val="99"/>
    <w:semiHidden/>
    <w:qFormat/>
    <w:rPr>
      <w:rFonts w:ascii="Times New Roman" w:hAnsi="Times New Roman" w:eastAsia="宋体" w:cs="Times New Roman"/>
      <w:szCs w:val="20"/>
    </w:rPr>
  </w:style>
  <w:style w:type="character" w:styleId="1003" w:customStyle="1">
    <w:name w:val="正文文本缩进 3 Char1"/>
    <w:uiPriority w:val="99"/>
    <w:semiHidden/>
    <w:qFormat/>
    <w:rPr>
      <w:rFonts w:ascii="Times New Roman" w:hAnsi="Times New Roman" w:eastAsia="宋体" w:cs="Times New Roman"/>
      <w:sz w:val="16"/>
      <w:szCs w:val="16"/>
    </w:rPr>
  </w:style>
  <w:style w:type="paragraph" w:styleId="1004" w:customStyle="1">
    <w:name w:val="列出段落"/>
    <w:basedOn w:val="708"/>
    <w:uiPriority w:val="0"/>
    <w:qFormat/>
    <w:pPr>
      <w:ind w:firstLine="420"/>
    </w:pPr>
  </w:style>
  <w:style w:type="paragraph" w:styleId="1005">
    <w:name w:val="List Paragraph"/>
    <w:basedOn w:val="708"/>
    <w:uiPriority w:val="0"/>
    <w:qFormat/>
    <w:pPr>
      <w:ind w:firstLine="420"/>
    </w:pPr>
    <w:rPr>
      <w:szCs w:val="21"/>
    </w:rPr>
  </w:style>
  <w:style w:type="paragraph" w:styleId="1006" w:customStyle="1">
    <w:name w:val="普通文字"/>
    <w:basedOn w:val="708"/>
    <w:next w:val="708"/>
    <w:uiPriority w:val="0"/>
    <w:qFormat/>
    <w:rPr>
      <w:rFonts w:ascii="宋体"/>
      <w:sz w:val="24"/>
    </w:rPr>
  </w:style>
  <w:style w:type="paragraph" w:styleId="1007" w:customStyle="1">
    <w:name w:val="样式 小四 段前: 5 磅 段后: 5 磅 首行缩进:  2 字符"/>
    <w:basedOn w:val="708"/>
    <w:uiPriority w:val="0"/>
    <w:qFormat/>
    <w:pPr>
      <w:jc w:val="center"/>
      <w:spacing w:line="360" w:lineRule="auto"/>
    </w:pPr>
    <w:rPr>
      <w:rFonts w:ascii="宋体" w:hAnsi="宋体"/>
      <w:bCs/>
      <w:color w:val="ff0000"/>
      <w:sz w:val="24"/>
      <w:szCs w:val="24"/>
    </w:rPr>
  </w:style>
  <w:style w:type="paragraph" w:styleId="1008" w:customStyle="1">
    <w:name w:val="段"/>
    <w:next w:val="708"/>
    <w:uiPriority w:val="0"/>
    <w:qFormat/>
    <w:pPr>
      <w:ind w:firstLine="200"/>
      <w:jc w:val="both"/>
    </w:pPr>
    <w:rPr>
      <w:rFonts w:hint="default" w:ascii="宋体" w:hAnsi="Times New Roman" w:eastAsia="宋体" w:cs="Times New Roman"/>
      <w:sz w:val="21"/>
      <w:lang w:val="en-US" w:eastAsia="zh-CN" w:bidi="ar-SA"/>
    </w:rPr>
  </w:style>
  <w:style w:type="paragraph" w:styleId="100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0" w:customStyle="1">
    <w:name w:val="页眉1"/>
    <w:basedOn w:val="708"/>
    <w:uiPriority w:val="99"/>
    <w:qFormat/>
    <w:pPr>
      <w:jc w:val="center"/>
      <w:tabs>
        <w:tab w:val="center" w:pos="4153" w:leader="none"/>
        <w:tab w:val="right" w:pos="8306" w:leader="none"/>
      </w:tabs>
      <w:pBdr>
        <w:bottom w:val="single" w:color="000000" w:sz="6" w:space="1"/>
      </w:pBdr>
    </w:pPr>
    <w:rPr>
      <w:sz w:val="18"/>
      <w:szCs w:val="18"/>
    </w:rPr>
  </w:style>
  <w:style w:type="paragraph" w:styleId="1011" w:customStyle="1">
    <w:name w:val="正文文本 21"/>
    <w:basedOn w:val="708"/>
    <w:uiPriority w:val="0"/>
    <w:qFormat/>
    <w:pPr>
      <w:spacing w:after="120" w:line="480" w:lineRule="auto"/>
    </w:pPr>
    <w:rPr>
      <w:sz w:val="20"/>
    </w:rPr>
  </w:style>
  <w:style w:type="table" w:styleId="1012" w:customStyle="1">
    <w:name w:val="Table Normal"/>
    <w:uiPriority w:val="0"/>
    <w:semiHidden/>
    <w:unhideWhenUsed/>
    <w:qFormat/>
    <w:tblPr>
      <w:tblCellMar>
        <w:left w:w="0" w:type="dxa"/>
        <w:top w:w="0" w:type="dxa"/>
        <w:right w:w="0" w:type="dxa"/>
        <w:bottom w:w="0" w:type="dxa"/>
      </w:tblCellMar>
    </w:tblPr>
  </w:style>
  <w:style w:type="paragraph" w:styleId="1013" w:customStyle="1">
    <w:name w:val="纯文本5"/>
    <w:basedOn w:val="708"/>
    <w:uiPriority w:val="0"/>
    <w:qFormat/>
    <w:pPr>
      <w:ind w:firstLine="0"/>
      <w:spacing w:line="240" w:lineRule="auto"/>
      <w:pBdr>
        <w:top w:val="none" w:color="auto" w:sz="0" w:space="0"/>
        <w:left w:val="none" w:color="auto" w:sz="0" w:space="0"/>
        <w:bottom w:val="none" w:color="auto" w:sz="0" w:space="0"/>
        <w:right w:val="none" w:color="auto" w:sz="0" w:space="0"/>
      </w:pBdr>
    </w:pPr>
    <w:rPr>
      <w:rFonts w:ascii="宋体" w:hAnsi="Courier New" w:eastAsia="楷体_GB2312" w:cs="Times New Roman"/>
      <w:color w:val="auto"/>
      <w:sz w:val="26"/>
      <w:szCs w:val="24"/>
    </w:rPr>
  </w:style>
  <w:style w:type="table" w:styleId="1014"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15" w:customStyle="1">
    <w:name w:val="font21"/>
    <w:basedOn w:val="718"/>
    <w:uiPriority w:val="0"/>
    <w:qFormat/>
    <w:rPr>
      <w:rFonts w:hint="eastAsia" w:ascii="宋体" w:hAnsi="宋体" w:eastAsia="宋体" w:cs="宋体"/>
      <w:color w:val="000000"/>
      <w:sz w:val="21"/>
      <w:szCs w:val="21"/>
      <w:u w:val="none"/>
    </w:rPr>
  </w:style>
  <w:style w:type="character" w:styleId="1016" w:customStyle="1">
    <w:name w:val="font31"/>
    <w:basedOn w:val="718"/>
    <w:uiPriority w:val="0"/>
    <w:qFormat/>
    <w:rPr>
      <w:rFonts w:hint="default" w:ascii="Calibri" w:hAnsi="Calibri" w:cs="Calibri"/>
      <w:color w:val="000000"/>
      <w:sz w:val="21"/>
      <w:szCs w:val="21"/>
      <w:u w:val="none"/>
    </w:rPr>
  </w:style>
  <w:style w:type="character" w:styleId="1017" w:customStyle="1">
    <w:name w:val="font51"/>
    <w:basedOn w:val="718"/>
    <w:uiPriority w:val="0"/>
    <w:qFormat/>
    <w:rPr>
      <w:rFonts w:hint="default" w:ascii="Calibri" w:hAnsi="Calibri" w:cs="Calibri"/>
      <w:color w:val="000000"/>
      <w:sz w:val="21"/>
      <w:szCs w:val="21"/>
      <w:u w:val="none"/>
      <w:vertAlign w:val="subscript"/>
    </w:rPr>
  </w:style>
  <w:style w:type="character" w:styleId="1018" w:customStyle="1">
    <w:name w:val="font11"/>
    <w:basedOn w:val="718"/>
    <w:uiPriority w:val="0"/>
    <w:qFormat/>
    <w:rPr>
      <w:rFonts w:hint="eastAsia" w:ascii="宋体" w:hAnsi="宋体" w:eastAsia="宋体" w:cs="宋体"/>
      <w:color w:val="000000"/>
      <w:sz w:val="21"/>
      <w:szCs w:val="21"/>
      <w:u w:val="none"/>
    </w:rPr>
  </w:style>
  <w:style w:type="character" w:styleId="1019" w:customStyle="1">
    <w:name w:val="font41"/>
    <w:basedOn w:val="718"/>
    <w:uiPriority w:val="0"/>
    <w:qFormat/>
    <w:rPr>
      <w:rFonts w:hint="default" w:ascii="Calibri" w:hAnsi="Calibri" w:cs="Calibri"/>
      <w:color w:val="000000"/>
      <w:sz w:val="21"/>
      <w:szCs w:val="21"/>
      <w:u w:val="none"/>
    </w:rPr>
  </w:style>
  <w:style w:type="character" w:styleId="1020" w:customStyle="1">
    <w:name w:val="NormalCharacter"/>
    <w:link w:val="1021"/>
    <w:uiPriority w:val="99"/>
    <w:qFormat/>
  </w:style>
  <w:style w:type="paragraph" w:styleId="1021" w:customStyle="1">
    <w:name w:val="UserStyle_4"/>
    <w:basedOn w:val="708"/>
    <w:link w:val="1020"/>
    <w:uiPriority w:val="99"/>
    <w:qFormat/>
  </w:style>
  <w:style w:type="character" w:styleId="1022" w:customStyle="1">
    <w:name w:val="font01"/>
    <w:basedOn w:val="718"/>
    <w:uiPriority w:val="0"/>
    <w:qFormat/>
    <w:rPr>
      <w:rFonts w:hint="eastAsia" w:ascii="宋体" w:hAnsi="宋体" w:eastAsia="宋体" w:cs="宋体"/>
      <w:color w:val="000000"/>
      <w:sz w:val="22"/>
      <w:szCs w:val="22"/>
      <w:u w:val="none"/>
    </w:rPr>
  </w:style>
  <w:style w:type="character" w:styleId="1023" w:customStyle="1">
    <w:name w:val="font91"/>
    <w:basedOn w:val="718"/>
    <w:uiPriority w:val="0"/>
    <w:qFormat/>
    <w:rPr>
      <w:rFonts w:hint="default" w:ascii="Times New Roman" w:hAnsi="Times New Roman" w:cs="Times New Roman"/>
      <w:color w:val="000000"/>
      <w:sz w:val="22"/>
      <w:szCs w:val="22"/>
      <w:u w:val="none"/>
    </w:rPr>
  </w:style>
  <w:style w:type="numbering" w:styleId="7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2024-04-09T01:41:00Z</dcterms:created>
  <dcterms:modified xsi:type="dcterms:W3CDTF">2026-09-10T08:06:16Z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D5C57282C15E4970A79233F2F5C65B9E_13</vt:lpwstr>
  </property>
  <property fmtid="{D5CDD505-2E9C-101B-9397-08002B2CF9AE}" pid="4" name="KSOTemplateDocerSaveRecord">
    <vt:lpwstr>eyJoZGlkIjoiZGRiZWYzNTkzYmEwYTZmYjk3ZGQ3OGQwNTA0ZmI1YWIiLCJ1c2VySWQiOiIxMDI1MzcwNjcwIn0=</vt:lpwstr>
  </property>
</Properties>
</file>