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pageBreakBefore w:val="0"/>
        <w:rPr>
          <w:rFonts w:hint="default" w:ascii="Times New Roman" w:hAnsi="Times New Roman" w:cs="Times New Roman"/>
          <w:color w:val="auto"/>
          <w:highlight w:val="none"/>
        </w:rPr>
      </w:pPr>
      <w:r/>
      <w:bookmarkStart w:id="0" w:name="_Toc383698647"/>
      <w:r/>
      <w:bookmarkStart w:id="1" w:name="_Toc390099018"/>
      <w:r/>
      <w:bookmarkStart w:id="2" w:name="_Toc383625993"/>
      <w:r/>
      <w:bookmarkStart w:id="3" w:name="_Toc383623672"/>
      <w:r/>
      <w:bookmarkStart w:id="4" w:name="_Toc426469868"/>
      <w:r/>
      <w:bookmarkStart w:id="5" w:name="_Toc390246905"/>
      <w:r/>
      <w:bookmarkStart w:id="6" w:name="_Toc390098840"/>
      <w:r/>
      <w:bookmarkStart w:id="7" w:name="_Toc383623944"/>
      <w:r/>
      <w:bookmarkStart w:id="8" w:name="_Toc383587456"/>
      <w:r/>
      <w:bookmarkStart w:id="9" w:name="_Toc383679746"/>
      <w:r/>
      <w:r/>
    </w:p>
    <w:p>
      <w:pPr>
        <w:ind w:left="0" w:right="0"/>
        <w:pageBreakBefore w:val="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678"/>
        <w:ind w:left="0" w:right="0"/>
        <w:pageBreakBefore w:val="0"/>
        <w:spacing w:after="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678"/>
        <w:ind w:left="0" w:right="0"/>
        <w:pageBreakBefore w:val="0"/>
        <w:spacing w:after="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0" w:right="0"/>
        <w:pageBreakBefore w:val="0"/>
        <w:rPr>
          <w:rFonts w:hint="default" w:ascii="Times New Roman" w:hAnsi="Times New Roman" w:cs="Times New Roman"/>
          <w:color w:val="auto"/>
          <w:highlight w:val="none"/>
        </w:rPr>
      </w:pPr>
      <w:r>
        <w:rPr>
          <w:rFonts w:hint="default" w:ascii="Times New Roman" w:hAnsi="Times New Roman" w:cs="Times New Roman"/>
          <w:color w:val="auto"/>
          <w:highlight w:val="none"/>
        </w:rPr>
        <w:tab/>
      </w:r>
      <w:r/>
    </w:p>
    <w:p>
      <w:pPr>
        <w:ind w:left="0" w:right="0"/>
        <w:pageBreakBefore w:val="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0" w:right="0"/>
        <w:pageBreakBefore w:val="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38"/>
        <w:ind w:left="0" w:right="0"/>
        <w:jc w:val="center"/>
        <w:pageBreakBefore w:val="0"/>
        <w:rPr>
          <w:rFonts w:hint="default" w:ascii="Times New Roman" w:hAnsi="Times New Roman" w:cs="Times New Roman" w:eastAsiaTheme="minorEastAsia"/>
          <w:bCs/>
          <w:color w:val="auto"/>
          <w:sz w:val="72"/>
          <w:szCs w:val="72"/>
          <w:highlight w:val="none"/>
        </w:rPr>
        <w:outlineLvl w:val="0"/>
      </w:pPr>
      <w:r>
        <w:rPr>
          <w:rFonts w:hint="default" w:ascii="Times New Roman" w:hAnsi="Times New Roman" w:cs="Times New Roman" w:eastAsiaTheme="minorEastAsia"/>
          <w:bCs/>
          <w:color w:val="auto"/>
          <w:sz w:val="72"/>
          <w:szCs w:val="72"/>
          <w:highlight w:val="none"/>
        </w:rPr>
        <w:t xml:space="preserve">竞争性磋商文件</w:t>
      </w:r>
      <w:r/>
    </w:p>
    <w:p>
      <w:pPr>
        <w:pStyle w:val="838"/>
        <w:ind w:left="0" w:right="0" w:firstLine="640"/>
        <w:pageBreakBefore w:val="0"/>
        <w:spacing w:line="540" w:lineRule="exact"/>
        <w:rPr>
          <w:rFonts w:hint="default" w:ascii="Times New Roman" w:hAnsi="Times New Roman" w:cs="Times New Roman" w:eastAsiaTheme="minorEastAsia"/>
          <w:b/>
          <w:bCs/>
          <w:color w:val="auto"/>
          <w:sz w:val="28"/>
          <w:szCs w:val="28"/>
          <w:highlight w:val="none"/>
        </w:rPr>
      </w:pPr>
      <w:r>
        <w:rPr>
          <w:rFonts w:hint="default" w:ascii="Times New Roman" w:hAnsi="Times New Roman" w:cs="Times New Roman" w:eastAsiaTheme="minorEastAsia"/>
          <w:b/>
          <w:bCs/>
          <w:color w:val="auto"/>
          <w:sz w:val="28"/>
          <w:szCs w:val="28"/>
          <w:highlight w:val="none"/>
        </w:rPr>
      </w:r>
      <w:r/>
    </w:p>
    <w:p>
      <w:pPr>
        <w:pStyle w:val="838"/>
        <w:ind w:left="0" w:right="0" w:firstLine="640"/>
        <w:pageBreakBefore w:val="0"/>
        <w:spacing w:line="540" w:lineRule="exact"/>
        <w:rPr>
          <w:rFonts w:hint="default" w:ascii="Times New Roman" w:hAnsi="Times New Roman" w:cs="Times New Roman" w:eastAsiaTheme="minorEastAsia"/>
          <w:b/>
          <w:bCs/>
          <w:color w:val="auto"/>
          <w:sz w:val="28"/>
          <w:szCs w:val="28"/>
          <w:highlight w:val="none"/>
        </w:rPr>
      </w:pPr>
      <w:r>
        <w:rPr>
          <w:rFonts w:hint="default" w:ascii="Times New Roman" w:hAnsi="Times New Roman" w:cs="Times New Roman" w:eastAsiaTheme="minorEastAsia"/>
          <w:b/>
          <w:bCs/>
          <w:color w:val="auto"/>
          <w:sz w:val="28"/>
          <w:szCs w:val="28"/>
          <w:highlight w:val="none"/>
        </w:rPr>
      </w:r>
      <w:r/>
    </w:p>
    <w:p>
      <w:pPr>
        <w:pStyle w:val="838"/>
        <w:ind w:left="0" w:right="0" w:firstLine="640"/>
        <w:pageBreakBefore w:val="0"/>
        <w:spacing w:line="540" w:lineRule="exact"/>
        <w:rPr>
          <w:rFonts w:hint="default" w:ascii="Times New Roman" w:hAnsi="Times New Roman" w:cs="Times New Roman" w:eastAsiaTheme="minorEastAsia"/>
          <w:b/>
          <w:bCs/>
          <w:color w:val="auto"/>
          <w:sz w:val="28"/>
          <w:szCs w:val="28"/>
          <w:highlight w:val="none"/>
        </w:rPr>
      </w:pPr>
      <w:r>
        <w:rPr>
          <w:rFonts w:hint="default" w:ascii="Times New Roman" w:hAnsi="Times New Roman" w:cs="Times New Roman" w:eastAsiaTheme="minorEastAsia"/>
          <w:b/>
          <w:bCs/>
          <w:color w:val="auto"/>
          <w:sz w:val="28"/>
          <w:szCs w:val="28"/>
          <w:highlight w:val="none"/>
        </w:rPr>
      </w:r>
      <w:r/>
    </w:p>
    <w:p>
      <w:pPr>
        <w:pStyle w:val="838"/>
        <w:ind w:left="1944" w:right="0" w:hanging="1944"/>
        <w:jc w:val="both"/>
        <w:pageBreakBefore w:val="0"/>
        <w:spacing w:line="640" w:lineRule="exact"/>
        <w:rPr>
          <w:rFonts w:hint="eastAsia" w:ascii="Times New Roman" w:hAnsi="Times New Roman" w:eastAsia="宋体" w:cs="Times New Roman"/>
          <w:b/>
          <w:bCs/>
          <w:color w:val="auto"/>
          <w:sz w:val="36"/>
          <w:szCs w:val="36"/>
          <w:highlight w:val="none"/>
          <w:lang w:val="en-US" w:eastAsia="zh-CN"/>
        </w:rPr>
        <w:outlineLvl w:val="0"/>
      </w:pPr>
      <w:r>
        <w:rPr>
          <w:rFonts w:hint="default" w:ascii="Times New Roman" w:hAnsi="Times New Roman" w:cs="Times New Roman" w:eastAsiaTheme="minorEastAsia"/>
          <w:b/>
          <w:bCs/>
          <w:color w:val="auto"/>
          <w:sz w:val="36"/>
          <w:szCs w:val="36"/>
          <w:highlight w:val="none"/>
        </w:rPr>
        <w:t xml:space="preserve">项目名称：</w:t>
      </w:r>
      <w:r>
        <w:rPr>
          <w:rFonts w:hint="default" w:ascii="Times New Roman" w:hAnsi="宋体" w:eastAsia="宋体"/>
          <w:b/>
          <w:bCs/>
          <w:color w:val="0d0d0d"/>
          <w:sz w:val="44"/>
          <w:szCs w:val="44"/>
          <w:lang w:eastAsia="zh-CN"/>
        </w:rPr>
        <w:t xml:space="preserve">滨江镇丰产新村、南园新村物业管理服务</w:t>
      </w:r>
      <w:r>
        <w:rPr>
          <w:rFonts w:hint="eastAsia" w:ascii="Times New Roman" w:hAnsi="宋体" w:eastAsia="宋体"/>
          <w:b/>
          <w:bCs/>
          <w:color w:val="0d0d0d"/>
          <w:sz w:val="44"/>
          <w:szCs w:val="44"/>
          <w:lang w:eastAsia="zh-CN"/>
        </w:rPr>
        <w:t xml:space="preserve">项目</w:t>
      </w:r>
      <w:r/>
    </w:p>
    <w:p>
      <w:pPr>
        <w:pStyle w:val="838"/>
        <w:ind w:left="0" w:right="0"/>
        <w:jc w:val="both"/>
        <w:pageBreakBefore w:val="0"/>
        <w:spacing w:line="640" w:lineRule="exact"/>
        <w:rPr>
          <w:rFonts w:hint="default" w:ascii="Times New Roman" w:hAnsi="Times New Roman" w:cs="Times New Roman" w:eastAsiaTheme="minorEastAsia"/>
          <w:b/>
          <w:color w:val="auto"/>
          <w:sz w:val="36"/>
          <w:szCs w:val="36"/>
          <w:highlight w:val="none"/>
          <w:lang w:val="en-US"/>
        </w:rPr>
        <w:outlineLvl w:val="0"/>
      </w:pPr>
      <w:r>
        <w:rPr>
          <w:rFonts w:hint="default" w:ascii="Times New Roman" w:hAnsi="Times New Roman" w:cs="Times New Roman" w:eastAsiaTheme="minorEastAsia"/>
          <w:b/>
          <w:color w:val="auto"/>
          <w:sz w:val="36"/>
          <w:szCs w:val="36"/>
          <w:highlight w:val="none"/>
        </w:rPr>
        <w:t xml:space="preserve">项目编号</w:t>
      </w:r>
      <w:r>
        <w:rPr>
          <w:rFonts w:hint="default" w:ascii="Times New Roman" w:hAnsi="Times New Roman" w:cs="Times New Roman" w:eastAsiaTheme="minorEastAsia"/>
          <w:b/>
          <w:color w:val="auto"/>
          <w:sz w:val="36"/>
          <w:szCs w:val="36"/>
          <w:highlight w:val="none"/>
          <w:lang w:eastAsia="zh-CN"/>
        </w:rPr>
        <w:t xml:space="preserve">：</w:t>
      </w:r>
      <w:r>
        <w:rPr>
          <w:rFonts w:hint="default" w:ascii="Times New Roman" w:hAnsi="Times New Roman" w:cs="Times New Roman" w:eastAsiaTheme="minorEastAsia"/>
          <w:b/>
          <w:color w:val="auto"/>
          <w:sz w:val="36"/>
          <w:szCs w:val="36"/>
          <w:highlight w:val="none"/>
        </w:rPr>
        <w:t xml:space="preserve"> </w:t>
      </w:r>
      <w:r>
        <w:rPr>
          <w:rFonts w:hint="eastAsia" w:asciiTheme="minorEastAsia" w:hAnsiTheme="minorEastAsia" w:eastAsiaTheme="minorEastAsia" w:cstheme="minorEastAsia"/>
          <w:b/>
          <w:color w:val="0d0d0d"/>
          <w:sz w:val="44"/>
          <w:szCs w:val="44"/>
        </w:rPr>
        <w:t xml:space="preserve">JSZC-321283-JZCG-C202</w:t>
      </w:r>
      <w:r>
        <w:rPr>
          <w:rFonts w:hint="eastAsia" w:asciiTheme="minorEastAsia" w:hAnsiTheme="minorEastAsia" w:eastAsiaTheme="minorEastAsia" w:cstheme="minorEastAsia"/>
          <w:b/>
          <w:color w:val="0d0d0d"/>
          <w:sz w:val="44"/>
          <w:szCs w:val="44"/>
          <w:lang w:val="en-US" w:eastAsia="zh-CN"/>
        </w:rPr>
        <w:t xml:space="preserve">6</w:t>
      </w:r>
      <w:r>
        <w:rPr>
          <w:rFonts w:hint="eastAsia" w:asciiTheme="minorEastAsia" w:hAnsiTheme="minorEastAsia" w:eastAsiaTheme="minorEastAsia" w:cstheme="minorEastAsia"/>
          <w:b/>
          <w:color w:val="0d0d0d"/>
          <w:sz w:val="44"/>
          <w:szCs w:val="44"/>
        </w:rPr>
        <w:t xml:space="preserve">-</w:t>
      </w:r>
      <w:r>
        <w:rPr>
          <w:rFonts w:hint="eastAsia" w:asciiTheme="minorEastAsia" w:hAnsiTheme="minorEastAsia" w:eastAsiaTheme="minorEastAsia" w:cstheme="minorEastAsia"/>
          <w:b/>
          <w:color w:val="0d0d0d"/>
          <w:sz w:val="44"/>
          <w:szCs w:val="44"/>
          <w:lang w:val="en-US" w:eastAsia="zh-CN"/>
        </w:rPr>
        <w:t xml:space="preserve">0010</w:t>
      </w:r>
      <w:r/>
    </w:p>
    <w:p>
      <w:pPr>
        <w:pStyle w:val="838"/>
        <w:ind w:left="0" w:right="0" w:firstLine="643"/>
        <w:jc w:val="center"/>
        <w:pageBreakBefore w:val="0"/>
        <w:spacing w:line="540" w:lineRule="exact"/>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r>
      <w:r/>
    </w:p>
    <w:p>
      <w:pPr>
        <w:pStyle w:val="838"/>
        <w:ind w:left="0" w:right="0" w:firstLine="643"/>
        <w:jc w:val="center"/>
        <w:pageBreakBefore w:val="0"/>
        <w:spacing w:line="540" w:lineRule="exact"/>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r>
      <w:r/>
    </w:p>
    <w:p>
      <w:pPr>
        <w:pStyle w:val="838"/>
        <w:ind w:left="0" w:right="0" w:firstLine="643"/>
        <w:jc w:val="center"/>
        <w:pageBreakBefore w:val="0"/>
        <w:spacing w:line="540" w:lineRule="exact"/>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r>
      <w:r/>
    </w:p>
    <w:p>
      <w:pPr>
        <w:pStyle w:val="838"/>
        <w:ind w:left="0" w:right="0" w:firstLine="643"/>
        <w:jc w:val="center"/>
        <w:pageBreakBefore w:val="0"/>
        <w:spacing w:line="540" w:lineRule="exact"/>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r>
      <w:r/>
    </w:p>
    <w:p>
      <w:pPr>
        <w:pStyle w:val="838"/>
        <w:ind w:left="0" w:right="0" w:firstLine="643"/>
        <w:jc w:val="center"/>
        <w:pageBreakBefore w:val="0"/>
        <w:spacing w:line="540" w:lineRule="exact"/>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r>
      <w:r/>
    </w:p>
    <w:p>
      <w:pPr>
        <w:pStyle w:val="838"/>
        <w:ind w:left="0" w:right="0" w:firstLine="643"/>
        <w:jc w:val="center"/>
        <w:pageBreakBefore w:val="0"/>
        <w:spacing w:line="540" w:lineRule="exact"/>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r>
      <w:r/>
    </w:p>
    <w:p>
      <w:pPr>
        <w:pStyle w:val="838"/>
        <w:ind w:left="0" w:right="0" w:firstLine="643"/>
        <w:jc w:val="center"/>
        <w:pageBreakBefore w:val="0"/>
        <w:spacing w:line="540" w:lineRule="exact"/>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r>
      <w:r/>
    </w:p>
    <w:p>
      <w:pPr>
        <w:pStyle w:val="838"/>
        <w:ind w:left="0" w:right="0" w:firstLine="723"/>
        <w:jc w:val="center"/>
        <w:pageBreakBefore w:val="0"/>
        <w:spacing w:line="540" w:lineRule="exact"/>
        <w:rPr>
          <w:rFonts w:hint="default" w:ascii="Times New Roman" w:hAnsi="Times New Roman" w:cs="Times New Roman" w:eastAsiaTheme="minorEastAsia"/>
          <w:b/>
          <w:color w:val="auto"/>
          <w:sz w:val="28"/>
          <w:szCs w:val="28"/>
          <w:highlight w:val="none"/>
        </w:rPr>
        <w:outlineLvl w:val="0"/>
      </w:pPr>
      <w:r>
        <w:rPr>
          <w:rFonts w:hint="default" w:ascii="Times New Roman" w:hAnsi="Times New Roman" w:cs="Times New Roman" w:eastAsiaTheme="minorEastAsia"/>
          <w:b/>
          <w:color w:val="auto"/>
          <w:sz w:val="28"/>
          <w:szCs w:val="28"/>
          <w:highlight w:val="none"/>
        </w:rPr>
      </w:r>
      <w:r/>
    </w:p>
    <w:p>
      <w:pPr>
        <w:pStyle w:val="838"/>
        <w:ind w:left="-2" w:firstLine="2"/>
        <w:jc w:val="center"/>
        <w:spacing w:line="540" w:lineRule="exact"/>
        <w:rPr>
          <w:rFonts w:hint="default" w:ascii="Times New Roman" w:eastAsia="宋体" w:cs="Times New Roman"/>
          <w:b/>
          <w:color w:val="auto"/>
          <w:sz w:val="36"/>
          <w:szCs w:val="36"/>
          <w:lang w:val="en-US" w:eastAsia="zh-CN"/>
        </w:rPr>
      </w:pPr>
      <w:r>
        <w:rPr>
          <w:rFonts w:hint="default" w:ascii="Times New Roman" w:eastAsia="宋体" w:cs="Times New Roman"/>
          <w:b/>
          <w:color w:val="auto"/>
          <w:sz w:val="36"/>
          <w:szCs w:val="36"/>
          <w:lang w:val="en-US" w:eastAsia="zh-CN"/>
        </w:rPr>
        <w:t xml:space="preserve">泰兴市滨江镇人民政府</w:t>
      </w:r>
      <w:r/>
    </w:p>
    <w:p>
      <w:pPr>
        <w:pStyle w:val="838"/>
        <w:ind w:left="-2" w:firstLine="2"/>
        <w:jc w:val="center"/>
        <w:spacing w:line="540" w:lineRule="exact"/>
        <w:rPr>
          <w:rFonts w:hint="default" w:ascii="Times New Roman" w:eastAsia="宋体" w:cs="Times New Roman"/>
          <w:b/>
          <w:color w:val="auto"/>
          <w:sz w:val="36"/>
          <w:szCs w:val="36"/>
          <w:lang w:val="en-US" w:eastAsia="zh-CN"/>
        </w:rPr>
      </w:pPr>
      <w:r>
        <w:rPr>
          <w:rFonts w:hint="default" w:ascii="Times New Roman" w:eastAsia="宋体" w:cs="Times New Roman"/>
          <w:b/>
          <w:color w:val="auto"/>
          <w:sz w:val="36"/>
          <w:szCs w:val="36"/>
          <w:lang w:val="en-US" w:eastAsia="zh-CN"/>
        </w:rPr>
        <w:t xml:space="preserve">2026年9月</w:t>
      </w:r>
      <w:r/>
    </w:p>
    <w:p>
      <w:pPr>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ind w:left="0" w:right="0"/>
        <w:pageBreakBefore w:val="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0" w:right="0"/>
        <w:pageBreakBefore w:val="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36"/>
        <w:ind w:left="0" w:right="0" w:firstLine="3"/>
        <w:jc w:val="center"/>
        <w:pageBreakBefore w:val="0"/>
        <w:spacing w:line="500" w:lineRule="exact"/>
        <w:tabs>
          <w:tab w:val="left" w:pos="3240" w:leader="none"/>
        </w:tabs>
        <w:rPr>
          <w:rFonts w:hint="default" w:ascii="Times New Roman" w:hAnsi="Times New Roman" w:eastAsia="方正小标宋_GBK" w:cs="Times New Roman"/>
          <w:color w:val="auto"/>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default" w:ascii="Times New Roman" w:hAnsi="Times New Roman" w:eastAsia="方正小标宋_GBK" w:cs="Times New Roman"/>
          <w:color w:val="auto"/>
          <w:sz w:val="44"/>
          <w:szCs w:val="44"/>
          <w:highlight w:val="none"/>
        </w:rPr>
      </w:r>
      <w:bookmarkEnd w:id="0"/>
      <w:bookmarkEnd w:id="1"/>
      <w:bookmarkEnd w:id="2"/>
      <w:bookmarkEnd w:id="3"/>
      <w:bookmarkEnd w:id="4"/>
      <w:bookmarkEnd w:id="5"/>
      <w:bookmarkEnd w:id="6"/>
      <w:bookmarkEnd w:id="7"/>
      <w:bookmarkEnd w:id="8"/>
      <w:bookmarkEnd w:id="9"/>
      <w:r/>
    </w:p>
    <w:p>
      <w:pPr>
        <w:pStyle w:val="836"/>
        <w:numPr>
          <w:ilvl w:val="0"/>
          <w:numId w:val="2"/>
        </w:numPr>
        <w:ind w:left="0" w:right="0" w:firstLine="3"/>
        <w:jc w:val="center"/>
        <w:pageBreakBefore w:val="0"/>
        <w:spacing w:line="500" w:lineRule="exact"/>
        <w:tabs>
          <w:tab w:val="left" w:pos="3240" w:leader="none"/>
        </w:tabs>
        <w:rPr>
          <w:rFonts w:hint="default" w:ascii="Times New Roman" w:hAnsi="Times New Roman" w:cs="Times New Roman" w:eastAsiaTheme="minorEastAsia"/>
          <w:color w:val="auto"/>
          <w:sz w:val="40"/>
          <w:szCs w:val="40"/>
          <w:highlight w:val="none"/>
        </w:rPr>
        <w:outlineLvl w:val="0"/>
      </w:pPr>
      <w:r>
        <w:rPr>
          <w:rFonts w:hint="default" w:ascii="Times New Roman" w:hAnsi="Times New Roman" w:cs="Times New Roman" w:eastAsiaTheme="minorEastAsia"/>
          <w:color w:val="auto"/>
          <w:sz w:val="40"/>
          <w:szCs w:val="40"/>
          <w:highlight w:val="none"/>
        </w:rPr>
        <w:t xml:space="preserve"> 竞争性磋商公告</w:t>
      </w:r>
      <w:r/>
    </w:p>
    <w:p>
      <w:pPr>
        <w:ind w:left="0" w:right="0"/>
        <w:pageBreakBefore w:val="0"/>
        <w:spacing w:line="500" w:lineRule="exact"/>
        <w:rPr>
          <w:rFonts w:hint="eastAsia" w:ascii="仿宋_GB2312" w:hAnsi="仿宋_GB2312" w:eastAsia="仿宋_GB2312" w:cs="仿宋_GB2312"/>
          <w:color w:val="auto"/>
          <w:sz w:val="28"/>
          <w:szCs w:val="28"/>
          <w:highlight w:val="none"/>
        </w:rPr>
        <w:pBdr>
          <w:top w:val="single" w:color="auto" w:sz="4" w:space="1"/>
          <w:left w:val="single" w:color="auto" w:sz="4" w:space="4"/>
          <w:bottom w:val="single" w:color="auto" w:sz="4" w:space="1"/>
          <w:right w:val="single" w:color="auto" w:sz="4" w:space="4"/>
        </w:pBdr>
      </w:pPr>
      <w:r/>
      <w:bookmarkStart w:id="10" w:name="_Toc35393796"/>
      <w:r/>
      <w:bookmarkStart w:id="11" w:name="_Toc28359085"/>
      <w:r/>
      <w:bookmarkStart w:id="12" w:name="_Toc35393627"/>
      <w:r/>
      <w:bookmarkStart w:id="13" w:name="_Toc28359008"/>
      <w:r>
        <w:rPr>
          <w:rFonts w:hint="eastAsia" w:ascii="仿宋_GB2312" w:hAnsi="仿宋_GB2312" w:eastAsia="仿宋_GB2312" w:cs="仿宋_GB2312"/>
          <w:color w:val="auto"/>
          <w:sz w:val="28"/>
          <w:szCs w:val="28"/>
          <w:highlight w:val="none"/>
        </w:rPr>
        <w:t xml:space="preserve">项目概况</w:t>
      </w:r>
      <w:r/>
    </w:p>
    <w:p>
      <w:pPr>
        <w:ind w:left="0" w:right="0" w:firstLine="560"/>
        <w:pageBreakBefore w:val="0"/>
        <w:spacing w:line="500" w:lineRule="exact"/>
        <w:rPr>
          <w:rFonts w:hint="eastAsia" w:ascii="仿宋_GB2312" w:hAnsi="仿宋_GB2312" w:eastAsia="仿宋_GB2312" w:cs="仿宋_GB2312"/>
          <w:b w:val="0"/>
          <w:bCs w:val="0"/>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_GB2312" w:hAnsi="仿宋_GB2312" w:eastAsia="仿宋_GB2312" w:cs="仿宋_GB2312"/>
          <w:color w:val="auto"/>
          <w:spacing w:val="-14"/>
          <w:sz w:val="28"/>
          <w:szCs w:val="28"/>
          <w:highlight w:val="none"/>
          <w:u w:val="single"/>
          <w:lang w:eastAsia="zh-CN"/>
        </w:rPr>
        <w:t xml:space="preserve">滨江镇丰产新村、南园新村物业管理服务项目</w:t>
      </w:r>
      <w:r>
        <w:rPr>
          <w:rFonts w:hint="eastAsia" w:ascii="仿宋_GB2312" w:hAnsi="仿宋_GB2312" w:eastAsia="仿宋_GB2312" w:cs="仿宋_GB2312"/>
          <w:spacing w:val="-14"/>
          <w:sz w:val="28"/>
          <w:szCs w:val="28"/>
          <w:u w:val="single"/>
          <w:lang w:val="en-US" w:eastAsia="zh-CN"/>
        </w:rPr>
        <w:t xml:space="preserve">JSZC-321283-JZCG-C2026-0</w:t>
      </w:r>
      <w:r>
        <w:rPr>
          <w:rFonts w:hint="eastAsia" w:ascii="仿宋_GB2312" w:hAnsi="仿宋_GB2312" w:eastAsia="仿宋_GB2312" w:cs="仿宋_GB2312"/>
          <w:color w:val="auto"/>
          <w:spacing w:val="-14"/>
          <w:sz w:val="28"/>
          <w:szCs w:val="28"/>
          <w:u w:val="single"/>
          <w:lang w:val="en-US" w:eastAsia="zh-CN"/>
        </w:rPr>
        <w:t xml:space="preserve">010</w:t>
      </w:r>
      <w:r>
        <w:rPr>
          <w:rFonts w:hint="eastAsia" w:ascii="仿宋_GB2312" w:hAnsi="仿宋_GB2312" w:eastAsia="仿宋_GB2312" w:cs="仿宋_GB2312"/>
          <w:b w:val="0"/>
          <w:bCs w:val="0"/>
          <w:color w:val="auto"/>
          <w:sz w:val="28"/>
          <w:szCs w:val="28"/>
          <w:highlight w:val="none"/>
          <w:u w:val="single"/>
        </w:rPr>
        <w:t xml:space="preserve">潜在供应商应在“苏采云”政府采购一体化平台获取采购文件，并于202</w:t>
      </w:r>
      <w:r>
        <w:rPr>
          <w:rFonts w:hint="eastAsia" w:ascii="仿宋_GB2312" w:hAnsi="仿宋_GB2312" w:eastAsia="仿宋_GB2312" w:cs="仿宋_GB2312"/>
          <w:b w:val="0"/>
          <w:bCs w:val="0"/>
          <w:color w:val="auto"/>
          <w:sz w:val="28"/>
          <w:szCs w:val="28"/>
          <w:highlight w:val="none"/>
          <w:u w:val="single"/>
          <w:lang w:val="en-US" w:eastAsia="zh-CN"/>
        </w:rPr>
        <w:t xml:space="preserve">6</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u w:val="single"/>
          <w:lang w:val="en-US" w:eastAsia="zh-CN"/>
        </w:rPr>
        <w:t xml:space="preserve">09</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u w:val="single"/>
          <w:lang w:val="en-US" w:eastAsia="zh-CN"/>
        </w:rPr>
        <w:t xml:space="preserve">29</w:t>
      </w:r>
      <w:r>
        <w:rPr>
          <w:rFonts w:hint="eastAsia" w:ascii="仿宋_GB2312" w:hAnsi="仿宋_GB2312" w:eastAsia="仿宋_GB2312" w:cs="仿宋_GB2312"/>
          <w:b w:val="0"/>
          <w:bCs w:val="0"/>
          <w:color w:val="auto"/>
          <w:sz w:val="28"/>
          <w:szCs w:val="28"/>
          <w:highlight w:val="none"/>
          <w:u w:val="single"/>
        </w:rPr>
        <w:t xml:space="preserve">  09:00（北京时间）前提交响应文件。</w:t>
      </w:r>
      <w:r/>
    </w:p>
    <w:p>
      <w:pPr>
        <w:ind w:firstLine="560"/>
        <w:spacing w:line="560" w:lineRule="exact"/>
        <w:rPr>
          <w:rFonts w:hint="default" w:ascii="黑体" w:hAnsi="黑体" w:eastAsia="黑体"/>
          <w:sz w:val="28"/>
          <w:szCs w:val="28"/>
        </w:rPr>
      </w:pPr>
      <w:r>
        <w:rPr>
          <w:rFonts w:hint="default" w:ascii="黑体" w:hAnsi="黑体" w:eastAsia="黑体"/>
          <w:sz w:val="28"/>
          <w:szCs w:val="28"/>
        </w:rPr>
        <w:t xml:space="preserve">一、项目基本情况</w:t>
      </w:r>
      <w:r/>
    </w:p>
    <w:p>
      <w:pPr>
        <w:ind w:left="0" w:right="0" w:firstLine="560"/>
        <w:pageBreakBefore w:val="0"/>
        <w:spacing w:line="560" w:lineRule="exac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项目编号：</w:t>
      </w:r>
      <w:r>
        <w:rPr>
          <w:rFonts w:hint="eastAsia" w:ascii="仿宋_GB2312" w:hAnsi="仿宋_GB2312" w:eastAsia="仿宋_GB2312" w:cs="仿宋_GB2312"/>
          <w:color w:val="auto"/>
          <w:sz w:val="28"/>
          <w:szCs w:val="28"/>
          <w:highlight w:val="none"/>
          <w:lang w:val="en-US" w:eastAsia="zh-CN"/>
        </w:rPr>
        <w:t xml:space="preserve">JSZC-321283-JZCG-C2026-0</w:t>
      </w:r>
      <w:r>
        <w:rPr>
          <w:rFonts w:hint="eastAsia" w:ascii="仿宋_GB2312" w:hAnsi="仿宋_GB2312" w:eastAsia="仿宋_GB2312" w:cs="仿宋_GB2312"/>
          <w:color w:val="auto"/>
          <w:sz w:val="28"/>
          <w:szCs w:val="28"/>
          <w:highlight w:val="none"/>
          <w:lang w:val="en-US" w:eastAsia="zh-CN"/>
        </w:rPr>
        <w:t xml:space="preserve">0</w:t>
      </w:r>
      <w:r>
        <w:rPr>
          <w:rFonts w:hint="eastAsia" w:ascii="仿宋_GB2312" w:hAnsi="仿宋_GB2312" w:eastAsia="仿宋_GB2312" w:cs="仿宋_GB2312"/>
          <w:color w:val="auto"/>
          <w:sz w:val="28"/>
          <w:szCs w:val="28"/>
          <w:highlight w:val="none"/>
          <w:lang w:val="en-US" w:eastAsia="zh-CN"/>
        </w:rPr>
        <w:t xml:space="preserve">10</w:t>
      </w:r>
      <w:r/>
    </w:p>
    <w:p>
      <w:pPr>
        <w:ind w:left="0" w:right="0" w:firstLine="560"/>
        <w:pageBreakBefore w:val="0"/>
        <w:spacing w:line="560" w:lineRule="exac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项目名称</w:t>
      </w:r>
      <w:r>
        <w:rPr>
          <w:rFonts w:hint="eastAsia" w:ascii="仿宋_GB2312" w:hAnsi="仿宋_GB2312" w:eastAsia="仿宋_GB2312" w:cs="仿宋_GB2312"/>
          <w:color w:val="auto"/>
          <w:spacing w:val="-14"/>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滨江镇丰产新村、南园新村物业管理服务</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采购方式：竞争性磋商</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u w:val="single"/>
          <w:lang w:val="en-US" w:eastAsia="zh-CN"/>
        </w:rPr>
        <w:t xml:space="preserve">318.6</w:t>
      </w:r>
      <w:r>
        <w:rPr>
          <w:rFonts w:hint="eastAsia" w:ascii="仿宋_GB2312" w:hAnsi="仿宋_GB2312" w:eastAsia="仿宋_GB2312" w:cs="仿宋_GB2312"/>
          <w:color w:val="auto"/>
          <w:sz w:val="28"/>
          <w:szCs w:val="28"/>
          <w:highlight w:val="none"/>
        </w:rPr>
        <w:t xml:space="preserve">万元（采购包1：</w:t>
      </w:r>
      <w:r>
        <w:rPr>
          <w:rFonts w:hint="eastAsia" w:ascii="仿宋_GB2312" w:hAnsi="仿宋_GB2312" w:eastAsia="仿宋_GB2312" w:cs="仿宋_GB2312"/>
          <w:color w:val="auto"/>
          <w:sz w:val="28"/>
          <w:szCs w:val="28"/>
          <w:highlight w:val="none"/>
          <w:u w:val="single"/>
          <w:lang w:val="en-US" w:eastAsia="zh-CN"/>
        </w:rPr>
        <w:t xml:space="preserve">258.3</w:t>
      </w:r>
      <w:r>
        <w:rPr>
          <w:rFonts w:hint="eastAsia" w:ascii="仿宋_GB2312" w:hAnsi="仿宋_GB2312" w:eastAsia="仿宋_GB2312" w:cs="仿宋_GB2312"/>
          <w:color w:val="auto"/>
          <w:sz w:val="28"/>
          <w:szCs w:val="28"/>
          <w:highlight w:val="none"/>
        </w:rPr>
        <w:t xml:space="preserve">万元；采购包2</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u w:val="single"/>
          <w:lang w:val="en-US" w:eastAsia="zh-CN"/>
        </w:rPr>
        <w:t xml:space="preserve">60.3</w:t>
      </w:r>
      <w:r>
        <w:rPr>
          <w:rFonts w:hint="eastAsia" w:ascii="仿宋_GB2312" w:hAnsi="仿宋_GB2312" w:eastAsia="仿宋_GB2312" w:cs="仿宋_GB2312"/>
          <w:color w:val="auto"/>
          <w:sz w:val="28"/>
          <w:szCs w:val="28"/>
          <w:highlight w:val="none"/>
        </w:rPr>
        <w:t xml:space="preserve">万元）</w:t>
      </w:r>
      <w:r/>
    </w:p>
    <w:p>
      <w:pPr>
        <w:ind w:firstLine="560"/>
        <w:spacing w:line="5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最高限价：</w:t>
      </w:r>
      <w:r>
        <w:rPr>
          <w:rFonts w:hint="eastAsia" w:ascii="仿宋_GB2312" w:hAnsi="仿宋_GB2312" w:eastAsia="仿宋_GB2312" w:cs="仿宋_GB2312"/>
          <w:color w:val="auto"/>
          <w:sz w:val="28"/>
          <w:szCs w:val="28"/>
          <w:highlight w:val="none"/>
          <w:u w:val="single"/>
          <w:lang w:val="en-US" w:eastAsia="zh-CN"/>
        </w:rPr>
        <w:t xml:space="preserve">318.6</w:t>
      </w:r>
      <w:r>
        <w:rPr>
          <w:rFonts w:hint="eastAsia" w:ascii="仿宋_GB2312" w:hAnsi="仿宋_GB2312" w:eastAsia="仿宋_GB2312" w:cs="仿宋_GB2312"/>
          <w:color w:val="auto"/>
          <w:sz w:val="28"/>
          <w:szCs w:val="28"/>
          <w:highlight w:val="none"/>
        </w:rPr>
        <w:t xml:space="preserve">万元</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其中：</w:t>
      </w:r>
      <w:r>
        <w:rPr>
          <w:rFonts w:hint="eastAsia" w:ascii="仿宋_GB2312" w:hAnsi="仿宋_GB2312" w:eastAsia="仿宋_GB2312" w:cs="仿宋_GB2312"/>
          <w:color w:val="auto"/>
          <w:sz w:val="28"/>
          <w:szCs w:val="28"/>
          <w:highlight w:val="none"/>
        </w:rPr>
        <w:t xml:space="preserve">包</w:t>
      </w:r>
      <w:r>
        <w:rPr>
          <w:rFonts w:hint="eastAsia" w:ascii="仿宋_GB2312" w:hAnsi="仿宋_GB2312" w:eastAsia="仿宋_GB2312" w:cs="仿宋_GB2312"/>
          <w:color w:val="auto"/>
          <w:sz w:val="28"/>
          <w:szCs w:val="28"/>
          <w:highlight w:val="none"/>
          <w:lang w:val="en-US" w:eastAsia="zh-CN"/>
        </w:rPr>
        <w:t xml:space="preserve">一</w:t>
      </w:r>
      <w:r>
        <w:rPr>
          <w:rFonts w:hint="eastAsia" w:ascii="仿宋_GB2312" w:hAnsi="仿宋_GB2312" w:eastAsia="仿宋_GB2312" w:cs="仿宋_GB2312"/>
          <w:color w:val="auto"/>
          <w:sz w:val="28"/>
          <w:szCs w:val="28"/>
          <w:highlight w:val="none"/>
          <w:u w:val="single"/>
          <w:lang w:val="en-US" w:eastAsia="zh-CN"/>
        </w:rPr>
        <w:t xml:space="preserve">258.3</w:t>
      </w:r>
      <w:r>
        <w:rPr>
          <w:rFonts w:hint="eastAsia" w:ascii="仿宋_GB2312" w:hAnsi="仿宋_GB2312" w:eastAsia="仿宋_GB2312" w:cs="仿宋_GB2312"/>
          <w:color w:val="auto"/>
          <w:sz w:val="28"/>
          <w:szCs w:val="28"/>
          <w:highlight w:val="none"/>
          <w:lang w:val="en-US" w:eastAsia="zh-CN"/>
        </w:rPr>
        <w:t xml:space="preserve">万元</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包</w:t>
      </w:r>
      <w:r>
        <w:rPr>
          <w:rFonts w:hint="eastAsia" w:ascii="仿宋_GB2312" w:hAnsi="仿宋_GB2312" w:eastAsia="仿宋_GB2312" w:cs="仿宋_GB2312"/>
          <w:color w:val="auto"/>
          <w:sz w:val="28"/>
          <w:szCs w:val="28"/>
          <w:highlight w:val="none"/>
          <w:lang w:val="en-US" w:eastAsia="zh-CN"/>
        </w:rPr>
        <w:t xml:space="preserve">二</w:t>
      </w:r>
      <w:r>
        <w:rPr>
          <w:rFonts w:hint="eastAsia" w:ascii="仿宋_GB2312" w:hAnsi="仿宋_GB2312" w:eastAsia="仿宋_GB2312" w:cs="仿宋_GB2312"/>
          <w:color w:val="auto"/>
          <w:sz w:val="28"/>
          <w:szCs w:val="28"/>
          <w:highlight w:val="none"/>
          <w:u w:val="single"/>
          <w:lang w:val="en-US" w:eastAsia="zh-CN"/>
        </w:rPr>
        <w:t xml:space="preserve">60.3</w:t>
      </w:r>
      <w:r>
        <w:rPr>
          <w:rFonts w:hint="eastAsia" w:ascii="仿宋_GB2312" w:hAnsi="仿宋_GB2312" w:eastAsia="仿宋_GB2312" w:cs="仿宋_GB2312"/>
          <w:color w:val="auto"/>
          <w:sz w:val="28"/>
          <w:szCs w:val="28"/>
          <w:highlight w:val="none"/>
          <w:lang w:val="en-US" w:eastAsia="zh-CN"/>
        </w:rPr>
        <w:t xml:space="preserve">万元。</w:t>
      </w:r>
      <w:r>
        <w:rPr>
          <w:rFonts w:hint="eastAsia" w:ascii="仿宋_GB2312" w:hAnsi="仿宋_GB2312" w:eastAsia="仿宋_GB2312" w:cs="仿宋_GB2312"/>
          <w:color w:val="auto"/>
          <w:sz w:val="28"/>
          <w:szCs w:val="28"/>
          <w:highlight w:val="none"/>
        </w:rPr>
        <w:t xml:space="preserve">投标</w:t>
      </w:r>
      <w:r>
        <w:rPr>
          <w:rFonts w:hint="eastAsia" w:ascii="仿宋_GB2312" w:hAnsi="仿宋_GB2312" w:eastAsia="仿宋_GB2312" w:cs="仿宋_GB2312"/>
          <w:color w:val="auto"/>
          <w:sz w:val="28"/>
          <w:szCs w:val="28"/>
          <w:highlight w:val="none"/>
          <w:lang w:val="en-US" w:eastAsia="zh-CN"/>
        </w:rPr>
        <w:t xml:space="preserve">报价</w:t>
      </w:r>
      <w:r>
        <w:rPr>
          <w:rFonts w:hint="eastAsia" w:ascii="仿宋_GB2312" w:hAnsi="仿宋_GB2312" w:eastAsia="仿宋_GB2312" w:cs="仿宋_GB2312"/>
          <w:color w:val="auto"/>
          <w:sz w:val="28"/>
          <w:szCs w:val="28"/>
          <w:highlight w:val="none"/>
        </w:rPr>
        <w:t xml:space="preserve">不得超过最高限价，否则作无效标处理。</w:t>
      </w:r>
      <w:r/>
    </w:p>
    <w:p>
      <w:pPr>
        <w:ind w:left="0" w:right="0" w:firstLine="560"/>
        <w:pageBreakBefore w:val="0"/>
        <w:spacing w:line="56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val="en-US" w:eastAsia="zh-CN"/>
        </w:rPr>
        <w:t xml:space="preserve">包一</w:t>
      </w:r>
      <w:r>
        <w:rPr>
          <w:rFonts w:hint="eastAsia" w:ascii="仿宋_GB2312" w:hAnsi="仿宋_GB2312" w:eastAsia="仿宋_GB2312" w:cs="仿宋_GB2312"/>
          <w:color w:val="auto"/>
          <w:sz w:val="28"/>
          <w:szCs w:val="28"/>
          <w:highlight w:val="none"/>
          <w:lang w:eastAsia="zh-CN"/>
        </w:rPr>
        <w:t xml:space="preserve">：丰产新村建筑面积156018.88平方米，单价为</w:t>
      </w:r>
      <w:r>
        <w:rPr>
          <w:rFonts w:hint="eastAsia" w:ascii="仿宋_GB2312" w:hAnsi="仿宋_GB2312" w:eastAsia="仿宋_GB2312" w:cs="仿宋_GB2312"/>
          <w:color w:val="auto"/>
          <w:sz w:val="28"/>
          <w:szCs w:val="28"/>
          <w:highlight w:val="none"/>
          <w:u w:val="single"/>
          <w:lang w:val="en-US" w:eastAsia="zh-CN"/>
        </w:rPr>
        <w:t xml:space="preserve">1.38</w:t>
      </w:r>
      <w:r>
        <w:rPr>
          <w:rFonts w:hint="eastAsia" w:ascii="仿宋_GB2312" w:hAnsi="仿宋_GB2312" w:eastAsia="仿宋_GB2312" w:cs="仿宋_GB2312"/>
          <w:color w:val="auto"/>
          <w:sz w:val="28"/>
          <w:szCs w:val="28"/>
          <w:highlight w:val="none"/>
          <w:lang w:val="en-US" w:eastAsia="zh-CN"/>
        </w:rPr>
        <w:t xml:space="preserve">元/平方米/月，包括</w:t>
      </w:r>
      <w:r>
        <w:rPr>
          <w:rFonts w:hint="eastAsia" w:ascii="仿宋_GB2312" w:hAnsi="仿宋_GB2312" w:eastAsia="仿宋_GB2312" w:cs="仿宋_GB2312"/>
          <w:color w:val="auto"/>
          <w:sz w:val="28"/>
          <w:szCs w:val="28"/>
          <w:highlight w:val="none"/>
          <w:lang w:eastAsia="zh-CN"/>
        </w:rPr>
        <w:t xml:space="preserve">保安（小区维稳）、保洁、绿化看管养护、共用部位、共用设备和公共设施管护、公共能耗、场地道路及电梯、消防等设施设备项目的维护、养护、运行、管理等；</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包二</w:t>
      </w:r>
      <w:r>
        <w:rPr>
          <w:rFonts w:hint="eastAsia" w:ascii="仿宋_GB2312" w:hAnsi="仿宋_GB2312" w:eastAsia="仿宋_GB2312" w:cs="仿宋_GB2312"/>
          <w:color w:val="auto"/>
          <w:sz w:val="28"/>
          <w:szCs w:val="28"/>
          <w:highlight w:val="none"/>
          <w:lang w:eastAsia="zh-CN"/>
        </w:rPr>
        <w:t xml:space="preserve">：南园新村建筑面积42631.11平方米，单价为</w:t>
      </w:r>
      <w:r>
        <w:rPr>
          <w:rFonts w:hint="eastAsia" w:ascii="仿宋_GB2312" w:hAnsi="仿宋_GB2312" w:eastAsia="仿宋_GB2312" w:cs="仿宋_GB2312"/>
          <w:color w:val="auto"/>
          <w:sz w:val="28"/>
          <w:szCs w:val="28"/>
          <w:highlight w:val="none"/>
          <w:u w:val="single"/>
          <w:lang w:val="en-US" w:eastAsia="zh-CN"/>
        </w:rPr>
        <w:t xml:space="preserve">1.18</w:t>
      </w:r>
      <w:r>
        <w:rPr>
          <w:rFonts w:hint="eastAsia" w:ascii="仿宋_GB2312" w:hAnsi="仿宋_GB2312" w:eastAsia="仿宋_GB2312" w:cs="仿宋_GB2312"/>
          <w:color w:val="auto"/>
          <w:sz w:val="28"/>
          <w:szCs w:val="28"/>
          <w:highlight w:val="none"/>
          <w:lang w:val="en-US" w:eastAsia="zh-CN"/>
        </w:rPr>
        <w:t xml:space="preserve">元/平方米/月，包括</w:t>
      </w:r>
      <w:r>
        <w:rPr>
          <w:rFonts w:hint="eastAsia" w:ascii="仿宋_GB2312" w:hAnsi="仿宋_GB2312" w:eastAsia="仿宋_GB2312" w:cs="仿宋_GB2312"/>
          <w:color w:val="auto"/>
          <w:sz w:val="28"/>
          <w:szCs w:val="28"/>
          <w:highlight w:val="none"/>
          <w:lang w:eastAsia="zh-CN"/>
        </w:rPr>
        <w:t xml:space="preserve">保安（小区维稳）、保洁、绿化看管养护、共用部位、共用设备和公共设施管护、公共能耗、场地道路、消防等设施设备项目的维护、养护、运行、管理等。</w:t>
      </w:r>
      <w:r>
        <w:rPr>
          <w:rFonts w:hint="eastAsia" w:ascii="仿宋_GB2312" w:hAnsi="仿宋_GB2312" w:eastAsia="仿宋_GB2312" w:cs="仿宋_GB2312"/>
          <w:color w:val="auto"/>
          <w:sz w:val="28"/>
          <w:szCs w:val="28"/>
          <w:highlight w:val="none"/>
        </w:rPr>
        <w:t xml:space="preserve">详见竞争性磋商文件第五章。</w:t>
      </w:r>
      <w:r/>
    </w:p>
    <w:p>
      <w:pPr>
        <w:ind w:left="0" w:right="0" w:firstLine="562"/>
        <w:pageBreakBefore w:val="0"/>
        <w:spacing w:line="560" w:lineRule="exact"/>
        <w:rPr>
          <w:rFonts w:hint="eastAsia" w:ascii="仿宋_GB2312" w:hAnsi="仿宋_GB2312" w:eastAsia="仿宋_GB2312" w:cs="仿宋_GB2312"/>
          <w:b/>
          <w:bCs/>
          <w:color w:val="ff0000"/>
          <w:sz w:val="28"/>
          <w:szCs w:val="28"/>
          <w:highlight w:val="none"/>
        </w:rPr>
      </w:pPr>
      <w:r>
        <w:rPr>
          <w:rFonts w:hint="eastAsia" w:ascii="仿宋_GB2312" w:hAnsi="仿宋_GB2312" w:eastAsia="仿宋_GB2312" w:cs="仿宋_GB2312"/>
          <w:b/>
          <w:bCs/>
          <w:color w:val="ff0000"/>
          <w:sz w:val="28"/>
          <w:szCs w:val="28"/>
          <w:highlight w:val="none"/>
        </w:rPr>
        <w:t xml:space="preserve">同一投标人可以同时参与本项目所有标段的投标竞争，但只能获得一个标段的</w:t>
      </w:r>
      <w:r>
        <w:rPr>
          <w:rFonts w:hint="eastAsia" w:ascii="仿宋_GB2312" w:hAnsi="仿宋_GB2312" w:eastAsia="仿宋_GB2312" w:cs="仿宋_GB2312"/>
          <w:b/>
          <w:bCs/>
          <w:color w:val="ff0000"/>
          <w:sz w:val="28"/>
          <w:szCs w:val="28"/>
          <w:highlight w:val="none"/>
          <w:lang w:val="en-US" w:eastAsia="zh-CN"/>
        </w:rPr>
        <w:t xml:space="preserve">成交</w:t>
      </w:r>
      <w:r>
        <w:rPr>
          <w:rFonts w:hint="eastAsia" w:ascii="仿宋_GB2312" w:hAnsi="仿宋_GB2312" w:eastAsia="仿宋_GB2312" w:cs="仿宋_GB2312"/>
          <w:b/>
          <w:bCs/>
          <w:color w:val="ff0000"/>
          <w:sz w:val="28"/>
          <w:szCs w:val="28"/>
          <w:highlight w:val="none"/>
        </w:rPr>
        <w:t xml:space="preserve">资格，如在前一标段被推荐为第一</w:t>
      </w:r>
      <w:r>
        <w:rPr>
          <w:rFonts w:hint="eastAsia" w:ascii="仿宋_GB2312" w:hAnsi="仿宋_GB2312" w:eastAsia="仿宋_GB2312" w:cs="仿宋_GB2312"/>
          <w:b/>
          <w:bCs/>
          <w:color w:val="ff0000"/>
          <w:sz w:val="28"/>
          <w:szCs w:val="28"/>
          <w:highlight w:val="none"/>
          <w:lang w:val="en-US" w:eastAsia="zh-CN"/>
        </w:rPr>
        <w:t xml:space="preserve">成交</w:t>
      </w:r>
      <w:r>
        <w:rPr>
          <w:rFonts w:hint="eastAsia" w:ascii="仿宋_GB2312" w:hAnsi="仿宋_GB2312" w:eastAsia="仿宋_GB2312" w:cs="仿宋_GB2312"/>
          <w:b/>
          <w:bCs/>
          <w:color w:val="ff0000"/>
          <w:sz w:val="28"/>
          <w:szCs w:val="28"/>
          <w:highlight w:val="none"/>
        </w:rPr>
        <w:t xml:space="preserve">候选人，可参加以后标段的评审，但不得被推荐为</w:t>
      </w:r>
      <w:r>
        <w:rPr>
          <w:rFonts w:hint="eastAsia" w:ascii="仿宋_GB2312" w:hAnsi="仿宋_GB2312" w:eastAsia="仿宋_GB2312" w:cs="仿宋_GB2312"/>
          <w:b/>
          <w:bCs/>
          <w:color w:val="ff0000"/>
          <w:sz w:val="28"/>
          <w:szCs w:val="28"/>
          <w:highlight w:val="none"/>
          <w:lang w:val="en-US" w:eastAsia="zh-CN"/>
        </w:rPr>
        <w:t xml:space="preserve">成交</w:t>
      </w:r>
      <w:r>
        <w:rPr>
          <w:rFonts w:hint="eastAsia" w:ascii="仿宋_GB2312" w:hAnsi="仿宋_GB2312" w:eastAsia="仿宋_GB2312" w:cs="仿宋_GB2312"/>
          <w:b/>
          <w:bCs/>
          <w:color w:val="ff0000"/>
          <w:sz w:val="28"/>
          <w:szCs w:val="28"/>
          <w:highlight w:val="none"/>
        </w:rPr>
        <w:t xml:space="preserve">候选人。本项目开标、评标、定标顺序：按标段依次进行。</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合同履行期限：服务期限为三年，</w:t>
      </w:r>
      <w:r>
        <w:rPr>
          <w:rFonts w:hint="eastAsia" w:ascii="仿宋_GB2312" w:hAnsi="仿宋_GB2312" w:eastAsia="仿宋_GB2312" w:cs="仿宋_GB2312"/>
          <w:b/>
          <w:bCs/>
          <w:color w:val="ff0000"/>
          <w:sz w:val="28"/>
          <w:szCs w:val="28"/>
          <w:highlight w:val="none"/>
          <w:lang w:eastAsia="zh-CN"/>
        </w:rPr>
        <w:t xml:space="preserve">合同一年一签</w:t>
      </w:r>
      <w:r>
        <w:rPr>
          <w:rFonts w:hint="eastAsia" w:ascii="仿宋_GB2312" w:hAnsi="仿宋_GB2312" w:eastAsia="仿宋_GB2312" w:cs="仿宋_GB2312"/>
          <w:color w:val="auto"/>
          <w:sz w:val="28"/>
          <w:szCs w:val="28"/>
          <w:highlight w:val="none"/>
        </w:rPr>
        <w:t xml:space="preserve">（采用季度考核，首个季度为试用期，如在试用期内未通过考核，招标人有权解除合同。年度考核合格后方可续签下一年合同，连续承包服务期不得超过三年。如年度考核不合格，招标人有权单方面终止服务合同）。</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本项目（是/否）接受联合体投标：不接受联合体。</w:t>
      </w:r>
      <w:r/>
    </w:p>
    <w:p>
      <w:pPr>
        <w:ind w:firstLine="560"/>
        <w:spacing w:line="560" w:lineRule="exact"/>
        <w:rPr>
          <w:rFonts w:hint="default" w:ascii="黑体" w:hAnsi="黑体" w:eastAsia="黑体"/>
          <w:sz w:val="28"/>
          <w:szCs w:val="28"/>
        </w:rPr>
      </w:pPr>
      <w:r>
        <w:rPr>
          <w:rFonts w:hint="default" w:ascii="黑体" w:hAnsi="黑体" w:eastAsia="黑体"/>
          <w:sz w:val="28"/>
          <w:szCs w:val="28"/>
        </w:rPr>
        <w:t xml:space="preserve">二、申请人的资格要求</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（一）满足《中华人民共和国政府采购法》第二十二条规定；</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（二）落实政府采购政策需满足的资格要求：本项目为专门面向中小企业的项目；</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（三）本项目的特定资格要求：无。</w:t>
      </w:r>
      <w:r/>
    </w:p>
    <w:p>
      <w:pPr>
        <w:ind w:firstLine="560"/>
        <w:spacing w:line="560" w:lineRule="exact"/>
        <w:rPr>
          <w:rFonts w:hint="eastAsia" w:ascii="黑体" w:hAnsi="黑体" w:eastAsia="黑体"/>
          <w:sz w:val="28"/>
          <w:szCs w:val="28"/>
        </w:rPr>
      </w:pPr>
      <w:r>
        <w:rPr>
          <w:rFonts w:hint="eastAsia" w:ascii="黑体" w:hAnsi="黑体" w:eastAsia="黑体"/>
          <w:sz w:val="28"/>
          <w:szCs w:val="28"/>
        </w:rPr>
        <w:t xml:space="preserve">三、获取采购文件</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1.获取时间：自磋商文件公告发布之日起5个工作日。</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2.地点：“苏采云”政府采购一体化平台。</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3.获取方式：线上获取。</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4.售价：免费。</w:t>
      </w:r>
      <w:r/>
    </w:p>
    <w:p>
      <w:pPr>
        <w:ind w:firstLine="560"/>
        <w:spacing w:line="560" w:lineRule="exact"/>
        <w:rPr>
          <w:rFonts w:hint="default" w:ascii="黑体" w:hAnsi="黑体" w:eastAsia="黑体"/>
          <w:sz w:val="28"/>
          <w:szCs w:val="28"/>
        </w:rPr>
      </w:pPr>
      <w:r>
        <w:rPr>
          <w:rFonts w:hint="default" w:ascii="黑体" w:hAnsi="黑体" w:eastAsia="黑体"/>
          <w:sz w:val="28"/>
          <w:szCs w:val="28"/>
        </w:rPr>
        <w:t xml:space="preserve">四、提交首次响应文件</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1.截止时间：202</w:t>
      </w: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09</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29</w:t>
      </w:r>
      <w:r>
        <w:rPr>
          <w:rFonts w:hint="eastAsia" w:ascii="仿宋_GB2312" w:hAnsi="仿宋_GB2312" w:eastAsia="仿宋_GB2312" w:cs="仿宋_GB2312"/>
          <w:color w:val="auto"/>
          <w:sz w:val="28"/>
          <w:szCs w:val="28"/>
          <w:highlight w:val="none"/>
        </w:rPr>
        <w:t xml:space="preserve">   09:00（北京时间）。</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2.地点：“苏采云”政府采购一体化平台。</w:t>
      </w:r>
      <w:r/>
    </w:p>
    <w:p>
      <w:pPr>
        <w:ind w:firstLine="560"/>
        <w:spacing w:line="560" w:lineRule="exact"/>
        <w:rPr>
          <w:rFonts w:hint="default" w:ascii="黑体" w:hAnsi="黑体" w:eastAsia="黑体"/>
          <w:sz w:val="28"/>
          <w:szCs w:val="28"/>
        </w:rPr>
      </w:pPr>
      <w:r>
        <w:rPr>
          <w:rFonts w:hint="default" w:ascii="黑体" w:hAnsi="黑体" w:eastAsia="黑体"/>
          <w:sz w:val="28"/>
          <w:szCs w:val="28"/>
        </w:rPr>
        <w:t xml:space="preserve">五、开启</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1.时间：202</w:t>
      </w: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09</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29   </w:t>
      </w:r>
      <w:r>
        <w:rPr>
          <w:rFonts w:hint="eastAsia" w:ascii="仿宋_GB2312" w:hAnsi="仿宋_GB2312" w:eastAsia="仿宋_GB2312" w:cs="仿宋_GB2312"/>
          <w:color w:val="auto"/>
          <w:sz w:val="28"/>
          <w:szCs w:val="28"/>
          <w:highlight w:val="none"/>
        </w:rPr>
        <w:t xml:space="preserve"> 09:00（北京时间）。</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2.地点：“苏采云”系统“开标大厅”</w:t>
      </w:r>
      <w:r/>
    </w:p>
    <w:p>
      <w:pPr>
        <w:ind w:firstLine="560"/>
        <w:spacing w:line="560" w:lineRule="exact"/>
        <w:rPr>
          <w:rFonts w:hint="default" w:ascii="黑体" w:hAnsi="黑体" w:eastAsia="黑体"/>
          <w:sz w:val="28"/>
          <w:szCs w:val="28"/>
        </w:rPr>
      </w:pPr>
      <w:r>
        <w:rPr>
          <w:rFonts w:hint="default" w:ascii="黑体" w:hAnsi="黑体" w:eastAsia="黑体"/>
          <w:sz w:val="28"/>
          <w:szCs w:val="28"/>
        </w:rPr>
        <w:t xml:space="preserve">六、公告期限</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自本公告发布之日起5个工作日。</w:t>
      </w:r>
      <w:r/>
    </w:p>
    <w:p>
      <w:pPr>
        <w:ind w:firstLine="560"/>
        <w:spacing w:line="560" w:lineRule="exact"/>
        <w:rPr>
          <w:rFonts w:hint="default" w:ascii="黑体" w:hAnsi="黑体" w:eastAsia="黑体"/>
          <w:sz w:val="28"/>
          <w:szCs w:val="28"/>
        </w:rPr>
      </w:pPr>
      <w:r>
        <w:rPr>
          <w:rFonts w:hint="default" w:ascii="黑体" w:hAnsi="黑体" w:eastAsia="黑体"/>
          <w:sz w:val="28"/>
          <w:szCs w:val="28"/>
        </w:rPr>
        <w:t xml:space="preserve">七、其他补充事宜</w:t>
      </w:r>
      <w:r/>
    </w:p>
    <w:p>
      <w:pPr>
        <w:ind w:left="0" w:right="0" w:firstLine="560"/>
        <w:pageBreakBefore w:val="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1.磋商保证金：无须缴纳。</w:t>
      </w:r>
      <w:r/>
    </w:p>
    <w:p>
      <w:pPr>
        <w:pStyle w:val="645"/>
        <w:ind w:left="0" w:right="0" w:firstLine="560"/>
        <w:pageBreakBefore w:val="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2.采购信息发布媒介：江苏政府采购网（www.ccgp-jiangsu.gov.cn）。</w:t>
      </w:r>
      <w:r/>
    </w:p>
    <w:p>
      <w:pPr>
        <w:pStyle w:val="645"/>
        <w:ind w:left="0" w:right="0"/>
        <w:pageBreakBefore w:val="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3.本项目属于政府采购服务类项目。</w:t>
      </w:r>
      <w:r/>
    </w:p>
    <w:p>
      <w:pPr>
        <w:ind w:left="0" w:right="0" w:firstLine="562"/>
        <w:pageBreakBefore w:val="0"/>
        <w:spacing w:line="500" w:lineRule="exact"/>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4.注意事项：</w:t>
      </w:r>
      <w:r/>
    </w:p>
    <w:p>
      <w:pPr>
        <w:ind w:left="0" w:right="0" w:firstLine="562"/>
        <w:pageBreakBefore w:val="0"/>
        <w:spacing w:line="500" w:lineRule="exact"/>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（1）潜在供应商登录“江苏省政府采购管理交易系统（苏采云）”须持经注册的CA证书。未注册、领取CA和办理电子签章的潜在供应商，请至泰州市高港区泰州大道188号</w:t>
      </w:r>
      <w:r>
        <w:rPr>
          <w:rFonts w:hint="eastAsia" w:ascii="仿宋_GB2312" w:hAnsi="仿宋_GB2312" w:eastAsia="仿宋_GB2312" w:cs="仿宋_GB2312"/>
          <w:b/>
          <w:color w:val="auto"/>
          <w:sz w:val="28"/>
          <w:szCs w:val="28"/>
          <w:highlight w:val="none"/>
          <w:lang w:eastAsia="zh-CN"/>
        </w:rPr>
        <w:t xml:space="preserve">（</w:t>
      </w:r>
      <w:r>
        <w:rPr>
          <w:rFonts w:hint="eastAsia" w:ascii="仿宋_GB2312" w:hAnsi="仿宋_GB2312" w:eastAsia="仿宋_GB2312" w:cs="仿宋_GB2312"/>
          <w:b/>
          <w:color w:val="auto"/>
          <w:sz w:val="28"/>
          <w:szCs w:val="28"/>
          <w:highlight w:val="none"/>
        </w:rPr>
        <w:t xml:space="preserve">中国医药城会展交易中心W3馆西南角</w:t>
      </w:r>
      <w:r>
        <w:rPr>
          <w:rFonts w:hint="eastAsia" w:ascii="仿宋_GB2312" w:hAnsi="仿宋_GB2312" w:eastAsia="仿宋_GB2312" w:cs="仿宋_GB2312"/>
          <w:b/>
          <w:color w:val="auto"/>
          <w:sz w:val="28"/>
          <w:szCs w:val="28"/>
          <w:highlight w:val="none"/>
          <w:lang w:eastAsia="zh-CN"/>
        </w:rPr>
        <w:t xml:space="preserve">）</w:t>
      </w:r>
      <w:r>
        <w:rPr>
          <w:rFonts w:hint="eastAsia" w:ascii="仿宋_GB2312" w:hAnsi="仿宋_GB2312" w:eastAsia="仿宋_GB2312" w:cs="仿宋_GB2312"/>
          <w:b/>
          <w:color w:val="auto"/>
          <w:sz w:val="28"/>
          <w:szCs w:val="28"/>
          <w:highlight w:val="none"/>
        </w:rPr>
        <w:t xml:space="preserve">公共资源交易大厅政务CA窗口办理，电话：0523-81568158。</w:t>
      </w:r>
      <w:r/>
    </w:p>
    <w:p>
      <w:pPr>
        <w:ind w:left="0" w:right="0" w:firstLine="562"/>
        <w:pageBreakBefore w:val="0"/>
        <w:spacing w:line="500" w:lineRule="exact"/>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left="0" w:right="0" w:firstLine="562"/>
        <w:pageBreakBefore w:val="0"/>
        <w:spacing w:line="500" w:lineRule="exact"/>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（3）有关本次招标的事项若存在变动或修改，敬请及时关注“江苏政府采购网”发布的更正公告。</w:t>
      </w:r>
      <w:r/>
    </w:p>
    <w:p>
      <w:pPr>
        <w:ind w:left="0" w:right="0" w:firstLine="562"/>
        <w:pageBreakBefore w:val="0"/>
        <w:spacing w:line="500" w:lineRule="exact"/>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如潜在供应商未按上述要求操作，将自行承担所产生的风险。</w:t>
      </w:r>
      <w:r/>
    </w:p>
    <w:p>
      <w:pPr>
        <w:ind w:firstLine="560"/>
        <w:spacing w:line="560" w:lineRule="exact"/>
        <w:rPr>
          <w:rFonts w:hint="default" w:ascii="黑体" w:hAnsi="黑体" w:eastAsia="黑体"/>
          <w:sz w:val="28"/>
          <w:szCs w:val="28"/>
        </w:rPr>
      </w:pPr>
      <w:r>
        <w:rPr>
          <w:rFonts w:hint="default" w:ascii="黑体" w:hAnsi="黑体" w:eastAsia="黑体"/>
          <w:sz w:val="28"/>
          <w:szCs w:val="28"/>
        </w:rPr>
        <w:t xml:space="preserve">八、对本次招标提出询问，请按以下方式联系</w:t>
      </w:r>
      <w:bookmarkEnd w:id="10"/>
      <w:r/>
      <w:bookmarkEnd w:id="11"/>
      <w:r/>
      <w:bookmarkEnd w:id="12"/>
      <w:r/>
      <w:bookmarkEnd w:id="13"/>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1.采购人信息</w:t>
      </w:r>
      <w:r/>
    </w:p>
    <w:p>
      <w:pPr>
        <w:ind w:left="0" w:right="0" w:firstLine="560"/>
        <w:pageBreakBefore w:val="0"/>
        <w:spacing w:line="560" w:lineRule="exact"/>
        <w:rPr>
          <w:rFonts w:hint="eastAsia" w:ascii="仿宋_GB2312" w:hAnsi="仿宋_GB2312" w:eastAsia="仿宋_GB2312" w:cs="仿宋_GB2312"/>
          <w:color w:val="auto"/>
          <w:sz w:val="28"/>
          <w:szCs w:val="28"/>
          <w:highlight w:val="none"/>
          <w:lang w:val="en-US" w:eastAsia="zh-CN"/>
        </w:rPr>
      </w:pPr>
      <w:r/>
      <w:bookmarkStart w:id="14" w:name="_Toc28359086"/>
      <w:r/>
      <w:bookmarkStart w:id="15" w:name="_Toc28359009"/>
      <w:r>
        <w:rPr>
          <w:rFonts w:hint="eastAsia" w:ascii="仿宋_GB2312" w:hAnsi="仿宋_GB2312" w:eastAsia="仿宋_GB2312" w:cs="仿宋_GB2312"/>
          <w:color w:val="auto"/>
          <w:sz w:val="28"/>
          <w:szCs w:val="28"/>
          <w:highlight w:val="none"/>
        </w:rPr>
        <w:t xml:space="preserve">名 称：</w:t>
      </w:r>
      <w:r>
        <w:rPr>
          <w:rFonts w:hint="eastAsia" w:ascii="仿宋_GB2312" w:hAnsi="仿宋_GB2312" w:eastAsia="仿宋_GB2312" w:cs="仿宋_GB2312"/>
          <w:color w:val="auto"/>
          <w:sz w:val="28"/>
          <w:szCs w:val="28"/>
          <w:highlight w:val="none"/>
          <w:lang w:val="en-US" w:eastAsia="zh-CN"/>
        </w:rPr>
        <w:t xml:space="preserve">泰兴市滨江镇人民政府</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地 址：泰兴市滨江镇福泰路1号 </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联系方式：</w:t>
      </w:r>
      <w:r>
        <w:rPr>
          <w:rFonts w:hint="eastAsia" w:ascii="仿宋_GB2312" w:hAnsi="仿宋_GB2312" w:eastAsia="仿宋_GB2312" w:cs="仿宋_GB2312"/>
          <w:color w:val="auto"/>
          <w:sz w:val="28"/>
          <w:szCs w:val="28"/>
          <w:highlight w:val="none"/>
          <w:lang w:val="en-US" w:eastAsia="zh-CN"/>
        </w:rPr>
        <w:t xml:space="preserve">15052395856</w:t>
      </w:r>
      <w:r>
        <w:rPr>
          <w:rFonts w:hint="eastAsia" w:ascii="仿宋_GB2312" w:hAnsi="仿宋_GB2312" w:eastAsia="仿宋_GB2312" w:cs="仿宋_GB2312"/>
          <w:color w:val="auto"/>
          <w:sz w:val="28"/>
          <w:szCs w:val="28"/>
          <w:highlight w:val="none"/>
        </w:rPr>
        <w:t xml:space="preserve">        </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2.采购代理机构信息</w:t>
      </w:r>
      <w:bookmarkEnd w:id="14"/>
      <w:r/>
      <w:bookmarkEnd w:id="15"/>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名称：泰兴市公共资源交易中心</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地　址：泰兴市文昌东路62号四楼406室</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联系方式：</w:t>
      </w:r>
      <w:bookmarkStart w:id="16" w:name="_Toc28359087"/>
      <w:r/>
      <w:bookmarkStart w:id="17" w:name="_Toc28359010"/>
      <w:r>
        <w:rPr>
          <w:rFonts w:hint="eastAsia" w:ascii="仿宋_GB2312" w:hAnsi="仿宋_GB2312" w:eastAsia="仿宋_GB2312" w:cs="仿宋_GB2312"/>
          <w:color w:val="auto"/>
          <w:sz w:val="28"/>
          <w:szCs w:val="28"/>
          <w:highlight w:val="none"/>
        </w:rPr>
        <w:t xml:space="preserve">0523-87654122</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3.项目联系方式</w:t>
      </w:r>
      <w:bookmarkEnd w:id="16"/>
      <w:r/>
      <w:bookmarkEnd w:id="17"/>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项目联系人：</w:t>
      </w:r>
      <w:r>
        <w:rPr>
          <w:rFonts w:hint="eastAsia" w:ascii="仿宋_GB2312" w:hAnsi="仿宋_GB2312" w:eastAsia="仿宋_GB2312" w:cs="仿宋_GB2312"/>
          <w:color w:val="auto"/>
          <w:sz w:val="28"/>
          <w:szCs w:val="28"/>
          <w:highlight w:val="none"/>
          <w:lang w:val="en-US" w:eastAsia="zh-CN"/>
        </w:rPr>
        <w:t xml:space="preserve">泰兴市滨江镇人民政府  陈先生</w:t>
      </w:r>
      <w:r>
        <w:rPr>
          <w:rFonts w:hint="eastAsia" w:ascii="仿宋_GB2312" w:hAnsi="仿宋_GB2312" w:eastAsia="仿宋_GB2312" w:cs="仿宋_GB2312"/>
          <w:color w:val="auto"/>
          <w:sz w:val="28"/>
          <w:szCs w:val="28"/>
          <w:highlight w:val="none"/>
        </w:rPr>
        <w:t xml:space="preserve">   </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电　话：</w:t>
      </w:r>
      <w:r>
        <w:rPr>
          <w:rFonts w:hint="eastAsia" w:ascii="仿宋_GB2312" w:hAnsi="仿宋_GB2312" w:eastAsia="仿宋_GB2312" w:cs="仿宋_GB2312"/>
          <w:color w:val="auto"/>
          <w:sz w:val="28"/>
          <w:szCs w:val="28"/>
          <w:highlight w:val="none"/>
          <w:lang w:val="en-US" w:eastAsia="zh-CN"/>
        </w:rPr>
        <w:t xml:space="preserve">15052395856</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项目联系人：泰兴市公共资源交易中心</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黄女士</w:t>
      </w:r>
      <w:r/>
    </w:p>
    <w:p>
      <w:pPr>
        <w:ind w:left="0" w:right="0" w:firstLine="56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电　话：0523-87654122</w:t>
      </w:r>
      <w:r>
        <w:rPr>
          <w:rFonts w:hint="eastAsia" w:ascii="仿宋_GB2312" w:hAnsi="仿宋_GB2312" w:eastAsia="仿宋_GB2312" w:cs="仿宋_GB2312"/>
          <w:color w:val="auto"/>
          <w:sz w:val="28"/>
          <w:szCs w:val="28"/>
          <w:highlight w:val="none"/>
        </w:rPr>
        <w:br w:type="page" w:clear="all"/>
      </w:r>
      <w:r/>
    </w:p>
    <w:p>
      <w:pPr>
        <w:pStyle w:val="838"/>
        <w:jc w:val="center"/>
        <w:spacing w:line="500" w:lineRule="exact"/>
        <w:rPr>
          <w:rFonts w:hint="default" w:ascii="Times New Roman" w:hAnsi="Times New Roman" w:cs="Times New Roman" w:eastAsiaTheme="minorEastAsia"/>
          <w:color w:val="auto"/>
          <w:sz w:val="40"/>
          <w:szCs w:val="40"/>
          <w:highlight w:val="none"/>
        </w:rPr>
        <w:outlineLvl w:val="0"/>
      </w:pPr>
      <w:r>
        <w:rPr>
          <w:rFonts w:hint="default" w:ascii="Times New Roman" w:eastAsia="方正小标宋_GBK"/>
          <w:color w:val="0d0d0d"/>
          <w:sz w:val="44"/>
          <w:szCs w:val="44"/>
        </w:rPr>
        <w:t xml:space="preserve">第二章  供应商须知</w:t>
      </w:r>
      <w:bookmarkStart w:id="18" w:name="_Toc426469870"/>
      <w:r/>
      <w:r/>
    </w:p>
    <w:p>
      <w:pPr>
        <w:rPr>
          <w:rFonts w:hint="default" w:ascii="黑体" w:hAnsi="黑体" w:eastAsia="黑体" w:cs="黑体"/>
          <w:color w:val="0d0d0d"/>
          <w:sz w:val="28"/>
          <w:szCs w:val="28"/>
        </w:rPr>
      </w:pPr>
      <w:r>
        <w:rPr>
          <w:rFonts w:hint="default" w:ascii="黑体" w:hAnsi="黑体" w:eastAsia="黑体" w:cs="黑体"/>
          <w:color w:val="0d0d0d"/>
          <w:sz w:val="28"/>
          <w:szCs w:val="28"/>
        </w:rPr>
        <w:t xml:space="preserve">供应商须知前附表</w:t>
      </w:r>
      <w:r/>
    </w:p>
    <w:tbl>
      <w:tblPr>
        <w:tblStyle w:val="641"/>
        <w:tblpPr w:horzAnchor="page" w:tblpX="1549" w:vertAnchor="text" w:tblpY="234" w:leftFromText="180" w:topFromText="0" w:rightFromText="180" w:bottomFromText="0"/>
        <w:tblW w:w="9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1971"/>
        <w:gridCol w:w="6350"/>
      </w:tblGrid>
      <w:tr>
        <w:trPr>
          <w:jc w:val="center"/>
          <w:trHeight w:val="392"/>
        </w:trPr>
        <w:tc>
          <w:tcPr>
            <w:tcW w:w="996" w:type="dxa"/>
            <w:vAlign w:val="center"/>
            <w:textDirection w:val="lrTb"/>
            <w:noWrap w:val="false"/>
          </w:tcPr>
          <w:p>
            <w:pPr>
              <w:jc w:val="center"/>
              <w:spacing w:line="360" w:lineRule="exact"/>
              <w:rPr>
                <w:rFonts w:hint="default" w:hAnsi="宋体" w:eastAsia="宋体"/>
                <w:b/>
                <w:color w:val="0d0d0d"/>
              </w:rPr>
            </w:pPr>
            <w:r>
              <w:rPr>
                <w:rFonts w:hint="default" w:hAnsi="宋体" w:eastAsia="宋体"/>
                <w:b/>
                <w:color w:val="0d0d0d"/>
              </w:rPr>
              <w:t xml:space="preserve">条款号</w:t>
            </w:r>
            <w:r/>
          </w:p>
        </w:tc>
        <w:tc>
          <w:tcPr>
            <w:tcW w:w="1971" w:type="dxa"/>
            <w:vAlign w:val="center"/>
            <w:textDirection w:val="lrTb"/>
            <w:noWrap w:val="false"/>
          </w:tcPr>
          <w:p>
            <w:pPr>
              <w:jc w:val="center"/>
              <w:spacing w:line="360" w:lineRule="exact"/>
              <w:rPr>
                <w:rFonts w:hint="default" w:hAnsi="宋体" w:eastAsia="宋体"/>
                <w:b/>
                <w:color w:val="0d0d0d"/>
              </w:rPr>
            </w:pPr>
            <w:r>
              <w:rPr>
                <w:rFonts w:hint="default" w:hAnsi="宋体" w:eastAsia="宋体"/>
                <w:b/>
                <w:color w:val="0d0d0d"/>
              </w:rPr>
              <w:t xml:space="preserve">条款名称</w:t>
            </w:r>
            <w:r/>
          </w:p>
        </w:tc>
        <w:tc>
          <w:tcPr>
            <w:tcW w:w="6350" w:type="dxa"/>
            <w:vAlign w:val="center"/>
            <w:textDirection w:val="lrTb"/>
            <w:noWrap w:val="false"/>
          </w:tcPr>
          <w:p>
            <w:pPr>
              <w:jc w:val="center"/>
              <w:spacing w:line="360" w:lineRule="exact"/>
              <w:rPr>
                <w:rFonts w:hint="default" w:hAnsi="宋体" w:eastAsia="宋体"/>
                <w:b/>
                <w:color w:val="0d0d0d"/>
              </w:rPr>
            </w:pPr>
            <w:r>
              <w:rPr>
                <w:rFonts w:hint="default" w:hAnsi="宋体" w:eastAsia="宋体"/>
                <w:b/>
                <w:color w:val="0d0d0d"/>
              </w:rPr>
              <w:t xml:space="preserve">编列内容</w:t>
            </w:r>
            <w:r/>
          </w:p>
        </w:tc>
      </w:tr>
      <w:tr>
        <w:trPr>
          <w:jc w:val="center"/>
          <w:trHeight w:val="1423"/>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1.1.2</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采购人</w:t>
            </w:r>
            <w:r/>
          </w:p>
        </w:tc>
        <w:tc>
          <w:tcPr>
            <w:tcW w:w="6350" w:type="dxa"/>
            <w:vAlign w:val="center"/>
            <w:textDirection w:val="lrTb"/>
            <w:noWrap w:val="false"/>
          </w:tcPr>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名称：</w:t>
            </w:r>
            <w:r>
              <w:rPr>
                <w:rFonts w:hint="eastAsia" w:ascii="仿宋_GB2312" w:hAnsi="仿宋_GB2312" w:eastAsia="仿宋_GB2312" w:cs="仿宋_GB2312"/>
                <w:color w:val="auto"/>
                <w:sz w:val="24"/>
                <w:szCs w:val="24"/>
                <w:highlight w:val="none"/>
                <w:lang w:val="en-US" w:eastAsia="zh-CN"/>
              </w:rPr>
              <w:t xml:space="preserve">泰兴市滨江镇人民政府</w:t>
            </w:r>
            <w:r/>
          </w:p>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地址：泰兴市滨江镇福泰路1号</w:t>
            </w:r>
            <w:r/>
          </w:p>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联系人：</w:t>
            </w:r>
            <w:r>
              <w:rPr>
                <w:rFonts w:hint="eastAsia" w:ascii="仿宋_GB2312" w:hAnsi="仿宋_GB2312" w:eastAsia="仿宋_GB2312" w:cs="仿宋_GB2312"/>
                <w:color w:val="auto"/>
                <w:sz w:val="24"/>
                <w:szCs w:val="24"/>
                <w:highlight w:val="none"/>
                <w:lang w:eastAsia="zh-CN"/>
              </w:rPr>
              <w:t xml:space="preserve">陈先生</w:t>
            </w:r>
            <w:r/>
          </w:p>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联系电话：15052395856</w:t>
            </w:r>
            <w:r/>
          </w:p>
        </w:tc>
      </w:tr>
      <w:tr>
        <w:trPr>
          <w:jc w:val="center"/>
          <w:trHeight w:val="1330"/>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1.1.3</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采购代理机构</w:t>
            </w:r>
            <w:r/>
          </w:p>
        </w:tc>
        <w:tc>
          <w:tcPr>
            <w:tcW w:w="6350" w:type="dxa"/>
            <w:vAlign w:val="center"/>
            <w:textDirection w:val="lrTb"/>
            <w:noWrap w:val="false"/>
          </w:tcPr>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名称：泰兴市公共资源交易中心</w:t>
            </w:r>
            <w:r/>
          </w:p>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地址：泰兴市文昌东路62号四楼406室</w:t>
            </w:r>
            <w:r/>
          </w:p>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联系人：黄女士</w:t>
            </w:r>
            <w:r/>
          </w:p>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联系电话：0523-87654122</w:t>
            </w:r>
            <w:r/>
          </w:p>
        </w:tc>
      </w:tr>
      <w:tr>
        <w:trPr>
          <w:jc w:val="center"/>
          <w:trHeight w:val="90"/>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1.1.4</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项目名称及项目编号</w:t>
            </w:r>
            <w:r/>
          </w:p>
        </w:tc>
        <w:tc>
          <w:tcPr>
            <w:tcW w:w="6350" w:type="dxa"/>
            <w:vAlign w:val="center"/>
            <w:textDirection w:val="lrTb"/>
            <w:noWrap w:val="false"/>
          </w:tcPr>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项目名称：</w:t>
            </w:r>
            <w:r>
              <w:rPr>
                <w:rFonts w:hint="eastAsia" w:ascii="仿宋_GB2312" w:hAnsi="仿宋_GB2312" w:eastAsia="仿宋_GB2312" w:cs="仿宋_GB2312"/>
                <w:color w:val="auto"/>
                <w:sz w:val="24"/>
                <w:szCs w:val="24"/>
                <w:highlight w:val="none"/>
                <w:lang w:eastAsia="zh-CN"/>
              </w:rPr>
              <w:t xml:space="preserve">滨江镇丰产新村、南园新村物业管理服务</w:t>
            </w:r>
            <w:r>
              <w:rPr>
                <w:rFonts w:hint="eastAsia" w:ascii="仿宋_GB2312" w:hAnsi="仿宋_GB2312" w:eastAsia="仿宋_GB2312" w:cs="仿宋_GB2312"/>
                <w:color w:val="auto"/>
                <w:sz w:val="24"/>
                <w:szCs w:val="24"/>
                <w:highlight w:val="none"/>
                <w:lang w:val="en-US" w:eastAsia="zh-CN"/>
              </w:rPr>
              <w:t xml:space="preserve"> </w:t>
            </w:r>
            <w:r/>
          </w:p>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项目编号：</w:t>
            </w:r>
            <w:r>
              <w:rPr>
                <w:rFonts w:hint="eastAsia" w:ascii="仿宋_GB2312" w:hAnsi="仿宋_GB2312" w:eastAsia="仿宋_GB2312" w:cs="仿宋_GB2312"/>
                <w:color w:val="auto"/>
                <w:sz w:val="24"/>
                <w:szCs w:val="24"/>
                <w:highlight w:val="none"/>
                <w:lang w:val="en-US" w:eastAsia="zh-CN"/>
              </w:rPr>
              <w:t xml:space="preserve">JSZC-321283-JZCG-C2026-0010</w:t>
            </w:r>
            <w:r/>
          </w:p>
        </w:tc>
      </w:tr>
      <w:tr>
        <w:trPr>
          <w:jc w:val="center"/>
          <w:trHeight w:val="1095"/>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1.2.1</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付款方式</w:t>
            </w:r>
            <w:r/>
          </w:p>
        </w:tc>
        <w:tc>
          <w:tcPr>
            <w:tcW w:w="6350" w:type="dxa"/>
            <w:vAlign w:val="center"/>
            <w:textDirection w:val="lrTb"/>
            <w:noWrap w:val="false"/>
          </w:tcPr>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招标人根据相关要求制定管理标准和考核细则。</w:t>
            </w:r>
            <w:r>
              <w:rPr>
                <w:rFonts w:hint="eastAsia" w:ascii="仿宋_GB2312" w:hAnsi="仿宋_GB2312" w:eastAsia="仿宋_GB2312" w:cs="仿宋_GB2312"/>
                <w:color w:val="auto"/>
                <w:sz w:val="24"/>
                <w:szCs w:val="24"/>
                <w:highlight w:val="none"/>
                <w:lang w:eastAsia="zh-CN"/>
              </w:rPr>
              <w:t xml:space="preserve">成交供应商</w:t>
            </w:r>
            <w:r>
              <w:rPr>
                <w:rFonts w:hint="eastAsia" w:ascii="仿宋_GB2312" w:hAnsi="仿宋_GB2312" w:eastAsia="仿宋_GB2312" w:cs="仿宋_GB2312"/>
                <w:color w:val="auto"/>
                <w:sz w:val="24"/>
                <w:szCs w:val="24"/>
                <w:highlight w:val="none"/>
              </w:rPr>
              <w:t xml:space="preserve">必须无条件接受招标人考核。正式合同签订后付总价的10%，正式进场后每季度考核一次，按季度支付物业管理服务费用，在每季度最后一个月的25日以前根据服务合同、考核办法及考核结果拨付上季度的物业管理服务费用。</w:t>
            </w:r>
            <w:r/>
          </w:p>
        </w:tc>
      </w:tr>
      <w:tr>
        <w:trPr>
          <w:jc w:val="center"/>
          <w:trHeight w:val="507"/>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1.3.1</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采购范围</w:t>
            </w:r>
            <w:r/>
          </w:p>
        </w:tc>
        <w:tc>
          <w:tcPr>
            <w:tcW w:w="6350" w:type="dxa"/>
            <w:vAlign w:val="center"/>
            <w:textDirection w:val="lrTb"/>
            <w:noWrap w:val="false"/>
          </w:tcPr>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具体详见竞争性磋商文件第五章。</w:t>
            </w:r>
            <w:r/>
          </w:p>
        </w:tc>
      </w:tr>
      <w:tr>
        <w:trPr>
          <w:jc w:val="center"/>
          <w:trHeight w:val="471"/>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1.3.2</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合同履行期限</w:t>
            </w:r>
            <w:r/>
          </w:p>
        </w:tc>
        <w:tc>
          <w:tcPr>
            <w:tcW w:w="6350" w:type="dxa"/>
            <w:vAlign w:val="center"/>
            <w:textDirection w:val="lrTb"/>
            <w:noWrap w:val="false"/>
          </w:tcPr>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服务期限为三年，</w:t>
            </w:r>
            <w:r>
              <w:rPr>
                <w:rFonts w:hint="eastAsia" w:ascii="仿宋_GB2312" w:hAnsi="仿宋_GB2312" w:eastAsia="仿宋_GB2312" w:cs="仿宋_GB2312"/>
                <w:color w:val="auto"/>
                <w:sz w:val="24"/>
                <w:szCs w:val="24"/>
                <w:highlight w:val="none"/>
                <w:lang w:eastAsia="zh-CN"/>
              </w:rPr>
              <w:t xml:space="preserve">合同一年一签</w:t>
            </w:r>
            <w:r>
              <w:rPr>
                <w:rFonts w:hint="eastAsia" w:ascii="仿宋_GB2312" w:hAnsi="仿宋_GB2312" w:eastAsia="仿宋_GB2312" w:cs="仿宋_GB2312"/>
                <w:color w:val="auto"/>
                <w:sz w:val="24"/>
                <w:szCs w:val="24"/>
                <w:highlight w:val="none"/>
              </w:rPr>
              <w:t xml:space="preserve">（采用季度考核，首个季度为试用期，如在试用期内未通过考核，招标人有权解除合同。年度考核合格后方可续签下一年合同，连续承包服务期不得超过三年。如年度考核不合格，招标人有权单方面终止服务合同）。</w:t>
            </w:r>
            <w:r/>
          </w:p>
        </w:tc>
      </w:tr>
      <w:tr>
        <w:trPr>
          <w:jc w:val="center"/>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1.4.2</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要求供应商具备的特定条件</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无</w:t>
            </w:r>
            <w:r/>
          </w:p>
        </w:tc>
      </w:tr>
      <w:tr>
        <w:trPr>
          <w:jc w:val="center"/>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1.8</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分包</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yellow"/>
                <w:lang w:val="en-US" w:eastAsia="zh-CN"/>
              </w:rPr>
            </w:pPr>
            <w:r>
              <w:rPr>
                <w:rFonts w:hint="eastAsia" w:ascii="仿宋_GB2312" w:hAnsi="宋体" w:eastAsia="仿宋_GB2312" w:cs="宋体"/>
                <w:b/>
                <w:bCs/>
                <w:highlight w:val="none"/>
              </w:rPr>
              <w:t xml:space="preserve">允许分包。经采购人同意，成交人可以将电梯维保、消防维保分包给具备相应资质的单位，相应费用已经包含在合同价款内，采购人不再另行支付。</w:t>
            </w:r>
            <w:r/>
          </w:p>
        </w:tc>
      </w:tr>
      <w:tr>
        <w:trPr>
          <w:jc w:val="center"/>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2.1</w:t>
            </w:r>
            <w:r/>
          </w:p>
        </w:tc>
        <w:tc>
          <w:tcPr>
            <w:tcW w:w="1971"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构成竞争性磋商文件的其他材料</w:t>
            </w:r>
            <w:r/>
          </w:p>
        </w:tc>
        <w:tc>
          <w:tcPr>
            <w:tcW w:w="6350" w:type="dxa"/>
            <w:vAlign w:val="center"/>
            <w:textDirection w:val="lrTb"/>
            <w:noWrap w:val="false"/>
          </w:tcPr>
          <w:p>
            <w:pP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bookmarkStart w:id="19" w:name="EB35ced2e8f8364f63a510bf246ff979f0"/>
            <w:r/>
            <w:bookmarkEnd w:id="19"/>
            <w:r>
              <w:rPr>
                <w:rFonts w:hint="eastAsia" w:ascii="仿宋_GB2312" w:hAnsi="仿宋_GB2312" w:eastAsia="仿宋_GB2312" w:cs="仿宋_GB2312"/>
                <w:color w:val="auto"/>
                <w:sz w:val="24"/>
                <w:szCs w:val="24"/>
                <w:highlight w:val="none"/>
              </w:rPr>
              <w:t xml:space="preserve">无</w:t>
            </w:r>
            <w:r/>
          </w:p>
        </w:tc>
      </w:tr>
      <w:tr>
        <w:trPr>
          <w:jc w:val="center"/>
          <w:trHeight w:val="770"/>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2.2</w:t>
            </w:r>
            <w:r/>
          </w:p>
        </w:tc>
        <w:tc>
          <w:tcPr>
            <w:tcW w:w="1971"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供应商要求澄清竞争性磋商文件的截止时间</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202</w:t>
            </w:r>
            <w:r>
              <w:rPr>
                <w:rFonts w:hint="eastAsia" w:ascii="仿宋_GB2312" w:hAnsi="仿宋_GB2312" w:eastAsia="仿宋_GB2312" w:cs="仿宋_GB2312"/>
                <w:color w:val="auto"/>
                <w:sz w:val="24"/>
                <w:szCs w:val="24"/>
                <w:highlight w:val="none"/>
                <w:lang w:val="en-US" w:eastAsia="zh-CN"/>
              </w:rPr>
              <w:t xml:space="preserve">6</w:t>
            </w:r>
            <w:r>
              <w:rPr>
                <w:rFonts w:hint="eastAsia" w:ascii="仿宋_GB2312" w:hAnsi="仿宋_GB2312" w:eastAsia="仿宋_GB2312" w:cs="仿宋_GB2312"/>
                <w:color w:val="auto"/>
                <w:sz w:val="24"/>
                <w:szCs w:val="24"/>
                <w:highlight w:val="none"/>
              </w:rPr>
              <w:t xml:space="preserve">年</w:t>
            </w:r>
            <w:r>
              <w:rPr>
                <w:rFonts w:hint="eastAsia" w:ascii="仿宋_GB2312" w:hAnsi="仿宋_GB2312" w:eastAsia="仿宋_GB2312" w:cs="仿宋_GB2312"/>
                <w:color w:val="auto"/>
                <w:sz w:val="24"/>
                <w:szCs w:val="24"/>
                <w:highlight w:val="none"/>
                <w:lang w:val="en-US" w:eastAsia="zh-CN"/>
              </w:rPr>
              <w:t xml:space="preserve">09</w:t>
            </w:r>
            <w:r>
              <w:rPr>
                <w:rFonts w:hint="eastAsia" w:ascii="仿宋_GB2312" w:hAnsi="仿宋_GB2312" w:eastAsia="仿宋_GB2312" w:cs="仿宋_GB2312"/>
                <w:color w:val="auto"/>
                <w:sz w:val="24"/>
                <w:szCs w:val="24"/>
                <w:highlight w:val="none"/>
              </w:rPr>
              <w:t xml:space="preserve">月</w:t>
            </w:r>
            <w:r>
              <w:rPr>
                <w:rFonts w:hint="eastAsia" w:ascii="仿宋_GB2312" w:hAnsi="仿宋_GB2312" w:eastAsia="仿宋_GB2312" w:cs="仿宋_GB2312"/>
                <w:color w:val="auto"/>
                <w:sz w:val="24"/>
                <w:szCs w:val="24"/>
                <w:highlight w:val="none"/>
                <w:lang w:val="en-US" w:eastAsia="zh-CN"/>
              </w:rPr>
              <w:t xml:space="preserve">24</w:t>
            </w:r>
            <w:r>
              <w:rPr>
                <w:rFonts w:hint="eastAsia" w:ascii="仿宋_GB2312" w:hAnsi="仿宋_GB2312" w:eastAsia="仿宋_GB2312" w:cs="仿宋_GB2312"/>
                <w:color w:val="auto"/>
                <w:sz w:val="24"/>
                <w:szCs w:val="24"/>
                <w:highlight w:val="none"/>
              </w:rPr>
              <w:t xml:space="preserve">日 17时30分</w:t>
            </w:r>
            <w:r/>
          </w:p>
        </w:tc>
      </w:tr>
      <w:tr>
        <w:trPr>
          <w:jc w:val="center"/>
          <w:trHeight w:val="307"/>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3.1</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响应文件的组成</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1.响应函</w:t>
            </w:r>
            <w:r/>
          </w:p>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2.供应商基本资格条件承诺书</w:t>
            </w:r>
            <w:r/>
          </w:p>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3.中小企业声明函（若需）</w:t>
            </w:r>
            <w:r/>
          </w:p>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4.采购需求响应表</w:t>
            </w:r>
            <w:r/>
          </w:p>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5.报价明细表</w:t>
            </w:r>
            <w:r/>
          </w:p>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6.供应商认为应列入响应文件的其他材料</w:t>
            </w:r>
            <w:r/>
          </w:p>
        </w:tc>
      </w:tr>
      <w:tr>
        <w:trPr>
          <w:jc w:val="center"/>
          <w:trHeight w:val="1346"/>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3.2.3</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报价的其他要求</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1.按照磋商小组的要求，在规定的时间内通过“苏采云”系统提交最后报价。</w:t>
            </w:r>
            <w:r/>
          </w:p>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2.</w:t>
            </w:r>
            <w:r>
              <w:rPr>
                <w:rFonts w:hint="eastAsia" w:ascii="仿宋_GB2312" w:hAnsi="仿宋_GB2312" w:eastAsia="仿宋_GB2312" w:cs="仿宋_GB2312"/>
                <w:color w:val="auto"/>
                <w:sz w:val="24"/>
                <w:szCs w:val="24"/>
                <w:highlight w:val="none"/>
                <w:lang w:val="en-US" w:eastAsia="zh-CN"/>
              </w:rPr>
              <w:t xml:space="preserve">最高限价：包一为</w:t>
            </w:r>
            <w:r>
              <w:rPr>
                <w:rFonts w:hint="eastAsia" w:ascii="仿宋_GB2312" w:hAnsi="仿宋_GB2312" w:eastAsia="仿宋_GB2312" w:cs="仿宋_GB2312"/>
                <w:color w:val="auto"/>
                <w:sz w:val="24"/>
                <w:szCs w:val="24"/>
                <w:highlight w:val="none"/>
                <w:u w:val="none"/>
                <w:lang w:val="en-US" w:eastAsia="zh-CN"/>
              </w:rPr>
              <w:t xml:space="preserve">258.30万</w:t>
            </w:r>
            <w:r>
              <w:rPr>
                <w:rFonts w:hint="eastAsia" w:ascii="仿宋_GB2312" w:hAnsi="仿宋_GB2312" w:eastAsia="仿宋_GB2312" w:cs="仿宋_GB2312"/>
                <w:color w:val="auto"/>
                <w:sz w:val="24"/>
                <w:szCs w:val="24"/>
                <w:highlight w:val="none"/>
                <w:lang w:val="en-US" w:eastAsia="zh-CN"/>
              </w:rPr>
              <w:t xml:space="preserve">元，包二为</w:t>
            </w:r>
            <w:r>
              <w:rPr>
                <w:rFonts w:hint="eastAsia" w:ascii="仿宋_GB2312" w:hAnsi="仿宋_GB2312" w:eastAsia="仿宋_GB2312" w:cs="仿宋_GB2312"/>
                <w:color w:val="auto"/>
                <w:sz w:val="24"/>
                <w:szCs w:val="24"/>
                <w:highlight w:val="none"/>
                <w:u w:val="none"/>
                <w:lang w:val="en-US" w:eastAsia="zh-CN"/>
              </w:rPr>
              <w:t xml:space="preserve">60.30万</w:t>
            </w:r>
            <w:r>
              <w:rPr>
                <w:rFonts w:hint="eastAsia" w:ascii="仿宋_GB2312" w:hAnsi="仿宋_GB2312" w:eastAsia="仿宋_GB2312" w:cs="仿宋_GB2312"/>
                <w:color w:val="auto"/>
                <w:sz w:val="24"/>
                <w:szCs w:val="24"/>
                <w:highlight w:val="none"/>
                <w:lang w:val="en-US" w:eastAsia="zh-CN"/>
              </w:rPr>
              <w:t xml:space="preserve">元。投标报价不得超过最高限价，否则作无效标处理</w:t>
            </w:r>
            <w:r>
              <w:rPr>
                <w:rFonts w:hint="eastAsia" w:ascii="仿宋_GB2312" w:hAnsi="仿宋_GB2312" w:eastAsia="仿宋_GB2312" w:cs="仿宋_GB2312"/>
                <w:color w:val="auto"/>
                <w:sz w:val="24"/>
                <w:szCs w:val="24"/>
                <w:highlight w:val="none"/>
              </w:rPr>
              <w:t xml:space="preserve">。</w:t>
            </w:r>
            <w:r/>
          </w:p>
        </w:tc>
      </w:tr>
      <w:tr>
        <w:trPr>
          <w:jc w:val="center"/>
          <w:trHeight w:val="493"/>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3.3.3</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响应文件的份数</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电子响应文件壹份</w:t>
            </w:r>
            <w:r/>
          </w:p>
        </w:tc>
      </w:tr>
      <w:tr>
        <w:trPr>
          <w:jc w:val="center"/>
          <w:trHeight w:val="90"/>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3.3.4</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响应文件的签署</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响应函、供应商基本资格条件承诺书、中小企业声明函（若需）须加盖供应商法人章并经法定代表人或经其授权的代表签字或签章。</w:t>
            </w:r>
            <w:r/>
          </w:p>
        </w:tc>
      </w:tr>
      <w:tr>
        <w:trPr>
          <w:jc w:val="center"/>
          <w:trHeight w:val="740"/>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4.1</w:t>
            </w:r>
            <w:r/>
          </w:p>
        </w:tc>
        <w:tc>
          <w:tcPr>
            <w:tcW w:w="1971"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响应文件开启时间和地点</w:t>
            </w:r>
            <w:r/>
          </w:p>
        </w:tc>
        <w:tc>
          <w:tcPr>
            <w:tcW w:w="6350" w:type="dxa"/>
            <w:vAlign w:val="center"/>
            <w:textDirection w:val="lrTb"/>
            <w:noWrap w:val="false"/>
          </w:tcPr>
          <w:p>
            <w:pPr>
              <w:jc w:val="left"/>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开启时间：同提交首次响应文件截止时间</w:t>
            </w:r>
            <w:r/>
          </w:p>
          <w:p>
            <w:pPr>
              <w:jc w:val="left"/>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地点：“苏采云”政府采购一体化平台</w:t>
            </w:r>
            <w:r/>
          </w:p>
        </w:tc>
      </w:tr>
      <w:tr>
        <w:trPr>
          <w:jc w:val="center"/>
          <w:trHeight w:val="497"/>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5.1.1</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竞争性磋商小组</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小组人数：</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人</w:t>
            </w:r>
            <w:r/>
          </w:p>
        </w:tc>
      </w:tr>
      <w:tr>
        <w:trPr>
          <w:jc w:val="center"/>
          <w:trHeight w:val="624"/>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7.1</w:t>
            </w:r>
            <w:r/>
          </w:p>
        </w:tc>
        <w:tc>
          <w:tcPr>
            <w:tcW w:w="1971"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签订合同的</w:t>
            </w:r>
            <w:r/>
          </w:p>
          <w:p>
            <w:pPr>
              <w:jc w:val="center"/>
              <w:keepLines w:val="0"/>
              <w:keepNext w:val="0"/>
              <w:pageBreakBefore w:val="0"/>
              <w:spacing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时间要求</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自成交通知书发出之日起30日内</w:t>
            </w:r>
            <w:r/>
          </w:p>
        </w:tc>
      </w:tr>
      <w:tr>
        <w:trPr>
          <w:jc w:val="center"/>
          <w:trHeight w:val="2054"/>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8.1</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履约保证金</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（1）履约保证金形式</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银行电汇或网上银行支付、支票、汇票、本票或者金融机构、担保机构出具的保函等法律法规允许的形式。</w:t>
            </w:r>
            <w:r/>
          </w:p>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（2）金额：</w:t>
            </w:r>
            <w:r>
              <w:rPr>
                <w:rFonts w:hint="eastAsia" w:ascii="仿宋_GB2312" w:hAnsi="仿宋_GB2312" w:eastAsia="仿宋_GB2312" w:cs="仿宋_GB2312"/>
                <w:color w:val="auto"/>
                <w:sz w:val="24"/>
                <w:szCs w:val="24"/>
                <w:highlight w:val="none"/>
                <w:lang w:val="en-US" w:eastAsia="zh-CN"/>
              </w:rPr>
              <w:t xml:space="preserve">成交金额</w:t>
            </w:r>
            <w:r>
              <w:rPr>
                <w:rFonts w:hint="eastAsia" w:ascii="仿宋_GB2312" w:hAnsi="仿宋_GB2312" w:eastAsia="仿宋_GB2312" w:cs="仿宋_GB2312"/>
                <w:color w:val="auto"/>
                <w:sz w:val="24"/>
                <w:szCs w:val="24"/>
                <w:highlight w:val="none"/>
              </w:rPr>
              <w:t xml:space="preserve">*10%。</w:t>
            </w:r>
            <w:r/>
          </w:p>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（3）缴纳时间：在确定</w:t>
            </w:r>
            <w:r>
              <w:rPr>
                <w:rFonts w:hint="eastAsia" w:ascii="仿宋_GB2312" w:hAnsi="仿宋_GB2312" w:eastAsia="仿宋_GB2312" w:cs="仿宋_GB2312"/>
                <w:color w:val="auto"/>
                <w:sz w:val="24"/>
                <w:szCs w:val="24"/>
                <w:highlight w:val="none"/>
                <w:lang w:val="en-US" w:eastAsia="zh-CN"/>
              </w:rPr>
              <w:t xml:space="preserve">成交</w:t>
            </w:r>
            <w:r>
              <w:rPr>
                <w:rFonts w:hint="eastAsia" w:ascii="仿宋_GB2312" w:hAnsi="仿宋_GB2312" w:eastAsia="仿宋_GB2312" w:cs="仿宋_GB2312"/>
                <w:color w:val="auto"/>
                <w:sz w:val="24"/>
                <w:szCs w:val="24"/>
                <w:highlight w:val="none"/>
              </w:rPr>
              <w:t xml:space="preserve">人之后</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rPr>
              <w:t xml:space="preserve">签订采购合同前。</w:t>
            </w:r>
            <w:r/>
          </w:p>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（4）退还时间：合同履约结束验收合格后退还。</w:t>
            </w:r>
            <w:r/>
          </w:p>
        </w:tc>
      </w:tr>
      <w:tr>
        <w:trPr>
          <w:jc w:val="center"/>
          <w:trHeight w:val="357"/>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9</w:t>
            </w:r>
            <w:r/>
          </w:p>
        </w:tc>
        <w:tc>
          <w:tcPr>
            <w:gridSpan w:val="2"/>
            <w:tcW w:w="832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需要补充的其他内容</w:t>
            </w:r>
            <w:r/>
          </w:p>
        </w:tc>
      </w:tr>
      <w:tr>
        <w:trPr>
          <w:jc w:val="center"/>
          <w:trHeight w:val="651"/>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9.1</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质疑和投诉</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按照《政府采购质疑和投诉办法》（财政部第94号令）处理</w:t>
            </w:r>
            <w:r/>
          </w:p>
        </w:tc>
      </w:tr>
      <w:tr>
        <w:trPr>
          <w:jc w:val="center"/>
          <w:trHeight w:val="453"/>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9.2</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文件的解释</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由采购人负责</w:t>
            </w:r>
            <w:r/>
          </w:p>
        </w:tc>
      </w:tr>
      <w:tr>
        <w:trPr>
          <w:jc w:val="center"/>
          <w:trHeight w:val="1620"/>
        </w:trPr>
        <w:tc>
          <w:tcPr>
            <w:tcW w:w="99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9.3</w:t>
            </w:r>
            <w:r/>
          </w:p>
        </w:tc>
        <w:tc>
          <w:tcPr>
            <w:tcW w:w="197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其他</w:t>
            </w:r>
            <w:r/>
          </w:p>
        </w:tc>
        <w:tc>
          <w:tcPr>
            <w:tcW w:w="6350"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供应商须在领取成交通知书后30日内签订物业服务合同，合同签订后，未按照采购人的要求在规定的时间内委派相关人员履行合同的，</w:t>
            </w:r>
            <w:r>
              <w:rPr>
                <w:rFonts w:hint="eastAsia" w:ascii="仿宋_GB2312" w:hAnsi="仿宋_GB2312" w:eastAsia="仿宋_GB2312" w:cs="仿宋_GB2312"/>
                <w:color w:val="auto"/>
                <w:sz w:val="24"/>
                <w:szCs w:val="24"/>
                <w:highlight w:val="none"/>
                <w:lang w:eastAsia="zh-CN"/>
              </w:rPr>
              <w:t xml:space="preserve">采购人</w:t>
            </w:r>
            <w:r>
              <w:rPr>
                <w:rFonts w:hint="eastAsia" w:ascii="仿宋_GB2312" w:hAnsi="仿宋_GB2312" w:eastAsia="仿宋_GB2312" w:cs="仿宋_GB2312"/>
                <w:color w:val="auto"/>
                <w:sz w:val="24"/>
                <w:szCs w:val="24"/>
                <w:highlight w:val="none"/>
              </w:rPr>
              <w:t xml:space="preserve">有权立即解除合同，由此产生的所有费用及损失由供应商承担</w:t>
            </w:r>
            <w:bookmarkEnd w:id="18"/>
            <w:r/>
          </w:p>
        </w:tc>
      </w:tr>
    </w:tbl>
    <w:p>
      <w:pPr>
        <w:spacing w:line="500" w:lineRule="exact"/>
        <w:rPr>
          <w:rFonts w:hint="default" w:eastAsia="黑体"/>
          <w:b/>
          <w:bCs/>
          <w:color w:val="0d0d0d"/>
          <w:sz w:val="32"/>
          <w:szCs w:val="32"/>
        </w:rPr>
        <w:outlineLvl w:val="1"/>
      </w:pPr>
      <w:r/>
      <w:bookmarkStart w:id="20" w:name="_Toc343525506"/>
      <w:r/>
      <w:bookmarkStart w:id="21" w:name="_Toc247085690"/>
      <w:r/>
      <w:bookmarkStart w:id="22" w:name="_Toc152045530"/>
      <w:r/>
      <w:bookmarkStart w:id="23" w:name="_Toc246996176"/>
      <w:r/>
      <w:bookmarkStart w:id="24" w:name="_Toc246996919"/>
      <w:r/>
      <w:bookmarkStart w:id="25" w:name="_Toc179632547"/>
      <w:r/>
      <w:bookmarkStart w:id="26" w:name="_Toc383438593"/>
      <w:r/>
      <w:bookmarkStart w:id="27" w:name="_Toc426469872"/>
      <w:r/>
      <w:bookmarkStart w:id="28" w:name="_Toc144974498"/>
      <w:r/>
      <w:bookmarkStart w:id="29" w:name="_Toc152042306"/>
      <w:r/>
      <w:bookmarkStart w:id="30" w:name="_Toc367784996"/>
      <w:r>
        <w:rPr>
          <w:rFonts w:hint="default" w:eastAsia="黑体"/>
          <w:b/>
          <w:bCs/>
          <w:color w:val="0d0d0d"/>
          <w:sz w:val="32"/>
          <w:szCs w:val="32"/>
        </w:rPr>
        <w:t xml:space="preserve">1.总则</w:t>
      </w:r>
      <w:r/>
    </w:p>
    <w:p>
      <w:pPr>
        <w:spacing w:line="500" w:lineRule="exact"/>
        <w:rPr>
          <w:rFonts w:hint="default" w:ascii="Times New Roman" w:hAnsi="Times New Roman" w:cs="Times New Roman" w:eastAsiaTheme="minorEastAsia"/>
          <w:b/>
          <w:color w:val="auto"/>
          <w:sz w:val="24"/>
          <w:szCs w:val="24"/>
          <w:highlight w:val="none"/>
        </w:rPr>
        <w:outlineLvl w:val="2"/>
      </w:pPr>
      <w:r>
        <w:rPr>
          <w:rFonts w:hint="default" w:eastAsia="楷体"/>
          <w:b/>
          <w:color w:val="0d0d0d"/>
          <w:sz w:val="28"/>
          <w:szCs w:val="28"/>
        </w:rPr>
        <w:t xml:space="preserve">1.1项目概况</w:t>
      </w:r>
      <w:bookmarkEnd w:id="20"/>
      <w:r/>
      <w:bookmarkEnd w:id="21"/>
      <w:r/>
      <w:bookmarkEnd w:id="22"/>
      <w:r/>
      <w:bookmarkEnd w:id="23"/>
      <w:r/>
      <w:bookmarkEnd w:id="24"/>
      <w:r/>
      <w:bookmarkEnd w:id="25"/>
      <w:r/>
      <w:bookmarkEnd w:id="26"/>
      <w:r/>
      <w:bookmarkEnd w:id="27"/>
      <w:r/>
      <w:bookmarkEnd w:id="28"/>
      <w:r/>
      <w:bookmarkEnd w:id="29"/>
      <w:r/>
      <w:r/>
    </w:p>
    <w:p>
      <w:pPr>
        <w:ind w:left="0" w:right="0" w:firstLine="560"/>
        <w:pageBreakBefore w:val="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1.1.1</w:t>
      </w:r>
      <w:bookmarkStart w:id="31" w:name="OLE_LINK1"/>
      <w:r>
        <w:rPr>
          <w:rFonts w:hint="eastAsia" w:ascii="仿宋_GB2312" w:hAnsi="仿宋_GB2312" w:eastAsia="仿宋_GB2312" w:cs="仿宋_GB2312"/>
          <w:color w:val="auto"/>
          <w:sz w:val="28"/>
          <w:szCs w:val="28"/>
          <w:highlight w:val="none"/>
        </w:rPr>
        <w:t xml:space="preserve">根据《中华人民共和国政府采购法》《中华人民共和国政府采购法实施条例》等有关法律、法规和规章的规定，本采购项目已具备采购条件，现对本项目进行竞争性磋商采购。</w:t>
      </w:r>
      <w:bookmarkEnd w:id="31"/>
      <w:r/>
      <w:r/>
    </w:p>
    <w:p>
      <w:pPr>
        <w:ind w:left="0" w:right="0" w:firstLine="560"/>
        <w:pageBreakBefore w:val="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1.1.2采购人：见供应商须知前附表。</w:t>
      </w:r>
      <w:r/>
    </w:p>
    <w:p>
      <w:pPr>
        <w:ind w:left="0" w:right="0" w:firstLine="560"/>
        <w:pageBreakBefore w:val="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1.1.3采购代理机构：见供应商须知前附表。</w:t>
      </w:r>
      <w:r/>
    </w:p>
    <w:p>
      <w:pPr>
        <w:ind w:left="0" w:right="0" w:firstLine="560"/>
        <w:pageBreakBefore w:val="0"/>
        <w:spacing w:line="500" w:lineRule="exact"/>
        <w:rPr>
          <w:rFonts w:hint="default" w:ascii="Times New Roman" w:hAnsi="Times New Roman" w:cs="Times New Roman" w:eastAsiaTheme="minorEastAsia"/>
          <w:color w:val="auto"/>
          <w:sz w:val="24"/>
          <w:szCs w:val="24"/>
          <w:highlight w:val="none"/>
        </w:rPr>
      </w:pPr>
      <w:r>
        <w:rPr>
          <w:rFonts w:hint="eastAsia" w:ascii="仿宋_GB2312" w:hAnsi="仿宋_GB2312" w:eastAsia="仿宋_GB2312" w:cs="仿宋_GB2312"/>
          <w:color w:val="auto"/>
          <w:sz w:val="28"/>
          <w:szCs w:val="28"/>
          <w:highlight w:val="none"/>
        </w:rPr>
        <w:t xml:space="preserve">1.1.4项目名称及项目编号：见供应商须知前附表</w:t>
      </w:r>
      <w:r>
        <w:rPr>
          <w:rFonts w:hint="default" w:ascii="Times New Roman" w:hAnsi="Times New Roman" w:cs="Times New Roman" w:eastAsiaTheme="minorEastAsia"/>
          <w:color w:val="auto"/>
          <w:sz w:val="24"/>
          <w:szCs w:val="24"/>
          <w:highlight w:val="none"/>
        </w:rPr>
        <w:t xml:space="preserve">。</w:t>
      </w:r>
      <w:r/>
    </w:p>
    <w:p>
      <w:pPr>
        <w:spacing w:line="500" w:lineRule="exact"/>
        <w:rPr>
          <w:rFonts w:hint="default" w:eastAsia="楷体"/>
          <w:b/>
          <w:color w:val="0d0d0d"/>
          <w:sz w:val="28"/>
          <w:szCs w:val="28"/>
        </w:rPr>
        <w:outlineLvl w:val="2"/>
      </w:pPr>
      <w:r/>
      <w:bookmarkStart w:id="32" w:name="_Toc144974499"/>
      <w:r/>
      <w:bookmarkStart w:id="33" w:name="_Toc383438594"/>
      <w:r/>
      <w:bookmarkStart w:id="34" w:name="_Toc247085691"/>
      <w:r/>
      <w:bookmarkStart w:id="35" w:name="_Toc179632548"/>
      <w:r/>
      <w:bookmarkStart w:id="36" w:name="_Toc246996920"/>
      <w:r/>
      <w:bookmarkStart w:id="37" w:name="_Toc343525507"/>
      <w:r/>
      <w:bookmarkStart w:id="38" w:name="_Toc426469873"/>
      <w:r/>
      <w:bookmarkStart w:id="39" w:name="_Toc246996177"/>
      <w:r/>
      <w:bookmarkStart w:id="40" w:name="_Toc152045531"/>
      <w:r/>
      <w:bookmarkStart w:id="41" w:name="_Toc152042307"/>
      <w:r>
        <w:rPr>
          <w:rFonts w:hint="default" w:eastAsia="楷体"/>
          <w:b/>
          <w:color w:val="0d0d0d"/>
          <w:sz w:val="28"/>
          <w:szCs w:val="28"/>
        </w:rPr>
        <w:t xml:space="preserve">1.2</w:t>
      </w:r>
      <w:bookmarkEnd w:id="32"/>
      <w:r/>
      <w:bookmarkEnd w:id="33"/>
      <w:r/>
      <w:bookmarkEnd w:id="34"/>
      <w:r/>
      <w:bookmarkEnd w:id="35"/>
      <w:r/>
      <w:bookmarkEnd w:id="36"/>
      <w:r/>
      <w:bookmarkEnd w:id="37"/>
      <w:r/>
      <w:bookmarkEnd w:id="38"/>
      <w:r/>
      <w:bookmarkEnd w:id="39"/>
      <w:r/>
      <w:bookmarkEnd w:id="40"/>
      <w:r/>
      <w:bookmarkEnd w:id="41"/>
      <w:r>
        <w:rPr>
          <w:rFonts w:hint="default" w:eastAsia="楷体"/>
          <w:b/>
          <w:color w:val="0d0d0d"/>
          <w:sz w:val="28"/>
          <w:szCs w:val="28"/>
        </w:rPr>
        <w:t xml:space="preserve">付款方式</w:t>
      </w:r>
      <w:r/>
    </w:p>
    <w:p>
      <w:pPr>
        <w:ind w:left="0" w:right="0" w:firstLine="560"/>
        <w:pageBreakBefore w:val="0"/>
        <w:spacing w:line="500" w:lineRule="exact"/>
        <w:rPr>
          <w:rFonts w:hint="eastAsia" w:ascii="仿宋_GB2312" w:hAnsi="仿宋_GB2312" w:eastAsia="仿宋_GB2312" w:cs="仿宋_GB2312"/>
          <w:color w:val="auto"/>
          <w:sz w:val="28"/>
          <w:szCs w:val="28"/>
          <w:highlight w:val="none"/>
        </w:rPr>
        <w:outlineLvl w:val="3"/>
      </w:pPr>
      <w:r>
        <w:rPr>
          <w:rFonts w:hint="eastAsia" w:ascii="仿宋_GB2312" w:hAnsi="仿宋_GB2312" w:eastAsia="仿宋_GB2312" w:cs="仿宋_GB2312"/>
          <w:color w:val="auto"/>
          <w:sz w:val="28"/>
          <w:szCs w:val="28"/>
          <w:highlight w:val="none"/>
        </w:rPr>
        <w:t xml:space="preserve">1.2.1付款方式：见供应商须知前附表。</w:t>
      </w:r>
      <w:r/>
    </w:p>
    <w:p>
      <w:pPr>
        <w:spacing w:line="500" w:lineRule="exact"/>
        <w:rPr>
          <w:rFonts w:hint="default" w:ascii="Times New Roman" w:hAnsi="Times New Roman" w:cs="Times New Roman" w:eastAsiaTheme="minorEastAsia"/>
          <w:b/>
          <w:color w:val="auto"/>
          <w:sz w:val="24"/>
          <w:szCs w:val="24"/>
          <w:highlight w:val="none"/>
        </w:rPr>
        <w:outlineLvl w:val="2"/>
      </w:pPr>
      <w:r/>
      <w:bookmarkStart w:id="42" w:name="_Toc343525508"/>
      <w:r/>
      <w:bookmarkStart w:id="43" w:name="_Toc383438595"/>
      <w:r/>
      <w:bookmarkStart w:id="44" w:name="_Toc179632549"/>
      <w:r/>
      <w:bookmarkStart w:id="45" w:name="_Toc246996178"/>
      <w:r/>
      <w:bookmarkStart w:id="46" w:name="_Toc247085692"/>
      <w:r/>
      <w:bookmarkStart w:id="47" w:name="_Toc152045532"/>
      <w:r/>
      <w:bookmarkStart w:id="48" w:name="_Toc246996921"/>
      <w:r/>
      <w:bookmarkStart w:id="49" w:name="_Toc152042308"/>
      <w:r/>
      <w:bookmarkStart w:id="50" w:name="_Toc144974500"/>
      <w:r/>
      <w:bookmarkStart w:id="51" w:name="_Toc426469874"/>
      <w:r>
        <w:rPr>
          <w:rFonts w:hint="default" w:eastAsia="楷体"/>
          <w:b/>
          <w:color w:val="0d0d0d"/>
          <w:sz w:val="28"/>
          <w:szCs w:val="28"/>
        </w:rPr>
        <w:t xml:space="preserve">1.3</w:t>
      </w:r>
      <w:bookmarkEnd w:id="42"/>
      <w:r/>
      <w:bookmarkEnd w:id="43"/>
      <w:r/>
      <w:bookmarkEnd w:id="44"/>
      <w:r/>
      <w:bookmarkEnd w:id="45"/>
      <w:r/>
      <w:bookmarkEnd w:id="46"/>
      <w:r/>
      <w:bookmarkEnd w:id="47"/>
      <w:r/>
      <w:bookmarkEnd w:id="48"/>
      <w:r/>
      <w:bookmarkEnd w:id="49"/>
      <w:r/>
      <w:bookmarkEnd w:id="50"/>
      <w:r>
        <w:rPr>
          <w:rFonts w:hint="default" w:eastAsia="楷体"/>
          <w:b/>
          <w:color w:val="0d0d0d"/>
          <w:sz w:val="28"/>
          <w:szCs w:val="28"/>
        </w:rPr>
        <w:t xml:space="preserve">采购范围</w:t>
      </w:r>
      <w:bookmarkEnd w:id="51"/>
      <w:r>
        <w:rPr>
          <w:rFonts w:hint="default" w:eastAsia="楷体"/>
          <w:b/>
          <w:color w:val="0d0d0d"/>
          <w:sz w:val="28"/>
          <w:szCs w:val="28"/>
        </w:rPr>
        <w:t xml:space="preserve">与合同履行期限</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1.3.1采购范围：见供应商须知前附表。</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1.3.2合同履行期限：见供应商须知前附表。</w:t>
      </w:r>
      <w:r/>
    </w:p>
    <w:p>
      <w:pPr>
        <w:spacing w:line="500" w:lineRule="exact"/>
        <w:rPr>
          <w:rFonts w:hint="default" w:eastAsia="楷体"/>
          <w:b/>
          <w:color w:val="0d0d0d"/>
          <w:sz w:val="28"/>
          <w:szCs w:val="28"/>
        </w:rPr>
        <w:outlineLvl w:val="2"/>
      </w:pPr>
      <w:r/>
      <w:bookmarkStart w:id="52" w:name="_Toc426469875"/>
      <w:r/>
      <w:bookmarkStart w:id="53" w:name="_Toc152045534"/>
      <w:r/>
      <w:bookmarkStart w:id="54" w:name="_Toc246996922"/>
      <w:r/>
      <w:bookmarkStart w:id="55" w:name="_Toc383438596"/>
      <w:r/>
      <w:bookmarkStart w:id="56" w:name="_Toc247085693"/>
      <w:r/>
      <w:bookmarkStart w:id="57" w:name="_Toc179632551"/>
      <w:r/>
      <w:bookmarkStart w:id="58" w:name="_Toc152042310"/>
      <w:r/>
      <w:bookmarkStart w:id="59" w:name="_Toc343525509"/>
      <w:r/>
      <w:bookmarkStart w:id="60" w:name="_Toc144974502"/>
      <w:r/>
      <w:bookmarkStart w:id="61" w:name="_Toc246996179"/>
      <w:r>
        <w:rPr>
          <w:rFonts w:hint="default" w:eastAsia="楷体"/>
          <w:b/>
          <w:color w:val="0d0d0d"/>
          <w:sz w:val="28"/>
          <w:szCs w:val="28"/>
        </w:rPr>
        <w:t xml:space="preserve">1.4供应商资格要求</w:t>
      </w:r>
      <w:bookmarkEnd w:id="52"/>
      <w:r/>
      <w:bookmarkEnd w:id="53"/>
      <w:r/>
      <w:bookmarkEnd w:id="54"/>
      <w:r/>
      <w:bookmarkEnd w:id="55"/>
      <w:r/>
      <w:bookmarkEnd w:id="56"/>
      <w:r/>
      <w:bookmarkEnd w:id="57"/>
      <w:r/>
      <w:bookmarkEnd w:id="58"/>
      <w:r/>
      <w:bookmarkEnd w:id="59"/>
      <w:r/>
      <w:bookmarkEnd w:id="60"/>
      <w:r/>
      <w:bookmarkEnd w:id="61"/>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1.4.1供应商参加政府采购活动应当具备下列条件：</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（1）具有独立承担民事责任的能力；</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（2）具有良好的商业信誉和健全的财务会计制度；</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（3）具有履行合同所必需的设备和专业技术能力；</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（4）有依法缴纳税收和社会保障资金的良好记录；</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（5）参加政府采购活动前三年内，在经营活动中没有重大违法记录；</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（6）法律、行政法规规定的其他条件。</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1.4.2根据采购项目特殊要求，要求供应商具备的特定条件：见供应商须知前附表。</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1.4.3供应商不得存在下列情形之一：</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（1）与采购人或采购代理机构存在隶属关系或者其他利害关系；</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（2）为采购项目提供了整体设计、规范编制或者项目管理、监理、检测等服务；</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（3）单位负责人为同一人或者存在直接控股、管理关系的不同供应商，参加同一合同项下的政府采购活动；</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（4）以联合体形式参加政府采购活动的，联合体各方再单独参加或者与其他供应商另外组成联合体参加同一合同项下的政府采购活动；</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（5）法律、行政法规规定的其他条件。</w:t>
      </w:r>
      <w:r/>
    </w:p>
    <w:p>
      <w:pPr>
        <w:spacing w:line="500" w:lineRule="exact"/>
        <w:rPr>
          <w:rFonts w:hint="default" w:eastAsia="楷体"/>
          <w:b/>
          <w:color w:val="0d0d0d"/>
          <w:sz w:val="28"/>
          <w:szCs w:val="28"/>
        </w:rPr>
        <w:outlineLvl w:val="2"/>
      </w:pPr>
      <w:r/>
      <w:bookmarkStart w:id="62" w:name="_Toc152045535"/>
      <w:r/>
      <w:bookmarkStart w:id="63" w:name="_Toc246996180"/>
      <w:r/>
      <w:bookmarkStart w:id="64" w:name="_Toc144974503"/>
      <w:r/>
      <w:bookmarkStart w:id="65" w:name="_Toc152042311"/>
      <w:r/>
      <w:bookmarkStart w:id="66" w:name="_Toc383438597"/>
      <w:r/>
      <w:bookmarkStart w:id="67" w:name="_Toc246996923"/>
      <w:r/>
      <w:bookmarkStart w:id="68" w:name="_Toc426469876"/>
      <w:r/>
      <w:bookmarkStart w:id="69" w:name="_Toc343525510"/>
      <w:r/>
      <w:bookmarkStart w:id="70" w:name="_Toc179632552"/>
      <w:r/>
      <w:bookmarkStart w:id="71" w:name="_Toc247085694"/>
      <w:r>
        <w:rPr>
          <w:rFonts w:hint="default" w:eastAsia="楷体"/>
          <w:b/>
          <w:color w:val="0d0d0d"/>
          <w:sz w:val="28"/>
          <w:szCs w:val="28"/>
        </w:rPr>
        <w:t xml:space="preserve">1.5费用承担</w:t>
      </w:r>
      <w:bookmarkEnd w:id="62"/>
      <w:r/>
      <w:bookmarkEnd w:id="63"/>
      <w:r/>
      <w:bookmarkEnd w:id="64"/>
      <w:r/>
      <w:bookmarkEnd w:id="65"/>
      <w:r/>
      <w:bookmarkEnd w:id="66"/>
      <w:r/>
      <w:bookmarkEnd w:id="67"/>
      <w:r/>
      <w:bookmarkEnd w:id="68"/>
      <w:r/>
      <w:bookmarkEnd w:id="69"/>
      <w:r/>
      <w:bookmarkEnd w:id="70"/>
      <w:r/>
      <w:bookmarkEnd w:id="71"/>
      <w:r/>
      <w:r/>
    </w:p>
    <w:p>
      <w:pPr>
        <w:ind w:left="0" w:right="0" w:firstLine="560"/>
        <w:pageBreakBefore w:val="0"/>
        <w:spacing w:line="500" w:lineRule="exact"/>
        <w:rPr>
          <w:rFonts w:hint="default" w:ascii="Times New Roman" w:hAnsi="Times New Roman" w:cs="Times New Roman" w:eastAsiaTheme="minorEastAsia"/>
          <w:color w:val="auto"/>
          <w:sz w:val="24"/>
          <w:szCs w:val="24"/>
          <w:highlight w:val="none"/>
        </w:rPr>
        <w:outlineLvl w:val="3"/>
      </w:pPr>
      <w:r>
        <w:rPr>
          <w:rFonts w:hint="default" w:ascii="仿宋_GB2312" w:hAnsi="仿宋_GB2312" w:eastAsia="仿宋_GB2312" w:cs="仿宋_GB2312"/>
          <w:color w:val="auto"/>
          <w:sz w:val="28"/>
          <w:szCs w:val="28"/>
          <w:highlight w:val="none"/>
        </w:rPr>
        <w:t xml:space="preserve">无论采购结果如何，供应商为准备和参加采购活动发生的费用自理。</w:t>
      </w:r>
      <w:r/>
    </w:p>
    <w:p>
      <w:pPr>
        <w:spacing w:line="500" w:lineRule="exact"/>
        <w:rPr>
          <w:rFonts w:hint="default" w:eastAsia="楷体"/>
          <w:b/>
          <w:color w:val="0d0d0d"/>
          <w:sz w:val="28"/>
          <w:szCs w:val="28"/>
        </w:rPr>
        <w:outlineLvl w:val="2"/>
      </w:pPr>
      <w:r/>
      <w:bookmarkStart w:id="72" w:name="_Toc144974505"/>
      <w:r/>
      <w:bookmarkStart w:id="73" w:name="_Toc152042313"/>
      <w:r/>
      <w:bookmarkStart w:id="74" w:name="_Toc152045537"/>
      <w:r/>
      <w:bookmarkStart w:id="75" w:name="_Toc246996925"/>
      <w:r/>
      <w:bookmarkStart w:id="76" w:name="_Toc179632554"/>
      <w:r/>
      <w:bookmarkStart w:id="77" w:name="_Toc343525512"/>
      <w:r/>
      <w:bookmarkStart w:id="78" w:name="_Toc426469878"/>
      <w:r/>
      <w:bookmarkStart w:id="79" w:name="_Toc383438599"/>
      <w:r/>
      <w:bookmarkStart w:id="80" w:name="_Toc247085696"/>
      <w:r/>
      <w:bookmarkStart w:id="81" w:name="_Toc246996182"/>
      <w:r>
        <w:rPr>
          <w:rFonts w:hint="default" w:eastAsia="楷体"/>
          <w:b/>
          <w:color w:val="0d0d0d"/>
          <w:sz w:val="28"/>
          <w:szCs w:val="28"/>
        </w:rPr>
        <w:t xml:space="preserve">1.6语言</w:t>
      </w:r>
      <w:bookmarkEnd w:id="72"/>
      <w:r>
        <w:rPr>
          <w:rFonts w:hint="default" w:eastAsia="楷体"/>
          <w:b/>
          <w:color w:val="0d0d0d"/>
          <w:sz w:val="28"/>
          <w:szCs w:val="28"/>
        </w:rPr>
        <w:t xml:space="preserve">文字</w:t>
      </w:r>
      <w:bookmarkEnd w:id="73"/>
      <w:r/>
      <w:bookmarkEnd w:id="74"/>
      <w:r/>
      <w:bookmarkEnd w:id="75"/>
      <w:r/>
      <w:bookmarkEnd w:id="76"/>
      <w:r/>
      <w:bookmarkEnd w:id="77"/>
      <w:r/>
      <w:bookmarkEnd w:id="78"/>
      <w:r/>
      <w:bookmarkEnd w:id="79"/>
      <w:r/>
      <w:bookmarkEnd w:id="80"/>
      <w:r/>
      <w:bookmarkEnd w:id="81"/>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bookmarkStart w:id="82" w:name="_Toc144974506"/>
      <w:r/>
      <w:bookmarkStart w:id="83" w:name="_Toc179632555"/>
      <w:r/>
      <w:bookmarkStart w:id="84" w:name="_Toc247085697"/>
      <w:r/>
      <w:bookmarkStart w:id="85" w:name="_Toc246996183"/>
      <w:r/>
      <w:bookmarkStart w:id="86" w:name="_Toc246996926"/>
      <w:r/>
      <w:bookmarkStart w:id="87" w:name="_Toc152045538"/>
      <w:r/>
      <w:bookmarkStart w:id="88" w:name="_Toc152042314"/>
      <w:r>
        <w:rPr>
          <w:rFonts w:hint="default" w:ascii="仿宋_GB2312" w:hAnsi="仿宋_GB2312" w:eastAsia="仿宋_GB2312" w:cs="仿宋_GB2312"/>
          <w:color w:val="auto"/>
          <w:sz w:val="28"/>
          <w:szCs w:val="28"/>
          <w:highlight w:val="none"/>
        </w:rPr>
        <w:t xml:space="preserve">响应文件使用的语言文字为中文。专用术语使用外文的，应附有中文注释。</w:t>
      </w:r>
      <w:r/>
    </w:p>
    <w:p>
      <w:pPr>
        <w:spacing w:line="500" w:lineRule="exact"/>
        <w:rPr>
          <w:rFonts w:hint="default" w:eastAsia="楷体"/>
          <w:b/>
          <w:color w:val="0d0d0d"/>
          <w:sz w:val="28"/>
          <w:szCs w:val="28"/>
        </w:rPr>
        <w:outlineLvl w:val="2"/>
      </w:pPr>
      <w:r/>
      <w:bookmarkStart w:id="89" w:name="_Toc343525513"/>
      <w:r/>
      <w:bookmarkStart w:id="90" w:name="_Toc383438600"/>
      <w:r/>
      <w:bookmarkStart w:id="91" w:name="_Toc426469879"/>
      <w:r>
        <w:rPr>
          <w:rFonts w:hint="default" w:eastAsia="楷体"/>
          <w:b/>
          <w:color w:val="0d0d0d"/>
          <w:sz w:val="28"/>
          <w:szCs w:val="28"/>
        </w:rPr>
        <w:t xml:space="preserve">1.7计量单位</w:t>
      </w:r>
      <w:bookmarkEnd w:id="82"/>
      <w:r/>
      <w:bookmarkEnd w:id="83"/>
      <w:r/>
      <w:bookmarkEnd w:id="84"/>
      <w:r/>
      <w:bookmarkEnd w:id="85"/>
      <w:r/>
      <w:bookmarkEnd w:id="86"/>
      <w:r/>
      <w:bookmarkEnd w:id="87"/>
      <w:r/>
      <w:bookmarkEnd w:id="88"/>
      <w:r/>
      <w:bookmarkEnd w:id="89"/>
      <w:r/>
      <w:bookmarkEnd w:id="90"/>
      <w:r/>
      <w:bookmarkEnd w:id="91"/>
      <w:r/>
      <w:r/>
    </w:p>
    <w:p>
      <w:pPr>
        <w:ind w:left="0" w:right="0" w:firstLine="560"/>
        <w:pageBreakBefore w:val="0"/>
        <w:spacing w:line="500" w:lineRule="exact"/>
        <w:rPr>
          <w:rFonts w:hint="default" w:ascii="Times New Roman" w:hAnsi="Times New Roman" w:cs="Times New Roman" w:eastAsiaTheme="minorEastAsia"/>
          <w:color w:val="auto"/>
          <w:sz w:val="24"/>
          <w:szCs w:val="24"/>
          <w:highlight w:val="none"/>
        </w:rPr>
        <w:outlineLvl w:val="3"/>
      </w:pPr>
      <w:r>
        <w:rPr>
          <w:rFonts w:hint="default" w:ascii="仿宋_GB2312" w:hAnsi="仿宋_GB2312" w:eastAsia="仿宋_GB2312" w:cs="仿宋_GB2312"/>
          <w:color w:val="auto"/>
          <w:sz w:val="28"/>
          <w:szCs w:val="28"/>
          <w:highlight w:val="none"/>
        </w:rPr>
        <w:t xml:space="preserve">所有计量均采用中华人民共和国法定计量单位。</w:t>
      </w:r>
      <w:r/>
    </w:p>
    <w:p>
      <w:pPr>
        <w:spacing w:line="500" w:lineRule="exact"/>
        <w:rPr>
          <w:rFonts w:hint="default" w:eastAsia="楷体"/>
          <w:b/>
          <w:color w:val="0d0d0d"/>
          <w:sz w:val="28"/>
          <w:szCs w:val="28"/>
        </w:rPr>
        <w:outlineLvl w:val="2"/>
      </w:pPr>
      <w:r>
        <w:rPr>
          <w:rFonts w:hint="default" w:eastAsia="楷体"/>
          <w:b/>
          <w:color w:val="0d0d0d"/>
          <w:sz w:val="28"/>
          <w:szCs w:val="28"/>
        </w:rPr>
        <w:t xml:space="preserve">1.8分包</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具体见前附表。</w:t>
      </w:r>
      <w:r/>
    </w:p>
    <w:p>
      <w:pPr>
        <w:spacing w:line="500" w:lineRule="exact"/>
        <w:rPr>
          <w:rFonts w:hint="default" w:eastAsia="黑体"/>
          <w:b/>
          <w:bCs/>
          <w:color w:val="0d0d0d"/>
          <w:sz w:val="32"/>
          <w:szCs w:val="32"/>
        </w:rPr>
        <w:outlineLvl w:val="1"/>
      </w:pPr>
      <w:r/>
      <w:bookmarkStart w:id="92" w:name="_Toc383438604"/>
      <w:r/>
      <w:bookmarkStart w:id="93" w:name="_Toc426469882"/>
      <w:r/>
      <w:bookmarkStart w:id="94" w:name="_Toc343525517"/>
      <w:r>
        <w:rPr>
          <w:rFonts w:hint="default" w:eastAsia="黑体"/>
          <w:b/>
          <w:bCs/>
          <w:color w:val="0d0d0d"/>
          <w:sz w:val="32"/>
          <w:szCs w:val="32"/>
        </w:rPr>
        <w:t xml:space="preserve">2.竞争性磋商文件</w:t>
      </w:r>
      <w:bookmarkEnd w:id="92"/>
      <w:r/>
      <w:bookmarkEnd w:id="93"/>
      <w:r/>
      <w:bookmarkEnd w:id="94"/>
      <w:r/>
      <w:r/>
    </w:p>
    <w:p>
      <w:pPr>
        <w:spacing w:line="500" w:lineRule="exact"/>
        <w:rPr>
          <w:rFonts w:hint="default" w:eastAsia="楷体"/>
          <w:b/>
          <w:color w:val="0d0d0d"/>
          <w:sz w:val="28"/>
          <w:szCs w:val="28"/>
        </w:rPr>
        <w:outlineLvl w:val="2"/>
      </w:pPr>
      <w:r/>
      <w:bookmarkStart w:id="95" w:name="_Toc247085702"/>
      <w:r/>
      <w:bookmarkStart w:id="96" w:name="_Toc179632561"/>
      <w:r/>
      <w:bookmarkStart w:id="97" w:name="_Toc426469883"/>
      <w:r/>
      <w:bookmarkStart w:id="98" w:name="_Toc152042319"/>
      <w:r/>
      <w:bookmarkStart w:id="99" w:name="_Toc144974511"/>
      <w:r/>
      <w:bookmarkStart w:id="100" w:name="_Toc383438605"/>
      <w:r/>
      <w:bookmarkStart w:id="101" w:name="_Toc246996931"/>
      <w:r/>
      <w:bookmarkStart w:id="102" w:name="_Toc152045543"/>
      <w:r/>
      <w:bookmarkStart w:id="103" w:name="_Toc246996188"/>
      <w:r/>
      <w:bookmarkStart w:id="104" w:name="_Toc343525518"/>
      <w:r>
        <w:rPr>
          <w:rFonts w:hint="default" w:eastAsia="楷体"/>
          <w:b/>
          <w:color w:val="0d0d0d"/>
          <w:sz w:val="28"/>
          <w:szCs w:val="28"/>
        </w:rPr>
        <w:t xml:space="preserve">2.1竞争性磋商文件的组成</w:t>
      </w:r>
      <w:bookmarkEnd w:id="95"/>
      <w:r/>
      <w:bookmarkEnd w:id="96"/>
      <w:r/>
      <w:bookmarkEnd w:id="97"/>
      <w:r/>
      <w:bookmarkEnd w:id="98"/>
      <w:r/>
      <w:bookmarkEnd w:id="99"/>
      <w:r/>
      <w:bookmarkEnd w:id="100"/>
      <w:r/>
      <w:bookmarkEnd w:id="101"/>
      <w:r/>
      <w:bookmarkEnd w:id="102"/>
      <w:r/>
      <w:bookmarkEnd w:id="103"/>
      <w:r/>
      <w:bookmarkEnd w:id="104"/>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2.1.1本竞争性磋商文件包括：</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（1）竞争性磋商公告；</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（2）供应商须知；</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（3）竞争性磋商；</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（4）合同条款及格式；</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（5）采购需求；</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（6）响应文件的编制要求及参考格式；</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（7）供应商须知前附表规定的构成竞争性磋商文件的其他材料。</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2.1.2根据本章第2.2款和第2.3款对竞争性磋商文件所作的澄清、修改，构成竞争性磋商文件的组成部分。</w:t>
      </w:r>
      <w:r/>
    </w:p>
    <w:p>
      <w:pPr>
        <w:spacing w:line="500" w:lineRule="exact"/>
        <w:rPr>
          <w:rFonts w:hint="default" w:eastAsia="楷体"/>
          <w:b/>
          <w:color w:val="0d0d0d"/>
          <w:sz w:val="28"/>
          <w:szCs w:val="28"/>
        </w:rPr>
        <w:outlineLvl w:val="2"/>
      </w:pPr>
      <w:r/>
      <w:bookmarkStart w:id="105" w:name="_Toc383438606"/>
      <w:r/>
      <w:bookmarkStart w:id="106" w:name="_Toc246996932"/>
      <w:r/>
      <w:bookmarkStart w:id="107" w:name="_Toc152045544"/>
      <w:r/>
      <w:bookmarkStart w:id="108" w:name="_Toc179632562"/>
      <w:r/>
      <w:bookmarkStart w:id="109" w:name="_Toc144974512"/>
      <w:r/>
      <w:bookmarkStart w:id="110" w:name="_Toc247085703"/>
      <w:r/>
      <w:bookmarkStart w:id="111" w:name="_Toc343525519"/>
      <w:r/>
      <w:bookmarkStart w:id="112" w:name="_Toc246996189"/>
      <w:r/>
      <w:bookmarkStart w:id="113" w:name="_Toc152042320"/>
      <w:r/>
      <w:bookmarkStart w:id="114" w:name="_Toc426469884"/>
      <w:r>
        <w:rPr>
          <w:rFonts w:hint="default" w:eastAsia="楷体"/>
          <w:b/>
          <w:color w:val="0d0d0d"/>
          <w:sz w:val="28"/>
          <w:szCs w:val="28"/>
        </w:rPr>
        <w:t xml:space="preserve">2.2竞争性磋商文件的澄清</w:t>
      </w:r>
      <w:bookmarkEnd w:id="105"/>
      <w:r/>
      <w:bookmarkEnd w:id="106"/>
      <w:r/>
      <w:bookmarkEnd w:id="107"/>
      <w:r/>
      <w:bookmarkEnd w:id="108"/>
      <w:r/>
      <w:bookmarkEnd w:id="109"/>
      <w:r/>
      <w:bookmarkEnd w:id="110"/>
      <w:r/>
      <w:bookmarkEnd w:id="111"/>
      <w:r/>
      <w:bookmarkEnd w:id="112"/>
      <w:r/>
      <w:bookmarkEnd w:id="113"/>
      <w:r/>
      <w:bookmarkEnd w:id="114"/>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竞争性磋商文件的澄清将在提交首次响应文件截止时间5日前在原公告信息发布媒体公开发布</w:t>
      </w:r>
      <w:r>
        <w:rPr>
          <w:rFonts w:hint="default" w:ascii="仿宋_GB2312" w:hAnsi="仿宋_GB2312" w:eastAsia="仿宋_GB2312" w:cs="仿宋_GB2312"/>
          <w:color w:val="auto"/>
          <w:sz w:val="28"/>
          <w:szCs w:val="28"/>
          <w:highlight w:val="none"/>
          <w:lang w:eastAsia="zh-CN"/>
        </w:rPr>
        <w:t xml:space="preserve">，</w:t>
      </w:r>
      <w:r>
        <w:rPr>
          <w:rFonts w:hint="default" w:ascii="仿宋_GB2312" w:hAnsi="仿宋_GB2312" w:eastAsia="仿宋_GB2312" w:cs="仿宋_GB2312"/>
          <w:color w:val="auto"/>
          <w:sz w:val="28"/>
          <w:szCs w:val="28"/>
          <w:highlight w:val="none"/>
        </w:rPr>
        <w:t xml:space="preserve">但不指明问题的来源。如果澄清发布的时间距提交首次响应文件截止时间不足5日，并且澄清内容影响响应文件编制的，将相应延长提交首次响应文件截止时间。</w:t>
      </w:r>
      <w:r/>
    </w:p>
    <w:p>
      <w:pPr>
        <w:spacing w:line="500" w:lineRule="exact"/>
        <w:rPr>
          <w:rFonts w:hint="default" w:eastAsia="楷体"/>
          <w:b/>
          <w:color w:val="0d0d0d"/>
          <w:sz w:val="28"/>
          <w:szCs w:val="28"/>
        </w:rPr>
        <w:outlineLvl w:val="2"/>
      </w:pPr>
      <w:r/>
      <w:bookmarkStart w:id="115" w:name="_Toc246996933"/>
      <w:r/>
      <w:bookmarkStart w:id="116" w:name="_Toc144974513"/>
      <w:r/>
      <w:bookmarkStart w:id="117" w:name="_Toc152042321"/>
      <w:r/>
      <w:bookmarkStart w:id="118" w:name="_Toc383438607"/>
      <w:r/>
      <w:bookmarkStart w:id="119" w:name="_Toc246996190"/>
      <w:r/>
      <w:bookmarkStart w:id="120" w:name="_Toc247085704"/>
      <w:r/>
      <w:bookmarkStart w:id="121" w:name="_Toc152045545"/>
      <w:r/>
      <w:bookmarkStart w:id="122" w:name="_Toc343525520"/>
      <w:r/>
      <w:bookmarkStart w:id="123" w:name="_Toc426469885"/>
      <w:r/>
      <w:bookmarkStart w:id="124" w:name="_Toc179632563"/>
      <w:r>
        <w:rPr>
          <w:rFonts w:hint="default" w:eastAsia="楷体"/>
          <w:b/>
          <w:color w:val="0d0d0d"/>
          <w:sz w:val="28"/>
          <w:szCs w:val="28"/>
        </w:rPr>
        <w:t xml:space="preserve">2.3竞争性磋商文件的修改</w:t>
      </w:r>
      <w:bookmarkEnd w:id="115"/>
      <w:r/>
      <w:bookmarkEnd w:id="116"/>
      <w:r/>
      <w:bookmarkEnd w:id="117"/>
      <w:r/>
      <w:bookmarkEnd w:id="118"/>
      <w:r/>
      <w:bookmarkEnd w:id="119"/>
      <w:r/>
      <w:bookmarkEnd w:id="120"/>
      <w:r/>
      <w:bookmarkEnd w:id="121"/>
      <w:r/>
      <w:bookmarkEnd w:id="122"/>
      <w:r/>
      <w:bookmarkEnd w:id="123"/>
      <w:r/>
      <w:bookmarkEnd w:id="124"/>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00" w:lineRule="exact"/>
        <w:rPr>
          <w:rFonts w:hint="default" w:eastAsia="楷体"/>
          <w:b/>
          <w:color w:val="0d0d0d"/>
          <w:sz w:val="28"/>
          <w:szCs w:val="28"/>
        </w:rPr>
        <w:outlineLvl w:val="2"/>
      </w:pPr>
      <w:r/>
      <w:bookmarkStart w:id="125" w:name="_Toc343525522"/>
      <w:r/>
      <w:bookmarkStart w:id="126" w:name="_Toc179632564"/>
      <w:r/>
      <w:bookmarkStart w:id="127" w:name="_Toc152045546"/>
      <w:r/>
      <w:bookmarkStart w:id="128" w:name="_Toc144974514"/>
      <w:r/>
      <w:bookmarkStart w:id="129" w:name="_Toc383438609"/>
      <w:r/>
      <w:bookmarkStart w:id="130" w:name="_Toc152042322"/>
      <w:r/>
      <w:bookmarkStart w:id="131" w:name="_Toc247085705"/>
      <w:r/>
      <w:bookmarkStart w:id="132" w:name="_Toc246996191"/>
      <w:r/>
      <w:bookmarkStart w:id="133" w:name="_Toc246996934"/>
      <w:r/>
      <w:bookmarkStart w:id="134" w:name="_Toc426469887"/>
      <w:r>
        <w:rPr>
          <w:rFonts w:hint="default" w:eastAsia="楷体"/>
          <w:b/>
          <w:color w:val="0d0d0d"/>
          <w:sz w:val="28"/>
          <w:szCs w:val="28"/>
        </w:rPr>
        <w:t xml:space="preserve">2.4竞争性磋商文件的重新发布</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竞争性磋商文件的澄清或修改涉及到申请人的资格条件、采购标的等实质性内容时，将重新发布竞争性磋商公告。</w:t>
      </w:r>
      <w:r/>
    </w:p>
    <w:p>
      <w:pPr>
        <w:spacing w:line="500" w:lineRule="exact"/>
        <w:rPr>
          <w:rFonts w:hint="default" w:eastAsia="黑体"/>
          <w:b/>
          <w:bCs/>
          <w:color w:val="0d0d0d"/>
          <w:sz w:val="32"/>
          <w:szCs w:val="32"/>
        </w:rPr>
        <w:outlineLvl w:val="1"/>
      </w:pPr>
      <w:r>
        <w:rPr>
          <w:rFonts w:hint="default" w:eastAsia="黑体"/>
          <w:b/>
          <w:bCs/>
          <w:color w:val="0d0d0d"/>
          <w:sz w:val="32"/>
          <w:szCs w:val="32"/>
        </w:rPr>
        <w:t xml:space="preserve">3.</w:t>
      </w:r>
      <w:bookmarkEnd w:id="125"/>
      <w:r/>
      <w:bookmarkEnd w:id="126"/>
      <w:r/>
      <w:bookmarkEnd w:id="127"/>
      <w:r/>
      <w:bookmarkEnd w:id="128"/>
      <w:r/>
      <w:bookmarkEnd w:id="129"/>
      <w:r/>
      <w:bookmarkEnd w:id="130"/>
      <w:r/>
      <w:bookmarkEnd w:id="131"/>
      <w:r/>
      <w:bookmarkEnd w:id="132"/>
      <w:r/>
      <w:bookmarkEnd w:id="133"/>
      <w:r>
        <w:rPr>
          <w:rFonts w:hint="default" w:eastAsia="黑体"/>
          <w:b/>
          <w:bCs/>
          <w:color w:val="0d0d0d"/>
          <w:sz w:val="32"/>
          <w:szCs w:val="32"/>
        </w:rPr>
        <w:t xml:space="preserve">响应文件</w:t>
      </w:r>
      <w:bookmarkEnd w:id="134"/>
      <w:r/>
      <w:r/>
    </w:p>
    <w:p>
      <w:pPr>
        <w:spacing w:line="500" w:lineRule="exact"/>
        <w:rPr>
          <w:rFonts w:hint="default" w:eastAsia="楷体"/>
          <w:b/>
          <w:color w:val="0d0d0d"/>
          <w:sz w:val="28"/>
          <w:szCs w:val="28"/>
        </w:rPr>
        <w:outlineLvl w:val="2"/>
      </w:pPr>
      <w:r/>
      <w:bookmarkStart w:id="135" w:name="_Toc152045547"/>
      <w:r/>
      <w:bookmarkStart w:id="136" w:name="_Toc246996192"/>
      <w:r/>
      <w:bookmarkStart w:id="137" w:name="_Toc343525523"/>
      <w:r/>
      <w:bookmarkStart w:id="138" w:name="_Toc179632565"/>
      <w:r/>
      <w:bookmarkStart w:id="139" w:name="_Toc383438610"/>
      <w:r/>
      <w:bookmarkStart w:id="140" w:name="_Toc144974515"/>
      <w:r/>
      <w:bookmarkStart w:id="141" w:name="_Toc246996935"/>
      <w:r/>
      <w:bookmarkStart w:id="142" w:name="_Toc152042323"/>
      <w:r/>
      <w:bookmarkStart w:id="143" w:name="_Toc247085706"/>
      <w:r/>
      <w:bookmarkStart w:id="144" w:name="_Toc426469888"/>
      <w:r>
        <w:rPr>
          <w:rFonts w:hint="default" w:eastAsia="楷体"/>
          <w:b/>
          <w:color w:val="0d0d0d"/>
          <w:sz w:val="28"/>
          <w:szCs w:val="28"/>
        </w:rPr>
        <w:t xml:space="preserve">3.1</w:t>
      </w:r>
      <w:bookmarkEnd w:id="135"/>
      <w:r/>
      <w:bookmarkEnd w:id="136"/>
      <w:r/>
      <w:bookmarkEnd w:id="137"/>
      <w:r/>
      <w:bookmarkEnd w:id="138"/>
      <w:r/>
      <w:bookmarkEnd w:id="139"/>
      <w:r/>
      <w:bookmarkEnd w:id="140"/>
      <w:r/>
      <w:bookmarkEnd w:id="141"/>
      <w:r/>
      <w:bookmarkEnd w:id="142"/>
      <w:r/>
      <w:bookmarkEnd w:id="143"/>
      <w:r>
        <w:rPr>
          <w:rFonts w:hint="default" w:eastAsia="楷体"/>
          <w:b/>
          <w:color w:val="0d0d0d"/>
          <w:sz w:val="28"/>
          <w:szCs w:val="28"/>
        </w:rPr>
        <w:t xml:space="preserve">响应文件的</w:t>
      </w:r>
      <w:bookmarkEnd w:id="144"/>
      <w:r>
        <w:rPr>
          <w:rFonts w:hint="default" w:eastAsia="楷体"/>
          <w:b/>
          <w:color w:val="0d0d0d"/>
          <w:sz w:val="28"/>
          <w:szCs w:val="28"/>
        </w:rPr>
        <w:t xml:space="preserve">组成</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bookmarkStart w:id="145" w:name="_Toc367785004"/>
      <w:r/>
      <w:bookmarkStart w:id="146" w:name="_Toc426469889"/>
      <w:r>
        <w:rPr>
          <w:rFonts w:hint="default" w:ascii="仿宋_GB2312" w:hAnsi="仿宋_GB2312" w:eastAsia="仿宋_GB2312" w:cs="仿宋_GB2312"/>
          <w:color w:val="auto"/>
          <w:sz w:val="28"/>
          <w:szCs w:val="28"/>
          <w:highlight w:val="none"/>
        </w:rPr>
        <w:t xml:space="preserve">响应文件的组成：见供应商须知前附表。</w:t>
      </w:r>
      <w:r/>
    </w:p>
    <w:p>
      <w:pPr>
        <w:spacing w:line="500" w:lineRule="exact"/>
        <w:rPr>
          <w:rFonts w:hint="default" w:eastAsia="楷体"/>
          <w:b/>
          <w:color w:val="0d0d0d"/>
          <w:sz w:val="28"/>
          <w:szCs w:val="28"/>
        </w:rPr>
        <w:outlineLvl w:val="2"/>
      </w:pPr>
      <w:r>
        <w:rPr>
          <w:rFonts w:hint="default" w:eastAsia="楷体"/>
          <w:b/>
          <w:color w:val="0d0d0d"/>
          <w:sz w:val="28"/>
          <w:szCs w:val="28"/>
        </w:rPr>
        <w:t xml:space="preserve">3.2</w:t>
      </w:r>
      <w:bookmarkEnd w:id="145"/>
      <w:r>
        <w:rPr>
          <w:rFonts w:hint="default" w:eastAsia="楷体"/>
          <w:b/>
          <w:color w:val="0d0d0d"/>
          <w:sz w:val="28"/>
          <w:szCs w:val="28"/>
        </w:rPr>
        <w:t xml:space="preserve">报价</w:t>
      </w:r>
      <w:bookmarkEnd w:id="146"/>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3.2.1供应商应按竞争性磋商小组经过谈判后提供的竞争性磋商文件中规定的供货及服务要求、责任范围和合同条件，以人民币进行报价。</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3.2.2供应商须按竞争性磋商小组的要求在规定的时间内提交最后报价。</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3.2.3报价的其他要求：见供应商须知前附表。</w:t>
      </w:r>
      <w:r/>
    </w:p>
    <w:p>
      <w:pPr>
        <w:spacing w:line="500" w:lineRule="exact"/>
        <w:rPr>
          <w:rFonts w:hint="default" w:eastAsia="楷体"/>
          <w:b/>
          <w:color w:val="0d0d0d"/>
          <w:sz w:val="28"/>
          <w:szCs w:val="28"/>
        </w:rPr>
        <w:outlineLvl w:val="2"/>
      </w:pPr>
      <w:r/>
      <w:bookmarkStart w:id="147" w:name="_Toc426469892"/>
      <w:r>
        <w:rPr>
          <w:rFonts w:hint="default" w:eastAsia="楷体"/>
          <w:b/>
          <w:color w:val="0d0d0d"/>
          <w:sz w:val="28"/>
          <w:szCs w:val="28"/>
        </w:rPr>
        <w:t xml:space="preserve">3.3响应文件的编制</w:t>
      </w:r>
      <w:bookmarkEnd w:id="147"/>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3.3.1供应商可以按照第六章“响应文件的编制要求及参考格式”要求编制响应文件。需另行增加的相关内容和材料应编入响应文件相应章节，作为响应文件的组成部分。</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3.3.2供应商应对竞争性磋商文件中的资格要求、合同履行期限、技术、服务标准和要求等内容作出响应，并根据评审因素提供相应的证明材料。</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bookmarkStart w:id="148" w:name="_Toc426469893"/>
      <w:r/>
      <w:bookmarkStart w:id="149" w:name="_Toc367785014"/>
      <w:r>
        <w:rPr>
          <w:rFonts w:hint="default" w:ascii="仿宋_GB2312" w:hAnsi="仿宋_GB2312" w:eastAsia="仿宋_GB2312" w:cs="仿宋_GB2312"/>
          <w:color w:val="auto"/>
          <w:sz w:val="28"/>
          <w:szCs w:val="28"/>
          <w:highlight w:val="none"/>
        </w:rPr>
        <w:t xml:space="preserve">3.3.3响应文件的数量：见供应商须知前附表。</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3.3.4响应文件的签署：见供应商须知前附表。</w:t>
      </w:r>
      <w:r/>
    </w:p>
    <w:p>
      <w:pPr>
        <w:spacing w:line="500" w:lineRule="exact"/>
        <w:rPr>
          <w:rFonts w:hint="default" w:eastAsia="楷体"/>
          <w:b/>
          <w:color w:val="0d0d0d"/>
          <w:sz w:val="28"/>
          <w:szCs w:val="28"/>
        </w:rPr>
        <w:outlineLvl w:val="2"/>
      </w:pPr>
      <w:r>
        <w:rPr>
          <w:rFonts w:hint="default" w:eastAsia="楷体"/>
          <w:b/>
          <w:color w:val="0d0d0d"/>
          <w:sz w:val="28"/>
          <w:szCs w:val="28"/>
        </w:rPr>
        <w:t xml:space="preserve">3.4响应文件的递交</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供应商应充分考虑网络及系统平台可能存在的非正常情况等各种风险因素，在规定的提交首次响应文件截止时间前，通过江苏省政府采购管理交易系统（苏采云），完成响应文件的上传。</w:t>
      </w:r>
      <w:bookmarkEnd w:id="30"/>
      <w:bookmarkEnd w:id="148"/>
      <w:bookmarkEnd w:id="149"/>
      <w:r/>
    </w:p>
    <w:p>
      <w:pPr>
        <w:spacing w:line="500" w:lineRule="exact"/>
        <w:rPr>
          <w:rFonts w:hint="default" w:eastAsia="楷体"/>
          <w:b/>
          <w:color w:val="0d0d0d"/>
          <w:sz w:val="28"/>
          <w:szCs w:val="28"/>
        </w:rPr>
        <w:outlineLvl w:val="2"/>
      </w:pPr>
      <w:r>
        <w:rPr>
          <w:rFonts w:hint="default" w:eastAsia="楷体"/>
          <w:b/>
          <w:color w:val="0d0d0d"/>
          <w:sz w:val="28"/>
          <w:szCs w:val="28"/>
        </w:rPr>
        <w:t xml:space="preserve">3.5响应文件的修改与撤回</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在提交首次响应文件截止时</w:t>
      </w:r>
      <w:r>
        <w:rPr>
          <w:rFonts w:hint="eastAsia" w:ascii="仿宋_GB2312" w:hAnsi="仿宋_GB2312" w:eastAsia="仿宋_GB2312" w:cs="仿宋_GB2312"/>
          <w:color w:val="auto"/>
          <w:sz w:val="28"/>
          <w:szCs w:val="28"/>
          <w:highlight w:val="none"/>
          <w:lang w:eastAsia="zh-CN"/>
        </w:rPr>
        <w:t xml:space="preserve">间之</w:t>
      </w:r>
      <w:r>
        <w:rPr>
          <w:rFonts w:hint="default" w:ascii="仿宋_GB2312" w:hAnsi="仿宋_GB2312" w:eastAsia="仿宋_GB2312" w:cs="仿宋_GB2312"/>
          <w:color w:val="auto"/>
          <w:sz w:val="28"/>
          <w:szCs w:val="28"/>
          <w:highlight w:val="none"/>
        </w:rPr>
        <w:t xml:space="preserve">前，供应商可以修改或撤回已递交的响应文件。修改的响应文件应按照本竞争性磋商文件规定进行编制和重新提交。</w:t>
      </w:r>
      <w:r/>
    </w:p>
    <w:p>
      <w:pPr>
        <w:spacing w:line="500" w:lineRule="exact"/>
        <w:rPr>
          <w:rFonts w:hint="default" w:eastAsia="楷体"/>
          <w:b/>
          <w:color w:val="0d0d0d"/>
          <w:sz w:val="28"/>
          <w:szCs w:val="28"/>
        </w:rPr>
        <w:outlineLvl w:val="2"/>
      </w:pPr>
      <w:r>
        <w:rPr>
          <w:rFonts w:hint="default" w:eastAsia="楷体"/>
          <w:b/>
          <w:color w:val="0d0d0d"/>
          <w:sz w:val="28"/>
          <w:szCs w:val="28"/>
        </w:rPr>
        <w:t xml:space="preserve">3.6响应文件的确认</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供应商可以通过江苏省政府采购管理交易系统（苏采云）多次上传响应文件，以规定的提交首次响应文件截止时间前，江苏省政府采购管理交易系统（苏采云）</w:t>
      </w:r>
      <w:r>
        <w:rPr>
          <w:rFonts w:hint="eastAsia" w:ascii="仿宋_GB2312" w:hAnsi="仿宋_GB2312" w:eastAsia="仿宋_GB2312" w:cs="仿宋_GB2312"/>
          <w:color w:val="auto"/>
          <w:sz w:val="28"/>
          <w:szCs w:val="28"/>
          <w:highlight w:val="none"/>
          <w:lang w:eastAsia="zh-CN"/>
        </w:rPr>
        <w:t xml:space="preserve">接收</w:t>
      </w:r>
      <w:r>
        <w:rPr>
          <w:rFonts w:hint="default" w:ascii="仿宋_GB2312" w:hAnsi="仿宋_GB2312" w:eastAsia="仿宋_GB2312" w:cs="仿宋_GB2312"/>
          <w:color w:val="auto"/>
          <w:sz w:val="28"/>
          <w:szCs w:val="28"/>
          <w:highlight w:val="none"/>
        </w:rPr>
        <w:t xml:space="preserve">到的最后一份响应文件为准。</w:t>
      </w:r>
      <w:r/>
    </w:p>
    <w:p>
      <w:pPr>
        <w:spacing w:line="500" w:lineRule="exact"/>
        <w:rPr>
          <w:rFonts w:hint="default" w:eastAsia="楷体"/>
          <w:b/>
          <w:color w:val="0d0d0d"/>
          <w:sz w:val="28"/>
          <w:szCs w:val="28"/>
        </w:rPr>
        <w:outlineLvl w:val="2"/>
      </w:pPr>
      <w:r>
        <w:rPr>
          <w:rFonts w:hint="default" w:eastAsia="楷体"/>
          <w:b/>
          <w:color w:val="0d0d0d"/>
          <w:sz w:val="28"/>
          <w:szCs w:val="28"/>
        </w:rPr>
        <w:t xml:space="preserve">3.7响应文件的拒收</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在规定的提交首次响应文件截止时间后，江苏省政府采购管理交易系统（苏采云）将不再接受响应文件的上传。</w:t>
      </w:r>
      <w:r/>
    </w:p>
    <w:p>
      <w:pPr>
        <w:ind w:left="0" w:right="0"/>
        <w:pageBreakBefore w:val="0"/>
        <w:spacing w:line="500" w:lineRule="exact"/>
        <w:rPr>
          <w:rFonts w:hint="default" w:ascii="Times New Roman" w:hAnsi="Times New Roman" w:cs="Times New Roman" w:eastAsiaTheme="minorEastAsia"/>
          <w:b/>
          <w:color w:val="auto"/>
          <w:sz w:val="32"/>
          <w:szCs w:val="32"/>
          <w:highlight w:val="none"/>
        </w:rPr>
        <w:outlineLvl w:val="1"/>
      </w:pPr>
      <w:r>
        <w:rPr>
          <w:rFonts w:hint="eastAsia" w:ascii="黑体" w:hAnsi="黑体" w:eastAsia="黑体" w:cs="黑体"/>
          <w:b/>
          <w:color w:val="auto"/>
          <w:sz w:val="32"/>
          <w:szCs w:val="32"/>
          <w:highlight w:val="none"/>
        </w:rPr>
        <w:t xml:space="preserve">4.响应文件的开启</w:t>
      </w:r>
      <w:r/>
    </w:p>
    <w:p>
      <w:pPr>
        <w:spacing w:line="500" w:lineRule="exact"/>
        <w:rPr>
          <w:rFonts w:hint="default" w:eastAsia="楷体"/>
          <w:b/>
          <w:color w:val="0d0d0d"/>
          <w:sz w:val="28"/>
          <w:szCs w:val="28"/>
        </w:rPr>
        <w:outlineLvl w:val="2"/>
      </w:pPr>
      <w:r>
        <w:rPr>
          <w:rFonts w:hint="default" w:eastAsia="楷体"/>
          <w:b/>
          <w:color w:val="0d0d0d"/>
          <w:sz w:val="28"/>
          <w:szCs w:val="28"/>
        </w:rPr>
        <w:t xml:space="preserve">4.1响应文件的开启</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hint="eastAsia" w:eastAsia="楷体"/>
          <w:b/>
          <w:color w:val="0d0d0d"/>
          <w:sz w:val="28"/>
          <w:szCs w:val="28"/>
        </w:rPr>
        <w:outlineLvl w:val="2"/>
      </w:pPr>
      <w:r>
        <w:rPr>
          <w:rFonts w:hint="eastAsia" w:eastAsia="楷体"/>
          <w:b/>
          <w:color w:val="0d0d0d"/>
          <w:sz w:val="28"/>
          <w:szCs w:val="28"/>
        </w:rPr>
        <w:t xml:space="preserve">4.2特殊情况的处置</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4.2.1在提交响应文件截止时间后，不见面开标系统出现下列情况之一时，响应文件未开启的，暂停开启活动；正在开启的，立即暂停，待系统恢复正常后再组织。</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（1）系统服务器发生故障，无法访问或无法使用系统；</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（2）系统的软件或数据库出现错误，不能进行正常操作；</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（3）系统发现有安全漏洞，有潜在的泄密危险；</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（4）其他无法保证信息安全的情形。</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4.2.2因供应商自身原因造成响应文件无法解密的，视为撤销响应文件。</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4.2.3供应商对响应文件开启活动或开启结果等有疑义的，可向采购人提出。</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4.2.4供应商未在系统中确认开启结果的，视同认可开启结果。</w:t>
      </w:r>
      <w:r/>
    </w:p>
    <w:p>
      <w:pPr>
        <w:ind w:left="0" w:right="0"/>
        <w:pageBreakBefore w:val="0"/>
        <w:spacing w:line="500" w:lineRule="exact"/>
        <w:rPr>
          <w:rFonts w:hint="eastAsia" w:ascii="黑体" w:hAnsi="黑体" w:eastAsia="黑体" w:cs="黑体"/>
          <w:color w:val="auto"/>
          <w:sz w:val="32"/>
          <w:szCs w:val="32"/>
          <w:highlight w:val="none"/>
        </w:rPr>
        <w:outlineLvl w:val="1"/>
      </w:pPr>
      <w:r>
        <w:rPr>
          <w:rFonts w:hint="eastAsia" w:ascii="黑体" w:hAnsi="黑体" w:eastAsia="黑体" w:cs="黑体"/>
          <w:b/>
          <w:bCs/>
          <w:color w:val="auto"/>
          <w:sz w:val="32"/>
          <w:szCs w:val="32"/>
          <w:highlight w:val="none"/>
        </w:rPr>
        <w:t xml:space="preserve">5.</w:t>
      </w:r>
      <w:r>
        <w:rPr>
          <w:rFonts w:hint="eastAsia" w:ascii="黑体" w:hAnsi="黑体" w:eastAsia="黑体" w:cs="黑体"/>
          <w:b/>
          <w:color w:val="auto"/>
          <w:sz w:val="32"/>
          <w:szCs w:val="32"/>
          <w:highlight w:val="none"/>
        </w:rPr>
        <w:t xml:space="preserve">响应文件的评审</w:t>
      </w:r>
      <w:r/>
    </w:p>
    <w:p>
      <w:pPr>
        <w:spacing w:line="500" w:lineRule="exact"/>
        <w:rPr>
          <w:rFonts w:hint="default" w:eastAsia="楷体"/>
          <w:b/>
          <w:color w:val="0d0d0d"/>
          <w:sz w:val="28"/>
          <w:szCs w:val="28"/>
        </w:rPr>
        <w:outlineLvl w:val="2"/>
      </w:pPr>
      <w:r>
        <w:rPr>
          <w:rFonts w:hint="default" w:eastAsia="楷体"/>
          <w:b/>
          <w:color w:val="0d0d0d"/>
          <w:sz w:val="28"/>
          <w:szCs w:val="28"/>
        </w:rPr>
        <w:t xml:space="preserve">5.1竞争性磋商小组</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5.1.1响应文件的评审工作由采购人依法组建的竞争性磋商小组负责。磋商小组由采购人代表，以及有关技术、经济等方面的专家组成，且符合现行的政府采购相关规定。</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5.1.2磋商小组成员有下列情形之一的，应当回避：</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（1）参加采购活动前三年内，与供应商存在劳动关系，或者担任过供应商的董事、监事，或者是供应商的控股股东或实际控制人；</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（2）与供应商的法定代表人或者负责人有夫妻、直系血亲、三代以内旁系血亲或者近姻亲关系；</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（3）与供应商有其他可能影响政府采购活动公平、公正进行的关系；</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（4）法律、行政法规规定的其他条件。</w:t>
      </w:r>
      <w:r/>
    </w:p>
    <w:p>
      <w:pPr>
        <w:spacing w:line="500" w:lineRule="exact"/>
        <w:rPr>
          <w:rFonts w:hint="default" w:eastAsia="楷体"/>
          <w:b/>
          <w:color w:val="0d0d0d"/>
          <w:sz w:val="28"/>
          <w:szCs w:val="28"/>
        </w:rPr>
        <w:outlineLvl w:val="2"/>
      </w:pPr>
      <w:r>
        <w:rPr>
          <w:rFonts w:hint="default" w:eastAsia="楷体"/>
          <w:b/>
          <w:color w:val="0d0d0d"/>
          <w:sz w:val="28"/>
          <w:szCs w:val="28"/>
        </w:rPr>
        <w:t xml:space="preserve">5.2评审</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评审活动遵循公正、客观、审慎的原则。磋商小组严格按照本竞争性磋商文件第三章规定的评审程序和标准进行独立评审。本文件中没有规定的评审标准，不得作为评审依据。</w:t>
      </w:r>
      <w:r/>
    </w:p>
    <w:p>
      <w:pPr>
        <w:ind w:left="0" w:right="0"/>
        <w:pageBreakBefore w:val="0"/>
        <w:spacing w:line="500" w:lineRule="exact"/>
        <w:rPr>
          <w:rFonts w:hint="eastAsia" w:ascii="黑体" w:hAnsi="黑体" w:eastAsia="黑体" w:cs="黑体"/>
          <w:color w:val="auto"/>
          <w:sz w:val="32"/>
          <w:szCs w:val="32"/>
          <w:highlight w:val="none"/>
        </w:rPr>
        <w:outlineLvl w:val="1"/>
      </w:pPr>
      <w:r>
        <w:rPr>
          <w:rFonts w:hint="eastAsia" w:ascii="黑体" w:hAnsi="黑体" w:eastAsia="黑体" w:cs="黑体"/>
          <w:b/>
          <w:bCs/>
          <w:color w:val="auto"/>
          <w:sz w:val="32"/>
          <w:szCs w:val="32"/>
          <w:highlight w:val="none"/>
        </w:rPr>
        <w:t xml:space="preserve">6.</w:t>
      </w:r>
      <w:r>
        <w:rPr>
          <w:rFonts w:hint="eastAsia" w:ascii="黑体" w:hAnsi="黑体" w:eastAsia="黑体" w:cs="黑体"/>
          <w:b/>
          <w:color w:val="auto"/>
          <w:sz w:val="32"/>
          <w:szCs w:val="32"/>
          <w:highlight w:val="none"/>
        </w:rPr>
        <w:t xml:space="preserve">成交</w:t>
      </w:r>
      <w:r/>
    </w:p>
    <w:p>
      <w:pPr>
        <w:spacing w:line="500" w:lineRule="exact"/>
        <w:rPr>
          <w:rFonts w:hint="default" w:eastAsia="楷体"/>
          <w:b/>
          <w:color w:val="0d0d0d"/>
          <w:sz w:val="28"/>
          <w:szCs w:val="28"/>
        </w:rPr>
        <w:outlineLvl w:val="2"/>
      </w:pPr>
      <w:r>
        <w:rPr>
          <w:rFonts w:hint="default" w:eastAsia="楷体"/>
          <w:b/>
          <w:color w:val="0d0d0d"/>
          <w:sz w:val="28"/>
          <w:szCs w:val="28"/>
        </w:rPr>
        <w:t xml:space="preserve">6.1确定成交人</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采购人从磋商小组提出的成交候选人中根据符合采购需求且评审得分最高的原则确定成交供应商，并将结果通知所有参加磋商的未成交的供应商。</w:t>
      </w:r>
      <w:r/>
    </w:p>
    <w:p>
      <w:pPr>
        <w:spacing w:line="500" w:lineRule="exact"/>
        <w:rPr>
          <w:rFonts w:hint="default" w:eastAsia="楷体"/>
          <w:b/>
          <w:color w:val="0d0d0d"/>
          <w:sz w:val="28"/>
          <w:szCs w:val="28"/>
        </w:rPr>
        <w:outlineLvl w:val="2"/>
      </w:pPr>
      <w:r>
        <w:rPr>
          <w:rFonts w:hint="default" w:eastAsia="楷体"/>
          <w:b/>
          <w:color w:val="0d0d0d"/>
          <w:sz w:val="28"/>
          <w:szCs w:val="28"/>
        </w:rPr>
        <w:t xml:space="preserve">6.2成交公告及成交通知书</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自成交人确定之日起2个工作日内，在发布竞争性磋商公告的媒介上公告成交结果。同时，向成交人发出成交通知书。成交通知书对采购人和成交人具有同等法律效力。</w:t>
      </w:r>
      <w:r/>
    </w:p>
    <w:p>
      <w:pPr>
        <w:ind w:left="0" w:right="0"/>
        <w:pageBreakBefore w:val="0"/>
        <w:spacing w:line="500" w:lineRule="exact"/>
        <w:rPr>
          <w:rFonts w:hint="eastAsia" w:ascii="黑体" w:hAnsi="黑体" w:eastAsia="黑体" w:cs="黑体"/>
          <w:b/>
          <w:bCs/>
          <w:color w:val="auto"/>
          <w:sz w:val="32"/>
          <w:szCs w:val="32"/>
          <w:highlight w:val="none"/>
        </w:rPr>
        <w:outlineLvl w:val="1"/>
      </w:pPr>
      <w:r>
        <w:rPr>
          <w:rFonts w:hint="eastAsia" w:ascii="黑体" w:hAnsi="黑体" w:eastAsia="黑体" w:cs="黑体"/>
          <w:b/>
          <w:bCs/>
          <w:color w:val="auto"/>
          <w:sz w:val="32"/>
          <w:szCs w:val="32"/>
          <w:highlight w:val="none"/>
        </w:rPr>
        <w:t xml:space="preserve">7.合同</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7.2成交人拒绝签订政府采购合同的，采购人可以按照本章6.1条规定的原则确定其他供应商作为成交人并签订政府采购合同，也可以重新开展采购活动。</w:t>
      </w:r>
      <w:r/>
    </w:p>
    <w:p>
      <w:pPr>
        <w:ind w:left="0" w:right="0"/>
        <w:pageBreakBefore w:val="0"/>
        <w:spacing w:line="500" w:lineRule="exact"/>
        <w:rPr>
          <w:rFonts w:hint="default" w:ascii="黑体" w:hAnsi="黑体" w:eastAsia="黑体" w:cs="黑体"/>
          <w:b/>
          <w:bCs/>
          <w:color w:val="auto"/>
          <w:sz w:val="32"/>
          <w:szCs w:val="32"/>
          <w:highlight w:val="none"/>
        </w:rPr>
        <w:outlineLvl w:val="1"/>
      </w:pPr>
      <w:r>
        <w:rPr>
          <w:rFonts w:hint="default" w:ascii="黑体" w:hAnsi="黑体" w:eastAsia="黑体" w:cs="黑体"/>
          <w:b/>
          <w:bCs/>
          <w:color w:val="auto"/>
          <w:sz w:val="32"/>
          <w:szCs w:val="32"/>
          <w:highlight w:val="none"/>
        </w:rPr>
        <w:t xml:space="preserve">8.履约保证金</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8.1成交供应商应按采购人须知前附表规定的履约保证金的形式、金额和提交时间向采购人提交履约保证金。</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8.2成交供应商不能按本采购文件要求提交履约保证金的，视为放弃成交，给采购人造成损失的，成交供应商还应当予以赔偿。</w:t>
      </w:r>
      <w:r/>
    </w:p>
    <w:p>
      <w:pPr>
        <w:ind w:left="0" w:right="0"/>
        <w:pageBreakBefore w:val="0"/>
        <w:spacing w:line="500" w:lineRule="exact"/>
        <w:rPr>
          <w:rFonts w:hint="default" w:ascii="黑体" w:hAnsi="黑体" w:eastAsia="黑体" w:cs="黑体"/>
          <w:b/>
          <w:bCs/>
          <w:color w:val="auto"/>
          <w:sz w:val="32"/>
          <w:szCs w:val="32"/>
          <w:highlight w:val="none"/>
        </w:rPr>
        <w:outlineLvl w:val="1"/>
      </w:pPr>
      <w:r>
        <w:rPr>
          <w:rFonts w:hint="default" w:ascii="黑体" w:hAnsi="黑体" w:eastAsia="黑体" w:cs="黑体"/>
          <w:b/>
          <w:bCs/>
          <w:color w:val="auto"/>
          <w:sz w:val="32"/>
          <w:szCs w:val="32"/>
          <w:highlight w:val="none"/>
        </w:rPr>
        <w:t xml:space="preserve">9.需要补充的其他内容</w:t>
      </w:r>
      <w:r/>
    </w:p>
    <w:p>
      <w:pPr>
        <w:ind w:left="0" w:right="0" w:firstLine="560"/>
        <w:pageBreakBefore w:val="0"/>
        <w:spacing w:line="500" w:lineRule="exact"/>
        <w:rPr>
          <w:rFonts w:hint="default" w:ascii="仿宋_GB2312" w:hAnsi="仿宋_GB2312" w:eastAsia="仿宋_GB2312" w:cs="仿宋_GB2312"/>
          <w:color w:val="auto"/>
          <w:sz w:val="28"/>
          <w:szCs w:val="28"/>
          <w:highlight w:val="none"/>
        </w:rPr>
        <w:outlineLvl w:val="3"/>
      </w:pPr>
      <w:r>
        <w:rPr>
          <w:rFonts w:hint="default" w:ascii="仿宋_GB2312" w:hAnsi="仿宋_GB2312" w:eastAsia="仿宋_GB2312" w:cs="仿宋_GB2312"/>
          <w:color w:val="auto"/>
          <w:sz w:val="28"/>
          <w:szCs w:val="28"/>
          <w:highlight w:val="none"/>
        </w:rPr>
        <w:t xml:space="preserve">需要补充的其他内容：见供应商须知前附表。</w:t>
      </w:r>
      <w:r/>
    </w:p>
    <w:p>
      <w:pPr>
        <w:pStyle w:val="838"/>
        <w:ind w:left="0" w:right="0" w:firstLine="560"/>
        <w:jc w:val="center"/>
        <w:pageBreakBefore w:val="0"/>
        <w:spacing w:line="520" w:lineRule="exact"/>
        <w:rPr>
          <w:rFonts w:hint="default" w:ascii="Times New Roman" w:hAnsi="Times New Roman" w:cs="Times New Roman" w:eastAsiaTheme="minorEastAsia"/>
          <w:color w:val="auto"/>
          <w:sz w:val="44"/>
          <w:szCs w:val="44"/>
          <w:highlight w:val="none"/>
        </w:rPr>
        <w:outlineLvl w:val="0"/>
      </w:pPr>
      <w:r>
        <w:rPr>
          <w:rFonts w:hint="default" w:ascii="Times New Roman" w:hAnsi="Times New Roman" w:cs="Times New Roman" w:eastAsiaTheme="minorEastAsia"/>
          <w:color w:val="auto"/>
          <w:sz w:val="44"/>
          <w:szCs w:val="44"/>
          <w:highlight w:val="none"/>
        </w:rPr>
      </w:r>
      <w:r/>
    </w:p>
    <w:p>
      <w:pPr>
        <w:pStyle w:val="838"/>
        <w:ind w:left="0" w:right="0" w:firstLine="560"/>
        <w:jc w:val="center"/>
        <w:pageBreakBefore w:val="0"/>
        <w:spacing w:line="520" w:lineRule="exact"/>
        <w:rPr>
          <w:rFonts w:hint="default" w:ascii="Times New Roman" w:hAnsi="Times New Roman" w:cs="Times New Roman" w:eastAsiaTheme="minorEastAsia"/>
          <w:color w:val="auto"/>
          <w:sz w:val="44"/>
          <w:szCs w:val="44"/>
          <w:highlight w:val="none"/>
        </w:rPr>
        <w:outlineLvl w:val="0"/>
      </w:pPr>
      <w:r>
        <w:rPr>
          <w:rFonts w:hint="default" w:ascii="Times New Roman" w:hAnsi="Times New Roman" w:cs="Times New Roman" w:eastAsiaTheme="minorEastAsia"/>
          <w:color w:val="auto"/>
          <w:sz w:val="44"/>
          <w:szCs w:val="44"/>
          <w:highlight w:val="none"/>
        </w:rPr>
      </w:r>
      <w:r/>
    </w:p>
    <w:p>
      <w:pPr>
        <w:pStyle w:val="838"/>
        <w:ind w:left="0" w:right="0" w:firstLine="560"/>
        <w:jc w:val="center"/>
        <w:pageBreakBefore w:val="0"/>
        <w:spacing w:line="520" w:lineRule="exact"/>
        <w:rPr>
          <w:rFonts w:hint="default" w:ascii="Times New Roman" w:hAnsi="Times New Roman" w:cs="Times New Roman" w:eastAsiaTheme="minorEastAsia"/>
          <w:color w:val="auto"/>
          <w:sz w:val="44"/>
          <w:szCs w:val="44"/>
          <w:highlight w:val="none"/>
        </w:rPr>
        <w:outlineLvl w:val="0"/>
      </w:pPr>
      <w:r>
        <w:rPr>
          <w:rFonts w:hint="default" w:ascii="Times New Roman" w:hAnsi="Times New Roman" w:cs="Times New Roman" w:eastAsiaTheme="minorEastAsia"/>
          <w:color w:val="auto"/>
          <w:sz w:val="44"/>
          <w:szCs w:val="44"/>
          <w:highlight w:val="none"/>
        </w:rPr>
      </w:r>
      <w:r/>
    </w:p>
    <w:p>
      <w:pPr>
        <w:rPr>
          <w:rFonts w:hint="default" w:ascii="Times New Roman" w:hAnsi="Times New Roman" w:cs="Times New Roman" w:eastAsiaTheme="minorEastAsia"/>
          <w:color w:val="auto"/>
          <w:sz w:val="44"/>
          <w:szCs w:val="44"/>
          <w:highlight w:val="none"/>
        </w:rPr>
      </w:pPr>
      <w:r>
        <w:rPr>
          <w:rFonts w:hint="default" w:ascii="Times New Roman" w:hAnsi="Times New Roman" w:cs="Times New Roman" w:eastAsiaTheme="minorEastAsia"/>
          <w:color w:val="auto"/>
          <w:sz w:val="44"/>
          <w:szCs w:val="44"/>
          <w:highlight w:val="none"/>
        </w:rPr>
        <w:br w:type="page" w:clear="all"/>
      </w:r>
      <w:r/>
    </w:p>
    <w:p>
      <w:pPr>
        <w:pStyle w:val="838"/>
        <w:ind w:firstLine="560"/>
        <w:jc w:val="center"/>
        <w:spacing w:line="520" w:lineRule="exact"/>
        <w:rPr>
          <w:rFonts w:ascii="Times New Roman" w:eastAsia="方正小标宋_GBK"/>
          <w:color w:val="0d0d0d"/>
          <w:sz w:val="44"/>
          <w:szCs w:val="44"/>
        </w:rPr>
        <w:outlineLvl w:val="0"/>
      </w:pPr>
      <w:r>
        <w:rPr>
          <w:rFonts w:hint="eastAsia" w:ascii="Times New Roman" w:eastAsia="方正小标宋_GBK"/>
          <w:color w:val="0d0d0d"/>
          <w:sz w:val="44"/>
          <w:szCs w:val="44"/>
        </w:rPr>
        <w:t xml:space="preserve">第三章  竞争性磋商</w:t>
      </w:r>
      <w:r/>
    </w:p>
    <w:p>
      <w:pPr>
        <w:spacing w:line="560" w:lineRule="exact"/>
        <w:rPr>
          <w:rFonts w:hAnsi="黑体" w:eastAsia="黑体" w:cs="宋体"/>
          <w:b/>
          <w:color w:val="0d0d0d"/>
          <w:sz w:val="28"/>
          <w:szCs w:val="28"/>
        </w:rPr>
      </w:pPr>
      <w:r>
        <w:rPr>
          <w:rFonts w:hint="eastAsia" w:hAnsi="黑体" w:eastAsia="黑体" w:cs="宋体"/>
          <w:b/>
          <w:color w:val="0d0d0d"/>
          <w:sz w:val="28"/>
          <w:szCs w:val="28"/>
        </w:rPr>
        <w:t xml:space="preserve">竞争性磋商前附表</w:t>
      </w:r>
      <w:r/>
    </w:p>
    <w:tbl>
      <w:tblPr>
        <w:tblStyle w:val="641"/>
        <w:tblW w:w="51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1272"/>
        <w:gridCol w:w="896"/>
        <w:gridCol w:w="6320"/>
      </w:tblGrid>
      <w:tr>
        <w:trPr>
          <w:jc w:val="center"/>
          <w:trHeight w:val="300"/>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1.1资格审查</w:t>
            </w:r>
            <w:r/>
          </w:p>
        </w:tc>
      </w:tr>
      <w:tr>
        <w:trPr>
          <w:jc w:val="center"/>
          <w:trHeight w:val="414"/>
        </w:trPr>
        <w:tc>
          <w:tcPr>
            <w:tcW w:w="555"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spacing w:val="-20"/>
                <w:sz w:val="24"/>
              </w:rPr>
              <w:t xml:space="preserve">评审事项</w:t>
            </w:r>
            <w:r/>
          </w:p>
        </w:tc>
        <w:tc>
          <w:tcPr>
            <w:gridSpan w:val="2"/>
            <w:tcW w:w="1135"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评审因素</w:t>
            </w:r>
            <w:r/>
          </w:p>
        </w:tc>
        <w:tc>
          <w:tcPr>
            <w:tcW w:w="3308"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评审标准</w:t>
            </w:r>
            <w:r/>
          </w:p>
        </w:tc>
      </w:tr>
      <w:tr>
        <w:trPr>
          <w:jc w:val="center"/>
          <w:trHeight w:val="880"/>
        </w:trPr>
        <w:tc>
          <w:tcPr>
            <w:tcW w:w="555" w:type="pct"/>
            <w:vAlign w:val="center"/>
            <w:vMerge w:val="restart"/>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资格审查</w:t>
            </w:r>
            <w:r/>
          </w:p>
        </w:tc>
        <w:tc>
          <w:tcPr>
            <w:gridSpan w:val="2"/>
            <w:tcW w:w="1135" w:type="pct"/>
            <w:vAlign w:val="center"/>
            <w:textDirection w:val="lrTb"/>
            <w:noWrap w:val="false"/>
          </w:tcPr>
          <w:p>
            <w:pPr>
              <w:jc w:val="center"/>
              <w:keepLines w:val="0"/>
              <w:keepNext w:val="0"/>
              <w:pageBreakBefore w:val="0"/>
              <w:spacing w:line="300" w:lineRule="exact"/>
              <w:widowControl w:val="off"/>
              <w:rPr>
                <w:rFonts w:ascii="仿宋_GB2312" w:hAnsi="仿宋" w:eastAsia="仿宋_GB2312"/>
              </w:rPr>
            </w:pPr>
            <w:r>
              <w:rPr>
                <w:rFonts w:hint="eastAsia" w:ascii="仿宋_GB2312" w:hAnsi="仿宋" w:eastAsia="仿宋_GB2312"/>
              </w:rPr>
              <w:t xml:space="preserve">基本资格条件的承诺</w:t>
            </w:r>
            <w:r/>
          </w:p>
        </w:tc>
        <w:tc>
          <w:tcPr>
            <w:tcW w:w="3308" w:type="pct"/>
            <w:vAlign w:val="center"/>
            <w:textDirection w:val="lrTb"/>
            <w:noWrap w:val="false"/>
          </w:tcPr>
          <w:p>
            <w:pPr>
              <w:jc w:val="left"/>
              <w:keepLines w:val="0"/>
              <w:keepNext w:val="0"/>
              <w:pageBreakBefore w:val="0"/>
              <w:spacing w:line="300" w:lineRule="exact"/>
              <w:widowControl w:val="off"/>
              <w:rPr>
                <w:rFonts w:ascii="仿宋_GB2312" w:hAnsi="仿宋" w:eastAsia="仿宋_GB2312"/>
              </w:rPr>
            </w:pPr>
            <w:r>
              <w:rPr>
                <w:rFonts w:hint="eastAsia" w:ascii="仿宋_GB2312" w:hAnsi="仿宋" w:eastAsia="仿宋_GB2312"/>
              </w:rPr>
              <w:t xml:space="preserve">根据供应商提供的承诺书，内容完整且具有法人及法定代表人的印章。（内容及格式参照第六章《供应商基本资格条件承诺书》）</w:t>
            </w:r>
            <w:r/>
          </w:p>
        </w:tc>
      </w:tr>
      <w:tr>
        <w:trPr>
          <w:jc w:val="center"/>
          <w:trHeight w:val="705"/>
        </w:trPr>
        <w:tc>
          <w:tcPr>
            <w:tcW w:w="555" w:type="pct"/>
            <w:vAlign w:val="center"/>
            <w:vMerge w:val="continue"/>
            <w:textDirection w:val="lrTb"/>
            <w:noWrap w:val="false"/>
          </w:tcPr>
          <w:p>
            <w:pPr>
              <w:jc w:val="center"/>
              <w:spacing w:line="400" w:lineRule="exact"/>
              <w:rPr>
                <w:rFonts w:hint="eastAsia" w:ascii="仿宋_GB2312" w:hAnsi="仿宋" w:eastAsia="仿宋_GB2312"/>
              </w:rPr>
            </w:pPr>
            <w:r>
              <w:rPr>
                <w:rFonts w:hint="eastAsia" w:ascii="仿宋_GB2312" w:hAnsi="仿宋" w:eastAsia="仿宋_GB2312"/>
              </w:rPr>
            </w:r>
            <w:r/>
          </w:p>
        </w:tc>
        <w:tc>
          <w:tcPr>
            <w:gridSpan w:val="2"/>
            <w:tcW w:w="1135" w:type="pct"/>
            <w:vAlign w:val="center"/>
            <w:textDirection w:val="lrTb"/>
            <w:noWrap w:val="false"/>
          </w:tcPr>
          <w:p>
            <w:pPr>
              <w:jc w:val="center"/>
              <w:keepLines w:val="0"/>
              <w:keepNext w:val="0"/>
              <w:pageBreakBefore w:val="0"/>
              <w:spacing w:line="300" w:lineRule="exact"/>
              <w:widowControl w:val="off"/>
              <w:rPr>
                <w:rFonts w:hint="eastAsia" w:ascii="仿宋_GB2312" w:hAnsi="仿宋" w:eastAsia="仿宋_GB2312"/>
              </w:rPr>
            </w:pPr>
            <w:r>
              <w:rPr>
                <w:rFonts w:hint="eastAsia" w:ascii="仿宋_GB2312" w:hAnsi="仿宋" w:eastAsia="仿宋_GB2312"/>
              </w:rPr>
              <w:t xml:space="preserve">落实政府采购政策需满足的资格要求</w:t>
            </w:r>
            <w:r/>
          </w:p>
        </w:tc>
        <w:tc>
          <w:tcPr>
            <w:tcW w:w="3308" w:type="pct"/>
            <w:vAlign w:val="center"/>
            <w:textDirection w:val="lrTb"/>
            <w:noWrap w:val="false"/>
          </w:tcPr>
          <w:p>
            <w:pPr>
              <w:jc w:val="left"/>
              <w:keepLines w:val="0"/>
              <w:keepNext w:val="0"/>
              <w:pageBreakBefore w:val="0"/>
              <w:spacing w:line="300" w:lineRule="exact"/>
              <w:widowControl w:val="off"/>
              <w:rPr>
                <w:rFonts w:hint="eastAsia" w:ascii="仿宋_GB2312" w:hAnsi="仿宋" w:eastAsia="仿宋_GB2312"/>
              </w:rPr>
            </w:pPr>
            <w:r>
              <w:rPr>
                <w:rFonts w:hint="eastAsia" w:ascii="仿宋_GB2312" w:hAnsi="仿宋" w:eastAsia="仿宋_GB2312"/>
              </w:rPr>
              <w:t xml:space="preserve">本项目为专门面向中小企业的项目。</w:t>
            </w:r>
            <w:r>
              <w:rPr>
                <w:rFonts w:hint="eastAsia" w:ascii="仿宋_GB2312" w:hAnsi="仿宋" w:eastAsia="仿宋_GB2312"/>
                <w:lang w:val="zh-CN"/>
              </w:rPr>
              <w:t xml:space="preserve">提供《中小企业声明函》（格式见附件）</w:t>
            </w:r>
            <w:r/>
          </w:p>
        </w:tc>
      </w:tr>
      <w:tr>
        <w:trPr>
          <w:jc w:val="center"/>
          <w:trHeight w:val="255"/>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响应文件不符合评审标准之一的，评审结论为不合格。</w:t>
            </w:r>
            <w:r/>
          </w:p>
        </w:tc>
      </w:tr>
      <w:tr>
        <w:trPr>
          <w:jc w:val="center"/>
          <w:trHeight w:val="330"/>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4.2响应性评审</w:t>
            </w:r>
            <w:r/>
          </w:p>
        </w:tc>
      </w:tr>
      <w:tr>
        <w:trPr>
          <w:jc w:val="center"/>
          <w:trHeight w:val="330"/>
        </w:trPr>
        <w:tc>
          <w:tcPr>
            <w:tcW w:w="555"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spacing w:val="-20"/>
                <w:sz w:val="24"/>
              </w:rPr>
              <w:t xml:space="preserve">评审事项</w:t>
            </w:r>
            <w:r/>
          </w:p>
        </w:tc>
        <w:tc>
          <w:tcPr>
            <w:tcW w:w="666"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评审因素</w:t>
            </w:r>
            <w:r/>
          </w:p>
        </w:tc>
        <w:tc>
          <w:tcPr>
            <w:gridSpan w:val="2"/>
            <w:tcW w:w="3778"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评审标准</w:t>
            </w:r>
            <w:r/>
          </w:p>
        </w:tc>
      </w:tr>
      <w:tr>
        <w:trPr>
          <w:jc w:val="center"/>
          <w:trHeight w:val="495"/>
        </w:trPr>
        <w:tc>
          <w:tcPr>
            <w:tcW w:w="555" w:type="pct"/>
            <w:vAlign w:val="center"/>
            <w:textDirection w:val="lrTb"/>
            <w:noWrap w:val="false"/>
          </w:tcPr>
          <w:p>
            <w:pPr>
              <w:jc w:val="center"/>
              <w:keepLines w:val="0"/>
              <w:keepNext w:val="0"/>
              <w:pageBreakBefore w:val="0"/>
              <w:spacing w:line="280" w:lineRule="exact"/>
              <w:widowControl w:val="off"/>
              <w:rPr>
                <w:rFonts w:hint="eastAsia" w:ascii="仿宋_GB2312" w:hAnsi="仿宋" w:eastAsia="仿宋_GB2312"/>
                <w:spacing w:val="-20"/>
                <w:sz w:val="24"/>
                <w:lang w:val="en-US" w:eastAsia="zh-CN"/>
              </w:rPr>
            </w:pPr>
            <w:r>
              <w:rPr>
                <w:rFonts w:hint="eastAsia" w:ascii="仿宋_GB2312" w:hAnsi="仿宋" w:eastAsia="仿宋_GB2312"/>
                <w:spacing w:val="-20"/>
                <w:sz w:val="24"/>
                <w:lang w:val="en-US" w:eastAsia="zh-CN"/>
              </w:rPr>
              <w:t xml:space="preserve">形式性评审</w:t>
            </w:r>
            <w:r/>
          </w:p>
        </w:tc>
        <w:tc>
          <w:tcPr>
            <w:tcW w:w="666" w:type="pct"/>
            <w:vAlign w:val="center"/>
            <w:textDirection w:val="lrTb"/>
            <w:noWrap w:val="false"/>
          </w:tcPr>
          <w:p>
            <w:pPr>
              <w:jc w:val="center"/>
              <w:keepLines w:val="0"/>
              <w:keepNext w:val="0"/>
              <w:pageBreakBefore w:val="0"/>
              <w:spacing w:line="280" w:lineRule="exact"/>
              <w:widowControl w:val="off"/>
              <w:rPr>
                <w:rFonts w:hint="eastAsia" w:ascii="仿宋_GB2312" w:hAnsi="仿宋" w:eastAsia="仿宋_GB2312"/>
              </w:rPr>
            </w:pPr>
            <w:r>
              <w:rPr>
                <w:rFonts w:hint="eastAsia" w:ascii="仿宋_GB2312" w:hAnsi="仿宋" w:eastAsia="仿宋_GB2312"/>
              </w:rPr>
              <w:t xml:space="preserve">响应函签署</w:t>
            </w:r>
            <w:r/>
          </w:p>
        </w:tc>
        <w:tc>
          <w:tcPr>
            <w:gridSpan w:val="2"/>
            <w:tcW w:w="3778" w:type="pct"/>
            <w:vAlign w:val="center"/>
            <w:textDirection w:val="lrTb"/>
            <w:noWrap w:val="false"/>
          </w:tcPr>
          <w:p>
            <w:pPr>
              <w:jc w:val="left"/>
              <w:spacing w:line="400" w:lineRule="exact"/>
              <w:rPr>
                <w:rFonts w:hint="eastAsia" w:ascii="仿宋_GB2312" w:hAnsi="仿宋" w:eastAsia="仿宋_GB2312"/>
              </w:rPr>
            </w:pPr>
            <w:r>
              <w:rPr>
                <w:rFonts w:hint="eastAsia" w:ascii="仿宋_GB2312" w:hAnsi="仿宋" w:eastAsia="仿宋_GB2312"/>
              </w:rPr>
              <w:t xml:space="preserve">响应函具有供应商法人及法定代表人的签章</w:t>
            </w:r>
            <w:r/>
          </w:p>
        </w:tc>
      </w:tr>
      <w:tr>
        <w:trPr>
          <w:jc w:val="center"/>
          <w:trHeight w:val="375"/>
        </w:trPr>
        <w:tc>
          <w:tcPr>
            <w:tcW w:w="555" w:type="pct"/>
            <w:vAlign w:val="center"/>
            <w:vMerge w:val="restart"/>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响应性</w:t>
            </w:r>
            <w:r/>
          </w:p>
          <w:p>
            <w:pPr>
              <w:jc w:val="center"/>
              <w:spacing w:line="400" w:lineRule="exact"/>
              <w:rPr>
                <w:rFonts w:ascii="仿宋_GB2312" w:hAnsi="仿宋" w:eastAsia="仿宋_GB2312"/>
              </w:rPr>
            </w:pPr>
            <w:r>
              <w:rPr>
                <w:rFonts w:hint="eastAsia" w:ascii="仿宋_GB2312" w:hAnsi="仿宋" w:eastAsia="仿宋_GB2312"/>
              </w:rPr>
              <w:t xml:space="preserve">评审</w:t>
            </w:r>
            <w:r/>
          </w:p>
        </w:tc>
        <w:tc>
          <w:tcPr>
            <w:tcW w:w="666"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报价</w:t>
            </w:r>
            <w:r/>
          </w:p>
        </w:tc>
        <w:tc>
          <w:tcPr>
            <w:gridSpan w:val="2"/>
            <w:tcW w:w="3778" w:type="pct"/>
            <w:vAlign w:val="center"/>
            <w:textDirection w:val="lrTb"/>
            <w:noWrap w:val="false"/>
          </w:tcPr>
          <w:p>
            <w:pPr>
              <w:jc w:val="left"/>
              <w:spacing w:line="300" w:lineRule="exact"/>
              <w:rPr>
                <w:rFonts w:ascii="仿宋_GB2312" w:hAnsi="仿宋" w:eastAsia="仿宋_GB2312"/>
              </w:rPr>
            </w:pPr>
            <w:r>
              <w:rPr>
                <w:rFonts w:hint="eastAsia" w:ascii="仿宋_GB2312" w:hAnsi="仿宋" w:eastAsia="仿宋_GB2312"/>
              </w:rPr>
              <w:t xml:space="preserve">有且只有一个有效报价，未超过最高限价</w:t>
            </w:r>
            <w:r/>
          </w:p>
        </w:tc>
      </w:tr>
      <w:tr>
        <w:trPr>
          <w:jc w:val="center"/>
          <w:trHeight w:val="3322"/>
        </w:trPr>
        <w:tc>
          <w:tcPr>
            <w:tcW w:w="555" w:type="pct"/>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tcW w:w="666" w:type="pct"/>
            <w:vAlign w:val="center"/>
            <w:vMerge w:val="restart"/>
            <w:textDirection w:val="lrTb"/>
            <w:noWrap w:val="false"/>
          </w:tcPr>
          <w:p>
            <w:pPr>
              <w:jc w:val="center"/>
              <w:spacing w:line="340" w:lineRule="exact"/>
              <w:rPr>
                <w:rFonts w:ascii="仿宋_GB2312" w:hAnsi="仿宋" w:eastAsia="仿宋_GB2312"/>
              </w:rPr>
            </w:pPr>
            <w:r>
              <w:rPr>
                <w:rFonts w:hint="eastAsia" w:ascii="仿宋_GB2312" w:hAnsi="仿宋" w:eastAsia="仿宋_GB2312"/>
                <w:lang w:val="en-US" w:eastAsia="zh-CN"/>
              </w:rPr>
              <w:t xml:space="preserve">采购</w:t>
            </w:r>
            <w:r>
              <w:rPr>
                <w:rFonts w:hint="eastAsia" w:ascii="仿宋_GB2312" w:hAnsi="仿宋" w:eastAsia="仿宋_GB2312"/>
                <w:lang w:eastAsia="zh-CN"/>
              </w:rPr>
              <w:t xml:space="preserve">需</w:t>
            </w:r>
            <w:r>
              <w:rPr>
                <w:rFonts w:hint="eastAsia" w:ascii="仿宋_GB2312" w:hAnsi="仿宋" w:eastAsia="仿宋_GB2312"/>
              </w:rPr>
              <w:t xml:space="preserve">求响应</w:t>
            </w:r>
            <w:r/>
          </w:p>
        </w:tc>
        <w:tc>
          <w:tcPr>
            <w:gridSpan w:val="2"/>
            <w:tcW w:w="3778" w:type="pct"/>
            <w:vAlign w:val="center"/>
            <w:textDirection w:val="lrTb"/>
            <w:noWrap w:val="false"/>
          </w:tcPr>
          <w:p>
            <w:pPr>
              <w:ind w:left="0" w:right="0"/>
              <w:jc w:val="left"/>
              <w:keepLines w:val="0"/>
              <w:keepNext w:val="0"/>
              <w:pageBreakBefore w:val="0"/>
              <w:spacing w:line="300" w:lineRule="exact"/>
              <w:widowControl w:val="off"/>
              <w:rPr>
                <w:rFonts w:hint="eastAsia" w:ascii="仿宋_GB2312" w:hAnsi="仿宋_GB2312" w:eastAsia="仿宋_GB2312" w:cs="仿宋_GB2312"/>
                <w:b/>
                <w:bCs/>
                <w:color w:val="ff0000"/>
                <w:sz w:val="24"/>
                <w:szCs w:val="24"/>
                <w:highlight w:val="none"/>
                <w:lang w:val="en-US" w:eastAsia="zh-CN"/>
              </w:rPr>
            </w:pPr>
            <w:r>
              <w:rPr>
                <w:rFonts w:hint="eastAsia" w:ascii="仿宋_GB2312" w:hAnsi="仿宋_GB2312" w:eastAsia="仿宋_GB2312" w:cs="仿宋_GB2312"/>
                <w:b/>
                <w:bCs/>
                <w:color w:val="ff0000"/>
                <w:sz w:val="24"/>
                <w:szCs w:val="24"/>
                <w:highlight w:val="none"/>
                <w:lang w:val="en-US" w:eastAsia="zh-CN"/>
              </w:rPr>
              <w:t xml:space="preserve">（包一：丰产新村）</w:t>
            </w:r>
            <w:r/>
          </w:p>
          <w:p>
            <w:pPr>
              <w:ind w:right="0"/>
              <w:jc w:val="left"/>
              <w:keepLines w:val="0"/>
              <w:keepNext w:val="0"/>
              <w:pageBreakBefore w:val="0"/>
              <w:spacing w:line="30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应派驻至少29名符合用工条件的物业服务人员，其中至少包括</w:t>
            </w:r>
            <w:r/>
          </w:p>
          <w:p>
            <w:pPr>
              <w:numPr>
                <w:ilvl w:val="0"/>
                <w:numId w:val="0"/>
              </w:numPr>
              <w:ind w:right="0"/>
              <w:jc w:val="left"/>
              <w:keepLines w:val="0"/>
              <w:keepNext w:val="0"/>
              <w:pageBreakBefore w:val="0"/>
              <w:spacing w:line="30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1.项目经理（1名）：年龄男60周岁（含）以下、女50周岁（含）以下（须提供身份证以及供应商为其缴纳的当月或上月社保证明的复印件）；</w:t>
            </w:r>
            <w:r/>
          </w:p>
          <w:p>
            <w:pPr>
              <w:ind w:left="0" w:right="0"/>
              <w:jc w:val="left"/>
              <w:keepLines w:val="0"/>
              <w:keepNext w:val="0"/>
              <w:pageBreakBefore w:val="0"/>
              <w:spacing w:line="30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2.消控室值班人员（4名）：具备国家消防救援局与人力资源和社会保障部联合颁发的中级（含）以上消防设施操作员职业资格证书（须提供相关证书以及供应商为其缴纳的当月或上月社保证明的复印件）；</w:t>
            </w:r>
            <w:r/>
          </w:p>
          <w:p>
            <w:pPr>
              <w:ind w:left="0" w:right="0"/>
              <w:jc w:val="left"/>
              <w:keepLines w:val="0"/>
              <w:keepNext w:val="0"/>
              <w:pageBreakBefore w:val="0"/>
              <w:spacing w:line="30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3.水电维修工（1名）：具有应急管理部门颁发的“低压电工作业”资格的特种作业操作证（须提供相关证书以及供应商为其缴纳的当月或上月社保证明的复印件）；</w:t>
            </w:r>
            <w:r/>
          </w:p>
          <w:p>
            <w:pPr>
              <w:ind w:left="0" w:right="0"/>
              <w:jc w:val="left"/>
              <w:keepLines w:val="0"/>
              <w:keepNext w:val="0"/>
              <w:pageBreakBefore w:val="0"/>
              <w:spacing w:line="30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4.电梯安全管理人员（2名）：具备市场监督管理部门颁发的特种设备安全管理和作业人员证书（须提供相关证书以及供应商为其缴纳的当月或上月社保证明的复印件）；</w:t>
            </w:r>
            <w:r/>
          </w:p>
          <w:p>
            <w:pPr>
              <w:ind w:left="0" w:right="0"/>
              <w:jc w:val="left"/>
              <w:keepLines w:val="0"/>
              <w:keepNext w:val="0"/>
              <w:pageBreakBefore w:val="0"/>
              <w:spacing w:line="30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5.保安（10名）：具备由公安部门颁发的保安员证（须提供相关证书复印件）；</w:t>
            </w:r>
            <w:r/>
          </w:p>
          <w:p>
            <w:pPr>
              <w:ind w:left="0" w:right="0"/>
              <w:jc w:val="left"/>
              <w:keepLines w:val="0"/>
              <w:keepNext w:val="0"/>
              <w:pageBreakBefore w:val="0"/>
              <w:spacing w:line="300" w:lineRule="exact"/>
              <w:widowControl w:val="off"/>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auto"/>
                <w:sz w:val="24"/>
                <w:szCs w:val="24"/>
                <w:highlight w:val="none"/>
                <w:lang w:val="en-US" w:eastAsia="zh-CN"/>
              </w:rPr>
              <w:t xml:space="preserve">6.其余人员。供应商承诺除上述人员外，在合同履行期间按照采购需求中明确的人员及服务要求委派对应的服务人员（供应商提供承诺函）。</w:t>
            </w:r>
            <w:r/>
          </w:p>
        </w:tc>
      </w:tr>
      <w:tr>
        <w:trPr>
          <w:jc w:val="center"/>
          <w:trHeight w:val="472"/>
        </w:trPr>
        <w:tc>
          <w:tcPr>
            <w:tcW w:w="555" w:type="pct"/>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tcW w:w="666" w:type="pct"/>
            <w:vAlign w:val="center"/>
            <w:vMerge w:val="continue"/>
            <w:textDirection w:val="lrTb"/>
            <w:noWrap w:val="false"/>
          </w:tcPr>
          <w:p>
            <w:pPr>
              <w:jc w:val="center"/>
              <w:spacing w:line="340" w:lineRule="exact"/>
              <w:rPr>
                <w:rFonts w:hint="eastAsia" w:ascii="仿宋_GB2312" w:hAnsi="仿宋" w:eastAsia="仿宋_GB2312"/>
                <w:lang w:val="en-US" w:eastAsia="zh-CN"/>
              </w:rPr>
            </w:pPr>
            <w:r>
              <w:rPr>
                <w:rFonts w:hint="eastAsia" w:ascii="仿宋_GB2312" w:hAnsi="仿宋" w:eastAsia="仿宋_GB2312"/>
                <w:lang w:val="en-US" w:eastAsia="zh-CN"/>
              </w:rPr>
            </w:r>
            <w:r/>
          </w:p>
        </w:tc>
        <w:tc>
          <w:tcPr>
            <w:gridSpan w:val="2"/>
            <w:tcW w:w="3778" w:type="pct"/>
            <w:vAlign w:val="center"/>
            <w:textDirection w:val="lrTb"/>
            <w:noWrap w:val="false"/>
          </w:tcPr>
          <w:p>
            <w:pPr>
              <w:ind w:left="0" w:right="0"/>
              <w:jc w:val="left"/>
              <w:keepLines w:val="0"/>
              <w:keepNext w:val="0"/>
              <w:pageBreakBefore w:val="0"/>
              <w:spacing w:line="300" w:lineRule="exact"/>
              <w:widowControl w:val="off"/>
              <w:rPr>
                <w:rFonts w:hint="eastAsia" w:ascii="仿宋_GB2312" w:hAnsi="仿宋_GB2312" w:eastAsia="仿宋_GB2312" w:cs="仿宋_GB2312"/>
                <w:b/>
                <w:bCs/>
                <w:color w:val="ff0000"/>
                <w:sz w:val="24"/>
                <w:szCs w:val="24"/>
                <w:highlight w:val="none"/>
                <w:lang w:val="en-US" w:eastAsia="zh-CN"/>
              </w:rPr>
            </w:pPr>
            <w:r>
              <w:rPr>
                <w:rFonts w:hint="eastAsia" w:ascii="仿宋_GB2312" w:hAnsi="仿宋_GB2312" w:eastAsia="仿宋_GB2312" w:cs="仿宋_GB2312"/>
                <w:b/>
                <w:bCs/>
                <w:color w:val="ff0000"/>
                <w:sz w:val="24"/>
                <w:szCs w:val="24"/>
                <w:highlight w:val="none"/>
                <w:lang w:val="en-US" w:eastAsia="zh-CN"/>
              </w:rPr>
              <w:t xml:space="preserve">（包二：南园新村）</w:t>
            </w:r>
            <w:r/>
          </w:p>
          <w:p>
            <w:pPr>
              <w:ind w:left="0" w:right="0"/>
              <w:jc w:val="left"/>
              <w:keepLines w:val="0"/>
              <w:keepNext w:val="0"/>
              <w:pageBreakBefore w:val="0"/>
              <w:spacing w:line="30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应派驻至少15名符合用工条件的物业服务人员，其中至少包括：</w:t>
            </w:r>
            <w:r/>
          </w:p>
          <w:p>
            <w:pPr>
              <w:ind w:left="0" w:right="0"/>
              <w:jc w:val="left"/>
              <w:keepLines w:val="0"/>
              <w:keepNext w:val="0"/>
              <w:pageBreakBefore w:val="0"/>
              <w:spacing w:line="30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1.项目经理（1名）：年龄男60周岁（含）以下、女50周岁（含）以下（须提供身份证以及供应商为其缴纳的当月或上月社保证明的复印件）；</w:t>
            </w:r>
            <w:r/>
          </w:p>
          <w:p>
            <w:pPr>
              <w:ind w:left="0" w:right="0"/>
              <w:jc w:val="left"/>
              <w:keepLines w:val="0"/>
              <w:keepNext w:val="0"/>
              <w:pageBreakBefore w:val="0"/>
              <w:spacing w:line="30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2.水电维修工（1名）：具有应急管理部门颁发的“低压电工作业”资格的特种作业操作证（须提供相关证书以及供应商为其缴纳的当月或上月社保证明的复印件）；</w:t>
            </w:r>
            <w:r/>
          </w:p>
          <w:p>
            <w:pPr>
              <w:ind w:left="0" w:right="0"/>
              <w:jc w:val="left"/>
              <w:keepLines w:val="0"/>
              <w:keepNext w:val="0"/>
              <w:pageBreakBefore w:val="0"/>
              <w:spacing w:line="30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3.保安（8名）：具备由公安部门颁发的保安员证（须提供相关证书复印件）；</w:t>
            </w:r>
            <w:r/>
          </w:p>
          <w:p>
            <w:pPr>
              <w:ind w:left="0" w:right="0"/>
              <w:jc w:val="left"/>
              <w:keepLines w:val="0"/>
              <w:keepNext w:val="0"/>
              <w:pageBreakBefore w:val="0"/>
              <w:spacing w:line="300" w:lineRule="exact"/>
              <w:widowControl w:val="off"/>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4.其余人员。供应商承诺除上述人员外，在合同履行期间按照采购需求中明确的人员及服务要求委派对应的服务人员（供应商提供承诺函）。</w:t>
            </w:r>
            <w:r/>
          </w:p>
        </w:tc>
      </w:tr>
      <w:tr>
        <w:trPr>
          <w:jc w:val="center"/>
          <w:trHeight w:val="472"/>
        </w:trPr>
        <w:tc>
          <w:tcPr>
            <w:tcW w:w="555" w:type="pct"/>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tcW w:w="666" w:type="pct"/>
            <w:vAlign w:val="center"/>
            <w:vMerge w:val="continue"/>
            <w:textDirection w:val="lrTb"/>
            <w:noWrap w:val="false"/>
          </w:tcPr>
          <w:p>
            <w:pPr>
              <w:jc w:val="center"/>
              <w:spacing w:line="340" w:lineRule="exact"/>
              <w:rPr>
                <w:rFonts w:hint="eastAsia" w:ascii="仿宋_GB2312" w:hAnsi="仿宋" w:eastAsia="仿宋_GB2312"/>
                <w:lang w:val="en-US" w:eastAsia="zh-CN"/>
              </w:rPr>
            </w:pPr>
            <w:r>
              <w:rPr>
                <w:rFonts w:hint="eastAsia" w:ascii="仿宋_GB2312" w:hAnsi="仿宋" w:eastAsia="仿宋_GB2312"/>
                <w:lang w:val="en-US" w:eastAsia="zh-CN"/>
              </w:rPr>
            </w:r>
            <w:r/>
          </w:p>
        </w:tc>
        <w:tc>
          <w:tcPr>
            <w:gridSpan w:val="2"/>
            <w:shd w:val="clear" w:color="auto" w:fill="auto"/>
            <w:tcW w:w="3778" w:type="pct"/>
            <w:vAlign w:val="center"/>
            <w:textDirection w:val="lrTb"/>
            <w:noWrap w:val="false"/>
          </w:tcPr>
          <w:p>
            <w:pPr>
              <w:jc w:val="left"/>
              <w:keepLines w:val="0"/>
              <w:keepNext w:val="0"/>
              <w:pageBreakBefore w:val="0"/>
              <w:spacing w:line="300" w:lineRule="exact"/>
              <w:widowControl w:val="off"/>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rPr>
              <w:t xml:space="preserve">备注:如磋商后技术要求有变动的，按磋商后确定的技术要求提供相应材料。</w:t>
            </w:r>
            <w:r/>
          </w:p>
        </w:tc>
      </w:tr>
      <w:tr>
        <w:trPr>
          <w:jc w:val="center"/>
          <w:trHeight w:val="357"/>
        </w:trPr>
        <w:tc>
          <w:tcPr>
            <w:tcW w:w="555" w:type="pct"/>
            <w:vAlign w:val="center"/>
            <w:vMerge w:val="continue"/>
            <w:textDirection w:val="lrTb"/>
            <w:noWrap w:val="false"/>
          </w:tcPr>
          <w:p>
            <w:pPr>
              <w:jc w:val="center"/>
              <w:spacing w:line="400" w:lineRule="exact"/>
              <w:rPr>
                <w:rFonts w:hint="eastAsia" w:ascii="仿宋_GB2312" w:hAnsi="仿宋" w:eastAsia="仿宋_GB2312"/>
                <w:lang w:eastAsia="zh-CN"/>
              </w:rPr>
            </w:pPr>
            <w:r>
              <w:rPr>
                <w:rFonts w:hint="eastAsia" w:ascii="仿宋_GB2312" w:hAnsi="仿宋" w:eastAsia="仿宋_GB2312"/>
                <w:lang w:eastAsia="zh-CN"/>
              </w:rPr>
              <w:t xml:space="preserve">.</w:t>
            </w:r>
            <w:r/>
          </w:p>
        </w:tc>
        <w:tc>
          <w:tcPr>
            <w:tcW w:w="666" w:type="pct"/>
            <w:vAlign w:val="center"/>
            <w:textDirection w:val="lrTb"/>
            <w:noWrap w:val="false"/>
          </w:tcPr>
          <w:p>
            <w:pPr>
              <w:jc w:val="center"/>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商务要求响应</w:t>
            </w:r>
            <w:r/>
          </w:p>
        </w:tc>
        <w:tc>
          <w:tcPr>
            <w:gridSpan w:val="2"/>
            <w:tcW w:w="3778" w:type="pct"/>
            <w:vAlign w:val="center"/>
            <w:textDirection w:val="lrTb"/>
            <w:noWrap w:val="false"/>
          </w:tcPr>
          <w:p>
            <w:pPr>
              <w:jc w:val="left"/>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如磋商后商务要求有变动的，按磋商后确定的商务要求提供相应材料</w:t>
            </w:r>
            <w:r/>
          </w:p>
        </w:tc>
      </w:tr>
      <w:tr>
        <w:trPr>
          <w:jc w:val="center"/>
          <w:trHeight w:val="532"/>
        </w:trPr>
        <w:tc>
          <w:tcPr>
            <w:tcW w:w="555" w:type="pct"/>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tcW w:w="666" w:type="pct"/>
            <w:vAlign w:val="center"/>
            <w:textDirection w:val="lrTb"/>
            <w:noWrap w:val="false"/>
          </w:tcPr>
          <w:p>
            <w:pPr>
              <w:jc w:val="center"/>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合同草案条款响应</w:t>
            </w:r>
            <w:r/>
          </w:p>
        </w:tc>
        <w:tc>
          <w:tcPr>
            <w:gridSpan w:val="2"/>
            <w:tcW w:w="3778" w:type="pct"/>
            <w:vAlign w:val="center"/>
            <w:textDirection w:val="lrTb"/>
            <w:noWrap w:val="false"/>
          </w:tcPr>
          <w:p>
            <w:pPr>
              <w:jc w:val="left"/>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如磋商后合同草案条款有变动的，按磋商后确定的合同草案条款响应</w:t>
            </w:r>
            <w:r/>
          </w:p>
        </w:tc>
      </w:tr>
      <w:tr>
        <w:trPr>
          <w:jc w:val="center"/>
          <w:trHeight w:val="307"/>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响应文件不符合评审标准之一的，评审结论为不合格。</w:t>
            </w:r>
            <w:r/>
          </w:p>
        </w:tc>
      </w:tr>
      <w:tr>
        <w:trPr>
          <w:jc w:val="center"/>
          <w:trHeight w:val="307"/>
        </w:trPr>
        <w:tc>
          <w:tcPr>
            <w:gridSpan w:val="4"/>
            <w:tcW w:w="5000" w:type="pct"/>
            <w:vAlign w:val="center"/>
            <w:textDirection w:val="lrTb"/>
            <w:noWrap w:val="false"/>
          </w:tcPr>
          <w:p>
            <w:pPr>
              <w:jc w:val="center"/>
              <w:spacing w:line="400" w:lineRule="exact"/>
              <w:rPr>
                <w:rFonts w:hint="eastAsia" w:ascii="仿宋_GB2312" w:hAnsi="仿宋" w:eastAsia="仿宋_GB2312"/>
                <w:b/>
                <w:lang w:eastAsia="zh-CN"/>
              </w:rPr>
            </w:pPr>
            <w:r>
              <w:rPr>
                <w:rFonts w:hint="eastAsia" w:ascii="仿宋_GB2312" w:hAnsi="仿宋" w:eastAsia="仿宋_GB2312"/>
                <w:b/>
                <w:color w:val="ff0000"/>
              </w:rPr>
              <w:t xml:space="preserve">5.2详细评审</w:t>
            </w:r>
            <w:r>
              <w:rPr>
                <w:rFonts w:hint="eastAsia" w:ascii="仿宋_GB2312" w:hAnsi="仿宋_GB2312" w:eastAsia="仿宋_GB2312" w:cs="仿宋_GB2312"/>
                <w:b/>
                <w:bCs w:val="0"/>
                <w:color w:val="ff0000"/>
                <w:lang w:eastAsia="zh-CN"/>
              </w:rPr>
              <w:t xml:space="preserve">（</w:t>
            </w:r>
            <w:r>
              <w:rPr>
                <w:rFonts w:hint="eastAsia" w:ascii="仿宋_GB2312" w:hAnsi="仿宋_GB2312" w:eastAsia="仿宋_GB2312" w:cs="仿宋_GB2312"/>
                <w:b/>
                <w:bCs w:val="0"/>
                <w:color w:val="ff0000"/>
                <w:sz w:val="22"/>
                <w:szCs w:val="22"/>
                <w:highlight w:val="none"/>
                <w:lang w:val="en-US" w:eastAsia="zh-CN"/>
              </w:rPr>
              <w:t xml:space="preserve">包一：丰产新村</w:t>
            </w:r>
            <w:r>
              <w:rPr>
                <w:rFonts w:hint="eastAsia" w:ascii="仿宋_GB2312" w:hAnsi="仿宋_GB2312" w:eastAsia="仿宋_GB2312" w:cs="仿宋_GB2312"/>
                <w:b/>
                <w:bCs w:val="0"/>
                <w:color w:val="ff0000"/>
                <w:lang w:eastAsia="zh-CN"/>
              </w:rPr>
              <w:t xml:space="preserve">）</w:t>
            </w:r>
            <w:r/>
          </w:p>
        </w:tc>
      </w:tr>
      <w:tr>
        <w:trPr>
          <w:jc w:val="center"/>
          <w:trHeight w:val="330"/>
        </w:trPr>
        <w:tc>
          <w:tcPr>
            <w:shd w:val="clear" w:color="auto" w:fill="auto"/>
            <w:tcW w:w="555" w:type="pct"/>
            <w:vAlign w:val="center"/>
            <w:textDirection w:val="lrTb"/>
            <w:noWrap w:val="false"/>
          </w:tcPr>
          <w:p>
            <w:pPr>
              <w:jc w:val="center"/>
              <w:spacing w:line="400" w:lineRule="exact"/>
              <w:rPr>
                <w:rFonts w:ascii="仿宋" w:hAnsi="仿宋" w:eastAsia="仿宋" w:cs="仿宋"/>
              </w:rPr>
            </w:pPr>
            <w:r>
              <w:rPr>
                <w:rFonts w:hint="eastAsia" w:ascii="仿宋_GB2312" w:hAnsi="仿宋" w:eastAsia="仿宋_GB2312"/>
                <w:b/>
                <w:bCs/>
                <w:spacing w:val="-20"/>
                <w:sz w:val="24"/>
              </w:rPr>
              <w:t xml:space="preserve">评审因素</w:t>
            </w:r>
            <w:r/>
          </w:p>
        </w:tc>
        <w:tc>
          <w:tcPr>
            <w:gridSpan w:val="3"/>
            <w:shd w:val="clear" w:color="auto" w:fill="auto"/>
            <w:tcW w:w="4444" w:type="pct"/>
            <w:vAlign w:val="center"/>
            <w:textDirection w:val="lrTb"/>
            <w:noWrap w:val="false"/>
          </w:tcPr>
          <w:p>
            <w:pPr>
              <w:jc w:val="center"/>
              <w:spacing w:line="240" w:lineRule="exact"/>
              <w:widowControl/>
              <w:rPr>
                <w:rFonts w:ascii="仿宋" w:hAnsi="仿宋" w:eastAsia="仿宋" w:cs="仿宋"/>
              </w:rPr>
            </w:pPr>
            <w:r>
              <w:rPr>
                <w:rFonts w:hint="eastAsia" w:ascii="仿宋" w:hAnsi="仿宋" w:eastAsia="仿宋" w:cs="仿宋"/>
                <w:b/>
                <w:bCs/>
              </w:rPr>
              <w:t xml:space="preserve">评审内容及标准</w:t>
            </w:r>
            <w:r/>
          </w:p>
        </w:tc>
      </w:tr>
      <w:tr>
        <w:trPr>
          <w:jc w:val="center"/>
          <w:trHeight w:val="307"/>
        </w:trPr>
        <w:tc>
          <w:tcPr>
            <w:gridSpan w:val="4"/>
            <w:shd w:val="clear" w:color="auto" w:fill="auto"/>
            <w:tcW w:w="5000" w:type="pct"/>
            <w:vAlign w:val="center"/>
            <w:textDirection w:val="lrTb"/>
            <w:noWrap w:val="false"/>
          </w:tcPr>
          <w:p>
            <w:pPr>
              <w:jc w:val="center"/>
              <w:spacing w:line="240" w:lineRule="exact"/>
              <w:widowControl/>
              <w:rPr>
                <w:rFonts w:ascii="仿宋" w:hAnsi="仿宋" w:eastAsia="仿宋" w:cs="仿宋"/>
              </w:rPr>
            </w:pPr>
            <w:r>
              <w:rPr>
                <w:b/>
                <w:sz w:val="21"/>
              </w:rPr>
              <w:t xml:space="preserve">一、报价评审（</w:t>
            </w:r>
            <w:r>
              <w:rPr>
                <w:rFonts w:hint="eastAsia"/>
                <w:b/>
                <w:sz w:val="21"/>
                <w:lang w:val="en-US" w:eastAsia="zh-CN"/>
              </w:rPr>
              <w:t xml:space="preserve">30</w:t>
            </w:r>
            <w:r>
              <w:rPr>
                <w:b/>
                <w:sz w:val="21"/>
              </w:rPr>
              <w:t xml:space="preserve">分）</w:t>
            </w:r>
            <w:r/>
          </w:p>
        </w:tc>
      </w:tr>
      <w:tr>
        <w:trPr>
          <w:jc w:val="center"/>
          <w:trHeight w:val="90"/>
        </w:trPr>
        <w:tc>
          <w:tcPr>
            <w:shd w:val="clear" w:color="auto" w:fill="auto"/>
            <w:tcW w:w="555" w:type="pct"/>
            <w:vAlign w:val="center"/>
            <w:textDirection w:val="lrTb"/>
            <w:noWrap w:val="false"/>
          </w:tcPr>
          <w:p>
            <w:pPr>
              <w:pStyle w:val="841"/>
              <w:ind w:right="-10"/>
              <w:jc w:val="center"/>
              <w:spacing w:before="0" w:line="320" w:lineRule="exact"/>
              <w:rPr>
                <w:rFonts w:hint="eastAsia" w:ascii="宋体" w:hAnsi="宋体" w:eastAsia="宋体" w:cs="宋体"/>
                <w:bCs w:val="0"/>
                <w:color w:val="auto"/>
                <w:spacing w:val="0"/>
                <w:sz w:val="24"/>
                <w:szCs w:val="24"/>
                <w:lang w:eastAsia="zh-CN"/>
              </w:rPr>
            </w:pPr>
            <w:r>
              <w:rPr>
                <w:rFonts w:hint="eastAsia" w:ascii="宋体" w:hAnsi="宋体" w:eastAsia="宋体" w:cs="宋体"/>
                <w:bCs w:val="0"/>
                <w:color w:val="auto"/>
                <w:spacing w:val="0"/>
                <w:sz w:val="24"/>
                <w:szCs w:val="24"/>
                <w:lang w:eastAsia="zh-CN"/>
              </w:rPr>
              <w:t xml:space="preserve">报价评审（</w:t>
            </w:r>
            <w:r>
              <w:rPr>
                <w:rFonts w:hint="eastAsia" w:ascii="宋体" w:hAnsi="宋体" w:eastAsia="宋体" w:cs="宋体"/>
                <w:bCs w:val="0"/>
                <w:color w:val="auto"/>
                <w:spacing w:val="0"/>
                <w:sz w:val="24"/>
                <w:szCs w:val="24"/>
                <w:lang w:val="en-US" w:eastAsia="zh-CN"/>
              </w:rPr>
              <w:t xml:space="preserve">30</w:t>
            </w:r>
            <w:r>
              <w:rPr>
                <w:rFonts w:hint="eastAsia" w:ascii="宋体" w:hAnsi="宋体" w:eastAsia="宋体" w:cs="宋体"/>
                <w:bCs w:val="0"/>
                <w:color w:val="auto"/>
                <w:spacing w:val="0"/>
                <w:sz w:val="24"/>
                <w:szCs w:val="24"/>
                <w:lang w:eastAsia="zh-CN"/>
              </w:rPr>
              <w:t xml:space="preserve">分）</w:t>
            </w:r>
            <w:r/>
          </w:p>
        </w:tc>
        <w:tc>
          <w:tcPr>
            <w:gridSpan w:val="3"/>
            <w:shd w:val="clear" w:color="auto" w:fill="auto"/>
            <w:tcW w:w="4444" w:type="pct"/>
            <w:vAlign w:val="center"/>
            <w:textDirection w:val="lrTb"/>
            <w:noWrap w:val="false"/>
          </w:tcPr>
          <w:p>
            <w:pPr>
              <w:pStyle w:val="841"/>
              <w:ind w:right="-10"/>
              <w:jc w:val="left"/>
              <w:spacing w:before="0" w:line="320" w:lineRule="exact"/>
              <w:rPr>
                <w:rFonts w:hint="eastAsia" w:ascii="宋体" w:hAnsi="宋体" w:eastAsia="宋体" w:cs="宋体"/>
                <w:bCs w:val="0"/>
                <w:color w:val="auto"/>
                <w:spacing w:val="0"/>
                <w:sz w:val="24"/>
                <w:szCs w:val="24"/>
                <w:lang w:eastAsia="zh-CN"/>
              </w:rPr>
            </w:pPr>
            <w:r>
              <w:rPr>
                <w:rFonts w:hint="eastAsia" w:ascii="宋体" w:hAnsi="宋体" w:eastAsia="宋体" w:cs="宋体"/>
                <w:bCs w:val="0"/>
                <w:color w:val="auto"/>
                <w:spacing w:val="0"/>
                <w:sz w:val="24"/>
                <w:szCs w:val="24"/>
                <w:lang w:eastAsia="zh-CN"/>
              </w:rPr>
              <w:t xml:space="preserve">资格审查和响应性评审合格且投标价格最低为评标基准价，其价格分为</w:t>
            </w:r>
            <w:r>
              <w:rPr>
                <w:rFonts w:hint="eastAsia" w:ascii="宋体" w:hAnsi="宋体" w:eastAsia="宋体" w:cs="宋体"/>
                <w:bCs w:val="0"/>
                <w:color w:val="auto"/>
                <w:spacing w:val="0"/>
                <w:sz w:val="24"/>
                <w:szCs w:val="24"/>
                <w:lang w:val="en-US" w:eastAsia="zh-CN"/>
              </w:rPr>
              <w:t xml:space="preserve">30</w:t>
            </w:r>
            <w:r>
              <w:rPr>
                <w:rFonts w:hint="eastAsia" w:ascii="宋体" w:hAnsi="宋体" w:eastAsia="宋体" w:cs="宋体"/>
                <w:bCs w:val="0"/>
                <w:color w:val="auto"/>
                <w:spacing w:val="0"/>
                <w:sz w:val="24"/>
                <w:szCs w:val="24"/>
                <w:lang w:eastAsia="zh-CN"/>
              </w:rPr>
              <w:t xml:space="preserve">分。其他投标人的价格分按照下列公式计算（小数点保留两位）：投标报价得分=（评标基准价／投标报价）×</w:t>
            </w:r>
            <w:r>
              <w:rPr>
                <w:rFonts w:hint="eastAsia" w:ascii="宋体" w:hAnsi="宋体" w:eastAsia="宋体" w:cs="宋体"/>
                <w:bCs w:val="0"/>
                <w:color w:val="auto"/>
                <w:spacing w:val="0"/>
                <w:sz w:val="24"/>
                <w:szCs w:val="24"/>
                <w:lang w:val="en-US" w:eastAsia="zh-CN"/>
              </w:rPr>
              <w:t xml:space="preserve">30</w:t>
            </w:r>
            <w:r>
              <w:rPr>
                <w:rFonts w:hint="eastAsia" w:ascii="宋体" w:hAnsi="宋体" w:eastAsia="宋体" w:cs="宋体"/>
                <w:bCs w:val="0"/>
                <w:color w:val="auto"/>
                <w:spacing w:val="0"/>
                <w:sz w:val="24"/>
                <w:szCs w:val="24"/>
                <w:lang w:eastAsia="zh-CN"/>
              </w:rPr>
              <w:t xml:space="preserve">分（保留两位小数）。</w:t>
            </w:r>
            <w:r/>
          </w:p>
        </w:tc>
      </w:tr>
      <w:tr>
        <w:trPr>
          <w:jc w:val="center"/>
          <w:trHeight w:val="325"/>
        </w:trPr>
        <w:tc>
          <w:tcPr>
            <w:gridSpan w:val="4"/>
            <w:shd w:val="clear" w:color="auto" w:fill="auto"/>
            <w:tcW w:w="5000" w:type="pct"/>
            <w:vAlign w:val="center"/>
            <w:textDirection w:val="lrTb"/>
            <w:noWrap w:val="false"/>
          </w:tcPr>
          <w:p>
            <w:pPr>
              <w:pStyle w:val="841"/>
              <w:spacing w:before="0" w:line="320" w:lineRule="exact"/>
              <w:rPr>
                <w:rFonts w:ascii="仿宋" w:hAnsi="仿宋" w:eastAsia="仿宋" w:cs="仿宋"/>
                <w:b/>
                <w:color w:val="auto"/>
                <w:sz w:val="24"/>
                <w:szCs w:val="24"/>
                <w:lang w:eastAsia="zh-CN"/>
              </w:rPr>
            </w:pPr>
            <w:r>
              <w:rPr>
                <w:b/>
                <w:color w:val="auto"/>
                <w:sz w:val="21"/>
              </w:rPr>
              <w:t xml:space="preserve">二、商务评审（</w:t>
            </w:r>
            <w:r>
              <w:rPr>
                <w:rFonts w:hint="eastAsia" w:ascii="Times New Roman"/>
                <w:b/>
                <w:color w:val="auto"/>
                <w:sz w:val="21"/>
                <w:lang w:val="en-US" w:eastAsia="zh-CN"/>
              </w:rPr>
              <w:t xml:space="preserve">30</w:t>
            </w:r>
            <w:r>
              <w:rPr>
                <w:b/>
                <w:color w:val="auto"/>
                <w:sz w:val="21"/>
              </w:rPr>
              <w:t xml:space="preserve">分）</w:t>
            </w:r>
            <w:r/>
          </w:p>
        </w:tc>
      </w:tr>
      <w:tr>
        <w:trPr>
          <w:jc w:val="center"/>
          <w:trHeight w:val="90"/>
        </w:trPr>
        <w:tc>
          <w:tcPr>
            <w:shd w:val="clear" w:color="auto" w:fill="auto"/>
            <w:tcW w:w="555" w:type="pct"/>
            <w:vAlign w:val="center"/>
            <w:textDirection w:val="lrTb"/>
            <w:noWrap w:val="false"/>
          </w:tcPr>
          <w:p>
            <w:pPr>
              <w:pStyle w:val="841"/>
              <w:ind w:left="0" w:right="0"/>
              <w:jc w:val="center"/>
              <w:keepLines w:val="0"/>
              <w:keepNext w:val="0"/>
              <w:pageBreakBefore w:val="0"/>
              <w:spacing w:before="0" w:line="360" w:lineRule="exact"/>
              <w:rPr>
                <w:rFonts w:ascii="仿宋" w:hAnsi="仿宋" w:eastAsia="仿宋" w:cs="仿宋"/>
              </w:rPr>
            </w:pPr>
            <w:r>
              <w:rPr>
                <w:rFonts w:hint="default" w:ascii="Times New Roman" w:hAnsi="Times New Roman" w:cs="Times New Roman" w:eastAsiaTheme="minorEastAsia"/>
                <w:bCs w:val="0"/>
                <w:color w:val="auto"/>
                <w:spacing w:val="0"/>
                <w:sz w:val="22"/>
                <w:szCs w:val="22"/>
                <w:highlight w:val="none"/>
                <w:lang w:eastAsia="zh-CN"/>
              </w:rPr>
              <w:t xml:space="preserve">企业</w:t>
            </w:r>
            <w:r>
              <w:rPr>
                <w:rFonts w:hint="default" w:ascii="Times New Roman" w:hAnsi="Times New Roman" w:cs="Times New Roman" w:eastAsiaTheme="minorEastAsia"/>
                <w:bCs w:val="0"/>
                <w:color w:val="auto"/>
                <w:spacing w:val="0"/>
                <w:sz w:val="22"/>
                <w:szCs w:val="22"/>
                <w:highlight w:val="none"/>
                <w:lang w:val="en-US" w:eastAsia="zh-CN"/>
              </w:rPr>
              <w:t xml:space="preserve">实力（3分）</w:t>
            </w:r>
            <w:r/>
          </w:p>
        </w:tc>
        <w:tc>
          <w:tcPr>
            <w:gridSpan w:val="3"/>
            <w:shd w:val="clear" w:color="auto" w:fill="auto"/>
            <w:tcW w:w="4444" w:type="pct"/>
            <w:vAlign w:val="center"/>
            <w:textDirection w:val="lrTb"/>
            <w:noWrap w:val="false"/>
          </w:tcPr>
          <w:p>
            <w:pPr>
              <w:pStyle w:val="841"/>
              <w:ind w:left="0" w:right="0"/>
              <w:jc w:val="both"/>
              <w:keepLines w:val="0"/>
              <w:keepNext w:val="0"/>
              <w:pageBreakBefore w:val="0"/>
              <w:spacing w:before="0" w:line="360" w:lineRule="exact"/>
              <w:rPr>
                <w:rFonts w:hint="default" w:ascii="Times New Roman" w:hAnsi="Times New Roman" w:cs="Times New Roman" w:eastAsiaTheme="minorEastAsia"/>
                <w:bCs w:val="0"/>
                <w:color w:val="auto"/>
                <w:spacing w:val="0"/>
                <w:sz w:val="22"/>
                <w:szCs w:val="22"/>
                <w:highlight w:val="none"/>
                <w:lang w:eastAsia="zh-CN"/>
              </w:rPr>
            </w:pPr>
            <w:r>
              <w:rPr>
                <w:rFonts w:hint="eastAsia" w:ascii="Times New Roman" w:hAnsi="Times New Roman" w:cs="Times New Roman" w:eastAsiaTheme="minorEastAsia"/>
                <w:bCs w:val="0"/>
                <w:color w:val="auto"/>
                <w:spacing w:val="0"/>
                <w:sz w:val="22"/>
                <w:szCs w:val="22"/>
                <w:highlight w:val="none"/>
                <w:lang w:val="en-US" w:eastAsia="zh-CN"/>
              </w:rPr>
              <w:t xml:space="preserve">1.</w:t>
            </w:r>
            <w:r>
              <w:rPr>
                <w:rFonts w:hint="default" w:ascii="Times New Roman" w:hAnsi="Times New Roman" w:cs="Times New Roman" w:eastAsiaTheme="minorEastAsia"/>
                <w:bCs w:val="0"/>
                <w:color w:val="auto"/>
                <w:spacing w:val="0"/>
                <w:sz w:val="22"/>
                <w:szCs w:val="22"/>
                <w:highlight w:val="none"/>
                <w:lang w:eastAsia="zh-CN"/>
              </w:rPr>
              <w:t xml:space="preserve">投标人通过质量管理体系认证，且在有效期内，得</w:t>
            </w:r>
            <w:r>
              <w:rPr>
                <w:rFonts w:hint="default" w:ascii="Times New Roman" w:hAnsi="Times New Roman" w:cs="Times New Roman" w:eastAsiaTheme="minorEastAsia"/>
                <w:bCs w:val="0"/>
                <w:color w:val="auto"/>
                <w:spacing w:val="0"/>
                <w:sz w:val="22"/>
                <w:szCs w:val="22"/>
                <w:highlight w:val="none"/>
                <w:lang w:val="en-US" w:eastAsia="zh-CN"/>
              </w:rPr>
              <w:t xml:space="preserve">1</w:t>
            </w:r>
            <w:r>
              <w:rPr>
                <w:rFonts w:hint="default" w:ascii="Times New Roman" w:hAnsi="Times New Roman" w:cs="Times New Roman" w:eastAsiaTheme="minorEastAsia"/>
                <w:bCs w:val="0"/>
                <w:color w:val="auto"/>
                <w:spacing w:val="0"/>
                <w:sz w:val="22"/>
                <w:szCs w:val="22"/>
                <w:highlight w:val="none"/>
                <w:lang w:eastAsia="zh-CN"/>
              </w:rPr>
              <w:t xml:space="preserve">分；</w:t>
            </w:r>
            <w:r/>
          </w:p>
          <w:p>
            <w:pPr>
              <w:pStyle w:val="841"/>
              <w:ind w:left="0" w:right="0"/>
              <w:jc w:val="both"/>
              <w:keepLines w:val="0"/>
              <w:keepNext w:val="0"/>
              <w:pageBreakBefore w:val="0"/>
              <w:spacing w:before="0" w:line="360" w:lineRule="exact"/>
              <w:rPr>
                <w:rFonts w:hint="default" w:ascii="Times New Roman" w:hAnsi="Times New Roman" w:cs="Times New Roman" w:eastAsiaTheme="minorEastAsia"/>
                <w:bCs w:val="0"/>
                <w:color w:val="auto"/>
                <w:spacing w:val="0"/>
                <w:sz w:val="22"/>
                <w:szCs w:val="22"/>
                <w:highlight w:val="none"/>
                <w:lang w:eastAsia="zh-CN"/>
              </w:rPr>
            </w:pPr>
            <w:r>
              <w:rPr>
                <w:rFonts w:hint="eastAsia" w:ascii="Times New Roman" w:hAnsi="Times New Roman" w:cs="Times New Roman" w:eastAsiaTheme="minorEastAsia"/>
                <w:bCs w:val="0"/>
                <w:color w:val="auto"/>
                <w:spacing w:val="0"/>
                <w:sz w:val="22"/>
                <w:szCs w:val="22"/>
                <w:highlight w:val="none"/>
                <w:lang w:val="en-US" w:eastAsia="zh-CN"/>
              </w:rPr>
              <w:t xml:space="preserve">2.</w:t>
            </w:r>
            <w:r>
              <w:rPr>
                <w:rFonts w:hint="default" w:ascii="Times New Roman" w:hAnsi="Times New Roman" w:cs="Times New Roman" w:eastAsiaTheme="minorEastAsia"/>
                <w:bCs w:val="0"/>
                <w:color w:val="auto"/>
                <w:spacing w:val="0"/>
                <w:sz w:val="22"/>
                <w:szCs w:val="22"/>
                <w:highlight w:val="none"/>
                <w:lang w:eastAsia="zh-CN"/>
              </w:rPr>
              <w:t xml:space="preserve">投标人通过环境管理体系认证，且在有效期内，得</w:t>
            </w:r>
            <w:r>
              <w:rPr>
                <w:rFonts w:hint="default" w:ascii="Times New Roman" w:hAnsi="Times New Roman" w:cs="Times New Roman" w:eastAsiaTheme="minorEastAsia"/>
                <w:bCs w:val="0"/>
                <w:color w:val="auto"/>
                <w:spacing w:val="0"/>
                <w:sz w:val="22"/>
                <w:szCs w:val="22"/>
                <w:highlight w:val="none"/>
                <w:lang w:val="en-US" w:eastAsia="zh-CN"/>
              </w:rPr>
              <w:t xml:space="preserve">1</w:t>
            </w:r>
            <w:r>
              <w:rPr>
                <w:rFonts w:hint="default" w:ascii="Times New Roman" w:hAnsi="Times New Roman" w:cs="Times New Roman" w:eastAsiaTheme="minorEastAsia"/>
                <w:bCs w:val="0"/>
                <w:color w:val="auto"/>
                <w:spacing w:val="0"/>
                <w:sz w:val="22"/>
                <w:szCs w:val="22"/>
                <w:highlight w:val="none"/>
                <w:lang w:eastAsia="zh-CN"/>
              </w:rPr>
              <w:t xml:space="preserve">分；</w:t>
            </w:r>
            <w:r/>
          </w:p>
          <w:p>
            <w:pPr>
              <w:pStyle w:val="841"/>
              <w:ind w:left="0" w:right="0"/>
              <w:jc w:val="both"/>
              <w:keepLines w:val="0"/>
              <w:keepNext w:val="0"/>
              <w:pageBreakBefore w:val="0"/>
              <w:spacing w:before="0" w:line="360" w:lineRule="exact"/>
              <w:rPr>
                <w:rFonts w:hint="default" w:ascii="Times New Roman" w:hAnsi="Times New Roman" w:cs="Times New Roman" w:eastAsiaTheme="minorEastAsia"/>
                <w:bCs w:val="0"/>
                <w:color w:val="auto"/>
                <w:spacing w:val="0"/>
                <w:sz w:val="22"/>
                <w:szCs w:val="22"/>
                <w:highlight w:val="none"/>
                <w:lang w:eastAsia="zh-CN"/>
              </w:rPr>
            </w:pPr>
            <w:r>
              <w:rPr>
                <w:rFonts w:hint="eastAsia" w:ascii="Times New Roman" w:hAnsi="Times New Roman" w:cs="Times New Roman" w:eastAsiaTheme="minorEastAsia"/>
                <w:bCs w:val="0"/>
                <w:color w:val="auto"/>
                <w:spacing w:val="0"/>
                <w:sz w:val="22"/>
                <w:szCs w:val="22"/>
                <w:highlight w:val="none"/>
                <w:lang w:val="en-US" w:eastAsia="zh-CN"/>
              </w:rPr>
              <w:t xml:space="preserve">3.</w:t>
            </w:r>
            <w:r>
              <w:rPr>
                <w:rFonts w:hint="default" w:ascii="Times New Roman" w:hAnsi="Times New Roman" w:cs="Times New Roman" w:eastAsiaTheme="minorEastAsia"/>
                <w:bCs w:val="0"/>
                <w:color w:val="auto"/>
                <w:spacing w:val="0"/>
                <w:sz w:val="22"/>
                <w:szCs w:val="22"/>
                <w:highlight w:val="none"/>
                <w:lang w:eastAsia="zh-CN"/>
              </w:rPr>
              <w:t xml:space="preserve">投标人通过职业健康安全管理体系认证的，且在有效期内，得</w:t>
            </w:r>
            <w:r>
              <w:rPr>
                <w:rFonts w:hint="default" w:ascii="Times New Roman" w:hAnsi="Times New Roman" w:cs="Times New Roman" w:eastAsiaTheme="minorEastAsia"/>
                <w:bCs w:val="0"/>
                <w:color w:val="auto"/>
                <w:spacing w:val="0"/>
                <w:sz w:val="22"/>
                <w:szCs w:val="22"/>
                <w:highlight w:val="none"/>
                <w:lang w:val="en-US" w:eastAsia="zh-CN"/>
              </w:rPr>
              <w:t xml:space="preserve">1</w:t>
            </w:r>
            <w:r>
              <w:rPr>
                <w:rFonts w:hint="default" w:ascii="Times New Roman" w:hAnsi="Times New Roman" w:cs="Times New Roman" w:eastAsiaTheme="minorEastAsia"/>
                <w:bCs w:val="0"/>
                <w:color w:val="auto"/>
                <w:spacing w:val="0"/>
                <w:sz w:val="22"/>
                <w:szCs w:val="22"/>
                <w:highlight w:val="none"/>
                <w:lang w:eastAsia="zh-CN"/>
              </w:rPr>
              <w:t xml:space="preserve">分；</w:t>
            </w:r>
            <w:r/>
          </w:p>
          <w:p>
            <w:pPr>
              <w:pStyle w:val="841"/>
              <w:ind w:left="0" w:right="0"/>
              <w:jc w:val="both"/>
              <w:keepLines w:val="0"/>
              <w:keepNext w:val="0"/>
              <w:pageBreakBefore w:val="0"/>
              <w:spacing w:before="0" w:line="360" w:lineRule="exact"/>
              <w:rPr>
                <w:rFonts w:ascii="仿宋" w:hAnsi="仿宋" w:eastAsia="仿宋" w:cs="仿宋"/>
                <w:b/>
                <w:bCs/>
                <w:sz w:val="24"/>
                <w:szCs w:val="24"/>
              </w:rPr>
            </w:pPr>
            <w:r>
              <w:rPr>
                <w:rFonts w:hint="default" w:ascii="Times New Roman" w:hAnsi="Times New Roman" w:cs="Times New Roman" w:eastAsiaTheme="minorEastAsia"/>
                <w:b/>
                <w:bCs/>
                <w:color w:val="auto"/>
                <w:spacing w:val="0"/>
                <w:sz w:val="22"/>
                <w:szCs w:val="22"/>
                <w:highlight w:val="none"/>
                <w:lang w:val="en-US" w:eastAsia="zh-CN"/>
              </w:rPr>
              <w:t xml:space="preserve">【提供全国认证认可信息公共服务平台查询的截图，认证证书在有效期内</w:t>
            </w:r>
            <w:r>
              <w:rPr>
                <w:rFonts w:hint="eastAsia" w:ascii="Times New Roman" w:hAnsi="Times New Roman" w:cs="Times New Roman" w:eastAsiaTheme="minorEastAsia"/>
                <w:b/>
                <w:bCs/>
                <w:color w:val="auto"/>
                <w:spacing w:val="0"/>
                <w:sz w:val="22"/>
                <w:szCs w:val="22"/>
                <w:highlight w:val="none"/>
                <w:lang w:val="en-US" w:eastAsia="zh-CN"/>
              </w:rPr>
              <w:t xml:space="preserve">。】</w:t>
            </w:r>
            <w:r/>
          </w:p>
        </w:tc>
      </w:tr>
      <w:tr>
        <w:trPr>
          <w:jc w:val="center"/>
          <w:trHeight w:val="1095"/>
        </w:trPr>
        <w:tc>
          <w:tcPr>
            <w:shd w:val="clear" w:color="auto" w:fill="auto"/>
            <w:tcW w:w="555" w:type="pct"/>
            <w:vAlign w:val="center"/>
            <w:textDirection w:val="lrTb"/>
            <w:noWrap w:val="false"/>
          </w:tcPr>
          <w:p>
            <w:pPr>
              <w:pStyle w:val="841"/>
              <w:ind w:left="0" w:right="0"/>
              <w:jc w:val="center"/>
              <w:keepLines w:val="0"/>
              <w:keepNext w:val="0"/>
              <w:pageBreakBefore w:val="0"/>
              <w:spacing w:before="0" w:line="360" w:lineRule="exact"/>
              <w:rPr>
                <w:rFonts w:hint="eastAsia" w:ascii="仿宋_GB2312" w:hAnsi="仿宋" w:eastAsia="仿宋_GB2312" w:cs="Times New Roman"/>
                <w:bCs w:val="0"/>
                <w:color w:val="auto"/>
                <w:spacing w:val="0"/>
                <w:sz w:val="24"/>
                <w:szCs w:val="24"/>
                <w:lang w:eastAsia="zh-CN"/>
              </w:rPr>
            </w:pPr>
            <w:r>
              <w:rPr>
                <w:rFonts w:hint="default" w:ascii="Times New Roman" w:hAnsi="Times New Roman" w:cs="Times New Roman" w:eastAsiaTheme="minorEastAsia"/>
                <w:bCs w:val="0"/>
                <w:color w:val="auto"/>
                <w:spacing w:val="0"/>
                <w:sz w:val="22"/>
                <w:szCs w:val="22"/>
                <w:highlight w:val="none"/>
                <w:lang w:eastAsia="zh-CN"/>
              </w:rPr>
              <w:t xml:space="preserve">企业荣誉（</w:t>
            </w:r>
            <w:r>
              <w:rPr>
                <w:rFonts w:hint="default" w:ascii="Times New Roman" w:hAnsi="Times New Roman" w:cs="Times New Roman" w:eastAsiaTheme="minorEastAsia"/>
                <w:bCs w:val="0"/>
                <w:color w:val="auto"/>
                <w:spacing w:val="0"/>
                <w:sz w:val="22"/>
                <w:szCs w:val="22"/>
                <w:highlight w:val="none"/>
                <w:lang w:val="en-US" w:eastAsia="zh-CN"/>
              </w:rPr>
              <w:t xml:space="preserve">6</w:t>
            </w:r>
            <w:r>
              <w:rPr>
                <w:rFonts w:hint="default" w:ascii="Times New Roman" w:hAnsi="Times New Roman" w:cs="Times New Roman" w:eastAsiaTheme="minorEastAsia"/>
                <w:bCs w:val="0"/>
                <w:color w:val="auto"/>
                <w:spacing w:val="0"/>
                <w:sz w:val="22"/>
                <w:szCs w:val="22"/>
                <w:highlight w:val="none"/>
                <w:lang w:eastAsia="zh-CN"/>
              </w:rPr>
              <w:t xml:space="preserve">分）</w:t>
            </w:r>
            <w:r/>
          </w:p>
        </w:tc>
        <w:tc>
          <w:tcPr>
            <w:gridSpan w:val="3"/>
            <w:shd w:val="clear" w:color="auto" w:fill="auto"/>
            <w:tcW w:w="4444" w:type="pct"/>
            <w:vAlign w:val="center"/>
            <w:textDirection w:val="lrTb"/>
            <w:noWrap w:val="false"/>
          </w:tcPr>
          <w:p>
            <w:pPr>
              <w:pStyle w:val="841"/>
              <w:ind w:left="0" w:right="0"/>
              <w:jc w:val="both"/>
              <w:keepLines w:val="0"/>
              <w:keepNext w:val="0"/>
              <w:pageBreakBefore w:val="0"/>
              <w:spacing w:before="0" w:line="360" w:lineRule="exact"/>
              <w:rPr>
                <w:rFonts w:hint="default" w:ascii="Times New Roman" w:hAnsi="Times New Roman" w:cs="Times New Roman" w:eastAsiaTheme="minorEastAsia"/>
                <w:bCs w:val="0"/>
                <w:color w:val="auto"/>
                <w:spacing w:val="0"/>
                <w:sz w:val="22"/>
                <w:szCs w:val="22"/>
                <w:highlight w:val="none"/>
                <w:lang w:val="en-US" w:eastAsia="zh-CN"/>
              </w:rPr>
            </w:pPr>
            <w:r>
              <w:rPr>
                <w:rFonts w:hint="default" w:ascii="Times New Roman" w:hAnsi="Times New Roman" w:cs="Times New Roman" w:eastAsiaTheme="minorEastAsia"/>
                <w:bCs w:val="0"/>
                <w:color w:val="auto"/>
                <w:spacing w:val="0"/>
                <w:sz w:val="22"/>
                <w:szCs w:val="22"/>
                <w:highlight w:val="none"/>
                <w:lang w:val="en-US" w:eastAsia="zh-CN"/>
              </w:rPr>
              <w:t xml:space="preserve">投标人承担的住宅物业管理服务项目，在</w:t>
            </w:r>
            <w:r>
              <w:rPr>
                <w:rFonts w:hint="eastAsia" w:ascii="Times New Roman" w:hAnsi="Times New Roman" w:cs="Times New Roman" w:eastAsiaTheme="minorEastAsia"/>
                <w:bCs w:val="0"/>
                <w:color w:val="auto"/>
                <w:spacing w:val="0"/>
                <w:sz w:val="22"/>
                <w:szCs w:val="22"/>
                <w:highlight w:val="none"/>
                <w:lang w:val="en-US" w:eastAsia="zh-CN"/>
              </w:rPr>
              <w:t xml:space="preserve">物业</w:t>
            </w:r>
            <w:r>
              <w:rPr>
                <w:rFonts w:hint="default" w:ascii="Times New Roman" w:hAnsi="Times New Roman" w:cs="Times New Roman" w:eastAsiaTheme="minorEastAsia"/>
                <w:bCs w:val="0"/>
                <w:color w:val="auto"/>
                <w:spacing w:val="0"/>
                <w:sz w:val="22"/>
                <w:szCs w:val="22"/>
                <w:highlight w:val="none"/>
                <w:lang w:val="en-US" w:eastAsia="zh-CN"/>
              </w:rPr>
              <w:t xml:space="preserve">服务过程中，获得过政府部门或行政主管部门</w:t>
            </w:r>
            <w:r>
              <w:rPr>
                <w:rFonts w:hint="eastAsia" w:ascii="Times New Roman" w:hAnsi="Times New Roman" w:cs="Times New Roman" w:eastAsiaTheme="minorEastAsia"/>
                <w:bCs w:val="0"/>
                <w:color w:val="auto"/>
                <w:spacing w:val="0"/>
                <w:sz w:val="22"/>
                <w:szCs w:val="22"/>
                <w:highlight w:val="none"/>
                <w:lang w:val="en-US" w:eastAsia="zh-CN"/>
              </w:rPr>
              <w:t xml:space="preserve">关于物业管理方面</w:t>
            </w:r>
            <w:r>
              <w:rPr>
                <w:rFonts w:hint="default" w:ascii="Times New Roman" w:hAnsi="Times New Roman" w:cs="Times New Roman" w:eastAsiaTheme="minorEastAsia"/>
                <w:bCs w:val="0"/>
                <w:color w:val="auto"/>
                <w:spacing w:val="0"/>
                <w:sz w:val="22"/>
                <w:szCs w:val="22"/>
                <w:highlight w:val="none"/>
                <w:lang w:val="en-US" w:eastAsia="zh-CN"/>
              </w:rPr>
              <w:t xml:space="preserve">奖励、表彰的，省级</w:t>
            </w:r>
            <w:r>
              <w:rPr>
                <w:rFonts w:hint="eastAsia" w:ascii="Times New Roman" w:hAnsi="Times New Roman" w:cs="Times New Roman" w:eastAsiaTheme="minorEastAsia"/>
                <w:bCs w:val="0"/>
                <w:color w:val="auto"/>
                <w:spacing w:val="0"/>
                <w:sz w:val="22"/>
                <w:szCs w:val="22"/>
                <w:highlight w:val="none"/>
                <w:lang w:val="en-US" w:eastAsia="zh-CN"/>
              </w:rPr>
              <w:t xml:space="preserve">及以上的</w:t>
            </w:r>
            <w:r>
              <w:rPr>
                <w:rFonts w:hint="default" w:ascii="Times New Roman" w:hAnsi="Times New Roman" w:cs="Times New Roman" w:eastAsiaTheme="minorEastAsia"/>
                <w:bCs w:val="0"/>
                <w:color w:val="auto"/>
                <w:spacing w:val="0"/>
                <w:sz w:val="22"/>
                <w:szCs w:val="22"/>
                <w:highlight w:val="none"/>
                <w:lang w:val="en-US" w:eastAsia="zh-CN"/>
              </w:rPr>
              <w:t xml:space="preserve">每项</w:t>
            </w:r>
            <w:r>
              <w:rPr>
                <w:rFonts w:hint="eastAsia" w:ascii="Times New Roman" w:hAnsi="Times New Roman" w:cs="Times New Roman" w:eastAsiaTheme="minorEastAsia"/>
                <w:bCs w:val="0"/>
                <w:color w:val="auto"/>
                <w:spacing w:val="0"/>
                <w:sz w:val="22"/>
                <w:szCs w:val="22"/>
                <w:highlight w:val="none"/>
                <w:lang w:val="en-US" w:eastAsia="zh-CN"/>
              </w:rPr>
              <w:t xml:space="preserve">3</w:t>
            </w:r>
            <w:r>
              <w:rPr>
                <w:rFonts w:hint="default" w:ascii="Times New Roman" w:hAnsi="Times New Roman" w:cs="Times New Roman" w:eastAsiaTheme="minorEastAsia"/>
                <w:bCs w:val="0"/>
                <w:color w:val="auto"/>
                <w:spacing w:val="0"/>
                <w:sz w:val="22"/>
                <w:szCs w:val="22"/>
                <w:highlight w:val="none"/>
                <w:lang w:val="en-US" w:eastAsia="zh-CN"/>
              </w:rPr>
              <w:t xml:space="preserve">分，地级市</w:t>
            </w:r>
            <w:r>
              <w:rPr>
                <w:rFonts w:hint="eastAsia" w:ascii="Times New Roman" w:hAnsi="Times New Roman" w:cs="Times New Roman" w:eastAsiaTheme="minorEastAsia"/>
                <w:bCs w:val="0"/>
                <w:color w:val="auto"/>
                <w:spacing w:val="0"/>
                <w:sz w:val="22"/>
                <w:szCs w:val="22"/>
                <w:highlight w:val="none"/>
                <w:lang w:val="en-US" w:eastAsia="zh-CN"/>
              </w:rPr>
              <w:t xml:space="preserve">的</w:t>
            </w:r>
            <w:r>
              <w:rPr>
                <w:rFonts w:hint="default" w:ascii="Times New Roman" w:hAnsi="Times New Roman" w:cs="Times New Roman" w:eastAsiaTheme="minorEastAsia"/>
                <w:bCs w:val="0"/>
                <w:color w:val="auto"/>
                <w:spacing w:val="0"/>
                <w:sz w:val="22"/>
                <w:szCs w:val="22"/>
                <w:highlight w:val="none"/>
                <w:lang w:val="en-US" w:eastAsia="zh-CN"/>
              </w:rPr>
              <w:t xml:space="preserve">每项</w:t>
            </w:r>
            <w:r>
              <w:rPr>
                <w:rFonts w:hint="eastAsia" w:ascii="Times New Roman" w:hAnsi="Times New Roman" w:cs="Times New Roman" w:eastAsiaTheme="minorEastAsia"/>
                <w:bCs w:val="0"/>
                <w:color w:val="auto"/>
                <w:spacing w:val="0"/>
                <w:sz w:val="22"/>
                <w:szCs w:val="22"/>
                <w:highlight w:val="none"/>
                <w:lang w:val="en-US" w:eastAsia="zh-CN"/>
              </w:rPr>
              <w:t xml:space="preserve">2</w:t>
            </w:r>
            <w:r>
              <w:rPr>
                <w:rFonts w:hint="default" w:ascii="Times New Roman" w:hAnsi="Times New Roman" w:cs="Times New Roman" w:eastAsiaTheme="minorEastAsia"/>
                <w:bCs w:val="0"/>
                <w:color w:val="auto"/>
                <w:spacing w:val="0"/>
                <w:sz w:val="22"/>
                <w:szCs w:val="22"/>
                <w:highlight w:val="none"/>
                <w:lang w:val="en-US" w:eastAsia="zh-CN"/>
              </w:rPr>
              <w:t xml:space="preserve">分，区县级</w:t>
            </w:r>
            <w:r>
              <w:rPr>
                <w:rFonts w:hint="eastAsia" w:ascii="Times New Roman" w:hAnsi="Times New Roman" w:cs="Times New Roman" w:eastAsiaTheme="minorEastAsia"/>
                <w:bCs w:val="0"/>
                <w:color w:val="auto"/>
                <w:spacing w:val="0"/>
                <w:sz w:val="22"/>
                <w:szCs w:val="22"/>
                <w:highlight w:val="none"/>
                <w:lang w:val="en-US" w:eastAsia="zh-CN"/>
              </w:rPr>
              <w:t xml:space="preserve">的每项1分，</w:t>
            </w:r>
            <w:r>
              <w:rPr>
                <w:rFonts w:hint="default" w:ascii="Times New Roman" w:hAnsi="Times New Roman" w:cs="Times New Roman" w:eastAsiaTheme="minorEastAsia"/>
                <w:bCs w:val="0"/>
                <w:color w:val="auto"/>
                <w:spacing w:val="0"/>
                <w:sz w:val="22"/>
                <w:szCs w:val="22"/>
                <w:highlight w:val="none"/>
                <w:lang w:val="en-US" w:eastAsia="zh-CN"/>
              </w:rPr>
              <w:t xml:space="preserve">最高得6分。</w:t>
            </w:r>
            <w:r/>
          </w:p>
          <w:p>
            <w:pPr>
              <w:pStyle w:val="841"/>
              <w:ind w:left="0" w:right="0"/>
              <w:jc w:val="both"/>
              <w:keepLines w:val="0"/>
              <w:keepNext w:val="0"/>
              <w:pageBreakBefore w:val="0"/>
              <w:spacing w:before="0" w:line="360" w:lineRule="exact"/>
              <w:rPr>
                <w:rFonts w:hint="default" w:ascii="仿宋_GB2312" w:hAnsi="仿宋" w:eastAsia="仿宋_GB2312" w:cs="Times New Roman"/>
                <w:b/>
                <w:bCs/>
                <w:color w:val="auto"/>
                <w:spacing w:val="0"/>
                <w:sz w:val="24"/>
                <w:szCs w:val="24"/>
                <w:highlight w:val="none"/>
                <w:lang w:val="en-US" w:eastAsia="zh-CN"/>
              </w:rPr>
            </w:pPr>
            <w:r>
              <w:rPr>
                <w:rFonts w:hint="default" w:ascii="Times New Roman" w:hAnsi="Times New Roman" w:cs="Times New Roman" w:eastAsiaTheme="minorEastAsia"/>
                <w:b/>
                <w:bCs/>
                <w:color w:val="auto"/>
                <w:spacing w:val="0"/>
                <w:sz w:val="22"/>
                <w:szCs w:val="22"/>
                <w:highlight w:val="none"/>
                <w:lang w:val="en-US" w:eastAsia="zh-CN"/>
              </w:rPr>
              <w:t xml:space="preserve">同一项目按最高荣誉计分。（提供相关获奖、表彰证明及合同复印件加盖供应商公章，无则不得分）</w:t>
            </w:r>
            <w:r/>
          </w:p>
        </w:tc>
      </w:tr>
      <w:tr>
        <w:trPr>
          <w:jc w:val="center"/>
          <w:trHeight w:val="307"/>
        </w:trPr>
        <w:tc>
          <w:tcPr>
            <w:shd w:val="clear" w:color="auto" w:fill="auto"/>
            <w:tcW w:w="555" w:type="pct"/>
            <w:vAlign w:val="center"/>
            <w:textDirection w:val="lrTb"/>
            <w:noWrap w:val="false"/>
          </w:tcPr>
          <w:p>
            <w:pPr>
              <w:pStyle w:val="841"/>
              <w:ind w:left="0" w:right="0"/>
              <w:jc w:val="center"/>
              <w:keepLines w:val="0"/>
              <w:keepNext w:val="0"/>
              <w:pageBreakBefore w:val="0"/>
              <w:spacing w:before="0" w:line="360" w:lineRule="exact"/>
              <w:rPr>
                <w:rFonts w:hint="eastAsia" w:ascii="仿宋_GB2312" w:hAnsi="仿宋" w:eastAsia="仿宋_GB2312" w:cs="Times New Roman"/>
                <w:bCs w:val="0"/>
                <w:color w:val="auto"/>
                <w:spacing w:val="0"/>
                <w:sz w:val="24"/>
                <w:szCs w:val="24"/>
                <w:lang w:val="en-US" w:eastAsia="zh-CN"/>
              </w:rPr>
            </w:pPr>
            <w:r>
              <w:rPr>
                <w:rFonts w:hint="default" w:ascii="Times New Roman" w:hAnsi="Times New Roman" w:cs="Times New Roman" w:eastAsiaTheme="minorEastAsia"/>
                <w:bCs w:val="0"/>
                <w:color w:val="auto"/>
                <w:spacing w:val="0"/>
                <w:sz w:val="22"/>
                <w:szCs w:val="22"/>
                <w:highlight w:val="none"/>
                <w:lang w:val="en-US" w:eastAsia="zh-CN"/>
              </w:rPr>
              <w:t xml:space="preserve">企业业绩（6分）</w:t>
            </w:r>
            <w:r/>
          </w:p>
        </w:tc>
        <w:tc>
          <w:tcPr>
            <w:gridSpan w:val="3"/>
            <w:shd w:val="clear" w:color="auto" w:fill="auto"/>
            <w:tcW w:w="4444" w:type="pct"/>
            <w:vAlign w:val="center"/>
            <w:textDirection w:val="lrTb"/>
            <w:noWrap w:val="false"/>
          </w:tcPr>
          <w:p>
            <w:pPr>
              <w:pStyle w:val="841"/>
              <w:ind w:left="0" w:right="0"/>
              <w:jc w:val="both"/>
              <w:keepLines w:val="0"/>
              <w:keepNext w:val="0"/>
              <w:pageBreakBefore w:val="0"/>
              <w:spacing w:before="0" w:line="360" w:lineRule="exact"/>
              <w:rPr>
                <w:rFonts w:hint="default" w:ascii="Times New Roman" w:hAnsi="Times New Roman" w:cs="Times New Roman" w:eastAsiaTheme="minorEastAsia"/>
                <w:bCs w:val="0"/>
                <w:color w:val="auto"/>
                <w:spacing w:val="0"/>
                <w:sz w:val="22"/>
                <w:szCs w:val="22"/>
                <w:highlight w:val="none"/>
                <w:lang w:val="en-US" w:eastAsia="zh-CN"/>
              </w:rPr>
            </w:pPr>
            <w:r>
              <w:rPr>
                <w:rFonts w:hint="default" w:ascii="Times New Roman" w:hAnsi="Times New Roman" w:cs="Times New Roman" w:eastAsiaTheme="minorEastAsia"/>
                <w:bCs w:val="0"/>
                <w:color w:val="auto"/>
                <w:spacing w:val="0"/>
                <w:sz w:val="22"/>
                <w:szCs w:val="22"/>
                <w:highlight w:val="none"/>
                <w:lang w:val="en-US" w:eastAsia="zh-CN"/>
              </w:rPr>
              <w:t xml:space="preserve">投标人承接过住宅物业管理的成功案例，每提供一个住宅小区物业项目案例证明的得2分，最高得6分。</w:t>
            </w:r>
            <w:r/>
          </w:p>
          <w:p>
            <w:pPr>
              <w:pStyle w:val="841"/>
              <w:ind w:right="137"/>
              <w:jc w:val="both"/>
              <w:spacing w:before="0" w:line="320" w:lineRule="exact"/>
              <w:rPr>
                <w:rFonts w:hint="eastAsia" w:ascii="仿宋_GB2312" w:hAnsi="仿宋" w:eastAsia="仿宋_GB2312" w:cs="Times New Roman"/>
                <w:bCs w:val="0"/>
                <w:color w:val="auto"/>
                <w:spacing w:val="0"/>
                <w:sz w:val="24"/>
                <w:szCs w:val="24"/>
                <w:highlight w:val="none"/>
                <w:lang w:val="en-US" w:eastAsia="zh-CN"/>
              </w:rPr>
            </w:pPr>
            <w:r>
              <w:rPr>
                <w:rFonts w:hint="default" w:ascii="Times New Roman" w:hAnsi="Times New Roman" w:cs="Times New Roman" w:eastAsiaTheme="minorEastAsia"/>
                <w:b/>
                <w:bCs/>
                <w:color w:val="auto"/>
                <w:spacing w:val="0"/>
                <w:sz w:val="22"/>
                <w:szCs w:val="22"/>
                <w:highlight w:val="none"/>
                <w:lang w:val="en-US" w:eastAsia="zh-CN"/>
              </w:rPr>
              <w:t xml:space="preserve">提供</w:t>
            </w:r>
            <w:r>
              <w:rPr>
                <w:rFonts w:hint="eastAsia" w:ascii="Times New Roman" w:hAnsi="Times New Roman" w:cs="Times New Roman" w:eastAsiaTheme="minorEastAsia"/>
                <w:b/>
                <w:bCs/>
                <w:color w:val="auto"/>
                <w:spacing w:val="0"/>
                <w:sz w:val="22"/>
                <w:szCs w:val="22"/>
                <w:highlight w:val="none"/>
                <w:lang w:val="en-US" w:eastAsia="zh-CN"/>
              </w:rPr>
              <w:t xml:space="preserve">供应商与业主单位签订的物业服务合同复印件；提供合同期内任意一期价款支付证明和发票。</w:t>
            </w:r>
            <w:r>
              <w:rPr>
                <w:rFonts w:hint="default" w:ascii="Times New Roman" w:hAnsi="Times New Roman" w:cs="Times New Roman" w:eastAsiaTheme="minorEastAsia"/>
                <w:b/>
                <w:bCs/>
                <w:color w:val="auto"/>
                <w:spacing w:val="0"/>
                <w:sz w:val="22"/>
                <w:szCs w:val="22"/>
                <w:highlight w:val="none"/>
                <w:lang w:val="en-US" w:eastAsia="zh-CN"/>
              </w:rPr>
              <w:t xml:space="preserve">并加盖投标人公章</w:t>
            </w:r>
            <w:r>
              <w:rPr>
                <w:rFonts w:hint="eastAsia" w:ascii="Times New Roman" w:hAnsi="Times New Roman" w:cs="Times New Roman" w:eastAsiaTheme="minorEastAsia"/>
                <w:b/>
                <w:bCs/>
                <w:color w:val="auto"/>
                <w:spacing w:val="0"/>
                <w:sz w:val="22"/>
                <w:szCs w:val="22"/>
                <w:highlight w:val="none"/>
                <w:lang w:val="en-US" w:eastAsia="zh-CN"/>
              </w:rPr>
              <w:t xml:space="preserve">，</w:t>
            </w:r>
            <w:r>
              <w:rPr>
                <w:rFonts w:hint="default" w:ascii="Times New Roman" w:hAnsi="Times New Roman" w:cs="Times New Roman" w:eastAsiaTheme="minorEastAsia"/>
                <w:b/>
                <w:bCs/>
                <w:color w:val="auto"/>
                <w:spacing w:val="0"/>
                <w:sz w:val="22"/>
                <w:szCs w:val="22"/>
                <w:highlight w:val="none"/>
                <w:lang w:val="en-US" w:eastAsia="zh-CN"/>
              </w:rPr>
              <w:t xml:space="preserve">否则不得分。</w:t>
            </w:r>
            <w:r/>
          </w:p>
        </w:tc>
      </w:tr>
      <w:tr>
        <w:trPr>
          <w:jc w:val="center"/>
          <w:trHeight w:val="307"/>
        </w:trPr>
        <w:tc>
          <w:tcPr>
            <w:shd w:val="clear" w:color="auto" w:fill="auto"/>
            <w:tcW w:w="555" w:type="pct"/>
            <w:vAlign w:val="center"/>
            <w:textDirection w:val="lrTb"/>
            <w:noWrap w:val="false"/>
          </w:tcPr>
          <w:p>
            <w:pPr>
              <w:pStyle w:val="841"/>
              <w:ind w:left="0" w:right="0"/>
              <w:jc w:val="center"/>
              <w:keepLines w:val="0"/>
              <w:keepNext w:val="0"/>
              <w:pageBreakBefore w:val="0"/>
              <w:spacing w:before="0" w:line="360" w:lineRule="exact"/>
              <w:rPr>
                <w:rFonts w:hint="eastAsia" w:ascii="仿宋_GB2312" w:hAnsi="仿宋" w:eastAsia="仿宋_GB2312" w:cs="Times New Roman"/>
                <w:bCs w:val="0"/>
                <w:color w:val="auto"/>
                <w:spacing w:val="0"/>
                <w:sz w:val="24"/>
                <w:szCs w:val="24"/>
                <w:lang w:val="en-US" w:eastAsia="zh-CN"/>
              </w:rPr>
            </w:pPr>
            <w:r>
              <w:rPr>
                <w:rFonts w:hint="default" w:ascii="Times New Roman" w:hAnsi="Times New Roman" w:cs="Times New Roman"/>
                <w:color w:val="auto"/>
                <w:sz w:val="22"/>
                <w:szCs w:val="22"/>
                <w:highlight w:val="none"/>
              </w:rPr>
              <w:t xml:space="preserve">拟派项目</w:t>
            </w:r>
            <w:r>
              <w:rPr>
                <w:rFonts w:hint="default" w:ascii="Times New Roman" w:hAnsi="Times New Roman" w:cs="Times New Roman"/>
                <w:color w:val="auto"/>
                <w:sz w:val="22"/>
                <w:szCs w:val="22"/>
                <w:highlight w:val="none"/>
                <w:lang w:eastAsia="zh-CN"/>
              </w:rPr>
              <w:t xml:space="preserve">团队</w:t>
            </w:r>
            <w:r>
              <w:rPr>
                <w:rFonts w:hint="default" w:ascii="Times New Roman" w:hAnsi="Times New Roman" w:cs="Times New Roman"/>
                <w:color w:val="auto"/>
                <w:sz w:val="22"/>
                <w:szCs w:val="22"/>
                <w:highlight w:val="none"/>
              </w:rPr>
              <w:t xml:space="preserve">人员（1</w:t>
            </w:r>
            <w:r>
              <w:rPr>
                <w:rFonts w:hint="default" w:ascii="Times New Roman" w:hAnsi="Times New Roman" w:cs="Times New Roman"/>
                <w:color w:val="auto"/>
                <w:sz w:val="22"/>
                <w:szCs w:val="22"/>
                <w:highlight w:val="none"/>
                <w:lang w:val="en-US" w:eastAsia="zh-CN"/>
              </w:rPr>
              <w:t xml:space="preserve">5</w:t>
            </w:r>
            <w:r>
              <w:rPr>
                <w:rFonts w:hint="default" w:ascii="Times New Roman" w:hAnsi="Times New Roman" w:cs="Times New Roman"/>
                <w:color w:val="auto"/>
                <w:sz w:val="22"/>
                <w:szCs w:val="22"/>
                <w:highlight w:val="none"/>
              </w:rPr>
              <w:t xml:space="preserve">分）</w:t>
            </w:r>
            <w:r/>
          </w:p>
        </w:tc>
        <w:tc>
          <w:tcPr>
            <w:gridSpan w:val="3"/>
            <w:shd w:val="clear" w:color="auto" w:fill="auto"/>
            <w:tcW w:w="4444" w:type="pct"/>
            <w:vAlign w:val="center"/>
            <w:textDirection w:val="lrTb"/>
            <w:noWrap w:val="false"/>
          </w:tcPr>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eastAsia="zh-CN"/>
              </w:rPr>
              <w:t xml:space="preserve">1.</w:t>
            </w:r>
            <w:r>
              <w:rPr>
                <w:rFonts w:hint="default" w:ascii="Times New Roman" w:hAnsi="Times New Roman" w:cs="Times New Roman"/>
                <w:color w:val="auto"/>
                <w:sz w:val="22"/>
                <w:szCs w:val="22"/>
                <w:highlight w:val="none"/>
              </w:rPr>
              <w:t xml:space="preserve">项目经理（</w:t>
            </w:r>
            <w:r>
              <w:rPr>
                <w:rFonts w:hint="default" w:ascii="Times New Roman" w:hAnsi="Times New Roman" w:cs="Times New Roman"/>
                <w:color w:val="auto"/>
                <w:sz w:val="22"/>
                <w:szCs w:val="22"/>
                <w:highlight w:val="none"/>
                <w:lang w:val="en-US" w:eastAsia="zh-CN"/>
              </w:rPr>
              <w:t xml:space="preserve">6</w:t>
            </w:r>
            <w:r>
              <w:rPr>
                <w:rFonts w:hint="default" w:ascii="Times New Roman" w:hAnsi="Times New Roman" w:cs="Times New Roman"/>
                <w:color w:val="auto"/>
                <w:sz w:val="22"/>
                <w:szCs w:val="22"/>
                <w:highlight w:val="none"/>
              </w:rPr>
              <w:t xml:space="preserve">分）</w:t>
            </w:r>
            <w:r/>
          </w:p>
          <w:p>
            <w:pPr>
              <w:ind w:left="0" w:right="0"/>
              <w:keepLines w:val="0"/>
              <w:keepNext w:val="0"/>
              <w:pageBreakBefore w:val="0"/>
              <w:spacing w:line="360" w:lineRule="exact"/>
              <w:rPr>
                <w:rFonts w:hint="default" w:ascii="Times New Roman" w:hAnsi="Times New Roman" w:eastAsia="宋体" w:cs="Times New Roman"/>
                <w:bCs/>
                <w:color w:val="auto"/>
                <w:sz w:val="22"/>
                <w:szCs w:val="22"/>
                <w:highlight w:val="none"/>
                <w:lang w:val="en-US" w:eastAsia="zh-CN"/>
              </w:rPr>
            </w:pPr>
            <w:r>
              <w:rPr>
                <w:rFonts w:hint="default" w:ascii="Times New Roman" w:hAnsi="Times New Roman" w:eastAsia="宋体" w:cs="Times New Roman"/>
                <w:bCs/>
                <w:color w:val="auto"/>
                <w:sz w:val="22"/>
                <w:szCs w:val="22"/>
                <w:highlight w:val="none"/>
                <w:lang w:val="en-US" w:eastAsia="zh-CN"/>
              </w:rPr>
              <w:t xml:space="preserve">拟派的项目经理具备</w:t>
            </w:r>
            <w:r>
              <w:rPr>
                <w:rFonts w:hint="eastAsia" w:cs="Times New Roman"/>
                <w:bCs/>
                <w:color w:val="auto"/>
                <w:sz w:val="22"/>
                <w:szCs w:val="22"/>
                <w:highlight w:val="none"/>
                <w:lang w:val="en-US" w:eastAsia="zh-CN"/>
              </w:rPr>
              <w:t xml:space="preserve">人社部门或人社</w:t>
            </w:r>
            <w:r>
              <w:rPr>
                <w:rFonts w:hint="default" w:ascii="Times New Roman" w:hAnsi="Times New Roman" w:eastAsia="宋体" w:cs="Times New Roman"/>
                <w:bCs/>
                <w:color w:val="auto"/>
                <w:sz w:val="22"/>
                <w:szCs w:val="22"/>
                <w:highlight w:val="none"/>
                <w:lang w:val="en-US" w:eastAsia="zh-CN"/>
              </w:rPr>
              <w:t xml:space="preserve">部门备案的职业技能评价机构颁发的</w:t>
            </w:r>
            <w:r>
              <w:rPr>
                <w:rFonts w:hint="eastAsia" w:cs="Times New Roman"/>
                <w:bCs/>
                <w:color w:val="auto"/>
                <w:sz w:val="22"/>
                <w:szCs w:val="22"/>
                <w:highlight w:val="none"/>
                <w:lang w:val="en-US" w:eastAsia="zh-CN"/>
              </w:rPr>
              <w:t xml:space="preserve">“</w:t>
            </w:r>
            <w:r>
              <w:rPr>
                <w:rFonts w:hint="default" w:ascii="Times New Roman" w:hAnsi="Times New Roman" w:eastAsia="宋体" w:cs="Times New Roman"/>
                <w:bCs/>
                <w:color w:val="auto"/>
                <w:sz w:val="22"/>
                <w:szCs w:val="22"/>
                <w:highlight w:val="none"/>
                <w:lang w:val="en-US" w:eastAsia="zh-CN"/>
              </w:rPr>
              <w:t xml:space="preserve">物业管理师</w:t>
            </w:r>
            <w:r>
              <w:rPr>
                <w:rFonts w:hint="eastAsia" w:cs="Times New Roman"/>
                <w:bCs/>
                <w:color w:val="auto"/>
                <w:sz w:val="22"/>
                <w:szCs w:val="22"/>
                <w:highlight w:val="none"/>
                <w:lang w:val="en-US" w:eastAsia="zh-CN"/>
              </w:rPr>
              <w:t xml:space="preserve">”</w:t>
            </w:r>
            <w:bookmarkStart w:id="236" w:name="_GoBack"/>
            <w:r/>
            <w:bookmarkEnd w:id="236"/>
            <w:r>
              <w:rPr>
                <w:rFonts w:hint="default" w:ascii="Times New Roman" w:hAnsi="Times New Roman" w:eastAsia="宋体" w:cs="Times New Roman"/>
                <w:bCs/>
                <w:color w:val="auto"/>
                <w:sz w:val="22"/>
                <w:szCs w:val="22"/>
                <w:highlight w:val="none"/>
                <w:lang w:val="en-US" w:eastAsia="zh-CN"/>
              </w:rPr>
              <w:t xml:space="preserve">职业技能等级证书的，提供证书复印件加盖投标人公章，</w:t>
            </w:r>
            <w:r>
              <w:rPr>
                <w:rFonts w:hint="eastAsia" w:cs="Times New Roman"/>
                <w:bCs/>
                <w:color w:val="auto"/>
                <w:sz w:val="22"/>
                <w:szCs w:val="22"/>
                <w:highlight w:val="none"/>
                <w:lang w:val="en-US" w:eastAsia="zh-CN"/>
              </w:rPr>
              <w:t xml:space="preserve">四级</w:t>
            </w:r>
            <w:r>
              <w:rPr>
                <w:rFonts w:hint="default" w:ascii="Times New Roman" w:hAnsi="Times New Roman" w:eastAsia="宋体" w:cs="Times New Roman"/>
                <w:bCs/>
                <w:color w:val="auto"/>
                <w:sz w:val="22"/>
                <w:szCs w:val="22"/>
                <w:highlight w:val="none"/>
                <w:lang w:val="en-US" w:eastAsia="zh-CN"/>
              </w:rPr>
              <w:t xml:space="preserve">得</w:t>
            </w:r>
            <w:r>
              <w:rPr>
                <w:rFonts w:hint="eastAsia" w:cs="Times New Roman"/>
                <w:bCs/>
                <w:color w:val="auto"/>
                <w:sz w:val="22"/>
                <w:szCs w:val="22"/>
                <w:highlight w:val="none"/>
                <w:lang w:val="en-US" w:eastAsia="zh-CN"/>
              </w:rPr>
              <w:t xml:space="preserve">2</w:t>
            </w:r>
            <w:r>
              <w:rPr>
                <w:rFonts w:hint="default" w:ascii="Times New Roman" w:hAnsi="Times New Roman" w:eastAsia="宋体" w:cs="Times New Roman"/>
                <w:bCs/>
                <w:color w:val="auto"/>
                <w:sz w:val="22"/>
                <w:szCs w:val="22"/>
                <w:highlight w:val="none"/>
                <w:lang w:val="en-US" w:eastAsia="zh-CN"/>
              </w:rPr>
              <w:t xml:space="preserve">分</w:t>
            </w:r>
            <w:r>
              <w:rPr>
                <w:rFonts w:hint="eastAsia" w:cs="Times New Roman"/>
                <w:bCs/>
                <w:color w:val="auto"/>
                <w:sz w:val="22"/>
                <w:szCs w:val="22"/>
                <w:highlight w:val="none"/>
                <w:lang w:val="en-US" w:eastAsia="zh-CN"/>
              </w:rPr>
              <w:t xml:space="preserve">，三级得4分，二级（含）及以上得6分。</w:t>
            </w:r>
            <w:r>
              <w:rPr>
                <w:rFonts w:hint="default" w:ascii="Times New Roman" w:hAnsi="Times New Roman" w:eastAsia="宋体" w:cs="Times New Roman"/>
                <w:bCs/>
                <w:color w:val="auto"/>
                <w:sz w:val="22"/>
                <w:szCs w:val="22"/>
                <w:highlight w:val="none"/>
                <w:lang w:val="en-US" w:eastAsia="zh-CN"/>
              </w:rPr>
              <w:t xml:space="preserve">不累计得分</w:t>
            </w:r>
            <w:r>
              <w:rPr>
                <w:rFonts w:hint="eastAsia" w:cs="Times New Roman"/>
                <w:bCs/>
                <w:color w:val="auto"/>
                <w:sz w:val="22"/>
                <w:szCs w:val="22"/>
                <w:highlight w:val="none"/>
                <w:lang w:val="en-US" w:eastAsia="zh-CN"/>
              </w:rPr>
              <w:t xml:space="preserve">。</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eastAsia="zh-CN"/>
              </w:rPr>
              <w:t xml:space="preserve">2.项目</w:t>
            </w:r>
            <w:r>
              <w:rPr>
                <w:rFonts w:hint="default" w:ascii="Times New Roman" w:hAnsi="Times New Roman" w:cs="Times New Roman"/>
                <w:color w:val="auto"/>
                <w:sz w:val="22"/>
                <w:szCs w:val="22"/>
                <w:highlight w:val="none"/>
              </w:rPr>
              <w:t xml:space="preserve">团队</w:t>
            </w:r>
            <w:r>
              <w:rPr>
                <w:rFonts w:hint="default" w:ascii="Times New Roman" w:hAnsi="Times New Roman" w:cs="Times New Roman"/>
                <w:color w:val="auto"/>
                <w:sz w:val="22"/>
                <w:szCs w:val="22"/>
                <w:highlight w:val="none"/>
                <w:lang w:val="en-US" w:eastAsia="zh-CN"/>
              </w:rPr>
              <w:t xml:space="preserve">其他人员</w:t>
            </w:r>
            <w:r>
              <w:rPr>
                <w:rFonts w:hint="default" w:ascii="Times New Roman" w:hAnsi="Times New Roman" w:eastAsia="宋体" w:cs="Times New Roman"/>
                <w:color w:val="auto"/>
                <w:sz w:val="22"/>
                <w:szCs w:val="22"/>
                <w:highlight w:val="none"/>
                <w:lang w:val="en-US" w:eastAsia="zh-CN"/>
              </w:rPr>
              <w:t xml:space="preserve">（项目经理除外）</w:t>
            </w:r>
            <w:r>
              <w:rPr>
                <w:rFonts w:hint="default" w:ascii="Times New Roman" w:hAnsi="Times New Roman" w:cs="Times New Roman"/>
                <w:color w:val="auto"/>
                <w:sz w:val="22"/>
                <w:szCs w:val="22"/>
                <w:highlight w:val="none"/>
              </w:rPr>
              <w:t xml:space="preserve">（</w:t>
            </w:r>
            <w:r>
              <w:rPr>
                <w:rFonts w:hint="default" w:ascii="Times New Roman" w:hAnsi="Times New Roman" w:cs="Times New Roman"/>
                <w:color w:val="auto"/>
                <w:sz w:val="22"/>
                <w:szCs w:val="22"/>
                <w:highlight w:val="none"/>
                <w:lang w:val="en-US" w:eastAsia="zh-CN"/>
              </w:rPr>
              <w:t xml:space="preserve">9</w:t>
            </w:r>
            <w:r>
              <w:rPr>
                <w:rFonts w:hint="default" w:ascii="Times New Roman" w:hAnsi="Times New Roman" w:cs="Times New Roman"/>
                <w:color w:val="auto"/>
                <w:sz w:val="22"/>
                <w:szCs w:val="22"/>
                <w:highlight w:val="none"/>
              </w:rPr>
              <w:t xml:space="preserve">分）</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（1）拟派项目团队人员持有人社部门颁发的四级（含）以上保安员职业资格证的，有一人得1分，最高得</w:t>
            </w:r>
            <w:r>
              <w:rPr>
                <w:rFonts w:hint="eastAsia" w:cs="Times New Roman"/>
                <w:color w:val="auto"/>
                <w:sz w:val="22"/>
                <w:szCs w:val="22"/>
                <w:highlight w:val="none"/>
                <w:lang w:val="en-US" w:eastAsia="zh-CN"/>
              </w:rPr>
              <w:t xml:space="preserve">1</w:t>
            </w:r>
            <w:r>
              <w:rPr>
                <w:rFonts w:hint="default" w:ascii="Times New Roman" w:hAnsi="Times New Roman" w:cs="Times New Roman"/>
                <w:color w:val="auto"/>
                <w:sz w:val="22"/>
                <w:szCs w:val="22"/>
                <w:highlight w:val="none"/>
                <w:lang w:val="en-US" w:eastAsia="zh-CN"/>
              </w:rPr>
              <w:t xml:space="preserve">分；</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（2）拟派项目团队人员持有人社部门颁发的四级（含）以上电工等级证的，有一人得1分，最高得</w:t>
            </w:r>
            <w:r>
              <w:rPr>
                <w:rFonts w:hint="eastAsia" w:cs="Times New Roman"/>
                <w:color w:val="auto"/>
                <w:sz w:val="22"/>
                <w:szCs w:val="22"/>
                <w:highlight w:val="none"/>
                <w:lang w:val="en-US" w:eastAsia="zh-CN"/>
              </w:rPr>
              <w:t xml:space="preserve">2</w:t>
            </w:r>
            <w:r>
              <w:rPr>
                <w:rFonts w:hint="default" w:ascii="Times New Roman" w:hAnsi="Times New Roman" w:cs="Times New Roman"/>
                <w:color w:val="auto"/>
                <w:sz w:val="22"/>
                <w:szCs w:val="22"/>
                <w:highlight w:val="none"/>
                <w:lang w:val="en-US" w:eastAsia="zh-CN"/>
              </w:rPr>
              <w:t xml:space="preserve">分；</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（3）除采购需求最低标准4人外，每多一人持有</w:t>
            </w:r>
            <w:r>
              <w:rPr>
                <w:rFonts w:hint="default" w:ascii="Times New Roman" w:hAnsi="Times New Roman" w:cs="Times New Roman"/>
                <w:strike w:val="0"/>
                <w:color w:val="auto"/>
                <w:sz w:val="22"/>
                <w:szCs w:val="22"/>
                <w:highlight w:val="none"/>
                <w:lang w:val="en-US" w:eastAsia="zh-CN"/>
              </w:rPr>
              <w:t xml:space="preserve">中级（含）以上</w:t>
            </w:r>
            <w:r>
              <w:rPr>
                <w:rFonts w:hint="default" w:ascii="Times New Roman" w:hAnsi="Times New Roman" w:cs="Times New Roman"/>
                <w:color w:val="auto"/>
                <w:sz w:val="22"/>
                <w:szCs w:val="22"/>
                <w:highlight w:val="none"/>
                <w:lang w:val="en-US" w:eastAsia="zh-CN"/>
              </w:rPr>
              <w:t xml:space="preserve">消防设施操作员证的，有一人得1分，最高得2分</w:t>
            </w:r>
            <w:r>
              <w:rPr>
                <w:rFonts w:hint="eastAsia" w:cs="Times New Roman"/>
                <w:color w:val="auto"/>
                <w:sz w:val="22"/>
                <w:szCs w:val="22"/>
                <w:highlight w:val="none"/>
                <w:lang w:val="en-US" w:eastAsia="zh-CN"/>
              </w:rPr>
              <w:t xml:space="preserve">；</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（4）</w:t>
            </w:r>
            <w:r>
              <w:rPr>
                <w:rFonts w:hint="default" w:ascii="Times New Roman" w:hAnsi="Times New Roman" w:cs="Times New Roman"/>
                <w:color w:val="auto"/>
                <w:sz w:val="22"/>
                <w:szCs w:val="22"/>
                <w:highlight w:val="none"/>
                <w:lang w:val="en-US" w:eastAsia="zh-CN"/>
              </w:rPr>
              <w:t xml:space="preserve">参加过地级市（含）以上职业技能大赛获得过地级市（含）以上人力资源和社会保障部门授予的“技术能手”称号的（仅限于物业管理、清洗保洁、家政服务等与</w:t>
            </w:r>
            <w:r>
              <w:rPr>
                <w:rFonts w:hint="eastAsia" w:cs="Times New Roman"/>
                <w:color w:val="auto"/>
                <w:sz w:val="22"/>
                <w:szCs w:val="22"/>
                <w:highlight w:val="none"/>
                <w:lang w:val="en-US" w:eastAsia="zh-CN"/>
              </w:rPr>
              <w:t xml:space="preserve">本</w:t>
            </w:r>
            <w:r>
              <w:rPr>
                <w:rFonts w:hint="default" w:ascii="Times New Roman" w:hAnsi="Times New Roman" w:cs="Times New Roman"/>
                <w:color w:val="auto"/>
                <w:sz w:val="22"/>
                <w:szCs w:val="22"/>
                <w:highlight w:val="none"/>
                <w:lang w:val="en-US" w:eastAsia="zh-CN"/>
              </w:rPr>
              <w:t xml:space="preserve">物业服务相关岗位），有一个得2分，最高得</w:t>
            </w:r>
            <w:r>
              <w:rPr>
                <w:rFonts w:hint="eastAsia" w:cs="Times New Roman"/>
                <w:color w:val="auto"/>
                <w:sz w:val="22"/>
                <w:szCs w:val="22"/>
                <w:highlight w:val="none"/>
                <w:lang w:val="en-US" w:eastAsia="zh-CN"/>
              </w:rPr>
              <w:t xml:space="preserve">4</w:t>
            </w:r>
            <w:r>
              <w:rPr>
                <w:rFonts w:hint="default" w:ascii="Times New Roman" w:hAnsi="Times New Roman" w:cs="Times New Roman"/>
                <w:color w:val="auto"/>
                <w:sz w:val="22"/>
                <w:szCs w:val="22"/>
                <w:highlight w:val="none"/>
                <w:lang w:val="en-US" w:eastAsia="zh-CN"/>
              </w:rPr>
              <w:t xml:space="preserve">分。</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lang w:eastAsia="zh-CN"/>
              </w:rPr>
            </w:pPr>
            <w:r>
              <w:rPr>
                <w:rFonts w:hint="default" w:ascii="Times New Roman" w:hAnsi="Times New Roman" w:cs="Times New Roman"/>
                <w:color w:val="auto"/>
                <w:sz w:val="22"/>
                <w:szCs w:val="22"/>
                <w:highlight w:val="none"/>
                <w:lang w:val="en-US" w:eastAsia="zh-CN"/>
              </w:rPr>
              <w:t xml:space="preserve">同一人员有多本证书的</w:t>
            </w:r>
            <w:r>
              <w:rPr>
                <w:rFonts w:hint="default" w:ascii="Times New Roman" w:hAnsi="Times New Roman" w:cs="Times New Roman"/>
                <w:color w:val="auto"/>
                <w:sz w:val="22"/>
                <w:szCs w:val="22"/>
                <w:highlight w:val="none"/>
                <w:lang w:eastAsia="zh-CN"/>
              </w:rPr>
              <w:t xml:space="preserve">不重复得分。</w:t>
            </w:r>
            <w:r/>
          </w:p>
          <w:p>
            <w:pPr>
              <w:pStyle w:val="841"/>
              <w:ind w:left="0" w:right="0"/>
              <w:jc w:val="both"/>
              <w:keepLines w:val="0"/>
              <w:keepNext w:val="0"/>
              <w:pageBreakBefore w:val="0"/>
              <w:spacing w:before="0" w:line="360" w:lineRule="exact"/>
              <w:rPr>
                <w:rFonts w:hint="eastAsia" w:ascii="仿宋_GB2312" w:hAnsi="仿宋" w:eastAsia="仿宋_GB2312" w:cs="Times New Roman"/>
                <w:bCs w:val="0"/>
                <w:color w:val="auto"/>
                <w:spacing w:val="0"/>
                <w:sz w:val="24"/>
                <w:szCs w:val="24"/>
                <w:highlight w:val="none"/>
                <w:lang w:val="en-US" w:eastAsia="zh-CN"/>
              </w:rPr>
            </w:pPr>
            <w:r>
              <w:rPr>
                <w:rFonts w:hint="default" w:ascii="Times New Roman" w:hAnsi="Times New Roman" w:cs="Times New Roman" w:eastAsiaTheme="minorEastAsia"/>
                <w:b/>
                <w:bCs/>
                <w:color w:val="auto"/>
                <w:spacing w:val="0"/>
                <w:sz w:val="22"/>
                <w:szCs w:val="22"/>
                <w:highlight w:val="none"/>
                <w:lang w:val="en-US" w:eastAsia="zh-CN"/>
              </w:rPr>
              <w:t xml:space="preserve">提供项目经理身份证、从业资格证书，项目团队人员的相关证书及提供投标人为上述人员缴纳的</w:t>
            </w:r>
            <w:r>
              <w:rPr>
                <w:rFonts w:hint="eastAsia" w:ascii="Times New Roman" w:hAnsi="Times New Roman" w:cs="Times New Roman" w:eastAsiaTheme="minorEastAsia"/>
                <w:b/>
                <w:bCs/>
                <w:color w:val="auto"/>
                <w:spacing w:val="0"/>
                <w:sz w:val="22"/>
                <w:szCs w:val="22"/>
                <w:highlight w:val="none"/>
                <w:lang w:val="en-US" w:eastAsia="zh-CN"/>
              </w:rPr>
              <w:t xml:space="preserve">上月或当月社保</w:t>
            </w:r>
            <w:r>
              <w:rPr>
                <w:rFonts w:hint="default" w:ascii="Times New Roman" w:hAnsi="Times New Roman" w:cs="Times New Roman" w:eastAsiaTheme="minorEastAsia"/>
                <w:b/>
                <w:bCs/>
                <w:color w:val="auto"/>
                <w:spacing w:val="0"/>
                <w:sz w:val="22"/>
                <w:szCs w:val="22"/>
                <w:highlight w:val="none"/>
                <w:lang w:val="en-US" w:eastAsia="zh-CN"/>
              </w:rPr>
              <w:t xml:space="preserve">证明材料，加盖投标人公章，否则不得分。</w:t>
            </w:r>
            <w:r/>
          </w:p>
        </w:tc>
      </w:tr>
      <w:tr>
        <w:trPr>
          <w:jc w:val="center"/>
          <w:trHeight w:val="330"/>
        </w:trPr>
        <w:tc>
          <w:tcPr>
            <w:gridSpan w:val="4"/>
            <w:shd w:val="clear" w:color="auto" w:fill="auto"/>
            <w:tcW w:w="5000" w:type="pct"/>
            <w:vAlign w:val="center"/>
            <w:textDirection w:val="lrTb"/>
            <w:noWrap w:val="false"/>
          </w:tcPr>
          <w:p>
            <w:pPr>
              <w:pStyle w:val="841"/>
              <w:spacing w:before="0" w:line="320" w:lineRule="exact"/>
              <w:rPr>
                <w:rFonts w:ascii="仿宋" w:hAnsi="仿宋" w:eastAsia="仿宋" w:cs="仿宋"/>
                <w:b/>
                <w:color w:val="auto"/>
                <w:sz w:val="24"/>
                <w:szCs w:val="24"/>
                <w:lang w:eastAsia="zh-CN"/>
              </w:rPr>
            </w:pPr>
            <w:r>
              <w:rPr>
                <w:b/>
                <w:color w:val="auto"/>
                <w:sz w:val="21"/>
              </w:rPr>
              <w:t xml:space="preserve">三、技术评审（</w:t>
            </w:r>
            <w:r>
              <w:rPr>
                <w:rFonts w:hint="eastAsia" w:ascii="Times New Roman"/>
                <w:b/>
                <w:color w:val="auto"/>
                <w:sz w:val="21"/>
                <w:lang w:val="en-US" w:eastAsia="zh-CN"/>
              </w:rPr>
              <w:t xml:space="preserve">40</w:t>
            </w:r>
            <w:r>
              <w:rPr>
                <w:b/>
                <w:color w:val="auto"/>
                <w:sz w:val="21"/>
              </w:rPr>
              <w:t xml:space="preserve">分）</w:t>
            </w:r>
            <w:r/>
          </w:p>
        </w:tc>
      </w:tr>
      <w:tr>
        <w:trPr>
          <w:jc w:val="center"/>
          <w:trHeight w:val="1188"/>
        </w:trPr>
        <w:tc>
          <w:tcPr>
            <w:shd w:val="clear" w:color="auto" w:fill="auto"/>
            <w:tcW w:w="555" w:type="pct"/>
            <w:vAlign w:val="center"/>
            <w:textDirection w:val="lrTb"/>
            <w:noWrap w:val="false"/>
          </w:tcPr>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管理服务理念和目标</w:t>
            </w:r>
            <w:r/>
          </w:p>
          <w:p>
            <w:pPr>
              <w:ind w:left="0" w:right="0"/>
              <w:keepLines w:val="0"/>
              <w:keepNext w:val="0"/>
              <w:pageBreakBefore w:val="0"/>
              <w:spacing w:line="320" w:lineRule="exact"/>
              <w:widowControl w:val="off"/>
              <w:rPr>
                <w:rFonts w:hint="eastAsia"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（6分）</w:t>
            </w:r>
            <w:r/>
          </w:p>
        </w:tc>
        <w:tc>
          <w:tcPr>
            <w:gridSpan w:val="3"/>
            <w:shd w:val="clear" w:color="auto" w:fill="auto"/>
            <w:tcW w:w="4444" w:type="pct"/>
            <w:vAlign w:val="center"/>
            <w:textDirection w:val="lrTb"/>
            <w:noWrap w:val="false"/>
          </w:tcPr>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要求结合本项目的规划布局、建筑风格、硬件设施配置及本物业使用性质特点，提出物业管理服务定位、目标及具体实施措施；如何配合社区管理，开展物业管理工作方案；如何配合政府开展中心活动方案。</w:t>
            </w:r>
            <w:r/>
          </w:p>
          <w:p>
            <w:pPr>
              <w:ind w:left="0" w:right="0"/>
              <w:keepLines w:val="0"/>
              <w:keepNext w:val="0"/>
              <w:pageBreakBefore w:val="0"/>
              <w:spacing w:line="320" w:lineRule="exact"/>
              <w:widowControl w:val="off"/>
              <w:rPr>
                <w:rFonts w:hint="eastAsia"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科学严谨得6分，合理有效得4分，基本可行得2分，未提供不得分。</w:t>
            </w:r>
            <w:r/>
          </w:p>
        </w:tc>
      </w:tr>
      <w:tr>
        <w:trPr>
          <w:jc w:val="center"/>
          <w:trHeight w:val="1188"/>
        </w:trPr>
        <w:tc>
          <w:tcPr>
            <w:shd w:val="clear" w:color="auto" w:fill="auto"/>
            <w:tcW w:w="555" w:type="pct"/>
            <w:vAlign w:val="center"/>
            <w:textDirection w:val="lrTb"/>
            <w:noWrap w:val="false"/>
          </w:tcPr>
          <w:p>
            <w:pPr>
              <w:ind w:left="0" w:right="0"/>
              <w:jc w:val="center"/>
              <w:keepLines w:val="0"/>
              <w:keepNext w:val="0"/>
              <w:pageBreakBefore w:val="0"/>
              <w:spacing w:line="360" w:lineRule="exact"/>
              <w:rPr>
                <w:rFonts w:hint="eastAsia" w:ascii="宋体" w:hAnsi="宋体" w:eastAsia="宋体" w:cs="宋体"/>
                <w:b/>
                <w:sz w:val="21"/>
                <w:szCs w:val="22"/>
                <w:lang w:val="en-US" w:eastAsia="zh-CN" w:bidi="zh-CN"/>
              </w:rPr>
            </w:pPr>
            <w:r>
              <w:rPr>
                <w:rFonts w:hint="default" w:ascii="Times New Roman" w:hAnsi="Times New Roman" w:cs="Times New Roman"/>
                <w:color w:val="auto"/>
                <w:sz w:val="22"/>
                <w:szCs w:val="22"/>
                <w:highlight w:val="none"/>
                <w:lang w:val="en-US" w:eastAsia="zh-CN"/>
              </w:rPr>
              <w:t xml:space="preserve">项目组织方案（6分）</w:t>
            </w:r>
            <w:r/>
          </w:p>
        </w:tc>
        <w:tc>
          <w:tcPr>
            <w:gridSpan w:val="3"/>
            <w:shd w:val="clear" w:color="auto" w:fill="auto"/>
            <w:tcW w:w="4444" w:type="pct"/>
            <w:vAlign w:val="center"/>
            <w:textDirection w:val="lrTb"/>
            <w:noWrap w:val="false"/>
          </w:tcPr>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项目组织方案应包括：投标人针对本项目拟成立的组织架构；组织规章制度；各岗位分工及岗位职责（含管理服务人员配置：拟配项目经理、技术人员的姓名、学历、职称、相似工作岗位的工作年限、经历，</w:t>
            </w:r>
            <w:r>
              <w:rPr>
                <w:rFonts w:hint="eastAsia" w:ascii="Times New Roman" w:hAnsi="Times New Roman" w:eastAsia="宋体" w:cs="Times New Roman"/>
                <w:color w:val="auto"/>
                <w:sz w:val="22"/>
                <w:szCs w:val="22"/>
                <w:highlight w:val="none"/>
                <w:lang w:val="en-US" w:eastAsia="zh-CN"/>
              </w:rPr>
              <w:t xml:space="preserve">其他岗位</w:t>
            </w:r>
            <w:r>
              <w:rPr>
                <w:rFonts w:hint="default" w:ascii="Times New Roman" w:hAnsi="Times New Roman" w:eastAsia="宋体" w:cs="Times New Roman"/>
                <w:color w:val="auto"/>
                <w:sz w:val="22"/>
                <w:szCs w:val="22"/>
                <w:highlight w:val="none"/>
                <w:lang w:val="en-US" w:eastAsia="zh-CN"/>
              </w:rPr>
              <w:t xml:space="preserve">有人员拟配人选、数量、基本情况等；项目经理的管理职能；内部管理的职能分工）；人员管理（含日常管理制度和考核办法目录）、培训措施等。</w:t>
            </w:r>
            <w:r/>
          </w:p>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方案整体科学合理、针对性强、可操作性强，得6分；</w:t>
            </w:r>
            <w:r/>
          </w:p>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方案较合理、有一定针对性、一定可操作性，得4分；</w:t>
            </w:r>
            <w:r/>
          </w:p>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方案不尽合理、针对性一般、可操作性一般，得2分；</w:t>
            </w:r>
            <w:r/>
          </w:p>
          <w:p>
            <w:pPr>
              <w:ind w:left="0" w:right="0"/>
              <w:keepLines w:val="0"/>
              <w:keepNext w:val="0"/>
              <w:pageBreakBefore w:val="0"/>
              <w:spacing w:line="320" w:lineRule="exact"/>
              <w:widowControl w:val="off"/>
              <w:rPr>
                <w:rFonts w:hint="eastAsia" w:ascii="仿宋_GB2312" w:hAnsi="仿宋" w:eastAsia="仿宋_GB2312" w:cs="Times New Roman"/>
                <w:sz w:val="24"/>
                <w:szCs w:val="24"/>
                <w:lang w:val="en-US" w:eastAsia="zh-CN" w:bidi="ar-SA"/>
              </w:rPr>
            </w:pPr>
            <w:r>
              <w:rPr>
                <w:rFonts w:hint="default" w:ascii="Times New Roman" w:hAnsi="Times New Roman" w:eastAsia="宋体" w:cs="Times New Roman"/>
                <w:color w:val="auto"/>
                <w:sz w:val="22"/>
                <w:szCs w:val="22"/>
                <w:highlight w:val="none"/>
                <w:lang w:val="en-US" w:eastAsia="zh-CN"/>
              </w:rPr>
              <w:t xml:space="preserve">未提供不得分。</w:t>
            </w:r>
            <w:r/>
          </w:p>
        </w:tc>
      </w:tr>
      <w:tr>
        <w:trPr>
          <w:jc w:val="center"/>
          <w:trHeight w:val="90"/>
        </w:trPr>
        <w:tc>
          <w:tcPr>
            <w:shd w:val="clear" w:color="auto" w:fill="auto"/>
            <w:tcW w:w="555" w:type="pct"/>
            <w:vAlign w:val="center"/>
            <w:textDirection w:val="lrTb"/>
            <w:noWrap w:val="false"/>
          </w:tcPr>
          <w:p>
            <w:pPr>
              <w:ind w:left="0" w:right="0"/>
              <w:jc w:val="center"/>
              <w:keepLines w:val="0"/>
              <w:keepNext w:val="0"/>
              <w:pageBreakBefore w:val="0"/>
              <w:spacing w:line="300" w:lineRule="exact"/>
              <w:widowControl w:val="off"/>
              <w:rPr>
                <w:rFonts w:hint="eastAsia" w:ascii="宋体" w:hAnsi="宋体" w:eastAsia="宋体" w:cs="宋体"/>
                <w:b/>
                <w:sz w:val="21"/>
                <w:szCs w:val="22"/>
                <w:lang w:val="en-US" w:eastAsia="zh-CN" w:bidi="zh-CN"/>
              </w:rPr>
            </w:pPr>
            <w:r>
              <w:rPr>
                <w:rFonts w:hint="default" w:ascii="Times New Roman" w:hAnsi="Times New Roman" w:cs="Times New Roman"/>
                <w:color w:val="auto"/>
                <w:sz w:val="20"/>
                <w:szCs w:val="20"/>
                <w:highlight w:val="none"/>
                <w:lang w:val="en-US" w:eastAsia="zh-CN"/>
              </w:rPr>
              <w:t xml:space="preserve">多层、高层住宅物业管理方案（6分）</w:t>
            </w:r>
            <w:r/>
          </w:p>
        </w:tc>
        <w:tc>
          <w:tcPr>
            <w:gridSpan w:val="3"/>
            <w:shd w:val="clear" w:color="auto" w:fill="auto"/>
            <w:tcW w:w="4444" w:type="pct"/>
            <w:vAlign w:val="center"/>
            <w:textDirection w:val="lrTb"/>
            <w:noWrap w:val="false"/>
          </w:tcPr>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管理方案应包括项目整体管理方案、重点难点分析、应对措施及相关的合理化建议等。</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描述详细、切实可行、重难点分析全面完整、针对性强、可操作性强，得6分；</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描述详细、基本可行、有一定针对性、一定可操作性，得4分； </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描述不详尽、不尽合理、针对性一般、可操作性一般，得2分； </w:t>
            </w:r>
            <w:r/>
          </w:p>
          <w:p>
            <w:pPr>
              <w:ind w:left="0" w:right="0"/>
              <w:keepLines w:val="0"/>
              <w:keepNext w:val="0"/>
              <w:pageBreakBefore w:val="0"/>
              <w:spacing w:line="300" w:lineRule="exact"/>
              <w:widowControl w:val="off"/>
              <w:rPr>
                <w:rFonts w:hint="eastAsia" w:ascii="仿宋_GB2312" w:hAnsi="仿宋" w:eastAsia="仿宋_GB2312" w:cs="Times New Roman"/>
                <w:sz w:val="24"/>
                <w:szCs w:val="24"/>
                <w:lang w:val="en-US" w:eastAsia="zh-CN" w:bidi="ar-SA"/>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1188"/>
        </w:trPr>
        <w:tc>
          <w:tcPr>
            <w:shd w:val="clear" w:color="auto" w:fill="auto"/>
            <w:tcW w:w="555" w:type="pct"/>
            <w:vAlign w:val="center"/>
            <w:textDirection w:val="lrTb"/>
            <w:noWrap w:val="false"/>
          </w:tcPr>
          <w:p>
            <w:pPr>
              <w:ind w:left="0" w:right="0"/>
              <w:jc w:val="center"/>
              <w:keepLines w:val="0"/>
              <w:keepNext w:val="0"/>
              <w:pageBreakBefore w:val="0"/>
              <w:spacing w:line="240" w:lineRule="exact"/>
              <w:widowControl w:val="off"/>
              <w:rPr>
                <w:rFonts w:hint="eastAsia" w:ascii="宋体" w:hAnsi="宋体" w:eastAsia="宋体" w:cs="宋体"/>
                <w:b/>
                <w:sz w:val="21"/>
                <w:szCs w:val="22"/>
                <w:lang w:val="en-US" w:eastAsia="zh-CN" w:bidi="zh-CN"/>
              </w:rPr>
            </w:pPr>
            <w:r>
              <w:rPr>
                <w:rFonts w:hint="default" w:ascii="Times New Roman" w:hAnsi="Times New Roman" w:cs="Times New Roman"/>
                <w:color w:val="auto"/>
                <w:sz w:val="18"/>
                <w:szCs w:val="18"/>
                <w:highlight w:val="none"/>
                <w:lang w:val="en-US" w:eastAsia="zh-CN"/>
              </w:rPr>
              <w:t xml:space="preserve">物业管理用房及相应管理设施的配置（2分）</w:t>
            </w:r>
            <w:r/>
          </w:p>
        </w:tc>
        <w:tc>
          <w:tcPr>
            <w:gridSpan w:val="3"/>
            <w:shd w:val="clear" w:color="auto" w:fill="auto"/>
            <w:tcW w:w="4444" w:type="pct"/>
            <w:vAlign w:val="center"/>
            <w:textDirection w:val="lrTb"/>
            <w:noWrap w:val="false"/>
          </w:tcPr>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提供物业管理用房的使用计划，办公经费的投入预算，开办费等措施和处理意向。</w:t>
            </w:r>
            <w:r/>
          </w:p>
          <w:p>
            <w:pPr>
              <w:ind w:left="0" w:right="0"/>
              <w:keepLines w:val="0"/>
              <w:keepNext w:val="0"/>
              <w:pageBreakBefore w:val="0"/>
              <w:spacing w:line="360" w:lineRule="exact"/>
              <w:rPr>
                <w:rFonts w:hint="eastAsia" w:ascii="仿宋_GB2312" w:hAnsi="仿宋" w:eastAsia="仿宋_GB2312" w:cs="Times New Roman"/>
                <w:sz w:val="24"/>
                <w:szCs w:val="24"/>
                <w:lang w:val="en-US" w:eastAsia="zh-CN" w:bidi="ar-SA"/>
              </w:rPr>
            </w:pPr>
            <w:r>
              <w:rPr>
                <w:rFonts w:hint="default" w:ascii="Times New Roman" w:hAnsi="Times New Roman" w:cs="Times New Roman"/>
                <w:color w:val="auto"/>
                <w:sz w:val="22"/>
                <w:szCs w:val="22"/>
                <w:highlight w:val="none"/>
                <w:lang w:val="en-US" w:eastAsia="zh-CN"/>
              </w:rPr>
              <w:t xml:space="preserve">科学合理得2分，较合理得1分，基本可行得0.5分，未提供不得分。</w:t>
            </w:r>
            <w:r/>
          </w:p>
        </w:tc>
      </w:tr>
      <w:tr>
        <w:trPr>
          <w:jc w:val="center"/>
          <w:trHeight w:val="1188"/>
        </w:trPr>
        <w:tc>
          <w:tcPr>
            <w:shd w:val="clear" w:color="auto" w:fill="auto"/>
            <w:tcW w:w="555" w:type="pct"/>
            <w:vAlign w:val="center"/>
            <w:textDirection w:val="lrTb"/>
            <w:noWrap w:val="false"/>
          </w:tcPr>
          <w:p>
            <w:pPr>
              <w:ind w:left="0" w:right="0"/>
              <w:jc w:val="center"/>
              <w:keepLines w:val="0"/>
              <w:keepNext w:val="0"/>
              <w:pageBreakBefore w:val="0"/>
              <w:spacing w:line="280" w:lineRule="exact"/>
              <w:widowControl w:val="off"/>
              <w:rPr>
                <w:rFonts w:hint="eastAsia" w:ascii="Times New Roman" w:hAnsi="Times New Roman" w:eastAsia="宋体" w:cs="Times New Roman"/>
                <w:color w:val="auto"/>
                <w:sz w:val="18"/>
                <w:szCs w:val="18"/>
                <w:highlight w:val="none"/>
                <w:lang w:val="en-US" w:eastAsia="zh-CN"/>
              </w:rPr>
            </w:pPr>
            <w:r>
              <w:rPr>
                <w:rFonts w:hint="default" w:ascii="Times New Roman" w:hAnsi="Times New Roman" w:eastAsia="宋体" w:cs="Times New Roman"/>
                <w:color w:val="auto"/>
                <w:sz w:val="18"/>
                <w:szCs w:val="18"/>
                <w:highlight w:val="none"/>
                <w:lang w:val="en-US" w:eastAsia="zh-CN"/>
              </w:rPr>
              <w:t xml:space="preserve">物业维修养护管理、保洁、保安、护绿工作的实施方案（8分）</w:t>
            </w:r>
            <w:r/>
          </w:p>
        </w:tc>
        <w:tc>
          <w:tcPr>
            <w:gridSpan w:val="3"/>
            <w:shd w:val="clear" w:color="auto" w:fill="auto"/>
            <w:tcW w:w="4444" w:type="pct"/>
            <w:vAlign w:val="center"/>
            <w:textDirection w:val="lrTb"/>
            <w:noWrap w:val="false"/>
          </w:tcPr>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实施方案应包括物业管理区域内保洁、保安、小区绿化及其它附属设施的管护、设施设备维修等管理方案、重难点分析、应对措施等。</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方案内容描述全面、科学合理、针对性强、可操作性强，得8分；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方案内容描述基本全面、合理、有一定针对性、一定可操作性，得5分；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方案内容描述不详尽、基本合理、针对性不强、可操作性一般，得3分； </w:t>
            </w:r>
            <w:r/>
          </w:p>
          <w:p>
            <w:pPr>
              <w:ind w:left="0" w:right="0"/>
              <w:keepLines w:val="0"/>
              <w:keepNext w:val="0"/>
              <w:pageBreakBefore w:val="0"/>
              <w:spacing w:line="360" w:lineRule="exact"/>
              <w:rPr>
                <w:rFonts w:hint="eastAsia" w:ascii="仿宋_GB2312" w:hAnsi="仿宋" w:eastAsia="仿宋_GB2312" w:cs="Times New Roman"/>
                <w:sz w:val="24"/>
                <w:szCs w:val="24"/>
                <w:lang w:val="en-US" w:eastAsia="zh-CN" w:bidi="ar-SA"/>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1188"/>
        </w:trPr>
        <w:tc>
          <w:tcPr>
            <w:shd w:val="clear" w:color="auto" w:fill="auto"/>
            <w:tcW w:w="555" w:type="pct"/>
            <w:vAlign w:val="center"/>
            <w:textDirection w:val="lrTb"/>
            <w:noWrap w:val="false"/>
          </w:tcPr>
          <w:p>
            <w:pPr>
              <w:ind w:left="0" w:right="0"/>
              <w:jc w:val="center"/>
              <w:keepLines w:val="0"/>
              <w:keepNext w:val="0"/>
              <w:pageBreakBefore w:val="0"/>
              <w:spacing w:line="360" w:lineRule="exact"/>
              <w:rPr>
                <w:rFonts w:hint="eastAsia" w:ascii="宋体" w:hAnsi="宋体" w:eastAsia="宋体" w:cs="宋体"/>
                <w:b/>
                <w:sz w:val="21"/>
                <w:szCs w:val="22"/>
                <w:lang w:val="en-US" w:eastAsia="zh-CN" w:bidi="zh-CN"/>
              </w:rPr>
            </w:pPr>
            <w:r>
              <w:rPr>
                <w:rFonts w:hint="default" w:ascii="Times New Roman" w:hAnsi="Times New Roman" w:cs="Times New Roman"/>
                <w:color w:val="auto"/>
                <w:sz w:val="22"/>
                <w:szCs w:val="22"/>
                <w:highlight w:val="none"/>
                <w:lang w:val="en-US" w:eastAsia="zh-CN"/>
              </w:rPr>
              <w:t xml:space="preserve">物业维修和管理的应急预案（6分）</w:t>
            </w:r>
            <w:r/>
          </w:p>
        </w:tc>
        <w:tc>
          <w:tcPr>
            <w:gridSpan w:val="3"/>
            <w:shd w:val="clear" w:color="auto" w:fill="auto"/>
            <w:tcW w:w="4444" w:type="pct"/>
            <w:vAlign w:val="center"/>
            <w:textDirection w:val="lrTb"/>
            <w:noWrap w:val="false"/>
          </w:tcPr>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应急措施应包括火灾紧急处理预案、电梯故障应急预案、突发事故处理应急预案、突发公共事件应急预案（含业主、使用人自用部位突然断水、断电、无管道燃气的应急措施；小区物业管理范</w:t>
            </w:r>
            <w:r>
              <w:rPr>
                <w:rFonts w:hint="eastAsia" w:cs="Times New Roman"/>
                <w:color w:val="auto"/>
                <w:sz w:val="22"/>
                <w:szCs w:val="22"/>
                <w:highlight w:val="none"/>
                <w:lang w:val="en-US" w:eastAsia="zh-CN"/>
              </w:rPr>
              <w:t xml:space="preserve">围内</w:t>
            </w:r>
            <w:r>
              <w:rPr>
                <w:rFonts w:hint="default" w:ascii="Times New Roman" w:hAnsi="Times New Roman" w:cs="Times New Roman"/>
                <w:color w:val="auto"/>
                <w:sz w:val="22"/>
                <w:szCs w:val="22"/>
                <w:highlight w:val="none"/>
                <w:lang w:val="en-US" w:eastAsia="zh-CN"/>
              </w:rPr>
              <w:t xml:space="preserve">突然断水、断电、无管道燃气的应急措施；业主与使用人自用部位排水设施阻塞的应急措施；雨、污水管及排水管网阻塞的应急措施）等。</w:t>
            </w:r>
            <w:r/>
          </w:p>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应急预案描述详细、合理科学，可操作性强，得6分；</w:t>
            </w:r>
            <w:r/>
          </w:p>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应急预案描述基本全面、合理、具备可操作性，得4分；</w:t>
            </w:r>
            <w:r/>
          </w:p>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应急预案描述不详尽、不尽合理、可操作性一般，得2分；</w:t>
            </w:r>
            <w:r/>
          </w:p>
          <w:p>
            <w:pPr>
              <w:ind w:left="0" w:right="0"/>
              <w:keepLines w:val="0"/>
              <w:keepNext w:val="0"/>
              <w:pageBreakBefore w:val="0"/>
              <w:spacing w:line="320" w:lineRule="exact"/>
              <w:widowControl w:val="off"/>
              <w:rPr>
                <w:rFonts w:hint="eastAsia" w:ascii="仿宋_GB2312" w:hAnsi="仿宋" w:eastAsia="仿宋_GB2312" w:cs="Times New Roman"/>
                <w:sz w:val="24"/>
                <w:szCs w:val="24"/>
                <w:lang w:val="en-US" w:eastAsia="zh-CN" w:bidi="ar-SA"/>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307"/>
        </w:trPr>
        <w:tc>
          <w:tcPr>
            <w:shd w:val="clear" w:color="auto" w:fill="auto"/>
            <w:tcW w:w="555" w:type="pct"/>
            <w:vAlign w:val="center"/>
            <w:textDirection w:val="lrTb"/>
            <w:noWrap w:val="false"/>
          </w:tcPr>
          <w:p>
            <w:pPr>
              <w:ind w:left="0" w:right="0"/>
              <w:jc w:val="center"/>
              <w:keepLines w:val="0"/>
              <w:keepNext w:val="0"/>
              <w:pageBreakBefore w:val="0"/>
              <w:spacing w:line="240" w:lineRule="exact"/>
              <w:widowControl w:val="off"/>
              <w:rPr>
                <w:rFonts w:hint="eastAsia" w:ascii="宋体" w:hAnsi="宋体" w:eastAsia="宋体" w:cs="宋体"/>
                <w:b/>
                <w:sz w:val="21"/>
                <w:szCs w:val="22"/>
                <w:lang w:val="en-US" w:eastAsia="zh-CN" w:bidi="zh-CN"/>
              </w:rPr>
            </w:pPr>
            <w:r>
              <w:rPr>
                <w:rFonts w:hint="default" w:ascii="Times New Roman" w:hAnsi="Times New Roman" w:eastAsia="宋体" w:cs="Times New Roman"/>
                <w:color w:val="auto"/>
                <w:sz w:val="18"/>
                <w:szCs w:val="18"/>
                <w:highlight w:val="none"/>
                <w:lang w:val="en-US" w:eastAsia="zh-CN"/>
              </w:rPr>
              <w:t xml:space="preserve">施工噪声控制等与业主密切相关事项的应对预案 （2分）</w:t>
            </w:r>
            <w:r/>
          </w:p>
        </w:tc>
        <w:tc>
          <w:tcPr>
            <w:gridSpan w:val="3"/>
            <w:shd w:val="clear" w:color="auto" w:fill="auto"/>
            <w:tcW w:w="4444" w:type="pct"/>
            <w:vAlign w:val="center"/>
            <w:textDirection w:val="lrTb"/>
            <w:noWrap w:val="false"/>
          </w:tcPr>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思路清晰、方法科学、内容全面的得2分；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思路较清晰、方法较科学、内容较全面的得1分；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思路不够清晰、方法欠妥、内容一般的得0.5分； </w:t>
            </w:r>
            <w:r/>
          </w:p>
          <w:p>
            <w:pPr>
              <w:ind w:left="0" w:right="0"/>
              <w:keepLines w:val="0"/>
              <w:keepNext w:val="0"/>
              <w:pageBreakBefore w:val="0"/>
              <w:spacing w:line="360" w:lineRule="exact"/>
              <w:rPr>
                <w:rFonts w:hint="eastAsia" w:ascii="仿宋_GB2312" w:hAnsi="仿宋" w:eastAsia="仿宋_GB2312" w:cs="Times New Roman"/>
                <w:sz w:val="24"/>
                <w:szCs w:val="24"/>
                <w:lang w:val="en-US" w:eastAsia="zh-CN" w:bidi="ar-SA"/>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307"/>
        </w:trPr>
        <w:tc>
          <w:tcPr>
            <w:shd w:val="clear" w:color="auto" w:fill="auto"/>
            <w:tcW w:w="555" w:type="pct"/>
            <w:vAlign w:val="center"/>
            <w:textDirection w:val="lrTb"/>
            <w:noWrap w:val="false"/>
          </w:tcPr>
          <w:p>
            <w:pPr>
              <w:ind w:left="0" w:right="0"/>
              <w:jc w:val="center"/>
              <w:keepLines w:val="0"/>
              <w:keepNext w:val="0"/>
              <w:pageBreakBefore w:val="0"/>
              <w:spacing w:line="240" w:lineRule="exact"/>
              <w:widowControl w:val="off"/>
              <w:rPr>
                <w:rFonts w:hint="eastAsia" w:ascii="仿宋" w:hAnsi="仿宋" w:eastAsia="仿宋" w:cs="仿宋"/>
                <w:sz w:val="22"/>
                <w:szCs w:val="22"/>
                <w:lang w:val="en-US" w:eastAsia="zh-CN" w:bidi="zh-CN"/>
              </w:rPr>
            </w:pPr>
            <w:r>
              <w:rPr>
                <w:rFonts w:hint="default" w:ascii="Times New Roman" w:hAnsi="Times New Roman" w:eastAsia="宋体" w:cs="Times New Roman"/>
                <w:color w:val="auto"/>
                <w:sz w:val="18"/>
                <w:szCs w:val="18"/>
                <w:highlight w:val="none"/>
                <w:lang w:val="en-US" w:eastAsia="zh-CN"/>
              </w:rPr>
              <w:t xml:space="preserve">控制住户装潢过程中破坏房屋结构的方案（2分）</w:t>
            </w:r>
            <w:r/>
          </w:p>
        </w:tc>
        <w:tc>
          <w:tcPr>
            <w:gridSpan w:val="3"/>
            <w:shd w:val="clear" w:color="auto" w:fill="auto"/>
            <w:tcW w:w="4444" w:type="pct"/>
            <w:vAlign w:val="center"/>
            <w:textDirection w:val="lrTb"/>
            <w:noWrap w:val="false"/>
          </w:tcPr>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思路清晰、方法科学、内容全面的得2分；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思路较清晰、方法较科学、内容较全面的得1分；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思路不够清晰、方法欠妥、内容一般的得0.5分； </w:t>
            </w:r>
            <w:r/>
          </w:p>
          <w:p>
            <w:pPr>
              <w:ind w:left="0" w:right="0"/>
              <w:keepLines w:val="0"/>
              <w:keepNext w:val="0"/>
              <w:pageBreakBefore w:val="0"/>
              <w:spacing w:line="360" w:lineRule="exact"/>
              <w:rPr>
                <w:rFonts w:hint="eastAsia" w:ascii="仿宋_GB2312" w:hAnsi="仿宋" w:eastAsia="仿宋_GB2312" w:cs="Times New Roman"/>
                <w:sz w:val="24"/>
                <w:szCs w:val="24"/>
                <w:lang w:val="en-US" w:eastAsia="zh-CN" w:bidi="ar-SA"/>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1005"/>
        </w:trPr>
        <w:tc>
          <w:tcPr>
            <w:shd w:val="clear" w:color="auto" w:fill="auto"/>
            <w:tcW w:w="555" w:type="pct"/>
            <w:vAlign w:val="center"/>
            <w:textDirection w:val="lrTb"/>
            <w:noWrap w:val="false"/>
          </w:tcPr>
          <w:p>
            <w:pPr>
              <w:ind w:left="0" w:right="0"/>
              <w:jc w:val="center"/>
              <w:keepLines w:val="0"/>
              <w:keepNext w:val="0"/>
              <w:pageBreakBefore w:val="0"/>
              <w:spacing w:line="360" w:lineRule="exact"/>
              <w:rPr>
                <w:rFonts w:hint="eastAsia" w:ascii="宋体" w:hAnsi="宋体" w:eastAsia="宋体" w:cs="宋体"/>
                <w:b/>
                <w:color w:val="ff0000"/>
                <w:spacing w:val="-17"/>
                <w:sz w:val="21"/>
                <w:szCs w:val="22"/>
                <w:lang w:val="en-US" w:eastAsia="zh-CN" w:bidi="zh-CN"/>
              </w:rPr>
            </w:pPr>
            <w:r>
              <w:rPr>
                <w:rFonts w:hint="default" w:ascii="Times New Roman" w:hAnsi="Times New Roman" w:cs="Times New Roman"/>
                <w:color w:val="auto"/>
                <w:sz w:val="22"/>
                <w:szCs w:val="22"/>
                <w:highlight w:val="none"/>
                <w:lang w:val="en-US" w:eastAsia="zh-CN"/>
              </w:rPr>
              <w:t xml:space="preserve">创新服务方法的具体措施（2分）</w:t>
            </w:r>
            <w:r/>
          </w:p>
        </w:tc>
        <w:tc>
          <w:tcPr>
            <w:gridSpan w:val="3"/>
            <w:shd w:val="clear" w:color="auto" w:fill="auto"/>
            <w:tcW w:w="4444" w:type="pct"/>
            <w:vAlign w:val="center"/>
            <w:textDirection w:val="lrTb"/>
            <w:noWrap w:val="false"/>
          </w:tcPr>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优化物业工作模式，创新服务方法，提升小区居住环境品质，包括但不限于开展小区细节美化及秩序维护、丰富社区文化、加强业主相互沟通等工作。</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思路清晰、方法科学、内容全面的得2分；</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思路较清晰、方法较科学、内容较全面的得1分；</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思路不够清晰、方法欠妥、内容一般的得0.5分； </w:t>
            </w:r>
            <w:r/>
          </w:p>
          <w:p>
            <w:pPr>
              <w:ind w:left="0" w:right="0"/>
              <w:keepLines w:val="0"/>
              <w:keepNext w:val="0"/>
              <w:pageBreakBefore w:val="0"/>
              <w:spacing w:line="300" w:lineRule="exact"/>
              <w:widowControl w:val="off"/>
              <w:rPr>
                <w:rFonts w:hint="eastAsia" w:ascii="宋体" w:hAnsi="宋体" w:eastAsia="宋体" w:cs="宋体"/>
                <w:bCs/>
                <w:color w:val="ff0000"/>
                <w:sz w:val="21"/>
                <w:szCs w:val="22"/>
                <w:lang w:val="en-US" w:eastAsia="zh-CN" w:bidi="zh-CN"/>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386"/>
        </w:trPr>
        <w:tc>
          <w:tcPr>
            <w:gridSpan w:val="4"/>
            <w:shd w:val="clear" w:color="auto" w:fill="auto"/>
            <w:tcW w:w="5000" w:type="pct"/>
            <w:vAlign w:val="center"/>
            <w:textDirection w:val="lrTb"/>
            <w:noWrap w:val="false"/>
          </w:tcPr>
          <w:p>
            <w:pPr>
              <w:jc w:val="center"/>
              <w:spacing w:line="400" w:lineRule="exact"/>
              <w:rPr>
                <w:rFonts w:hint="default" w:ascii="Times New Roman" w:hAnsi="Times New Roman" w:cs="Times New Roman"/>
                <w:color w:val="auto"/>
                <w:sz w:val="22"/>
                <w:szCs w:val="22"/>
                <w:highlight w:val="none"/>
                <w:lang w:val="en-US" w:eastAsia="zh-CN"/>
              </w:rPr>
            </w:pPr>
            <w:r>
              <w:rPr>
                <w:rFonts w:hint="eastAsia" w:ascii="仿宋_GB2312" w:hAnsi="仿宋_GB2312" w:eastAsia="仿宋_GB2312" w:cs="仿宋_GB2312"/>
                <w:b/>
                <w:color w:val="ff0000"/>
              </w:rPr>
              <w:t xml:space="preserve">5.2详细评审</w:t>
            </w:r>
            <w:r>
              <w:rPr>
                <w:rFonts w:hint="eastAsia" w:ascii="仿宋_GB2312" w:hAnsi="仿宋_GB2312" w:eastAsia="仿宋_GB2312" w:cs="仿宋_GB2312"/>
                <w:b/>
                <w:bCs w:val="0"/>
                <w:color w:val="ff0000"/>
                <w:lang w:eastAsia="zh-CN"/>
              </w:rPr>
              <w:t xml:space="preserve">（</w:t>
            </w:r>
            <w:r>
              <w:rPr>
                <w:rFonts w:hint="eastAsia" w:ascii="仿宋_GB2312" w:hAnsi="仿宋_GB2312" w:eastAsia="仿宋_GB2312" w:cs="仿宋_GB2312"/>
                <w:b/>
                <w:bCs w:val="0"/>
                <w:color w:val="ff0000"/>
                <w:lang w:val="en-US" w:eastAsia="zh-CN"/>
              </w:rPr>
              <w:t xml:space="preserve">包二：南园新村</w:t>
            </w:r>
            <w:r>
              <w:rPr>
                <w:rFonts w:hint="eastAsia" w:ascii="仿宋_GB2312" w:hAnsi="仿宋_GB2312" w:eastAsia="仿宋_GB2312" w:cs="仿宋_GB2312"/>
                <w:b/>
                <w:bCs w:val="0"/>
                <w:color w:val="ff0000"/>
                <w:lang w:eastAsia="zh-CN"/>
              </w:rPr>
              <w:t xml:space="preserve">）</w:t>
            </w:r>
            <w:r/>
          </w:p>
        </w:tc>
      </w:tr>
      <w:tr>
        <w:trPr>
          <w:jc w:val="center"/>
          <w:trHeight w:val="375"/>
        </w:trPr>
        <w:tc>
          <w:tcPr>
            <w:shd w:val="clear" w:color="auto" w:fill="auto"/>
            <w:tcW w:w="555" w:type="pct"/>
            <w:vAlign w:val="center"/>
            <w:textDirection w:val="lrTb"/>
            <w:noWrap w:val="false"/>
          </w:tcPr>
          <w:p>
            <w:pPr>
              <w:jc w:val="center"/>
              <w:spacing w:line="400" w:lineRule="exact"/>
              <w:rPr>
                <w:rFonts w:hint="default" w:ascii="Times New Roman" w:hAnsi="Times New Roman" w:cs="Times New Roman"/>
                <w:b/>
                <w:bCs/>
                <w:color w:val="auto"/>
                <w:sz w:val="22"/>
                <w:szCs w:val="22"/>
                <w:highlight w:val="none"/>
                <w:lang w:val="en-US" w:eastAsia="zh-CN"/>
              </w:rPr>
            </w:pPr>
            <w:r>
              <w:rPr>
                <w:rFonts w:hint="eastAsia" w:ascii="仿宋_GB2312" w:hAnsi="仿宋" w:eastAsia="仿宋_GB2312"/>
                <w:b/>
                <w:bCs/>
                <w:spacing w:val="-20"/>
                <w:sz w:val="24"/>
              </w:rPr>
              <w:t xml:space="preserve">评审因素</w:t>
            </w:r>
            <w:r/>
          </w:p>
        </w:tc>
        <w:tc>
          <w:tcPr>
            <w:gridSpan w:val="3"/>
            <w:shd w:val="clear" w:color="auto" w:fill="auto"/>
            <w:tcW w:w="4444" w:type="pct"/>
            <w:vAlign w:val="center"/>
            <w:textDirection w:val="lrTb"/>
            <w:noWrap w:val="false"/>
          </w:tcPr>
          <w:p>
            <w:pPr>
              <w:jc w:val="center"/>
              <w:spacing w:line="240" w:lineRule="exact"/>
              <w:widowControl/>
              <w:rPr>
                <w:rFonts w:hint="default" w:ascii="Times New Roman" w:hAnsi="Times New Roman" w:cs="Times New Roman"/>
                <w:color w:val="auto"/>
                <w:sz w:val="22"/>
                <w:szCs w:val="22"/>
                <w:highlight w:val="none"/>
                <w:lang w:val="en-US" w:eastAsia="zh-CN"/>
              </w:rPr>
            </w:pPr>
            <w:r>
              <w:rPr>
                <w:rFonts w:hint="eastAsia" w:ascii="仿宋" w:hAnsi="仿宋" w:eastAsia="仿宋" w:cs="仿宋"/>
                <w:b/>
                <w:bCs/>
              </w:rPr>
              <w:t xml:space="preserve">评审内容及标准</w:t>
            </w:r>
            <w:r/>
          </w:p>
        </w:tc>
      </w:tr>
      <w:tr>
        <w:trPr>
          <w:jc w:val="center"/>
          <w:trHeight w:val="317"/>
        </w:trPr>
        <w:tc>
          <w:tcPr>
            <w:gridSpan w:val="4"/>
            <w:shd w:val="clear" w:color="auto" w:fill="auto"/>
            <w:tcW w:w="5000" w:type="pct"/>
            <w:vAlign w:val="center"/>
            <w:textDirection w:val="lrTb"/>
            <w:noWrap w:val="false"/>
          </w:tcPr>
          <w:p>
            <w:pPr>
              <w:jc w:val="center"/>
              <w:spacing w:line="240" w:lineRule="exact"/>
              <w:widowControl/>
              <w:rPr>
                <w:rFonts w:hint="default" w:ascii="Times New Roman" w:hAnsi="Times New Roman" w:cs="Times New Roman"/>
                <w:color w:val="auto"/>
                <w:sz w:val="22"/>
                <w:szCs w:val="22"/>
                <w:highlight w:val="none"/>
                <w:lang w:val="en-US" w:eastAsia="zh-CN"/>
              </w:rPr>
            </w:pPr>
            <w:r>
              <w:rPr>
                <w:b/>
                <w:sz w:val="21"/>
              </w:rPr>
              <w:t xml:space="preserve">一、报价评审（</w:t>
            </w:r>
            <w:r>
              <w:rPr>
                <w:rFonts w:hint="eastAsia"/>
                <w:b/>
                <w:sz w:val="21"/>
                <w:lang w:val="en-US" w:eastAsia="zh-CN"/>
              </w:rPr>
              <w:t xml:space="preserve">30</w:t>
            </w:r>
            <w:r>
              <w:rPr>
                <w:b/>
                <w:sz w:val="21"/>
              </w:rPr>
              <w:t xml:space="preserve">分）</w:t>
            </w:r>
            <w:r/>
          </w:p>
        </w:tc>
      </w:tr>
      <w:tr>
        <w:trPr>
          <w:jc w:val="center"/>
          <w:trHeight w:val="1005"/>
        </w:trPr>
        <w:tc>
          <w:tcPr>
            <w:shd w:val="clear" w:color="auto" w:fill="auto"/>
            <w:tcW w:w="555" w:type="pct"/>
            <w:vAlign w:val="center"/>
            <w:textDirection w:val="lrTb"/>
            <w:noWrap w:val="false"/>
          </w:tcPr>
          <w:p>
            <w:pPr>
              <w:pStyle w:val="841"/>
              <w:ind w:right="-10"/>
              <w:jc w:val="center"/>
              <w:spacing w:before="0"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bCs w:val="0"/>
                <w:color w:val="auto"/>
                <w:spacing w:val="0"/>
                <w:sz w:val="24"/>
                <w:szCs w:val="24"/>
                <w:lang w:eastAsia="zh-CN"/>
              </w:rPr>
              <w:t xml:space="preserve">报价评审（</w:t>
            </w:r>
            <w:r>
              <w:rPr>
                <w:rFonts w:hint="eastAsia" w:ascii="宋体" w:hAnsi="宋体" w:eastAsia="宋体" w:cs="宋体"/>
                <w:bCs w:val="0"/>
                <w:color w:val="auto"/>
                <w:spacing w:val="0"/>
                <w:sz w:val="24"/>
                <w:szCs w:val="24"/>
                <w:lang w:val="en-US" w:eastAsia="zh-CN"/>
              </w:rPr>
              <w:t xml:space="preserve">30</w:t>
            </w:r>
            <w:r>
              <w:rPr>
                <w:rFonts w:hint="eastAsia" w:ascii="宋体" w:hAnsi="宋体" w:eastAsia="宋体" w:cs="宋体"/>
                <w:bCs w:val="0"/>
                <w:color w:val="auto"/>
                <w:spacing w:val="0"/>
                <w:sz w:val="24"/>
                <w:szCs w:val="24"/>
                <w:lang w:eastAsia="zh-CN"/>
              </w:rPr>
              <w:t xml:space="preserve">分）</w:t>
            </w:r>
            <w:r/>
          </w:p>
        </w:tc>
        <w:tc>
          <w:tcPr>
            <w:gridSpan w:val="3"/>
            <w:shd w:val="clear" w:color="auto" w:fill="auto"/>
            <w:tcW w:w="4444" w:type="pct"/>
            <w:vAlign w:val="center"/>
            <w:textDirection w:val="lrTb"/>
            <w:noWrap w:val="false"/>
          </w:tcPr>
          <w:p>
            <w:pPr>
              <w:spacing w:line="32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bCs w:val="0"/>
                <w:color w:val="auto"/>
                <w:spacing w:val="0"/>
                <w:sz w:val="24"/>
                <w:szCs w:val="24"/>
                <w:lang w:eastAsia="zh-CN"/>
              </w:rPr>
              <w:t xml:space="preserve">资格审查和响应性评审合格且投标价格最低为评标基准价，其价格分为</w:t>
            </w:r>
            <w:r>
              <w:rPr>
                <w:rFonts w:hint="eastAsia" w:ascii="宋体" w:hAnsi="宋体" w:eastAsia="宋体" w:cs="宋体"/>
                <w:bCs w:val="0"/>
                <w:color w:val="auto"/>
                <w:spacing w:val="0"/>
                <w:sz w:val="24"/>
                <w:szCs w:val="24"/>
                <w:lang w:val="en-US" w:eastAsia="zh-CN"/>
              </w:rPr>
              <w:t xml:space="preserve">30</w:t>
            </w:r>
            <w:r>
              <w:rPr>
                <w:rFonts w:hint="eastAsia" w:ascii="宋体" w:hAnsi="宋体" w:eastAsia="宋体" w:cs="宋体"/>
                <w:bCs w:val="0"/>
                <w:color w:val="auto"/>
                <w:spacing w:val="0"/>
                <w:sz w:val="24"/>
                <w:szCs w:val="24"/>
                <w:lang w:eastAsia="zh-CN"/>
              </w:rPr>
              <w:t xml:space="preserve">分。其他投标人的价格分按照下列公式计算（小数点保留两位）：投标报价得分=（评标基准价／投标报价）×</w:t>
            </w:r>
            <w:r>
              <w:rPr>
                <w:rFonts w:hint="eastAsia" w:ascii="宋体" w:hAnsi="宋体" w:eastAsia="宋体" w:cs="宋体"/>
                <w:bCs w:val="0"/>
                <w:color w:val="auto"/>
                <w:spacing w:val="0"/>
                <w:sz w:val="24"/>
                <w:szCs w:val="24"/>
                <w:lang w:val="en-US" w:eastAsia="zh-CN"/>
              </w:rPr>
              <w:t xml:space="preserve">30</w:t>
            </w:r>
            <w:r>
              <w:rPr>
                <w:rFonts w:hint="eastAsia" w:ascii="宋体" w:hAnsi="宋体" w:eastAsia="宋体" w:cs="宋体"/>
                <w:bCs w:val="0"/>
                <w:color w:val="auto"/>
                <w:spacing w:val="0"/>
                <w:sz w:val="24"/>
                <w:szCs w:val="24"/>
                <w:lang w:eastAsia="zh-CN"/>
              </w:rPr>
              <w:t xml:space="preserve">分（保留两位小数）。</w:t>
            </w:r>
            <w:r/>
          </w:p>
        </w:tc>
      </w:tr>
      <w:tr>
        <w:trPr>
          <w:jc w:val="center"/>
          <w:trHeight w:val="305"/>
        </w:trPr>
        <w:tc>
          <w:tcPr>
            <w:gridSpan w:val="4"/>
            <w:shd w:val="clear" w:color="auto" w:fill="auto"/>
            <w:tcW w:w="5000" w:type="pct"/>
            <w:vAlign w:val="center"/>
            <w:textDirection w:val="lrTb"/>
            <w:noWrap w:val="false"/>
          </w:tcPr>
          <w:p>
            <w:pPr>
              <w:pStyle w:val="841"/>
              <w:ind w:right="137"/>
              <w:spacing w:before="0" w:line="320" w:lineRule="exact"/>
              <w:rPr>
                <w:rFonts w:hint="default" w:ascii="Times New Roman" w:hAnsi="Times New Roman" w:cs="Times New Roman"/>
                <w:color w:val="auto"/>
                <w:sz w:val="22"/>
                <w:szCs w:val="22"/>
                <w:highlight w:val="none"/>
                <w:lang w:val="en-US" w:eastAsia="zh-CN"/>
              </w:rPr>
            </w:pPr>
            <w:r>
              <w:rPr>
                <w:b/>
                <w:color w:val="auto"/>
                <w:sz w:val="21"/>
              </w:rPr>
              <w:t xml:space="preserve">二、商务评审（</w:t>
            </w:r>
            <w:r>
              <w:rPr>
                <w:rFonts w:hint="eastAsia" w:ascii="Times New Roman"/>
                <w:b/>
                <w:color w:val="auto"/>
                <w:sz w:val="21"/>
                <w:lang w:val="en-US" w:eastAsia="zh-CN"/>
              </w:rPr>
              <w:t xml:space="preserve">30</w:t>
            </w:r>
            <w:r>
              <w:rPr>
                <w:b/>
                <w:color w:val="auto"/>
                <w:sz w:val="21"/>
              </w:rPr>
              <w:t xml:space="preserve">分）</w:t>
            </w:r>
            <w:r/>
          </w:p>
        </w:tc>
      </w:tr>
      <w:tr>
        <w:trPr>
          <w:jc w:val="center"/>
          <w:trHeight w:val="331"/>
        </w:trPr>
        <w:tc>
          <w:tcPr>
            <w:shd w:val="clear" w:color="auto" w:fill="auto"/>
            <w:tcW w:w="555" w:type="pct"/>
            <w:vAlign w:val="center"/>
            <w:textDirection w:val="lrTb"/>
            <w:noWrap w:val="false"/>
          </w:tcPr>
          <w:p>
            <w:pPr>
              <w:pStyle w:val="841"/>
              <w:ind w:left="0" w:right="0"/>
              <w:jc w:val="center"/>
              <w:keepLines w:val="0"/>
              <w:keepNext w:val="0"/>
              <w:pageBreakBefore w:val="0"/>
              <w:spacing w:before="0" w:line="300" w:lineRule="exact"/>
              <w:widowControl/>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eastAsiaTheme="minorEastAsia"/>
                <w:bCs w:val="0"/>
                <w:color w:val="auto"/>
                <w:spacing w:val="0"/>
                <w:sz w:val="22"/>
                <w:szCs w:val="22"/>
                <w:highlight w:val="none"/>
                <w:lang w:eastAsia="zh-CN"/>
              </w:rPr>
              <w:t xml:space="preserve">企业</w:t>
            </w:r>
            <w:r>
              <w:rPr>
                <w:rFonts w:hint="default" w:ascii="Times New Roman" w:hAnsi="Times New Roman" w:cs="Times New Roman" w:eastAsiaTheme="minorEastAsia"/>
                <w:bCs w:val="0"/>
                <w:color w:val="auto"/>
                <w:spacing w:val="0"/>
                <w:sz w:val="22"/>
                <w:szCs w:val="22"/>
                <w:highlight w:val="none"/>
                <w:lang w:val="en-US" w:eastAsia="zh-CN"/>
              </w:rPr>
              <w:t xml:space="preserve">实力（3分）</w:t>
            </w:r>
            <w:r/>
          </w:p>
        </w:tc>
        <w:tc>
          <w:tcPr>
            <w:gridSpan w:val="3"/>
            <w:shd w:val="clear" w:color="auto" w:fill="auto"/>
            <w:tcW w:w="4444" w:type="pct"/>
            <w:vAlign w:val="center"/>
            <w:textDirection w:val="lrTb"/>
            <w:noWrap w:val="false"/>
          </w:tcPr>
          <w:p>
            <w:pPr>
              <w:pStyle w:val="841"/>
              <w:ind w:left="0" w:right="0"/>
              <w:jc w:val="both"/>
              <w:keepLines w:val="0"/>
              <w:keepNext w:val="0"/>
              <w:pageBreakBefore w:val="0"/>
              <w:spacing w:before="0" w:line="300" w:lineRule="exact"/>
              <w:widowControl/>
              <w:rPr>
                <w:rFonts w:hint="default" w:ascii="Times New Roman" w:hAnsi="Times New Roman" w:cs="Times New Roman" w:eastAsiaTheme="minorEastAsia"/>
                <w:bCs w:val="0"/>
                <w:color w:val="auto"/>
                <w:spacing w:val="0"/>
                <w:sz w:val="22"/>
                <w:szCs w:val="22"/>
                <w:highlight w:val="none"/>
                <w:lang w:eastAsia="zh-CN"/>
              </w:rPr>
            </w:pPr>
            <w:r>
              <w:rPr>
                <w:rFonts w:hint="eastAsia" w:ascii="Times New Roman" w:hAnsi="Times New Roman" w:cs="Times New Roman" w:eastAsiaTheme="minorEastAsia"/>
                <w:bCs w:val="0"/>
                <w:color w:val="auto"/>
                <w:spacing w:val="0"/>
                <w:sz w:val="22"/>
                <w:szCs w:val="22"/>
                <w:highlight w:val="none"/>
                <w:lang w:val="en-US" w:eastAsia="zh-CN"/>
              </w:rPr>
              <w:t xml:space="preserve">1.</w:t>
            </w:r>
            <w:r>
              <w:rPr>
                <w:rFonts w:hint="default" w:ascii="Times New Roman" w:hAnsi="Times New Roman" w:cs="Times New Roman" w:eastAsiaTheme="minorEastAsia"/>
                <w:bCs w:val="0"/>
                <w:color w:val="auto"/>
                <w:spacing w:val="0"/>
                <w:sz w:val="22"/>
                <w:szCs w:val="22"/>
                <w:highlight w:val="none"/>
                <w:lang w:eastAsia="zh-CN"/>
              </w:rPr>
              <w:t xml:space="preserve">投标人通过质量管理体系认证，且在有效期内，得</w:t>
            </w:r>
            <w:r>
              <w:rPr>
                <w:rFonts w:hint="default" w:ascii="Times New Roman" w:hAnsi="Times New Roman" w:cs="Times New Roman" w:eastAsiaTheme="minorEastAsia"/>
                <w:bCs w:val="0"/>
                <w:color w:val="auto"/>
                <w:spacing w:val="0"/>
                <w:sz w:val="22"/>
                <w:szCs w:val="22"/>
                <w:highlight w:val="none"/>
                <w:lang w:val="en-US" w:eastAsia="zh-CN"/>
              </w:rPr>
              <w:t xml:space="preserve">1</w:t>
            </w:r>
            <w:r>
              <w:rPr>
                <w:rFonts w:hint="default" w:ascii="Times New Roman" w:hAnsi="Times New Roman" w:cs="Times New Roman" w:eastAsiaTheme="minorEastAsia"/>
                <w:bCs w:val="0"/>
                <w:color w:val="auto"/>
                <w:spacing w:val="0"/>
                <w:sz w:val="22"/>
                <w:szCs w:val="22"/>
                <w:highlight w:val="none"/>
                <w:lang w:eastAsia="zh-CN"/>
              </w:rPr>
              <w:t xml:space="preserve">分；</w:t>
            </w:r>
            <w:r/>
          </w:p>
          <w:p>
            <w:pPr>
              <w:pStyle w:val="841"/>
              <w:ind w:left="0" w:right="0"/>
              <w:jc w:val="both"/>
              <w:keepLines w:val="0"/>
              <w:keepNext w:val="0"/>
              <w:pageBreakBefore w:val="0"/>
              <w:spacing w:before="0" w:line="300" w:lineRule="exact"/>
              <w:widowControl/>
              <w:rPr>
                <w:rFonts w:hint="default" w:ascii="Times New Roman" w:hAnsi="Times New Roman" w:cs="Times New Roman" w:eastAsiaTheme="minorEastAsia"/>
                <w:bCs w:val="0"/>
                <w:color w:val="auto"/>
                <w:spacing w:val="0"/>
                <w:sz w:val="22"/>
                <w:szCs w:val="22"/>
                <w:highlight w:val="none"/>
                <w:lang w:eastAsia="zh-CN"/>
              </w:rPr>
            </w:pPr>
            <w:r>
              <w:rPr>
                <w:rFonts w:hint="eastAsia" w:ascii="Times New Roman" w:hAnsi="Times New Roman" w:cs="Times New Roman" w:eastAsiaTheme="minorEastAsia"/>
                <w:bCs w:val="0"/>
                <w:color w:val="auto"/>
                <w:spacing w:val="0"/>
                <w:sz w:val="22"/>
                <w:szCs w:val="22"/>
                <w:highlight w:val="none"/>
                <w:lang w:val="en-US" w:eastAsia="zh-CN"/>
              </w:rPr>
              <w:t xml:space="preserve">2.</w:t>
            </w:r>
            <w:r>
              <w:rPr>
                <w:rFonts w:hint="default" w:ascii="Times New Roman" w:hAnsi="Times New Roman" w:cs="Times New Roman" w:eastAsiaTheme="minorEastAsia"/>
                <w:bCs w:val="0"/>
                <w:color w:val="auto"/>
                <w:spacing w:val="0"/>
                <w:sz w:val="22"/>
                <w:szCs w:val="22"/>
                <w:highlight w:val="none"/>
                <w:lang w:eastAsia="zh-CN"/>
              </w:rPr>
              <w:t xml:space="preserve">投标人通过环境管理体系认证，且在有效期内，得</w:t>
            </w:r>
            <w:r>
              <w:rPr>
                <w:rFonts w:hint="default" w:ascii="Times New Roman" w:hAnsi="Times New Roman" w:cs="Times New Roman" w:eastAsiaTheme="minorEastAsia"/>
                <w:bCs w:val="0"/>
                <w:color w:val="auto"/>
                <w:spacing w:val="0"/>
                <w:sz w:val="22"/>
                <w:szCs w:val="22"/>
                <w:highlight w:val="none"/>
                <w:lang w:val="en-US" w:eastAsia="zh-CN"/>
              </w:rPr>
              <w:t xml:space="preserve">1</w:t>
            </w:r>
            <w:r>
              <w:rPr>
                <w:rFonts w:hint="default" w:ascii="Times New Roman" w:hAnsi="Times New Roman" w:cs="Times New Roman" w:eastAsiaTheme="minorEastAsia"/>
                <w:bCs w:val="0"/>
                <w:color w:val="auto"/>
                <w:spacing w:val="0"/>
                <w:sz w:val="22"/>
                <w:szCs w:val="22"/>
                <w:highlight w:val="none"/>
                <w:lang w:eastAsia="zh-CN"/>
              </w:rPr>
              <w:t xml:space="preserve">分；</w:t>
            </w:r>
            <w:r/>
          </w:p>
          <w:p>
            <w:pPr>
              <w:pStyle w:val="841"/>
              <w:ind w:left="0" w:right="0"/>
              <w:jc w:val="both"/>
              <w:keepLines w:val="0"/>
              <w:keepNext w:val="0"/>
              <w:pageBreakBefore w:val="0"/>
              <w:spacing w:before="0" w:line="300" w:lineRule="exact"/>
              <w:widowControl/>
              <w:rPr>
                <w:rFonts w:hint="default" w:ascii="Times New Roman" w:hAnsi="Times New Roman" w:cs="Times New Roman" w:eastAsiaTheme="minorEastAsia"/>
                <w:bCs w:val="0"/>
                <w:color w:val="auto"/>
                <w:spacing w:val="0"/>
                <w:sz w:val="22"/>
                <w:szCs w:val="22"/>
                <w:highlight w:val="none"/>
                <w:lang w:eastAsia="zh-CN"/>
              </w:rPr>
            </w:pPr>
            <w:r>
              <w:rPr>
                <w:rFonts w:hint="eastAsia" w:ascii="Times New Roman" w:hAnsi="Times New Roman" w:cs="Times New Roman" w:eastAsiaTheme="minorEastAsia"/>
                <w:bCs w:val="0"/>
                <w:color w:val="auto"/>
                <w:spacing w:val="0"/>
                <w:sz w:val="22"/>
                <w:szCs w:val="22"/>
                <w:highlight w:val="none"/>
                <w:lang w:val="en-US" w:eastAsia="zh-CN"/>
              </w:rPr>
              <w:t xml:space="preserve">3.</w:t>
            </w:r>
            <w:r>
              <w:rPr>
                <w:rFonts w:hint="default" w:ascii="Times New Roman" w:hAnsi="Times New Roman" w:cs="Times New Roman" w:eastAsiaTheme="minorEastAsia"/>
                <w:bCs w:val="0"/>
                <w:color w:val="auto"/>
                <w:spacing w:val="0"/>
                <w:sz w:val="22"/>
                <w:szCs w:val="22"/>
                <w:highlight w:val="none"/>
                <w:lang w:eastAsia="zh-CN"/>
              </w:rPr>
              <w:t xml:space="preserve">投标人通过职业健康安全管理体系认证的，且在有效期内，得</w:t>
            </w:r>
            <w:r>
              <w:rPr>
                <w:rFonts w:hint="default" w:ascii="Times New Roman" w:hAnsi="Times New Roman" w:cs="Times New Roman" w:eastAsiaTheme="minorEastAsia"/>
                <w:bCs w:val="0"/>
                <w:color w:val="auto"/>
                <w:spacing w:val="0"/>
                <w:sz w:val="22"/>
                <w:szCs w:val="22"/>
                <w:highlight w:val="none"/>
                <w:lang w:val="en-US" w:eastAsia="zh-CN"/>
              </w:rPr>
              <w:t xml:space="preserve">1</w:t>
            </w:r>
            <w:r>
              <w:rPr>
                <w:rFonts w:hint="default" w:ascii="Times New Roman" w:hAnsi="Times New Roman" w:cs="Times New Roman" w:eastAsiaTheme="minorEastAsia"/>
                <w:bCs w:val="0"/>
                <w:color w:val="auto"/>
                <w:spacing w:val="0"/>
                <w:sz w:val="22"/>
                <w:szCs w:val="22"/>
                <w:highlight w:val="none"/>
                <w:lang w:eastAsia="zh-CN"/>
              </w:rPr>
              <w:t xml:space="preserve">分；</w:t>
            </w:r>
            <w:r/>
          </w:p>
          <w:p>
            <w:pPr>
              <w:pStyle w:val="841"/>
              <w:ind w:left="0" w:right="0"/>
              <w:jc w:val="both"/>
              <w:keepLines w:val="0"/>
              <w:keepNext w:val="0"/>
              <w:pageBreakBefore w:val="0"/>
              <w:spacing w:before="0" w:line="300" w:lineRule="exact"/>
              <w:widowControl/>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eastAsiaTheme="minorEastAsia"/>
                <w:b/>
                <w:bCs/>
                <w:color w:val="auto"/>
                <w:spacing w:val="0"/>
                <w:sz w:val="22"/>
                <w:szCs w:val="22"/>
                <w:highlight w:val="none"/>
                <w:lang w:val="en-US" w:eastAsia="zh-CN"/>
              </w:rPr>
              <w:t xml:space="preserve">【提供全国认证认可信息公共服务平台查询的截图，认证证书在有效期内</w:t>
            </w:r>
            <w:r>
              <w:rPr>
                <w:rFonts w:hint="eastAsia" w:ascii="Times New Roman" w:hAnsi="Times New Roman" w:cs="Times New Roman" w:eastAsiaTheme="minorEastAsia"/>
                <w:b/>
                <w:bCs/>
                <w:color w:val="auto"/>
                <w:spacing w:val="0"/>
                <w:sz w:val="22"/>
                <w:szCs w:val="22"/>
                <w:highlight w:val="none"/>
                <w:lang w:val="en-US" w:eastAsia="zh-CN"/>
              </w:rPr>
              <w:t xml:space="preserve">。】</w:t>
            </w:r>
            <w:r/>
          </w:p>
        </w:tc>
      </w:tr>
      <w:tr>
        <w:trPr>
          <w:jc w:val="center"/>
          <w:trHeight w:val="709"/>
        </w:trPr>
        <w:tc>
          <w:tcPr>
            <w:shd w:val="clear" w:color="auto" w:fill="auto"/>
            <w:tcW w:w="555" w:type="pct"/>
            <w:vAlign w:val="center"/>
            <w:textDirection w:val="lrTb"/>
            <w:noWrap w:val="false"/>
          </w:tcPr>
          <w:p>
            <w:pPr>
              <w:pStyle w:val="841"/>
              <w:ind w:left="0" w:right="0"/>
              <w:jc w:val="center"/>
              <w:keepLines w:val="0"/>
              <w:keepNext w:val="0"/>
              <w:pageBreakBefore w:val="0"/>
              <w:spacing w:before="0"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eastAsiaTheme="minorEastAsia"/>
                <w:bCs w:val="0"/>
                <w:color w:val="auto"/>
                <w:spacing w:val="0"/>
                <w:sz w:val="22"/>
                <w:szCs w:val="22"/>
                <w:highlight w:val="none"/>
                <w:lang w:eastAsia="zh-CN"/>
              </w:rPr>
              <w:t xml:space="preserve">企业荣誉（</w:t>
            </w:r>
            <w:r>
              <w:rPr>
                <w:rFonts w:hint="default" w:ascii="Times New Roman" w:hAnsi="Times New Roman" w:cs="Times New Roman" w:eastAsiaTheme="minorEastAsia"/>
                <w:bCs w:val="0"/>
                <w:color w:val="auto"/>
                <w:spacing w:val="0"/>
                <w:sz w:val="22"/>
                <w:szCs w:val="22"/>
                <w:highlight w:val="none"/>
                <w:lang w:val="en-US" w:eastAsia="zh-CN"/>
              </w:rPr>
              <w:t xml:space="preserve">6</w:t>
            </w:r>
            <w:r>
              <w:rPr>
                <w:rFonts w:hint="default" w:ascii="Times New Roman" w:hAnsi="Times New Roman" w:cs="Times New Roman" w:eastAsiaTheme="minorEastAsia"/>
                <w:bCs w:val="0"/>
                <w:color w:val="auto"/>
                <w:spacing w:val="0"/>
                <w:sz w:val="22"/>
                <w:szCs w:val="22"/>
                <w:highlight w:val="none"/>
                <w:lang w:eastAsia="zh-CN"/>
              </w:rPr>
              <w:t xml:space="preserve">分）</w:t>
            </w:r>
            <w:r/>
          </w:p>
        </w:tc>
        <w:tc>
          <w:tcPr>
            <w:gridSpan w:val="3"/>
            <w:shd w:val="clear" w:color="auto" w:fill="auto"/>
            <w:tcW w:w="4444" w:type="pct"/>
            <w:vAlign w:val="center"/>
            <w:textDirection w:val="lrTb"/>
            <w:noWrap w:val="false"/>
          </w:tcPr>
          <w:p>
            <w:pPr>
              <w:pStyle w:val="841"/>
              <w:ind w:left="0" w:right="0"/>
              <w:jc w:val="both"/>
              <w:keepLines w:val="0"/>
              <w:keepNext w:val="0"/>
              <w:pageBreakBefore w:val="0"/>
              <w:spacing w:before="0" w:line="360" w:lineRule="exact"/>
              <w:rPr>
                <w:rFonts w:hint="default" w:ascii="Times New Roman" w:hAnsi="Times New Roman" w:cs="Times New Roman" w:eastAsiaTheme="minorEastAsia"/>
                <w:bCs w:val="0"/>
                <w:color w:val="auto"/>
                <w:spacing w:val="0"/>
                <w:sz w:val="22"/>
                <w:szCs w:val="22"/>
                <w:highlight w:val="none"/>
                <w:lang w:val="en-US" w:eastAsia="zh-CN"/>
              </w:rPr>
            </w:pPr>
            <w:r>
              <w:rPr>
                <w:rFonts w:hint="default" w:ascii="Times New Roman" w:hAnsi="Times New Roman" w:cs="Times New Roman" w:eastAsiaTheme="minorEastAsia"/>
                <w:bCs w:val="0"/>
                <w:color w:val="auto"/>
                <w:spacing w:val="0"/>
                <w:sz w:val="22"/>
                <w:szCs w:val="22"/>
                <w:highlight w:val="none"/>
                <w:lang w:val="en-US" w:eastAsia="zh-CN"/>
              </w:rPr>
              <w:t xml:space="preserve">投标人承担的住宅物业管理服务项目，在</w:t>
            </w:r>
            <w:r>
              <w:rPr>
                <w:rFonts w:hint="eastAsia" w:ascii="Times New Roman" w:hAnsi="Times New Roman" w:cs="Times New Roman" w:eastAsiaTheme="minorEastAsia"/>
                <w:bCs w:val="0"/>
                <w:color w:val="auto"/>
                <w:spacing w:val="0"/>
                <w:sz w:val="22"/>
                <w:szCs w:val="22"/>
                <w:highlight w:val="none"/>
                <w:lang w:val="en-US" w:eastAsia="zh-CN"/>
              </w:rPr>
              <w:t xml:space="preserve">物业</w:t>
            </w:r>
            <w:r>
              <w:rPr>
                <w:rFonts w:hint="default" w:ascii="Times New Roman" w:hAnsi="Times New Roman" w:cs="Times New Roman" w:eastAsiaTheme="minorEastAsia"/>
                <w:bCs w:val="0"/>
                <w:color w:val="auto"/>
                <w:spacing w:val="0"/>
                <w:sz w:val="22"/>
                <w:szCs w:val="22"/>
                <w:highlight w:val="none"/>
                <w:lang w:val="en-US" w:eastAsia="zh-CN"/>
              </w:rPr>
              <w:t xml:space="preserve">服务过程中，获得过政府部门或行政主管部门</w:t>
            </w:r>
            <w:r>
              <w:rPr>
                <w:rFonts w:hint="eastAsia" w:ascii="Times New Roman" w:hAnsi="Times New Roman" w:cs="Times New Roman" w:eastAsiaTheme="minorEastAsia"/>
                <w:bCs w:val="0"/>
                <w:color w:val="auto"/>
                <w:spacing w:val="0"/>
                <w:sz w:val="22"/>
                <w:szCs w:val="22"/>
                <w:highlight w:val="none"/>
                <w:lang w:val="en-US" w:eastAsia="zh-CN"/>
              </w:rPr>
              <w:t xml:space="preserve">关于物业管理方面</w:t>
            </w:r>
            <w:r>
              <w:rPr>
                <w:rFonts w:hint="default" w:ascii="Times New Roman" w:hAnsi="Times New Roman" w:cs="Times New Roman" w:eastAsiaTheme="minorEastAsia"/>
                <w:bCs w:val="0"/>
                <w:color w:val="auto"/>
                <w:spacing w:val="0"/>
                <w:sz w:val="22"/>
                <w:szCs w:val="22"/>
                <w:highlight w:val="none"/>
                <w:lang w:val="en-US" w:eastAsia="zh-CN"/>
              </w:rPr>
              <w:t xml:space="preserve">奖励、表彰的，省级</w:t>
            </w:r>
            <w:r>
              <w:rPr>
                <w:rFonts w:hint="eastAsia" w:ascii="Times New Roman" w:hAnsi="Times New Roman" w:cs="Times New Roman" w:eastAsiaTheme="minorEastAsia"/>
                <w:bCs w:val="0"/>
                <w:color w:val="auto"/>
                <w:spacing w:val="0"/>
                <w:sz w:val="22"/>
                <w:szCs w:val="22"/>
                <w:highlight w:val="none"/>
                <w:lang w:val="en-US" w:eastAsia="zh-CN"/>
              </w:rPr>
              <w:t xml:space="preserve">及以上的</w:t>
            </w:r>
            <w:r>
              <w:rPr>
                <w:rFonts w:hint="default" w:ascii="Times New Roman" w:hAnsi="Times New Roman" w:cs="Times New Roman" w:eastAsiaTheme="minorEastAsia"/>
                <w:bCs w:val="0"/>
                <w:color w:val="auto"/>
                <w:spacing w:val="0"/>
                <w:sz w:val="22"/>
                <w:szCs w:val="22"/>
                <w:highlight w:val="none"/>
                <w:lang w:val="en-US" w:eastAsia="zh-CN"/>
              </w:rPr>
              <w:t xml:space="preserve">每项</w:t>
            </w:r>
            <w:r>
              <w:rPr>
                <w:rFonts w:hint="eastAsia" w:ascii="Times New Roman" w:hAnsi="Times New Roman" w:cs="Times New Roman" w:eastAsiaTheme="minorEastAsia"/>
                <w:bCs w:val="0"/>
                <w:color w:val="auto"/>
                <w:spacing w:val="0"/>
                <w:sz w:val="22"/>
                <w:szCs w:val="22"/>
                <w:highlight w:val="none"/>
                <w:lang w:val="en-US" w:eastAsia="zh-CN"/>
              </w:rPr>
              <w:t xml:space="preserve">3</w:t>
            </w:r>
            <w:r>
              <w:rPr>
                <w:rFonts w:hint="default" w:ascii="Times New Roman" w:hAnsi="Times New Roman" w:cs="Times New Roman" w:eastAsiaTheme="minorEastAsia"/>
                <w:bCs w:val="0"/>
                <w:color w:val="auto"/>
                <w:spacing w:val="0"/>
                <w:sz w:val="22"/>
                <w:szCs w:val="22"/>
                <w:highlight w:val="none"/>
                <w:lang w:val="en-US" w:eastAsia="zh-CN"/>
              </w:rPr>
              <w:t xml:space="preserve">分，地级市</w:t>
            </w:r>
            <w:r>
              <w:rPr>
                <w:rFonts w:hint="eastAsia" w:ascii="Times New Roman" w:hAnsi="Times New Roman" w:cs="Times New Roman" w:eastAsiaTheme="minorEastAsia"/>
                <w:bCs w:val="0"/>
                <w:color w:val="auto"/>
                <w:spacing w:val="0"/>
                <w:sz w:val="22"/>
                <w:szCs w:val="22"/>
                <w:highlight w:val="none"/>
                <w:lang w:val="en-US" w:eastAsia="zh-CN"/>
              </w:rPr>
              <w:t xml:space="preserve">的</w:t>
            </w:r>
            <w:r>
              <w:rPr>
                <w:rFonts w:hint="default" w:ascii="Times New Roman" w:hAnsi="Times New Roman" w:cs="Times New Roman" w:eastAsiaTheme="minorEastAsia"/>
                <w:bCs w:val="0"/>
                <w:color w:val="auto"/>
                <w:spacing w:val="0"/>
                <w:sz w:val="22"/>
                <w:szCs w:val="22"/>
                <w:highlight w:val="none"/>
                <w:lang w:val="en-US" w:eastAsia="zh-CN"/>
              </w:rPr>
              <w:t xml:space="preserve">每项</w:t>
            </w:r>
            <w:r>
              <w:rPr>
                <w:rFonts w:hint="eastAsia" w:ascii="Times New Roman" w:hAnsi="Times New Roman" w:cs="Times New Roman" w:eastAsiaTheme="minorEastAsia"/>
                <w:bCs w:val="0"/>
                <w:color w:val="auto"/>
                <w:spacing w:val="0"/>
                <w:sz w:val="22"/>
                <w:szCs w:val="22"/>
                <w:highlight w:val="none"/>
                <w:lang w:val="en-US" w:eastAsia="zh-CN"/>
              </w:rPr>
              <w:t xml:space="preserve">2</w:t>
            </w:r>
            <w:r>
              <w:rPr>
                <w:rFonts w:hint="default" w:ascii="Times New Roman" w:hAnsi="Times New Roman" w:cs="Times New Roman" w:eastAsiaTheme="minorEastAsia"/>
                <w:bCs w:val="0"/>
                <w:color w:val="auto"/>
                <w:spacing w:val="0"/>
                <w:sz w:val="22"/>
                <w:szCs w:val="22"/>
                <w:highlight w:val="none"/>
                <w:lang w:val="en-US" w:eastAsia="zh-CN"/>
              </w:rPr>
              <w:t xml:space="preserve">分，区县级</w:t>
            </w:r>
            <w:r>
              <w:rPr>
                <w:rFonts w:hint="eastAsia" w:ascii="Times New Roman" w:hAnsi="Times New Roman" w:cs="Times New Roman" w:eastAsiaTheme="minorEastAsia"/>
                <w:bCs w:val="0"/>
                <w:color w:val="auto"/>
                <w:spacing w:val="0"/>
                <w:sz w:val="22"/>
                <w:szCs w:val="22"/>
                <w:highlight w:val="none"/>
                <w:lang w:val="en-US" w:eastAsia="zh-CN"/>
              </w:rPr>
              <w:t xml:space="preserve">的每项1分，</w:t>
            </w:r>
            <w:r>
              <w:rPr>
                <w:rFonts w:hint="default" w:ascii="Times New Roman" w:hAnsi="Times New Roman" w:cs="Times New Roman" w:eastAsiaTheme="minorEastAsia"/>
                <w:bCs w:val="0"/>
                <w:color w:val="auto"/>
                <w:spacing w:val="0"/>
                <w:sz w:val="22"/>
                <w:szCs w:val="22"/>
                <w:highlight w:val="none"/>
                <w:lang w:val="en-US" w:eastAsia="zh-CN"/>
              </w:rPr>
              <w:t xml:space="preserve">最高得6分。</w:t>
            </w:r>
            <w:r/>
          </w:p>
          <w:p>
            <w:pPr>
              <w:pStyle w:val="841"/>
              <w:ind w:left="0" w:right="0"/>
              <w:jc w:val="both"/>
              <w:keepLines w:val="0"/>
              <w:keepNext w:val="0"/>
              <w:pageBreakBefore w:val="0"/>
              <w:spacing w:before="0"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eastAsiaTheme="minorEastAsia"/>
                <w:b/>
                <w:bCs/>
                <w:color w:val="auto"/>
                <w:spacing w:val="0"/>
                <w:sz w:val="22"/>
                <w:szCs w:val="22"/>
                <w:highlight w:val="none"/>
                <w:lang w:val="en-US" w:eastAsia="zh-CN"/>
              </w:rPr>
              <w:t xml:space="preserve">同一项目按最高荣誉计分。（提供相关获奖、表彰证明及合同复印件加盖供应商公章，无则不得分）</w:t>
            </w:r>
            <w:r/>
          </w:p>
        </w:tc>
      </w:tr>
      <w:tr>
        <w:trPr>
          <w:jc w:val="center"/>
          <w:trHeight w:val="1005"/>
        </w:trPr>
        <w:tc>
          <w:tcPr>
            <w:shd w:val="clear" w:color="auto" w:fill="auto"/>
            <w:tcW w:w="555" w:type="pct"/>
            <w:vAlign w:val="center"/>
            <w:textDirection w:val="lrTb"/>
            <w:noWrap w:val="false"/>
          </w:tcPr>
          <w:p>
            <w:pPr>
              <w:pStyle w:val="841"/>
              <w:ind w:left="0" w:right="0"/>
              <w:jc w:val="center"/>
              <w:keepLines w:val="0"/>
              <w:keepNext w:val="0"/>
              <w:pageBreakBefore w:val="0"/>
              <w:spacing w:before="0"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eastAsiaTheme="minorEastAsia"/>
                <w:bCs w:val="0"/>
                <w:color w:val="auto"/>
                <w:spacing w:val="0"/>
                <w:sz w:val="22"/>
                <w:szCs w:val="22"/>
                <w:highlight w:val="none"/>
                <w:lang w:val="en-US" w:eastAsia="zh-CN"/>
              </w:rPr>
              <w:t xml:space="preserve">企业业绩（6分）</w:t>
            </w:r>
            <w:r/>
          </w:p>
        </w:tc>
        <w:tc>
          <w:tcPr>
            <w:gridSpan w:val="3"/>
            <w:shd w:val="clear" w:color="auto" w:fill="auto"/>
            <w:tcW w:w="4444" w:type="pct"/>
            <w:vAlign w:val="center"/>
            <w:textDirection w:val="lrTb"/>
            <w:noWrap w:val="false"/>
          </w:tcPr>
          <w:p>
            <w:pPr>
              <w:pStyle w:val="841"/>
              <w:ind w:left="0" w:right="0"/>
              <w:jc w:val="both"/>
              <w:keepLines w:val="0"/>
              <w:keepNext w:val="0"/>
              <w:pageBreakBefore w:val="0"/>
              <w:spacing w:before="0" w:line="360" w:lineRule="exact"/>
              <w:rPr>
                <w:rFonts w:hint="default" w:ascii="Times New Roman" w:hAnsi="Times New Roman" w:cs="Times New Roman" w:eastAsiaTheme="minorEastAsia"/>
                <w:bCs w:val="0"/>
                <w:color w:val="auto"/>
                <w:spacing w:val="0"/>
                <w:sz w:val="22"/>
                <w:szCs w:val="22"/>
                <w:highlight w:val="none"/>
                <w:lang w:val="en-US" w:eastAsia="zh-CN"/>
              </w:rPr>
            </w:pPr>
            <w:r>
              <w:rPr>
                <w:rFonts w:hint="default" w:ascii="Times New Roman" w:hAnsi="Times New Roman" w:cs="Times New Roman" w:eastAsiaTheme="minorEastAsia"/>
                <w:bCs w:val="0"/>
                <w:color w:val="auto"/>
                <w:spacing w:val="0"/>
                <w:sz w:val="22"/>
                <w:szCs w:val="22"/>
                <w:highlight w:val="none"/>
                <w:lang w:val="en-US" w:eastAsia="zh-CN"/>
              </w:rPr>
              <w:t xml:space="preserve">投标人承接过住宅物业管理的成功案例，每提供一个住宅小区物业项目案例证明的得2分，最高得6分。</w:t>
            </w:r>
            <w:r/>
          </w:p>
          <w:p>
            <w:pPr>
              <w:pStyle w:val="841"/>
              <w:ind w:right="137"/>
              <w:jc w:val="both"/>
              <w:spacing w:before="0" w:line="32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eastAsiaTheme="minorEastAsia"/>
                <w:b/>
                <w:bCs/>
                <w:color w:val="auto"/>
                <w:spacing w:val="0"/>
                <w:sz w:val="22"/>
                <w:szCs w:val="22"/>
                <w:highlight w:val="none"/>
                <w:lang w:val="en-US" w:eastAsia="zh-CN"/>
              </w:rPr>
              <w:t xml:space="preserve">提供</w:t>
            </w:r>
            <w:r>
              <w:rPr>
                <w:rFonts w:hint="eastAsia" w:ascii="Times New Roman" w:hAnsi="Times New Roman" w:cs="Times New Roman" w:eastAsiaTheme="minorEastAsia"/>
                <w:b/>
                <w:bCs/>
                <w:color w:val="auto"/>
                <w:spacing w:val="0"/>
                <w:sz w:val="22"/>
                <w:szCs w:val="22"/>
                <w:highlight w:val="none"/>
                <w:lang w:val="en-US" w:eastAsia="zh-CN"/>
              </w:rPr>
              <w:t xml:space="preserve">供应商与业主单位签订的物业服务合同复印件；提供合同期内任意一期价款支付证明和发票。</w:t>
            </w:r>
            <w:r>
              <w:rPr>
                <w:rFonts w:hint="default" w:ascii="Times New Roman" w:hAnsi="Times New Roman" w:cs="Times New Roman" w:eastAsiaTheme="minorEastAsia"/>
                <w:b/>
                <w:bCs/>
                <w:color w:val="auto"/>
                <w:spacing w:val="0"/>
                <w:sz w:val="22"/>
                <w:szCs w:val="22"/>
                <w:highlight w:val="none"/>
                <w:lang w:val="en-US" w:eastAsia="zh-CN"/>
              </w:rPr>
              <w:t xml:space="preserve">并加盖投标人公章</w:t>
            </w:r>
            <w:r>
              <w:rPr>
                <w:rFonts w:hint="eastAsia" w:ascii="Times New Roman" w:hAnsi="Times New Roman" w:cs="Times New Roman" w:eastAsiaTheme="minorEastAsia"/>
                <w:b/>
                <w:bCs/>
                <w:color w:val="auto"/>
                <w:spacing w:val="0"/>
                <w:sz w:val="22"/>
                <w:szCs w:val="22"/>
                <w:highlight w:val="none"/>
                <w:lang w:val="en-US" w:eastAsia="zh-CN"/>
              </w:rPr>
              <w:t xml:space="preserve">，</w:t>
            </w:r>
            <w:r>
              <w:rPr>
                <w:rFonts w:hint="default" w:ascii="Times New Roman" w:hAnsi="Times New Roman" w:cs="Times New Roman" w:eastAsiaTheme="minorEastAsia"/>
                <w:b/>
                <w:bCs/>
                <w:color w:val="auto"/>
                <w:spacing w:val="0"/>
                <w:sz w:val="22"/>
                <w:szCs w:val="22"/>
                <w:highlight w:val="none"/>
                <w:lang w:val="en-US" w:eastAsia="zh-CN"/>
              </w:rPr>
              <w:t xml:space="preserve">否则不得分。</w:t>
            </w:r>
            <w:r/>
          </w:p>
        </w:tc>
      </w:tr>
      <w:tr>
        <w:trPr>
          <w:jc w:val="center"/>
          <w:trHeight w:val="1005"/>
        </w:trPr>
        <w:tc>
          <w:tcPr>
            <w:shd w:val="clear" w:color="auto" w:fill="auto"/>
            <w:tcW w:w="555" w:type="pct"/>
            <w:vAlign w:val="center"/>
            <w:textDirection w:val="lrTb"/>
            <w:noWrap w:val="false"/>
          </w:tcPr>
          <w:p>
            <w:pPr>
              <w:pStyle w:val="841"/>
              <w:ind w:left="0" w:right="0"/>
              <w:jc w:val="center"/>
              <w:keepLines w:val="0"/>
              <w:keepNext w:val="0"/>
              <w:pageBreakBefore w:val="0"/>
              <w:spacing w:before="0"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rPr>
              <w:t xml:space="preserve">拟派项目</w:t>
            </w:r>
            <w:r>
              <w:rPr>
                <w:rFonts w:hint="default" w:ascii="Times New Roman" w:hAnsi="Times New Roman" w:cs="Times New Roman"/>
                <w:color w:val="auto"/>
                <w:sz w:val="22"/>
                <w:szCs w:val="22"/>
                <w:highlight w:val="none"/>
                <w:lang w:eastAsia="zh-CN"/>
              </w:rPr>
              <w:t xml:space="preserve">团队</w:t>
            </w:r>
            <w:r>
              <w:rPr>
                <w:rFonts w:hint="default" w:ascii="Times New Roman" w:hAnsi="Times New Roman" w:cs="Times New Roman"/>
                <w:color w:val="auto"/>
                <w:sz w:val="22"/>
                <w:szCs w:val="22"/>
                <w:highlight w:val="none"/>
              </w:rPr>
              <w:t xml:space="preserve">人员（1</w:t>
            </w:r>
            <w:r>
              <w:rPr>
                <w:rFonts w:hint="default" w:ascii="Times New Roman" w:hAnsi="Times New Roman" w:cs="Times New Roman"/>
                <w:color w:val="auto"/>
                <w:sz w:val="22"/>
                <w:szCs w:val="22"/>
                <w:highlight w:val="none"/>
                <w:lang w:val="en-US" w:eastAsia="zh-CN"/>
              </w:rPr>
              <w:t xml:space="preserve">5</w:t>
            </w:r>
            <w:r>
              <w:rPr>
                <w:rFonts w:hint="default" w:ascii="Times New Roman" w:hAnsi="Times New Roman" w:cs="Times New Roman"/>
                <w:color w:val="auto"/>
                <w:sz w:val="22"/>
                <w:szCs w:val="22"/>
                <w:highlight w:val="none"/>
              </w:rPr>
              <w:t xml:space="preserve">分）</w:t>
            </w:r>
            <w:r/>
          </w:p>
        </w:tc>
        <w:tc>
          <w:tcPr>
            <w:gridSpan w:val="3"/>
            <w:shd w:val="clear" w:color="auto" w:fill="auto"/>
            <w:tcW w:w="4444" w:type="pct"/>
            <w:vAlign w:val="center"/>
            <w:textDirection w:val="lrTb"/>
            <w:noWrap w:val="false"/>
          </w:tcPr>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eastAsia="zh-CN"/>
              </w:rPr>
              <w:t xml:space="preserve">1.</w:t>
            </w:r>
            <w:r>
              <w:rPr>
                <w:rFonts w:hint="default" w:ascii="Times New Roman" w:hAnsi="Times New Roman" w:cs="Times New Roman"/>
                <w:color w:val="auto"/>
                <w:sz w:val="22"/>
                <w:szCs w:val="22"/>
                <w:highlight w:val="none"/>
              </w:rPr>
              <w:t xml:space="preserve">项目经理（</w:t>
            </w:r>
            <w:r>
              <w:rPr>
                <w:rFonts w:hint="default" w:ascii="Times New Roman" w:hAnsi="Times New Roman" w:cs="Times New Roman"/>
                <w:color w:val="auto"/>
                <w:sz w:val="22"/>
                <w:szCs w:val="22"/>
                <w:highlight w:val="none"/>
                <w:lang w:val="en-US" w:eastAsia="zh-CN"/>
              </w:rPr>
              <w:t xml:space="preserve">6</w:t>
            </w:r>
            <w:r>
              <w:rPr>
                <w:rFonts w:hint="default" w:ascii="Times New Roman" w:hAnsi="Times New Roman" w:cs="Times New Roman"/>
                <w:color w:val="auto"/>
                <w:sz w:val="22"/>
                <w:szCs w:val="22"/>
                <w:highlight w:val="none"/>
              </w:rPr>
              <w:t xml:space="preserve">分）</w:t>
            </w:r>
            <w:r/>
          </w:p>
          <w:p>
            <w:pPr>
              <w:ind w:left="0" w:right="0"/>
              <w:keepLines w:val="0"/>
              <w:keepNext w:val="0"/>
              <w:pageBreakBefore w:val="0"/>
              <w:spacing w:line="360" w:lineRule="exact"/>
              <w:rPr>
                <w:rFonts w:hint="default" w:ascii="Times New Roman" w:hAnsi="Times New Roman" w:eastAsia="宋体" w:cs="Times New Roman"/>
                <w:bCs/>
                <w:color w:val="auto"/>
                <w:sz w:val="22"/>
                <w:szCs w:val="22"/>
                <w:highlight w:val="none"/>
                <w:lang w:val="en-US" w:eastAsia="zh-CN"/>
              </w:rPr>
            </w:pPr>
            <w:r>
              <w:rPr>
                <w:rFonts w:hint="default" w:ascii="Times New Roman" w:hAnsi="Times New Roman" w:eastAsia="宋体" w:cs="Times New Roman"/>
                <w:bCs/>
                <w:color w:val="auto"/>
                <w:sz w:val="22"/>
                <w:szCs w:val="22"/>
                <w:highlight w:val="none"/>
                <w:lang w:val="en-US" w:eastAsia="zh-CN"/>
              </w:rPr>
              <w:t xml:space="preserve">拟派的项目经理具备</w:t>
            </w:r>
            <w:r>
              <w:rPr>
                <w:rFonts w:hint="eastAsia" w:cs="Times New Roman"/>
                <w:bCs/>
                <w:color w:val="auto"/>
                <w:sz w:val="22"/>
                <w:szCs w:val="22"/>
                <w:highlight w:val="none"/>
                <w:lang w:val="en-US" w:eastAsia="zh-CN"/>
              </w:rPr>
              <w:t xml:space="preserve">人社部门或人社</w:t>
            </w:r>
            <w:r>
              <w:rPr>
                <w:rFonts w:hint="default" w:ascii="Times New Roman" w:hAnsi="Times New Roman" w:eastAsia="宋体" w:cs="Times New Roman"/>
                <w:bCs/>
                <w:color w:val="auto"/>
                <w:sz w:val="22"/>
                <w:szCs w:val="22"/>
                <w:highlight w:val="none"/>
                <w:lang w:val="en-US" w:eastAsia="zh-CN"/>
              </w:rPr>
              <w:t xml:space="preserve">部门备案的职业技能评价机构颁发的</w:t>
            </w:r>
            <w:r>
              <w:rPr>
                <w:rFonts w:hint="eastAsia" w:cs="Times New Roman"/>
                <w:bCs/>
                <w:color w:val="auto"/>
                <w:sz w:val="22"/>
                <w:szCs w:val="22"/>
                <w:highlight w:val="none"/>
                <w:lang w:val="en-US" w:eastAsia="zh-CN"/>
              </w:rPr>
              <w:t xml:space="preserve">“</w:t>
            </w:r>
            <w:r>
              <w:rPr>
                <w:rFonts w:hint="default" w:ascii="Times New Roman" w:hAnsi="Times New Roman" w:eastAsia="宋体" w:cs="Times New Roman"/>
                <w:bCs/>
                <w:color w:val="auto"/>
                <w:sz w:val="22"/>
                <w:szCs w:val="22"/>
                <w:highlight w:val="none"/>
                <w:lang w:val="en-US" w:eastAsia="zh-CN"/>
              </w:rPr>
              <w:t xml:space="preserve">物业管理师</w:t>
            </w:r>
            <w:r>
              <w:rPr>
                <w:rFonts w:hint="eastAsia" w:cs="Times New Roman"/>
                <w:bCs/>
                <w:color w:val="auto"/>
                <w:sz w:val="22"/>
                <w:szCs w:val="22"/>
                <w:highlight w:val="none"/>
                <w:lang w:val="en-US" w:eastAsia="zh-CN"/>
              </w:rPr>
              <w:t xml:space="preserve">”</w:t>
            </w:r>
            <w:r>
              <w:rPr>
                <w:rFonts w:hint="default" w:ascii="Times New Roman" w:hAnsi="Times New Roman" w:eastAsia="宋体" w:cs="Times New Roman"/>
                <w:bCs/>
                <w:color w:val="auto"/>
                <w:sz w:val="22"/>
                <w:szCs w:val="22"/>
                <w:highlight w:val="none"/>
                <w:lang w:val="en-US" w:eastAsia="zh-CN"/>
              </w:rPr>
              <w:t xml:space="preserve">职业技能等级证书的，提供证书复印件加盖投标人公章，</w:t>
            </w:r>
            <w:r>
              <w:rPr>
                <w:rFonts w:hint="eastAsia" w:cs="Times New Roman"/>
                <w:bCs/>
                <w:color w:val="auto"/>
                <w:sz w:val="22"/>
                <w:szCs w:val="22"/>
                <w:highlight w:val="none"/>
                <w:lang w:val="en-US" w:eastAsia="zh-CN"/>
              </w:rPr>
              <w:t xml:space="preserve">四级</w:t>
            </w:r>
            <w:r>
              <w:rPr>
                <w:rFonts w:hint="default" w:ascii="Times New Roman" w:hAnsi="Times New Roman" w:eastAsia="宋体" w:cs="Times New Roman"/>
                <w:bCs/>
                <w:color w:val="auto"/>
                <w:sz w:val="22"/>
                <w:szCs w:val="22"/>
                <w:highlight w:val="none"/>
                <w:lang w:val="en-US" w:eastAsia="zh-CN"/>
              </w:rPr>
              <w:t xml:space="preserve">得</w:t>
            </w:r>
            <w:r>
              <w:rPr>
                <w:rFonts w:hint="eastAsia" w:cs="Times New Roman"/>
                <w:bCs/>
                <w:color w:val="auto"/>
                <w:sz w:val="22"/>
                <w:szCs w:val="22"/>
                <w:highlight w:val="none"/>
                <w:lang w:val="en-US" w:eastAsia="zh-CN"/>
              </w:rPr>
              <w:t xml:space="preserve">2</w:t>
            </w:r>
            <w:r>
              <w:rPr>
                <w:rFonts w:hint="default" w:ascii="Times New Roman" w:hAnsi="Times New Roman" w:eastAsia="宋体" w:cs="Times New Roman"/>
                <w:bCs/>
                <w:color w:val="auto"/>
                <w:sz w:val="22"/>
                <w:szCs w:val="22"/>
                <w:highlight w:val="none"/>
                <w:lang w:val="en-US" w:eastAsia="zh-CN"/>
              </w:rPr>
              <w:t xml:space="preserve">分</w:t>
            </w:r>
            <w:r>
              <w:rPr>
                <w:rFonts w:hint="eastAsia" w:cs="Times New Roman"/>
                <w:bCs/>
                <w:color w:val="auto"/>
                <w:sz w:val="22"/>
                <w:szCs w:val="22"/>
                <w:highlight w:val="none"/>
                <w:lang w:val="en-US" w:eastAsia="zh-CN"/>
              </w:rPr>
              <w:t xml:space="preserve">，三级得4分，二级（含）及以上得6分。</w:t>
            </w:r>
            <w:r>
              <w:rPr>
                <w:rFonts w:hint="default" w:ascii="Times New Roman" w:hAnsi="Times New Roman" w:eastAsia="宋体" w:cs="Times New Roman"/>
                <w:bCs/>
                <w:color w:val="auto"/>
                <w:sz w:val="22"/>
                <w:szCs w:val="22"/>
                <w:highlight w:val="none"/>
                <w:lang w:val="en-US" w:eastAsia="zh-CN"/>
              </w:rPr>
              <w:t xml:space="preserve">不累计得分</w:t>
            </w:r>
            <w:r>
              <w:rPr>
                <w:rFonts w:hint="eastAsia" w:cs="Times New Roman"/>
                <w:bCs/>
                <w:color w:val="auto"/>
                <w:sz w:val="22"/>
                <w:szCs w:val="22"/>
                <w:highlight w:val="none"/>
                <w:lang w:val="en-US" w:eastAsia="zh-CN"/>
              </w:rPr>
              <w:t xml:space="preserve">。</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eastAsia="zh-CN"/>
              </w:rPr>
              <w:t xml:space="preserve">2.项目</w:t>
            </w:r>
            <w:r>
              <w:rPr>
                <w:rFonts w:hint="default" w:ascii="Times New Roman" w:hAnsi="Times New Roman" w:cs="Times New Roman"/>
                <w:color w:val="auto"/>
                <w:sz w:val="22"/>
                <w:szCs w:val="22"/>
                <w:highlight w:val="none"/>
              </w:rPr>
              <w:t xml:space="preserve">团队</w:t>
            </w:r>
            <w:r>
              <w:rPr>
                <w:rFonts w:hint="default" w:ascii="Times New Roman" w:hAnsi="Times New Roman" w:cs="Times New Roman"/>
                <w:color w:val="auto"/>
                <w:sz w:val="22"/>
                <w:szCs w:val="22"/>
                <w:highlight w:val="none"/>
                <w:lang w:val="en-US" w:eastAsia="zh-CN"/>
              </w:rPr>
              <w:t xml:space="preserve">其他人员</w:t>
            </w:r>
            <w:r>
              <w:rPr>
                <w:rFonts w:hint="default" w:ascii="Times New Roman" w:hAnsi="Times New Roman" w:eastAsia="宋体" w:cs="Times New Roman"/>
                <w:color w:val="auto"/>
                <w:sz w:val="22"/>
                <w:szCs w:val="22"/>
                <w:highlight w:val="none"/>
                <w:lang w:val="en-US" w:eastAsia="zh-CN"/>
              </w:rPr>
              <w:t xml:space="preserve">（项目经理除外）</w:t>
            </w:r>
            <w:r>
              <w:rPr>
                <w:rFonts w:hint="default" w:ascii="Times New Roman" w:hAnsi="Times New Roman" w:cs="Times New Roman"/>
                <w:color w:val="auto"/>
                <w:sz w:val="22"/>
                <w:szCs w:val="22"/>
                <w:highlight w:val="none"/>
              </w:rPr>
              <w:t xml:space="preserve">（</w:t>
            </w:r>
            <w:r>
              <w:rPr>
                <w:rFonts w:hint="default" w:ascii="Times New Roman" w:hAnsi="Times New Roman" w:cs="Times New Roman"/>
                <w:color w:val="auto"/>
                <w:sz w:val="22"/>
                <w:szCs w:val="22"/>
                <w:highlight w:val="none"/>
                <w:lang w:val="en-US" w:eastAsia="zh-CN"/>
              </w:rPr>
              <w:t xml:space="preserve">9</w:t>
            </w:r>
            <w:r>
              <w:rPr>
                <w:rFonts w:hint="default" w:ascii="Times New Roman" w:hAnsi="Times New Roman" w:cs="Times New Roman"/>
                <w:color w:val="auto"/>
                <w:sz w:val="22"/>
                <w:szCs w:val="22"/>
                <w:highlight w:val="none"/>
              </w:rPr>
              <w:t xml:space="preserve">分）</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（1）拟派项目团队人员持有人社部门颁发的四级（含）以上保安员职业资格证的，有一人得1分，最高得</w:t>
            </w:r>
            <w:r>
              <w:rPr>
                <w:rFonts w:hint="eastAsia" w:cs="Times New Roman"/>
                <w:color w:val="auto"/>
                <w:sz w:val="22"/>
                <w:szCs w:val="22"/>
                <w:highlight w:val="none"/>
                <w:lang w:val="en-US" w:eastAsia="zh-CN"/>
              </w:rPr>
              <w:t xml:space="preserve">2</w:t>
            </w:r>
            <w:r>
              <w:rPr>
                <w:rFonts w:hint="default" w:ascii="Times New Roman" w:hAnsi="Times New Roman" w:cs="Times New Roman"/>
                <w:color w:val="auto"/>
                <w:sz w:val="22"/>
                <w:szCs w:val="22"/>
                <w:highlight w:val="none"/>
                <w:lang w:val="en-US" w:eastAsia="zh-CN"/>
              </w:rPr>
              <w:t xml:space="preserve">分；</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（2）拟派项目团队人员持有人社部门颁发的四级（含）以上电工等级证的，有一人得</w:t>
            </w:r>
            <w:r>
              <w:rPr>
                <w:rFonts w:hint="eastAsia" w:cs="Times New Roman"/>
                <w:color w:val="auto"/>
                <w:sz w:val="22"/>
                <w:szCs w:val="22"/>
                <w:highlight w:val="none"/>
                <w:lang w:val="en-US" w:eastAsia="zh-CN"/>
              </w:rPr>
              <w:t xml:space="preserve">1</w:t>
            </w:r>
            <w:r>
              <w:rPr>
                <w:rFonts w:hint="default" w:ascii="Times New Roman" w:hAnsi="Times New Roman" w:cs="Times New Roman"/>
                <w:color w:val="auto"/>
                <w:sz w:val="22"/>
                <w:szCs w:val="22"/>
                <w:highlight w:val="none"/>
                <w:lang w:val="en-US" w:eastAsia="zh-CN"/>
              </w:rPr>
              <w:t xml:space="preserve">分，最高得</w:t>
            </w:r>
            <w:r>
              <w:rPr>
                <w:rFonts w:hint="eastAsia" w:cs="Times New Roman"/>
                <w:color w:val="auto"/>
                <w:sz w:val="22"/>
                <w:szCs w:val="22"/>
                <w:highlight w:val="none"/>
                <w:lang w:val="en-US" w:eastAsia="zh-CN"/>
              </w:rPr>
              <w:t xml:space="preserve">3</w:t>
            </w:r>
            <w:r>
              <w:rPr>
                <w:rFonts w:hint="default" w:ascii="Times New Roman" w:hAnsi="Times New Roman" w:cs="Times New Roman"/>
                <w:color w:val="auto"/>
                <w:sz w:val="22"/>
                <w:szCs w:val="22"/>
                <w:highlight w:val="none"/>
                <w:lang w:val="en-US" w:eastAsia="zh-CN"/>
              </w:rPr>
              <w:t xml:space="preserve">分</w:t>
            </w:r>
            <w:r>
              <w:rPr>
                <w:rFonts w:hint="eastAsia" w:cs="Times New Roman"/>
                <w:color w:val="auto"/>
                <w:sz w:val="22"/>
                <w:szCs w:val="22"/>
                <w:highlight w:val="none"/>
                <w:lang w:val="en-US" w:eastAsia="zh-CN"/>
              </w:rPr>
              <w:t xml:space="preserve">；</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（3）</w:t>
            </w:r>
            <w:r>
              <w:rPr>
                <w:rFonts w:hint="default" w:ascii="Times New Roman" w:hAnsi="Times New Roman" w:cs="Times New Roman"/>
                <w:color w:val="auto"/>
                <w:sz w:val="22"/>
                <w:szCs w:val="22"/>
                <w:highlight w:val="none"/>
                <w:lang w:val="en-US" w:eastAsia="zh-CN"/>
              </w:rPr>
              <w:t xml:space="preserve">参加过地级市（含）以上职业技能大赛获得过地级市（含）以上人力资源和社会保障部门授予的“技术能手”称号的（仅限于物业管理、清洗保洁、家政服务等与</w:t>
            </w:r>
            <w:r>
              <w:rPr>
                <w:rFonts w:hint="eastAsia" w:cs="Times New Roman"/>
                <w:color w:val="auto"/>
                <w:sz w:val="22"/>
                <w:szCs w:val="22"/>
                <w:highlight w:val="none"/>
                <w:lang w:val="en-US" w:eastAsia="zh-CN"/>
              </w:rPr>
              <w:t xml:space="preserve">本</w:t>
            </w:r>
            <w:r>
              <w:rPr>
                <w:rFonts w:hint="default" w:ascii="Times New Roman" w:hAnsi="Times New Roman" w:cs="Times New Roman"/>
                <w:color w:val="auto"/>
                <w:sz w:val="22"/>
                <w:szCs w:val="22"/>
                <w:highlight w:val="none"/>
                <w:lang w:val="en-US" w:eastAsia="zh-CN"/>
              </w:rPr>
              <w:t xml:space="preserve">物业服务相关岗位），有一个得2分，最高得</w:t>
            </w:r>
            <w:r>
              <w:rPr>
                <w:rFonts w:hint="eastAsia" w:cs="Times New Roman"/>
                <w:color w:val="auto"/>
                <w:sz w:val="22"/>
                <w:szCs w:val="22"/>
                <w:highlight w:val="none"/>
                <w:lang w:val="en-US" w:eastAsia="zh-CN"/>
              </w:rPr>
              <w:t xml:space="preserve">4</w:t>
            </w:r>
            <w:r>
              <w:rPr>
                <w:rFonts w:hint="default" w:ascii="Times New Roman" w:hAnsi="Times New Roman" w:cs="Times New Roman"/>
                <w:color w:val="auto"/>
                <w:sz w:val="22"/>
                <w:szCs w:val="22"/>
                <w:highlight w:val="none"/>
                <w:lang w:val="en-US" w:eastAsia="zh-CN"/>
              </w:rPr>
              <w:t xml:space="preserve">分</w:t>
            </w:r>
            <w:r>
              <w:rPr>
                <w:rFonts w:hint="eastAsia" w:cs="Times New Roman"/>
                <w:color w:val="auto"/>
                <w:sz w:val="22"/>
                <w:szCs w:val="22"/>
                <w:highlight w:val="none"/>
                <w:lang w:val="en-US" w:eastAsia="zh-CN"/>
              </w:rPr>
              <w:t xml:space="preserve">。</w:t>
            </w:r>
            <w:r/>
          </w:p>
          <w:p>
            <w:pPr>
              <w:ind w:left="0" w:right="0"/>
              <w:jc w:val="left"/>
              <w:keepLines w:val="0"/>
              <w:keepNext w:val="0"/>
              <w:pageBreakBefore w:val="0"/>
              <w:spacing w:line="360" w:lineRule="exact"/>
              <w:rPr>
                <w:rFonts w:hint="default" w:ascii="Times New Roman" w:hAnsi="Times New Roman" w:cs="Times New Roman"/>
                <w:color w:val="auto"/>
                <w:sz w:val="22"/>
                <w:szCs w:val="22"/>
                <w:highlight w:val="none"/>
                <w:lang w:eastAsia="zh-CN"/>
              </w:rPr>
            </w:pPr>
            <w:r>
              <w:rPr>
                <w:rFonts w:hint="default" w:ascii="Times New Roman" w:hAnsi="Times New Roman" w:cs="Times New Roman"/>
                <w:color w:val="auto"/>
                <w:sz w:val="22"/>
                <w:szCs w:val="22"/>
                <w:highlight w:val="none"/>
                <w:lang w:val="en-US" w:eastAsia="zh-CN"/>
              </w:rPr>
              <w:t xml:space="preserve">同一人员有多本证书的</w:t>
            </w:r>
            <w:r>
              <w:rPr>
                <w:rFonts w:hint="default" w:ascii="Times New Roman" w:hAnsi="Times New Roman" w:cs="Times New Roman"/>
                <w:color w:val="auto"/>
                <w:sz w:val="22"/>
                <w:szCs w:val="22"/>
                <w:highlight w:val="none"/>
                <w:lang w:eastAsia="zh-CN"/>
              </w:rPr>
              <w:t xml:space="preserve">不重复得分。</w:t>
            </w:r>
            <w:r/>
          </w:p>
          <w:p>
            <w:pPr>
              <w:pStyle w:val="841"/>
              <w:ind w:left="0" w:right="0"/>
              <w:jc w:val="both"/>
              <w:keepLines w:val="0"/>
              <w:keepNext w:val="0"/>
              <w:pageBreakBefore w:val="0"/>
              <w:spacing w:before="0"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eastAsiaTheme="minorEastAsia"/>
                <w:b/>
                <w:bCs/>
                <w:color w:val="auto"/>
                <w:spacing w:val="0"/>
                <w:sz w:val="22"/>
                <w:szCs w:val="22"/>
                <w:highlight w:val="none"/>
                <w:lang w:val="en-US" w:eastAsia="zh-CN"/>
              </w:rPr>
              <w:t xml:space="preserve">提供项目经理身份证、从业资格证书，项目团队人员的相关证书及提供投标人为上述人员缴纳的</w:t>
            </w:r>
            <w:r>
              <w:rPr>
                <w:rFonts w:hint="eastAsia" w:ascii="Times New Roman" w:hAnsi="Times New Roman" w:cs="Times New Roman" w:eastAsiaTheme="minorEastAsia"/>
                <w:b/>
                <w:bCs/>
                <w:color w:val="auto"/>
                <w:spacing w:val="0"/>
                <w:sz w:val="22"/>
                <w:szCs w:val="22"/>
                <w:highlight w:val="none"/>
                <w:lang w:val="en-US" w:eastAsia="zh-CN"/>
              </w:rPr>
              <w:t xml:space="preserve">上月或当月社保</w:t>
            </w:r>
            <w:r>
              <w:rPr>
                <w:rFonts w:hint="default" w:ascii="Times New Roman" w:hAnsi="Times New Roman" w:cs="Times New Roman" w:eastAsiaTheme="minorEastAsia"/>
                <w:b/>
                <w:bCs/>
                <w:color w:val="auto"/>
                <w:spacing w:val="0"/>
                <w:sz w:val="22"/>
                <w:szCs w:val="22"/>
                <w:highlight w:val="none"/>
                <w:lang w:val="en-US" w:eastAsia="zh-CN"/>
              </w:rPr>
              <w:t xml:space="preserve">证明材料，加盖投标人公章，否则不得分。</w:t>
            </w:r>
            <w:r/>
          </w:p>
        </w:tc>
      </w:tr>
      <w:tr>
        <w:trPr>
          <w:jc w:val="center"/>
          <w:trHeight w:val="90"/>
        </w:trPr>
        <w:tc>
          <w:tcPr>
            <w:gridSpan w:val="4"/>
            <w:shd w:val="clear" w:color="auto" w:fill="auto"/>
            <w:tcW w:w="9547" w:type="dxa"/>
            <w:vAlign w:val="center"/>
            <w:textDirection w:val="lrTb"/>
            <w:noWrap w:val="false"/>
          </w:tcPr>
          <w:p>
            <w:pPr>
              <w:pStyle w:val="841"/>
              <w:ind w:right="137"/>
              <w:spacing w:before="0" w:line="320" w:lineRule="exact"/>
              <w:rPr>
                <w:rFonts w:hint="default" w:ascii="Times New Roman" w:hAnsi="Times New Roman" w:cs="Times New Roman"/>
                <w:color w:val="auto"/>
                <w:sz w:val="22"/>
                <w:szCs w:val="22"/>
                <w:highlight w:val="none"/>
                <w:lang w:val="en-US" w:eastAsia="zh-CN"/>
              </w:rPr>
            </w:pPr>
            <w:r>
              <w:rPr>
                <w:b/>
                <w:color w:val="auto"/>
                <w:sz w:val="21"/>
              </w:rPr>
              <w:t xml:space="preserve">三、技术评审（</w:t>
            </w:r>
            <w:r>
              <w:rPr>
                <w:rFonts w:hint="eastAsia" w:ascii="Times New Roman"/>
                <w:b/>
                <w:color w:val="auto"/>
                <w:sz w:val="21"/>
                <w:lang w:val="en-US" w:eastAsia="zh-CN"/>
              </w:rPr>
              <w:t xml:space="preserve">40</w:t>
            </w:r>
            <w:r>
              <w:rPr>
                <w:b/>
                <w:color w:val="auto"/>
                <w:sz w:val="21"/>
              </w:rPr>
              <w:t xml:space="preserve">分）</w:t>
            </w:r>
            <w:r/>
          </w:p>
        </w:tc>
      </w:tr>
      <w:tr>
        <w:trPr>
          <w:jc w:val="center"/>
          <w:trHeight w:val="1005"/>
        </w:trPr>
        <w:tc>
          <w:tcPr>
            <w:shd w:val="clear" w:color="auto" w:fill="auto"/>
            <w:tcW w:w="1059" w:type="dxa"/>
            <w:vAlign w:val="center"/>
            <w:textDirection w:val="lrTb"/>
            <w:noWrap w:val="false"/>
          </w:tcPr>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管理服务理念和目标</w:t>
            </w:r>
            <w:r/>
          </w:p>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（6分）</w:t>
            </w:r>
            <w:r/>
          </w:p>
        </w:tc>
        <w:tc>
          <w:tcPr>
            <w:gridSpan w:val="3"/>
            <w:shd w:val="clear" w:color="auto" w:fill="auto"/>
            <w:tcW w:w="8488" w:type="dxa"/>
            <w:vAlign w:val="center"/>
            <w:textDirection w:val="lrTb"/>
            <w:noWrap w:val="false"/>
          </w:tcPr>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要求结合本项目的规划布局、建筑风格、硬件设施配置及本物业使用性质特点，提出物业管理服务定位、目标及具体实施措施；如何配合社区管理，开展物业管理工作方案；如何配合政府开展中心活动方案。</w:t>
            </w:r>
            <w:r/>
          </w:p>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科学严谨得6分，合理有效得4分，基本可行得2分，未提供不得分。</w:t>
            </w:r>
            <w:r/>
          </w:p>
        </w:tc>
      </w:tr>
      <w:tr>
        <w:trPr>
          <w:jc w:val="center"/>
          <w:trHeight w:val="1005"/>
        </w:trPr>
        <w:tc>
          <w:tcPr>
            <w:shd w:val="clear" w:color="auto" w:fill="auto"/>
            <w:tcW w:w="1059" w:type="dxa"/>
            <w:vAlign w:val="center"/>
            <w:textDirection w:val="lrTb"/>
            <w:noWrap w:val="false"/>
          </w:tcPr>
          <w:p>
            <w:pPr>
              <w:ind w:left="0" w:right="0"/>
              <w:jc w:val="center"/>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项目组织方案（6分）</w:t>
            </w:r>
            <w:r/>
          </w:p>
        </w:tc>
        <w:tc>
          <w:tcPr>
            <w:gridSpan w:val="3"/>
            <w:shd w:val="clear" w:color="auto" w:fill="auto"/>
            <w:tcW w:w="8488" w:type="dxa"/>
            <w:vAlign w:val="center"/>
            <w:textDirection w:val="lrTb"/>
            <w:noWrap w:val="false"/>
          </w:tcPr>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项目组织方案应包括：投标人针对本项目拟成立的组织架构；组织规章制度；各岗位分工及岗位职责（含管理服务人员配置：拟配项目经理、技术人员的姓名、学历、职称、相似工作岗位的工作年限、经历，</w:t>
            </w:r>
            <w:r>
              <w:rPr>
                <w:rFonts w:hint="eastAsia" w:ascii="Times New Roman" w:hAnsi="Times New Roman" w:eastAsia="宋体" w:cs="Times New Roman"/>
                <w:color w:val="auto"/>
                <w:sz w:val="22"/>
                <w:szCs w:val="22"/>
                <w:highlight w:val="none"/>
                <w:lang w:val="en-US" w:eastAsia="zh-CN"/>
              </w:rPr>
              <w:t xml:space="preserve">其他岗位</w:t>
            </w:r>
            <w:r>
              <w:rPr>
                <w:rFonts w:hint="default" w:ascii="Times New Roman" w:hAnsi="Times New Roman" w:eastAsia="宋体" w:cs="Times New Roman"/>
                <w:color w:val="auto"/>
                <w:sz w:val="22"/>
                <w:szCs w:val="22"/>
                <w:highlight w:val="none"/>
                <w:lang w:val="en-US" w:eastAsia="zh-CN"/>
              </w:rPr>
              <w:t xml:space="preserve">有人员拟配人选、数量、基本情况等；项目经理的管理职能；内部管理的职能分工）；人员管理（含日常管理制度和考核办法目录）、培训措施等。</w:t>
            </w:r>
            <w:r/>
          </w:p>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方案整体科学合理、针对性强、可操作性强，得6分；</w:t>
            </w:r>
            <w:r/>
          </w:p>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方案较合理、有一定针对性、一定可操作性，得4分；</w:t>
            </w:r>
            <w:r/>
          </w:p>
          <w:p>
            <w:pPr>
              <w:ind w:left="0" w:right="0"/>
              <w:keepLines w:val="0"/>
              <w:keepNext w:val="0"/>
              <w:pageBreakBefore w:val="0"/>
              <w:spacing w:line="320" w:lineRule="exact"/>
              <w:widowControl w:val="off"/>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方案不尽合理、针对性一般、可操作性一般，得2分；</w:t>
            </w:r>
            <w:r/>
          </w:p>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val="en-US" w:eastAsia="zh-CN"/>
              </w:rPr>
              <w:t xml:space="preserve">未提供不得分。</w:t>
            </w:r>
            <w:r/>
          </w:p>
        </w:tc>
      </w:tr>
      <w:tr>
        <w:trPr>
          <w:jc w:val="center"/>
          <w:trHeight w:val="422"/>
        </w:trPr>
        <w:tc>
          <w:tcPr>
            <w:shd w:val="clear" w:color="auto" w:fill="auto"/>
            <w:tcW w:w="1059" w:type="dxa"/>
            <w:vAlign w:val="center"/>
            <w:textDirection w:val="lrTb"/>
            <w:noWrap w:val="false"/>
          </w:tcPr>
          <w:p>
            <w:pPr>
              <w:ind w:left="0" w:right="0"/>
              <w:jc w:val="center"/>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0"/>
                <w:szCs w:val="20"/>
                <w:highlight w:val="none"/>
                <w:lang w:val="en-US" w:eastAsia="zh-CN"/>
              </w:rPr>
              <w:t xml:space="preserve">多层、高层住宅物业管理方案（6分）</w:t>
            </w:r>
            <w:r/>
          </w:p>
        </w:tc>
        <w:tc>
          <w:tcPr>
            <w:gridSpan w:val="3"/>
            <w:shd w:val="clear" w:color="auto" w:fill="auto"/>
            <w:tcW w:w="8488" w:type="dxa"/>
            <w:vAlign w:val="center"/>
            <w:textDirection w:val="lrTb"/>
            <w:noWrap w:val="false"/>
          </w:tcPr>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管理方案应包括项目整体管理方案、重点难点分析、应对措施及相关的合理化建议等。</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描述详细、切实可行、重难点分析全面完整、针对性强、可操作性强，得6分；</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描述详细、基本可行、有一定针对性、一定可操作性，得4分； </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描述不详尽、不尽合理、针对性一般、可操作性一般，得2分； </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1005"/>
        </w:trPr>
        <w:tc>
          <w:tcPr>
            <w:shd w:val="clear" w:color="auto" w:fill="auto"/>
            <w:tcW w:w="1059" w:type="dxa"/>
            <w:vAlign w:val="center"/>
            <w:textDirection w:val="lrTb"/>
            <w:noWrap w:val="false"/>
          </w:tcPr>
          <w:p>
            <w:pPr>
              <w:ind w:left="0" w:right="0"/>
              <w:jc w:val="center"/>
              <w:keepLines w:val="0"/>
              <w:keepNext w:val="0"/>
              <w:pageBreakBefore w:val="0"/>
              <w:spacing w:line="24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18"/>
                <w:szCs w:val="18"/>
                <w:highlight w:val="none"/>
                <w:lang w:val="en-US" w:eastAsia="zh-CN"/>
              </w:rPr>
              <w:t xml:space="preserve">物业管理用房及相应管理设施的配置（2分）</w:t>
            </w:r>
            <w:r/>
          </w:p>
        </w:tc>
        <w:tc>
          <w:tcPr>
            <w:gridSpan w:val="3"/>
            <w:shd w:val="clear" w:color="auto" w:fill="auto"/>
            <w:tcW w:w="8488" w:type="dxa"/>
            <w:vAlign w:val="center"/>
            <w:textDirection w:val="lrTb"/>
            <w:noWrap w:val="false"/>
          </w:tcPr>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提供物业管理用房的使用计划，办公经费的投入预算，开办费等措施和处理意向。</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科学合理得2分，较合理得1分，基本可行得0.5分，未提供不得分。</w:t>
            </w:r>
            <w:r/>
          </w:p>
        </w:tc>
      </w:tr>
      <w:tr>
        <w:trPr>
          <w:jc w:val="center"/>
          <w:trHeight w:val="1005"/>
        </w:trPr>
        <w:tc>
          <w:tcPr>
            <w:shd w:val="clear" w:color="auto" w:fill="auto"/>
            <w:tcW w:w="1059" w:type="dxa"/>
            <w:vAlign w:val="center"/>
            <w:textDirection w:val="lrTb"/>
            <w:noWrap w:val="false"/>
          </w:tcPr>
          <w:p>
            <w:pPr>
              <w:ind w:left="0" w:right="0"/>
              <w:jc w:val="center"/>
              <w:keepLines w:val="0"/>
              <w:keepNext w:val="0"/>
              <w:pageBreakBefore w:val="0"/>
              <w:spacing w:line="28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eastAsia="宋体" w:cs="Times New Roman"/>
                <w:color w:val="auto"/>
                <w:sz w:val="18"/>
                <w:szCs w:val="18"/>
                <w:highlight w:val="none"/>
                <w:lang w:val="en-US" w:eastAsia="zh-CN"/>
              </w:rPr>
              <w:t xml:space="preserve">物业维修养护管理、保洁、保安、护绿工作的实施方案（8分）</w:t>
            </w:r>
            <w:r/>
          </w:p>
        </w:tc>
        <w:tc>
          <w:tcPr>
            <w:gridSpan w:val="3"/>
            <w:shd w:val="clear" w:color="auto" w:fill="auto"/>
            <w:tcW w:w="8488" w:type="dxa"/>
            <w:vAlign w:val="center"/>
            <w:textDirection w:val="lrTb"/>
            <w:noWrap w:val="false"/>
          </w:tcPr>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实施方案应包括物业管理区域内保洁、保安、小区绿化及其它附属设施的管护、设施设备维修等管理方案、重难点分析、应对措施等。</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方案内容描述全面、科学合理、针对性强、可操作性强，得8分；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方案内容描述基本全面、合理、有一定针对性、一定可操作性，得5分；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方案内容描述不详尽、基本合理、针对性不强、可操作性一般，得3分； </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1005"/>
        </w:trPr>
        <w:tc>
          <w:tcPr>
            <w:shd w:val="clear" w:color="auto" w:fill="auto"/>
            <w:tcW w:w="1059" w:type="dxa"/>
            <w:vAlign w:val="center"/>
            <w:textDirection w:val="lrTb"/>
            <w:noWrap w:val="false"/>
          </w:tcPr>
          <w:p>
            <w:pPr>
              <w:ind w:left="0" w:right="0"/>
              <w:jc w:val="center"/>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物业维修和管理的应急预案（6分）</w:t>
            </w:r>
            <w:r/>
          </w:p>
        </w:tc>
        <w:tc>
          <w:tcPr>
            <w:gridSpan w:val="3"/>
            <w:shd w:val="clear" w:color="auto" w:fill="auto"/>
            <w:tcW w:w="8488" w:type="dxa"/>
            <w:vAlign w:val="center"/>
            <w:textDirection w:val="lrTb"/>
            <w:noWrap w:val="false"/>
          </w:tcPr>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应急措施应包括火灾紧急处理预案、电梯故障应急预案、突发事故处理应急预案、突发公共事件应急预案（含业主、使用人自用部位突然断水、断电、无管道燃气的应急措施；小区物业管理范</w:t>
            </w:r>
            <w:r>
              <w:rPr>
                <w:rFonts w:hint="eastAsia" w:cs="Times New Roman"/>
                <w:color w:val="auto"/>
                <w:sz w:val="22"/>
                <w:szCs w:val="22"/>
                <w:highlight w:val="none"/>
                <w:lang w:val="en-US" w:eastAsia="zh-CN"/>
              </w:rPr>
              <w:t xml:space="preserve">围内</w:t>
            </w:r>
            <w:r>
              <w:rPr>
                <w:rFonts w:hint="default" w:ascii="Times New Roman" w:hAnsi="Times New Roman" w:cs="Times New Roman"/>
                <w:color w:val="auto"/>
                <w:sz w:val="22"/>
                <w:szCs w:val="22"/>
                <w:highlight w:val="none"/>
                <w:lang w:val="en-US" w:eastAsia="zh-CN"/>
              </w:rPr>
              <w:t xml:space="preserve">突然断水、断电、无管道燃气的应急措施；业主与使用人自用部位排水设施阻塞的应急措施；雨、污水管及排水管网阻塞的应急措施）等。</w:t>
            </w:r>
            <w:r/>
          </w:p>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应急预案描述详细、合理科学，可操作性强，得6分；</w:t>
            </w:r>
            <w:r/>
          </w:p>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应急预案描述基本全面、合理、具备可操作性，得4分；</w:t>
            </w:r>
            <w:r/>
          </w:p>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应急预案描述不详尽、不尽合理、可操作性一般，得2分；</w:t>
            </w:r>
            <w:r/>
          </w:p>
          <w:p>
            <w:pPr>
              <w:ind w:left="0" w:right="0"/>
              <w:keepLines w:val="0"/>
              <w:keepNext w:val="0"/>
              <w:pageBreakBefore w:val="0"/>
              <w:spacing w:line="32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1005"/>
        </w:trPr>
        <w:tc>
          <w:tcPr>
            <w:shd w:val="clear" w:color="auto" w:fill="auto"/>
            <w:tcW w:w="1059" w:type="dxa"/>
            <w:vAlign w:val="center"/>
            <w:textDirection w:val="lrTb"/>
            <w:noWrap w:val="false"/>
          </w:tcPr>
          <w:p>
            <w:pPr>
              <w:ind w:left="0" w:right="0"/>
              <w:jc w:val="center"/>
              <w:keepLines w:val="0"/>
              <w:keepNext w:val="0"/>
              <w:pageBreakBefore w:val="0"/>
              <w:spacing w:line="24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eastAsia="宋体" w:cs="Times New Roman"/>
                <w:color w:val="auto"/>
                <w:sz w:val="18"/>
                <w:szCs w:val="18"/>
                <w:highlight w:val="none"/>
                <w:lang w:val="en-US" w:eastAsia="zh-CN"/>
              </w:rPr>
              <w:t xml:space="preserve">施工噪声控制等与业主密切相关事项的应对预案 （2分）</w:t>
            </w:r>
            <w:r/>
          </w:p>
        </w:tc>
        <w:tc>
          <w:tcPr>
            <w:gridSpan w:val="3"/>
            <w:shd w:val="clear" w:color="auto" w:fill="auto"/>
            <w:tcW w:w="8488" w:type="dxa"/>
            <w:vAlign w:val="center"/>
            <w:textDirection w:val="lrTb"/>
            <w:noWrap w:val="false"/>
          </w:tcPr>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思路清晰、方法科学、内容全面的得2分；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思路较清晰、方法较科学、内容较全面的得1分；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思路不够清晰、方法欠妥、内容一般的得0.5分； </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1005"/>
        </w:trPr>
        <w:tc>
          <w:tcPr>
            <w:shd w:val="clear" w:color="auto" w:fill="auto"/>
            <w:tcW w:w="1059" w:type="dxa"/>
            <w:vAlign w:val="center"/>
            <w:textDirection w:val="lrTb"/>
            <w:noWrap w:val="false"/>
          </w:tcPr>
          <w:p>
            <w:pPr>
              <w:ind w:left="0" w:right="0"/>
              <w:jc w:val="center"/>
              <w:keepLines w:val="0"/>
              <w:keepNext w:val="0"/>
              <w:pageBreakBefore w:val="0"/>
              <w:spacing w:line="24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eastAsia="宋体" w:cs="Times New Roman"/>
                <w:color w:val="auto"/>
                <w:sz w:val="18"/>
                <w:szCs w:val="18"/>
                <w:highlight w:val="none"/>
                <w:lang w:val="en-US" w:eastAsia="zh-CN"/>
              </w:rPr>
              <w:t xml:space="preserve">控制住户装潢过程中破坏房屋结构的方案（2分）</w:t>
            </w:r>
            <w:r/>
          </w:p>
        </w:tc>
        <w:tc>
          <w:tcPr>
            <w:gridSpan w:val="3"/>
            <w:shd w:val="clear" w:color="auto" w:fill="auto"/>
            <w:tcW w:w="8488" w:type="dxa"/>
            <w:vAlign w:val="center"/>
            <w:textDirection w:val="lrTb"/>
            <w:noWrap w:val="false"/>
          </w:tcPr>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思路清晰、方法科学、内容全面的得2分；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思路较清晰、方法较科学、内容较全面的得1分；</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思路不够清晰、方法欠妥、内容一般的得0.5分； </w:t>
            </w:r>
            <w:r/>
          </w:p>
          <w:p>
            <w:pPr>
              <w:ind w:left="0" w:right="0"/>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未提供不得分。</w:t>
            </w:r>
            <w:r/>
          </w:p>
        </w:tc>
      </w:tr>
      <w:tr>
        <w:trPr>
          <w:jc w:val="center"/>
          <w:trHeight w:val="1005"/>
        </w:trPr>
        <w:tc>
          <w:tcPr>
            <w:shd w:val="clear" w:color="auto" w:fill="auto"/>
            <w:tcW w:w="1059" w:type="dxa"/>
            <w:vAlign w:val="center"/>
            <w:textDirection w:val="lrTb"/>
            <w:noWrap w:val="false"/>
          </w:tcPr>
          <w:p>
            <w:pPr>
              <w:ind w:left="0" w:right="0"/>
              <w:jc w:val="center"/>
              <w:keepLines w:val="0"/>
              <w:keepNext w:val="0"/>
              <w:pageBreakBefore w:val="0"/>
              <w:spacing w:line="360" w:lineRule="exact"/>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创新服务方法的具体措施（2分）</w:t>
            </w:r>
            <w:r/>
          </w:p>
        </w:tc>
        <w:tc>
          <w:tcPr>
            <w:gridSpan w:val="3"/>
            <w:shd w:val="clear" w:color="auto" w:fill="auto"/>
            <w:tcW w:w="8488" w:type="dxa"/>
            <w:vAlign w:val="center"/>
            <w:textDirection w:val="lrTb"/>
            <w:noWrap w:val="false"/>
          </w:tcPr>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优化物业工作模式，创新服务方法，提升小区居住环境品质，包括但不限于开展小区细节美化及秩序维护、丰富社区文化、加强业主相互沟通等工作。</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思路清晰、方法科学、内容全面的得2分；</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思路较清晰、方法较科学、内容较全面的得1分；</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思路不够清晰、方法欠妥、内容一般的得0.5分； </w:t>
            </w:r>
            <w:r/>
          </w:p>
          <w:p>
            <w:pPr>
              <w:ind w:left="0" w:right="0"/>
              <w:keepLines w:val="0"/>
              <w:keepNext w:val="0"/>
              <w:pageBreakBefore w:val="0"/>
              <w:spacing w:line="300" w:lineRule="exact"/>
              <w:widowControl w:val="off"/>
              <w:rPr>
                <w:rFonts w:hint="default" w:ascii="Times New Roman" w:hAnsi="Times New Roman"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未提供不得分。</w:t>
            </w:r>
            <w:r/>
          </w:p>
        </w:tc>
      </w:tr>
    </w:tbl>
    <w:p>
      <w:pPr>
        <w:spacing w:line="500" w:lineRule="exact"/>
        <w:rPr>
          <w:rFonts w:hint="default" w:eastAsia="黑体"/>
          <w:b/>
          <w:color w:val="0d0d0d"/>
          <w:sz w:val="28"/>
          <w:szCs w:val="32"/>
        </w:rPr>
        <w:outlineLvl w:val="1"/>
      </w:pPr>
      <w:r>
        <w:rPr>
          <w:rFonts w:hint="default" w:eastAsia="黑体"/>
          <w:b/>
          <w:color w:val="0d0d0d"/>
          <w:sz w:val="28"/>
          <w:szCs w:val="32"/>
        </w:rPr>
        <w:t xml:space="preserve">1.资格审查</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1.1资格审查</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1.1.1资格审查由竞争性磋商小组负责。</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1.1.2资格审查因素和标准：见竞争性磋商前附表。</w:t>
      </w:r>
      <w:r/>
    </w:p>
    <w:p>
      <w:pPr>
        <w:spacing w:line="500" w:lineRule="exact"/>
        <w:rPr>
          <w:rFonts w:hint="default" w:eastAsia="黑体"/>
          <w:b/>
          <w:color w:val="0d0d0d"/>
          <w:sz w:val="28"/>
          <w:szCs w:val="32"/>
        </w:rPr>
        <w:outlineLvl w:val="1"/>
      </w:pPr>
      <w:r>
        <w:rPr>
          <w:rFonts w:hint="default" w:eastAsia="黑体"/>
          <w:b/>
          <w:color w:val="0d0d0d"/>
          <w:sz w:val="28"/>
          <w:szCs w:val="32"/>
        </w:rPr>
        <w:t xml:space="preserve">2.磋商</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2.1确定磋商对象</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磋商小组邀请资格审查合格的供应商参加磋商。</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2.2磋商</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2.2.1磋商小组所有成员集中与单一供应商分别进行磋商。</w:t>
      </w:r>
      <w:r>
        <w:rPr>
          <w:rFonts w:hint="default" w:eastAsia="仿宋_GB2312"/>
          <w:b/>
          <w:bCs/>
          <w:color w:val="0d0d0d"/>
          <w:sz w:val="28"/>
          <w:szCs w:val="32"/>
        </w:rPr>
        <w:t xml:space="preserve">供应商在项目评审全过程中应保持通讯畅通，并安排专人与采购人及磋商小组联系。</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2.2.2磋商小组与供应商就采购需求中的技术、服务要求以及合同草案条款进行磋商。</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2.2.3磋商结束后，磋商小组依据磋商的情况，形成经磋商确定的磋商文件。</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2.2.4对磋商文件作出的实质性变动是磋商文件的有效组成部分，磋商小组将以书面形式同时通知所有参加磋商的供应商。</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2.2.5在提交最后报价之前，供应商可以根据磋商情况退出磋商。</w:t>
      </w:r>
      <w:r/>
    </w:p>
    <w:p>
      <w:pPr>
        <w:spacing w:line="500" w:lineRule="exact"/>
        <w:rPr>
          <w:rFonts w:hint="default" w:eastAsia="黑体"/>
          <w:b/>
          <w:color w:val="0d0d0d"/>
          <w:sz w:val="28"/>
          <w:szCs w:val="32"/>
        </w:rPr>
        <w:outlineLvl w:val="1"/>
      </w:pPr>
      <w:r>
        <w:rPr>
          <w:rFonts w:hint="default" w:eastAsia="黑体"/>
          <w:b/>
          <w:color w:val="0d0d0d"/>
          <w:sz w:val="28"/>
          <w:szCs w:val="32"/>
        </w:rPr>
        <w:t xml:space="preserve">3.再次提交响应文件</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3.1技术、服务要求和合同草案条款响应</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供应商按照磋商文件的变动情况和磋商小组的要求，对采购需求中的技术、服务要求以及合同草案条款作出响应。</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3.2最后报价</w:t>
      </w:r>
      <w:r/>
    </w:p>
    <w:p>
      <w:pPr>
        <w:ind w:firstLine="560"/>
        <w:spacing w:line="500" w:lineRule="exact"/>
        <w:rPr>
          <w:rFonts w:hint="default" w:ascii="Times New Roman" w:hAnsi="Times New Roman" w:cs="Times New Roman" w:eastAsiaTheme="minorEastAsia"/>
          <w:color w:val="auto"/>
          <w:sz w:val="24"/>
          <w:szCs w:val="28"/>
          <w:highlight w:val="none"/>
        </w:rPr>
      </w:pPr>
      <w:r>
        <w:rPr>
          <w:rFonts w:hint="default" w:eastAsia="仿宋_GB2312"/>
          <w:color w:val="0d0d0d"/>
          <w:sz w:val="28"/>
          <w:szCs w:val="32"/>
        </w:rPr>
        <w:t xml:space="preserve">供应商按照磋商小组的要求，在规定的时间内，通过“苏采云”系统提交最后报价。</w:t>
      </w:r>
      <w:r/>
    </w:p>
    <w:p>
      <w:pPr>
        <w:spacing w:line="500" w:lineRule="exact"/>
        <w:rPr>
          <w:rFonts w:hint="default" w:eastAsia="黑体"/>
          <w:b/>
          <w:color w:val="0d0d0d"/>
          <w:sz w:val="28"/>
          <w:szCs w:val="32"/>
        </w:rPr>
        <w:outlineLvl w:val="1"/>
      </w:pPr>
      <w:r>
        <w:rPr>
          <w:rFonts w:hint="default" w:eastAsia="黑体"/>
          <w:b/>
          <w:color w:val="0d0d0d"/>
          <w:sz w:val="28"/>
          <w:szCs w:val="32"/>
        </w:rPr>
        <w:t xml:space="preserve">4.形式性评审和响应性评审</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4.1形式性评审和响应性评审由竞争性磋商小组负责。</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4.2形式性评审和响应性评审因素和标准：见竞争性磋商前附表。</w:t>
      </w:r>
      <w:r/>
    </w:p>
    <w:p>
      <w:pPr>
        <w:spacing w:line="500" w:lineRule="exact"/>
        <w:rPr>
          <w:rFonts w:hint="default" w:eastAsia="黑体"/>
          <w:b/>
          <w:color w:val="0d0d0d"/>
          <w:sz w:val="28"/>
          <w:szCs w:val="32"/>
        </w:rPr>
        <w:outlineLvl w:val="1"/>
      </w:pPr>
      <w:r>
        <w:rPr>
          <w:rFonts w:hint="default" w:eastAsia="黑体"/>
          <w:b/>
          <w:color w:val="0d0d0d"/>
          <w:sz w:val="28"/>
          <w:szCs w:val="32"/>
        </w:rPr>
        <w:t xml:space="preserve">5.详细评审</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5.1详细评审由竞争性磋商小组负责。</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5.2详细评审因素和标准：见竞争性磋商前附表。</w:t>
      </w:r>
      <w:r/>
    </w:p>
    <w:p>
      <w:pPr>
        <w:spacing w:line="500" w:lineRule="exact"/>
        <w:rPr>
          <w:rFonts w:hint="default" w:eastAsia="黑体"/>
          <w:b/>
          <w:color w:val="0d0d0d"/>
          <w:sz w:val="28"/>
          <w:szCs w:val="32"/>
        </w:rPr>
        <w:outlineLvl w:val="1"/>
      </w:pPr>
      <w:r>
        <w:rPr>
          <w:rFonts w:hint="default" w:eastAsia="黑体"/>
          <w:b/>
          <w:color w:val="0d0d0d"/>
          <w:sz w:val="28"/>
          <w:szCs w:val="32"/>
        </w:rPr>
        <w:t xml:space="preserve">6.推荐成交候选人</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500" w:lineRule="exact"/>
        <w:rPr>
          <w:rFonts w:hint="default" w:eastAsia="黑体"/>
          <w:b/>
          <w:color w:val="0d0d0d"/>
          <w:sz w:val="28"/>
          <w:szCs w:val="32"/>
        </w:rPr>
        <w:outlineLvl w:val="1"/>
      </w:pPr>
      <w:r>
        <w:rPr>
          <w:rFonts w:hint="default" w:eastAsia="黑体"/>
          <w:b/>
          <w:color w:val="0d0d0d"/>
          <w:sz w:val="28"/>
          <w:szCs w:val="32"/>
        </w:rPr>
        <w:t xml:space="preserve">7.确定成交供应商</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采购人从磋商小组提出的成交候选人中根据符合采购需求且评审得分最高的原则确定成交供应商，并将结果通知所有参加磋商的未成交的供应商。</w:t>
      </w:r>
      <w:r/>
    </w:p>
    <w:p>
      <w:pPr>
        <w:spacing w:line="500" w:lineRule="exact"/>
        <w:rPr>
          <w:rFonts w:hint="default" w:eastAsia="黑体"/>
          <w:b/>
          <w:color w:val="0d0d0d"/>
          <w:sz w:val="28"/>
          <w:szCs w:val="32"/>
        </w:rPr>
        <w:outlineLvl w:val="1"/>
      </w:pPr>
      <w:r>
        <w:rPr>
          <w:rFonts w:hint="default" w:eastAsia="黑体"/>
          <w:b/>
          <w:color w:val="0d0d0d"/>
          <w:sz w:val="28"/>
          <w:szCs w:val="32"/>
        </w:rPr>
        <w:t xml:space="preserve">8.澄清、说明或补正</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8.2磋商小组要求供应商澄清、说明或者更正响应文件应当以书面形式作出。</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8.4供应商的澄清、说明或者更正不得超出响应文件的范围或者改变响应文件的实质性内容。</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8.5磋商小组不得接受供应商主动提出的澄清、说明或补正。</w:t>
      </w:r>
      <w:r/>
    </w:p>
    <w:p>
      <w:pPr>
        <w:spacing w:line="500" w:lineRule="exact"/>
        <w:rPr>
          <w:rFonts w:hint="default" w:eastAsia="黑体"/>
          <w:b/>
          <w:color w:val="0d0d0d"/>
          <w:sz w:val="28"/>
          <w:szCs w:val="32"/>
        </w:rPr>
        <w:outlineLvl w:val="1"/>
      </w:pPr>
      <w:r>
        <w:rPr>
          <w:rFonts w:hint="default" w:eastAsia="黑体"/>
          <w:b/>
          <w:color w:val="0d0d0d"/>
          <w:sz w:val="28"/>
          <w:szCs w:val="32"/>
        </w:rPr>
        <w:t xml:space="preserve">9.评审过程中特殊情况的处理规定</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9.1磋商小组成员的更换</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9.2异常低价审查</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（1）评审过程中出现下列情形之一的，磋商小组应当启动异常低价投标（响应）审查程序： </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①投标（响应）报价低于采购项目预算50%的，即投标（响应）报价&lt;采购项目预算×50%； </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②投标（响应）报价低于采购项目最高限价45%的，即投标（响应）报价&lt;采购项目最高限价×45%； </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③磋商小组认定的供应商报价过低、有可能影响产品质量或者不能诚信履约的其他情形。 </w:t>
      </w:r>
      <w:r/>
    </w:p>
    <w:p>
      <w:pPr>
        <w:ind w:firstLine="560"/>
        <w:spacing w:line="500" w:lineRule="exact"/>
        <w:rPr>
          <w:rFonts w:hint="default" w:ascii="Times New Roman" w:hAnsi="Times New Roman" w:cs="Times New Roman" w:eastAsiaTheme="minorEastAsia"/>
          <w:color w:val="auto"/>
          <w:sz w:val="24"/>
          <w:szCs w:val="28"/>
          <w:highlight w:val="none"/>
        </w:rPr>
      </w:pPr>
      <w:r>
        <w:rPr>
          <w:rFonts w:hint="default" w:eastAsia="仿宋_GB2312"/>
          <w:color w:val="0d0d0d"/>
          <w:sz w:val="28"/>
          <w:szCs w:val="32"/>
        </w:rPr>
        <w:t xml:space="preserve">（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并在评审报告中进行记录。</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9.3争议解决</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9.4评审终止</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9.5得分相同</w:t>
      </w:r>
      <w:r/>
    </w:p>
    <w:p>
      <w:pPr>
        <w:ind w:firstLine="560"/>
        <w:spacing w:line="500" w:lineRule="exact"/>
        <w:rPr>
          <w:rFonts w:hint="default" w:ascii="Times New Roman" w:hAnsi="Times New Roman" w:cs="Times New Roman" w:eastAsiaTheme="minorEastAsia"/>
          <w:color w:val="auto"/>
          <w:sz w:val="24"/>
          <w:szCs w:val="28"/>
          <w:highlight w:val="none"/>
        </w:rPr>
      </w:pPr>
      <w:r>
        <w:rPr>
          <w:rFonts w:hint="default" w:eastAsia="仿宋_GB2312"/>
          <w:color w:val="0d0d0d"/>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9.6评审报告签署</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00" w:lineRule="exact"/>
        <w:rPr>
          <w:rFonts w:hint="default" w:eastAsia="黑体"/>
          <w:b/>
          <w:color w:val="0d0d0d"/>
          <w:sz w:val="28"/>
          <w:szCs w:val="32"/>
        </w:rPr>
        <w:outlineLvl w:val="1"/>
      </w:pPr>
      <w:r>
        <w:rPr>
          <w:rFonts w:hint="default" w:eastAsia="黑体"/>
          <w:b/>
          <w:color w:val="0d0d0d"/>
          <w:sz w:val="28"/>
          <w:szCs w:val="32"/>
        </w:rPr>
        <w:t xml:space="preserve">10.判定无效响应的规定</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10.1响应文件开启过程中，有下列情形之一的，作无效响应处理。</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10.1.1响应文件无法解密；</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10.1.2响应文件未在规定的时间内解密成功。</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10.2资格审查结果为不合格的，作无效响应处理。</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10.3评审过程中，有下列情形之一的，作无效响应处理。</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10.3.1未按照磋商小组要求提供书面说明及相关证明材料证明其报价合理性的；</w:t>
      </w:r>
      <w:r/>
    </w:p>
    <w:p>
      <w:pPr>
        <w:ind w:firstLine="560"/>
        <w:spacing w:line="500" w:lineRule="exact"/>
        <w:rPr>
          <w:rFonts w:hint="default" w:eastAsia="仿宋_GB2312"/>
          <w:color w:val="0d0d0d"/>
          <w:sz w:val="28"/>
          <w:szCs w:val="32"/>
        </w:rPr>
      </w:pPr>
      <w:r>
        <w:rPr>
          <w:rFonts w:hint="default" w:eastAsia="仿宋_GB2312"/>
          <w:color w:val="0d0d0d"/>
          <w:sz w:val="28"/>
          <w:szCs w:val="32"/>
        </w:rPr>
        <w:t xml:space="preserve">10.3.2响应文件含有采购人不能接受的附加条件的。</w:t>
      </w:r>
      <w:r/>
    </w:p>
    <w:p>
      <w:pPr>
        <w:spacing w:line="560" w:lineRule="exact"/>
        <w:rPr>
          <w:rFonts w:hint="default" w:eastAsia="楷体_GB2312"/>
          <w:b/>
          <w:color w:val="0d0d0d"/>
          <w:sz w:val="28"/>
          <w:szCs w:val="32"/>
        </w:rPr>
        <w:outlineLvl w:val="2"/>
      </w:pPr>
      <w:r>
        <w:rPr>
          <w:rFonts w:hint="default" w:eastAsia="楷体_GB2312"/>
          <w:b/>
          <w:color w:val="0d0d0d"/>
          <w:sz w:val="28"/>
          <w:szCs w:val="32"/>
        </w:rPr>
        <w:t xml:space="preserve">10.4法律、法规规定的其他无效响应情形。</w:t>
      </w:r>
      <w:r/>
    </w:p>
    <w:p>
      <w:pPr>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jc w:val="center"/>
        <w:spacing w:line="500" w:lineRule="exact"/>
        <w:widowControl/>
        <w:rPr>
          <w:rFonts w:hint="default" w:ascii="方正小标宋简体" w:hAnsi="方正小标宋简体" w:eastAsia="方正小标宋简体" w:cs="方正小标宋简体"/>
          <w:bCs/>
          <w:sz w:val="44"/>
          <w:szCs w:val="44"/>
        </w:rPr>
        <w:outlineLvl w:val="0"/>
      </w:pPr>
      <w:r/>
      <w:bookmarkStart w:id="150" w:name="_Toc16938559"/>
      <w:r/>
      <w:bookmarkStart w:id="151" w:name="_Toc10559"/>
      <w:r/>
      <w:bookmarkStart w:id="152" w:name="_Toc513029243"/>
      <w:r/>
      <w:bookmarkStart w:id="153" w:name="_Toc9649"/>
      <w:r/>
      <w:bookmarkStart w:id="154" w:name="_Toc23712"/>
      <w:r/>
      <w:bookmarkStart w:id="155" w:name="_Toc22986"/>
      <w:r/>
      <w:bookmarkStart w:id="156" w:name="_Toc20823315"/>
      <w:r/>
      <w:bookmarkStart w:id="157" w:name="_Toc4149"/>
      <w:r>
        <w:rPr>
          <w:rFonts w:hint="default" w:ascii="Times New Roman" w:hAnsi="Times New Roman" w:cs="Times New Roman" w:eastAsiaTheme="minorEastAsia"/>
          <w:color w:val="auto"/>
          <w:sz w:val="44"/>
          <w:szCs w:val="44"/>
          <w:highlight w:val="none"/>
        </w:rPr>
        <w:br w:type="page" w:clear="all"/>
      </w:r>
      <w:bookmarkEnd w:id="150"/>
      <w:r/>
      <w:bookmarkEnd w:id="151"/>
      <w:r/>
      <w:bookmarkEnd w:id="152"/>
      <w:r/>
      <w:bookmarkEnd w:id="153"/>
      <w:r/>
      <w:bookmarkEnd w:id="154"/>
      <w:r/>
      <w:bookmarkEnd w:id="155"/>
      <w:r/>
      <w:bookmarkEnd w:id="156"/>
      <w:r/>
      <w:bookmarkEnd w:id="157"/>
      <w:r>
        <w:rPr>
          <w:rFonts w:hint="default" w:ascii="方正小标宋简体" w:hAnsi="方正小标宋简体" w:eastAsia="方正小标宋简体" w:cs="方正小标宋简体"/>
          <w:bCs/>
          <w:sz w:val="44"/>
          <w:szCs w:val="44"/>
        </w:rPr>
        <w:t xml:space="preserve">第四章  合同条款</w:t>
      </w:r>
      <w:bookmarkStart w:id="158" w:name="_Toc382813933"/>
      <w:r/>
      <w:bookmarkStart w:id="159" w:name="_Toc288030332"/>
      <w:r/>
      <w:bookmarkStart w:id="160" w:name="_Toc425871366"/>
      <w:r/>
      <w:bookmarkStart w:id="161" w:name="_Toc383698694"/>
      <w:r/>
      <w:bookmarkStart w:id="162" w:name="_Toc382814014"/>
      <w:r/>
      <w:bookmarkStart w:id="163" w:name="_Toc382811586"/>
      <w:r/>
      <w:bookmarkStart w:id="164" w:name="_Toc282446296"/>
      <w:r/>
      <w:bookmarkStart w:id="165" w:name="_Toc382812295"/>
      <w:r/>
      <w:bookmarkStart w:id="166" w:name="_Toc390099065"/>
      <w:r/>
      <w:bookmarkStart w:id="167" w:name="_Toc383626041"/>
      <w:r/>
      <w:bookmarkStart w:id="168" w:name="_Toc383623992"/>
      <w:r/>
      <w:bookmarkStart w:id="169" w:name="_Toc390098887"/>
      <w:r/>
      <w:bookmarkStart w:id="170" w:name="_Toc382812484"/>
      <w:r/>
      <w:bookmarkStart w:id="171" w:name="_Toc383623720"/>
      <w:r/>
      <w:bookmarkStart w:id="172" w:name="_Toc382811181"/>
      <w:r/>
      <w:bookmarkStart w:id="173" w:name="_Toc120614222"/>
      <w:r/>
      <w:bookmarkStart w:id="174" w:name="_Toc383679794"/>
      <w:r/>
      <w:bookmarkStart w:id="175" w:name="_Toc390246952"/>
      <w:r/>
      <w:bookmarkStart w:id="176" w:name="_Toc383587505"/>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p>
    <w:p>
      <w:pPr>
        <w:ind w:left="0" w:right="0"/>
        <w:jc w:val="center"/>
        <w:keepLines w:val="0"/>
        <w:keepNext w:val="0"/>
        <w:pageBreakBefore w:val="0"/>
        <w:spacing w:beforeAutospacing="0" w:afterAutospacing="0" w:line="560" w:lineRule="exact"/>
        <w:widowControl w:val="off"/>
        <w:rPr>
          <w:rFonts w:hint="default" w:ascii="Times New Roman" w:hAnsi="Times New Roman" w:eastAsia="宋体" w:cs="Times New Roman"/>
          <w:b/>
          <w:bCs w:val="0"/>
          <w:color w:val="auto"/>
          <w:sz w:val="36"/>
          <w:szCs w:val="36"/>
          <w:highlight w:val="none"/>
        </w:rPr>
        <w:suppressLineNumbers w:val="0"/>
      </w:pPr>
      <w:r>
        <w:rPr>
          <w:rFonts w:hint="default" w:ascii="Times New Roman" w:hAnsi="Times New Roman" w:eastAsia="宋体" w:cs="Times New Roman"/>
          <w:b/>
          <w:bCs w:val="0"/>
          <w:color w:val="auto"/>
          <w:sz w:val="36"/>
          <w:szCs w:val="36"/>
          <w:highlight w:val="none"/>
          <w:lang w:val="en-US" w:eastAsia="zh-CN" w:bidi="ar"/>
        </w:rPr>
        <w:t xml:space="preserve">物业管理服务合同</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甲方：</w:t>
      </w:r>
      <w:r>
        <w:rPr>
          <w:rFonts w:hint="eastAsia" w:cs="Times New Roman" w:eastAsiaTheme="minorEastAsia"/>
          <w:color w:val="auto"/>
          <w:sz w:val="24"/>
          <w:szCs w:val="24"/>
          <w:highlight w:val="none"/>
          <w:lang w:val="en-US" w:eastAsia="zh-CN" w:bidi="ar"/>
        </w:rPr>
        <w:t xml:space="preserve">泰兴市</w:t>
      </w:r>
      <w:r>
        <w:rPr>
          <w:rFonts w:hint="default" w:ascii="Times New Roman" w:hAnsi="Times New Roman" w:cs="Times New Roman" w:eastAsiaTheme="minorEastAsia"/>
          <w:color w:val="auto"/>
          <w:sz w:val="24"/>
          <w:szCs w:val="24"/>
          <w:highlight w:val="none"/>
          <w:lang w:val="en-US" w:eastAsia="zh-CN" w:bidi="ar"/>
        </w:rPr>
        <w:t xml:space="preserve">滨江镇人民政府 </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乙方：</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甲、乙双方根据采购编号为***的***采购项目，采购结果及招标文件的要求，在协商一致的基础上，达成如下采购服务合同：</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color w:val="auto"/>
          <w:sz w:val="24"/>
          <w:szCs w:val="24"/>
          <w:highlight w:val="none"/>
        </w:rPr>
        <w:suppressLineNumbers w:val="0"/>
      </w:pPr>
      <w:r>
        <w:rPr>
          <w:rFonts w:hint="default" w:ascii="Times New Roman" w:hAnsi="Times New Roman" w:cs="Times New Roman" w:eastAsiaTheme="minorEastAsia"/>
          <w:b/>
          <w:bCs/>
          <w:color w:val="auto"/>
          <w:sz w:val="24"/>
          <w:szCs w:val="24"/>
          <w:highlight w:val="none"/>
          <w:lang w:val="en-US" w:eastAsia="zh-CN" w:bidi="ar"/>
        </w:rPr>
        <w:t xml:space="preserve">第一条：物业基本情况</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1.包一项目地址：泰兴市滨江镇丰产新村</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2.包一项目概况：丰产新村为高层住宅小区，2016年交付，占地70731平方米，建筑面积156018.88平方米，高层住宅16栋，电梯50台，共计1425户。物业管理区域：东至丰产河，西至东一路，南至丰产河路，北至疏港东路。</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3.包二项目地址：泰兴市滨江镇南园新村</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4.包二项目概况：南园新村为多层住宅</w:t>
      </w:r>
      <w:r>
        <w:rPr>
          <w:rFonts w:hint="eastAsia" w:cs="Times New Roman" w:eastAsiaTheme="minorEastAsia"/>
          <w:color w:val="auto"/>
          <w:sz w:val="24"/>
          <w:szCs w:val="24"/>
          <w:highlight w:val="none"/>
          <w:lang w:val="en-US" w:eastAsia="zh-CN" w:bidi="ar"/>
        </w:rPr>
        <w:t xml:space="preserve">小区</w:t>
      </w:r>
      <w:r>
        <w:rPr>
          <w:rFonts w:hint="default" w:ascii="Times New Roman" w:hAnsi="Times New Roman" w:cs="Times New Roman" w:eastAsiaTheme="minorEastAsia"/>
          <w:color w:val="auto"/>
          <w:sz w:val="24"/>
          <w:szCs w:val="24"/>
          <w:highlight w:val="none"/>
          <w:lang w:val="en-US" w:eastAsia="zh-CN" w:bidi="ar"/>
        </w:rPr>
        <w:t xml:space="preserve">，2012年交付，建筑面积42631.11平方米，多层住宅18栋，共计384户。物业管理区域：东至大生派出所西围墙，西至振兴南路，南至334省道，北至大生中路。</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color w:val="auto"/>
          <w:sz w:val="24"/>
          <w:szCs w:val="24"/>
          <w:highlight w:val="none"/>
        </w:rPr>
        <w:suppressLineNumbers w:val="0"/>
      </w:pPr>
      <w:r>
        <w:rPr>
          <w:rFonts w:hint="default" w:ascii="Times New Roman" w:hAnsi="Times New Roman" w:cs="Times New Roman" w:eastAsiaTheme="minorEastAsia"/>
          <w:b/>
          <w:bCs/>
          <w:color w:val="auto"/>
          <w:sz w:val="24"/>
          <w:szCs w:val="24"/>
          <w:highlight w:val="none"/>
          <w:lang w:val="en-US" w:eastAsia="zh-CN" w:bidi="ar"/>
        </w:rPr>
        <w:t xml:space="preserve">第二条：委托管理事项</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rPr>
      </w:pPr>
      <w:r>
        <w:rPr>
          <w:rFonts w:hint="default" w:ascii="Times New Roman" w:hAnsi="Times New Roman" w:cs="Times New Roman" w:eastAsiaTheme="minorEastAsia"/>
          <w:color w:val="auto"/>
          <w:sz w:val="24"/>
          <w:szCs w:val="24"/>
          <w:highlight w:val="none"/>
          <w:lang w:val="zh-CN"/>
        </w:rPr>
        <w:t xml:space="preserve">1.物业管理区域内物业共用部位、共用设施、设备的维修、养护、运行和管理，包括：对房屋构筑物，房屋使用的设备、设施等的维修、养护和管理、</w:t>
      </w:r>
      <w:r>
        <w:rPr>
          <w:rFonts w:hint="default" w:ascii="Times New Roman" w:hAnsi="Times New Roman" w:cs="Times New Roman" w:eastAsiaTheme="minorEastAsia"/>
          <w:color w:val="auto"/>
          <w:sz w:val="24"/>
          <w:szCs w:val="24"/>
          <w:highlight w:val="none"/>
          <w:lang w:val="en-US" w:eastAsia="zh-CN"/>
        </w:rPr>
        <w:t xml:space="preserve">房屋装饰装修期间的一日两查（发现违章搭建行为应及时劝阻并报告相关部门）</w:t>
      </w:r>
      <w:r>
        <w:rPr>
          <w:rFonts w:hint="default" w:ascii="Times New Roman" w:hAnsi="Times New Roman" w:cs="Times New Roman" w:eastAsiaTheme="minorEastAsia"/>
          <w:color w:val="auto"/>
          <w:sz w:val="24"/>
          <w:szCs w:val="24"/>
          <w:highlight w:val="none"/>
          <w:lang w:val="zh-CN"/>
        </w:rPr>
        <w:t xml:space="preserve">；共用的上下管道、落水管、共用能耗、高压水泵房、消防控制室、楼内消防设施、电梯（含机房、空调）等的维修、养护、运行和管理</w:t>
      </w:r>
      <w:r>
        <w:rPr>
          <w:rFonts w:hint="default" w:ascii="Times New Roman" w:hAnsi="Times New Roman" w:cs="Times New Roman" w:eastAsiaTheme="minorEastAsia"/>
          <w:color w:val="auto"/>
          <w:sz w:val="24"/>
          <w:szCs w:val="24"/>
          <w:highlight w:val="none"/>
          <w:lang w:val="zh-CN" w:eastAsia="zh-CN"/>
        </w:rPr>
        <w:t xml:space="preserve">、</w:t>
      </w:r>
      <w:r>
        <w:rPr>
          <w:rFonts w:hint="default" w:ascii="Times New Roman" w:hAnsi="Times New Roman" w:cs="Times New Roman" w:eastAsiaTheme="minorEastAsia"/>
          <w:color w:val="auto"/>
          <w:sz w:val="24"/>
          <w:szCs w:val="24"/>
          <w:highlight w:val="none"/>
          <w:lang w:val="zh-CN"/>
        </w:rPr>
        <w:t xml:space="preserve">充电桩</w:t>
      </w:r>
      <w:r>
        <w:rPr>
          <w:rFonts w:hint="default" w:ascii="Times New Roman" w:hAnsi="Times New Roman" w:cs="Times New Roman" w:eastAsiaTheme="minorEastAsia"/>
          <w:color w:val="auto"/>
          <w:sz w:val="24"/>
          <w:szCs w:val="24"/>
          <w:highlight w:val="none"/>
          <w:lang w:val="zh-CN" w:eastAsia="zh-CN"/>
        </w:rPr>
        <w:t xml:space="preserve">停车棚</w:t>
      </w:r>
      <w:r>
        <w:rPr>
          <w:rFonts w:hint="default" w:ascii="Times New Roman" w:hAnsi="Times New Roman" w:cs="Times New Roman" w:eastAsiaTheme="minorEastAsia"/>
          <w:color w:val="auto"/>
          <w:sz w:val="24"/>
          <w:szCs w:val="24"/>
          <w:highlight w:val="none"/>
          <w:lang w:val="zh-CN"/>
        </w:rPr>
        <w:t xml:space="preserve">的管理</w:t>
      </w:r>
      <w:r>
        <w:rPr>
          <w:rFonts w:hint="default" w:ascii="Times New Roman" w:hAnsi="Times New Roman" w:cs="Times New Roman" w:eastAsiaTheme="minorEastAsia"/>
          <w:color w:val="auto"/>
          <w:sz w:val="24"/>
          <w:szCs w:val="24"/>
          <w:highlight w:val="none"/>
          <w:lang w:val="zh-CN" w:eastAsia="zh-CN"/>
        </w:rPr>
        <w:t xml:space="preserve">、</w:t>
      </w:r>
      <w:r>
        <w:rPr>
          <w:rFonts w:hint="default" w:ascii="Times New Roman" w:hAnsi="Times New Roman" w:cs="Times New Roman" w:eastAsiaTheme="minorEastAsia"/>
          <w:color w:val="auto"/>
          <w:sz w:val="24"/>
          <w:szCs w:val="24"/>
          <w:highlight w:val="none"/>
          <w:lang w:val="en-US" w:eastAsia="zh-CN"/>
        </w:rPr>
        <w:t xml:space="preserve">管道竖井的巡查</w:t>
      </w:r>
      <w:r>
        <w:rPr>
          <w:rFonts w:hint="default" w:ascii="Times New Roman" w:hAnsi="Times New Roman" w:cs="Times New Roman" w:eastAsiaTheme="minorEastAsia"/>
          <w:color w:val="auto"/>
          <w:sz w:val="24"/>
          <w:szCs w:val="24"/>
          <w:highlight w:val="none"/>
          <w:lang w:val="zh-CN"/>
        </w:rPr>
        <w:t xml:space="preserve">。（上述区域据实开展作业，存在该区域的须严格落实相关管护工作。）</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rPr>
      </w:pPr>
      <w:r>
        <w:rPr>
          <w:rFonts w:hint="default" w:ascii="Times New Roman" w:hAnsi="Times New Roman" w:cs="Times New Roman" w:eastAsiaTheme="minorEastAsia"/>
          <w:color w:val="auto"/>
          <w:sz w:val="24"/>
          <w:szCs w:val="24"/>
          <w:highlight w:val="none"/>
          <w:lang w:val="zh-CN"/>
        </w:rPr>
        <w:t xml:space="preserve">2.物业管理区域内公共环境卫生的维护，包括：路道、屋顶、公共过道、楼梯、楼道、</w:t>
      </w:r>
      <w:r>
        <w:rPr>
          <w:rFonts w:hint="default" w:ascii="Times New Roman" w:hAnsi="Times New Roman" w:cs="Times New Roman" w:eastAsiaTheme="minorEastAsia"/>
          <w:color w:val="auto"/>
          <w:sz w:val="24"/>
          <w:szCs w:val="24"/>
          <w:highlight w:val="none"/>
          <w:lang w:val="zh-CN" w:eastAsia="zh-CN"/>
        </w:rPr>
        <w:t xml:space="preserve">电梯轿厢内外、</w:t>
      </w:r>
      <w:r>
        <w:rPr>
          <w:rFonts w:hint="default" w:ascii="Times New Roman" w:hAnsi="Times New Roman" w:cs="Times New Roman" w:eastAsiaTheme="minorEastAsia"/>
          <w:color w:val="auto"/>
          <w:sz w:val="24"/>
          <w:szCs w:val="24"/>
          <w:highlight w:val="none"/>
          <w:lang w:val="zh-CN"/>
        </w:rPr>
        <w:t xml:space="preserve">会议室、地下车库、地下储藏室公共区域、绿地、广场、健身器材、充电桩</w:t>
      </w:r>
      <w:r>
        <w:rPr>
          <w:rFonts w:hint="default" w:ascii="Times New Roman" w:hAnsi="Times New Roman" w:cs="Times New Roman" w:eastAsiaTheme="minorEastAsia"/>
          <w:color w:val="auto"/>
          <w:sz w:val="24"/>
          <w:szCs w:val="24"/>
          <w:highlight w:val="none"/>
          <w:lang w:val="en-US" w:eastAsia="zh-CN"/>
        </w:rPr>
        <w:t xml:space="preserve">停车棚、消防设施</w:t>
      </w:r>
      <w:r>
        <w:rPr>
          <w:rFonts w:hint="default" w:ascii="Times New Roman" w:hAnsi="Times New Roman" w:cs="Times New Roman" w:eastAsiaTheme="minorEastAsia"/>
          <w:color w:val="auto"/>
          <w:sz w:val="24"/>
          <w:szCs w:val="24"/>
          <w:highlight w:val="none"/>
          <w:lang w:val="zh-CN"/>
        </w:rPr>
        <w:t xml:space="preserve">的清洁卫生、垃圾的收集、清运。（上述区域据实开展作业，存在该区域的须严格落实相关保洁工作。）</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rPr>
      </w:pPr>
      <w:r>
        <w:rPr>
          <w:rFonts w:hint="default" w:ascii="Times New Roman" w:hAnsi="Times New Roman" w:cs="Times New Roman" w:eastAsiaTheme="minorEastAsia"/>
          <w:color w:val="auto"/>
          <w:sz w:val="24"/>
          <w:szCs w:val="24"/>
          <w:highlight w:val="none"/>
          <w:lang w:val="zh-CN"/>
        </w:rPr>
        <w:t xml:space="preserve">3.小区内绿化养护服务，包括除杂、修剪造型、调整、浇水、施肥、防治病虫害、苗木补栽、绿化垃圾清扫及配合社区（小区）改造调整等。</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4.严格落实“五晒”要求，围绕“物业服务标准、收费标准、住宅专项维修资金、公共收益、公共能耗”等5个方面，规范设置“一台一箱两栏”线下公示载体，全程公开维修资金申报、使用、验收明细，主动接受居民监督。</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5.优化物业工作模式，创新服务方法，提升小区居住环境品质，开展小区细节美化及秩序维护工作。</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rPr>
      </w:pPr>
      <w:r>
        <w:rPr>
          <w:rFonts w:hint="default" w:ascii="Times New Roman" w:hAnsi="Times New Roman" w:cs="Times New Roman" w:eastAsiaTheme="minorEastAsia"/>
          <w:color w:val="auto"/>
          <w:sz w:val="24"/>
          <w:szCs w:val="24"/>
          <w:highlight w:val="none"/>
          <w:lang w:val="en-US" w:eastAsia="zh-CN"/>
        </w:rPr>
        <w:t xml:space="preserve">6</w:t>
      </w:r>
      <w:r>
        <w:rPr>
          <w:rFonts w:hint="default" w:ascii="Times New Roman" w:hAnsi="Times New Roman" w:cs="Times New Roman" w:eastAsiaTheme="minorEastAsia"/>
          <w:color w:val="auto"/>
          <w:sz w:val="24"/>
          <w:szCs w:val="24"/>
          <w:highlight w:val="none"/>
          <w:lang w:val="zh-CN"/>
        </w:rPr>
        <w:t xml:space="preserve">.物业管理区域内车辆（机动车和非机动车）行驶、停放秩序及场所管理。</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eastAsia="zh-CN"/>
        </w:rPr>
      </w:pPr>
      <w:r>
        <w:rPr>
          <w:rFonts w:hint="default" w:ascii="Times New Roman" w:hAnsi="Times New Roman" w:cs="Times New Roman" w:eastAsiaTheme="minorEastAsia"/>
          <w:color w:val="auto"/>
          <w:sz w:val="24"/>
          <w:szCs w:val="24"/>
          <w:highlight w:val="none"/>
          <w:lang w:val="en-US" w:eastAsia="zh-CN"/>
        </w:rPr>
        <w:t xml:space="preserve">7</w:t>
      </w:r>
      <w:r>
        <w:rPr>
          <w:rFonts w:hint="default" w:ascii="Times New Roman" w:hAnsi="Times New Roman" w:cs="Times New Roman" w:eastAsiaTheme="minorEastAsia"/>
          <w:color w:val="auto"/>
          <w:sz w:val="24"/>
          <w:szCs w:val="24"/>
          <w:highlight w:val="none"/>
          <w:lang w:val="zh-CN" w:eastAsia="zh-CN"/>
        </w:rPr>
        <w:t xml:space="preserve">.物业服务企业应当协助社区“两委”、小区管理办公室做好物业管理区域内的安全生产工作，包括但不限于：安全宣传、安全隐患的摸排整治、消防安全演练、安全事故的应急处置以及巡查发现并及时劝阻、报告电动车上楼、高空抛物等隐患。</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eastAsia="zh-CN"/>
        </w:rPr>
      </w:pPr>
      <w:r>
        <w:rPr>
          <w:rFonts w:hint="default" w:ascii="Times New Roman" w:hAnsi="Times New Roman" w:cs="Times New Roman" w:eastAsiaTheme="minorEastAsia"/>
          <w:color w:val="auto"/>
          <w:sz w:val="24"/>
          <w:szCs w:val="24"/>
          <w:highlight w:val="none"/>
          <w:lang w:val="en-US" w:eastAsia="zh-CN"/>
        </w:rPr>
        <w:t xml:space="preserve">8.</w:t>
      </w:r>
      <w:r>
        <w:rPr>
          <w:rFonts w:hint="default" w:ascii="Times New Roman" w:hAnsi="Times New Roman" w:cs="Times New Roman" w:eastAsiaTheme="minorEastAsia"/>
          <w:color w:val="auto"/>
          <w:sz w:val="24"/>
          <w:szCs w:val="24"/>
          <w:highlight w:val="none"/>
          <w:lang w:val="zh-CN"/>
        </w:rPr>
        <w:t xml:space="preserve">社区办公用房</w:t>
      </w:r>
      <w:r>
        <w:rPr>
          <w:rFonts w:hint="default" w:ascii="Times New Roman" w:hAnsi="Times New Roman" w:cs="Times New Roman" w:eastAsiaTheme="minorEastAsia"/>
          <w:color w:val="auto"/>
          <w:sz w:val="24"/>
          <w:szCs w:val="24"/>
          <w:highlight w:val="none"/>
          <w:lang w:val="zh-CN" w:eastAsia="zh-CN"/>
        </w:rPr>
        <w:t xml:space="preserve">、活动用房的保洁工作和爱心洗衣房的日常运行工作（包含水电、耗材、人工）</w:t>
      </w:r>
      <w:r>
        <w:rPr>
          <w:rFonts w:hint="default" w:ascii="Times New Roman" w:hAnsi="Times New Roman" w:cs="Times New Roman" w:eastAsiaTheme="minorEastAsia"/>
          <w:color w:val="auto"/>
          <w:sz w:val="24"/>
          <w:szCs w:val="24"/>
          <w:highlight w:val="none"/>
          <w:lang w:val="zh-CN"/>
        </w:rPr>
        <w:t xml:space="preserve">。（上述区域据实开展作业，存在该区域的须落实相关工作</w:t>
      </w:r>
      <w:r>
        <w:rPr>
          <w:rFonts w:hint="default" w:ascii="Times New Roman" w:hAnsi="Times New Roman" w:cs="Times New Roman" w:eastAsiaTheme="minorEastAsia"/>
          <w:color w:val="auto"/>
          <w:sz w:val="24"/>
          <w:szCs w:val="24"/>
          <w:highlight w:val="none"/>
          <w:lang w:val="zh-CN" w:eastAsia="zh-CN"/>
        </w:rPr>
        <w:t xml:space="preserve">。</w:t>
      </w:r>
      <w:r>
        <w:rPr>
          <w:rFonts w:hint="default" w:ascii="Times New Roman" w:hAnsi="Times New Roman" w:cs="Times New Roman" w:eastAsiaTheme="minorEastAsia"/>
          <w:color w:val="auto"/>
          <w:sz w:val="24"/>
          <w:szCs w:val="24"/>
          <w:highlight w:val="none"/>
          <w:lang w:val="zh-CN"/>
        </w:rPr>
        <w:t xml:space="preserve">）</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rPr>
      </w:pPr>
      <w:r>
        <w:rPr>
          <w:rFonts w:hint="default" w:ascii="Times New Roman" w:hAnsi="Times New Roman" w:cs="Times New Roman" w:eastAsiaTheme="minorEastAsia"/>
          <w:color w:val="auto"/>
          <w:sz w:val="24"/>
          <w:szCs w:val="24"/>
          <w:highlight w:val="none"/>
          <w:lang w:val="en-US" w:eastAsia="zh-CN"/>
        </w:rPr>
        <w:t xml:space="preserve">9</w:t>
      </w:r>
      <w:r>
        <w:rPr>
          <w:rFonts w:hint="default" w:ascii="Times New Roman" w:hAnsi="Times New Roman" w:cs="Times New Roman" w:eastAsiaTheme="minorEastAsia"/>
          <w:color w:val="auto"/>
          <w:sz w:val="24"/>
          <w:szCs w:val="24"/>
          <w:highlight w:val="none"/>
          <w:lang w:val="zh-CN"/>
        </w:rPr>
        <w:t xml:space="preserve">.经营期间必须密切配合甲方及</w:t>
      </w:r>
      <w:r>
        <w:rPr>
          <w:rFonts w:hint="default" w:ascii="Times New Roman" w:hAnsi="Times New Roman" w:cs="Times New Roman" w:eastAsiaTheme="minorEastAsia"/>
          <w:color w:val="auto"/>
          <w:sz w:val="24"/>
          <w:szCs w:val="24"/>
          <w:highlight w:val="none"/>
          <w:lang w:val="en-US" w:eastAsia="zh-CN"/>
        </w:rPr>
        <w:t xml:space="preserve">村、社区“两委”、</w:t>
      </w:r>
      <w:r>
        <w:rPr>
          <w:rFonts w:hint="default" w:ascii="Times New Roman" w:hAnsi="Times New Roman" w:cs="Times New Roman" w:eastAsiaTheme="minorEastAsia"/>
          <w:color w:val="auto"/>
          <w:sz w:val="24"/>
          <w:szCs w:val="24"/>
          <w:highlight w:val="none"/>
          <w:lang w:val="zh-CN" w:eastAsia="zh-CN"/>
        </w:rPr>
        <w:t xml:space="preserve">小区管理办公室</w:t>
      </w:r>
      <w:r>
        <w:rPr>
          <w:rFonts w:hint="default" w:ascii="Times New Roman" w:hAnsi="Times New Roman" w:cs="Times New Roman" w:eastAsiaTheme="minorEastAsia"/>
          <w:color w:val="auto"/>
          <w:sz w:val="24"/>
          <w:szCs w:val="24"/>
          <w:highlight w:val="none"/>
          <w:lang w:val="zh-CN"/>
        </w:rPr>
        <w:t xml:space="preserve">开展各项中心工作</w:t>
      </w:r>
      <w:r>
        <w:rPr>
          <w:rFonts w:hint="default" w:ascii="Times New Roman" w:hAnsi="Times New Roman" w:cs="Times New Roman" w:eastAsiaTheme="minorEastAsia"/>
          <w:color w:val="auto"/>
          <w:sz w:val="24"/>
          <w:szCs w:val="24"/>
          <w:highlight w:val="none"/>
          <w:lang w:val="zh-CN" w:eastAsia="zh-CN"/>
        </w:rPr>
        <w:t xml:space="preserve">，</w:t>
      </w:r>
      <w:r>
        <w:rPr>
          <w:rFonts w:hint="default" w:ascii="Times New Roman" w:hAnsi="Times New Roman" w:cs="Times New Roman" w:eastAsiaTheme="minorEastAsia"/>
          <w:color w:val="auto"/>
          <w:sz w:val="24"/>
          <w:szCs w:val="24"/>
          <w:highlight w:val="none"/>
          <w:lang w:val="zh-CN"/>
        </w:rPr>
        <w:t xml:space="preserve">包括但不限于</w:t>
      </w:r>
      <w:r>
        <w:rPr>
          <w:rFonts w:hint="eastAsia" w:cs="Times New Roman" w:eastAsiaTheme="minorEastAsia"/>
          <w:color w:val="auto"/>
          <w:sz w:val="24"/>
          <w:szCs w:val="24"/>
          <w:highlight w:val="none"/>
          <w:lang w:val="zh-CN"/>
        </w:rPr>
        <w:t xml:space="preserve">，</w:t>
      </w:r>
      <w:r>
        <w:rPr>
          <w:rFonts w:hint="default" w:ascii="Times New Roman" w:hAnsi="Times New Roman" w:cs="Times New Roman" w:eastAsiaTheme="minorEastAsia"/>
          <w:color w:val="auto"/>
          <w:sz w:val="24"/>
          <w:szCs w:val="24"/>
          <w:highlight w:val="none"/>
          <w:lang w:val="zh-CN"/>
        </w:rPr>
        <w:t xml:space="preserve">小区内的宣传引导、氛围营造、矛盾化解、设施改造等。</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rPr>
      </w:pPr>
      <w:r>
        <w:rPr>
          <w:rFonts w:hint="default" w:ascii="Times New Roman" w:hAnsi="Times New Roman" w:cs="Times New Roman" w:eastAsiaTheme="minorEastAsia"/>
          <w:color w:val="auto"/>
          <w:sz w:val="24"/>
          <w:szCs w:val="24"/>
          <w:highlight w:val="none"/>
          <w:lang w:val="en-US" w:eastAsia="zh-CN"/>
        </w:rPr>
        <w:t xml:space="preserve">10</w:t>
      </w:r>
      <w:r>
        <w:rPr>
          <w:rFonts w:hint="default" w:ascii="Times New Roman" w:hAnsi="Times New Roman" w:cs="Times New Roman" w:eastAsiaTheme="minorEastAsia"/>
          <w:color w:val="auto"/>
          <w:sz w:val="24"/>
          <w:szCs w:val="24"/>
          <w:highlight w:val="none"/>
          <w:lang w:val="zh-CN"/>
        </w:rPr>
        <w:t xml:space="preserve">.配合甲方组织的选房和分房工作</w:t>
      </w:r>
      <w:r>
        <w:rPr>
          <w:rFonts w:hint="default" w:ascii="Times New Roman" w:hAnsi="Times New Roman" w:cs="Times New Roman" w:eastAsiaTheme="minorEastAsia"/>
          <w:color w:val="auto"/>
          <w:sz w:val="24"/>
          <w:szCs w:val="24"/>
          <w:highlight w:val="none"/>
          <w:lang w:val="zh-CN" w:eastAsia="zh-CN"/>
        </w:rPr>
        <w:t xml:space="preserve">期间秩序维护、押金收缴等工作</w:t>
      </w:r>
      <w:r>
        <w:rPr>
          <w:rFonts w:hint="default" w:ascii="Times New Roman" w:hAnsi="Times New Roman" w:cs="Times New Roman" w:eastAsiaTheme="minorEastAsia"/>
          <w:color w:val="auto"/>
          <w:sz w:val="24"/>
          <w:szCs w:val="24"/>
          <w:highlight w:val="none"/>
          <w:lang w:val="zh-CN"/>
        </w:rPr>
        <w:t xml:space="preserve">。</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rPr>
      </w:pPr>
      <w:r>
        <w:rPr>
          <w:rFonts w:hint="default" w:ascii="Times New Roman" w:hAnsi="Times New Roman" w:cs="Times New Roman" w:eastAsiaTheme="minorEastAsia"/>
          <w:color w:val="auto"/>
          <w:sz w:val="24"/>
          <w:szCs w:val="24"/>
          <w:highlight w:val="none"/>
          <w:lang w:val="en-US" w:eastAsia="zh-CN"/>
        </w:rPr>
        <w:t xml:space="preserve">11</w:t>
      </w:r>
      <w:r>
        <w:rPr>
          <w:rFonts w:hint="default" w:ascii="Times New Roman" w:hAnsi="Times New Roman" w:cs="Times New Roman" w:eastAsiaTheme="minorEastAsia"/>
          <w:color w:val="auto"/>
          <w:sz w:val="24"/>
          <w:szCs w:val="24"/>
          <w:highlight w:val="none"/>
          <w:lang w:val="zh-CN"/>
        </w:rPr>
        <w:t xml:space="preserve">.供水、供电、供气、通讯等专业单位在物业管理区域内对相关管线、设施维修养护时，进行必要的协调和管理。</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rPr>
      </w:pPr>
      <w:r>
        <w:rPr>
          <w:rFonts w:hint="default" w:ascii="Times New Roman" w:hAnsi="Times New Roman" w:cs="Times New Roman" w:eastAsiaTheme="minorEastAsia"/>
          <w:color w:val="auto"/>
          <w:sz w:val="24"/>
          <w:szCs w:val="24"/>
          <w:highlight w:val="none"/>
          <w:lang w:val="en-US" w:eastAsia="zh-CN"/>
        </w:rPr>
        <w:t xml:space="preserve">12</w:t>
      </w:r>
      <w:r>
        <w:rPr>
          <w:rFonts w:hint="default" w:ascii="Times New Roman" w:hAnsi="Times New Roman" w:cs="Times New Roman" w:eastAsiaTheme="minorEastAsia"/>
          <w:color w:val="auto"/>
          <w:sz w:val="24"/>
          <w:szCs w:val="24"/>
          <w:highlight w:val="none"/>
          <w:lang w:val="zh-CN"/>
        </w:rPr>
        <w:t xml:space="preserve">.物业档案资料的保管及有关物业管理服务费用的账务管理。</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 xml:space="preserve">13</w:t>
      </w:r>
      <w:r>
        <w:rPr>
          <w:rFonts w:hint="default" w:ascii="Times New Roman" w:hAnsi="Times New Roman" w:cs="Times New Roman" w:eastAsiaTheme="minorEastAsia"/>
          <w:color w:val="auto"/>
          <w:sz w:val="24"/>
          <w:szCs w:val="24"/>
          <w:highlight w:val="none"/>
          <w:lang w:val="zh-CN"/>
        </w:rPr>
        <w:t xml:space="preserve">.24小时保安管理，安置小区大门保安24小时值班，消控室24小时双人持证值班。</w:t>
      </w:r>
      <w:r/>
    </w:p>
    <w:p>
      <w:pPr>
        <w:ind w:left="0" w:right="0" w:firstLine="48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lang w:val="zh-CN"/>
        </w:rPr>
      </w:pPr>
      <w:r>
        <w:rPr>
          <w:rFonts w:hint="default" w:ascii="Times New Roman" w:hAnsi="Times New Roman" w:cs="Times New Roman" w:eastAsiaTheme="minorEastAsia"/>
          <w:color w:val="auto"/>
          <w:sz w:val="24"/>
          <w:szCs w:val="24"/>
          <w:highlight w:val="none"/>
          <w:lang w:val="zh-CN"/>
        </w:rPr>
        <w:t xml:space="preserve">1</w:t>
      </w:r>
      <w:r>
        <w:rPr>
          <w:rFonts w:hint="default" w:ascii="Times New Roman" w:hAnsi="Times New Roman" w:cs="Times New Roman" w:eastAsiaTheme="minorEastAsia"/>
          <w:color w:val="auto"/>
          <w:sz w:val="24"/>
          <w:szCs w:val="24"/>
          <w:highlight w:val="none"/>
          <w:lang w:val="en-US" w:eastAsia="zh-CN"/>
        </w:rPr>
        <w:t xml:space="preserve">4</w:t>
      </w:r>
      <w:r>
        <w:rPr>
          <w:rFonts w:hint="default" w:ascii="Times New Roman" w:hAnsi="Times New Roman" w:cs="Times New Roman" w:eastAsiaTheme="minorEastAsia"/>
          <w:color w:val="auto"/>
          <w:sz w:val="24"/>
          <w:szCs w:val="24"/>
          <w:highlight w:val="none"/>
          <w:lang w:val="zh-CN"/>
        </w:rPr>
        <w:t xml:space="preserve">.本项目不得整体转包或分包。</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pacing w:val="0"/>
          <w:sz w:val="24"/>
          <w:szCs w:val="24"/>
          <w:highlight w:val="none"/>
        </w:rPr>
        <w:suppressLineNumbers w:val="0"/>
      </w:pPr>
      <w:r>
        <w:rPr>
          <w:rFonts w:hint="default" w:ascii="Times New Roman" w:hAnsi="Times New Roman" w:cs="Times New Roman" w:eastAsiaTheme="minorEastAsia"/>
          <w:color w:val="auto"/>
          <w:sz w:val="24"/>
          <w:szCs w:val="24"/>
          <w:highlight w:val="none"/>
        </w:rPr>
        <w:t xml:space="preserve">1</w:t>
      </w:r>
      <w:r>
        <w:rPr>
          <w:rFonts w:hint="default" w:ascii="Times New Roman" w:hAnsi="Times New Roman" w:cs="Times New Roman" w:eastAsiaTheme="minorEastAsia"/>
          <w:color w:val="auto"/>
          <w:sz w:val="24"/>
          <w:szCs w:val="24"/>
          <w:highlight w:val="none"/>
          <w:lang w:val="en-US" w:eastAsia="zh-CN"/>
        </w:rPr>
        <w:t xml:space="preserve">5</w:t>
      </w:r>
      <w:r>
        <w:rPr>
          <w:rFonts w:hint="default" w:ascii="Times New Roman" w:hAnsi="Times New Roman" w:cs="Times New Roman" w:eastAsiaTheme="minorEastAsia"/>
          <w:color w:val="auto"/>
          <w:sz w:val="24"/>
          <w:szCs w:val="24"/>
          <w:highlight w:val="none"/>
        </w:rPr>
        <w:t xml:space="preserve">.</w:t>
      </w:r>
      <w:r>
        <w:rPr>
          <w:rFonts w:hint="default" w:ascii="Times New Roman" w:hAnsi="Times New Roman" w:cs="Times New Roman" w:eastAsiaTheme="minorEastAsia"/>
          <w:color w:val="auto"/>
          <w:sz w:val="24"/>
          <w:szCs w:val="24"/>
          <w:highlight w:val="none"/>
          <w:lang w:val="zh-CN"/>
        </w:rPr>
        <w:t xml:space="preserve">其他未尽事宜。</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color w:val="auto"/>
          <w:sz w:val="24"/>
          <w:szCs w:val="24"/>
          <w:highlight w:val="none"/>
        </w:rPr>
        <w:suppressLineNumbers w:val="0"/>
      </w:pPr>
      <w:r>
        <w:rPr>
          <w:rFonts w:hint="default" w:ascii="Times New Roman" w:hAnsi="Times New Roman" w:cs="Times New Roman" w:eastAsiaTheme="minorEastAsia"/>
          <w:b/>
          <w:bCs/>
          <w:color w:val="auto"/>
          <w:sz w:val="24"/>
          <w:szCs w:val="24"/>
          <w:highlight w:val="none"/>
          <w:lang w:val="en-US" w:eastAsia="zh-CN" w:bidi="ar"/>
        </w:rPr>
        <w:t xml:space="preserve">第三条：人员配置</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（包一：丰产新村）</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应派驻至少29名符合用工条件的物业服务人员，其中至少包括</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1.项目经理（1名）：年龄男60周岁（含）以下、女50周岁（含）以下（须提供身份证以及供应商为其缴纳的当月或上月社保证明的复印件）；</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2.消控室值班人员（4名）：具备国家消防救援局与人力资源和社会保障部联合颁发的中级（含）以上消防设施操作员职业资格证书（须提供相关证书以及供应商为其缴纳的当月或上月社保证明的复印件）；</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3.水电维修工（1名）：具有应急管理部门颁发的“低压电工作业”资格的特种作业操作证（须提供相关证书以及供应商为其缴纳的当月或上月社保证明的复印件）；</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4.电梯安全管理人员（2名）：具备市场监督管理部门颁发的特种设备安全管理和作业人员证书（须提供相关证书以及供应商为其缴纳的当月或上月社保证明的复印件）；</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5.保安（10名）：具备由公安</w:t>
      </w:r>
      <w:r>
        <w:rPr>
          <w:rFonts w:hint="eastAsia" w:cs="Times New Roman" w:eastAsiaTheme="minorEastAsia"/>
          <w:color w:val="auto"/>
          <w:sz w:val="24"/>
          <w:szCs w:val="24"/>
          <w:highlight w:val="none"/>
          <w:lang w:val="en-US" w:eastAsia="zh-CN" w:bidi="ar"/>
        </w:rPr>
        <w:t xml:space="preserve">部门</w:t>
      </w:r>
      <w:r>
        <w:rPr>
          <w:rFonts w:hint="default" w:ascii="Times New Roman" w:hAnsi="Times New Roman" w:cs="Times New Roman" w:eastAsiaTheme="minorEastAsia"/>
          <w:color w:val="auto"/>
          <w:sz w:val="24"/>
          <w:szCs w:val="24"/>
          <w:highlight w:val="none"/>
          <w:lang w:val="en-US" w:eastAsia="zh-CN" w:bidi="ar"/>
        </w:rPr>
        <w:t xml:space="preserve">颁发的保安员证（须提供相关证书复印件）；</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6.其余人员。供应商承诺除上述人员外，在合同履行期间按照采购需求中明确的人员</w:t>
      </w:r>
      <w:r>
        <w:rPr>
          <w:rFonts w:hint="eastAsia" w:cs="Times New Roman" w:eastAsiaTheme="minorEastAsia"/>
          <w:color w:val="auto"/>
          <w:sz w:val="24"/>
          <w:szCs w:val="24"/>
          <w:highlight w:val="none"/>
          <w:lang w:val="en-US" w:eastAsia="zh-CN" w:bidi="ar"/>
        </w:rPr>
        <w:t xml:space="preserve">及服务</w:t>
      </w:r>
      <w:r>
        <w:rPr>
          <w:rFonts w:hint="default" w:ascii="Times New Roman" w:hAnsi="Times New Roman" w:cs="Times New Roman" w:eastAsiaTheme="minorEastAsia"/>
          <w:color w:val="auto"/>
          <w:sz w:val="24"/>
          <w:szCs w:val="24"/>
          <w:highlight w:val="none"/>
          <w:lang w:val="en-US" w:eastAsia="zh-CN" w:bidi="ar"/>
        </w:rPr>
        <w:t xml:space="preserve">要求委派对应的服务人员（供应商提供承诺函）。</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（包二：南园新村）</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应派驻至少15名符合用工条件的物业服务人员，其中至少包括</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1.项目经理（1名）：年龄男60周岁（含）以下、女50周岁（含）以下（须提供身份证以及供应商为其缴纳的当月或上月社保证明的复印件）；</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2.水电维修工（1名）：具有应急管理部门颁发的“低压电工作业”资格的特种作业操作证（须提供相关证书以及供应商为其缴纳的当月或上月社保证明的复印件）；</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3.保安（8名）：具备由公安</w:t>
      </w:r>
      <w:r>
        <w:rPr>
          <w:rFonts w:hint="eastAsia" w:cs="Times New Roman" w:eastAsiaTheme="minorEastAsia"/>
          <w:color w:val="auto"/>
          <w:sz w:val="24"/>
          <w:szCs w:val="24"/>
          <w:highlight w:val="none"/>
          <w:lang w:val="en-US" w:eastAsia="zh-CN" w:bidi="ar"/>
        </w:rPr>
        <w:t xml:space="preserve">部门</w:t>
      </w:r>
      <w:r>
        <w:rPr>
          <w:rFonts w:hint="default" w:ascii="Times New Roman" w:hAnsi="Times New Roman" w:cs="Times New Roman" w:eastAsiaTheme="minorEastAsia"/>
          <w:color w:val="auto"/>
          <w:sz w:val="24"/>
          <w:szCs w:val="24"/>
          <w:highlight w:val="none"/>
          <w:lang w:val="en-US" w:eastAsia="zh-CN" w:bidi="ar"/>
        </w:rPr>
        <w:t xml:space="preserve">颁发的保安员证（须提供相关证书复印件）；</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4.其余人员。供应商承诺除上述人员外，在合同履行期间按照采购需求中明确的人员</w:t>
      </w:r>
      <w:r>
        <w:rPr>
          <w:rFonts w:hint="eastAsia" w:cs="Times New Roman" w:eastAsiaTheme="minorEastAsia"/>
          <w:color w:val="auto"/>
          <w:sz w:val="24"/>
          <w:szCs w:val="24"/>
          <w:highlight w:val="none"/>
          <w:lang w:val="en-US" w:eastAsia="zh-CN" w:bidi="ar"/>
        </w:rPr>
        <w:t xml:space="preserve">及服务</w:t>
      </w:r>
      <w:r>
        <w:rPr>
          <w:rFonts w:hint="default" w:ascii="Times New Roman" w:hAnsi="Times New Roman" w:cs="Times New Roman" w:eastAsiaTheme="minorEastAsia"/>
          <w:color w:val="auto"/>
          <w:sz w:val="24"/>
          <w:szCs w:val="24"/>
          <w:highlight w:val="none"/>
          <w:lang w:val="en-US" w:eastAsia="zh-CN" w:bidi="ar"/>
        </w:rPr>
        <w:t xml:space="preserve">要求委派对应的服务人员（供应商提供承诺函）。</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注：为了保障超过法定退休年龄的劳动者的合法权益，明确用人单位与劳动者的权利和义务，用人单位需参照《超龄劳动者基本权益保障暂行规定》执行。</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color w:val="auto"/>
          <w:sz w:val="24"/>
          <w:szCs w:val="24"/>
          <w:highlight w:val="none"/>
        </w:rPr>
        <w:suppressLineNumbers w:val="0"/>
      </w:pPr>
      <w:r>
        <w:rPr>
          <w:rFonts w:hint="default" w:ascii="Times New Roman" w:hAnsi="Times New Roman" w:cs="Times New Roman" w:eastAsiaTheme="minorEastAsia"/>
          <w:b/>
          <w:bCs/>
          <w:color w:val="auto"/>
          <w:sz w:val="24"/>
          <w:szCs w:val="24"/>
          <w:highlight w:val="none"/>
          <w:lang w:val="en-US" w:eastAsia="zh-CN" w:bidi="ar"/>
        </w:rPr>
        <w:t xml:space="preserve">第四条：物业管理服务的要求</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详见合同附件</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color w:val="auto"/>
          <w:sz w:val="24"/>
          <w:szCs w:val="24"/>
          <w:highlight w:val="none"/>
        </w:rPr>
        <w:suppressLineNumbers w:val="0"/>
      </w:pPr>
      <w:r>
        <w:rPr>
          <w:rFonts w:hint="default" w:ascii="Times New Roman" w:hAnsi="Times New Roman" w:cs="Times New Roman" w:eastAsiaTheme="minorEastAsia"/>
          <w:b/>
          <w:bCs/>
          <w:color w:val="auto"/>
          <w:sz w:val="24"/>
          <w:szCs w:val="24"/>
          <w:highlight w:val="none"/>
          <w:lang w:val="en-US" w:eastAsia="zh-CN" w:bidi="ar"/>
        </w:rPr>
        <w:t xml:space="preserve">第五条：物业管理服务时间</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根据物业服务招标文件、投标报价文件和</w:t>
      </w:r>
      <w:r>
        <w:rPr>
          <w:rFonts w:hint="eastAsia" w:cs="Times New Roman" w:eastAsiaTheme="minorEastAsia"/>
          <w:color w:val="auto"/>
          <w:sz w:val="24"/>
          <w:szCs w:val="24"/>
          <w:highlight w:val="none"/>
          <w:lang w:val="en-US" w:eastAsia="zh-CN" w:bidi="ar"/>
        </w:rPr>
        <w:t xml:space="preserve">成交</w:t>
      </w:r>
      <w:r>
        <w:rPr>
          <w:rFonts w:hint="default" w:ascii="Times New Roman" w:hAnsi="Times New Roman" w:cs="Times New Roman" w:eastAsiaTheme="minorEastAsia"/>
          <w:color w:val="auto"/>
          <w:sz w:val="24"/>
          <w:szCs w:val="24"/>
          <w:highlight w:val="none"/>
          <w:lang w:val="en-US" w:eastAsia="zh-CN" w:bidi="ar"/>
        </w:rPr>
        <w:t xml:space="preserve">通知书，签订合同。服务期限：三年，</w:t>
      </w:r>
      <w:r>
        <w:rPr>
          <w:rFonts w:hint="eastAsia" w:cs="Times New Roman" w:eastAsiaTheme="minorEastAsia"/>
          <w:color w:val="auto"/>
          <w:sz w:val="24"/>
          <w:szCs w:val="24"/>
          <w:highlight w:val="none"/>
          <w:lang w:val="en-US" w:eastAsia="zh-CN" w:bidi="ar"/>
        </w:rPr>
        <w:t xml:space="preserve">合同一年一签</w:t>
      </w:r>
      <w:r>
        <w:rPr>
          <w:rFonts w:hint="default" w:ascii="Times New Roman" w:hAnsi="Times New Roman" w:cs="Times New Roman" w:eastAsiaTheme="minorEastAsia"/>
          <w:color w:val="auto"/>
          <w:sz w:val="24"/>
          <w:szCs w:val="24"/>
          <w:highlight w:val="none"/>
          <w:lang w:val="en-US" w:eastAsia="zh-CN" w:bidi="ar"/>
        </w:rPr>
        <w:t xml:space="preserve">（采用季度考核，首个季度为试用期，如在试用期内未通过考核，甲方有权解除合同。年度考核合格后方可续签下一年合同，连续承包服务期不得超过三年。如年度考核不合格，甲方有权单方面终止服务合同）。时间自   年  月   日至   年   月   日。</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color w:val="auto"/>
          <w:sz w:val="24"/>
          <w:szCs w:val="24"/>
          <w:highlight w:val="none"/>
        </w:rPr>
        <w:suppressLineNumbers w:val="0"/>
      </w:pPr>
      <w:r>
        <w:rPr>
          <w:rFonts w:hint="default" w:ascii="Times New Roman" w:hAnsi="Times New Roman" w:cs="Times New Roman" w:eastAsiaTheme="minorEastAsia"/>
          <w:b/>
          <w:bCs/>
          <w:color w:val="auto"/>
          <w:sz w:val="24"/>
          <w:szCs w:val="24"/>
          <w:highlight w:val="none"/>
          <w:lang w:val="en-US" w:eastAsia="zh-CN" w:bidi="ar"/>
        </w:rPr>
        <w:t xml:space="preserve">第六条：物业管理服务费及结算方式</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1.物业管理服务费单价为：</w:t>
      </w:r>
      <w:r>
        <w:rPr>
          <w:rFonts w:hint="default" w:ascii="Times New Roman" w:hAnsi="Times New Roman" w:cs="Times New Roman" w:eastAsiaTheme="minorEastAsia"/>
          <w:color w:val="auto"/>
          <w:sz w:val="24"/>
          <w:szCs w:val="24"/>
          <w:highlight w:val="none"/>
          <w:u w:val="single"/>
          <w:lang w:val="en-US" w:eastAsia="zh-CN" w:bidi="ar"/>
        </w:rPr>
        <w:t xml:space="preserve">     </w:t>
      </w:r>
      <w:r>
        <w:rPr>
          <w:rFonts w:hint="default" w:ascii="Times New Roman" w:hAnsi="Times New Roman" w:cs="Times New Roman" w:eastAsiaTheme="minorEastAsia"/>
          <w:color w:val="auto"/>
          <w:sz w:val="24"/>
          <w:szCs w:val="24"/>
          <w:highlight w:val="none"/>
          <w:lang w:val="en-US" w:eastAsia="zh-CN" w:bidi="ar"/>
        </w:rPr>
        <w:t xml:space="preserve">元/平方米/月，年度的物业管理服务费用为：</w:t>
      </w:r>
      <w:r>
        <w:rPr>
          <w:rFonts w:hint="default" w:ascii="Times New Roman" w:hAnsi="Times New Roman" w:cs="Times New Roman" w:eastAsiaTheme="minorEastAsia"/>
          <w:bCs/>
          <w:color w:val="auto"/>
          <w:sz w:val="24"/>
          <w:szCs w:val="24"/>
          <w:highlight w:val="none"/>
          <w:u w:val="single"/>
          <w:lang w:val="en-US" w:eastAsia="zh-CN" w:bidi="ar"/>
        </w:rPr>
        <w:t xml:space="preserve">（</w:t>
      </w:r>
      <w:r>
        <w:rPr>
          <w:rFonts w:hint="default" w:ascii="Times New Roman" w:hAnsi="Times New Roman" w:cs="Times New Roman" w:eastAsiaTheme="minorEastAsia"/>
          <w:color w:val="auto"/>
          <w:sz w:val="24"/>
          <w:szCs w:val="24"/>
          <w:highlight w:val="none"/>
          <w:u w:val="single"/>
          <w:lang w:val="en-US" w:eastAsia="zh-CN" w:bidi="ar"/>
        </w:rPr>
        <w:t xml:space="preserve">¥：            </w:t>
      </w:r>
      <w:r>
        <w:rPr>
          <w:rFonts w:hint="default" w:ascii="Times New Roman" w:hAnsi="Times New Roman" w:cs="Times New Roman" w:eastAsiaTheme="minorEastAsia"/>
          <w:bCs/>
          <w:color w:val="auto"/>
          <w:sz w:val="24"/>
          <w:szCs w:val="24"/>
          <w:highlight w:val="none"/>
          <w:u w:val="single"/>
          <w:lang w:val="en-US" w:eastAsia="zh-CN" w:bidi="ar"/>
        </w:rPr>
        <w:t xml:space="preserve">元）</w:t>
      </w:r>
      <w:r>
        <w:rPr>
          <w:rFonts w:hint="default" w:ascii="Times New Roman" w:hAnsi="Times New Roman" w:cs="Times New Roman" w:eastAsiaTheme="minorEastAsia"/>
          <w:bCs/>
          <w:color w:val="auto"/>
          <w:sz w:val="24"/>
          <w:szCs w:val="24"/>
          <w:highlight w:val="none"/>
          <w:lang w:val="en-US" w:eastAsia="zh-CN" w:bidi="ar"/>
        </w:rPr>
        <w:t xml:space="preserve">。</w:t>
      </w:r>
      <w:r>
        <w:rPr>
          <w:rFonts w:hint="default" w:ascii="Times New Roman" w:hAnsi="Times New Roman" w:cs="Times New Roman" w:eastAsiaTheme="minorEastAsia"/>
          <w:color w:val="auto"/>
          <w:sz w:val="24"/>
          <w:szCs w:val="24"/>
          <w:highlight w:val="none"/>
          <w:lang w:val="en-US" w:eastAsia="zh-CN" w:bidi="ar"/>
        </w:rPr>
        <w:t xml:space="preserve">续签合同时，如因国家对员工社会保险、最低工资标准予以政策性调整，由乙方考虑所有风险包含在合同价中，与甲方无关，结算时不作调整；如因甲方对服务需求的工作内容增减、服务区域扩大或减小，则双方友好协商，对增减的费用另行签订补充协议。补充协议与本合同具有同等法律效力。</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实际结算费用时，实际物业服务费=合同单价（元/平方米/月）×月份数×总建筑面积×考核得分率。</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2.</w:t>
      </w:r>
      <w:r>
        <w:rPr>
          <w:rFonts w:hint="default" w:ascii="Times New Roman" w:hAnsi="Times New Roman" w:cs="Times New Roman" w:eastAsiaTheme="minorEastAsia"/>
          <w:b/>
          <w:bCs/>
          <w:color w:val="auto"/>
          <w:sz w:val="24"/>
          <w:szCs w:val="24"/>
          <w:highlight w:val="none"/>
          <w:lang w:val="en-US" w:eastAsia="zh-CN" w:bidi="ar"/>
        </w:rPr>
        <w:t xml:space="preserve">付款方式：</w:t>
      </w:r>
      <w:r>
        <w:rPr>
          <w:rFonts w:hint="default" w:ascii="Times New Roman" w:hAnsi="Times New Roman" w:cs="Times New Roman" w:eastAsiaTheme="minorEastAsia"/>
          <w:color w:val="auto"/>
          <w:sz w:val="24"/>
          <w:szCs w:val="24"/>
          <w:highlight w:val="none"/>
          <w:lang w:val="en-US" w:eastAsia="zh-CN" w:bidi="ar"/>
        </w:rPr>
        <w:t xml:space="preserve">甲方根据相关要求，制定管理标准和考核细则。物业服务管理要求标准和考核细则为本合同附件，与本合同具有同等法律效力。乙方必须无条件接受甲方考核。正式合同签订后付总价的10%，正式进场后每季度考核一次，按季度支付物业管理服务费用，在每季度最后一个月的25日以前根据服务合同、考核办法及考核结果拨付上季度的物业管理服务费用。</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乙方考核得分按向下取整方式计算（即舍去小数点后尾数，取整数值）。取整后得分在95分及以上的，按上季度物业管理服务费应付金额的100%支付；取整后得分在85分（含）至95分（不含）之间的，每低1分，少付上季度物业管理服务费应付金额的1%（例如：取整后得分为94分，支付99%；得分为93分，支付98%，以此类推）；取整后得分低于85分的，暂缓支付上季度物业管理服务费，15日内，经整改后由甲方再次考核，考核得分在95分以上的，支付上季度物业管理服务费应付金额的85%；若乙方一年中两次得分在85分以下，将终止合同。</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color w:val="auto"/>
          <w:sz w:val="24"/>
          <w:szCs w:val="24"/>
          <w:highlight w:val="none"/>
        </w:rPr>
        <w:suppressLineNumbers w:val="0"/>
      </w:pPr>
      <w:r>
        <w:rPr>
          <w:rFonts w:hint="default" w:ascii="Times New Roman" w:hAnsi="Times New Roman" w:cs="Times New Roman" w:eastAsiaTheme="minorEastAsia"/>
          <w:b/>
          <w:bCs/>
          <w:color w:val="auto"/>
          <w:sz w:val="24"/>
          <w:szCs w:val="24"/>
          <w:highlight w:val="none"/>
          <w:lang w:val="en-US" w:eastAsia="zh-CN" w:bidi="ar"/>
        </w:rPr>
        <w:t xml:space="preserve">第七条：甲方权利义务</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1.甲方负责对乙方的工作实施检查和管理，依据考核细则进行考核，并与乙方商量解决有关问题。对不符合质量标准的管理服务，要求乙方整改落实到位。如乙方派出的管理、服务人员工作达不到服务、纪律等要求，甲方可通知乙方立即更换人员。如因乙方不能按约定完成管理服务目标或管理不善造成甲方重大经济损失，甲方有权终止合同。</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2.负责向乙方提供物业管理工作所必需的资料。</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3.甲方根据物业工作实际需要提供相应的物业管理用房，交物业管理人员使用。</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4.协助乙方做好有关物业项目管理的宣传教育，协调乙方与地方行政管理部门的关系。</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5.根据考核情况按时支付当期应付的物业服务费。</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6.甲方有权按照合同约定和法律规定的标准规范，对乙方实施的物业管理服务提出修改和变更建议。</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7.负责协调、处理、解决本合同生效前发生的遗留问题，便于乙方开展工作。</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8.法律、法规规定由甲方承担的其他责任。</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color w:val="auto"/>
          <w:sz w:val="24"/>
          <w:szCs w:val="24"/>
          <w:highlight w:val="none"/>
        </w:rPr>
        <w:suppressLineNumbers w:val="0"/>
      </w:pPr>
      <w:r>
        <w:rPr>
          <w:rFonts w:hint="default" w:ascii="Times New Roman" w:hAnsi="Times New Roman" w:cs="Times New Roman" w:eastAsiaTheme="minorEastAsia"/>
          <w:b/>
          <w:bCs/>
          <w:color w:val="auto"/>
          <w:sz w:val="24"/>
          <w:szCs w:val="24"/>
          <w:highlight w:val="none"/>
          <w:lang w:val="en-US" w:eastAsia="zh-CN" w:bidi="ar"/>
        </w:rPr>
        <w:t xml:space="preserve">第八条：乙方权利义务</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1.接受甲方的管理、检查、奖励与处罚规定。</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2.在承接物业时，对物业档案资料、共用部位等进行查验，并做好书面确认工作；做好物业资料建档工作。</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3.在本物业管理区域设立专门机构负责物业的日常管理工作，并按合同要求委派符合岗位资格要求的人员履行本合同。</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4.乙方依据法律法规的规定，根据甲方的委托及实际情况，按照合同约定的服务标准对本物业项目实施服务，接受甲方检查、管理和监督。及时与甲方沟通，接受甲方的合理化建议。及时向甲方通报本物业管理区域有关物业管理的重大事项，不断提升物业管理服务质量。</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5.协助甲方做好本物业管理区域的安全生产和事故防范工作，对从事本物业的从业人员进行安全操作培训；遵守有关环境保护和职业健康管理职责要求。根据甲方要求，采取事故防范措施，制定应急预案，组织演练，避免发生安全事故。发生安全事故，乙方在采取应急措施的同时，及时向甲方报告，保护好现场、协助做好处置工作。</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6.依据合同约定设置项目管理机构和人员，统一着装，挂牌服务，文明操作，爱护公共财产，勤勉尽责，如有损坏照价赔偿。</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7.保证从事本物业管理服务项目的人员具备相应的合法有效的职业资格和应有的素质，有关服务工种的人员，必须按国家规定具备相关工种上岗证条件。负责对物业管理人员进行岗前培训和职业道德、业务技能培训教育，尤其要加强安全教育，严格遵守甲方有关规章制度。</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8.在员工管理制度中明确保密规定。除了是为服务本物业或履行其在本合同中的规定的义务之外，乙方在未取得甲方书面同意的情况下，不得向第三方透露甲方的工作信息和资料。</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9.乙方聘请的物业工作人员与乙方直接发生劳动或劳务合同关系，与甲方无关，在物业服务过程中发生的安全事故或其他意外事件产生的责任均由乙方自行承担。</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color w:val="auto"/>
          <w:sz w:val="24"/>
          <w:szCs w:val="24"/>
          <w:highlight w:val="none"/>
        </w:rPr>
        <w:suppressLineNumbers w:val="0"/>
      </w:pPr>
      <w:r>
        <w:rPr>
          <w:rFonts w:hint="default" w:ascii="Times New Roman" w:hAnsi="Times New Roman" w:cs="Times New Roman" w:eastAsiaTheme="minorEastAsia"/>
          <w:b/>
          <w:bCs w:val="0"/>
          <w:color w:val="auto"/>
          <w:sz w:val="24"/>
          <w:szCs w:val="24"/>
          <w:highlight w:val="none"/>
          <w:lang w:val="en-US" w:eastAsia="zh-CN" w:bidi="ar"/>
        </w:rPr>
        <w:t xml:space="preserve">第九条：</w:t>
      </w:r>
      <w:r>
        <w:rPr>
          <w:rFonts w:hint="default" w:ascii="Times New Roman" w:hAnsi="Times New Roman" w:cs="Times New Roman" w:eastAsiaTheme="minorEastAsia"/>
          <w:b/>
          <w:bCs/>
          <w:color w:val="auto"/>
          <w:sz w:val="24"/>
          <w:szCs w:val="24"/>
          <w:highlight w:val="none"/>
          <w:lang w:val="en-US" w:eastAsia="zh-CN" w:bidi="ar"/>
        </w:rPr>
        <w:t xml:space="preserve">履约保证金</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乙方与甲方签订采购合同前，须提交履约保证金，否则视为放弃</w:t>
      </w:r>
      <w:r>
        <w:rPr>
          <w:rFonts w:hint="eastAsia" w:cs="Times New Roman" w:eastAsiaTheme="minorEastAsia"/>
          <w:color w:val="auto"/>
          <w:sz w:val="24"/>
          <w:szCs w:val="24"/>
          <w:highlight w:val="none"/>
          <w:lang w:val="en-US" w:eastAsia="zh-CN" w:bidi="ar"/>
        </w:rPr>
        <w:t xml:space="preserve">成交资格</w:t>
      </w:r>
      <w:r>
        <w:rPr>
          <w:rFonts w:hint="default" w:ascii="Times New Roman" w:hAnsi="Times New Roman" w:cs="Times New Roman" w:eastAsiaTheme="minorEastAsia"/>
          <w:color w:val="auto"/>
          <w:sz w:val="24"/>
          <w:szCs w:val="24"/>
          <w:highlight w:val="none"/>
          <w:lang w:val="en-US" w:eastAsia="zh-CN" w:bidi="ar"/>
        </w:rPr>
        <w:t xml:space="preserve">，给甲方造成损失的，乙方还应当对损失予以赔偿。履约保证金的形式：银行电汇或网上银行支付、支票、汇票、本票或者金融机构、担保机构出具的保函等法律法规允许的形式。</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履约保证金的金额：</w:t>
      </w:r>
      <w:r>
        <w:rPr>
          <w:rFonts w:hint="eastAsia" w:cs="Times New Roman" w:eastAsiaTheme="minorEastAsia"/>
          <w:color w:val="auto"/>
          <w:sz w:val="24"/>
          <w:szCs w:val="24"/>
          <w:highlight w:val="none"/>
          <w:lang w:val="en-US" w:eastAsia="zh-CN" w:bidi="ar"/>
        </w:rPr>
        <w:t xml:space="preserve">成交</w:t>
      </w:r>
      <w:r>
        <w:rPr>
          <w:rFonts w:hint="default" w:ascii="Times New Roman" w:hAnsi="Times New Roman" w:cs="Times New Roman" w:eastAsiaTheme="minorEastAsia"/>
          <w:color w:val="auto"/>
          <w:sz w:val="24"/>
          <w:szCs w:val="24"/>
          <w:highlight w:val="none"/>
          <w:lang w:val="en-US" w:eastAsia="zh-CN" w:bidi="ar"/>
        </w:rPr>
        <w:t xml:space="preserve">价的10％，合同履约结束且乙方无违约后无息退还。</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如因乙方违约产生违约责任或对甲方产生损失的，可从履约保证金中直接扣除。</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val="0"/>
          <w:color w:val="auto"/>
          <w:sz w:val="24"/>
          <w:szCs w:val="24"/>
          <w:highlight w:val="none"/>
        </w:rPr>
        <w:suppressLineNumbers w:val="0"/>
      </w:pPr>
      <w:r>
        <w:rPr>
          <w:rFonts w:hint="default" w:ascii="Times New Roman" w:hAnsi="Times New Roman" w:cs="Times New Roman" w:eastAsiaTheme="minorEastAsia"/>
          <w:b/>
          <w:bCs w:val="0"/>
          <w:color w:val="auto"/>
          <w:sz w:val="24"/>
          <w:szCs w:val="24"/>
          <w:highlight w:val="none"/>
          <w:lang w:val="en-US" w:eastAsia="zh-CN" w:bidi="ar"/>
        </w:rPr>
        <w:t xml:space="preserve">第十条：其他事项</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1.物业管理范围内的财产、物资发生毁损被盗的，乙方应按照有权部门的处理意见，承担相应的赔偿责任；乙方如果发生责任事故，给甲方带来不良影响的或者因乙方工作不力，影响甲方正常工作秩序的，甲方有权终止本合同，乙方须赔偿由此而给甲方带来的相应损失；乙方须与所有聘用人员签订劳动合同，并依法为聘用人员缴纳社会保险，聘用人员无论是在服务单位还是来去途中发生人身伤亡或其他事故，均由乙方承担责任，与甲方无关。</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2.乙方进场前，由所在社区牵头，协同社区（小区）共建党支部、规划建设部对小区公用设施进行清点确认使用状况。乙方负责对共用设施的巡查责任，如发生因管理不当造成的损坏，乙方应当及时修复，否则应予赔偿相应损失。物业管理区域内共用设施设备一般包括电梯、天线、消防设施、楼道照明、路灯、道路、绿地、水泵、非经营性车场车库、监控安防设施、公益性文体设施、物业服务用房和共用设施设备使用的房屋等。</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3.具体要求按照《江苏省物业管理条例》《江苏省物业服务收费管理办法》《泰兴市物业服务收费管理实施细则》等有关规定执行。</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4.坚决杜绝应该</w:t>
      </w:r>
      <w:r>
        <w:rPr>
          <w:rFonts w:hint="eastAsia" w:cs="Times New Roman" w:eastAsiaTheme="minorEastAsia"/>
          <w:color w:val="auto"/>
          <w:sz w:val="24"/>
          <w:szCs w:val="24"/>
          <w:highlight w:val="none"/>
          <w:lang w:val="en-US" w:eastAsia="zh-CN" w:bidi="ar"/>
        </w:rPr>
        <w:t xml:space="preserve">由</w:t>
      </w:r>
      <w:r>
        <w:rPr>
          <w:rFonts w:hint="default" w:ascii="Times New Roman" w:hAnsi="Times New Roman" w:cs="Times New Roman" w:eastAsiaTheme="minorEastAsia"/>
          <w:color w:val="auto"/>
          <w:sz w:val="24"/>
          <w:szCs w:val="24"/>
          <w:highlight w:val="none"/>
          <w:lang w:val="en-US" w:eastAsia="zh-CN" w:bidi="ar"/>
        </w:rPr>
        <w:t xml:space="preserve">物业公司承担的小维修工程拖成大维修工程，一旦发现弄虚作假行为，将在每季度考核分数中体现，并上报相关部门。</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val="0"/>
          <w:color w:val="auto"/>
          <w:sz w:val="24"/>
          <w:szCs w:val="24"/>
          <w:highlight w:val="none"/>
        </w:rPr>
        <w:suppressLineNumbers w:val="0"/>
      </w:pPr>
      <w:r>
        <w:rPr>
          <w:rFonts w:hint="default" w:ascii="Times New Roman" w:hAnsi="Times New Roman" w:cs="Times New Roman" w:eastAsiaTheme="minorEastAsia"/>
          <w:b/>
          <w:bCs w:val="0"/>
          <w:color w:val="auto"/>
          <w:sz w:val="24"/>
          <w:szCs w:val="24"/>
          <w:highlight w:val="none"/>
          <w:lang w:val="en-US" w:eastAsia="zh-CN" w:bidi="ar"/>
        </w:rPr>
        <w:t xml:space="preserve">第十一条：违约责任</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1.乙方违反本合同的约定，未能达到约定的管理服务目标，甲方有权要求乙方在3日内整改并达到合同约定；逾期未整改的，或整改后不符合甲方要求的，甲方有权单方解除合同，并要求乙方承担年服务费10%的违约金，给甲方造成损失的乙方还应赔偿损失。</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2.乙方必须自行完成本物业项目的服务内容，不得存在转包、分包、借用资质或挂靠等现象；乙方在投标文件中所提交的专业人员上岗资格证书及一切证明材料都必须是真实、有效、合法的，不得弄虚作假，骗取</w:t>
      </w:r>
      <w:r>
        <w:rPr>
          <w:rFonts w:hint="eastAsia" w:cs="Times New Roman" w:eastAsiaTheme="minorEastAsia"/>
          <w:color w:val="auto"/>
          <w:sz w:val="24"/>
          <w:szCs w:val="24"/>
          <w:highlight w:val="none"/>
          <w:lang w:val="en-US" w:eastAsia="zh-CN" w:bidi="ar"/>
        </w:rPr>
        <w:t xml:space="preserve">成交</w:t>
      </w:r>
      <w:r>
        <w:rPr>
          <w:rFonts w:hint="default" w:ascii="Times New Roman" w:hAnsi="Times New Roman" w:cs="Times New Roman" w:eastAsiaTheme="minorEastAsia"/>
          <w:color w:val="auto"/>
          <w:sz w:val="24"/>
          <w:szCs w:val="24"/>
          <w:highlight w:val="none"/>
          <w:lang w:val="en-US" w:eastAsia="zh-CN" w:bidi="ar"/>
        </w:rPr>
        <w:t xml:space="preserve">，一经查实，作无效标处理或取消其</w:t>
      </w:r>
      <w:r>
        <w:rPr>
          <w:rFonts w:hint="eastAsia" w:cs="Times New Roman" w:eastAsiaTheme="minorEastAsia"/>
          <w:color w:val="auto"/>
          <w:sz w:val="24"/>
          <w:szCs w:val="24"/>
          <w:highlight w:val="none"/>
          <w:lang w:val="en-US" w:eastAsia="zh-CN" w:bidi="ar"/>
        </w:rPr>
        <w:t xml:space="preserve">成交</w:t>
      </w:r>
      <w:r>
        <w:rPr>
          <w:rFonts w:hint="default" w:ascii="Times New Roman" w:hAnsi="Times New Roman" w:cs="Times New Roman" w:eastAsiaTheme="minorEastAsia"/>
          <w:color w:val="auto"/>
          <w:sz w:val="24"/>
          <w:szCs w:val="24"/>
          <w:highlight w:val="none"/>
          <w:lang w:val="en-US" w:eastAsia="zh-CN" w:bidi="ar"/>
        </w:rPr>
        <w:t xml:space="preserve">资格或中止合同，给甲方造成损失的，乙方应予以赔偿。甲方有权依据有关规定，报请相关部门对相关人员进行处罚，并依法追究其法律责任。</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3.乙方在投标文件中提交的项目经理和所有持有相应岗位要求的资格证书的专业人员必须为本物业项目的常驻现场人员，不得在</w:t>
      </w:r>
      <w:r>
        <w:rPr>
          <w:rFonts w:hint="eastAsia" w:cs="Times New Roman" w:eastAsiaTheme="minorEastAsia"/>
          <w:color w:val="auto"/>
          <w:sz w:val="24"/>
          <w:szCs w:val="24"/>
          <w:highlight w:val="none"/>
          <w:lang w:val="en-US" w:eastAsia="zh-CN" w:bidi="ar"/>
        </w:rPr>
        <w:t xml:space="preserve">成交</w:t>
      </w:r>
      <w:r>
        <w:rPr>
          <w:rFonts w:hint="default" w:ascii="Times New Roman" w:hAnsi="Times New Roman" w:cs="Times New Roman" w:eastAsiaTheme="minorEastAsia"/>
          <w:color w:val="auto"/>
          <w:sz w:val="24"/>
          <w:szCs w:val="24"/>
          <w:highlight w:val="none"/>
          <w:lang w:val="en-US" w:eastAsia="zh-CN" w:bidi="ar"/>
        </w:rPr>
        <w:t xml:space="preserve">后擅自更换人员，如确需更换人员，须征得甲方书面同意。若擅自更换人员，甲方有权单方解除合同，要求乙方承担年服务费10%的违约金，给甲方造成损失的，乙方应给予赔偿。</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4.乙方在本合同履行过程中，有下列情形之一的，构成根本违约，甲方有权单方解除合同且不承担任何违约责任，并要求乙方承担年服务费总额10%的违约金，违约金不足以弥补甲方损失的，还应赔偿损失，无条件配合甲方在7个工作日内完成解约交接的一切程序：</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（1）未经甲方书面同意，擅自将本物业服务项目整体转包或分包的；</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（2）首个季度（试用期）内考核分数低于85分的；</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（3）一个合同年度内，累计两次季度考核得分低于85分的；</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（4）擅自挪用或侵占物业管理用房、共用设施设备及公共收益的</w:t>
      </w:r>
      <w:r>
        <w:rPr>
          <w:rFonts w:hint="eastAsia" w:cs="Times New Roman" w:eastAsiaTheme="minorEastAsia"/>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（5）在房屋装潢过程中，对违规装饰装修未及时制止并上报或执行不力三次及以上的。</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5.退出机制：物业管理存在安全隐患且逾期未整改，或因履职不到位引发重大安全事故的，直接启动退出程序，甲方不予支付任何服务费用，乙方同时应承担年服务费20%的违约责任。</w:t>
      </w:r>
      <w:r/>
    </w:p>
    <w:p>
      <w:pPr>
        <w:ind w:left="0" w:right="0" w:firstLine="482"/>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b/>
          <w:bCs w:val="0"/>
          <w:color w:val="auto"/>
          <w:sz w:val="24"/>
          <w:szCs w:val="24"/>
          <w:highlight w:val="none"/>
        </w:rPr>
        <w:suppressLineNumbers w:val="0"/>
      </w:pPr>
      <w:r>
        <w:rPr>
          <w:rFonts w:hint="default" w:ascii="Times New Roman" w:hAnsi="Times New Roman" w:cs="Times New Roman" w:eastAsiaTheme="minorEastAsia"/>
          <w:b/>
          <w:bCs w:val="0"/>
          <w:color w:val="auto"/>
          <w:sz w:val="24"/>
          <w:szCs w:val="24"/>
          <w:highlight w:val="none"/>
          <w:lang w:val="en-US" w:eastAsia="zh-CN" w:bidi="ar"/>
        </w:rPr>
        <w:t xml:space="preserve">第十二条：附则</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1.双方可对本合同的条款进行补充，以书面形式签订补充协议，补充协议与本合同具有同等效力，但不得修改本合同条款的本意。</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2.本合同及其它附件和补充协议中未规定的事宜，均遵照招投标文件、中华人民共和国有关法律、法规和规章执行。</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3.本合同一式肆份，甲、乙双方各执贰份，具有同等法律效力，凡在履行本协议过程中发生的争议任何一方均可向甲方所在地人民法院提起诉讼。</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4.本合同执行期间，如遇不可抗力，致使合同无法履行时，双方应按有关法律规定及时协商处理。</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5.甲方每季度组织对乙方进行考核和满意度测评，年度四次考核均达到90分及以上、满意率均达到90%及以上，经甲方确认同意后，可双方协商续签合同。</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6.合同自双方签字或盖章之日起生效。</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甲方签章 ：                           乙方签章：</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代表人 ：                             代表人：</w:t>
      </w:r>
      <w:r/>
    </w:p>
    <w:p>
      <w:pPr>
        <w:ind w:left="0" w:right="0"/>
        <w:jc w:val="both"/>
        <w:keepLines w:val="0"/>
        <w:keepNext w:val="0"/>
        <w:pageBreakBefore w:val="0"/>
        <w:spacing w:beforeAutospacing="0" w:afterAutospacing="0" w:line="360" w:lineRule="exact"/>
        <w:widowControl w:val="off"/>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lang w:val="en-US" w:eastAsia="zh-CN" w:bidi="ar"/>
        </w:rPr>
        <w:t xml:space="preserve">         年    月   日                     年    月   日</w:t>
      </w:r>
      <w:r/>
    </w:p>
    <w:p>
      <w:pPr>
        <w:pStyle w:val="677"/>
        <w:ind w:left="0" w:right="0"/>
        <w:keepLines w:val="0"/>
        <w:keepNext w:val="0"/>
        <w:pageBreakBefore w:val="0"/>
        <w:spacing w:beforeAutospacing="0" w:after="0" w:line="360" w:lineRule="exact"/>
        <w:widowControl/>
        <w:rPr>
          <w:rFonts w:hint="default" w:ascii="Times New Roman" w:hAnsi="Times New Roman" w:cs="Times New Roman" w:eastAsiaTheme="minorEastAsia"/>
          <w:color w:val="auto"/>
          <w:sz w:val="24"/>
          <w:szCs w:val="24"/>
          <w:highlight w:val="none"/>
        </w:rPr>
        <w:suppressLineNumbers w:val="0"/>
      </w:pPr>
      <w:r>
        <w:rPr>
          <w:rFonts w:hint="default" w:ascii="Times New Roman" w:hAnsi="Times New Roman" w:cs="Times New Roman" w:eastAsiaTheme="minorEastAsia"/>
          <w:color w:val="auto"/>
          <w:sz w:val="24"/>
          <w:szCs w:val="24"/>
          <w:highlight w:val="none"/>
        </w:rPr>
        <w:t xml:space="preserve"> </w:t>
      </w:r>
      <w:r/>
    </w:p>
    <w:p>
      <w:pPr>
        <w:pStyle w:val="677"/>
        <w:ind w:left="0" w:right="0"/>
        <w:keepLines w:val="0"/>
        <w:keepNext w:val="0"/>
        <w:pageBreakBefore w:val="0"/>
        <w:spacing w:beforeAutospacing="0" w:after="0" w:line="36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合同附件：</w:t>
      </w:r>
      <w:r/>
    </w:p>
    <w:p>
      <w:pPr>
        <w:ind w:left="0" w:right="0"/>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一、物业服务管理要求标准（以下具体要求详见招标文件第五章采购需求）</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1.综合管理服务</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2.公共区域清洁卫生服务</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3.共用部位和共用设施设备日常维护保养服务</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4.共用设施设备日常维护保养服务</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5.公共秩序维护服务</w:t>
      </w:r>
      <w:r/>
    </w:p>
    <w:p>
      <w:pPr>
        <w:ind w:left="0" w:right="0" w:firstLine="480"/>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6.共用设施设备日常维护保养服务</w:t>
      </w:r>
      <w:r/>
    </w:p>
    <w:p>
      <w:pPr>
        <w:ind w:left="0" w:right="0"/>
        <w:jc w:val="both"/>
        <w:keepLines w:val="0"/>
        <w:keepNext w:val="0"/>
        <w:pageBreakBefore w:val="0"/>
        <w:spacing w:beforeAutospacing="0" w:afterAutospacing="0" w:line="360" w:lineRule="exact"/>
        <w:widowControl w:val="off"/>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二、《物业管理考核细则》（具体要求详见招标文件第五章采购需求）</w:t>
      </w:r>
      <w:r/>
    </w:p>
    <w:p>
      <w:pPr>
        <w:ind w:left="0" w:right="0"/>
        <w:keepLines w:val="0"/>
        <w:keepNext w:val="0"/>
        <w:pageBreakBefore w:val="0"/>
        <w:spacing w:line="500" w:lineRule="exact"/>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br w:type="page" w:clear="all"/>
      </w:r>
      <w:r/>
    </w:p>
    <w:p>
      <w:pPr>
        <w:pStyle w:val="631"/>
        <w:ind w:left="0" w:right="0"/>
        <w:jc w:val="center"/>
        <w:keepLines w:val="0"/>
        <w:pageBreakBefore w:val="0"/>
        <w:spacing w:before="0" w:after="0" w:line="560" w:lineRule="exact"/>
        <w:widowControl w:val="off"/>
        <w:rPr>
          <w:rFonts w:hint="default" w:ascii="Times New Roman" w:hAnsi="Times New Roman" w:cs="Times New Roman" w:eastAsiaTheme="majorEastAsia"/>
          <w:color w:val="auto"/>
          <w:sz w:val="44"/>
          <w:szCs w:val="44"/>
          <w:highlight w:val="none"/>
        </w:rPr>
      </w:pPr>
      <w:r/>
      <w:bookmarkStart w:id="177" w:name="_Toc28084"/>
      <w:r>
        <w:rPr>
          <w:rFonts w:hint="default" w:ascii="Times New Roman" w:hAnsi="Times New Roman" w:cs="Times New Roman" w:eastAsiaTheme="majorEastAsia"/>
          <w:color w:val="auto"/>
          <w:sz w:val="44"/>
          <w:szCs w:val="44"/>
          <w:highlight w:val="none"/>
        </w:rPr>
        <w:t xml:space="preserve">第五章 </w:t>
      </w:r>
      <w:bookmarkEnd w:id="177"/>
      <w:r/>
      <w:bookmarkStart w:id="178" w:name="_Toc35071897"/>
      <w:r/>
      <w:bookmarkStart w:id="179" w:name="_Toc34664278"/>
      <w:r/>
      <w:bookmarkStart w:id="180" w:name="_Toc33775520"/>
      <w:r/>
      <w:bookmarkStart w:id="181" w:name="_Toc105389203"/>
      <w:r/>
      <w:bookmarkStart w:id="182" w:name="_Toc98672988"/>
      <w:r/>
      <w:bookmarkStart w:id="183" w:name="_Toc54513051"/>
      <w:r/>
      <w:bookmarkStart w:id="184" w:name="_Toc40761347"/>
      <w:r/>
      <w:bookmarkStart w:id="185" w:name="_Toc60130052"/>
      <w:r/>
      <w:bookmarkStart w:id="186" w:name="_Toc128884461"/>
      <w:r/>
      <w:bookmarkStart w:id="187" w:name="_Toc53335577"/>
      <w:r/>
      <w:bookmarkStart w:id="188" w:name="_Toc3785513"/>
      <w:r/>
      <w:bookmarkStart w:id="189" w:name="_Toc3785637"/>
      <w:r/>
      <w:bookmarkStart w:id="190" w:name="_Toc108257397"/>
      <w:r/>
      <w:bookmarkStart w:id="191" w:name="_Toc3785675"/>
      <w:r/>
      <w:bookmarkStart w:id="192" w:name="_Toc35622007"/>
      <w:r/>
      <w:bookmarkStart w:id="193" w:name="_Toc35222536"/>
      <w:r/>
      <w:bookmarkStart w:id="194" w:name="_Toc34745149"/>
      <w:r/>
      <w:bookmarkStart w:id="195" w:name="_Toc108260365"/>
      <w:r/>
      <w:bookmarkStart w:id="196" w:name="_Toc35941127"/>
      <w:r/>
      <w:bookmarkStart w:id="197" w:name="_Toc36123671"/>
      <w:r/>
      <w:bookmarkStart w:id="198" w:name="_Toc35742634"/>
      <w:r/>
      <w:bookmarkStart w:id="199" w:name="_Toc35599967"/>
      <w:r/>
      <w:bookmarkStart w:id="200" w:name="_Toc3785461"/>
      <w:r/>
      <w:bookmarkStart w:id="201" w:name="_Toc93397582"/>
      <w:r/>
      <w:bookmarkStart w:id="202" w:name="_Toc36146204"/>
      <w:r/>
      <w:bookmarkStart w:id="203" w:name="_Toc53570175"/>
      <w:r/>
      <w:bookmarkStart w:id="204" w:name="_Toc35068743"/>
      <w:r/>
      <w:bookmarkStart w:id="205" w:name="_Toc87857945"/>
      <w:r/>
      <w:bookmarkStart w:id="206" w:name="_Toc93397984"/>
      <w:r/>
      <w:bookmarkStart w:id="207" w:name="_Toc108257466"/>
      <w:r/>
      <w:bookmarkStart w:id="208" w:name="_Toc33953164"/>
      <w:r/>
      <w:bookmarkStart w:id="209" w:name="_Toc34789935"/>
      <w:r/>
      <w:bookmarkStart w:id="210" w:name="_Toc108257116"/>
      <w:r/>
      <w:bookmarkStart w:id="211" w:name="_Toc169000570"/>
      <w:r/>
      <w:bookmarkStart w:id="212" w:name="_Toc108257590"/>
      <w:r/>
      <w:bookmarkStart w:id="213" w:name="_Toc98731630"/>
      <w:r/>
      <w:bookmarkStart w:id="214" w:name="_Toc34703823"/>
      <w:r/>
      <w:bookmarkStart w:id="215" w:name="_Toc35107772"/>
      <w:r>
        <w:rPr>
          <w:rFonts w:hint="default" w:ascii="Times New Roman" w:hAnsi="Times New Roman" w:cs="Times New Roman" w:eastAsiaTheme="majorEastAsia"/>
          <w:color w:val="auto"/>
          <w:sz w:val="44"/>
          <w:szCs w:val="44"/>
          <w:highlight w:val="none"/>
        </w:rPr>
        <w:t xml:space="preserve">采购需求</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p>
    <w:p>
      <w:pPr>
        <w:ind w:left="0" w:right="0" w:firstLine="480"/>
        <w:jc w:val="left"/>
        <w:keepLines w:val="0"/>
        <w:keepNext w:val="0"/>
        <w:pageBreakBefore w:val="0"/>
        <w:spacing w:line="500" w:lineRule="exact"/>
        <w:widowControl w:val="off"/>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zh-CN"/>
        </w:rPr>
        <w:t xml:space="preserve">本项目物业管理服务的总体要求是：投标人一旦</w:t>
      </w:r>
      <w:r>
        <w:rPr>
          <w:rFonts w:hint="eastAsia" w:cs="Times New Roman"/>
          <w:color w:val="auto"/>
          <w:sz w:val="24"/>
          <w:szCs w:val="24"/>
          <w:highlight w:val="none"/>
          <w:lang w:val="zh-CN"/>
        </w:rPr>
        <w:t xml:space="preserve">成交</w:t>
      </w:r>
      <w:r>
        <w:rPr>
          <w:rFonts w:hint="default" w:ascii="Times New Roman" w:hAnsi="Times New Roman" w:cs="Times New Roman"/>
          <w:color w:val="auto"/>
          <w:sz w:val="24"/>
          <w:szCs w:val="24"/>
          <w:highlight w:val="none"/>
          <w:lang w:val="zh-CN"/>
        </w:rPr>
        <w:t xml:space="preserve">必须全天候服务，实行全天24小时服务，营造整洁、优美、安全、舒适、文明的公共服务环境，确保物业管理区域的公共安全。按照国家建筑物业环境设施设备项目等级指导标准和物业服务等级指导标准的相关规定，对本项目物业的环境设施设备和物业服务提出具体技术规范与要求和部分差异如下：</w:t>
      </w:r>
      <w:r/>
    </w:p>
    <w:p>
      <w:pPr>
        <w:ind w:left="0" w:right="0" w:firstLine="480"/>
        <w:jc w:val="left"/>
        <w:keepLines w:val="0"/>
        <w:keepNext w:val="0"/>
        <w:pageBreakBefore w:val="0"/>
        <w:spacing w:line="500" w:lineRule="exact"/>
        <w:widowControl w:val="off"/>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zh-CN"/>
        </w:rPr>
        <w:t xml:space="preserve">本项目包含范围：丰产新村、南园新村物业管理服务。</w:t>
      </w:r>
      <w:r/>
    </w:p>
    <w:p>
      <w:pPr>
        <w:ind w:left="0" w:right="0" w:firstLine="420"/>
        <w:keepLines w:val="0"/>
        <w:keepNext w:val="0"/>
        <w:pageBreakBefore w:val="0"/>
        <w:spacing w:line="500" w:lineRule="exact"/>
        <w:widowControl w:val="off"/>
        <w:rPr>
          <w:rFonts w:hint="default" w:ascii="Times New Roman" w:hAnsi="Times New Roman" w:eastAsia="黑体" w:cs="Times New Roman"/>
          <w:color w:val="auto"/>
          <w:sz w:val="28"/>
          <w:szCs w:val="28"/>
          <w:highlight w:val="none"/>
          <w:lang w:val="zh-CN"/>
        </w:rPr>
      </w:pPr>
      <w:r/>
      <w:bookmarkStart w:id="216" w:name="_Toc24697"/>
      <w:r>
        <w:rPr>
          <w:rFonts w:hint="default" w:ascii="Times New Roman" w:hAnsi="Times New Roman" w:eastAsia="黑体" w:cs="Times New Roman"/>
          <w:color w:val="auto"/>
          <w:sz w:val="28"/>
          <w:szCs w:val="28"/>
          <w:highlight w:val="none"/>
          <w:lang w:val="zh-CN"/>
        </w:rPr>
        <w:t xml:space="preserve">一、物业管理服务的内容</w:t>
      </w:r>
      <w:bookmarkEnd w:id="216"/>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1.物业管理区域内物业共用部位、共用设施、设备的维修、养护、运行和管理，包括：对房屋构筑物，房屋使用的设备、设施等的维修、养护和管理、</w:t>
      </w:r>
      <w:r>
        <w:rPr>
          <w:rFonts w:hint="default" w:ascii="Times New Roman" w:hAnsi="Times New Roman" w:eastAsia="宋体" w:cs="Times New Roman"/>
          <w:color w:val="auto"/>
          <w:sz w:val="24"/>
          <w:szCs w:val="24"/>
          <w:highlight w:val="none"/>
          <w:lang w:val="en-US" w:eastAsia="zh-CN"/>
        </w:rPr>
        <w:t xml:space="preserve">房屋装饰装修期间的一日两查（发现违章搭建行为应及时劝阻并报告相关部门）</w:t>
      </w:r>
      <w:r>
        <w:rPr>
          <w:rFonts w:hint="default" w:ascii="Times New Roman" w:hAnsi="Times New Roman" w:eastAsia="宋体" w:cs="Times New Roman"/>
          <w:color w:val="auto"/>
          <w:sz w:val="24"/>
          <w:szCs w:val="24"/>
          <w:highlight w:val="none"/>
          <w:lang w:val="zh-CN"/>
        </w:rPr>
        <w:t xml:space="preserve">；共用的上下管道、落水管、共用能耗、高压水泵房、消防控制室、楼内消防设施、电梯（含机房、空调）等的维修、养护、运行和管理</w:t>
      </w:r>
      <w:r>
        <w:rPr>
          <w:rFonts w:hint="default" w:ascii="Times New Roman" w:hAnsi="Times New Roman" w:eastAsia="宋体" w:cs="Times New Roman"/>
          <w:color w:val="auto"/>
          <w:sz w:val="24"/>
          <w:szCs w:val="24"/>
          <w:highlight w:val="none"/>
          <w:lang w:val="zh-CN" w:eastAsia="zh-CN"/>
        </w:rPr>
        <w:t xml:space="preserve">、</w:t>
      </w:r>
      <w:r>
        <w:rPr>
          <w:rFonts w:hint="default" w:ascii="Times New Roman" w:hAnsi="Times New Roman" w:eastAsia="宋体" w:cs="Times New Roman"/>
          <w:color w:val="auto"/>
          <w:sz w:val="24"/>
          <w:szCs w:val="24"/>
          <w:highlight w:val="none"/>
          <w:lang w:val="zh-CN"/>
        </w:rPr>
        <w:t xml:space="preserve">充电桩</w:t>
      </w:r>
      <w:r>
        <w:rPr>
          <w:rFonts w:hint="default" w:ascii="Times New Roman" w:hAnsi="Times New Roman" w:eastAsia="宋体" w:cs="Times New Roman"/>
          <w:color w:val="auto"/>
          <w:sz w:val="24"/>
          <w:szCs w:val="24"/>
          <w:highlight w:val="none"/>
          <w:lang w:val="zh-CN" w:eastAsia="zh-CN"/>
        </w:rPr>
        <w:t xml:space="preserve">停车棚</w:t>
      </w:r>
      <w:r>
        <w:rPr>
          <w:rFonts w:hint="default" w:ascii="Times New Roman" w:hAnsi="Times New Roman" w:eastAsia="宋体" w:cs="Times New Roman"/>
          <w:color w:val="auto"/>
          <w:sz w:val="24"/>
          <w:szCs w:val="24"/>
          <w:highlight w:val="none"/>
          <w:lang w:val="zh-CN"/>
        </w:rPr>
        <w:t xml:space="preserve">的管理</w:t>
      </w:r>
      <w:r>
        <w:rPr>
          <w:rFonts w:hint="default" w:ascii="Times New Roman" w:hAnsi="Times New Roman" w:eastAsia="宋体" w:cs="Times New Roman"/>
          <w:color w:val="auto"/>
          <w:sz w:val="24"/>
          <w:szCs w:val="24"/>
          <w:highlight w:val="none"/>
          <w:lang w:val="zh-CN" w:eastAsia="zh-CN"/>
        </w:rPr>
        <w:t xml:space="preserve">、</w:t>
      </w:r>
      <w:r>
        <w:rPr>
          <w:rFonts w:hint="default" w:ascii="Times New Roman" w:hAnsi="Times New Roman" w:eastAsia="宋体" w:cs="Times New Roman"/>
          <w:color w:val="auto"/>
          <w:sz w:val="24"/>
          <w:szCs w:val="24"/>
          <w:highlight w:val="none"/>
          <w:lang w:val="en-US" w:eastAsia="zh-CN"/>
        </w:rPr>
        <w:t xml:space="preserve">管道竖井的巡查</w:t>
      </w:r>
      <w:r>
        <w:rPr>
          <w:rFonts w:hint="default" w:ascii="Times New Roman" w:hAnsi="Times New Roman" w:eastAsia="宋体" w:cs="Times New Roman"/>
          <w:color w:val="auto"/>
          <w:sz w:val="24"/>
          <w:szCs w:val="24"/>
          <w:highlight w:val="none"/>
          <w:lang w:val="zh-CN"/>
        </w:rPr>
        <w:t xml:space="preserve">。（上述区域据实开展作业，存在该区域的须严格落实相关管护工作。）</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2.物业管理区域内公共环境卫生的维护，包括：路道、屋顶、公共过道、楼梯、楼道、</w:t>
      </w:r>
      <w:r>
        <w:rPr>
          <w:rFonts w:hint="default" w:ascii="Times New Roman" w:hAnsi="Times New Roman" w:eastAsia="宋体" w:cs="Times New Roman"/>
          <w:color w:val="auto"/>
          <w:sz w:val="24"/>
          <w:szCs w:val="24"/>
          <w:highlight w:val="none"/>
          <w:lang w:val="zh-CN" w:eastAsia="zh-CN"/>
        </w:rPr>
        <w:t xml:space="preserve">电梯轿厢内外、</w:t>
      </w:r>
      <w:r>
        <w:rPr>
          <w:rFonts w:hint="default" w:ascii="Times New Roman" w:hAnsi="Times New Roman" w:eastAsia="宋体" w:cs="Times New Roman"/>
          <w:color w:val="auto"/>
          <w:sz w:val="24"/>
          <w:szCs w:val="24"/>
          <w:highlight w:val="none"/>
          <w:lang w:val="zh-CN"/>
        </w:rPr>
        <w:t xml:space="preserve">会议室、地下车库、地下储藏室公共区域、绿地、广场、健身器材、充电桩</w:t>
      </w:r>
      <w:r>
        <w:rPr>
          <w:rFonts w:hint="default" w:ascii="Times New Roman" w:hAnsi="Times New Roman" w:eastAsia="宋体" w:cs="Times New Roman"/>
          <w:color w:val="auto"/>
          <w:sz w:val="24"/>
          <w:szCs w:val="24"/>
          <w:highlight w:val="none"/>
          <w:lang w:val="en-US" w:eastAsia="zh-CN"/>
        </w:rPr>
        <w:t xml:space="preserve">停车棚、消防设施</w:t>
      </w:r>
      <w:r>
        <w:rPr>
          <w:rFonts w:hint="default" w:ascii="Times New Roman" w:hAnsi="Times New Roman" w:eastAsia="宋体" w:cs="Times New Roman"/>
          <w:color w:val="auto"/>
          <w:sz w:val="24"/>
          <w:szCs w:val="24"/>
          <w:highlight w:val="none"/>
          <w:lang w:val="zh-CN"/>
        </w:rPr>
        <w:t xml:space="preserve">的清洁卫生、垃圾的收集、清运。（上述区域据实开展作业，存在该区域的须严格落实相关保洁工作。）</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3.小区内绿化养护服务，包括除杂、修剪造型、调整、浇水、施肥、防治病虫害、苗木补栽、绿化垃圾清扫及配合社区（小区）改造调整等。</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严格落实“五晒”要求，围绕“物业服务标准、收费标准、住宅专项维修资金、公共收益、公共能耗”等5个方面，规范设置“一台一箱两栏”线下公示载体，全程公开维修资金申报、使用、验收明细，主动接受居民监督。</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5.优化物业工作模式，创新服务方法，提升小区居住环境品质，开展小区细节美化及秩序维护工作。</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zh-CN"/>
        </w:rPr>
        <w:t xml:space="preserve">.物业管理区域内车辆（机动车和非机动车）行驶、停放秩序及场所管理。</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zh-CN" w:eastAsia="zh-CN"/>
        </w:rPr>
        <w:t xml:space="preserve">.物业服务企业应当协助社区“两委”、小区管理办公室做好物业管理区域内的安全生产工作，包括但不限于：安全宣传、安全隐患的摸排整治、消防安全演练、安全事故的应急处置以及巡查发现并及时劝阻、报告电动车上楼、高空抛物等隐患。</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lang w:val="zh-CN"/>
        </w:rPr>
        <w:t xml:space="preserve">社区办公用房</w:t>
      </w:r>
      <w:r>
        <w:rPr>
          <w:rFonts w:hint="default" w:ascii="Times New Roman" w:hAnsi="Times New Roman" w:eastAsia="宋体" w:cs="Times New Roman"/>
          <w:color w:val="auto"/>
          <w:sz w:val="24"/>
          <w:szCs w:val="24"/>
          <w:highlight w:val="none"/>
          <w:lang w:val="zh-CN" w:eastAsia="zh-CN"/>
        </w:rPr>
        <w:t xml:space="preserve">、活动用房的保洁工作和爱心洗衣房的日常运行工作（包含水电、耗材、人工）</w:t>
      </w:r>
      <w:r>
        <w:rPr>
          <w:rFonts w:hint="default" w:ascii="Times New Roman" w:hAnsi="Times New Roman" w:eastAsia="宋体" w:cs="Times New Roman"/>
          <w:color w:val="auto"/>
          <w:sz w:val="24"/>
          <w:szCs w:val="24"/>
          <w:highlight w:val="none"/>
          <w:lang w:val="zh-CN"/>
        </w:rPr>
        <w:t xml:space="preserve">。（上述区域据实开展作业，存在该区域的须落实相关工作</w:t>
      </w:r>
      <w:r>
        <w:rPr>
          <w:rFonts w:hint="default" w:ascii="Times New Roman" w:hAnsi="Times New Roman" w:eastAsia="宋体" w:cs="Times New Roman"/>
          <w:color w:val="auto"/>
          <w:sz w:val="24"/>
          <w:szCs w:val="24"/>
          <w:highlight w:val="none"/>
          <w:lang w:val="zh-CN" w:eastAsia="zh-CN"/>
        </w:rPr>
        <w:t xml:space="preserve">。</w:t>
      </w:r>
      <w:r>
        <w:rPr>
          <w:rFonts w:hint="default" w:ascii="Times New Roman" w:hAnsi="Times New Roman" w:eastAsia="宋体" w:cs="Times New Roman"/>
          <w:color w:val="auto"/>
          <w:sz w:val="24"/>
          <w:szCs w:val="24"/>
          <w:highlight w:val="none"/>
          <w:lang w:val="zh-CN"/>
        </w:rPr>
        <w:t xml:space="preserve">）</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val="zh-CN"/>
        </w:rPr>
        <w:t xml:space="preserve">.经营期间必须密切配合甲方及</w:t>
      </w:r>
      <w:r>
        <w:rPr>
          <w:rFonts w:hint="default" w:ascii="Times New Roman" w:hAnsi="Times New Roman" w:eastAsia="宋体" w:cs="Times New Roman"/>
          <w:color w:val="auto"/>
          <w:sz w:val="24"/>
          <w:szCs w:val="24"/>
          <w:highlight w:val="none"/>
          <w:lang w:val="en-US" w:eastAsia="zh-CN"/>
        </w:rPr>
        <w:t xml:space="preserve">村、社区“两委”、</w:t>
      </w:r>
      <w:r>
        <w:rPr>
          <w:rFonts w:hint="default" w:ascii="Times New Roman" w:hAnsi="Times New Roman" w:eastAsia="宋体" w:cs="Times New Roman"/>
          <w:color w:val="auto"/>
          <w:sz w:val="24"/>
          <w:szCs w:val="24"/>
          <w:highlight w:val="none"/>
          <w:lang w:val="zh-CN" w:eastAsia="zh-CN"/>
        </w:rPr>
        <w:t xml:space="preserve">小区管理办公室</w:t>
      </w:r>
      <w:r>
        <w:rPr>
          <w:rFonts w:hint="default" w:ascii="Times New Roman" w:hAnsi="Times New Roman" w:eastAsia="宋体" w:cs="Times New Roman"/>
          <w:color w:val="auto"/>
          <w:sz w:val="24"/>
          <w:szCs w:val="24"/>
          <w:highlight w:val="none"/>
          <w:lang w:val="zh-CN"/>
        </w:rPr>
        <w:t xml:space="preserve">开展各项中心工作</w:t>
      </w:r>
      <w:r>
        <w:rPr>
          <w:rFonts w:hint="default" w:ascii="Times New Roman" w:hAnsi="Times New Roman" w:eastAsia="宋体" w:cs="Times New Roman"/>
          <w:color w:val="auto"/>
          <w:sz w:val="24"/>
          <w:szCs w:val="24"/>
          <w:highlight w:val="none"/>
          <w:lang w:val="zh-CN" w:eastAsia="zh-CN"/>
        </w:rPr>
        <w:t xml:space="preserve">，</w:t>
      </w:r>
      <w:r>
        <w:rPr>
          <w:rFonts w:hint="default" w:ascii="Times New Roman" w:hAnsi="Times New Roman" w:eastAsia="宋体" w:cs="Times New Roman"/>
          <w:color w:val="auto"/>
          <w:sz w:val="24"/>
          <w:szCs w:val="24"/>
          <w:highlight w:val="none"/>
          <w:lang w:val="zh-CN"/>
        </w:rPr>
        <w:t xml:space="preserve">包括但不限于小区内的宣传引导、氛围营造、矛盾化解、设施改造等。</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lang w:val="zh-CN"/>
        </w:rPr>
        <w:t xml:space="preserve">.配合甲方组织的选房和分房工作</w:t>
      </w:r>
      <w:r>
        <w:rPr>
          <w:rFonts w:hint="default" w:ascii="Times New Roman" w:hAnsi="Times New Roman" w:eastAsia="宋体" w:cs="Times New Roman"/>
          <w:color w:val="auto"/>
          <w:sz w:val="24"/>
          <w:szCs w:val="24"/>
          <w:highlight w:val="none"/>
          <w:lang w:val="zh-CN" w:eastAsia="zh-CN"/>
        </w:rPr>
        <w:t xml:space="preserve">期间秩序维护、押金收缴等工作</w:t>
      </w:r>
      <w:r>
        <w:rPr>
          <w:rFonts w:hint="default" w:ascii="Times New Roman" w:hAnsi="Times New Roman" w:eastAsia="宋体" w:cs="Times New Roman"/>
          <w:color w:val="auto"/>
          <w:sz w:val="24"/>
          <w:szCs w:val="24"/>
          <w:highlight w:val="none"/>
          <w:lang w:val="zh-CN"/>
        </w:rPr>
        <w:t xml:space="preserve">。</w:t>
      </w:r>
      <w:r/>
    </w:p>
    <w:p>
      <w:pPr>
        <w:ind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lang w:val="zh-CN"/>
        </w:rPr>
        <w:t xml:space="preserve">.供水、供电、供气、通讯等专业单位在物业管理区域内对相关管线、设施维修养护时，进行必要的协调和管理。</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12</w:t>
      </w:r>
      <w:r>
        <w:rPr>
          <w:rFonts w:hint="default" w:ascii="Times New Roman" w:hAnsi="Times New Roman" w:eastAsia="宋体" w:cs="Times New Roman"/>
          <w:color w:val="auto"/>
          <w:sz w:val="24"/>
          <w:szCs w:val="24"/>
          <w:highlight w:val="none"/>
          <w:lang w:val="zh-CN"/>
        </w:rPr>
        <w:t xml:space="preserve">.物业档案资料的保管及有关物业管理服务费用的账务管理。</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13</w:t>
      </w:r>
      <w:r>
        <w:rPr>
          <w:rFonts w:hint="default" w:ascii="Times New Roman" w:hAnsi="Times New Roman" w:eastAsia="宋体" w:cs="Times New Roman"/>
          <w:color w:val="auto"/>
          <w:sz w:val="24"/>
          <w:szCs w:val="24"/>
          <w:highlight w:val="none"/>
          <w:lang w:val="zh-CN"/>
        </w:rPr>
        <w:t xml:space="preserve">.24小时保安管理，安置小区大门保安24小时值班，消控室24小时双人持证值班。</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val="zh-CN"/>
        </w:rPr>
        <w:t xml:space="preserve">.本项目不得整体转包或分包。</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zh-CN"/>
        </w:rPr>
        <w:t xml:space="preserve">.其他未尽事宜。</w:t>
      </w:r>
      <w:r/>
    </w:p>
    <w:p>
      <w:pPr>
        <w:ind w:left="0" w:right="0" w:firstLine="420"/>
        <w:keepLines w:val="0"/>
        <w:keepNext w:val="0"/>
        <w:pageBreakBefore w:val="0"/>
        <w:spacing w:line="500" w:lineRule="exact"/>
        <w:widowControl w:val="off"/>
        <w:rPr>
          <w:rFonts w:hint="default" w:ascii="Times New Roman" w:hAnsi="Times New Roman" w:eastAsia="黑体" w:cs="Times New Roman"/>
          <w:color w:val="auto"/>
          <w:sz w:val="28"/>
          <w:szCs w:val="28"/>
          <w:highlight w:val="none"/>
          <w:lang w:val="zh-CN"/>
        </w:rPr>
      </w:pPr>
      <w:r/>
      <w:bookmarkStart w:id="217" w:name="_Toc5246"/>
      <w:r>
        <w:rPr>
          <w:rFonts w:hint="default" w:ascii="Times New Roman" w:hAnsi="Times New Roman" w:eastAsia="黑体" w:cs="Times New Roman"/>
          <w:color w:val="auto"/>
          <w:sz w:val="28"/>
          <w:szCs w:val="28"/>
          <w:highlight w:val="none"/>
          <w:lang w:val="zh-CN"/>
        </w:rPr>
        <w:t xml:space="preserve">二、物业管理服务的要求与承诺</w:t>
      </w:r>
      <w:bookmarkEnd w:id="217"/>
      <w:r/>
      <w:r/>
    </w:p>
    <w:p>
      <w:pPr>
        <w:ind w:left="0" w:right="0" w:firstLine="45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 xml:space="preserve">根据滨江镇安置小区实际情况，参照国家建筑物业环境设施设备项目等级指导标准和物业服务等级指导标准的相关规定</w:t>
      </w:r>
      <w:r>
        <w:rPr>
          <w:rFonts w:hint="default" w:ascii="Times New Roman" w:hAnsi="Times New Roman" w:cs="Times New Roman"/>
          <w:color w:val="auto"/>
          <w:sz w:val="24"/>
          <w:szCs w:val="24"/>
          <w:highlight w:val="none"/>
        </w:rPr>
        <w:t xml:space="preserve">实施本次物业服务</w:t>
      </w:r>
      <w:r>
        <w:rPr>
          <w:rFonts w:hint="default" w:ascii="Times New Roman" w:hAnsi="Times New Roman" w:cs="Times New Roman"/>
          <w:color w:val="auto"/>
          <w:sz w:val="24"/>
          <w:szCs w:val="24"/>
          <w:highlight w:val="none"/>
          <w:lang w:eastAsia="zh-CN"/>
        </w:rPr>
        <w:t xml:space="preserve">，经修改调整后作为本次物业服务标准。</w:t>
      </w:r>
      <w:r/>
    </w:p>
    <w:p>
      <w:pPr>
        <w:ind w:left="0" w:right="0" w:firstLine="450"/>
        <w:keepLines w:val="0"/>
        <w:keepNext w:val="0"/>
        <w:pageBreakBefore w:val="0"/>
        <w:spacing w:line="50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在收到</w:t>
      </w:r>
      <w:r>
        <w:rPr>
          <w:rFonts w:hint="eastAsia" w:cs="Times New Roman"/>
          <w:b/>
          <w:bCs/>
          <w:color w:val="auto"/>
          <w:sz w:val="24"/>
          <w:szCs w:val="24"/>
          <w:highlight w:val="none"/>
          <w:lang w:eastAsia="zh-CN"/>
        </w:rPr>
        <w:t xml:space="preserve">成交</w:t>
      </w:r>
      <w:r>
        <w:rPr>
          <w:rFonts w:hint="default" w:ascii="Times New Roman" w:hAnsi="Times New Roman" w:cs="Times New Roman"/>
          <w:b/>
          <w:bCs/>
          <w:color w:val="auto"/>
          <w:sz w:val="24"/>
          <w:szCs w:val="24"/>
          <w:highlight w:val="none"/>
        </w:rPr>
        <w:t xml:space="preserve">通知书后，</w:t>
      </w:r>
      <w:r>
        <w:rPr>
          <w:rFonts w:hint="eastAsia" w:cs="Times New Roman"/>
          <w:b/>
          <w:bCs/>
          <w:color w:val="auto"/>
          <w:sz w:val="24"/>
          <w:szCs w:val="24"/>
          <w:highlight w:val="none"/>
          <w:lang w:eastAsia="zh-CN"/>
        </w:rPr>
        <w:t xml:space="preserve">成交供应商</w:t>
      </w:r>
      <w:r>
        <w:rPr>
          <w:rFonts w:hint="default" w:ascii="Times New Roman" w:hAnsi="Times New Roman" w:cs="Times New Roman"/>
          <w:b/>
          <w:bCs/>
          <w:color w:val="auto"/>
          <w:sz w:val="24"/>
          <w:szCs w:val="24"/>
          <w:highlight w:val="none"/>
        </w:rPr>
        <w:t xml:space="preserve">的管理方案须服从甲方调整并经甲方认可，并作为考核依据。</w:t>
      </w:r>
      <w:r/>
    </w:p>
    <w:p>
      <w:pPr>
        <w:ind w:left="0" w:right="0" w:firstLine="450"/>
        <w:keepLines w:val="0"/>
        <w:keepNext w:val="0"/>
        <w:pageBreakBefore w:val="0"/>
        <w:spacing w:line="500" w:lineRule="exact"/>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ind w:left="254" w:right="0" w:hanging="254"/>
        <w:pageBreakBefore w:val="0"/>
        <w:spacing w:line="400" w:lineRule="exact"/>
        <w:rPr>
          <w:rFonts w:hint="default" w:ascii="Times New Roman" w:hAnsi="Times New Roman" w:cs="Times New Roman" w:eastAsiaTheme="minorEastAsia"/>
          <w:color w:val="auto"/>
          <w:sz w:val="28"/>
          <w:szCs w:val="28"/>
          <w:highlight w:val="none"/>
        </w:rPr>
      </w:pPr>
      <w:r>
        <w:rPr>
          <w:rFonts w:hint="default" w:ascii="Times New Roman" w:hAnsi="Times New Roman" w:cs="Times New Roman" w:eastAsiaTheme="minorEastAsia"/>
          <w:color w:val="auto"/>
          <w:sz w:val="28"/>
          <w:szCs w:val="28"/>
          <w:highlight w:val="none"/>
        </w:rPr>
        <w:t xml:space="preserve">1.综合管理服务</w:t>
      </w:r>
      <w:r/>
    </w:p>
    <w:tbl>
      <w:tblPr>
        <w:tblStyle w:val="641"/>
        <w:tblW w:w="925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706"/>
        <w:gridCol w:w="1384"/>
        <w:gridCol w:w="6375"/>
      </w:tblGrid>
      <w:tr>
        <w:trPr>
          <w:trHeight w:val="640"/>
        </w:trPr>
        <w:tc>
          <w:tcPr>
            <w:tcW w:w="790"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服务项目</w:t>
            </w:r>
            <w:r/>
          </w:p>
        </w:tc>
        <w:tc>
          <w:tcPr>
            <w:tcW w:w="706"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序号</w:t>
            </w:r>
            <w:r/>
          </w:p>
        </w:tc>
        <w:tc>
          <w:tcPr>
            <w:tcW w:w="1384"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内    容</w:t>
            </w:r>
            <w:r/>
          </w:p>
        </w:tc>
        <w:tc>
          <w:tcPr>
            <w:tcW w:w="6375"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服    务    标    准    及    要     求</w:t>
            </w:r>
            <w:r/>
          </w:p>
        </w:tc>
      </w:tr>
      <w:tr>
        <w:trPr>
          <w:trHeight w:val="784"/>
        </w:trPr>
        <w:tc>
          <w:tcPr>
            <w:tcW w:w="790" w:type="dxa"/>
            <w:vAlign w:val="center"/>
            <w:vMerge w:val="restart"/>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基本要求</w:t>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基础管理</w:t>
            </w:r>
            <w:r/>
          </w:p>
        </w:tc>
        <w:tc>
          <w:tcPr>
            <w:tcW w:w="6375"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rPr>
                <w:rFonts w:hint="default" w:ascii="Times New Roman" w:hAnsi="Times New Roman" w:cs="Times New Roman" w:eastAsiaTheme="minorEastAsia"/>
                <w:color w:val="auto"/>
                <w:sz w:val="21"/>
                <w:szCs w:val="21"/>
                <w:highlight w:val="none"/>
              </w:rPr>
              <w:t xml:space="preserve">签订物业服务合同</w:t>
            </w:r>
            <w:r/>
          </w:p>
          <w:p>
            <w:pPr>
              <w:ind w:left="0" w:right="0"/>
              <w:keepLines w:val="0"/>
              <w:keepNext w:val="0"/>
              <w:pageBreakBefore w:val="0"/>
              <w:spacing w:line="300" w:lineRule="exact"/>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rPr>
                <w:rFonts w:hint="default" w:ascii="Times New Roman" w:hAnsi="Times New Roman" w:cs="Times New Roman" w:eastAsiaTheme="minorEastAsia"/>
                <w:color w:val="auto"/>
                <w:sz w:val="21"/>
                <w:szCs w:val="21"/>
                <w:highlight w:val="none"/>
              </w:rPr>
              <w:t xml:space="preserve">承接项目时，对物业共用部位、共用设施设备进行查验，有交接验收手续</w:t>
            </w:r>
            <w:r/>
          </w:p>
        </w:tc>
      </w:tr>
      <w:tr>
        <w:trPr>
          <w:trHeight w:val="1299"/>
        </w:trPr>
        <w:tc>
          <w:tcPr>
            <w:tcW w:w="790" w:type="dxa"/>
            <w:vAlign w:val="center"/>
            <w:vMerge w:val="continue"/>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服务机构</w:t>
            </w:r>
            <w:r/>
          </w:p>
        </w:tc>
        <w:tc>
          <w:tcPr>
            <w:tcW w:w="6375"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（1）小区内设置物业服务处，有识别标志</w:t>
            </w:r>
            <w:r/>
          </w:p>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（2）配置办公家具、电话、电脑等办公设施</w:t>
            </w:r>
            <w:r/>
          </w:p>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（3）办公场所功能分区明显，有客户接待引导</w:t>
            </w:r>
            <w:r/>
          </w:p>
          <w:p>
            <w:pPr>
              <w:ind w:left="0" w:right="0"/>
              <w:keepLines w:val="0"/>
              <w:keepNext w:val="0"/>
              <w:pageBreakBefore w:val="0"/>
              <w:spacing w:line="300" w:lineRule="exact"/>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（4）能提供3种以上的特约（有偿）服务和3种以上便民（无偿）服务，服务内容、价格公示</w:t>
            </w:r>
            <w:r/>
          </w:p>
        </w:tc>
      </w:tr>
      <w:tr>
        <w:trPr>
          <w:trHeight w:val="1041"/>
        </w:trPr>
        <w:tc>
          <w:tcPr>
            <w:tcW w:w="790" w:type="dxa"/>
            <w:vAlign w:val="center"/>
            <w:vMerge w:val="continue"/>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服务人员</w:t>
            </w:r>
            <w:r/>
          </w:p>
        </w:tc>
        <w:tc>
          <w:tcPr>
            <w:tcW w:w="6375" w:type="dxa"/>
            <w:vAlign w:val="center"/>
            <w:textDirection w:val="lrTb"/>
            <w:noWrap w:val="false"/>
          </w:tcPr>
          <w:p>
            <w:pPr>
              <w:ind w:left="0" w:right="0"/>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（1）小区物业项目经理有大专以上学历或有3年以上的物业服务工作经历，熟悉物业管理运作流程</w:t>
            </w:r>
            <w:r/>
          </w:p>
          <w:p>
            <w:pPr>
              <w:ind w:left="0" w:right="0"/>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（2）小区服务管理人员应取得物业管理从业人员资格证书；统一着装，挂牌上岗，仪表整洁规范</w:t>
            </w:r>
            <w:r/>
          </w:p>
        </w:tc>
      </w:tr>
      <w:tr>
        <w:trPr>
          <w:trHeight w:val="637"/>
        </w:trPr>
        <w:tc>
          <w:tcPr>
            <w:tcW w:w="790" w:type="dxa"/>
            <w:vAlign w:val="center"/>
            <w:vMerge w:val="continue"/>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客服接待</w:t>
            </w:r>
            <w:r/>
          </w:p>
        </w:tc>
        <w:tc>
          <w:tcPr>
            <w:tcW w:w="6375"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实行不少于8小时业务接待并提供服务，其余时间在固定地点值班，公示值班电话</w:t>
            </w:r>
            <w:r/>
          </w:p>
        </w:tc>
      </w:tr>
      <w:tr>
        <w:trPr>
          <w:trHeight w:val="637"/>
        </w:trPr>
        <w:tc>
          <w:tcPr>
            <w:tcW w:w="790" w:type="dxa"/>
            <w:vAlign w:val="center"/>
            <w:vMerge w:val="restart"/>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日常管理服务</w:t>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工作计划</w:t>
            </w:r>
            <w:r/>
          </w:p>
        </w:tc>
        <w:tc>
          <w:tcPr>
            <w:tcW w:w="6375"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制定小区物业管理服务工作计划并组织实施，每年向委托方报告一次计划实施情况</w:t>
            </w:r>
            <w:r/>
          </w:p>
        </w:tc>
      </w:tr>
      <w:tr>
        <w:trPr>
          <w:trHeight w:val="1557"/>
        </w:trPr>
        <w:tc>
          <w:tcPr>
            <w:tcW w:w="790" w:type="dxa"/>
            <w:vMerge w:val="continue"/>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管理制度</w:t>
            </w:r>
            <w:r/>
          </w:p>
        </w:tc>
        <w:tc>
          <w:tcPr>
            <w:tcW w:w="6375"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（1）建立值班和交接班等制度，有详细记录</w:t>
            </w:r>
            <w:r/>
          </w:p>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（2）制定物业服务处内部管理制度、考核制度、培训制度、客户服务制度</w:t>
            </w:r>
            <w:r/>
          </w:p>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（3）公示服务标准、服务流程、服务内容、收费依据、收费标准等</w:t>
            </w:r>
            <w:r/>
          </w:p>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（4）健全财务管理制度，对物业公共服务费和其它费用的收支进行财务管理，做到运作规范，账目清晰</w:t>
            </w:r>
            <w:r/>
          </w:p>
          <w:p>
            <w:pPr>
              <w:ind w:left="0" w:right="0"/>
              <w:keepLines w:val="0"/>
              <w:keepNext w:val="0"/>
              <w:pageBreakBefore w:val="0"/>
              <w:spacing w:line="300" w:lineRule="exact"/>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（5）建立火警、警情、公共卫生等突发事件的应急预案</w:t>
            </w:r>
            <w:r/>
          </w:p>
        </w:tc>
      </w:tr>
      <w:tr>
        <w:trPr>
          <w:trHeight w:val="1041"/>
        </w:trPr>
        <w:tc>
          <w:tcPr>
            <w:tcW w:w="790" w:type="dxa"/>
            <w:vMerge w:val="continue"/>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报修、投诉处理</w:t>
            </w:r>
            <w:r/>
          </w:p>
        </w:tc>
        <w:tc>
          <w:tcPr>
            <w:tcW w:w="6375" w:type="dxa"/>
            <w:textDirection w:val="lrTb"/>
            <w:noWrap w:val="false"/>
          </w:tcPr>
          <w:p>
            <w:pPr>
              <w:ind w:left="0" w:right="0"/>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（1）受理业主或物业使用人报修、投诉；急修</w:t>
            </w:r>
            <w:r>
              <w:rPr>
                <w:rFonts w:hint="default" w:ascii="Times New Roman" w:hAnsi="Times New Roman" w:cs="Times New Roman" w:eastAsiaTheme="minorEastAsia"/>
                <w:color w:val="auto"/>
                <w:sz w:val="21"/>
                <w:szCs w:val="21"/>
                <w:highlight w:val="none"/>
                <w:lang w:val="en-US" w:eastAsia="zh-CN"/>
              </w:rPr>
              <w:t xml:space="preserve">15</w:t>
            </w:r>
            <w:r>
              <w:rPr>
                <w:rFonts w:hint="default" w:ascii="Times New Roman" w:hAnsi="Times New Roman" w:cs="Times New Roman" w:eastAsiaTheme="minorEastAsia"/>
                <w:color w:val="auto"/>
                <w:sz w:val="21"/>
                <w:szCs w:val="21"/>
                <w:highlight w:val="none"/>
              </w:rPr>
              <w:t xml:space="preserve">分钟内到场查看，小修2天内修复，难以及时修复的，约时修理</w:t>
            </w:r>
            <w:r/>
          </w:p>
          <w:p>
            <w:pPr>
              <w:ind w:left="0" w:right="0"/>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（2）对业主或物业使用人的投诉按投诉处理流程执行，在2天内答复，做到投诉有受理、有记录、有处理、有回访</w:t>
            </w:r>
            <w:r/>
          </w:p>
        </w:tc>
      </w:tr>
      <w:tr>
        <w:trPr>
          <w:trHeight w:val="784"/>
        </w:trPr>
        <w:tc>
          <w:tcPr>
            <w:tcW w:w="790" w:type="dxa"/>
            <w:vMerge w:val="continue"/>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装修管理</w:t>
            </w:r>
            <w:r/>
          </w:p>
        </w:tc>
        <w:tc>
          <w:tcPr>
            <w:tcW w:w="6375"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告知业主或物业使用人装修规定、流程</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lang w:val="en-US" w:eastAsia="zh-CN"/>
              </w:rPr>
              <w:t xml:space="preserve">房屋结构图纸</w:t>
            </w:r>
            <w:r>
              <w:rPr>
                <w:rFonts w:hint="default" w:ascii="Times New Roman" w:hAnsi="Times New Roman" w:cs="Times New Roman" w:eastAsiaTheme="minorEastAsia"/>
                <w:color w:val="auto"/>
                <w:sz w:val="21"/>
                <w:szCs w:val="21"/>
                <w:highlight w:val="none"/>
              </w:rPr>
              <w:t xml:space="preserve">及注意事项，签订装修服务协议，加强对装修过程的监督管理，对违章、违约装修应及时发现劝阻并报告相关部门</w:t>
            </w:r>
            <w:r/>
          </w:p>
        </w:tc>
      </w:tr>
      <w:tr>
        <w:trPr>
          <w:trHeight w:val="784"/>
        </w:trPr>
        <w:tc>
          <w:tcPr>
            <w:tcW w:w="790" w:type="dxa"/>
            <w:vMerge w:val="continue"/>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5</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档案管理</w:t>
            </w:r>
            <w:r/>
          </w:p>
        </w:tc>
        <w:tc>
          <w:tcPr>
            <w:tcW w:w="6375"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建立完善的档案管理制度，规范收集、整理、检索、使用，健全小区物业管理档案（包括物业承接查验档案、业主入住档案和物业日常管理档案等）</w:t>
            </w:r>
            <w:r/>
          </w:p>
        </w:tc>
      </w:tr>
      <w:tr>
        <w:trPr>
          <w:trHeight w:val="637"/>
        </w:trPr>
        <w:tc>
          <w:tcPr>
            <w:tcW w:w="790" w:type="dxa"/>
            <w:vMerge w:val="continue"/>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6</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节假日布置</w:t>
            </w:r>
            <w:r/>
          </w:p>
        </w:tc>
        <w:tc>
          <w:tcPr>
            <w:tcW w:w="6375"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重大节假日（春节、国庆节等）有布置</w:t>
            </w:r>
            <w:r/>
          </w:p>
        </w:tc>
      </w:tr>
      <w:tr>
        <w:trPr>
          <w:trHeight w:val="648"/>
        </w:trPr>
        <w:tc>
          <w:tcPr>
            <w:tcW w:w="790" w:type="dxa"/>
            <w:vMerge w:val="continue"/>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706"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7</w:t>
            </w:r>
            <w:r/>
          </w:p>
        </w:tc>
        <w:tc>
          <w:tcPr>
            <w:tcW w:w="138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满意度调查</w:t>
            </w:r>
            <w:r/>
          </w:p>
        </w:tc>
        <w:tc>
          <w:tcPr>
            <w:tcW w:w="6375"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color w:val="auto"/>
                <w:sz w:val="21"/>
                <w:szCs w:val="21"/>
                <w:highlight w:val="none"/>
              </w:rPr>
              <w:t xml:space="preserve">每年1次对业主或物业使用人进行书面满意度调查，对调查结果进行分析并采取改进措施</w:t>
            </w:r>
            <w:r/>
          </w:p>
        </w:tc>
      </w:tr>
    </w:tbl>
    <w:p>
      <w:pPr>
        <w:ind w:left="0" w:right="0"/>
        <w:pageBreakBefore w:val="0"/>
        <w:spacing w:line="40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r>
      <w:r/>
    </w:p>
    <w:p>
      <w:pPr>
        <w:ind w:left="0" w:right="0"/>
        <w:pageBreakBefore w:val="0"/>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r>
      <w:r/>
    </w:p>
    <w:p>
      <w:pPr>
        <w:ind w:left="254" w:right="0" w:hanging="254"/>
        <w:pageBreakBefore w:val="0"/>
        <w:spacing w:line="400" w:lineRule="exact"/>
        <w:rPr>
          <w:rFonts w:hint="default" w:ascii="Times New Roman" w:hAnsi="Times New Roman" w:cs="Times New Roman" w:eastAsiaTheme="minorEastAsia"/>
          <w:color w:val="auto"/>
          <w:sz w:val="28"/>
          <w:szCs w:val="28"/>
          <w:highlight w:val="none"/>
        </w:rPr>
      </w:pPr>
      <w:r>
        <w:rPr>
          <w:rFonts w:hint="default" w:ascii="Times New Roman" w:hAnsi="Times New Roman" w:cs="Times New Roman" w:eastAsiaTheme="minorEastAsia"/>
          <w:color w:val="auto"/>
          <w:sz w:val="28"/>
          <w:szCs w:val="28"/>
          <w:highlight w:val="none"/>
        </w:rPr>
        <w:t xml:space="preserve">2.公共区域清洁卫生服务</w:t>
      </w:r>
      <w:r/>
    </w:p>
    <w:tbl>
      <w:tblPr>
        <w:tblStyle w:val="641"/>
        <w:tblW w:w="89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611"/>
        <w:gridCol w:w="2273"/>
        <w:gridCol w:w="5386"/>
      </w:tblGrid>
      <w:tr>
        <w:trPr>
          <w:trHeight w:val="1059"/>
        </w:trPr>
        <w:tc>
          <w:tcPr>
            <w:tcW w:w="649"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服务项目</w:t>
            </w:r>
            <w:r/>
          </w:p>
        </w:tc>
        <w:tc>
          <w:tcPr>
            <w:tcW w:w="611"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序号</w:t>
            </w:r>
            <w:r/>
          </w:p>
        </w:tc>
        <w:tc>
          <w:tcPr>
            <w:tcW w:w="2273"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内    容</w:t>
            </w:r>
            <w:r/>
          </w:p>
        </w:tc>
        <w:tc>
          <w:tcPr>
            <w:tcW w:w="5386"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服    务    标    准    及    要     求</w:t>
            </w:r>
            <w:r/>
          </w:p>
        </w:tc>
      </w:tr>
      <w:tr>
        <w:trPr>
          <w:trHeight w:val="567"/>
        </w:trPr>
        <w:tc>
          <w:tcPr>
            <w:tcW w:w="649" w:type="dxa"/>
            <w:vAlign w:val="center"/>
            <w:vMerge w:val="restart"/>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楼内公共区域</w:t>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楼梯台阶（电梯轿厢）</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w:t>
            </w:r>
            <w:r>
              <w:rPr>
                <w:rFonts w:hint="default" w:ascii="Times New Roman" w:hAnsi="Times New Roman" w:cs="Times New Roman" w:eastAsiaTheme="minorEastAsia"/>
                <w:color w:val="auto"/>
                <w:sz w:val="21"/>
                <w:szCs w:val="21"/>
                <w:highlight w:val="none"/>
                <w:lang w:val="en-US" w:eastAsia="zh-CN"/>
              </w:rPr>
              <w:t xml:space="preserve">3</w:t>
            </w:r>
            <w:r>
              <w:rPr>
                <w:rFonts w:hint="default" w:ascii="Times New Roman" w:hAnsi="Times New Roman" w:cs="Times New Roman" w:eastAsiaTheme="minorEastAsia"/>
                <w:color w:val="auto"/>
                <w:sz w:val="21"/>
                <w:szCs w:val="21"/>
                <w:highlight w:val="none"/>
              </w:rPr>
              <w:t xml:space="preserve">天清扫1次，每4天拖擦1次（轿厢每周清洁1次），清扫、清洁后无明显垃圾与积灰</w:t>
            </w:r>
            <w:r/>
          </w:p>
        </w:tc>
      </w:tr>
      <w:tr>
        <w:trPr>
          <w:trHeight w:val="567"/>
        </w:trPr>
        <w:tc>
          <w:tcPr>
            <w:tcW w:w="649" w:type="dxa"/>
            <w:vAlign w:val="center"/>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楼梯扶手</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w:t>
            </w:r>
            <w:r>
              <w:rPr>
                <w:rFonts w:hint="default" w:ascii="Times New Roman" w:hAnsi="Times New Roman" w:cs="Times New Roman" w:eastAsiaTheme="minorEastAsia"/>
                <w:color w:val="auto"/>
                <w:sz w:val="21"/>
                <w:szCs w:val="21"/>
                <w:highlight w:val="none"/>
                <w:lang w:val="en-US" w:eastAsia="zh-CN"/>
              </w:rPr>
              <w:t xml:space="preserve">3</w:t>
            </w:r>
            <w:r>
              <w:rPr>
                <w:rFonts w:hint="default" w:ascii="Times New Roman" w:hAnsi="Times New Roman" w:cs="Times New Roman" w:eastAsiaTheme="minorEastAsia"/>
                <w:color w:val="auto"/>
                <w:sz w:val="21"/>
                <w:szCs w:val="21"/>
                <w:highlight w:val="none"/>
              </w:rPr>
              <w:t xml:space="preserve">天擦抹1次，确保整洁无损坏现象</w:t>
            </w:r>
            <w:r/>
          </w:p>
        </w:tc>
      </w:tr>
      <w:tr>
        <w:trPr>
          <w:trHeight w:val="567"/>
        </w:trPr>
        <w:tc>
          <w:tcPr>
            <w:tcW w:w="649" w:type="dxa"/>
            <w:vAlign w:val="center"/>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单元门、开关盒、表箱盖等</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每周擦抹1次，清扫、清洁后无明显垃圾与积灰</w:t>
            </w:r>
            <w:r/>
          </w:p>
        </w:tc>
      </w:tr>
      <w:tr>
        <w:trPr>
          <w:trHeight w:val="567"/>
        </w:trPr>
        <w:tc>
          <w:tcPr>
            <w:tcW w:w="649" w:type="dxa"/>
            <w:vAlign w:val="center"/>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天花板、公共灯具</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每半年擦抹1次，清扫、清洁后无明显垃圾与积灰</w:t>
            </w:r>
            <w:r/>
          </w:p>
        </w:tc>
      </w:tr>
      <w:tr>
        <w:trPr>
          <w:trHeight w:val="567"/>
        </w:trPr>
        <w:tc>
          <w:tcPr>
            <w:tcW w:w="649" w:type="dxa"/>
            <w:vAlign w:val="center"/>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5</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消火栓、信报箱</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w:t>
            </w:r>
            <w:r>
              <w:rPr>
                <w:rFonts w:hint="default" w:ascii="Times New Roman" w:hAnsi="Times New Roman" w:cs="Times New Roman" w:eastAsiaTheme="minorEastAsia"/>
                <w:color w:val="auto"/>
                <w:sz w:val="21"/>
                <w:szCs w:val="21"/>
                <w:highlight w:val="none"/>
                <w:lang w:eastAsia="zh-CN"/>
              </w:rPr>
              <w:t xml:space="preserve">月</w:t>
            </w:r>
            <w:r>
              <w:rPr>
                <w:rFonts w:hint="default" w:ascii="Times New Roman" w:hAnsi="Times New Roman" w:cs="Times New Roman" w:eastAsiaTheme="minorEastAsia"/>
                <w:color w:val="auto"/>
                <w:sz w:val="21"/>
                <w:szCs w:val="21"/>
                <w:highlight w:val="none"/>
              </w:rPr>
              <w:t xml:space="preserve">擦抹1次，清扫、清洁后无明显垃圾与积灰</w:t>
            </w:r>
            <w:r/>
          </w:p>
        </w:tc>
      </w:tr>
      <w:tr>
        <w:trPr>
          <w:trHeight w:val="567"/>
        </w:trPr>
        <w:tc>
          <w:tcPr>
            <w:tcW w:w="649" w:type="dxa"/>
            <w:vAlign w:val="center"/>
            <w:vMerge w:val="restart"/>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楼外公共区域</w:t>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道路地面</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每天打扫2次，打扫后无明显垃圾</w:t>
            </w:r>
            <w:r/>
          </w:p>
        </w:tc>
      </w:tr>
      <w:tr>
        <w:trPr>
          <w:trHeight w:val="567"/>
        </w:trPr>
        <w:tc>
          <w:tcPr>
            <w:tcW w:w="649" w:type="dxa"/>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明沟</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每10天打扫1次，确保排水通畅，无积水、无残缺</w:t>
            </w:r>
            <w:r/>
          </w:p>
        </w:tc>
      </w:tr>
      <w:tr>
        <w:trPr>
          <w:trHeight w:val="567"/>
        </w:trPr>
        <w:tc>
          <w:tcPr>
            <w:tcW w:w="649" w:type="dxa"/>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绿地</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每天拾捡1次，确保绿地无明显杂物</w:t>
            </w:r>
            <w:r/>
          </w:p>
        </w:tc>
      </w:tr>
      <w:tr>
        <w:trPr>
          <w:trHeight w:val="567"/>
        </w:trPr>
        <w:tc>
          <w:tcPr>
            <w:tcW w:w="649" w:type="dxa"/>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垃圾房、垃圾桶清洁</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垃圾房周边每周清洁2次；垃圾桶、果皮箱夏季每半月清洁1次，</w:t>
            </w:r>
            <w:r>
              <w:rPr>
                <w:rFonts w:hint="default" w:ascii="Times New Roman" w:hAnsi="Times New Roman" w:cs="Times New Roman" w:eastAsiaTheme="minorEastAsia"/>
                <w:color w:val="auto"/>
                <w:sz w:val="21"/>
                <w:szCs w:val="21"/>
                <w:highlight w:val="none"/>
                <w:lang w:val="en-US" w:eastAsia="zh-CN"/>
              </w:rPr>
              <w:t xml:space="preserve">生活垃圾日产日清</w:t>
            </w:r>
            <w:r>
              <w:rPr>
                <w:rFonts w:hint="default" w:ascii="Times New Roman" w:hAnsi="Times New Roman" w:cs="Times New Roman" w:eastAsiaTheme="minorEastAsia"/>
                <w:color w:val="auto"/>
                <w:sz w:val="21"/>
                <w:szCs w:val="21"/>
                <w:highlight w:val="none"/>
              </w:rPr>
              <w:t xml:space="preserve">，周围地面无明显散落垃圾</w:t>
            </w:r>
            <w:r/>
          </w:p>
        </w:tc>
      </w:tr>
      <w:tr>
        <w:trPr>
          <w:trHeight w:val="567"/>
        </w:trPr>
        <w:tc>
          <w:tcPr>
            <w:tcW w:w="649" w:type="dxa"/>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5</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消杀及鼠害防治</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每季</w:t>
            </w:r>
            <w:r>
              <w:rPr>
                <w:rFonts w:hint="default" w:ascii="Times New Roman" w:hAnsi="Times New Roman" w:cs="Times New Roman" w:eastAsiaTheme="minorEastAsia"/>
                <w:color w:val="auto"/>
                <w:sz w:val="21"/>
                <w:szCs w:val="21"/>
                <w:highlight w:val="none"/>
                <w:lang w:eastAsia="zh-CN"/>
              </w:rPr>
              <w:t xml:space="preserve">度</w:t>
            </w:r>
            <w:r>
              <w:rPr>
                <w:rFonts w:hint="default" w:ascii="Times New Roman" w:hAnsi="Times New Roman" w:cs="Times New Roman" w:eastAsiaTheme="minorEastAsia"/>
                <w:color w:val="auto"/>
                <w:sz w:val="21"/>
                <w:szCs w:val="21"/>
                <w:highlight w:val="none"/>
              </w:rPr>
              <w:t xml:space="preserve">对窨井、明沟、垃圾箱（房）等喷洒药水1次（夏季每月1次），协助社区居委会</w:t>
            </w:r>
            <w:r>
              <w:rPr>
                <w:rFonts w:hint="default" w:ascii="Times New Roman" w:hAnsi="Times New Roman" w:cs="Times New Roman" w:eastAsiaTheme="minorEastAsia"/>
                <w:color w:val="auto"/>
                <w:sz w:val="21"/>
                <w:szCs w:val="21"/>
                <w:highlight w:val="none"/>
                <w:lang w:eastAsia="zh-CN"/>
              </w:rPr>
              <w:t xml:space="preserve">、小区管理办公室</w:t>
            </w:r>
            <w:r>
              <w:rPr>
                <w:rFonts w:hint="default" w:ascii="Times New Roman" w:hAnsi="Times New Roman" w:cs="Times New Roman" w:eastAsiaTheme="minorEastAsia"/>
                <w:color w:val="auto"/>
                <w:sz w:val="21"/>
                <w:szCs w:val="21"/>
                <w:highlight w:val="none"/>
              </w:rPr>
              <w:t xml:space="preserve">开展鼠害防治</w:t>
            </w:r>
            <w:r/>
          </w:p>
        </w:tc>
      </w:tr>
      <w:tr>
        <w:trPr>
          <w:trHeight w:val="567"/>
        </w:trPr>
        <w:tc>
          <w:tcPr>
            <w:tcW w:w="649" w:type="dxa"/>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6</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公共灯具（2米以下）、宣传栏、标识、雕塑小品等</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每月擦抹1次，擦抹后目视无灰尘</w:t>
            </w:r>
            <w:r/>
          </w:p>
        </w:tc>
      </w:tr>
      <w:tr>
        <w:trPr>
          <w:trHeight w:val="567"/>
        </w:trPr>
        <w:tc>
          <w:tcPr>
            <w:tcW w:w="649" w:type="dxa"/>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7</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休闲娱乐健身设施</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每周擦抹1次，擦抹后目视无灰尘</w:t>
            </w:r>
            <w:r/>
          </w:p>
        </w:tc>
      </w:tr>
      <w:tr>
        <w:trPr>
          <w:trHeight w:val="567"/>
        </w:trPr>
        <w:tc>
          <w:tcPr>
            <w:tcW w:w="649" w:type="dxa"/>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8</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水景、喷水池</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w:t>
            </w:r>
            <w:r>
              <w:rPr>
                <w:rFonts w:hint="default" w:ascii="Times New Roman" w:hAnsi="Times New Roman" w:cs="Times New Roman" w:eastAsiaTheme="minorEastAsia"/>
                <w:color w:val="auto"/>
                <w:sz w:val="21"/>
                <w:szCs w:val="21"/>
                <w:highlight w:val="none"/>
                <w:lang w:eastAsia="zh-CN"/>
              </w:rPr>
              <w:t xml:space="preserve">天</w:t>
            </w:r>
            <w:r>
              <w:rPr>
                <w:rFonts w:hint="default" w:ascii="Times New Roman" w:hAnsi="Times New Roman" w:cs="Times New Roman" w:eastAsiaTheme="minorEastAsia"/>
                <w:color w:val="auto"/>
                <w:sz w:val="21"/>
                <w:szCs w:val="21"/>
                <w:highlight w:val="none"/>
              </w:rPr>
              <w:t xml:space="preserve">打捞漂浮物1次，打捞后无白色垃圾等漂浮物</w:t>
            </w:r>
            <w:r/>
          </w:p>
        </w:tc>
      </w:tr>
      <w:tr>
        <w:trPr>
          <w:trHeight w:val="567"/>
        </w:trPr>
        <w:tc>
          <w:tcPr>
            <w:tcW w:w="649" w:type="dxa"/>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9</w:t>
            </w:r>
            <w:r/>
          </w:p>
        </w:tc>
        <w:tc>
          <w:tcPr>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单元</w:t>
            </w:r>
            <w:r>
              <w:rPr>
                <w:rFonts w:hint="default" w:ascii="Times New Roman" w:hAnsi="Times New Roman" w:cs="Times New Roman" w:eastAsiaTheme="minorEastAsia"/>
                <w:color w:val="auto"/>
                <w:sz w:val="21"/>
                <w:szCs w:val="21"/>
                <w:highlight w:val="none"/>
                <w:lang w:eastAsia="zh-CN"/>
              </w:rPr>
              <w:t xml:space="preserve">雨篷</w:t>
            </w:r>
            <w:r>
              <w:rPr>
                <w:rFonts w:hint="default" w:ascii="Times New Roman" w:hAnsi="Times New Roman" w:cs="Times New Roman" w:eastAsiaTheme="minorEastAsia"/>
                <w:color w:val="auto"/>
                <w:sz w:val="21"/>
                <w:szCs w:val="21"/>
                <w:highlight w:val="none"/>
              </w:rPr>
              <w:t xml:space="preserve">、架空层玻璃景观房</w:t>
            </w:r>
            <w:r/>
          </w:p>
        </w:tc>
        <w:tc>
          <w:tcPr>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每半年清理1次，确保无污渍</w:t>
            </w:r>
            <w:r/>
          </w:p>
        </w:tc>
      </w:tr>
      <w:tr>
        <w:trPr>
          <w:trHeight w:val="567"/>
        </w:trPr>
        <w:tc>
          <w:tcPr>
            <w:tcW w:w="649" w:type="dxa"/>
            <w:vMerge w:val="continue"/>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611"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10</w:t>
            </w:r>
            <w:r/>
          </w:p>
        </w:tc>
        <w:tc>
          <w:tcPr>
            <w:shd w:val="clear" w:color="auto" w:fill="auto"/>
            <w:tcW w:w="2273" w:type="dxa"/>
            <w:vAlign w:val="center"/>
            <w:textDirection w:val="lrTb"/>
            <w:noWrap w:val="false"/>
          </w:tcPr>
          <w:p>
            <w:pPr>
              <w:ind w:left="0" w:right="0"/>
              <w:jc w:val="center"/>
              <w:keepLines w:val="0"/>
              <w:keepNext w:val="0"/>
              <w:pageBreakBefore w:val="0"/>
              <w:spacing w:line="300" w:lineRule="exact"/>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屋面</w:t>
            </w:r>
            <w:r/>
          </w:p>
        </w:tc>
        <w:tc>
          <w:tcPr>
            <w:shd w:val="clear" w:color="auto" w:fill="auto"/>
            <w:tcW w:w="5386" w:type="dxa"/>
            <w:vAlign w:val="center"/>
            <w:textDirection w:val="lrTb"/>
            <w:noWrap w:val="false"/>
          </w:tcPr>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每半月清理1次，确保无杂物，发现屋面存在种植、饲养宠物等违规行为的，应及时劝阻并报告</w:t>
            </w:r>
            <w:r/>
          </w:p>
        </w:tc>
      </w:tr>
    </w:tbl>
    <w:p>
      <w:pPr>
        <w:ind w:left="0" w:right="0"/>
        <w:keepLines w:val="0"/>
        <w:keepNext w:val="0"/>
        <w:pageBreakBefore w:val="0"/>
        <w:spacing w:line="300" w:lineRule="exact"/>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pStyle w:val="631"/>
        <w:ind w:left="0" w:right="0"/>
        <w:pageBreakBefore w:val="0"/>
        <w:spacing w:before="0" w:after="0"/>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r>
      <w:r/>
    </w:p>
    <w:p>
      <w:pPr>
        <w:ind w:left="0" w:right="0"/>
        <w:pageBreakBefore w:val="0"/>
        <w:spacing w:line="400" w:lineRule="exact"/>
        <w:widowControl/>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r>
      <w:r/>
    </w:p>
    <w:p>
      <w:pPr>
        <w:ind w:left="254" w:right="0" w:hanging="254"/>
        <w:pageBreakBefore w:val="0"/>
        <w:spacing w:line="400" w:lineRule="exact"/>
        <w:rPr>
          <w:rFonts w:hint="default" w:ascii="Times New Roman" w:hAnsi="Times New Roman" w:cs="Times New Roman" w:eastAsiaTheme="minorEastAsia"/>
          <w:color w:val="auto"/>
          <w:sz w:val="28"/>
          <w:szCs w:val="28"/>
          <w:highlight w:val="none"/>
        </w:rPr>
      </w:pPr>
      <w:r>
        <w:rPr>
          <w:rFonts w:hint="default" w:ascii="Times New Roman" w:hAnsi="Times New Roman" w:cs="Times New Roman" w:eastAsiaTheme="minorEastAsia"/>
          <w:color w:val="auto"/>
          <w:sz w:val="28"/>
          <w:szCs w:val="28"/>
          <w:highlight w:val="none"/>
        </w:rPr>
        <w:t xml:space="preserve">3.共用部位和共用设施设备日常维护保养服务</w:t>
      </w:r>
      <w:r/>
    </w:p>
    <w:tbl>
      <w:tblPr>
        <w:tblStyle w:val="641"/>
        <w:tblW w:w="9299"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535"/>
        <w:gridCol w:w="1783"/>
        <w:gridCol w:w="6182"/>
      </w:tblGrid>
      <w:tr>
        <w:trPr>
          <w:trHeight w:val="791"/>
        </w:trPr>
        <w:tc>
          <w:tcPr>
            <w:tcW w:w="799"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服务项目</w:t>
            </w:r>
            <w:r/>
          </w:p>
        </w:tc>
        <w:tc>
          <w:tcPr>
            <w:tcW w:w="535"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序号</w:t>
            </w:r>
            <w:r/>
          </w:p>
        </w:tc>
        <w:tc>
          <w:tcPr>
            <w:tcW w:w="1783"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内    容</w:t>
            </w:r>
            <w:r/>
          </w:p>
        </w:tc>
        <w:tc>
          <w:tcPr>
            <w:tcW w:w="6182"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服    务    标    准    及    要     求</w:t>
            </w:r>
            <w:r/>
          </w:p>
        </w:tc>
      </w:tr>
      <w:tr>
        <w:trPr>
          <w:trHeight w:val="579"/>
        </w:trPr>
        <w:tc>
          <w:tcPr>
            <w:tcW w:w="799" w:type="dxa"/>
            <w:vAlign w:val="center"/>
            <w:vMerge w:val="restart"/>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共用</w:t>
            </w:r>
            <w:r/>
          </w:p>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部位</w:t>
            </w:r>
            <w:r/>
          </w:p>
        </w:tc>
        <w:tc>
          <w:tcPr>
            <w:tcW w:w="535"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1783"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房屋外立面</w:t>
            </w:r>
            <w:r/>
          </w:p>
        </w:tc>
        <w:tc>
          <w:tcPr>
            <w:tcW w:w="6182"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w:t>
            </w:r>
            <w:r>
              <w:rPr>
                <w:rFonts w:hint="default" w:ascii="Times New Roman" w:hAnsi="Times New Roman" w:cs="Times New Roman" w:eastAsiaTheme="minorEastAsia"/>
                <w:color w:val="auto"/>
                <w:sz w:val="21"/>
                <w:szCs w:val="21"/>
                <w:highlight w:val="none"/>
                <w:lang w:eastAsia="zh-CN"/>
              </w:rPr>
              <w:t xml:space="preserve">周</w:t>
            </w:r>
            <w:r>
              <w:rPr>
                <w:rFonts w:hint="default" w:ascii="Times New Roman" w:hAnsi="Times New Roman" w:cs="Times New Roman" w:eastAsiaTheme="minorEastAsia"/>
                <w:color w:val="auto"/>
                <w:sz w:val="21"/>
                <w:szCs w:val="21"/>
                <w:highlight w:val="none"/>
              </w:rPr>
              <w:t xml:space="preserve">巡视1次，发现损坏书面告知甲方，并配合甲方进行维修</w:t>
            </w:r>
            <w:r/>
          </w:p>
        </w:tc>
      </w:tr>
      <w:tr>
        <w:trPr>
          <w:trHeight w:val="579"/>
        </w:trPr>
        <w:tc>
          <w:tcPr>
            <w:tcW w:w="799" w:type="dxa"/>
            <w:vAlign w:val="center"/>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35"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1783"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屋顶</w:t>
            </w:r>
            <w:r/>
          </w:p>
        </w:tc>
        <w:tc>
          <w:tcPr>
            <w:tcW w:w="6182"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w:t>
            </w:r>
            <w:r>
              <w:rPr>
                <w:rFonts w:hint="default" w:ascii="Times New Roman" w:hAnsi="Times New Roman" w:cs="Times New Roman" w:eastAsiaTheme="minorEastAsia"/>
                <w:color w:val="auto"/>
                <w:sz w:val="21"/>
                <w:szCs w:val="21"/>
                <w:highlight w:val="none"/>
                <w:lang w:eastAsia="zh-CN"/>
              </w:rPr>
              <w:t xml:space="preserve">月</w:t>
            </w:r>
            <w:r>
              <w:rPr>
                <w:rFonts w:hint="default" w:ascii="Times New Roman" w:hAnsi="Times New Roman" w:cs="Times New Roman" w:eastAsiaTheme="minorEastAsia"/>
                <w:color w:val="auto"/>
                <w:sz w:val="21"/>
                <w:szCs w:val="21"/>
                <w:highlight w:val="none"/>
              </w:rPr>
              <w:t xml:space="preserve">巡视1次，发现损坏书面告知甲方，并配合甲方进行维修</w:t>
            </w:r>
            <w:r/>
          </w:p>
        </w:tc>
      </w:tr>
      <w:tr>
        <w:trPr>
          <w:trHeight w:val="579"/>
        </w:trPr>
        <w:tc>
          <w:tcPr>
            <w:tcW w:w="799" w:type="dxa"/>
            <w:vAlign w:val="center"/>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35"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W w:w="1783"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单元门、楼道窗</w:t>
            </w:r>
            <w:r/>
          </w:p>
        </w:tc>
        <w:tc>
          <w:tcPr>
            <w:tcW w:w="6182"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每月巡视1次，发现损坏书面告知甲方，并配合甲方进行维修</w:t>
            </w:r>
            <w:r/>
          </w:p>
        </w:tc>
      </w:tr>
      <w:tr>
        <w:trPr>
          <w:trHeight w:val="612"/>
        </w:trPr>
        <w:tc>
          <w:tcPr>
            <w:tcW w:w="799" w:type="dxa"/>
            <w:vAlign w:val="center"/>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35"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W w:w="1783"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楼梯间、公共走廊的室内墙地面</w:t>
            </w:r>
            <w:r/>
          </w:p>
        </w:tc>
        <w:tc>
          <w:tcPr>
            <w:tcW w:w="6182"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每半月巡查1次，粉刷层无大面积剥落，地坪平整，单</w:t>
            </w:r>
            <w:r>
              <w:rPr>
                <w:rFonts w:hint="default" w:ascii="Times New Roman" w:hAnsi="Times New Roman" w:cs="Times New Roman" w:eastAsiaTheme="minorEastAsia"/>
                <w:color w:val="auto"/>
                <w:sz w:val="21"/>
                <w:szCs w:val="21"/>
                <w:highlight w:val="none"/>
                <w:lang w:eastAsia="zh-CN"/>
              </w:rPr>
              <w:t xml:space="preserve">面</w:t>
            </w:r>
            <w:r>
              <w:rPr>
                <w:rFonts w:hint="default" w:ascii="Times New Roman" w:hAnsi="Times New Roman" w:cs="Times New Roman" w:eastAsiaTheme="minorEastAsia"/>
                <w:color w:val="auto"/>
                <w:sz w:val="21"/>
                <w:szCs w:val="21"/>
                <w:highlight w:val="none"/>
              </w:rPr>
              <w:t xml:space="preserve">小于</w:t>
            </w:r>
            <w:r>
              <w:rPr>
                <w:rFonts w:hint="default" w:ascii="Times New Roman" w:hAnsi="Times New Roman" w:cs="Times New Roman" w:eastAsiaTheme="minorEastAsia"/>
                <w:color w:val="auto"/>
                <w:sz w:val="21"/>
                <w:szCs w:val="21"/>
                <w:highlight w:val="none"/>
                <w:lang w:val="en-US" w:eastAsia="zh-CN"/>
              </w:rPr>
              <w:t xml:space="preserve">30</w:t>
            </w:r>
            <w:r>
              <w:rPr>
                <w:rFonts w:hint="default" w:ascii="Times New Roman" w:hAnsi="Times New Roman" w:cs="Times New Roman" w:eastAsiaTheme="minorEastAsia"/>
                <w:color w:val="auto"/>
                <w:sz w:val="21"/>
                <w:szCs w:val="21"/>
                <w:highlight w:val="none"/>
              </w:rPr>
              <w:t xml:space="preserve">平方米，有缺损及时修补</w:t>
            </w:r>
            <w:r/>
          </w:p>
        </w:tc>
      </w:tr>
      <w:tr>
        <w:trPr>
          <w:trHeight w:val="889"/>
        </w:trPr>
        <w:tc>
          <w:tcPr>
            <w:tcW w:w="799" w:type="dxa"/>
            <w:vAlign w:val="center"/>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35"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5</w:t>
            </w:r>
            <w:r/>
          </w:p>
        </w:tc>
        <w:tc>
          <w:tcPr>
            <w:tcW w:w="1783"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道路、路牙、窨井盖</w:t>
            </w:r>
            <w:r/>
          </w:p>
        </w:tc>
        <w:tc>
          <w:tcPr>
            <w:tcW w:w="6182" w:type="dxa"/>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每半月1次对道路、路牙、窨井盖进行巡视，道路破损面积单项小于1.5平方米，路牙单项破损及时修复</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井盖发现缺损或住户报告缺损的，及时更换</w:t>
            </w:r>
            <w:r/>
          </w:p>
        </w:tc>
      </w:tr>
      <w:tr>
        <w:trPr>
          <w:trHeight w:val="612"/>
        </w:trPr>
        <w:tc>
          <w:tcPr>
            <w:tcW w:w="799" w:type="dxa"/>
            <w:vAlign w:val="center"/>
            <w:vMerge w:val="restart"/>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水电</w:t>
            </w:r>
            <w:r/>
          </w:p>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系统</w:t>
            </w:r>
            <w:r/>
          </w:p>
        </w:tc>
        <w:tc>
          <w:tcPr>
            <w:tcW w:w="535"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1783"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排水设施</w:t>
            </w:r>
            <w:r/>
          </w:p>
        </w:tc>
        <w:tc>
          <w:tcPr>
            <w:tcW w:w="6182"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每月清扫1次排水明沟；楼顶每年巡查清理雨水口1次；每年疏通</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lang w:val="en-US" w:eastAsia="zh-CN"/>
              </w:rPr>
              <w:t xml:space="preserve">清理</w:t>
            </w:r>
            <w:r>
              <w:rPr>
                <w:rFonts w:hint="default" w:ascii="Times New Roman" w:hAnsi="Times New Roman" w:cs="Times New Roman" w:eastAsiaTheme="minorEastAsia"/>
                <w:color w:val="auto"/>
                <w:sz w:val="21"/>
                <w:szCs w:val="21"/>
                <w:highlight w:val="none"/>
              </w:rPr>
              <w:t xml:space="preserve">窨井及化粪池2次；雨水口开裂、破损等及时更换</w:t>
            </w:r>
            <w:r/>
          </w:p>
        </w:tc>
      </w:tr>
      <w:tr>
        <w:trPr>
          <w:trHeight w:val="612"/>
        </w:trPr>
        <w:tc>
          <w:tcPr>
            <w:tcW w:w="799"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35"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1783"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配电房的巡检、保洁、年检</w:t>
            </w:r>
            <w:r/>
          </w:p>
        </w:tc>
        <w:tc>
          <w:tcPr>
            <w:tcW w:w="6182"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每月保洁1次，采取措施杜绝虫鼠害，配合供电部门做好供配电系统年检工作</w:t>
            </w:r>
            <w:r/>
          </w:p>
        </w:tc>
      </w:tr>
      <w:tr>
        <w:trPr>
          <w:trHeight w:val="612"/>
        </w:trPr>
        <w:tc>
          <w:tcPr>
            <w:tcW w:w="799"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35"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W w:w="1783"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室内室外公共电气柜</w:t>
            </w:r>
            <w:r/>
          </w:p>
        </w:tc>
        <w:tc>
          <w:tcPr>
            <w:tcW w:w="6182"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每月进行巡视、保洁1次，配合相关部门做好电气安全检查</w:t>
            </w:r>
            <w:r/>
          </w:p>
        </w:tc>
      </w:tr>
      <w:tr>
        <w:trPr>
          <w:trHeight w:val="579"/>
        </w:trPr>
        <w:tc>
          <w:tcPr>
            <w:tcW w:w="799"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35"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W w:w="1783"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楼道灯及开关</w:t>
            </w:r>
            <w:r/>
          </w:p>
        </w:tc>
        <w:tc>
          <w:tcPr>
            <w:tcW w:w="6182"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每月全面巡视与维护1次，楼道灯完好率为</w:t>
            </w:r>
            <w:r>
              <w:rPr>
                <w:rFonts w:hint="default" w:ascii="Times New Roman" w:hAnsi="Times New Roman" w:cs="Times New Roman" w:eastAsiaTheme="minorEastAsia"/>
                <w:color w:val="auto"/>
                <w:sz w:val="21"/>
                <w:szCs w:val="21"/>
                <w:highlight w:val="none"/>
                <w:lang w:val="en-US" w:eastAsia="zh-CN"/>
              </w:rPr>
              <w:t xml:space="preserve">100</w:t>
            </w:r>
            <w:r>
              <w:rPr>
                <w:rFonts w:hint="default" w:ascii="Times New Roman" w:hAnsi="Times New Roman" w:cs="Times New Roman" w:eastAsiaTheme="minorEastAsia"/>
                <w:color w:val="auto"/>
                <w:sz w:val="21"/>
                <w:szCs w:val="21"/>
                <w:highlight w:val="none"/>
              </w:rPr>
              <w:t xml:space="preserve">%</w:t>
            </w:r>
            <w:r/>
          </w:p>
        </w:tc>
      </w:tr>
      <w:tr>
        <w:trPr>
          <w:trHeight w:val="589"/>
        </w:trPr>
        <w:tc>
          <w:tcPr>
            <w:tcW w:w="799"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35"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5</w:t>
            </w:r>
            <w:r/>
          </w:p>
        </w:tc>
        <w:tc>
          <w:tcPr>
            <w:tcW w:w="1783"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景观灯</w:t>
            </w:r>
            <w:r/>
          </w:p>
        </w:tc>
        <w:tc>
          <w:tcPr>
            <w:tcW w:w="6182"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每月全面巡视与维护1次，景观灯完好率</w:t>
            </w:r>
            <w:r>
              <w:rPr>
                <w:rFonts w:hint="default" w:ascii="Times New Roman" w:hAnsi="Times New Roman" w:cs="Times New Roman" w:eastAsiaTheme="minorEastAsia"/>
                <w:color w:val="auto"/>
                <w:sz w:val="21"/>
                <w:szCs w:val="21"/>
                <w:highlight w:val="none"/>
                <w:lang w:val="en-US" w:eastAsia="zh-CN"/>
              </w:rPr>
              <w:t xml:space="preserve">100</w:t>
            </w:r>
            <w:r>
              <w:rPr>
                <w:rFonts w:hint="default" w:ascii="Times New Roman" w:hAnsi="Times New Roman" w:cs="Times New Roman" w:eastAsiaTheme="minorEastAsia"/>
                <w:color w:val="auto"/>
                <w:sz w:val="21"/>
                <w:szCs w:val="21"/>
                <w:highlight w:val="none"/>
              </w:rPr>
              <w:t xml:space="preserve">%</w:t>
            </w:r>
            <w:r/>
          </w:p>
        </w:tc>
      </w:tr>
    </w:tbl>
    <w:p>
      <w:pPr>
        <w:ind w:left="0" w:right="0"/>
        <w:pageBreakBefore w:val="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0" w:right="0"/>
        <w:pageBreakBefore w:val="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left="0" w:right="0"/>
        <w:pageBreakBefore w:val="0"/>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r>
      <w:r/>
    </w:p>
    <w:p>
      <w:pPr>
        <w:ind w:left="254" w:right="0" w:hanging="254"/>
        <w:pageBreakBefore w:val="0"/>
        <w:spacing w:line="400" w:lineRule="exact"/>
        <w:rPr>
          <w:rFonts w:hint="default" w:ascii="Times New Roman" w:hAnsi="Times New Roman" w:cs="Times New Roman" w:eastAsiaTheme="minorEastAsia"/>
          <w:color w:val="auto"/>
          <w:sz w:val="28"/>
          <w:szCs w:val="28"/>
          <w:highlight w:val="none"/>
        </w:rPr>
      </w:pPr>
      <w:r>
        <w:rPr>
          <w:rFonts w:hint="default" w:ascii="Times New Roman" w:hAnsi="Times New Roman" w:cs="Times New Roman" w:eastAsiaTheme="minorEastAsia"/>
          <w:color w:val="auto"/>
          <w:sz w:val="28"/>
          <w:szCs w:val="28"/>
          <w:highlight w:val="none"/>
        </w:rPr>
        <w:t xml:space="preserve">4.共用设施设备日常维护保养服务</w:t>
      </w:r>
      <w:r/>
    </w:p>
    <w:tbl>
      <w:tblPr>
        <w:tblStyle w:val="641"/>
        <w:tblW w:w="9944" w:type="dxa"/>
        <w:tblInd w:w="-1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544"/>
        <w:gridCol w:w="2479"/>
        <w:gridCol w:w="6073"/>
      </w:tblGrid>
      <w:tr>
        <w:trPr>
          <w:trHeight w:val="839"/>
        </w:trPr>
        <w:tc>
          <w:tcPr>
            <w:tcW w:w="848"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服务项目</w:t>
            </w:r>
            <w:r/>
          </w:p>
        </w:tc>
        <w:tc>
          <w:tcPr>
            <w:tcW w:w="544"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序号</w:t>
            </w:r>
            <w:r/>
          </w:p>
        </w:tc>
        <w:tc>
          <w:tcPr>
            <w:tcW w:w="2479"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内   容</w:t>
            </w:r>
            <w:r/>
          </w:p>
        </w:tc>
        <w:tc>
          <w:tcPr>
            <w:tcW w:w="6073"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服    务    标    准    及    要     求</w:t>
            </w:r>
            <w:r/>
          </w:p>
        </w:tc>
      </w:tr>
      <w:tr>
        <w:trPr>
          <w:trHeight w:val="567"/>
        </w:trPr>
        <w:tc>
          <w:tcPr>
            <w:tcW w:w="848" w:type="dxa"/>
            <w:vAlign w:val="center"/>
            <w:vMerge w:val="restart"/>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消防</w:t>
            </w:r>
            <w:r/>
          </w:p>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系统</w:t>
            </w:r>
            <w:r/>
          </w:p>
        </w:tc>
        <w:tc>
          <w:tcPr>
            <w:tcW w:w="544" w:type="dxa"/>
            <w:vMerge w:val="restart"/>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填写记录，建档备查，消防设施管理</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每月检查1次消防设施，发现故障及时处理</w:t>
            </w:r>
            <w:r/>
          </w:p>
        </w:tc>
      </w:tr>
      <w:tr>
        <w:trPr>
          <w:trHeight w:val="434"/>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消防演习</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w:t>
            </w:r>
            <w:r>
              <w:rPr>
                <w:rFonts w:hint="default" w:ascii="Times New Roman" w:hAnsi="Times New Roman" w:cs="Times New Roman" w:eastAsiaTheme="minorEastAsia"/>
                <w:color w:val="auto"/>
                <w:sz w:val="21"/>
                <w:szCs w:val="21"/>
                <w:highlight w:val="none"/>
                <w:lang w:eastAsia="zh-CN"/>
              </w:rPr>
              <w:t xml:space="preserve">季度</w:t>
            </w:r>
            <w:r>
              <w:rPr>
                <w:rFonts w:hint="default" w:ascii="Times New Roman" w:hAnsi="Times New Roman" w:cs="Times New Roman" w:eastAsiaTheme="minorEastAsia"/>
                <w:color w:val="auto"/>
                <w:sz w:val="21"/>
                <w:szCs w:val="21"/>
                <w:highlight w:val="none"/>
              </w:rPr>
              <w:t xml:space="preserve">演习1次，要求每人都有应对能力</w:t>
            </w:r>
            <w:r/>
          </w:p>
        </w:tc>
      </w:tr>
      <w:tr>
        <w:trPr>
          <w:trHeight w:val="435"/>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灭火器</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w:t>
            </w:r>
            <w:r>
              <w:rPr>
                <w:rFonts w:hint="default" w:ascii="Times New Roman" w:hAnsi="Times New Roman" w:cs="Times New Roman" w:eastAsiaTheme="minorEastAsia"/>
                <w:color w:val="auto"/>
                <w:sz w:val="21"/>
                <w:szCs w:val="21"/>
                <w:highlight w:val="none"/>
                <w:lang w:eastAsia="zh-CN"/>
              </w:rPr>
              <w:t xml:space="preserve">月</w:t>
            </w:r>
            <w:r>
              <w:rPr>
                <w:rFonts w:hint="default" w:ascii="Times New Roman" w:hAnsi="Times New Roman" w:cs="Times New Roman" w:eastAsiaTheme="minorEastAsia"/>
                <w:color w:val="auto"/>
                <w:sz w:val="21"/>
                <w:szCs w:val="21"/>
                <w:highlight w:val="none"/>
              </w:rPr>
              <w:t xml:space="preserve">检查1次，发现压力不够，及时更换</w:t>
            </w:r>
            <w:r/>
          </w:p>
        </w:tc>
      </w:tr>
      <w:tr>
        <w:trPr>
          <w:trHeight w:val="56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3</w:t>
            </w:r>
            <w:r/>
          </w:p>
        </w:tc>
        <w:tc>
          <w:tcPr>
            <w:shd w:val="clear" w:color="auto" w:fill="auto"/>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eastAsia="zh-CN"/>
              </w:rPr>
              <w:t xml:space="preserve">公共区域烟感探测器及消防喷淋系统</w:t>
            </w:r>
            <w:r/>
          </w:p>
        </w:tc>
        <w:tc>
          <w:tcPr>
            <w:shd w:val="clear" w:color="auto" w:fill="auto"/>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每</w:t>
            </w:r>
            <w:r>
              <w:rPr>
                <w:rFonts w:hint="default" w:ascii="Times New Roman" w:hAnsi="Times New Roman" w:cs="Times New Roman" w:eastAsiaTheme="minorEastAsia"/>
                <w:color w:val="auto"/>
                <w:sz w:val="21"/>
                <w:szCs w:val="21"/>
                <w:highlight w:val="none"/>
                <w:lang w:val="en-US" w:eastAsia="zh-CN"/>
              </w:rPr>
              <w:t xml:space="preserve">月</w:t>
            </w:r>
            <w:r>
              <w:rPr>
                <w:rFonts w:hint="default" w:ascii="Times New Roman" w:hAnsi="Times New Roman" w:cs="Times New Roman" w:eastAsiaTheme="minorEastAsia"/>
                <w:color w:val="auto"/>
                <w:sz w:val="21"/>
                <w:szCs w:val="21"/>
                <w:highlight w:val="none"/>
              </w:rPr>
              <w:t xml:space="preserve">检查1次，发现故障及时处理</w:t>
            </w:r>
            <w:r/>
          </w:p>
        </w:tc>
      </w:tr>
      <w:tr>
        <w:trPr>
          <w:trHeight w:val="434"/>
        </w:trPr>
        <w:tc>
          <w:tcPr>
            <w:tcW w:w="848" w:type="dxa"/>
            <w:vAlign w:val="center"/>
            <w:vMerge w:val="restart"/>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智能化系统</w:t>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监控系统</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每半年检查保养1次，发现故障及时处理</w:t>
            </w:r>
            <w:r/>
          </w:p>
        </w:tc>
      </w:tr>
      <w:tr>
        <w:trPr>
          <w:trHeight w:val="461"/>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周界报警系统</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每半年检查保养1次，发现故障及时处理</w:t>
            </w:r>
            <w:r/>
          </w:p>
        </w:tc>
      </w:tr>
      <w:tr>
        <w:trPr>
          <w:trHeight w:val="56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巡更系统</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每半年检查保养1次，发现故障及时处理</w:t>
            </w:r>
            <w:r/>
          </w:p>
        </w:tc>
      </w:tr>
      <w:tr>
        <w:trPr>
          <w:trHeight w:val="434"/>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单元对讲系统</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每半年检查保养1次，发现故障及时处理</w:t>
            </w:r>
            <w:r/>
          </w:p>
        </w:tc>
      </w:tr>
      <w:tr>
        <w:trPr>
          <w:trHeight w:val="56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5</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家居安防系统</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每半年检查保养1次，发现故障及时处理</w:t>
            </w:r>
            <w:r/>
          </w:p>
        </w:tc>
      </w:tr>
      <w:tr>
        <w:trPr>
          <w:trHeight w:val="420"/>
        </w:trPr>
        <w:tc>
          <w:tcPr>
            <w:tcW w:w="848" w:type="dxa"/>
            <w:vAlign w:val="center"/>
            <w:vMerge w:val="restart"/>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其他</w:t>
            </w:r>
            <w:r/>
          </w:p>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设施</w:t>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喷泉、水景</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运行期间每天巡视，发现故障及时处理</w:t>
            </w:r>
            <w:r/>
          </w:p>
        </w:tc>
      </w:tr>
      <w:tr>
        <w:trPr>
          <w:trHeight w:val="56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电子广告牌</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每天巡检1次，发现故障及时处理</w:t>
            </w:r>
            <w:r/>
          </w:p>
        </w:tc>
      </w:tr>
      <w:tr>
        <w:trPr>
          <w:trHeight w:val="56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3</w:t>
            </w:r>
            <w:r/>
          </w:p>
        </w:tc>
        <w:tc>
          <w:tcPr>
            <w:shd w:val="clear" w:color="auto" w:fill="auto"/>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公共音响</w:t>
            </w:r>
            <w:r/>
          </w:p>
        </w:tc>
        <w:tc>
          <w:tcPr>
            <w:shd w:val="clear" w:color="auto" w:fill="auto"/>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 xml:space="preserve">每周检测1次，发现故障及时处理</w:t>
            </w:r>
            <w:r/>
          </w:p>
        </w:tc>
      </w:tr>
      <w:tr>
        <w:trPr>
          <w:trHeight w:val="56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4</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eastAsia="zh-CN"/>
              </w:rPr>
              <w:t xml:space="preserve">停车棚及充电桩设备</w:t>
            </w:r>
            <w:r/>
          </w:p>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eastAsia="zh-CN"/>
              </w:rPr>
              <w:t xml:space="preserve">（含配套设施）</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每周检测1次，发现故障及时处理</w:t>
            </w:r>
            <w:r/>
          </w:p>
        </w:tc>
      </w:tr>
      <w:tr>
        <w:trPr>
          <w:trHeight w:val="56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5</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草坪喷淋系统</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每周维护1次喷淋头调节，总阀门维护，发现故障及时处理</w:t>
            </w:r>
            <w:r/>
          </w:p>
        </w:tc>
      </w:tr>
      <w:tr>
        <w:trPr>
          <w:trHeight w:val="56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6</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道闸</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每天检查1次，每月对道闸润滑保养1次，发现故障及时处理</w:t>
            </w:r>
            <w:r/>
          </w:p>
        </w:tc>
      </w:tr>
      <w:tr>
        <w:trPr>
          <w:trHeight w:val="56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7</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伸缩门</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每天检查1次，每月对伸缩门润滑、紧固、调整1次，发现故障及时处理</w:t>
            </w:r>
            <w:r/>
          </w:p>
        </w:tc>
      </w:tr>
      <w:tr>
        <w:trPr>
          <w:trHeight w:val="434"/>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8</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标识系统</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每周巡查1次，缺失及时补齐，标识清晰完整</w:t>
            </w:r>
            <w:r/>
          </w:p>
        </w:tc>
      </w:tr>
      <w:tr>
        <w:trPr>
          <w:trHeight w:val="56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 xml:space="preserve">9</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接地系统检查（避雷设施）</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每年检查1次，发现腐蚀、松脱等及时更换或紧固</w:t>
            </w:r>
            <w:r/>
          </w:p>
        </w:tc>
      </w:tr>
      <w:tr>
        <w:trPr>
          <w:trHeight w:val="407"/>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10</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泵房</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每天巡查、保洁1次，发现故障及时处理</w:t>
            </w:r>
            <w:r/>
          </w:p>
        </w:tc>
      </w:tr>
      <w:tr>
        <w:trPr>
          <w:trHeight w:val="458"/>
        </w:trPr>
        <w:tc>
          <w:tcPr>
            <w:tcW w:w="848" w:type="dxa"/>
            <w:vMerge w:val="continue"/>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tc>
        <w:tc>
          <w:tcPr>
            <w:tcW w:w="54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1</w:t>
            </w:r>
            <w:r>
              <w:rPr>
                <w:rFonts w:hint="default" w:ascii="Times New Roman" w:hAnsi="Times New Roman" w:cs="Times New Roman" w:eastAsiaTheme="minorEastAsia"/>
                <w:color w:val="auto"/>
                <w:sz w:val="21"/>
                <w:szCs w:val="21"/>
                <w:highlight w:val="none"/>
                <w:lang w:val="en-US" w:eastAsia="zh-CN"/>
              </w:rPr>
              <w:t xml:space="preserve">1</w:t>
            </w:r>
            <w:r/>
          </w:p>
        </w:tc>
        <w:tc>
          <w:tcPr>
            <w:tcW w:w="2479"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风机房</w:t>
            </w:r>
            <w:r/>
          </w:p>
        </w:tc>
        <w:tc>
          <w:tcPr>
            <w:tcW w:w="607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每月巡查、保洁1次，发现故障及时处理</w:t>
            </w:r>
            <w:r/>
          </w:p>
        </w:tc>
      </w:tr>
    </w:tbl>
    <w:p>
      <w:pPr>
        <w:ind w:left="0" w:right="0"/>
        <w:pageBreakBefore w:val="0"/>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r>
      <w:r/>
    </w:p>
    <w:p>
      <w:pPr>
        <w:ind w:left="0" w:right="0"/>
        <w:pageBreakBefore w:val="0"/>
        <w:spacing w:line="400" w:lineRule="exact"/>
        <w:widowControl/>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t xml:space="preserve">5.公共秩序维护服务</w:t>
      </w:r>
      <w:r/>
    </w:p>
    <w:tbl>
      <w:tblPr>
        <w:tblStyle w:val="641"/>
        <w:tblW w:w="1007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214"/>
        <w:gridCol w:w="8183"/>
      </w:tblGrid>
      <w:tr>
        <w:trPr>
          <w:trHeight w:val="650"/>
        </w:trPr>
        <w:tc>
          <w:tcPr>
            <w:tcBorders>
              <w:top w:val="single" w:color="auto" w:sz="4" w:space="0"/>
            </w:tcBorders>
            <w:tcW w:w="682"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序号</w:t>
            </w:r>
            <w:r/>
          </w:p>
        </w:tc>
        <w:tc>
          <w:tcPr>
            <w:tcBorders>
              <w:top w:val="single" w:color="auto" w:sz="4" w:space="0"/>
            </w:tcBorders>
            <w:tcW w:w="1214"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内 容</w:t>
            </w:r>
            <w:r/>
          </w:p>
        </w:tc>
        <w:tc>
          <w:tcPr>
            <w:tcBorders>
              <w:top w:val="single" w:color="auto" w:sz="4" w:space="0"/>
            </w:tcBorders>
            <w:tcW w:w="8183"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服    务    标    准    及    要     求</w:t>
            </w:r>
            <w:r/>
          </w:p>
        </w:tc>
      </w:tr>
      <w:tr>
        <w:trPr>
          <w:trHeight w:val="567"/>
        </w:trPr>
        <w:tc>
          <w:tcPr>
            <w:tcW w:w="682"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121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人员要求</w:t>
            </w:r>
            <w:r/>
          </w:p>
        </w:tc>
        <w:tc>
          <w:tcPr>
            <w:tcW w:w="818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rPr>
              <w:t xml:space="preserve">（1）专职秩序维护人员，身体健康，工作认真负责</w:t>
            </w:r>
            <w:r/>
          </w:p>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（2）上岗时</w:t>
            </w:r>
            <w:r>
              <w:rPr>
                <w:rFonts w:hint="default" w:ascii="Times New Roman" w:hAnsi="Times New Roman" w:cs="Times New Roman" w:eastAsiaTheme="minorEastAsia"/>
                <w:color w:val="auto"/>
                <w:sz w:val="21"/>
                <w:szCs w:val="21"/>
                <w:highlight w:val="none"/>
                <w:lang w:eastAsia="zh-CN"/>
              </w:rPr>
              <w:t xml:space="preserve">佩戴统一标志</w:t>
            </w:r>
            <w:r>
              <w:rPr>
                <w:rFonts w:hint="default" w:ascii="Times New Roman" w:hAnsi="Times New Roman" w:cs="Times New Roman" w:eastAsiaTheme="minorEastAsia"/>
                <w:color w:val="auto"/>
                <w:sz w:val="21"/>
                <w:szCs w:val="21"/>
                <w:highlight w:val="none"/>
              </w:rPr>
              <w:t xml:space="preserve">，穿戴统一制服，配备对讲装置及必要的安全护卫器械    </w:t>
            </w:r>
            <w:r/>
          </w:p>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（3）每</w:t>
            </w:r>
            <w:r>
              <w:rPr>
                <w:rFonts w:hint="default" w:ascii="Times New Roman" w:hAnsi="Times New Roman" w:cs="Times New Roman" w:eastAsiaTheme="minorEastAsia"/>
                <w:color w:val="auto"/>
                <w:sz w:val="21"/>
                <w:szCs w:val="21"/>
                <w:highlight w:val="none"/>
                <w:lang w:eastAsia="zh-CN"/>
              </w:rPr>
              <w:t xml:space="preserve">季度</w:t>
            </w:r>
            <w:r>
              <w:rPr>
                <w:rFonts w:hint="default" w:ascii="Times New Roman" w:hAnsi="Times New Roman" w:cs="Times New Roman" w:eastAsiaTheme="minorEastAsia"/>
                <w:color w:val="auto"/>
                <w:sz w:val="21"/>
                <w:szCs w:val="21"/>
                <w:highlight w:val="none"/>
              </w:rPr>
              <w:t xml:space="preserve">进行一次安全防范学习，掌握基本安全护卫技能</w:t>
            </w:r>
            <w:r/>
          </w:p>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（4）有一定的安全防范能力，能胜任公共秩序维护工作，能正确使用消防、技防器械和设备</w:t>
            </w:r>
            <w:r/>
          </w:p>
        </w:tc>
      </w:tr>
      <w:tr>
        <w:trPr>
          <w:trHeight w:val="567"/>
        </w:trPr>
        <w:tc>
          <w:tcPr>
            <w:tcW w:w="682"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121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门岗</w:t>
            </w:r>
            <w:r/>
          </w:p>
        </w:tc>
        <w:tc>
          <w:tcPr>
            <w:tcW w:w="818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（1）白天安排专人值班看守，夜班保留一个出入口并有人值班</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lang w:val="en-US" w:eastAsia="zh-CN"/>
              </w:rPr>
              <w:t xml:space="preserve">不能出现睡岗现象</w:t>
            </w:r>
            <w:r>
              <w:rPr>
                <w:rFonts w:hint="default" w:ascii="Times New Roman" w:hAnsi="Times New Roman" w:cs="Times New Roman" w:eastAsiaTheme="minorEastAsia"/>
                <w:color w:val="auto"/>
                <w:sz w:val="21"/>
                <w:szCs w:val="21"/>
                <w:highlight w:val="none"/>
                <w:lang w:eastAsia="zh-CN"/>
              </w:rPr>
              <w:t xml:space="preserve">）</w:t>
            </w:r>
            <w:r>
              <w:rPr>
                <w:rFonts w:hint="default" w:ascii="Times New Roman" w:hAnsi="Times New Roman" w:cs="Times New Roman" w:eastAsiaTheme="minorEastAsia"/>
                <w:color w:val="auto"/>
                <w:sz w:val="21"/>
                <w:szCs w:val="21"/>
                <w:highlight w:val="none"/>
              </w:rPr>
              <w:t xml:space="preserve">。主出入口白天不低于2小时立岗，交接班制度完善，并有工作及交接班记录</w:t>
            </w:r>
            <w:r/>
          </w:p>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（2）对外来送货人员、外来探亲访友人员进入小区，进行问讯并登记，解答业主或物业使用人的询问</w:t>
            </w:r>
            <w:r/>
          </w:p>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（3）对进出小区的车辆进行管理和疏导，保持出入口环境整洁、道路畅通</w:t>
            </w:r>
            <w:r/>
          </w:p>
        </w:tc>
      </w:tr>
      <w:tr>
        <w:trPr>
          <w:trHeight w:val="567"/>
        </w:trPr>
        <w:tc>
          <w:tcPr>
            <w:tcW w:w="682"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W w:w="121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巡逻岗</w:t>
            </w:r>
            <w:r/>
          </w:p>
        </w:tc>
        <w:tc>
          <w:tcPr>
            <w:tcW w:w="818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（1）每</w:t>
            </w:r>
            <w:r>
              <w:rPr>
                <w:rFonts w:hint="default" w:ascii="Times New Roman" w:hAnsi="Times New Roman" w:cs="Times New Roman" w:eastAsiaTheme="minorEastAsia"/>
                <w:color w:val="auto"/>
                <w:sz w:val="21"/>
                <w:szCs w:val="21"/>
                <w:highlight w:val="none"/>
                <w:lang w:val="en-US" w:eastAsia="zh-CN"/>
              </w:rPr>
              <w:t xml:space="preserve">2</w:t>
            </w:r>
            <w:r>
              <w:rPr>
                <w:rFonts w:hint="default" w:ascii="Times New Roman" w:hAnsi="Times New Roman" w:cs="Times New Roman" w:eastAsiaTheme="minorEastAsia"/>
                <w:color w:val="auto"/>
                <w:sz w:val="21"/>
                <w:szCs w:val="21"/>
                <w:highlight w:val="none"/>
              </w:rPr>
              <w:t xml:space="preserve">小时巡查1次，有巡逻记录，设巡更点的应有巡更记录</w:t>
            </w:r>
            <w:r/>
          </w:p>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（2）接到或遇到异常情况或业主或物业使用人紧急求助时，15分钟内到达现场，采取相应措施，并报告物业服务处与相关部门</w:t>
            </w:r>
            <w:r/>
          </w:p>
        </w:tc>
      </w:tr>
      <w:tr>
        <w:trPr>
          <w:trHeight w:val="567"/>
        </w:trPr>
        <w:tc>
          <w:tcPr>
            <w:tcW w:w="682"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W w:w="1214"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监控岗</w:t>
            </w:r>
            <w:r/>
          </w:p>
        </w:tc>
        <w:tc>
          <w:tcPr>
            <w:tcW w:w="818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eastAsia="zh-CN"/>
              </w:rPr>
              <w:t xml:space="preserve">消防控制室24小时值班、每班不少于2人，值班操作人员应当依法取得中级消防设施操作员职业资格证书。</w:t>
            </w:r>
            <w:r>
              <w:rPr>
                <w:rFonts w:hint="default" w:ascii="Times New Roman" w:hAnsi="Times New Roman" w:cs="Times New Roman" w:eastAsiaTheme="minorEastAsia"/>
                <w:color w:val="auto"/>
                <w:sz w:val="21"/>
                <w:szCs w:val="21"/>
                <w:highlight w:val="none"/>
              </w:rPr>
              <w:t xml:space="preserve">发现情况，及时通知秩序维护人员到场处理，同时接受业主或物业使用人求助，解答业主或物业使用人的询问</w:t>
            </w:r>
            <w:r/>
          </w:p>
        </w:tc>
      </w:tr>
      <w:tr>
        <w:trPr>
          <w:trHeight w:val="567"/>
        </w:trPr>
        <w:tc>
          <w:tcPr>
            <w:tcBorders>
              <w:bottom w:val="single" w:color="auto" w:sz="4" w:space="0"/>
            </w:tcBorders>
            <w:tcW w:w="682"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5</w:t>
            </w:r>
            <w:r/>
          </w:p>
        </w:tc>
        <w:tc>
          <w:tcPr>
            <w:tcBorders>
              <w:bottom w:val="single" w:color="auto" w:sz="4" w:space="0"/>
            </w:tcBorders>
            <w:tcW w:w="1214" w:type="dxa"/>
            <w:vAlign w:val="center"/>
            <w:textDirection w:val="lrTb"/>
            <w:noWrap w:val="false"/>
          </w:tcPr>
          <w:p>
            <w:pPr>
              <w:ind w:left="0" w:right="0"/>
              <w:jc w:val="center"/>
              <w:keepLines w:val="0"/>
              <w:keepNext w:val="0"/>
              <w:pageBreakBefore w:val="0"/>
              <w:spacing w:line="24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雨雪风灾害天气管理</w:t>
            </w:r>
            <w:r/>
          </w:p>
        </w:tc>
        <w:tc>
          <w:tcPr>
            <w:tcBorders>
              <w:bottom w:val="single" w:color="auto" w:sz="4" w:space="0"/>
            </w:tcBorders>
            <w:tcW w:w="8183"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灾害天气发生后，对小区进出口、主干道进行清理</w:t>
            </w:r>
            <w:r/>
          </w:p>
        </w:tc>
      </w:tr>
    </w:tbl>
    <w:p>
      <w:pPr>
        <w:ind w:left="0" w:right="0"/>
        <w:pageBreakBefore w:val="0"/>
        <w:spacing w:line="400" w:lineRule="exact"/>
        <w:widowControl/>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r>
      <w:r/>
    </w:p>
    <w:p>
      <w:pPr>
        <w:ind w:left="0" w:right="0"/>
        <w:pageBreakBefore w:val="0"/>
        <w:spacing w:line="400" w:lineRule="exact"/>
        <w:widowControl/>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t xml:space="preserve">6.共用设施设备日常维护保养服务</w:t>
      </w:r>
      <w:r/>
    </w:p>
    <w:tbl>
      <w:tblPr>
        <w:tblStyle w:val="6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8991"/>
      </w:tblGrid>
      <w:tr>
        <w:trPr>
          <w:jc w:val="center"/>
          <w:trHeight w:val="601"/>
        </w:trPr>
        <w:tc>
          <w:tcPr>
            <w:tcW w:w="648"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序号</w:t>
            </w:r>
            <w:r/>
          </w:p>
        </w:tc>
        <w:tc>
          <w:tcPr>
            <w:tcW w:w="8991" w:type="dxa"/>
            <w:vAlign w:val="center"/>
            <w:textDirection w:val="lrTb"/>
            <w:noWrap w:val="false"/>
          </w:tcPr>
          <w:p>
            <w:pPr>
              <w:jc w:val="center"/>
              <w:keepLines w:val="0"/>
              <w:keepNext w:val="0"/>
              <w:pageBreakBefore w:val="0"/>
              <w:spacing w:line="300" w:lineRule="exact"/>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 xml:space="preserve">电</w:t>
            </w:r>
            <w:r>
              <w:rPr>
                <w:rFonts w:hint="eastAsia" w:cs="Times New Roman" w:eastAsiaTheme="minorEastAsia"/>
                <w:b/>
                <w:bCs/>
                <w:color w:val="auto"/>
                <w:sz w:val="21"/>
                <w:szCs w:val="21"/>
                <w:highlight w:val="none"/>
                <w:lang w:val="en-US" w:eastAsia="zh-CN"/>
              </w:rPr>
              <w:t xml:space="preserve">    </w:t>
            </w:r>
            <w:r>
              <w:rPr>
                <w:rFonts w:hint="default" w:ascii="Times New Roman" w:hAnsi="Times New Roman" w:cs="Times New Roman" w:eastAsiaTheme="minorEastAsia"/>
                <w:b/>
                <w:bCs/>
                <w:color w:val="auto"/>
                <w:sz w:val="21"/>
                <w:szCs w:val="21"/>
                <w:highlight w:val="none"/>
              </w:rPr>
              <w:t xml:space="preserve">梯</w:t>
            </w:r>
            <w:r>
              <w:rPr>
                <w:rFonts w:hint="eastAsia" w:cs="Times New Roman" w:eastAsiaTheme="minorEastAsia"/>
                <w:b/>
                <w:bCs/>
                <w:color w:val="auto"/>
                <w:sz w:val="21"/>
                <w:szCs w:val="21"/>
                <w:highlight w:val="none"/>
                <w:lang w:val="en-US" w:eastAsia="zh-CN"/>
              </w:rPr>
              <w:t xml:space="preserve">    </w:t>
            </w:r>
            <w:r>
              <w:rPr>
                <w:rFonts w:hint="default" w:ascii="Times New Roman" w:hAnsi="Times New Roman" w:cs="Times New Roman" w:eastAsiaTheme="minorEastAsia"/>
                <w:b/>
                <w:bCs/>
                <w:color w:val="auto"/>
                <w:sz w:val="21"/>
                <w:szCs w:val="21"/>
                <w:highlight w:val="none"/>
              </w:rPr>
              <w:t xml:space="preserve">维</w:t>
            </w:r>
            <w:r>
              <w:rPr>
                <w:rFonts w:hint="eastAsia" w:cs="Times New Roman" w:eastAsiaTheme="minorEastAsia"/>
                <w:b/>
                <w:bCs/>
                <w:color w:val="auto"/>
                <w:sz w:val="21"/>
                <w:szCs w:val="21"/>
                <w:highlight w:val="none"/>
                <w:lang w:val="en-US" w:eastAsia="zh-CN"/>
              </w:rPr>
              <w:t xml:space="preserve">    </w:t>
            </w:r>
            <w:r>
              <w:rPr>
                <w:rFonts w:hint="default" w:ascii="Times New Roman" w:hAnsi="Times New Roman" w:cs="Times New Roman" w:eastAsiaTheme="minorEastAsia"/>
                <w:b/>
                <w:bCs/>
                <w:color w:val="auto"/>
                <w:sz w:val="21"/>
                <w:szCs w:val="21"/>
                <w:highlight w:val="none"/>
              </w:rPr>
              <w:t xml:space="preserve">护</w:t>
            </w:r>
            <w:r>
              <w:rPr>
                <w:rFonts w:hint="eastAsia" w:cs="Times New Roman" w:eastAsiaTheme="minorEastAsia"/>
                <w:b/>
                <w:bCs/>
                <w:color w:val="auto"/>
                <w:sz w:val="21"/>
                <w:szCs w:val="21"/>
                <w:highlight w:val="none"/>
                <w:lang w:val="en-US" w:eastAsia="zh-CN"/>
              </w:rPr>
              <w:t xml:space="preserve">    </w:t>
            </w:r>
            <w:r>
              <w:rPr>
                <w:rFonts w:hint="default" w:ascii="Times New Roman" w:hAnsi="Times New Roman" w:cs="Times New Roman" w:eastAsiaTheme="minorEastAsia"/>
                <w:b/>
                <w:bCs/>
                <w:color w:val="auto"/>
                <w:sz w:val="21"/>
                <w:szCs w:val="21"/>
                <w:highlight w:val="none"/>
              </w:rPr>
              <w:t xml:space="preserve">保</w:t>
            </w:r>
            <w:r>
              <w:rPr>
                <w:rFonts w:hint="eastAsia" w:cs="Times New Roman" w:eastAsiaTheme="minorEastAsia"/>
                <w:b/>
                <w:bCs/>
                <w:color w:val="auto"/>
                <w:sz w:val="21"/>
                <w:szCs w:val="21"/>
                <w:highlight w:val="none"/>
                <w:lang w:val="en-US" w:eastAsia="zh-CN"/>
              </w:rPr>
              <w:t xml:space="preserve">    </w:t>
            </w:r>
            <w:r>
              <w:rPr>
                <w:rFonts w:hint="default" w:ascii="Times New Roman" w:hAnsi="Times New Roman" w:cs="Times New Roman" w:eastAsiaTheme="minorEastAsia"/>
                <w:b/>
                <w:bCs/>
                <w:color w:val="auto"/>
                <w:sz w:val="21"/>
                <w:szCs w:val="21"/>
                <w:highlight w:val="none"/>
              </w:rPr>
              <w:t xml:space="preserve">养</w:t>
            </w:r>
            <w:r>
              <w:rPr>
                <w:rFonts w:hint="eastAsia" w:cs="Times New Roman" w:eastAsiaTheme="minorEastAsia"/>
                <w:b/>
                <w:bCs/>
                <w:color w:val="auto"/>
                <w:sz w:val="21"/>
                <w:szCs w:val="21"/>
                <w:highlight w:val="none"/>
                <w:lang w:val="en-US" w:eastAsia="zh-CN"/>
              </w:rPr>
              <w:t xml:space="preserve">    </w:t>
            </w:r>
            <w:r>
              <w:rPr>
                <w:rFonts w:hint="default" w:ascii="Times New Roman" w:hAnsi="Times New Roman" w:cs="Times New Roman" w:eastAsiaTheme="minorEastAsia"/>
                <w:b/>
                <w:bCs/>
                <w:color w:val="auto"/>
                <w:sz w:val="21"/>
                <w:szCs w:val="21"/>
                <w:highlight w:val="none"/>
              </w:rPr>
              <w:t xml:space="preserve">服</w:t>
            </w:r>
            <w:r>
              <w:rPr>
                <w:rFonts w:hint="eastAsia" w:cs="Times New Roman" w:eastAsiaTheme="minorEastAsia"/>
                <w:b/>
                <w:bCs/>
                <w:color w:val="auto"/>
                <w:sz w:val="21"/>
                <w:szCs w:val="21"/>
                <w:highlight w:val="none"/>
                <w:lang w:val="en-US" w:eastAsia="zh-CN"/>
              </w:rPr>
              <w:t xml:space="preserve">    </w:t>
            </w:r>
            <w:r>
              <w:rPr>
                <w:rFonts w:hint="default" w:ascii="Times New Roman" w:hAnsi="Times New Roman" w:cs="Times New Roman" w:eastAsiaTheme="minorEastAsia"/>
                <w:b/>
                <w:bCs/>
                <w:color w:val="auto"/>
                <w:sz w:val="21"/>
                <w:szCs w:val="21"/>
                <w:highlight w:val="none"/>
              </w:rPr>
              <w:t xml:space="preserve">务</w:t>
            </w:r>
            <w:r>
              <w:rPr>
                <w:rFonts w:hint="eastAsia" w:cs="Times New Roman" w:eastAsiaTheme="minorEastAsia"/>
                <w:b/>
                <w:bCs/>
                <w:color w:val="auto"/>
                <w:sz w:val="21"/>
                <w:szCs w:val="21"/>
                <w:highlight w:val="none"/>
                <w:lang w:val="en-US" w:eastAsia="zh-CN"/>
              </w:rPr>
              <w:t xml:space="preserve">    </w:t>
            </w:r>
            <w:r>
              <w:rPr>
                <w:rFonts w:hint="default" w:ascii="Times New Roman" w:hAnsi="Times New Roman" w:cs="Times New Roman" w:eastAsiaTheme="minorEastAsia"/>
                <w:b/>
                <w:bCs/>
                <w:color w:val="auto"/>
                <w:sz w:val="21"/>
                <w:szCs w:val="21"/>
                <w:highlight w:val="none"/>
              </w:rPr>
              <w:t xml:space="preserve">标</w:t>
            </w:r>
            <w:r>
              <w:rPr>
                <w:rFonts w:hint="eastAsia" w:cs="Times New Roman" w:eastAsiaTheme="minorEastAsia"/>
                <w:b/>
                <w:bCs/>
                <w:color w:val="auto"/>
                <w:sz w:val="21"/>
                <w:szCs w:val="21"/>
                <w:highlight w:val="none"/>
                <w:lang w:val="en-US" w:eastAsia="zh-CN"/>
              </w:rPr>
              <w:t xml:space="preserve">    </w:t>
            </w:r>
            <w:r>
              <w:rPr>
                <w:rFonts w:hint="default" w:ascii="Times New Roman" w:hAnsi="Times New Roman" w:cs="Times New Roman" w:eastAsiaTheme="minorEastAsia"/>
                <w:b/>
                <w:bCs/>
                <w:color w:val="auto"/>
                <w:sz w:val="21"/>
                <w:szCs w:val="21"/>
                <w:highlight w:val="none"/>
              </w:rPr>
              <w:t xml:space="preserve">准</w:t>
            </w:r>
            <w:r/>
          </w:p>
        </w:tc>
      </w:tr>
      <w:tr>
        <w:trPr>
          <w:jc w:val="center"/>
          <w:trHeight w:val="567"/>
        </w:trPr>
        <w:tc>
          <w:tcPr>
            <w:tcW w:w="648"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1</w:t>
            </w:r>
            <w:r/>
          </w:p>
        </w:tc>
        <w:tc>
          <w:tcPr>
            <w:tcW w:w="8991"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电梯发生一般故障的，专业维修人员4小时内到达现场修理，发生电梯困人或其它重大事件时，物业管理服务人员</w:t>
            </w:r>
            <w:r>
              <w:rPr>
                <w:rFonts w:hint="default" w:ascii="Times New Roman" w:hAnsi="Times New Roman" w:cs="Times New Roman" w:eastAsiaTheme="minorEastAsia"/>
                <w:color w:val="auto"/>
                <w:sz w:val="21"/>
                <w:szCs w:val="21"/>
                <w:highlight w:val="none"/>
                <w:lang w:val="en-US" w:eastAsia="zh-CN"/>
              </w:rPr>
              <w:t xml:space="preserve">5</w:t>
            </w:r>
            <w:r>
              <w:rPr>
                <w:rFonts w:hint="default" w:ascii="Times New Roman" w:hAnsi="Times New Roman" w:cs="Times New Roman" w:eastAsiaTheme="minorEastAsia"/>
                <w:color w:val="auto"/>
                <w:sz w:val="21"/>
                <w:szCs w:val="21"/>
                <w:highlight w:val="none"/>
              </w:rPr>
              <w:t xml:space="preserve">分钟之内到场应急处理，专业人员</w:t>
            </w:r>
            <w:r>
              <w:rPr>
                <w:rFonts w:hint="default" w:ascii="Times New Roman" w:hAnsi="Times New Roman" w:cs="Times New Roman" w:eastAsiaTheme="minorEastAsia"/>
                <w:color w:val="auto"/>
                <w:sz w:val="21"/>
                <w:szCs w:val="21"/>
                <w:highlight w:val="none"/>
                <w:lang w:val="en-US" w:eastAsia="zh-CN"/>
              </w:rPr>
              <w:t xml:space="preserve">30分钟</w:t>
            </w:r>
            <w:r>
              <w:rPr>
                <w:rFonts w:hint="default" w:ascii="Times New Roman" w:hAnsi="Times New Roman" w:cs="Times New Roman" w:eastAsiaTheme="minorEastAsia"/>
                <w:color w:val="auto"/>
                <w:sz w:val="21"/>
                <w:szCs w:val="21"/>
                <w:highlight w:val="none"/>
              </w:rPr>
              <w:t xml:space="preserve">之内到场进行救助</w:t>
            </w:r>
            <w:r/>
          </w:p>
        </w:tc>
      </w:tr>
      <w:tr>
        <w:trPr>
          <w:jc w:val="center"/>
          <w:trHeight w:val="435"/>
        </w:trPr>
        <w:tc>
          <w:tcPr>
            <w:tcW w:w="648"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2</w:t>
            </w:r>
            <w:r/>
          </w:p>
        </w:tc>
        <w:tc>
          <w:tcPr>
            <w:tcW w:w="8991"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设置紧急呼救装置的，应保证24小时完好，发生故障时应确保三方通话</w:t>
            </w:r>
            <w:r/>
          </w:p>
        </w:tc>
      </w:tr>
      <w:tr>
        <w:trPr>
          <w:jc w:val="center"/>
          <w:trHeight w:val="90"/>
        </w:trPr>
        <w:tc>
          <w:tcPr>
            <w:tcW w:w="648"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3</w:t>
            </w:r>
            <w:r/>
          </w:p>
        </w:tc>
        <w:tc>
          <w:tcPr>
            <w:tcW w:w="8991"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保持电梯24小时完好，轿厢内按钮、灯具等配件保持完好，轿厢整洁</w:t>
            </w:r>
            <w:r/>
          </w:p>
        </w:tc>
      </w:tr>
      <w:tr>
        <w:trPr>
          <w:jc w:val="center"/>
          <w:trHeight w:val="421"/>
        </w:trPr>
        <w:tc>
          <w:tcPr>
            <w:tcW w:w="648"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4</w:t>
            </w:r>
            <w:r/>
          </w:p>
        </w:tc>
        <w:tc>
          <w:tcPr>
            <w:tcW w:w="8991"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确定合理的电梯运行时间，经常巡查防止违章使用电梯</w:t>
            </w:r>
            <w:r/>
          </w:p>
        </w:tc>
      </w:tr>
      <w:tr>
        <w:trPr>
          <w:jc w:val="center"/>
          <w:trHeight w:val="475"/>
        </w:trPr>
        <w:tc>
          <w:tcPr>
            <w:tcBorders>
              <w:bottom w:val="single" w:color="auto" w:sz="4" w:space="0"/>
            </w:tcBorders>
            <w:tcW w:w="648"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5</w:t>
            </w:r>
            <w:r/>
          </w:p>
        </w:tc>
        <w:tc>
          <w:tcPr>
            <w:tcW w:w="8991"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委托专业维修保养单位进行定期保养，每年进行安全检测并张贴《安全检验合格》标志</w:t>
            </w:r>
            <w:r/>
          </w:p>
        </w:tc>
      </w:tr>
      <w:tr>
        <w:trPr>
          <w:jc w:val="center"/>
          <w:trHeight w:val="567"/>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6</w:t>
            </w:r>
            <w:r/>
          </w:p>
        </w:tc>
        <w:tc>
          <w:tcPr>
            <w:tcBorders>
              <w:left w:val="single" w:color="auto" w:sz="4" w:space="0"/>
            </w:tcBorders>
            <w:tcW w:w="8991"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电梯维护保养应提前1天通知业主或物业使用人，并尽可能减少对业主或物业使用人正常生活的影响</w:t>
            </w:r>
            <w:r/>
          </w:p>
        </w:tc>
      </w:tr>
      <w:tr>
        <w:trPr>
          <w:jc w:val="center"/>
          <w:trHeight w:val="434"/>
        </w:trPr>
        <w:tc>
          <w:tcPr>
            <w:tcBorders>
              <w:top w:val="single" w:color="auto" w:sz="4" w:space="0"/>
            </w:tcBorders>
            <w:tcW w:w="648"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7</w:t>
            </w:r>
            <w:r/>
          </w:p>
        </w:tc>
        <w:tc>
          <w:tcPr>
            <w:tcW w:w="8991"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定期对机房、轿厢顶和底坑进行检查，发现问题及时处理</w:t>
            </w:r>
            <w:r/>
          </w:p>
        </w:tc>
      </w:tr>
      <w:tr>
        <w:trPr>
          <w:jc w:val="center"/>
          <w:trHeight w:val="390"/>
        </w:trPr>
        <w:tc>
          <w:tcPr>
            <w:tcBorders>
              <w:top w:val="single" w:color="auto" w:sz="4" w:space="0"/>
            </w:tcBorders>
            <w:tcW w:w="648" w:type="dxa"/>
            <w:vAlign w:val="center"/>
            <w:textDirection w:val="lrTb"/>
            <w:noWrap w:val="false"/>
          </w:tcPr>
          <w:p>
            <w:pPr>
              <w:ind w:left="0" w:right="0"/>
              <w:jc w:val="center"/>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8</w:t>
            </w:r>
            <w:r/>
          </w:p>
        </w:tc>
        <w:tc>
          <w:tcPr>
            <w:tcW w:w="8991" w:type="dxa"/>
            <w:vAlign w:val="center"/>
            <w:textDirection w:val="lrTb"/>
            <w:noWrap w:val="false"/>
          </w:tcPr>
          <w:p>
            <w:pPr>
              <w:ind w:left="0" w:right="0"/>
              <w:jc w:val="left"/>
              <w:keepLines w:val="0"/>
              <w:keepNext w:val="0"/>
              <w:pageBreakBefore w:val="0"/>
              <w:spacing w:line="300" w:lineRule="exact"/>
              <w:widowControl/>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记录电梯运行、维修保养、使用等情况，建档备案</w:t>
            </w:r>
            <w:r/>
          </w:p>
        </w:tc>
      </w:tr>
    </w:tbl>
    <w:p>
      <w:pPr>
        <w:ind w:left="0" w:right="0"/>
        <w:pageBreakBefore w:val="0"/>
        <w:rPr>
          <w:rFonts w:hint="default" w:ascii="Times New Roman" w:hAnsi="Times New Roman" w:eastAsia="黑体" w:cs="Times New Roman"/>
          <w:bCs/>
          <w:color w:val="auto"/>
          <w:sz w:val="28"/>
          <w:szCs w:val="28"/>
          <w:highlight w:val="none"/>
          <w:lang w:val="zh-CN"/>
        </w:rPr>
      </w:pPr>
      <w:r>
        <w:rPr>
          <w:rFonts w:hint="default" w:ascii="Times New Roman" w:hAnsi="Times New Roman" w:cs="Times New Roman"/>
          <w:color w:val="auto"/>
          <w:highlight w:val="none"/>
        </w:rPr>
        <w:t xml:space="preserve">  </w:t>
      </w:r>
      <w:bookmarkStart w:id="218" w:name="_Toc28454"/>
      <w:r>
        <w:rPr>
          <w:rFonts w:hint="default" w:ascii="Times New Roman" w:hAnsi="Times New Roman" w:eastAsia="黑体" w:cs="Times New Roman"/>
          <w:bCs/>
          <w:color w:val="auto"/>
          <w:sz w:val="28"/>
          <w:szCs w:val="28"/>
          <w:highlight w:val="none"/>
          <w:lang w:val="zh-CN"/>
        </w:rPr>
        <w:t xml:space="preserve">三、物业服务考核及费用的结算</w:t>
      </w:r>
      <w:bookmarkEnd w:id="218"/>
      <w:r/>
      <w:r/>
    </w:p>
    <w:p>
      <w:pPr>
        <w:ind w:left="0" w:right="0" w:firstLine="45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1.本物业的管理服务费实行总包干制。物业管理服务总包干费：包括</w:t>
      </w:r>
      <w:r>
        <w:rPr>
          <w:rFonts w:hint="eastAsia" w:cs="Times New Roman"/>
          <w:color w:val="auto"/>
          <w:sz w:val="24"/>
          <w:szCs w:val="24"/>
          <w:highlight w:val="none"/>
          <w:lang w:val="zh-CN"/>
        </w:rPr>
        <w:t xml:space="preserve">成交供应商</w:t>
      </w:r>
      <w:r>
        <w:rPr>
          <w:rFonts w:hint="default" w:ascii="Times New Roman" w:hAnsi="Times New Roman" w:eastAsia="宋体" w:cs="Times New Roman"/>
          <w:color w:val="auto"/>
          <w:sz w:val="24"/>
          <w:szCs w:val="24"/>
          <w:highlight w:val="none"/>
          <w:lang w:val="zh-CN"/>
        </w:rPr>
        <w:t xml:space="preserve">承办</w:t>
      </w:r>
      <w:r>
        <w:rPr>
          <w:rFonts w:hint="eastAsia" w:cs="Times New Roman"/>
          <w:color w:val="auto"/>
          <w:sz w:val="24"/>
          <w:szCs w:val="24"/>
          <w:highlight w:val="none"/>
          <w:lang w:val="zh-CN"/>
        </w:rPr>
        <w:t xml:space="preserve">竞争性磋商</w:t>
      </w:r>
      <w:r>
        <w:rPr>
          <w:rFonts w:hint="default" w:ascii="Times New Roman" w:hAnsi="Times New Roman" w:eastAsia="宋体" w:cs="Times New Roman"/>
          <w:color w:val="auto"/>
          <w:sz w:val="24"/>
          <w:szCs w:val="24"/>
          <w:highlight w:val="none"/>
          <w:lang w:val="zh-CN"/>
        </w:rPr>
        <w:t xml:space="preserve">文件规定的物业管理服务的内容项目并达到本项目物业管理服务质量与标准所需人工费、办公费、清洁费及清洁所需材料费、不可预见费、管理佣金、法定税费等所有费额。</w:t>
      </w:r>
      <w:r/>
    </w:p>
    <w:p>
      <w:pPr>
        <w:ind w:left="0" w:right="0" w:firstLine="45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zh-CN" w:eastAsia="zh-CN"/>
        </w:rPr>
        <w:t xml:space="preserve">2.除经招标人认可的大型工程维修费外，其余公共能耗费、公共部位维修（护）费、电梯运行费、垃圾清运费、绿化养护费、开办费等均由</w:t>
      </w:r>
      <w:r>
        <w:rPr>
          <w:rFonts w:hint="eastAsia" w:cs="Times New Roman"/>
          <w:color w:val="auto"/>
          <w:sz w:val="24"/>
          <w:szCs w:val="24"/>
          <w:highlight w:val="none"/>
          <w:lang w:val="zh-CN" w:eastAsia="zh-CN"/>
        </w:rPr>
        <w:t xml:space="preserve">成交供应商</w:t>
      </w:r>
      <w:r>
        <w:rPr>
          <w:rFonts w:hint="default" w:ascii="Times New Roman" w:hAnsi="Times New Roman" w:eastAsia="宋体" w:cs="Times New Roman"/>
          <w:color w:val="auto"/>
          <w:sz w:val="24"/>
          <w:szCs w:val="24"/>
          <w:highlight w:val="none"/>
          <w:lang w:val="zh-CN" w:eastAsia="zh-CN"/>
        </w:rPr>
        <w:t xml:space="preserve">承担。结合滨江镇安置小区实际情况，延续既有物业服务约定：</w:t>
      </w:r>
      <w:r/>
    </w:p>
    <w:p>
      <w:pPr>
        <w:ind w:left="0" w:right="0" w:firstLine="45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zh-CN" w:eastAsia="zh-CN"/>
        </w:rPr>
        <w:t xml:space="preserve">（</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val="zh-CN" w:eastAsia="zh-CN"/>
        </w:rPr>
        <w:t xml:space="preserve">）小区交付至本需求发布日满10年及以上：单项维修单个零部件更换，1500元及以下费用由</w:t>
      </w:r>
      <w:r>
        <w:rPr>
          <w:rFonts w:hint="eastAsia" w:cs="Times New Roman"/>
          <w:color w:val="auto"/>
          <w:sz w:val="24"/>
          <w:szCs w:val="24"/>
          <w:highlight w:val="none"/>
          <w:lang w:val="zh-CN" w:eastAsia="zh-CN"/>
        </w:rPr>
        <w:t xml:space="preserve">成交供应商</w:t>
      </w:r>
      <w:r>
        <w:rPr>
          <w:rFonts w:hint="default" w:ascii="Times New Roman" w:hAnsi="Times New Roman" w:eastAsia="宋体" w:cs="Times New Roman"/>
          <w:color w:val="auto"/>
          <w:sz w:val="24"/>
          <w:szCs w:val="24"/>
          <w:highlight w:val="none"/>
          <w:lang w:val="zh-CN" w:eastAsia="zh-CN"/>
        </w:rPr>
        <w:t xml:space="preserve">全额承担；超出1500元的，经甲方书面确认后实施，</w:t>
      </w:r>
      <w:r>
        <w:rPr>
          <w:rFonts w:hint="eastAsia" w:cs="Times New Roman"/>
          <w:color w:val="auto"/>
          <w:sz w:val="24"/>
          <w:szCs w:val="24"/>
          <w:highlight w:val="none"/>
          <w:lang w:val="zh-CN" w:eastAsia="zh-CN"/>
        </w:rPr>
        <w:t xml:space="preserve">成交供应商</w:t>
      </w:r>
      <w:r>
        <w:rPr>
          <w:rFonts w:hint="default" w:ascii="Times New Roman" w:hAnsi="Times New Roman" w:eastAsia="宋体" w:cs="Times New Roman"/>
          <w:color w:val="auto"/>
          <w:sz w:val="24"/>
          <w:szCs w:val="24"/>
          <w:highlight w:val="none"/>
          <w:lang w:val="zh-CN" w:eastAsia="zh-CN"/>
        </w:rPr>
        <w:t xml:space="preserve">承担1500元。</w:t>
      </w:r>
      <w:r/>
    </w:p>
    <w:p>
      <w:pPr>
        <w:ind w:left="0" w:right="0" w:firstLine="45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zh-CN"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zh-CN" w:eastAsia="zh-CN"/>
        </w:rPr>
        <w:t xml:space="preserve">）小区交付至本需求发布日不足10年：单项维修单个零部件更换，3000元及以下费用由</w:t>
      </w:r>
      <w:r>
        <w:rPr>
          <w:rFonts w:hint="eastAsia" w:cs="Times New Roman"/>
          <w:color w:val="auto"/>
          <w:sz w:val="24"/>
          <w:szCs w:val="24"/>
          <w:highlight w:val="none"/>
          <w:lang w:val="zh-CN" w:eastAsia="zh-CN"/>
        </w:rPr>
        <w:t xml:space="preserve">成交供应商</w:t>
      </w:r>
      <w:r>
        <w:rPr>
          <w:rFonts w:hint="default" w:ascii="Times New Roman" w:hAnsi="Times New Roman" w:eastAsia="宋体" w:cs="Times New Roman"/>
          <w:color w:val="auto"/>
          <w:sz w:val="24"/>
          <w:szCs w:val="24"/>
          <w:highlight w:val="none"/>
          <w:lang w:val="zh-CN" w:eastAsia="zh-CN"/>
        </w:rPr>
        <w:t xml:space="preserve">全额承担；超出3000元的，经甲方书面确认后实施，</w:t>
      </w:r>
      <w:r>
        <w:rPr>
          <w:rFonts w:hint="eastAsia" w:cs="Times New Roman"/>
          <w:color w:val="auto"/>
          <w:sz w:val="24"/>
          <w:szCs w:val="24"/>
          <w:highlight w:val="none"/>
          <w:lang w:val="zh-CN" w:eastAsia="zh-CN"/>
        </w:rPr>
        <w:t xml:space="preserve">成交供应商</w:t>
      </w:r>
      <w:r>
        <w:rPr>
          <w:rFonts w:hint="default" w:ascii="Times New Roman" w:hAnsi="Times New Roman" w:eastAsia="宋体" w:cs="Times New Roman"/>
          <w:color w:val="auto"/>
          <w:sz w:val="24"/>
          <w:szCs w:val="24"/>
          <w:highlight w:val="none"/>
          <w:lang w:val="zh-CN" w:eastAsia="zh-CN"/>
        </w:rPr>
        <w:t xml:space="preserve">承担3000元。</w:t>
      </w:r>
      <w:r/>
    </w:p>
    <w:p>
      <w:pPr>
        <w:ind w:left="0" w:right="0" w:firstLine="45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eastAsia="zh-CN"/>
        </w:rPr>
        <w:t xml:space="preserve">按共用部位、共用设备和公共设施管护面积计算总费用（共用设施设备的界定按照《江苏省物业管理条例》《江苏省物业服务收费管理办法》《泰兴市物业服务收费管理实施细则》等有关规定执行），不拆分报价。物业单位进场前，由所在社区牵头，协同社区（小区）共建党支部、规划建设部对小区公用设施进行清点确认使用状况。</w:t>
      </w:r>
      <w:r>
        <w:rPr>
          <w:rFonts w:hint="eastAsia" w:cs="Times New Roman"/>
          <w:color w:val="auto"/>
          <w:sz w:val="24"/>
          <w:szCs w:val="24"/>
          <w:highlight w:val="none"/>
          <w:lang w:val="zh-CN" w:eastAsia="zh-CN"/>
        </w:rPr>
        <w:t xml:space="preserve">成交供应商</w:t>
      </w:r>
      <w:r>
        <w:rPr>
          <w:rFonts w:hint="default" w:ascii="Times New Roman" w:hAnsi="Times New Roman" w:eastAsia="宋体" w:cs="Times New Roman"/>
          <w:color w:val="auto"/>
          <w:sz w:val="24"/>
          <w:szCs w:val="24"/>
          <w:highlight w:val="none"/>
          <w:lang w:val="zh-CN" w:eastAsia="zh-CN"/>
        </w:rPr>
        <w:t xml:space="preserve">负责对共用设施的巡查责任，如发生因管理不当造成的损坏，</w:t>
      </w:r>
      <w:r>
        <w:rPr>
          <w:rFonts w:hint="eastAsia" w:cs="Times New Roman"/>
          <w:color w:val="auto"/>
          <w:sz w:val="24"/>
          <w:szCs w:val="24"/>
          <w:highlight w:val="none"/>
          <w:lang w:val="zh-CN" w:eastAsia="zh-CN"/>
        </w:rPr>
        <w:t xml:space="preserve">成交供应商</w:t>
      </w:r>
      <w:r>
        <w:rPr>
          <w:rFonts w:hint="default" w:ascii="Times New Roman" w:hAnsi="Times New Roman" w:eastAsia="宋体" w:cs="Times New Roman"/>
          <w:color w:val="auto"/>
          <w:sz w:val="24"/>
          <w:szCs w:val="24"/>
          <w:highlight w:val="none"/>
          <w:lang w:val="zh-CN" w:eastAsia="zh-CN"/>
        </w:rPr>
        <w:t xml:space="preserve">应当及时修复，否则应予赔偿相应损失。</w:t>
      </w:r>
      <w:r/>
    </w:p>
    <w:p>
      <w:pPr>
        <w:ind w:left="0" w:right="0" w:firstLine="45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3.电梯年检及维保、电梯保险费、消防设施（包括灭火器等）检测及更换，消防维保等费用均由</w:t>
      </w:r>
      <w:r>
        <w:rPr>
          <w:rFonts w:hint="eastAsia" w:cs="Times New Roman"/>
          <w:color w:val="auto"/>
          <w:sz w:val="24"/>
          <w:szCs w:val="24"/>
          <w:highlight w:val="none"/>
          <w:lang w:val="zh-CN"/>
        </w:rPr>
        <w:t xml:space="preserve">成交供应商</w:t>
      </w:r>
      <w:r>
        <w:rPr>
          <w:rFonts w:hint="default" w:ascii="Times New Roman" w:hAnsi="Times New Roman" w:eastAsia="宋体" w:cs="Times New Roman"/>
          <w:color w:val="auto"/>
          <w:sz w:val="24"/>
          <w:szCs w:val="24"/>
          <w:highlight w:val="none"/>
          <w:lang w:val="zh-CN"/>
        </w:rPr>
        <w:t xml:space="preserve">支付</w:t>
      </w:r>
      <w:r>
        <w:rPr>
          <w:rFonts w:hint="default" w:ascii="Times New Roman" w:hAnsi="Times New Roman" w:eastAsia="宋体" w:cs="Times New Roman"/>
          <w:color w:val="auto"/>
          <w:sz w:val="24"/>
          <w:szCs w:val="24"/>
          <w:highlight w:val="none"/>
          <w:lang w:val="zh-CN" w:eastAsia="zh-CN"/>
        </w:rPr>
        <w:t xml:space="preserve">（</w:t>
      </w:r>
      <w:r>
        <w:rPr>
          <w:rFonts w:hint="default" w:ascii="Times New Roman" w:hAnsi="Times New Roman" w:eastAsia="宋体" w:cs="Times New Roman"/>
          <w:color w:val="auto"/>
          <w:sz w:val="24"/>
          <w:szCs w:val="24"/>
          <w:highlight w:val="none"/>
          <w:lang w:val="en-US" w:eastAsia="zh-CN"/>
        </w:rPr>
        <w:t xml:space="preserve">消防设施初始配备齐全后，使用过程中出现缺失、损坏的，由</w:t>
      </w:r>
      <w:r>
        <w:rPr>
          <w:rFonts w:hint="eastAsia" w:cs="Times New Roman"/>
          <w:color w:val="auto"/>
          <w:sz w:val="24"/>
          <w:szCs w:val="24"/>
          <w:highlight w:val="none"/>
          <w:lang w:val="zh-CN" w:eastAsia="zh-CN"/>
        </w:rPr>
        <w:t xml:space="preserve">成交供应商</w:t>
      </w:r>
      <w:r>
        <w:rPr>
          <w:rFonts w:hint="default" w:ascii="Times New Roman" w:hAnsi="Times New Roman" w:eastAsia="宋体" w:cs="Times New Roman"/>
          <w:color w:val="auto"/>
          <w:sz w:val="24"/>
          <w:szCs w:val="24"/>
          <w:highlight w:val="none"/>
          <w:lang w:val="en-US" w:eastAsia="zh-CN"/>
        </w:rPr>
        <w:t xml:space="preserve">及时补充或更换，所需费用由</w:t>
      </w:r>
      <w:r>
        <w:rPr>
          <w:rFonts w:hint="eastAsia" w:cs="Times New Roman"/>
          <w:color w:val="auto"/>
          <w:sz w:val="24"/>
          <w:szCs w:val="24"/>
          <w:highlight w:val="none"/>
          <w:lang w:val="zh-CN" w:eastAsia="zh-CN"/>
        </w:rPr>
        <w:t xml:space="preserve">成交供应商</w:t>
      </w:r>
      <w:r>
        <w:rPr>
          <w:rFonts w:hint="default" w:ascii="Times New Roman" w:hAnsi="Times New Roman" w:eastAsia="宋体" w:cs="Times New Roman"/>
          <w:color w:val="auto"/>
          <w:sz w:val="24"/>
          <w:szCs w:val="24"/>
          <w:highlight w:val="none"/>
          <w:lang w:val="en-US" w:eastAsia="zh-CN"/>
        </w:rPr>
        <w:t xml:space="preserve">承担</w:t>
      </w:r>
      <w:r>
        <w:rPr>
          <w:rFonts w:hint="default" w:ascii="Times New Roman" w:hAnsi="Times New Roman" w:eastAsia="宋体" w:cs="Times New Roman"/>
          <w:color w:val="auto"/>
          <w:sz w:val="24"/>
          <w:szCs w:val="24"/>
          <w:highlight w:val="none"/>
          <w:lang w:val="zh-CN" w:eastAsia="zh-CN"/>
        </w:rPr>
        <w:t xml:space="preserve">）</w:t>
      </w:r>
      <w:r>
        <w:rPr>
          <w:rFonts w:hint="default" w:ascii="Times New Roman" w:hAnsi="Times New Roman" w:eastAsia="宋体" w:cs="Times New Roman"/>
          <w:color w:val="auto"/>
          <w:sz w:val="24"/>
          <w:szCs w:val="24"/>
          <w:highlight w:val="none"/>
          <w:lang w:val="zh-CN"/>
        </w:rPr>
        <w:t xml:space="preserve">，</w:t>
      </w:r>
      <w:r>
        <w:rPr>
          <w:rFonts w:hint="eastAsia" w:cs="Times New Roman"/>
          <w:color w:val="auto"/>
          <w:sz w:val="24"/>
          <w:szCs w:val="24"/>
          <w:highlight w:val="none"/>
          <w:lang w:val="zh-CN"/>
        </w:rPr>
        <w:t xml:space="preserve">成交供应商</w:t>
      </w:r>
      <w:r>
        <w:rPr>
          <w:rFonts w:hint="default" w:ascii="Times New Roman" w:hAnsi="Times New Roman" w:eastAsia="宋体" w:cs="Times New Roman"/>
          <w:color w:val="auto"/>
          <w:sz w:val="24"/>
          <w:szCs w:val="24"/>
          <w:highlight w:val="none"/>
          <w:lang w:val="zh-CN"/>
        </w:rPr>
        <w:t xml:space="preserve">需委托资质要求符合相关规定的第三方机构按相关规定进行电梯及消防检测和维保。</w:t>
      </w:r>
      <w:r/>
    </w:p>
    <w:p>
      <w:pPr>
        <w:ind w:left="0" w:right="0" w:firstLine="45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4.甲方根据</w:t>
      </w:r>
      <w:r>
        <w:rPr>
          <w:rFonts w:hint="eastAsia" w:cs="Times New Roman"/>
          <w:color w:val="auto"/>
          <w:sz w:val="24"/>
          <w:szCs w:val="24"/>
          <w:highlight w:val="none"/>
          <w:lang w:val="zh-CN"/>
        </w:rPr>
        <w:t xml:space="preserve">成交供应商</w:t>
      </w:r>
      <w:r>
        <w:rPr>
          <w:rFonts w:hint="default" w:ascii="Times New Roman" w:hAnsi="Times New Roman" w:eastAsia="宋体" w:cs="Times New Roman"/>
          <w:color w:val="auto"/>
          <w:sz w:val="24"/>
          <w:szCs w:val="24"/>
          <w:highlight w:val="none"/>
          <w:lang w:val="zh-CN"/>
        </w:rPr>
        <w:t xml:space="preserve">的服务承诺进行考核，每月考核一次，每季度统计平均得分。</w:t>
      </w:r>
      <w:r>
        <w:rPr>
          <w:rFonts w:hint="eastAsia" w:cs="Times New Roman"/>
          <w:color w:val="auto"/>
          <w:sz w:val="24"/>
          <w:szCs w:val="24"/>
          <w:highlight w:val="none"/>
          <w:lang w:val="zh-CN" w:eastAsia="zh-CN"/>
        </w:rPr>
        <w:t xml:space="preserve">成交供应商</w:t>
      </w:r>
      <w:r>
        <w:rPr>
          <w:rFonts w:hint="default" w:ascii="Times New Roman" w:hAnsi="Times New Roman" w:eastAsia="宋体" w:cs="Times New Roman"/>
          <w:color w:val="auto"/>
          <w:sz w:val="24"/>
          <w:szCs w:val="24"/>
          <w:highlight w:val="none"/>
          <w:lang w:val="zh-CN"/>
        </w:rPr>
        <w:t xml:space="preserve">根据考核得分向甲方申请支付物业管理服务费用。</w:t>
      </w:r>
      <w:r/>
    </w:p>
    <w:p>
      <w:pPr>
        <w:ind w:left="0" w:right="0" w:firstLine="45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5.</w:t>
      </w:r>
      <w:r>
        <w:rPr>
          <w:rFonts w:hint="eastAsia" w:cs="Times New Roman"/>
          <w:color w:val="auto"/>
          <w:sz w:val="24"/>
          <w:szCs w:val="24"/>
          <w:highlight w:val="none"/>
          <w:lang w:val="zh-CN"/>
        </w:rPr>
        <w:t xml:space="preserve">成交供应商</w:t>
      </w:r>
      <w:r>
        <w:rPr>
          <w:rFonts w:hint="default" w:ascii="Times New Roman" w:hAnsi="Times New Roman" w:eastAsia="宋体" w:cs="Times New Roman"/>
          <w:color w:val="auto"/>
          <w:sz w:val="24"/>
          <w:szCs w:val="24"/>
          <w:highlight w:val="none"/>
          <w:lang w:val="en-US" w:eastAsia="zh-CN"/>
        </w:rPr>
        <w:t xml:space="preserve">考核得分按向下取整方式计算（即舍去小数点后尾数，取整数值）。取整后得分在95分及以上的，按上季度物业管理服务费应付金额的100%支付；取整后得分在85分（含）至95分（不含）之间的，每低1分，少付上季度物业管理服务费应付金额的1%（例如：取整后得分为94分，支付99%；得分为93分，支付98%，以此类推）；取整后得分低于85分的，暂缓支付上季度物业管理服务费，15日内，经整改后由甲方再次考核，考核得分在95分以上的，支付上季度物业管理服务费应付金额的85%；若乙方一年中两次得分在85分以下，将终止合同。</w:t>
      </w:r>
      <w:r/>
    </w:p>
    <w:p>
      <w:pPr>
        <w:ind w:left="0" w:right="0" w:firstLine="480"/>
        <w:jc w:val="both"/>
        <w:keepLines w:val="0"/>
        <w:keepNext w:val="0"/>
        <w:pageBreakBefore w:val="0"/>
        <w:spacing w:beforeAutospacing="0" w:afterAutospacing="0" w:line="560" w:lineRule="exact"/>
        <w:widowControl w:val="off"/>
        <w:rPr>
          <w:rFonts w:hint="default" w:ascii="Times New Roman" w:hAnsi="Times New Roman" w:eastAsia="宋体" w:cs="Times New Roman"/>
          <w:color w:val="auto"/>
          <w:sz w:val="24"/>
          <w:szCs w:val="24"/>
          <w:highlight w:val="none"/>
          <w:lang w:val="en-US" w:eastAsia="zh-CN" w:bidi="ar-SA"/>
        </w:rPr>
        <w:suppressLineNumbers w:val="0"/>
      </w:pPr>
      <w:r>
        <w:rPr>
          <w:rFonts w:hint="default" w:ascii="Times New Roman" w:hAnsi="Times New Roman" w:eastAsia="宋体" w:cs="Times New Roman"/>
          <w:color w:val="auto"/>
          <w:sz w:val="24"/>
          <w:szCs w:val="24"/>
          <w:highlight w:val="none"/>
          <w:lang w:val="en-US" w:eastAsia="zh-CN" w:bidi="ar-SA"/>
        </w:rPr>
        <w:t xml:space="preserve">6.实际结算费用时，实际物业服务费=合同单价（元/平方米/月）×月份数×总建筑面积×考核得分率。</w:t>
      </w:r>
      <w:r/>
    </w:p>
    <w:p>
      <w:pPr>
        <w:pStyle w:val="667"/>
        <w:ind w:left="0" w:right="0"/>
        <w:keepLines w:val="0"/>
        <w:keepNext w:val="0"/>
        <w:pageBreakBefore w:val="0"/>
        <w:spacing w:after="0"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7.因甲方对服务需求的工作内容增减、服务区域扩大或减小，经双方协商，对增减的费用另行签订补充协议。</w:t>
      </w:r>
      <w:r/>
    </w:p>
    <w:p>
      <w:pPr>
        <w:ind w:left="0" w:right="0" w:firstLine="420"/>
        <w:keepLines w:val="0"/>
        <w:keepNext w:val="0"/>
        <w:pageBreakBefore w:val="0"/>
        <w:spacing w:line="500" w:lineRule="exact"/>
        <w:widowControl w:val="off"/>
        <w:rPr>
          <w:rFonts w:hint="default" w:ascii="Times New Roman" w:hAnsi="Times New Roman" w:eastAsia="黑体" w:cs="Times New Roman"/>
          <w:color w:val="auto"/>
          <w:sz w:val="28"/>
          <w:szCs w:val="28"/>
          <w:highlight w:val="none"/>
          <w:lang w:val="zh-CN"/>
        </w:rPr>
      </w:pPr>
      <w:r/>
      <w:bookmarkStart w:id="219" w:name="_Toc26619"/>
      <w:r>
        <w:rPr>
          <w:rFonts w:hint="default" w:ascii="Times New Roman" w:hAnsi="Times New Roman" w:eastAsia="黑体" w:cs="Times New Roman"/>
          <w:color w:val="auto"/>
          <w:sz w:val="28"/>
          <w:szCs w:val="28"/>
          <w:highlight w:val="none"/>
          <w:lang w:val="zh-CN"/>
        </w:rPr>
        <w:t xml:space="preserve">四、基本概况及人员要求</w:t>
      </w:r>
      <w:bookmarkEnd w:id="219"/>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1.服务单位基本概况</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包一：丰产新村为高层住宅小区，2016年交付，占地70731平方米，建筑面积156018.88平方米，高层住宅16栋，电梯50台，共计1425户。物业管理区域：东至丰产河，西至东一路，南至丰产河路，北至疏港东路。</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eastAsia="zh-CN"/>
        </w:rPr>
        <w:t xml:space="preserve">包二：</w:t>
      </w:r>
      <w:r>
        <w:rPr>
          <w:rFonts w:hint="default" w:ascii="Times New Roman" w:hAnsi="Times New Roman" w:eastAsia="宋体" w:cs="Times New Roman"/>
          <w:color w:val="auto"/>
          <w:sz w:val="24"/>
          <w:szCs w:val="24"/>
          <w:highlight w:val="none"/>
          <w:lang w:val="zh-CN"/>
        </w:rPr>
        <w:t xml:space="preserve">南园新村为多层住宅</w:t>
      </w:r>
      <w:r>
        <w:rPr>
          <w:rFonts w:hint="eastAsia" w:eastAsia="宋体" w:cs="Times New Roman"/>
          <w:color w:val="auto"/>
          <w:sz w:val="24"/>
          <w:szCs w:val="24"/>
          <w:highlight w:val="none"/>
          <w:lang w:val="zh-CN"/>
        </w:rPr>
        <w:t xml:space="preserve">小区</w:t>
      </w:r>
      <w:r>
        <w:rPr>
          <w:rFonts w:hint="default" w:ascii="Times New Roman" w:hAnsi="Times New Roman" w:eastAsia="宋体" w:cs="Times New Roman"/>
          <w:color w:val="auto"/>
          <w:sz w:val="24"/>
          <w:szCs w:val="24"/>
          <w:highlight w:val="none"/>
          <w:lang w:val="zh-CN"/>
        </w:rPr>
        <w:t xml:space="preserve">，2012年交付，建筑面积42631.11平方米，多层住宅18栋，共计384户。物业管理区域：东至大生派出所西围墙，西至振兴南路，南至334省道，北至大生中路。</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2.物管人员配备</w:t>
      </w:r>
      <w:r>
        <w:rPr>
          <w:rFonts w:hint="default" w:ascii="Times New Roman" w:hAnsi="Times New Roman" w:eastAsia="宋体" w:cs="Times New Roman"/>
          <w:color w:val="auto"/>
          <w:sz w:val="24"/>
          <w:szCs w:val="24"/>
          <w:highlight w:val="none"/>
          <w:lang w:val="zh-CN" w:eastAsia="zh-CN"/>
        </w:rPr>
        <w:t xml:space="preserve">（</w:t>
      </w:r>
      <w:r>
        <w:rPr>
          <w:rFonts w:hint="default" w:ascii="Times New Roman" w:hAnsi="Times New Roman" w:eastAsia="宋体" w:cs="Times New Roman"/>
          <w:color w:val="auto"/>
          <w:sz w:val="24"/>
          <w:szCs w:val="24"/>
          <w:highlight w:val="none"/>
          <w:lang w:val="en-US" w:eastAsia="zh-CN"/>
        </w:rPr>
        <w:t xml:space="preserve">以下为最低人员配置，低于该配置的投标文件作无效标处理）</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（包一：丰产新村）</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应派驻至少29名符合用工条件的物业服务人员，其中至少包括</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eastAsia" w:cs="Times New Roman" w:eastAsiaTheme="minorEastAsia"/>
          <w:color w:val="auto"/>
          <w:sz w:val="24"/>
          <w:szCs w:val="24"/>
          <w:highlight w:val="none"/>
          <w:lang w:val="en-US" w:eastAsia="zh-CN" w:bidi="ar"/>
        </w:rPr>
        <w:t xml:space="preserve">（1）</w:t>
      </w:r>
      <w:r>
        <w:rPr>
          <w:rFonts w:hint="default" w:ascii="Times New Roman" w:hAnsi="Times New Roman" w:cs="Times New Roman" w:eastAsiaTheme="minorEastAsia"/>
          <w:color w:val="auto"/>
          <w:sz w:val="24"/>
          <w:szCs w:val="24"/>
          <w:highlight w:val="none"/>
          <w:lang w:val="en-US" w:eastAsia="zh-CN" w:bidi="ar"/>
        </w:rPr>
        <w:t xml:space="preserve">项目经理（1名）：年龄男60周岁（含）以下、女50周岁（含）以下（须提供身份证以及供应商为其缴纳的当月或上月社保证明的复印件）；</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eastAsia" w:cs="Times New Roman" w:eastAsiaTheme="minorEastAsia"/>
          <w:color w:val="auto"/>
          <w:sz w:val="24"/>
          <w:szCs w:val="24"/>
          <w:highlight w:val="none"/>
          <w:lang w:val="en-US" w:eastAsia="zh-CN" w:bidi="ar"/>
        </w:rPr>
        <w:t xml:space="preserve">（2）</w:t>
      </w:r>
      <w:r>
        <w:rPr>
          <w:rFonts w:hint="default" w:ascii="Times New Roman" w:hAnsi="Times New Roman" w:cs="Times New Roman" w:eastAsiaTheme="minorEastAsia"/>
          <w:color w:val="auto"/>
          <w:sz w:val="24"/>
          <w:szCs w:val="24"/>
          <w:highlight w:val="none"/>
          <w:lang w:val="en-US" w:eastAsia="zh-CN" w:bidi="ar"/>
        </w:rPr>
        <w:t xml:space="preserve">消控室值班人员（4名）：具备国家消防救援局与人力资源和社会保障部联合颁发的中级（含）以上消防设施操作员职业资格证书（须提供相关证书以及供应商为其缴纳的当月或上月社保证明的复印件）；</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eastAsia" w:cs="Times New Roman" w:eastAsiaTheme="minorEastAsia"/>
          <w:color w:val="auto"/>
          <w:sz w:val="24"/>
          <w:szCs w:val="24"/>
          <w:highlight w:val="none"/>
          <w:lang w:val="en-US" w:eastAsia="zh-CN" w:bidi="ar"/>
        </w:rPr>
        <w:t xml:space="preserve">（3）</w:t>
      </w:r>
      <w:r>
        <w:rPr>
          <w:rFonts w:hint="default" w:ascii="Times New Roman" w:hAnsi="Times New Roman" w:cs="Times New Roman" w:eastAsiaTheme="minorEastAsia"/>
          <w:color w:val="auto"/>
          <w:sz w:val="24"/>
          <w:szCs w:val="24"/>
          <w:highlight w:val="none"/>
          <w:lang w:val="en-US" w:eastAsia="zh-CN" w:bidi="ar"/>
        </w:rPr>
        <w:t xml:space="preserve">水电维修工（1名）：具有应急管理部门颁发的“低压电工作业”资格的特种作业操作证（须提供相关证书以及供应商为其缴纳的当月或上月社保证明的复印件）；</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eastAsia" w:cs="Times New Roman" w:eastAsiaTheme="minorEastAsia"/>
          <w:color w:val="auto"/>
          <w:sz w:val="24"/>
          <w:szCs w:val="24"/>
          <w:highlight w:val="none"/>
          <w:lang w:val="en-US" w:eastAsia="zh-CN" w:bidi="ar"/>
        </w:rPr>
        <w:t xml:space="preserve">（4）</w:t>
      </w:r>
      <w:r>
        <w:rPr>
          <w:rFonts w:hint="default" w:ascii="Times New Roman" w:hAnsi="Times New Roman" w:cs="Times New Roman" w:eastAsiaTheme="minorEastAsia"/>
          <w:color w:val="auto"/>
          <w:sz w:val="24"/>
          <w:szCs w:val="24"/>
          <w:highlight w:val="none"/>
          <w:lang w:val="en-US" w:eastAsia="zh-CN" w:bidi="ar"/>
        </w:rPr>
        <w:t xml:space="preserve">电梯安全管理人员（2名）：具备市场监督管理部门颁发的特种设备安全管理和作业人员证书（须提供相关证书以及供应商为其缴纳的当月或上月社保证明的复印件）；</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eastAsia" w:cs="Times New Roman" w:eastAsiaTheme="minorEastAsia"/>
          <w:color w:val="auto"/>
          <w:sz w:val="24"/>
          <w:szCs w:val="24"/>
          <w:highlight w:val="none"/>
          <w:lang w:val="en-US" w:eastAsia="zh-CN" w:bidi="ar"/>
        </w:rPr>
        <w:t xml:space="preserve">（5）</w:t>
      </w:r>
      <w:r>
        <w:rPr>
          <w:rFonts w:hint="default" w:ascii="Times New Roman" w:hAnsi="Times New Roman" w:cs="Times New Roman" w:eastAsiaTheme="minorEastAsia"/>
          <w:color w:val="auto"/>
          <w:sz w:val="24"/>
          <w:szCs w:val="24"/>
          <w:highlight w:val="none"/>
          <w:lang w:val="en-US" w:eastAsia="zh-CN" w:bidi="ar"/>
        </w:rPr>
        <w:t xml:space="preserve">保安（10名）：具备由公安</w:t>
      </w:r>
      <w:r>
        <w:rPr>
          <w:rFonts w:hint="eastAsia" w:cs="Times New Roman" w:eastAsiaTheme="minorEastAsia"/>
          <w:color w:val="auto"/>
          <w:sz w:val="24"/>
          <w:szCs w:val="24"/>
          <w:highlight w:val="none"/>
          <w:lang w:val="en-US" w:eastAsia="zh-CN" w:bidi="ar"/>
        </w:rPr>
        <w:t xml:space="preserve">部门</w:t>
      </w:r>
      <w:r>
        <w:rPr>
          <w:rFonts w:hint="default" w:ascii="Times New Roman" w:hAnsi="Times New Roman" w:cs="Times New Roman" w:eastAsiaTheme="minorEastAsia"/>
          <w:color w:val="auto"/>
          <w:sz w:val="24"/>
          <w:szCs w:val="24"/>
          <w:highlight w:val="none"/>
          <w:lang w:val="en-US" w:eastAsia="zh-CN" w:bidi="ar"/>
        </w:rPr>
        <w:t xml:space="preserve">颁发的保安员证（须提供相关证书复印件）；</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eastAsia" w:cs="Times New Roman" w:eastAsiaTheme="minorEastAsia"/>
          <w:color w:val="auto"/>
          <w:sz w:val="24"/>
          <w:szCs w:val="24"/>
          <w:highlight w:val="none"/>
          <w:lang w:val="en-US" w:eastAsia="zh-CN" w:bidi="ar"/>
        </w:rPr>
        <w:t xml:space="preserve">（6）</w:t>
      </w:r>
      <w:r>
        <w:rPr>
          <w:rFonts w:hint="default" w:ascii="Times New Roman" w:hAnsi="Times New Roman" w:cs="Times New Roman" w:eastAsiaTheme="minorEastAsia"/>
          <w:color w:val="auto"/>
          <w:sz w:val="24"/>
          <w:szCs w:val="24"/>
          <w:highlight w:val="none"/>
          <w:lang w:val="en-US" w:eastAsia="zh-CN" w:bidi="ar"/>
        </w:rPr>
        <w:t xml:space="preserve">其余人员。供应商承诺除上述人员外，在合同履行期间按照采购需求中明确的人员</w:t>
      </w:r>
      <w:r>
        <w:rPr>
          <w:rFonts w:hint="eastAsia" w:cs="Times New Roman" w:eastAsiaTheme="minorEastAsia"/>
          <w:color w:val="auto"/>
          <w:sz w:val="24"/>
          <w:szCs w:val="24"/>
          <w:highlight w:val="none"/>
          <w:lang w:val="en-US" w:eastAsia="zh-CN" w:bidi="ar"/>
        </w:rPr>
        <w:t xml:space="preserve">及服务</w:t>
      </w:r>
      <w:r>
        <w:rPr>
          <w:rFonts w:hint="default" w:ascii="Times New Roman" w:hAnsi="Times New Roman" w:cs="Times New Roman" w:eastAsiaTheme="minorEastAsia"/>
          <w:color w:val="auto"/>
          <w:sz w:val="24"/>
          <w:szCs w:val="24"/>
          <w:highlight w:val="none"/>
          <w:lang w:val="en-US" w:eastAsia="zh-CN" w:bidi="ar"/>
        </w:rPr>
        <w:t xml:space="preserve">要求委派对应的服务人员（供应商提供承诺函）。</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（包二：南园新村）</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应派驻至少15名符合用工条件的物业服务人员，其中至少包括</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eastAsia" w:cs="Times New Roman" w:eastAsiaTheme="minorEastAsia"/>
          <w:color w:val="auto"/>
          <w:sz w:val="24"/>
          <w:szCs w:val="24"/>
          <w:highlight w:val="none"/>
          <w:lang w:val="en-US" w:eastAsia="zh-CN" w:bidi="ar"/>
        </w:rPr>
        <w:t xml:space="preserve">（1）</w:t>
      </w:r>
      <w:r>
        <w:rPr>
          <w:rFonts w:hint="default" w:ascii="Times New Roman" w:hAnsi="Times New Roman" w:cs="Times New Roman" w:eastAsiaTheme="minorEastAsia"/>
          <w:color w:val="auto"/>
          <w:sz w:val="24"/>
          <w:szCs w:val="24"/>
          <w:highlight w:val="none"/>
          <w:lang w:val="en-US" w:eastAsia="zh-CN" w:bidi="ar"/>
        </w:rPr>
        <w:t xml:space="preserve">项目经理（1名）：年龄男60周岁（含）以下、女50周岁（含）以下（须提供身份证以及供应商为其缴纳的当月或上月社保证明的复印件）；</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eastAsia" w:cs="Times New Roman" w:eastAsiaTheme="minorEastAsia"/>
          <w:color w:val="auto"/>
          <w:sz w:val="24"/>
          <w:szCs w:val="24"/>
          <w:highlight w:val="none"/>
          <w:lang w:val="en-US" w:eastAsia="zh-CN" w:bidi="ar"/>
        </w:rPr>
        <w:t xml:space="preserve">（2）</w:t>
      </w:r>
      <w:r>
        <w:rPr>
          <w:rFonts w:hint="default" w:ascii="Times New Roman" w:hAnsi="Times New Roman" w:cs="Times New Roman" w:eastAsiaTheme="minorEastAsia"/>
          <w:color w:val="auto"/>
          <w:sz w:val="24"/>
          <w:szCs w:val="24"/>
          <w:highlight w:val="none"/>
          <w:lang w:val="en-US" w:eastAsia="zh-CN" w:bidi="ar"/>
        </w:rPr>
        <w:t xml:space="preserve">水电维修工（1名）：具有应急管理部门颁发的“低压电工作业”资格的特种作业操作证（须提供相关证书以及供应商为其缴纳的当月或上月社保证明的复印件）；</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eastAsia" w:cs="Times New Roman" w:eastAsiaTheme="minorEastAsia"/>
          <w:color w:val="auto"/>
          <w:sz w:val="24"/>
          <w:szCs w:val="24"/>
          <w:highlight w:val="none"/>
          <w:lang w:val="en-US" w:eastAsia="zh-CN" w:bidi="ar"/>
        </w:rPr>
        <w:t xml:space="preserve">（3）</w:t>
      </w:r>
      <w:r>
        <w:rPr>
          <w:rFonts w:hint="default" w:ascii="Times New Roman" w:hAnsi="Times New Roman" w:cs="Times New Roman" w:eastAsiaTheme="minorEastAsia"/>
          <w:color w:val="auto"/>
          <w:sz w:val="24"/>
          <w:szCs w:val="24"/>
          <w:highlight w:val="none"/>
          <w:lang w:val="en-US" w:eastAsia="zh-CN" w:bidi="ar"/>
        </w:rPr>
        <w:t xml:space="preserve">保安（8名）：具备由公安</w:t>
      </w:r>
      <w:r>
        <w:rPr>
          <w:rFonts w:hint="eastAsia" w:cs="Times New Roman" w:eastAsiaTheme="minorEastAsia"/>
          <w:color w:val="auto"/>
          <w:sz w:val="24"/>
          <w:szCs w:val="24"/>
          <w:highlight w:val="none"/>
          <w:lang w:val="en-US" w:eastAsia="zh-CN" w:bidi="ar"/>
        </w:rPr>
        <w:t xml:space="preserve">部门</w:t>
      </w:r>
      <w:r>
        <w:rPr>
          <w:rFonts w:hint="default" w:ascii="Times New Roman" w:hAnsi="Times New Roman" w:cs="Times New Roman" w:eastAsiaTheme="minorEastAsia"/>
          <w:color w:val="auto"/>
          <w:sz w:val="24"/>
          <w:szCs w:val="24"/>
          <w:highlight w:val="none"/>
          <w:lang w:val="en-US" w:eastAsia="zh-CN" w:bidi="ar"/>
        </w:rPr>
        <w:t xml:space="preserve">颁发的保安员证（须提供相关证书复印件）；</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eastAsia" w:cs="Times New Roman" w:eastAsiaTheme="minorEastAsia"/>
          <w:color w:val="auto"/>
          <w:sz w:val="24"/>
          <w:szCs w:val="24"/>
          <w:highlight w:val="none"/>
          <w:lang w:val="en-US" w:eastAsia="zh-CN" w:bidi="ar"/>
        </w:rPr>
        <w:t xml:space="preserve">（4）</w:t>
      </w:r>
      <w:r>
        <w:rPr>
          <w:rFonts w:hint="default" w:ascii="Times New Roman" w:hAnsi="Times New Roman" w:cs="Times New Roman" w:eastAsiaTheme="minorEastAsia"/>
          <w:color w:val="auto"/>
          <w:sz w:val="24"/>
          <w:szCs w:val="24"/>
          <w:highlight w:val="none"/>
          <w:lang w:val="en-US" w:eastAsia="zh-CN" w:bidi="ar"/>
        </w:rPr>
        <w:t xml:space="preserve">其余人员。供应商承诺除上述人员外，在合同履行期间按照采购需求中明确的人员</w:t>
      </w:r>
      <w:r>
        <w:rPr>
          <w:rFonts w:hint="eastAsia" w:cs="Times New Roman" w:eastAsiaTheme="minorEastAsia"/>
          <w:color w:val="auto"/>
          <w:sz w:val="24"/>
          <w:szCs w:val="24"/>
          <w:highlight w:val="none"/>
          <w:lang w:val="en-US" w:eastAsia="zh-CN" w:bidi="ar"/>
        </w:rPr>
        <w:t xml:space="preserve">及服务</w:t>
      </w:r>
      <w:r>
        <w:rPr>
          <w:rFonts w:hint="default" w:ascii="Times New Roman" w:hAnsi="Times New Roman" w:cs="Times New Roman" w:eastAsiaTheme="minorEastAsia"/>
          <w:color w:val="auto"/>
          <w:sz w:val="24"/>
          <w:szCs w:val="24"/>
          <w:highlight w:val="none"/>
          <w:lang w:val="en-US" w:eastAsia="zh-CN" w:bidi="ar"/>
        </w:rPr>
        <w:t xml:space="preserve">要求委派对应的服务人员（供应商提供承诺函）。</w:t>
      </w:r>
      <w:r/>
    </w:p>
    <w:p>
      <w:pPr>
        <w:ind w:left="0" w:right="0" w:firstLine="480"/>
        <w:jc w:val="both"/>
        <w:keepLines w:val="0"/>
        <w:keepNext w:val="0"/>
        <w:pageBreakBefore w:val="0"/>
        <w:spacing w:beforeAutospacing="0" w:afterAutospacing="0" w:line="500" w:lineRule="exact"/>
        <w:widowControl w:val="off"/>
        <w:rPr>
          <w:rFonts w:hint="default" w:ascii="Times New Roman" w:hAnsi="Times New Roman" w:cs="Times New Roman" w:eastAsiaTheme="minorEastAsia"/>
          <w:color w:val="auto"/>
          <w:sz w:val="24"/>
          <w:szCs w:val="24"/>
          <w:highlight w:val="none"/>
          <w:lang w:val="en-US" w:eastAsia="zh-CN" w:bidi="ar"/>
        </w:rPr>
        <w:suppressLineNumbers w:val="0"/>
      </w:pPr>
      <w:r>
        <w:rPr>
          <w:rFonts w:hint="default" w:ascii="Times New Roman" w:hAnsi="Times New Roman" w:cs="Times New Roman" w:eastAsiaTheme="minorEastAsia"/>
          <w:color w:val="auto"/>
          <w:sz w:val="24"/>
          <w:szCs w:val="24"/>
          <w:highlight w:val="none"/>
          <w:lang w:val="en-US" w:eastAsia="zh-CN" w:bidi="ar"/>
        </w:rPr>
        <w:t xml:space="preserve">注：为了保障超过法定退休年龄的劳动者的合法权益，明确用人单位与劳动者的权利和义务，用人单位需参照《超龄劳动者基本权益保障暂行规定》执行。</w:t>
      </w:r>
      <w:r/>
    </w:p>
    <w:p>
      <w:pPr>
        <w:ind w:left="0" w:right="0" w:firstLine="480"/>
        <w:jc w:val="left"/>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zh-CN" w:eastAsia="zh-CN"/>
        </w:rPr>
        <w:t xml:space="preserve">项目经理、保洁、安保、维修等核心岗位人员，需按小区户数合理配比，且具备相应从业资质、明确保洁范围。</w:t>
      </w:r>
      <w:r/>
    </w:p>
    <w:p>
      <w:pPr>
        <w:ind w:left="0" w:right="0" w:firstLine="420"/>
        <w:keepLines w:val="0"/>
        <w:keepNext w:val="0"/>
        <w:pageBreakBefore w:val="0"/>
        <w:spacing w:line="500" w:lineRule="exact"/>
        <w:widowControl w:val="off"/>
        <w:rPr>
          <w:rFonts w:hint="default" w:ascii="Times New Roman" w:hAnsi="Times New Roman" w:eastAsia="黑体" w:cs="Times New Roman"/>
          <w:color w:val="auto"/>
          <w:sz w:val="28"/>
          <w:szCs w:val="28"/>
          <w:highlight w:val="none"/>
          <w:lang w:val="zh-CN"/>
        </w:rPr>
      </w:pPr>
      <w:r/>
      <w:bookmarkStart w:id="220" w:name="_Toc23622"/>
      <w:r>
        <w:rPr>
          <w:rFonts w:hint="default" w:ascii="Times New Roman" w:hAnsi="Times New Roman" w:eastAsia="黑体" w:cs="Times New Roman"/>
          <w:color w:val="auto"/>
          <w:sz w:val="28"/>
          <w:szCs w:val="28"/>
          <w:highlight w:val="none"/>
          <w:lang w:val="zh-CN"/>
        </w:rPr>
        <w:t xml:space="preserve">五、其他要求</w:t>
      </w:r>
      <w:bookmarkEnd w:id="220"/>
      <w:r/>
      <w:r/>
    </w:p>
    <w:p>
      <w:pPr>
        <w:ind w:left="0" w:right="0" w:firstLine="48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1.</w:t>
      </w:r>
      <w:r>
        <w:rPr>
          <w:rFonts w:hint="eastAsia" w:cs="Times New Roman"/>
          <w:color w:val="auto"/>
          <w:sz w:val="24"/>
          <w:szCs w:val="24"/>
          <w:highlight w:val="none"/>
          <w:lang w:val="zh-CN"/>
        </w:rPr>
        <w:t xml:space="preserve">成交供应商</w:t>
      </w:r>
      <w:r>
        <w:rPr>
          <w:rFonts w:hint="default" w:ascii="Times New Roman" w:hAnsi="Times New Roman" w:eastAsia="宋体" w:cs="Times New Roman"/>
          <w:color w:val="auto"/>
          <w:sz w:val="24"/>
          <w:szCs w:val="24"/>
          <w:highlight w:val="none"/>
          <w:lang w:val="zh-CN"/>
        </w:rPr>
        <w:t xml:space="preserve">须</w:t>
      </w:r>
      <w:r>
        <w:rPr>
          <w:rFonts w:hint="default" w:ascii="Times New Roman" w:hAnsi="Times New Roman" w:eastAsia="宋体" w:cs="Times New Roman"/>
          <w:color w:val="auto"/>
          <w:sz w:val="24"/>
          <w:szCs w:val="24"/>
          <w:highlight w:val="none"/>
          <w:lang w:val="en-US" w:eastAsia="zh-CN"/>
        </w:rPr>
        <w:t xml:space="preserve">做好消防设施、公共设备等的移交工作，做好进场前后的交接工作。</w:t>
      </w:r>
      <w:r/>
    </w:p>
    <w:p>
      <w:pPr>
        <w:ind w:left="0" w:right="0"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zh-CN"/>
        </w:rPr>
        <w:t xml:space="preserve">拟派本项目的负责人必须为投标人的在职员工，</w:t>
      </w:r>
      <w:r>
        <w:rPr>
          <w:rFonts w:hint="eastAsia" w:cs="Times New Roman"/>
          <w:color w:val="auto"/>
          <w:sz w:val="24"/>
          <w:szCs w:val="24"/>
          <w:highlight w:val="none"/>
          <w:lang w:val="zh-CN"/>
        </w:rPr>
        <w:t xml:space="preserve">成交</w:t>
      </w:r>
      <w:r>
        <w:rPr>
          <w:rFonts w:hint="default" w:ascii="Times New Roman" w:hAnsi="Times New Roman" w:cs="Times New Roman"/>
          <w:color w:val="auto"/>
          <w:sz w:val="24"/>
          <w:szCs w:val="24"/>
          <w:highlight w:val="none"/>
          <w:lang w:val="zh-CN"/>
        </w:rPr>
        <w:t xml:space="preserve">后必须常驻现场。</w:t>
      </w:r>
      <w:r/>
    </w:p>
    <w:p>
      <w:pPr>
        <w:ind w:left="0" w:right="0" w:firstLine="480"/>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.除</w:t>
      </w:r>
      <w:r>
        <w:rPr>
          <w:rFonts w:hint="default" w:ascii="Times New Roman" w:hAnsi="Times New Roman" w:cs="Times New Roman"/>
          <w:color w:val="auto"/>
          <w:sz w:val="24"/>
          <w:szCs w:val="24"/>
          <w:highlight w:val="none"/>
          <w:lang w:eastAsia="zh-CN"/>
        </w:rPr>
        <w:t xml:space="preserve">不可抗力因素</w:t>
      </w:r>
      <w:r>
        <w:rPr>
          <w:rFonts w:hint="default" w:ascii="Times New Roman" w:hAnsi="Times New Roman" w:cs="Times New Roman"/>
          <w:color w:val="auto"/>
          <w:sz w:val="24"/>
          <w:szCs w:val="24"/>
          <w:highlight w:val="none"/>
        </w:rPr>
        <w:t xml:space="preserve">外，因</w:t>
      </w:r>
      <w:r>
        <w:rPr>
          <w:rFonts w:hint="eastAsia" w:cs="Times New Roman"/>
          <w:color w:val="auto"/>
          <w:sz w:val="24"/>
          <w:szCs w:val="24"/>
          <w:highlight w:val="none"/>
          <w:lang w:val="zh-CN" w:eastAsia="zh-CN"/>
        </w:rPr>
        <w:t xml:space="preserve">成交供应商</w:t>
      </w:r>
      <w:r>
        <w:rPr>
          <w:rFonts w:hint="default" w:ascii="Times New Roman" w:hAnsi="Times New Roman" w:cs="Times New Roman"/>
          <w:color w:val="auto"/>
          <w:sz w:val="24"/>
          <w:szCs w:val="24"/>
          <w:highlight w:val="none"/>
        </w:rPr>
        <w:t xml:space="preserve">工作管理不到位发生的重大安全事故，甲方有权单方面终止合同，并追究</w:t>
      </w:r>
      <w:r>
        <w:rPr>
          <w:rFonts w:hint="eastAsia" w:cs="Times New Roman"/>
          <w:color w:val="auto"/>
          <w:sz w:val="24"/>
          <w:szCs w:val="24"/>
          <w:highlight w:val="none"/>
          <w:lang w:val="zh-CN" w:eastAsia="zh-CN"/>
        </w:rPr>
        <w:t xml:space="preserve">成交供应商</w:t>
      </w:r>
      <w:r>
        <w:rPr>
          <w:rFonts w:hint="default" w:ascii="Times New Roman" w:hAnsi="Times New Roman" w:cs="Times New Roman"/>
          <w:color w:val="auto"/>
          <w:sz w:val="24"/>
          <w:szCs w:val="24"/>
          <w:highlight w:val="none"/>
        </w:rPr>
        <w:t xml:space="preserve">的相关责任。</w:t>
      </w:r>
      <w:r/>
    </w:p>
    <w:p>
      <w:pPr>
        <w:ind w:left="0" w:right="0"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w:t>
      </w:r>
      <w:r>
        <w:rPr>
          <w:rFonts w:hint="eastAsia" w:cs="Times New Roman"/>
          <w:color w:val="auto"/>
          <w:sz w:val="24"/>
          <w:szCs w:val="24"/>
          <w:highlight w:val="none"/>
          <w:lang w:val="zh-CN"/>
        </w:rPr>
        <w:t xml:space="preserve">成交</w:t>
      </w:r>
      <w:r>
        <w:rPr>
          <w:rFonts w:hint="default" w:ascii="Times New Roman" w:hAnsi="Times New Roman" w:cs="Times New Roman"/>
          <w:color w:val="auto"/>
          <w:sz w:val="24"/>
          <w:szCs w:val="24"/>
          <w:highlight w:val="none"/>
          <w:lang w:val="zh-CN"/>
        </w:rPr>
        <w:t xml:space="preserve">后</w:t>
      </w:r>
      <w:r>
        <w:rPr>
          <w:rFonts w:hint="eastAsia" w:cs="Times New Roman"/>
          <w:color w:val="auto"/>
          <w:sz w:val="24"/>
          <w:szCs w:val="24"/>
          <w:highlight w:val="none"/>
          <w:lang w:val="zh-CN"/>
        </w:rPr>
        <w:t xml:space="preserve">供应商</w:t>
      </w:r>
      <w:r>
        <w:rPr>
          <w:rFonts w:hint="default" w:ascii="Times New Roman" w:hAnsi="Times New Roman" w:cs="Times New Roman"/>
          <w:color w:val="auto"/>
          <w:sz w:val="24"/>
          <w:szCs w:val="24"/>
          <w:highlight w:val="none"/>
          <w:lang w:val="zh-CN"/>
        </w:rPr>
        <w:t xml:space="preserve">必须为本项目服务的所有人员按照法律法规的要求签订劳动用工合同、雇佣合同、聘用合同、承包合同，并按规定为物管人员购买相关保险；若不按规定办理，甲方有权单方面取消合同，并对投标人进行相关处罚。</w:t>
      </w:r>
      <w:r/>
    </w:p>
    <w:p>
      <w:pPr>
        <w:ind w:left="0" w:right="0"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w:t>
      </w:r>
      <w:r>
        <w:rPr>
          <w:rFonts w:hint="eastAsia" w:cs="Times New Roman"/>
          <w:color w:val="auto"/>
          <w:sz w:val="24"/>
          <w:szCs w:val="24"/>
          <w:highlight w:val="none"/>
          <w:lang w:val="zh-CN"/>
        </w:rPr>
        <w:t xml:space="preserve">成交供应商</w:t>
      </w:r>
      <w:r>
        <w:rPr>
          <w:rFonts w:hint="default" w:ascii="Times New Roman" w:hAnsi="Times New Roman" w:cs="Times New Roman"/>
          <w:color w:val="auto"/>
          <w:sz w:val="24"/>
          <w:szCs w:val="24"/>
          <w:highlight w:val="none"/>
          <w:lang w:val="zh-CN"/>
        </w:rPr>
        <w:t xml:space="preserve">必须自行完成本项目的所有服务内容，不得整体转包或分包，一经发现，作废标处理或取消</w:t>
      </w:r>
      <w:r>
        <w:rPr>
          <w:rFonts w:hint="eastAsia" w:cs="Times New Roman"/>
          <w:color w:val="auto"/>
          <w:sz w:val="24"/>
          <w:szCs w:val="24"/>
          <w:highlight w:val="none"/>
          <w:lang w:val="zh-CN"/>
        </w:rPr>
        <w:t xml:space="preserve">成交</w:t>
      </w:r>
      <w:r>
        <w:rPr>
          <w:rFonts w:hint="default" w:ascii="Times New Roman" w:hAnsi="Times New Roman" w:cs="Times New Roman"/>
          <w:color w:val="auto"/>
          <w:sz w:val="24"/>
          <w:szCs w:val="24"/>
          <w:highlight w:val="none"/>
          <w:lang w:val="zh-CN"/>
        </w:rPr>
        <w:t xml:space="preserve">资格或取消合同，并对投标人进行相关处罚。</w:t>
      </w:r>
      <w:r/>
    </w:p>
    <w:p>
      <w:pPr>
        <w:ind w:left="0" w:right="0"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zh-CN"/>
        </w:rPr>
        <w:t xml:space="preserve">各</w:t>
      </w:r>
      <w:r>
        <w:rPr>
          <w:rFonts w:hint="eastAsia" w:cs="Times New Roman"/>
          <w:color w:val="auto"/>
          <w:sz w:val="24"/>
          <w:szCs w:val="24"/>
          <w:highlight w:val="none"/>
          <w:lang w:val="zh-CN"/>
        </w:rPr>
        <w:t xml:space="preserve">供应商</w:t>
      </w:r>
      <w:r>
        <w:rPr>
          <w:rFonts w:hint="default" w:ascii="Times New Roman" w:hAnsi="Times New Roman" w:cs="Times New Roman"/>
          <w:color w:val="auto"/>
          <w:sz w:val="24"/>
          <w:szCs w:val="24"/>
          <w:highlight w:val="none"/>
          <w:lang w:val="zh-CN"/>
        </w:rPr>
        <w:t xml:space="preserve">自行至现场了解</w:t>
      </w:r>
      <w:r>
        <w:rPr>
          <w:rFonts w:hint="default" w:ascii="Times New Roman" w:hAnsi="Times New Roman" w:cs="Times New Roman"/>
          <w:color w:val="auto"/>
          <w:sz w:val="24"/>
          <w:szCs w:val="24"/>
          <w:highlight w:val="none"/>
        </w:rPr>
        <w:t xml:space="preserve">每个小区的房屋、设施配套、场地、绿化等</w:t>
      </w:r>
      <w:r>
        <w:rPr>
          <w:rFonts w:hint="default" w:ascii="Times New Roman" w:hAnsi="Times New Roman" w:cs="Times New Roman"/>
          <w:color w:val="auto"/>
          <w:sz w:val="24"/>
          <w:szCs w:val="24"/>
          <w:highlight w:val="none"/>
          <w:lang w:val="zh-CN"/>
        </w:rPr>
        <w:t xml:space="preserve">具体配置情况。</w:t>
      </w:r>
      <w:r/>
    </w:p>
    <w:p>
      <w:pPr>
        <w:ind w:left="0" w:right="0"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zh-CN"/>
        </w:rPr>
        <w:t xml:space="preserve">物业管理过程中需要的所有保洁消耗品全部由</w:t>
      </w:r>
      <w:r>
        <w:rPr>
          <w:rFonts w:hint="eastAsia" w:cs="Times New Roman"/>
          <w:color w:val="auto"/>
          <w:sz w:val="24"/>
          <w:szCs w:val="24"/>
          <w:highlight w:val="none"/>
          <w:lang w:val="zh-CN"/>
        </w:rPr>
        <w:t xml:space="preserve">成交供应商</w:t>
      </w:r>
      <w:r>
        <w:rPr>
          <w:rFonts w:hint="default" w:ascii="Times New Roman" w:hAnsi="Times New Roman" w:cs="Times New Roman"/>
          <w:color w:val="auto"/>
          <w:sz w:val="24"/>
          <w:szCs w:val="24"/>
          <w:highlight w:val="none"/>
          <w:lang w:val="zh-CN"/>
        </w:rPr>
        <w:t xml:space="preserve">承担，包含在本次报价中。</w:t>
      </w:r>
      <w:r/>
    </w:p>
    <w:p>
      <w:pPr>
        <w:ind w:left="0" w:right="0"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zh-CN"/>
        </w:rPr>
        <w:t xml:space="preserve">由</w:t>
      </w:r>
      <w:r>
        <w:rPr>
          <w:rFonts w:hint="default" w:ascii="Times New Roman" w:hAnsi="Times New Roman" w:cs="Times New Roman"/>
          <w:color w:val="auto"/>
          <w:sz w:val="24"/>
          <w:szCs w:val="24"/>
          <w:highlight w:val="none"/>
        </w:rPr>
        <w:t xml:space="preserve">甲方组织实施</w:t>
      </w:r>
      <w:r>
        <w:rPr>
          <w:rFonts w:hint="default" w:ascii="Times New Roman" w:hAnsi="Times New Roman" w:cs="Times New Roman"/>
          <w:color w:val="auto"/>
          <w:sz w:val="24"/>
          <w:szCs w:val="24"/>
          <w:highlight w:val="none"/>
          <w:lang w:val="zh-CN"/>
        </w:rPr>
        <w:t xml:space="preserve">的</w:t>
      </w:r>
      <w:r>
        <w:rPr>
          <w:rFonts w:hint="default" w:ascii="Times New Roman" w:hAnsi="Times New Roman" w:cs="Times New Roman"/>
          <w:color w:val="auto"/>
          <w:sz w:val="24"/>
          <w:szCs w:val="24"/>
          <w:highlight w:val="none"/>
        </w:rPr>
        <w:t xml:space="preserve">公共部位</w:t>
      </w:r>
      <w:r>
        <w:rPr>
          <w:rFonts w:hint="default" w:ascii="Times New Roman" w:hAnsi="Times New Roman" w:cs="Times New Roman"/>
          <w:color w:val="auto"/>
          <w:sz w:val="24"/>
          <w:szCs w:val="24"/>
          <w:highlight w:val="none"/>
          <w:lang w:val="zh-CN"/>
        </w:rPr>
        <w:t xml:space="preserve">维修（</w:t>
      </w:r>
      <w:r>
        <w:rPr>
          <w:rFonts w:hint="default" w:ascii="Times New Roman" w:hAnsi="Times New Roman" w:cs="Times New Roman"/>
          <w:color w:val="auto"/>
          <w:sz w:val="24"/>
          <w:szCs w:val="24"/>
          <w:highlight w:val="none"/>
        </w:rPr>
        <w:t xml:space="preserve">护</w:t>
      </w:r>
      <w:r>
        <w:rPr>
          <w:rFonts w:hint="default" w:ascii="Times New Roman" w:hAnsi="Times New Roman" w:cs="Times New Roman"/>
          <w:color w:val="auto"/>
          <w:sz w:val="24"/>
          <w:szCs w:val="24"/>
          <w:highlight w:val="none"/>
          <w:lang w:val="zh-CN"/>
        </w:rPr>
        <w:t xml:space="preserve">）</w:t>
      </w:r>
      <w:r>
        <w:rPr>
          <w:rFonts w:hint="default" w:ascii="Times New Roman" w:hAnsi="Times New Roman" w:cs="Times New Roman"/>
          <w:color w:val="auto"/>
          <w:sz w:val="24"/>
          <w:szCs w:val="24"/>
          <w:highlight w:val="none"/>
        </w:rPr>
        <w:t xml:space="preserve">项目</w:t>
      </w:r>
      <w:r>
        <w:rPr>
          <w:rFonts w:hint="default" w:ascii="Times New Roman" w:hAnsi="Times New Roman" w:cs="Times New Roman"/>
          <w:color w:val="auto"/>
          <w:sz w:val="24"/>
          <w:szCs w:val="24"/>
          <w:highlight w:val="none"/>
          <w:lang w:val="zh-CN"/>
        </w:rPr>
        <w:t xml:space="preserve">，</w:t>
      </w:r>
      <w:r>
        <w:rPr>
          <w:rFonts w:hint="eastAsia" w:cs="Times New Roman"/>
          <w:color w:val="auto"/>
          <w:sz w:val="24"/>
          <w:szCs w:val="24"/>
          <w:highlight w:val="none"/>
          <w:lang w:val="zh-CN"/>
        </w:rPr>
        <w:t xml:space="preserve">成交供应商</w:t>
      </w:r>
      <w:r>
        <w:rPr>
          <w:rFonts w:hint="default" w:ascii="Times New Roman" w:hAnsi="Times New Roman" w:cs="Times New Roman"/>
          <w:color w:val="auto"/>
          <w:sz w:val="24"/>
          <w:szCs w:val="24"/>
          <w:highlight w:val="none"/>
        </w:rPr>
        <w:t xml:space="preserve">必须配备专人负责配合，按照时间要求、施工质量等督促项目承包人组织实施</w:t>
      </w:r>
      <w:r>
        <w:rPr>
          <w:rFonts w:hint="default" w:ascii="Times New Roman" w:hAnsi="Times New Roman" w:cs="Times New Roman"/>
          <w:color w:val="auto"/>
          <w:sz w:val="24"/>
          <w:szCs w:val="24"/>
          <w:highlight w:val="none"/>
          <w:lang w:val="zh-CN"/>
        </w:rPr>
        <w:t xml:space="preserve">。</w:t>
      </w:r>
      <w:r/>
    </w:p>
    <w:p>
      <w:pPr>
        <w:ind w:left="0" w:right="0" w:firstLine="480"/>
        <w:keepLines w:val="0"/>
        <w:keepNext w:val="0"/>
        <w:pageBreakBefore w:val="0"/>
        <w:spacing w:line="500" w:lineRule="exact"/>
        <w:widowControl w:val="off"/>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zh-CN"/>
        </w:rPr>
        <w:t xml:space="preserve">在合同期间物业公司人员非因甲方原因导致其人员发生意外安全事故的，由</w:t>
      </w:r>
      <w:r>
        <w:rPr>
          <w:rFonts w:hint="eastAsia" w:cs="Times New Roman"/>
          <w:color w:val="auto"/>
          <w:sz w:val="24"/>
          <w:szCs w:val="24"/>
          <w:highlight w:val="none"/>
          <w:lang w:val="zh-CN" w:eastAsia="zh-CN"/>
        </w:rPr>
        <w:t xml:space="preserve">成交供应商</w:t>
      </w:r>
      <w:r>
        <w:rPr>
          <w:rFonts w:hint="default" w:ascii="Times New Roman" w:hAnsi="Times New Roman" w:cs="Times New Roman"/>
          <w:color w:val="auto"/>
          <w:sz w:val="24"/>
          <w:szCs w:val="24"/>
          <w:highlight w:val="none"/>
          <w:lang w:val="zh-CN"/>
        </w:rPr>
        <w:t xml:space="preserve">自行承担责任；因甲方原因导致的，由甲方承担相应责任。</w:t>
      </w:r>
      <w:r/>
    </w:p>
    <w:p>
      <w:pPr>
        <w:ind w:left="0" w:right="0" w:firstLine="480"/>
        <w:jc w:val="left"/>
        <w:keepLines w:val="0"/>
        <w:keepNext w:val="0"/>
        <w:pageBreakBefore w:val="0"/>
        <w:spacing w:line="50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rPr>
        <w:t xml:space="preserve">.</w:t>
      </w:r>
      <w:r>
        <w:rPr>
          <w:rFonts w:hint="eastAsia" w:cs="Times New Roman"/>
          <w:color w:val="auto"/>
          <w:sz w:val="24"/>
          <w:szCs w:val="24"/>
          <w:highlight w:val="none"/>
          <w:lang w:val="zh-CN"/>
        </w:rPr>
        <w:t xml:space="preserve">成交供应商</w:t>
      </w:r>
      <w:r>
        <w:rPr>
          <w:rFonts w:hint="default" w:ascii="Times New Roman" w:hAnsi="Times New Roman" w:cs="Times New Roman"/>
          <w:color w:val="auto"/>
          <w:sz w:val="24"/>
          <w:szCs w:val="24"/>
          <w:highlight w:val="none"/>
        </w:rPr>
        <w:t xml:space="preserve">要加强对业主和使用人在房屋装潢过程中的监督、巡查并做好台账记录，严格按照《室内装饰装修规定》执行，甲方将不定期对装潢住户进行检查，如发现违反《室内装饰装修规定》规定，而</w:t>
      </w:r>
      <w:r>
        <w:rPr>
          <w:rFonts w:hint="eastAsia" w:cs="Times New Roman"/>
          <w:color w:val="auto"/>
          <w:sz w:val="24"/>
          <w:szCs w:val="24"/>
          <w:highlight w:val="none"/>
          <w:lang w:val="zh-CN" w:eastAsia="zh-CN"/>
        </w:rPr>
        <w:t xml:space="preserve">成交供应商</w:t>
      </w:r>
      <w:r>
        <w:rPr>
          <w:rFonts w:hint="default" w:ascii="Times New Roman" w:hAnsi="Times New Roman" w:cs="Times New Roman"/>
          <w:color w:val="auto"/>
          <w:sz w:val="24"/>
          <w:szCs w:val="24"/>
          <w:highlight w:val="none"/>
        </w:rPr>
        <w:t xml:space="preserve">未及时制止并上报或执行不力的，将对</w:t>
      </w:r>
      <w:r>
        <w:rPr>
          <w:rFonts w:hint="eastAsia" w:cs="Times New Roman"/>
          <w:color w:val="auto"/>
          <w:sz w:val="24"/>
          <w:szCs w:val="24"/>
          <w:highlight w:val="none"/>
          <w:lang w:val="zh-CN"/>
        </w:rPr>
        <w:t xml:space="preserve">成交供应商</w:t>
      </w:r>
      <w:r>
        <w:rPr>
          <w:rFonts w:hint="default" w:ascii="Times New Roman" w:hAnsi="Times New Roman" w:cs="Times New Roman"/>
          <w:color w:val="auto"/>
          <w:sz w:val="24"/>
          <w:szCs w:val="24"/>
          <w:highlight w:val="none"/>
        </w:rPr>
        <w:t xml:space="preserve">处以第一次5000元</w:t>
      </w:r>
      <w:r>
        <w:rPr>
          <w:rFonts w:hint="default" w:ascii="Times New Roman" w:hAnsi="Times New Roman" w:cs="Times New Roman"/>
          <w:color w:val="auto"/>
          <w:sz w:val="24"/>
          <w:szCs w:val="24"/>
          <w:highlight w:val="none"/>
          <w:lang w:eastAsia="zh-CN"/>
        </w:rPr>
        <w:t xml:space="preserve">扣款</w:t>
      </w:r>
      <w:r>
        <w:rPr>
          <w:rFonts w:hint="default" w:ascii="Times New Roman" w:hAnsi="Times New Roman" w:cs="Times New Roman"/>
          <w:color w:val="auto"/>
          <w:sz w:val="24"/>
          <w:szCs w:val="24"/>
          <w:highlight w:val="none"/>
        </w:rPr>
        <w:t xml:space="preserve">，第二次10000元</w:t>
      </w:r>
      <w:r>
        <w:rPr>
          <w:rFonts w:hint="default" w:ascii="Times New Roman" w:hAnsi="Times New Roman" w:cs="Times New Roman"/>
          <w:color w:val="auto"/>
          <w:sz w:val="24"/>
          <w:szCs w:val="24"/>
          <w:highlight w:val="none"/>
          <w:lang w:eastAsia="zh-CN"/>
        </w:rPr>
        <w:t xml:space="preserve">扣款</w:t>
      </w:r>
      <w:r>
        <w:rPr>
          <w:rFonts w:hint="default" w:ascii="Times New Roman" w:hAnsi="Times New Roman" w:cs="Times New Roman"/>
          <w:color w:val="auto"/>
          <w:sz w:val="24"/>
          <w:szCs w:val="24"/>
          <w:highlight w:val="none"/>
        </w:rPr>
        <w:t xml:space="preserve">，第三次直接解除合同，已经实施未支付的物业管理服务费用不予支付。个别情节严重，造成严重后果的，追究</w:t>
      </w:r>
      <w:r>
        <w:rPr>
          <w:rFonts w:hint="eastAsia" w:cs="Times New Roman"/>
          <w:color w:val="auto"/>
          <w:sz w:val="24"/>
          <w:szCs w:val="24"/>
          <w:highlight w:val="none"/>
          <w:lang w:val="zh-CN"/>
        </w:rPr>
        <w:t xml:space="preserve">成交供应商</w:t>
      </w:r>
      <w:r>
        <w:rPr>
          <w:rFonts w:hint="default" w:ascii="Times New Roman" w:hAnsi="Times New Roman" w:cs="Times New Roman"/>
          <w:color w:val="auto"/>
          <w:sz w:val="24"/>
          <w:szCs w:val="24"/>
          <w:highlight w:val="none"/>
        </w:rPr>
        <w:t xml:space="preserve">相关法律责任。</w:t>
      </w:r>
      <w:r/>
    </w:p>
    <w:p>
      <w:pPr>
        <w:pStyle w:val="667"/>
        <w:ind w:left="0" w:right="0"/>
        <w:keepLines w:val="0"/>
        <w:keepNext w:val="0"/>
        <w:pageBreakBefore w:val="0"/>
        <w:spacing w:after="0"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11.明确社区用房、活动用房等公共服务场所保洁责任，按实际使用面积核算保洁服务范围与频次，做到环境整洁、设施完好。同时规范公共区域水电、照明、通风等公共能耗管理，按用房面积及使用强度合理测算能耗标准，建立台账、厉行节约，提升公共空间运维规范化水平。</w:t>
      </w:r>
      <w:r/>
    </w:p>
    <w:p>
      <w:pPr>
        <w:pStyle w:val="667"/>
        <w:ind w:left="0" w:right="0"/>
        <w:keepLines w:val="0"/>
        <w:keepNext w:val="0"/>
        <w:pageBreakBefore w:val="0"/>
        <w:spacing w:after="0"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12.健全物业考评体系，提高服务质量考核权重，重点围绕投诉举报渠道公示完整性与畅通性、居民诉求响应及时性、矛盾纠纷及安全隐患内部化解率、反馈处置台账规范性、完整性、真实性，以及反馈人满意度评价等内容开展考评。同时建立严格的物业退出机制，物业管理存在安全隐患经甲方警告后逾期未整改，或因履职不到位引发重大安全事故的，直接启动退出程序，已经实施未支付的物业管理服务费用不予支付，乙方同时应承担年服务费20%的违约责任。</w:t>
      </w:r>
      <w:r/>
    </w:p>
    <w:p>
      <w:pPr>
        <w:ind w:left="0" w:right="0"/>
        <w:pageBreakBefore w:val="0"/>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br w:type="page" w:clear="all"/>
      </w:r>
      <w:r/>
    </w:p>
    <w:p>
      <w:pPr>
        <w:ind w:left="0" w:right="0"/>
        <w:pageBreakBefore w:val="0"/>
        <w:rPr>
          <w:rFonts w:hint="default" w:ascii="Times New Roman" w:hAnsi="Times New Roman" w:cs="Times New Roman"/>
          <w:b/>
          <w:bCs/>
          <w:color w:val="auto"/>
          <w:sz w:val="28"/>
          <w:szCs w:val="28"/>
          <w:highlight w:val="none"/>
        </w:rPr>
        <w:outlineLvl w:val="1"/>
      </w:pPr>
      <w:r/>
      <w:bookmarkStart w:id="221" w:name="_Toc14197"/>
      <w:r>
        <w:rPr>
          <w:rFonts w:hint="default" w:ascii="Times New Roman" w:hAnsi="Times New Roman" w:cs="Times New Roman"/>
          <w:b/>
          <w:bCs/>
          <w:color w:val="auto"/>
          <w:sz w:val="28"/>
          <w:szCs w:val="28"/>
          <w:highlight w:val="none"/>
        </w:rPr>
        <w:t xml:space="preserve">附《物业管理考核细则》</w:t>
      </w:r>
      <w:bookmarkEnd w:id="221"/>
      <w:r/>
      <w:r/>
    </w:p>
    <w:p>
      <w:pPr>
        <w:ind w:left="0" w:right="0"/>
        <w:jc w:val="center"/>
        <w:pageBreakBefore w:val="0"/>
        <w:rPr>
          <w:rFonts w:hint="default" w:ascii="Times New Roman" w:hAnsi="Times New Roman" w:cs="Times New Roman"/>
          <w:color w:val="auto"/>
          <w:sz w:val="28"/>
          <w:szCs w:val="28"/>
          <w:highlight w:val="none"/>
        </w:rPr>
        <w:outlineLvl w:val="1"/>
      </w:pPr>
      <w:r/>
      <w:bookmarkStart w:id="222" w:name="_Toc16484"/>
      <w:r>
        <w:rPr>
          <w:rFonts w:hint="default" w:ascii="Times New Roman" w:hAnsi="Times New Roman" w:cs="Times New Roman"/>
          <w:color w:val="auto"/>
          <w:sz w:val="28"/>
          <w:szCs w:val="28"/>
          <w:highlight w:val="none"/>
        </w:rPr>
        <w:t xml:space="preserve">《物业管理考核细则》</w:t>
      </w:r>
      <w:bookmarkEnd w:id="222"/>
      <w:r/>
      <w:r/>
    </w:p>
    <w:tbl>
      <w:tblPr>
        <w:tblStyle w:val="641"/>
        <w:tblW w:w="9819" w:type="dxa"/>
        <w:tblInd w:w="0" w:type="dxa"/>
        <w:tblLayout w:type="autofit"/>
        <w:tblCellMar>
          <w:left w:w="0" w:type="dxa"/>
          <w:top w:w="0" w:type="dxa"/>
          <w:right w:w="0" w:type="dxa"/>
          <w:bottom w:w="0" w:type="dxa"/>
        </w:tblCellMar>
        <w:tblLook w:val="04A0" w:firstRow="1" w:lastRow="0" w:firstColumn="1" w:lastColumn="0" w:noHBand="0" w:noVBand="1"/>
      </w:tblPr>
      <w:tblGrid>
        <w:gridCol w:w="375"/>
        <w:gridCol w:w="435"/>
        <w:gridCol w:w="690"/>
        <w:gridCol w:w="4030"/>
        <w:gridCol w:w="609"/>
        <w:gridCol w:w="3020"/>
        <w:gridCol w:w="660"/>
      </w:tblGrid>
      <w:tr>
        <w:trPr>
          <w:trHeight w:val="38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textDirection w:val="lrTb"/>
            <w:noWrap w:val="false"/>
          </w:tcPr>
          <w:p>
            <w:pPr>
              <w:ind w:left="0" w:right="0"/>
              <w:jc w:val="center"/>
              <w:pageBreakBefore w:val="0"/>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center"/>
              <w:pageBreakBefore w:val="0"/>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ind w:left="0" w:right="0"/>
              <w:jc w:val="center"/>
              <w:pageBreakBefore w:val="0"/>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center"/>
              <w:pageBreakBefore w:val="0"/>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计分办法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jc w:val="center"/>
              <w:pageBreakBefore w:val="0"/>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得分</w:t>
            </w:r>
            <w:r/>
          </w:p>
        </w:tc>
      </w:tr>
      <w:tr>
        <w:trPr>
          <w:trHeight w:val="3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基础</w:t>
            </w:r>
            <w:r>
              <w:rPr>
                <w:rFonts w:hint="default" w:ascii="Times New Roman" w:hAnsi="Times New Roman" w:cs="Times New Roman" w:eastAsiaTheme="minorEastAsia"/>
                <w:color w:val="auto"/>
                <w:sz w:val="24"/>
                <w:szCs w:val="24"/>
                <w:highlight w:val="none"/>
              </w:rPr>
              <w:br/>
            </w:r>
            <w:r>
              <w:rPr>
                <w:rFonts w:hint="default" w:ascii="Times New Roman" w:hAnsi="Times New Roman" w:cs="Times New Roman" w:eastAsiaTheme="minorEastAsia"/>
                <w:color w:val="auto"/>
                <w:sz w:val="24"/>
                <w:szCs w:val="24"/>
                <w:highlight w:val="none"/>
              </w:rPr>
              <w:t xml:space="preserve">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vMerge w:val="restart"/>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1.各项管理制度健全；日常工作记录完整。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vMerge w:val="restart"/>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物业岗位责任及管理制度齐全，缺一项扣0.5分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vMerge w:val="restart"/>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312"/>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vMerge w:val="continue"/>
            <w:textDirection w:val="lrTb"/>
            <w:noWrap w:val="false"/>
          </w:tcPr>
          <w:p>
            <w:pPr>
              <w:ind w:left="0" w:right="0"/>
              <w:jc w:val="both"/>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vMerge w:val="continue"/>
            <w:textDirection w:val="lrTb"/>
            <w:noWrap w:val="false"/>
          </w:tcPr>
          <w:p>
            <w:pPr>
              <w:ind w:left="0" w:right="0"/>
              <w:jc w:val="left"/>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vMerge w:val="continue"/>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785"/>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2.人员配备齐全，项目经理及技术管理人员持证上岗。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不按协议规定人数用工，每缺一人扣1分</w:t>
            </w:r>
            <w:r>
              <w:rPr>
                <w:rFonts w:hint="default" w:ascii="Times New Roman" w:hAnsi="Times New Roman" w:cs="Times New Roman" w:eastAsia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rPr>
              <w:t xml:space="preserve">发现一人未持证上岗扣2分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vMerge w:val="restart"/>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471"/>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3.职工签订劳动合同，购买相关保险。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每缺一人未购买相关保险扣1分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vMerge w:val="restart"/>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471"/>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4.从业人员统一着装，规范管理。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发现一人未按规定着装扣0.5分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vMerge w:val="restart"/>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5.物业档案资料归档存查。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档案不健全，发现一项扣0.5分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物业管理</w:t>
            </w:r>
            <w:r/>
          </w:p>
        </w:tc>
        <w:tc>
          <w:tcPr>
            <w:tcBorders>
              <w:top w:val="single" w:color="000000" w:sz="4" w:space="0"/>
              <w:left w:val="single" w:color="000000" w:sz="4" w:space="0"/>
              <w:right w:val="single" w:color="000000" w:sz="4" w:space="0"/>
            </w:tcBorders>
            <w:tcMar>
              <w:left w:w="15" w:type="dxa"/>
              <w:top w:w="15" w:type="dxa"/>
              <w:right w:w="15" w:type="dxa"/>
            </w:tcMar>
            <w:tcW w:w="435"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公用设施设备管理</w:t>
            </w:r>
            <w:r/>
          </w:p>
        </w:tc>
        <w:tc>
          <w:tcPr>
            <w:tcBorders>
              <w:top w:val="single" w:color="000000" w:sz="4" w:space="0"/>
              <w:left w:val="single" w:color="000000" w:sz="4" w:space="0"/>
              <w:right w:val="single" w:color="000000" w:sz="4" w:space="0"/>
            </w:tcBorders>
            <w:tcMar>
              <w:left w:w="15" w:type="dxa"/>
              <w:top w:w="15" w:type="dxa"/>
              <w:right w:w="15" w:type="dxa"/>
            </w:tcMar>
            <w:tcW w:w="690"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公用设施设备管理和运行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1.设施设备专业管理人员配置合理，岗位责任明确</w:t>
            </w:r>
            <w:r>
              <w:rPr>
                <w:rFonts w:hint="default" w:ascii="Times New Roman" w:hAnsi="Times New Roman" w:cs="Times New Roman" w:eastAsiaTheme="minorEastAsia"/>
                <w:color w:val="auto"/>
                <w:sz w:val="24"/>
                <w:szCs w:val="24"/>
                <w:highlight w:val="none"/>
                <w:lang w:eastAsia="zh-CN"/>
              </w:rPr>
              <w:t xml:space="preserve">。</w:t>
            </w:r>
            <w:r/>
          </w:p>
        </w:tc>
        <w:tc>
          <w:tcPr>
            <w:tcBorders>
              <w:top w:val="single" w:color="000000" w:sz="4" w:space="0"/>
              <w:left w:val="single" w:color="000000" w:sz="4" w:space="0"/>
              <w:right w:val="single" w:color="000000" w:sz="4" w:space="0"/>
            </w:tcBorders>
            <w:tcMar>
              <w:left w:w="15" w:type="dxa"/>
              <w:top w:w="15" w:type="dxa"/>
              <w:right w:w="15" w:type="dxa"/>
            </w:tcMar>
            <w:tcW w:w="609"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2.建立设施设备总账、台账、设备卡，设施设备标志齐全、规范</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3.制定日常设施设备检修、巡视、保养、紧急情况处理等制度，并按规定实施</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4.操作人员熟练掌握、严格执行设施设备操作规程及保养规范</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5.消控室实行24小时值班制度，严禁在岗期间睡觉。</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发现一人在上班期间睡觉扣1分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690"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公用管道和道路及秩序管理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1.雨水井、化粪池定期巡检、疏通与清掏，无堵塞、外溢现象</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2.道路通畅，路面整洁平整，路面井盖无缺损、无丢失，井盖表面标志清晰。</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3.机动车、非机动车车辆停放有序、无乱停乱放现象。</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4.公共场所文明养犬，无遛狗不牵绳、流浪狗现象。</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设备机房管理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1.设备管线标志清晰，仪器仪表运行正常、数据准确</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2.机房整洁、无渗漏、无积水、无杂物堆放，设备表面无积尘、无锈蚀。</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3.防鼠板、防鼠网材质、规格，防鼠药物投放等符合规范要求</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4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电梯系统管理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1.准用（合格）证、年检证明、紧急电话和乘客注意事项置于轿厢醒目位置</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2.电梯轿厢、井道内保持清洁，轿厢广告设置有序，无乱贴、乱画</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3.物管人员接到电梯故障报修5分钟内到达现场，及时通知电梯维保单位进行维修</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4.电梯内的电话接通后要有人接听</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给排水系统管理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1.水箱加盖上锁，周边无污染源，定期清洗、消毒，检查记录完整</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2.水泵、阀门、管网等设备名称、流向、运行状态标志清晰，无锈蚀、无跑冒滴漏、无污染</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3.临时停水事先通知办公室，并实施应急供水方案。</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690"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消防安全管理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1.消火栓柜、防火卷帘、防火门、灭火器、疏散指示灯、应急灯及应急工具等消防设施设备完好，并定期组织维保单位检验、保养</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2.安全疏散通道畅通，区域消防通道畅通，无杂物堆放，无违章占用</w:t>
            </w:r>
            <w:r>
              <w:rPr>
                <w:rFonts w:hint="default" w:ascii="Times New Roman" w:hAnsi="Times New Roman" w:cs="Times New Roman" w:eastAsiaTheme="minorEastAsia"/>
                <w:color w:val="auto"/>
                <w:sz w:val="24"/>
                <w:szCs w:val="24"/>
                <w:highlight w:val="none"/>
                <w:lang w:eastAsia="zh-CN"/>
              </w:rPr>
              <w:t xml:space="preserve">。</w:t>
            </w:r>
            <w:r/>
          </w:p>
        </w:tc>
        <w:tc>
          <w:tcPr>
            <w:tcBorders>
              <w:left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43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3.无电动车进梯、上楼、入户，无电动车进楼道、杂物间，无飞线充电等现象。</w:t>
            </w:r>
            <w:r/>
          </w:p>
        </w:tc>
        <w:tc>
          <w:tcPr>
            <w:tcBorders>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不按规定每发现一项扣1分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1.垃圾袋装化、垃圾桶无污渍、油迹，无异味，及时清理。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vMerge w:val="restart"/>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每发现一处扣1分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2.电梯、门厅，楼道扶手干净无灰迹</w:t>
            </w:r>
            <w:r>
              <w:rPr>
                <w:rFonts w:hint="default" w:ascii="Times New Roman" w:hAnsi="Times New Roman" w:cs="Times New Roman" w:eastAsia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vMerge w:val="restart"/>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每发现一处扣1分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3.楼道地面干净整洁，门窗无明显污迹</w:t>
            </w:r>
            <w:r>
              <w:rPr>
                <w:rFonts w:hint="default" w:ascii="Times New Roman" w:hAnsi="Times New Roman" w:cs="Times New Roman" w:eastAsia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vMerge w:val="restart"/>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4.天花板、排风口无明显污迹，无蜘蛛网</w:t>
            </w:r>
            <w:r>
              <w:rPr>
                <w:rFonts w:hint="default" w:ascii="Times New Roman" w:hAnsi="Times New Roman" w:cs="Times New Roman" w:eastAsia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vMerge w:val="restart"/>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1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5.室外公共区域清洁卫生：</w:t>
            </w:r>
            <w:r>
              <w:rPr>
                <w:rFonts w:hint="default" w:ascii="Times New Roman" w:hAnsi="Times New Roman" w:cs="Times New Roman" w:eastAsia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rPr>
              <w:t xml:space="preserve">1</w:t>
            </w:r>
            <w:r>
              <w:rPr>
                <w:rFonts w:hint="default" w:ascii="Times New Roman" w:hAnsi="Times New Roman" w:cs="Times New Roman" w:eastAsia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rPr>
              <w:t xml:space="preserve">道路、停车场每日清扫2次，地面无杂物、积水、明显污渍、垃圾；</w:t>
            </w:r>
            <w:r>
              <w:rPr>
                <w:rFonts w:hint="default" w:ascii="Times New Roman" w:hAnsi="Times New Roman" w:cs="Times New Roman" w:eastAsia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rPr>
              <w:t xml:space="preserve">2</w:t>
            </w:r>
            <w:r>
              <w:rPr>
                <w:rFonts w:hint="default" w:ascii="Times New Roman" w:hAnsi="Times New Roman" w:cs="Times New Roman" w:eastAsia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rPr>
              <w:t xml:space="preserve">路面垃圾滞留时间不超过2小时；</w:t>
            </w:r>
            <w:r>
              <w:rPr>
                <w:rFonts w:hint="default" w:ascii="Times New Roman" w:hAnsi="Times New Roman" w:cs="Times New Roman" w:eastAsia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rPr>
              <w:t xml:space="preserve">3</w:t>
            </w:r>
            <w:r>
              <w:rPr>
                <w:rFonts w:hint="default" w:ascii="Times New Roman" w:hAnsi="Times New Roman" w:cs="Times New Roman" w:eastAsia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rPr>
              <w:t xml:space="preserve">路灯灯杆、灯罩清洁、无小广告；</w:t>
            </w:r>
            <w:r>
              <w:rPr>
                <w:rFonts w:hint="default" w:ascii="Times New Roman" w:hAnsi="Times New Roman" w:cs="Times New Roman" w:eastAsia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rPr>
              <w:t xml:space="preserve">5</w:t>
            </w:r>
            <w:r>
              <w:rPr>
                <w:rFonts w:hint="default" w:ascii="Times New Roman" w:hAnsi="Times New Roman" w:cs="Times New Roman" w:eastAsia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rPr>
              <w:t xml:space="preserve">定期进行消毒和灭虫除害</w:t>
            </w:r>
            <w:r>
              <w:rPr>
                <w:rFonts w:hint="default" w:ascii="Times New Roman" w:hAnsi="Times New Roman" w:cs="Times New Roman" w:eastAsia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发现一例扣1分；未发现记录每减少一次扣1分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绿化管理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vMerge w:val="restart"/>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1.绿化无杂物</w:t>
            </w:r>
            <w:r>
              <w:rPr>
                <w:rFonts w:hint="default" w:ascii="Times New Roman" w:hAnsi="Times New Roman" w:cs="Times New Roman" w:eastAsia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restart"/>
            <w:textDirection w:val="lrTb"/>
            <w:noWrap w:val="false"/>
          </w:tcPr>
          <w:p>
            <w:pPr>
              <w:ind w:left="0" w:right="0"/>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vMerge w:val="restart"/>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发现一处扣1分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vMerge w:val="restart"/>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2.绿化、草木养护、修剪、除草及时，无病虫害、无缺损、枯死，无杂草、确保长势良好。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vMerge w:val="restart"/>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不及时清理，发现一处扣1分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3.绿化内无人为占绿、毁绿、种植现象</w:t>
            </w:r>
            <w:r>
              <w:rPr>
                <w:rFonts w:hint="default" w:ascii="Times New Roman" w:hAnsi="Times New Roman" w:cs="Times New Roman" w:eastAsia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6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规划管理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1.房屋外观无破坏装立面、无改变使用功能、无破坏房屋承重墙和构造柱</w:t>
            </w:r>
            <w:r>
              <w:rPr>
                <w:rFonts w:hint="default" w:ascii="Times New Roman" w:hAnsi="Times New Roman" w:cs="Times New Roman" w:eastAsia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restart"/>
            <w:textDirection w:val="lrTb"/>
            <w:noWrap w:val="false"/>
          </w:tcPr>
          <w:p>
            <w:pPr>
              <w:ind w:left="0" w:right="0"/>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vMerge w:val="restart"/>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发现一例违章扣1分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2.小区内及围墙外，无乱搭乱建现象</w:t>
            </w:r>
            <w:r>
              <w:rPr>
                <w:rFonts w:hint="default" w:ascii="Times New Roman" w:hAnsi="Times New Roman" w:cs="Times New Roman" w:eastAsia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vMerge w:val="restart"/>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发现一例违章扣1分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6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5"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3.公用设施及通道无随意占用，外观整洁</w:t>
            </w:r>
            <w:r>
              <w:rPr>
                <w:rFonts w:hint="default" w:ascii="Times New Roman" w:hAnsi="Times New Roman" w:cs="Times New Roman" w:eastAsia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vMerge w:val="continue"/>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0" w:type="dxa"/>
            <w:vAlign w:val="center"/>
            <w:textDirection w:val="lrTb"/>
            <w:noWrap w:val="false"/>
          </w:tcPr>
          <w:p>
            <w:pPr>
              <w:ind w:left="0" w:right="0"/>
              <w:jc w:val="left"/>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发现一例违章扣2分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7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1.物业公司管理人员要配合</w:t>
            </w:r>
            <w:r>
              <w:rPr>
                <w:rFonts w:hint="eastAsia" w:cs="Times New Roman" w:eastAsiaTheme="minorEastAsia"/>
                <w:color w:val="auto"/>
                <w:sz w:val="24"/>
                <w:szCs w:val="24"/>
                <w:highlight w:val="none"/>
                <w:lang w:eastAsia="zh-CN"/>
              </w:rPr>
              <w:t xml:space="preserve">社区（小区）共建党支部等政府职能科室的</w:t>
            </w:r>
            <w:r>
              <w:rPr>
                <w:rFonts w:hint="default" w:ascii="Times New Roman" w:hAnsi="Times New Roman" w:cs="Times New Roman" w:eastAsiaTheme="minorEastAsia"/>
                <w:color w:val="auto"/>
                <w:sz w:val="24"/>
                <w:szCs w:val="24"/>
                <w:highlight w:val="none"/>
              </w:rPr>
              <w:t xml:space="preserve">工作，发现一次不配合扣1分</w:t>
            </w:r>
            <w:r>
              <w:rPr>
                <w:rFonts w:hint="default" w:ascii="Times New Roman" w:hAnsi="Times New Roman" w:cs="Times New Roman" w:eastAsiaTheme="minorEastAsia"/>
                <w:color w:val="auto"/>
                <w:sz w:val="24"/>
                <w:szCs w:val="24"/>
                <w:highlight w:val="none"/>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9" w:type="dxa"/>
            <w:vAlign w:val="center"/>
            <w:vMerge w:val="restart"/>
            <w:textDirection w:val="lrTb"/>
            <w:noWrap w:val="false"/>
          </w:tcPr>
          <w:p>
            <w:pPr>
              <w:ind w:left="0" w:right="0"/>
              <w:jc w:val="center"/>
              <w:pageBreakBefore w:val="0"/>
              <w:spacing w:line="3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此项</w:t>
            </w:r>
            <w:r>
              <w:rPr>
                <w:rFonts w:hint="default" w:ascii="Times New Roman" w:hAnsi="Times New Roman" w:cs="Times New Roman" w:eastAsiaTheme="minorEastAsia"/>
                <w:color w:val="auto"/>
                <w:sz w:val="24"/>
                <w:szCs w:val="24"/>
                <w:highlight w:val="none"/>
                <w:lang w:eastAsia="zh-CN"/>
              </w:rPr>
              <w:t xml:space="preserve">为</w:t>
            </w:r>
            <w:r>
              <w:rPr>
                <w:rFonts w:hint="default" w:ascii="Times New Roman" w:hAnsi="Times New Roman" w:cs="Times New Roman" w:eastAsiaTheme="minorEastAsia"/>
                <w:color w:val="auto"/>
                <w:sz w:val="24"/>
                <w:szCs w:val="24"/>
                <w:highlight w:val="none"/>
              </w:rPr>
              <w:t xml:space="preserve">扣分项目，不限分值</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7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2.对</w:t>
            </w:r>
            <w:r>
              <w:rPr>
                <w:rFonts w:hint="eastAsia" w:cs="Times New Roman" w:eastAsiaTheme="minorEastAsia"/>
                <w:color w:val="auto"/>
                <w:sz w:val="24"/>
                <w:szCs w:val="24"/>
                <w:highlight w:val="none"/>
                <w:lang w:eastAsia="zh-CN"/>
              </w:rPr>
              <w:t xml:space="preserve">社区（小区）共建党支部等政府职能科室</w:t>
            </w:r>
            <w:r>
              <w:rPr>
                <w:rFonts w:hint="default" w:ascii="Times New Roman" w:hAnsi="Times New Roman" w:cs="Times New Roman" w:eastAsiaTheme="minorEastAsia"/>
                <w:color w:val="auto"/>
                <w:sz w:val="24"/>
                <w:szCs w:val="24"/>
                <w:highlight w:val="none"/>
              </w:rPr>
              <w:t xml:space="preserve">检查中发现的问题，在规定期间内未整改，发现一例扣2分</w:t>
            </w:r>
            <w:r>
              <w:rPr>
                <w:rFonts w:hint="default" w:ascii="Times New Roman" w:hAnsi="Times New Roman" w:cs="Times New Roman" w:eastAsiaTheme="minorEastAsia"/>
                <w:color w:val="auto"/>
                <w:sz w:val="24"/>
                <w:szCs w:val="24"/>
                <w:highlight w:val="none"/>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7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3.住户投诉处理率达100%，未达到100%，每减少10%扣1分</w:t>
            </w:r>
            <w:r>
              <w:rPr>
                <w:rFonts w:hint="default" w:ascii="Times New Roman" w:hAnsi="Times New Roman" w:cs="Times New Roman" w:eastAsiaTheme="minorEastAsia"/>
                <w:color w:val="auto"/>
                <w:sz w:val="24"/>
                <w:szCs w:val="24"/>
                <w:highlight w:val="none"/>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r>
        <w:trPr>
          <w:trHeight w:val="57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0" w:type="dxa"/>
            <w:vAlign w:val="center"/>
            <w:textDirection w:val="lrTb"/>
            <w:noWrap w:val="false"/>
          </w:tcPr>
          <w:p>
            <w:pPr>
              <w:ind w:left="0" w:right="0"/>
              <w:jc w:val="both"/>
              <w:pageBreakBefore w:val="0"/>
              <w:spacing w:line="300" w:lineRule="exact"/>
              <w:widowControl/>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 xml:space="preserve">4.镇政府、住户对物业管理服务综合满意率达90%以上，未达到90%以上，每减少5%扣1分</w:t>
            </w:r>
            <w:r>
              <w:rPr>
                <w:rFonts w:hint="default" w:ascii="Times New Roman" w:hAnsi="Times New Roman" w:cs="Times New Roman" w:eastAsiaTheme="minorEastAsia"/>
                <w:color w:val="auto"/>
                <w:sz w:val="24"/>
                <w:szCs w:val="24"/>
                <w:highlight w:val="none"/>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9" w:type="dxa"/>
            <w:vAlign w:val="center"/>
            <w:vMerge w:val="continue"/>
            <w:textDirection w:val="lrTb"/>
            <w:noWrap w:val="false"/>
          </w:tcPr>
          <w:p>
            <w:pPr>
              <w:ind w:left="0" w:right="0"/>
              <w:jc w:val="center"/>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60" w:type="dxa"/>
            <w:vAlign w:val="center"/>
            <w:textDirection w:val="lrTb"/>
            <w:noWrap w:val="false"/>
          </w:tcPr>
          <w:p>
            <w:pPr>
              <w:ind w:left="0" w:right="0"/>
              <w:pageBreakBefore w:val="0"/>
              <w:spacing w:line="3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tc>
      </w:tr>
    </w:tbl>
    <w:p>
      <w:pPr>
        <w:ind w:left="0" w:right="0" w:firstLine="240"/>
        <w:pageBreakBefore w:val="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检查人员签字：</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被检查单位人员签字：</w:t>
      </w:r>
      <w:r/>
    </w:p>
    <w:p>
      <w:pPr>
        <w:ind w:left="0" w:right="0"/>
        <w:jc w:val="right"/>
        <w:pageBreakBefore w:val="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年  月  日</w:t>
      </w:r>
      <w:bookmarkStart w:id="223" w:name="_Toc976"/>
      <w:r/>
      <w:r/>
    </w:p>
    <w:p>
      <w:pPr>
        <w:ind w:left="0" w:right="0"/>
        <w:jc w:val="left"/>
        <w:pageBreakBefore w:val="0"/>
        <w:rPr>
          <w:rFonts w:hint="default" w:ascii="Times New Roman" w:hAnsi="Times New Roman" w:eastAsia="宋体" w:cs="Times New Roman"/>
          <w:b/>
          <w:bCs/>
          <w:color w:val="auto"/>
          <w:sz w:val="24"/>
          <w:highlight w:val="none"/>
          <w:lang w:eastAsia="zh-CN"/>
        </w:rPr>
      </w:pPr>
      <w:r>
        <w:rPr>
          <w:rFonts w:hint="default" w:ascii="Times New Roman" w:hAnsi="Times New Roman" w:cs="Times New Roman"/>
          <w:b/>
          <w:bCs/>
          <w:color w:val="auto"/>
          <w:sz w:val="24"/>
          <w:szCs w:val="24"/>
          <w:highlight w:val="none"/>
        </w:rPr>
        <w:t xml:space="preserve">注：</w:t>
      </w:r>
      <w:bookmarkEnd w:id="223"/>
      <w:r>
        <w:rPr>
          <w:rFonts w:hint="default" w:ascii="Times New Roman" w:hAnsi="Times New Roman" w:cs="Times New Roman"/>
          <w:b/>
          <w:bCs/>
          <w:color w:val="auto"/>
          <w:sz w:val="24"/>
          <w:szCs w:val="24"/>
          <w:highlight w:val="none"/>
        </w:rPr>
        <w:t xml:space="preserve">考核细则的修改须经双方协商一致，或提前合理期限书面通知成交供应商</w:t>
      </w:r>
      <w:r>
        <w:rPr>
          <w:rFonts w:hint="default" w:ascii="Times New Roman" w:hAnsi="Times New Roman" w:cs="Times New Roman"/>
          <w:b/>
          <w:bCs/>
          <w:color w:val="auto"/>
          <w:sz w:val="24"/>
          <w:szCs w:val="24"/>
          <w:highlight w:val="none"/>
          <w:lang w:eastAsia="zh-CN"/>
        </w:rPr>
        <w:t xml:space="preserve">。</w:t>
      </w:r>
      <w:r/>
    </w:p>
    <w:p>
      <w:pPr>
        <w:ind w:left="0" w:right="0"/>
        <w:pageBreakBefore w:val="0"/>
        <w:rPr>
          <w:rFonts w:hint="default" w:ascii="Times New Roman" w:hAnsi="Times New Roman" w:cs="Times New Roman"/>
          <w:b/>
          <w:color w:val="auto"/>
          <w:sz w:val="30"/>
          <w:szCs w:val="30"/>
          <w:highlight w:val="none"/>
        </w:rPr>
      </w:pPr>
      <w:r>
        <w:rPr>
          <w:rFonts w:hint="default" w:ascii="Times New Roman" w:hAnsi="Times New Roman" w:cs="Times New Roman"/>
          <w:b/>
          <w:color w:val="auto"/>
          <w:sz w:val="30"/>
          <w:szCs w:val="30"/>
          <w:highlight w:val="none"/>
        </w:rPr>
        <w:br w:type="page" w:clear="all"/>
      </w:r>
      <w:r/>
    </w:p>
    <w:p>
      <w:pPr>
        <w:jc w:val="center"/>
        <w:rPr>
          <w:rFonts w:hint="default" w:ascii="Times New Roman" w:hAnsi="Times New Roman" w:cs="Times New Roman" w:eastAsiaTheme="minorEastAsia"/>
          <w:color w:val="auto"/>
          <w:sz w:val="44"/>
          <w:szCs w:val="44"/>
          <w:highlight w:val="none"/>
        </w:rPr>
      </w:pPr>
      <w:r>
        <w:rPr>
          <w:rFonts w:hint="default" w:eastAsia="方正小标宋_GBK"/>
          <w:color w:val="0d0d0d"/>
          <w:sz w:val="44"/>
          <w:szCs w:val="44"/>
        </w:rPr>
        <w:t xml:space="preserve">第六章  响应文件的编制要求及参考格式</w:t>
      </w:r>
      <w:r/>
    </w:p>
    <w:p>
      <w:pPr>
        <w:spacing w:line="560" w:lineRule="exact"/>
        <w:rPr>
          <w:rFonts w:hint="default" w:ascii="黑体" w:hAnsi="黑体" w:eastAsia="黑体" w:cs="黑体"/>
          <w:bCs/>
          <w:sz w:val="28"/>
          <w:szCs w:val="28"/>
        </w:rPr>
      </w:pPr>
      <w:r>
        <w:rPr>
          <w:rFonts w:hint="default" w:ascii="黑体" w:hAnsi="黑体" w:eastAsia="黑体" w:cs="黑体"/>
          <w:bCs/>
          <w:sz w:val="28"/>
          <w:szCs w:val="28"/>
        </w:rPr>
        <w:t xml:space="preserve">1.响应文件的组成</w:t>
      </w:r>
      <w:r/>
    </w:p>
    <w:p>
      <w:pPr>
        <w:ind w:firstLine="560"/>
        <w:spacing w:line="560" w:lineRule="exact"/>
        <w:rPr>
          <w:rFonts w:hint="default" w:ascii="仿宋_GB2312" w:hAnsi="仿宋_GB2312" w:eastAsia="仿宋_GB2312" w:cs="仿宋_GB2312"/>
          <w:sz w:val="28"/>
          <w:szCs w:val="28"/>
        </w:rPr>
      </w:pPr>
      <w:r>
        <w:rPr>
          <w:rFonts w:hint="default" w:ascii="仿宋_GB2312" w:hAnsi="仿宋_GB2312" w:eastAsia="仿宋_GB2312" w:cs="仿宋_GB2312"/>
          <w:sz w:val="28"/>
          <w:szCs w:val="28"/>
        </w:rPr>
        <w:t xml:space="preserve">见第二章3.1条。</w:t>
      </w:r>
      <w:r/>
    </w:p>
    <w:p>
      <w:pPr>
        <w:spacing w:line="560" w:lineRule="exact"/>
        <w:rPr>
          <w:rFonts w:hint="default" w:ascii="黑体" w:hAnsi="黑体" w:eastAsia="黑体" w:cs="黑体"/>
          <w:bCs/>
          <w:sz w:val="28"/>
          <w:szCs w:val="28"/>
        </w:rPr>
      </w:pPr>
      <w:r>
        <w:rPr>
          <w:rFonts w:hint="default" w:ascii="黑体" w:hAnsi="黑体" w:eastAsia="黑体" w:cs="黑体"/>
          <w:bCs/>
          <w:sz w:val="28"/>
          <w:szCs w:val="28"/>
        </w:rPr>
        <w:t xml:space="preserve">2.响应文件的编制内容及编制要求</w:t>
      </w:r>
      <w:r/>
    </w:p>
    <w:p>
      <w:pPr>
        <w:spacing w:line="560" w:lineRule="exact"/>
        <w:rPr>
          <w:rFonts w:hint="default" w:ascii="楷体_GB2312" w:hAnsi="楷体_GB2312" w:eastAsia="楷体_GB2312" w:cs="楷体_GB2312"/>
          <w:b/>
          <w:sz w:val="28"/>
          <w:szCs w:val="28"/>
        </w:rPr>
      </w:pPr>
      <w:r>
        <w:rPr>
          <w:rFonts w:hint="default" w:ascii="楷体_GB2312" w:hAnsi="楷体_GB2312" w:eastAsia="楷体_GB2312" w:cs="楷体_GB2312"/>
          <w:b/>
          <w:sz w:val="28"/>
          <w:szCs w:val="28"/>
        </w:rPr>
        <w:t xml:space="preserve">2.1报价一览表</w:t>
      </w:r>
      <w:r/>
    </w:p>
    <w:p>
      <w:pPr>
        <w:ind w:firstLine="560"/>
        <w:spacing w:line="560" w:lineRule="exact"/>
        <w:rPr>
          <w:rFonts w:hint="default" w:ascii="仿宋_GB2312" w:hAnsi="仿宋_GB2312" w:eastAsia="仿宋_GB2312" w:cs="仿宋_GB2312"/>
          <w:sz w:val="28"/>
          <w:szCs w:val="28"/>
        </w:rPr>
      </w:pPr>
      <w:r>
        <w:rPr>
          <w:rFonts w:hint="default" w:ascii="仿宋_GB2312" w:hAnsi="仿宋_GB2312" w:eastAsia="仿宋_GB2312" w:cs="仿宋_GB2312"/>
          <w:sz w:val="28"/>
          <w:szCs w:val="28"/>
        </w:rPr>
        <w:t xml:space="preserve">2.1.1供应商应按表中格式完整、清晰、正确填写；</w:t>
      </w:r>
      <w:r/>
    </w:p>
    <w:p>
      <w:pPr>
        <w:ind w:firstLine="560"/>
        <w:spacing w:line="560" w:lineRule="exact"/>
        <w:rPr>
          <w:rFonts w:hint="default" w:ascii="仿宋_GB2312" w:hAnsi="仿宋_GB2312" w:eastAsia="仿宋_GB2312" w:cs="仿宋_GB2312"/>
          <w:sz w:val="28"/>
          <w:szCs w:val="28"/>
        </w:rPr>
      </w:pPr>
      <w:r>
        <w:rPr>
          <w:rFonts w:hint="default" w:ascii="仿宋_GB2312" w:hAnsi="仿宋_GB2312" w:eastAsia="仿宋_GB2312" w:cs="仿宋_GB2312"/>
          <w:sz w:val="28"/>
          <w:szCs w:val="28"/>
        </w:rPr>
        <w:t xml:space="preserve">2.1.2报价一览表中的价格应与响应文件中的价格一致；</w:t>
      </w:r>
      <w:r/>
    </w:p>
    <w:p>
      <w:pPr>
        <w:ind w:firstLine="560"/>
        <w:spacing w:line="560" w:lineRule="exact"/>
        <w:rPr>
          <w:rFonts w:hint="default" w:ascii="仿宋_GB2312" w:hAnsi="仿宋_GB2312" w:eastAsia="仿宋_GB2312" w:cs="仿宋_GB2312"/>
          <w:sz w:val="28"/>
          <w:szCs w:val="28"/>
        </w:rPr>
      </w:pPr>
      <w:r>
        <w:rPr>
          <w:rFonts w:hint="default" w:ascii="仿宋_GB2312" w:hAnsi="仿宋_GB2312" w:eastAsia="仿宋_GB2312" w:cs="仿宋_GB2312"/>
          <w:sz w:val="28"/>
          <w:szCs w:val="28"/>
        </w:rPr>
        <w:t xml:space="preserve">2.1.3报价一览表格式见附件。</w:t>
      </w:r>
      <w:r/>
    </w:p>
    <w:p>
      <w:pPr>
        <w:spacing w:line="560" w:lineRule="exact"/>
        <w:rPr>
          <w:rFonts w:hint="default" w:ascii="楷体_GB2312" w:hAnsi="楷体_GB2312" w:eastAsia="楷体_GB2312" w:cs="楷体_GB2312"/>
          <w:b/>
          <w:sz w:val="28"/>
          <w:szCs w:val="28"/>
        </w:rPr>
      </w:pPr>
      <w:r>
        <w:rPr>
          <w:rFonts w:hint="default" w:ascii="楷体_GB2312" w:hAnsi="楷体_GB2312" w:eastAsia="楷体_GB2312" w:cs="楷体_GB2312"/>
          <w:b/>
          <w:sz w:val="28"/>
          <w:szCs w:val="28"/>
        </w:rPr>
        <w:t xml:space="preserve">2.2响应函</w:t>
      </w:r>
      <w:r/>
    </w:p>
    <w:p>
      <w:pPr>
        <w:ind w:firstLine="560"/>
        <w:spacing w:line="560" w:lineRule="exact"/>
        <w:rPr>
          <w:rFonts w:hint="default" w:ascii="仿宋_GB2312" w:hAnsi="仿宋_GB2312" w:eastAsia="仿宋_GB2312" w:cs="仿宋_GB2312"/>
          <w:sz w:val="28"/>
          <w:szCs w:val="28"/>
        </w:rPr>
      </w:pPr>
      <w:r>
        <w:rPr>
          <w:rFonts w:hint="default" w:ascii="仿宋_GB2312" w:hAnsi="仿宋_GB2312" w:eastAsia="仿宋_GB2312" w:cs="仿宋_GB2312"/>
          <w:sz w:val="28"/>
          <w:szCs w:val="28"/>
        </w:rPr>
        <w:t xml:space="preserve">2.2.1供应商应按表中格式完整、清晰、正确填写；</w:t>
      </w:r>
      <w:r/>
    </w:p>
    <w:p>
      <w:pPr>
        <w:ind w:firstLine="560"/>
        <w:spacing w:line="560" w:lineRule="exact"/>
        <w:rPr>
          <w:rFonts w:hint="default" w:ascii="仿宋_GB2312" w:hAnsi="仿宋_GB2312" w:eastAsia="仿宋_GB2312" w:cs="仿宋_GB2312"/>
          <w:sz w:val="28"/>
          <w:szCs w:val="28"/>
        </w:rPr>
      </w:pPr>
      <w:r>
        <w:rPr>
          <w:rFonts w:hint="default" w:ascii="仿宋_GB2312" w:hAnsi="仿宋_GB2312" w:eastAsia="仿宋_GB2312" w:cs="仿宋_GB2312"/>
          <w:sz w:val="28"/>
          <w:szCs w:val="28"/>
        </w:rPr>
        <w:t xml:space="preserve">2.2.2响应函必须加盖供应商法人公章并经法定代表人签字或签章。</w:t>
      </w:r>
      <w:r/>
    </w:p>
    <w:p>
      <w:pPr>
        <w:spacing w:line="560" w:lineRule="exact"/>
        <w:rPr>
          <w:rFonts w:hint="default" w:ascii="楷体_GB2312" w:hAnsi="楷体_GB2312" w:eastAsia="楷体_GB2312" w:cs="楷体_GB2312"/>
          <w:b/>
          <w:sz w:val="28"/>
          <w:szCs w:val="28"/>
        </w:rPr>
      </w:pPr>
      <w:r>
        <w:rPr>
          <w:rFonts w:hint="default" w:ascii="楷体_GB2312" w:hAnsi="楷体_GB2312" w:eastAsia="楷体_GB2312" w:cs="楷体_GB2312"/>
          <w:b/>
          <w:sz w:val="28"/>
          <w:szCs w:val="28"/>
        </w:rPr>
        <w:t xml:space="preserve">2.3资格条件证明文件</w:t>
      </w:r>
      <w:r/>
    </w:p>
    <w:p>
      <w:pPr>
        <w:ind w:firstLine="560"/>
        <w:spacing w:line="560" w:lineRule="exact"/>
        <w:rPr>
          <w:rFonts w:hint="default" w:ascii="仿宋_GB2312" w:hAnsi="仿宋_GB2312" w:eastAsia="仿宋_GB2312" w:cs="仿宋_GB2312"/>
          <w:sz w:val="28"/>
          <w:szCs w:val="28"/>
        </w:rPr>
      </w:pPr>
      <w:r>
        <w:rPr>
          <w:rFonts w:hint="default" w:ascii="仿宋_GB2312" w:hAnsi="仿宋_GB2312" w:eastAsia="仿宋_GB2312" w:cs="仿宋_GB2312"/>
          <w:sz w:val="28"/>
          <w:szCs w:val="28"/>
        </w:rPr>
        <w:t xml:space="preserve">2.3.1供应商基本资格条件承诺书；</w:t>
      </w:r>
      <w:r/>
    </w:p>
    <w:p>
      <w:pPr>
        <w:ind w:firstLine="560"/>
        <w:spacing w:line="560" w:lineRule="exact"/>
        <w:rPr>
          <w:rFonts w:hint="default" w:ascii="仿宋_GB2312" w:hAnsi="仿宋_GB2312" w:eastAsia="仿宋_GB2312" w:cs="仿宋_GB2312"/>
          <w:sz w:val="28"/>
          <w:szCs w:val="28"/>
        </w:rPr>
      </w:pPr>
      <w:r>
        <w:rPr>
          <w:rFonts w:hint="default" w:ascii="仿宋_GB2312" w:hAnsi="仿宋_GB2312" w:eastAsia="仿宋_GB2312" w:cs="仿宋_GB2312"/>
          <w:sz w:val="28"/>
          <w:szCs w:val="28"/>
        </w:rPr>
        <w:t xml:space="preserve">2.3.2征集文件要求的其他资格条件证明材料。</w:t>
      </w:r>
      <w:r/>
    </w:p>
    <w:p>
      <w:pPr>
        <w:spacing w:line="560" w:lineRule="exact"/>
        <w:rPr>
          <w:rFonts w:hint="default" w:ascii="楷体_GB2312" w:hAnsi="楷体_GB2312" w:eastAsia="楷体_GB2312" w:cs="楷体_GB2312"/>
          <w:b/>
          <w:sz w:val="28"/>
          <w:szCs w:val="28"/>
        </w:rPr>
      </w:pPr>
      <w:r>
        <w:rPr>
          <w:rFonts w:hint="default" w:ascii="楷体_GB2312" w:hAnsi="楷体_GB2312" w:eastAsia="楷体_GB2312" w:cs="楷体_GB2312"/>
          <w:b/>
          <w:sz w:val="28"/>
          <w:szCs w:val="28"/>
        </w:rPr>
        <w:t xml:space="preserve">2.4采购需求响应表</w:t>
      </w:r>
      <w:r/>
    </w:p>
    <w:p>
      <w:pPr>
        <w:ind w:firstLine="560"/>
        <w:spacing w:line="560" w:lineRule="exact"/>
        <w:rPr>
          <w:rFonts w:hint="default" w:ascii="仿宋_GB2312" w:hAnsi="仿宋_GB2312" w:eastAsia="仿宋_GB2312" w:cs="仿宋_GB2312"/>
          <w:sz w:val="28"/>
          <w:szCs w:val="28"/>
        </w:rPr>
      </w:pPr>
      <w:r>
        <w:rPr>
          <w:rFonts w:hint="default" w:ascii="仿宋_GB2312" w:hAnsi="仿宋_GB2312" w:eastAsia="仿宋_GB2312" w:cs="仿宋_GB2312"/>
          <w:sz w:val="28"/>
          <w:szCs w:val="28"/>
        </w:rPr>
        <w:t xml:space="preserve">供应商应仔细阅读采购需求，结合自身的实际情况，如实编制，格式自拟。采购需求响应表须详细说明实际提供的货物、服务及其他采购需求中相关要求的响应情况。供应商应对照评审要求提供相应的佐证材料。</w:t>
      </w:r>
      <w:r/>
    </w:p>
    <w:p>
      <w:pPr>
        <w:spacing w:line="560" w:lineRule="exact"/>
        <w:rPr>
          <w:rFonts w:hint="default" w:ascii="楷体_GB2312" w:hAnsi="楷体_GB2312" w:eastAsia="楷体_GB2312" w:cs="楷体_GB2312"/>
          <w:b/>
          <w:sz w:val="28"/>
          <w:szCs w:val="28"/>
        </w:rPr>
      </w:pPr>
      <w:r>
        <w:rPr>
          <w:rFonts w:hint="default" w:ascii="楷体_GB2312" w:hAnsi="楷体_GB2312" w:eastAsia="楷体_GB2312" w:cs="楷体_GB2312"/>
          <w:b/>
          <w:sz w:val="28"/>
          <w:szCs w:val="28"/>
        </w:rPr>
        <w:t xml:space="preserve">2.5供应商认为应列入响应文件的其他材料</w:t>
      </w:r>
      <w:r/>
    </w:p>
    <w:p>
      <w:pPr>
        <w:ind w:firstLine="560"/>
        <w:spacing w:line="560" w:lineRule="exact"/>
        <w:rPr>
          <w:rFonts w:hint="default" w:ascii="仿宋_GB2312" w:hAnsi="仿宋_GB2312" w:eastAsia="仿宋_GB2312" w:cs="仿宋_GB2312"/>
          <w:sz w:val="28"/>
          <w:szCs w:val="28"/>
        </w:rPr>
      </w:pPr>
      <w:r>
        <w:rPr>
          <w:rFonts w:hint="default" w:ascii="仿宋_GB2312" w:hAnsi="仿宋_GB2312" w:eastAsia="仿宋_GB2312" w:cs="仿宋_GB2312"/>
          <w:sz w:val="28"/>
          <w:szCs w:val="28"/>
        </w:rPr>
        <w:t xml:space="preserve">供应商应对照第三章的评审因素，结合自身的实际情况，如实编制，格式自拟。</w:t>
      </w:r>
      <w:r/>
    </w:p>
    <w:p>
      <w:pPr>
        <w:spacing w:line="560" w:lineRule="exact"/>
        <w:rPr>
          <w:rFonts w:hint="default" w:ascii="黑体" w:hAnsi="黑体" w:eastAsia="黑体" w:cs="黑体"/>
          <w:bCs/>
          <w:sz w:val="28"/>
          <w:szCs w:val="28"/>
        </w:rPr>
      </w:pPr>
      <w:r>
        <w:rPr>
          <w:rFonts w:hint="default" w:ascii="黑体" w:hAnsi="黑体" w:eastAsia="黑体" w:cs="黑体"/>
          <w:bCs/>
          <w:sz w:val="28"/>
          <w:szCs w:val="28"/>
        </w:rPr>
        <w:t xml:space="preserve">3.响应文件参考格式</w:t>
      </w:r>
      <w:r/>
    </w:p>
    <w:p>
      <w:pPr>
        <w:ind w:left="0" w:right="0"/>
        <w:pageBreakBefore w:val="0"/>
        <w:rPr>
          <w:rFonts w:hint="default" w:ascii="Times New Roman" w:hAnsi="Times New Roman" w:cs="Times New Roman" w:eastAsiaTheme="minorEastAsia"/>
          <w:b/>
          <w:color w:val="auto"/>
          <w:sz w:val="28"/>
          <w:szCs w:val="28"/>
          <w:highlight w:val="none"/>
        </w:rPr>
      </w:pPr>
      <w:r/>
      <w:bookmarkStart w:id="224" w:name="_Toc282446333"/>
      <w:r/>
      <w:bookmarkStart w:id="225" w:name="_Toc23828480"/>
      <w:r/>
      <w:bookmarkStart w:id="226" w:name="_Toc288030361"/>
      <w:r/>
      <w:bookmarkStart w:id="227" w:name="_Toc26554097"/>
      <w:r/>
      <w:bookmarkStart w:id="228" w:name="_Toc382812508"/>
      <w:r/>
      <w:bookmarkStart w:id="229" w:name="_Toc382811608"/>
      <w:r/>
      <w:bookmarkStart w:id="230" w:name="_Toc382811203"/>
      <w:r/>
      <w:bookmarkStart w:id="231" w:name="_Toc382812317"/>
      <w:r/>
      <w:bookmarkStart w:id="232" w:name="_Toc120614286"/>
      <w:r/>
      <w:bookmarkStart w:id="233" w:name="_Toc49090579"/>
      <w:r>
        <w:rPr>
          <w:rFonts w:hint="default" w:ascii="Times New Roman" w:hAnsi="Times New Roman" w:cs="Times New Roman" w:eastAsiaTheme="minorEastAsia"/>
          <w:b/>
          <w:color w:val="auto"/>
          <w:sz w:val="28"/>
          <w:szCs w:val="28"/>
          <w:highlight w:val="none"/>
        </w:rPr>
        <w:br w:type="page" w:clear="all"/>
      </w:r>
      <w:r/>
    </w:p>
    <w:p>
      <w:pPr>
        <w:spacing w:line="560" w:lineRule="exact"/>
        <w:rPr>
          <w:rFonts w:hint="default" w:ascii="楷体_GB2312" w:hAnsi="楷体_GB2312" w:eastAsia="楷体_GB2312" w:cs="楷体_GB2312"/>
          <w:b/>
          <w:sz w:val="28"/>
          <w:szCs w:val="28"/>
        </w:rPr>
      </w:pPr>
      <w:r>
        <w:rPr>
          <w:rFonts w:hint="default" w:ascii="楷体_GB2312" w:hAnsi="楷体_GB2312" w:eastAsia="楷体_GB2312" w:cs="楷体_GB2312"/>
          <w:b/>
          <w:sz w:val="28"/>
          <w:szCs w:val="28"/>
        </w:rPr>
        <w:t xml:space="preserve">3.1响应文件封面格式</w:t>
      </w:r>
      <w:r/>
    </w:p>
    <w:p>
      <w:pPr>
        <w:ind w:left="0" w:right="0" w:firstLine="480"/>
        <w:jc w:val="center"/>
        <w:pageBreakBefore w:val="0"/>
        <w:spacing w:line="360" w:lineRule="exact"/>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ind w:left="0" w:right="0" w:firstLine="480"/>
        <w:jc w:val="center"/>
        <w:pageBreakBefore w:val="0"/>
        <w:spacing w:line="360" w:lineRule="exact"/>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ind w:left="0" w:right="0"/>
        <w:jc w:val="center"/>
        <w:pageBreakBefore w:val="0"/>
        <w:rPr>
          <w:rFonts w:hint="default" w:ascii="Times New Roman" w:hAnsi="Times New Roman" w:cs="Times New Roman" w:eastAsiaTheme="minorEastAsia"/>
          <w:b/>
          <w:color w:val="auto"/>
          <w:sz w:val="44"/>
          <w:szCs w:val="44"/>
          <w:highlight w:val="none"/>
        </w:rPr>
      </w:pPr>
      <w:r>
        <w:rPr>
          <w:rFonts w:hint="default" w:ascii="Times New Roman" w:hAnsi="Times New Roman" w:cs="Times New Roman" w:eastAsiaTheme="minorEastAsia"/>
          <w:b/>
          <w:color w:val="auto"/>
          <w:sz w:val="44"/>
          <w:szCs w:val="44"/>
          <w:highlight w:val="none"/>
        </w:rPr>
        <w:t xml:space="preserve">响应文件</w:t>
      </w:r>
      <w:r/>
    </w:p>
    <w:p>
      <w:pPr>
        <w:ind w:left="0" w:right="0"/>
        <w:jc w:val="center"/>
        <w:pageBreakBefore w:val="0"/>
        <w:rPr>
          <w:rFonts w:hint="default" w:ascii="Times New Roman" w:hAnsi="Times New Roman" w:cs="Times New Roman" w:eastAsiaTheme="minorEastAsia"/>
          <w:color w:val="auto"/>
          <w:sz w:val="28"/>
          <w:szCs w:val="28"/>
          <w:highlight w:val="none"/>
        </w:rPr>
      </w:pPr>
      <w:r>
        <w:rPr>
          <w:rFonts w:hint="default" w:ascii="Times New Roman" w:hAnsi="Times New Roman" w:cs="Times New Roman" w:eastAsiaTheme="minorEastAsia"/>
          <w:color w:val="auto"/>
          <w:sz w:val="28"/>
          <w:szCs w:val="28"/>
          <w:highlight w:val="none"/>
        </w:rPr>
      </w:r>
      <w:r/>
    </w:p>
    <w:p>
      <w:pPr>
        <w:ind w:left="0" w:right="0" w:firstLine="2160"/>
        <w:jc w:val="left"/>
        <w:pageBreakBefore w:val="0"/>
        <w:spacing w:line="44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项目名称：</w:t>
      </w:r>
      <w:r/>
    </w:p>
    <w:p>
      <w:pPr>
        <w:ind w:left="0" w:right="0" w:firstLine="2160"/>
        <w:jc w:val="left"/>
        <w:pageBreakBefore w:val="0"/>
        <w:spacing w:line="44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项目编号：</w:t>
      </w:r>
      <w:r/>
    </w:p>
    <w:p>
      <w:pPr>
        <w:ind w:left="0" w:right="0" w:firstLine="2160"/>
        <w:pageBreakBefore w:val="0"/>
        <w:spacing w:line="44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p>
      <w:pPr>
        <w:ind w:left="0" w:right="0" w:firstLine="2160"/>
        <w:pageBreakBefore w:val="0"/>
        <w:spacing w:line="44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p>
      <w:pPr>
        <w:ind w:left="0" w:right="0" w:firstLine="2160"/>
        <w:pageBreakBefore w:val="0"/>
        <w:spacing w:line="44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p>
      <w:pPr>
        <w:ind w:left="0" w:right="0" w:firstLine="2160"/>
        <w:pageBreakBefore w:val="0"/>
        <w:spacing w:line="44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p>
      <w:pPr>
        <w:ind w:left="0" w:right="0" w:firstLine="2160"/>
        <w:pageBreakBefore w:val="0"/>
        <w:spacing w:line="44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r>
      <w:r/>
    </w:p>
    <w:p>
      <w:pPr>
        <w:ind w:left="0" w:right="0" w:firstLine="480"/>
        <w:pageBreakBefore w:val="0"/>
        <w:spacing w:line="400" w:lineRule="exact"/>
        <w:tabs>
          <w:tab w:val="left" w:pos="2700" w:leader="none"/>
        </w:tabs>
        <w:rPr>
          <w:rFonts w:hint="default" w:ascii="Times New Roman" w:hAnsi="Times New Roman" w:cs="Times New Roman" w:eastAsiaTheme="minorEastAsia"/>
          <w:color w:val="auto"/>
          <w:sz w:val="24"/>
          <w:szCs w:val="24"/>
          <w:highlight w:val="none"/>
          <w:u w:val="single"/>
        </w:rPr>
      </w:pPr>
      <w:r>
        <w:rPr>
          <w:rFonts w:hint="default" w:ascii="Times New Roman" w:hAnsi="Times New Roman" w:cs="Times New Roman" w:eastAsiaTheme="minorEastAsia"/>
          <w:color w:val="auto"/>
          <w:sz w:val="24"/>
          <w:szCs w:val="24"/>
          <w:highlight w:val="none"/>
        </w:rPr>
        <w:t xml:space="preserve">供应商名称：</w:t>
      </w:r>
      <w:r>
        <w:rPr>
          <w:rFonts w:hint="default" w:ascii="Times New Roman" w:hAnsi="Times New Roman" w:cs="Times New Roman" w:eastAsiaTheme="minorEastAsia"/>
          <w:color w:val="auto"/>
          <w:sz w:val="24"/>
          <w:szCs w:val="24"/>
          <w:highlight w:val="none"/>
          <w:u w:val="single"/>
        </w:rPr>
        <w:t xml:space="preserve">  （盖法人章）     </w:t>
      </w:r>
      <w:r/>
    </w:p>
    <w:p>
      <w:pPr>
        <w:ind w:left="0" w:right="0" w:firstLine="480"/>
        <w:pageBreakBefore w:val="0"/>
        <w:spacing w:line="400" w:lineRule="exact"/>
        <w:tabs>
          <w:tab w:val="left" w:pos="2700" w:leader="none"/>
        </w:tabs>
        <w:rPr>
          <w:rFonts w:hint="default" w:ascii="Times New Roman" w:hAnsi="Times New Roman" w:cs="Times New Roman" w:eastAsiaTheme="minorEastAsia"/>
          <w:color w:val="auto"/>
          <w:sz w:val="24"/>
          <w:szCs w:val="24"/>
          <w:highlight w:val="none"/>
          <w:u w:val="single"/>
        </w:rPr>
      </w:pPr>
      <w:r>
        <w:rPr>
          <w:rFonts w:hint="default" w:ascii="Times New Roman" w:hAnsi="Times New Roman" w:cs="Times New Roman" w:eastAsiaTheme="minorEastAsia"/>
          <w:color w:val="auto"/>
          <w:sz w:val="24"/>
          <w:szCs w:val="24"/>
          <w:highlight w:val="none"/>
        </w:rPr>
        <w:t xml:space="preserve">联系人：</w:t>
      </w:r>
      <w:r/>
    </w:p>
    <w:p>
      <w:pPr>
        <w:ind w:left="0" w:right="0" w:firstLine="480"/>
        <w:pageBreakBefore w:val="0"/>
        <w:spacing w:line="400" w:lineRule="exact"/>
        <w:tabs>
          <w:tab w:val="left" w:pos="2700" w:leader="none"/>
        </w:tabs>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联系电话：</w:t>
      </w:r>
      <w:r/>
    </w:p>
    <w:p>
      <w:pPr>
        <w:ind w:left="0" w:right="0" w:firstLine="480"/>
        <w:pageBreakBefore w:val="0"/>
        <w:spacing w:line="400" w:lineRule="exact"/>
        <w:tabs>
          <w:tab w:val="left" w:pos="2700" w:leader="none"/>
        </w:tabs>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邮箱：</w:t>
      </w:r>
      <w:r/>
    </w:p>
    <w:p>
      <w:pPr>
        <w:ind w:left="0" w:right="0" w:firstLine="480"/>
        <w:pageBreakBefore w:val="0"/>
        <w:spacing w:line="400" w:lineRule="exact"/>
        <w:tabs>
          <w:tab w:val="left" w:pos="2700" w:leader="none"/>
        </w:tabs>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日期：  年月日</w:t>
      </w:r>
      <w:r/>
    </w:p>
    <w:p>
      <w:pPr>
        <w:pStyle w:val="645"/>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ind w:left="0" w:right="0"/>
        <w:jc w:val="left"/>
        <w:pageBreakBefore w:val="0"/>
        <w:widowControl/>
        <w:rPr>
          <w:rFonts w:hint="default" w:ascii="Times New Roman" w:hAnsi="Times New Roman" w:cs="Times New Roman" w:eastAsiaTheme="minorEastAsia"/>
          <w:color w:val="auto"/>
          <w:sz w:val="28"/>
          <w:szCs w:val="28"/>
          <w:highlight w:val="none"/>
        </w:rPr>
      </w:pPr>
      <w:r>
        <w:rPr>
          <w:rFonts w:hint="default" w:ascii="Times New Roman" w:hAnsi="Times New Roman" w:cs="Times New Roman" w:eastAsiaTheme="minorEastAsia"/>
          <w:color w:val="auto"/>
          <w:sz w:val="28"/>
          <w:szCs w:val="28"/>
          <w:highlight w:val="none"/>
        </w:rPr>
      </w:r>
      <w:r/>
    </w:p>
    <w:p>
      <w:pPr>
        <w:ind w:left="0" w:right="0"/>
        <w:jc w:val="left"/>
        <w:pageBreakBefore w:val="0"/>
        <w:widowControl/>
        <w:rPr>
          <w:rFonts w:hint="default" w:ascii="Times New Roman" w:hAnsi="Times New Roman" w:cs="Times New Roman" w:eastAsiaTheme="minorEastAsia"/>
          <w:color w:val="auto"/>
          <w:sz w:val="28"/>
          <w:szCs w:val="28"/>
          <w:highlight w:val="none"/>
        </w:rPr>
      </w:pPr>
      <w:r>
        <w:rPr>
          <w:rFonts w:hint="default" w:ascii="Times New Roman" w:hAnsi="Times New Roman" w:cs="Times New Roman" w:eastAsiaTheme="minorEastAsia"/>
          <w:color w:val="auto"/>
          <w:sz w:val="28"/>
          <w:szCs w:val="28"/>
          <w:highlight w:val="none"/>
        </w:rPr>
      </w:r>
      <w:r/>
    </w:p>
    <w:p>
      <w:pPr>
        <w:pStyle w:val="645"/>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pStyle w:val="645"/>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pStyle w:val="645"/>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pStyle w:val="645"/>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pStyle w:val="645"/>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pStyle w:val="645"/>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pStyle w:val="645"/>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spacing w:line="560" w:lineRule="exact"/>
        <w:rPr>
          <w:rFonts w:hint="default" w:ascii="楷体_GB2312" w:hAnsi="楷体_GB2312" w:eastAsia="楷体_GB2312" w:cs="楷体_GB2312"/>
          <w:b/>
          <w:sz w:val="28"/>
          <w:szCs w:val="28"/>
        </w:rPr>
      </w:pPr>
      <w:r>
        <w:rPr>
          <w:rFonts w:hint="default" w:ascii="楷体_GB2312" w:hAnsi="楷体_GB2312" w:eastAsia="楷体_GB2312" w:cs="楷体_GB2312"/>
          <w:b/>
          <w:sz w:val="28"/>
          <w:szCs w:val="28"/>
        </w:rPr>
        <w:t xml:space="preserve">3.2报价一览表</w:t>
      </w:r>
      <w:r/>
    </w:p>
    <w:p>
      <w:pPr>
        <w:ind w:left="0" w:right="0"/>
        <w:jc w:val="center"/>
        <w:pageBreakBefore w:val="0"/>
        <w:rPr>
          <w:rFonts w:hint="default" w:ascii="Times New Roman" w:hAnsi="Times New Roman" w:cs="Times New Roman" w:eastAsiaTheme="minorEastAsia"/>
          <w:b/>
          <w:color w:val="auto"/>
          <w:sz w:val="32"/>
          <w:szCs w:val="32"/>
          <w:highlight w:val="none"/>
        </w:rPr>
      </w:pPr>
      <w:r>
        <w:rPr>
          <w:rFonts w:hint="default" w:ascii="Times New Roman" w:hAnsi="Times New Roman" w:cs="Times New Roman" w:eastAsiaTheme="minorEastAsia"/>
          <w:b/>
          <w:color w:val="auto"/>
          <w:sz w:val="32"/>
          <w:szCs w:val="32"/>
          <w:highlight w:val="none"/>
        </w:rPr>
      </w:r>
      <w:r/>
    </w:p>
    <w:p>
      <w:pPr>
        <w:ind w:left="0" w:right="0"/>
        <w:jc w:val="center"/>
        <w:pageBreakBefore w:val="0"/>
        <w:spacing w:line="56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报价一览表</w:t>
      </w:r>
      <w:r/>
    </w:p>
    <w:p>
      <w:pPr>
        <w:ind w:left="0" w:right="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按“江苏省政府采购管理交易系统（苏采云）”中格式填写。</w:t>
      </w:r>
      <w:r/>
    </w:p>
    <w:p>
      <w:pPr>
        <w:spacing w:line="560" w:lineRule="exact"/>
        <w:rPr>
          <w:rFonts w:hint="default" w:ascii="Times New Roman" w:hAnsi="Times New Roman" w:cs="Times New Roman" w:eastAsiaTheme="minorEastAsia"/>
          <w:b/>
          <w:color w:val="auto"/>
          <w:sz w:val="28"/>
          <w:szCs w:val="28"/>
          <w:highlight w:val="none"/>
        </w:rPr>
      </w:pPr>
      <w:r>
        <w:rPr>
          <w:rFonts w:hint="default" w:ascii="Times New Roman" w:hAnsi="Times New Roman" w:cs="Times New Roman" w:eastAsiaTheme="minorEastAsia"/>
          <w:color w:val="auto"/>
          <w:sz w:val="28"/>
          <w:szCs w:val="28"/>
          <w:highlight w:val="none"/>
        </w:rPr>
        <w:br w:type="page" w:clear="all"/>
      </w:r>
      <w:r>
        <w:rPr>
          <w:rFonts w:hint="default" w:ascii="楷体_GB2312" w:hAnsi="楷体_GB2312" w:eastAsia="楷体_GB2312" w:cs="楷体_GB2312"/>
          <w:b/>
          <w:sz w:val="28"/>
          <w:szCs w:val="28"/>
        </w:rPr>
        <w:t xml:space="preserve">3.3响应函</w:t>
      </w:r>
      <w:r/>
    </w:p>
    <w:p>
      <w:pPr>
        <w:ind w:left="0" w:right="0"/>
        <w:jc w:val="center"/>
        <w:pageBreakBefore w:val="0"/>
        <w:spacing w:line="560" w:lineRule="exact"/>
        <w:rPr>
          <w:rFonts w:hint="default" w:ascii="Times New Roman" w:hAnsi="Times New Roman" w:cs="Times New Roman" w:eastAsiaTheme="minorEastAsia"/>
          <w:b/>
          <w:color w:val="auto"/>
          <w:sz w:val="32"/>
          <w:szCs w:val="32"/>
          <w:highlight w:val="none"/>
        </w:rPr>
      </w:pPr>
      <w:r/>
      <w:bookmarkStart w:id="234" w:name="_Toc367785041"/>
      <w:r>
        <w:rPr>
          <w:rFonts w:hint="eastAsia" w:ascii="仿宋_GB2312" w:hAnsi="仿宋_GB2312" w:eastAsia="仿宋_GB2312" w:cs="仿宋_GB2312"/>
          <w:b/>
          <w:color w:val="auto"/>
          <w:sz w:val="32"/>
          <w:szCs w:val="32"/>
          <w:highlight w:val="none"/>
        </w:rPr>
        <w:t xml:space="preserve">响 应 函</w:t>
      </w:r>
      <w:bookmarkEnd w:id="234"/>
      <w:r/>
      <w:r/>
    </w:p>
    <w:p>
      <w:pPr>
        <w:ind w:left="0" w:right="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致：</w:t>
      </w:r>
      <w:r>
        <w:rPr>
          <w:rFonts w:hint="eastAsia" w:ascii="仿宋_GB2312" w:hAnsi="仿宋_GB2312" w:eastAsia="仿宋_GB2312" w:cs="仿宋_GB2312"/>
          <w:color w:val="auto"/>
          <w:sz w:val="28"/>
          <w:szCs w:val="28"/>
          <w:highlight w:val="none"/>
          <w:u w:val="single"/>
        </w:rPr>
        <w:t xml:space="preserve">（采购人名称）</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根据项目采购文件的所有条款要求，遵照《中华人民共和国政府采购法》《中华人民共和国政府采购法实施条例》等有关规定，我方承诺如下：</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w:t>
      </w:r>
      <w:r>
        <w:rPr>
          <w:rFonts w:hint="eastAsia" w:ascii="仿宋_GB2312" w:hAnsi="仿宋_GB2312" w:eastAsia="仿宋_GB2312" w:cs="仿宋_GB2312"/>
          <w:color w:val="auto"/>
          <w:sz w:val="28"/>
          <w:szCs w:val="28"/>
          <w:highlight w:val="none"/>
          <w:lang w:eastAsia="zh-CN"/>
        </w:rPr>
        <w:t xml:space="preserve">包一、包二</w:t>
      </w:r>
      <w:r>
        <w:rPr>
          <w:rFonts w:hint="eastAsia" w:ascii="仿宋_GB2312" w:hAnsi="仿宋_GB2312" w:eastAsia="仿宋_GB2312" w:cs="仿宋_GB2312"/>
          <w:color w:val="auto"/>
          <w:sz w:val="28"/>
          <w:szCs w:val="28"/>
          <w:highlight w:val="none"/>
          <w:lang w:val="en-US" w:eastAsia="zh-CN"/>
        </w:rPr>
        <w:t xml:space="preserve">投标</w:t>
      </w:r>
      <w:r>
        <w:rPr>
          <w:rFonts w:hint="eastAsia" w:ascii="仿宋_GB2312" w:hAnsi="仿宋_GB2312" w:eastAsia="仿宋_GB2312" w:cs="仿宋_GB2312"/>
          <w:color w:val="auto"/>
          <w:sz w:val="28"/>
          <w:szCs w:val="28"/>
          <w:highlight w:val="none"/>
        </w:rPr>
        <w:t xml:space="preserve">报价</w:t>
      </w:r>
      <w:r>
        <w:rPr>
          <w:rFonts w:hint="eastAsia" w:ascii="仿宋_GB2312" w:hAnsi="仿宋_GB2312" w:eastAsia="仿宋_GB2312" w:cs="仿宋_GB2312"/>
          <w:color w:val="auto"/>
          <w:sz w:val="28"/>
          <w:szCs w:val="28"/>
          <w:highlight w:val="none"/>
          <w:lang w:eastAsia="zh-CN"/>
        </w:rPr>
        <w:t xml:space="preserve">各</w:t>
      </w:r>
      <w:r>
        <w:rPr>
          <w:rFonts w:hint="eastAsia" w:ascii="仿宋_GB2312" w:hAnsi="仿宋_GB2312" w:eastAsia="仿宋_GB2312" w:cs="仿宋_GB2312"/>
          <w:color w:val="auto"/>
          <w:sz w:val="28"/>
          <w:szCs w:val="28"/>
          <w:highlight w:val="none"/>
        </w:rPr>
        <w:t xml:space="preserve">为：</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。一旦我方成为成交人</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我方将根据采购文件的规定，严格履行合同的责任和义务。</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2.合同履行期限：</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3.我方已详细审查全部采购文件。我们完全理解并同意放弃对这方面有不明及误解的权力。</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left="0" w:right="0" w:firstLine="392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left="0" w:right="0" w:firstLine="392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left="0" w:right="0" w:firstLine="364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供应商名称</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盖法人章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w:t>
      </w:r>
      <w:r/>
    </w:p>
    <w:p>
      <w:pPr>
        <w:ind w:left="0" w:right="0" w:firstLine="364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法定代表人</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签字或签章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w:t>
      </w:r>
      <w:r/>
    </w:p>
    <w:p>
      <w:pPr>
        <w:ind w:right="0" w:firstLine="364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日期：   年  月  日</w:t>
      </w:r>
      <w:bookmarkStart w:id="235" w:name="_Hlt26955041"/>
      <w:r/>
      <w:bookmarkEnd w:id="235"/>
      <w:r/>
      <w:r/>
    </w:p>
    <w:p>
      <w:pPr>
        <w:spacing w:line="560" w:lineRule="exact"/>
        <w:rPr>
          <w:rFonts w:hint="default" w:ascii="楷体_GB2312" w:hAnsi="楷体_GB2312" w:eastAsia="楷体_GB2312" w:cs="楷体_GB2312"/>
          <w:b/>
          <w:sz w:val="28"/>
          <w:szCs w:val="28"/>
        </w:rPr>
      </w:pPr>
      <w:r>
        <w:rPr>
          <w:rFonts w:hint="default" w:ascii="Times New Roman" w:hAnsi="Times New Roman" w:cs="Times New Roman" w:eastAsiaTheme="minorEastAsia"/>
          <w:color w:val="auto"/>
          <w:sz w:val="28"/>
          <w:szCs w:val="28"/>
          <w:highlight w:val="none"/>
        </w:rPr>
        <w:br w:type="page" w:clear="all"/>
      </w:r>
      <w:r>
        <w:rPr>
          <w:rFonts w:hint="default" w:ascii="楷体_GB2312" w:hAnsi="楷体_GB2312" w:eastAsia="楷体_GB2312" w:cs="楷体_GB2312"/>
          <w:b/>
          <w:sz w:val="28"/>
          <w:szCs w:val="28"/>
        </w:rPr>
        <w:t xml:space="preserve">3.4供应商资格条件证明文件</w:t>
      </w:r>
      <w:r/>
    </w:p>
    <w:p>
      <w:pPr>
        <w:ind w:left="0" w:right="0"/>
        <w:pageBreakBefore w:val="0"/>
        <w:spacing w:line="560" w:lineRule="exact"/>
        <w:rPr>
          <w:rFonts w:hint="default" w:ascii="楷体_GB2312" w:hAnsi="楷体_GB2312" w:eastAsia="楷体_GB2312" w:cs="楷体_GB2312"/>
          <w:b/>
          <w:sz w:val="28"/>
          <w:szCs w:val="28"/>
        </w:rPr>
      </w:pPr>
      <w:r>
        <w:rPr>
          <w:rFonts w:hint="default" w:ascii="Times New Roman" w:hAnsi="Times New Roman" w:cs="Times New Roman" w:eastAsiaTheme="minorEastAsia"/>
          <w:b/>
          <w:bCs/>
          <w:color w:val="auto"/>
          <w:sz w:val="28"/>
          <w:szCs w:val="28"/>
          <w:highlight w:val="none"/>
        </w:rPr>
        <w:t xml:space="preserve">（</w:t>
      </w:r>
      <w:r>
        <w:rPr>
          <w:rFonts w:hint="default" w:ascii="楷体_GB2312" w:hAnsi="楷体_GB2312" w:eastAsia="楷体_GB2312" w:cs="楷体_GB2312"/>
          <w:b/>
          <w:sz w:val="28"/>
          <w:szCs w:val="28"/>
        </w:rPr>
        <w:t xml:space="preserve">1）供应商基本资格条件承诺书</w:t>
      </w:r>
      <w:r/>
    </w:p>
    <w:p>
      <w:pPr>
        <w:ind w:left="0" w:right="0"/>
        <w:jc w:val="center"/>
        <w:pageBreakBefore w:val="0"/>
        <w:spacing w:line="56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供应商基本资格条件承诺书</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一、按照《政府采购法》第二十二条规定的供应商基本资格条件，我公司郑重承诺如下：</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1.我公司具有良好的商业信誉和健全的财务制度；</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2.我公司具有履行合同所必须的设备和专业技术能力；</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3.我公司具有依法缴纳税收和社会保障资金的良好记录；</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4.我公司参加政府采购活动前三年内，在经营活动中没有重大违法记录；</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5.我公司未列入在信用中国网站（www.creditchina.gov.cn）“失信被执行人”“重大税收违法案件当事人名单”中，也未列入中国政府采购网（www.ccgp.gov.cn）“政府采购严重违法失信行为记录名单”中。</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二、我公司承诺：在本次投标过程中，我公司不存在本项目采购文件第二章第1.4.3条所列情形之一。</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left="0" w:right="0" w:firstLine="504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供应商名称</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盖法人章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w:t>
      </w:r>
      <w:r/>
    </w:p>
    <w:p>
      <w:pPr>
        <w:ind w:left="0" w:right="0" w:firstLine="504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法定代表人</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签字或签章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w:t>
      </w:r>
      <w:r/>
    </w:p>
    <w:p>
      <w:pPr>
        <w:ind w:left="0" w:right="0" w:firstLine="532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日期：   年  月  日</w:t>
      </w:r>
      <w:r/>
    </w:p>
    <w:p>
      <w:pPr>
        <w:ind w:left="0" w:right="0"/>
        <w:jc w:val="left"/>
        <w:pageBreakBefore w:val="0"/>
        <w:widowControl/>
        <w:rPr>
          <w:rFonts w:hint="default" w:ascii="Times New Roman" w:hAnsi="Times New Roman" w:cs="Times New Roman" w:eastAsiaTheme="minorEastAsia"/>
          <w:b/>
          <w:color w:val="auto"/>
          <w:sz w:val="28"/>
          <w:szCs w:val="28"/>
          <w:highlight w:val="none"/>
        </w:rPr>
      </w:pPr>
      <w:r>
        <w:rPr>
          <w:rFonts w:hint="default" w:ascii="Times New Roman" w:hAnsi="Times New Roman" w:cs="Times New Roman" w:eastAsiaTheme="minorEastAsia"/>
          <w:color w:val="auto"/>
          <w:sz w:val="28"/>
          <w:szCs w:val="28"/>
          <w:highlight w:val="none"/>
        </w:rPr>
        <w:br w:type="page" w:clear="all"/>
      </w:r>
      <w:r>
        <w:rPr>
          <w:rFonts w:hint="default" w:ascii="楷体_GB2312" w:hAnsi="楷体_GB2312" w:eastAsia="楷体_GB2312" w:cs="楷体_GB2312"/>
          <w:b/>
          <w:sz w:val="28"/>
          <w:szCs w:val="28"/>
        </w:rPr>
        <w:t xml:space="preserve">（2）中小企业声明函</w:t>
      </w:r>
      <w:r/>
    </w:p>
    <w:p>
      <w:pPr>
        <w:ind w:left="0" w:right="0"/>
        <w:jc w:val="center"/>
        <w:pageBreakBefore w:val="0"/>
        <w:spacing w:line="44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中小企业声明函</w:t>
      </w:r>
      <w:r/>
    </w:p>
    <w:p>
      <w:pPr>
        <w:ind w:left="0" w:right="0"/>
        <w:jc w:val="center"/>
        <w:pageBreakBefore w:val="0"/>
        <w:spacing w:line="44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r>
      <w:r/>
    </w:p>
    <w:p>
      <w:pPr>
        <w:ind w:left="0" w:right="0" w:firstLine="570"/>
        <w:pageBreakBefore w:val="0"/>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本公司（联合体）郑重声明，根据《政府采购促进中小企业发展管理办法》（财库</w:t>
      </w:r>
      <w:r>
        <w:rPr>
          <w:rFonts w:hint="eastAsia" w:ascii="仿宋_GB2312" w:hAnsi="仿宋_GB2312" w:eastAsia="仿宋_GB2312" w:cs="仿宋_GB2312"/>
          <w:color w:val="auto"/>
          <w:sz w:val="28"/>
          <w:szCs w:val="28"/>
          <w:highlight w:val="none"/>
          <w:lang w:eastAsia="zh-CN"/>
        </w:rPr>
        <w:t xml:space="preserve">〔2020〕46号</w:t>
      </w:r>
      <w:r>
        <w:rPr>
          <w:rFonts w:hint="eastAsia" w:ascii="仿宋_GB2312" w:hAnsi="仿宋_GB2312" w:eastAsia="仿宋_GB2312" w:cs="仿宋_GB2312"/>
          <w:color w:val="auto"/>
          <w:sz w:val="28"/>
          <w:szCs w:val="28"/>
          <w:highlight w:val="none"/>
        </w:rPr>
        <w:t xml:space="preserve">）的规定，本公司（联合体）参加</w:t>
      </w:r>
      <w:r>
        <w:rPr>
          <w:rFonts w:hint="eastAsia" w:ascii="仿宋_GB2312" w:hAnsi="仿宋_GB2312" w:eastAsia="仿宋_GB2312" w:cs="仿宋_GB2312"/>
          <w:color w:val="auto"/>
          <w:sz w:val="28"/>
          <w:szCs w:val="28"/>
          <w:highlight w:val="none"/>
          <w:u w:val="single"/>
        </w:rPr>
        <w:t xml:space="preserve">（单位名称）</w:t>
      </w:r>
      <w:r>
        <w:rPr>
          <w:rFonts w:hint="eastAsia" w:ascii="仿宋_GB2312" w:hAnsi="仿宋_GB2312" w:eastAsia="仿宋_GB2312" w:cs="仿宋_GB2312"/>
          <w:color w:val="auto"/>
          <w:sz w:val="28"/>
          <w:szCs w:val="28"/>
          <w:highlight w:val="none"/>
        </w:rPr>
        <w:t xml:space="preserve">的</w:t>
      </w:r>
      <w:r>
        <w:rPr>
          <w:rFonts w:hint="eastAsia" w:ascii="仿宋_GB2312" w:hAnsi="仿宋_GB2312" w:eastAsia="仿宋_GB2312" w:cs="仿宋_GB2312"/>
          <w:color w:val="auto"/>
          <w:sz w:val="28"/>
          <w:szCs w:val="28"/>
          <w:highlight w:val="none"/>
          <w:u w:val="single"/>
        </w:rPr>
        <w:t xml:space="preserve"> （项目名称）       </w:t>
      </w:r>
      <w:r>
        <w:rPr>
          <w:rFonts w:hint="eastAsia" w:ascii="仿宋_GB2312" w:hAnsi="仿宋_GB2312" w:eastAsia="仿宋_GB2312" w:cs="仿宋_GB2312"/>
          <w:color w:val="auto"/>
          <w:sz w:val="28"/>
          <w:szCs w:val="28"/>
          <w:highlight w:val="none"/>
        </w:rPr>
        <w:t xml:space="preserve">采购活动，服务全部由符合政策要求的中小企业承接。相关企业（含联合体中的中小企业、签订分包意向协议的中小企业）的具体情况如下：</w:t>
      </w:r>
      <w:r/>
    </w:p>
    <w:p>
      <w:pPr>
        <w:ind w:left="0" w:right="0" w:firstLine="560"/>
        <w:pageBreakBefore w:val="0"/>
        <w:spacing w:line="440" w:lineRule="exact"/>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1.</w:t>
      </w:r>
      <w:r>
        <w:rPr>
          <w:rFonts w:hint="eastAsia" w:ascii="仿宋_GB2312" w:hAnsi="仿宋_GB2312" w:eastAsia="仿宋_GB2312" w:cs="仿宋_GB2312"/>
          <w:color w:val="auto"/>
          <w:sz w:val="28"/>
          <w:szCs w:val="28"/>
          <w:highlight w:val="none"/>
          <w:u w:val="single"/>
        </w:rPr>
        <w:t xml:space="preserve">（标的名称）      </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，属于</w:t>
      </w:r>
      <w:r>
        <w:rPr>
          <w:rFonts w:hint="eastAsia" w:ascii="仿宋_GB2312" w:hAnsi="仿宋_GB2312" w:eastAsia="仿宋_GB2312" w:cs="仿宋_GB2312"/>
          <w:color w:val="auto"/>
          <w:sz w:val="28"/>
          <w:szCs w:val="28"/>
          <w:highlight w:val="none"/>
          <w:u w:val="single"/>
        </w:rPr>
        <w:t xml:space="preserve">物业管理 </w:t>
      </w:r>
      <w:r>
        <w:rPr>
          <w:rFonts w:hint="eastAsia" w:ascii="仿宋_GB2312" w:hAnsi="仿宋_GB2312" w:eastAsia="仿宋_GB2312" w:cs="仿宋_GB2312"/>
          <w:color w:val="auto"/>
          <w:sz w:val="28"/>
          <w:szCs w:val="28"/>
          <w:highlight w:val="none"/>
        </w:rPr>
        <w:t xml:space="preserve">；承建（承接）企业为</w:t>
      </w:r>
      <w:r>
        <w:rPr>
          <w:rFonts w:hint="eastAsia" w:ascii="仿宋_GB2312" w:hAnsi="仿宋_GB2312" w:eastAsia="仿宋_GB2312" w:cs="仿宋_GB2312"/>
          <w:color w:val="auto"/>
          <w:sz w:val="28"/>
          <w:szCs w:val="28"/>
          <w:highlight w:val="none"/>
          <w:u w:val="single"/>
        </w:rPr>
        <w:t xml:space="preserve"> （企业名称）</w:t>
      </w:r>
      <w:r>
        <w:rPr>
          <w:rFonts w:hint="eastAsia" w:ascii="仿宋_GB2312" w:hAnsi="仿宋_GB2312" w:eastAsia="仿宋_GB2312" w:cs="仿宋_GB2312"/>
          <w:color w:val="auto"/>
          <w:sz w:val="28"/>
          <w:szCs w:val="28"/>
          <w:highlight w:val="none"/>
        </w:rPr>
        <w:t xml:space="preserve">，从业人员人，营业收入万元，资产总额万元，属于</w:t>
      </w:r>
      <w:r>
        <w:rPr>
          <w:rFonts w:hint="eastAsia" w:ascii="仿宋_GB2312" w:hAnsi="仿宋_GB2312" w:eastAsia="仿宋_GB2312" w:cs="仿宋_GB2312"/>
          <w:color w:val="auto"/>
          <w:sz w:val="28"/>
          <w:szCs w:val="28"/>
          <w:highlight w:val="none"/>
          <w:u w:val="single"/>
        </w:rPr>
        <w:t xml:space="preserve">（中型企业、小型企业、微型企业）</w:t>
      </w:r>
      <w:r>
        <w:rPr>
          <w:rFonts w:hint="eastAsia" w:ascii="仿宋_GB2312" w:hAnsi="仿宋_GB2312" w:eastAsia="仿宋_GB2312" w:cs="仿宋_GB2312"/>
          <w:color w:val="auto"/>
          <w:sz w:val="28"/>
          <w:szCs w:val="28"/>
          <w:highlight w:val="none"/>
        </w:rPr>
        <w:t xml:space="preserve">；</w:t>
      </w:r>
      <w:r/>
    </w:p>
    <w:p>
      <w:pPr>
        <w:ind w:left="0" w:right="0" w:firstLine="560"/>
        <w:pageBreakBefore w:val="0"/>
        <w:spacing w:line="440" w:lineRule="exact"/>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2.</w:t>
      </w:r>
      <w:r>
        <w:rPr>
          <w:rFonts w:hint="eastAsia" w:ascii="仿宋_GB2312" w:hAnsi="仿宋_GB2312" w:eastAsia="仿宋_GB2312" w:cs="仿宋_GB2312"/>
          <w:color w:val="auto"/>
          <w:sz w:val="28"/>
          <w:szCs w:val="28"/>
          <w:highlight w:val="none"/>
          <w:u w:val="single"/>
        </w:rPr>
        <w:t xml:space="preserve">（标的名称）        </w:t>
      </w:r>
      <w:r>
        <w:rPr>
          <w:rFonts w:hint="eastAsia" w:ascii="仿宋_GB2312" w:hAnsi="仿宋_GB2312" w:eastAsia="仿宋_GB2312" w:cs="仿宋_GB2312"/>
          <w:color w:val="auto"/>
          <w:sz w:val="28"/>
          <w:szCs w:val="28"/>
          <w:highlight w:val="none"/>
        </w:rPr>
        <w:t xml:space="preserve">，属于</w:t>
      </w:r>
      <w:r>
        <w:rPr>
          <w:rFonts w:hint="eastAsia" w:ascii="仿宋_GB2312" w:hAnsi="仿宋_GB2312" w:eastAsia="仿宋_GB2312" w:cs="仿宋_GB2312"/>
          <w:color w:val="auto"/>
          <w:sz w:val="28"/>
          <w:szCs w:val="28"/>
          <w:highlight w:val="none"/>
          <w:u w:val="single"/>
        </w:rPr>
        <w:t xml:space="preserve">物业管理 </w:t>
      </w:r>
      <w:r>
        <w:rPr>
          <w:rFonts w:hint="eastAsia" w:ascii="仿宋_GB2312" w:hAnsi="仿宋_GB2312" w:eastAsia="仿宋_GB2312" w:cs="仿宋_GB2312"/>
          <w:color w:val="auto"/>
          <w:sz w:val="28"/>
          <w:szCs w:val="28"/>
          <w:highlight w:val="none"/>
        </w:rPr>
        <w:t xml:space="preserve">；承建（承接）企业为</w:t>
      </w:r>
      <w:r>
        <w:rPr>
          <w:rFonts w:hint="eastAsia" w:ascii="仿宋_GB2312" w:hAnsi="仿宋_GB2312" w:eastAsia="仿宋_GB2312" w:cs="仿宋_GB2312"/>
          <w:color w:val="auto"/>
          <w:sz w:val="28"/>
          <w:szCs w:val="28"/>
          <w:highlight w:val="none"/>
          <w:u w:val="single"/>
        </w:rPr>
        <w:t xml:space="preserve"> （企业名称）</w:t>
      </w:r>
      <w:r>
        <w:rPr>
          <w:rFonts w:hint="eastAsia" w:ascii="仿宋_GB2312" w:hAnsi="仿宋_GB2312" w:eastAsia="仿宋_GB2312" w:cs="仿宋_GB2312"/>
          <w:color w:val="auto"/>
          <w:sz w:val="28"/>
          <w:szCs w:val="28"/>
          <w:highlight w:val="none"/>
        </w:rPr>
        <w:t xml:space="preserve">，从业人员人，营业收入万元，资产总额万元，属于</w:t>
      </w:r>
      <w:r>
        <w:rPr>
          <w:rFonts w:hint="eastAsia" w:ascii="仿宋_GB2312" w:hAnsi="仿宋_GB2312" w:eastAsia="仿宋_GB2312" w:cs="仿宋_GB2312"/>
          <w:color w:val="auto"/>
          <w:sz w:val="28"/>
          <w:szCs w:val="28"/>
          <w:highlight w:val="none"/>
          <w:u w:val="single"/>
        </w:rPr>
        <w:t xml:space="preserve">（中型企业、小型企业、微型企业）</w:t>
      </w:r>
      <w:r>
        <w:rPr>
          <w:rFonts w:hint="eastAsia" w:ascii="仿宋_GB2312" w:hAnsi="仿宋_GB2312" w:eastAsia="仿宋_GB2312" w:cs="仿宋_GB2312"/>
          <w:color w:val="auto"/>
          <w:sz w:val="28"/>
          <w:szCs w:val="28"/>
          <w:highlight w:val="none"/>
        </w:rPr>
        <w:t xml:space="preserve">；</w:t>
      </w:r>
      <w:r/>
    </w:p>
    <w:p>
      <w:pPr>
        <w:pStyle w:val="689"/>
        <w:ind w:left="0" w:right="0"/>
        <w:pageBreakBefore w:val="0"/>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w:t>
      </w:r>
      <w:r/>
    </w:p>
    <w:p>
      <w:pPr>
        <w:ind w:left="0" w:right="0" w:firstLine="560"/>
        <w:pageBreakBefore w:val="0"/>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以上企业，不属于大企业的分支机构，不存在控股股东为大企业的情形，也不存在与大企业的负责人为同一人的情形。</w:t>
      </w:r>
      <w:r/>
    </w:p>
    <w:p>
      <w:pPr>
        <w:ind w:left="0" w:right="0" w:firstLine="570"/>
        <w:pageBreakBefore w:val="0"/>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本企业对上述声明内容的真实性负责。如有虚假，将依法承担相应责任。</w:t>
      </w:r>
      <w:r/>
    </w:p>
    <w:p>
      <w:pPr>
        <w:ind w:left="0" w:right="0" w:firstLine="4760"/>
        <w:pageBreakBefore w:val="0"/>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企业名称（盖章）：</w:t>
      </w:r>
      <w:r/>
    </w:p>
    <w:p>
      <w:pPr>
        <w:ind w:left="0" w:right="0" w:firstLine="4760"/>
        <w:pageBreakBefore w:val="0"/>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日  期：</w:t>
      </w:r>
      <w:r/>
    </w:p>
    <w:p>
      <w:pPr>
        <w:pStyle w:val="839"/>
        <w:ind w:left="0" w:right="0"/>
        <w:pageBreakBefore w:val="0"/>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注：1、从业人员、营业收入填报上一年度数据，无上一年度数据的新成立企业可不填报。</w:t>
      </w:r>
      <w:r/>
    </w:p>
    <w:p>
      <w:pPr>
        <w:ind w:right="0" w:firstLine="560"/>
        <w:pageBreakBefore w:val="0"/>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2、供应商提供的声明函内容不实的，属于提供虚假材料谋取成交，依照《中华人民共和国政府采购法》等国家有关规定追究相应责任。</w:t>
      </w:r>
      <w:r/>
    </w:p>
    <w:p>
      <w:pPr>
        <w:ind w:left="0" w:right="0"/>
        <w:pageBreakBefore w:val="0"/>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br w:type="page" w:clear="all"/>
      </w:r>
      <w:r/>
    </w:p>
    <w:p>
      <w:pPr>
        <w:ind w:left="0" w:right="0"/>
        <w:jc w:val="left"/>
        <w:pageBreakBefore w:val="0"/>
        <w:widowControl/>
        <w:rPr>
          <w:rFonts w:hint="default" w:ascii="楷体_GB2312" w:hAnsi="楷体_GB2312" w:eastAsia="楷体_GB2312" w:cs="楷体_GB2312"/>
          <w:b/>
          <w:sz w:val="28"/>
          <w:szCs w:val="28"/>
        </w:rPr>
      </w:pPr>
      <w:r>
        <w:rPr>
          <w:rFonts w:hint="default" w:ascii="楷体_GB2312" w:hAnsi="楷体_GB2312" w:eastAsia="楷体_GB2312" w:cs="楷体_GB2312"/>
          <w:b/>
          <w:sz w:val="28"/>
          <w:szCs w:val="28"/>
        </w:rPr>
        <w:t xml:space="preserve">3.5采购需求响应表</w:t>
      </w:r>
      <w:r/>
    </w:p>
    <w:p>
      <w:pPr>
        <w:ind w:left="0" w:right="0"/>
        <w:jc w:val="center"/>
        <w:pageBreakBefore w:val="0"/>
        <w:spacing w:line="56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采购需求响应表</w:t>
      </w:r>
      <w:r/>
    </w:p>
    <w:p>
      <w:pPr>
        <w:pStyle w:val="678"/>
        <w:ind w:left="0" w:right="0"/>
        <w:pageBreakBefore w:val="0"/>
        <w:spacing w:after="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格式自拟。</w:t>
      </w:r>
      <w:r/>
    </w:p>
    <w:p>
      <w:pPr>
        <w:ind w:left="0" w:right="0" w:firstLine="392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供应商名称</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盖法人章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w:t>
      </w:r>
      <w:r/>
    </w:p>
    <w:p>
      <w:pPr>
        <w:ind w:left="0" w:right="0" w:firstLine="392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法定代表人</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签字或签章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w:t>
      </w:r>
      <w:r/>
    </w:p>
    <w:p>
      <w:pPr>
        <w:ind w:left="0" w:right="0" w:firstLine="3920"/>
        <w:pageBreakBefore w:val="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日期：   年  月  日</w:t>
      </w:r>
      <w:r/>
    </w:p>
    <w:p>
      <w:pPr>
        <w:ind w:left="0" w:right="0"/>
        <w:pageBreakBefore w:val="0"/>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r>
      <w:r/>
    </w:p>
    <w:p>
      <w:pPr>
        <w:pStyle w:val="645"/>
        <w:ind w:left="0" w:right="0"/>
        <w:pageBreakBefore w:val="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ind w:left="0" w:right="0"/>
        <w:pageBreakBefore w:val="0"/>
        <w:spacing w:line="300" w:lineRule="exact"/>
        <w:rPr>
          <w:rFonts w:hint="default" w:ascii="Times New Roman" w:hAnsi="Times New Roman" w:cs="Times New Roman" w:eastAsiaTheme="minorEastAsia"/>
          <w:b/>
          <w:color w:val="auto"/>
          <w:sz w:val="28"/>
          <w:szCs w:val="28"/>
          <w:highlight w:val="none"/>
        </w:rPr>
      </w:pPr>
      <w:r>
        <w:rPr>
          <w:rFonts w:hint="default" w:ascii="Times New Roman" w:hAnsi="Times New Roman" w:cs="Times New Roman" w:eastAsiaTheme="minorEastAsia"/>
          <w:b/>
          <w:color w:val="auto"/>
          <w:sz w:val="28"/>
          <w:szCs w:val="28"/>
          <w:highlight w:val="none"/>
        </w:rPr>
      </w:r>
      <w:r/>
    </w:p>
    <w:p>
      <w:pPr>
        <w:ind w:left="0" w:right="0"/>
        <w:pageBreakBefore w:val="0"/>
        <w:spacing w:line="300" w:lineRule="exact"/>
        <w:rPr>
          <w:rFonts w:hint="default" w:ascii="Times New Roman" w:hAnsi="Times New Roman" w:cs="Times New Roman" w:eastAsiaTheme="minorEastAsia"/>
          <w:b/>
          <w:color w:val="auto"/>
          <w:sz w:val="28"/>
          <w:szCs w:val="28"/>
          <w:highlight w:val="none"/>
        </w:rPr>
      </w:pPr>
      <w:r>
        <w:rPr>
          <w:rFonts w:hint="default" w:ascii="Times New Roman" w:hAnsi="Times New Roman" w:cs="Times New Roman" w:eastAsiaTheme="minorEastAsia"/>
          <w:b/>
          <w:color w:val="auto"/>
          <w:sz w:val="28"/>
          <w:szCs w:val="28"/>
          <w:highlight w:val="none"/>
        </w:rPr>
      </w:r>
      <w:bookmarkEnd w:id="224"/>
      <w:bookmarkEnd w:id="225"/>
      <w:bookmarkEnd w:id="226"/>
      <w:bookmarkEnd w:id="227"/>
      <w:bookmarkEnd w:id="228"/>
      <w:bookmarkEnd w:id="229"/>
      <w:bookmarkEnd w:id="230"/>
      <w:bookmarkEnd w:id="231"/>
      <w:bookmarkEnd w:id="232"/>
      <w:bookmarkEnd w:id="233"/>
      <w:r/>
    </w:p>
    <w:p>
      <w:pPr>
        <w:ind w:left="0" w:right="0"/>
        <w:jc w:val="left"/>
        <w:pageBreakBefore w:val="0"/>
        <w:widowControl/>
        <w:rPr>
          <w:rFonts w:hint="default" w:ascii="Times New Roman" w:hAnsi="Times New Roman" w:cs="Times New Roman" w:eastAsiaTheme="minorEastAsia"/>
          <w:b/>
          <w:color w:val="auto"/>
          <w:sz w:val="28"/>
          <w:szCs w:val="28"/>
          <w:highlight w:val="none"/>
        </w:rPr>
      </w:pPr>
      <w:r>
        <w:rPr>
          <w:rFonts w:hint="default" w:ascii="Times New Roman" w:hAnsi="Times New Roman" w:cs="Times New Roman" w:eastAsiaTheme="minorEastAsia"/>
          <w:b/>
          <w:color w:val="auto"/>
          <w:sz w:val="28"/>
          <w:szCs w:val="28"/>
          <w:highlight w:val="none"/>
        </w:rPr>
      </w:r>
      <w:r/>
    </w:p>
    <w:p>
      <w:pPr>
        <w:ind w:left="0" w:right="0"/>
        <w:jc w:val="left"/>
        <w:pageBreakBefore w:val="0"/>
        <w:widowControl/>
        <w:rPr>
          <w:rFonts w:hint="default" w:ascii="楷体_GB2312" w:hAnsi="楷体_GB2312" w:eastAsia="楷体_GB2312" w:cs="楷体_GB2312"/>
          <w:b/>
          <w:sz w:val="28"/>
          <w:szCs w:val="28"/>
          <w:lang w:val="en-US" w:eastAsia="zh-CN"/>
        </w:rPr>
      </w:pPr>
      <w:r>
        <w:rPr>
          <w:rFonts w:hint="default" w:ascii="楷体_GB2312" w:hAnsi="楷体_GB2312" w:eastAsia="楷体_GB2312" w:cs="楷体_GB2312"/>
          <w:b/>
          <w:sz w:val="28"/>
          <w:szCs w:val="28"/>
        </w:rPr>
        <w:t xml:space="preserve">3.</w:t>
      </w:r>
      <w:r>
        <w:rPr>
          <w:rFonts w:hint="default" w:ascii="楷体_GB2312" w:hAnsi="楷体_GB2312" w:eastAsia="楷体_GB2312" w:cs="楷体_GB2312"/>
          <w:b/>
          <w:sz w:val="28"/>
          <w:szCs w:val="28"/>
          <w:lang w:val="en-US" w:eastAsia="zh-CN"/>
        </w:rPr>
        <w:t xml:space="preserve">6报价明细表（格式自拟）</w:t>
      </w:r>
      <w:r/>
    </w:p>
    <w:p>
      <w:pPr>
        <w:ind w:left="0" w:right="0"/>
        <w:jc w:val="left"/>
        <w:pageBreakBefore w:val="0"/>
        <w:widowControl/>
        <w:rPr>
          <w:rFonts w:hint="default" w:ascii="Times New Roman" w:hAnsi="Times New Roman" w:cs="Times New Roman" w:eastAsiaTheme="minorEastAsia"/>
          <w:b/>
          <w:color w:val="auto"/>
          <w:sz w:val="28"/>
          <w:szCs w:val="28"/>
          <w:highlight w:val="none"/>
          <w:lang w:val="en-US" w:eastAsia="zh-CN"/>
        </w:rPr>
      </w:pPr>
      <w:r>
        <w:rPr>
          <w:rFonts w:hint="default" w:ascii="Times New Roman" w:hAnsi="Times New Roman" w:cs="Times New Roman" w:eastAsiaTheme="minorEastAsia"/>
          <w:b/>
          <w:color w:val="auto"/>
          <w:sz w:val="28"/>
          <w:szCs w:val="28"/>
          <w:highlight w:val="none"/>
          <w:lang w:val="en-US" w:eastAsia="zh-CN"/>
        </w:rPr>
      </w:r>
      <w:r/>
    </w:p>
    <w:p>
      <w:pPr>
        <w:ind w:left="0" w:right="0"/>
        <w:jc w:val="left"/>
        <w:pageBreakBefore w:val="0"/>
        <w:widowControl/>
        <w:rPr>
          <w:rFonts w:hint="default" w:ascii="Times New Roman" w:hAnsi="Times New Roman" w:cs="Times New Roman" w:eastAsiaTheme="minorEastAsia"/>
          <w:b/>
          <w:color w:val="auto"/>
          <w:sz w:val="28"/>
          <w:szCs w:val="28"/>
          <w:highlight w:val="none"/>
          <w:lang w:val="en-US" w:eastAsia="zh-CN"/>
        </w:rPr>
      </w:pPr>
      <w:r>
        <w:rPr>
          <w:rFonts w:hint="default" w:ascii="Times New Roman" w:hAnsi="Times New Roman" w:cs="Times New Roman" w:eastAsiaTheme="minorEastAsia"/>
          <w:b/>
          <w:color w:val="auto"/>
          <w:sz w:val="28"/>
          <w:szCs w:val="28"/>
          <w:highlight w:val="none"/>
          <w:lang w:val="en-US" w:eastAsia="zh-CN"/>
        </w:rPr>
      </w:r>
      <w:r/>
    </w:p>
    <w:p>
      <w:pPr>
        <w:ind w:left="0" w:right="0"/>
        <w:jc w:val="left"/>
        <w:pageBreakBefore w:val="0"/>
        <w:widowControl/>
        <w:rPr>
          <w:rFonts w:hint="default" w:ascii="楷体_GB2312" w:hAnsi="楷体_GB2312" w:eastAsia="楷体_GB2312" w:cs="楷体_GB2312"/>
          <w:b/>
          <w:sz w:val="28"/>
          <w:szCs w:val="28"/>
          <w:lang w:val="en-US" w:eastAsia="zh-CN"/>
        </w:rPr>
      </w:pPr>
      <w:r>
        <w:rPr>
          <w:rFonts w:hint="default" w:ascii="楷体_GB2312" w:hAnsi="楷体_GB2312" w:eastAsia="楷体_GB2312" w:cs="楷体_GB2312"/>
          <w:b/>
          <w:sz w:val="28"/>
          <w:szCs w:val="28"/>
          <w:lang w:val="en-US" w:eastAsia="zh-CN"/>
        </w:rPr>
      </w:r>
      <w:r/>
    </w:p>
    <w:p>
      <w:pPr>
        <w:ind w:left="0" w:right="0"/>
        <w:jc w:val="left"/>
        <w:pageBreakBefore w:val="0"/>
        <w:widowControl/>
        <w:rPr>
          <w:rFonts w:hint="default" w:ascii="楷体_GB2312" w:hAnsi="楷体_GB2312" w:eastAsia="楷体_GB2312" w:cs="楷体_GB2312"/>
          <w:b/>
          <w:sz w:val="28"/>
          <w:szCs w:val="28"/>
        </w:rPr>
      </w:pPr>
      <w:r>
        <w:rPr>
          <w:rFonts w:hint="default" w:ascii="楷体_GB2312" w:hAnsi="楷体_GB2312" w:eastAsia="楷体_GB2312" w:cs="楷体_GB2312"/>
          <w:b/>
          <w:sz w:val="28"/>
          <w:szCs w:val="28"/>
          <w:lang w:val="en-US" w:eastAsia="zh-CN"/>
        </w:rPr>
        <w:t xml:space="preserve">3.7</w:t>
      </w:r>
      <w:r>
        <w:rPr>
          <w:rFonts w:hint="default" w:ascii="楷体_GB2312" w:hAnsi="楷体_GB2312" w:eastAsia="楷体_GB2312" w:cs="楷体_GB2312"/>
          <w:b/>
          <w:sz w:val="28"/>
          <w:szCs w:val="28"/>
        </w:rPr>
        <w:t xml:space="preserve">供应商认为应列入响应文件的其他材料</w:t>
      </w:r>
      <w:r/>
    </w:p>
    <w:sectPr>
      <w:footerReference w:type="default" r:id="rId10"/>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仿宋">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fldChar w:fldCharType="begin"/>
    </w:r>
    <w:r>
      <w:instrText xml:space="preserve"> PAGE   \* MERGEFORMAT </w:instrText>
    </w:r>
    <w:r>
      <w:fldChar w:fldCharType="separate"/>
    </w:r>
    <w:r>
      <w:t xml:space="preserve">3</w:t>
    </w:r>
    <w:r>
      <w:fldChar w:fldCharType="end"/>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360" w:leader="none"/>
        </w:tabs>
      </w:pPr>
      <w:rPr>
        <w:rFonts w:ascii="Arial" w:hAnsi="Arial"/>
        <w:b/>
        <w:i w:val="0"/>
        <w:sz w:val="32"/>
      </w:rPr>
    </w:lvl>
    <w:lvl w:ilvl="1">
      <w:start w:val="1"/>
      <w:numFmt w:val="decimal"/>
      <w:isLgl w:val="false"/>
      <w:suff w:val="tab"/>
      <w:lvlText w:val="%1.%2."/>
      <w:lvlJc w:val="left"/>
      <w:pPr>
        <w:ind w:left="567" w:hanging="567"/>
        <w:tabs>
          <w:tab w:val="left" w:pos="720" w:leader="none"/>
        </w:tabs>
      </w:pPr>
      <w:rPr>
        <w:rFonts w:hint="eastAsia"/>
      </w:rPr>
    </w:lvl>
    <w:lvl w:ilvl="2">
      <w:start w:val="1"/>
      <w:numFmt w:val="decimal"/>
      <w:pStyle w:val="676"/>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0"/>
    <w:link w:val="631"/>
    <w:uiPriority w:val="9"/>
    <w:rPr>
      <w:rFonts w:ascii="Arial" w:hAnsi="Arial" w:eastAsia="Arial" w:cs="Arial"/>
      <w:sz w:val="40"/>
      <w:szCs w:val="40"/>
    </w:rPr>
  </w:style>
  <w:style w:type="character" w:styleId="15">
    <w:name w:val="Heading 2 Char"/>
    <w:basedOn w:val="640"/>
    <w:link w:val="632"/>
    <w:uiPriority w:val="9"/>
    <w:rPr>
      <w:rFonts w:ascii="Arial" w:hAnsi="Arial" w:eastAsia="Arial" w:cs="Arial"/>
      <w:sz w:val="34"/>
    </w:rPr>
  </w:style>
  <w:style w:type="character" w:styleId="17">
    <w:name w:val="Heading 3 Char"/>
    <w:basedOn w:val="640"/>
    <w:link w:val="633"/>
    <w:uiPriority w:val="9"/>
    <w:rPr>
      <w:rFonts w:ascii="Arial" w:hAnsi="Arial" w:eastAsia="Arial" w:cs="Arial"/>
      <w:sz w:val="30"/>
      <w:szCs w:val="30"/>
    </w:rPr>
  </w:style>
  <w:style w:type="character" w:styleId="19">
    <w:name w:val="Heading 4 Char"/>
    <w:basedOn w:val="640"/>
    <w:link w:val="634"/>
    <w:uiPriority w:val="9"/>
    <w:rPr>
      <w:rFonts w:ascii="Arial" w:hAnsi="Arial" w:eastAsia="Arial" w:cs="Arial"/>
      <w:b/>
      <w:bCs/>
      <w:sz w:val="26"/>
      <w:szCs w:val="26"/>
    </w:rPr>
  </w:style>
  <w:style w:type="character" w:styleId="21">
    <w:name w:val="Heading 5 Char"/>
    <w:basedOn w:val="640"/>
    <w:link w:val="635"/>
    <w:uiPriority w:val="9"/>
    <w:rPr>
      <w:rFonts w:ascii="Arial" w:hAnsi="Arial" w:eastAsia="Arial" w:cs="Arial"/>
      <w:b/>
      <w:bCs/>
      <w:sz w:val="24"/>
      <w:szCs w:val="24"/>
    </w:rPr>
  </w:style>
  <w:style w:type="character" w:styleId="23">
    <w:name w:val="Heading 6 Char"/>
    <w:basedOn w:val="640"/>
    <w:link w:val="636"/>
    <w:uiPriority w:val="9"/>
    <w:rPr>
      <w:rFonts w:ascii="Arial" w:hAnsi="Arial" w:eastAsia="Arial" w:cs="Arial"/>
      <w:b/>
      <w:bCs/>
      <w:sz w:val="22"/>
      <w:szCs w:val="22"/>
    </w:rPr>
  </w:style>
  <w:style w:type="character" w:styleId="25">
    <w:name w:val="Heading 7 Char"/>
    <w:basedOn w:val="640"/>
    <w:link w:val="637"/>
    <w:uiPriority w:val="9"/>
    <w:rPr>
      <w:rFonts w:ascii="Arial" w:hAnsi="Arial" w:eastAsia="Arial" w:cs="Arial"/>
      <w:b/>
      <w:bCs/>
      <w:i/>
      <w:iCs/>
      <w:sz w:val="22"/>
      <w:szCs w:val="22"/>
    </w:rPr>
  </w:style>
  <w:style w:type="character" w:styleId="27">
    <w:name w:val="Heading 8 Char"/>
    <w:basedOn w:val="640"/>
    <w:link w:val="638"/>
    <w:uiPriority w:val="9"/>
    <w:rPr>
      <w:rFonts w:ascii="Arial" w:hAnsi="Arial" w:eastAsia="Arial" w:cs="Arial"/>
      <w:i/>
      <w:iCs/>
      <w:sz w:val="22"/>
      <w:szCs w:val="22"/>
    </w:rPr>
  </w:style>
  <w:style w:type="character" w:styleId="29">
    <w:name w:val="Heading 9 Char"/>
    <w:basedOn w:val="640"/>
    <w:link w:val="639"/>
    <w:uiPriority w:val="9"/>
    <w:rPr>
      <w:rFonts w:ascii="Arial" w:hAnsi="Arial" w:eastAsia="Arial" w:cs="Arial"/>
      <w:i/>
      <w:iCs/>
      <w:sz w:val="21"/>
      <w:szCs w:val="21"/>
    </w:rPr>
  </w:style>
  <w:style w:type="character" w:styleId="34">
    <w:name w:val="Title Char"/>
    <w:basedOn w:val="640"/>
    <w:link w:val="665"/>
    <w:uiPriority w:val="10"/>
    <w:rPr>
      <w:sz w:val="48"/>
      <w:szCs w:val="48"/>
    </w:rPr>
  </w:style>
  <w:style w:type="character" w:styleId="36">
    <w:name w:val="Subtitle Char"/>
    <w:basedOn w:val="640"/>
    <w:link w:val="658"/>
    <w:uiPriority w:val="11"/>
    <w:rPr>
      <w:sz w:val="24"/>
      <w:szCs w:val="24"/>
    </w:rPr>
  </w:style>
  <w:style w:type="character" w:styleId="38">
    <w:name w:val="Quote Char"/>
    <w:link w:val="693"/>
    <w:uiPriority w:val="29"/>
    <w:rPr>
      <w:i/>
    </w:rPr>
  </w:style>
  <w:style w:type="character" w:styleId="40">
    <w:name w:val="Intense Quote Char"/>
    <w:link w:val="695"/>
    <w:uiPriority w:val="30"/>
    <w:rPr>
      <w:i/>
    </w:rPr>
  </w:style>
  <w:style w:type="character" w:styleId="42">
    <w:name w:val="Header Char"/>
    <w:basedOn w:val="640"/>
    <w:link w:val="655"/>
    <w:uiPriority w:val="99"/>
  </w:style>
  <w:style w:type="character" w:styleId="46">
    <w:name w:val="Caption Char"/>
    <w:basedOn w:val="644"/>
    <w:link w:val="654"/>
    <w:uiPriority w:val="99"/>
  </w:style>
  <w:style w:type="table" w:styleId="49">
    <w:name w:val="Plain Table 1"/>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9"/>
    <w:uiPriority w:val="99"/>
    <w:rPr>
      <w:sz w:val="18"/>
    </w:rPr>
  </w:style>
  <w:style w:type="character" w:styleId="178">
    <w:name w:val="Endnote Text Char"/>
    <w:link w:val="652"/>
    <w:uiPriority w:val="99"/>
    <w:rPr>
      <w:sz w:val="20"/>
    </w:rPr>
  </w:style>
  <w:style w:type="paragraph" w:styleId="189">
    <w:name w:val="TOC Heading"/>
    <w:uiPriority w:val="39"/>
    <w:unhideWhenUsed/>
  </w:style>
  <w:style w:type="paragraph" w:styleId="630" w:default="1">
    <w:name w:val="Normal"/>
    <w:next w:val="634"/>
    <w:uiPriority w:val="0"/>
    <w:qFormat/>
    <w:pPr>
      <w:jc w:val="both"/>
      <w:widowControl w:val="off"/>
    </w:pPr>
    <w:rPr>
      <w:rFonts w:ascii="Times New Roman" w:hAnsi="Times New Roman" w:eastAsia="宋体" w:cs="Times New Roman"/>
      <w:sz w:val="24"/>
      <w:szCs w:val="24"/>
      <w:lang w:val="en-US" w:eastAsia="zh-CN" w:bidi="ar-SA"/>
    </w:rPr>
  </w:style>
  <w:style w:type="paragraph" w:styleId="631">
    <w:name w:val="Heading 1"/>
    <w:basedOn w:val="630"/>
    <w:next w:val="630"/>
    <w:link w:val="680"/>
    <w:uiPriority w:val="0"/>
    <w:qFormat/>
    <w:pPr>
      <w:keepLines/>
      <w:keepNext/>
      <w:spacing w:before="480" w:after="200"/>
      <w:outlineLvl w:val="0"/>
    </w:pPr>
    <w:rPr>
      <w:rFonts w:ascii="Arial" w:hAnsi="Arial" w:eastAsia="Arial" w:cs="Arial"/>
      <w:sz w:val="40"/>
      <w:szCs w:val="40"/>
    </w:rPr>
  </w:style>
  <w:style w:type="paragraph" w:styleId="632">
    <w:name w:val="Heading 2"/>
    <w:basedOn w:val="630"/>
    <w:next w:val="642"/>
    <w:link w:val="681"/>
    <w:uiPriority w:val="9"/>
    <w:unhideWhenUsed/>
    <w:qFormat/>
    <w:pPr>
      <w:keepLines/>
      <w:keepNext/>
      <w:spacing w:before="360" w:after="200"/>
      <w:outlineLvl w:val="1"/>
    </w:pPr>
    <w:rPr>
      <w:rFonts w:ascii="Arial" w:hAnsi="Arial" w:eastAsia="Arial" w:cs="Arial"/>
      <w:sz w:val="34"/>
    </w:rPr>
  </w:style>
  <w:style w:type="paragraph" w:styleId="633">
    <w:name w:val="Heading 3"/>
    <w:basedOn w:val="630"/>
    <w:next w:val="630"/>
    <w:link w:val="682"/>
    <w:uiPriority w:val="9"/>
    <w:unhideWhenUsed/>
    <w:qFormat/>
    <w:pPr>
      <w:keepLines/>
      <w:keepNext/>
      <w:spacing w:before="320" w:after="200"/>
      <w:outlineLvl w:val="2"/>
    </w:pPr>
    <w:rPr>
      <w:rFonts w:ascii="Arial" w:hAnsi="Arial" w:eastAsia="Arial" w:cs="Arial"/>
      <w:sz w:val="30"/>
      <w:szCs w:val="30"/>
    </w:rPr>
  </w:style>
  <w:style w:type="paragraph" w:styleId="634">
    <w:name w:val="Heading 4"/>
    <w:basedOn w:val="630"/>
    <w:next w:val="630"/>
    <w:link w:val="683"/>
    <w:uiPriority w:val="9"/>
    <w:unhideWhenUsed/>
    <w:qFormat/>
    <w:pPr>
      <w:keepLines/>
      <w:keepNext/>
      <w:spacing w:before="320" w:after="200"/>
      <w:outlineLvl w:val="3"/>
    </w:pPr>
    <w:rPr>
      <w:rFonts w:ascii="Arial" w:hAnsi="Arial" w:eastAsia="Arial" w:cs="Arial"/>
      <w:b/>
      <w:bCs/>
      <w:sz w:val="26"/>
      <w:szCs w:val="26"/>
    </w:rPr>
  </w:style>
  <w:style w:type="paragraph" w:styleId="635">
    <w:name w:val="Heading 5"/>
    <w:basedOn w:val="630"/>
    <w:next w:val="630"/>
    <w:link w:val="684"/>
    <w:uiPriority w:val="9"/>
    <w:unhideWhenUsed/>
    <w:qFormat/>
    <w:pPr>
      <w:keepLines/>
      <w:keepNext/>
      <w:spacing w:before="320" w:after="200"/>
      <w:outlineLvl w:val="4"/>
    </w:pPr>
    <w:rPr>
      <w:rFonts w:ascii="Arial" w:hAnsi="Arial" w:eastAsia="Arial" w:cs="Arial"/>
      <w:b/>
      <w:bCs/>
    </w:rPr>
  </w:style>
  <w:style w:type="paragraph" w:styleId="636">
    <w:name w:val="Heading 6"/>
    <w:basedOn w:val="630"/>
    <w:next w:val="630"/>
    <w:link w:val="685"/>
    <w:uiPriority w:val="9"/>
    <w:unhideWhenUsed/>
    <w:qFormat/>
    <w:pPr>
      <w:keepLines/>
      <w:keepNext/>
      <w:spacing w:before="320" w:after="200"/>
      <w:outlineLvl w:val="5"/>
    </w:pPr>
    <w:rPr>
      <w:rFonts w:ascii="Arial" w:hAnsi="Arial" w:eastAsia="Arial" w:cs="Arial"/>
      <w:b/>
      <w:bCs/>
      <w:sz w:val="22"/>
      <w:szCs w:val="22"/>
    </w:rPr>
  </w:style>
  <w:style w:type="paragraph" w:styleId="637">
    <w:name w:val="Heading 7"/>
    <w:basedOn w:val="630"/>
    <w:next w:val="630"/>
    <w:link w:val="686"/>
    <w:uiPriority w:val="9"/>
    <w:unhideWhenUsed/>
    <w:qFormat/>
    <w:pPr>
      <w:keepLines/>
      <w:keepNext/>
      <w:spacing w:before="320" w:after="200"/>
      <w:outlineLvl w:val="6"/>
    </w:pPr>
    <w:rPr>
      <w:rFonts w:ascii="Arial" w:hAnsi="Arial" w:eastAsia="Arial" w:cs="Arial"/>
      <w:b/>
      <w:bCs/>
      <w:i/>
      <w:iCs/>
      <w:sz w:val="22"/>
      <w:szCs w:val="22"/>
    </w:rPr>
  </w:style>
  <w:style w:type="paragraph" w:styleId="638">
    <w:name w:val="Heading 8"/>
    <w:basedOn w:val="630"/>
    <w:next w:val="630"/>
    <w:link w:val="687"/>
    <w:uiPriority w:val="9"/>
    <w:unhideWhenUsed/>
    <w:qFormat/>
    <w:pPr>
      <w:keepLines/>
      <w:keepNext/>
      <w:spacing w:before="320" w:after="200"/>
      <w:outlineLvl w:val="7"/>
    </w:pPr>
    <w:rPr>
      <w:rFonts w:ascii="Arial" w:hAnsi="Arial" w:eastAsia="Arial" w:cs="Arial"/>
      <w:i/>
      <w:iCs/>
      <w:sz w:val="22"/>
      <w:szCs w:val="22"/>
    </w:rPr>
  </w:style>
  <w:style w:type="paragraph" w:styleId="639">
    <w:name w:val="Heading 9"/>
    <w:basedOn w:val="630"/>
    <w:next w:val="630"/>
    <w:link w:val="688"/>
    <w:uiPriority w:val="9"/>
    <w:unhideWhenUsed/>
    <w:qFormat/>
    <w:pPr>
      <w:keepLines/>
      <w:keepNext/>
      <w:spacing w:before="320" w:after="200"/>
      <w:outlineLvl w:val="8"/>
    </w:pPr>
    <w:rPr>
      <w:rFonts w:ascii="Arial" w:hAnsi="Arial" w:eastAsia="Arial" w:cs="Arial"/>
      <w:i/>
      <w:iCs/>
      <w:sz w:val="21"/>
      <w:szCs w:val="21"/>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Normal Indent"/>
    <w:basedOn w:val="630"/>
    <w:uiPriority w:val="0"/>
    <w:qFormat/>
    <w:pPr>
      <w:ind w:firstLine="420"/>
    </w:pPr>
    <w:rPr>
      <w:szCs w:val="21"/>
    </w:rPr>
  </w:style>
  <w:style w:type="paragraph" w:styleId="643">
    <w:name w:val="toc 7"/>
    <w:basedOn w:val="630"/>
    <w:next w:val="630"/>
    <w:uiPriority w:val="39"/>
    <w:unhideWhenUsed/>
    <w:qFormat/>
    <w:pPr>
      <w:ind w:left="1701"/>
      <w:spacing w:after="57"/>
    </w:pPr>
  </w:style>
  <w:style w:type="paragraph" w:styleId="644">
    <w:name w:val="Caption"/>
    <w:basedOn w:val="630"/>
    <w:next w:val="6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5">
    <w:name w:val="Document Map"/>
    <w:basedOn w:val="630"/>
    <w:uiPriority w:val="99"/>
    <w:semiHidden/>
    <w:qFormat/>
    <w:rPr>
      <w:rFonts w:ascii="宋体"/>
      <w:sz w:val="18"/>
      <w:szCs w:val="18"/>
    </w:rPr>
  </w:style>
  <w:style w:type="paragraph" w:styleId="646">
    <w:name w:val="annotation text"/>
    <w:basedOn w:val="630"/>
    <w:link w:val="860"/>
    <w:uiPriority w:val="99"/>
    <w:semiHidden/>
    <w:qFormat/>
    <w:pPr>
      <w:jc w:val="left"/>
    </w:pPr>
  </w:style>
  <w:style w:type="paragraph" w:styleId="647">
    <w:name w:val="Body Text"/>
    <w:basedOn w:val="630"/>
    <w:next w:val="648"/>
    <w:uiPriority w:val="99"/>
    <w:qFormat/>
    <w:pPr>
      <w:spacing w:after="120"/>
    </w:pPr>
  </w:style>
  <w:style w:type="paragraph" w:styleId="648">
    <w:name w:val="toc 2"/>
    <w:basedOn w:val="630"/>
    <w:next w:val="630"/>
    <w:uiPriority w:val="39"/>
    <w:unhideWhenUsed/>
    <w:qFormat/>
    <w:pPr>
      <w:ind w:left="283"/>
      <w:spacing w:after="57"/>
    </w:pPr>
  </w:style>
  <w:style w:type="paragraph" w:styleId="649">
    <w:name w:val="toc 5"/>
    <w:basedOn w:val="630"/>
    <w:next w:val="630"/>
    <w:uiPriority w:val="39"/>
    <w:unhideWhenUsed/>
    <w:qFormat/>
    <w:pPr>
      <w:ind w:left="1134"/>
      <w:spacing w:after="57"/>
    </w:pPr>
  </w:style>
  <w:style w:type="paragraph" w:styleId="650">
    <w:name w:val="toc 3"/>
    <w:basedOn w:val="630"/>
    <w:next w:val="630"/>
    <w:uiPriority w:val="39"/>
    <w:unhideWhenUsed/>
    <w:qFormat/>
    <w:pPr>
      <w:ind w:left="567"/>
      <w:spacing w:after="57"/>
    </w:pPr>
  </w:style>
  <w:style w:type="paragraph" w:styleId="651">
    <w:name w:val="toc 8"/>
    <w:basedOn w:val="630"/>
    <w:next w:val="630"/>
    <w:uiPriority w:val="39"/>
    <w:unhideWhenUsed/>
    <w:qFormat/>
    <w:pPr>
      <w:ind w:left="1984"/>
      <w:spacing w:after="57"/>
    </w:pPr>
  </w:style>
  <w:style w:type="paragraph" w:styleId="652">
    <w:name w:val="endnote text"/>
    <w:basedOn w:val="630"/>
    <w:link w:val="826"/>
    <w:uiPriority w:val="99"/>
    <w:semiHidden/>
    <w:unhideWhenUsed/>
    <w:qFormat/>
    <w:rPr>
      <w:sz w:val="20"/>
    </w:rPr>
  </w:style>
  <w:style w:type="paragraph" w:styleId="653">
    <w:name w:val="Balloon Text"/>
    <w:basedOn w:val="630"/>
    <w:link w:val="859"/>
    <w:uiPriority w:val="99"/>
    <w:semiHidden/>
    <w:unhideWhenUsed/>
    <w:qFormat/>
    <w:rPr>
      <w:sz w:val="18"/>
      <w:szCs w:val="18"/>
    </w:rPr>
  </w:style>
  <w:style w:type="paragraph" w:styleId="654">
    <w:name w:val="Footer"/>
    <w:basedOn w:val="630"/>
    <w:link w:val="699"/>
    <w:uiPriority w:val="99"/>
    <w:unhideWhenUsed/>
    <w:qFormat/>
    <w:pPr>
      <w:tabs>
        <w:tab w:val="center" w:pos="7143" w:leader="none"/>
        <w:tab w:val="right" w:pos="14287" w:leader="none"/>
      </w:tabs>
    </w:pPr>
  </w:style>
  <w:style w:type="paragraph" w:styleId="655">
    <w:name w:val="Header"/>
    <w:basedOn w:val="630"/>
    <w:link w:val="697"/>
    <w:uiPriority w:val="99"/>
    <w:unhideWhenUsed/>
    <w:qFormat/>
    <w:pPr>
      <w:tabs>
        <w:tab w:val="center" w:pos="7143" w:leader="none"/>
        <w:tab w:val="right" w:pos="14287" w:leader="none"/>
      </w:tabs>
    </w:pPr>
  </w:style>
  <w:style w:type="paragraph" w:styleId="656">
    <w:name w:val="toc 1"/>
    <w:basedOn w:val="630"/>
    <w:next w:val="630"/>
    <w:uiPriority w:val="39"/>
    <w:unhideWhenUsed/>
    <w:qFormat/>
    <w:pPr>
      <w:spacing w:after="57"/>
    </w:pPr>
  </w:style>
  <w:style w:type="paragraph" w:styleId="657">
    <w:name w:val="toc 4"/>
    <w:basedOn w:val="630"/>
    <w:next w:val="630"/>
    <w:uiPriority w:val="39"/>
    <w:unhideWhenUsed/>
    <w:qFormat/>
    <w:pPr>
      <w:ind w:left="850"/>
      <w:spacing w:after="57"/>
    </w:pPr>
  </w:style>
  <w:style w:type="paragraph" w:styleId="658">
    <w:name w:val="Subtitle"/>
    <w:basedOn w:val="630"/>
    <w:next w:val="630"/>
    <w:link w:val="692"/>
    <w:uiPriority w:val="11"/>
    <w:qFormat/>
    <w:pPr>
      <w:spacing w:before="200" w:after="200"/>
    </w:pPr>
  </w:style>
  <w:style w:type="paragraph" w:styleId="659">
    <w:name w:val="footnote text"/>
    <w:basedOn w:val="630"/>
    <w:link w:val="825"/>
    <w:uiPriority w:val="99"/>
    <w:semiHidden/>
    <w:unhideWhenUsed/>
    <w:qFormat/>
    <w:pPr>
      <w:spacing w:after="40"/>
    </w:pPr>
    <w:rPr>
      <w:sz w:val="18"/>
    </w:rPr>
  </w:style>
  <w:style w:type="paragraph" w:styleId="660">
    <w:name w:val="toc 6"/>
    <w:basedOn w:val="630"/>
    <w:next w:val="630"/>
    <w:uiPriority w:val="39"/>
    <w:unhideWhenUsed/>
    <w:qFormat/>
    <w:pPr>
      <w:ind w:left="1417"/>
      <w:spacing w:after="57"/>
    </w:pPr>
  </w:style>
  <w:style w:type="paragraph" w:styleId="661">
    <w:name w:val="index 9"/>
    <w:basedOn w:val="630"/>
    <w:next w:val="630"/>
    <w:uiPriority w:val="99"/>
    <w:semiHidden/>
    <w:unhideWhenUsed/>
    <w:qFormat/>
    <w:pPr>
      <w:ind w:left="1600"/>
    </w:pPr>
  </w:style>
  <w:style w:type="paragraph" w:styleId="662">
    <w:name w:val="table of figures"/>
    <w:basedOn w:val="630"/>
    <w:next w:val="630"/>
    <w:uiPriority w:val="99"/>
    <w:unhideWhenUsed/>
    <w:qFormat/>
  </w:style>
  <w:style w:type="paragraph" w:styleId="663">
    <w:name w:val="toc 9"/>
    <w:basedOn w:val="630"/>
    <w:next w:val="630"/>
    <w:uiPriority w:val="39"/>
    <w:unhideWhenUsed/>
    <w:qFormat/>
    <w:pPr>
      <w:ind w:left="2268"/>
      <w:spacing w:after="57"/>
    </w:pPr>
  </w:style>
  <w:style w:type="paragraph" w:styleId="664">
    <w:name w:val="Normal (Web)"/>
    <w:basedOn w:val="630"/>
    <w:uiPriority w:val="99"/>
    <w:semiHidden/>
    <w:unhideWhenUsed/>
    <w:qFormat/>
    <w:pPr>
      <w:jc w:val="left"/>
    </w:pPr>
  </w:style>
  <w:style w:type="paragraph" w:styleId="665">
    <w:name w:val="Title"/>
    <w:basedOn w:val="630"/>
    <w:next w:val="630"/>
    <w:link w:val="691"/>
    <w:uiPriority w:val="10"/>
    <w:qFormat/>
    <w:pPr>
      <w:contextualSpacing/>
      <w:spacing w:before="300" w:after="200"/>
    </w:pPr>
    <w:rPr>
      <w:sz w:val="48"/>
      <w:szCs w:val="48"/>
    </w:rPr>
  </w:style>
  <w:style w:type="paragraph" w:styleId="666">
    <w:name w:val="annotation subject"/>
    <w:basedOn w:val="646"/>
    <w:next w:val="646"/>
    <w:link w:val="861"/>
    <w:uiPriority w:val="99"/>
    <w:semiHidden/>
    <w:unhideWhenUsed/>
    <w:qFormat/>
    <w:rPr>
      <w:b/>
      <w:bCs/>
    </w:rPr>
  </w:style>
  <w:style w:type="paragraph" w:styleId="667">
    <w:name w:val="Body Text First Indent"/>
    <w:basedOn w:val="647"/>
    <w:uiPriority w:val="0"/>
    <w:qFormat/>
    <w:pPr>
      <w:ind w:firstLine="200"/>
      <w:spacing w:line="360" w:lineRule="auto"/>
    </w:pPr>
    <w:rPr>
      <w:rFonts w:ascii="仿宋_GB2312" w:hAnsi="Arial" w:eastAsia="仿宋_GB2312"/>
      <w:sz w:val="30"/>
      <w:szCs w:val="30"/>
    </w:rPr>
  </w:style>
  <w:style w:type="table" w:styleId="668">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basedOn w:val="640"/>
    <w:uiPriority w:val="22"/>
    <w:qFormat/>
    <w:rPr>
      <w:b/>
    </w:rPr>
  </w:style>
  <w:style w:type="character" w:styleId="670">
    <w:name w:val="endnote reference"/>
    <w:uiPriority w:val="99"/>
    <w:semiHidden/>
    <w:unhideWhenUsed/>
    <w:qFormat/>
    <w:rPr>
      <w:vertAlign w:val="superscript"/>
    </w:rPr>
  </w:style>
  <w:style w:type="character" w:styleId="671">
    <w:name w:val="FollowedHyperlink"/>
    <w:basedOn w:val="640"/>
    <w:uiPriority w:val="99"/>
    <w:semiHidden/>
    <w:unhideWhenUsed/>
    <w:qFormat/>
    <w:rPr>
      <w:color w:val="333333"/>
      <w:u w:val="none"/>
    </w:rPr>
  </w:style>
  <w:style w:type="character" w:styleId="672">
    <w:name w:val="Emphasis"/>
    <w:basedOn w:val="640"/>
    <w:uiPriority w:val="20"/>
    <w:qFormat/>
    <w:rPr>
      <w:i/>
    </w:rPr>
  </w:style>
  <w:style w:type="character" w:styleId="673">
    <w:name w:val="Hyperlink"/>
    <w:uiPriority w:val="99"/>
    <w:unhideWhenUsed/>
    <w:qFormat/>
    <w:rPr>
      <w:color w:val="0000ff" w:themeColor="hyperlink"/>
      <w:u w:val="single"/>
      <w14:textFill>
        <w14:solidFill>
          <w14:schemeClr w14:val="hlink"/>
        </w14:solidFill>
      </w14:textFill>
    </w:rPr>
  </w:style>
  <w:style w:type="character" w:styleId="674">
    <w:name w:val="annotation reference"/>
    <w:basedOn w:val="640"/>
    <w:uiPriority w:val="99"/>
    <w:semiHidden/>
    <w:unhideWhenUsed/>
    <w:qFormat/>
    <w:rPr>
      <w:sz w:val="21"/>
      <w:szCs w:val="21"/>
    </w:rPr>
  </w:style>
  <w:style w:type="character" w:styleId="675">
    <w:name w:val="footnote reference"/>
    <w:uiPriority w:val="99"/>
    <w:unhideWhenUsed/>
    <w:qFormat/>
    <w:rPr>
      <w:vertAlign w:val="superscript"/>
    </w:rPr>
  </w:style>
  <w:style w:type="paragraph" w:styleId="676" w:customStyle="1">
    <w:name w:val="标题 31"/>
    <w:basedOn w:val="630"/>
    <w:next w:val="630"/>
    <w:uiPriority w:val="0"/>
    <w:qFormat/>
    <w:pPr>
      <w:numPr>
        <w:ilvl w:val="2"/>
        <w:numId w:val="1"/>
      </w:numPr>
      <w:spacing w:line="300" w:lineRule="auto"/>
      <w:outlineLvl w:val="2"/>
    </w:pPr>
    <w:rPr>
      <w:b/>
      <w:color w:val="000000"/>
      <w:sz w:val="28"/>
    </w:rPr>
  </w:style>
  <w:style w:type="paragraph" w:styleId="677" w:customStyle="1">
    <w:name w:val="正文文本1"/>
    <w:basedOn w:val="630"/>
    <w:uiPriority w:val="0"/>
    <w:qFormat/>
    <w:pPr>
      <w:spacing w:after="120"/>
    </w:pPr>
  </w:style>
  <w:style w:type="paragraph" w:styleId="678" w:customStyle="1">
    <w:name w:val="正文首行缩进 21"/>
    <w:basedOn w:val="679"/>
    <w:uiPriority w:val="0"/>
    <w:unhideWhenUsed/>
    <w:qFormat/>
    <w:pPr>
      <w:ind w:left="0" w:firstLine="420"/>
      <w:spacing w:after="0" w:line="360" w:lineRule="auto"/>
    </w:pPr>
    <w:rPr>
      <w:rFonts w:ascii="宋体" w:hAnsi="宋体"/>
      <w:szCs w:val="20"/>
    </w:rPr>
  </w:style>
  <w:style w:type="paragraph" w:styleId="679" w:customStyle="1">
    <w:name w:val="正文文本缩进11"/>
    <w:basedOn w:val="630"/>
    <w:uiPriority w:val="99"/>
    <w:unhideWhenUsed/>
    <w:qFormat/>
    <w:pPr>
      <w:ind w:left="420"/>
      <w:spacing w:after="120"/>
    </w:pPr>
  </w:style>
  <w:style w:type="character" w:styleId="680" w:customStyle="1">
    <w:name w:val="标题 1 字符"/>
    <w:link w:val="631"/>
    <w:uiPriority w:val="0"/>
    <w:qFormat/>
    <w:rPr>
      <w:rFonts w:ascii="Arial" w:hAnsi="Arial" w:eastAsia="Arial" w:cs="Arial"/>
      <w:sz w:val="40"/>
      <w:szCs w:val="40"/>
    </w:rPr>
  </w:style>
  <w:style w:type="character" w:styleId="681" w:customStyle="1">
    <w:name w:val="标题 2 字符"/>
    <w:link w:val="632"/>
    <w:uiPriority w:val="9"/>
    <w:qFormat/>
    <w:rPr>
      <w:rFonts w:ascii="Arial" w:hAnsi="Arial" w:eastAsia="Arial" w:cs="Arial"/>
      <w:sz w:val="34"/>
    </w:rPr>
  </w:style>
  <w:style w:type="character" w:styleId="682" w:customStyle="1">
    <w:name w:val="标题 3 字符"/>
    <w:link w:val="633"/>
    <w:uiPriority w:val="9"/>
    <w:qFormat/>
    <w:rPr>
      <w:rFonts w:ascii="Arial" w:hAnsi="Arial" w:eastAsia="Arial" w:cs="Arial"/>
      <w:sz w:val="30"/>
      <w:szCs w:val="30"/>
    </w:rPr>
  </w:style>
  <w:style w:type="character" w:styleId="683" w:customStyle="1">
    <w:name w:val="标题 4 字符"/>
    <w:link w:val="634"/>
    <w:uiPriority w:val="9"/>
    <w:qFormat/>
    <w:rPr>
      <w:rFonts w:ascii="Arial" w:hAnsi="Arial" w:eastAsia="Arial" w:cs="Arial"/>
      <w:b/>
      <w:bCs/>
      <w:sz w:val="26"/>
      <w:szCs w:val="26"/>
    </w:rPr>
  </w:style>
  <w:style w:type="character" w:styleId="684" w:customStyle="1">
    <w:name w:val="标题 5 字符"/>
    <w:link w:val="635"/>
    <w:uiPriority w:val="9"/>
    <w:qFormat/>
    <w:rPr>
      <w:rFonts w:ascii="Arial" w:hAnsi="Arial" w:eastAsia="Arial" w:cs="Arial"/>
      <w:b/>
      <w:bCs/>
      <w:sz w:val="24"/>
      <w:szCs w:val="24"/>
    </w:rPr>
  </w:style>
  <w:style w:type="character" w:styleId="685" w:customStyle="1">
    <w:name w:val="标题 6 字符"/>
    <w:link w:val="636"/>
    <w:uiPriority w:val="9"/>
    <w:qFormat/>
    <w:rPr>
      <w:rFonts w:ascii="Arial" w:hAnsi="Arial" w:eastAsia="Arial" w:cs="Arial"/>
      <w:b/>
      <w:bCs/>
      <w:sz w:val="22"/>
      <w:szCs w:val="22"/>
    </w:rPr>
  </w:style>
  <w:style w:type="character" w:styleId="686" w:customStyle="1">
    <w:name w:val="标题 7 字符"/>
    <w:link w:val="637"/>
    <w:uiPriority w:val="9"/>
    <w:qFormat/>
    <w:rPr>
      <w:rFonts w:ascii="Arial" w:hAnsi="Arial" w:eastAsia="Arial" w:cs="Arial"/>
      <w:b/>
      <w:bCs/>
      <w:i/>
      <w:iCs/>
      <w:sz w:val="22"/>
      <w:szCs w:val="22"/>
    </w:rPr>
  </w:style>
  <w:style w:type="character" w:styleId="687" w:customStyle="1">
    <w:name w:val="标题 8 字符"/>
    <w:link w:val="638"/>
    <w:uiPriority w:val="9"/>
    <w:qFormat/>
    <w:rPr>
      <w:rFonts w:ascii="Arial" w:hAnsi="Arial" w:eastAsia="Arial" w:cs="Arial"/>
      <w:i/>
      <w:iCs/>
      <w:sz w:val="22"/>
      <w:szCs w:val="22"/>
    </w:rPr>
  </w:style>
  <w:style w:type="character" w:styleId="688" w:customStyle="1">
    <w:name w:val="标题 9 字符"/>
    <w:link w:val="639"/>
    <w:uiPriority w:val="9"/>
    <w:qFormat/>
    <w:rPr>
      <w:rFonts w:ascii="Arial" w:hAnsi="Arial" w:eastAsia="Arial" w:cs="Arial"/>
      <w:i/>
      <w:iCs/>
      <w:sz w:val="21"/>
      <w:szCs w:val="21"/>
    </w:rPr>
  </w:style>
  <w:style w:type="paragraph" w:styleId="689">
    <w:name w:val="List Paragraph"/>
    <w:basedOn w:val="630"/>
    <w:uiPriority w:val="34"/>
    <w:qFormat/>
    <w:pPr>
      <w:contextualSpacing/>
      <w:ind w:left="720"/>
    </w:pPr>
  </w:style>
  <w:style w:type="paragraph" w:styleId="690">
    <w:name w:val="No Spacing"/>
    <w:uiPriority w:val="1"/>
    <w:qFormat/>
    <w:rPr>
      <w:rFonts w:ascii="Calibri" w:hAnsi="Calibri" w:eastAsia="宋体" w:cs="Times New Roman"/>
      <w:lang w:val="en-US" w:eastAsia="zh-CN" w:bidi="ar-SA"/>
    </w:rPr>
  </w:style>
  <w:style w:type="character" w:styleId="691" w:customStyle="1">
    <w:name w:val="标题 字符"/>
    <w:link w:val="665"/>
    <w:uiPriority w:val="10"/>
    <w:qFormat/>
    <w:rPr>
      <w:sz w:val="48"/>
      <w:szCs w:val="48"/>
    </w:rPr>
  </w:style>
  <w:style w:type="character" w:styleId="692" w:customStyle="1">
    <w:name w:val="副标题 字符"/>
    <w:link w:val="658"/>
    <w:uiPriority w:val="11"/>
    <w:qFormat/>
    <w:rPr>
      <w:sz w:val="24"/>
      <w:szCs w:val="24"/>
    </w:rPr>
  </w:style>
  <w:style w:type="paragraph" w:styleId="693">
    <w:name w:val="Quote"/>
    <w:basedOn w:val="630"/>
    <w:next w:val="630"/>
    <w:link w:val="694"/>
    <w:uiPriority w:val="29"/>
    <w:qFormat/>
    <w:pPr>
      <w:ind w:left="720" w:right="720"/>
    </w:pPr>
    <w:rPr>
      <w:i/>
    </w:rPr>
  </w:style>
  <w:style w:type="character" w:styleId="694" w:customStyle="1">
    <w:name w:val="引用 字符"/>
    <w:link w:val="693"/>
    <w:uiPriority w:val="29"/>
    <w:qFormat/>
    <w:rPr>
      <w:i/>
    </w:rPr>
  </w:style>
  <w:style w:type="paragraph" w:styleId="695">
    <w:name w:val="Intense Quote"/>
    <w:basedOn w:val="630"/>
    <w:next w:val="630"/>
    <w:link w:val="6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明显引用 字符"/>
    <w:link w:val="695"/>
    <w:uiPriority w:val="30"/>
    <w:qFormat/>
    <w:rPr>
      <w:i/>
    </w:rPr>
  </w:style>
  <w:style w:type="character" w:styleId="697" w:customStyle="1">
    <w:name w:val="页眉 字符"/>
    <w:link w:val="655"/>
    <w:uiPriority w:val="99"/>
    <w:qFormat/>
  </w:style>
  <w:style w:type="character" w:styleId="698" w:customStyle="1">
    <w:name w:val="Footer Char"/>
    <w:uiPriority w:val="99"/>
    <w:qFormat/>
  </w:style>
  <w:style w:type="character" w:styleId="699" w:customStyle="1">
    <w:name w:val="页脚 字符"/>
    <w:link w:val="654"/>
    <w:uiPriority w:val="99"/>
    <w:qFormat/>
  </w:style>
  <w:style w:type="table" w:styleId="7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5" w:customStyle="1">
    <w:name w:val="脚注文本 字符"/>
    <w:link w:val="659"/>
    <w:uiPriority w:val="99"/>
    <w:qFormat/>
    <w:rPr>
      <w:sz w:val="18"/>
    </w:rPr>
  </w:style>
  <w:style w:type="character" w:styleId="826" w:customStyle="1">
    <w:name w:val="尾注文本 字符"/>
    <w:link w:val="652"/>
    <w:uiPriority w:val="99"/>
    <w:qFormat/>
    <w:rPr>
      <w:sz w:val="20"/>
    </w:rPr>
  </w:style>
  <w:style w:type="paragraph" w:styleId="827" w:customStyle="1">
    <w:name w:val="TOC 标题1"/>
    <w:uiPriority w:val="39"/>
    <w:unhideWhenUsed/>
    <w:qFormat/>
    <w:rPr>
      <w:rFonts w:ascii="Calibri" w:hAnsi="Calibri" w:eastAsia="宋体" w:cs="Times New Roman"/>
      <w:lang w:val="en-US" w:eastAsia="zh-CN" w:bidi="ar-SA"/>
    </w:rPr>
  </w:style>
  <w:style w:type="paragraph" w:styleId="828" w:customStyle="1">
    <w:name w:val="标题 11"/>
    <w:basedOn w:val="630"/>
    <w:next w:val="630"/>
    <w:link w:val="847"/>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29" w:customStyle="1">
    <w:name w:val="默认段落字体1"/>
    <w:uiPriority w:val="1"/>
    <w:semiHidden/>
    <w:unhideWhenUsed/>
    <w:qFormat/>
  </w:style>
  <w:style w:type="table" w:styleId="830" w:customStyle="1">
    <w:name w:val="普通表格1"/>
    <w:uiPriority w:val="99"/>
    <w:semiHidden/>
    <w:unhideWhenUsed/>
    <w:qFormat/>
    <w:tblPr>
      <w:tblCellMar>
        <w:left w:w="0" w:type="dxa"/>
        <w:top w:w="0" w:type="dxa"/>
        <w:right w:w="0" w:type="dxa"/>
        <w:bottom w:w="0" w:type="dxa"/>
      </w:tblCellMar>
    </w:tblPr>
  </w:style>
  <w:style w:type="paragraph" w:styleId="831" w:customStyle="1">
    <w:name w:val="文档结构图1"/>
    <w:basedOn w:val="630"/>
    <w:uiPriority w:val="99"/>
    <w:semiHidden/>
    <w:qFormat/>
    <w:pPr>
      <w:shd w:val="clear" w:color="auto" w:fill="000080"/>
    </w:pPr>
    <w:rPr>
      <w:rFonts w:ascii="Calibri" w:hAnsi="Calibri"/>
      <w:szCs w:val="20"/>
    </w:rPr>
  </w:style>
  <w:style w:type="paragraph" w:styleId="832" w:customStyle="1">
    <w:name w:val="批注文字1"/>
    <w:basedOn w:val="630"/>
    <w:uiPriority w:val="99"/>
    <w:semiHidden/>
    <w:qFormat/>
    <w:pPr>
      <w:jc w:val="left"/>
    </w:pPr>
    <w:rPr>
      <w:rFonts w:ascii="Calibri" w:hAnsi="Calibri"/>
      <w:szCs w:val="20"/>
    </w:rPr>
  </w:style>
  <w:style w:type="paragraph" w:styleId="833" w:customStyle="1">
    <w:name w:val="目录 51"/>
    <w:basedOn w:val="630"/>
    <w:next w:val="630"/>
    <w:uiPriority w:val="99"/>
    <w:qFormat/>
    <w:pPr>
      <w:ind w:left="800"/>
    </w:pPr>
    <w:rPr>
      <w:rFonts w:ascii="Calibri" w:hAnsi="Calibri"/>
      <w:szCs w:val="22"/>
    </w:rPr>
  </w:style>
  <w:style w:type="paragraph" w:styleId="834" w:customStyle="1">
    <w:name w:val="页脚1"/>
    <w:basedOn w:val="630"/>
    <w:uiPriority w:val="0"/>
    <w:qFormat/>
    <w:pPr>
      <w:jc w:val="left"/>
      <w:tabs>
        <w:tab w:val="center" w:pos="4153" w:leader="none"/>
        <w:tab w:val="right" w:pos="8306" w:leader="none"/>
      </w:tabs>
    </w:pPr>
    <w:rPr>
      <w:sz w:val="18"/>
      <w:szCs w:val="18"/>
    </w:rPr>
  </w:style>
  <w:style w:type="paragraph" w:styleId="835" w:customStyle="1">
    <w:name w:val="页眉1"/>
    <w:basedOn w:val="630"/>
    <w:link w:val="853"/>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36" w:customStyle="1">
    <w:name w:val="正文文本缩进 31"/>
    <w:basedOn w:val="630"/>
    <w:uiPriority w:val="99"/>
    <w:qFormat/>
    <w:pPr>
      <w:ind w:left="645" w:firstLine="645"/>
    </w:pPr>
    <w:rPr>
      <w:rFonts w:ascii="Arial" w:hAnsi="Arial" w:eastAsia="仿宋_GB2312"/>
      <w:color w:val="ffff00"/>
      <w:sz w:val="32"/>
      <w:szCs w:val="20"/>
    </w:rPr>
  </w:style>
  <w:style w:type="paragraph" w:styleId="837" w:customStyle="1">
    <w:name w:val="普通(网站)1"/>
    <w:basedOn w:val="630"/>
    <w:uiPriority w:val="99"/>
    <w:unhideWhenUsed/>
    <w:qFormat/>
    <w:pPr>
      <w:jc w:val="left"/>
      <w:spacing w:beforeAutospacing="1" w:afterAutospacing="1"/>
    </w:pPr>
  </w:style>
  <w:style w:type="paragraph" w:styleId="838"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39" w:customStyle="1">
    <w:name w:val="WPS Plain"/>
    <w:uiPriority w:val="0"/>
    <w:qFormat/>
    <w:rPr>
      <w:rFonts w:ascii="Times New Roman" w:hAnsi="Times New Roman" w:eastAsia="宋体" w:cs="Times New Roman"/>
      <w:lang w:val="en-US" w:eastAsia="zh-CN" w:bidi="ar-SA"/>
    </w:rPr>
  </w:style>
  <w:style w:type="paragraph" w:styleId="840" w:customStyle="1">
    <w:name w:val="样式 样式 正文缩进四号ALT+Z段1 Char Char Char段1 Char Char标题4body text鋘d... ...1"/>
    <w:basedOn w:val="630"/>
    <w:uiPriority w:val="0"/>
    <w:qFormat/>
    <w:pPr>
      <w:ind w:firstLine="200"/>
    </w:pPr>
    <w:rPr>
      <w:rFonts w:ascii="宋体" w:hAnsi="宋体"/>
      <w:color w:val="000000"/>
      <w:sz w:val="21"/>
      <w:szCs w:val="20"/>
    </w:rPr>
  </w:style>
  <w:style w:type="paragraph" w:styleId="841" w:customStyle="1">
    <w:name w:val="Table Text"/>
    <w:basedOn w:val="630"/>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842" w:customStyle="1">
    <w:name w:val="列出段落1"/>
    <w:basedOn w:val="630"/>
    <w:uiPriority w:val="0"/>
    <w:qFormat/>
    <w:pPr>
      <w:ind w:firstLine="200"/>
    </w:pPr>
    <w:rPr>
      <w:rFonts w:eastAsia="Times New Roman"/>
    </w:rPr>
  </w:style>
  <w:style w:type="character" w:styleId="843" w:customStyle="1">
    <w:name w:val="font11"/>
    <w:uiPriority w:val="0"/>
    <w:qFormat/>
    <w:rPr>
      <w:rFonts w:hint="eastAsia" w:ascii="宋体" w:hAnsi="宋体" w:eastAsia="宋体" w:cs="宋体"/>
      <w:color w:val="000000"/>
      <w:sz w:val="22"/>
      <w:szCs w:val="22"/>
      <w:u w:val="none"/>
    </w:rPr>
  </w:style>
  <w:style w:type="paragraph" w:styleId="844" w:customStyle="1">
    <w:name w:val="目录 31"/>
    <w:basedOn w:val="630"/>
    <w:next w:val="630"/>
    <w:uiPriority w:val="0"/>
    <w:qFormat/>
    <w:pPr>
      <w:ind w:left="840"/>
    </w:pPr>
  </w:style>
  <w:style w:type="paragraph" w:styleId="845" w:customStyle="1">
    <w:name w:val="批注框文本1"/>
    <w:basedOn w:val="630"/>
    <w:link w:val="846"/>
    <w:uiPriority w:val="0"/>
    <w:qFormat/>
    <w:rPr>
      <w:sz w:val="18"/>
      <w:szCs w:val="18"/>
    </w:rPr>
  </w:style>
  <w:style w:type="character" w:styleId="846" w:customStyle="1">
    <w:name w:val="批注框文本 Char"/>
    <w:link w:val="845"/>
    <w:uiPriority w:val="0"/>
    <w:qFormat/>
    <w:rPr>
      <w:rFonts w:ascii="Times New Roman" w:hAnsi="Times New Roman"/>
      <w:sz w:val="18"/>
      <w:szCs w:val="18"/>
    </w:rPr>
  </w:style>
  <w:style w:type="character" w:styleId="847" w:customStyle="1">
    <w:name w:val="标题 1 Char"/>
    <w:link w:val="828"/>
    <w:uiPriority w:val="0"/>
    <w:qFormat/>
    <w:rPr>
      <w:rFonts w:ascii="宋体" w:hAnsi="宋体" w:eastAsia="Times New Roman" w:cs="宋体"/>
      <w:b/>
      <w:sz w:val="48"/>
    </w:rPr>
  </w:style>
  <w:style w:type="paragraph" w:styleId="848" w:customStyle="1">
    <w:name w:val="脚注文本1"/>
    <w:basedOn w:val="630"/>
    <w:link w:val="849"/>
    <w:uiPriority w:val="0"/>
    <w:unhideWhenUsed/>
    <w:qFormat/>
    <w:pPr>
      <w:jc w:val="left"/>
      <w:spacing w:line="360" w:lineRule="atLeast"/>
    </w:pPr>
    <w:rPr>
      <w:sz w:val="18"/>
      <w:szCs w:val="20"/>
    </w:rPr>
  </w:style>
  <w:style w:type="character" w:styleId="849" w:customStyle="1">
    <w:name w:val="脚注文本 Char"/>
    <w:link w:val="848"/>
    <w:uiPriority w:val="0"/>
    <w:qFormat/>
    <w:rPr>
      <w:rFonts w:ascii="Times New Roman" w:hAnsi="Times New Roman"/>
      <w:sz w:val="18"/>
    </w:rPr>
  </w:style>
  <w:style w:type="character" w:styleId="850" w:customStyle="1">
    <w:name w:val="脚注引用1"/>
    <w:uiPriority w:val="0"/>
    <w:unhideWhenUsed/>
    <w:qFormat/>
    <w:rPr>
      <w:vertAlign w:val="superscript"/>
    </w:rPr>
  </w:style>
  <w:style w:type="paragraph" w:styleId="851" w:customStyle="1">
    <w:name w:val="p0"/>
    <w:basedOn w:val="630"/>
    <w:uiPriority w:val="0"/>
    <w:qFormat/>
    <w:pPr>
      <w:spacing w:line="360" w:lineRule="atLeast"/>
      <w:widowControl/>
    </w:pPr>
    <w:rPr>
      <w:rFonts w:eastAsia="Times New Roman"/>
      <w:sz w:val="21"/>
      <w:szCs w:val="20"/>
    </w:rPr>
  </w:style>
  <w:style w:type="table" w:styleId="852" w:customStyle="1">
    <w:name w:val="网格型1"/>
    <w:basedOn w:val="830"/>
    <w:uiPriority w:val="0"/>
    <w:qFormat/>
    <w:pPr>
      <w:jc w:val="both"/>
      <w:widowControl w:val="off"/>
    </w:pPr>
    <w:rPr>
      <w:rFonts w:ascii="Calibri" w:hAnsi="Calibri"/>
    </w:rPr>
    <w:tblPr/>
  </w:style>
  <w:style w:type="character" w:styleId="853" w:customStyle="1">
    <w:name w:val="页眉 Char1"/>
    <w:link w:val="835"/>
    <w:uiPriority w:val="99"/>
    <w:qFormat/>
    <w:rPr>
      <w:sz w:val="18"/>
      <w:szCs w:val="18"/>
    </w:rPr>
  </w:style>
  <w:style w:type="character" w:styleId="854" w:customStyle="1">
    <w:name w:val="批注引用1"/>
    <w:uiPriority w:val="0"/>
    <w:qFormat/>
    <w:rPr>
      <w:sz w:val="21"/>
      <w:szCs w:val="21"/>
    </w:rPr>
  </w:style>
  <w:style w:type="character" w:styleId="855" w:customStyle="1">
    <w:name w:val="active16"/>
    <w:basedOn w:val="640"/>
    <w:uiPriority w:val="0"/>
    <w:qFormat/>
    <w:rPr>
      <w:color w:val="ffffff"/>
      <w:shd w:val="clear" w:color="auto" w:fill="0f5bb9"/>
    </w:rPr>
  </w:style>
  <w:style w:type="paragraph" w:styleId="856" w:customStyle="1">
    <w:name w:val="纯文本1"/>
    <w:basedOn w:val="630"/>
    <w:uiPriority w:val="0"/>
    <w:qFormat/>
    <w:rPr>
      <w:rFonts w:ascii="宋体" w:hAnsi="Courier New"/>
      <w:szCs w:val="20"/>
    </w:rPr>
  </w:style>
  <w:style w:type="paragraph" w:styleId="857" w:customStyle="1">
    <w:name w:val="Table Paragraph"/>
    <w:basedOn w:val="630"/>
    <w:uiPriority w:val="1"/>
    <w:qFormat/>
    <w:pPr>
      <w:jc w:val="left"/>
    </w:pPr>
    <w:rPr>
      <w:rFonts w:ascii="宋体" w:hAnsi="宋体" w:cs="宋体"/>
      <w:sz w:val="22"/>
      <w:szCs w:val="22"/>
      <w:lang w:val="zh-CN" w:bidi="zh-CN"/>
    </w:rPr>
  </w:style>
  <w:style w:type="paragraph" w:styleId="858" w:customStyle="1">
    <w:name w:val="Other|1"/>
    <w:basedOn w:val="630"/>
    <w:uiPriority w:val="0"/>
    <w:qFormat/>
    <w:pPr>
      <w:ind w:firstLine="400"/>
      <w:spacing w:line="480" w:lineRule="auto"/>
    </w:pPr>
    <w:rPr>
      <w:rFonts w:ascii="宋体" w:hAnsi="宋体" w:cs="宋体"/>
      <w:sz w:val="20"/>
      <w:szCs w:val="20"/>
      <w:lang w:val="zh-TW" w:eastAsia="zh-TW" w:bidi="zh-TW"/>
    </w:rPr>
  </w:style>
  <w:style w:type="character" w:styleId="859" w:customStyle="1">
    <w:name w:val="批注框文本 字符"/>
    <w:basedOn w:val="640"/>
    <w:link w:val="653"/>
    <w:uiPriority w:val="99"/>
    <w:semiHidden/>
    <w:qFormat/>
    <w:rPr>
      <w:sz w:val="18"/>
      <w:szCs w:val="18"/>
    </w:rPr>
  </w:style>
  <w:style w:type="character" w:styleId="860" w:customStyle="1">
    <w:name w:val="批注文字 字符"/>
    <w:basedOn w:val="640"/>
    <w:link w:val="646"/>
    <w:uiPriority w:val="99"/>
    <w:semiHidden/>
    <w:qFormat/>
    <w:rPr>
      <w:sz w:val="24"/>
      <w:szCs w:val="24"/>
    </w:rPr>
  </w:style>
  <w:style w:type="character" w:styleId="861" w:customStyle="1">
    <w:name w:val="批注主题 字符"/>
    <w:basedOn w:val="860"/>
    <w:link w:val="666"/>
    <w:uiPriority w:val="99"/>
    <w:semiHidden/>
    <w:qFormat/>
    <w:rPr>
      <w:b/>
      <w:bCs/>
      <w:sz w:val="24"/>
      <w:szCs w:val="24"/>
    </w:rPr>
  </w:style>
  <w:style w:type="table" w:styleId="862" w:customStyle="1">
    <w:name w:val="Table Normal"/>
    <w:uiPriority w:val="0"/>
    <w:semiHidden/>
    <w:unhideWhenUsed/>
    <w:qFormat/>
    <w:tblPr>
      <w:tblCellMar>
        <w:left w:w="0" w:type="dxa"/>
        <w:top w:w="0" w:type="dxa"/>
        <w:right w:w="0" w:type="dxa"/>
        <w:bottom w:w="0" w:type="dxa"/>
      </w:tblCellMar>
    </w:tblPr>
  </w:style>
  <w:style w:type="numbering" w:styleId="127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黄雪峰</cp:lastModifiedBy>
  <cp:revision>9</cp:revision>
  <dcterms:created xsi:type="dcterms:W3CDTF">2025-12-01T08:53:00Z</dcterms:created>
  <dcterms:modified xsi:type="dcterms:W3CDTF">2026-09-17T08:11:25Z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24B0E5FCB527474CABA1AF027BA7C8FB_13</vt:lpwstr>
  </property>
  <property fmtid="{D5CDD505-2E9C-101B-9397-08002B2CF9AE}" pid="4" name="KSOTemplateDocerSaveRecord">
    <vt:lpwstr>eyJoZGlkIjoiZGFmOTA5N2IxNmQ1YWY5MjI1YTlkYmVhY2NiMGJkN2QiLCJ1c2VySWQiOiI3OTE4MTIzMzQifQ==</vt:lpwstr>
  </property>
</Properties>
</file>