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191201">
      <w:pPr>
        <w:jc w:val="left"/>
        <w:rPr>
          <w:color w:val="000000"/>
        </w:rPr>
      </w:pPr>
    </w:p>
    <w:p w14:paraId="37B606D4">
      <w:pPr>
        <w:rPr>
          <w:color w:val="000000"/>
        </w:rPr>
      </w:pPr>
      <w:bookmarkStart w:id="0" w:name="EB57dd2a69e2b54b0cb3f5c2f03a1ab7bf"/>
      <w:bookmarkEnd w:id="0"/>
      <w:bookmarkStart w:id="1" w:name="EB3ace3d43b98b41779337deb808be6fa3"/>
      <w:bookmarkEnd w:id="1"/>
    </w:p>
    <w:p w14:paraId="64A5D4F3">
      <w:pPr>
        <w:rPr>
          <w:color w:val="000000"/>
        </w:rPr>
      </w:pPr>
    </w:p>
    <w:p w14:paraId="72A3E4B6">
      <w:pPr>
        <w:spacing w:before="120" w:after="120" w:line="360" w:lineRule="auto"/>
        <w:jc w:val="center"/>
        <w:rPr>
          <w:rFonts w:ascii="Arial" w:hAnsi="Arial" w:eastAsia="黑体" w:cs="黑体"/>
          <w:b/>
          <w:color w:val="000000"/>
          <w:sz w:val="84"/>
          <w:szCs w:val="24"/>
        </w:rPr>
      </w:pPr>
      <w:r>
        <w:rPr>
          <w:rFonts w:hint="eastAsia" w:ascii="Arial" w:hAnsi="Arial" w:eastAsia="黑体" w:cs="黑体"/>
          <w:b/>
          <w:color w:val="000000"/>
          <w:sz w:val="84"/>
          <w:szCs w:val="24"/>
        </w:rPr>
        <w:t>招　标　文　件</w:t>
      </w:r>
    </w:p>
    <w:p w14:paraId="368CF6BE">
      <w:pPr>
        <w:rPr>
          <w:rFonts w:ascii="Times New Roman" w:hAnsi="Times New Roman" w:cs="宋体"/>
          <w:b/>
          <w:color w:val="000000"/>
          <w:sz w:val="30"/>
          <w:szCs w:val="30"/>
        </w:rPr>
      </w:pPr>
    </w:p>
    <w:p w14:paraId="6B66C9A1">
      <w:pPr>
        <w:rPr>
          <w:rFonts w:ascii="Times New Roman" w:hAnsi="Times New Roman" w:cs="宋体"/>
          <w:b/>
          <w:color w:val="000000"/>
          <w:sz w:val="30"/>
          <w:szCs w:val="30"/>
        </w:rPr>
      </w:pPr>
    </w:p>
    <w:p w14:paraId="78CBF040">
      <w:pPr>
        <w:ind w:firstLine="1506"/>
        <w:rPr>
          <w:b/>
          <w:color w:val="000000"/>
          <w:sz w:val="30"/>
          <w:szCs w:val="30"/>
        </w:rPr>
      </w:pPr>
      <w:r>
        <w:rPr>
          <w:rFonts w:hint="eastAsia" w:ascii="Times New Roman" w:hAnsi="Times New Roman" w:cs="宋体"/>
          <w:b/>
          <w:color w:val="000000"/>
          <w:sz w:val="30"/>
          <w:szCs w:val="30"/>
        </w:rPr>
        <w:t>项目名称：</w:t>
      </w:r>
      <w:r>
        <w:rPr>
          <w:rFonts w:hint="eastAsia" w:ascii="Times New Roman" w:hAnsi="Times New Roman"/>
          <w:b/>
          <w:color w:val="000000"/>
          <w:sz w:val="30"/>
          <w:szCs w:val="30"/>
        </w:rPr>
        <w:t>沭阳县区域性农业综合服务中心（农技）建设“四情”监测设备采购安装项目</w:t>
      </w:r>
    </w:p>
    <w:p w14:paraId="5CD53BC0">
      <w:pPr>
        <w:ind w:firstLine="1506"/>
        <w:rPr>
          <w:rFonts w:ascii="Times New Roman" w:hAnsi="Times New Roman" w:cs="宋体"/>
          <w:b/>
          <w:color w:val="000000"/>
          <w:sz w:val="30"/>
          <w:szCs w:val="30"/>
        </w:rPr>
      </w:pPr>
    </w:p>
    <w:p w14:paraId="0547F4BB">
      <w:pPr>
        <w:ind w:firstLine="1506"/>
        <w:rPr>
          <w:rFonts w:ascii="Times New Roman" w:hAnsi="Times New Roman" w:cs="宋体"/>
          <w:b/>
          <w:color w:val="000000"/>
          <w:sz w:val="30"/>
          <w:szCs w:val="30"/>
        </w:rPr>
      </w:pPr>
      <w:r>
        <w:rPr>
          <w:rFonts w:hint="eastAsia" w:ascii="Times New Roman" w:hAnsi="Times New Roman" w:cs="宋体"/>
          <w:b/>
          <w:color w:val="000000"/>
          <w:sz w:val="30"/>
          <w:szCs w:val="30"/>
        </w:rPr>
        <w:t>项目编号：JSZC-321322-JSHR-G2026-0032</w:t>
      </w:r>
    </w:p>
    <w:p w14:paraId="37987C01">
      <w:pPr>
        <w:ind w:left="2800" w:hanging="2800"/>
        <w:rPr>
          <w:rFonts w:ascii="Times New Roman" w:hAnsi="Times New Roman"/>
          <w:color w:val="000000"/>
          <w:sz w:val="28"/>
          <w:szCs w:val="28"/>
        </w:rPr>
      </w:pPr>
    </w:p>
    <w:p w14:paraId="6C631F08">
      <w:pPr>
        <w:ind w:firstLine="1205"/>
        <w:rPr>
          <w:rFonts w:ascii="Times New Roman" w:hAnsi="Times New Roman"/>
          <w:b/>
          <w:color w:val="000000"/>
          <w:sz w:val="30"/>
          <w:szCs w:val="30"/>
        </w:rPr>
      </w:pPr>
      <w:r>
        <w:rPr>
          <w:rFonts w:hint="eastAsia" w:ascii="Times New Roman" w:hAnsi="Times New Roman"/>
          <w:b/>
          <w:color w:val="000000"/>
          <w:sz w:val="30"/>
          <w:szCs w:val="30"/>
        </w:rPr>
        <w:t>（货物类项目</w:t>
      </w:r>
      <w:r>
        <w:rPr>
          <w:rFonts w:ascii="Times New Roman" w:hAnsi="Times New Roman"/>
          <w:b/>
          <w:color w:val="000000"/>
          <w:sz w:val="30"/>
          <w:szCs w:val="30"/>
        </w:rPr>
        <w:t>，</w:t>
      </w:r>
      <w:r>
        <w:rPr>
          <w:rFonts w:hint="eastAsia" w:ascii="Times New Roman" w:hAnsi="Times New Roman"/>
          <w:b/>
          <w:color w:val="000000"/>
          <w:sz w:val="30"/>
          <w:szCs w:val="30"/>
          <w:u w:val="single"/>
        </w:rPr>
        <w:t xml:space="preserve"> 否 </w:t>
      </w:r>
      <w:r>
        <w:rPr>
          <w:rFonts w:hint="eastAsia" w:ascii="Times New Roman" w:hAnsi="Times New Roman"/>
          <w:b/>
          <w:color w:val="000000"/>
          <w:sz w:val="30"/>
          <w:szCs w:val="30"/>
        </w:rPr>
        <w:t>专门面向中小企业）</w:t>
      </w:r>
    </w:p>
    <w:p w14:paraId="147EF603">
      <w:pPr>
        <w:ind w:left="2800" w:hanging="2800"/>
        <w:rPr>
          <w:b/>
          <w:color w:val="000000"/>
          <w:sz w:val="28"/>
          <w:szCs w:val="28"/>
        </w:rPr>
      </w:pPr>
    </w:p>
    <w:p w14:paraId="4B8C30E4">
      <w:pPr>
        <w:spacing w:line="360" w:lineRule="auto"/>
        <w:jc w:val="left"/>
        <w:rPr>
          <w:rFonts w:ascii="宋体" w:hAnsi="宋体" w:cs="宋体"/>
          <w:color w:val="000000"/>
          <w:sz w:val="24"/>
          <w:szCs w:val="24"/>
        </w:rPr>
      </w:pPr>
    </w:p>
    <w:p w14:paraId="5E2B9463">
      <w:pPr>
        <w:spacing w:line="360" w:lineRule="auto"/>
        <w:jc w:val="left"/>
        <w:rPr>
          <w:rFonts w:ascii="宋体" w:hAnsi="宋体" w:cs="宋体"/>
          <w:color w:val="000000"/>
          <w:sz w:val="24"/>
          <w:szCs w:val="24"/>
        </w:rPr>
      </w:pPr>
    </w:p>
    <w:p w14:paraId="5FD6A2B7">
      <w:pPr>
        <w:spacing w:line="360" w:lineRule="auto"/>
        <w:jc w:val="left"/>
        <w:rPr>
          <w:rFonts w:ascii="宋体" w:hAnsi="宋体" w:cs="宋体"/>
          <w:color w:val="000000"/>
          <w:sz w:val="24"/>
          <w:szCs w:val="24"/>
        </w:rPr>
      </w:pPr>
    </w:p>
    <w:p w14:paraId="502B36BD">
      <w:pPr>
        <w:spacing w:line="360" w:lineRule="auto"/>
        <w:jc w:val="left"/>
        <w:rPr>
          <w:rFonts w:ascii="宋体" w:hAnsi="宋体" w:cs="宋体"/>
          <w:color w:val="000000"/>
          <w:sz w:val="24"/>
          <w:szCs w:val="24"/>
        </w:rPr>
      </w:pPr>
    </w:p>
    <w:p w14:paraId="5B616256">
      <w:pPr>
        <w:spacing w:line="360" w:lineRule="auto"/>
        <w:jc w:val="left"/>
        <w:rPr>
          <w:rFonts w:ascii="宋体" w:hAnsi="宋体" w:cs="宋体"/>
          <w:color w:val="000000"/>
          <w:sz w:val="24"/>
          <w:szCs w:val="24"/>
        </w:rPr>
      </w:pPr>
    </w:p>
    <w:p w14:paraId="0BA98AA6">
      <w:pPr>
        <w:spacing w:line="360" w:lineRule="auto"/>
        <w:jc w:val="left"/>
        <w:rPr>
          <w:rFonts w:ascii="宋体" w:hAnsi="宋体" w:cs="宋体"/>
          <w:color w:val="000000"/>
          <w:sz w:val="24"/>
          <w:szCs w:val="24"/>
        </w:rPr>
      </w:pPr>
    </w:p>
    <w:tbl>
      <w:tblPr>
        <w:tblStyle w:val="30"/>
        <w:tblpPr w:leftFromText="180" w:rightFromText="180" w:vertAnchor="text" w:horzAnchor="page" w:tblpX="2413" w:tblpY="466"/>
        <w:tblW w:w="0" w:type="auto"/>
        <w:tblInd w:w="-108" w:type="dxa"/>
        <w:tblLayout w:type="autofit"/>
        <w:tblCellMar>
          <w:top w:w="0" w:type="dxa"/>
          <w:left w:w="108" w:type="dxa"/>
          <w:bottom w:w="0" w:type="dxa"/>
          <w:right w:w="108" w:type="dxa"/>
        </w:tblCellMar>
      </w:tblPr>
      <w:tblGrid>
        <w:gridCol w:w="2675"/>
        <w:gridCol w:w="4752"/>
      </w:tblGrid>
      <w:tr w14:paraId="35335800">
        <w:tblPrEx>
          <w:tblCellMar>
            <w:top w:w="0" w:type="dxa"/>
            <w:left w:w="108" w:type="dxa"/>
            <w:bottom w:w="0" w:type="dxa"/>
            <w:right w:w="108" w:type="dxa"/>
          </w:tblCellMar>
        </w:tblPrEx>
        <w:trPr>
          <w:trHeight w:val="586" w:hRule="atLeast"/>
        </w:trPr>
        <w:tc>
          <w:tcPr>
            <w:tcW w:w="2675" w:type="dxa"/>
            <w:tcBorders>
              <w:top w:val="nil"/>
              <w:left w:val="nil"/>
              <w:bottom w:val="nil"/>
              <w:right w:val="nil"/>
            </w:tcBorders>
            <w:noWrap/>
            <w:vAlign w:val="center"/>
          </w:tcPr>
          <w:p w14:paraId="10CE3C91">
            <w:pPr>
              <w:spacing w:line="500" w:lineRule="exact"/>
              <w:jc w:val="left"/>
              <w:rPr>
                <w:rFonts w:ascii="仿宋" w:hAnsi="仿宋" w:eastAsia="仿宋" w:cs="仿宋"/>
                <w:color w:val="000000"/>
                <w:sz w:val="24"/>
                <w:szCs w:val="24"/>
              </w:rPr>
            </w:pPr>
            <w:r>
              <w:rPr>
                <w:rFonts w:hint="eastAsia" w:ascii="Times New Roman" w:hAnsi="Times New Roman"/>
                <w:b/>
                <w:bCs/>
                <w:color w:val="000000"/>
                <w:spacing w:val="45"/>
                <w:sz w:val="32"/>
                <w:szCs w:val="24"/>
              </w:rPr>
              <w:t>采  购 人</w:t>
            </w:r>
            <w:r>
              <w:rPr>
                <w:rFonts w:hint="eastAsia" w:ascii="Times New Roman" w:hAnsi="Times New Roman"/>
                <w:b/>
                <w:bCs/>
                <w:color w:val="000000"/>
                <w:spacing w:val="1"/>
                <w:sz w:val="32"/>
                <w:szCs w:val="24"/>
              </w:rPr>
              <w:t>：</w:t>
            </w:r>
          </w:p>
        </w:tc>
        <w:tc>
          <w:tcPr>
            <w:tcW w:w="4752" w:type="dxa"/>
            <w:tcBorders>
              <w:top w:val="nil"/>
              <w:left w:val="nil"/>
              <w:bottom w:val="nil"/>
              <w:right w:val="nil"/>
            </w:tcBorders>
            <w:noWrap/>
            <w:vAlign w:val="center"/>
          </w:tcPr>
          <w:p w14:paraId="56FAEECC">
            <w:pPr>
              <w:spacing w:line="500" w:lineRule="exact"/>
              <w:jc w:val="left"/>
              <w:rPr>
                <w:rFonts w:ascii="仿宋" w:hAnsi="仿宋" w:cs="仿宋"/>
                <w:color w:val="000000"/>
                <w:sz w:val="24"/>
                <w:szCs w:val="24"/>
              </w:rPr>
            </w:pPr>
            <w:r>
              <w:rPr>
                <w:rFonts w:hint="eastAsia" w:ascii="Times New Roman" w:hAnsi="Times New Roman"/>
                <w:b/>
                <w:color w:val="000000"/>
                <w:sz w:val="30"/>
                <w:szCs w:val="30"/>
              </w:rPr>
              <w:t>沭阳县农业农村局</w:t>
            </w:r>
          </w:p>
        </w:tc>
      </w:tr>
      <w:tr w14:paraId="6B436C72">
        <w:tblPrEx>
          <w:tblCellMar>
            <w:top w:w="0" w:type="dxa"/>
            <w:left w:w="108" w:type="dxa"/>
            <w:bottom w:w="0" w:type="dxa"/>
            <w:right w:w="108" w:type="dxa"/>
          </w:tblCellMar>
        </w:tblPrEx>
        <w:trPr>
          <w:trHeight w:val="617" w:hRule="atLeast"/>
        </w:trPr>
        <w:tc>
          <w:tcPr>
            <w:tcW w:w="2675" w:type="dxa"/>
            <w:tcBorders>
              <w:top w:val="nil"/>
              <w:left w:val="nil"/>
              <w:bottom w:val="nil"/>
              <w:right w:val="nil"/>
            </w:tcBorders>
            <w:noWrap/>
            <w:vAlign w:val="center"/>
          </w:tcPr>
          <w:p w14:paraId="374B6453">
            <w:pPr>
              <w:spacing w:line="500" w:lineRule="exact"/>
              <w:jc w:val="left"/>
              <w:rPr>
                <w:rFonts w:ascii="Times New Roman" w:hAnsi="Times New Roman"/>
                <w:b/>
                <w:bCs/>
                <w:color w:val="000000"/>
                <w:spacing w:val="45"/>
                <w:sz w:val="32"/>
                <w:szCs w:val="24"/>
              </w:rPr>
            </w:pPr>
            <w:r>
              <w:rPr>
                <w:rFonts w:hint="eastAsia" w:ascii="Times New Roman" w:hAnsi="Times New Roman"/>
                <w:b/>
                <w:bCs/>
                <w:color w:val="000000"/>
                <w:sz w:val="32"/>
                <w:szCs w:val="24"/>
              </w:rPr>
              <w:t>采购代理机构：</w:t>
            </w:r>
          </w:p>
        </w:tc>
        <w:tc>
          <w:tcPr>
            <w:tcW w:w="4752" w:type="dxa"/>
            <w:tcBorders>
              <w:top w:val="nil"/>
              <w:left w:val="nil"/>
              <w:bottom w:val="nil"/>
              <w:right w:val="nil"/>
            </w:tcBorders>
            <w:noWrap/>
            <w:vAlign w:val="center"/>
          </w:tcPr>
          <w:p w14:paraId="2916BB85">
            <w:pPr>
              <w:spacing w:line="500" w:lineRule="exact"/>
              <w:jc w:val="left"/>
              <w:rPr>
                <w:rFonts w:ascii="仿宋" w:hAnsi="仿宋" w:cs="仿宋"/>
                <w:color w:val="000000"/>
                <w:sz w:val="24"/>
                <w:szCs w:val="24"/>
                <w:highlight w:val="yellow"/>
              </w:rPr>
            </w:pPr>
            <w:r>
              <w:rPr>
                <w:rFonts w:hint="eastAsia" w:ascii="Times New Roman" w:hAnsi="Times New Roman"/>
                <w:b/>
                <w:color w:val="000000"/>
                <w:sz w:val="30"/>
                <w:szCs w:val="30"/>
              </w:rPr>
              <w:t>江苏宏润建设项目管理咨询有限公司</w:t>
            </w:r>
          </w:p>
        </w:tc>
      </w:tr>
    </w:tbl>
    <w:p w14:paraId="53B0FD0E">
      <w:pPr>
        <w:spacing w:line="360" w:lineRule="auto"/>
        <w:jc w:val="left"/>
        <w:rPr>
          <w:rFonts w:ascii="宋体" w:hAnsi="宋体" w:cs="宋体"/>
          <w:color w:val="000000"/>
          <w:sz w:val="24"/>
          <w:szCs w:val="24"/>
        </w:rPr>
      </w:pPr>
    </w:p>
    <w:p w14:paraId="6298603F">
      <w:pPr>
        <w:spacing w:before="120" w:after="120" w:line="360" w:lineRule="auto"/>
        <w:ind w:firstLine="964"/>
        <w:jc w:val="left"/>
        <w:rPr>
          <w:rFonts w:ascii="Arial" w:hAnsi="Arial"/>
          <w:b/>
          <w:color w:val="000000"/>
          <w:sz w:val="32"/>
          <w:szCs w:val="24"/>
        </w:rPr>
      </w:pPr>
    </w:p>
    <w:p w14:paraId="328B0BBA">
      <w:pPr>
        <w:spacing w:before="120" w:after="120" w:line="360" w:lineRule="auto"/>
        <w:jc w:val="center"/>
        <w:rPr>
          <w:rFonts w:ascii="Arial" w:hAnsi="Arial"/>
          <w:b/>
          <w:color w:val="000000"/>
          <w:sz w:val="32"/>
          <w:szCs w:val="24"/>
        </w:rPr>
      </w:pPr>
    </w:p>
    <w:p w14:paraId="64703FF0">
      <w:pPr>
        <w:spacing w:before="120" w:after="120" w:line="360" w:lineRule="auto"/>
        <w:jc w:val="center"/>
        <w:rPr>
          <w:rFonts w:ascii="Arial" w:hAnsi="Arial"/>
          <w:b/>
          <w:color w:val="000000"/>
          <w:sz w:val="32"/>
          <w:szCs w:val="24"/>
        </w:rPr>
      </w:pPr>
    </w:p>
    <w:p w14:paraId="0A1C6DA7">
      <w:pPr>
        <w:spacing w:before="120" w:after="120" w:line="360" w:lineRule="auto"/>
        <w:jc w:val="center"/>
        <w:rPr>
          <w:rFonts w:ascii="Arial" w:hAnsi="Arial"/>
          <w:b/>
          <w:color w:val="000000"/>
          <w:sz w:val="32"/>
          <w:szCs w:val="24"/>
        </w:rPr>
      </w:pPr>
      <w:r>
        <w:rPr>
          <w:rFonts w:ascii="Arial" w:hAnsi="Arial"/>
          <w:b/>
          <w:color w:val="000000"/>
          <w:sz w:val="32"/>
          <w:szCs w:val="24"/>
        </w:rPr>
        <w:t>20</w:t>
      </w:r>
      <w:r>
        <w:rPr>
          <w:rFonts w:hint="eastAsia" w:ascii="Arial" w:hAnsi="Arial"/>
          <w:b/>
          <w:color w:val="000000"/>
          <w:sz w:val="32"/>
          <w:szCs w:val="24"/>
        </w:rPr>
        <w:t>26</w:t>
      </w:r>
      <w:r>
        <w:rPr>
          <w:rFonts w:hint="eastAsia" w:ascii="Arial" w:hAnsi="Arial" w:cs="宋体"/>
          <w:b/>
          <w:color w:val="000000"/>
          <w:sz w:val="32"/>
          <w:szCs w:val="24"/>
        </w:rPr>
        <w:t>年</w:t>
      </w:r>
      <w:r>
        <w:rPr>
          <w:rFonts w:hint="eastAsia" w:ascii="Arial" w:hAnsi="Arial" w:cs="宋体"/>
          <w:b/>
          <w:color w:val="000000"/>
          <w:sz w:val="32"/>
          <w:szCs w:val="24"/>
          <w:lang w:val="en-US" w:eastAsia="zh-CN"/>
        </w:rPr>
        <w:t>9</w:t>
      </w:r>
      <w:r>
        <w:rPr>
          <w:rFonts w:hint="eastAsia" w:ascii="Arial" w:hAnsi="Arial" w:cs="宋体"/>
          <w:b/>
          <w:color w:val="000000"/>
          <w:sz w:val="32"/>
          <w:szCs w:val="24"/>
        </w:rPr>
        <w:t>月</w:t>
      </w:r>
      <w:r>
        <w:rPr>
          <w:rFonts w:hint="eastAsia" w:ascii="Arial" w:hAnsi="Arial" w:cs="宋体"/>
          <w:b/>
          <w:color w:val="000000"/>
          <w:sz w:val="32"/>
          <w:szCs w:val="24"/>
          <w:lang w:val="en-US" w:eastAsia="zh-CN"/>
        </w:rPr>
        <w:t>8</w:t>
      </w:r>
      <w:r>
        <w:rPr>
          <w:rFonts w:hint="eastAsia" w:ascii="Arial" w:hAnsi="Arial" w:cs="宋体"/>
          <w:b/>
          <w:color w:val="000000"/>
          <w:sz w:val="32"/>
          <w:szCs w:val="24"/>
        </w:rPr>
        <w:t>日</w:t>
      </w:r>
    </w:p>
    <w:p w14:paraId="46EBE667">
      <w:pPr>
        <w:keepNext/>
        <w:keepLines/>
        <w:pageBreakBefore/>
        <w:jc w:val="center"/>
        <w:rPr>
          <w:b/>
          <w:color w:val="000000"/>
          <w:sz w:val="44"/>
          <w:szCs w:val="44"/>
        </w:rPr>
      </w:pPr>
      <w:r>
        <w:rPr>
          <w:rFonts w:hint="eastAsia"/>
          <w:b/>
          <w:color w:val="000000"/>
          <w:sz w:val="44"/>
          <w:szCs w:val="44"/>
        </w:rPr>
        <w:t>目 录</w:t>
      </w:r>
    </w:p>
    <w:p w14:paraId="7621EFE0">
      <w:pPr>
        <w:pStyle w:val="99"/>
        <w:tabs>
          <w:tab w:val="right" w:leader="dot" w:pos="9185"/>
        </w:tabs>
        <w:spacing w:line="600" w:lineRule="exact"/>
        <w:rPr>
          <w:rFonts w:ascii="Times New Roman" w:hAnsi="Times New Roman" w:eastAsia="黑体"/>
          <w:b w:val="0"/>
          <w:bCs w:val="0"/>
          <w:color w:val="000000"/>
          <w:sz w:val="32"/>
        </w:rPr>
      </w:pPr>
      <w:r>
        <w:rPr>
          <w:color w:val="000000"/>
        </w:rPr>
        <w:fldChar w:fldCharType="begin"/>
      </w:r>
      <w:r>
        <w:rPr>
          <w:color w:val="000000"/>
        </w:rPr>
        <w:instrText xml:space="preserve">TOC \o "1-1" \h \u </w:instrText>
      </w:r>
      <w:r>
        <w:rPr>
          <w:color w:val="000000"/>
        </w:rPr>
        <w:fldChar w:fldCharType="separate"/>
      </w:r>
      <w:r>
        <w:fldChar w:fldCharType="begin"/>
      </w:r>
      <w:r>
        <w:instrText xml:space="preserve"> HYPERLINK \l "_Toc10813" </w:instrText>
      </w:r>
      <w:r>
        <w:fldChar w:fldCharType="separate"/>
      </w:r>
      <w:r>
        <w:rPr>
          <w:rFonts w:hint="eastAsia" w:ascii="Times New Roman" w:hAnsi="Times New Roman" w:eastAsia="黑体"/>
          <w:b w:val="0"/>
          <w:bCs w:val="0"/>
          <w:color w:val="000000"/>
          <w:sz w:val="32"/>
        </w:rPr>
        <w:t>第一章  投标邀请</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_Toc10813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3</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p>
    <w:p w14:paraId="4DE0611C">
      <w:pPr>
        <w:pStyle w:val="99"/>
        <w:tabs>
          <w:tab w:val="right" w:leader="dot" w:pos="9185"/>
        </w:tabs>
        <w:spacing w:line="600" w:lineRule="exact"/>
        <w:rPr>
          <w:rFonts w:ascii="Times New Roman" w:hAnsi="Times New Roman" w:eastAsia="黑体"/>
          <w:b w:val="0"/>
          <w:bCs w:val="0"/>
          <w:color w:val="000000"/>
          <w:sz w:val="32"/>
        </w:rPr>
      </w:pPr>
      <w:r>
        <w:fldChar w:fldCharType="begin"/>
      </w:r>
      <w:r>
        <w:instrText xml:space="preserve"> HYPERLINK \l "_Toc9425" </w:instrText>
      </w:r>
      <w:r>
        <w:fldChar w:fldCharType="separate"/>
      </w:r>
      <w:r>
        <w:rPr>
          <w:rFonts w:hint="eastAsia" w:ascii="Times New Roman" w:hAnsi="Times New Roman" w:eastAsia="黑体"/>
          <w:b w:val="0"/>
          <w:bCs w:val="0"/>
          <w:color w:val="000000"/>
          <w:sz w:val="32"/>
        </w:rPr>
        <w:t>第二章  投标人须知</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_Toc9425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6</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p>
    <w:p w14:paraId="295F9764">
      <w:pPr>
        <w:pStyle w:val="99"/>
        <w:tabs>
          <w:tab w:val="right" w:leader="dot" w:pos="9185"/>
        </w:tabs>
        <w:spacing w:line="600" w:lineRule="exact"/>
        <w:rPr>
          <w:rFonts w:ascii="Times New Roman" w:hAnsi="Times New Roman" w:eastAsia="黑体"/>
          <w:b w:val="0"/>
          <w:bCs w:val="0"/>
          <w:color w:val="000000"/>
          <w:sz w:val="32"/>
        </w:rPr>
      </w:pPr>
      <w:r>
        <w:fldChar w:fldCharType="begin"/>
      </w:r>
      <w:r>
        <w:instrText xml:space="preserve"> HYPERLINK \l "_Toc17996" </w:instrText>
      </w:r>
      <w:r>
        <w:fldChar w:fldCharType="separate"/>
      </w:r>
      <w:r>
        <w:rPr>
          <w:rFonts w:hint="eastAsia" w:ascii="Times New Roman" w:hAnsi="Times New Roman" w:eastAsia="黑体" w:cs="Times New Roman"/>
          <w:b w:val="0"/>
          <w:bCs w:val="0"/>
          <w:color w:val="000000"/>
          <w:sz w:val="32"/>
          <w:szCs w:val="44"/>
        </w:rPr>
        <w:t>第三章  资格审查及评标办法</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_Toc17996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21</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p>
    <w:p w14:paraId="72409D29">
      <w:pPr>
        <w:pStyle w:val="99"/>
        <w:tabs>
          <w:tab w:val="right" w:leader="dot" w:pos="9185"/>
        </w:tabs>
        <w:spacing w:line="600" w:lineRule="exact"/>
        <w:rPr>
          <w:rFonts w:ascii="Times New Roman" w:hAnsi="Times New Roman" w:eastAsia="黑体"/>
          <w:b w:val="0"/>
          <w:bCs w:val="0"/>
          <w:color w:val="000000"/>
          <w:sz w:val="32"/>
        </w:rPr>
      </w:pPr>
      <w:r>
        <w:fldChar w:fldCharType="begin"/>
      </w:r>
      <w:r>
        <w:instrText xml:space="preserve"> HYPERLINK \l "_Toc22314" </w:instrText>
      </w:r>
      <w:r>
        <w:fldChar w:fldCharType="separate"/>
      </w:r>
      <w:r>
        <w:rPr>
          <w:rFonts w:hint="eastAsia" w:ascii="Times New Roman" w:hAnsi="Times New Roman" w:eastAsia="黑体"/>
          <w:b w:val="0"/>
          <w:bCs w:val="0"/>
          <w:color w:val="000000"/>
          <w:sz w:val="32"/>
          <w:szCs w:val="44"/>
        </w:rPr>
        <w:t>第四章采购需求</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_Toc22314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24</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p>
    <w:p w14:paraId="12358700">
      <w:pPr>
        <w:pStyle w:val="99"/>
        <w:tabs>
          <w:tab w:val="right" w:leader="dot" w:pos="9185"/>
        </w:tabs>
        <w:spacing w:line="600" w:lineRule="exact"/>
        <w:rPr>
          <w:rFonts w:ascii="Times New Roman" w:hAnsi="Times New Roman" w:eastAsia="黑体"/>
          <w:b w:val="0"/>
          <w:bCs w:val="0"/>
          <w:color w:val="000000"/>
          <w:sz w:val="32"/>
        </w:rPr>
      </w:pPr>
      <w:r>
        <w:fldChar w:fldCharType="begin"/>
      </w:r>
      <w:r>
        <w:instrText xml:space="preserve"> HYPERLINK \l "_Toc2513" </w:instrText>
      </w:r>
      <w:r>
        <w:fldChar w:fldCharType="separate"/>
      </w:r>
      <w:r>
        <w:rPr>
          <w:rFonts w:hint="eastAsia" w:ascii="Times New Roman" w:hAnsi="Times New Roman" w:eastAsia="黑体"/>
          <w:b w:val="0"/>
          <w:bCs w:val="0"/>
          <w:color w:val="000000"/>
          <w:sz w:val="32"/>
          <w:szCs w:val="44"/>
        </w:rPr>
        <w:t>第五章合同文本</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_Toc2513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44</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p>
    <w:p w14:paraId="010F5DE1">
      <w:pPr>
        <w:pStyle w:val="99"/>
        <w:tabs>
          <w:tab w:val="right" w:leader="dot" w:pos="9185"/>
        </w:tabs>
        <w:spacing w:line="600" w:lineRule="exact"/>
        <w:rPr>
          <w:color w:val="000000"/>
        </w:rPr>
      </w:pPr>
      <w:r>
        <w:fldChar w:fldCharType="begin"/>
      </w:r>
      <w:r>
        <w:instrText xml:space="preserve"> HYPERLINK \l "_Toc12937" </w:instrText>
      </w:r>
      <w:r>
        <w:fldChar w:fldCharType="separate"/>
      </w:r>
      <w:r>
        <w:rPr>
          <w:rFonts w:hint="eastAsia" w:ascii="Times New Roman" w:hAnsi="Times New Roman" w:eastAsia="黑体"/>
          <w:b w:val="0"/>
          <w:bCs w:val="0"/>
          <w:color w:val="000000"/>
          <w:sz w:val="32"/>
          <w:szCs w:val="44"/>
        </w:rPr>
        <w:t>第六章  投标文件格式</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_Toc12937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44</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p>
    <w:p w14:paraId="74A7763B">
      <w:pPr>
        <w:rPr>
          <w:color w:val="000000"/>
        </w:rPr>
      </w:pPr>
      <w:r>
        <w:rPr>
          <w:color w:val="000000"/>
        </w:rPr>
        <w:fldChar w:fldCharType="end"/>
      </w:r>
    </w:p>
    <w:p w14:paraId="066A9E89">
      <w:pPr>
        <w:keepNext/>
        <w:keepLines/>
        <w:pageBreakBefore/>
        <w:jc w:val="center"/>
        <w:outlineLvl w:val="0"/>
        <w:rPr>
          <w:b/>
          <w:color w:val="000000"/>
          <w:sz w:val="44"/>
          <w:szCs w:val="44"/>
        </w:rPr>
        <w:sectPr>
          <w:footerReference r:id="rId5" w:type="first"/>
          <w:headerReference r:id="rId3" w:type="default"/>
          <w:footerReference r:id="rId4" w:type="default"/>
          <w:pgSz w:w="11907" w:h="16840"/>
          <w:pgMar w:top="1474" w:right="1304" w:bottom="1474" w:left="1418" w:header="851" w:footer="851" w:gutter="0"/>
          <w:cols w:space="1701" w:num="1"/>
          <w:docGrid w:linePitch="360" w:charSpace="0"/>
        </w:sectPr>
      </w:pPr>
      <w:bookmarkStart w:id="2" w:name="_Toc81575189"/>
      <w:bookmarkStart w:id="3" w:name="_Toc81575152"/>
    </w:p>
    <w:p w14:paraId="534F8C48">
      <w:pPr>
        <w:pStyle w:val="42"/>
        <w:spacing w:before="200"/>
        <w:jc w:val="center"/>
        <w:rPr>
          <w:rFonts w:eastAsia="黑体"/>
          <w:color w:val="000000"/>
          <w:sz w:val="44"/>
        </w:rPr>
      </w:pPr>
      <w:bookmarkStart w:id="4" w:name="_Toc30943"/>
      <w:bookmarkStart w:id="5" w:name="_Toc10813"/>
      <w:bookmarkStart w:id="6" w:name="_Toc25722"/>
      <w:r>
        <w:rPr>
          <w:rFonts w:hint="eastAsia" w:eastAsia="黑体"/>
          <w:color w:val="000000"/>
          <w:sz w:val="44"/>
        </w:rPr>
        <w:t>第一章  投标邀请</w:t>
      </w:r>
      <w:bookmarkEnd w:id="2"/>
      <w:bookmarkEnd w:id="3"/>
      <w:bookmarkEnd w:id="4"/>
      <w:bookmarkEnd w:id="5"/>
      <w:bookmarkEnd w:id="6"/>
    </w:p>
    <w:p w14:paraId="31EEC73B">
      <w:pPr>
        <w:spacing w:line="460" w:lineRule="exact"/>
        <w:ind w:firstLine="480"/>
        <w:rPr>
          <w:rFonts w:ascii="Times New Roman" w:hAnsi="Times New Roman" w:cs="方正仿宋_GBK"/>
          <w:color w:val="000000"/>
          <w:sz w:val="24"/>
          <w:szCs w:val="24"/>
        </w:rPr>
      </w:pPr>
      <w:r>
        <w:rPr>
          <w:rFonts w:hint="eastAsia" w:ascii="宋体" w:hAnsi="宋体"/>
          <w:color w:val="000000"/>
          <w:sz w:val="24"/>
          <w:szCs w:val="24"/>
        </w:rPr>
        <w:t>受</w:t>
      </w:r>
      <w:r>
        <w:rPr>
          <w:rFonts w:hint="eastAsia" w:ascii="宋体" w:hAnsi="宋体"/>
          <w:color w:val="000000"/>
          <w:sz w:val="24"/>
          <w:szCs w:val="24"/>
          <w:u w:val="single"/>
        </w:rPr>
        <w:t>沭阳县农业农村局</w:t>
      </w:r>
      <w:r>
        <w:rPr>
          <w:rFonts w:hint="eastAsia" w:ascii="宋体" w:hAnsi="宋体"/>
          <w:color w:val="000000"/>
          <w:sz w:val="24"/>
          <w:szCs w:val="24"/>
        </w:rPr>
        <w:t>的委托，</w:t>
      </w:r>
      <w:r>
        <w:rPr>
          <w:rFonts w:hint="eastAsia" w:ascii="宋体" w:hAnsi="宋体"/>
          <w:color w:val="000000"/>
          <w:sz w:val="24"/>
          <w:szCs w:val="24"/>
          <w:u w:val="single"/>
        </w:rPr>
        <w:t>江苏宏润建设项目管理咨询有限公司</w:t>
      </w:r>
      <w:r>
        <w:rPr>
          <w:rFonts w:hint="eastAsia" w:ascii="Times New Roman" w:hAnsi="Times New Roman" w:cs="方正仿宋_GBK"/>
          <w:color w:val="000000"/>
          <w:sz w:val="24"/>
          <w:szCs w:val="24"/>
        </w:rPr>
        <w:t>就</w:t>
      </w:r>
      <w:r>
        <w:rPr>
          <w:rFonts w:hint="eastAsia" w:ascii="宋体" w:hAnsi="宋体"/>
          <w:color w:val="000000"/>
          <w:sz w:val="24"/>
          <w:szCs w:val="24"/>
          <w:u w:val="single"/>
        </w:rPr>
        <w:t>沭阳县区域性农业综合服务中心（农技）建设“四情”监测设备采购安装项目</w:t>
      </w:r>
      <w:r>
        <w:rPr>
          <w:rFonts w:hint="eastAsia" w:ascii="宋体" w:hAnsi="宋体"/>
          <w:color w:val="000000"/>
          <w:sz w:val="24"/>
          <w:szCs w:val="24"/>
        </w:rPr>
        <w:t>(JSZC-321322-JSHR-G2026-0032)</w:t>
      </w:r>
      <w:r>
        <w:rPr>
          <w:rFonts w:hint="eastAsia" w:ascii="Times New Roman" w:hAnsi="Times New Roman" w:cs="方正仿宋_GBK"/>
          <w:color w:val="000000"/>
          <w:sz w:val="24"/>
          <w:szCs w:val="24"/>
        </w:rPr>
        <w:t>进行公开招标采购，欢迎符合条件的投标人投标。</w:t>
      </w:r>
    </w:p>
    <w:p w14:paraId="64FC6BE5">
      <w:pPr>
        <w:pBdr>
          <w:top w:val="single" w:color="000000" w:sz="4" w:space="1"/>
          <w:left w:val="single" w:color="000000" w:sz="4" w:space="4"/>
          <w:bottom w:val="single" w:color="000000" w:sz="4" w:space="1"/>
          <w:right w:val="single" w:color="000000" w:sz="4" w:space="4"/>
        </w:pBdr>
        <w:spacing w:line="460" w:lineRule="exact"/>
        <w:ind w:firstLine="480"/>
        <w:rPr>
          <w:rFonts w:ascii="Times New Roman" w:hAnsi="Times New Roman" w:cs="方正仿宋_GBK"/>
          <w:color w:val="000000"/>
          <w:sz w:val="24"/>
          <w:szCs w:val="24"/>
        </w:rPr>
      </w:pPr>
      <w:r>
        <w:rPr>
          <w:rFonts w:hint="eastAsia" w:ascii="Times New Roman" w:hAnsi="Times New Roman" w:cs="方正仿宋_GBK"/>
          <w:color w:val="000000"/>
          <w:sz w:val="24"/>
          <w:szCs w:val="24"/>
        </w:rPr>
        <w:t>项目概况</w:t>
      </w:r>
    </w:p>
    <w:p w14:paraId="04FE4A90">
      <w:pPr>
        <w:pBdr>
          <w:top w:val="single" w:color="000000" w:sz="4" w:space="1"/>
          <w:left w:val="single" w:color="000000" w:sz="4" w:space="4"/>
          <w:bottom w:val="single" w:color="000000" w:sz="4" w:space="1"/>
          <w:right w:val="single" w:color="000000" w:sz="4" w:space="4"/>
        </w:pBdr>
        <w:spacing w:line="460" w:lineRule="exact"/>
        <w:ind w:firstLine="480"/>
        <w:rPr>
          <w:rFonts w:ascii="方正仿宋_GBK" w:hAnsi="方正仿宋_GBK" w:eastAsia="方正仿宋_GBK" w:cs="方正仿宋_GBK"/>
          <w:color w:val="000000"/>
          <w:sz w:val="24"/>
          <w:szCs w:val="24"/>
        </w:rPr>
      </w:pPr>
      <w:r>
        <w:rPr>
          <w:rFonts w:hint="eastAsia" w:ascii="Times New Roman" w:hAnsi="Times New Roman" w:cs="方正仿宋_GBK"/>
          <w:color w:val="000000"/>
          <w:sz w:val="24"/>
          <w:szCs w:val="24"/>
        </w:rPr>
        <w:t>沭阳县农业农村局招标项目的潜在投标人可在“江苏政府采购网”、</w:t>
      </w:r>
      <w:r>
        <w:rPr>
          <w:rFonts w:hint="eastAsia" w:ascii="Times New Roman" w:hAnsi="Times New Roman" w:cs="方正仿宋_GBK"/>
          <w:color w:val="000000"/>
          <w:sz w:val="24"/>
          <w:szCs w:val="24"/>
          <w:u w:val="single"/>
        </w:rPr>
        <w:t>“宿迁市政府采购网”自行免费</w:t>
      </w:r>
      <w:r>
        <w:rPr>
          <w:rFonts w:hint="eastAsia" w:ascii="Times New Roman" w:hAnsi="Times New Roman" w:cs="方正仿宋_GBK"/>
          <w:color w:val="000000"/>
          <w:sz w:val="24"/>
          <w:szCs w:val="24"/>
        </w:rPr>
        <w:t>获取招标文件，并于</w:t>
      </w:r>
      <w:r>
        <w:rPr>
          <w:rFonts w:hint="eastAsia" w:ascii="宋体" w:hAnsi="宋体"/>
          <w:color w:val="000000"/>
          <w:sz w:val="24"/>
          <w:szCs w:val="24"/>
          <w:u w:val="single"/>
        </w:rPr>
        <w:t>2026</w:t>
      </w:r>
      <w:r>
        <w:rPr>
          <w:rFonts w:hint="eastAsia" w:ascii="宋体" w:hAnsi="宋体"/>
          <w:bCs/>
          <w:color w:val="000000"/>
          <w:sz w:val="24"/>
          <w:szCs w:val="24"/>
          <w:u w:val="single"/>
        </w:rPr>
        <w:t>年</w:t>
      </w:r>
      <w:r>
        <w:rPr>
          <w:rFonts w:hint="eastAsia" w:ascii="宋体" w:hAnsi="宋体"/>
          <w:bCs/>
          <w:color w:val="000000"/>
          <w:sz w:val="24"/>
          <w:szCs w:val="24"/>
          <w:u w:val="single"/>
          <w:lang w:val="en-US" w:eastAsia="zh-CN"/>
        </w:rPr>
        <w:t>9</w:t>
      </w:r>
      <w:r>
        <w:rPr>
          <w:rFonts w:hint="eastAsia" w:ascii="宋体" w:hAnsi="宋体"/>
          <w:bCs/>
          <w:color w:val="000000"/>
          <w:sz w:val="24"/>
          <w:szCs w:val="24"/>
          <w:u w:val="single"/>
        </w:rPr>
        <w:t>月</w:t>
      </w:r>
      <w:r>
        <w:rPr>
          <w:rFonts w:hint="eastAsia" w:ascii="宋体" w:hAnsi="宋体"/>
          <w:bCs/>
          <w:color w:val="000000"/>
          <w:sz w:val="24"/>
          <w:szCs w:val="24"/>
          <w:u w:val="single"/>
          <w:lang w:val="en-US" w:eastAsia="zh-CN"/>
        </w:rPr>
        <w:t>29</w:t>
      </w:r>
      <w:r>
        <w:rPr>
          <w:rFonts w:hint="eastAsia" w:ascii="宋体" w:hAnsi="宋体"/>
          <w:bCs/>
          <w:color w:val="000000"/>
          <w:sz w:val="24"/>
          <w:szCs w:val="24"/>
          <w:u w:val="single"/>
        </w:rPr>
        <w:t>日9点30分（</w:t>
      </w:r>
      <w:r>
        <w:rPr>
          <w:rFonts w:hint="eastAsia" w:ascii="宋体" w:hAnsi="宋体"/>
          <w:bCs/>
          <w:color w:val="000000"/>
          <w:sz w:val="24"/>
          <w:szCs w:val="24"/>
        </w:rPr>
        <w:t>北京时间）</w:t>
      </w:r>
      <w:r>
        <w:rPr>
          <w:rFonts w:hint="eastAsia" w:ascii="Times New Roman" w:hAnsi="Times New Roman" w:cs="方正仿宋_GBK"/>
          <w:bCs/>
          <w:color w:val="000000"/>
          <w:sz w:val="24"/>
          <w:szCs w:val="24"/>
        </w:rPr>
        <w:t>前递交投标文件</w:t>
      </w:r>
      <w:r>
        <w:rPr>
          <w:rFonts w:hint="eastAsia" w:ascii="Times New Roman" w:hAnsi="Times New Roman" w:cs="方正仿宋_GBK"/>
          <w:color w:val="000000"/>
          <w:sz w:val="24"/>
          <w:szCs w:val="24"/>
        </w:rPr>
        <w:t>。</w:t>
      </w:r>
    </w:p>
    <w:p w14:paraId="6BF55DC6">
      <w:pPr>
        <w:pStyle w:val="43"/>
        <w:spacing w:before="0" w:after="0" w:line="460" w:lineRule="exact"/>
        <w:ind w:firstLine="643"/>
        <w:rPr>
          <w:rFonts w:eastAsia="宋体" w:cs="Arial"/>
          <w:bCs/>
          <w:color w:val="000000"/>
          <w:szCs w:val="22"/>
        </w:rPr>
      </w:pPr>
      <w:bookmarkStart w:id="7" w:name="_Toc28359002"/>
      <w:bookmarkStart w:id="8" w:name="_Toc28359079"/>
      <w:bookmarkStart w:id="9" w:name="_Toc38985263"/>
      <w:bookmarkStart w:id="10" w:name="_Toc2584"/>
      <w:bookmarkStart w:id="11" w:name="_Toc35393621"/>
      <w:bookmarkStart w:id="12" w:name="_Toc35393790"/>
      <w:bookmarkStart w:id="13" w:name="_Hlk24379207"/>
      <w:r>
        <w:rPr>
          <w:rFonts w:hint="eastAsia" w:eastAsia="宋体" w:cs="Arial"/>
          <w:bCs/>
          <w:color w:val="000000"/>
          <w:szCs w:val="22"/>
        </w:rPr>
        <w:t>一、项目基本情况</w:t>
      </w:r>
      <w:bookmarkEnd w:id="7"/>
      <w:bookmarkEnd w:id="8"/>
      <w:bookmarkEnd w:id="9"/>
      <w:bookmarkEnd w:id="10"/>
      <w:bookmarkEnd w:id="11"/>
      <w:bookmarkEnd w:id="12"/>
    </w:p>
    <w:p w14:paraId="587EBE15">
      <w:pPr>
        <w:spacing w:line="460" w:lineRule="exact"/>
        <w:ind w:firstLine="480"/>
        <w:rPr>
          <w:rFonts w:ascii="Times New Roman" w:hAnsi="Times New Roman" w:cs="仿宋"/>
          <w:color w:val="000000"/>
          <w:sz w:val="24"/>
          <w:szCs w:val="24"/>
        </w:rPr>
      </w:pPr>
      <w:r>
        <w:rPr>
          <w:rFonts w:hint="eastAsia" w:ascii="Times New Roman" w:hAnsi="Times New Roman" w:cs="仿宋"/>
          <w:color w:val="000000"/>
          <w:sz w:val="24"/>
          <w:szCs w:val="24"/>
        </w:rPr>
        <w:t>1.项目编号：JSZC-321322-JSHR-G2026-0032</w:t>
      </w:r>
    </w:p>
    <w:p w14:paraId="41DC6FEA">
      <w:pPr>
        <w:spacing w:line="460" w:lineRule="exact"/>
        <w:ind w:firstLine="480"/>
        <w:rPr>
          <w:rFonts w:ascii="Times New Roman" w:hAnsi="Times New Roman" w:cs="仿宋"/>
          <w:color w:val="000000"/>
          <w:sz w:val="24"/>
          <w:szCs w:val="24"/>
        </w:rPr>
      </w:pPr>
      <w:r>
        <w:rPr>
          <w:rFonts w:hint="eastAsia" w:ascii="Times New Roman" w:hAnsi="Times New Roman" w:cs="仿宋"/>
          <w:color w:val="000000"/>
          <w:sz w:val="24"/>
          <w:szCs w:val="24"/>
        </w:rPr>
        <w:t>2.项目名称：</w:t>
      </w:r>
      <w:bookmarkEnd w:id="13"/>
      <w:r>
        <w:rPr>
          <w:rFonts w:hint="eastAsia" w:ascii="Times New Roman" w:hAnsi="Times New Roman" w:cs="仿宋"/>
          <w:color w:val="000000"/>
          <w:sz w:val="24"/>
          <w:szCs w:val="24"/>
        </w:rPr>
        <w:t>沭阳县区域性农业综合服务中心（农技）建设“四情”监测设备采购安装项目</w:t>
      </w:r>
    </w:p>
    <w:p w14:paraId="2FC526A5">
      <w:pPr>
        <w:spacing w:line="460" w:lineRule="exact"/>
        <w:ind w:firstLine="480"/>
        <w:rPr>
          <w:rFonts w:ascii="仿宋" w:hAnsi="仿宋"/>
          <w:color w:val="000000"/>
          <w:sz w:val="24"/>
          <w:szCs w:val="24"/>
        </w:rPr>
      </w:pPr>
      <w:r>
        <w:rPr>
          <w:rFonts w:hint="eastAsia" w:ascii="Times New Roman" w:hAnsi="Times New Roman" w:cs="仿宋"/>
          <w:color w:val="000000"/>
          <w:sz w:val="24"/>
          <w:szCs w:val="24"/>
        </w:rPr>
        <w:t>3.预算金额：207.9万元。</w:t>
      </w:r>
    </w:p>
    <w:p w14:paraId="2BE0D3C9">
      <w:pPr>
        <w:spacing w:line="460" w:lineRule="exact"/>
        <w:ind w:firstLine="480"/>
        <w:rPr>
          <w:rFonts w:hint="eastAsia" w:ascii="Times New Roman" w:hAnsi="Times New Roman" w:eastAsia="宋体" w:cs="仿宋"/>
          <w:color w:val="000000"/>
          <w:sz w:val="24"/>
          <w:szCs w:val="24"/>
          <w:lang w:eastAsia="zh-CN"/>
        </w:rPr>
      </w:pPr>
      <w:r>
        <w:rPr>
          <w:rFonts w:hint="eastAsia" w:ascii="Times New Roman" w:hAnsi="Times New Roman" w:cs="仿宋"/>
          <w:color w:val="000000"/>
          <w:sz w:val="24"/>
          <w:szCs w:val="24"/>
        </w:rPr>
        <w:t>4.本项目设定最高限价，</w:t>
      </w:r>
      <w:r>
        <w:rPr>
          <w:rFonts w:ascii="宋体" w:hAnsi="宋体" w:cs="宋体"/>
          <w:color w:val="000000"/>
          <w:sz w:val="24"/>
        </w:rPr>
        <w:t>最高限价为：</w:t>
      </w:r>
      <w:r>
        <w:rPr>
          <w:rFonts w:hint="eastAsia" w:ascii="宋体" w:hAnsi="宋体" w:cs="宋体"/>
          <w:color w:val="000000"/>
          <w:sz w:val="24"/>
          <w:lang w:eastAsia="zh-CN"/>
        </w:rPr>
        <w:t>总价</w:t>
      </w:r>
      <w:r>
        <w:rPr>
          <w:rFonts w:hint="eastAsia" w:ascii="Times New Roman" w:hAnsi="Times New Roman"/>
          <w:color w:val="000000"/>
          <w:sz w:val="24"/>
        </w:rPr>
        <w:t>207.9</w:t>
      </w:r>
      <w:r>
        <w:rPr>
          <w:rFonts w:ascii="宋体" w:hAnsi="宋体" w:cs="宋体"/>
          <w:color w:val="000000"/>
          <w:sz w:val="24"/>
        </w:rPr>
        <w:t>万元</w:t>
      </w:r>
      <w:r>
        <w:rPr>
          <w:rFonts w:hint="eastAsia" w:ascii="宋体" w:hAnsi="宋体" w:cs="宋体"/>
          <w:color w:val="000000"/>
          <w:sz w:val="24"/>
          <w:lang w:eastAsia="zh-CN"/>
        </w:rPr>
        <w:t>，单价详见采购需求。</w:t>
      </w:r>
    </w:p>
    <w:p w14:paraId="44317CF8">
      <w:pPr>
        <w:spacing w:line="460" w:lineRule="exact"/>
        <w:ind w:firstLine="480"/>
        <w:rPr>
          <w:rFonts w:ascii="Times New Roman" w:hAnsi="Times New Roman"/>
          <w:color w:val="000000"/>
          <w:sz w:val="24"/>
          <w:szCs w:val="24"/>
          <w:u w:val="single"/>
        </w:rPr>
      </w:pPr>
      <w:r>
        <w:rPr>
          <w:rFonts w:hint="eastAsia" w:ascii="Times New Roman" w:hAnsi="Times New Roman" w:cs="仿宋"/>
          <w:color w:val="000000"/>
          <w:sz w:val="24"/>
          <w:szCs w:val="24"/>
        </w:rPr>
        <w:t>5.采购需求（简介）：沭阳县区域性农业综合服务中心（农技）建设“四情”监测设备采购安装项目，采购昆虫性诱智能测报设备、智能虫情测报灯、小虫体智能虫情测报灯、小麦赤霉病监测预警设备、土壤墒情监测设备（带气象站一体式）等。（</w:t>
      </w:r>
      <w:r>
        <w:rPr>
          <w:rFonts w:hint="eastAsia" w:ascii="Times New Roman" w:hAnsi="Times New Roman" w:cs="宋体"/>
          <w:color w:val="000000"/>
          <w:sz w:val="24"/>
          <w:szCs w:val="24"/>
        </w:rPr>
        <w:t xml:space="preserve">详细内容见本招标文件第四章） </w:t>
      </w:r>
    </w:p>
    <w:p w14:paraId="5B11D5E5">
      <w:pPr>
        <w:spacing w:line="460" w:lineRule="exact"/>
        <w:ind w:firstLine="480"/>
        <w:rPr>
          <w:rFonts w:ascii="Times New Roman" w:hAnsi="Times New Roman" w:cs="仿宋"/>
          <w:color w:val="000000"/>
          <w:sz w:val="24"/>
          <w:szCs w:val="24"/>
        </w:rPr>
      </w:pPr>
      <w:r>
        <w:rPr>
          <w:rFonts w:hint="eastAsia" w:ascii="Times New Roman" w:hAnsi="Times New Roman" w:cs="仿宋"/>
          <w:color w:val="000000"/>
          <w:sz w:val="24"/>
          <w:szCs w:val="24"/>
        </w:rPr>
        <w:t>6.合同履行期限：合同签订后30日历天内供货安装调试完毕并交付使用</w:t>
      </w:r>
    </w:p>
    <w:p w14:paraId="2B259E02">
      <w:pPr>
        <w:spacing w:line="460" w:lineRule="exact"/>
        <w:ind w:firstLine="480"/>
        <w:rPr>
          <w:rFonts w:ascii="Times New Roman" w:hAnsi="Times New Roman" w:cs="仿宋"/>
          <w:color w:val="000000"/>
          <w:sz w:val="24"/>
          <w:szCs w:val="24"/>
        </w:rPr>
      </w:pPr>
      <w:r>
        <w:rPr>
          <w:rFonts w:hint="eastAsia" w:ascii="Times New Roman" w:hAnsi="Times New Roman" w:cs="仿宋"/>
          <w:color w:val="000000"/>
          <w:sz w:val="24"/>
          <w:szCs w:val="24"/>
        </w:rPr>
        <w:t>7.本项目</w:t>
      </w:r>
      <w:r>
        <w:rPr>
          <w:rFonts w:hint="eastAsia" w:ascii="Times New Roman" w:hAnsi="Times New Roman" w:cs="仿宋"/>
          <w:color w:val="000000"/>
          <w:sz w:val="24"/>
          <w:szCs w:val="24"/>
          <w:u w:val="single"/>
        </w:rPr>
        <w:t xml:space="preserve"> 不接受 </w:t>
      </w:r>
      <w:r>
        <w:rPr>
          <w:rFonts w:hint="eastAsia" w:ascii="Times New Roman" w:hAnsi="Times New Roman" w:cs="仿宋"/>
          <w:color w:val="000000"/>
          <w:sz w:val="24"/>
          <w:szCs w:val="24"/>
        </w:rPr>
        <w:t>联合体投标。</w:t>
      </w:r>
    </w:p>
    <w:p w14:paraId="01C0AC73">
      <w:pPr>
        <w:pStyle w:val="43"/>
        <w:spacing w:before="0" w:after="0" w:line="460" w:lineRule="exact"/>
        <w:ind w:firstLine="643"/>
        <w:rPr>
          <w:rFonts w:eastAsia="宋体" w:cs="Arial"/>
          <w:bCs/>
          <w:color w:val="000000"/>
          <w:szCs w:val="22"/>
        </w:rPr>
      </w:pPr>
      <w:bookmarkStart w:id="14" w:name="_Toc35393622"/>
      <w:bookmarkStart w:id="15" w:name="_Toc28359003"/>
      <w:bookmarkStart w:id="16" w:name="_Toc38985264"/>
      <w:bookmarkStart w:id="17" w:name="_Toc35393791"/>
      <w:bookmarkStart w:id="18" w:name="_Toc28359080"/>
      <w:bookmarkStart w:id="19" w:name="_Toc27291"/>
      <w:r>
        <w:rPr>
          <w:rFonts w:hint="eastAsia" w:eastAsia="宋体" w:cs="Arial"/>
          <w:bCs/>
          <w:color w:val="000000"/>
          <w:szCs w:val="22"/>
        </w:rPr>
        <w:t>二、申请人的资格要求</w:t>
      </w:r>
      <w:bookmarkEnd w:id="14"/>
      <w:bookmarkEnd w:id="15"/>
      <w:bookmarkEnd w:id="16"/>
      <w:bookmarkEnd w:id="17"/>
      <w:bookmarkEnd w:id="18"/>
      <w:bookmarkEnd w:id="19"/>
    </w:p>
    <w:p w14:paraId="5E5C726D">
      <w:pPr>
        <w:spacing w:line="460" w:lineRule="exact"/>
        <w:ind w:firstLine="480"/>
        <w:rPr>
          <w:rFonts w:ascii="Times New Roman" w:hAnsi="Times New Roman" w:cs="仿宋"/>
          <w:color w:val="000000"/>
          <w:sz w:val="24"/>
          <w:szCs w:val="24"/>
        </w:rPr>
      </w:pPr>
      <w:bookmarkStart w:id="20" w:name="_Toc35393623"/>
      <w:bookmarkStart w:id="21" w:name="_Toc35393792"/>
      <w:bookmarkStart w:id="22" w:name="_Toc38985265"/>
      <w:bookmarkStart w:id="23" w:name="_Toc28359004"/>
      <w:bookmarkStart w:id="24" w:name="_Toc28359081"/>
      <w:r>
        <w:rPr>
          <w:rFonts w:hint="eastAsia" w:ascii="Times New Roman" w:hAnsi="Times New Roman" w:cs="仿宋"/>
          <w:color w:val="000000"/>
          <w:sz w:val="24"/>
          <w:szCs w:val="24"/>
        </w:rPr>
        <w:t>（一）通用资格要求</w:t>
      </w:r>
    </w:p>
    <w:p w14:paraId="4E2074DF">
      <w:pPr>
        <w:spacing w:line="460" w:lineRule="exact"/>
        <w:ind w:firstLine="480"/>
        <w:rPr>
          <w:rFonts w:ascii="Times New Roman" w:hAnsi="Times New Roman" w:cs="仿宋"/>
          <w:color w:val="000000"/>
          <w:sz w:val="24"/>
          <w:szCs w:val="24"/>
        </w:rPr>
      </w:pPr>
      <w:r>
        <w:rPr>
          <w:rFonts w:hint="eastAsia" w:ascii="Times New Roman" w:hAnsi="Times New Roman" w:cs="仿宋"/>
          <w:color w:val="000000"/>
          <w:sz w:val="24"/>
          <w:szCs w:val="24"/>
        </w:rPr>
        <w:t>1、具备《中华人民共和国政府采购法》第二十二条第一款规定的6项条件（按要求提供声明及信用承诺）；</w:t>
      </w:r>
    </w:p>
    <w:p w14:paraId="62CB5995">
      <w:pPr>
        <w:spacing w:line="460" w:lineRule="exact"/>
        <w:ind w:firstLine="480"/>
        <w:rPr>
          <w:rFonts w:ascii="Times New Roman" w:hAnsi="Times New Roman" w:cs="仿宋"/>
          <w:color w:val="000000"/>
          <w:sz w:val="24"/>
          <w:szCs w:val="24"/>
        </w:rPr>
      </w:pPr>
      <w:r>
        <w:rPr>
          <w:rFonts w:hint="eastAsia" w:ascii="Times New Roman" w:hAnsi="Times New Roman" w:cs="仿宋"/>
          <w:color w:val="000000"/>
          <w:sz w:val="24"/>
          <w:szCs w:val="24"/>
        </w:rPr>
        <w:t>2、信用信息：</w:t>
      </w:r>
    </w:p>
    <w:p w14:paraId="1B2E98D5">
      <w:pPr>
        <w:spacing w:line="460" w:lineRule="exact"/>
        <w:ind w:firstLine="480"/>
        <w:rPr>
          <w:rFonts w:ascii="Times New Roman" w:hAnsi="Times New Roman" w:cs="仿宋"/>
          <w:color w:val="000000"/>
          <w:sz w:val="24"/>
          <w:szCs w:val="24"/>
        </w:rPr>
      </w:pPr>
      <w:r>
        <w:rPr>
          <w:rFonts w:hint="eastAsia" w:ascii="Times New Roman" w:hAnsi="Times New Roman" w:cs="仿宋"/>
          <w:color w:val="000000"/>
          <w:sz w:val="24"/>
          <w:szCs w:val="24"/>
        </w:rPr>
        <w:t>信用信息查询渠道：“信用中国”网（www.creditchina.gov.cn）、“中国政府采购”网（www.ccgp.gov.cn）、江苏政府采购网（www.ccgp-jiangsu.gov.cn）。</w:t>
      </w:r>
    </w:p>
    <w:p w14:paraId="208AB280">
      <w:pPr>
        <w:spacing w:line="480" w:lineRule="exact"/>
        <w:ind w:firstLine="480"/>
        <w:rPr>
          <w:rFonts w:ascii="Times New Roman" w:hAnsi="Times New Roman" w:cs="仿宋"/>
          <w:color w:val="000000"/>
          <w:sz w:val="24"/>
          <w:szCs w:val="24"/>
        </w:rPr>
      </w:pPr>
    </w:p>
    <w:p w14:paraId="266987A6">
      <w:pPr>
        <w:spacing w:line="480" w:lineRule="exact"/>
        <w:ind w:firstLine="480"/>
        <w:rPr>
          <w:rFonts w:ascii="Times New Roman" w:hAnsi="Times New Roman" w:cs="仿宋"/>
          <w:color w:val="000000"/>
          <w:sz w:val="24"/>
          <w:szCs w:val="24"/>
        </w:rPr>
      </w:pPr>
      <w:r>
        <w:rPr>
          <w:rFonts w:hint="eastAsia" w:ascii="Times New Roman" w:hAnsi="Times New Roman" w:cs="仿宋"/>
          <w:color w:val="000000"/>
          <w:sz w:val="24"/>
          <w:szCs w:val="24"/>
        </w:rPr>
        <w:t>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p>
    <w:p w14:paraId="636DEF22">
      <w:pPr>
        <w:numPr>
          <w:ilvl w:val="0"/>
          <w:numId w:val="3"/>
        </w:numPr>
        <w:spacing w:line="380" w:lineRule="exact"/>
        <w:ind w:firstLine="480"/>
        <w:jc w:val="left"/>
        <w:rPr>
          <w:rFonts w:ascii="Times New Roman" w:hAnsi="Times New Roman" w:cs="仿宋"/>
          <w:color w:val="000000"/>
          <w:sz w:val="24"/>
          <w:szCs w:val="24"/>
        </w:rPr>
      </w:pPr>
      <w:r>
        <w:rPr>
          <w:rFonts w:hint="eastAsia" w:ascii="Times New Roman" w:hAnsi="Times New Roman" w:cs="仿宋"/>
          <w:color w:val="000000"/>
          <w:sz w:val="24"/>
          <w:szCs w:val="24"/>
        </w:rPr>
        <w:t>落实政府采购政策需满足的资格要求：</w:t>
      </w:r>
    </w:p>
    <w:p w14:paraId="6A2F0BCA">
      <w:pPr>
        <w:pBdr>
          <w:top w:val="none" w:color="000000" w:sz="0" w:space="0"/>
          <w:left w:val="none" w:color="000000" w:sz="0" w:space="0"/>
          <w:bottom w:val="none" w:color="000000" w:sz="0" w:space="0"/>
          <w:right w:val="none" w:color="000000" w:sz="0" w:space="0"/>
        </w:pBdr>
        <w:spacing w:line="479" w:lineRule="atLeast"/>
        <w:ind w:firstLine="480"/>
      </w:pPr>
      <w:r>
        <w:rPr>
          <w:rFonts w:ascii="宋体" w:hAnsi="宋体" w:cs="宋体"/>
          <w:color w:val="000000"/>
          <w:sz w:val="24"/>
        </w:rPr>
        <w:t>本项目为非预留份额的采购项目，执行价格扣除优惠政策，给予小微型企业、监狱企业或残疾人福利性单位报价</w:t>
      </w:r>
      <w:r>
        <w:rPr>
          <w:rFonts w:ascii="Times New Roman" w:hAnsi="Times New Roman" w:eastAsia="Times New Roman"/>
          <w:color w:val="000000"/>
          <w:sz w:val="24"/>
        </w:rPr>
        <w:t>15%</w:t>
      </w:r>
      <w:r>
        <w:rPr>
          <w:rFonts w:ascii="宋体" w:hAnsi="宋体" w:cs="宋体"/>
          <w:color w:val="000000"/>
          <w:sz w:val="24"/>
        </w:rPr>
        <w:t>的扣除，用扣除后的价格参加评审。价格扣除比例对小型企业和微型企业同等对待，不作区分。监狱企业、残疾人福利单位属于小型、微型企业的，不重复享受政策。</w:t>
      </w:r>
    </w:p>
    <w:p w14:paraId="706AA545">
      <w:pPr>
        <w:spacing w:line="480" w:lineRule="exact"/>
        <w:ind w:firstLine="480"/>
        <w:rPr>
          <w:rFonts w:ascii="Times New Roman" w:hAnsi="Times New Roman" w:cs="仿宋"/>
          <w:color w:val="000000"/>
          <w:sz w:val="24"/>
          <w:szCs w:val="24"/>
        </w:rPr>
      </w:pPr>
      <w:r>
        <w:rPr>
          <w:rFonts w:hint="eastAsia" w:ascii="Times New Roman" w:hAnsi="Times New Roman" w:cs="仿宋"/>
          <w:color w:val="000000"/>
          <w:sz w:val="24"/>
          <w:szCs w:val="24"/>
        </w:rPr>
        <w:t>（三）本项目的特定资格要求：无</w:t>
      </w:r>
    </w:p>
    <w:p w14:paraId="237B0C85">
      <w:pPr>
        <w:pStyle w:val="43"/>
        <w:spacing w:before="0" w:after="0" w:line="480" w:lineRule="exact"/>
        <w:ind w:firstLine="643"/>
        <w:rPr>
          <w:rFonts w:eastAsia="宋体" w:cs="Arial"/>
          <w:bCs/>
          <w:color w:val="000000"/>
          <w:szCs w:val="22"/>
        </w:rPr>
      </w:pPr>
      <w:bookmarkStart w:id="25" w:name="_Toc22204"/>
      <w:r>
        <w:rPr>
          <w:rFonts w:hint="eastAsia" w:eastAsia="宋体" w:cs="Arial"/>
          <w:bCs/>
          <w:color w:val="000000"/>
          <w:szCs w:val="22"/>
        </w:rPr>
        <w:t>三、获取招标文件</w:t>
      </w:r>
      <w:bookmarkEnd w:id="20"/>
      <w:bookmarkEnd w:id="21"/>
      <w:bookmarkEnd w:id="22"/>
      <w:bookmarkEnd w:id="23"/>
      <w:bookmarkEnd w:id="24"/>
      <w:bookmarkEnd w:id="25"/>
    </w:p>
    <w:p w14:paraId="27F46AB8">
      <w:pPr>
        <w:spacing w:line="480" w:lineRule="exact"/>
        <w:ind w:firstLine="480"/>
        <w:rPr>
          <w:rFonts w:ascii="Times New Roman" w:hAnsi="Times New Roman" w:cs="仿宋"/>
          <w:color w:val="000000"/>
          <w:sz w:val="24"/>
          <w:szCs w:val="24"/>
        </w:rPr>
      </w:pPr>
      <w:bookmarkStart w:id="26" w:name="_Toc28359005"/>
      <w:bookmarkStart w:id="27" w:name="_Toc28359082"/>
      <w:bookmarkStart w:id="28" w:name="_Toc35393793"/>
      <w:bookmarkStart w:id="29" w:name="_Toc38985266"/>
      <w:bookmarkStart w:id="30" w:name="_Toc35393624"/>
      <w:r>
        <w:rPr>
          <w:rFonts w:hint="eastAsia" w:ascii="Times New Roman" w:hAnsi="Times New Roman" w:cs="仿宋"/>
          <w:color w:val="000000"/>
          <w:sz w:val="24"/>
          <w:szCs w:val="24"/>
        </w:rPr>
        <w:t>1.时间：招标公告发布之日起5个工作日。</w:t>
      </w:r>
    </w:p>
    <w:p w14:paraId="4B719098">
      <w:pPr>
        <w:spacing w:line="480" w:lineRule="exact"/>
        <w:ind w:firstLine="480"/>
      </w:pPr>
      <w:r>
        <w:rPr>
          <w:rFonts w:hint="eastAsia" w:ascii="Times New Roman" w:hAnsi="Times New Roman" w:cs="仿宋"/>
          <w:color w:val="000000"/>
          <w:sz w:val="24"/>
          <w:szCs w:val="24"/>
        </w:rPr>
        <w:t>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p>
    <w:p w14:paraId="52BDD24A">
      <w:pPr>
        <w:spacing w:line="480" w:lineRule="exact"/>
        <w:ind w:firstLine="480"/>
        <w:rPr>
          <w:rFonts w:ascii="Times New Roman" w:hAnsi="Times New Roman" w:cs="仿宋"/>
          <w:color w:val="000000"/>
          <w:sz w:val="24"/>
          <w:szCs w:val="24"/>
        </w:rPr>
      </w:pPr>
      <w:bookmarkStart w:id="31" w:name="EB0c44ff4da61f4af989d119fe214be450"/>
      <w:r>
        <w:rPr>
          <w:rFonts w:hint="eastAsia" w:ascii="Times New Roman" w:hAnsi="Times New Roman" w:cs="仿宋"/>
          <w:color w:val="000000"/>
          <w:sz w:val="24"/>
          <w:szCs w:val="24"/>
        </w:rPr>
        <w:t>3.本项目共分1个采购包。投标人参与多个采购包投标的，应按采购包分别获取招标文件。投标人未按要求获取招标文件，后果自负（其投标文件不予接受）。</w:t>
      </w:r>
      <w:bookmarkEnd w:id="31"/>
    </w:p>
    <w:p w14:paraId="79511E1C">
      <w:pPr>
        <w:pStyle w:val="43"/>
        <w:spacing w:before="0" w:after="0" w:line="480" w:lineRule="exact"/>
        <w:ind w:firstLine="643"/>
        <w:rPr>
          <w:rFonts w:eastAsia="宋体" w:cs="Arial"/>
          <w:bCs/>
          <w:color w:val="000000"/>
          <w:szCs w:val="22"/>
        </w:rPr>
      </w:pPr>
      <w:bookmarkStart w:id="32" w:name="_Toc19148"/>
      <w:r>
        <w:rPr>
          <w:rFonts w:hint="eastAsia" w:eastAsia="宋体" w:cs="Arial"/>
          <w:bCs/>
          <w:color w:val="000000"/>
          <w:szCs w:val="22"/>
        </w:rPr>
        <w:t>四、提交投标文件</w:t>
      </w:r>
      <w:bookmarkEnd w:id="26"/>
      <w:bookmarkEnd w:id="27"/>
      <w:r>
        <w:rPr>
          <w:rFonts w:hint="eastAsia" w:eastAsia="宋体" w:cs="Arial"/>
          <w:bCs/>
          <w:color w:val="000000"/>
          <w:szCs w:val="22"/>
        </w:rPr>
        <w:t>截止时间、开标时间和地点</w:t>
      </w:r>
      <w:bookmarkEnd w:id="28"/>
      <w:bookmarkEnd w:id="29"/>
      <w:bookmarkEnd w:id="30"/>
      <w:bookmarkEnd w:id="32"/>
    </w:p>
    <w:p w14:paraId="650F65E4">
      <w:pPr>
        <w:spacing w:line="480" w:lineRule="exact"/>
        <w:ind w:firstLine="480"/>
        <w:rPr>
          <w:rFonts w:ascii="Times New Roman" w:hAnsi="Times New Roman" w:cs="仿宋"/>
          <w:color w:val="000000"/>
          <w:sz w:val="24"/>
          <w:szCs w:val="24"/>
        </w:rPr>
      </w:pPr>
      <w:r>
        <w:rPr>
          <w:rFonts w:hint="eastAsia" w:ascii="Times New Roman" w:hAnsi="Times New Roman" w:cs="仿宋"/>
          <w:color w:val="000000"/>
          <w:sz w:val="24"/>
          <w:szCs w:val="24"/>
        </w:rPr>
        <w:t>1.提交投标文件截止时间、开标时间：2026年</w:t>
      </w:r>
      <w:r>
        <w:rPr>
          <w:rFonts w:hint="eastAsia" w:ascii="Times New Roman" w:hAnsi="Times New Roman" w:cs="仿宋"/>
          <w:color w:val="000000"/>
          <w:sz w:val="24"/>
          <w:szCs w:val="24"/>
          <w:lang w:val="en-US" w:eastAsia="zh-CN"/>
        </w:rPr>
        <w:t>9</w:t>
      </w:r>
      <w:r>
        <w:rPr>
          <w:rFonts w:hint="eastAsia" w:ascii="Times New Roman" w:hAnsi="Times New Roman" w:cs="仿宋"/>
          <w:color w:val="000000"/>
          <w:sz w:val="24"/>
          <w:szCs w:val="24"/>
        </w:rPr>
        <w:t>月</w:t>
      </w:r>
      <w:r>
        <w:rPr>
          <w:rFonts w:hint="eastAsia" w:ascii="Times New Roman" w:hAnsi="Times New Roman" w:cs="仿宋"/>
          <w:color w:val="000000"/>
          <w:sz w:val="24"/>
          <w:szCs w:val="24"/>
          <w:lang w:val="en-US" w:eastAsia="zh-CN"/>
        </w:rPr>
        <w:t>29</w:t>
      </w:r>
      <w:bookmarkStart w:id="186" w:name="_GoBack"/>
      <w:bookmarkEnd w:id="186"/>
      <w:r>
        <w:rPr>
          <w:rFonts w:hint="eastAsia" w:ascii="Times New Roman" w:hAnsi="Times New Roman" w:cs="仿宋"/>
          <w:color w:val="000000"/>
          <w:sz w:val="24"/>
          <w:szCs w:val="24"/>
        </w:rPr>
        <w:t>日9点30分（北京时间）</w:t>
      </w:r>
    </w:p>
    <w:p w14:paraId="6EA7884D">
      <w:pPr>
        <w:spacing w:line="480" w:lineRule="exact"/>
        <w:ind w:firstLine="480"/>
        <w:rPr>
          <w:rFonts w:ascii="Times New Roman" w:hAnsi="Times New Roman" w:cs="仿宋"/>
          <w:color w:val="000000"/>
          <w:sz w:val="24"/>
          <w:szCs w:val="24"/>
        </w:rPr>
      </w:pPr>
      <w:r>
        <w:rPr>
          <w:rFonts w:hint="eastAsia" w:ascii="Times New Roman" w:hAnsi="Times New Roman" w:cs="仿宋"/>
          <w:color w:val="000000"/>
          <w:sz w:val="24"/>
          <w:szCs w:val="24"/>
        </w:rPr>
        <w:t>2.地点：“苏采云”政府采购交易系统网上开标大厅。</w:t>
      </w:r>
    </w:p>
    <w:p w14:paraId="7772B3C3">
      <w:pPr>
        <w:pStyle w:val="43"/>
        <w:spacing w:before="0" w:after="0" w:line="480" w:lineRule="exact"/>
        <w:ind w:firstLine="643"/>
        <w:rPr>
          <w:rFonts w:eastAsia="宋体" w:cs="Arial"/>
          <w:bCs/>
          <w:color w:val="000000"/>
          <w:szCs w:val="22"/>
        </w:rPr>
      </w:pPr>
      <w:bookmarkStart w:id="33" w:name="_Toc28359084"/>
      <w:bookmarkStart w:id="34" w:name="_Toc24820"/>
      <w:bookmarkStart w:id="35" w:name="_Toc35393625"/>
      <w:bookmarkStart w:id="36" w:name="_Toc38985267"/>
      <w:bookmarkStart w:id="37" w:name="_Toc28359007"/>
      <w:bookmarkStart w:id="38" w:name="_Toc35393794"/>
      <w:r>
        <w:rPr>
          <w:rFonts w:hint="eastAsia" w:eastAsia="宋体" w:cs="Arial"/>
          <w:bCs/>
          <w:color w:val="000000"/>
          <w:szCs w:val="22"/>
        </w:rPr>
        <w:t>五、公告期限</w:t>
      </w:r>
      <w:bookmarkEnd w:id="33"/>
      <w:bookmarkEnd w:id="34"/>
      <w:bookmarkEnd w:id="35"/>
      <w:bookmarkEnd w:id="36"/>
      <w:bookmarkEnd w:id="37"/>
      <w:bookmarkEnd w:id="38"/>
    </w:p>
    <w:p w14:paraId="0955016B">
      <w:pPr>
        <w:spacing w:line="480" w:lineRule="exact"/>
        <w:ind w:firstLine="480"/>
        <w:rPr>
          <w:rFonts w:ascii="Times New Roman" w:hAnsi="Times New Roman" w:cs="仿宋"/>
          <w:color w:val="000000"/>
          <w:sz w:val="24"/>
          <w:szCs w:val="24"/>
        </w:rPr>
      </w:pPr>
      <w:bookmarkStart w:id="39" w:name="_Toc35393626"/>
      <w:bookmarkStart w:id="40" w:name="_Toc38985268"/>
      <w:bookmarkStart w:id="41" w:name="_Toc35393795"/>
      <w:r>
        <w:rPr>
          <w:rFonts w:hint="eastAsia" w:ascii="Times New Roman" w:hAnsi="Times New Roman" w:cs="仿宋"/>
          <w:color w:val="000000"/>
          <w:sz w:val="24"/>
          <w:szCs w:val="24"/>
        </w:rPr>
        <w:t>招标公告及招标文件公告期限为自本公告发布之日起5个工作日。</w:t>
      </w:r>
    </w:p>
    <w:p w14:paraId="7289788F">
      <w:pPr>
        <w:pStyle w:val="43"/>
        <w:spacing w:before="0" w:after="0" w:line="480" w:lineRule="exact"/>
        <w:ind w:firstLine="643"/>
        <w:rPr>
          <w:rFonts w:eastAsia="宋体" w:cs="Arial"/>
          <w:bCs/>
          <w:color w:val="000000"/>
          <w:szCs w:val="22"/>
        </w:rPr>
      </w:pPr>
      <w:bookmarkStart w:id="42" w:name="_Toc13415"/>
      <w:r>
        <w:rPr>
          <w:rFonts w:hint="eastAsia" w:eastAsia="宋体" w:cs="Arial"/>
          <w:bCs/>
          <w:color w:val="000000"/>
          <w:szCs w:val="22"/>
        </w:rPr>
        <w:t>六、其他补充事宜</w:t>
      </w:r>
      <w:bookmarkEnd w:id="39"/>
      <w:bookmarkEnd w:id="40"/>
      <w:bookmarkEnd w:id="41"/>
      <w:bookmarkEnd w:id="42"/>
    </w:p>
    <w:p w14:paraId="4C619BF0">
      <w:pPr>
        <w:spacing w:line="480" w:lineRule="exact"/>
        <w:ind w:firstLine="480"/>
        <w:rPr>
          <w:rFonts w:ascii="Times New Roman" w:hAnsi="Times New Roman" w:cs="仿宋"/>
          <w:color w:val="000000"/>
          <w:sz w:val="24"/>
          <w:szCs w:val="24"/>
        </w:rPr>
      </w:pPr>
      <w:bookmarkStart w:id="43" w:name="EB64e1f522fd8c43fcb4d3ba471386b3e7"/>
      <w:bookmarkStart w:id="44" w:name="_Toc28359085"/>
      <w:bookmarkStart w:id="45" w:name="_Toc28359008"/>
      <w:bookmarkStart w:id="46" w:name="_Toc38985269"/>
      <w:bookmarkStart w:id="47" w:name="_Toc35393627"/>
      <w:bookmarkStart w:id="48" w:name="_Toc35393796"/>
      <w:r>
        <w:rPr>
          <w:rFonts w:hint="eastAsia" w:ascii="Times New Roman" w:hAnsi="Times New Roman" w:cs="仿宋"/>
          <w:color w:val="000000"/>
          <w:sz w:val="24"/>
          <w:szCs w:val="24"/>
        </w:rPr>
        <w:t>1.招标公告发布媒体：</w:t>
      </w:r>
      <w:bookmarkStart w:id="49" w:name="OLE_LINK3"/>
      <w:r>
        <w:rPr>
          <w:rFonts w:hint="eastAsia" w:ascii="Times New Roman" w:hAnsi="Times New Roman" w:cs="仿宋"/>
          <w:color w:val="000000"/>
          <w:sz w:val="24"/>
          <w:szCs w:val="24"/>
        </w:rPr>
        <w:t>江苏政府采购网</w:t>
      </w:r>
      <w:bookmarkEnd w:id="49"/>
      <w:r>
        <w:rPr>
          <w:rFonts w:hint="eastAsia" w:ascii="Times New Roman" w:hAnsi="Times New Roman" w:cs="仿宋"/>
          <w:color w:val="000000"/>
          <w:sz w:val="24"/>
          <w:szCs w:val="24"/>
        </w:rPr>
        <w:t>、宿迁市政府采购网等。</w:t>
      </w:r>
    </w:p>
    <w:p w14:paraId="54044246">
      <w:pPr>
        <w:spacing w:line="480" w:lineRule="exact"/>
        <w:ind w:firstLine="480"/>
        <w:rPr>
          <w:rFonts w:ascii="Times New Roman" w:hAnsi="Times New Roman" w:cs="仿宋"/>
          <w:color w:val="000000"/>
          <w:sz w:val="24"/>
          <w:szCs w:val="24"/>
        </w:rPr>
      </w:pPr>
      <w:r>
        <w:rPr>
          <w:rFonts w:hint="eastAsia" w:ascii="Times New Roman" w:hAnsi="Times New Roman" w:cs="仿宋"/>
          <w:color w:val="000000"/>
          <w:sz w:val="24"/>
          <w:szCs w:val="24"/>
        </w:rPr>
        <w:t>2.“CA”数字证书办理：“苏采云”系统目前仅支持“苏采云”系统下的意源CA。省内各地区办理的“苏采云”系统下的意源CA全省通用。宿迁地区CA数字证书办理联系方式：18762803891。</w:t>
      </w:r>
    </w:p>
    <w:p w14:paraId="66E3582E">
      <w:pPr>
        <w:spacing w:line="480" w:lineRule="exact"/>
        <w:ind w:firstLine="480"/>
        <w:rPr>
          <w:rFonts w:ascii="Times New Roman" w:hAnsi="Times New Roman" w:cs="仿宋"/>
          <w:color w:val="000000"/>
          <w:sz w:val="24"/>
          <w:szCs w:val="24"/>
        </w:rPr>
      </w:pPr>
      <w:r>
        <w:rPr>
          <w:rFonts w:hint="eastAsia" w:ascii="Times New Roman" w:hAnsi="Times New Roman" w:cs="仿宋"/>
          <w:color w:val="000000"/>
          <w:sz w:val="24"/>
          <w:szCs w:val="24"/>
        </w:rPr>
        <w:t>3.宿迁地区“苏采云”系统技术支持客服电话：0527-84363067、0519-86722806。</w:t>
      </w:r>
      <w:bookmarkEnd w:id="43"/>
    </w:p>
    <w:p w14:paraId="1054E897">
      <w:pPr>
        <w:spacing w:line="480" w:lineRule="exact"/>
        <w:ind w:firstLine="480"/>
        <w:rPr>
          <w:rFonts w:ascii="Times New Roman" w:hAnsi="Times New Roman" w:cs="仿宋"/>
          <w:color w:val="000000"/>
          <w:sz w:val="24"/>
          <w:szCs w:val="24"/>
        </w:rPr>
      </w:pPr>
      <w:bookmarkStart w:id="50" w:name="_Toc29049"/>
      <w:r>
        <w:rPr>
          <w:rFonts w:hint="eastAsia" w:ascii="Times New Roman" w:hAnsi="Times New Roman" w:cs="仿宋"/>
          <w:color w:val="000000"/>
          <w:sz w:val="24"/>
          <w:szCs w:val="24"/>
        </w:rPr>
        <w:t>4.现场勘察及答疑：本项目不组织集中勘察及答疑，供应商如对采购需求有疑问，请咨询采购单位联系人。</w:t>
      </w:r>
    </w:p>
    <w:p w14:paraId="5FA6F6DF">
      <w:pPr>
        <w:spacing w:line="480" w:lineRule="exact"/>
        <w:ind w:firstLine="480"/>
        <w:rPr>
          <w:rFonts w:ascii="Times New Roman" w:hAnsi="Times New Roman" w:cs="仿宋"/>
          <w:color w:val="000000"/>
          <w:sz w:val="24"/>
          <w:szCs w:val="24"/>
        </w:rPr>
      </w:pPr>
      <w:r>
        <w:rPr>
          <w:rFonts w:hint="eastAsia" w:ascii="Times New Roman" w:hAnsi="Times New Roman" w:cs="仿宋"/>
          <w:color w:val="000000"/>
          <w:sz w:val="24"/>
          <w:szCs w:val="24"/>
        </w:rPr>
        <w:t>5.有关本次招标的事项若存在变动或修改，敬请及时关注“宿迁市政府采购网”等平台更正公告。</w:t>
      </w:r>
    </w:p>
    <w:p w14:paraId="262D8CD7">
      <w:pPr>
        <w:spacing w:line="480" w:lineRule="exact"/>
        <w:ind w:firstLine="480"/>
        <w:rPr>
          <w:rFonts w:ascii="Times New Roman" w:hAnsi="Times New Roman" w:cs="仿宋"/>
          <w:color w:val="000000"/>
          <w:sz w:val="24"/>
          <w:szCs w:val="24"/>
        </w:rPr>
      </w:pPr>
      <w:r>
        <w:rPr>
          <w:rFonts w:hint="eastAsia" w:ascii="Times New Roman" w:hAnsi="Times New Roman" w:cs="仿宋"/>
          <w:color w:val="000000"/>
          <w:sz w:val="24"/>
          <w:szCs w:val="24"/>
        </w:rPr>
        <w:t>6.本次招标不收取响应保证金。</w:t>
      </w:r>
    </w:p>
    <w:p w14:paraId="75FF8889">
      <w:pPr>
        <w:pStyle w:val="118"/>
        <w:spacing w:before="0" w:after="0" w:line="440" w:lineRule="exact"/>
        <w:ind w:firstLine="480"/>
      </w:pPr>
      <w:r>
        <w:rPr>
          <w:rFonts w:hint="eastAsia" w:ascii="宋体" w:hAnsi="宋体" w:cs="宋体"/>
          <w:sz w:val="24"/>
          <w:szCs w:val="24"/>
        </w:rPr>
        <w:t>7</w:t>
      </w:r>
      <w:r>
        <w:rPr>
          <w:rFonts w:hint="eastAsia" w:ascii="宋体" w:hAnsi="宋体" w:cs="宋体"/>
          <w:sz w:val="24"/>
          <w:szCs w:val="24"/>
          <w:highlight w:val="white"/>
        </w:rPr>
        <w:t xml:space="preserve">.财政部门监督电话：0527-83559270 </w:t>
      </w:r>
    </w:p>
    <w:p w14:paraId="54FCBD93">
      <w:pPr>
        <w:pStyle w:val="43"/>
        <w:spacing w:before="0" w:after="0" w:line="480" w:lineRule="exact"/>
        <w:ind w:firstLine="643"/>
        <w:rPr>
          <w:rFonts w:eastAsia="宋体" w:cs="Arial"/>
          <w:bCs/>
          <w:color w:val="000000"/>
          <w:szCs w:val="22"/>
        </w:rPr>
      </w:pPr>
      <w:r>
        <w:rPr>
          <w:rFonts w:hint="eastAsia" w:eastAsia="宋体" w:cs="Arial"/>
          <w:bCs/>
          <w:color w:val="000000"/>
          <w:szCs w:val="22"/>
        </w:rPr>
        <w:t>七、本次招标联系方式</w:t>
      </w:r>
      <w:bookmarkEnd w:id="44"/>
      <w:bookmarkEnd w:id="45"/>
      <w:bookmarkEnd w:id="46"/>
      <w:bookmarkEnd w:id="47"/>
      <w:bookmarkEnd w:id="48"/>
      <w:bookmarkEnd w:id="50"/>
    </w:p>
    <w:p w14:paraId="68C64C7A">
      <w:pPr>
        <w:widowControl/>
        <w:spacing w:line="460" w:lineRule="exact"/>
        <w:ind w:firstLine="560"/>
        <w:jc w:val="left"/>
        <w:rPr>
          <w:rFonts w:ascii="Times New Roman" w:hAnsi="Times New Roman" w:cs="宋体"/>
          <w:color w:val="000000"/>
          <w:sz w:val="28"/>
          <w:szCs w:val="28"/>
        </w:rPr>
      </w:pPr>
      <w:r>
        <w:rPr>
          <w:rFonts w:hint="eastAsia" w:ascii="Times New Roman" w:hAnsi="Times New Roman" w:cs="宋体"/>
          <w:color w:val="000000"/>
          <w:sz w:val="28"/>
          <w:szCs w:val="28"/>
        </w:rPr>
        <w:t>1.采购人信息</w:t>
      </w:r>
    </w:p>
    <w:p w14:paraId="2F780577">
      <w:pPr>
        <w:spacing w:line="460" w:lineRule="exact"/>
        <w:ind w:left="441" w:firstLine="139"/>
        <w:jc w:val="left"/>
        <w:rPr>
          <w:rFonts w:ascii="Times New Roman" w:hAnsi="Times New Roman"/>
          <w:color w:val="000000"/>
          <w:sz w:val="24"/>
          <w:szCs w:val="24"/>
        </w:rPr>
      </w:pPr>
      <w:r>
        <w:rPr>
          <w:rFonts w:hint="eastAsia" w:ascii="Times New Roman" w:hAnsi="Times New Roman"/>
          <w:color w:val="000000"/>
          <w:sz w:val="24"/>
          <w:szCs w:val="24"/>
        </w:rPr>
        <w:t>名 称：</w:t>
      </w:r>
      <w:r>
        <w:rPr>
          <w:rFonts w:hint="eastAsia"/>
          <w:color w:val="000000"/>
          <w:sz w:val="24"/>
          <w:szCs w:val="24"/>
          <w:u w:val="single"/>
        </w:rPr>
        <w:t>沭阳县农业农村局</w:t>
      </w:r>
    </w:p>
    <w:p w14:paraId="2E89937F">
      <w:pPr>
        <w:spacing w:line="460" w:lineRule="exact"/>
        <w:ind w:left="441" w:firstLine="139"/>
        <w:jc w:val="left"/>
        <w:rPr>
          <w:rFonts w:ascii="Times New Roman" w:hAnsi="Times New Roman"/>
          <w:color w:val="000000"/>
          <w:sz w:val="24"/>
          <w:szCs w:val="24"/>
        </w:rPr>
      </w:pPr>
      <w:r>
        <w:rPr>
          <w:rFonts w:hint="eastAsia" w:ascii="Times New Roman" w:hAnsi="Times New Roman"/>
          <w:color w:val="000000"/>
          <w:sz w:val="24"/>
          <w:szCs w:val="24"/>
        </w:rPr>
        <w:t>地址：</w:t>
      </w:r>
      <w:r>
        <w:rPr>
          <w:rFonts w:hint="eastAsia" w:ascii="Times New Roman" w:hAnsi="Times New Roman"/>
          <w:color w:val="000000"/>
          <w:sz w:val="24"/>
          <w:szCs w:val="24"/>
          <w:u w:val="single"/>
        </w:rPr>
        <w:t>沭阳县学院路5号</w:t>
      </w:r>
    </w:p>
    <w:p w14:paraId="303E1AD6">
      <w:pPr>
        <w:spacing w:line="460" w:lineRule="exact"/>
        <w:ind w:left="441" w:firstLine="139"/>
        <w:jc w:val="left"/>
        <w:rPr>
          <w:rFonts w:ascii="Times New Roman" w:hAnsi="Times New Roman"/>
          <w:color w:val="000000" w:themeColor="text1"/>
          <w:sz w:val="24"/>
          <w:szCs w:val="24"/>
        </w:rPr>
      </w:pPr>
      <w:r>
        <w:rPr>
          <w:rFonts w:hint="eastAsia" w:ascii="Times New Roman" w:hAnsi="Times New Roman"/>
          <w:color w:val="000000" w:themeColor="text1"/>
          <w:sz w:val="24"/>
          <w:szCs w:val="24"/>
        </w:rPr>
        <w:t>联系人：</w:t>
      </w:r>
      <w:r>
        <w:rPr>
          <w:rFonts w:hint="eastAsia" w:ascii="Times New Roman" w:hAnsi="Times New Roman"/>
          <w:color w:val="000000" w:themeColor="text1"/>
          <w:sz w:val="24"/>
          <w:szCs w:val="24"/>
          <w:u w:val="single"/>
        </w:rPr>
        <w:t>董吉卫</w:t>
      </w:r>
    </w:p>
    <w:p w14:paraId="5473FD24">
      <w:pPr>
        <w:spacing w:line="460" w:lineRule="exact"/>
        <w:ind w:left="441" w:firstLine="139"/>
        <w:jc w:val="left"/>
        <w:rPr>
          <w:rFonts w:ascii="Times New Roman" w:hAnsi="Times New Roman"/>
          <w:color w:val="000000" w:themeColor="text1"/>
          <w:sz w:val="24"/>
          <w:szCs w:val="24"/>
          <w:u w:val="single"/>
        </w:rPr>
      </w:pPr>
      <w:r>
        <w:rPr>
          <w:rFonts w:hint="eastAsia" w:ascii="Times New Roman" w:hAnsi="Times New Roman"/>
          <w:color w:val="000000" w:themeColor="text1"/>
          <w:sz w:val="24"/>
          <w:szCs w:val="24"/>
        </w:rPr>
        <w:t>联系方式：</w:t>
      </w:r>
      <w:bookmarkStart w:id="51" w:name="_Toc28359086"/>
      <w:bookmarkStart w:id="52" w:name="_Toc28359009"/>
      <w:r>
        <w:rPr>
          <w:rFonts w:hint="eastAsia" w:ascii="Times New Roman" w:hAnsi="Times New Roman"/>
          <w:color w:val="000000" w:themeColor="text1"/>
          <w:sz w:val="24"/>
          <w:szCs w:val="24"/>
          <w:u w:val="single"/>
        </w:rPr>
        <w:t>0527-80813735</w:t>
      </w:r>
    </w:p>
    <w:p w14:paraId="407B054E">
      <w:pPr>
        <w:widowControl/>
        <w:spacing w:line="460" w:lineRule="exact"/>
        <w:ind w:firstLine="560"/>
        <w:jc w:val="left"/>
        <w:rPr>
          <w:rFonts w:ascii="Times New Roman" w:hAnsi="Times New Roman" w:cs="宋体"/>
          <w:color w:val="000000"/>
          <w:sz w:val="28"/>
          <w:szCs w:val="28"/>
        </w:rPr>
      </w:pPr>
      <w:r>
        <w:rPr>
          <w:rFonts w:hint="eastAsia" w:ascii="Times New Roman" w:hAnsi="Times New Roman" w:cs="宋体"/>
          <w:color w:val="000000"/>
          <w:sz w:val="28"/>
          <w:szCs w:val="28"/>
        </w:rPr>
        <w:t>2.采购代理机构信息</w:t>
      </w:r>
      <w:bookmarkEnd w:id="51"/>
      <w:bookmarkEnd w:id="52"/>
    </w:p>
    <w:p w14:paraId="00431C7C">
      <w:pPr>
        <w:spacing w:line="460" w:lineRule="exact"/>
        <w:ind w:left="441" w:firstLine="139"/>
        <w:jc w:val="left"/>
        <w:rPr>
          <w:rFonts w:ascii="Times New Roman" w:hAnsi="Times New Roman"/>
          <w:color w:val="000000"/>
          <w:sz w:val="24"/>
          <w:szCs w:val="24"/>
        </w:rPr>
      </w:pPr>
      <w:bookmarkStart w:id="53" w:name="_Toc28359010"/>
      <w:bookmarkStart w:id="54" w:name="_Toc28359087"/>
      <w:r>
        <w:rPr>
          <w:rFonts w:hint="eastAsia" w:ascii="Times New Roman" w:hAnsi="Times New Roman"/>
          <w:color w:val="000000"/>
          <w:sz w:val="24"/>
          <w:szCs w:val="24"/>
        </w:rPr>
        <w:t>名 称：</w:t>
      </w:r>
      <w:r>
        <w:rPr>
          <w:rFonts w:hint="eastAsia"/>
          <w:color w:val="000000"/>
          <w:sz w:val="24"/>
          <w:szCs w:val="24"/>
          <w:u w:val="single"/>
        </w:rPr>
        <w:t>江苏宏润建设项目管理咨询有限公司</w:t>
      </w:r>
      <w:r>
        <w:rPr>
          <w:rFonts w:hint="eastAsia" w:ascii="Times New Roman" w:hAnsi="Times New Roman"/>
          <w:color w:val="000000"/>
          <w:sz w:val="24"/>
          <w:szCs w:val="24"/>
          <w:u w:val="single"/>
        </w:rPr>
        <w:t>　</w:t>
      </w:r>
    </w:p>
    <w:p w14:paraId="68171BEB">
      <w:pPr>
        <w:spacing w:line="460" w:lineRule="exact"/>
        <w:ind w:left="441" w:firstLine="139"/>
        <w:jc w:val="left"/>
        <w:rPr>
          <w:rFonts w:ascii="Times New Roman" w:hAnsi="Times New Roman"/>
          <w:color w:val="000000"/>
          <w:sz w:val="24"/>
          <w:szCs w:val="24"/>
        </w:rPr>
      </w:pPr>
      <w:r>
        <w:rPr>
          <w:rFonts w:hint="eastAsia" w:ascii="Times New Roman" w:hAnsi="Times New Roman"/>
          <w:color w:val="000000"/>
          <w:sz w:val="24"/>
          <w:szCs w:val="24"/>
        </w:rPr>
        <w:t>地址：</w:t>
      </w:r>
      <w:r>
        <w:rPr>
          <w:rFonts w:hint="eastAsia"/>
          <w:color w:val="000000"/>
          <w:sz w:val="24"/>
          <w:szCs w:val="24"/>
          <w:u w:val="single"/>
        </w:rPr>
        <w:t>沭阳县台州北路43号第二汽车运输公司四楼</w:t>
      </w:r>
      <w:r>
        <w:rPr>
          <w:rFonts w:hint="eastAsia" w:ascii="Times New Roman" w:hAnsi="Times New Roman"/>
          <w:color w:val="000000"/>
          <w:sz w:val="24"/>
          <w:szCs w:val="24"/>
          <w:u w:val="single"/>
        </w:rPr>
        <w:t>　</w:t>
      </w:r>
    </w:p>
    <w:p w14:paraId="1CB50989">
      <w:pPr>
        <w:spacing w:line="460" w:lineRule="exact"/>
        <w:ind w:left="441" w:firstLine="139"/>
        <w:jc w:val="left"/>
        <w:rPr>
          <w:rFonts w:ascii="Times New Roman" w:hAnsi="Times New Roman"/>
          <w:color w:val="000000"/>
          <w:sz w:val="24"/>
          <w:szCs w:val="24"/>
          <w:u w:val="single"/>
        </w:rPr>
      </w:pPr>
      <w:r>
        <w:rPr>
          <w:rFonts w:hint="eastAsia" w:ascii="Times New Roman" w:hAnsi="Times New Roman"/>
          <w:color w:val="000000"/>
          <w:sz w:val="24"/>
          <w:szCs w:val="24"/>
        </w:rPr>
        <w:t>联系人：</w:t>
      </w:r>
      <w:r>
        <w:rPr>
          <w:rFonts w:hint="eastAsia"/>
          <w:color w:val="000000"/>
          <w:sz w:val="24"/>
          <w:szCs w:val="24"/>
          <w:u w:val="single"/>
        </w:rPr>
        <w:t>陈中玲</w:t>
      </w:r>
    </w:p>
    <w:p w14:paraId="3A1D8EBF">
      <w:pPr>
        <w:spacing w:line="460" w:lineRule="exact"/>
        <w:ind w:left="441" w:firstLine="139"/>
        <w:jc w:val="left"/>
        <w:rPr>
          <w:rFonts w:eastAsia="黑体"/>
          <w:color w:val="000000"/>
          <w:sz w:val="44"/>
          <w:szCs w:val="44"/>
        </w:rPr>
      </w:pPr>
      <w:r>
        <w:rPr>
          <w:rFonts w:hint="eastAsia" w:ascii="Times New Roman" w:hAnsi="Times New Roman"/>
          <w:color w:val="000000"/>
          <w:sz w:val="24"/>
          <w:szCs w:val="24"/>
        </w:rPr>
        <w:t>联系方式：</w:t>
      </w:r>
      <w:r>
        <w:rPr>
          <w:rFonts w:hint="eastAsia"/>
          <w:color w:val="000000"/>
          <w:sz w:val="24"/>
          <w:szCs w:val="24"/>
          <w:u w:val="single"/>
        </w:rPr>
        <w:t>13773927091</w:t>
      </w:r>
      <w:r>
        <w:rPr>
          <w:rFonts w:hint="eastAsia" w:ascii="Times New Roman" w:hAnsi="Times New Roman"/>
          <w:color w:val="000000"/>
          <w:sz w:val="24"/>
          <w:szCs w:val="24"/>
          <w:u w:val="single"/>
        </w:rPr>
        <w:t>　</w:t>
      </w:r>
      <w:bookmarkEnd w:id="53"/>
      <w:bookmarkEnd w:id="54"/>
      <w:r>
        <w:rPr>
          <w:rFonts w:hint="eastAsia" w:ascii="仿宋_GB2312" w:eastAsia="仿宋_GB2312"/>
          <w:color w:val="000000"/>
          <w:sz w:val="24"/>
        </w:rPr>
        <w:br w:type="page" w:clear="all"/>
      </w:r>
      <w:bookmarkStart w:id="55" w:name="_Toc11687"/>
      <w:bookmarkStart w:id="56" w:name="_Toc9425"/>
      <w:bookmarkStart w:id="57" w:name="_Toc81575190"/>
      <w:bookmarkStart w:id="58" w:name="_Toc81575153"/>
      <w:bookmarkStart w:id="59" w:name="_Toc15265"/>
      <w:r>
        <w:rPr>
          <w:rFonts w:hint="eastAsia" w:eastAsia="黑体"/>
          <w:color w:val="000000"/>
          <w:sz w:val="44"/>
        </w:rPr>
        <w:t>第二章  投标人须知</w:t>
      </w:r>
      <w:bookmarkEnd w:id="55"/>
      <w:bookmarkEnd w:id="56"/>
      <w:bookmarkEnd w:id="57"/>
      <w:bookmarkEnd w:id="58"/>
      <w:bookmarkEnd w:id="59"/>
    </w:p>
    <w:p w14:paraId="32A9CB3C">
      <w:pPr>
        <w:pStyle w:val="43"/>
        <w:spacing w:before="0" w:after="120" w:line="520" w:lineRule="exact"/>
        <w:rPr>
          <w:rFonts w:eastAsia="宋体" w:cs="Arial"/>
          <w:bCs/>
          <w:color w:val="000000"/>
          <w:szCs w:val="22"/>
        </w:rPr>
      </w:pPr>
      <w:bookmarkStart w:id="60" w:name="_Toc4529"/>
      <w:r>
        <w:rPr>
          <w:rFonts w:hint="eastAsia" w:eastAsia="宋体" w:cs="Arial"/>
          <w:bCs/>
          <w:color w:val="000000"/>
          <w:szCs w:val="22"/>
        </w:rPr>
        <w:t>投标人须知前附表：</w:t>
      </w:r>
      <w:bookmarkEnd w:id="60"/>
    </w:p>
    <w:tbl>
      <w:tblPr>
        <w:tblStyle w:val="30"/>
        <w:tblpPr w:leftFromText="180" w:rightFromText="180" w:vertAnchor="text" w:horzAnchor="page" w:tblpX="1530" w:tblpY="22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8"/>
        <w:gridCol w:w="1772"/>
        <w:gridCol w:w="6579"/>
      </w:tblGrid>
      <w:tr w14:paraId="5529C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858" w:type="dxa"/>
            <w:noWrap/>
            <w:vAlign w:val="center"/>
          </w:tcPr>
          <w:p w14:paraId="7E674D06">
            <w:pPr>
              <w:spacing w:line="340" w:lineRule="exact"/>
              <w:jc w:val="center"/>
              <w:rPr>
                <w:rFonts w:ascii="仿宋_GB2312" w:hAnsi="仿宋"/>
                <w:b/>
                <w:color w:val="000000"/>
                <w:sz w:val="24"/>
                <w:szCs w:val="24"/>
              </w:rPr>
            </w:pPr>
            <w:bookmarkStart w:id="61" w:name="_Toc81575191"/>
            <w:bookmarkStart w:id="62" w:name="_Toc29262"/>
            <w:bookmarkStart w:id="63" w:name="_Toc81575154"/>
            <w:r>
              <w:rPr>
                <w:rFonts w:hint="eastAsia" w:ascii="仿宋_GB2312" w:hAnsi="仿宋"/>
                <w:b/>
                <w:color w:val="000000"/>
                <w:sz w:val="24"/>
                <w:szCs w:val="24"/>
              </w:rPr>
              <w:t>序号</w:t>
            </w:r>
          </w:p>
        </w:tc>
        <w:tc>
          <w:tcPr>
            <w:tcW w:w="1772" w:type="dxa"/>
            <w:noWrap/>
            <w:vAlign w:val="center"/>
          </w:tcPr>
          <w:p w14:paraId="1859E561">
            <w:pPr>
              <w:spacing w:line="340" w:lineRule="exact"/>
              <w:jc w:val="center"/>
              <w:rPr>
                <w:rFonts w:ascii="仿宋_GB2312" w:hAnsi="仿宋"/>
                <w:b/>
                <w:color w:val="000000"/>
                <w:sz w:val="24"/>
                <w:szCs w:val="24"/>
              </w:rPr>
            </w:pPr>
            <w:r>
              <w:rPr>
                <w:rFonts w:hint="eastAsia" w:ascii="仿宋_GB2312" w:hAnsi="仿宋"/>
                <w:b/>
                <w:color w:val="000000"/>
                <w:sz w:val="24"/>
                <w:szCs w:val="24"/>
              </w:rPr>
              <w:t>内容</w:t>
            </w:r>
          </w:p>
        </w:tc>
        <w:tc>
          <w:tcPr>
            <w:tcW w:w="6579" w:type="dxa"/>
            <w:noWrap/>
            <w:vAlign w:val="center"/>
          </w:tcPr>
          <w:p w14:paraId="1B63A1A4">
            <w:pPr>
              <w:spacing w:line="340" w:lineRule="exact"/>
              <w:jc w:val="center"/>
              <w:rPr>
                <w:rFonts w:ascii="仿宋_GB2312" w:hAnsi="仿宋"/>
                <w:b/>
                <w:color w:val="000000"/>
                <w:sz w:val="24"/>
                <w:szCs w:val="24"/>
              </w:rPr>
            </w:pPr>
            <w:r>
              <w:rPr>
                <w:rFonts w:hint="eastAsia" w:ascii="仿宋_GB2312" w:hAnsi="仿宋"/>
                <w:b/>
                <w:color w:val="000000"/>
                <w:sz w:val="24"/>
                <w:szCs w:val="24"/>
              </w:rPr>
              <w:t>说明及要求</w:t>
            </w:r>
          </w:p>
        </w:tc>
      </w:tr>
      <w:tr w14:paraId="3E55ED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ign w:val="center"/>
          </w:tcPr>
          <w:p w14:paraId="702959D5">
            <w:pPr>
              <w:spacing w:line="34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1</w:t>
            </w:r>
          </w:p>
        </w:tc>
        <w:tc>
          <w:tcPr>
            <w:tcW w:w="1772" w:type="dxa"/>
            <w:noWrap/>
            <w:vAlign w:val="center"/>
          </w:tcPr>
          <w:p w14:paraId="0E562A16">
            <w:pPr>
              <w:spacing w:line="34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项目属性</w:t>
            </w:r>
          </w:p>
        </w:tc>
        <w:tc>
          <w:tcPr>
            <w:tcW w:w="6579" w:type="dxa"/>
            <w:noWrap/>
            <w:vAlign w:val="center"/>
          </w:tcPr>
          <w:p w14:paraId="4427FEAA">
            <w:pPr>
              <w:spacing w:line="340" w:lineRule="exact"/>
              <w:jc w:val="left"/>
              <w:rPr>
                <w:rFonts w:ascii="Times New Roman" w:hAnsi="Times New Roman" w:cs="仿宋"/>
                <w:color w:val="000000"/>
                <w:sz w:val="24"/>
                <w:szCs w:val="24"/>
              </w:rPr>
            </w:pPr>
            <w:r>
              <w:rPr>
                <w:rFonts w:hint="eastAsia" w:ascii="Times New Roman" w:hAnsi="Times New Roman" w:cs="仿宋"/>
                <w:color w:val="000000"/>
                <w:sz w:val="24"/>
                <w:szCs w:val="24"/>
              </w:rPr>
              <w:t>本项目</w:t>
            </w:r>
            <w:bookmarkStart w:id="64" w:name="EB9a5853ee094f4f0ea6ec3169265f6f2c"/>
            <w:r>
              <w:rPr>
                <w:rFonts w:hint="eastAsia" w:ascii="Times New Roman" w:hAnsi="Times New Roman" w:cs="仿宋"/>
                <w:color w:val="000000"/>
                <w:sz w:val="24"/>
                <w:szCs w:val="24"/>
              </w:rPr>
              <w:t>属性按以下第</w:t>
            </w:r>
            <w:bookmarkEnd w:id="64"/>
            <w:r>
              <w:rPr>
                <w:rFonts w:hint="eastAsia" w:ascii="Times New Roman" w:hAnsi="Times New Roman" w:cs="仿宋"/>
                <w:color w:val="000000"/>
                <w:sz w:val="24"/>
                <w:szCs w:val="24"/>
                <w:u w:val="single"/>
              </w:rPr>
              <w:t>1</w:t>
            </w:r>
            <w:r>
              <w:rPr>
                <w:rFonts w:hint="eastAsia" w:ascii="Times New Roman" w:hAnsi="Times New Roman" w:cs="仿宋"/>
                <w:color w:val="000000"/>
                <w:sz w:val="24"/>
                <w:szCs w:val="24"/>
              </w:rPr>
              <w:t>种确定：</w:t>
            </w:r>
          </w:p>
          <w:p w14:paraId="721E0E4F">
            <w:pPr>
              <w:spacing w:line="340" w:lineRule="exact"/>
              <w:jc w:val="left"/>
              <w:rPr>
                <w:rFonts w:ascii="Times New Roman" w:hAnsi="Times New Roman" w:cs="仿宋"/>
                <w:color w:val="000000"/>
                <w:sz w:val="24"/>
                <w:szCs w:val="24"/>
              </w:rPr>
            </w:pPr>
            <w:r>
              <w:rPr>
                <w:rFonts w:hint="eastAsia" w:ascii="Times New Roman" w:hAnsi="Times New Roman" w:cs="仿宋"/>
                <w:color w:val="000000"/>
                <w:sz w:val="24"/>
                <w:szCs w:val="24"/>
              </w:rPr>
              <w:t>1.货物</w:t>
            </w:r>
            <w:bookmarkStart w:id="65" w:name="EBd5c6c026f9674c39b21b31ecd0c1e7fa"/>
            <w:r>
              <w:rPr>
                <w:rFonts w:hint="eastAsia" w:ascii="Times New Roman" w:hAnsi="Times New Roman" w:cs="仿宋"/>
                <w:color w:val="000000"/>
                <w:sz w:val="24"/>
                <w:szCs w:val="24"/>
              </w:rPr>
              <w:t>采购；2.</w:t>
            </w:r>
            <w:bookmarkEnd w:id="65"/>
            <w:r>
              <w:rPr>
                <w:rFonts w:hint="eastAsia" w:ascii="Times New Roman" w:hAnsi="Times New Roman" w:cs="仿宋"/>
                <w:color w:val="000000"/>
                <w:sz w:val="24"/>
                <w:szCs w:val="24"/>
              </w:rPr>
              <w:t>服务</w:t>
            </w:r>
            <w:bookmarkStart w:id="66" w:name="EBf7d2a4f44ecb4166a93ea852e73be69f"/>
            <w:r>
              <w:rPr>
                <w:rFonts w:hint="eastAsia" w:ascii="Times New Roman" w:hAnsi="Times New Roman" w:cs="仿宋"/>
                <w:color w:val="000000"/>
                <w:sz w:val="24"/>
                <w:szCs w:val="24"/>
              </w:rPr>
              <w:t>采购；3.</w:t>
            </w:r>
            <w:bookmarkEnd w:id="66"/>
            <w:r>
              <w:rPr>
                <w:rFonts w:hint="eastAsia" w:ascii="Times New Roman" w:hAnsi="Times New Roman" w:cs="仿宋"/>
                <w:color w:val="000000"/>
                <w:sz w:val="24"/>
                <w:szCs w:val="24"/>
              </w:rPr>
              <w:t>工程采购。</w:t>
            </w:r>
          </w:p>
        </w:tc>
      </w:tr>
      <w:tr w14:paraId="77EBF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ign w:val="center"/>
          </w:tcPr>
          <w:p w14:paraId="19F8C466">
            <w:pPr>
              <w:spacing w:line="34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2</w:t>
            </w:r>
          </w:p>
        </w:tc>
        <w:tc>
          <w:tcPr>
            <w:tcW w:w="1772" w:type="dxa"/>
            <w:noWrap/>
            <w:vAlign w:val="center"/>
          </w:tcPr>
          <w:p w14:paraId="664AF3F2">
            <w:pPr>
              <w:spacing w:line="34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投标有效期</w:t>
            </w:r>
          </w:p>
        </w:tc>
        <w:tc>
          <w:tcPr>
            <w:tcW w:w="6579" w:type="dxa"/>
            <w:noWrap/>
            <w:vAlign w:val="center"/>
          </w:tcPr>
          <w:p w14:paraId="4ED15773">
            <w:pPr>
              <w:spacing w:line="340" w:lineRule="exact"/>
              <w:jc w:val="left"/>
              <w:rPr>
                <w:rFonts w:ascii="Times New Roman" w:hAnsi="Times New Roman" w:cs="仿宋"/>
                <w:color w:val="000000"/>
                <w:sz w:val="24"/>
                <w:szCs w:val="24"/>
              </w:rPr>
            </w:pPr>
            <w:bookmarkStart w:id="67" w:name="EBd40b5fb42f2944a3b45e579ce3941f02"/>
            <w:bookmarkEnd w:id="67"/>
            <w:r>
              <w:rPr>
                <w:rFonts w:hint="eastAsia" w:ascii="Times New Roman" w:hAnsi="Times New Roman" w:cs="仿宋"/>
                <w:color w:val="000000"/>
                <w:sz w:val="24"/>
                <w:szCs w:val="24"/>
              </w:rPr>
              <w:t>60日（从提交投标文件截止之日起算）</w:t>
            </w:r>
          </w:p>
        </w:tc>
      </w:tr>
      <w:tr w14:paraId="1F1BF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ign w:val="center"/>
          </w:tcPr>
          <w:p w14:paraId="543F5716">
            <w:pPr>
              <w:spacing w:line="34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3</w:t>
            </w:r>
          </w:p>
        </w:tc>
        <w:tc>
          <w:tcPr>
            <w:tcW w:w="1772" w:type="dxa"/>
            <w:noWrap/>
            <w:vAlign w:val="center"/>
          </w:tcPr>
          <w:p w14:paraId="27F9F6E2">
            <w:pPr>
              <w:spacing w:line="34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投标文件份数</w:t>
            </w:r>
          </w:p>
        </w:tc>
        <w:tc>
          <w:tcPr>
            <w:tcW w:w="6579" w:type="dxa"/>
            <w:noWrap/>
            <w:vAlign w:val="center"/>
          </w:tcPr>
          <w:p w14:paraId="3E3270AA">
            <w:pPr>
              <w:spacing w:line="340" w:lineRule="exact"/>
              <w:jc w:val="left"/>
              <w:rPr>
                <w:rFonts w:ascii="Times New Roman" w:hAnsi="Times New Roman" w:cs="仿宋"/>
                <w:color w:val="000000"/>
                <w:sz w:val="24"/>
                <w:szCs w:val="24"/>
              </w:rPr>
            </w:pPr>
            <w:r>
              <w:rPr>
                <w:rFonts w:hint="eastAsia" w:ascii="Times New Roman" w:hAnsi="Times New Roman" w:cs="仿宋"/>
                <w:color w:val="000000"/>
                <w:sz w:val="24"/>
                <w:szCs w:val="24"/>
              </w:rPr>
              <w:t>提交加密电子投标文件</w:t>
            </w:r>
            <w:r>
              <w:rPr>
                <w:rFonts w:hint="eastAsia" w:ascii="Times New Roman" w:hAnsi="Times New Roman" w:cs="仿宋"/>
                <w:color w:val="000000"/>
                <w:sz w:val="24"/>
                <w:szCs w:val="24"/>
                <w:u w:val="single"/>
              </w:rPr>
              <w:t>1</w:t>
            </w:r>
            <w:r>
              <w:rPr>
                <w:rFonts w:hint="eastAsia" w:ascii="Times New Roman" w:hAnsi="Times New Roman" w:cs="仿宋"/>
                <w:color w:val="000000"/>
                <w:sz w:val="24"/>
                <w:szCs w:val="24"/>
              </w:rPr>
              <w:t>份。</w:t>
            </w:r>
          </w:p>
        </w:tc>
      </w:tr>
      <w:tr w14:paraId="200C6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ign w:val="center"/>
          </w:tcPr>
          <w:p w14:paraId="5087D5D4">
            <w:pPr>
              <w:spacing w:line="34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4</w:t>
            </w:r>
          </w:p>
        </w:tc>
        <w:tc>
          <w:tcPr>
            <w:tcW w:w="1772" w:type="dxa"/>
            <w:noWrap/>
            <w:vAlign w:val="center"/>
          </w:tcPr>
          <w:p w14:paraId="14D34842">
            <w:pPr>
              <w:spacing w:line="34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开标</w:t>
            </w:r>
          </w:p>
        </w:tc>
        <w:tc>
          <w:tcPr>
            <w:tcW w:w="6579" w:type="dxa"/>
            <w:noWrap/>
            <w:vAlign w:val="center"/>
          </w:tcPr>
          <w:p w14:paraId="36196811">
            <w:pPr>
              <w:spacing w:line="340" w:lineRule="exact"/>
              <w:jc w:val="left"/>
              <w:rPr>
                <w:rFonts w:ascii="Times New Roman" w:hAnsi="Times New Roman" w:cs="仿宋"/>
                <w:color w:val="000000"/>
                <w:sz w:val="24"/>
                <w:szCs w:val="24"/>
              </w:rPr>
            </w:pPr>
            <w:r>
              <w:rPr>
                <w:rFonts w:hint="eastAsia" w:ascii="Times New Roman" w:hAnsi="Times New Roman" w:cs="仿宋"/>
                <w:color w:val="000000"/>
                <w:sz w:val="24"/>
                <w:szCs w:val="24"/>
              </w:rPr>
              <w:t>“苏采云”政府采购交易系统网上开标大厅进行不见面开标。</w:t>
            </w:r>
          </w:p>
        </w:tc>
      </w:tr>
      <w:tr w14:paraId="2EED7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58" w:type="dxa"/>
            <w:noWrap/>
            <w:vAlign w:val="center"/>
          </w:tcPr>
          <w:p w14:paraId="4AC975E8">
            <w:pPr>
              <w:spacing w:line="34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5</w:t>
            </w:r>
          </w:p>
        </w:tc>
        <w:tc>
          <w:tcPr>
            <w:tcW w:w="1772" w:type="dxa"/>
            <w:noWrap/>
            <w:vAlign w:val="center"/>
          </w:tcPr>
          <w:p w14:paraId="72C0BC42">
            <w:pPr>
              <w:spacing w:line="34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进口产品</w:t>
            </w:r>
          </w:p>
        </w:tc>
        <w:tc>
          <w:tcPr>
            <w:tcW w:w="6579" w:type="dxa"/>
            <w:noWrap/>
            <w:vAlign w:val="center"/>
          </w:tcPr>
          <w:p w14:paraId="7671010B">
            <w:pPr>
              <w:spacing w:line="340" w:lineRule="exact"/>
              <w:jc w:val="left"/>
              <w:rPr>
                <w:rFonts w:ascii="Times New Roman" w:hAnsi="Times New Roman" w:cs="仿宋"/>
                <w:sz w:val="24"/>
                <w:szCs w:val="24"/>
              </w:rPr>
            </w:pPr>
            <w:r>
              <w:rPr>
                <w:rFonts w:hint="eastAsia" w:ascii="Times New Roman" w:hAnsi="Times New Roman" w:cs="仿宋"/>
                <w:sz w:val="24"/>
                <w:szCs w:val="24"/>
              </w:rPr>
              <w:t>按以下第</w:t>
            </w:r>
            <w:r>
              <w:rPr>
                <w:rFonts w:hint="eastAsia" w:ascii="Times New Roman" w:hAnsi="Times New Roman" w:cs="仿宋"/>
                <w:sz w:val="24"/>
                <w:szCs w:val="24"/>
                <w:u w:val="single"/>
              </w:rPr>
              <w:t>2</w:t>
            </w:r>
            <w:r>
              <w:rPr>
                <w:rFonts w:hint="eastAsia" w:ascii="Times New Roman" w:hAnsi="Times New Roman" w:cs="仿宋"/>
                <w:sz w:val="24"/>
                <w:szCs w:val="24"/>
              </w:rPr>
              <w:t>种方式确定：</w:t>
            </w:r>
          </w:p>
          <w:p w14:paraId="0930090C">
            <w:pPr>
              <w:widowControl/>
              <w:spacing w:line="340" w:lineRule="exact"/>
              <w:jc w:val="left"/>
              <w:rPr>
                <w:rFonts w:ascii="Times New Roman" w:hAnsi="Times New Roman" w:cs="仿宋"/>
                <w:sz w:val="24"/>
                <w:szCs w:val="24"/>
              </w:rPr>
            </w:pPr>
            <w:r>
              <w:rPr>
                <w:rFonts w:hint="eastAsia" w:ascii="Times New Roman" w:hAnsi="Times New Roman" w:cs="仿宋"/>
                <w:sz w:val="24"/>
                <w:szCs w:val="24"/>
              </w:rPr>
              <w:t>1.接受进口产品。</w:t>
            </w:r>
            <w:r>
              <w:rPr>
                <w:rFonts w:hint="eastAsia" w:ascii="Times New Roman" w:hAnsi="Times New Roman" w:cs="仿宋"/>
                <w:sz w:val="24"/>
              </w:rPr>
              <w:t>应当符合《政府采购进口产品管理办法》（财库〔2007〕119号）、《关于政府采购进口产品管理有关问题的通知》（财办库〔2008〕248号）等相关规定</w:t>
            </w:r>
            <w:r>
              <w:rPr>
                <w:rFonts w:hint="eastAsia" w:ascii="Times New Roman" w:hAnsi="Times New Roman" w:cs="仿宋"/>
                <w:sz w:val="24"/>
                <w:szCs w:val="24"/>
              </w:rPr>
              <w:t>；</w:t>
            </w:r>
          </w:p>
          <w:p w14:paraId="1340CEF3">
            <w:pPr>
              <w:spacing w:line="340" w:lineRule="exact"/>
              <w:jc w:val="left"/>
              <w:rPr>
                <w:rFonts w:ascii="Times New Roman" w:hAnsi="Times New Roman" w:cs="仿宋"/>
                <w:color w:val="000000"/>
                <w:sz w:val="24"/>
                <w:szCs w:val="24"/>
              </w:rPr>
            </w:pPr>
            <w:r>
              <w:rPr>
                <w:rFonts w:hint="eastAsia" w:ascii="Times New Roman" w:hAnsi="Times New Roman" w:cs="仿宋"/>
                <w:sz w:val="24"/>
                <w:szCs w:val="24"/>
              </w:rPr>
              <w:t>2.不接受进口产品。</w:t>
            </w:r>
          </w:p>
        </w:tc>
      </w:tr>
      <w:tr w14:paraId="449F9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ign w:val="center"/>
          </w:tcPr>
          <w:p w14:paraId="3E1FE59E">
            <w:pPr>
              <w:spacing w:line="34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6</w:t>
            </w:r>
          </w:p>
        </w:tc>
        <w:tc>
          <w:tcPr>
            <w:tcW w:w="1772" w:type="dxa"/>
            <w:noWrap/>
            <w:vAlign w:val="center"/>
          </w:tcPr>
          <w:p w14:paraId="4975A9B6">
            <w:pPr>
              <w:spacing w:line="34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评标办法</w:t>
            </w:r>
          </w:p>
        </w:tc>
        <w:tc>
          <w:tcPr>
            <w:tcW w:w="6579" w:type="dxa"/>
            <w:noWrap/>
            <w:vAlign w:val="center"/>
          </w:tcPr>
          <w:p w14:paraId="323550F6">
            <w:pPr>
              <w:spacing w:line="340" w:lineRule="exact"/>
              <w:jc w:val="left"/>
              <w:rPr>
                <w:rFonts w:ascii="Times New Roman" w:hAnsi="Times New Roman" w:cs="仿宋"/>
                <w:color w:val="000000"/>
                <w:sz w:val="24"/>
                <w:szCs w:val="24"/>
              </w:rPr>
            </w:pPr>
            <w:r>
              <w:rPr>
                <w:rFonts w:hint="eastAsia" w:ascii="Times New Roman" w:hAnsi="Times New Roman" w:cs="仿宋"/>
                <w:color w:val="000000"/>
                <w:sz w:val="24"/>
                <w:szCs w:val="24"/>
              </w:rPr>
              <w:t>具体评标办法详见招标文件第三章。</w:t>
            </w:r>
          </w:p>
          <w:p w14:paraId="7A2A8784">
            <w:pPr>
              <w:spacing w:line="340" w:lineRule="exact"/>
              <w:jc w:val="left"/>
              <w:rPr>
                <w:rFonts w:ascii="Times New Roman" w:hAnsi="Times New Roman" w:cs="仿宋"/>
                <w:color w:val="000000"/>
                <w:sz w:val="24"/>
                <w:szCs w:val="24"/>
              </w:rPr>
            </w:pPr>
            <w:r>
              <w:rPr>
                <w:rFonts w:hint="eastAsia" w:ascii="Times New Roman" w:hAnsi="Times New Roman" w:cs="仿宋"/>
                <w:color w:val="000000"/>
                <w:sz w:val="24"/>
                <w:szCs w:val="24"/>
              </w:rPr>
              <w:t>评标委员会依据招标文件规定的评标办法和标准推荐</w:t>
            </w:r>
            <w:r>
              <w:rPr>
                <w:rFonts w:hint="eastAsia" w:ascii="Times New Roman" w:hAnsi="Times New Roman" w:cs="仿宋"/>
                <w:color w:val="000000"/>
                <w:sz w:val="24"/>
                <w:szCs w:val="24"/>
                <w:u w:val="single"/>
              </w:rPr>
              <w:t>3</w:t>
            </w:r>
            <w:r>
              <w:rPr>
                <w:rFonts w:hint="eastAsia" w:ascii="Times New Roman" w:hAnsi="Times New Roman" w:cs="仿宋"/>
                <w:color w:val="000000"/>
                <w:sz w:val="24"/>
                <w:szCs w:val="24"/>
              </w:rPr>
              <w:t>名中标候选人。</w:t>
            </w:r>
          </w:p>
        </w:tc>
      </w:tr>
      <w:tr w14:paraId="450D4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ign w:val="center"/>
          </w:tcPr>
          <w:p w14:paraId="7018E416">
            <w:pPr>
              <w:spacing w:line="34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7</w:t>
            </w:r>
          </w:p>
        </w:tc>
        <w:tc>
          <w:tcPr>
            <w:tcW w:w="1772" w:type="dxa"/>
            <w:noWrap/>
            <w:vAlign w:val="center"/>
          </w:tcPr>
          <w:p w14:paraId="5A4DA505">
            <w:pPr>
              <w:spacing w:line="34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确定中标人</w:t>
            </w:r>
          </w:p>
        </w:tc>
        <w:tc>
          <w:tcPr>
            <w:tcW w:w="6579" w:type="dxa"/>
            <w:noWrap/>
            <w:vAlign w:val="center"/>
          </w:tcPr>
          <w:p w14:paraId="1AEE2A6F">
            <w:pPr>
              <w:spacing w:line="340" w:lineRule="exact"/>
              <w:jc w:val="left"/>
              <w:rPr>
                <w:rFonts w:ascii="Times New Roman" w:hAnsi="Times New Roman" w:cs="仿宋"/>
                <w:color w:val="000000"/>
                <w:sz w:val="24"/>
                <w:szCs w:val="24"/>
              </w:rPr>
            </w:pPr>
            <w:r>
              <w:rPr>
                <w:rFonts w:hint="eastAsia" w:ascii="Times New Roman" w:hAnsi="Times New Roman" w:cs="仿宋"/>
                <w:color w:val="000000"/>
                <w:sz w:val="24"/>
                <w:szCs w:val="24"/>
              </w:rPr>
              <w:t>按以下第</w:t>
            </w:r>
            <w:r>
              <w:rPr>
                <w:rFonts w:hint="eastAsia" w:ascii="Times New Roman" w:hAnsi="Times New Roman" w:cs="仿宋"/>
                <w:color w:val="000000"/>
                <w:sz w:val="24"/>
                <w:szCs w:val="24"/>
                <w:u w:val="single"/>
              </w:rPr>
              <w:t>2</w:t>
            </w:r>
            <w:r>
              <w:rPr>
                <w:rFonts w:hint="eastAsia" w:ascii="Times New Roman" w:hAnsi="Times New Roman" w:cs="仿宋"/>
                <w:color w:val="000000"/>
                <w:sz w:val="24"/>
                <w:szCs w:val="24"/>
              </w:rPr>
              <w:t>种方式确定中标人：</w:t>
            </w:r>
          </w:p>
          <w:p w14:paraId="40387E7A">
            <w:pPr>
              <w:spacing w:line="340" w:lineRule="exact"/>
              <w:jc w:val="left"/>
              <w:rPr>
                <w:rFonts w:ascii="Times New Roman" w:hAnsi="Times New Roman" w:cs="仿宋"/>
                <w:color w:val="000000"/>
                <w:sz w:val="24"/>
                <w:szCs w:val="24"/>
              </w:rPr>
            </w:pPr>
            <w:r>
              <w:rPr>
                <w:rFonts w:hint="eastAsia" w:ascii="Times New Roman" w:hAnsi="Times New Roman" w:cs="仿宋"/>
                <w:color w:val="000000"/>
                <w:sz w:val="24"/>
                <w:szCs w:val="24"/>
              </w:rPr>
              <w:t>1.采购人按规定在评标委员会推荐的中标候选人中确定中标人；</w:t>
            </w:r>
          </w:p>
          <w:p w14:paraId="710DEFE3">
            <w:pPr>
              <w:spacing w:line="340" w:lineRule="exact"/>
              <w:jc w:val="left"/>
              <w:rPr>
                <w:rFonts w:ascii="Times New Roman" w:hAnsi="Times New Roman" w:cs="仿宋"/>
                <w:color w:val="000000"/>
                <w:sz w:val="24"/>
                <w:szCs w:val="24"/>
              </w:rPr>
            </w:pPr>
            <w:r>
              <w:rPr>
                <w:rFonts w:hint="eastAsia" w:ascii="Times New Roman" w:hAnsi="Times New Roman" w:cs="仿宋"/>
                <w:color w:val="000000"/>
                <w:sz w:val="24"/>
                <w:szCs w:val="24"/>
              </w:rPr>
              <w:t>2.采购人授权评标委员会直接确定中标人。</w:t>
            </w:r>
          </w:p>
        </w:tc>
      </w:tr>
      <w:tr w14:paraId="018BD9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ign w:val="center"/>
          </w:tcPr>
          <w:p w14:paraId="0CAD8BD7">
            <w:pPr>
              <w:spacing w:line="34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8</w:t>
            </w:r>
          </w:p>
        </w:tc>
        <w:tc>
          <w:tcPr>
            <w:tcW w:w="1772" w:type="dxa"/>
            <w:noWrap/>
            <w:vAlign w:val="center"/>
          </w:tcPr>
          <w:p w14:paraId="50EFFE95">
            <w:pPr>
              <w:spacing w:line="34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分包要求</w:t>
            </w:r>
          </w:p>
        </w:tc>
        <w:tc>
          <w:tcPr>
            <w:tcW w:w="6579" w:type="dxa"/>
            <w:noWrap/>
            <w:vAlign w:val="center"/>
          </w:tcPr>
          <w:p w14:paraId="2D1DF4EB">
            <w:pPr>
              <w:spacing w:line="340" w:lineRule="exact"/>
              <w:jc w:val="left"/>
              <w:rPr>
                <w:rFonts w:ascii="Times New Roman" w:hAnsi="Times New Roman" w:cs="仿宋"/>
                <w:color w:val="000000"/>
                <w:sz w:val="24"/>
                <w:szCs w:val="24"/>
              </w:rPr>
            </w:pPr>
            <w:bookmarkStart w:id="68" w:name="EBebac1462c5d9459fbda8a75065c2455d"/>
            <w:r>
              <w:rPr>
                <w:rFonts w:hint="eastAsia" w:ascii="Times New Roman" w:hAnsi="Times New Roman" w:cs="仿宋"/>
                <w:color w:val="000000"/>
                <w:sz w:val="24"/>
                <w:szCs w:val="24"/>
              </w:rPr>
              <w:t>本项目的非主体、非关键性工作是否允许分包</w:t>
            </w:r>
            <w:bookmarkEnd w:id="68"/>
            <w:r>
              <w:rPr>
                <w:rFonts w:hint="eastAsia" w:ascii="Times New Roman" w:hAnsi="Times New Roman" w:cs="仿宋"/>
                <w:color w:val="000000"/>
                <w:sz w:val="24"/>
                <w:szCs w:val="24"/>
              </w:rPr>
              <w:t>按以下第</w:t>
            </w:r>
            <w:r>
              <w:rPr>
                <w:rFonts w:hint="eastAsia" w:ascii="Times New Roman" w:hAnsi="Times New Roman" w:cs="仿宋"/>
                <w:color w:val="000000"/>
                <w:sz w:val="24"/>
                <w:szCs w:val="24"/>
                <w:u w:val="single"/>
              </w:rPr>
              <w:t>  2  </w:t>
            </w:r>
            <w:r>
              <w:rPr>
                <w:rFonts w:hint="eastAsia" w:ascii="Times New Roman" w:hAnsi="Times New Roman" w:cs="仿宋"/>
                <w:color w:val="000000"/>
                <w:sz w:val="24"/>
                <w:szCs w:val="24"/>
              </w:rPr>
              <w:t>种方式确定：</w:t>
            </w:r>
          </w:p>
          <w:p w14:paraId="1B448025">
            <w:pPr>
              <w:spacing w:line="340" w:lineRule="exact"/>
              <w:jc w:val="left"/>
              <w:rPr>
                <w:rFonts w:ascii="Times New Roman" w:hAnsi="Times New Roman" w:cs="仿宋"/>
                <w:color w:val="000000"/>
                <w:sz w:val="24"/>
                <w:szCs w:val="24"/>
              </w:rPr>
            </w:pPr>
            <w:r>
              <w:rPr>
                <w:rFonts w:hint="eastAsia" w:ascii="Times New Roman" w:hAnsi="Times New Roman" w:cs="仿宋"/>
                <w:color w:val="000000"/>
                <w:sz w:val="24"/>
                <w:szCs w:val="24"/>
              </w:rPr>
              <w:t>1.允许分包，</w:t>
            </w:r>
            <w:bookmarkStart w:id="69" w:name="EB512ba06683724173802e2aae54a26079"/>
            <w:r>
              <w:rPr>
                <w:rFonts w:hint="eastAsia" w:ascii="Times New Roman" w:hAnsi="Times New Roman" w:cs="仿宋"/>
                <w:color w:val="000000"/>
                <w:sz w:val="24"/>
                <w:szCs w:val="24"/>
              </w:rPr>
              <w:t>允许大中型企业向一家或者多家小微企业分包，分包具体内容、金额或比例：</w:t>
            </w:r>
            <w:bookmarkEnd w:id="69"/>
            <w:r>
              <w:rPr>
                <w:rFonts w:hint="eastAsia" w:ascii="Times New Roman" w:hAnsi="Times New Roman" w:cs="仿宋"/>
                <w:color w:val="000000"/>
                <w:sz w:val="24"/>
                <w:szCs w:val="24"/>
              </w:rPr>
              <w:t>无</w:t>
            </w:r>
          </w:p>
          <w:p w14:paraId="4E38529D">
            <w:pPr>
              <w:spacing w:line="340" w:lineRule="exact"/>
              <w:jc w:val="left"/>
              <w:rPr>
                <w:rFonts w:ascii="Times New Roman" w:hAnsi="Times New Roman" w:cs="仿宋"/>
                <w:color w:val="000000"/>
                <w:sz w:val="24"/>
                <w:szCs w:val="24"/>
              </w:rPr>
            </w:pPr>
            <w:r>
              <w:rPr>
                <w:rFonts w:hint="eastAsia" w:ascii="Times New Roman" w:hAnsi="Times New Roman" w:cs="仿宋"/>
                <w:color w:val="000000"/>
                <w:sz w:val="24"/>
                <w:szCs w:val="24"/>
              </w:rPr>
              <w:t>2.不允许分包。</w:t>
            </w:r>
          </w:p>
        </w:tc>
      </w:tr>
      <w:tr w14:paraId="2ED38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ign w:val="center"/>
          </w:tcPr>
          <w:p w14:paraId="2A6745B0">
            <w:pPr>
              <w:spacing w:line="34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9</w:t>
            </w:r>
          </w:p>
        </w:tc>
        <w:tc>
          <w:tcPr>
            <w:tcW w:w="1772" w:type="dxa"/>
            <w:noWrap/>
            <w:vAlign w:val="center"/>
          </w:tcPr>
          <w:p w14:paraId="6A1A6647">
            <w:pPr>
              <w:spacing w:line="34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代理费用收取方式及标准</w:t>
            </w:r>
          </w:p>
        </w:tc>
        <w:tc>
          <w:tcPr>
            <w:tcW w:w="6579" w:type="dxa"/>
            <w:noWrap/>
            <w:vAlign w:val="center"/>
          </w:tcPr>
          <w:p w14:paraId="5E1D4EEC">
            <w:pPr>
              <w:widowControl/>
              <w:spacing w:line="340" w:lineRule="exact"/>
              <w:jc w:val="left"/>
              <w:rPr>
                <w:rFonts w:ascii="Times New Roman" w:hAnsi="Times New Roman" w:cs="仿宋"/>
                <w:sz w:val="24"/>
                <w:szCs w:val="24"/>
              </w:rPr>
            </w:pPr>
            <w:bookmarkStart w:id="70" w:name="EBfe735bb6fc4d4e5e9e350f940db98c5f"/>
            <w:bookmarkEnd w:id="70"/>
            <w:r>
              <w:rPr>
                <w:rFonts w:hint="eastAsia" w:ascii="Times New Roman" w:hAnsi="Times New Roman" w:cs="仿宋"/>
                <w:sz w:val="24"/>
                <w:szCs w:val="24"/>
              </w:rPr>
              <w:t>代理费用收取方式及标准：按以下第2种方式执行</w:t>
            </w:r>
          </w:p>
          <w:p w14:paraId="6F641E42">
            <w:pPr>
              <w:widowControl/>
              <w:spacing w:line="340" w:lineRule="exact"/>
              <w:jc w:val="left"/>
              <w:rPr>
                <w:rFonts w:ascii="Times New Roman" w:hAnsi="Times New Roman" w:cs="仿宋"/>
                <w:sz w:val="24"/>
                <w:szCs w:val="24"/>
              </w:rPr>
            </w:pPr>
            <w:r>
              <w:rPr>
                <w:rFonts w:hint="eastAsia" w:ascii="Times New Roman" w:hAnsi="Times New Roman" w:cs="仿宋"/>
                <w:sz w:val="24"/>
                <w:szCs w:val="24"/>
              </w:rPr>
              <w:t>1.无需支付；</w:t>
            </w:r>
          </w:p>
          <w:p w14:paraId="163923E8">
            <w:pPr>
              <w:spacing w:line="340" w:lineRule="exact"/>
              <w:jc w:val="left"/>
              <w:rPr>
                <w:rFonts w:ascii="Times New Roman" w:hAnsi="Times New Roman" w:cs="仿宋"/>
                <w:color w:val="000000"/>
                <w:sz w:val="24"/>
                <w:szCs w:val="24"/>
              </w:rPr>
            </w:pPr>
            <w:r>
              <w:rPr>
                <w:rFonts w:hint="eastAsia" w:ascii="Times New Roman" w:hAnsi="Times New Roman" w:cs="仿宋"/>
                <w:color w:val="000000" w:themeColor="text1"/>
                <w:sz w:val="24"/>
                <w:szCs w:val="24"/>
              </w:rPr>
              <w:t>2.具体方式及标准为：中标人在中标公告发出后7个工作日内按照“苏招协【2022】002号”文件标准的40%支付招标代理费。投标人应将其综合考虑在投标报价中，不单独列项。（可采用数字人民币方式）</w:t>
            </w:r>
          </w:p>
        </w:tc>
      </w:tr>
      <w:tr w14:paraId="17A0A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ign w:val="center"/>
          </w:tcPr>
          <w:p w14:paraId="47D48F24">
            <w:pPr>
              <w:spacing w:line="34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10</w:t>
            </w:r>
          </w:p>
        </w:tc>
        <w:tc>
          <w:tcPr>
            <w:tcW w:w="1772" w:type="dxa"/>
            <w:noWrap/>
            <w:vAlign w:val="center"/>
          </w:tcPr>
          <w:p w14:paraId="274704BE">
            <w:pPr>
              <w:spacing w:line="340" w:lineRule="exact"/>
              <w:jc w:val="center"/>
              <w:rPr>
                <w:rFonts w:ascii="Times New Roman" w:hAnsi="Times New Roman" w:cs="仿宋"/>
                <w:color w:val="000000"/>
                <w:sz w:val="24"/>
                <w:szCs w:val="24"/>
              </w:rPr>
            </w:pPr>
            <w:r>
              <w:rPr>
                <w:rFonts w:hint="eastAsia" w:ascii="Times New Roman" w:hAnsi="Times New Roman" w:cs="仿宋"/>
                <w:color w:val="000000"/>
                <w:sz w:val="24"/>
                <w:szCs w:val="24"/>
              </w:rPr>
              <w:t>其他</w:t>
            </w:r>
            <w:bookmarkEnd w:id="61"/>
            <w:bookmarkEnd w:id="62"/>
            <w:bookmarkEnd w:id="63"/>
          </w:p>
        </w:tc>
        <w:tc>
          <w:tcPr>
            <w:tcW w:w="6579" w:type="dxa"/>
            <w:noWrap/>
            <w:vAlign w:val="center"/>
          </w:tcPr>
          <w:p w14:paraId="183B3387">
            <w:pPr>
              <w:numPr>
                <w:ilvl w:val="0"/>
                <w:numId w:val="4"/>
              </w:numPr>
              <w:spacing w:line="340" w:lineRule="exact"/>
              <w:jc w:val="left"/>
              <w:rPr>
                <w:rFonts w:ascii="Times New Roman" w:hAnsi="Times New Roman" w:cs="仿宋"/>
                <w:color w:val="000000"/>
                <w:sz w:val="24"/>
                <w:szCs w:val="24"/>
              </w:rPr>
            </w:pPr>
            <w:r>
              <w:rPr>
                <w:rFonts w:hint="eastAsia" w:ascii="Times New Roman" w:hAnsi="Times New Roman" w:cs="仿宋"/>
                <w:color w:val="000000"/>
                <w:sz w:val="24"/>
                <w:szCs w:val="24"/>
              </w:rPr>
              <w:t>信用信息查询截止时间：资格审查结束前。由采购人在资格审查现场查询信用信息，网页截屏打印，查询结果留存并归档。</w:t>
            </w:r>
          </w:p>
          <w:p w14:paraId="39F7BDB3">
            <w:pPr>
              <w:numPr>
                <w:ilvl w:val="0"/>
                <w:numId w:val="4"/>
              </w:numPr>
              <w:spacing w:line="340" w:lineRule="exact"/>
              <w:jc w:val="left"/>
              <w:rPr>
                <w:rFonts w:ascii="Times New Roman" w:hAnsi="Times New Roman" w:cs="仿宋"/>
                <w:color w:val="000000"/>
                <w:sz w:val="24"/>
                <w:szCs w:val="24"/>
              </w:rPr>
            </w:pPr>
            <w:r>
              <w:rPr>
                <w:rFonts w:hint="eastAsia" w:ascii="Times New Roman" w:hAnsi="Times New Roman" w:cs="仿宋"/>
                <w:color w:val="000000" w:themeColor="text1"/>
                <w:sz w:val="24"/>
                <w:szCs w:val="24"/>
              </w:rPr>
              <w:t>本项目落实“关于推动解决政府采购异常低价问题的通知（财库〔2026〕2号）”文件规定。</w:t>
            </w:r>
          </w:p>
        </w:tc>
      </w:tr>
    </w:tbl>
    <w:p w14:paraId="1DCFE4CE">
      <w:pPr>
        <w:spacing w:line="340" w:lineRule="exact"/>
        <w:rPr>
          <w:color w:val="000000"/>
          <w:sz w:val="20"/>
        </w:rPr>
      </w:pPr>
    </w:p>
    <w:p w14:paraId="59B5475D">
      <w:pPr>
        <w:pStyle w:val="43"/>
        <w:spacing w:before="0" w:after="0" w:line="480" w:lineRule="exact"/>
        <w:ind w:firstLine="321"/>
        <w:rPr>
          <w:rFonts w:eastAsia="宋体" w:cs="Arial"/>
          <w:bCs/>
          <w:color w:val="000000"/>
          <w:szCs w:val="22"/>
        </w:rPr>
      </w:pPr>
      <w:bookmarkStart w:id="71" w:name="EB6eaaf474639940df900ef4965d71f450"/>
      <w:bookmarkEnd w:id="71"/>
      <w:bookmarkStart w:id="72" w:name="_Toc81575192"/>
      <w:bookmarkStart w:id="73" w:name="_Toc81575155"/>
      <w:bookmarkStart w:id="74" w:name="_Toc8239"/>
      <w:bookmarkStart w:id="75" w:name="_Toc30953"/>
      <w:r>
        <w:rPr>
          <w:rFonts w:hint="eastAsia" w:eastAsia="宋体" w:cs="Arial"/>
          <w:bCs/>
          <w:color w:val="000000"/>
          <w:szCs w:val="22"/>
        </w:rPr>
        <w:t>一、总 则</w:t>
      </w:r>
      <w:bookmarkEnd w:id="72"/>
      <w:bookmarkEnd w:id="73"/>
      <w:bookmarkEnd w:id="74"/>
      <w:bookmarkEnd w:id="75"/>
    </w:p>
    <w:p w14:paraId="67D1E616">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1、招标方式</w:t>
      </w:r>
    </w:p>
    <w:p w14:paraId="646C60D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本次采购采取公开招标方式。</w:t>
      </w:r>
    </w:p>
    <w:p w14:paraId="1C5B1850">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2、合格的投标人</w:t>
      </w:r>
    </w:p>
    <w:p w14:paraId="5E1DB1B9">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2.1合格的投标人必须符合招标文件第一章《投标邀请》第二条及投标人须知前附表相关规定，且具备完成本项目的能力，中标后不允许转包。</w:t>
      </w:r>
    </w:p>
    <w:p w14:paraId="5923CEDA">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2.2满足本文件实质性要求的规定。</w:t>
      </w:r>
    </w:p>
    <w:p w14:paraId="30EA65C2">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3、适用法律</w:t>
      </w:r>
    </w:p>
    <w:p w14:paraId="17C4A12E">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本次招标及由招标产生的合同受中华人民共和国的相关法律、法规制约和保护。</w:t>
      </w:r>
    </w:p>
    <w:p w14:paraId="45A9E871">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4、投标费用</w:t>
      </w:r>
    </w:p>
    <w:p w14:paraId="67BA205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投标人应自行承担所有参加投标有关的费用。</w:t>
      </w:r>
    </w:p>
    <w:p w14:paraId="0351779F">
      <w:pPr>
        <w:pStyle w:val="43"/>
        <w:spacing w:before="0" w:after="0" w:line="480" w:lineRule="exact"/>
        <w:ind w:firstLine="321"/>
        <w:rPr>
          <w:rFonts w:eastAsia="宋体" w:cs="Arial"/>
          <w:bCs/>
          <w:color w:val="000000"/>
          <w:szCs w:val="22"/>
        </w:rPr>
      </w:pPr>
      <w:bookmarkStart w:id="76" w:name="_Toc15995"/>
      <w:bookmarkStart w:id="77" w:name="_Toc81575156"/>
      <w:bookmarkStart w:id="78" w:name="_Toc29306"/>
      <w:bookmarkStart w:id="79" w:name="_Toc81575193"/>
      <w:r>
        <w:rPr>
          <w:rFonts w:hint="eastAsia" w:eastAsia="宋体" w:cs="Arial"/>
          <w:bCs/>
          <w:color w:val="000000"/>
          <w:szCs w:val="22"/>
        </w:rPr>
        <w:t>二、招标文件</w:t>
      </w:r>
      <w:bookmarkEnd w:id="76"/>
      <w:bookmarkEnd w:id="77"/>
      <w:bookmarkEnd w:id="78"/>
      <w:bookmarkEnd w:id="79"/>
    </w:p>
    <w:p w14:paraId="33D1197F">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5、招标文件构成</w:t>
      </w:r>
    </w:p>
    <w:p w14:paraId="746F8B8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5.1招标文件由以下部分组成：</w:t>
      </w:r>
    </w:p>
    <w:p w14:paraId="15BCF216">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第一章：投标邀请；</w:t>
      </w:r>
    </w:p>
    <w:p w14:paraId="11FA64F4">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第二章：投标人须知；</w:t>
      </w:r>
    </w:p>
    <w:p w14:paraId="778DA377">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第三章：资格审查及评标办法；</w:t>
      </w:r>
    </w:p>
    <w:p w14:paraId="5EEB158E">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第四章：采购需求；</w:t>
      </w:r>
    </w:p>
    <w:p w14:paraId="65D85753">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第五章：合同文本；</w:t>
      </w:r>
    </w:p>
    <w:p w14:paraId="3FB2DC1F">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第六章：投标文件格式。</w:t>
      </w:r>
    </w:p>
    <w:p w14:paraId="0E15B5D7">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请仔细检查招标文件是否齐全，如有缺漏请立即与代理机构联系解决。</w:t>
      </w:r>
    </w:p>
    <w:p w14:paraId="4986BFD6">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5.2投标人应认真阅读招标文件中所有的事项、格式、条款和规范等要求，按招标文件要求和规定编制投标文件，并保证所提供的全部资料的真实性，以使其投标文件对招标文件作出实质性响应，否则风险由投标人自行承担。</w:t>
      </w:r>
    </w:p>
    <w:p w14:paraId="5F881456">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6、政府采购政策功能落实</w:t>
      </w:r>
    </w:p>
    <w:p w14:paraId="487D0D7E">
      <w:pPr>
        <w:spacing w:line="480" w:lineRule="exact"/>
        <w:ind w:firstLine="482"/>
        <w:rPr>
          <w:rFonts w:ascii="Times New Roman" w:hAnsi="Times New Roman" w:cs="仿宋"/>
          <w:b/>
          <w:bCs/>
          <w:color w:val="000000"/>
          <w:sz w:val="24"/>
          <w:u w:val="single"/>
        </w:rPr>
      </w:pPr>
      <w:r>
        <w:rPr>
          <w:rFonts w:hint="eastAsia" w:ascii="Times New Roman" w:hAnsi="Times New Roman" w:cs="仿宋"/>
          <w:b/>
          <w:bCs/>
          <w:color w:val="000000"/>
          <w:sz w:val="24"/>
        </w:rPr>
        <w:t>本项目落实的政府采购政策对应序号为</w:t>
      </w:r>
      <w:r>
        <w:rPr>
          <w:rFonts w:hint="eastAsia" w:ascii="Times New Roman" w:hAnsi="Times New Roman" w:cs="仿宋"/>
          <w:b/>
          <w:bCs/>
          <w:color w:val="000000"/>
          <w:sz w:val="24"/>
          <w:u w:val="single"/>
        </w:rPr>
        <w:t>6.1、6.3、6.4</w:t>
      </w:r>
    </w:p>
    <w:p w14:paraId="031EB577">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6.1中小企业政策</w:t>
      </w:r>
    </w:p>
    <w:p w14:paraId="37D40DE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本项目按第</w:t>
      </w:r>
      <w:r>
        <w:rPr>
          <w:rFonts w:hint="eastAsia" w:ascii="Times New Roman" w:hAnsi="Times New Roman" w:cs="仿宋"/>
          <w:color w:val="000000"/>
          <w:sz w:val="24"/>
          <w:u w:val="single"/>
        </w:rPr>
        <w:t>（2）</w:t>
      </w:r>
      <w:r>
        <w:rPr>
          <w:rFonts w:hint="eastAsia" w:ascii="Times New Roman" w:hAnsi="Times New Roman" w:cs="仿宋"/>
          <w:color w:val="000000"/>
          <w:sz w:val="24"/>
        </w:rPr>
        <w:t>种政策落实：</w:t>
      </w:r>
    </w:p>
    <w:p w14:paraId="496C02B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（1）本项目专门面向中小企业（含监狱与戒毒企业、残疾人福利企业）采购。</w:t>
      </w:r>
    </w:p>
    <w:p w14:paraId="24E74322">
      <w:pPr>
        <w:spacing w:line="480" w:lineRule="exact"/>
        <w:ind w:firstLine="480"/>
        <w:rPr>
          <w:rFonts w:cs="仿宋"/>
          <w:sz w:val="24"/>
        </w:rPr>
      </w:pPr>
      <w:r>
        <w:rPr>
          <w:rFonts w:hint="eastAsia" w:cs="仿宋"/>
          <w:sz w:val="24"/>
        </w:rPr>
        <w:t>（2）对符合规定情形的小微企业报价给予</w:t>
      </w:r>
      <w:r>
        <w:rPr>
          <w:rFonts w:hint="eastAsia" w:cs="仿宋"/>
          <w:sz w:val="24"/>
          <w:u w:val="single"/>
        </w:rPr>
        <w:t>15%</w:t>
      </w:r>
      <w:r>
        <w:rPr>
          <w:rFonts w:hint="eastAsia" w:cs="仿宋"/>
          <w:sz w:val="24"/>
        </w:rPr>
        <w:t>扣除，用扣除后的价格参加评审。</w:t>
      </w:r>
    </w:p>
    <w:p w14:paraId="24BEB13C">
      <w:pPr>
        <w:spacing w:line="480" w:lineRule="exact"/>
        <w:ind w:firstLine="480"/>
        <w:rPr>
          <w:rFonts w:cs="仿宋"/>
          <w:sz w:val="24"/>
        </w:rPr>
      </w:pPr>
      <w:r>
        <w:rPr>
          <w:rFonts w:hint="eastAsia" w:cs="仿宋"/>
          <w:sz w:val="24"/>
        </w:rPr>
        <w:t>在服务采购项目中，服务由中小企业承接，即提供服务的人员为中小企业依照《中华人民共和国劳动合同法》订立劳动合同的从业人员。</w:t>
      </w:r>
    </w:p>
    <w:p w14:paraId="40051085">
      <w:pPr>
        <w:spacing w:line="480" w:lineRule="exact"/>
        <w:ind w:firstLine="480"/>
        <w:rPr>
          <w:rFonts w:cs="仿宋"/>
          <w:sz w:val="24"/>
        </w:rPr>
      </w:pPr>
      <w:r>
        <w:rPr>
          <w:rFonts w:hint="eastAsia" w:cs="仿宋_GB2312"/>
          <w:sz w:val="24"/>
        </w:rPr>
        <w:t>在货物采购项目中，货物由中小企业制造，即货物由中小企业生产且使用该中小企业商号或者注册商标。</w:t>
      </w:r>
    </w:p>
    <w:p w14:paraId="7EB6F8FD">
      <w:pPr>
        <w:spacing w:line="480" w:lineRule="exact"/>
        <w:ind w:firstLine="480"/>
        <w:rPr>
          <w:rFonts w:cs="仿宋"/>
          <w:sz w:val="24"/>
        </w:rPr>
      </w:pPr>
      <w:r>
        <w:rPr>
          <w:rFonts w:hint="eastAsia" w:cs="仿宋"/>
          <w:sz w:val="24"/>
        </w:rPr>
        <w:t>注：①参加投标的中小企业，应当按照《政府采购促进中小企业发展管理办法》（财库〔2020〕46号）规定，出具《中小企业声明函》，中小企业划型依据《关于印发中小企业划型标准规定的通知》（工信部联企业〔2011〕300号）。</w:t>
      </w:r>
    </w:p>
    <w:p w14:paraId="788FE43E">
      <w:pPr>
        <w:spacing w:line="480" w:lineRule="exact"/>
        <w:ind w:firstLine="480"/>
        <w:rPr>
          <w:rFonts w:cs="仿宋"/>
          <w:sz w:val="24"/>
        </w:rPr>
      </w:pPr>
      <w:r>
        <w:rPr>
          <w:rFonts w:hint="eastAsia" w:cs="仿宋"/>
          <w:sz w:val="24"/>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p>
    <w:p w14:paraId="7F9F14DC">
      <w:pPr>
        <w:spacing w:line="480" w:lineRule="exact"/>
        <w:ind w:firstLine="480"/>
        <w:rPr>
          <w:rFonts w:cs="仿宋"/>
          <w:sz w:val="24"/>
        </w:rPr>
      </w:pPr>
      <w:r>
        <w:rPr>
          <w:rFonts w:hint="eastAsia" w:cs="仿宋"/>
          <w:sz w:val="24"/>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54763CF5">
      <w:pPr>
        <w:spacing w:line="480" w:lineRule="exact"/>
        <w:ind w:firstLine="480"/>
        <w:rPr>
          <w:rFonts w:cs="仿宋"/>
          <w:sz w:val="24"/>
        </w:rPr>
      </w:pPr>
      <w:r>
        <w:rPr>
          <w:rFonts w:hint="eastAsia" w:cs="仿宋"/>
          <w:sz w:val="24"/>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cs="仿宋"/>
          <w:sz w:val="24"/>
          <w:u w:val="single"/>
        </w:rPr>
        <w:t>5</w:t>
      </w:r>
      <w:r>
        <w:rPr>
          <w:rFonts w:hint="eastAsia" w:cs="仿宋"/>
          <w:sz w:val="24"/>
        </w:rPr>
        <w:t>%（工程项目为</w:t>
      </w:r>
      <w:r>
        <w:rPr>
          <w:rFonts w:hint="eastAsia" w:cs="仿宋"/>
          <w:sz w:val="24"/>
          <w:u w:val="single"/>
        </w:rPr>
        <w:t>2</w:t>
      </w:r>
      <w:r>
        <w:rPr>
          <w:rFonts w:hint="eastAsia" w:cs="仿宋"/>
          <w:sz w:val="24"/>
        </w:rPr>
        <w:t>%）的扣除，用扣除后的价格参加评审。（是否接受联合体以“项目基本情况”相关内容为准，是否允许大中型企业向一家或者多家小微企业分包以“须知前附表”“采购需求”相关内容为准。）</w:t>
      </w:r>
    </w:p>
    <w:p w14:paraId="3B0ABE07">
      <w:pPr>
        <w:spacing w:line="480" w:lineRule="exact"/>
        <w:ind w:firstLine="480"/>
        <w:rPr>
          <w:rFonts w:ascii="Times New Roman" w:hAnsi="Times New Roman" w:cs="仿宋"/>
          <w:color w:val="000000"/>
          <w:sz w:val="24"/>
        </w:rPr>
      </w:pPr>
      <w:r>
        <w:rPr>
          <w:rFonts w:hint="eastAsia" w:cs="仿宋"/>
          <w:sz w:val="24"/>
        </w:rPr>
        <w:t>⑤联合体各方均为小型、微型企业（残疾人福利单位、监狱企业）的，联合体享受15%价格扣除，用扣除后的价格参与评审。</w:t>
      </w:r>
    </w:p>
    <w:p w14:paraId="372393C6">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6.2节能产品、环境标志产品</w:t>
      </w:r>
    </w:p>
    <w:p w14:paraId="03412991">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拟采购的产品属于品目清单范围的，采购人将依据国家确定的认证机构出具的、处于有效期之内的节能产品、环境标志产品认证证书，对获得证书的产品实施政府优先采购或强制采购。</w:t>
      </w:r>
    </w:p>
    <w:p w14:paraId="19CC4989">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6.2.1拟采购的产品属于政府强制采购的节能产品品目清单范围的，投标人须提供国家确定的认证机构出具的、处于有效期之内的节能产品认证证书，否则其投标文件作无效标处理。</w:t>
      </w:r>
    </w:p>
    <w:p w14:paraId="4333906F">
      <w:pPr>
        <w:spacing w:line="480" w:lineRule="exact"/>
        <w:ind w:firstLine="480"/>
        <w:rPr>
          <w:rFonts w:ascii="Times New Roman" w:hAnsi="Times New Roman" w:cs="仿宋"/>
          <w:sz w:val="24"/>
        </w:rPr>
      </w:pPr>
      <w:r>
        <w:rPr>
          <w:rFonts w:hint="eastAsia" w:ascii="Times New Roman" w:hAnsi="Times New Roman" w:cs="仿宋"/>
          <w:sz w:val="24"/>
        </w:rPr>
        <w:t>6.2.2采购人拟采购的产品属于优先采购的节能环保品目清单范围的，按以下条件优先采购：</w:t>
      </w:r>
    </w:p>
    <w:p w14:paraId="6F0D238D">
      <w:pPr>
        <w:spacing w:line="480" w:lineRule="exact"/>
        <w:ind w:firstLine="480"/>
        <w:rPr>
          <w:rFonts w:ascii="Times New Roman" w:hAnsi="Times New Roman" w:cs="仿宋"/>
          <w:sz w:val="24"/>
        </w:rPr>
      </w:pPr>
      <w:r>
        <w:rPr>
          <w:rFonts w:hint="eastAsia" w:ascii="Times New Roman" w:hAnsi="Times New Roman" w:cs="仿宋"/>
          <w:sz w:val="24"/>
        </w:rPr>
        <w:t>采用综合评分法的项目，对提供有效节能环保证书的投标人加分。</w:t>
      </w:r>
    </w:p>
    <w:p w14:paraId="46069A2B">
      <w:pPr>
        <w:spacing w:line="480" w:lineRule="exact"/>
        <w:ind w:firstLine="480"/>
        <w:rPr>
          <w:rFonts w:ascii="Times New Roman" w:hAnsi="Times New Roman" w:cs="仿宋"/>
          <w:sz w:val="24"/>
        </w:rPr>
      </w:pPr>
      <w:r>
        <w:rPr>
          <w:rFonts w:hint="eastAsia" w:ascii="Times New Roman" w:hAnsi="Times New Roman" w:cs="仿宋"/>
          <w:sz w:val="24"/>
        </w:rPr>
        <w:t>采用最低评标价法的项目，同等条件下优先推荐提供有效节能环保证书多的投标人为中标人。</w:t>
      </w:r>
    </w:p>
    <w:p w14:paraId="58331C8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6.3政府采购需求标准</w:t>
      </w:r>
    </w:p>
    <w:p w14:paraId="78A225D9">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6.3.1商品包装、快递包装政府采购需求标准（试行）</w:t>
      </w:r>
    </w:p>
    <w:p w14:paraId="7E5870F3">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按照财政部印发的《商品包装政府采购需求标准（试行）》《快递包装政府采购需求标准（试行）》要求执行，本项目商品包装和快递包装的具体需求详见第四章采购需求。</w:t>
      </w:r>
    </w:p>
    <w:p w14:paraId="41A50577">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6.3.2绿色数据中心政府采购需求标准（试行）</w:t>
      </w:r>
    </w:p>
    <w:p w14:paraId="72A5B547">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按照财政部 生态环境部 工业和信息化部关于印发《绿色数据中心政府采购需求标准（试行）》的通知）要求执行，本项目绿色数据中心的具体需求详见第四章采购需求。</w:t>
      </w:r>
    </w:p>
    <w:p w14:paraId="7A5704E5">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6.3.3绿色建材政府采购需求标准</w:t>
      </w:r>
    </w:p>
    <w:p w14:paraId="50B51D5E">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按照财政部 住房和城乡建设部 工业和信息化部关于印发《关于扩大政府采购支持绿色建材促进建筑品质提升政策实施范围的通知》要求执行，本项目绿色建材的具体需求详见第四章采购需求。</w:t>
      </w:r>
    </w:p>
    <w:p w14:paraId="1F2B3314">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604FFFE0">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7、招标文件的澄清或修改</w:t>
      </w:r>
    </w:p>
    <w:p w14:paraId="777C57C7">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p>
    <w:p w14:paraId="3FFF966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7.2招标文件的澄清、修改将在原公告媒体上发布更正公告，澄清、修改文件均作为招标文件的组成部分，并对投标人具有约束力。</w:t>
      </w:r>
    </w:p>
    <w:p w14:paraId="1BCDBE55">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7.3投标人应及时登录“苏采云”系统获取澄清答疑文件（修改后的招标文件），如投标人未能及时下载澄清答疑文件，造成的相关责任由投标人承担。</w:t>
      </w:r>
    </w:p>
    <w:p w14:paraId="5830833F">
      <w:pPr>
        <w:pStyle w:val="43"/>
        <w:spacing w:before="0" w:after="0" w:line="480" w:lineRule="exact"/>
        <w:ind w:firstLine="321"/>
        <w:rPr>
          <w:rFonts w:eastAsia="宋体" w:cs="Arial"/>
          <w:bCs/>
          <w:color w:val="000000"/>
          <w:szCs w:val="22"/>
        </w:rPr>
      </w:pPr>
      <w:bookmarkStart w:id="80" w:name="_Toc81575194"/>
      <w:bookmarkStart w:id="81" w:name="_Toc5574"/>
      <w:bookmarkStart w:id="82" w:name="_Toc11461"/>
      <w:bookmarkStart w:id="83" w:name="_Toc81575157"/>
      <w:r>
        <w:rPr>
          <w:rFonts w:hint="eastAsia" w:eastAsia="宋体" w:cs="Arial"/>
          <w:bCs/>
          <w:color w:val="000000"/>
          <w:szCs w:val="22"/>
        </w:rPr>
        <w:t>三、投标文件的编制</w:t>
      </w:r>
      <w:bookmarkEnd w:id="80"/>
      <w:bookmarkEnd w:id="81"/>
      <w:bookmarkEnd w:id="82"/>
      <w:bookmarkEnd w:id="83"/>
    </w:p>
    <w:p w14:paraId="4895AA44">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8、投标文件的编制要求</w:t>
      </w:r>
    </w:p>
    <w:p w14:paraId="5C506B31">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8.1投标人应仔细阅读“招标文件”的所有内容，保证所提供的全部资料的真实性、完整性及有效性，以使其投标对“招标文件”作出实质性响应。</w:t>
      </w:r>
    </w:p>
    <w:p w14:paraId="555B791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8.2投标文件要求加盖电子签章之处，应按要求加盖投标人数字证书的电子签章。其他需要盖章但未明确要求电子签章的，投标人可按要求加盖公章后上传材料电子件或直接加盖电子签章。</w:t>
      </w:r>
    </w:p>
    <w:p w14:paraId="572868EE">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p>
    <w:p w14:paraId="09BF38F4">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9、投标文件构成</w:t>
      </w:r>
    </w:p>
    <w:p w14:paraId="3F82BB10">
      <w:pPr>
        <w:spacing w:line="480" w:lineRule="exact"/>
        <w:ind w:firstLine="480"/>
        <w:rPr>
          <w:rFonts w:ascii="Times New Roman" w:hAnsi="Times New Roman" w:cs="仿宋"/>
          <w:bCs/>
          <w:color w:val="000000"/>
          <w:sz w:val="24"/>
        </w:rPr>
      </w:pPr>
      <w:r>
        <w:rPr>
          <w:rFonts w:hint="eastAsia" w:ascii="Times New Roman" w:hAnsi="Times New Roman" w:cs="仿宋"/>
          <w:color w:val="000000"/>
          <w:sz w:val="24"/>
        </w:rPr>
        <w:t>9.1投标文件包括资格证明文件、开标一览表、分项报价表、响应及偏离表、投标函、其他证明文件等部分。</w:t>
      </w:r>
      <w:r>
        <w:rPr>
          <w:rFonts w:hint="eastAsia" w:ascii="Times New Roman" w:hAnsi="Times New Roman" w:cs="仿宋"/>
          <w:bCs/>
          <w:color w:val="000000"/>
          <w:sz w:val="24"/>
        </w:rPr>
        <w:t>投标文件构成资料为非中文时应提供中文译版。</w:t>
      </w:r>
      <w:bookmarkStart w:id="84" w:name="EBc50e2bb832bb43068403b10c1cce6141"/>
    </w:p>
    <w:p w14:paraId="2B62C09B">
      <w:pPr>
        <w:spacing w:line="480" w:lineRule="exact"/>
        <w:ind w:firstLine="482"/>
        <w:rPr>
          <w:rFonts w:ascii="Times New Roman" w:hAnsi="Times New Roman" w:cs="仿宋"/>
          <w:bCs/>
          <w:color w:val="000000"/>
          <w:sz w:val="24"/>
        </w:rPr>
      </w:pPr>
      <w:r>
        <w:rPr>
          <w:rFonts w:hint="eastAsia" w:ascii="Times New Roman" w:hAnsi="Times New Roman" w:cs="仿宋"/>
          <w:b/>
          <w:color w:val="000000"/>
          <w:sz w:val="24"/>
        </w:rPr>
        <w:t>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4"/>
    </w:p>
    <w:p w14:paraId="31BC3CC1">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10、投标报价</w:t>
      </w:r>
    </w:p>
    <w:p w14:paraId="717FFC3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10.1报价为一次报价，本项目不接受备选的投标方案或有选择的报价，只允许有一个报价。</w:t>
      </w:r>
    </w:p>
    <w:p w14:paraId="7B6C801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10.2报价注意事项：投标价格一律以人民币计算，以元为单位标注，最多保留至小数点后两位，招标文件有规定的按招标文件执行。</w:t>
      </w:r>
    </w:p>
    <w:p w14:paraId="4AD57DA5">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11、投标保证金</w:t>
      </w:r>
      <w:bookmarkStart w:id="85" w:name="EB183a0bf075204c54a4ff090f1aecaaa7"/>
    </w:p>
    <w:p w14:paraId="63B4C6D7">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本项目不收取投标保证金。</w:t>
      </w:r>
      <w:bookmarkEnd w:id="85"/>
    </w:p>
    <w:p w14:paraId="4E946776">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12、投标有效期</w:t>
      </w:r>
    </w:p>
    <w:p w14:paraId="0C8059B7">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12.1在投标人须知前附表规定的投标有效期内，投标有效期从提交投标文件的截止之日起算。投标有效期比规定短的将被视为未实质性响应招标文件。</w:t>
      </w:r>
    </w:p>
    <w:p w14:paraId="1F22435F">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p>
    <w:p w14:paraId="5B72F478">
      <w:pPr>
        <w:pStyle w:val="43"/>
        <w:spacing w:before="0" w:after="0" w:line="480" w:lineRule="exact"/>
        <w:ind w:firstLine="321"/>
        <w:rPr>
          <w:rFonts w:eastAsia="宋体" w:cs="Arial"/>
          <w:bCs/>
          <w:color w:val="000000"/>
          <w:szCs w:val="22"/>
        </w:rPr>
      </w:pPr>
      <w:bookmarkStart w:id="86" w:name="_Toc2773"/>
      <w:bookmarkStart w:id="87" w:name="_Toc23443"/>
      <w:bookmarkStart w:id="88" w:name="_Toc81575195"/>
      <w:bookmarkStart w:id="89" w:name="_Toc81575158"/>
      <w:r>
        <w:rPr>
          <w:rFonts w:hint="eastAsia" w:eastAsia="宋体" w:cs="Arial"/>
          <w:bCs/>
          <w:color w:val="000000"/>
          <w:szCs w:val="22"/>
        </w:rPr>
        <w:t>四、投标文件的提交</w:t>
      </w:r>
      <w:bookmarkEnd w:id="86"/>
      <w:bookmarkEnd w:id="87"/>
      <w:bookmarkEnd w:id="88"/>
      <w:bookmarkEnd w:id="89"/>
    </w:p>
    <w:p w14:paraId="44A62DEF">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13、投标文件的提交</w:t>
      </w:r>
    </w:p>
    <w:p w14:paraId="21E45E32">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13.1投标人应在招标文件规定的投标截止时间前提交投标文件并将电子投标文件上传至“苏采云”系统对应的本次开标采购包中。除招标文件另有规定外，投标人所提交的投标文件不予退还。</w:t>
      </w:r>
    </w:p>
    <w:p w14:paraId="44A7717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13.2投标文件的修改和撤回：在投标截止时间前，投标人可以撤回或重新提交投标文件。投标文件以最终完成上传的为准。</w:t>
      </w:r>
    </w:p>
    <w:p w14:paraId="33FF3967">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13.3采购人、采购代理机构可以通过修改招标文件酌情延长投标文件接收截止日期，在此情况下，投标人的所有权利和义务以及投标人受制约的截止日期均应以延长后新的截止日期为准。</w:t>
      </w:r>
    </w:p>
    <w:p w14:paraId="1D62F503">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14、投标文件被拒绝接收的情形</w:t>
      </w:r>
    </w:p>
    <w:p w14:paraId="79704576">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在招标文件规定的投标截止时间后上传的投标文件或对投标报价或其他实质性内容修正的文件。</w:t>
      </w:r>
    </w:p>
    <w:p w14:paraId="3AC6B937">
      <w:pPr>
        <w:pStyle w:val="43"/>
        <w:spacing w:before="0" w:after="0" w:line="520" w:lineRule="exact"/>
        <w:ind w:firstLine="321"/>
        <w:rPr>
          <w:rFonts w:eastAsia="宋体" w:cs="Arial"/>
          <w:bCs/>
          <w:color w:val="000000"/>
          <w:szCs w:val="22"/>
        </w:rPr>
      </w:pPr>
      <w:bookmarkStart w:id="90" w:name="_Toc81575160"/>
      <w:bookmarkStart w:id="91" w:name="_Toc959"/>
      <w:bookmarkStart w:id="92" w:name="_Toc20026"/>
      <w:bookmarkStart w:id="93" w:name="_Toc81575197"/>
      <w:r>
        <w:rPr>
          <w:rFonts w:hint="eastAsia" w:eastAsia="宋体" w:cs="Arial"/>
          <w:bCs/>
          <w:color w:val="000000"/>
          <w:szCs w:val="22"/>
        </w:rPr>
        <w:t>五、开标、评标程序</w:t>
      </w:r>
      <w:bookmarkEnd w:id="90"/>
      <w:bookmarkEnd w:id="91"/>
      <w:bookmarkEnd w:id="92"/>
      <w:bookmarkEnd w:id="93"/>
    </w:p>
    <w:p w14:paraId="2237156A">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15、开标</w:t>
      </w:r>
    </w:p>
    <w:p w14:paraId="4348988E">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15.1采购代理机构将在招标公告中规定的时间和地点组织公开开标。投标人应当按照《操作手册》规定，参加开标活动，在“苏采云”系统规定的时间内对投标文件解密。</w:t>
      </w:r>
    </w:p>
    <w:p w14:paraId="48619993">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15.2开标仪式由采购代理机构组织。“苏采云”系统将自动对项目进行开标，并宣布各投标人名称和投标价格。</w:t>
      </w:r>
    </w:p>
    <w:p w14:paraId="36A12B98">
      <w:pPr>
        <w:spacing w:line="480" w:lineRule="exact"/>
        <w:ind w:firstLine="482"/>
        <w:rPr>
          <w:rFonts w:ascii="Times New Roman" w:hAnsi="Times New Roman" w:cs="仿宋"/>
          <w:b/>
          <w:bCs/>
          <w:color w:val="000000"/>
          <w:sz w:val="24"/>
        </w:rPr>
      </w:pPr>
      <w:r>
        <w:rPr>
          <w:rFonts w:hint="eastAsia" w:ascii="Times New Roman" w:hAnsi="Times New Roman" w:cs="仿宋"/>
          <w:b/>
          <w:bCs/>
          <w:color w:val="000000"/>
          <w:sz w:val="24"/>
        </w:rPr>
        <w:t>15.3投标人用于解密的CA证书应为该投标文件生成加密、上传的同一把CA证书。投标人应登录“苏采云”系统进入“开标大厅”，在系统约定时间内使用CA证书解密，未成功解密的视为放弃投标。</w:t>
      </w:r>
    </w:p>
    <w:p w14:paraId="171A050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15.4投标人如果对开标过程和开标记录有疑义，应当根据《操作手册》规定提出。如“苏采云”系统中《开标记录表》宣布后5分钟内未提出的，视同认可开标结果。</w:t>
      </w:r>
    </w:p>
    <w:p w14:paraId="7E578A2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15.5投标人在开、评标全过程中应保持通讯畅通，及时登录“苏采云”系统查阅、答复相关信息。</w:t>
      </w:r>
    </w:p>
    <w:p w14:paraId="1C507075">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16、评标委员会</w:t>
      </w:r>
    </w:p>
    <w:p w14:paraId="5951C849">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p>
    <w:p w14:paraId="35CBD159">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17、评标程序</w:t>
      </w:r>
    </w:p>
    <w:p w14:paraId="4E92CF42">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17.1资格审查</w:t>
      </w:r>
      <w:bookmarkStart w:id="94" w:name="EBa9c0a2c9e523494487594c65b2a92370"/>
    </w:p>
    <w:p w14:paraId="1048899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开标结束后，采购人依法根据招标文件的规定对投标人的资格证明文件等进行审查。</w:t>
      </w:r>
      <w:bookmarkEnd w:id="94"/>
    </w:p>
    <w:p w14:paraId="0674A4A9">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17.2符合性检查</w:t>
      </w:r>
    </w:p>
    <w:p w14:paraId="209672D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17.2.1依据招标文件的规定，由评标委员会从投标文件的有效性、完整性和对招标文件的响应程度进行审查，以确定是否对招标文件的实质性要求作出响应。</w:t>
      </w:r>
    </w:p>
    <w:p w14:paraId="3076B4AE">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17.2.2在详细评标之前，评标委员会将首先审查每份投标文件是否实质性响应了招标文件的要求。实质性响应的投标应是与招标文件要求的全部条款、条件和规格相符，没有重大偏离的投标。</w:t>
      </w:r>
      <w:bookmarkStart w:id="95" w:name="EB1499356fad43416eb16398733accabf7"/>
      <w:r>
        <w:rPr>
          <w:rFonts w:hint="eastAsia" w:ascii="Times New Roman" w:hAnsi="Times New Roman" w:cs="仿宋"/>
          <w:color w:val="000000"/>
          <w:sz w:val="24"/>
        </w:rPr>
        <w:t>所谓重大偏离是指投标人投标文件中所述设备质量、技术规格、数量、交货期、服务等明显不能满足招标文件要求。</w:t>
      </w:r>
      <w:bookmarkEnd w:id="95"/>
      <w:r>
        <w:rPr>
          <w:rFonts w:hint="eastAsia" w:ascii="Times New Roman" w:hAnsi="Times New Roman" w:cs="仿宋"/>
          <w:color w:val="000000"/>
          <w:sz w:val="24"/>
        </w:rPr>
        <w:t>重大偏离的认定需经过评标委员会以少数服从多数的原则作出结论。</w:t>
      </w:r>
    </w:p>
    <w:p w14:paraId="53E54EA3">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17.3未通过资格审查或符合性审查的投标人，采购代理机构将在“苏采云”系统中告知未通过资格审查或符合性审查的原因，评标结束后，采购代理机构将不再告知未通过资格审查或符合性审查的原因。</w:t>
      </w:r>
    </w:p>
    <w:p w14:paraId="739DC93F">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17.4评标委员会判断投标文件的响应性，仅基于投标文件本身而不靠外部证据。对非实质性响应的投标文件，投标人不能通过修正或撤销不符之处，而使其成为实质性响应。</w:t>
      </w:r>
    </w:p>
    <w:p w14:paraId="026E492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17.5相同品牌产品投标</w:t>
      </w:r>
    </w:p>
    <w:p w14:paraId="6009C7B5">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17.5.1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36C57E82">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14:paraId="208BA065">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17.5.3非单一产品采购项目，采购人确定核心产品，并在招标文件中载明。多家投标人提供的核心产品品牌相同的，按前两款规定处理。</w:t>
      </w:r>
    </w:p>
    <w:p w14:paraId="0BC7835D">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17.6有关问题的澄清</w:t>
      </w:r>
    </w:p>
    <w:p w14:paraId="10BFBF75">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p>
    <w:p w14:paraId="33F6CEF1">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17.6.2投标文件报价出现前后不一致的，除招标文件另有规定外，按照下列规定修正：</w:t>
      </w:r>
    </w:p>
    <w:p w14:paraId="776D928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①投标文件中开标一览表（报价表）内容与投标文件中相应内容不一致的，以开标一览表（报价表）为准；</w:t>
      </w:r>
    </w:p>
    <w:p w14:paraId="47A12FE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②大写金额和小写金额不一致的，以大写金额为准；</w:t>
      </w:r>
    </w:p>
    <w:p w14:paraId="2D76BDF6">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③单价金额小数点或者百分比有明显错位的，以开标一览表的总价为准，并修改单价；</w:t>
      </w:r>
    </w:p>
    <w:p w14:paraId="5FDEEDF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④总价金额与按单价汇总金额不一致的，以单价金额计算结果为准。</w:t>
      </w:r>
    </w:p>
    <w:p w14:paraId="4CAFA5BE">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同时出现两种以上不一致的，按照前款规定的顺序修正。</w:t>
      </w:r>
    </w:p>
    <w:p w14:paraId="7328AC0E">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17.6.3评标委员会将按上述修正错误的方法调整投标文件中的投标报价，并通过“苏采云”系统告知投标人，调整后的价格应对投标人具有约束力。投标人不接受修正后的价格，其投标将被拒绝。</w:t>
      </w:r>
    </w:p>
    <w:p w14:paraId="5EC80809">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评标过程中，不得去掉报价中的最高报价和最低报价。</w:t>
      </w:r>
    </w:p>
    <w:p w14:paraId="5BBDA524">
      <w:pPr>
        <w:tabs>
          <w:tab w:val="left" w:pos="900"/>
        </w:tabs>
        <w:spacing w:line="480" w:lineRule="exact"/>
        <w:ind w:firstLine="480"/>
        <w:rPr>
          <w:rFonts w:ascii="Times New Roman" w:hAnsi="Times New Roman"/>
          <w:sz w:val="24"/>
        </w:rPr>
      </w:pPr>
      <w:r>
        <w:rPr>
          <w:rFonts w:hint="eastAsia" w:ascii="Times New Roman" w:hAnsi="Times New Roman"/>
          <w:sz w:val="24"/>
        </w:rPr>
        <w:t>17.7异常低价响应审查</w:t>
      </w:r>
    </w:p>
    <w:p w14:paraId="57F693B8">
      <w:pPr>
        <w:tabs>
          <w:tab w:val="left" w:pos="900"/>
        </w:tabs>
        <w:spacing w:line="480" w:lineRule="exact"/>
        <w:ind w:firstLine="480"/>
        <w:rPr>
          <w:rFonts w:ascii="Times New Roman" w:hAnsi="Times New Roman"/>
          <w:sz w:val="24"/>
        </w:rPr>
      </w:pPr>
      <w:r>
        <w:rPr>
          <w:rFonts w:hint="eastAsia" w:ascii="Times New Roman" w:hAnsi="Times New Roman"/>
          <w:sz w:val="24"/>
        </w:rPr>
        <w:t>17.7.1评审过程中出现下列情形之一的，评审委员会应当启动异常低价响应审查程序：</w:t>
      </w:r>
    </w:p>
    <w:p w14:paraId="114DE6DC">
      <w:pPr>
        <w:tabs>
          <w:tab w:val="left" w:pos="900"/>
        </w:tabs>
        <w:spacing w:line="480" w:lineRule="exact"/>
        <w:ind w:firstLine="480"/>
        <w:rPr>
          <w:rFonts w:ascii="Times New Roman" w:hAnsi="Times New Roman"/>
          <w:sz w:val="24"/>
        </w:rPr>
      </w:pPr>
      <w:r>
        <w:rPr>
          <w:rFonts w:hint="eastAsia" w:ascii="Times New Roman" w:hAnsi="Times New Roman"/>
          <w:sz w:val="24"/>
        </w:rPr>
        <w:t>（1）投标（响应）报价低于全部通过符合性审查供应商投标（响应）报价平均值50%的，即投标（响应）报价&lt;全部通过符合性审查供应商投标（响应）报价平均值×50%；</w:t>
      </w:r>
    </w:p>
    <w:p w14:paraId="6B0B6C29">
      <w:pPr>
        <w:tabs>
          <w:tab w:val="left" w:pos="900"/>
        </w:tabs>
        <w:spacing w:line="480" w:lineRule="exact"/>
        <w:ind w:firstLine="480"/>
        <w:rPr>
          <w:rFonts w:ascii="Times New Roman" w:hAnsi="Times New Roman"/>
          <w:sz w:val="24"/>
        </w:rPr>
      </w:pPr>
      <w:r>
        <w:rPr>
          <w:rFonts w:hint="eastAsia" w:ascii="Times New Roman" w:hAnsi="Times New Roman"/>
          <w:sz w:val="24"/>
        </w:rPr>
        <w:t>（2）投标（响应）报价低于通过符合性审查的次低报价供应商投标（响应）报价50%的，即投标（响应）报价&lt;通过符合性审查的次低报价供应商投标（响应）报价×50%；</w:t>
      </w:r>
    </w:p>
    <w:p w14:paraId="1219DCD7">
      <w:pPr>
        <w:tabs>
          <w:tab w:val="left" w:pos="900"/>
        </w:tabs>
        <w:spacing w:line="480" w:lineRule="exact"/>
        <w:ind w:firstLine="480"/>
        <w:rPr>
          <w:rFonts w:ascii="Times New Roman" w:hAnsi="Times New Roman"/>
          <w:sz w:val="24"/>
        </w:rPr>
      </w:pPr>
      <w:r>
        <w:rPr>
          <w:rFonts w:hint="eastAsia" w:ascii="Times New Roman" w:hAnsi="Times New Roman"/>
          <w:sz w:val="24"/>
        </w:rPr>
        <w:t>（3）投标（响应）报价低于采购项目最高限价45%的，即投标（响应）报价&lt;采购项目最高限价×45%；</w:t>
      </w:r>
    </w:p>
    <w:p w14:paraId="3F90AF7B">
      <w:pPr>
        <w:tabs>
          <w:tab w:val="left" w:pos="900"/>
        </w:tabs>
        <w:spacing w:line="480" w:lineRule="exact"/>
        <w:ind w:firstLine="480"/>
        <w:rPr>
          <w:rFonts w:ascii="Times New Roman" w:hAnsi="Times New Roman"/>
          <w:sz w:val="24"/>
        </w:rPr>
      </w:pPr>
      <w:r>
        <w:rPr>
          <w:rFonts w:hint="eastAsia" w:ascii="Times New Roman" w:hAnsi="Times New Roman"/>
          <w:sz w:val="24"/>
        </w:rPr>
        <w:t>（4）评审委员会基于专业判断，认为供应商报价过低，有可能影响产品质量或者不能诚信履约的其他情形。</w:t>
      </w:r>
    </w:p>
    <w:p w14:paraId="443F7BE4">
      <w:pPr>
        <w:tabs>
          <w:tab w:val="left" w:pos="900"/>
        </w:tabs>
        <w:spacing w:line="480" w:lineRule="exact"/>
        <w:ind w:firstLine="480"/>
        <w:rPr>
          <w:rFonts w:ascii="Times New Roman" w:hAnsi="Times New Roman"/>
          <w:sz w:val="24"/>
        </w:rPr>
      </w:pPr>
      <w:r>
        <w:rPr>
          <w:rFonts w:hint="eastAsia" w:ascii="Times New Roman" w:hAnsi="Times New Roman"/>
          <w:sz w:val="24"/>
        </w:rPr>
        <w:t>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55D75BE4">
      <w:pPr>
        <w:tabs>
          <w:tab w:val="left" w:pos="900"/>
        </w:tabs>
        <w:spacing w:line="480" w:lineRule="exact"/>
        <w:ind w:firstLine="480"/>
        <w:rPr>
          <w:rFonts w:ascii="Times New Roman" w:hAnsi="Times New Roman"/>
          <w:sz w:val="24"/>
        </w:rPr>
      </w:pPr>
      <w:r>
        <w:rPr>
          <w:rFonts w:hint="eastAsia" w:ascii="Times New Roman" w:hAnsi="Times New Roman"/>
          <w:sz w:val="24"/>
        </w:rPr>
        <w:t>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p>
    <w:p w14:paraId="2C40B69D">
      <w:pPr>
        <w:tabs>
          <w:tab w:val="left" w:pos="900"/>
        </w:tabs>
        <w:spacing w:line="480" w:lineRule="exact"/>
        <w:ind w:firstLine="480"/>
        <w:rPr>
          <w:rFonts w:ascii="Times New Roman" w:hAnsi="Times New Roman"/>
          <w:sz w:val="24"/>
        </w:rPr>
      </w:pPr>
      <w:r>
        <w:rPr>
          <w:rFonts w:hint="eastAsia" w:ascii="Times New Roman" w:hAnsi="Times New Roman"/>
          <w:sz w:val="24"/>
        </w:rPr>
        <w:t>异常低价投标(响应)审查的启动原因，审查意见和审查结果应当在评审报告中记录，并</w:t>
      </w:r>
      <w:r>
        <w:rPr>
          <w:rFonts w:hint="eastAsia" w:ascii="宋体" w:hAnsi="宋体" w:cs="宋体"/>
          <w:sz w:val="24"/>
          <w:szCs w:val="24"/>
        </w:rPr>
        <w:t>随</w:t>
      </w:r>
      <w:r>
        <w:rPr>
          <w:rFonts w:hint="eastAsia" w:ascii="Times New Roman" w:hAnsi="Times New Roman"/>
          <w:sz w:val="24"/>
        </w:rPr>
        <w:t>供应商提供的相关书面说明</w:t>
      </w:r>
      <w:r>
        <w:rPr>
          <w:rFonts w:hint="eastAsia" w:ascii="宋体" w:hAnsi="宋体" w:cs="宋体"/>
          <w:sz w:val="24"/>
          <w:szCs w:val="24"/>
        </w:rPr>
        <w:t>电子件</w:t>
      </w:r>
      <w:r>
        <w:rPr>
          <w:rFonts w:hint="eastAsia" w:ascii="Times New Roman" w:hAnsi="Times New Roman"/>
          <w:sz w:val="24"/>
        </w:rPr>
        <w:t>及证明材料</w:t>
      </w:r>
      <w:r>
        <w:rPr>
          <w:rFonts w:hint="eastAsia" w:ascii="宋体" w:hAnsi="宋体" w:cs="宋体"/>
          <w:sz w:val="24"/>
          <w:szCs w:val="24"/>
        </w:rPr>
        <w:t>电子件</w:t>
      </w:r>
      <w:r>
        <w:rPr>
          <w:rFonts w:hint="eastAsia" w:ascii="Times New Roman" w:hAnsi="Times New Roman"/>
          <w:sz w:val="24"/>
        </w:rPr>
        <w:t>，以及评审委员有关互联网浏览，查询历史一并归档。</w:t>
      </w:r>
    </w:p>
    <w:p w14:paraId="628922D0">
      <w:pPr>
        <w:spacing w:line="480" w:lineRule="exact"/>
        <w:ind w:firstLine="480"/>
        <w:rPr>
          <w:rFonts w:ascii="Times New Roman" w:hAnsi="Times New Roman" w:cs="仿宋"/>
          <w:color w:val="000000"/>
          <w:sz w:val="24"/>
        </w:rPr>
      </w:pPr>
    </w:p>
    <w:p w14:paraId="02AD6225">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17.8比较</w:t>
      </w:r>
    </w:p>
    <w:p w14:paraId="14B57B36">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评标委员会将按招标文件中规定的评标方法和标准，对符合性检查合格的投标文件进行商务和技术评比。</w:t>
      </w:r>
    </w:p>
    <w:p w14:paraId="1E5B94EA">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17.9推荐中标候选人</w:t>
      </w:r>
    </w:p>
    <w:p w14:paraId="0D2E6C47">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评标委员会按照招标文件中规定的评标方法和标准推荐中标候选人。</w:t>
      </w:r>
    </w:p>
    <w:p w14:paraId="2F5C079D">
      <w:pPr>
        <w:pStyle w:val="43"/>
        <w:spacing w:before="0" w:after="0" w:line="480" w:lineRule="exact"/>
        <w:ind w:firstLine="321"/>
        <w:rPr>
          <w:rFonts w:eastAsia="宋体" w:cs="Arial"/>
          <w:bCs/>
          <w:color w:val="000000"/>
          <w:szCs w:val="22"/>
        </w:rPr>
      </w:pPr>
      <w:bookmarkStart w:id="96" w:name="_Toc8841"/>
      <w:bookmarkStart w:id="97" w:name="_Toc81575196"/>
      <w:bookmarkStart w:id="98" w:name="_Toc81575159"/>
      <w:bookmarkStart w:id="99" w:name="_Toc8712"/>
      <w:r>
        <w:rPr>
          <w:rFonts w:hint="eastAsia" w:eastAsia="宋体" w:cs="Arial"/>
          <w:bCs/>
          <w:color w:val="000000"/>
          <w:szCs w:val="22"/>
        </w:rPr>
        <w:t>六、无效投标、废标、串通投标</w:t>
      </w:r>
      <w:bookmarkEnd w:id="96"/>
      <w:bookmarkEnd w:id="97"/>
      <w:bookmarkEnd w:id="98"/>
      <w:bookmarkEnd w:id="99"/>
      <w:r>
        <w:rPr>
          <w:rFonts w:hint="eastAsia" w:eastAsia="宋体" w:cs="Arial"/>
          <w:bCs/>
          <w:color w:val="000000"/>
          <w:szCs w:val="22"/>
        </w:rPr>
        <w:t>及取消中标候选人资格情形</w:t>
      </w:r>
    </w:p>
    <w:p w14:paraId="38D93567">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18、无效投标情形</w:t>
      </w:r>
    </w:p>
    <w:p w14:paraId="2D397D07">
      <w:pPr>
        <w:spacing w:line="480" w:lineRule="exact"/>
        <w:ind w:firstLine="480"/>
        <w:rPr>
          <w:rFonts w:ascii="Times New Roman" w:hAnsi="Times New Roman" w:cs="仿宋"/>
          <w:strike/>
          <w:color w:val="000000"/>
          <w:sz w:val="24"/>
        </w:rPr>
      </w:pPr>
      <w:r>
        <w:rPr>
          <w:rFonts w:hint="eastAsia" w:ascii="Times New Roman" w:hAnsi="Times New Roman" w:cs="仿宋"/>
          <w:color w:val="000000"/>
          <w:sz w:val="24"/>
        </w:rPr>
        <w:t>18.1投标人同一采购包提交两个（含两个）以上不同的投标报价的。</w:t>
      </w:r>
    </w:p>
    <w:p w14:paraId="2446FA8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18.2投标人不符合招标文件规定资格要求的或未按规定提交资质证件的。</w:t>
      </w:r>
    </w:p>
    <w:p w14:paraId="45E8C59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18.3投标人的报价超过了采购预算或最高限价的。</w:t>
      </w:r>
    </w:p>
    <w:p w14:paraId="3A077436">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18.4投标文件未通过符合性审查的。</w:t>
      </w:r>
    </w:p>
    <w:p w14:paraId="4086AED2">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18.5投标文件出现重大偏离，不符合招标文件中规定的实质性要求的（★部分为实质性要求）。</w:t>
      </w:r>
    </w:p>
    <w:p w14:paraId="304603D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18.6评标委员会认为投标人的报价明显低于其他通过符合性审查投标人的报价，有可能影响产品质量或者不能诚信履约的，且投标人不能在合理的时间内提供说明，证明其报价合理性的。</w:t>
      </w:r>
    </w:p>
    <w:p w14:paraId="1FD683B2">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18.7投标文件未按照招标文件要求加盖CA电子公章的。</w:t>
      </w:r>
    </w:p>
    <w:p w14:paraId="0359A11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18.8投标人有本招标文件规定的恶意串通投标情形的。</w:t>
      </w:r>
    </w:p>
    <w:p w14:paraId="78F98FB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18.9投标文件含有采购人不能接受的附加条件的。</w:t>
      </w:r>
    </w:p>
    <w:p w14:paraId="5902C0A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18.10其他法律、法规及本招标文件规定的属于无效投标的情形。</w:t>
      </w:r>
    </w:p>
    <w:p w14:paraId="6809C3BC">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19、废标情形</w:t>
      </w:r>
    </w:p>
    <w:p w14:paraId="7CD6BC7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19.1符合专业条件的投标人或者对招标文件作实质响应的投标人不足三家的。</w:t>
      </w:r>
    </w:p>
    <w:p w14:paraId="7994F58A">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19.2出现影响采购公正的违法、违规行为的。</w:t>
      </w:r>
    </w:p>
    <w:p w14:paraId="31617667">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19.3因重大变故，采购任务取消的。</w:t>
      </w:r>
    </w:p>
    <w:p w14:paraId="0B500D2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19.4评标委员会认定招标文件存在歧义、重大缺陷导致评审工作无法进行的。</w:t>
      </w:r>
    </w:p>
    <w:p w14:paraId="66543F3F">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19.5在“苏采云”系统规定时间内成功解密电子投标文件的投标人不足3家的。</w:t>
      </w:r>
    </w:p>
    <w:p w14:paraId="74236B69">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20、投标人不足三家情形处理</w:t>
      </w:r>
    </w:p>
    <w:p w14:paraId="23E492E3">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投标截止后投标人不足3家或者通过资格审查或符合性审查的投标人不足3家的，除采购任务取消情形外，按财政部令第87号第四十三条条款进行处理。</w:t>
      </w:r>
    </w:p>
    <w:p w14:paraId="334522BB">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21、串通投标情形</w:t>
      </w:r>
    </w:p>
    <w:p w14:paraId="46864181">
      <w:pPr>
        <w:spacing w:line="500" w:lineRule="exact"/>
        <w:ind w:firstLine="480"/>
        <w:rPr>
          <w:rFonts w:ascii="黑体" w:hAnsi="黑体" w:eastAsia="黑体"/>
          <w:color w:val="000000"/>
          <w:sz w:val="24"/>
        </w:rPr>
      </w:pPr>
      <w:r>
        <w:rPr>
          <w:rFonts w:hint="eastAsia" w:ascii="黑体" w:hAnsi="黑体" w:eastAsia="黑体"/>
          <w:color w:val="000000"/>
          <w:sz w:val="24"/>
        </w:rPr>
        <w:t>有下列情形之一的，属于恶意串通投标：</w:t>
      </w:r>
    </w:p>
    <w:p w14:paraId="3FFDEC21">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21.1供应商直接或间接从采购人或采购代理机构处获得其他供应商的投标情况，并修改其投标文件；</w:t>
      </w:r>
    </w:p>
    <w:p w14:paraId="13C0BA26">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21.2评审活动开始前供应商直接或间接从采购人或采购代理机构处获得评标委员会组成人员情况；</w:t>
      </w:r>
    </w:p>
    <w:p w14:paraId="5BB18DA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21.3供应商接受采购人或采购代理机构授意撤换、修改投标文件；</w:t>
      </w:r>
    </w:p>
    <w:p w14:paraId="512965A2">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21.4供应商之间协商投标报价、技术方案等投标文件实质性内容；</w:t>
      </w:r>
    </w:p>
    <w:p w14:paraId="50F9BD41">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21.5属于同一集团、协会、商会等组织成员的供应商按照该组织要求协同投标；</w:t>
      </w:r>
    </w:p>
    <w:p w14:paraId="57C3549F">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21.6供应商之间事先约定由某一特定供应商中标、成交；</w:t>
      </w:r>
    </w:p>
    <w:p w14:paraId="0E526AD6">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21.7供应商之间商定部分供应商放弃投标或者放弃中标、成交；</w:t>
      </w:r>
    </w:p>
    <w:p w14:paraId="6CC4AD29">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21.8供应商与采购人或采购代理机构之间、供应商相互之间为谋求特定供应商中标成交或者排斥其他供应商的其他串通行为；</w:t>
      </w:r>
    </w:p>
    <w:p w14:paraId="030E4CC8">
      <w:pPr>
        <w:spacing w:line="500" w:lineRule="exact"/>
        <w:ind w:firstLine="482"/>
        <w:rPr>
          <w:rFonts w:ascii="黑体" w:hAnsi="黑体" w:eastAsia="黑体"/>
          <w:color w:val="000000"/>
          <w:sz w:val="24"/>
        </w:rPr>
      </w:pPr>
      <w:r>
        <w:rPr>
          <w:rFonts w:hint="eastAsia" w:ascii="黑体" w:hAnsi="黑体" w:eastAsia="黑体"/>
          <w:color w:val="000000"/>
          <w:sz w:val="24"/>
        </w:rPr>
        <w:t>有下列情形之一的，视为投标人串通投标，其投标无效：</w:t>
      </w:r>
    </w:p>
    <w:p w14:paraId="3000479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21.9不同投标人的投标文件由同一单位或者个人编制；</w:t>
      </w:r>
    </w:p>
    <w:p w14:paraId="3482B4F7">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21.10不同投标人委托同一单位或者个人办理投标事宜；</w:t>
      </w:r>
    </w:p>
    <w:p w14:paraId="3087DBC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21.11不同投标人的投标文件载明的项目管理成员或者联系人员为同一人；</w:t>
      </w:r>
    </w:p>
    <w:p w14:paraId="5D4949B4">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21.12不同投标人的投标文件异常一致或者投标报价呈规律性差异；</w:t>
      </w:r>
    </w:p>
    <w:p w14:paraId="580FF045">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21.13不同投标人的投标文件相互混装；</w:t>
      </w:r>
    </w:p>
    <w:p w14:paraId="11DFC1EE">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21.14不同投标人的投标保证金从同一单位或者个人的账户转出。</w:t>
      </w:r>
    </w:p>
    <w:p w14:paraId="6A69AE4E">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22、</w:t>
      </w:r>
      <w:bookmarkStart w:id="100" w:name="OLE_LINK4"/>
      <w:r>
        <w:rPr>
          <w:rFonts w:hint="eastAsia" w:ascii="Times New Roman" w:hAnsi="Times New Roman" w:cs="仿宋"/>
          <w:b/>
          <w:color w:val="000000"/>
          <w:sz w:val="24"/>
        </w:rPr>
        <w:t>取消中标候选人资格情形</w:t>
      </w:r>
      <w:bookmarkEnd w:id="100"/>
    </w:p>
    <w:p w14:paraId="7431028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22.1提供虚假材料谋取中标的；</w:t>
      </w:r>
    </w:p>
    <w:p w14:paraId="533A5302">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22.2采取不正当手段诋毁、排挤其他投标人的；</w:t>
      </w:r>
    </w:p>
    <w:p w14:paraId="7A79D111">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22.3与采购人、其他投标人或者采购代理机构恶意串通的；</w:t>
      </w:r>
    </w:p>
    <w:p w14:paraId="0FAECB63">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22.4向采购人、采购代理机构行贿或者提供其他不正当利益的；</w:t>
      </w:r>
    </w:p>
    <w:p w14:paraId="070F452A">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22.5未在规定时间内与采购人签订采购合同的；</w:t>
      </w:r>
    </w:p>
    <w:p w14:paraId="26E2716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22.6法律、法规规定的其他情况。</w:t>
      </w:r>
      <w:bookmarkStart w:id="101" w:name="_Toc81575161"/>
      <w:bookmarkStart w:id="102" w:name="_Toc81575198"/>
      <w:bookmarkStart w:id="103" w:name="_Toc6494"/>
      <w:bookmarkStart w:id="104" w:name="_Toc2391"/>
    </w:p>
    <w:p w14:paraId="587FBAA0">
      <w:pPr>
        <w:spacing w:line="480" w:lineRule="exact"/>
        <w:ind w:firstLine="321"/>
        <w:outlineLvl w:val="1"/>
        <w:rPr>
          <w:rFonts w:ascii="Arial" w:hAnsi="Arial" w:cs="Arial"/>
          <w:b/>
          <w:bCs/>
          <w:color w:val="000000"/>
          <w:sz w:val="32"/>
        </w:rPr>
      </w:pPr>
      <w:r>
        <w:rPr>
          <w:rFonts w:hint="eastAsia" w:ascii="Arial" w:hAnsi="Arial" w:cs="Arial"/>
          <w:b/>
          <w:bCs/>
          <w:color w:val="000000"/>
          <w:sz w:val="32"/>
        </w:rPr>
        <w:t>七、中标及合同签订</w:t>
      </w:r>
      <w:bookmarkEnd w:id="101"/>
      <w:bookmarkEnd w:id="102"/>
      <w:bookmarkEnd w:id="103"/>
      <w:bookmarkEnd w:id="104"/>
    </w:p>
    <w:p w14:paraId="75E0721F">
      <w:pPr>
        <w:spacing w:line="500" w:lineRule="exact"/>
        <w:ind w:firstLine="482"/>
        <w:rPr>
          <w:rFonts w:ascii="Times New Roman" w:hAnsi="Times New Roman" w:cs="仿宋"/>
          <w:b/>
          <w:color w:val="000000"/>
          <w:sz w:val="24"/>
        </w:rPr>
      </w:pPr>
      <w:r>
        <w:rPr>
          <w:rFonts w:hint="eastAsia" w:ascii="Times New Roman" w:hAnsi="Times New Roman" w:cs="仿宋"/>
          <w:b/>
          <w:color w:val="000000"/>
          <w:sz w:val="24"/>
        </w:rPr>
        <w:t>23、确定中标人</w:t>
      </w:r>
    </w:p>
    <w:p w14:paraId="38A53F1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23.1采购人应当自收到评审报告之日起5个工作日内在评审报告推荐的中标候选人中按顺序确定中标人。</w:t>
      </w:r>
    </w:p>
    <w:p w14:paraId="2AB9AB62">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23.2中标人确定之日起2个工作日内，采购人、采购代理机构将发布中标结果，中标公告的公告期限为1个工作日。</w:t>
      </w:r>
    </w:p>
    <w:p w14:paraId="244E92E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23.3采购人确定正被列为失信被执行人的投标人为中标人的，中标结果无效。</w:t>
      </w:r>
    </w:p>
    <w:p w14:paraId="7FADA58D">
      <w:pPr>
        <w:spacing w:line="500" w:lineRule="exact"/>
        <w:ind w:firstLine="482"/>
        <w:rPr>
          <w:rFonts w:ascii="Times New Roman" w:hAnsi="Times New Roman" w:cs="仿宋"/>
          <w:b/>
          <w:color w:val="000000"/>
          <w:sz w:val="24"/>
        </w:rPr>
      </w:pPr>
      <w:r>
        <w:rPr>
          <w:rFonts w:hint="eastAsia" w:ascii="Times New Roman" w:hAnsi="Times New Roman" w:cs="仿宋"/>
          <w:b/>
          <w:color w:val="000000"/>
          <w:sz w:val="24"/>
        </w:rPr>
        <w:t>24、中标通知书</w:t>
      </w:r>
    </w:p>
    <w:p w14:paraId="10E6C7D2">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24.1在公告中标结果的同时，采购代理机构将向中标人发出中标通知书。中标人使用CA数字证书登录“苏采云”系统及时下载中标通知书。</w:t>
      </w:r>
    </w:p>
    <w:p w14:paraId="370DF93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24.2中标通知书发出后，采购人改变中标结果的，或者中标人放弃中标项目的，应当依法承担法律责任。</w:t>
      </w:r>
    </w:p>
    <w:p w14:paraId="340898F5">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24.3采用综合评分法评审的，未中标人可于中标结果公告期限届满之日起通过“苏采云”系统查看</w:t>
      </w:r>
      <w:bookmarkStart w:id="105" w:name="OLE_LINK5"/>
      <w:r>
        <w:rPr>
          <w:rFonts w:hint="eastAsia" w:ascii="Times New Roman" w:hAnsi="Times New Roman" w:cs="仿宋"/>
          <w:color w:val="000000"/>
          <w:sz w:val="24"/>
        </w:rPr>
        <w:t>自己的评审得分及排序情况。</w:t>
      </w:r>
      <w:bookmarkEnd w:id="105"/>
    </w:p>
    <w:p w14:paraId="13BD92D1">
      <w:pPr>
        <w:spacing w:line="500" w:lineRule="exact"/>
        <w:ind w:firstLine="482"/>
        <w:rPr>
          <w:rFonts w:ascii="Times New Roman" w:hAnsi="Times New Roman" w:cs="仿宋"/>
          <w:b/>
          <w:color w:val="000000"/>
          <w:sz w:val="24"/>
        </w:rPr>
      </w:pPr>
      <w:r>
        <w:rPr>
          <w:rFonts w:hint="eastAsia" w:ascii="Times New Roman" w:hAnsi="Times New Roman" w:cs="仿宋"/>
          <w:b/>
          <w:color w:val="000000"/>
          <w:sz w:val="24"/>
        </w:rPr>
        <w:t>25、授予合同</w:t>
      </w:r>
    </w:p>
    <w:p w14:paraId="5CBEA3C6">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25.1采购人与中标人应当在中标通知书发出之日起15日内签订政府采购合同。招标文件、中标人的投标文件以及评标过程中有关澄清文件均作为合同附件。</w:t>
      </w:r>
    </w:p>
    <w:p w14:paraId="109EC4C2">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25.2采购人在自合同签订之日起2个工作日内，将合同在指定的媒体上公告。</w:t>
      </w:r>
    </w:p>
    <w:p w14:paraId="532D6971">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26、履约保证金</w:t>
      </w:r>
    </w:p>
    <w:p w14:paraId="5D661E36">
      <w:pPr>
        <w:spacing w:line="480" w:lineRule="exact"/>
        <w:ind w:firstLine="480"/>
        <w:rPr>
          <w:rFonts w:ascii="Times New Roman" w:hAnsi="Times New Roman" w:cs="仿宋"/>
          <w:color w:val="000000"/>
          <w:sz w:val="24"/>
          <w:lang w:val="zh-CN"/>
        </w:rPr>
      </w:pPr>
      <w:r>
        <w:rPr>
          <w:rFonts w:hint="eastAsia" w:ascii="Times New Roman" w:hAnsi="Times New Roman" w:cs="仿宋"/>
          <w:color w:val="000000"/>
          <w:sz w:val="24"/>
          <w:lang w:val="zh-CN"/>
        </w:rPr>
        <w:t>按照以下第</w:t>
      </w:r>
      <w:r>
        <w:rPr>
          <w:rFonts w:hint="eastAsia" w:ascii="Times New Roman" w:hAnsi="Times New Roman" w:cs="仿宋"/>
          <w:color w:val="FF0000"/>
          <w:sz w:val="24"/>
          <w:u w:val="single"/>
        </w:rPr>
        <w:t>（2）</w:t>
      </w:r>
      <w:r>
        <w:rPr>
          <w:rFonts w:hint="eastAsia" w:ascii="Times New Roman" w:hAnsi="Times New Roman" w:cs="仿宋"/>
          <w:color w:val="000000"/>
          <w:sz w:val="24"/>
          <w:lang w:val="zh-CN"/>
        </w:rPr>
        <w:t>方式确定履约保证</w:t>
      </w:r>
      <w:r>
        <w:rPr>
          <w:rFonts w:hint="eastAsia" w:ascii="Times New Roman" w:hAnsi="Times New Roman" w:cs="仿宋"/>
          <w:color w:val="000000"/>
          <w:sz w:val="24"/>
        </w:rPr>
        <w:t>金</w:t>
      </w:r>
      <w:r>
        <w:rPr>
          <w:rFonts w:hint="eastAsia" w:ascii="Times New Roman" w:hAnsi="Times New Roman" w:cs="仿宋"/>
          <w:color w:val="000000"/>
          <w:sz w:val="24"/>
          <w:lang w:val="zh-CN"/>
        </w:rPr>
        <w:t>收取方式。</w:t>
      </w:r>
    </w:p>
    <w:p w14:paraId="1FD7D597">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（1）本项目不收取履约保证金。</w:t>
      </w:r>
    </w:p>
    <w:p w14:paraId="5E48D9F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（2）本项目收取履约保证金。</w:t>
      </w:r>
    </w:p>
    <w:p w14:paraId="308BA50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26.1履约保证金提交形式</w:t>
      </w:r>
    </w:p>
    <w:p w14:paraId="52136926">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履约保证金应在采购合同签订前提交，除银行电汇、网上银行、数字人民币外，投标人还可选用银行保函、担保公司的保证担保或保险公司的保证保险等多种形式向采购人缴纳。</w:t>
      </w:r>
    </w:p>
    <w:p w14:paraId="7F9D0AD1">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26.2履约保证金提交金额</w:t>
      </w:r>
    </w:p>
    <w:p w14:paraId="7EDD57AA">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按采购合同总价的</w:t>
      </w:r>
      <w:r>
        <w:rPr>
          <w:rFonts w:hint="eastAsia" w:ascii="Times New Roman" w:hAnsi="Times New Roman" w:cs="仿宋"/>
          <w:color w:val="000000"/>
          <w:sz w:val="24"/>
          <w:highlight w:val="yellow"/>
          <w:u w:val="single"/>
        </w:rPr>
        <w:t xml:space="preserve">5 </w:t>
      </w:r>
      <w:r>
        <w:rPr>
          <w:rFonts w:hint="eastAsia" w:ascii="Times New Roman" w:hAnsi="Times New Roman" w:cs="仿宋"/>
          <w:color w:val="000000"/>
          <w:sz w:val="24"/>
        </w:rPr>
        <w:t>%提交。</w:t>
      </w:r>
    </w:p>
    <w:p w14:paraId="71322323">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000000"/>
          <w:sz w:val="24"/>
          <w:highlight w:val="yellow"/>
          <w:u w:val="single"/>
        </w:rPr>
        <w:t>3</w:t>
      </w:r>
      <w:r>
        <w:rPr>
          <w:rFonts w:hint="eastAsia" w:ascii="Times New Roman" w:hAnsi="Times New Roman" w:cs="仿宋"/>
          <w:color w:val="000000"/>
          <w:sz w:val="24"/>
        </w:rPr>
        <w:t xml:space="preserve"> %（履约保证金原提交金额的6折）提交。办理流程、偿付等内容见江苏政府采购网“保险保函”模块。</w:t>
      </w:r>
    </w:p>
    <w:p w14:paraId="0EF9A24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26.3履约保证金退还方式</w:t>
      </w:r>
    </w:p>
    <w:p w14:paraId="56D7C49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以银行电汇、网上银行、数字人民币形式缴纳履约保证金的，退回至投标人存款账户或数字人民币账户；以保函、担保、保险等形式缴纳履约保证金的，在保函、担保、保险约定的保证期限届满之日起自行失效。</w:t>
      </w:r>
    </w:p>
    <w:p w14:paraId="1F64BD39">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26.4履约保证金退还条件</w:t>
      </w:r>
    </w:p>
    <w:p w14:paraId="27C7CA2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具有验收合格相关证明材料。</w:t>
      </w:r>
    </w:p>
    <w:p w14:paraId="5D3FC523">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26.5履约保证金退还时间</w:t>
      </w:r>
    </w:p>
    <w:p w14:paraId="78A19AD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采购人收到投标人退付申请后5个工作日内退还。</w:t>
      </w:r>
    </w:p>
    <w:p w14:paraId="0E3D068F">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26.6履约保证金不予退还情形</w:t>
      </w:r>
    </w:p>
    <w:p w14:paraId="56B5279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除不可抗力外，中标人不履行与采购人订立的采购合同的，履约保证金不予退还，给采购人造成的损失超过履约保证金数额的，还应对超过部分予以赔偿。</w:t>
      </w:r>
    </w:p>
    <w:p w14:paraId="08A89ED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26.7逾期退还履约保证金违约责任</w:t>
      </w:r>
    </w:p>
    <w:p w14:paraId="752FF31E">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采购人逾期退还履约保证金的，除应退还履约保证金外，还应按中国人民银行同期贷款基准利率上浮20％后的利率支付超期资金占用费，但因投标人自身原因导致无法及时退还的除外。</w:t>
      </w:r>
    </w:p>
    <w:p w14:paraId="61149926">
      <w:pPr>
        <w:spacing w:line="480" w:lineRule="exact"/>
        <w:ind w:firstLine="482"/>
        <w:rPr>
          <w:rFonts w:ascii="Times New Roman" w:hAnsi="Times New Roman" w:cs="仿宋"/>
          <w:b/>
          <w:bCs/>
          <w:color w:val="000000"/>
          <w:sz w:val="24"/>
          <w:szCs w:val="24"/>
        </w:rPr>
      </w:pPr>
      <w:r>
        <w:rPr>
          <w:rFonts w:hint="eastAsia" w:ascii="Times New Roman" w:hAnsi="Times New Roman" w:cs="仿宋"/>
          <w:b/>
          <w:color w:val="000000"/>
          <w:sz w:val="24"/>
        </w:rPr>
        <w:t>27、线上融资</w:t>
      </w:r>
    </w:p>
    <w:p w14:paraId="115CC5A2">
      <w:pPr>
        <w:spacing w:line="480" w:lineRule="exact"/>
        <w:ind w:firstLine="480"/>
        <w:rPr>
          <w:rFonts w:ascii="Times New Roman" w:hAnsi="Times New Roman" w:cs="仿宋"/>
          <w:b/>
          <w:bCs/>
          <w:color w:val="000000"/>
          <w:sz w:val="24"/>
          <w:szCs w:val="24"/>
        </w:rPr>
      </w:pPr>
      <w:r>
        <w:rPr>
          <w:rFonts w:hint="eastAsia" w:ascii="宋体" w:hAnsi="宋体"/>
          <w:bCs/>
          <w:color w:val="000000"/>
          <w:sz w:val="24"/>
          <w:szCs w:val="24"/>
        </w:rPr>
        <w:t>中标人可凭政府采购合同办理融资贷款，详情见江苏政府采购网“政采贷”专栏。</w:t>
      </w:r>
    </w:p>
    <w:p w14:paraId="3AF3A3CB">
      <w:pPr>
        <w:spacing w:line="480" w:lineRule="exact"/>
        <w:ind w:firstLine="482"/>
        <w:rPr>
          <w:rFonts w:ascii="Times New Roman" w:hAnsi="Times New Roman" w:cs="仿宋"/>
          <w:color w:val="000000"/>
          <w:sz w:val="24"/>
        </w:rPr>
      </w:pPr>
      <w:r>
        <w:rPr>
          <w:rFonts w:hint="eastAsia" w:ascii="Times New Roman" w:hAnsi="Times New Roman" w:cs="仿宋"/>
          <w:b/>
          <w:color w:val="000000"/>
          <w:sz w:val="24"/>
        </w:rPr>
        <w:t>28、合同履行</w:t>
      </w:r>
    </w:p>
    <w:p w14:paraId="249E222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28.1政府采购合同订立后，合同各方不得擅自变更、中止或者终止合同。</w:t>
      </w:r>
    </w:p>
    <w:p w14:paraId="3405815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28.2政府采购合同履行中，采购人需追加与合同标的相同的货物、工程或者服务的，在不改变合同其他条款的前提下，可以与中标人签订补充合同，但所补充合同的采购金额不得超过原采购金额的10%。</w:t>
      </w:r>
    </w:p>
    <w:p w14:paraId="5EBF55CA">
      <w:pPr>
        <w:pStyle w:val="43"/>
        <w:spacing w:before="0" w:after="0" w:line="520" w:lineRule="exact"/>
        <w:rPr>
          <w:rFonts w:eastAsia="宋体" w:cs="Arial"/>
          <w:bCs/>
          <w:color w:val="000000"/>
          <w:szCs w:val="22"/>
        </w:rPr>
      </w:pPr>
      <w:bookmarkStart w:id="106" w:name="_Toc81575199"/>
      <w:bookmarkStart w:id="107" w:name="_Toc81575162"/>
      <w:bookmarkStart w:id="108" w:name="_Toc22084"/>
      <w:bookmarkStart w:id="109" w:name="_Toc7550"/>
      <w:r>
        <w:rPr>
          <w:rFonts w:hint="eastAsia" w:eastAsia="宋体" w:cs="Arial"/>
          <w:bCs/>
          <w:color w:val="000000"/>
          <w:szCs w:val="22"/>
        </w:rPr>
        <w:t>八、</w:t>
      </w:r>
      <w:bookmarkEnd w:id="106"/>
      <w:bookmarkEnd w:id="107"/>
      <w:bookmarkEnd w:id="108"/>
      <w:bookmarkEnd w:id="109"/>
      <w:bookmarkStart w:id="110" w:name="_Toc81575163"/>
      <w:bookmarkStart w:id="111" w:name="_Toc31888"/>
      <w:bookmarkStart w:id="112" w:name="_Toc81575200"/>
      <w:bookmarkStart w:id="113" w:name="_Toc12263"/>
      <w:r>
        <w:rPr>
          <w:rFonts w:hint="eastAsia" w:eastAsia="宋体" w:cs="Arial"/>
          <w:bCs/>
          <w:color w:val="000000"/>
          <w:szCs w:val="22"/>
        </w:rPr>
        <w:t>质疑与投诉</w:t>
      </w:r>
      <w:bookmarkEnd w:id="110"/>
      <w:bookmarkEnd w:id="111"/>
      <w:bookmarkEnd w:id="112"/>
      <w:bookmarkEnd w:id="113"/>
    </w:p>
    <w:p w14:paraId="21671E60">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29、质疑</w:t>
      </w:r>
    </w:p>
    <w:p w14:paraId="7886441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29.1供应商认为采购文件、采购过程和中标结果使自己的权益受到损害的，可以在知道或者应知其权益受到损害之日起七个工作日内，以书面形式根据下述29.6条款的规定向采购代理机构或招标人提出质疑。</w:t>
      </w:r>
    </w:p>
    <w:p w14:paraId="2F0AC30F">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29.2供应商应知其权益受到损害之日，是指：</w:t>
      </w:r>
    </w:p>
    <w:p w14:paraId="59260C5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（1）对本项目采购文件提出质疑的，为获取采购文件之日或者采购文件公告期限届满之日；</w:t>
      </w:r>
    </w:p>
    <w:p w14:paraId="4973645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（2）对本项目采购过程提出质疑的，为各采购程序环节结束之日；</w:t>
      </w:r>
    </w:p>
    <w:p w14:paraId="67CDE33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（3）对本项目中标结果提出质疑的，为中标结果公告期限届满之日。</w:t>
      </w:r>
    </w:p>
    <w:p w14:paraId="5D954DE3">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29.3质疑供应商应当是参与所质疑项目采购活动的供应商。潜在供应商已依法获取其可质疑的采购文件的，方可对该文件提出质疑。供应商在法定质疑期内应一次性提出针对同一采购程序环节的质疑。</w:t>
      </w:r>
    </w:p>
    <w:p w14:paraId="41A234A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29.4供应商提出质疑应当提交质疑函和必要的证明材料。质疑函的必备内容：</w:t>
      </w:r>
    </w:p>
    <w:p w14:paraId="04AD273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（1）供应商的姓名或者名称、地址、邮编、联系人及联系电话；</w:t>
      </w:r>
    </w:p>
    <w:p w14:paraId="2B5E11BE">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（2）质疑项目的名称、编号；</w:t>
      </w:r>
    </w:p>
    <w:p w14:paraId="2577028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（3）获取采购文件的时间；</w:t>
      </w:r>
    </w:p>
    <w:p w14:paraId="59B0AEB1">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（4）具体、明确的质疑事项和质疑事项相关的请求；</w:t>
      </w:r>
    </w:p>
    <w:p w14:paraId="230D3EA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（5）事实依据；</w:t>
      </w:r>
    </w:p>
    <w:p w14:paraId="0CA1BC1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（6）必要的法律依据；</w:t>
      </w:r>
    </w:p>
    <w:p w14:paraId="62E348B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（7）提出质疑的日期；</w:t>
      </w:r>
    </w:p>
    <w:p w14:paraId="21380822">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（8）供应商为自然人的，由本人签字；供应商为法人或者其他组织的，应当由法定代表人、主要负责人，或者其授权代表签字或者盖章，并加盖公章；</w:t>
      </w:r>
    </w:p>
    <w:p w14:paraId="18E7EB5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531B3AC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29.5采购人在收到质疑函后7个工作日内作出答复，并以书面形式通知质疑供应商和其他有关供应商，但质疑答复的内容不涉及商业秘密。</w:t>
      </w:r>
    </w:p>
    <w:p w14:paraId="66B9F5A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29.6 投标人应以书面形式向招标人或者其委托的采购代理机构提出质疑。质疑超出采购机构代理范围的，投标人应当向招标人提出。</w:t>
      </w:r>
    </w:p>
    <w:p w14:paraId="21B0186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接收质疑函的方式：现场接收或邮寄接收。</w:t>
      </w:r>
    </w:p>
    <w:p w14:paraId="4597D604">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联系部门：沭阳县农业农村局/江苏宏润建设项目管理咨询有限公司</w:t>
      </w:r>
    </w:p>
    <w:p w14:paraId="3D12FBA9">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联系电话：</w:t>
      </w:r>
      <w:r>
        <w:rPr>
          <w:rFonts w:hint="eastAsia" w:ascii="Times New Roman" w:hAnsi="Times New Roman" w:cs="仿宋"/>
          <w:color w:val="000000"/>
          <w:sz w:val="24"/>
          <w:highlight w:val="yellow"/>
        </w:rPr>
        <w:t>0527-80813735/</w:t>
      </w:r>
      <w:r>
        <w:rPr>
          <w:rFonts w:hint="eastAsia" w:ascii="Times New Roman" w:hAnsi="Times New Roman" w:cs="仿宋"/>
          <w:color w:val="000000"/>
          <w:sz w:val="24"/>
        </w:rPr>
        <w:t>13773927091</w:t>
      </w:r>
    </w:p>
    <w:p w14:paraId="6EC80DE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通讯地址：</w:t>
      </w:r>
      <w:r>
        <w:rPr>
          <w:rFonts w:hint="eastAsia" w:ascii="宋体" w:hAnsi="宋体" w:cs="宋体"/>
          <w:color w:val="000000" w:themeColor="text1"/>
          <w:sz w:val="24"/>
          <w:szCs w:val="24"/>
          <w:highlight w:val="white"/>
        </w:rPr>
        <w:t>沭阳县学院路5号</w:t>
      </w:r>
      <w:r>
        <w:rPr>
          <w:rFonts w:hint="eastAsia" w:ascii="Times New Roman" w:hAnsi="Times New Roman" w:cs="仿宋"/>
          <w:color w:val="000000"/>
          <w:sz w:val="24"/>
        </w:rPr>
        <w:t>/沭阳县台州北路43号第二汽车运输公司四楼</w:t>
      </w:r>
    </w:p>
    <w:p w14:paraId="0C4DCA6C">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29.7以下情形的质疑不予受理</w:t>
      </w:r>
    </w:p>
    <w:p w14:paraId="5A87947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29.7.1 内容不符合《政府采购质疑和投诉办法》第十二条规定的质疑。</w:t>
      </w:r>
    </w:p>
    <w:p w14:paraId="401738D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29.7.2 超出政府采购法定期限的质疑。</w:t>
      </w:r>
    </w:p>
    <w:p w14:paraId="2E082F94">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29.7.3 以传真、电子邮件等方式递交的非原件形式的质疑。</w:t>
      </w:r>
    </w:p>
    <w:p w14:paraId="5BBEBC38">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29.7.4 未参加投标活动的投标人或在投标活动中自身权益未受到损害的投标人所提出的质疑。</w:t>
      </w:r>
    </w:p>
    <w:p w14:paraId="6D93FA60">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29.7.5投标人组成联合体参加投标，联合体中任何一方或多方未按要求签字、盖章、加盖公章的质疑。</w:t>
      </w:r>
    </w:p>
    <w:p w14:paraId="2BFB25C9">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29.8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p>
    <w:p w14:paraId="4D4B2EF0">
      <w:pPr>
        <w:spacing w:line="480" w:lineRule="exact"/>
        <w:ind w:firstLine="482"/>
        <w:rPr>
          <w:rFonts w:ascii="Times New Roman" w:hAnsi="Times New Roman" w:cs="仿宋"/>
          <w:b/>
          <w:color w:val="000000"/>
          <w:sz w:val="24"/>
        </w:rPr>
      </w:pPr>
      <w:r>
        <w:rPr>
          <w:rFonts w:hint="eastAsia" w:ascii="Times New Roman" w:hAnsi="Times New Roman" w:cs="仿宋"/>
          <w:b/>
          <w:color w:val="000000"/>
          <w:sz w:val="24"/>
        </w:rPr>
        <w:t>30、投诉</w:t>
      </w:r>
    </w:p>
    <w:p w14:paraId="76E7D875">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质疑供应商对答复不满意或采购人、采购代理机构未在规定时间内作出答复的，可在答复期满后15个工作日内向同级财政部门提起投诉。</w:t>
      </w:r>
    </w:p>
    <w:p w14:paraId="0FA6746C">
      <w:pPr>
        <w:pStyle w:val="42"/>
        <w:spacing w:before="200"/>
        <w:jc w:val="center"/>
        <w:rPr>
          <w:color w:val="000000"/>
        </w:rPr>
      </w:pPr>
      <w:bookmarkStart w:id="114" w:name="EB4d341233595e4bf8ad7006b4bd78d974"/>
      <w:bookmarkEnd w:id="114"/>
      <w:bookmarkStart w:id="115" w:name="_Toc81575201"/>
      <w:bookmarkStart w:id="116" w:name="_Toc81575164"/>
      <w:bookmarkStart w:id="117" w:name="_Hlk166141273"/>
      <w:r>
        <w:rPr>
          <w:rFonts w:hint="eastAsia"/>
          <w:color w:val="000000"/>
        </w:rPr>
        <w:br w:type="page" w:clear="all"/>
      </w:r>
      <w:bookmarkStart w:id="118" w:name="_Toc17996"/>
      <w:r>
        <w:rPr>
          <w:rFonts w:hint="eastAsia" w:ascii="Calibri" w:hAnsi="Calibri" w:eastAsia="宋体" w:cs="Times New Roman"/>
          <w:b/>
          <w:color w:val="000000"/>
          <w:sz w:val="44"/>
          <w:szCs w:val="44"/>
        </w:rPr>
        <w:t>第三章  资格审查及评标</w:t>
      </w:r>
      <w:bookmarkEnd w:id="115"/>
      <w:bookmarkEnd w:id="116"/>
      <w:bookmarkEnd w:id="118"/>
      <w:r>
        <w:rPr>
          <w:rFonts w:hint="eastAsia" w:ascii="Calibri" w:hAnsi="Calibri" w:eastAsia="宋体" w:cs="Times New Roman"/>
          <w:b/>
          <w:color w:val="000000"/>
          <w:sz w:val="44"/>
          <w:szCs w:val="44"/>
        </w:rPr>
        <w:t>方法</w:t>
      </w:r>
    </w:p>
    <w:p w14:paraId="42F86377">
      <w:pPr>
        <w:spacing w:line="480" w:lineRule="exact"/>
        <w:ind w:firstLine="482"/>
        <w:jc w:val="left"/>
        <w:rPr>
          <w:rFonts w:ascii="Times New Roman" w:hAnsi="Times New Roman" w:cs="仿宋"/>
          <w:b/>
          <w:bCs/>
          <w:color w:val="000000"/>
          <w:sz w:val="24"/>
        </w:rPr>
      </w:pPr>
      <w:r>
        <w:rPr>
          <w:rFonts w:hint="eastAsia" w:ascii="Times New Roman" w:hAnsi="Times New Roman" w:cs="仿宋"/>
          <w:b/>
          <w:bCs/>
          <w:color w:val="000000"/>
          <w:sz w:val="24"/>
        </w:rPr>
        <w:t>一、资格审查</w:t>
      </w:r>
    </w:p>
    <w:p w14:paraId="744984D1">
      <w:pPr>
        <w:spacing w:line="400" w:lineRule="exact"/>
        <w:ind w:firstLine="480"/>
        <w:jc w:val="left"/>
        <w:rPr>
          <w:rFonts w:ascii="Times New Roman" w:hAnsi="Times New Roman" w:cs="仿宋"/>
          <w:color w:val="000000"/>
          <w:sz w:val="24"/>
        </w:rPr>
      </w:pPr>
      <w:r>
        <w:rPr>
          <w:rFonts w:hint="eastAsia"/>
          <w:color w:val="000000"/>
          <w:sz w:val="24"/>
          <w:szCs w:val="28"/>
        </w:rPr>
        <w:t>资格审查人员按照下列指标对各投标人的资格进行审查，未通过审查的为无效标，不参与评标。</w:t>
      </w:r>
    </w:p>
    <w:tbl>
      <w:tblPr>
        <w:tblStyle w:val="30"/>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22"/>
        <w:gridCol w:w="4246"/>
      </w:tblGrid>
      <w:tr w14:paraId="1E7A229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noWrap/>
            <w:vAlign w:val="center"/>
          </w:tcPr>
          <w:p w14:paraId="25AAA902">
            <w:pPr>
              <w:spacing w:line="400" w:lineRule="exact"/>
              <w:jc w:val="center"/>
              <w:rPr>
                <w:rFonts w:ascii="Times New Roman" w:hAnsi="Times New Roman" w:cs="仿宋"/>
                <w:color w:val="000000"/>
              </w:rPr>
            </w:pPr>
            <w:r>
              <w:rPr>
                <w:rFonts w:hint="eastAsia" w:ascii="Times New Roman" w:hAnsi="Times New Roman" w:cs="仿宋"/>
                <w:color w:val="000000"/>
              </w:rPr>
              <w:t>资格审查因素</w:t>
            </w:r>
          </w:p>
        </w:tc>
        <w:tc>
          <w:tcPr>
            <w:tcW w:w="4246" w:type="dxa"/>
            <w:noWrap/>
            <w:vAlign w:val="center"/>
          </w:tcPr>
          <w:p w14:paraId="12A2B5DE">
            <w:pPr>
              <w:spacing w:line="400" w:lineRule="exact"/>
              <w:jc w:val="center"/>
              <w:rPr>
                <w:rFonts w:ascii="Times New Roman" w:hAnsi="Times New Roman" w:cs="仿宋"/>
                <w:color w:val="000000"/>
              </w:rPr>
            </w:pPr>
            <w:r>
              <w:rPr>
                <w:rFonts w:hint="eastAsia" w:ascii="Times New Roman" w:hAnsi="Times New Roman" w:cs="仿宋"/>
                <w:color w:val="000000"/>
              </w:rPr>
              <w:t>审查标准</w:t>
            </w:r>
          </w:p>
        </w:tc>
      </w:tr>
      <w:tr w14:paraId="7E8F570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noWrap/>
            <w:vAlign w:val="center"/>
          </w:tcPr>
          <w:p w14:paraId="76AC2180">
            <w:pPr>
              <w:spacing w:line="400" w:lineRule="exact"/>
              <w:jc w:val="center"/>
              <w:rPr>
                <w:rFonts w:ascii="Times New Roman" w:hAnsi="Times New Roman" w:cs="仿宋"/>
                <w:color w:val="000000"/>
              </w:rPr>
            </w:pPr>
            <w:r>
              <w:rPr>
                <w:rFonts w:ascii="Times New Roman" w:hAnsi="Times New Roman"/>
                <w:color w:val="000000"/>
                <w:szCs w:val="21"/>
              </w:rPr>
              <w:t>投标声明及承诺函</w:t>
            </w:r>
          </w:p>
        </w:tc>
        <w:tc>
          <w:tcPr>
            <w:tcW w:w="4246" w:type="dxa"/>
            <w:noWrap/>
            <w:vAlign w:val="center"/>
          </w:tcPr>
          <w:p w14:paraId="17F544C5">
            <w:pPr>
              <w:spacing w:line="400" w:lineRule="exact"/>
              <w:jc w:val="center"/>
              <w:rPr>
                <w:rFonts w:ascii="Times New Roman" w:hAnsi="Times New Roman" w:cs="仿宋"/>
                <w:color w:val="000000"/>
              </w:rPr>
            </w:pPr>
            <w:r>
              <w:rPr>
                <w:rFonts w:hint="eastAsia" w:ascii="Times New Roman" w:hAnsi="Times New Roman" w:cs="仿宋"/>
                <w:color w:val="000000"/>
              </w:rPr>
              <w:t>符合招标文件要求</w:t>
            </w:r>
          </w:p>
        </w:tc>
      </w:tr>
      <w:tr w14:paraId="518F509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71" w:hRule="atLeast"/>
        </w:trPr>
        <w:tc>
          <w:tcPr>
            <w:tcW w:w="4422" w:type="dxa"/>
            <w:noWrap/>
            <w:vAlign w:val="center"/>
          </w:tcPr>
          <w:p w14:paraId="6B0DD91A">
            <w:pPr>
              <w:spacing w:line="400" w:lineRule="exact"/>
              <w:jc w:val="center"/>
              <w:rPr>
                <w:rFonts w:ascii="Times New Roman" w:hAnsi="Times New Roman" w:cs="仿宋"/>
                <w:color w:val="000000"/>
              </w:rPr>
            </w:pPr>
            <w:r>
              <w:rPr>
                <w:rFonts w:ascii="Times New Roman" w:hAnsi="Times New Roman"/>
                <w:color w:val="000000"/>
                <w:szCs w:val="21"/>
              </w:rPr>
              <w:t>信用信息</w:t>
            </w:r>
          </w:p>
        </w:tc>
        <w:tc>
          <w:tcPr>
            <w:tcW w:w="4246" w:type="dxa"/>
            <w:noWrap/>
            <w:vAlign w:val="center"/>
          </w:tcPr>
          <w:p w14:paraId="75922ECA">
            <w:pPr>
              <w:spacing w:line="400" w:lineRule="exact"/>
              <w:jc w:val="center"/>
              <w:rPr>
                <w:rFonts w:ascii="Times New Roman" w:hAnsi="Times New Roman" w:cs="仿宋"/>
                <w:color w:val="000000"/>
              </w:rPr>
            </w:pPr>
            <w:r>
              <w:rPr>
                <w:rFonts w:hint="eastAsia" w:ascii="Times New Roman" w:hAnsi="Times New Roman" w:cs="仿宋"/>
                <w:color w:val="000000"/>
              </w:rPr>
              <w:t>符合招标文件要求</w:t>
            </w:r>
          </w:p>
        </w:tc>
      </w:tr>
      <w:tr w14:paraId="3DCC64D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noWrap/>
            <w:vAlign w:val="center"/>
          </w:tcPr>
          <w:p w14:paraId="4380ED8C">
            <w:pPr>
              <w:spacing w:line="400" w:lineRule="exact"/>
              <w:jc w:val="center"/>
              <w:rPr>
                <w:rFonts w:ascii="Times New Roman" w:hAnsi="Times New Roman" w:cs="仿宋"/>
                <w:color w:val="000000"/>
                <w:highlight w:val="yellow"/>
              </w:rPr>
            </w:pPr>
            <w:r>
              <w:rPr>
                <w:rFonts w:hint="eastAsia" w:ascii="Times New Roman" w:hAnsi="Times New Roman" w:cs="仿宋"/>
                <w:color w:val="000000"/>
              </w:rPr>
              <w:t>联合体投标</w:t>
            </w:r>
          </w:p>
        </w:tc>
        <w:tc>
          <w:tcPr>
            <w:tcW w:w="4246" w:type="dxa"/>
            <w:noWrap/>
            <w:vAlign w:val="center"/>
          </w:tcPr>
          <w:p w14:paraId="4DBCFF64">
            <w:pPr>
              <w:spacing w:line="400" w:lineRule="exact"/>
              <w:jc w:val="center"/>
              <w:rPr>
                <w:rFonts w:ascii="Times New Roman" w:hAnsi="Times New Roman" w:cs="仿宋"/>
                <w:color w:val="000000"/>
                <w:highlight w:val="yellow"/>
              </w:rPr>
            </w:pPr>
            <w:r>
              <w:rPr>
                <w:rFonts w:hint="eastAsia" w:ascii="Times New Roman" w:hAnsi="Times New Roman" w:cs="仿宋"/>
                <w:color w:val="000000"/>
              </w:rPr>
              <w:t>符合招标文件要求</w:t>
            </w:r>
          </w:p>
        </w:tc>
      </w:tr>
      <w:tr w14:paraId="4F8A04F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noWrap/>
            <w:vAlign w:val="center"/>
          </w:tcPr>
          <w:p w14:paraId="6E0D50C6">
            <w:pPr>
              <w:spacing w:line="400" w:lineRule="exact"/>
              <w:jc w:val="center"/>
              <w:rPr>
                <w:rFonts w:ascii="Times New Roman" w:hAnsi="Times New Roman" w:cs="仿宋"/>
                <w:color w:val="000000"/>
                <w:highlight w:val="yellow"/>
              </w:rPr>
            </w:pPr>
            <w:r>
              <w:rPr>
                <w:rFonts w:ascii="Times New Roman" w:hAnsi="Times New Roman"/>
                <w:color w:val="000000"/>
                <w:szCs w:val="21"/>
              </w:rPr>
              <w:t>其他</w:t>
            </w:r>
          </w:p>
        </w:tc>
        <w:tc>
          <w:tcPr>
            <w:tcW w:w="4246" w:type="dxa"/>
            <w:noWrap/>
            <w:vAlign w:val="center"/>
          </w:tcPr>
          <w:p w14:paraId="20DE9344">
            <w:pPr>
              <w:spacing w:line="400" w:lineRule="exact"/>
              <w:jc w:val="center"/>
              <w:rPr>
                <w:rFonts w:ascii="Times New Roman" w:hAnsi="Times New Roman" w:cs="仿宋"/>
                <w:color w:val="000000"/>
                <w:highlight w:val="yellow"/>
              </w:rPr>
            </w:pPr>
            <w:r>
              <w:rPr>
                <w:rFonts w:hint="eastAsia" w:ascii="Times New Roman" w:hAnsi="Times New Roman" w:cs="仿宋"/>
                <w:color w:val="000000"/>
              </w:rPr>
              <w:t>符合招标文件要求</w:t>
            </w:r>
          </w:p>
        </w:tc>
      </w:tr>
    </w:tbl>
    <w:p w14:paraId="0F09959D">
      <w:pPr>
        <w:spacing w:line="400" w:lineRule="exact"/>
        <w:ind w:firstLine="482"/>
        <w:jc w:val="left"/>
        <w:rPr>
          <w:rFonts w:ascii="Times New Roman" w:hAnsi="Times New Roman" w:cs="仿宋"/>
          <w:b/>
          <w:bCs/>
          <w:color w:val="000000"/>
          <w:sz w:val="24"/>
        </w:rPr>
      </w:pPr>
      <w:r>
        <w:rPr>
          <w:rFonts w:hint="eastAsia" w:ascii="Times New Roman" w:hAnsi="Times New Roman" w:cs="仿宋"/>
          <w:b/>
          <w:bCs/>
          <w:color w:val="000000"/>
          <w:sz w:val="24"/>
        </w:rPr>
        <w:t>二、符合性审查</w:t>
      </w:r>
    </w:p>
    <w:p w14:paraId="1D121FBF">
      <w:pPr>
        <w:spacing w:line="400" w:lineRule="exact"/>
        <w:ind w:firstLine="480"/>
        <w:jc w:val="left"/>
        <w:rPr>
          <w:rFonts w:ascii="方正仿宋_GBK" w:eastAsia="方正仿宋_GBK"/>
          <w:color w:val="000000"/>
          <w:sz w:val="24"/>
        </w:rPr>
      </w:pPr>
      <w:r>
        <w:rPr>
          <w:rFonts w:hint="eastAsia"/>
          <w:color w:val="000000"/>
          <w:sz w:val="24"/>
          <w:szCs w:val="28"/>
        </w:rPr>
        <w:t>评标委员会对符合资格的投标人的投标文件进行符合性审查，未通过审查的为无效标，不再参与评审。</w:t>
      </w:r>
    </w:p>
    <w:tbl>
      <w:tblPr>
        <w:tblStyle w:val="30"/>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90"/>
        <w:gridCol w:w="4493"/>
      </w:tblGrid>
      <w:tr w14:paraId="111BF3B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90" w:type="dxa"/>
            <w:noWrap/>
            <w:vAlign w:val="center"/>
          </w:tcPr>
          <w:p w14:paraId="2E709AAF">
            <w:pPr>
              <w:spacing w:line="400" w:lineRule="exact"/>
              <w:jc w:val="center"/>
              <w:rPr>
                <w:rFonts w:ascii="宋体" w:hAnsi="宋体" w:cs="宋体"/>
                <w:color w:val="000000"/>
              </w:rPr>
            </w:pPr>
            <w:r>
              <w:rPr>
                <w:rFonts w:hint="eastAsia" w:ascii="宋体" w:hAnsi="宋体" w:cs="宋体"/>
                <w:color w:val="000000"/>
              </w:rPr>
              <w:t>符合性审查因素</w:t>
            </w:r>
          </w:p>
        </w:tc>
        <w:tc>
          <w:tcPr>
            <w:tcW w:w="4493" w:type="dxa"/>
            <w:noWrap/>
            <w:vAlign w:val="center"/>
          </w:tcPr>
          <w:p w14:paraId="555B3A76">
            <w:pPr>
              <w:spacing w:line="400" w:lineRule="exact"/>
              <w:jc w:val="center"/>
              <w:rPr>
                <w:rFonts w:ascii="宋体" w:hAnsi="宋体" w:cs="宋体"/>
                <w:color w:val="000000"/>
              </w:rPr>
            </w:pPr>
            <w:r>
              <w:rPr>
                <w:rFonts w:hint="eastAsia" w:ascii="宋体" w:hAnsi="宋体" w:cs="宋体"/>
                <w:color w:val="000000"/>
              </w:rPr>
              <w:t>审查标准</w:t>
            </w:r>
          </w:p>
        </w:tc>
      </w:tr>
      <w:tr w14:paraId="4E49878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90" w:type="dxa"/>
            <w:noWrap/>
            <w:vAlign w:val="center"/>
          </w:tcPr>
          <w:p w14:paraId="235E3B97">
            <w:pPr>
              <w:spacing w:line="400" w:lineRule="exact"/>
              <w:jc w:val="center"/>
              <w:rPr>
                <w:rFonts w:ascii="宋体" w:hAnsi="宋体" w:cs="宋体"/>
                <w:color w:val="000000"/>
              </w:rPr>
            </w:pPr>
            <w:r>
              <w:rPr>
                <w:rFonts w:hint="eastAsia" w:ascii="宋体" w:hAnsi="宋体" w:cs="宋体"/>
                <w:color w:val="000000"/>
              </w:rPr>
              <w:t>法定代表人身份证明或授权委托书</w:t>
            </w:r>
          </w:p>
        </w:tc>
        <w:tc>
          <w:tcPr>
            <w:tcW w:w="4493" w:type="dxa"/>
            <w:noWrap/>
            <w:vAlign w:val="center"/>
          </w:tcPr>
          <w:p w14:paraId="76150538">
            <w:pPr>
              <w:spacing w:line="400" w:lineRule="exact"/>
              <w:jc w:val="center"/>
              <w:rPr>
                <w:rFonts w:ascii="宋体" w:hAnsi="宋体" w:cs="宋体"/>
                <w:color w:val="000000"/>
              </w:rPr>
            </w:pPr>
            <w:r>
              <w:rPr>
                <w:rFonts w:hint="eastAsia" w:ascii="宋体" w:hAnsi="宋体" w:cs="宋体"/>
                <w:color w:val="000000"/>
              </w:rPr>
              <w:t>符合招标文件要求</w:t>
            </w:r>
          </w:p>
        </w:tc>
      </w:tr>
      <w:tr w14:paraId="45F72FE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90" w:type="dxa"/>
            <w:noWrap/>
            <w:vAlign w:val="center"/>
          </w:tcPr>
          <w:p w14:paraId="10B922A6">
            <w:pPr>
              <w:spacing w:line="400" w:lineRule="exact"/>
              <w:jc w:val="center"/>
              <w:rPr>
                <w:rFonts w:ascii="宋体" w:hAnsi="宋体" w:cs="宋体"/>
                <w:color w:val="000000"/>
              </w:rPr>
            </w:pPr>
            <w:r>
              <w:rPr>
                <w:rFonts w:hint="eastAsia" w:ascii="宋体" w:hAnsi="宋体" w:cs="宋体"/>
                <w:color w:val="000000"/>
              </w:rPr>
              <w:t>开标一览表及投标报价</w:t>
            </w:r>
          </w:p>
        </w:tc>
        <w:tc>
          <w:tcPr>
            <w:tcW w:w="4493" w:type="dxa"/>
            <w:noWrap/>
            <w:vAlign w:val="center"/>
          </w:tcPr>
          <w:p w14:paraId="681940E9">
            <w:pPr>
              <w:spacing w:line="400" w:lineRule="exact"/>
              <w:jc w:val="center"/>
              <w:rPr>
                <w:rFonts w:ascii="宋体" w:hAnsi="宋体" w:cs="宋体"/>
                <w:color w:val="000000"/>
              </w:rPr>
            </w:pPr>
            <w:r>
              <w:rPr>
                <w:rFonts w:hint="eastAsia" w:ascii="宋体" w:hAnsi="宋体" w:cs="宋体"/>
                <w:color w:val="000000"/>
              </w:rPr>
              <w:t>格式、填写要求符合招标文件规定</w:t>
            </w:r>
          </w:p>
        </w:tc>
      </w:tr>
      <w:tr w14:paraId="183B2AB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90" w:type="dxa"/>
            <w:noWrap/>
            <w:vAlign w:val="center"/>
          </w:tcPr>
          <w:p w14:paraId="7FF50F89">
            <w:pPr>
              <w:spacing w:line="400" w:lineRule="exact"/>
              <w:jc w:val="center"/>
              <w:rPr>
                <w:rFonts w:ascii="宋体" w:hAnsi="宋体" w:cs="宋体"/>
                <w:color w:val="000000"/>
              </w:rPr>
            </w:pPr>
            <w:r>
              <w:rPr>
                <w:rFonts w:hint="eastAsia" w:ascii="宋体" w:hAnsi="宋体" w:cs="宋体"/>
                <w:color w:val="000000"/>
              </w:rPr>
              <w:t>技术标准和要求</w:t>
            </w:r>
          </w:p>
        </w:tc>
        <w:tc>
          <w:tcPr>
            <w:tcW w:w="4493" w:type="dxa"/>
            <w:noWrap/>
            <w:vAlign w:val="center"/>
          </w:tcPr>
          <w:p w14:paraId="72583615">
            <w:pPr>
              <w:spacing w:line="400" w:lineRule="exact"/>
              <w:jc w:val="center"/>
              <w:rPr>
                <w:rFonts w:ascii="宋体" w:hAnsi="宋体" w:cs="宋体"/>
                <w:color w:val="000000"/>
              </w:rPr>
            </w:pPr>
            <w:r>
              <w:rPr>
                <w:rFonts w:hint="eastAsia" w:ascii="宋体" w:hAnsi="宋体" w:cs="宋体"/>
                <w:color w:val="000000"/>
              </w:rPr>
              <w:t>符合招标文件要求</w:t>
            </w:r>
          </w:p>
        </w:tc>
      </w:tr>
      <w:tr w14:paraId="2136377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90" w:type="dxa"/>
            <w:noWrap/>
            <w:vAlign w:val="center"/>
          </w:tcPr>
          <w:p w14:paraId="7B8DAF64">
            <w:pPr>
              <w:spacing w:line="400" w:lineRule="exact"/>
              <w:jc w:val="center"/>
              <w:rPr>
                <w:rFonts w:ascii="宋体" w:hAnsi="宋体" w:cs="宋体"/>
                <w:color w:val="000000"/>
              </w:rPr>
            </w:pPr>
            <w:r>
              <w:rPr>
                <w:rFonts w:hint="eastAsia" w:ascii="宋体" w:hAnsi="宋体" w:cs="宋体"/>
                <w:color w:val="000000"/>
              </w:rPr>
              <w:t>其他</w:t>
            </w:r>
          </w:p>
        </w:tc>
        <w:tc>
          <w:tcPr>
            <w:tcW w:w="4493" w:type="dxa"/>
            <w:noWrap/>
            <w:vAlign w:val="center"/>
          </w:tcPr>
          <w:p w14:paraId="1295B286">
            <w:pPr>
              <w:spacing w:line="400" w:lineRule="exact"/>
              <w:jc w:val="center"/>
              <w:rPr>
                <w:rFonts w:ascii="宋体" w:hAnsi="宋体" w:cs="宋体"/>
                <w:color w:val="000000"/>
              </w:rPr>
            </w:pPr>
            <w:r>
              <w:rPr>
                <w:rFonts w:hint="eastAsia" w:ascii="宋体" w:hAnsi="宋体" w:cs="宋体"/>
                <w:color w:val="000000"/>
              </w:rPr>
              <w:t>符合招标文件要求</w:t>
            </w:r>
          </w:p>
        </w:tc>
      </w:tr>
    </w:tbl>
    <w:p w14:paraId="71B0D171">
      <w:pPr>
        <w:spacing w:line="400" w:lineRule="exact"/>
        <w:ind w:firstLine="482"/>
        <w:jc w:val="left"/>
        <w:rPr>
          <w:rFonts w:ascii="Times New Roman" w:hAnsi="Times New Roman" w:cs="仿宋"/>
          <w:b/>
          <w:bCs/>
          <w:color w:val="000000"/>
          <w:sz w:val="24"/>
        </w:rPr>
      </w:pPr>
      <w:r>
        <w:rPr>
          <w:rFonts w:hint="eastAsia" w:ascii="Times New Roman" w:hAnsi="Times New Roman" w:cs="仿宋"/>
          <w:b/>
          <w:bCs/>
          <w:color w:val="000000"/>
          <w:sz w:val="24"/>
        </w:rPr>
        <w:t>三、评标方法</w:t>
      </w:r>
    </w:p>
    <w:p w14:paraId="01E8D6A0">
      <w:pPr>
        <w:spacing w:line="400" w:lineRule="exact"/>
        <w:ind w:firstLine="480"/>
        <w:jc w:val="left"/>
        <w:rPr>
          <w:rFonts w:ascii="Times New Roman" w:hAnsi="Times New Roman" w:cs="仿宋"/>
          <w:color w:val="000000"/>
          <w:sz w:val="24"/>
        </w:rPr>
      </w:pPr>
      <w:r>
        <w:rPr>
          <w:rFonts w:hint="eastAsia"/>
          <w:color w:val="000000"/>
          <w:sz w:val="24"/>
          <w:szCs w:val="28"/>
        </w:rPr>
        <w:t>本项目采用综合评分法，评标结果按评审后得分由高到低顺序排列。得分相同的，按投标报价由低到高顺序排序。得分且投标报价相同的并列。</w:t>
      </w:r>
    </w:p>
    <w:p w14:paraId="3F304032">
      <w:pPr>
        <w:spacing w:line="400" w:lineRule="exact"/>
        <w:ind w:firstLine="480"/>
        <w:jc w:val="left"/>
        <w:rPr>
          <w:rFonts w:ascii="Times New Roman" w:hAnsi="Times New Roman" w:cs="仿宋"/>
          <w:color w:val="000000"/>
          <w:sz w:val="24"/>
        </w:rPr>
      </w:pPr>
      <w:r>
        <w:rPr>
          <w:rFonts w:hint="eastAsia" w:ascii="Times New Roman" w:hAnsi="Times New Roman" w:cs="仿宋"/>
          <w:color w:val="000000"/>
          <w:sz w:val="24"/>
        </w:rPr>
        <w:t>综合评分保留至小数点后两位。</w:t>
      </w:r>
    </w:p>
    <w:p w14:paraId="0DD8F0FB">
      <w:pPr>
        <w:spacing w:line="400" w:lineRule="exact"/>
        <w:ind w:firstLine="480"/>
        <w:jc w:val="left"/>
        <w:rPr>
          <w:rFonts w:ascii="Times New Roman" w:hAnsi="Times New Roman" w:cs="仿宋"/>
          <w:color w:val="000000"/>
          <w:sz w:val="24"/>
        </w:rPr>
      </w:pPr>
      <w:r>
        <w:rPr>
          <w:rFonts w:hint="eastAsia" w:ascii="Times New Roman" w:hAnsi="Times New Roman" w:cs="仿宋"/>
          <w:color w:val="000000"/>
          <w:sz w:val="24"/>
        </w:rPr>
        <w:t>评标委员会根据评标后投标人排序推荐中标候选人，并形成评标报告。</w:t>
      </w:r>
    </w:p>
    <w:p w14:paraId="1A2501DC">
      <w:pPr>
        <w:spacing w:line="400" w:lineRule="exact"/>
        <w:ind w:firstLine="482"/>
        <w:jc w:val="left"/>
        <w:rPr>
          <w:rFonts w:ascii="Times New Roman" w:hAnsi="Times New Roman" w:cs="仿宋"/>
          <w:color w:val="000000"/>
          <w:sz w:val="24"/>
        </w:rPr>
      </w:pPr>
      <w:r>
        <w:rPr>
          <w:rFonts w:hint="eastAsia" w:ascii="Times New Roman" w:hAnsi="Times New Roman" w:cs="仿宋"/>
          <w:color w:val="000000" w:themeColor="text1"/>
          <w:sz w:val="24"/>
          <w:highlight w:val="white"/>
        </w:rPr>
        <w:t>招标文件中没有规定的评标标准不得作为评审的依据，评标委员会必须严格按照招标文件规定的评标标准和方法进行评审。</w:t>
      </w:r>
    </w:p>
    <w:p w14:paraId="6366D895">
      <w:pPr>
        <w:numPr>
          <w:ilvl w:val="0"/>
          <w:numId w:val="5"/>
        </w:numPr>
        <w:spacing w:line="400" w:lineRule="exact"/>
        <w:ind w:firstLine="482"/>
        <w:jc w:val="left"/>
        <w:rPr>
          <w:rFonts w:ascii="Times New Roman" w:hAnsi="Times New Roman" w:cs="仿宋"/>
          <w:b/>
          <w:bCs/>
          <w:color w:val="000000" w:themeColor="text1"/>
          <w:sz w:val="24"/>
        </w:rPr>
      </w:pPr>
      <w:r>
        <w:rPr>
          <w:rFonts w:hint="eastAsia" w:ascii="Times New Roman" w:hAnsi="Times New Roman" w:cs="仿宋"/>
          <w:b/>
          <w:bCs/>
          <w:color w:val="000000" w:themeColor="text1"/>
          <w:sz w:val="24"/>
        </w:rPr>
        <w:t>评标标准</w:t>
      </w:r>
    </w:p>
    <w:tbl>
      <w:tblPr>
        <w:tblStyle w:val="30"/>
        <w:tblW w:w="5200" w:type="pct"/>
        <w:tblInd w:w="0" w:type="dxa"/>
        <w:tblLayout w:type="fixed"/>
        <w:tblCellMar>
          <w:top w:w="0" w:type="dxa"/>
          <w:left w:w="108" w:type="dxa"/>
          <w:bottom w:w="0" w:type="dxa"/>
          <w:right w:w="108" w:type="dxa"/>
        </w:tblCellMar>
      </w:tblPr>
      <w:tblGrid>
        <w:gridCol w:w="1177"/>
        <w:gridCol w:w="1369"/>
        <w:gridCol w:w="1122"/>
        <w:gridCol w:w="6109"/>
      </w:tblGrid>
      <w:tr w14:paraId="0DFC2C6D">
        <w:tblPrEx>
          <w:tblCellMar>
            <w:top w:w="0" w:type="dxa"/>
            <w:left w:w="108" w:type="dxa"/>
            <w:bottom w:w="0" w:type="dxa"/>
            <w:right w:w="108" w:type="dxa"/>
          </w:tblCellMar>
        </w:tblPrEx>
        <w:tc>
          <w:tcPr>
            <w:tcW w:w="2546"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17F819E1">
            <w:pPr>
              <w:spacing w:line="400" w:lineRule="exact"/>
              <w:ind w:firstLine="482"/>
              <w:jc w:val="lef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评审因素</w:t>
            </w:r>
          </w:p>
        </w:tc>
        <w:tc>
          <w:tcPr>
            <w:tcW w:w="1122" w:type="dxa"/>
            <w:tcBorders>
              <w:top w:val="single" w:color="auto" w:sz="4" w:space="0"/>
              <w:left w:val="nil"/>
              <w:bottom w:val="single" w:color="auto" w:sz="4" w:space="0"/>
              <w:right w:val="single" w:color="auto" w:sz="4" w:space="0"/>
            </w:tcBorders>
            <w:shd w:val="clear" w:color="auto" w:fill="auto"/>
            <w:noWrap/>
            <w:vAlign w:val="center"/>
          </w:tcPr>
          <w:p w14:paraId="37D3D832">
            <w:pPr>
              <w:spacing w:line="400" w:lineRule="exact"/>
              <w:jc w:val="center"/>
              <w:rPr>
                <w:rFonts w:ascii="Times New Roman" w:hAnsi="Times New Roman" w:cs="仿宋"/>
                <w:color w:val="000000" w:themeColor="text1"/>
                <w:sz w:val="24"/>
                <w:highlight w:val="white"/>
              </w:rPr>
            </w:pPr>
            <w:r>
              <w:rPr>
                <w:rFonts w:ascii="Times New Roman" w:hAnsi="Times New Roman" w:cs="仿宋"/>
                <w:color w:val="000000" w:themeColor="text1"/>
                <w:sz w:val="24"/>
                <w:highlight w:val="white"/>
              </w:rPr>
              <w:t>分数</w:t>
            </w:r>
          </w:p>
        </w:tc>
        <w:tc>
          <w:tcPr>
            <w:tcW w:w="6109" w:type="dxa"/>
            <w:tcBorders>
              <w:top w:val="single" w:color="auto" w:sz="4" w:space="0"/>
              <w:left w:val="nil"/>
              <w:bottom w:val="single" w:color="auto" w:sz="4" w:space="0"/>
              <w:right w:val="single" w:color="auto" w:sz="4" w:space="0"/>
            </w:tcBorders>
            <w:shd w:val="clear" w:color="auto" w:fill="auto"/>
            <w:noWrap/>
            <w:vAlign w:val="center"/>
          </w:tcPr>
          <w:p w14:paraId="418FB026">
            <w:pPr>
              <w:spacing w:line="400" w:lineRule="exact"/>
              <w:ind w:firstLine="482"/>
              <w:jc w:val="center"/>
              <w:rPr>
                <w:rFonts w:ascii="Times New Roman" w:hAnsi="Times New Roman" w:cs="仿宋"/>
                <w:color w:val="000000" w:themeColor="text1"/>
                <w:sz w:val="24"/>
                <w:highlight w:val="white"/>
              </w:rPr>
            </w:pPr>
            <w:r>
              <w:rPr>
                <w:rFonts w:ascii="Times New Roman" w:hAnsi="Times New Roman" w:cs="仿宋"/>
                <w:color w:val="000000" w:themeColor="text1"/>
                <w:sz w:val="24"/>
                <w:highlight w:val="white"/>
              </w:rPr>
              <w:t>评审标准</w:t>
            </w:r>
          </w:p>
        </w:tc>
      </w:tr>
      <w:tr w14:paraId="4DD8444B">
        <w:tblPrEx>
          <w:tblCellMar>
            <w:top w:w="0" w:type="dxa"/>
            <w:left w:w="108" w:type="dxa"/>
            <w:bottom w:w="0" w:type="dxa"/>
            <w:right w:w="108" w:type="dxa"/>
          </w:tblCellMar>
        </w:tblPrEx>
        <w:tc>
          <w:tcPr>
            <w:tcW w:w="1177" w:type="dxa"/>
            <w:tcBorders>
              <w:top w:val="nil"/>
              <w:left w:val="single" w:color="auto" w:sz="4" w:space="0"/>
              <w:bottom w:val="single" w:color="auto" w:sz="4" w:space="0"/>
              <w:right w:val="single" w:color="auto" w:sz="4" w:space="0"/>
            </w:tcBorders>
            <w:shd w:val="clear" w:color="auto" w:fill="auto"/>
            <w:noWrap/>
            <w:vAlign w:val="center"/>
          </w:tcPr>
          <w:p w14:paraId="53DA5F37">
            <w:pPr>
              <w:spacing w:line="400" w:lineRule="exact"/>
              <w:jc w:val="left"/>
              <w:rPr>
                <w:rFonts w:ascii="Times New Roman" w:hAnsi="Times New Roman" w:cs="仿宋"/>
                <w:color w:val="000000" w:themeColor="text1"/>
                <w:sz w:val="24"/>
                <w:highlight w:val="white"/>
              </w:rPr>
            </w:pPr>
            <w:r>
              <w:rPr>
                <w:rFonts w:ascii="Times New Roman" w:hAnsi="Times New Roman" w:cs="仿宋"/>
                <w:color w:val="000000" w:themeColor="text1"/>
                <w:sz w:val="24"/>
                <w:highlight w:val="white"/>
              </w:rPr>
              <w:t>报价分</w:t>
            </w:r>
          </w:p>
        </w:tc>
        <w:tc>
          <w:tcPr>
            <w:tcW w:w="1369" w:type="dxa"/>
            <w:tcBorders>
              <w:top w:val="nil"/>
              <w:left w:val="nil"/>
              <w:bottom w:val="single" w:color="auto" w:sz="4" w:space="0"/>
              <w:right w:val="single" w:color="auto" w:sz="4" w:space="0"/>
            </w:tcBorders>
            <w:shd w:val="clear" w:color="auto" w:fill="auto"/>
            <w:noWrap/>
            <w:vAlign w:val="center"/>
          </w:tcPr>
          <w:p w14:paraId="1C295FD8">
            <w:pPr>
              <w:spacing w:line="400" w:lineRule="exact"/>
              <w:jc w:val="left"/>
              <w:rPr>
                <w:rFonts w:ascii="Times New Roman" w:hAnsi="Times New Roman" w:cs="仿宋"/>
                <w:color w:val="000000" w:themeColor="text1"/>
                <w:sz w:val="24"/>
                <w:highlight w:val="white"/>
              </w:rPr>
            </w:pPr>
            <w:r>
              <w:rPr>
                <w:rFonts w:ascii="Times New Roman" w:hAnsi="Times New Roman" w:cs="仿宋"/>
                <w:color w:val="000000" w:themeColor="text1"/>
                <w:sz w:val="24"/>
                <w:highlight w:val="white"/>
              </w:rPr>
              <w:t>投标报价</w:t>
            </w:r>
          </w:p>
        </w:tc>
        <w:tc>
          <w:tcPr>
            <w:tcW w:w="1122" w:type="dxa"/>
            <w:tcBorders>
              <w:top w:val="nil"/>
              <w:left w:val="nil"/>
              <w:bottom w:val="single" w:color="auto" w:sz="4" w:space="0"/>
              <w:right w:val="single" w:color="auto" w:sz="4" w:space="0"/>
            </w:tcBorders>
            <w:shd w:val="clear" w:color="auto" w:fill="auto"/>
            <w:noWrap/>
            <w:vAlign w:val="center"/>
          </w:tcPr>
          <w:p w14:paraId="78C03053">
            <w:pPr>
              <w:spacing w:line="400" w:lineRule="exact"/>
              <w:jc w:val="lef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3</w:t>
            </w:r>
            <w:r>
              <w:rPr>
                <w:rFonts w:hint="eastAsia" w:ascii="Times New Roman" w:hAnsi="Times New Roman" w:cs="仿宋"/>
                <w:color w:val="000000" w:themeColor="text1"/>
                <w:sz w:val="24"/>
                <w:highlight w:val="white"/>
                <w:lang w:val="en-US" w:eastAsia="zh-CN"/>
              </w:rPr>
              <w:t>5</w:t>
            </w:r>
            <w:r>
              <w:rPr>
                <w:rFonts w:ascii="Times New Roman" w:hAnsi="Times New Roman" w:cs="仿宋"/>
                <w:color w:val="000000" w:themeColor="text1"/>
                <w:sz w:val="24"/>
                <w:highlight w:val="white"/>
              </w:rPr>
              <w:t>.00分</w:t>
            </w:r>
          </w:p>
        </w:tc>
        <w:tc>
          <w:tcPr>
            <w:tcW w:w="6109" w:type="dxa"/>
            <w:tcBorders>
              <w:top w:val="nil"/>
              <w:left w:val="nil"/>
              <w:bottom w:val="single" w:color="auto" w:sz="4" w:space="0"/>
              <w:right w:val="single" w:color="auto" w:sz="4" w:space="0"/>
            </w:tcBorders>
            <w:shd w:val="clear" w:color="auto" w:fill="auto"/>
            <w:noWrap/>
            <w:vAlign w:val="center"/>
          </w:tcPr>
          <w:p w14:paraId="52C6057A">
            <w:pPr>
              <w:spacing w:line="400" w:lineRule="exact"/>
              <w:jc w:val="left"/>
              <w:rPr>
                <w:rFonts w:ascii="Times New Roman" w:hAnsi="Times New Roman" w:cs="仿宋"/>
                <w:color w:val="000000" w:themeColor="text1"/>
                <w:sz w:val="24"/>
                <w:highlight w:val="white"/>
              </w:rPr>
            </w:pPr>
            <w:r>
              <w:rPr>
                <w:rFonts w:ascii="Times New Roman" w:hAnsi="Times New Roman" w:cs="仿宋"/>
                <w:color w:val="000000" w:themeColor="text1"/>
                <w:sz w:val="24"/>
                <w:highlight w:val="white"/>
              </w:rPr>
              <w:t>采用低价优先法计算，即满足招标文件要求且投标价格最低的投标报价为评标基准价，其价格分为满分。其他投标人投标报价得分＝（评标基准价/投标报价）*</w:t>
            </w:r>
            <w:r>
              <w:rPr>
                <w:rFonts w:hint="eastAsia" w:ascii="Times New Roman" w:hAnsi="Times New Roman" w:cs="仿宋"/>
                <w:color w:val="000000" w:themeColor="text1"/>
                <w:sz w:val="24"/>
                <w:highlight w:val="white"/>
              </w:rPr>
              <w:t>3</w:t>
            </w:r>
            <w:r>
              <w:rPr>
                <w:rFonts w:hint="eastAsia" w:ascii="Times New Roman" w:hAnsi="Times New Roman" w:cs="仿宋"/>
                <w:color w:val="000000" w:themeColor="text1"/>
                <w:sz w:val="24"/>
                <w:highlight w:val="white"/>
                <w:lang w:val="en-US" w:eastAsia="zh-CN"/>
              </w:rPr>
              <w:t>5</w:t>
            </w:r>
            <w:r>
              <w:rPr>
                <w:rFonts w:ascii="Times New Roman" w:hAnsi="Times New Roman" w:cs="仿宋"/>
                <w:color w:val="000000" w:themeColor="text1"/>
                <w:sz w:val="24"/>
                <w:highlight w:val="white"/>
              </w:rPr>
              <w:t>。注：符合规定的小微企业（含监狱企业和残疾人福利单位）报价给予15%的扣除，用扣除后的价格参加评审。</w:t>
            </w:r>
          </w:p>
        </w:tc>
      </w:tr>
      <w:tr w14:paraId="66F51DA3">
        <w:tblPrEx>
          <w:tblCellMar>
            <w:top w:w="0" w:type="dxa"/>
            <w:left w:w="108" w:type="dxa"/>
            <w:bottom w:w="0" w:type="dxa"/>
            <w:right w:w="108" w:type="dxa"/>
          </w:tblCellMar>
        </w:tblPrEx>
        <w:tc>
          <w:tcPr>
            <w:tcW w:w="1177" w:type="dxa"/>
            <w:tcBorders>
              <w:top w:val="nil"/>
              <w:left w:val="single" w:color="auto" w:sz="4" w:space="0"/>
              <w:bottom w:val="single" w:color="auto" w:sz="4" w:space="0"/>
              <w:right w:val="single" w:color="auto" w:sz="4" w:space="0"/>
            </w:tcBorders>
            <w:shd w:val="clear" w:color="auto" w:fill="auto"/>
            <w:noWrap/>
            <w:vAlign w:val="center"/>
          </w:tcPr>
          <w:p w14:paraId="7FD0959C">
            <w:pPr>
              <w:spacing w:line="400" w:lineRule="exact"/>
              <w:jc w:val="lef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技术响应</w:t>
            </w:r>
          </w:p>
        </w:tc>
        <w:tc>
          <w:tcPr>
            <w:tcW w:w="1369" w:type="dxa"/>
            <w:tcBorders>
              <w:top w:val="nil"/>
              <w:left w:val="nil"/>
              <w:bottom w:val="single" w:color="auto" w:sz="4" w:space="0"/>
              <w:right w:val="single" w:color="auto" w:sz="4" w:space="0"/>
            </w:tcBorders>
            <w:shd w:val="clear" w:color="auto" w:fill="auto"/>
            <w:noWrap/>
            <w:vAlign w:val="center"/>
          </w:tcPr>
          <w:p w14:paraId="31BF6A31">
            <w:pPr>
              <w:spacing w:line="400" w:lineRule="exact"/>
              <w:jc w:val="left"/>
              <w:rPr>
                <w:rFonts w:ascii="Times New Roman" w:hAnsi="Times New Roman" w:cs="仿宋"/>
                <w:sz w:val="24"/>
                <w:highlight w:val="white"/>
              </w:rPr>
            </w:pPr>
            <w:r>
              <w:rPr>
                <w:rFonts w:hint="eastAsia" w:ascii="Times New Roman" w:hAnsi="Times New Roman" w:cs="仿宋"/>
                <w:sz w:val="24"/>
                <w:highlight w:val="white"/>
              </w:rPr>
              <w:t>技术部分</w:t>
            </w:r>
          </w:p>
        </w:tc>
        <w:tc>
          <w:tcPr>
            <w:tcW w:w="1122" w:type="dxa"/>
            <w:tcBorders>
              <w:top w:val="nil"/>
              <w:left w:val="nil"/>
              <w:bottom w:val="single" w:color="auto" w:sz="4" w:space="0"/>
              <w:right w:val="single" w:color="auto" w:sz="4" w:space="0"/>
            </w:tcBorders>
            <w:shd w:val="clear" w:color="auto" w:fill="auto"/>
            <w:noWrap/>
            <w:vAlign w:val="center"/>
          </w:tcPr>
          <w:p w14:paraId="18F97BB7">
            <w:pPr>
              <w:spacing w:line="400" w:lineRule="exact"/>
              <w:jc w:val="left"/>
              <w:rPr>
                <w:rFonts w:ascii="Times New Roman" w:hAnsi="Times New Roman" w:cs="仿宋"/>
                <w:sz w:val="24"/>
                <w:highlight w:val="white"/>
              </w:rPr>
            </w:pPr>
            <w:r>
              <w:rPr>
                <w:rFonts w:hint="eastAsia" w:ascii="Times New Roman" w:hAnsi="Times New Roman" w:cs="仿宋"/>
                <w:sz w:val="24"/>
                <w:highlight w:val="white"/>
                <w:lang w:val="en-US" w:eastAsia="zh-CN"/>
              </w:rPr>
              <w:t>32</w:t>
            </w:r>
            <w:r>
              <w:rPr>
                <w:rFonts w:hint="eastAsia" w:ascii="Times New Roman" w:hAnsi="Times New Roman" w:cs="仿宋"/>
                <w:sz w:val="24"/>
                <w:highlight w:val="white"/>
              </w:rPr>
              <w:t>.00分</w:t>
            </w:r>
          </w:p>
        </w:tc>
        <w:tc>
          <w:tcPr>
            <w:tcW w:w="6109" w:type="dxa"/>
            <w:tcBorders>
              <w:top w:val="nil"/>
              <w:left w:val="nil"/>
              <w:bottom w:val="single" w:color="auto" w:sz="4" w:space="0"/>
              <w:right w:val="single" w:color="auto" w:sz="4" w:space="0"/>
            </w:tcBorders>
            <w:shd w:val="clear" w:color="auto" w:fill="auto"/>
            <w:noWrap/>
            <w:vAlign w:val="center"/>
          </w:tcPr>
          <w:p w14:paraId="020ADDD9">
            <w:pPr>
              <w:spacing w:line="400" w:lineRule="exact"/>
              <w:jc w:val="left"/>
              <w:rPr>
                <w:rFonts w:ascii="宋体" w:hAnsi="宋体" w:cs="宋体"/>
                <w:sz w:val="24"/>
                <w:szCs w:val="24"/>
              </w:rPr>
            </w:pPr>
            <w:r>
              <w:rPr>
                <w:rFonts w:hint="eastAsia" w:ascii="宋体" w:hAnsi="宋体" w:cs="宋体"/>
                <w:sz w:val="24"/>
                <w:szCs w:val="24"/>
              </w:rPr>
              <w:t>满足或优于</w:t>
            </w:r>
            <w:r>
              <w:rPr>
                <w:rFonts w:hint="eastAsia" w:hAnsi="宋体" w:cs="宋体"/>
                <w:sz w:val="24"/>
                <w:szCs w:val="24"/>
              </w:rPr>
              <w:t>本项目招标</w:t>
            </w:r>
            <w:r>
              <w:rPr>
                <w:rFonts w:hint="eastAsia" w:ascii="宋体" w:hAnsi="宋体" w:cs="宋体"/>
                <w:sz w:val="24"/>
                <w:szCs w:val="24"/>
              </w:rPr>
              <w:t>文件采购需求技术参数要求的基本要求得</w:t>
            </w:r>
            <w:r>
              <w:rPr>
                <w:rFonts w:hint="eastAsia" w:hAnsi="宋体" w:cs="宋体"/>
                <w:sz w:val="24"/>
                <w:szCs w:val="24"/>
                <w:lang w:val="en-US" w:eastAsia="zh-CN"/>
              </w:rPr>
              <w:t>32</w:t>
            </w:r>
            <w:r>
              <w:rPr>
                <w:rFonts w:hint="eastAsia" w:ascii="宋体" w:hAnsi="宋体" w:cs="宋体"/>
                <w:sz w:val="24"/>
                <w:szCs w:val="24"/>
              </w:rPr>
              <w:t>分。标记“▲” 的为重要技术参数，每有一条标记“▲” 的条款负偏离扣2分，其他技术参数，每有一条条款负偏离扣1分，扣完为止。</w:t>
            </w:r>
          </w:p>
          <w:p w14:paraId="21DBAB65">
            <w:pPr>
              <w:spacing w:line="400" w:lineRule="exact"/>
              <w:jc w:val="left"/>
              <w:rPr>
                <w:rFonts w:ascii="Times New Roman" w:hAnsi="Times New Roman" w:cs="仿宋"/>
                <w:sz w:val="24"/>
                <w:highlight w:val="white"/>
              </w:rPr>
            </w:pPr>
            <w:r>
              <w:rPr>
                <w:rFonts w:hint="eastAsia" w:ascii="宋体" w:hAnsi="宋体" w:cs="宋体"/>
                <w:sz w:val="24"/>
                <w:szCs w:val="24"/>
              </w:rPr>
              <w:t>注：投标人针对本项评分内容在投标文件《技术响应偏离表》中逐条列出响应及偏离情况，采购需求中要求提供证明材料的，以证明材料为准；采购需求中未要求提供证明材料的，以《技术响应偏离表》为准。标记“▲”要求提供证明材料而未提供的按负偏离进行扣分处理。</w:t>
            </w:r>
          </w:p>
        </w:tc>
      </w:tr>
      <w:tr w14:paraId="5F7CD0E7">
        <w:tblPrEx>
          <w:tblCellMar>
            <w:top w:w="0" w:type="dxa"/>
            <w:left w:w="108" w:type="dxa"/>
            <w:bottom w:w="0" w:type="dxa"/>
            <w:right w:w="108" w:type="dxa"/>
          </w:tblCellMar>
        </w:tblPrEx>
        <w:tc>
          <w:tcPr>
            <w:tcW w:w="1177" w:type="dxa"/>
            <w:vMerge w:val="restart"/>
            <w:tcBorders>
              <w:top w:val="nil"/>
              <w:left w:val="single" w:color="auto" w:sz="4" w:space="0"/>
              <w:right w:val="single" w:color="auto" w:sz="4" w:space="0"/>
            </w:tcBorders>
            <w:shd w:val="clear" w:color="auto" w:fill="auto"/>
            <w:noWrap/>
            <w:vAlign w:val="center"/>
          </w:tcPr>
          <w:p w14:paraId="0E2BFB74">
            <w:pPr>
              <w:spacing w:line="400" w:lineRule="exact"/>
              <w:jc w:val="left"/>
              <w:rPr>
                <w:rFonts w:ascii="Times New Roman" w:hAnsi="Times New Roman" w:cs="仿宋"/>
                <w:color w:val="000000" w:themeColor="text1"/>
                <w:sz w:val="24"/>
                <w:highlight w:val="white"/>
              </w:rPr>
            </w:pPr>
            <w:r>
              <w:rPr>
                <w:rFonts w:ascii="Times New Roman" w:hAnsi="Times New Roman" w:cs="仿宋"/>
                <w:color w:val="000000" w:themeColor="text1"/>
                <w:sz w:val="24"/>
                <w:highlight w:val="white"/>
              </w:rPr>
              <w:t>企业经营业绩、信誉</w:t>
            </w:r>
          </w:p>
        </w:tc>
        <w:tc>
          <w:tcPr>
            <w:tcW w:w="1369" w:type="dxa"/>
            <w:tcBorders>
              <w:top w:val="nil"/>
              <w:left w:val="nil"/>
              <w:bottom w:val="single" w:color="auto" w:sz="4" w:space="0"/>
              <w:right w:val="single" w:color="auto" w:sz="4" w:space="0"/>
            </w:tcBorders>
            <w:shd w:val="clear" w:color="auto" w:fill="auto"/>
            <w:noWrap/>
            <w:vAlign w:val="center"/>
          </w:tcPr>
          <w:p w14:paraId="202A44A7">
            <w:pPr>
              <w:spacing w:line="400" w:lineRule="exact"/>
              <w:jc w:val="left"/>
              <w:rPr>
                <w:rFonts w:ascii="Times New Roman" w:hAnsi="Times New Roman" w:cs="仿宋"/>
                <w:color w:val="000000" w:themeColor="text1"/>
                <w:sz w:val="24"/>
                <w:highlight w:val="white"/>
              </w:rPr>
            </w:pPr>
            <w:r>
              <w:rPr>
                <w:rFonts w:ascii="Times New Roman" w:hAnsi="Times New Roman" w:cs="仿宋"/>
                <w:color w:val="000000" w:themeColor="text1"/>
                <w:sz w:val="24"/>
                <w:highlight w:val="white"/>
              </w:rPr>
              <w:t>企业业绩</w:t>
            </w:r>
          </w:p>
        </w:tc>
        <w:tc>
          <w:tcPr>
            <w:tcW w:w="1122" w:type="dxa"/>
            <w:tcBorders>
              <w:top w:val="nil"/>
              <w:left w:val="nil"/>
              <w:bottom w:val="single" w:color="auto" w:sz="4" w:space="0"/>
              <w:right w:val="single" w:color="auto" w:sz="4" w:space="0"/>
            </w:tcBorders>
            <w:shd w:val="clear" w:color="auto" w:fill="auto"/>
            <w:noWrap/>
            <w:vAlign w:val="center"/>
          </w:tcPr>
          <w:p w14:paraId="03EBD86B">
            <w:pPr>
              <w:spacing w:line="400" w:lineRule="exact"/>
              <w:jc w:val="lef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5</w:t>
            </w:r>
            <w:r>
              <w:rPr>
                <w:rFonts w:ascii="Times New Roman" w:hAnsi="Times New Roman" w:cs="仿宋"/>
                <w:color w:val="000000" w:themeColor="text1"/>
                <w:sz w:val="24"/>
                <w:highlight w:val="white"/>
              </w:rPr>
              <w:t>.00分</w:t>
            </w:r>
          </w:p>
        </w:tc>
        <w:tc>
          <w:tcPr>
            <w:tcW w:w="6109" w:type="dxa"/>
            <w:tcBorders>
              <w:top w:val="nil"/>
              <w:left w:val="nil"/>
              <w:bottom w:val="single" w:color="auto" w:sz="4" w:space="0"/>
              <w:right w:val="single" w:color="auto" w:sz="4" w:space="0"/>
            </w:tcBorders>
            <w:shd w:val="clear" w:color="auto" w:fill="auto"/>
            <w:noWrap/>
            <w:vAlign w:val="center"/>
          </w:tcPr>
          <w:p w14:paraId="2B800A33">
            <w:pPr>
              <w:spacing w:line="400" w:lineRule="exact"/>
              <w:jc w:val="left"/>
              <w:rPr>
                <w:rFonts w:ascii="Times New Roman" w:hAnsi="Times New Roman" w:cs="仿宋"/>
                <w:sz w:val="24"/>
                <w:highlight w:val="white"/>
              </w:rPr>
            </w:pPr>
            <w:r>
              <w:rPr>
                <w:rFonts w:ascii="Times New Roman" w:hAnsi="Times New Roman" w:cs="仿宋"/>
                <w:sz w:val="24"/>
                <w:highlight w:val="white"/>
              </w:rPr>
              <w:t>投标人自20</w:t>
            </w:r>
            <w:r>
              <w:rPr>
                <w:rFonts w:hint="eastAsia" w:ascii="Times New Roman" w:hAnsi="Times New Roman" w:cs="仿宋"/>
                <w:sz w:val="24"/>
                <w:highlight w:val="white"/>
              </w:rPr>
              <w:t>23</w:t>
            </w:r>
            <w:r>
              <w:rPr>
                <w:rFonts w:ascii="Times New Roman" w:hAnsi="Times New Roman" w:cs="仿宋"/>
                <w:sz w:val="24"/>
                <w:highlight w:val="white"/>
              </w:rPr>
              <w:t>年1月1日以来(以合同签订时间为准)承担过类似项目业绩，每有一个得</w:t>
            </w:r>
            <w:r>
              <w:rPr>
                <w:rFonts w:hint="eastAsia" w:ascii="Times New Roman" w:hAnsi="Times New Roman" w:cs="仿宋"/>
                <w:sz w:val="24"/>
                <w:highlight w:val="white"/>
              </w:rPr>
              <w:t>1</w:t>
            </w:r>
            <w:r>
              <w:rPr>
                <w:rFonts w:ascii="Times New Roman" w:hAnsi="Times New Roman" w:cs="仿宋"/>
                <w:sz w:val="24"/>
                <w:highlight w:val="white"/>
              </w:rPr>
              <w:t>分，本项最高得</w:t>
            </w:r>
            <w:r>
              <w:rPr>
                <w:rFonts w:hint="eastAsia" w:ascii="Times New Roman" w:hAnsi="Times New Roman" w:cs="仿宋"/>
                <w:sz w:val="24"/>
                <w:highlight w:val="white"/>
              </w:rPr>
              <w:t>5</w:t>
            </w:r>
            <w:r>
              <w:rPr>
                <w:rFonts w:ascii="Times New Roman" w:hAnsi="Times New Roman" w:cs="仿宋"/>
                <w:sz w:val="24"/>
                <w:highlight w:val="white"/>
              </w:rPr>
              <w:t>分。注：</w:t>
            </w:r>
            <w:r>
              <w:rPr>
                <w:rFonts w:hint="eastAsia" w:ascii="Times New Roman" w:hAnsi="Times New Roman" w:cs="仿宋"/>
                <w:sz w:val="24"/>
                <w:highlight w:val="white"/>
              </w:rPr>
              <w:t>（1）需提供以上类似业绩合</w:t>
            </w:r>
            <w:r>
              <w:rPr>
                <w:rFonts w:hint="eastAsia" w:ascii="Times New Roman" w:hAnsi="Times New Roman" w:cs="仿宋"/>
                <w:sz w:val="24"/>
              </w:rPr>
              <w:t>同、中标（成交）通知书以及验收原件扫描件至投标文件。未提供或</w:t>
            </w:r>
            <w:r>
              <w:rPr>
                <w:rFonts w:hint="eastAsia" w:ascii="Times New Roman" w:hAnsi="Times New Roman" w:cs="仿宋"/>
                <w:sz w:val="24"/>
                <w:highlight w:val="white"/>
              </w:rPr>
              <w:t>提供上述材料不全或不清晰的均不得分。</w:t>
            </w:r>
            <w:r>
              <w:rPr>
                <w:rFonts w:ascii="Times New Roman" w:hAnsi="Times New Roman" w:cs="仿宋"/>
                <w:sz w:val="24"/>
                <w:highlight w:val="white"/>
              </w:rPr>
              <w:t>（</w:t>
            </w:r>
            <w:r>
              <w:rPr>
                <w:rFonts w:hint="eastAsia" w:ascii="Times New Roman" w:hAnsi="Times New Roman" w:cs="仿宋"/>
                <w:sz w:val="24"/>
                <w:highlight w:val="white"/>
              </w:rPr>
              <w:t>2</w:t>
            </w:r>
            <w:r>
              <w:rPr>
                <w:rFonts w:ascii="Times New Roman" w:hAnsi="Times New Roman" w:cs="仿宋"/>
                <w:sz w:val="24"/>
                <w:highlight w:val="white"/>
              </w:rPr>
              <w:t>）投标人提供的业绩将随中标结果公告同步公开。</w:t>
            </w:r>
          </w:p>
        </w:tc>
      </w:tr>
      <w:tr w14:paraId="7AC07C2C">
        <w:tblPrEx>
          <w:tblCellMar>
            <w:top w:w="0" w:type="dxa"/>
            <w:left w:w="108" w:type="dxa"/>
            <w:bottom w:w="0" w:type="dxa"/>
            <w:right w:w="108" w:type="dxa"/>
          </w:tblCellMar>
        </w:tblPrEx>
        <w:tc>
          <w:tcPr>
            <w:tcW w:w="1177" w:type="dxa"/>
            <w:vMerge w:val="continue"/>
            <w:tcBorders>
              <w:left w:val="single" w:color="auto" w:sz="4" w:space="0"/>
              <w:right w:val="single" w:color="auto" w:sz="4" w:space="0"/>
            </w:tcBorders>
            <w:shd w:val="clear" w:color="auto" w:fill="auto"/>
            <w:noWrap/>
            <w:vAlign w:val="center"/>
          </w:tcPr>
          <w:p w14:paraId="4EB854DE">
            <w:pPr>
              <w:spacing w:line="400" w:lineRule="exact"/>
              <w:jc w:val="left"/>
              <w:rPr>
                <w:rFonts w:ascii="Times New Roman" w:hAnsi="Times New Roman" w:cs="仿宋"/>
                <w:color w:val="000000" w:themeColor="text1"/>
                <w:sz w:val="24"/>
                <w:highlight w:val="white"/>
              </w:rPr>
            </w:pPr>
          </w:p>
        </w:tc>
        <w:tc>
          <w:tcPr>
            <w:tcW w:w="1369" w:type="dxa"/>
            <w:tcBorders>
              <w:top w:val="nil"/>
              <w:left w:val="nil"/>
              <w:bottom w:val="single" w:color="auto" w:sz="4" w:space="0"/>
              <w:right w:val="single" w:color="auto" w:sz="4" w:space="0"/>
            </w:tcBorders>
            <w:shd w:val="clear" w:color="auto" w:fill="auto"/>
            <w:noWrap/>
            <w:vAlign w:val="center"/>
          </w:tcPr>
          <w:p w14:paraId="509488F5">
            <w:pPr>
              <w:spacing w:line="400" w:lineRule="exact"/>
              <w:jc w:val="lef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技术能力</w:t>
            </w:r>
          </w:p>
        </w:tc>
        <w:tc>
          <w:tcPr>
            <w:tcW w:w="1122" w:type="dxa"/>
            <w:tcBorders>
              <w:top w:val="nil"/>
              <w:left w:val="nil"/>
              <w:bottom w:val="single" w:color="auto" w:sz="4" w:space="0"/>
              <w:right w:val="single" w:color="auto" w:sz="4" w:space="0"/>
            </w:tcBorders>
            <w:shd w:val="clear" w:color="auto" w:fill="auto"/>
            <w:noWrap/>
            <w:vAlign w:val="center"/>
          </w:tcPr>
          <w:p w14:paraId="6055B91F">
            <w:pPr>
              <w:spacing w:line="400" w:lineRule="exact"/>
              <w:jc w:val="left"/>
              <w:rPr>
                <w:rFonts w:ascii="Times New Roman" w:hAnsi="Times New Roman" w:cs="仿宋"/>
                <w:color w:val="000000" w:themeColor="text1"/>
                <w:sz w:val="24"/>
                <w:highlight w:val="white"/>
              </w:rPr>
            </w:pPr>
            <w:r>
              <w:rPr>
                <w:rFonts w:hint="eastAsia" w:ascii="Times New Roman" w:hAnsi="Times New Roman" w:cs="仿宋"/>
                <w:sz w:val="24"/>
                <w:highlight w:val="white"/>
                <w:lang w:val="en-US" w:eastAsia="zh-CN"/>
              </w:rPr>
              <w:t>7</w:t>
            </w:r>
            <w:r>
              <w:rPr>
                <w:rFonts w:hint="eastAsia" w:ascii="Times New Roman" w:hAnsi="Times New Roman" w:cs="仿宋"/>
                <w:sz w:val="24"/>
                <w:highlight w:val="white"/>
              </w:rPr>
              <w:t>.00分</w:t>
            </w:r>
          </w:p>
        </w:tc>
        <w:tc>
          <w:tcPr>
            <w:tcW w:w="6109" w:type="dxa"/>
            <w:tcBorders>
              <w:top w:val="nil"/>
              <w:left w:val="nil"/>
              <w:bottom w:val="single" w:color="auto" w:sz="4" w:space="0"/>
              <w:right w:val="single" w:color="auto" w:sz="4" w:space="0"/>
            </w:tcBorders>
            <w:shd w:val="clear" w:color="auto" w:fill="auto"/>
            <w:noWrap/>
            <w:vAlign w:val="center"/>
          </w:tcPr>
          <w:p w14:paraId="561321F4">
            <w:pPr>
              <w:spacing w:line="400" w:lineRule="exact"/>
              <w:jc w:val="left"/>
              <w:rPr>
                <w:rFonts w:ascii="Times New Roman" w:hAnsi="Times New Roman" w:cs="仿宋"/>
                <w:sz w:val="24"/>
              </w:rPr>
            </w:pPr>
            <w:r>
              <w:rPr>
                <w:rFonts w:hint="eastAsia" w:ascii="Times New Roman" w:hAnsi="Times New Roman" w:cs="仿宋"/>
                <w:sz w:val="24"/>
                <w:lang w:val="en-US" w:eastAsia="zh-CN"/>
              </w:rPr>
              <w:t>1</w:t>
            </w:r>
            <w:r>
              <w:rPr>
                <w:rFonts w:ascii="Times New Roman" w:hAnsi="Times New Roman" w:cs="仿宋"/>
                <w:sz w:val="24"/>
              </w:rPr>
              <w:t>、所投产品</w:t>
            </w:r>
            <w:r>
              <w:rPr>
                <w:rFonts w:hint="eastAsia" w:ascii="Times New Roman" w:hAnsi="Times New Roman" w:cs="仿宋"/>
                <w:sz w:val="24"/>
                <w:lang w:eastAsia="zh-CN"/>
              </w:rPr>
              <w:t>具有</w:t>
            </w:r>
            <w:r>
              <w:rPr>
                <w:rFonts w:hint="eastAsia" w:ascii="Times New Roman" w:hAnsi="Times New Roman" w:cs="仿宋"/>
                <w:sz w:val="24"/>
              </w:rPr>
              <w:t>有资质的第三方机构出具信息安全测试报告的</w:t>
            </w:r>
            <w:r>
              <w:rPr>
                <w:rFonts w:ascii="Times New Roman" w:hAnsi="Times New Roman" w:cs="仿宋"/>
                <w:sz w:val="24"/>
              </w:rPr>
              <w:t>，每提供一份得</w:t>
            </w:r>
            <w:r>
              <w:rPr>
                <w:rFonts w:hint="eastAsia" w:ascii="Times New Roman" w:hAnsi="Times New Roman" w:cs="仿宋"/>
                <w:sz w:val="24"/>
                <w:lang w:val="en-US" w:eastAsia="zh-CN"/>
              </w:rPr>
              <w:t>3</w:t>
            </w:r>
            <w:r>
              <w:rPr>
                <w:rFonts w:ascii="Times New Roman" w:hAnsi="Times New Roman" w:cs="仿宋"/>
                <w:sz w:val="24"/>
              </w:rPr>
              <w:t>分，最多得</w:t>
            </w:r>
            <w:r>
              <w:rPr>
                <w:rFonts w:hint="eastAsia" w:ascii="Times New Roman" w:hAnsi="Times New Roman" w:cs="仿宋"/>
                <w:sz w:val="24"/>
                <w:lang w:val="en-US" w:eastAsia="zh-CN"/>
              </w:rPr>
              <w:t>3</w:t>
            </w:r>
            <w:r>
              <w:rPr>
                <w:rFonts w:ascii="Times New Roman" w:hAnsi="Times New Roman" w:cs="仿宋"/>
                <w:sz w:val="24"/>
              </w:rPr>
              <w:t>分。</w:t>
            </w:r>
          </w:p>
          <w:p w14:paraId="287A8661">
            <w:pPr>
              <w:spacing w:line="400" w:lineRule="exact"/>
              <w:jc w:val="left"/>
              <w:rPr>
                <w:rFonts w:ascii="Times New Roman" w:hAnsi="Times New Roman" w:cs="仿宋"/>
                <w:color w:val="000000" w:themeColor="text1"/>
                <w:sz w:val="24"/>
              </w:rPr>
            </w:pPr>
            <w:r>
              <w:rPr>
                <w:rFonts w:hint="eastAsia" w:ascii="Times New Roman" w:hAnsi="Times New Roman" w:cs="仿宋"/>
                <w:color w:val="000000" w:themeColor="text1"/>
                <w:sz w:val="24"/>
                <w:lang w:val="en-US" w:eastAsia="zh-CN"/>
              </w:rPr>
              <w:t>2</w:t>
            </w:r>
            <w:r>
              <w:rPr>
                <w:rFonts w:hint="eastAsia" w:ascii="Times New Roman" w:hAnsi="Times New Roman" w:cs="仿宋"/>
                <w:color w:val="000000" w:themeColor="text1"/>
                <w:sz w:val="24"/>
              </w:rPr>
              <w:t>、供应商或所投产品制造商具有</w:t>
            </w:r>
            <w:bookmarkStart w:id="119" w:name="OLE_LINK1"/>
            <w:bookmarkStart w:id="120" w:name="OLE_LINK2"/>
            <w:r>
              <w:rPr>
                <w:rFonts w:hint="eastAsia" w:ascii="Times New Roman" w:hAnsi="Times New Roman" w:cs="仿宋"/>
                <w:color w:val="000000" w:themeColor="text1"/>
                <w:sz w:val="24"/>
              </w:rPr>
              <w:t>省部级</w:t>
            </w:r>
            <w:bookmarkEnd w:id="119"/>
            <w:bookmarkEnd w:id="120"/>
            <w:r>
              <w:rPr>
                <w:rFonts w:hint="eastAsia" w:ascii="Times New Roman" w:hAnsi="Times New Roman" w:cs="仿宋"/>
                <w:color w:val="000000" w:themeColor="text1"/>
                <w:sz w:val="24"/>
              </w:rPr>
              <w:t>及以上部门颁发的</w:t>
            </w:r>
            <w:r>
              <w:rPr>
                <w:rFonts w:hint="eastAsia"/>
                <w:sz w:val="24"/>
                <w:szCs w:val="24"/>
              </w:rPr>
              <w:t>智慧农业类证书</w:t>
            </w:r>
            <w:r>
              <w:rPr>
                <w:rFonts w:hint="eastAsia" w:ascii="Times New Roman" w:hAnsi="Times New Roman" w:cs="仿宋"/>
                <w:color w:val="000000" w:themeColor="text1"/>
                <w:sz w:val="24"/>
              </w:rPr>
              <w:t>的</w:t>
            </w:r>
            <w:r>
              <w:rPr>
                <w:rFonts w:ascii="Times New Roman" w:hAnsi="Times New Roman" w:cs="仿宋"/>
                <w:color w:val="000000" w:themeColor="text1"/>
                <w:sz w:val="24"/>
              </w:rPr>
              <w:t>得</w:t>
            </w:r>
            <w:r>
              <w:rPr>
                <w:rFonts w:hint="eastAsia" w:ascii="Times New Roman" w:hAnsi="Times New Roman" w:cs="仿宋"/>
                <w:color w:val="000000" w:themeColor="text1"/>
                <w:sz w:val="24"/>
                <w:lang w:val="en-US" w:eastAsia="zh-CN"/>
              </w:rPr>
              <w:t>2</w:t>
            </w:r>
            <w:r>
              <w:rPr>
                <w:rFonts w:ascii="Times New Roman" w:hAnsi="Times New Roman" w:cs="仿宋"/>
                <w:color w:val="000000" w:themeColor="text1"/>
                <w:sz w:val="24"/>
              </w:rPr>
              <w:t>分。</w:t>
            </w:r>
          </w:p>
          <w:p w14:paraId="159D286D">
            <w:pPr>
              <w:spacing w:line="400" w:lineRule="exact"/>
              <w:jc w:val="left"/>
              <w:rPr>
                <w:rFonts w:ascii="Times New Roman" w:hAnsi="Times New Roman" w:cs="仿宋"/>
                <w:color w:val="000000" w:themeColor="text1"/>
                <w:sz w:val="24"/>
                <w:highlight w:val="white"/>
              </w:rPr>
            </w:pPr>
            <w:r>
              <w:rPr>
                <w:rFonts w:hint="eastAsia" w:ascii="Times New Roman" w:hAnsi="Times New Roman" w:cs="仿宋"/>
                <w:color w:val="000000" w:themeColor="text1"/>
                <w:sz w:val="24"/>
                <w:lang w:val="en-US" w:eastAsia="zh-CN"/>
              </w:rPr>
              <w:t>3</w:t>
            </w:r>
            <w:r>
              <w:rPr>
                <w:rFonts w:hint="eastAsia" w:ascii="Times New Roman" w:hAnsi="Times New Roman" w:cs="仿宋"/>
                <w:color w:val="000000" w:themeColor="text1"/>
                <w:sz w:val="24"/>
              </w:rPr>
              <w:t>、供应商或所投产品制造商具有市级及以上部门</w:t>
            </w:r>
            <w:r>
              <w:rPr>
                <w:rFonts w:hint="eastAsia" w:ascii="Times New Roman" w:hAnsi="Times New Roman" w:cs="仿宋"/>
                <w:color w:val="000000" w:themeColor="text1"/>
                <w:sz w:val="24"/>
                <w:lang w:eastAsia="zh-CN"/>
              </w:rPr>
              <w:t>颁发的</w:t>
            </w:r>
            <w:r>
              <w:rPr>
                <w:rFonts w:hint="eastAsia" w:ascii="Times New Roman" w:hAnsi="Times New Roman" w:cs="仿宋"/>
                <w:color w:val="000000" w:themeColor="text1"/>
                <w:sz w:val="24"/>
              </w:rPr>
              <w:t>信息系统安全等级保护证明的得2分。</w:t>
            </w:r>
          </w:p>
        </w:tc>
      </w:tr>
      <w:tr w14:paraId="4CD34083">
        <w:tblPrEx>
          <w:tblCellMar>
            <w:top w:w="0" w:type="dxa"/>
            <w:left w:w="108" w:type="dxa"/>
            <w:bottom w:w="0" w:type="dxa"/>
            <w:right w:w="108" w:type="dxa"/>
          </w:tblCellMar>
        </w:tblPrEx>
        <w:trPr>
          <w:trHeight w:val="4936" w:hRule="atLeast"/>
        </w:trPr>
        <w:tc>
          <w:tcPr>
            <w:tcW w:w="1177" w:type="dxa"/>
            <w:vMerge w:val="restart"/>
            <w:tcBorders>
              <w:top w:val="nil"/>
              <w:left w:val="single" w:color="auto" w:sz="4" w:space="0"/>
              <w:right w:val="single" w:color="auto" w:sz="4" w:space="0"/>
            </w:tcBorders>
            <w:shd w:val="clear" w:color="auto" w:fill="auto"/>
            <w:noWrap/>
            <w:vAlign w:val="center"/>
          </w:tcPr>
          <w:p w14:paraId="7BD4126F">
            <w:pPr>
              <w:spacing w:line="400" w:lineRule="exact"/>
              <w:jc w:val="left"/>
              <w:rPr>
                <w:rFonts w:ascii="Times New Roman" w:hAnsi="Times New Roman" w:cs="仿宋"/>
                <w:color w:val="000000" w:themeColor="text1"/>
                <w:sz w:val="24"/>
                <w:highlight w:val="white"/>
              </w:rPr>
            </w:pPr>
            <w:r>
              <w:rPr>
                <w:rFonts w:ascii="Times New Roman" w:hAnsi="Times New Roman" w:cs="仿宋"/>
                <w:color w:val="000000" w:themeColor="text1"/>
                <w:sz w:val="24"/>
                <w:highlight w:val="white"/>
              </w:rPr>
              <w:t>项目实施方案</w:t>
            </w:r>
          </w:p>
        </w:tc>
        <w:tc>
          <w:tcPr>
            <w:tcW w:w="1369" w:type="dxa"/>
            <w:tcBorders>
              <w:top w:val="nil"/>
              <w:left w:val="nil"/>
              <w:right w:val="single" w:color="auto" w:sz="4" w:space="0"/>
            </w:tcBorders>
            <w:shd w:val="clear" w:color="auto" w:fill="auto"/>
            <w:noWrap/>
            <w:vAlign w:val="center"/>
          </w:tcPr>
          <w:p w14:paraId="14CC6146">
            <w:pPr>
              <w:spacing w:line="400" w:lineRule="exact"/>
              <w:jc w:val="lef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供货时间进度安排方案</w:t>
            </w:r>
          </w:p>
        </w:tc>
        <w:tc>
          <w:tcPr>
            <w:tcW w:w="1122" w:type="dxa"/>
            <w:tcBorders>
              <w:top w:val="nil"/>
              <w:left w:val="nil"/>
              <w:right w:val="single" w:color="auto" w:sz="4" w:space="0"/>
            </w:tcBorders>
            <w:shd w:val="clear" w:color="auto" w:fill="auto"/>
            <w:noWrap/>
            <w:vAlign w:val="center"/>
          </w:tcPr>
          <w:p w14:paraId="4D0A6F83">
            <w:pPr>
              <w:spacing w:line="400" w:lineRule="exact"/>
              <w:jc w:val="lef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lang w:val="en-US" w:eastAsia="zh-CN"/>
              </w:rPr>
              <w:t>7</w:t>
            </w:r>
            <w:r>
              <w:rPr>
                <w:rFonts w:hint="eastAsia" w:ascii="Times New Roman" w:hAnsi="Times New Roman" w:cs="仿宋"/>
                <w:color w:val="000000" w:themeColor="text1"/>
                <w:sz w:val="24"/>
                <w:highlight w:val="white"/>
              </w:rPr>
              <w:t>.00分</w:t>
            </w:r>
          </w:p>
        </w:tc>
        <w:tc>
          <w:tcPr>
            <w:tcW w:w="6109" w:type="dxa"/>
            <w:tcBorders>
              <w:top w:val="nil"/>
              <w:left w:val="nil"/>
              <w:bottom w:val="single" w:color="auto" w:sz="4" w:space="0"/>
              <w:right w:val="single" w:color="auto" w:sz="4" w:space="0"/>
            </w:tcBorders>
            <w:shd w:val="clear" w:color="auto" w:fill="auto"/>
            <w:noWrap/>
            <w:vAlign w:val="center"/>
          </w:tcPr>
          <w:p w14:paraId="19615AC9">
            <w:pPr>
              <w:spacing w:line="400" w:lineRule="exact"/>
              <w:jc w:val="lef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根据投标人提供针对本项目的供货时间进度安排方案进行评审。项目供货时间进度安排方案内容涵盖：进度计划、进度计划保障措施、有明确的时间节点和应急安排等。</w:t>
            </w:r>
          </w:p>
          <w:p w14:paraId="13A5044D">
            <w:pPr>
              <w:spacing w:line="400" w:lineRule="exact"/>
              <w:jc w:val="lef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1、方案完整全面，涵盖所有环节，具有优异的可行性，计划完整，保障措施科学合理的得</w:t>
            </w:r>
            <w:r>
              <w:rPr>
                <w:rFonts w:hint="eastAsia" w:ascii="Times New Roman" w:hAnsi="Times New Roman" w:cs="仿宋"/>
                <w:color w:val="000000" w:themeColor="text1"/>
                <w:sz w:val="24"/>
                <w:highlight w:val="white"/>
                <w:lang w:val="en-US" w:eastAsia="zh-CN"/>
              </w:rPr>
              <w:t>7</w:t>
            </w:r>
            <w:r>
              <w:rPr>
                <w:rFonts w:hint="eastAsia" w:ascii="Times New Roman" w:hAnsi="Times New Roman" w:cs="仿宋"/>
                <w:color w:val="000000" w:themeColor="text1"/>
                <w:sz w:val="24"/>
                <w:highlight w:val="white"/>
              </w:rPr>
              <w:t>分；</w:t>
            </w:r>
          </w:p>
          <w:p w14:paraId="44E29783">
            <w:pPr>
              <w:spacing w:line="400" w:lineRule="exact"/>
              <w:jc w:val="lef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2、方案较为完整全面，涵盖所有环节，具有良好的可行性，计划较为完整，保障措施较为科学合理的得4分；</w:t>
            </w:r>
          </w:p>
          <w:p w14:paraId="1E1B15DC">
            <w:pPr>
              <w:spacing w:line="400" w:lineRule="exact"/>
              <w:jc w:val="lef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3、方案基本完整，基本涵盖所有环节，可行性一般，计划完整度一般，保障措施一般的得2分；</w:t>
            </w:r>
          </w:p>
          <w:p w14:paraId="537C01D4">
            <w:pPr>
              <w:spacing w:line="400" w:lineRule="exact"/>
              <w:jc w:val="lef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4、方案有缺漏，各个进度环节科学性和衔接性一般，操作性较差，后期可以按照采购人要求完善补充的得1分；本项最高得</w:t>
            </w:r>
            <w:r>
              <w:rPr>
                <w:rFonts w:hint="eastAsia" w:ascii="Times New Roman" w:hAnsi="Times New Roman" w:cs="仿宋"/>
                <w:color w:val="000000" w:themeColor="text1"/>
                <w:sz w:val="24"/>
                <w:highlight w:val="white"/>
                <w:lang w:val="en-US" w:eastAsia="zh-CN"/>
              </w:rPr>
              <w:t>7</w:t>
            </w:r>
            <w:r>
              <w:rPr>
                <w:rFonts w:hint="eastAsia" w:ascii="Times New Roman" w:hAnsi="Times New Roman" w:cs="仿宋"/>
                <w:color w:val="000000" w:themeColor="text1"/>
                <w:sz w:val="24"/>
                <w:highlight w:val="white"/>
              </w:rPr>
              <w:t>分，未提供方案的不得分。</w:t>
            </w:r>
          </w:p>
        </w:tc>
      </w:tr>
      <w:tr w14:paraId="77576020">
        <w:tblPrEx>
          <w:tblCellMar>
            <w:top w:w="0" w:type="dxa"/>
            <w:left w:w="108" w:type="dxa"/>
            <w:bottom w:w="0" w:type="dxa"/>
            <w:right w:w="108" w:type="dxa"/>
          </w:tblCellMar>
        </w:tblPrEx>
        <w:trPr>
          <w:trHeight w:val="3063" w:hRule="atLeast"/>
        </w:trPr>
        <w:tc>
          <w:tcPr>
            <w:tcW w:w="1177" w:type="dxa"/>
            <w:vMerge w:val="continue"/>
            <w:tcBorders>
              <w:left w:val="single" w:color="auto" w:sz="4" w:space="0"/>
              <w:right w:val="single" w:color="auto" w:sz="4" w:space="0"/>
            </w:tcBorders>
            <w:shd w:val="clear" w:color="auto" w:fill="auto"/>
            <w:noWrap/>
            <w:vAlign w:val="center"/>
          </w:tcPr>
          <w:p w14:paraId="29D13AEE">
            <w:pPr>
              <w:spacing w:line="400" w:lineRule="exact"/>
              <w:jc w:val="left"/>
              <w:rPr>
                <w:rFonts w:ascii="Times New Roman" w:hAnsi="Times New Roman" w:cs="仿宋"/>
                <w:color w:val="000000" w:themeColor="text1"/>
                <w:sz w:val="24"/>
                <w:highlight w:val="white"/>
              </w:rPr>
            </w:pPr>
          </w:p>
        </w:tc>
        <w:tc>
          <w:tcPr>
            <w:tcW w:w="1369" w:type="dxa"/>
            <w:tcBorders>
              <w:top w:val="nil"/>
              <w:left w:val="nil"/>
              <w:right w:val="single" w:color="auto" w:sz="4" w:space="0"/>
            </w:tcBorders>
            <w:shd w:val="clear" w:color="auto" w:fill="auto"/>
            <w:noWrap/>
            <w:vAlign w:val="center"/>
          </w:tcPr>
          <w:p w14:paraId="61198099">
            <w:pPr>
              <w:spacing w:line="400" w:lineRule="exact"/>
              <w:jc w:val="lef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质量保障措施</w:t>
            </w:r>
          </w:p>
        </w:tc>
        <w:tc>
          <w:tcPr>
            <w:tcW w:w="1122" w:type="dxa"/>
            <w:tcBorders>
              <w:top w:val="nil"/>
              <w:left w:val="nil"/>
              <w:right w:val="single" w:color="auto" w:sz="4" w:space="0"/>
            </w:tcBorders>
            <w:shd w:val="clear" w:color="auto" w:fill="auto"/>
            <w:noWrap/>
            <w:vAlign w:val="center"/>
          </w:tcPr>
          <w:p w14:paraId="497D419D">
            <w:pPr>
              <w:widowControl/>
              <w:jc w:val="center"/>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lang w:val="en-US" w:eastAsia="zh-CN"/>
              </w:rPr>
              <w:t>7</w:t>
            </w:r>
            <w:r>
              <w:rPr>
                <w:rFonts w:hint="eastAsia" w:ascii="Times New Roman" w:hAnsi="Times New Roman" w:cs="仿宋"/>
                <w:color w:val="000000" w:themeColor="text1"/>
                <w:sz w:val="24"/>
                <w:highlight w:val="white"/>
              </w:rPr>
              <w:t>.00分</w:t>
            </w:r>
          </w:p>
        </w:tc>
        <w:tc>
          <w:tcPr>
            <w:tcW w:w="6109" w:type="dxa"/>
            <w:tcBorders>
              <w:top w:val="nil"/>
              <w:left w:val="nil"/>
              <w:bottom w:val="single" w:color="auto" w:sz="4" w:space="0"/>
              <w:right w:val="single" w:color="auto" w:sz="4" w:space="0"/>
            </w:tcBorders>
            <w:shd w:val="clear" w:color="auto" w:fill="auto"/>
            <w:noWrap/>
            <w:vAlign w:val="center"/>
          </w:tcPr>
          <w:p w14:paraId="39193B51">
            <w:pPr>
              <w:spacing w:line="400" w:lineRule="exact"/>
              <w:jc w:val="lef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根据投标人提供针对本项目的质量保障措施进行评审。质量保障措施至少包括质量控制目标、质量控制方法、技术规范和工艺流程保障措施等。</w:t>
            </w:r>
          </w:p>
          <w:p w14:paraId="4E6A66B5">
            <w:pPr>
              <w:spacing w:line="400" w:lineRule="exact"/>
              <w:jc w:val="lef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1、措施完整全面，质量控制目标清晰，保障措施得力，具有前瞻性，和优秀的可行性的得</w:t>
            </w:r>
            <w:r>
              <w:rPr>
                <w:rFonts w:hint="eastAsia" w:ascii="Times New Roman" w:hAnsi="Times New Roman" w:cs="仿宋"/>
                <w:color w:val="000000" w:themeColor="text1"/>
                <w:sz w:val="24"/>
                <w:highlight w:val="white"/>
                <w:lang w:val="en-US" w:eastAsia="zh-CN"/>
              </w:rPr>
              <w:t>7</w:t>
            </w:r>
            <w:r>
              <w:rPr>
                <w:rFonts w:hint="eastAsia" w:ascii="Times New Roman" w:hAnsi="Times New Roman" w:cs="仿宋"/>
                <w:color w:val="000000" w:themeColor="text1"/>
                <w:sz w:val="24"/>
                <w:highlight w:val="white"/>
              </w:rPr>
              <w:t>分；</w:t>
            </w:r>
          </w:p>
          <w:p w14:paraId="7FCD8124">
            <w:pPr>
              <w:spacing w:line="400" w:lineRule="exact"/>
              <w:jc w:val="lef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2、措施较为完整全面，质量控制目标较为清晰，保障措施较为得力，较为具有前瞻性，和良好的可行性的得4分；</w:t>
            </w:r>
          </w:p>
          <w:p w14:paraId="38A195CA">
            <w:pPr>
              <w:spacing w:line="400" w:lineRule="exact"/>
              <w:jc w:val="lef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3、措施基本完整，质量控制目标明确，保障措施基本可行的得2分；</w:t>
            </w:r>
          </w:p>
          <w:p w14:paraId="55C8CFC9">
            <w:pPr>
              <w:spacing w:line="400" w:lineRule="exact"/>
              <w:jc w:val="lef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4、质量控制目标不清、保障措施不全，必须后期根据采购人的需求进一步完善才能基本满足使用需求的得1分；</w:t>
            </w:r>
          </w:p>
          <w:p w14:paraId="4B88FA9E">
            <w:pPr>
              <w:spacing w:line="400" w:lineRule="exact"/>
              <w:jc w:val="left"/>
              <w:rPr>
                <w:rFonts w:ascii="Times New Roman" w:hAnsi="Times New Roman" w:cs="仿宋"/>
                <w:color w:val="000000" w:themeColor="text1"/>
                <w:sz w:val="24"/>
                <w:highlight w:val="white"/>
              </w:rPr>
            </w:pPr>
            <w:r>
              <w:rPr>
                <w:rFonts w:hint="eastAsia" w:ascii="Times New Roman" w:hAnsi="Times New Roman" w:cs="仿宋"/>
                <w:color w:val="000000" w:themeColor="text1"/>
                <w:sz w:val="24"/>
                <w:highlight w:val="white"/>
              </w:rPr>
              <w:t>本项最高得</w:t>
            </w:r>
            <w:r>
              <w:rPr>
                <w:rFonts w:hint="eastAsia" w:ascii="Times New Roman" w:hAnsi="Times New Roman" w:cs="仿宋"/>
                <w:color w:val="000000" w:themeColor="text1"/>
                <w:sz w:val="24"/>
                <w:highlight w:val="white"/>
                <w:lang w:val="en-US" w:eastAsia="zh-CN"/>
              </w:rPr>
              <w:t>7</w:t>
            </w:r>
            <w:r>
              <w:rPr>
                <w:rFonts w:hint="eastAsia" w:ascii="Times New Roman" w:hAnsi="Times New Roman" w:cs="仿宋"/>
                <w:color w:val="000000" w:themeColor="text1"/>
                <w:sz w:val="24"/>
                <w:highlight w:val="white"/>
              </w:rPr>
              <w:t>分，未提供方案的不得分。</w:t>
            </w:r>
          </w:p>
        </w:tc>
      </w:tr>
      <w:tr w14:paraId="59EC8296">
        <w:tblPrEx>
          <w:tblCellMar>
            <w:top w:w="0" w:type="dxa"/>
            <w:left w:w="108" w:type="dxa"/>
            <w:bottom w:w="0" w:type="dxa"/>
            <w:right w:w="108" w:type="dxa"/>
          </w:tblCellMar>
        </w:tblPrEx>
        <w:tc>
          <w:tcPr>
            <w:tcW w:w="1177" w:type="dxa"/>
            <w:tcBorders>
              <w:top w:val="single" w:color="auto" w:sz="4" w:space="0"/>
              <w:left w:val="single" w:color="auto" w:sz="4" w:space="0"/>
              <w:right w:val="single" w:color="auto" w:sz="4" w:space="0"/>
            </w:tcBorders>
            <w:shd w:val="clear" w:color="auto" w:fill="auto"/>
            <w:noWrap/>
            <w:vAlign w:val="center"/>
          </w:tcPr>
          <w:p w14:paraId="2E4B88D3">
            <w:pPr>
              <w:spacing w:line="400" w:lineRule="exact"/>
              <w:jc w:val="left"/>
              <w:rPr>
                <w:rFonts w:ascii="Times New Roman" w:hAnsi="Times New Roman" w:cs="仿宋"/>
                <w:color w:val="000000" w:themeColor="text1"/>
                <w:sz w:val="24"/>
                <w:highlight w:val="white"/>
              </w:rPr>
            </w:pPr>
            <w:r>
              <w:rPr>
                <w:rFonts w:ascii="Times New Roman" w:hAnsi="Times New Roman" w:cs="仿宋"/>
                <w:color w:val="000000" w:themeColor="text1"/>
                <w:sz w:val="24"/>
                <w:highlight w:val="white"/>
              </w:rPr>
              <w:t>其他</w:t>
            </w:r>
          </w:p>
        </w:tc>
        <w:tc>
          <w:tcPr>
            <w:tcW w:w="136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DF5F61">
            <w:pPr>
              <w:spacing w:line="400" w:lineRule="exact"/>
              <w:jc w:val="left"/>
              <w:rPr>
                <w:rFonts w:ascii="Times New Roman" w:hAnsi="Times New Roman" w:cs="仿宋"/>
                <w:sz w:val="24"/>
                <w:highlight w:val="white"/>
              </w:rPr>
            </w:pPr>
            <w:r>
              <w:rPr>
                <w:rFonts w:hint="eastAsia" w:ascii="Times New Roman" w:hAnsi="Times New Roman" w:cs="仿宋"/>
                <w:sz w:val="24"/>
                <w:highlight w:val="white"/>
              </w:rPr>
              <w:t>售后服务</w:t>
            </w:r>
          </w:p>
        </w:tc>
        <w:tc>
          <w:tcPr>
            <w:tcW w:w="112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2E3BBE">
            <w:pPr>
              <w:spacing w:line="400" w:lineRule="exact"/>
              <w:jc w:val="left"/>
              <w:rPr>
                <w:rFonts w:ascii="Times New Roman" w:hAnsi="Times New Roman" w:cs="仿宋"/>
                <w:sz w:val="24"/>
                <w:highlight w:val="white"/>
              </w:rPr>
            </w:pPr>
            <w:r>
              <w:rPr>
                <w:rFonts w:hint="eastAsia" w:ascii="Times New Roman" w:hAnsi="Times New Roman" w:cs="仿宋"/>
                <w:sz w:val="24"/>
                <w:highlight w:val="white"/>
                <w:lang w:val="en-US" w:eastAsia="zh-CN"/>
              </w:rPr>
              <w:t>7</w:t>
            </w:r>
            <w:r>
              <w:rPr>
                <w:rFonts w:hint="eastAsia" w:ascii="Times New Roman" w:hAnsi="Times New Roman" w:cs="仿宋"/>
                <w:sz w:val="24"/>
                <w:highlight w:val="white"/>
              </w:rPr>
              <w:t>.00分</w:t>
            </w:r>
          </w:p>
        </w:tc>
        <w:tc>
          <w:tcPr>
            <w:tcW w:w="61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642AA8">
            <w:pPr>
              <w:spacing w:line="400" w:lineRule="exact"/>
              <w:jc w:val="left"/>
              <w:rPr>
                <w:rFonts w:ascii="Times New Roman" w:hAnsi="Times New Roman" w:cs="仿宋"/>
                <w:sz w:val="24"/>
                <w:highlight w:val="white"/>
              </w:rPr>
            </w:pPr>
            <w:r>
              <w:rPr>
                <w:rFonts w:hint="eastAsia" w:ascii="Times New Roman" w:hAnsi="Times New Roman" w:cs="仿宋"/>
                <w:sz w:val="24"/>
                <w:highlight w:val="white"/>
              </w:rPr>
              <w:t>根据各供应商的售后服务措施，如制定有效的服务承诺，详细阐述与售后服务有关的技术支持原则、目标、内容、充足数量的维保备件、合同结 束后服务等内容。</w:t>
            </w:r>
          </w:p>
          <w:p w14:paraId="4F1BD48D">
            <w:pPr>
              <w:numPr>
                <w:ilvl w:val="0"/>
                <w:numId w:val="6"/>
              </w:numPr>
              <w:spacing w:line="400" w:lineRule="exact"/>
              <w:jc w:val="left"/>
              <w:rPr>
                <w:rFonts w:ascii="Times New Roman" w:hAnsi="Times New Roman" w:cs="仿宋"/>
                <w:sz w:val="24"/>
                <w:highlight w:val="white"/>
              </w:rPr>
            </w:pPr>
            <w:r>
              <w:rPr>
                <w:rFonts w:hint="eastAsia" w:ascii="Times New Roman" w:hAnsi="Times New Roman" w:cs="仿宋"/>
                <w:sz w:val="24"/>
                <w:highlight w:val="white"/>
              </w:rPr>
              <w:t>方案内容详实， 优于采购需求的，得</w:t>
            </w:r>
            <w:r>
              <w:rPr>
                <w:rFonts w:hint="eastAsia" w:ascii="Times New Roman" w:hAnsi="Times New Roman" w:cs="仿宋"/>
                <w:sz w:val="24"/>
                <w:highlight w:val="white"/>
                <w:lang w:val="en-US" w:eastAsia="zh-CN"/>
              </w:rPr>
              <w:t>7</w:t>
            </w:r>
            <w:r>
              <w:rPr>
                <w:rFonts w:hint="eastAsia" w:ascii="Times New Roman" w:hAnsi="Times New Roman" w:cs="仿宋"/>
                <w:sz w:val="24"/>
                <w:highlight w:val="white"/>
              </w:rPr>
              <w:t>分；</w:t>
            </w:r>
          </w:p>
          <w:p w14:paraId="3A050C5D">
            <w:pPr>
              <w:numPr>
                <w:ilvl w:val="0"/>
                <w:numId w:val="6"/>
              </w:numPr>
              <w:spacing w:line="400" w:lineRule="exact"/>
              <w:jc w:val="left"/>
              <w:rPr>
                <w:rFonts w:ascii="Times New Roman" w:hAnsi="Times New Roman" w:cs="仿宋"/>
                <w:sz w:val="24"/>
                <w:highlight w:val="white"/>
              </w:rPr>
            </w:pPr>
            <w:r>
              <w:rPr>
                <w:rFonts w:hint="eastAsia" w:ascii="Times New Roman" w:hAnsi="Times New Roman" w:cs="仿宋"/>
                <w:sz w:val="24"/>
                <w:highlight w:val="white"/>
              </w:rPr>
              <w:t xml:space="preserve"> 方案内容较为详实，较为满足采购需求的，得4分；</w:t>
            </w:r>
          </w:p>
          <w:p w14:paraId="56BB9BA0">
            <w:pPr>
              <w:numPr>
                <w:ilvl w:val="0"/>
                <w:numId w:val="6"/>
              </w:numPr>
              <w:spacing w:line="400" w:lineRule="exact"/>
              <w:jc w:val="left"/>
              <w:rPr>
                <w:rFonts w:ascii="Times New Roman" w:hAnsi="Times New Roman" w:cs="仿宋"/>
                <w:sz w:val="24"/>
                <w:highlight w:val="white"/>
              </w:rPr>
            </w:pPr>
            <w:r>
              <w:rPr>
                <w:rFonts w:hint="eastAsia" w:ascii="Times New Roman" w:hAnsi="Times New Roman" w:cs="仿宋"/>
                <w:sz w:val="24"/>
                <w:highlight w:val="white"/>
              </w:rPr>
              <w:t>方案内容基本详实，满足采购需求的，得2分；</w:t>
            </w:r>
          </w:p>
          <w:p w14:paraId="2B1DFD51">
            <w:pPr>
              <w:numPr>
                <w:ilvl w:val="0"/>
                <w:numId w:val="6"/>
              </w:numPr>
              <w:spacing w:line="400" w:lineRule="exact"/>
              <w:jc w:val="left"/>
              <w:rPr>
                <w:rFonts w:ascii="Times New Roman" w:hAnsi="Times New Roman" w:cs="仿宋"/>
                <w:sz w:val="24"/>
                <w:highlight w:val="white"/>
              </w:rPr>
            </w:pPr>
            <w:r>
              <w:rPr>
                <w:sz w:val="24"/>
                <w:szCs w:val="24"/>
              </w:rPr>
              <w:t>方案内容不完善的，通过后期优化能实现采购需求的</w:t>
            </w:r>
            <w:r>
              <w:rPr>
                <w:rFonts w:hint="eastAsia" w:ascii="Times New Roman" w:hAnsi="Times New Roman" w:cs="仿宋"/>
                <w:sz w:val="24"/>
                <w:highlight w:val="white"/>
              </w:rPr>
              <w:t xml:space="preserve">，得1分； </w:t>
            </w:r>
          </w:p>
          <w:p w14:paraId="4A6E1724">
            <w:pPr>
              <w:spacing w:line="400" w:lineRule="exact"/>
              <w:jc w:val="left"/>
              <w:rPr>
                <w:rFonts w:ascii="Times New Roman" w:hAnsi="Times New Roman" w:cs="仿宋"/>
                <w:sz w:val="24"/>
                <w:highlight w:val="white"/>
              </w:rPr>
            </w:pPr>
            <w:r>
              <w:rPr>
                <w:rFonts w:hint="eastAsia" w:ascii="Times New Roman" w:hAnsi="Times New Roman" w:cs="仿宋"/>
                <w:sz w:val="24"/>
                <w:highlight w:val="white"/>
              </w:rPr>
              <w:t>本项最高得</w:t>
            </w:r>
            <w:r>
              <w:rPr>
                <w:rFonts w:hint="eastAsia" w:ascii="Times New Roman" w:hAnsi="Times New Roman" w:cs="仿宋"/>
                <w:sz w:val="24"/>
                <w:highlight w:val="white"/>
                <w:lang w:val="en-US" w:eastAsia="zh-CN"/>
              </w:rPr>
              <w:t>7</w:t>
            </w:r>
            <w:r>
              <w:rPr>
                <w:rFonts w:hint="eastAsia" w:ascii="Times New Roman" w:hAnsi="Times New Roman" w:cs="仿宋"/>
                <w:sz w:val="24"/>
                <w:highlight w:val="white"/>
              </w:rPr>
              <w:t xml:space="preserve">分，未提供方案的不得分。 </w:t>
            </w:r>
          </w:p>
        </w:tc>
      </w:tr>
    </w:tbl>
    <w:p w14:paraId="0E061029">
      <w:pPr>
        <w:rPr>
          <w:rFonts w:ascii="Times New Roman" w:hAnsi="Times New Roman"/>
          <w:szCs w:val="21"/>
        </w:rPr>
      </w:pPr>
    </w:p>
    <w:p w14:paraId="5FD84A8E">
      <w:pPr>
        <w:spacing w:line="480" w:lineRule="exact"/>
        <w:jc w:val="left"/>
        <w:rPr>
          <w:rFonts w:ascii="Times New Roman" w:hAnsi="Times New Roman" w:cs="仿宋"/>
          <w:b/>
          <w:bCs/>
          <w:color w:val="000000"/>
          <w:sz w:val="24"/>
        </w:rPr>
      </w:pPr>
    </w:p>
    <w:p w14:paraId="3BE2443B">
      <w:pPr>
        <w:keepNext/>
        <w:keepLines/>
        <w:pageBreakBefore/>
        <w:jc w:val="center"/>
        <w:outlineLvl w:val="0"/>
        <w:rPr>
          <w:b/>
          <w:color w:val="000000"/>
          <w:sz w:val="44"/>
          <w:szCs w:val="44"/>
        </w:rPr>
      </w:pPr>
      <w:bookmarkStart w:id="121" w:name="_Toc81575205"/>
      <w:bookmarkStart w:id="122" w:name="_Toc22314"/>
      <w:bookmarkStart w:id="123" w:name="_Toc2916"/>
      <w:bookmarkStart w:id="124" w:name="_Toc12255"/>
      <w:bookmarkStart w:id="125" w:name="_Toc81575168"/>
      <w:r>
        <w:rPr>
          <w:rFonts w:hint="eastAsia"/>
          <w:b/>
          <w:color w:val="000000"/>
          <w:sz w:val="44"/>
          <w:szCs w:val="44"/>
        </w:rPr>
        <w:t>第四章采购需求</w:t>
      </w:r>
      <w:bookmarkEnd w:id="117"/>
      <w:bookmarkEnd w:id="121"/>
      <w:bookmarkEnd w:id="122"/>
      <w:bookmarkEnd w:id="123"/>
      <w:bookmarkEnd w:id="124"/>
      <w:bookmarkEnd w:id="125"/>
    </w:p>
    <w:p w14:paraId="58E6FBE2">
      <w:pPr>
        <w:spacing w:before="120" w:after="120" w:line="0" w:lineRule="atLeast"/>
        <w:ind w:firstLine="720"/>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项目属性：货物类项目</w:t>
      </w:r>
    </w:p>
    <w:p w14:paraId="5BE116D3">
      <w:pPr>
        <w:spacing w:before="120" w:after="120" w:line="0" w:lineRule="atLeast"/>
        <w:ind w:firstLine="720"/>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本项目采购标的对应的中小企业划分标准所属行业：</w:t>
      </w:r>
      <w:r>
        <w:rPr>
          <w:rFonts w:hint="eastAsia" w:ascii="Times New Roman" w:hAnsi="Times New Roman" w:cs="Courier New"/>
          <w:color w:val="auto"/>
          <w:sz w:val="24"/>
          <w:szCs w:val="24"/>
          <w:highlight w:val="none"/>
          <w:u w:val="single"/>
        </w:rPr>
        <w:t>工业（制造业）</w:t>
      </w:r>
    </w:p>
    <w:p w14:paraId="23CA070C">
      <w:pPr>
        <w:spacing w:before="120" w:after="120" w:line="0" w:lineRule="atLeast"/>
        <w:ind w:firstLine="720"/>
        <w:rPr>
          <w:rFonts w:ascii="Times New Roman" w:hAnsi="Times New Roman"/>
          <w:b/>
          <w:bCs/>
          <w:color w:val="auto"/>
          <w:sz w:val="24"/>
          <w:highlight w:val="none"/>
        </w:rPr>
      </w:pPr>
      <w:r>
        <w:rPr>
          <w:rFonts w:hint="eastAsia" w:ascii="Times New Roman" w:hAnsi="Times New Roman" w:cs="Courier New"/>
          <w:color w:val="auto"/>
          <w:sz w:val="24"/>
          <w:szCs w:val="24"/>
          <w:highlight w:val="none"/>
        </w:rPr>
        <w:t>本项目</w:t>
      </w:r>
      <w:r>
        <w:rPr>
          <w:rFonts w:hint="eastAsia" w:ascii="Times New Roman" w:hAnsi="Times New Roman" w:cs="Courier New"/>
          <w:color w:val="auto"/>
          <w:sz w:val="24"/>
          <w:szCs w:val="24"/>
          <w:highlight w:val="none"/>
          <w:u w:val="single"/>
        </w:rPr>
        <w:t>不接受</w:t>
      </w:r>
      <w:r>
        <w:rPr>
          <w:rFonts w:hint="eastAsia" w:ascii="Times New Roman" w:hAnsi="Times New Roman" w:cs="Courier New"/>
          <w:color w:val="auto"/>
          <w:sz w:val="24"/>
          <w:szCs w:val="24"/>
          <w:highlight w:val="none"/>
        </w:rPr>
        <w:t>（接受/不接受）进口产品。</w:t>
      </w:r>
    </w:p>
    <w:p w14:paraId="0076FF0B">
      <w:pPr>
        <w:pBdr>
          <w:top w:val="none" w:color="000000" w:sz="0" w:space="0"/>
          <w:left w:val="none" w:color="000000" w:sz="0" w:space="0"/>
          <w:bottom w:val="none" w:color="000000" w:sz="0" w:space="0"/>
          <w:right w:val="none" w:color="000000" w:sz="0" w:space="0"/>
        </w:pBdr>
        <w:spacing w:line="400" w:lineRule="exact"/>
        <w:ind w:firstLine="482"/>
        <w:jc w:val="left"/>
        <w:rPr>
          <w:color w:val="auto"/>
          <w:sz w:val="22"/>
          <w:highlight w:val="none"/>
        </w:rPr>
      </w:pPr>
      <w:r>
        <w:rPr>
          <w:rFonts w:ascii="宋体" w:hAnsi="宋体" w:cs="宋体"/>
          <w:b/>
          <w:color w:val="auto"/>
          <w:sz w:val="28"/>
          <w:highlight w:val="none"/>
        </w:rPr>
        <w:t>一、</w:t>
      </w:r>
      <w:r>
        <w:rPr>
          <w:rFonts w:hint="eastAsia" w:ascii="宋体" w:hAnsi="宋体" w:cs="宋体"/>
          <w:b/>
          <w:color w:val="auto"/>
          <w:sz w:val="28"/>
          <w:highlight w:val="none"/>
        </w:rPr>
        <w:t>项目概况</w:t>
      </w:r>
    </w:p>
    <w:p w14:paraId="0AAFBC09">
      <w:pPr>
        <w:spacing w:before="120" w:after="120" w:line="0" w:lineRule="atLeast"/>
        <w:ind w:firstLine="720"/>
        <w:rPr>
          <w:rFonts w:ascii="宋体" w:hAnsi="宋体" w:cs="宋体"/>
          <w:b/>
          <w:color w:val="auto"/>
          <w:sz w:val="24"/>
          <w:highlight w:val="none"/>
        </w:rPr>
      </w:pPr>
      <w:r>
        <w:rPr>
          <w:rFonts w:ascii="宋体" w:hAnsi="宋体" w:cs="宋体"/>
          <w:b/>
          <w:color w:val="auto"/>
          <w:sz w:val="24"/>
          <w:highlight w:val="none"/>
        </w:rPr>
        <w:t>（一）</w:t>
      </w:r>
      <w:r>
        <w:rPr>
          <w:rFonts w:hint="eastAsia" w:ascii="宋体" w:hAnsi="宋体" w:cs="宋体"/>
          <w:b/>
          <w:color w:val="auto"/>
          <w:sz w:val="24"/>
          <w:highlight w:val="none"/>
        </w:rPr>
        <w:t>采购</w:t>
      </w:r>
      <w:r>
        <w:rPr>
          <w:rFonts w:hint="eastAsia" w:ascii="宋体" w:hAnsi="宋体" w:cs="宋体"/>
          <w:b/>
          <w:color w:val="auto"/>
          <w:sz w:val="24"/>
          <w:highlight w:val="none"/>
          <w:lang w:eastAsia="zh-CN"/>
        </w:rPr>
        <w:t>清单</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7"/>
        <w:gridCol w:w="4175"/>
        <w:gridCol w:w="1578"/>
        <w:gridCol w:w="963"/>
        <w:gridCol w:w="1350"/>
      </w:tblGrid>
      <w:tr w14:paraId="7EB0E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7" w:type="dxa"/>
            <w:vAlign w:val="center"/>
          </w:tcPr>
          <w:p w14:paraId="34BD58D2">
            <w:pPr>
              <w:pStyle w:val="8"/>
              <w:spacing w:before="12" w:after="14"/>
              <w:jc w:val="center"/>
              <w:rPr>
                <w:rFonts w:ascii="Times New Roman" w:hAnsi="Times New Roman" w:eastAsia="宋体" w:cs="Courier New"/>
                <w:b w:val="0"/>
                <w:bCs w:val="0"/>
                <w:color w:val="auto"/>
                <w:sz w:val="24"/>
                <w:szCs w:val="24"/>
                <w:highlight w:val="none"/>
              </w:rPr>
            </w:pPr>
            <w:r>
              <w:rPr>
                <w:rFonts w:hint="eastAsia" w:ascii="Times New Roman" w:hAnsi="Times New Roman" w:eastAsia="宋体" w:cs="Courier New"/>
                <w:b w:val="0"/>
                <w:bCs w:val="0"/>
                <w:color w:val="auto"/>
                <w:sz w:val="24"/>
                <w:szCs w:val="24"/>
                <w:highlight w:val="none"/>
              </w:rPr>
              <w:t>序号</w:t>
            </w:r>
          </w:p>
        </w:tc>
        <w:tc>
          <w:tcPr>
            <w:tcW w:w="4175" w:type="dxa"/>
            <w:vAlign w:val="center"/>
          </w:tcPr>
          <w:p w14:paraId="39D0C6D5">
            <w:pPr>
              <w:pStyle w:val="8"/>
              <w:spacing w:before="12" w:after="14"/>
              <w:jc w:val="center"/>
              <w:rPr>
                <w:rFonts w:ascii="Times New Roman" w:hAnsi="Times New Roman" w:eastAsia="宋体" w:cs="Courier New"/>
                <w:b w:val="0"/>
                <w:bCs w:val="0"/>
                <w:color w:val="auto"/>
                <w:sz w:val="24"/>
                <w:szCs w:val="24"/>
                <w:highlight w:val="none"/>
              </w:rPr>
            </w:pPr>
            <w:r>
              <w:rPr>
                <w:rFonts w:hint="eastAsia" w:ascii="Times New Roman" w:hAnsi="Times New Roman" w:eastAsia="宋体" w:cs="Courier New"/>
                <w:b w:val="0"/>
                <w:bCs w:val="0"/>
                <w:color w:val="auto"/>
                <w:sz w:val="24"/>
                <w:szCs w:val="24"/>
                <w:highlight w:val="none"/>
              </w:rPr>
              <w:t>名称</w:t>
            </w:r>
          </w:p>
        </w:tc>
        <w:tc>
          <w:tcPr>
            <w:tcW w:w="1578" w:type="dxa"/>
            <w:vAlign w:val="center"/>
          </w:tcPr>
          <w:p w14:paraId="3384A55F">
            <w:pPr>
              <w:pStyle w:val="8"/>
              <w:spacing w:before="12" w:after="14"/>
              <w:jc w:val="center"/>
              <w:rPr>
                <w:rFonts w:ascii="Times New Roman" w:hAnsi="Times New Roman" w:eastAsia="宋体" w:cs="Courier New"/>
                <w:b w:val="0"/>
                <w:bCs w:val="0"/>
                <w:color w:val="auto"/>
                <w:sz w:val="24"/>
                <w:szCs w:val="24"/>
                <w:highlight w:val="none"/>
              </w:rPr>
            </w:pPr>
            <w:r>
              <w:rPr>
                <w:rFonts w:hint="eastAsia" w:ascii="Times New Roman" w:hAnsi="Times New Roman" w:eastAsia="宋体" w:cs="Courier New"/>
                <w:b w:val="0"/>
                <w:bCs w:val="0"/>
                <w:color w:val="auto"/>
                <w:sz w:val="24"/>
                <w:szCs w:val="24"/>
                <w:highlight w:val="none"/>
              </w:rPr>
              <w:t>单位</w:t>
            </w:r>
          </w:p>
        </w:tc>
        <w:tc>
          <w:tcPr>
            <w:tcW w:w="963" w:type="dxa"/>
            <w:vAlign w:val="center"/>
          </w:tcPr>
          <w:p w14:paraId="78D0E565">
            <w:pPr>
              <w:pStyle w:val="8"/>
              <w:spacing w:before="12" w:after="14"/>
              <w:jc w:val="center"/>
              <w:rPr>
                <w:rFonts w:ascii="Times New Roman" w:hAnsi="Times New Roman" w:eastAsia="宋体" w:cs="Courier New"/>
                <w:b w:val="0"/>
                <w:bCs w:val="0"/>
                <w:color w:val="auto"/>
                <w:sz w:val="24"/>
                <w:szCs w:val="24"/>
                <w:highlight w:val="none"/>
              </w:rPr>
            </w:pPr>
            <w:r>
              <w:rPr>
                <w:rFonts w:hint="eastAsia" w:ascii="Times New Roman" w:hAnsi="Times New Roman" w:eastAsia="宋体" w:cs="Courier New"/>
                <w:b w:val="0"/>
                <w:bCs w:val="0"/>
                <w:color w:val="auto"/>
                <w:sz w:val="24"/>
                <w:szCs w:val="24"/>
                <w:highlight w:val="none"/>
              </w:rPr>
              <w:t>数量</w:t>
            </w:r>
          </w:p>
        </w:tc>
        <w:tc>
          <w:tcPr>
            <w:tcW w:w="1350" w:type="dxa"/>
            <w:vAlign w:val="center"/>
          </w:tcPr>
          <w:p w14:paraId="5EC72FC6">
            <w:pPr>
              <w:pStyle w:val="8"/>
              <w:spacing w:before="12" w:after="14"/>
              <w:jc w:val="center"/>
              <w:rPr>
                <w:rFonts w:hint="eastAsia" w:ascii="Times New Roman" w:hAnsi="Times New Roman" w:eastAsia="宋体" w:cs="Courier New"/>
                <w:b w:val="0"/>
                <w:bCs w:val="0"/>
                <w:color w:val="auto"/>
                <w:sz w:val="24"/>
                <w:szCs w:val="24"/>
                <w:highlight w:val="none"/>
                <w:lang w:eastAsia="zh-CN"/>
              </w:rPr>
            </w:pPr>
            <w:r>
              <w:rPr>
                <w:rFonts w:hint="eastAsia" w:ascii="Times New Roman" w:hAnsi="Times New Roman" w:eastAsia="宋体" w:cs="Courier New"/>
                <w:b w:val="0"/>
                <w:bCs w:val="0"/>
                <w:color w:val="auto"/>
                <w:sz w:val="24"/>
                <w:szCs w:val="24"/>
                <w:highlight w:val="none"/>
                <w:lang w:eastAsia="zh-CN"/>
              </w:rPr>
              <w:t>最高限价单价（元）</w:t>
            </w:r>
          </w:p>
        </w:tc>
      </w:tr>
      <w:tr w14:paraId="61AF3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7" w:type="dxa"/>
            <w:vAlign w:val="center"/>
          </w:tcPr>
          <w:p w14:paraId="249F318E">
            <w:pPr>
              <w:spacing w:before="120" w:after="120" w:line="0" w:lineRule="atLeast"/>
              <w:jc w:val="center"/>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1</w:t>
            </w:r>
          </w:p>
        </w:tc>
        <w:tc>
          <w:tcPr>
            <w:tcW w:w="4175" w:type="dxa"/>
            <w:vAlign w:val="center"/>
          </w:tcPr>
          <w:p w14:paraId="6D07D96E">
            <w:pPr>
              <w:spacing w:before="120" w:after="120" w:line="0" w:lineRule="atLeast"/>
              <w:ind w:firstLine="720"/>
              <w:jc w:val="both"/>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昆虫性诱智能测报设备</w:t>
            </w:r>
          </w:p>
        </w:tc>
        <w:tc>
          <w:tcPr>
            <w:tcW w:w="1578" w:type="dxa"/>
          </w:tcPr>
          <w:p w14:paraId="20C39DF9">
            <w:pPr>
              <w:spacing w:before="120" w:after="120" w:line="0" w:lineRule="atLeast"/>
              <w:ind w:firstLine="720"/>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台</w:t>
            </w:r>
          </w:p>
        </w:tc>
        <w:tc>
          <w:tcPr>
            <w:tcW w:w="963" w:type="dxa"/>
            <w:vAlign w:val="center"/>
          </w:tcPr>
          <w:p w14:paraId="6B973BE8">
            <w:pPr>
              <w:spacing w:before="120" w:after="120" w:line="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1350" w:type="dxa"/>
            <w:vAlign w:val="center"/>
          </w:tcPr>
          <w:p w14:paraId="1F613844">
            <w:pPr>
              <w:spacing w:before="120" w:after="120" w:line="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45000</w:t>
            </w:r>
          </w:p>
        </w:tc>
      </w:tr>
      <w:tr w14:paraId="41C07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1187" w:type="dxa"/>
            <w:vAlign w:val="center"/>
          </w:tcPr>
          <w:p w14:paraId="1E8CAE16">
            <w:pPr>
              <w:spacing w:before="120" w:after="120" w:line="0" w:lineRule="atLeast"/>
              <w:jc w:val="center"/>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2</w:t>
            </w:r>
          </w:p>
        </w:tc>
        <w:tc>
          <w:tcPr>
            <w:tcW w:w="4175" w:type="dxa"/>
            <w:vAlign w:val="center"/>
          </w:tcPr>
          <w:p w14:paraId="4A09E78B">
            <w:pPr>
              <w:spacing w:before="120" w:after="120" w:line="0" w:lineRule="atLeast"/>
              <w:ind w:firstLine="720"/>
              <w:jc w:val="both"/>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智能虫情测报灯</w:t>
            </w:r>
          </w:p>
        </w:tc>
        <w:tc>
          <w:tcPr>
            <w:tcW w:w="1578" w:type="dxa"/>
          </w:tcPr>
          <w:p w14:paraId="00172DED">
            <w:pPr>
              <w:spacing w:before="120" w:after="120" w:line="0" w:lineRule="atLeast"/>
              <w:ind w:firstLine="720"/>
              <w:rPr>
                <w:rFonts w:ascii="Times New Roman" w:hAnsi="Times New Roman" w:cs="Courier New"/>
                <w:color w:val="auto"/>
                <w:sz w:val="24"/>
                <w:szCs w:val="24"/>
                <w:highlight w:val="none"/>
                <w:lang w:val="zh-CN"/>
              </w:rPr>
            </w:pPr>
            <w:r>
              <w:rPr>
                <w:rFonts w:hint="eastAsia" w:ascii="Times New Roman" w:hAnsi="Times New Roman" w:cs="Courier New"/>
                <w:color w:val="auto"/>
                <w:sz w:val="24"/>
                <w:szCs w:val="24"/>
                <w:highlight w:val="none"/>
              </w:rPr>
              <w:t>台</w:t>
            </w:r>
          </w:p>
        </w:tc>
        <w:tc>
          <w:tcPr>
            <w:tcW w:w="963" w:type="dxa"/>
            <w:vAlign w:val="center"/>
          </w:tcPr>
          <w:p w14:paraId="366DC2FC">
            <w:pPr>
              <w:spacing w:before="120" w:after="120" w:line="0" w:lineRule="atLeast"/>
              <w:jc w:val="center"/>
              <w:rPr>
                <w:rFonts w:ascii="宋体" w:hAnsi="宋体" w:cs="宋体"/>
                <w:color w:val="auto"/>
                <w:sz w:val="24"/>
                <w:szCs w:val="24"/>
                <w:highlight w:val="none"/>
                <w:lang w:val="zh-CN"/>
              </w:rPr>
            </w:pPr>
            <w:r>
              <w:rPr>
                <w:rFonts w:hint="eastAsia" w:ascii="宋体" w:hAnsi="宋体" w:cs="宋体"/>
                <w:color w:val="auto"/>
                <w:sz w:val="24"/>
                <w:szCs w:val="24"/>
                <w:highlight w:val="none"/>
              </w:rPr>
              <w:t>3</w:t>
            </w:r>
          </w:p>
        </w:tc>
        <w:tc>
          <w:tcPr>
            <w:tcW w:w="1350" w:type="dxa"/>
            <w:vAlign w:val="center"/>
          </w:tcPr>
          <w:p w14:paraId="1947DE44">
            <w:pPr>
              <w:spacing w:before="120" w:after="120" w:line="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160000</w:t>
            </w:r>
          </w:p>
        </w:tc>
      </w:tr>
      <w:tr w14:paraId="3FEFC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7" w:type="dxa"/>
            <w:vAlign w:val="center"/>
          </w:tcPr>
          <w:p w14:paraId="27A5A12F">
            <w:pPr>
              <w:spacing w:before="120" w:after="120" w:line="0" w:lineRule="atLeast"/>
              <w:jc w:val="center"/>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3</w:t>
            </w:r>
          </w:p>
        </w:tc>
        <w:tc>
          <w:tcPr>
            <w:tcW w:w="4175" w:type="dxa"/>
            <w:vAlign w:val="center"/>
          </w:tcPr>
          <w:p w14:paraId="05E0BFBA">
            <w:pPr>
              <w:spacing w:before="120" w:after="120" w:line="0" w:lineRule="atLeast"/>
              <w:ind w:firstLine="720"/>
              <w:jc w:val="both"/>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小虫体智能虫情测报灯</w:t>
            </w:r>
          </w:p>
        </w:tc>
        <w:tc>
          <w:tcPr>
            <w:tcW w:w="1578" w:type="dxa"/>
          </w:tcPr>
          <w:p w14:paraId="7A319A80">
            <w:pPr>
              <w:spacing w:before="120" w:after="120" w:line="0" w:lineRule="atLeast"/>
              <w:ind w:firstLine="720"/>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台</w:t>
            </w:r>
          </w:p>
        </w:tc>
        <w:tc>
          <w:tcPr>
            <w:tcW w:w="963" w:type="dxa"/>
            <w:vAlign w:val="center"/>
          </w:tcPr>
          <w:p w14:paraId="46195B7C">
            <w:pPr>
              <w:spacing w:before="120" w:after="120" w:line="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３</w:t>
            </w:r>
          </w:p>
        </w:tc>
        <w:tc>
          <w:tcPr>
            <w:tcW w:w="1350" w:type="dxa"/>
            <w:vAlign w:val="center"/>
          </w:tcPr>
          <w:p w14:paraId="54C48BD8">
            <w:pPr>
              <w:spacing w:before="120" w:after="120" w:line="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78000</w:t>
            </w:r>
          </w:p>
        </w:tc>
      </w:tr>
      <w:tr w14:paraId="6C428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7" w:type="dxa"/>
            <w:shd w:val="clear" w:color="auto" w:fill="auto"/>
            <w:vAlign w:val="center"/>
          </w:tcPr>
          <w:p w14:paraId="76929F3B">
            <w:pPr>
              <w:spacing w:before="120" w:after="120" w:line="0" w:lineRule="atLeast"/>
              <w:jc w:val="center"/>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4</w:t>
            </w:r>
          </w:p>
        </w:tc>
        <w:tc>
          <w:tcPr>
            <w:tcW w:w="4175" w:type="dxa"/>
            <w:vAlign w:val="center"/>
          </w:tcPr>
          <w:p w14:paraId="7D9227E6">
            <w:pPr>
              <w:spacing w:before="120" w:after="120" w:line="0" w:lineRule="atLeast"/>
              <w:ind w:firstLine="720"/>
              <w:jc w:val="both"/>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小麦赤霉病监测预警设备</w:t>
            </w:r>
          </w:p>
        </w:tc>
        <w:tc>
          <w:tcPr>
            <w:tcW w:w="1578" w:type="dxa"/>
          </w:tcPr>
          <w:p w14:paraId="210CCC95">
            <w:pPr>
              <w:spacing w:before="120" w:after="120" w:line="0" w:lineRule="atLeast"/>
              <w:ind w:firstLine="720"/>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台</w:t>
            </w:r>
          </w:p>
        </w:tc>
        <w:tc>
          <w:tcPr>
            <w:tcW w:w="963" w:type="dxa"/>
            <w:vAlign w:val="center"/>
          </w:tcPr>
          <w:p w14:paraId="4ACE5A2D">
            <w:pPr>
              <w:spacing w:before="120" w:after="120" w:line="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1350" w:type="dxa"/>
            <w:vAlign w:val="center"/>
          </w:tcPr>
          <w:p w14:paraId="5125751D">
            <w:pPr>
              <w:spacing w:before="120" w:after="120" w:line="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80000</w:t>
            </w:r>
          </w:p>
        </w:tc>
      </w:tr>
      <w:tr w14:paraId="745B2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trPr>
        <w:tc>
          <w:tcPr>
            <w:tcW w:w="1187" w:type="dxa"/>
            <w:shd w:val="clear" w:color="auto" w:fill="auto"/>
            <w:vAlign w:val="center"/>
          </w:tcPr>
          <w:p w14:paraId="3C5DD4E9">
            <w:pPr>
              <w:spacing w:before="120" w:after="120" w:line="0" w:lineRule="atLeast"/>
              <w:jc w:val="center"/>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5</w:t>
            </w:r>
          </w:p>
        </w:tc>
        <w:tc>
          <w:tcPr>
            <w:tcW w:w="4175" w:type="dxa"/>
            <w:vAlign w:val="center"/>
          </w:tcPr>
          <w:p w14:paraId="2C613DD6">
            <w:pPr>
              <w:spacing w:before="120" w:after="120" w:line="0" w:lineRule="atLeast"/>
              <w:ind w:firstLine="720"/>
              <w:jc w:val="both"/>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土壤墒情监测设备（带气象站一体式）</w:t>
            </w:r>
          </w:p>
        </w:tc>
        <w:tc>
          <w:tcPr>
            <w:tcW w:w="1578" w:type="dxa"/>
          </w:tcPr>
          <w:p w14:paraId="0767259F">
            <w:pPr>
              <w:spacing w:before="120" w:after="120" w:line="0" w:lineRule="atLeast"/>
              <w:ind w:firstLine="720"/>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台</w:t>
            </w:r>
          </w:p>
        </w:tc>
        <w:tc>
          <w:tcPr>
            <w:tcW w:w="963" w:type="dxa"/>
            <w:vAlign w:val="center"/>
          </w:tcPr>
          <w:p w14:paraId="2AE85F63">
            <w:pPr>
              <w:spacing w:before="120" w:after="120" w:line="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３</w:t>
            </w:r>
          </w:p>
        </w:tc>
        <w:tc>
          <w:tcPr>
            <w:tcW w:w="1350" w:type="dxa"/>
            <w:vAlign w:val="center"/>
          </w:tcPr>
          <w:p w14:paraId="12539848">
            <w:pPr>
              <w:spacing w:before="120" w:after="120" w:line="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45000</w:t>
            </w:r>
          </w:p>
        </w:tc>
      </w:tr>
      <w:tr w14:paraId="5D36E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7" w:type="dxa"/>
            <w:shd w:val="clear" w:color="auto" w:fill="auto"/>
            <w:vAlign w:val="center"/>
          </w:tcPr>
          <w:p w14:paraId="78BE1E47">
            <w:pPr>
              <w:spacing w:before="120" w:after="120" w:line="0" w:lineRule="atLeast"/>
              <w:jc w:val="center"/>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6</w:t>
            </w:r>
          </w:p>
        </w:tc>
        <w:tc>
          <w:tcPr>
            <w:tcW w:w="4175" w:type="dxa"/>
            <w:vAlign w:val="center"/>
          </w:tcPr>
          <w:p w14:paraId="16FE5E53">
            <w:pPr>
              <w:spacing w:before="120" w:after="120" w:line="0" w:lineRule="atLeast"/>
              <w:ind w:firstLine="720"/>
              <w:jc w:val="both"/>
              <w:rPr>
                <w:rFonts w:hint="eastAsia" w:ascii="Times New Roman" w:hAnsi="Times New Roman" w:eastAsia="宋体" w:cs="Courier New"/>
                <w:color w:val="auto"/>
                <w:sz w:val="24"/>
                <w:szCs w:val="24"/>
                <w:highlight w:val="none"/>
                <w:lang w:eastAsia="zh-CN"/>
              </w:rPr>
            </w:pPr>
            <w:r>
              <w:rPr>
                <w:rFonts w:hint="eastAsia" w:ascii="Times New Roman" w:hAnsi="Times New Roman" w:cs="Courier New"/>
                <w:color w:val="auto"/>
                <w:sz w:val="24"/>
                <w:szCs w:val="24"/>
                <w:highlight w:val="none"/>
              </w:rPr>
              <w:t>高空鹰眼监控</w:t>
            </w:r>
            <w:r>
              <w:rPr>
                <w:rFonts w:hint="eastAsia" w:ascii="Times New Roman" w:hAnsi="Times New Roman" w:cs="Courier New"/>
                <w:color w:val="auto"/>
                <w:sz w:val="24"/>
                <w:szCs w:val="24"/>
                <w:highlight w:val="none"/>
                <w:lang w:eastAsia="zh-CN"/>
              </w:rPr>
              <w:t>（含录像机、硬盘）</w:t>
            </w:r>
          </w:p>
        </w:tc>
        <w:tc>
          <w:tcPr>
            <w:tcW w:w="1578" w:type="dxa"/>
          </w:tcPr>
          <w:p w14:paraId="58CC5A46">
            <w:pPr>
              <w:spacing w:before="120" w:after="120" w:line="0" w:lineRule="atLeast"/>
              <w:ind w:firstLine="720"/>
              <w:rPr>
                <w:rFonts w:hint="eastAsia" w:ascii="Times New Roman" w:hAnsi="Times New Roman" w:eastAsia="宋体" w:cs="Courier New"/>
                <w:color w:val="auto"/>
                <w:sz w:val="24"/>
                <w:szCs w:val="24"/>
                <w:highlight w:val="none"/>
                <w:lang w:eastAsia="zh-CN"/>
              </w:rPr>
            </w:pPr>
            <w:r>
              <w:rPr>
                <w:rFonts w:hint="eastAsia" w:ascii="Times New Roman" w:hAnsi="Times New Roman" w:cs="Courier New"/>
                <w:color w:val="auto"/>
                <w:sz w:val="24"/>
                <w:szCs w:val="24"/>
                <w:highlight w:val="none"/>
                <w:lang w:eastAsia="zh-CN"/>
              </w:rPr>
              <w:t>套</w:t>
            </w:r>
          </w:p>
        </w:tc>
        <w:tc>
          <w:tcPr>
            <w:tcW w:w="963" w:type="dxa"/>
            <w:vAlign w:val="center"/>
          </w:tcPr>
          <w:p w14:paraId="2B6138B6">
            <w:pPr>
              <w:spacing w:before="120" w:after="120" w:line="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３</w:t>
            </w:r>
          </w:p>
        </w:tc>
        <w:tc>
          <w:tcPr>
            <w:tcW w:w="1350" w:type="dxa"/>
            <w:vAlign w:val="center"/>
          </w:tcPr>
          <w:p w14:paraId="6188C914">
            <w:pPr>
              <w:spacing w:before="120" w:after="120" w:line="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45000</w:t>
            </w:r>
          </w:p>
        </w:tc>
      </w:tr>
      <w:tr w14:paraId="6FEA5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7" w:type="dxa"/>
            <w:shd w:val="clear" w:color="auto" w:fill="auto"/>
            <w:vAlign w:val="center"/>
          </w:tcPr>
          <w:p w14:paraId="6D9E8E32">
            <w:pPr>
              <w:spacing w:before="120" w:after="120" w:line="0" w:lineRule="atLeast"/>
              <w:jc w:val="center"/>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7</w:t>
            </w:r>
          </w:p>
        </w:tc>
        <w:tc>
          <w:tcPr>
            <w:tcW w:w="4175" w:type="dxa"/>
            <w:vAlign w:val="center"/>
          </w:tcPr>
          <w:p w14:paraId="630DFD54">
            <w:pPr>
              <w:spacing w:before="120" w:after="120" w:line="0" w:lineRule="atLeast"/>
              <w:ind w:firstLine="720"/>
              <w:jc w:val="both"/>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巡田无人机及机库</w:t>
            </w:r>
          </w:p>
        </w:tc>
        <w:tc>
          <w:tcPr>
            <w:tcW w:w="1578" w:type="dxa"/>
          </w:tcPr>
          <w:p w14:paraId="27A748B8">
            <w:pPr>
              <w:spacing w:before="120" w:after="120" w:line="0" w:lineRule="atLeast"/>
              <w:ind w:firstLine="720"/>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套</w:t>
            </w:r>
          </w:p>
        </w:tc>
        <w:tc>
          <w:tcPr>
            <w:tcW w:w="963" w:type="dxa"/>
            <w:vAlign w:val="center"/>
          </w:tcPr>
          <w:p w14:paraId="0201BA8F">
            <w:pPr>
              <w:spacing w:before="120" w:after="120" w:line="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1350" w:type="dxa"/>
            <w:vAlign w:val="center"/>
          </w:tcPr>
          <w:p w14:paraId="41344873">
            <w:pPr>
              <w:spacing w:before="120" w:after="120" w:line="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180000</w:t>
            </w:r>
          </w:p>
        </w:tc>
      </w:tr>
      <w:tr w14:paraId="19D6B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7" w:type="dxa"/>
            <w:vAlign w:val="center"/>
          </w:tcPr>
          <w:p w14:paraId="7F9721AD">
            <w:pPr>
              <w:spacing w:before="120" w:after="120" w:line="0" w:lineRule="atLeast"/>
              <w:jc w:val="center"/>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8</w:t>
            </w:r>
          </w:p>
        </w:tc>
        <w:tc>
          <w:tcPr>
            <w:tcW w:w="4175" w:type="dxa"/>
            <w:vAlign w:val="center"/>
          </w:tcPr>
          <w:p w14:paraId="1A895119">
            <w:pPr>
              <w:spacing w:before="120" w:after="120" w:line="0" w:lineRule="atLeast"/>
              <w:ind w:firstLine="720"/>
              <w:jc w:val="both"/>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仪器操作平台</w:t>
            </w:r>
          </w:p>
        </w:tc>
        <w:tc>
          <w:tcPr>
            <w:tcW w:w="1578" w:type="dxa"/>
          </w:tcPr>
          <w:p w14:paraId="47EB7D65">
            <w:pPr>
              <w:spacing w:before="120" w:after="120" w:line="0" w:lineRule="atLeast"/>
              <w:ind w:firstLine="720"/>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个</w:t>
            </w:r>
          </w:p>
        </w:tc>
        <w:tc>
          <w:tcPr>
            <w:tcW w:w="963" w:type="dxa"/>
            <w:vAlign w:val="center"/>
          </w:tcPr>
          <w:p w14:paraId="1CB74D00">
            <w:pPr>
              <w:spacing w:before="120" w:after="120" w:line="0" w:lineRule="atLeast"/>
              <w:jc w:val="center"/>
              <w:rPr>
                <w:rFonts w:ascii="宋体" w:hAnsi="宋体" w:cs="宋体"/>
                <w:color w:val="auto"/>
                <w:sz w:val="24"/>
                <w:szCs w:val="24"/>
                <w:highlight w:val="none"/>
              </w:rPr>
            </w:pPr>
            <w:r>
              <w:rPr>
                <w:rFonts w:hint="eastAsia" w:ascii="宋体" w:hAnsi="宋体" w:cs="宋体"/>
                <w:color w:val="auto"/>
                <w:sz w:val="24"/>
                <w:szCs w:val="24"/>
                <w:highlight w:val="none"/>
              </w:rPr>
              <w:t>３</w:t>
            </w:r>
          </w:p>
        </w:tc>
        <w:tc>
          <w:tcPr>
            <w:tcW w:w="1350" w:type="dxa"/>
            <w:vAlign w:val="center"/>
          </w:tcPr>
          <w:p w14:paraId="1825C563">
            <w:pPr>
              <w:spacing w:before="120" w:after="120" w:line="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45000</w:t>
            </w:r>
          </w:p>
        </w:tc>
      </w:tr>
    </w:tbl>
    <w:p w14:paraId="013508CF">
      <w:pPr>
        <w:pBdr>
          <w:top w:val="none" w:color="000000" w:sz="0" w:space="0"/>
          <w:left w:val="none" w:color="000000" w:sz="0" w:space="0"/>
          <w:bottom w:val="none" w:color="000000" w:sz="0" w:space="0"/>
          <w:right w:val="none" w:color="000000" w:sz="0" w:space="0"/>
        </w:pBdr>
        <w:spacing w:before="240" w:after="240" w:line="400" w:lineRule="exact"/>
        <w:jc w:val="left"/>
        <w:rPr>
          <w:rFonts w:hint="eastAsia" w:ascii="宋体" w:hAnsi="宋体" w:eastAsia="宋体" w:cs="宋体"/>
          <w:b/>
          <w:color w:val="auto"/>
          <w:sz w:val="24"/>
          <w:szCs w:val="24"/>
          <w:highlight w:val="none"/>
        </w:rPr>
      </w:pPr>
    </w:p>
    <w:p w14:paraId="4FCAD1E7">
      <w:pPr>
        <w:pBdr>
          <w:top w:val="none" w:color="000000" w:sz="0" w:space="0"/>
          <w:left w:val="none" w:color="000000" w:sz="0" w:space="0"/>
          <w:bottom w:val="none" w:color="000000" w:sz="0" w:space="0"/>
          <w:right w:val="none" w:color="000000" w:sz="0" w:space="0"/>
        </w:pBdr>
        <w:spacing w:before="240" w:after="240" w:line="400" w:lineRule="exact"/>
        <w:ind w:firstLine="482" w:firstLineChars="200"/>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（二）预算金额：</w:t>
      </w:r>
      <w:r>
        <w:rPr>
          <w:rFonts w:hint="eastAsia" w:ascii="宋体" w:hAnsi="宋体" w:eastAsia="宋体" w:cs="宋体"/>
          <w:color w:val="auto"/>
          <w:sz w:val="24"/>
          <w:szCs w:val="24"/>
          <w:highlight w:val="none"/>
        </w:rPr>
        <w:t>207.9万元。</w:t>
      </w:r>
    </w:p>
    <w:p w14:paraId="2933A7BE">
      <w:pPr>
        <w:pBdr>
          <w:top w:val="none" w:color="000000" w:sz="0" w:space="0"/>
          <w:left w:val="none" w:color="000000" w:sz="0" w:space="0"/>
          <w:bottom w:val="none" w:color="000000" w:sz="0" w:space="0"/>
          <w:right w:val="none" w:color="000000" w:sz="0" w:space="0"/>
        </w:pBdr>
        <w:spacing w:before="240" w:after="240" w:line="400" w:lineRule="exact"/>
        <w:ind w:firstLine="47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（三）款项的支付方式及进度安排：</w:t>
      </w:r>
    </w:p>
    <w:p w14:paraId="65B4988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项目验收合格后，支付至合同总金额70％；验收合格满一年（项目正常运行，符合维保要求），支付至合同总价的</w:t>
      </w:r>
      <w:r>
        <w:rPr>
          <w:rFonts w:hint="eastAsia" w:ascii="宋体" w:hAnsi="宋体" w:cs="宋体"/>
          <w:color w:val="auto"/>
          <w:sz w:val="24"/>
          <w:szCs w:val="24"/>
          <w:highlight w:val="none"/>
          <w:lang w:val="en-US" w:eastAsia="zh-CN"/>
        </w:rPr>
        <w:t>75</w:t>
      </w:r>
      <w:r>
        <w:rPr>
          <w:rFonts w:hint="eastAsia" w:ascii="宋体" w:hAnsi="宋体" w:cs="宋体"/>
          <w:color w:val="auto"/>
          <w:sz w:val="24"/>
          <w:szCs w:val="24"/>
          <w:highlight w:val="none"/>
          <w:lang w:val="zh-CN"/>
        </w:rPr>
        <w:t>％；验收合格满两年（项目正常运行，符合维保要求），支付至合同总价</w:t>
      </w:r>
      <w:r>
        <w:rPr>
          <w:rFonts w:hint="eastAsia" w:ascii="宋体" w:hAnsi="宋体" w:cs="宋体"/>
          <w:color w:val="auto"/>
          <w:sz w:val="24"/>
          <w:szCs w:val="24"/>
          <w:highlight w:val="none"/>
          <w:lang w:val="en-US" w:eastAsia="zh-CN"/>
        </w:rPr>
        <w:t>80</w:t>
      </w:r>
      <w:r>
        <w:rPr>
          <w:rFonts w:hint="eastAsia" w:ascii="宋体" w:hAnsi="宋体" w:cs="宋体"/>
          <w:color w:val="auto"/>
          <w:sz w:val="24"/>
          <w:szCs w:val="24"/>
          <w:highlight w:val="none"/>
          <w:lang w:val="zh-CN"/>
        </w:rPr>
        <w:t>％；验收合格满三年（项目正常运行，符合维保要求），支付至合同总价的</w:t>
      </w:r>
      <w:r>
        <w:rPr>
          <w:rFonts w:hint="eastAsia" w:ascii="宋体" w:hAnsi="宋体" w:cs="宋体"/>
          <w:color w:val="auto"/>
          <w:sz w:val="24"/>
          <w:szCs w:val="24"/>
          <w:highlight w:val="none"/>
          <w:lang w:val="en-US" w:eastAsia="zh-CN"/>
        </w:rPr>
        <w:t>85</w:t>
      </w:r>
      <w:r>
        <w:rPr>
          <w:rFonts w:hint="eastAsia" w:ascii="宋体" w:hAnsi="宋体" w:cs="宋体"/>
          <w:color w:val="auto"/>
          <w:sz w:val="24"/>
          <w:szCs w:val="24"/>
          <w:highlight w:val="none"/>
          <w:lang w:val="zh-CN"/>
        </w:rPr>
        <w:t>％；验收合格满四年（项目正常运行，符合维保要求），支付至合同总价的</w:t>
      </w:r>
      <w:r>
        <w:rPr>
          <w:rFonts w:hint="eastAsia" w:ascii="宋体" w:hAnsi="宋体" w:cs="宋体"/>
          <w:color w:val="auto"/>
          <w:sz w:val="24"/>
          <w:szCs w:val="24"/>
          <w:highlight w:val="none"/>
          <w:lang w:val="en-US" w:eastAsia="zh-CN"/>
        </w:rPr>
        <w:t>90</w:t>
      </w:r>
      <w:r>
        <w:rPr>
          <w:rFonts w:hint="eastAsia" w:ascii="宋体" w:hAnsi="宋体" w:cs="宋体"/>
          <w:color w:val="auto"/>
          <w:sz w:val="24"/>
          <w:szCs w:val="24"/>
          <w:highlight w:val="none"/>
          <w:lang w:val="zh-CN"/>
        </w:rPr>
        <w:t>％；五年运维服务期满（项目正常运行，符合维保要求），支付剩余</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lang w:val="zh-CN"/>
        </w:rPr>
        <w:t>％合同总价。</w:t>
      </w:r>
    </w:p>
    <w:p w14:paraId="74A29DE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资金支付的</w:t>
      </w:r>
      <w:r>
        <w:rPr>
          <w:rFonts w:hint="eastAsia" w:ascii="宋体" w:hAnsi="宋体" w:cs="宋体"/>
          <w:color w:val="auto"/>
          <w:sz w:val="24"/>
          <w:szCs w:val="24"/>
          <w:highlight w:val="none"/>
        </w:rPr>
        <w:t>时间</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收到供应商发票10个工作日内</w:t>
      </w:r>
      <w:r>
        <w:rPr>
          <w:rFonts w:hint="eastAsia" w:ascii="宋体" w:hAnsi="宋体" w:cs="宋体"/>
          <w:color w:val="auto"/>
          <w:sz w:val="24"/>
          <w:szCs w:val="24"/>
          <w:highlight w:val="none"/>
          <w:lang w:val="zh-CN"/>
        </w:rPr>
        <w:t>；</w:t>
      </w:r>
    </w:p>
    <w:p w14:paraId="5CF9083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资金支付</w:t>
      </w:r>
      <w:r>
        <w:rPr>
          <w:rFonts w:hint="eastAsia" w:ascii="宋体" w:hAnsi="宋体" w:cs="宋体"/>
          <w:color w:val="auto"/>
          <w:sz w:val="24"/>
          <w:szCs w:val="24"/>
          <w:highlight w:val="none"/>
        </w:rPr>
        <w:t>的条件：满足相应阶段的要求且收到供应商发票。</w:t>
      </w:r>
    </w:p>
    <w:p w14:paraId="7BE4EBA5">
      <w:pPr>
        <w:keepNext w:val="0"/>
        <w:keepLines w:val="0"/>
        <w:pageBreakBefore w:val="0"/>
        <w:widowControl w:val="0"/>
        <w:kinsoku/>
        <w:wordWrap/>
        <w:overflowPunct/>
        <w:topLinePunct w:val="0"/>
        <w:autoSpaceDE/>
        <w:autoSpaceDN/>
        <w:bidi w:val="0"/>
        <w:adjustRightInd/>
        <w:snapToGrid/>
        <w:spacing w:before="120" w:after="120" w:line="400" w:lineRule="exact"/>
        <w:ind w:firstLine="7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val="zh-CN"/>
        </w:rPr>
        <w:t>每期运维款项支付时，同步扣除当期产生的违约金。</w:t>
      </w:r>
      <w:r>
        <w:rPr>
          <w:rFonts w:hint="eastAsia" w:ascii="宋体" w:hAnsi="宋体" w:eastAsia="宋体" w:cs="宋体"/>
          <w:color w:val="auto"/>
          <w:sz w:val="24"/>
          <w:szCs w:val="24"/>
          <w:highlight w:val="none"/>
        </w:rPr>
        <w:t>采购人可采用数字人民币支付。</w:t>
      </w:r>
    </w:p>
    <w:p w14:paraId="6F4E868D">
      <w:pPr>
        <w:pBdr>
          <w:top w:val="none" w:color="000000" w:sz="0" w:space="0"/>
          <w:left w:val="none" w:color="000000" w:sz="0" w:space="0"/>
          <w:bottom w:val="none" w:color="000000" w:sz="0" w:space="0"/>
          <w:right w:val="none" w:color="000000" w:sz="0" w:space="0"/>
        </w:pBdr>
        <w:spacing w:line="40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（四）合同履行期限及交货地点</w:t>
      </w:r>
    </w:p>
    <w:p w14:paraId="65EEEB09">
      <w:pPr>
        <w:keepNext w:val="0"/>
        <w:keepLines w:val="0"/>
        <w:pageBreakBefore w:val="0"/>
        <w:widowControl w:val="0"/>
        <w:kinsoku/>
        <w:wordWrap/>
        <w:overflowPunct/>
        <w:topLinePunct w:val="0"/>
        <w:autoSpaceDE/>
        <w:autoSpaceDN/>
        <w:bidi w:val="0"/>
        <w:adjustRightInd/>
        <w:snapToGrid/>
        <w:spacing w:line="400" w:lineRule="exact"/>
        <w:ind w:firstLine="958"/>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1、合同履行期限：合同签订后30日历天内供货安装调试完毕并交付使用</w:t>
      </w:r>
    </w:p>
    <w:p w14:paraId="22F8F99A">
      <w:pPr>
        <w:keepNext w:val="0"/>
        <w:keepLines w:val="0"/>
        <w:pageBreakBefore w:val="0"/>
        <w:widowControl w:val="0"/>
        <w:kinsoku/>
        <w:wordWrap/>
        <w:overflowPunct/>
        <w:topLinePunct w:val="0"/>
        <w:autoSpaceDE/>
        <w:autoSpaceDN/>
        <w:bidi w:val="0"/>
        <w:adjustRightInd/>
        <w:snapToGrid/>
        <w:spacing w:line="400" w:lineRule="exact"/>
        <w:ind w:firstLine="958"/>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2、交货地点：采购人指定地点。</w:t>
      </w:r>
    </w:p>
    <w:p w14:paraId="02E77B25">
      <w:pPr>
        <w:keepNext w:val="0"/>
        <w:keepLines w:val="0"/>
        <w:pageBreakBefore w:val="0"/>
        <w:widowControl w:val="0"/>
        <w:kinsoku/>
        <w:wordWrap/>
        <w:overflowPunct/>
        <w:topLinePunct w:val="0"/>
        <w:autoSpaceDE/>
        <w:autoSpaceDN/>
        <w:bidi w:val="0"/>
        <w:adjustRightInd/>
        <w:snapToGrid/>
        <w:spacing w:line="400" w:lineRule="exact"/>
        <w:ind w:firstLine="958"/>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3、运维质保期：5年，自项目验收合格之日起。</w:t>
      </w:r>
    </w:p>
    <w:p w14:paraId="0CBA217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958"/>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4、本项目核心产品：昆虫性诱智能测报设备、</w:t>
      </w:r>
      <w:r>
        <w:rPr>
          <w:rFonts w:hint="eastAsia" w:ascii="宋体" w:hAnsi="宋体" w:eastAsia="宋体" w:cs="宋体"/>
          <w:color w:val="auto"/>
          <w:sz w:val="24"/>
          <w:szCs w:val="24"/>
          <w:highlight w:val="none"/>
        </w:rPr>
        <w:t>智能虫情测报灯</w:t>
      </w:r>
    </w:p>
    <w:p w14:paraId="2309465A">
      <w:pPr>
        <w:pBdr>
          <w:top w:val="none" w:color="000000" w:sz="0" w:space="0"/>
          <w:left w:val="none" w:color="000000" w:sz="0" w:space="0"/>
          <w:bottom w:val="none" w:color="000000" w:sz="0" w:space="0"/>
          <w:right w:val="none" w:color="000000" w:sz="0" w:space="0"/>
        </w:pBdr>
        <w:spacing w:line="400" w:lineRule="exact"/>
        <w:ind w:firstLine="482"/>
        <w:jc w:val="left"/>
        <w:rPr>
          <w:rFonts w:ascii="宋体" w:hAnsi="宋体" w:cs="宋体"/>
          <w:b/>
          <w:color w:val="auto"/>
          <w:sz w:val="28"/>
          <w:highlight w:val="none"/>
        </w:rPr>
      </w:pPr>
      <w:r>
        <w:rPr>
          <w:rFonts w:hint="eastAsia" w:ascii="宋体" w:hAnsi="宋体" w:cs="宋体"/>
          <w:b/>
          <w:color w:val="auto"/>
          <w:sz w:val="28"/>
          <w:highlight w:val="none"/>
        </w:rPr>
        <w:t>二、技术参数要求</w:t>
      </w:r>
    </w:p>
    <w:tbl>
      <w:tblPr>
        <w:tblStyle w:val="30"/>
        <w:tblpPr w:leftFromText="180" w:rightFromText="180" w:vertAnchor="text" w:horzAnchor="page" w:tblpXSpec="center" w:tblpY="101"/>
        <w:tblOverlap w:val="never"/>
        <w:tblW w:w="8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3"/>
        <w:gridCol w:w="1387"/>
        <w:gridCol w:w="7005"/>
      </w:tblGrid>
      <w:tr w14:paraId="281D8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603" w:type="dxa"/>
            <w:tcBorders>
              <w:top w:val="single" w:color="auto" w:sz="4" w:space="0"/>
              <w:left w:val="single" w:color="auto" w:sz="4" w:space="0"/>
              <w:bottom w:val="single" w:color="auto" w:sz="4" w:space="0"/>
              <w:right w:val="single" w:color="auto" w:sz="4" w:space="0"/>
            </w:tcBorders>
            <w:shd w:val="clear" w:color="auto" w:fill="auto"/>
            <w:vAlign w:val="center"/>
          </w:tcPr>
          <w:p w14:paraId="7CD9AE06">
            <w:pPr>
              <w:keepNext w:val="0"/>
              <w:keepLines w:val="0"/>
              <w:pageBreakBefore w:val="0"/>
              <w:widowControl/>
              <w:kinsoku/>
              <w:wordWrap/>
              <w:overflowPunct/>
              <w:topLinePunct w:val="0"/>
              <w:autoSpaceDE/>
              <w:autoSpaceDN/>
              <w:bidi w:val="0"/>
              <w:adjustRightInd/>
              <w:snapToGrid/>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序号</w:t>
            </w:r>
          </w:p>
        </w:tc>
        <w:tc>
          <w:tcPr>
            <w:tcW w:w="1387" w:type="dxa"/>
            <w:tcBorders>
              <w:top w:val="single" w:color="auto" w:sz="4" w:space="0"/>
              <w:left w:val="single" w:color="auto" w:sz="4" w:space="0"/>
              <w:bottom w:val="single" w:color="auto" w:sz="4" w:space="0"/>
              <w:right w:val="single" w:color="auto" w:sz="4" w:space="0"/>
            </w:tcBorders>
            <w:shd w:val="clear" w:color="auto" w:fill="auto"/>
            <w:vAlign w:val="center"/>
          </w:tcPr>
          <w:p w14:paraId="2BC18DA2">
            <w:pPr>
              <w:keepNext w:val="0"/>
              <w:keepLines w:val="0"/>
              <w:pageBreakBefore w:val="0"/>
              <w:widowControl/>
              <w:kinsoku/>
              <w:wordWrap/>
              <w:overflowPunct/>
              <w:topLinePunct w:val="0"/>
              <w:autoSpaceDE/>
              <w:autoSpaceDN/>
              <w:bidi w:val="0"/>
              <w:adjustRightInd/>
              <w:snapToGrid/>
              <w:spacing w:line="400" w:lineRule="exact"/>
              <w:jc w:val="center"/>
              <w:rPr>
                <w:rFonts w:ascii="宋体" w:hAnsi="宋体" w:cs="宋体"/>
                <w:b/>
                <w:color w:val="auto"/>
                <w:kern w:val="2"/>
                <w:sz w:val="24"/>
                <w:szCs w:val="24"/>
                <w:highlight w:val="none"/>
              </w:rPr>
            </w:pPr>
            <w:r>
              <w:rPr>
                <w:rFonts w:hint="eastAsia" w:ascii="宋体" w:hAnsi="宋体" w:cs="宋体"/>
                <w:b/>
                <w:color w:val="auto"/>
                <w:sz w:val="24"/>
                <w:szCs w:val="24"/>
                <w:highlight w:val="none"/>
              </w:rPr>
              <w:t>仪器名称</w:t>
            </w:r>
          </w:p>
        </w:tc>
        <w:tc>
          <w:tcPr>
            <w:tcW w:w="7005" w:type="dxa"/>
            <w:tcBorders>
              <w:top w:val="single" w:color="auto" w:sz="4" w:space="0"/>
              <w:left w:val="single" w:color="auto" w:sz="4" w:space="0"/>
              <w:bottom w:val="single" w:color="auto" w:sz="4" w:space="0"/>
              <w:right w:val="single" w:color="auto" w:sz="4" w:space="0"/>
            </w:tcBorders>
            <w:shd w:val="clear" w:color="auto" w:fill="auto"/>
            <w:vAlign w:val="center"/>
          </w:tcPr>
          <w:p w14:paraId="68758700">
            <w:pPr>
              <w:keepNext w:val="0"/>
              <w:keepLines w:val="0"/>
              <w:pageBreakBefore w:val="0"/>
              <w:kinsoku/>
              <w:wordWrap/>
              <w:overflowPunct/>
              <w:topLinePunct w:val="0"/>
              <w:autoSpaceDE/>
              <w:autoSpaceDN/>
              <w:bidi w:val="0"/>
              <w:adjustRightInd/>
              <w:snapToGrid/>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技术参数</w:t>
            </w:r>
          </w:p>
        </w:tc>
      </w:tr>
      <w:tr w14:paraId="6AA28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603" w:type="dxa"/>
            <w:tcBorders>
              <w:top w:val="single" w:color="auto" w:sz="4" w:space="0"/>
              <w:left w:val="single" w:color="auto" w:sz="4" w:space="0"/>
              <w:bottom w:val="single" w:color="auto" w:sz="4" w:space="0"/>
              <w:right w:val="single" w:color="auto" w:sz="4" w:space="0"/>
            </w:tcBorders>
            <w:shd w:val="clear" w:color="auto" w:fill="auto"/>
            <w:vAlign w:val="center"/>
          </w:tcPr>
          <w:p w14:paraId="308F26E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宋体" w:hAnsi="宋体" w:cs="宋体"/>
                <w:color w:val="auto"/>
                <w:kern w:val="2"/>
                <w:sz w:val="24"/>
                <w:szCs w:val="24"/>
                <w:highlight w:val="none"/>
              </w:rPr>
            </w:pPr>
            <w:r>
              <w:rPr>
                <w:rFonts w:hint="eastAsia" w:ascii="宋体" w:hAnsi="宋体" w:cs="宋体"/>
                <w:color w:val="auto"/>
                <w:sz w:val="24"/>
                <w:szCs w:val="24"/>
                <w:highlight w:val="none"/>
              </w:rPr>
              <w:t>1</w:t>
            </w:r>
          </w:p>
        </w:tc>
        <w:tc>
          <w:tcPr>
            <w:tcW w:w="1387" w:type="dxa"/>
            <w:tcBorders>
              <w:top w:val="single" w:color="auto" w:sz="4" w:space="0"/>
              <w:left w:val="single" w:color="auto" w:sz="4" w:space="0"/>
              <w:bottom w:val="single" w:color="auto" w:sz="4" w:space="0"/>
              <w:right w:val="single" w:color="auto" w:sz="4" w:space="0"/>
            </w:tcBorders>
            <w:shd w:val="clear" w:color="auto" w:fill="auto"/>
            <w:vAlign w:val="center"/>
          </w:tcPr>
          <w:p w14:paraId="1D3533B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宋体" w:hAnsi="宋体" w:cs="宋体"/>
                <w:color w:val="auto"/>
                <w:sz w:val="24"/>
                <w:szCs w:val="24"/>
                <w:highlight w:val="none"/>
              </w:rPr>
            </w:pPr>
            <w:r>
              <w:rPr>
                <w:rFonts w:hint="eastAsia" w:ascii="宋体" w:hAnsi="宋体" w:cs="宋体"/>
                <w:color w:val="auto"/>
                <w:sz w:val="24"/>
                <w:szCs w:val="24"/>
                <w:highlight w:val="none"/>
              </w:rPr>
              <w:t>昆虫性诱智能测报设备</w:t>
            </w:r>
          </w:p>
        </w:tc>
        <w:tc>
          <w:tcPr>
            <w:tcW w:w="7005" w:type="dxa"/>
            <w:tcBorders>
              <w:top w:val="single" w:color="auto" w:sz="4" w:space="0"/>
              <w:left w:val="single" w:color="auto" w:sz="4" w:space="0"/>
              <w:bottom w:val="single" w:color="auto" w:sz="4" w:space="0"/>
              <w:right w:val="single" w:color="auto" w:sz="4" w:space="0"/>
            </w:tcBorders>
            <w:shd w:val="clear" w:color="auto" w:fill="auto"/>
            <w:vAlign w:val="center"/>
          </w:tcPr>
          <w:p w14:paraId="2AFCD63D">
            <w:pPr>
              <w:keepNext w:val="0"/>
              <w:keepLines w:val="0"/>
              <w:pageBreakBefore w:val="0"/>
              <w:kinsoku/>
              <w:wordWrap/>
              <w:overflowPunct/>
              <w:topLinePunct w:val="0"/>
              <w:autoSpaceDE/>
              <w:autoSpaceDN/>
              <w:bidi w:val="0"/>
              <w:adjustRightInd/>
              <w:snapToGrid/>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▲1、设备符合《GB/T24689.1-2009植物保护机械 虫情测报灯》国家标准。（投标文件中需提供有资质的第三方检测机构出具的标有CMA或CNAS的检测报告原件扫描件）</w:t>
            </w:r>
          </w:p>
          <w:p w14:paraId="08D8004C">
            <w:pPr>
              <w:keepNext w:val="0"/>
              <w:keepLines w:val="0"/>
              <w:pageBreakBefore w:val="0"/>
              <w:kinsoku/>
              <w:wordWrap/>
              <w:overflowPunct/>
              <w:topLinePunct w:val="0"/>
              <w:autoSpaceDE/>
              <w:autoSpaceDN/>
              <w:bidi w:val="0"/>
              <w:adjustRightInd/>
              <w:snapToGrid/>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▲2、设备整体运行功率≤1W，待机功率≤0.5W。（投标文件中需提供有资质的第三方检测机构出具的标有CMA或CNAS的检测报告原件扫描件）</w:t>
            </w:r>
          </w:p>
          <w:p w14:paraId="1A9EEDD8">
            <w:pPr>
              <w:keepNext w:val="0"/>
              <w:keepLines w:val="0"/>
              <w:pageBreakBefore w:val="0"/>
              <w:kinsoku/>
              <w:wordWrap/>
              <w:overflowPunct/>
              <w:topLinePunct w:val="0"/>
              <w:autoSpaceDE/>
              <w:autoSpaceDN/>
              <w:bidi w:val="0"/>
              <w:adjustRightInd/>
              <w:snapToGrid/>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3、设备应能识别包括但不限于水稻二化螟、纵卷叶螟、玉米螟、大螟、斜纹夜蛾、甜菜夜蛾、草地贪夜蛾、东方粘虫、棉铃虫等主要害虫。设备实时监测数据可对接到电脑端数据分析平台和手机APP软件平台。</w:t>
            </w:r>
          </w:p>
          <w:p w14:paraId="30FF1573">
            <w:pPr>
              <w:keepNext w:val="0"/>
              <w:keepLines w:val="0"/>
              <w:pageBreakBefore w:val="0"/>
              <w:kinsoku/>
              <w:wordWrap/>
              <w:overflowPunct/>
              <w:topLinePunct w:val="0"/>
              <w:autoSpaceDE/>
              <w:autoSpaceDN/>
              <w:bidi w:val="0"/>
              <w:adjustRightInd/>
              <w:snapToGrid/>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4、害虫诱捕装置：诱捕器为PC材质，具有飞蛾防逃逸结构，结构为反向多漏斗飞蛾类诱捕器，整体横切面为梨形，纵切面似椅子形设计，增加靶标害虫诱捕量。</w:t>
            </w:r>
          </w:p>
          <w:p w14:paraId="4BF6B26E">
            <w:pPr>
              <w:keepNext w:val="0"/>
              <w:keepLines w:val="0"/>
              <w:pageBreakBefore w:val="0"/>
              <w:kinsoku/>
              <w:wordWrap/>
              <w:overflowPunct/>
              <w:topLinePunct w:val="0"/>
              <w:autoSpaceDE/>
              <w:autoSpaceDN/>
              <w:bidi w:val="0"/>
              <w:adjustRightInd/>
              <w:snapToGrid/>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5、电脑端数据分析平台具有数据统计、设备统计预览、设备分布、害虫预警设置、害虫监测、害虫趋势分析、多年同比分析等功能；能按害虫类别，地理区域筛选统计累计总数、平均数的趋势图和占比图。（投标文件中需提供所投产品软件平台应用截图）</w:t>
            </w:r>
          </w:p>
          <w:p w14:paraId="4977CD54">
            <w:pPr>
              <w:keepNext w:val="0"/>
              <w:keepLines w:val="0"/>
              <w:pageBreakBefore w:val="0"/>
              <w:kinsoku/>
              <w:wordWrap/>
              <w:overflowPunct/>
              <w:topLinePunct w:val="0"/>
              <w:autoSpaceDE/>
              <w:autoSpaceDN/>
              <w:bidi w:val="0"/>
              <w:adjustRightInd/>
              <w:snapToGrid/>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5.1、数据查询与分析：可查看、分析和统计各时间段的诱虫量；支持按地区、年份、害虫类别筛选和统计累计总数、平均数趋势图及占比图；基于地理信息的害虫发生预警地图，实时展示各地区害虫发生程度，支持颜色分级标识；支持手动导出下载E×CEL数据表格和PNG格式趋势图。（投标文件中需提供有资质的第三方检测机构出具的标有CMA或CNAS的检测报告原件扫描件）</w:t>
            </w:r>
          </w:p>
          <w:p w14:paraId="51BF32A4">
            <w:pPr>
              <w:keepNext w:val="0"/>
              <w:keepLines w:val="0"/>
              <w:pageBreakBefore w:val="0"/>
              <w:kinsoku/>
              <w:wordWrap/>
              <w:overflowPunct/>
              <w:topLinePunct w:val="0"/>
              <w:autoSpaceDE/>
              <w:autoSpaceDN/>
              <w:bidi w:val="0"/>
              <w:adjustRightInd/>
              <w:snapToGrid/>
              <w:spacing w:line="400" w:lineRule="exact"/>
              <w:rPr>
                <w:rFonts w:ascii="宋体" w:hAnsi="宋体" w:cs="宋体"/>
                <w:color w:val="auto"/>
                <w:kern w:val="2"/>
                <w:sz w:val="24"/>
                <w:szCs w:val="24"/>
                <w:highlight w:val="none"/>
              </w:rPr>
            </w:pPr>
            <w:r>
              <w:rPr>
                <w:rFonts w:hint="eastAsia" w:ascii="宋体" w:hAnsi="宋体" w:cs="宋体"/>
                <w:color w:val="auto"/>
                <w:kern w:val="2"/>
                <w:sz w:val="24"/>
                <w:szCs w:val="24"/>
                <w:highlight w:val="none"/>
              </w:rPr>
              <w:t>▲</w:t>
            </w:r>
            <w:r>
              <w:rPr>
                <w:rFonts w:hint="eastAsia" w:ascii="宋体" w:hAnsi="宋体" w:cs="宋体"/>
                <w:color w:val="auto"/>
                <w:sz w:val="24"/>
                <w:szCs w:val="24"/>
                <w:highlight w:val="none"/>
              </w:rPr>
              <w:t>5.2、</w:t>
            </w:r>
            <w:r>
              <w:rPr>
                <w:rFonts w:hint="eastAsia" w:ascii="宋体" w:hAnsi="宋体" w:cs="宋体"/>
                <w:color w:val="auto"/>
                <w:kern w:val="2"/>
                <w:sz w:val="24"/>
                <w:szCs w:val="24"/>
                <w:highlight w:val="none"/>
              </w:rPr>
              <w:t>基于2种不同生物区系类型害虫性信息素诱芯与花香诱芯的诱捕数量差异，构建专业分析数学模型和逻辑算法，动态展示迁飞性害虫的虫源地和实时迁飞状态，包含迁入代，部分迁入代，本地繁殖代，部分迁出代和迁出代。</w:t>
            </w:r>
            <w:r>
              <w:rPr>
                <w:rFonts w:hint="eastAsia" w:ascii="宋体" w:hAnsi="宋体" w:cs="宋体"/>
                <w:color w:val="auto"/>
                <w:sz w:val="24"/>
                <w:szCs w:val="24"/>
                <w:highlight w:val="none"/>
              </w:rPr>
              <w:t>（投标文件中需提供有资质的第三方检测机构出具的标有CMA或CNAS的检测报告原件扫描件）</w:t>
            </w:r>
          </w:p>
          <w:p w14:paraId="6666961D">
            <w:pPr>
              <w:keepNext w:val="0"/>
              <w:keepLines w:val="0"/>
              <w:pageBreakBefore w:val="0"/>
              <w:kinsoku/>
              <w:wordWrap/>
              <w:overflowPunct/>
              <w:topLinePunct w:val="0"/>
              <w:autoSpaceDE/>
              <w:autoSpaceDN/>
              <w:bidi w:val="0"/>
              <w:adjustRightInd/>
              <w:snapToGrid/>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5.3、卵、幼虫低龄期的短期预测：在全省、全市或自定义区域，依据未来15天气象数据的平均值和昆虫发育之间的关系，建立数学模型，预测下一代卵、幼虫各龄期的发生动态，并生成趋势图。（投标文件中需提供有资质的第三方检测机构出具的标有CMA或CNAS的检测报告原件扫描件）</w:t>
            </w:r>
          </w:p>
          <w:p w14:paraId="7E4D39B6">
            <w:pPr>
              <w:keepNext w:val="0"/>
              <w:keepLines w:val="0"/>
              <w:pageBreakBefore w:val="0"/>
              <w:kinsoku/>
              <w:wordWrap/>
              <w:overflowPunct/>
              <w:topLinePunct w:val="0"/>
              <w:autoSpaceDE/>
              <w:autoSpaceDN/>
              <w:bidi w:val="0"/>
              <w:adjustRightInd/>
              <w:snapToGrid/>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5.4、田间成虫量的预测：基于该设备诱捕的雄成虫数量数据以及性比，基于数学算法模型，自动推算、预测田间实际的成虫总数量及相应的雌成虫数量。（投标文件中需提供有资质的第三方检测机构出具的标有CMA或CNAS的检测报告原件扫描件）</w:t>
            </w:r>
          </w:p>
          <w:p w14:paraId="7062D995">
            <w:pPr>
              <w:keepNext w:val="0"/>
              <w:keepLines w:val="0"/>
              <w:pageBreakBefore w:val="0"/>
              <w:kinsoku/>
              <w:wordWrap/>
              <w:overflowPunct/>
              <w:topLinePunct w:val="0"/>
              <w:autoSpaceDE/>
              <w:autoSpaceDN/>
              <w:bidi w:val="0"/>
              <w:adjustRightInd/>
              <w:snapToGrid/>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5.5、灯诱数据换算：基于数学算法模型，提供性诱数据与传统测报灯的灯下诱虫量换算功能。</w:t>
            </w:r>
          </w:p>
          <w:p w14:paraId="7C10205D">
            <w:pPr>
              <w:pStyle w:val="2"/>
              <w:keepNext w:val="0"/>
              <w:keepLines w:val="0"/>
              <w:pageBreakBefore w:val="0"/>
              <w:kinsoku/>
              <w:wordWrap/>
              <w:overflowPunct/>
              <w:topLinePunct w:val="0"/>
              <w:autoSpaceDE/>
              <w:autoSpaceDN/>
              <w:bidi w:val="0"/>
              <w:adjustRightInd/>
              <w:snapToGrid/>
              <w:spacing w:line="400" w:lineRule="exact"/>
              <w:ind w:firstLine="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5.6、成虫发生量的中、长期预测：基于3年以上历史虫情数据、温度数据和当前虫量数据进行大数据分析，构建数学算法模型，预测未来2个月成虫发生趋势。预测模型具备自我学习功能，能够随着数据量的增大自主训练更新。</w:t>
            </w:r>
          </w:p>
          <w:p w14:paraId="03827A39">
            <w:pPr>
              <w:pStyle w:val="2"/>
              <w:keepNext w:val="0"/>
              <w:keepLines w:val="0"/>
              <w:pageBreakBefore w:val="0"/>
              <w:kinsoku/>
              <w:wordWrap/>
              <w:overflowPunct/>
              <w:topLinePunct w:val="0"/>
              <w:autoSpaceDE/>
              <w:autoSpaceDN/>
              <w:bidi w:val="0"/>
              <w:adjustRightInd/>
              <w:snapToGrid/>
              <w:spacing w:line="400" w:lineRule="exact"/>
              <w:ind w:firstLine="0"/>
              <w:rPr>
                <w:rFonts w:ascii="宋体" w:hAnsi="宋体" w:eastAsia="宋体" w:cs="宋体"/>
                <w:color w:val="auto"/>
                <w:sz w:val="24"/>
                <w:szCs w:val="24"/>
                <w:highlight w:val="none"/>
              </w:rPr>
            </w:pPr>
            <w:r>
              <w:rPr>
                <w:rFonts w:hint="eastAsia" w:ascii="宋体" w:hAnsi="宋体" w:eastAsia="宋体" w:cs="宋体"/>
                <w:color w:val="auto"/>
                <w:kern w:val="2"/>
                <w:sz w:val="24"/>
                <w:szCs w:val="24"/>
                <w:highlight w:val="none"/>
              </w:rPr>
              <w:t>5.7、</w:t>
            </w:r>
            <w:r>
              <w:rPr>
                <w:rFonts w:hint="eastAsia" w:ascii="宋体" w:hAnsi="宋体" w:eastAsia="宋体" w:cs="宋体"/>
                <w:color w:val="auto"/>
                <w:sz w:val="24"/>
                <w:szCs w:val="24"/>
                <w:highlight w:val="none"/>
              </w:rPr>
              <w:t>多维数据对比：支持不同诱捕器、不同区域、自定义分组及历史同期数据的对比分析。</w:t>
            </w:r>
          </w:p>
          <w:p w14:paraId="1659D93F">
            <w:pPr>
              <w:keepNext w:val="0"/>
              <w:keepLines w:val="0"/>
              <w:pageBreakBefore w:val="0"/>
              <w:kinsoku/>
              <w:wordWrap/>
              <w:overflowPunct/>
              <w:topLinePunct w:val="0"/>
              <w:autoSpaceDE/>
              <w:autoSpaceDN/>
              <w:bidi w:val="0"/>
              <w:adjustRightInd/>
              <w:snapToGrid/>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▲6、APP可查看时间段、每月、单日、每小时诱虫量数据。（投标文件中需提供所投产品软件平台应用截图）</w:t>
            </w:r>
          </w:p>
          <w:p w14:paraId="235FB343">
            <w:pPr>
              <w:keepNext w:val="0"/>
              <w:keepLines w:val="0"/>
              <w:pageBreakBefore w:val="0"/>
              <w:kinsoku/>
              <w:wordWrap/>
              <w:overflowPunct/>
              <w:topLinePunct w:val="0"/>
              <w:autoSpaceDE/>
              <w:autoSpaceDN/>
              <w:bidi w:val="0"/>
              <w:adjustRightInd/>
              <w:snapToGrid/>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▲7、设备可通过手机APP查看实时数据、历史数据。具有设备定位及导航功能，诱芯到期提醒等功能。（投标文件中需所投产品软件平台应用截图）</w:t>
            </w:r>
          </w:p>
          <w:p w14:paraId="30ED2E58">
            <w:pPr>
              <w:keepNext w:val="0"/>
              <w:keepLines w:val="0"/>
              <w:pageBreakBefore w:val="0"/>
              <w:kinsoku/>
              <w:wordWrap/>
              <w:overflowPunct/>
              <w:topLinePunct w:val="0"/>
              <w:autoSpaceDE/>
              <w:autoSpaceDN/>
              <w:bidi w:val="0"/>
              <w:adjustRightInd/>
              <w:snapToGrid/>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7.1、支持Harmony鸿蒙、iOS和Android安卓等系统。</w:t>
            </w:r>
          </w:p>
          <w:p w14:paraId="640D941C">
            <w:pPr>
              <w:keepNext w:val="0"/>
              <w:keepLines w:val="0"/>
              <w:pageBreakBefore w:val="0"/>
              <w:kinsoku/>
              <w:wordWrap/>
              <w:overflowPunct/>
              <w:topLinePunct w:val="0"/>
              <w:autoSpaceDE/>
              <w:autoSpaceDN/>
              <w:bidi w:val="0"/>
              <w:adjustRightInd/>
              <w:snapToGrid/>
              <w:spacing w:line="400" w:lineRule="exact"/>
              <w:rPr>
                <w:rFonts w:ascii="宋体" w:hAnsi="宋体" w:cs="宋体"/>
                <w:color w:val="auto"/>
                <w:kern w:val="2"/>
                <w:sz w:val="24"/>
                <w:szCs w:val="24"/>
                <w:highlight w:val="none"/>
              </w:rPr>
            </w:pPr>
            <w:r>
              <w:rPr>
                <w:rFonts w:hint="eastAsia" w:ascii="宋体" w:hAnsi="宋体" w:cs="宋体"/>
                <w:color w:val="auto"/>
                <w:sz w:val="24"/>
                <w:szCs w:val="24"/>
                <w:highlight w:val="none"/>
              </w:rPr>
              <w:t>▲7.2、</w:t>
            </w:r>
            <w:r>
              <w:rPr>
                <w:rFonts w:hint="eastAsia" w:ascii="宋体" w:hAnsi="宋体" w:cs="宋体"/>
                <w:color w:val="auto"/>
                <w:kern w:val="2"/>
                <w:sz w:val="24"/>
                <w:szCs w:val="24"/>
                <w:highlight w:val="none"/>
              </w:rPr>
              <w:t>卵、幼虫各龄期的短期预测：依据未来15天气象数据的平均值和昆虫发育之间的关系，建立数学模型，预测下一代卵和幼虫各龄期的发生动态，并指导释放天敌和施药。</w:t>
            </w:r>
            <w:r>
              <w:rPr>
                <w:rFonts w:hint="eastAsia" w:ascii="宋体" w:hAnsi="宋体" w:cs="宋体"/>
                <w:color w:val="auto"/>
                <w:sz w:val="24"/>
                <w:szCs w:val="24"/>
                <w:highlight w:val="none"/>
              </w:rPr>
              <w:t>（投标文件中需提供有资质的第三方检测机构出具的标有CMA或CNAS的检测报告原件扫描件）</w:t>
            </w:r>
          </w:p>
          <w:p w14:paraId="704F6827">
            <w:pPr>
              <w:keepNext w:val="0"/>
              <w:keepLines w:val="0"/>
              <w:pageBreakBefore w:val="0"/>
              <w:kinsoku/>
              <w:wordWrap/>
              <w:overflowPunct/>
              <w:topLinePunct w:val="0"/>
              <w:autoSpaceDE/>
              <w:autoSpaceDN/>
              <w:bidi w:val="0"/>
              <w:adjustRightInd/>
              <w:snapToGrid/>
              <w:spacing w:line="400" w:lineRule="exact"/>
              <w:rPr>
                <w:rFonts w:ascii="宋体" w:hAnsi="宋体" w:cs="宋体"/>
                <w:color w:val="auto"/>
                <w:kern w:val="2"/>
                <w:sz w:val="24"/>
                <w:szCs w:val="24"/>
                <w:highlight w:val="none"/>
              </w:rPr>
            </w:pPr>
            <w:r>
              <w:rPr>
                <w:rFonts w:hint="eastAsia" w:ascii="宋体" w:hAnsi="宋体" w:cs="宋体"/>
                <w:color w:val="auto"/>
                <w:sz w:val="24"/>
                <w:szCs w:val="24"/>
                <w:highlight w:val="none"/>
              </w:rPr>
              <w:t>▲</w:t>
            </w:r>
            <w:r>
              <w:rPr>
                <w:rFonts w:hint="eastAsia" w:ascii="宋体" w:hAnsi="宋体" w:cs="宋体"/>
                <w:color w:val="auto"/>
                <w:kern w:val="2"/>
                <w:sz w:val="24"/>
                <w:szCs w:val="24"/>
                <w:highlight w:val="none"/>
              </w:rPr>
              <w:t>7.3、田间成虫量的预测：基于该设备诱捕的雄成虫数量数据以及性比，自动推算、预测田间实际的成虫总数量及相应的雌成虫数量。</w:t>
            </w:r>
            <w:r>
              <w:rPr>
                <w:rFonts w:hint="eastAsia" w:ascii="宋体" w:hAnsi="宋体" w:cs="宋体"/>
                <w:color w:val="auto"/>
                <w:sz w:val="24"/>
                <w:szCs w:val="24"/>
                <w:highlight w:val="none"/>
              </w:rPr>
              <w:t>（投标文件中需提供有资质的第三方检测机构出具的标有CMA或CNAS的检测报告原件扫描件）</w:t>
            </w:r>
          </w:p>
          <w:p w14:paraId="7E363CA1">
            <w:pPr>
              <w:keepNext w:val="0"/>
              <w:keepLines w:val="0"/>
              <w:pageBreakBefore w:val="0"/>
              <w:kinsoku/>
              <w:wordWrap/>
              <w:overflowPunct/>
              <w:topLinePunct w:val="0"/>
              <w:autoSpaceDE/>
              <w:autoSpaceDN/>
              <w:bidi w:val="0"/>
              <w:adjustRightInd/>
              <w:snapToGrid/>
              <w:spacing w:line="400" w:lineRule="exact"/>
              <w:rPr>
                <w:rFonts w:ascii="宋体" w:hAnsi="宋体" w:cs="宋体"/>
                <w:color w:val="auto"/>
                <w:kern w:val="2"/>
                <w:sz w:val="24"/>
                <w:szCs w:val="24"/>
                <w:highlight w:val="none"/>
              </w:rPr>
            </w:pPr>
            <w:r>
              <w:rPr>
                <w:rFonts w:hint="eastAsia" w:ascii="宋体" w:hAnsi="宋体" w:cs="宋体"/>
                <w:color w:val="auto"/>
                <w:kern w:val="2"/>
                <w:sz w:val="24"/>
                <w:szCs w:val="24"/>
                <w:highlight w:val="none"/>
              </w:rPr>
              <w:t>7.4灯诱数据换算：基于数学算法模型，提供性诱与传统测报灯（灯下诱虫量）的换算功能。</w:t>
            </w:r>
          </w:p>
          <w:p w14:paraId="55223D4A">
            <w:pPr>
              <w:keepNext w:val="0"/>
              <w:keepLines w:val="0"/>
              <w:pageBreakBefore w:val="0"/>
              <w:kinsoku/>
              <w:wordWrap/>
              <w:overflowPunct/>
              <w:topLinePunct w:val="0"/>
              <w:autoSpaceDE/>
              <w:autoSpaceDN/>
              <w:bidi w:val="0"/>
              <w:adjustRightInd/>
              <w:snapToGrid/>
              <w:spacing w:line="400" w:lineRule="exact"/>
              <w:rPr>
                <w:rFonts w:ascii="宋体" w:hAnsi="宋体" w:cs="宋体"/>
                <w:color w:val="auto"/>
                <w:kern w:val="2"/>
                <w:sz w:val="24"/>
                <w:szCs w:val="24"/>
                <w:highlight w:val="none"/>
              </w:rPr>
            </w:pPr>
            <w:r>
              <w:rPr>
                <w:rFonts w:hint="eastAsia" w:ascii="宋体" w:hAnsi="宋体" w:cs="宋体"/>
                <w:color w:val="auto"/>
                <w:kern w:val="2"/>
                <w:sz w:val="24"/>
                <w:szCs w:val="24"/>
                <w:highlight w:val="none"/>
              </w:rPr>
              <w:t>7.5、成虫发生量的中、长期预测：基于历史虫情数据、温度数据和当前虫量数据，构建数学算法模型，预测未来2个月诱虫量。</w:t>
            </w:r>
          </w:p>
          <w:p w14:paraId="1B5635CA">
            <w:pPr>
              <w:pStyle w:val="2"/>
              <w:keepNext w:val="0"/>
              <w:keepLines w:val="0"/>
              <w:pageBreakBefore w:val="0"/>
              <w:kinsoku/>
              <w:wordWrap/>
              <w:overflowPunct/>
              <w:topLinePunct w:val="0"/>
              <w:autoSpaceDE/>
              <w:autoSpaceDN/>
              <w:bidi w:val="0"/>
              <w:adjustRightInd/>
              <w:snapToGrid/>
              <w:spacing w:line="400" w:lineRule="exact"/>
              <w:ind w:firstLine="0"/>
              <w:rPr>
                <w:rFonts w:ascii="宋体" w:hAnsi="宋体" w:eastAsia="宋体" w:cs="宋体"/>
                <w:color w:val="auto"/>
                <w:sz w:val="24"/>
                <w:szCs w:val="24"/>
                <w:highlight w:val="none"/>
              </w:rPr>
            </w:pPr>
            <w:r>
              <w:rPr>
                <w:rFonts w:hint="eastAsia" w:ascii="宋体" w:hAnsi="宋体" w:eastAsia="宋体" w:cs="宋体"/>
                <w:color w:val="auto"/>
                <w:kern w:val="2"/>
                <w:sz w:val="24"/>
                <w:szCs w:val="24"/>
                <w:highlight w:val="none"/>
              </w:rPr>
              <w:t>7.6、APP可查看设备运行的历史报警信息。</w:t>
            </w:r>
          </w:p>
          <w:p w14:paraId="4A28F74E">
            <w:pPr>
              <w:keepNext w:val="0"/>
              <w:keepLines w:val="0"/>
              <w:pageBreakBefore w:val="0"/>
              <w:kinsoku/>
              <w:wordWrap/>
              <w:overflowPunct/>
              <w:topLinePunct w:val="0"/>
              <w:autoSpaceDE/>
              <w:autoSpaceDN/>
              <w:bidi w:val="0"/>
              <w:adjustRightInd/>
              <w:snapToGrid/>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▲8、设备可查看预测未来2个月次代诱虫量，及发生动态，包括卵期、一二低龄龄幼虫期。（投标文件中需提供所投产品软件平台应用截图）</w:t>
            </w:r>
          </w:p>
          <w:p w14:paraId="4460D575">
            <w:pPr>
              <w:keepNext w:val="0"/>
              <w:keepLines w:val="0"/>
              <w:pageBreakBefore w:val="0"/>
              <w:kinsoku/>
              <w:wordWrap/>
              <w:overflowPunct/>
              <w:topLinePunct w:val="0"/>
              <w:autoSpaceDE/>
              <w:autoSpaceDN/>
              <w:bidi w:val="0"/>
              <w:adjustRightInd/>
              <w:snapToGrid/>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▲9、设备具有定位及导航、诱芯到期提醒等功能。（投标文件中需提供所投产品软件平台应用截图）</w:t>
            </w:r>
          </w:p>
          <w:p w14:paraId="11EDBFD0">
            <w:pPr>
              <w:keepNext w:val="0"/>
              <w:keepLines w:val="0"/>
              <w:pageBreakBefore w:val="0"/>
              <w:kinsoku/>
              <w:wordWrap/>
              <w:overflowPunct/>
              <w:topLinePunct w:val="0"/>
              <w:autoSpaceDE/>
              <w:autoSpaceDN/>
              <w:bidi w:val="0"/>
              <w:adjustRightInd/>
              <w:snapToGrid/>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10、双计数系统：上下集虫器各带一个三层4对红外计数装置，自动计数进入集虫器的昆虫，计算总数后上传到服务器数据库。</w:t>
            </w:r>
          </w:p>
          <w:p w14:paraId="64C3BE40">
            <w:pPr>
              <w:keepNext w:val="0"/>
              <w:keepLines w:val="0"/>
              <w:pageBreakBefore w:val="0"/>
              <w:kinsoku/>
              <w:wordWrap/>
              <w:overflowPunct/>
              <w:topLinePunct w:val="0"/>
              <w:autoSpaceDE/>
              <w:autoSpaceDN/>
              <w:bidi w:val="0"/>
              <w:adjustRightInd/>
              <w:snapToGrid/>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11、自动计数功能：害虫经过红外感应器时，自动计数+1，间隔时间＜1S。自动计数进入集虫器的昆虫，计算总数后上传到服务器数据库。</w:t>
            </w:r>
          </w:p>
          <w:p w14:paraId="38FA06E7">
            <w:pPr>
              <w:keepNext w:val="0"/>
              <w:keepLines w:val="0"/>
              <w:pageBreakBefore w:val="0"/>
              <w:kinsoku/>
              <w:wordWrap/>
              <w:overflowPunct/>
              <w:topLinePunct w:val="0"/>
              <w:autoSpaceDE/>
              <w:autoSpaceDN/>
              <w:bidi w:val="0"/>
              <w:adjustRightInd/>
              <w:snapToGrid/>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12、设备自动计数准确度不低于95%。（投标文件中需提供</w:t>
            </w:r>
            <w:r>
              <w:rPr>
                <w:rFonts w:hint="eastAsia" w:ascii="宋体" w:hAnsi="宋体" w:cs="宋体"/>
                <w:color w:val="auto"/>
                <w:sz w:val="24"/>
                <w:szCs w:val="24"/>
                <w:highlight w:val="none"/>
                <w:lang w:eastAsia="zh-CN"/>
              </w:rPr>
              <w:t>所投设备</w:t>
            </w:r>
            <w:r>
              <w:rPr>
                <w:rFonts w:hint="eastAsia" w:ascii="宋体" w:hAnsi="宋体" w:cs="宋体"/>
                <w:color w:val="auto"/>
                <w:sz w:val="24"/>
                <w:szCs w:val="24"/>
                <w:highlight w:val="none"/>
              </w:rPr>
              <w:t>农林业部门出具的应用证明或试验报告佐证</w:t>
            </w:r>
            <w:r>
              <w:rPr>
                <w:rFonts w:hint="eastAsia" w:ascii="宋体" w:hAnsi="宋体" w:cs="宋体"/>
                <w:color w:val="auto"/>
                <w:sz w:val="24"/>
                <w:szCs w:val="24"/>
                <w:highlight w:val="none"/>
                <w:lang w:eastAsia="zh-CN"/>
              </w:rPr>
              <w:t>或承诺书，如提供承诺书的，承诺内容需包含验收时提供</w:t>
            </w:r>
            <w:r>
              <w:rPr>
                <w:rFonts w:hint="eastAsia" w:ascii="宋体" w:hAnsi="宋体" w:cs="宋体"/>
                <w:color w:val="auto"/>
                <w:sz w:val="24"/>
                <w:szCs w:val="24"/>
                <w:highlight w:val="none"/>
              </w:rPr>
              <w:t>农林业部门出具的应用证明或试验报告佐证</w:t>
            </w:r>
            <w:r>
              <w:rPr>
                <w:rFonts w:hint="eastAsia" w:ascii="宋体" w:hAnsi="宋体" w:cs="宋体"/>
                <w:color w:val="auto"/>
                <w:sz w:val="24"/>
                <w:szCs w:val="24"/>
                <w:highlight w:val="none"/>
                <w:lang w:eastAsia="zh-CN"/>
              </w:rPr>
              <w:t>或进行检测，如不符合本项要求，同意合同款项暂停支付，直至整改到位</w:t>
            </w:r>
            <w:r>
              <w:rPr>
                <w:rFonts w:hint="eastAsia" w:ascii="宋体" w:hAnsi="宋体" w:cs="宋体"/>
                <w:color w:val="auto"/>
                <w:sz w:val="24"/>
                <w:szCs w:val="24"/>
                <w:highlight w:val="none"/>
              </w:rPr>
              <w:t>）</w:t>
            </w:r>
          </w:p>
          <w:p w14:paraId="2AD272D6">
            <w:pPr>
              <w:keepNext w:val="0"/>
              <w:keepLines w:val="0"/>
              <w:pageBreakBefore w:val="0"/>
              <w:kinsoku/>
              <w:wordWrap/>
              <w:overflowPunct/>
              <w:topLinePunct w:val="0"/>
              <w:autoSpaceDE/>
              <w:autoSpaceDN/>
              <w:bidi w:val="0"/>
              <w:adjustRightInd/>
              <w:snapToGrid/>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13、终端储存发送功能：实时记录和存储诱捕器监测数据，储存时间≥12月。定时定向发送监测数据，同时具有自检、纠错功能。</w:t>
            </w:r>
          </w:p>
          <w:p w14:paraId="75BC4BB8">
            <w:pPr>
              <w:keepNext w:val="0"/>
              <w:keepLines w:val="0"/>
              <w:pageBreakBefore w:val="0"/>
              <w:kinsoku/>
              <w:wordWrap/>
              <w:overflowPunct/>
              <w:topLinePunct w:val="0"/>
              <w:autoSpaceDE/>
              <w:autoSpaceDN/>
              <w:bidi w:val="0"/>
              <w:adjustRightInd/>
              <w:snapToGrid/>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14、网关数据接收功能：1小时/次接收终端数据，并通过无线网络发送到服务器。</w:t>
            </w:r>
          </w:p>
          <w:p w14:paraId="0165289A">
            <w:pPr>
              <w:keepNext w:val="0"/>
              <w:keepLines w:val="0"/>
              <w:pageBreakBefore w:val="0"/>
              <w:kinsoku/>
              <w:wordWrap/>
              <w:overflowPunct/>
              <w:topLinePunct w:val="0"/>
              <w:autoSpaceDE/>
              <w:autoSpaceDN/>
              <w:bidi w:val="0"/>
              <w:adjustRightInd/>
              <w:snapToGrid/>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▲15、控制器功能：能有效采集、处理并储存信息，并能控制记时等工作。（投标文件中需提供有资质的第三方检测机构出具的标有CMA或CNAS的检测报告原件扫描件）</w:t>
            </w:r>
          </w:p>
          <w:p w14:paraId="67FDAA4E">
            <w:pPr>
              <w:keepNext w:val="0"/>
              <w:keepLines w:val="0"/>
              <w:pageBreakBefore w:val="0"/>
              <w:kinsoku/>
              <w:wordWrap/>
              <w:overflowPunct/>
              <w:topLinePunct w:val="0"/>
              <w:autoSpaceDE/>
              <w:autoSpaceDN/>
              <w:bidi w:val="0"/>
              <w:adjustRightInd/>
              <w:snapToGrid/>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16、网关和终端配置：一个网关可以配置多个终端，方便后期设备升级。</w:t>
            </w:r>
          </w:p>
          <w:p w14:paraId="0A319D96">
            <w:pPr>
              <w:keepNext w:val="0"/>
              <w:keepLines w:val="0"/>
              <w:pageBreakBefore w:val="0"/>
              <w:kinsoku/>
              <w:wordWrap/>
              <w:overflowPunct/>
              <w:topLinePunct w:val="0"/>
              <w:autoSpaceDE/>
              <w:autoSpaceDN/>
              <w:bidi w:val="0"/>
              <w:adjustRightInd/>
              <w:snapToGrid/>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17、设备采用太阳能板供电，单晶硅材质；功率：≥55W，可在-40°C-80°C气温下工作。蓄电池为锂电池，规格：12V,≥60Ah。连续阴雨天，设备正常运行不低于20天。</w:t>
            </w:r>
          </w:p>
          <w:p w14:paraId="60E62601">
            <w:pPr>
              <w:keepNext w:val="0"/>
              <w:keepLines w:val="0"/>
              <w:pageBreakBefore w:val="0"/>
              <w:kinsoku/>
              <w:wordWrap/>
              <w:overflowPunct/>
              <w:topLinePunct w:val="0"/>
              <w:autoSpaceDE/>
              <w:autoSpaceDN/>
              <w:bidi w:val="0"/>
              <w:adjustRightInd/>
              <w:snapToGrid/>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18、设备立杆材质为喷塑铝管，整体高度不低于300CM，配防电机箱，材质 304不锈钢材质，外标防电标识，具防尘、防水功能。</w:t>
            </w:r>
          </w:p>
        </w:tc>
      </w:tr>
      <w:tr w14:paraId="4E125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603" w:type="dxa"/>
            <w:tcBorders>
              <w:top w:val="single" w:color="auto" w:sz="4" w:space="0"/>
              <w:left w:val="single" w:color="auto" w:sz="4" w:space="0"/>
              <w:bottom w:val="single" w:color="auto" w:sz="4" w:space="0"/>
              <w:right w:val="single" w:color="auto" w:sz="4" w:space="0"/>
            </w:tcBorders>
            <w:shd w:val="clear" w:color="auto" w:fill="auto"/>
            <w:vAlign w:val="center"/>
          </w:tcPr>
          <w:p w14:paraId="068DFEE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宋体" w:hAnsi="宋体" w:cs="宋体"/>
                <w:color w:val="auto"/>
                <w:kern w:val="2"/>
                <w:sz w:val="24"/>
                <w:szCs w:val="24"/>
                <w:highlight w:val="none"/>
              </w:rPr>
            </w:pPr>
            <w:r>
              <w:rPr>
                <w:rFonts w:hint="eastAsia" w:ascii="宋体" w:hAnsi="宋体" w:cs="宋体"/>
                <w:color w:val="auto"/>
                <w:sz w:val="24"/>
                <w:szCs w:val="24"/>
                <w:highlight w:val="none"/>
              </w:rPr>
              <w:t>2</w:t>
            </w:r>
          </w:p>
        </w:tc>
        <w:tc>
          <w:tcPr>
            <w:tcW w:w="1387" w:type="dxa"/>
            <w:tcBorders>
              <w:top w:val="single" w:color="auto" w:sz="4" w:space="0"/>
              <w:left w:val="single" w:color="auto" w:sz="4" w:space="0"/>
              <w:bottom w:val="single" w:color="auto" w:sz="4" w:space="0"/>
              <w:right w:val="single" w:color="auto" w:sz="4" w:space="0"/>
            </w:tcBorders>
            <w:shd w:val="clear" w:color="auto" w:fill="auto"/>
            <w:vAlign w:val="center"/>
          </w:tcPr>
          <w:p w14:paraId="09ADC14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宋体" w:hAnsi="宋体" w:cs="宋体"/>
                <w:color w:val="auto"/>
                <w:sz w:val="24"/>
                <w:szCs w:val="24"/>
                <w:highlight w:val="none"/>
              </w:rPr>
            </w:pPr>
            <w:bookmarkStart w:id="126" w:name="OLE_LINK8"/>
            <w:bookmarkStart w:id="127" w:name="OLE_LINK7"/>
            <w:r>
              <w:rPr>
                <w:rFonts w:hint="eastAsia" w:ascii="宋体" w:hAnsi="宋体" w:cs="宋体"/>
                <w:color w:val="auto"/>
                <w:sz w:val="24"/>
                <w:szCs w:val="24"/>
                <w:highlight w:val="none"/>
              </w:rPr>
              <w:t>智能虫情测报灯</w:t>
            </w:r>
            <w:bookmarkEnd w:id="126"/>
            <w:bookmarkEnd w:id="127"/>
          </w:p>
        </w:tc>
        <w:tc>
          <w:tcPr>
            <w:tcW w:w="7005" w:type="dxa"/>
            <w:tcBorders>
              <w:top w:val="single" w:color="auto" w:sz="4" w:space="0"/>
              <w:left w:val="single" w:color="auto" w:sz="4" w:space="0"/>
              <w:bottom w:val="single" w:color="auto" w:sz="4" w:space="0"/>
              <w:right w:val="single" w:color="auto" w:sz="4" w:space="0"/>
            </w:tcBorders>
            <w:shd w:val="clear" w:color="auto" w:fill="auto"/>
            <w:vAlign w:val="center"/>
          </w:tcPr>
          <w:p w14:paraId="44506E1C">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1、可通过PC客户端、手机APP端、网页端，实现对系统的实时操控，对采集的虫情信息进行查看、管理、分析、展示，PC客户端、手机APP端、网页端三端数据实现共享互通。设备支持云平台控制和监测，可远程手动控制换位、诱虫灯开启、加热管通断、杀虫仓和烘干仓清空、震动电机开关、传送带开关等，也可通过故障报警监测设备运行状况；支持手机端APP查看单台设备AI智能分析及多灯分析。（投标文件中需提供具有检测资质的机构出具的带有CNAS标识的检测报告原件扫描件）</w:t>
            </w:r>
          </w:p>
          <w:p w14:paraId="6C19C00D">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2、整体结构采用不锈钢，采用光、电、数控技术，远程自动控制及识别计数。具漏电保护、避雷和防雨装置，雨虫分离技术，有防雨百叶，下雨天可以正常工作，正常捕虫，集虫器内不积水；</w:t>
            </w:r>
          </w:p>
          <w:p w14:paraId="594728E9">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3、可以通过照片自动识别虫子数量自动调节拍照间隔时间，系统感应到虫子数量较多后，设备会自动调节拍照间隔时间，内设计数组件，可智能感应虫体并判断是否有虫体残存,从而调整拍照张数，准确统计虫情数量信息，节省网络资源；</w:t>
            </w:r>
          </w:p>
          <w:p w14:paraId="735BB785">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4、具有自动识别和计数功能，能够识别害虫种类不少于135种，并且具有昆虫统计功能，能对一、二类农作物病虫害名录中趋光性害虫做自动识别计数，对于农作物常见害虫如稻纵卷叶螟、褐飞虱属、白背飞虱、灰飞虱、大螟、二化螟、稻螟蛉、粘虫、玉米螟、棉铃虫、蟋蟀、斜纹夜蛾、草地贪夜蛾等，识别准确率≥95%，计数准确率≥95%；小程序辅助识别不低于5000种昆虫。（投标文件中需提供具有检测资质的机构出具的带有CNAS标识的检测报告原件扫描件）</w:t>
            </w:r>
          </w:p>
          <w:p w14:paraId="3172F580">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▲5、系统具备比例尺用以判断虫体大小，可以进行入工分析虫情数量及类型，具有害虫标记功能，不同</w:t>
            </w:r>
            <w:r>
              <w:rPr>
                <w:rFonts w:hint="eastAsia" w:ascii="宋体" w:hAnsi="宋体" w:cs="宋体"/>
                <w:color w:val="auto"/>
                <w:sz w:val="24"/>
                <w:szCs w:val="24"/>
                <w:highlight w:val="none"/>
                <w:lang w:eastAsia="zh-CN"/>
              </w:rPr>
              <w:t>害虫</w:t>
            </w:r>
            <w:r>
              <w:rPr>
                <w:rFonts w:hint="eastAsia" w:ascii="宋体" w:hAnsi="宋体" w:cs="宋体"/>
                <w:color w:val="auto"/>
                <w:sz w:val="24"/>
                <w:szCs w:val="24"/>
                <w:highlight w:val="none"/>
              </w:rPr>
              <w:t>用不同的颜色区别标注，害虫种类与颜色一一对应，可开启或关闭电子比例尺辅助观测虫体绝对尺寸，便于人工识别；（投标文件中需提供具有检测资质的机构出具的带有CNAS标识的检测报告原件扫描件）</w:t>
            </w:r>
          </w:p>
          <w:p w14:paraId="2C35BC4E">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6、摄像头:≥2500W工业相机，显示屏:≥7寸电容式触摸屏，系统:≥Android4.0；</w:t>
            </w:r>
          </w:p>
          <w:p w14:paraId="43FCA561">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7、可实时播报设备的每个装置的全部工作状态进程(播报内容及详细度可调整)。可增设语音识别，人机语音交互功能，可通过语音对设备进行各项操作控制；（投标文件中需提供具有检测资质的机构出具的带有CNAS标识的检测报告原件扫描件）</w:t>
            </w:r>
          </w:p>
          <w:p w14:paraId="2ED5B826">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8、设备自带苗情监测球机，不低于400万像素，支持4倍光学变倍，16倍数字变倍，照射距离最远可达20m，具有作物识别和自动判断作物当前生育期及下一生育期时间功能。支持视频播放形式，动态展现作物覆盖度变化情况，对作物长势进行分析。（投标文件中需提供具有检测资质的机构出具的带有CNAS标识的检测报告原件扫描件）</w:t>
            </w:r>
          </w:p>
          <w:p w14:paraId="1A3165CD">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▲9、机器自动识别计数和灯下人工识别计数的动态趋势拟合度系数≥0.90；（投标文件中需提供具有检测资质的机构出具的带有CNAS标识的检测报告原件扫描件）</w:t>
            </w:r>
          </w:p>
          <w:p w14:paraId="2EB33717">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10、光源:不低于20W黑光灯；波长:320～680nm，撞击屏长≥590mm，宽≥210mm，厚≥5mm，三块撞击屏角度≥120；</w:t>
            </w:r>
          </w:p>
          <w:p w14:paraId="2D30FDA3">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11、支持查看地区平均灯虫量走势分析，周边地区主要虫害雷达图及45天的发生风险预测。支持近5年多灯总量、平均单灯总量对比分析。（投标文件中需提供具有检测资质的机构出具的带有CNAS标识的检测报告原件扫描件）</w:t>
            </w:r>
          </w:p>
          <w:p w14:paraId="2D6A5412">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12、自动清洁：定期自动清理撞击屏上的蜘蛛网，可远程实现一键远程辅助清虫，减少人工维护频率；</w:t>
            </w:r>
          </w:p>
          <w:p w14:paraId="00DB8A3A">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13、实时监测是否堵虫，当设备检测到堵虫，会关闭诱虫灯管，并通过软件平台推送堵虫告警。当设备检测到堵虫，会关闭诱虫灯管,执行自动清虫,通过程序控制自动运行，清理堵虫故障，减少人工上门清理频率，降低设备故障率，检测到无堵虫时恢复正常工作模式并后台推送堵虫恢复告警；</w:t>
            </w:r>
          </w:p>
          <w:p w14:paraId="4BD2455F">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14、产品的L/N到接地的金属外壳之间能经受1500V(交流有效值)，其电源频率50Hz,历时lmin的耐压试验，无飞弧击穿现象。</w:t>
            </w:r>
          </w:p>
          <w:p w14:paraId="735B6755">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▲15、支持查看设备拍摄区作物识别、生育期识别及给出预测下一生育期时间；支持查看设备环境传感器数据；（投标文件中需提供具有检测资质的机构出具的带有CNAS标识的检测报告原件扫描件）</w:t>
            </w:r>
          </w:p>
          <w:p w14:paraId="006C4CCD">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16、含气象传感器，可监测空气温湿度传感器、雨量等指标，可提供虫情发生量与气象关系的比较分析，提供当前生育期重大虫害捕捉统计及预计暴发时间分析，针对该暴发提供防治要点参考；</w:t>
            </w:r>
          </w:p>
          <w:p w14:paraId="281B16EF">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▲17、配备AI智能问答小程序，支持接入Deepseek等大模型，能迅速精准解答作物病虫害诊断防治、土壤墒情分析等问题；（投标文件中需提供具有检测资质的机构出具的带有CNAS标识的检测报告原件扫描件）</w:t>
            </w:r>
          </w:p>
          <w:p w14:paraId="44039F95">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eastAsia="宋体" w:cs="宋体"/>
                <w:color w:val="auto"/>
                <w:sz w:val="24"/>
                <w:szCs w:val="24"/>
                <w:highlight w:val="none"/>
              </w:rPr>
            </w:pPr>
            <w:r>
              <w:rPr>
                <w:rFonts w:hint="eastAsia" w:ascii="宋体" w:hAnsi="宋体" w:cs="宋体"/>
                <w:color w:val="auto"/>
                <w:sz w:val="24"/>
                <w:szCs w:val="24"/>
                <w:highlight w:val="none"/>
              </w:rPr>
              <w:t>18、设备平均识别准确率≥85%。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投标文件中需提供</w:t>
            </w:r>
            <w:r>
              <w:rPr>
                <w:rFonts w:hint="eastAsia" w:ascii="宋体" w:hAnsi="宋体" w:cs="宋体"/>
                <w:color w:val="auto"/>
                <w:sz w:val="24"/>
                <w:szCs w:val="24"/>
                <w:highlight w:val="none"/>
                <w:lang w:eastAsia="zh-CN"/>
              </w:rPr>
              <w:t>所投设备省级及以上农业相关部门出具的试验示范报告或承诺书，如提供承诺书的，承诺内容需包含验收时提供所投设备省级及以上农业相关部门出具的试验示范报告或进行检测，如不符合本项要求，同意合同款项暂停支付，直至整改到位）</w:t>
            </w:r>
          </w:p>
        </w:tc>
      </w:tr>
      <w:tr w14:paraId="3250D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603" w:type="dxa"/>
            <w:tcBorders>
              <w:top w:val="single" w:color="auto" w:sz="4" w:space="0"/>
              <w:left w:val="single" w:color="auto" w:sz="4" w:space="0"/>
              <w:bottom w:val="single" w:color="auto" w:sz="4" w:space="0"/>
              <w:right w:val="single" w:color="auto" w:sz="4" w:space="0"/>
            </w:tcBorders>
            <w:shd w:val="clear" w:color="auto" w:fill="auto"/>
            <w:vAlign w:val="center"/>
          </w:tcPr>
          <w:p w14:paraId="2F67555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宋体" w:hAnsi="宋体" w:cs="宋体"/>
                <w:color w:val="auto"/>
                <w:kern w:val="2"/>
                <w:sz w:val="24"/>
                <w:szCs w:val="24"/>
                <w:highlight w:val="none"/>
              </w:rPr>
            </w:pPr>
            <w:r>
              <w:rPr>
                <w:rFonts w:hint="eastAsia" w:ascii="宋体" w:hAnsi="宋体" w:cs="宋体"/>
                <w:color w:val="auto"/>
                <w:sz w:val="24"/>
                <w:szCs w:val="24"/>
                <w:highlight w:val="none"/>
              </w:rPr>
              <w:t>3</w:t>
            </w:r>
          </w:p>
        </w:tc>
        <w:tc>
          <w:tcPr>
            <w:tcW w:w="1387" w:type="dxa"/>
            <w:tcBorders>
              <w:top w:val="single" w:color="auto" w:sz="4" w:space="0"/>
              <w:left w:val="single" w:color="auto" w:sz="4" w:space="0"/>
              <w:bottom w:val="single" w:color="auto" w:sz="4" w:space="0"/>
              <w:right w:val="single" w:color="auto" w:sz="4" w:space="0"/>
            </w:tcBorders>
            <w:shd w:val="clear" w:color="auto" w:fill="auto"/>
            <w:vAlign w:val="center"/>
          </w:tcPr>
          <w:p w14:paraId="120DB60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宋体" w:hAnsi="宋体" w:cs="宋体"/>
                <w:color w:val="auto"/>
                <w:sz w:val="24"/>
                <w:szCs w:val="24"/>
                <w:highlight w:val="none"/>
              </w:rPr>
            </w:pPr>
            <w:r>
              <w:rPr>
                <w:rFonts w:hint="eastAsia" w:ascii="宋体" w:hAnsi="宋体" w:cs="宋体"/>
                <w:color w:val="auto"/>
                <w:sz w:val="24"/>
                <w:szCs w:val="24"/>
                <w:highlight w:val="none"/>
              </w:rPr>
              <w:t>小虫体智能虫情测报灯</w:t>
            </w:r>
          </w:p>
        </w:tc>
        <w:tc>
          <w:tcPr>
            <w:tcW w:w="7005" w:type="dxa"/>
            <w:tcBorders>
              <w:top w:val="single" w:color="auto" w:sz="4" w:space="0"/>
              <w:left w:val="single" w:color="auto" w:sz="4" w:space="0"/>
              <w:bottom w:val="single" w:color="auto" w:sz="4" w:space="0"/>
              <w:right w:val="single" w:color="auto" w:sz="4" w:space="0"/>
            </w:tcBorders>
            <w:shd w:val="clear" w:color="auto" w:fill="auto"/>
            <w:vAlign w:val="center"/>
          </w:tcPr>
          <w:p w14:paraId="51DEA7C5">
            <w:pPr>
              <w:keepNext w:val="0"/>
              <w:keepLines w:val="0"/>
              <w:pageBreakBefore w:val="0"/>
              <w:numPr>
                <w:ilvl w:val="0"/>
                <w:numId w:val="7"/>
              </w:numPr>
              <w:kinsoku/>
              <w:wordWrap/>
              <w:overflowPunct/>
              <w:topLinePunct w:val="0"/>
              <w:autoSpaceDE/>
              <w:autoSpaceDN/>
              <w:bidi w:val="0"/>
              <w:adjustRightInd/>
              <w:snapToGrid/>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专用于诱杀和监测稻飞虱等小虫体，百叶过滤非靶标大虫子，避免出现由于体积较大的虫子掩盖稻飞虱，导致摄像头无法采集到造成测报不准的问题。采用光、电、数控技术，远程自动控制。有防雨百叶，下雨天可以正常工作，正常捕虫；</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2、内置不低于2000万像素高清工业摄像机，对稻飞虱进行活体拍照，针对飞虱类害虫进行自动识别计数，通过AI自动识别包含褐飞虱、白背飞虱、灰飞虱等。识别准确率≥85%。（投标文件中需提供具有检测资质的机构出具的带有CNAS标识的检测报告原件扫描件）</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3、可远程设置工作模式，通过PC云端及手机APP端能远程自动拍照和手动拍照，工业彩色手触摸屏显示与操作，屏幕尺寸≥7寸，安卓系统智能控制。全中文液晶显示，具有触摸屏或按键操作功能，可分时段设置和控制，自动拍照和手动拍照均可。</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4、对稻飞虱等小虫体进行活体拍照，虫体完整率≥95%。通过摄像头实时采集翻板上的虫子情况，拍完照后实时翻转，避免虫体堆积和重复计数，可通过网页端和手机端查看拍摄照片，也可通过平台远程进行拍照和工作模式更改等设置。（投标文件中需提供具有检测资质的机构出具的带有CNAS标识的检测报告原件扫描件）</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5、可实现在电脑端和手机端（安卓系统）远程监控平台对虫情自动采集系统的控制，包括但不限于指令发布执行、系统参数设置和采集信息的查询分析等。设备也可以远程手动控制诱虫灯开启、诱虫灯条开启、翻板旋转、风扇开启、相机拍照等功能；（投标文件中需提供具有检测资质的机构出具的带有CNAS标识的检测报告原件扫描件）</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6、图像处理：可实现对拍摄画面的图像处理，包括但不限于画面分割、切换处理及保存等功能。图片保存质量应满足虫体人工手动计数的识别需求。</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7、内置GPS定位功能，可在地图中查看设备站点等数据。在PC云端地图中查看设备站点等数据，设备被盗可追踪。</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8、光控控制：晚上自动开灯运行，白天自动关灯（待机），在夜间工作状态下，不受瞬间强光照射改变工作状态。时段控制：根据靶标害虫生活习性规律，设定工作时间段。雨控装置：可按外界天气变化自动控制设备工作；</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9、虫子收集储存技术：对拍完照的虫子，需要保留标本的留在储存袋内，人工定期去收集；对于不需要标本的，虫子直接排出机器外部；</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10、电源：太阳能供电，直流12v；灯管启动时间：开机后小于5秒；绝缘电阻：大于2.5MΩ；连续阴雨天，设备正常运行不低于7天。</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11、工作环境温度：0～70℃，工作环境湿度：≤95%。</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▲12、虫害</w:t>
            </w:r>
            <w:r>
              <w:rPr>
                <w:rFonts w:hint="eastAsia" w:ascii="宋体" w:hAnsi="宋体" w:cs="宋体"/>
                <w:color w:val="auto"/>
                <w:sz w:val="24"/>
                <w:szCs w:val="24"/>
                <w:highlight w:val="none"/>
                <w:lang w:eastAsia="zh-CN"/>
              </w:rPr>
              <w:t>暴发</w:t>
            </w:r>
            <w:r>
              <w:rPr>
                <w:rFonts w:hint="eastAsia" w:ascii="宋体" w:hAnsi="宋体" w:cs="宋体"/>
                <w:color w:val="auto"/>
                <w:sz w:val="24"/>
                <w:szCs w:val="24"/>
                <w:highlight w:val="none"/>
              </w:rPr>
              <w:t>分析模型：将捕获到的昆虫进行统计分析，绘制出虫害的发生趋势与发生轨迹，并确定其发生源头，以此为数据基础实现病虫害的预测预警；（投标文件中需提供具有检测资质的机构出具的带有CNAS标识的检测报告原件扫描件）</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▲13、作物产量评估模型：根据虫害、天气、土壤、作物、站点、农事等数据，实现作物整个生育期内各指标的模拟。（投标文件中需提供具有检测资质的机构出具的带有CNAS标识的检测报告原件扫描件）</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▲14、</w:t>
            </w:r>
            <w:r>
              <w:rPr>
                <w:rFonts w:hint="eastAsia" w:ascii="宋体" w:hAnsi="宋体" w:cs="宋体"/>
                <w:color w:val="auto"/>
                <w:sz w:val="24"/>
                <w:szCs w:val="24"/>
                <w:highlight w:val="none"/>
                <w:lang w:eastAsia="zh-CN"/>
              </w:rPr>
              <w:t>设备</w:t>
            </w:r>
            <w:r>
              <w:rPr>
                <w:rFonts w:hint="eastAsia" w:ascii="宋体" w:hAnsi="宋体" w:cs="宋体"/>
                <w:color w:val="auto"/>
                <w:sz w:val="24"/>
                <w:szCs w:val="24"/>
                <w:highlight w:val="none"/>
              </w:rPr>
              <w:t>试验识别结果平均准确率≥85%。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投标文件中需提供</w:t>
            </w:r>
            <w:r>
              <w:rPr>
                <w:rFonts w:hint="eastAsia" w:ascii="宋体" w:hAnsi="宋体" w:cs="宋体"/>
                <w:color w:val="auto"/>
                <w:sz w:val="24"/>
                <w:szCs w:val="24"/>
                <w:highlight w:val="none"/>
                <w:lang w:eastAsia="zh-CN"/>
              </w:rPr>
              <w:t>所投设备</w:t>
            </w:r>
            <w:r>
              <w:rPr>
                <w:rFonts w:hint="eastAsia" w:ascii="宋体" w:hAnsi="宋体" w:cs="宋体"/>
                <w:color w:val="auto"/>
                <w:sz w:val="24"/>
                <w:szCs w:val="24"/>
                <w:highlight w:val="none"/>
              </w:rPr>
              <w:t>省级及以上植保部门或农业技术推广部门出具的应用试验</w:t>
            </w:r>
            <w:r>
              <w:rPr>
                <w:rFonts w:hint="eastAsia" w:ascii="宋体" w:hAnsi="宋体" w:cs="宋体"/>
                <w:color w:val="auto"/>
                <w:sz w:val="24"/>
                <w:szCs w:val="24"/>
                <w:highlight w:val="none"/>
                <w:lang w:eastAsia="zh-CN"/>
              </w:rPr>
              <w:t>或承诺书，如提供承诺书的，承诺内容需包含验收时提供所投设备</w:t>
            </w:r>
            <w:r>
              <w:rPr>
                <w:rFonts w:hint="eastAsia" w:ascii="宋体" w:hAnsi="宋体" w:cs="宋体"/>
                <w:color w:val="auto"/>
                <w:sz w:val="24"/>
                <w:szCs w:val="24"/>
                <w:highlight w:val="none"/>
              </w:rPr>
              <w:t>省级及以上植保部门或农业技术推广部门出具的应用试验</w:t>
            </w:r>
            <w:r>
              <w:rPr>
                <w:rFonts w:hint="eastAsia" w:ascii="宋体" w:hAnsi="宋体" w:cs="宋体"/>
                <w:color w:val="auto"/>
                <w:sz w:val="24"/>
                <w:szCs w:val="24"/>
                <w:highlight w:val="none"/>
                <w:lang w:eastAsia="zh-CN"/>
              </w:rPr>
              <w:t>或进行检测，如不符合本项要求，同意合同款项暂停支付，直至整改到位）</w:t>
            </w:r>
          </w:p>
        </w:tc>
      </w:tr>
      <w:tr w14:paraId="1587B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603" w:type="dxa"/>
            <w:tcBorders>
              <w:top w:val="single" w:color="auto" w:sz="4" w:space="0"/>
              <w:left w:val="single" w:color="auto" w:sz="4" w:space="0"/>
              <w:bottom w:val="single" w:color="auto" w:sz="4" w:space="0"/>
              <w:right w:val="single" w:color="auto" w:sz="4" w:space="0"/>
            </w:tcBorders>
            <w:shd w:val="clear" w:color="auto" w:fill="auto"/>
            <w:vAlign w:val="center"/>
          </w:tcPr>
          <w:p w14:paraId="2E9F36F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1387" w:type="dxa"/>
            <w:tcBorders>
              <w:top w:val="single" w:color="auto" w:sz="4" w:space="0"/>
              <w:left w:val="single" w:color="auto" w:sz="4" w:space="0"/>
              <w:bottom w:val="single" w:color="auto" w:sz="4" w:space="0"/>
              <w:right w:val="single" w:color="auto" w:sz="4" w:space="0"/>
            </w:tcBorders>
            <w:shd w:val="clear" w:color="auto" w:fill="auto"/>
            <w:vAlign w:val="center"/>
          </w:tcPr>
          <w:p w14:paraId="25795FE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宋体" w:hAnsi="宋体" w:cs="宋体"/>
                <w:color w:val="auto"/>
                <w:sz w:val="24"/>
                <w:szCs w:val="24"/>
                <w:highlight w:val="none"/>
              </w:rPr>
            </w:pPr>
            <w:r>
              <w:rPr>
                <w:rFonts w:hint="eastAsia" w:ascii="宋体" w:hAnsi="宋体" w:cs="宋体"/>
                <w:color w:val="auto"/>
                <w:sz w:val="24"/>
                <w:szCs w:val="24"/>
                <w:highlight w:val="none"/>
              </w:rPr>
              <w:t>小麦赤霉病监测预警设备</w:t>
            </w:r>
          </w:p>
        </w:tc>
        <w:tc>
          <w:tcPr>
            <w:tcW w:w="7005" w:type="dxa"/>
            <w:tcBorders>
              <w:top w:val="single" w:color="auto" w:sz="4" w:space="0"/>
              <w:left w:val="single" w:color="auto" w:sz="4" w:space="0"/>
              <w:bottom w:val="single" w:color="auto" w:sz="4" w:space="0"/>
              <w:right w:val="single" w:color="auto" w:sz="4" w:space="0"/>
            </w:tcBorders>
            <w:shd w:val="clear" w:color="auto" w:fill="auto"/>
            <w:vAlign w:val="center"/>
          </w:tcPr>
          <w:p w14:paraId="14D08391">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▲1、小麦赤霉病自动监测预警模型</w:t>
            </w:r>
          </w:p>
          <w:p w14:paraId="079B1776">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包括子囊壳形成与温度关系模型、侵染概率模型、菌量模型、潜育速率模型、显症率模型、重复侵染概率模型、病穗率模型等子模型，构成小麦-玉米轮作和小麦-水稻轮作的赤霉病监测预警模型。</w:t>
            </w:r>
          </w:p>
          <w:p w14:paraId="6542CD22">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2、小麦赤霉病自动监测预警系统V1.0软件部分</w:t>
            </w:r>
          </w:p>
          <w:p w14:paraId="0971DC4A">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小麦赤霉病监测预警管理系统V1.0</w:t>
            </w:r>
          </w:p>
          <w:p w14:paraId="6D95598B">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小麦赤霉病稻麦轮作区预警模型软件V1.0</w:t>
            </w:r>
          </w:p>
          <w:p w14:paraId="61D7D647">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2.1 数据采集云存储：实时采集田间数据，每2小时上传一次，储存至少3年历史数据，用折线图、数据列表等不同形式展示；</w:t>
            </w:r>
          </w:p>
          <w:p w14:paraId="63BECE77">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▲2.2 预测结果与国家标准对应，在小麦赤霉病防治关键期前15天开始预报发病情况，超过防治指标自动报警，可在电脑PC端、手机微信小程序查看；</w:t>
            </w:r>
          </w:p>
          <w:p w14:paraId="71A58107">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2.3 开放式系统平台，自动接入国家平台，可接入其他省、市、县平台。</w:t>
            </w:r>
          </w:p>
          <w:p w14:paraId="129E9524">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3、小麦赤霉病自动监测硬件部分     </w:t>
            </w:r>
          </w:p>
          <w:p w14:paraId="1B40BD52">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3.1 主机规格：立杆高度不低于1.5m ，重量≥60kg；电池容量：12V 20A（采用高原专用电池6-CNJ-20，输出功率受环境温度影响较小）；太阳能板：50W；功耗：10mA；工作时间：在连续阴雨天环境中可持续工作30天；工作温度范围：-20℃～80℃；</w:t>
            </w:r>
          </w:p>
          <w:p w14:paraId="67365D9B">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3.2 整机为SUS304不锈钢材质，耐酸碱，耐腐蚀，防护等级IP67，抗冲击等级IK08；</w:t>
            </w:r>
          </w:p>
          <w:p w14:paraId="1F3479D9">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3.3 温度及降雨量采集传感器采用光电感应技术；风速风向传感器采用超声波采集技术；</w:t>
            </w:r>
          </w:p>
          <w:p w14:paraId="412DFA2F">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3.4 仪器具有远程调试、无人值守、无缝监控等功能；</w:t>
            </w:r>
          </w:p>
          <w:p w14:paraId="783F3AD9">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3.5 气象数据采集设备严格按照国际气象组织（WMO）气象观测标准设计生产，具体指标如下：</w:t>
            </w:r>
          </w:p>
          <w:p w14:paraId="3D148A02">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3.5.1温度：范围-40℃～80℃，精度±0.2℃</w:t>
            </w:r>
          </w:p>
          <w:p w14:paraId="0AF1560A">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3.5.2降雨量：范围0～240mm/h，精度±2%</w:t>
            </w:r>
          </w:p>
          <w:p w14:paraId="46553E06">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3.5.3相对湿度：范围0～100%RH，精度±1%</w:t>
            </w:r>
          </w:p>
          <w:p w14:paraId="42A4B383">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3.5.4露点温度：范围-80℃～60℃，精度±0.2℃</w:t>
            </w:r>
          </w:p>
          <w:p w14:paraId="59AFAAEB">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3.5.5叶片表面湿润时间：范围0～15h，精度±0.5</w:t>
            </w:r>
          </w:p>
          <w:p w14:paraId="4CCA3991">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3.5.6日照强度：范围0～2000W/㎡，精度±3%</w:t>
            </w:r>
          </w:p>
          <w:p w14:paraId="4A7C52C6">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3.5.7日照时数：范围0～15h ，精度±0.1min</w:t>
            </w:r>
          </w:p>
          <w:p w14:paraId="1806063D">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3.5.8 10cm土壤含水量：范围0%～100%，精度±4%</w:t>
            </w:r>
          </w:p>
          <w:p w14:paraId="72B8AEF6">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3.5.9 10cm土壤温度：范围-50℃～80℃，精度±0.5℃</w:t>
            </w:r>
          </w:p>
          <w:p w14:paraId="3888E423">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3.5.10 20cm土壤含水量：范围0%～100%，精度±4%</w:t>
            </w:r>
          </w:p>
          <w:p w14:paraId="0723EFCC">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3.5.11 20cm土壤温度：范围-50℃～80℃，精度±0.5℃</w:t>
            </w:r>
          </w:p>
        </w:tc>
      </w:tr>
      <w:tr w14:paraId="3A464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603" w:type="dxa"/>
            <w:tcBorders>
              <w:top w:val="single" w:color="auto" w:sz="4" w:space="0"/>
              <w:left w:val="single" w:color="auto" w:sz="4" w:space="0"/>
              <w:bottom w:val="single" w:color="auto" w:sz="4" w:space="0"/>
              <w:right w:val="single" w:color="auto" w:sz="4" w:space="0"/>
            </w:tcBorders>
            <w:shd w:val="clear" w:color="auto" w:fill="auto"/>
            <w:vAlign w:val="center"/>
          </w:tcPr>
          <w:p w14:paraId="3DD774B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宋体" w:hAnsi="宋体" w:cs="宋体"/>
                <w:color w:val="auto"/>
                <w:kern w:val="2"/>
                <w:sz w:val="24"/>
                <w:szCs w:val="24"/>
                <w:highlight w:val="none"/>
              </w:rPr>
            </w:pPr>
            <w:r>
              <w:rPr>
                <w:rFonts w:hint="eastAsia" w:ascii="宋体" w:hAnsi="宋体" w:cs="宋体"/>
                <w:color w:val="auto"/>
                <w:sz w:val="24"/>
                <w:szCs w:val="24"/>
                <w:highlight w:val="none"/>
              </w:rPr>
              <w:t>5</w:t>
            </w:r>
          </w:p>
        </w:tc>
        <w:tc>
          <w:tcPr>
            <w:tcW w:w="1387" w:type="dxa"/>
            <w:tcBorders>
              <w:top w:val="single" w:color="auto" w:sz="4" w:space="0"/>
              <w:left w:val="single" w:color="auto" w:sz="4" w:space="0"/>
              <w:bottom w:val="single" w:color="auto" w:sz="4" w:space="0"/>
              <w:right w:val="single" w:color="auto" w:sz="4" w:space="0"/>
            </w:tcBorders>
            <w:shd w:val="clear" w:color="auto" w:fill="auto"/>
            <w:vAlign w:val="center"/>
          </w:tcPr>
          <w:p w14:paraId="4A8D638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宋体" w:hAnsi="宋体" w:cs="宋体"/>
                <w:color w:val="auto"/>
                <w:sz w:val="24"/>
                <w:szCs w:val="24"/>
                <w:highlight w:val="none"/>
              </w:rPr>
            </w:pPr>
            <w:r>
              <w:rPr>
                <w:rFonts w:hint="eastAsia" w:ascii="宋体" w:hAnsi="宋体" w:cs="宋体"/>
                <w:color w:val="auto"/>
                <w:sz w:val="24"/>
                <w:szCs w:val="24"/>
                <w:highlight w:val="none"/>
              </w:rPr>
              <w:t>土壤墒情监测设备（带气象站一体式）</w:t>
            </w:r>
          </w:p>
        </w:tc>
        <w:tc>
          <w:tcPr>
            <w:tcW w:w="7005" w:type="dxa"/>
            <w:tcBorders>
              <w:top w:val="single" w:color="auto" w:sz="4" w:space="0"/>
              <w:left w:val="single" w:color="auto" w:sz="4" w:space="0"/>
              <w:bottom w:val="single" w:color="auto" w:sz="4" w:space="0"/>
              <w:right w:val="single" w:color="auto" w:sz="4" w:space="0"/>
            </w:tcBorders>
            <w:shd w:val="clear" w:color="auto" w:fill="auto"/>
            <w:vAlign w:val="center"/>
          </w:tcPr>
          <w:p w14:paraId="20775DAF">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1、设备具有数据采集及上传功能：监测指标包括但不限于土壤水分(体积含水量，不少于4层，0cm～20cm、20cm～40cm、40cm～60cm、60cm～100cm，</w:t>
            </w:r>
            <w:r>
              <w:rPr>
                <w:rFonts w:hint="eastAsia" w:ascii="宋体" w:hAnsi="宋体" w:cs="宋体"/>
                <w:color w:val="auto"/>
                <w:sz w:val="24"/>
                <w:szCs w:val="24"/>
                <w:highlight w:val="none"/>
                <w:lang w:eastAsia="zh-CN"/>
              </w:rPr>
              <w:t>敏感元件</w:t>
            </w:r>
            <w:r>
              <w:rPr>
                <w:rFonts w:hint="eastAsia" w:ascii="宋体" w:hAnsi="宋体" w:cs="宋体"/>
                <w:color w:val="auto"/>
                <w:sz w:val="24"/>
                <w:szCs w:val="24"/>
                <w:highlight w:val="none"/>
              </w:rPr>
              <w:t>的中心点安装位置需分别对应10cm、30cm、50cm和80cm)、土壤温度(层次要求同土壤含水量)、降雨量、空气温度、空气相对湿度、总辐射、风向、风速、大气压</w:t>
            </w:r>
            <w:bookmarkStart w:id="128" w:name="OLE_LINK78"/>
            <w:bookmarkStart w:id="129" w:name="OLE_LINK77"/>
            <w:r>
              <w:rPr>
                <w:rFonts w:hint="eastAsia" w:ascii="宋体" w:hAnsi="宋体" w:cs="宋体"/>
                <w:color w:val="auto"/>
                <w:sz w:val="24"/>
                <w:szCs w:val="24"/>
                <w:highlight w:val="none"/>
              </w:rPr>
              <w:t>、土壤EC(电导率)</w:t>
            </w:r>
            <w:bookmarkEnd w:id="128"/>
            <w:bookmarkEnd w:id="129"/>
            <w:r>
              <w:rPr>
                <w:rFonts w:hint="eastAsia" w:ascii="宋体" w:hAnsi="宋体" w:cs="宋体"/>
                <w:color w:val="auto"/>
                <w:sz w:val="24"/>
                <w:szCs w:val="24"/>
                <w:highlight w:val="none"/>
              </w:rPr>
              <w:t>等。设备能够通过对传感器监测数据的二次计算输出ET0(参考作物蒸发蒸腾量)。加装图象传感器，监测作物长势长相。</w:t>
            </w:r>
          </w:p>
          <w:p w14:paraId="7ED6104C">
            <w:pPr>
              <w:keepNext w:val="0"/>
              <w:keepLines w:val="0"/>
              <w:pageBreakBefore w:val="0"/>
              <w:kinsoku/>
              <w:wordWrap/>
              <w:overflowPunct/>
              <w:topLinePunct w:val="0"/>
              <w:autoSpaceDE/>
              <w:autoSpaceDN/>
              <w:bidi w:val="0"/>
              <w:adjustRightInd/>
              <w:snapToGrid/>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▲2、具备太阳能供电功能且有电池过充和过放保护，在无充电情况下可保证每小时采集传输上报 1 次数据并连续正常工作 15 天以上；（提供具有检测资质的机构出具的带有CNAS或CMA标识的检测报告原件扫描件）</w:t>
            </w:r>
          </w:p>
          <w:p w14:paraId="5D4F5D79">
            <w:pPr>
              <w:keepNext w:val="0"/>
              <w:keepLines w:val="0"/>
              <w:pageBreakBefore w:val="0"/>
              <w:tabs>
                <w:tab w:val="left" w:pos="409"/>
              </w:tabs>
              <w:kinsoku/>
              <w:wordWrap/>
              <w:overflowPunct/>
              <w:topLinePunct w:val="0"/>
              <w:autoSpaceDE/>
              <w:autoSpaceDN/>
              <w:bidi w:val="0"/>
              <w:adjustRightInd/>
              <w:snapToGrid/>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3、标准配置的传感器要素：</w:t>
            </w:r>
          </w:p>
          <w:p w14:paraId="6575B158">
            <w:pPr>
              <w:keepNext w:val="0"/>
              <w:keepLines w:val="0"/>
              <w:pageBreakBefore w:val="0"/>
              <w:kinsoku/>
              <w:wordWrap/>
              <w:overflowPunct/>
              <w:topLinePunct w:val="0"/>
              <w:autoSpaceDE/>
              <w:autoSpaceDN/>
              <w:bidi w:val="0"/>
              <w:adjustRightInd/>
              <w:snapToGrid/>
              <w:spacing w:line="400" w:lineRule="exact"/>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a)土壤含水量测量范围：0～80%；分辨率：≤0.1%；最大允许误差：±3%</w:t>
            </w:r>
          </w:p>
          <w:p w14:paraId="20E6C845">
            <w:pPr>
              <w:keepNext w:val="0"/>
              <w:keepLines w:val="0"/>
              <w:pageBreakBefore w:val="0"/>
              <w:kinsoku/>
              <w:wordWrap/>
              <w:overflowPunct/>
              <w:topLinePunct w:val="0"/>
              <w:autoSpaceDE/>
              <w:autoSpaceDN/>
              <w:bidi w:val="0"/>
              <w:adjustRightInd/>
              <w:snapToGrid/>
              <w:spacing w:line="400" w:lineRule="exact"/>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b)土壤温度测量范围：-20～80℃，分辨率：≤0.1℃；最大允许误差：±0.5℃</w:t>
            </w:r>
          </w:p>
          <w:p w14:paraId="613B0C54">
            <w:pPr>
              <w:keepNext w:val="0"/>
              <w:keepLines w:val="0"/>
              <w:pageBreakBefore w:val="0"/>
              <w:kinsoku/>
              <w:wordWrap/>
              <w:overflowPunct/>
              <w:topLinePunct w:val="0"/>
              <w:autoSpaceDE/>
              <w:autoSpaceDN/>
              <w:bidi w:val="0"/>
              <w:adjustRightInd/>
              <w:snapToGrid/>
              <w:spacing w:line="400" w:lineRule="exact"/>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c)空气温度测量范围：-20～80℃，分辨率：≤0.1℃，最大允许误差：±0.5℃</w:t>
            </w:r>
          </w:p>
          <w:p w14:paraId="6E5B122C">
            <w:pPr>
              <w:keepNext w:val="0"/>
              <w:keepLines w:val="0"/>
              <w:pageBreakBefore w:val="0"/>
              <w:kinsoku/>
              <w:wordWrap/>
              <w:overflowPunct/>
              <w:topLinePunct w:val="0"/>
              <w:autoSpaceDE/>
              <w:autoSpaceDN/>
              <w:bidi w:val="0"/>
              <w:adjustRightInd/>
              <w:snapToGrid/>
              <w:spacing w:line="400" w:lineRule="exact"/>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d)空气湿度测量范围：0～100%RH，分辨率：≤1%，最大允许误差：±3%（≤80％），±5%(&gt;80%)</w:t>
            </w:r>
          </w:p>
          <w:p w14:paraId="19DDF6BF">
            <w:pPr>
              <w:keepNext w:val="0"/>
              <w:keepLines w:val="0"/>
              <w:pageBreakBefore w:val="0"/>
              <w:kinsoku/>
              <w:wordWrap/>
              <w:overflowPunct/>
              <w:topLinePunct w:val="0"/>
              <w:autoSpaceDE/>
              <w:autoSpaceDN/>
              <w:bidi w:val="0"/>
              <w:adjustRightInd/>
              <w:snapToGrid/>
              <w:spacing w:line="400" w:lineRule="exact"/>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e)总辐射：测量范围：0～1500W/m²；分辨率：≤5W/m²；最大允许误差：±5%</w:t>
            </w:r>
          </w:p>
          <w:p w14:paraId="0B69FF2B">
            <w:pPr>
              <w:keepNext w:val="0"/>
              <w:keepLines w:val="0"/>
              <w:pageBreakBefore w:val="0"/>
              <w:kinsoku/>
              <w:wordWrap/>
              <w:overflowPunct/>
              <w:topLinePunct w:val="0"/>
              <w:autoSpaceDE/>
              <w:autoSpaceDN/>
              <w:bidi w:val="0"/>
              <w:adjustRightInd/>
              <w:snapToGrid/>
              <w:spacing w:line="400" w:lineRule="exact"/>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f)风速测量范围：0～60m/s；分辨率：≤0.1m/s；最大允许误差：±0.5m/s</w:t>
            </w:r>
          </w:p>
          <w:p w14:paraId="3FEB2A87">
            <w:pPr>
              <w:keepNext w:val="0"/>
              <w:keepLines w:val="0"/>
              <w:pageBreakBefore w:val="0"/>
              <w:kinsoku/>
              <w:wordWrap/>
              <w:overflowPunct/>
              <w:topLinePunct w:val="0"/>
              <w:autoSpaceDE/>
              <w:autoSpaceDN/>
              <w:bidi w:val="0"/>
              <w:adjustRightInd/>
              <w:snapToGrid/>
              <w:spacing w:line="400" w:lineRule="exact"/>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g)风向测量范围：0～360°；分辨率：≤3°；最大允许误差：±5°</w:t>
            </w:r>
          </w:p>
          <w:p w14:paraId="07C78453">
            <w:pPr>
              <w:keepNext w:val="0"/>
              <w:keepLines w:val="0"/>
              <w:pageBreakBefore w:val="0"/>
              <w:kinsoku/>
              <w:wordWrap/>
              <w:overflowPunct/>
              <w:topLinePunct w:val="0"/>
              <w:autoSpaceDE/>
              <w:autoSpaceDN/>
              <w:bidi w:val="0"/>
              <w:adjustRightInd/>
              <w:snapToGrid/>
              <w:spacing w:line="400" w:lineRule="exact"/>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h)雨量测量范围：0～4mm/min，0～200mm/天，分辨率：≤0.1mm，最大允许误差：±0.4mm或4%</w:t>
            </w:r>
          </w:p>
          <w:p w14:paraId="5E1BAF79">
            <w:pPr>
              <w:keepNext w:val="0"/>
              <w:keepLines w:val="0"/>
              <w:pageBreakBefore w:val="0"/>
              <w:kinsoku/>
              <w:wordWrap/>
              <w:overflowPunct/>
              <w:topLinePunct w:val="0"/>
              <w:autoSpaceDE/>
              <w:autoSpaceDN/>
              <w:bidi w:val="0"/>
              <w:adjustRightInd/>
              <w:snapToGrid/>
              <w:spacing w:line="400" w:lineRule="exact"/>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i)光照强度测量范围：0～200000 lux；分辨率：≤1Lux；最大允许误差：±2%FS</w:t>
            </w:r>
          </w:p>
          <w:p w14:paraId="181439ED">
            <w:pPr>
              <w:keepNext w:val="0"/>
              <w:keepLines w:val="0"/>
              <w:pageBreakBefore w:val="0"/>
              <w:kinsoku/>
              <w:wordWrap/>
              <w:overflowPunct/>
              <w:topLinePunct w:val="0"/>
              <w:autoSpaceDE/>
              <w:autoSpaceDN/>
              <w:bidi w:val="0"/>
              <w:adjustRightInd/>
              <w:snapToGrid/>
              <w:spacing w:line="400" w:lineRule="exact"/>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j)蒸发量：测量范围：0~100mm/h；分辨率：≤0.1mm；最大允许误差：±0.1mm</w:t>
            </w:r>
          </w:p>
          <w:p w14:paraId="3A9A391C">
            <w:pPr>
              <w:keepNext w:val="0"/>
              <w:keepLines w:val="0"/>
              <w:pageBreakBefore w:val="0"/>
              <w:kinsoku/>
              <w:wordWrap/>
              <w:overflowPunct/>
              <w:topLinePunct w:val="0"/>
              <w:autoSpaceDE/>
              <w:autoSpaceDN/>
              <w:bidi w:val="0"/>
              <w:adjustRightInd/>
              <w:snapToGrid/>
              <w:spacing w:line="400" w:lineRule="exact"/>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k)土壤pH：0～14；最大允许误差：±0.5</w:t>
            </w:r>
          </w:p>
          <w:p w14:paraId="4610321A">
            <w:pPr>
              <w:keepNext w:val="0"/>
              <w:keepLines w:val="0"/>
              <w:pageBreakBefore w:val="0"/>
              <w:kinsoku/>
              <w:wordWrap/>
              <w:overflowPunct/>
              <w:topLinePunct w:val="0"/>
              <w:autoSpaceDE/>
              <w:autoSpaceDN/>
              <w:bidi w:val="0"/>
              <w:adjustRightInd/>
              <w:snapToGrid/>
              <w:spacing w:line="400" w:lineRule="exact"/>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l)土壤EC值：0-2300uS/cm(bulk)；分辨率：≤1uS/cm</w:t>
            </w:r>
          </w:p>
          <w:p w14:paraId="186A161B">
            <w:pPr>
              <w:keepNext w:val="0"/>
              <w:keepLines w:val="0"/>
              <w:pageBreakBefore w:val="0"/>
              <w:kinsoku/>
              <w:wordWrap/>
              <w:overflowPunct/>
              <w:topLinePunct w:val="0"/>
              <w:autoSpaceDE/>
              <w:autoSpaceDN/>
              <w:bidi w:val="0"/>
              <w:adjustRightInd/>
              <w:snapToGrid/>
              <w:spacing w:line="400" w:lineRule="exact"/>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m)整机工作环境：温度：-20 ～ 80℃；相对湿度：5 ～ 90%RH</w:t>
            </w:r>
          </w:p>
          <w:p w14:paraId="67F686ED">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▲4、可查看作物生长苗情图片，支持动态播放苗情生长过程；（投标文件中需提供具有检测资质的机构出具的带有CNAS标识的检测报告原件扫描件）</w:t>
            </w:r>
          </w:p>
          <w:p w14:paraId="411BDA5A">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5、主机可通过管理云平台远程设置数据采集时间、存储和发送时间间隔及IP地址。数据可以上传到自己指定的电脑也可以上传到总服务器，可切换，无影响。</w:t>
            </w:r>
          </w:p>
          <w:p w14:paraId="0D50CB3C">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6、模块化设计，传感器可管理云平台进行任意配置，总共可接16种类型传感器，每种传感器可接16路，超过16路的可通过菜单设置进行增加。传感器采用低功耗设计，且内置一次性电池供电，可工作5年以上。</w:t>
            </w:r>
          </w:p>
          <w:p w14:paraId="7D75B206">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7、系统可兼容RS485和Lora两种传感器通讯接口；超声波风速风向传感器，RS485接口+12V电源，管式墒情采用有线RS485+8V电源接口。系统采用FREERTOS操作系统，提升了系统运行的可靠性、多数据采集任务的实时性、系统模块化、CPU的高效化应用。</w:t>
            </w:r>
          </w:p>
          <w:p w14:paraId="1E619E1B">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▲8、设备可自动获取安装点的海拔数据及GPS坐标信息，可知道设备及数据采集点具体的地理位置，防盗防位移；（投标文件中需提供具有检测资质的机构出具的带有CNAS标识的检测报告原件扫描件）</w:t>
            </w:r>
          </w:p>
          <w:p w14:paraId="2B070940">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9、设备自带摄像头，≥2.7英寸，1920×1080，不低于200W像素，可视场角90°，支持定时拍照功能，可将现场图片上传到管理云平台方便观察植物实际生长情况，也可在平台上设置拍照间隔和时间；（投标文件中需提供具有检测资质的机构出具的带有CNAS标识的检测报告原件扫描件）。</w:t>
            </w:r>
          </w:p>
          <w:p w14:paraId="0AB9E5A4">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10、系统供电系统为太阳能+充电电池结合模式，内置一次磷酸铁锂15Ah电池，拆卸更换方便，可独立工作15天以上。</w:t>
            </w:r>
          </w:p>
          <w:p w14:paraId="0718E2F7">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11、防护等级：设备机箱、电缆接头、防护罩等暴露于地表以上的部件外壳防护等级不低于IP65，土壤水分传感器各部件外壳防护等级不低于IP68。</w:t>
            </w:r>
          </w:p>
          <w:p w14:paraId="7F1522B3">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12、系统采用抗震级设计，可支持抵抗11级台风等级,长效续航：内置大容量锂电池，可独立工作15天以上。外接太阳能电池板，可实现连续工作。</w:t>
            </w:r>
          </w:p>
          <w:p w14:paraId="1C0072B9">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13、其他要求：设备须支持移动4G/5G网络数据上传（TCP/IP协议），可实时进行数据自动采集，自动定时上报空间位置信息，支持本地数据存储与导出。支持远程升级功能。采集的数据能自动上传到云端系统，不得通过中间服务器转发。可设置设备数据采集和发送时间间隔，具备自主数据质量保证机制，自动补发未成功上传的数据。仪器设备出现问题能及时自动向管理人员报警。仪器设备提供传感器温度补偿、盐度补偿模型以及多种土壤质地的水分标定模型库。质保期内免流量费，设备免费维修（48小时内响应）。</w:t>
            </w:r>
          </w:p>
        </w:tc>
      </w:tr>
      <w:tr w14:paraId="298AE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603" w:type="dxa"/>
            <w:tcBorders>
              <w:top w:val="single" w:color="auto" w:sz="4" w:space="0"/>
              <w:left w:val="single" w:color="auto" w:sz="4" w:space="0"/>
              <w:bottom w:val="single" w:color="auto" w:sz="4" w:space="0"/>
              <w:right w:val="single" w:color="auto" w:sz="4" w:space="0"/>
            </w:tcBorders>
            <w:shd w:val="clear" w:color="auto" w:fill="auto"/>
            <w:vAlign w:val="center"/>
          </w:tcPr>
          <w:p w14:paraId="3868C95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宋体" w:hAnsi="宋体" w:cs="宋体"/>
                <w:color w:val="auto"/>
                <w:kern w:val="2"/>
                <w:sz w:val="24"/>
                <w:szCs w:val="24"/>
                <w:highlight w:val="none"/>
              </w:rPr>
            </w:pPr>
            <w:r>
              <w:rPr>
                <w:rFonts w:hint="eastAsia" w:ascii="宋体" w:hAnsi="宋体" w:cs="宋体"/>
                <w:color w:val="auto"/>
                <w:sz w:val="24"/>
                <w:szCs w:val="24"/>
                <w:highlight w:val="none"/>
              </w:rPr>
              <w:t>6</w:t>
            </w:r>
          </w:p>
        </w:tc>
        <w:tc>
          <w:tcPr>
            <w:tcW w:w="1387" w:type="dxa"/>
            <w:tcBorders>
              <w:top w:val="single" w:color="auto" w:sz="4" w:space="0"/>
              <w:left w:val="single" w:color="auto" w:sz="4" w:space="0"/>
              <w:bottom w:val="single" w:color="auto" w:sz="4" w:space="0"/>
              <w:right w:val="single" w:color="auto" w:sz="4" w:space="0"/>
            </w:tcBorders>
            <w:shd w:val="clear" w:color="auto" w:fill="auto"/>
            <w:vAlign w:val="center"/>
          </w:tcPr>
          <w:p w14:paraId="154E29B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宋体" w:hAnsi="宋体" w:cs="宋体"/>
                <w:color w:val="auto"/>
                <w:sz w:val="24"/>
                <w:szCs w:val="24"/>
                <w:highlight w:val="none"/>
              </w:rPr>
            </w:pPr>
            <w:r>
              <w:rPr>
                <w:rFonts w:hint="eastAsia" w:ascii="宋体" w:hAnsi="宋体" w:cs="宋体"/>
                <w:color w:val="auto"/>
                <w:sz w:val="24"/>
                <w:szCs w:val="24"/>
                <w:highlight w:val="none"/>
              </w:rPr>
              <w:t>高空鹰眼监控</w:t>
            </w:r>
          </w:p>
        </w:tc>
        <w:tc>
          <w:tcPr>
            <w:tcW w:w="7005" w:type="dxa"/>
            <w:tcBorders>
              <w:top w:val="single" w:color="auto" w:sz="4" w:space="0"/>
              <w:left w:val="single" w:color="auto" w:sz="4" w:space="0"/>
              <w:bottom w:val="single" w:color="auto" w:sz="4" w:space="0"/>
              <w:right w:val="single" w:color="auto" w:sz="4" w:space="0"/>
            </w:tcBorders>
            <w:shd w:val="clear" w:color="auto" w:fill="auto"/>
            <w:vAlign w:val="center"/>
          </w:tcPr>
          <w:p w14:paraId="7A03A3FE">
            <w:pPr>
              <w:keepNext w:val="0"/>
              <w:keepLines w:val="0"/>
              <w:pageBreakBefore w:val="0"/>
              <w:kinsoku/>
              <w:wordWrap/>
              <w:overflowPunct/>
              <w:topLinePunct w:val="0"/>
              <w:autoSpaceDE/>
              <w:autoSpaceDN/>
              <w:bidi w:val="0"/>
              <w:adjustRightInd/>
              <w:snapToGrid/>
              <w:spacing w:line="400" w:lineRule="exact"/>
              <w:rPr>
                <w:rFonts w:hint="eastAsia" w:ascii="宋体" w:hAnsi="宋体" w:eastAsia="宋体" w:cs="宋体"/>
                <w:color w:val="auto"/>
                <w:sz w:val="24"/>
                <w:szCs w:val="24"/>
                <w:highlight w:val="none"/>
                <w:lang w:eastAsia="zh-CN"/>
              </w:rPr>
            </w:pPr>
            <w:bookmarkStart w:id="130" w:name="OLE_LINK94"/>
            <w:bookmarkStart w:id="131" w:name="OLE_LINK93"/>
            <w:r>
              <w:rPr>
                <w:rFonts w:hint="eastAsia" w:ascii="宋体" w:hAnsi="宋体" w:cs="宋体"/>
                <w:color w:val="auto"/>
                <w:sz w:val="24"/>
                <w:szCs w:val="24"/>
                <w:highlight w:val="none"/>
                <w:lang w:eastAsia="zh-CN"/>
              </w:rPr>
              <w:t>（一）</w:t>
            </w:r>
            <w:r>
              <w:rPr>
                <w:rFonts w:hint="eastAsia" w:ascii="宋体" w:hAnsi="宋体" w:cs="宋体"/>
                <w:color w:val="auto"/>
                <w:sz w:val="24"/>
                <w:szCs w:val="24"/>
                <w:highlight w:val="none"/>
              </w:rPr>
              <w:t>高空鹰眼监控</w:t>
            </w:r>
          </w:p>
          <w:p w14:paraId="4722F43B">
            <w:pPr>
              <w:keepNext w:val="0"/>
              <w:keepLines w:val="0"/>
              <w:pageBreakBefore w:val="0"/>
              <w:kinsoku/>
              <w:wordWrap/>
              <w:overflowPunct/>
              <w:topLinePunct w:val="0"/>
              <w:autoSpaceDE/>
              <w:autoSpaceDN/>
              <w:bidi w:val="0"/>
              <w:adjustRightInd/>
              <w:snapToGrid/>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1、像素：全景通道：</w:t>
            </w:r>
            <w:bookmarkStart w:id="132" w:name="OLE_LINK82"/>
            <w:bookmarkStart w:id="133" w:name="OLE_LINK81"/>
            <w:r>
              <w:rPr>
                <w:rFonts w:hint="eastAsia" w:ascii="宋体" w:hAnsi="宋体" w:cs="宋体"/>
                <w:color w:val="auto"/>
                <w:sz w:val="24"/>
                <w:szCs w:val="24"/>
                <w:highlight w:val="none"/>
              </w:rPr>
              <w:t>≥</w:t>
            </w:r>
            <w:bookmarkEnd w:id="132"/>
            <w:bookmarkEnd w:id="133"/>
            <w:r>
              <w:rPr>
                <w:rFonts w:hint="eastAsia" w:ascii="宋体" w:hAnsi="宋体" w:cs="宋体"/>
                <w:color w:val="auto"/>
                <w:sz w:val="24"/>
                <w:szCs w:val="24"/>
                <w:highlight w:val="none"/>
              </w:rPr>
              <w:t>1600万像素（分辨率≥6072×2640，180°鹰眼_400万40倍；采用4个高性能400万像素1/1.8英寸CMOS图像传感器），细节通道：≥400万像素（分辨率≥2688×1520）。</w:t>
            </w:r>
          </w:p>
          <w:p w14:paraId="223240A9">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视场角：水平：不小于180°，竖直：不小于110°；</w:t>
            </w:r>
          </w:p>
          <w:p w14:paraId="0B3951A5">
            <w:pPr>
              <w:keepNext w:val="0"/>
              <w:keepLines w:val="0"/>
              <w:pageBreakBefore w:val="0"/>
              <w:kinsoku/>
              <w:wordWrap/>
              <w:overflowPunct/>
              <w:topLinePunct w:val="0"/>
              <w:autoSpaceDE/>
              <w:autoSpaceDN/>
              <w:bidi w:val="0"/>
              <w:adjustRightInd/>
              <w:snapToGrid/>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2、传感器：全景通道：≥1/1.8"</w:t>
            </w:r>
            <w:bookmarkStart w:id="134" w:name="OLE_LINK87"/>
            <w:bookmarkStart w:id="135" w:name="OLE_LINK88"/>
            <w:r>
              <w:rPr>
                <w:rFonts w:hint="eastAsia" w:ascii="宋体" w:hAnsi="宋体" w:cs="宋体"/>
                <w:color w:val="auto"/>
                <w:sz w:val="24"/>
                <w:szCs w:val="24"/>
                <w:highlight w:val="none"/>
              </w:rPr>
              <w:t>Progressive Scan CMOS</w:t>
            </w:r>
            <w:bookmarkEnd w:id="134"/>
            <w:bookmarkEnd w:id="135"/>
            <w:r>
              <w:rPr>
                <w:rFonts w:hint="eastAsia" w:ascii="宋体" w:hAnsi="宋体" w:cs="宋体"/>
                <w:color w:val="auto"/>
                <w:sz w:val="24"/>
                <w:szCs w:val="24"/>
                <w:highlight w:val="none"/>
              </w:rPr>
              <w:t xml:space="preserve">；细节通道： </w:t>
            </w:r>
          </w:p>
          <w:p w14:paraId="4074172E">
            <w:pPr>
              <w:keepNext w:val="0"/>
              <w:keepLines w:val="0"/>
              <w:pageBreakBefore w:val="0"/>
              <w:kinsoku/>
              <w:wordWrap/>
              <w:overflowPunct/>
              <w:topLinePunct w:val="0"/>
              <w:autoSpaceDE/>
              <w:autoSpaceDN/>
              <w:bidi w:val="0"/>
              <w:adjustRightInd/>
              <w:snapToGrid/>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≥1/1.8" Progressive Scan CMOS。镜头光圈：全景通道：F1.0～F1.6；细节通道：F1.2～F4.0（支持自动调节）</w:t>
            </w:r>
          </w:p>
          <w:p w14:paraId="0361DD66">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3、最低照度：【全景】0.0005Lu×/F1.0（彩色），0.0001Lu×/F1.0（黑白）；【细节】星光级超低照度，0.0005Lu×/F1.2（彩色），0.0001Lu×/F1.2（黑白），0 Lu× with IR ；</w:t>
            </w:r>
          </w:p>
          <w:p w14:paraId="5DF1A8B5">
            <w:pPr>
              <w:keepNext w:val="0"/>
              <w:keepLines w:val="0"/>
              <w:pageBreakBefore w:val="0"/>
              <w:kinsoku/>
              <w:wordWrap/>
              <w:overflowPunct/>
              <w:topLinePunct w:val="0"/>
              <w:autoSpaceDE/>
              <w:autoSpaceDN/>
              <w:bidi w:val="0"/>
              <w:adjustRightInd/>
              <w:snapToGrid/>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4、旋转范围：水平:0°～360°连续旋转；垂直:-15°</w:t>
            </w:r>
            <w:bookmarkStart w:id="136" w:name="OLE_LINK91"/>
            <w:bookmarkStart w:id="137" w:name="OLE_LINK92"/>
            <w:r>
              <w:rPr>
                <w:rFonts w:hint="eastAsia" w:ascii="宋体" w:hAnsi="宋体" w:cs="宋体"/>
                <w:color w:val="auto"/>
                <w:sz w:val="24"/>
                <w:szCs w:val="24"/>
                <w:highlight w:val="none"/>
              </w:rPr>
              <w:t>～</w:t>
            </w:r>
            <w:bookmarkEnd w:id="136"/>
            <w:bookmarkEnd w:id="137"/>
            <w:r>
              <w:rPr>
                <w:rFonts w:hint="eastAsia" w:ascii="宋体" w:hAnsi="宋体" w:cs="宋体"/>
                <w:color w:val="auto"/>
                <w:sz w:val="24"/>
                <w:szCs w:val="24"/>
                <w:highlight w:val="none"/>
              </w:rPr>
              <w:t>+90°；预置点≥300个；</w:t>
            </w:r>
          </w:p>
          <w:p w14:paraId="2F7D560E">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5、球机内置高效红外补光灯，最大红外监控距离300米；</w:t>
            </w:r>
          </w:p>
          <w:p w14:paraId="46F35D86">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6、主码流帧率分辨率：全景：50Hz: 25fps (6072×2640,5520×2400, 4096×1800,3840×1680, 2784×1200) 60Hz: 30fps (6072×2640，5520×2400,  4096×1800，3840×1680, 2784×1200)</w:t>
            </w:r>
          </w:p>
          <w:p w14:paraId="4B0447E9">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细节：50Hz:25fps (2688×1520，2560×1440,1920×1080,1280×960,1280×720) 60Hz:30fps （2688×1520，2560×1440,1920×1080,1280×960,1280×720)；</w:t>
            </w:r>
          </w:p>
          <w:p w14:paraId="42406B1A">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7、视频压缩标准：H.265；H.264；MJPEG ；</w:t>
            </w:r>
          </w:p>
          <w:p w14:paraId="552D0765">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8、支持宽动态，3D降噪，强光抑制，背光补偿，适用不同监控环境；</w:t>
            </w:r>
          </w:p>
          <w:p w14:paraId="1926EF32">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9、供电方式：DC36V；整机平均功耗75w，最大功耗≤90w；</w:t>
            </w:r>
          </w:p>
          <w:p w14:paraId="61C3E814">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10、工作环境：工作温度-40℃～70℃；工作湿度≤95%；</w:t>
            </w:r>
          </w:p>
          <w:p w14:paraId="0B5BA327">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11、除雾：支持；</w:t>
            </w:r>
          </w:p>
          <w:p w14:paraId="0D8041E5">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12、卫星定位：支持北斗卫星定位；</w:t>
            </w:r>
          </w:p>
          <w:p w14:paraId="7301840B">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13、陀螺仪：支持；</w:t>
            </w:r>
          </w:p>
          <w:p w14:paraId="053EDD56">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14、电子罗盘：支持； </w:t>
            </w:r>
          </w:p>
          <w:p w14:paraId="2FB58A61">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15、网络接口：RJ45网口；自适应10M/100M/1000M网络数据；</w:t>
            </w:r>
          </w:p>
          <w:p w14:paraId="4CF67D20">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16、音频接口：≥1 路音频输入，≥1 路音频输出；</w:t>
            </w:r>
          </w:p>
          <w:p w14:paraId="074EC2E0">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17、报警接口：≥3 路报警输入，≥2 路报警输出</w:t>
            </w:r>
          </w:p>
          <w:p w14:paraId="3EA6F1CC">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16、光纤接口：FC接口；内置光纤模块；波长T×1310/R×1550nm；20km传输距离；单模单纤；1000M网络数据；</w:t>
            </w:r>
          </w:p>
          <w:p w14:paraId="2894475D">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17、SD卡扩展：内置Micro SD卡插槽，支持Micro SD/Micro SDHC/Micro SD×C卡（最大支持512G）；</w:t>
            </w:r>
          </w:p>
          <w:p w14:paraId="0531AB55">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18、防护：≥IP67（防尘防水）；支持防雷击（≥6000V）、防浪涌、防突波，符合GB/T17626.2/3/4/5/6四级标准；</w:t>
            </w:r>
          </w:p>
          <w:p w14:paraId="0D3CF9FF">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19、支持点击联动功能，通过在客户端点击或者框选全景摄像机画面任意位置，细节跟踪摄像机可自动通过云台调整与变焦，将该区域置于画面中心；</w:t>
            </w:r>
          </w:p>
          <w:p w14:paraId="7B81C220">
            <w:pPr>
              <w:keepNext w:val="0"/>
              <w:keepLines w:val="0"/>
              <w:pageBreakBefore w:val="0"/>
              <w:kinsoku/>
              <w:wordWrap/>
              <w:overflowPunct/>
              <w:topLinePunct w:val="0"/>
              <w:autoSpaceDE/>
              <w:autoSpaceDN/>
              <w:bidi w:val="0"/>
              <w:adjustRightInd/>
              <w:snapToGrid/>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20、支持目标自动跟踪功能，通过设置智能事件规则，对设定区域内触发事件的运动目标在设定的跟踪时间内进行持续稳定跟踪。并可在跟踪过程中手动切换跟踪目标，支持手动选择跟踪目标，在设定跟踪时间内进行持续稳定跟踪；支持区域入侵、越界侦测、进入/离开区域、徘徊检测、停车检测、物品遗留/搬移；</w:t>
            </w:r>
          </w:p>
          <w:p w14:paraId="13B241C4">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21、支持GB35114A级安全加密；</w:t>
            </w:r>
          </w:p>
          <w:p w14:paraId="4C0F58D1">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22、立杆，高度≥9米，主杆板厚8mm；</w:t>
            </w:r>
          </w:p>
          <w:p w14:paraId="3DA2DCD8">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23、立杆水泥地基，含地笼等预埋件，C25混凝土。</w:t>
            </w:r>
          </w:p>
          <w:p w14:paraId="29145F25">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24、其他要求：</w:t>
            </w:r>
          </w:p>
          <w:p w14:paraId="6603A6CB">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24.</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 xml:space="preserve"> 数据回传支持图像远程传输；</w:t>
            </w:r>
          </w:p>
          <w:p w14:paraId="2C7A1647">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24.</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 xml:space="preserve"> 数据管理支持云端或本地化数据管理功能；</w:t>
            </w:r>
          </w:p>
          <w:p w14:paraId="0843E047">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24.</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 xml:space="preserve"> 接入要求支持接入苏农云平台；</w:t>
            </w:r>
          </w:p>
          <w:p w14:paraId="6B1CF74F">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24.</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 xml:space="preserve"> 包含核心支架、供电与防雷套件及完善的售后保障等</w:t>
            </w:r>
            <w:bookmarkEnd w:id="130"/>
            <w:bookmarkEnd w:id="131"/>
            <w:r>
              <w:rPr>
                <w:rFonts w:hint="eastAsia" w:ascii="宋体" w:hAnsi="宋体" w:cs="宋体"/>
                <w:color w:val="auto"/>
                <w:sz w:val="24"/>
                <w:szCs w:val="24"/>
                <w:highlight w:val="none"/>
                <w:lang w:eastAsia="zh-CN"/>
              </w:rPr>
              <w:t>（二）录像机</w:t>
            </w:r>
          </w:p>
          <w:p w14:paraId="63F4B172">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整机采用短机箱设计，搭载高性能电源</w:t>
            </w:r>
          </w:p>
          <w:p w14:paraId="4CEEB8C4">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【硬件规格】</w:t>
            </w:r>
          </w:p>
          <w:p w14:paraId="3797CF14">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存储接口：2个SATA接口，可满配20TB硬盘</w:t>
            </w:r>
          </w:p>
          <w:p w14:paraId="11786152">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视频接口：1×HDMI，1×VGA</w:t>
            </w:r>
          </w:p>
          <w:p w14:paraId="55DE1F0F">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网络接口：2×RJ45 10/100/1000Mbps自适应以太网口</w:t>
            </w:r>
          </w:p>
          <w:p w14:paraId="18A84271">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报警接口：4路报警输入，1路报警输出</w:t>
            </w:r>
          </w:p>
          <w:p w14:paraId="2AD4E44F">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USB接口：1×USB 2.0，1×USB 3.0</w:t>
            </w:r>
          </w:p>
          <w:p w14:paraId="04FBF230">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【产品性能】</w:t>
            </w:r>
          </w:p>
          <w:p w14:paraId="32E75442">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输入带宽：128Mbps</w:t>
            </w:r>
          </w:p>
          <w:p w14:paraId="68DCCEA5">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输出带宽：256Mbps</w:t>
            </w:r>
          </w:p>
          <w:p w14:paraId="2C4F0179">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接入能力：8路H.264、H.265格式高清码流接入</w:t>
            </w:r>
          </w:p>
          <w:p w14:paraId="2B860912">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解码能力：最大支持32×1080P</w:t>
            </w:r>
          </w:p>
          <w:p w14:paraId="443F2B99">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显示能力：最大支持8K+1080P异源输出</w:t>
            </w:r>
          </w:p>
          <w:p w14:paraId="26934FE8">
            <w:pPr>
              <w:keepNext w:val="0"/>
              <w:keepLines w:val="0"/>
              <w:pageBreakBefore w:val="0"/>
              <w:widowControl/>
              <w:numPr>
                <w:ilvl w:val="0"/>
                <w:numId w:val="0"/>
              </w:numPr>
              <w:kinsoku/>
              <w:wordWrap/>
              <w:overflowPunct/>
              <w:topLinePunct w:val="0"/>
              <w:autoSpaceDE/>
              <w:autoSpaceDN/>
              <w:bidi w:val="0"/>
              <w:adjustRightInd/>
              <w:snapToGrid/>
              <w:spacing w:line="400" w:lineRule="exact"/>
              <w:textAlignment w:val="center"/>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（三）硬盘</w:t>
            </w:r>
          </w:p>
          <w:p w14:paraId="366CB68B">
            <w:pPr>
              <w:keepNext w:val="0"/>
              <w:keepLines w:val="0"/>
              <w:pageBreakBefore w:val="0"/>
              <w:widowControl/>
              <w:numPr>
                <w:ilvl w:val="0"/>
                <w:numId w:val="0"/>
              </w:numPr>
              <w:kinsoku/>
              <w:wordWrap/>
              <w:overflowPunct/>
              <w:topLinePunct w:val="0"/>
              <w:autoSpaceDE/>
              <w:autoSpaceDN/>
              <w:bidi w:val="0"/>
              <w:adjustRightInd/>
              <w:snapToGrid/>
              <w:spacing w:line="400" w:lineRule="exact"/>
              <w:textAlignment w:val="center"/>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4TB容量，3.5英寸，SATA3.0接口，5400RPM</w:t>
            </w:r>
          </w:p>
          <w:p w14:paraId="4C76C767">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空气盘， CMR传统磁记录</w:t>
            </w:r>
          </w:p>
          <w:p w14:paraId="0113E384">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传输速率180MB/s，流畅存储视频有效防止丢帧</w:t>
            </w:r>
          </w:p>
          <w:p w14:paraId="78802C29">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高级格式（AF）512e扇区技术，保障硬盘扇区4K对齐</w:t>
            </w:r>
          </w:p>
          <w:p w14:paraId="4B28D7BE">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满足数据严苛的7*24小时运行可靠性、安全性的需求</w:t>
            </w:r>
          </w:p>
          <w:p w14:paraId="7AF1B022">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适用海拔高度范围-305m至3050m</w:t>
            </w:r>
          </w:p>
          <w:p w14:paraId="2B6B93ED">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标称容量：4TB</w:t>
            </w:r>
          </w:p>
          <w:p w14:paraId="5079B543">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外形规格：3.5-inch</w:t>
            </w:r>
          </w:p>
          <w:p w14:paraId="01B616A2">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接口类型：SATA</w:t>
            </w:r>
          </w:p>
          <w:p w14:paraId="68B7F194">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刻录技术：CMR</w:t>
            </w:r>
          </w:p>
          <w:p w14:paraId="4DC42ADE">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转速：5400RPM</w:t>
            </w:r>
          </w:p>
          <w:p w14:paraId="5336AEF9">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缓存：256MB</w:t>
            </w:r>
          </w:p>
          <w:p w14:paraId="3AE9BCC5">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最大读取速度：180MB/s</w:t>
            </w:r>
          </w:p>
          <w:p w14:paraId="64CFEA0A">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接口传输速率（最大值）：6.0Gb/s</w:t>
            </w:r>
          </w:p>
          <w:p w14:paraId="63152DDF">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平均读写功率（W）：3.7W</w:t>
            </w:r>
          </w:p>
          <w:p w14:paraId="0F5866FD">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加载/卸载周期：600,000</w:t>
            </w:r>
          </w:p>
          <w:p w14:paraId="3C0AB5FB">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MTBF：1,000,000</w:t>
            </w:r>
          </w:p>
          <w:p w14:paraId="533C3FEA">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年负荷（TB/年）：180TB</w:t>
            </w:r>
          </w:p>
          <w:p w14:paraId="681E3742">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工作状态温度(°C)：0-65℃</w:t>
            </w:r>
          </w:p>
          <w:p w14:paraId="65346583">
            <w:pPr>
              <w:keepNext w:val="0"/>
              <w:keepLines w:val="0"/>
              <w:pageBreakBefore w:val="0"/>
              <w:widowControl/>
              <w:kinsoku/>
              <w:wordWrap/>
              <w:overflowPunct/>
              <w:topLinePunct w:val="0"/>
              <w:autoSpaceDE/>
              <w:autoSpaceDN/>
              <w:bidi w:val="0"/>
              <w:adjustRightInd/>
              <w:snapToGrid/>
              <w:spacing w:line="400" w:lineRule="exact"/>
              <w:textAlignment w:val="center"/>
              <w:rPr>
                <w:rFonts w:hint="default"/>
                <w:lang w:val="en-US" w:eastAsia="zh-CN"/>
              </w:rPr>
            </w:pPr>
            <w:r>
              <w:rPr>
                <w:rFonts w:hint="eastAsia" w:ascii="宋体" w:hAnsi="宋体" w:cs="宋体"/>
                <w:color w:val="auto"/>
                <w:spacing w:val="0"/>
                <w:sz w:val="24"/>
                <w:szCs w:val="24"/>
                <w:highlight w:val="none"/>
                <w:lang w:val="en-US" w:eastAsia="zh-CN" w:bidi="ar-SA"/>
              </w:rPr>
              <w:t>注：视频存储时间不少于14天；</w:t>
            </w:r>
          </w:p>
        </w:tc>
      </w:tr>
      <w:tr w14:paraId="3AB50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603" w:type="dxa"/>
            <w:tcBorders>
              <w:top w:val="single" w:color="auto" w:sz="4" w:space="0"/>
              <w:left w:val="single" w:color="auto" w:sz="4" w:space="0"/>
              <w:bottom w:val="single" w:color="auto" w:sz="4" w:space="0"/>
              <w:right w:val="single" w:color="auto" w:sz="4" w:space="0"/>
            </w:tcBorders>
            <w:shd w:val="clear" w:color="auto" w:fill="auto"/>
            <w:vAlign w:val="center"/>
          </w:tcPr>
          <w:p w14:paraId="4807B10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宋体" w:hAnsi="宋体" w:cs="宋体"/>
                <w:color w:val="auto"/>
                <w:kern w:val="2"/>
                <w:sz w:val="24"/>
                <w:szCs w:val="24"/>
                <w:highlight w:val="none"/>
              </w:rPr>
            </w:pPr>
            <w:r>
              <w:rPr>
                <w:rFonts w:hint="eastAsia" w:ascii="宋体" w:hAnsi="宋体" w:cs="宋体"/>
                <w:color w:val="auto"/>
                <w:sz w:val="24"/>
                <w:szCs w:val="24"/>
                <w:highlight w:val="none"/>
              </w:rPr>
              <w:t>7</w:t>
            </w:r>
          </w:p>
        </w:tc>
        <w:tc>
          <w:tcPr>
            <w:tcW w:w="1387" w:type="dxa"/>
            <w:tcBorders>
              <w:top w:val="single" w:color="auto" w:sz="4" w:space="0"/>
              <w:left w:val="single" w:color="auto" w:sz="4" w:space="0"/>
              <w:bottom w:val="single" w:color="auto" w:sz="4" w:space="0"/>
              <w:right w:val="single" w:color="auto" w:sz="4" w:space="0"/>
            </w:tcBorders>
            <w:shd w:val="clear" w:color="auto" w:fill="auto"/>
            <w:vAlign w:val="center"/>
          </w:tcPr>
          <w:p w14:paraId="7A9132F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宋体" w:hAnsi="宋体" w:cs="宋体"/>
                <w:color w:val="auto"/>
                <w:sz w:val="24"/>
                <w:szCs w:val="24"/>
                <w:highlight w:val="none"/>
              </w:rPr>
            </w:pPr>
            <w:r>
              <w:rPr>
                <w:rFonts w:hint="eastAsia" w:ascii="宋体" w:hAnsi="宋体" w:cs="宋体"/>
                <w:color w:val="auto"/>
                <w:sz w:val="24"/>
                <w:szCs w:val="24"/>
                <w:highlight w:val="none"/>
              </w:rPr>
              <w:t>巡田无人机及机库</w:t>
            </w:r>
          </w:p>
        </w:tc>
        <w:tc>
          <w:tcPr>
            <w:tcW w:w="7005" w:type="dxa"/>
            <w:tcBorders>
              <w:top w:val="single" w:color="auto" w:sz="4" w:space="0"/>
              <w:left w:val="single" w:color="auto" w:sz="4" w:space="0"/>
              <w:bottom w:val="single" w:color="auto" w:sz="4" w:space="0"/>
              <w:right w:val="single" w:color="auto" w:sz="4" w:space="0"/>
            </w:tcBorders>
            <w:shd w:val="clear" w:color="auto" w:fill="auto"/>
            <w:vAlign w:val="center"/>
          </w:tcPr>
          <w:p w14:paraId="38628801">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1、多光谱无人机裸机重量（带桨叶和RTK模块）≦951克。最大起飞重量≥1000 克。最大上升速度≥6米/秒。最大下降速度≥6米/秒。最大水平飞行速度≥15米/秒。最大抗风速度</w:t>
            </w:r>
            <w:bookmarkStart w:id="138" w:name="OLE_LINK96"/>
            <w:bookmarkStart w:id="139" w:name="OLE_LINK95"/>
            <w:r>
              <w:rPr>
                <w:rFonts w:hint="eastAsia" w:ascii="宋体" w:hAnsi="宋体" w:cs="宋体"/>
                <w:color w:val="auto"/>
                <w:sz w:val="24"/>
                <w:szCs w:val="24"/>
                <w:highlight w:val="none"/>
              </w:rPr>
              <w:t>≥</w:t>
            </w:r>
            <w:bookmarkEnd w:id="138"/>
            <w:bookmarkEnd w:id="139"/>
            <w:r>
              <w:rPr>
                <w:rFonts w:hint="eastAsia" w:ascii="宋体" w:hAnsi="宋体" w:cs="宋体"/>
                <w:color w:val="auto"/>
                <w:sz w:val="24"/>
                <w:szCs w:val="24"/>
                <w:highlight w:val="none"/>
              </w:rPr>
              <w:t>6级（≥10.8米/秒 ）。最大起飞</w:t>
            </w:r>
            <w:r>
              <w:rPr>
                <w:rFonts w:hint="eastAsia" w:ascii="宋体" w:hAnsi="宋体" w:cs="宋体"/>
                <w:color w:val="auto"/>
                <w:sz w:val="24"/>
                <w:szCs w:val="24"/>
                <w:highlight w:val="none"/>
                <w:lang w:eastAsia="zh-CN"/>
              </w:rPr>
              <w:t>海拔</w:t>
            </w:r>
            <w:r>
              <w:rPr>
                <w:rFonts w:hint="eastAsia" w:ascii="宋体" w:hAnsi="宋体" w:cs="宋体"/>
                <w:color w:val="auto"/>
                <w:sz w:val="24"/>
                <w:szCs w:val="24"/>
                <w:highlight w:val="none"/>
              </w:rPr>
              <w:t>：6000米（空载飞行）。最长飞行时间（无风环境）≥40分钟。最长悬停时间（无风环境）≥35分钟。最大续航里程≥30公里。无人机内置光强传感器。配件包括电池、充电器、存储卡、RTK 模块等必要部件。</w:t>
            </w:r>
          </w:p>
          <w:p w14:paraId="3EA50E75">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2、云台相机性能：包含1个可见光相机和4个多光谱相机。可见光相机采用4/3 CMOS，有效像素≥2000 万；4个500万像素的多光谱相机（绿光、红光、红边和近红外），配合多光谱光强传感器，可获取准确的多光谱信息，实现高精度航测、作物生长监测、自然资源调查等应用。</w:t>
            </w:r>
          </w:p>
          <w:p w14:paraId="3083600F">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3、图传性能：外置与内置共4根天线，在无干扰和无遮挡环境下，可达到最大15 km 通信距离与最高1080p 30fps高清图传；支持2.4 GHz和5.8 GHz双频段，并可智能切换。</w:t>
            </w:r>
          </w:p>
          <w:p w14:paraId="030DF851">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4、智能飞行功能：高级辅助飞行能在用户保持打杆飞行的情况下主动绕开障碍物，全向避障使飞行更智能安全；实时仿地：面对起伏地形时，在航测作业时可通过视觉系统直接实现仿地飞行，使飞行器跟随地形变化调整飞行高度，无需提前导入外部数据，提升测绘效率。</w:t>
            </w:r>
          </w:p>
          <w:p w14:paraId="03BF0900">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▲6、出苗识别：可自动分析采集图片中的幼苗，自动检测和统计农田中作物的出苗数据；（投标文件中需提供相关证明材料）</w:t>
            </w:r>
          </w:p>
          <w:p w14:paraId="2D65E4E3">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7、补苗指导：可在地块上标记缺苗位置和缺苗率，判断是否需要补苗，指导快速补苗；</w:t>
            </w:r>
          </w:p>
          <w:p w14:paraId="39C73AD5">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8、作物覆盖率识别：支持全作物种类冠层覆盖率识别，精确度≥99.6%；</w:t>
            </w:r>
          </w:p>
          <w:p w14:paraId="5502FBDC">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9、长势分析：可基于时间、区域维度，对作物覆盖度进行对比分析，得出作物长势，还支持视频播放形式，展现作物覆盖度变化情况；</w:t>
            </w:r>
          </w:p>
          <w:p w14:paraId="1D49A1A9">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▲10、生育期识别：可自动分析水稻所处生育期，包含；返青期、拔节期、分蘖期、抽穗扬花期、灌浆期等生育期的智能识别；（投标文件中需提供相关证明材料）</w:t>
            </w:r>
          </w:p>
          <w:p w14:paraId="005009CF">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11、农事操作指导：可结合生育期和作物生长模型，指导相关农事操作，标准化生产过程；</w:t>
            </w:r>
          </w:p>
          <w:p w14:paraId="29BAF056">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rPr>
              <w:t>12、株高识别：支持通过无人机对作物株高进行分析，准确识别作物株高，准确率≥99.3%；</w:t>
            </w:r>
          </w:p>
          <w:p w14:paraId="5AB0BF57">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13、作物长势分析：可结合不同地块与作物不同时间的株高变化，对长势进行对比分析，得出作物长势好坏；</w:t>
            </w:r>
          </w:p>
          <w:p w14:paraId="30D00D98">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▲14、倒伏分析：可自动分析采集图片中的作物倒伏情况，包含是否有倒伏、倒伏面积、倒伏位置、倒伏占比等信息。（投标文件中需提供相关证明材料）</w:t>
            </w:r>
          </w:p>
          <w:p w14:paraId="0E8A7C1C">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15、机巢参数：重量不大于200kg，尺寸长宽高不超过1200mm。最大巡检范围（无干扰、无遮挡）FCC: 10km，CE/SRRC/MIC: 6km。</w:t>
            </w:r>
            <w:bookmarkStart w:id="140" w:name="OLE_LINK10"/>
            <w:bookmarkStart w:id="141" w:name="OLE_LINK9"/>
            <w:r>
              <w:rPr>
                <w:rFonts w:hint="eastAsia" w:ascii="宋体" w:hAnsi="宋体" w:cs="宋体"/>
                <w:color w:val="auto"/>
                <w:sz w:val="24"/>
                <w:szCs w:val="24"/>
                <w:highlight w:val="none"/>
              </w:rPr>
              <w:t>电源220V市电</w:t>
            </w:r>
            <w:bookmarkEnd w:id="140"/>
            <w:bookmarkEnd w:id="141"/>
            <w:r>
              <w:rPr>
                <w:rFonts w:hint="eastAsia" w:ascii="宋体" w:hAnsi="宋体" w:cs="宋体"/>
                <w:color w:val="auto"/>
                <w:sz w:val="24"/>
                <w:szCs w:val="24"/>
                <w:highlight w:val="none"/>
              </w:rPr>
              <w:t>，防护等级≥IP55，工作环境-20℃至50℃。支持无人机自动起降、自主充电/换电、数据自动回传，支持7×24小时无人值守作业。应急使用时间30分钟。图传延时≦0.1 秒。</w:t>
            </w:r>
            <w:bookmarkStart w:id="142" w:name="OLE_LINK12"/>
            <w:bookmarkStart w:id="143" w:name="OLE_LINK11"/>
            <w:r>
              <w:rPr>
                <w:rFonts w:hint="eastAsia" w:ascii="宋体" w:hAnsi="宋体" w:cs="宋体"/>
                <w:color w:val="auto"/>
                <w:sz w:val="24"/>
                <w:szCs w:val="24"/>
                <w:highlight w:val="none"/>
              </w:rPr>
              <w:t>空调功率≦450W、待机功率≦50W、最大功率≦650W、最大充电功率≦150W</w:t>
            </w:r>
            <w:bookmarkEnd w:id="142"/>
            <w:bookmarkEnd w:id="143"/>
            <w:r>
              <w:rPr>
                <w:rFonts w:hint="eastAsia" w:ascii="宋体" w:hAnsi="宋体" w:cs="宋体"/>
                <w:color w:val="auto"/>
                <w:sz w:val="24"/>
                <w:szCs w:val="24"/>
                <w:highlight w:val="none"/>
              </w:rPr>
              <w:t>。预存控制策略方案，根据实时采集数据分析，异常天气禁止打开机仓作业，自身控制策略可独立工作，不受网络影响。机库小环境气象监测功能覆盖常规多项参数，包括但不限于空气温度、空气湿度、气压、风速、风向、雨量等，采集传感器参数支持自定义云设置；产品内置过流、防雷击、防浪涌、防反接保护，内置看门狗，运行安全可靠。</w:t>
            </w:r>
          </w:p>
          <w:p w14:paraId="4B27DFE7">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16、配置无人机起降平台、充</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换</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电模块、环境检测模块、全波段数据交换中心和结构保护组件等，具备无人机自主起降、智能充电、数据自动回传等功能。服务器端支持数据拼接形成正射影像数据结果。支持云端或本地化数据管理功能。支持线上/线下巡田影像数据共享。</w:t>
            </w:r>
          </w:p>
          <w:p w14:paraId="49A98385">
            <w:pPr>
              <w:keepNext w:val="0"/>
              <w:keepLines w:val="0"/>
              <w:pageBreakBefore w:val="0"/>
              <w:widowControl/>
              <w:kinsoku/>
              <w:wordWrap/>
              <w:overflowPunct/>
              <w:topLinePunct w:val="0"/>
              <w:autoSpaceDE/>
              <w:autoSpaceDN/>
              <w:bidi w:val="0"/>
              <w:adjustRightInd/>
              <w:snapToGrid/>
              <w:spacing w:line="400" w:lineRule="exact"/>
              <w:textAlignment w:val="center"/>
              <w:rPr>
                <w:color w:val="auto"/>
                <w:highlight w:val="none"/>
              </w:rPr>
            </w:pPr>
            <w:r>
              <w:rPr>
                <w:rFonts w:hint="eastAsia" w:ascii="宋体" w:hAnsi="宋体" w:cs="宋体"/>
                <w:color w:val="auto"/>
                <w:sz w:val="24"/>
                <w:szCs w:val="24"/>
                <w:highlight w:val="none"/>
              </w:rPr>
              <w:t>17、机场控制与数据管理需支持接入苏农云平台，配套操作系统实现巡田机场管理、巡田无人机飞控管理。巡田数据传输要求：全波段数据远程自主回传，支持可见光、多光谱（标定后）巡田图像远程传输。</w:t>
            </w:r>
          </w:p>
        </w:tc>
      </w:tr>
      <w:tr w14:paraId="420C3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603" w:type="dxa"/>
            <w:tcBorders>
              <w:top w:val="single" w:color="auto" w:sz="4" w:space="0"/>
              <w:left w:val="single" w:color="auto" w:sz="4" w:space="0"/>
              <w:bottom w:val="single" w:color="auto" w:sz="4" w:space="0"/>
              <w:right w:val="single" w:color="auto" w:sz="4" w:space="0"/>
            </w:tcBorders>
            <w:shd w:val="clear" w:color="auto" w:fill="auto"/>
            <w:vAlign w:val="center"/>
          </w:tcPr>
          <w:p w14:paraId="3B5E734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宋体" w:hAnsi="宋体" w:cs="宋体"/>
                <w:color w:val="auto"/>
                <w:kern w:val="2"/>
                <w:sz w:val="24"/>
                <w:szCs w:val="24"/>
                <w:highlight w:val="none"/>
              </w:rPr>
            </w:pPr>
            <w:r>
              <w:rPr>
                <w:rFonts w:hint="eastAsia" w:ascii="宋体" w:hAnsi="宋体" w:cs="宋体"/>
                <w:color w:val="auto"/>
                <w:sz w:val="24"/>
                <w:szCs w:val="24"/>
                <w:highlight w:val="none"/>
              </w:rPr>
              <w:t>8</w:t>
            </w:r>
          </w:p>
        </w:tc>
        <w:tc>
          <w:tcPr>
            <w:tcW w:w="1387" w:type="dxa"/>
            <w:tcBorders>
              <w:top w:val="single" w:color="auto" w:sz="4" w:space="0"/>
              <w:left w:val="single" w:color="auto" w:sz="4" w:space="0"/>
              <w:bottom w:val="single" w:color="auto" w:sz="4" w:space="0"/>
              <w:right w:val="single" w:color="auto" w:sz="4" w:space="0"/>
            </w:tcBorders>
            <w:shd w:val="clear" w:color="auto" w:fill="auto"/>
            <w:vAlign w:val="center"/>
          </w:tcPr>
          <w:p w14:paraId="7D58358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宋体" w:hAnsi="宋体" w:cs="宋体"/>
                <w:color w:val="auto"/>
                <w:sz w:val="24"/>
                <w:szCs w:val="24"/>
                <w:highlight w:val="none"/>
              </w:rPr>
            </w:pPr>
            <w:r>
              <w:rPr>
                <w:rFonts w:hint="eastAsia" w:ascii="宋体" w:hAnsi="宋体" w:cs="宋体"/>
                <w:color w:val="auto"/>
                <w:sz w:val="24"/>
                <w:szCs w:val="24"/>
                <w:highlight w:val="none"/>
              </w:rPr>
              <w:t>仪器操作平台</w:t>
            </w:r>
          </w:p>
        </w:tc>
        <w:tc>
          <w:tcPr>
            <w:tcW w:w="7005" w:type="dxa"/>
            <w:tcBorders>
              <w:top w:val="single" w:color="auto" w:sz="4" w:space="0"/>
              <w:left w:val="single" w:color="auto" w:sz="4" w:space="0"/>
              <w:bottom w:val="single" w:color="auto" w:sz="4" w:space="0"/>
              <w:right w:val="single" w:color="auto" w:sz="4" w:space="0"/>
            </w:tcBorders>
            <w:shd w:val="clear" w:color="auto" w:fill="auto"/>
            <w:vAlign w:val="center"/>
          </w:tcPr>
          <w:p w14:paraId="0E2ECA3F">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1、新建仪器操作平台不少于73m²。病虫害智能监测站四周通道不低于15m*15m的正方形，四个角操作平台为3m*3m。平台支撑立柱为防腐木柱，立柱尺寸为断面≥90mm*90mm，长度≥1000mm，埋深700mm，立柱间隔≤1000mm；平台为防腐木板搭建而成，尺寸为1000mm*38mm*90mm；两侧支撑为防腐木条，断面尺寸为90mm*60mm。</w:t>
            </w:r>
          </w:p>
          <w:p w14:paraId="60063ECE">
            <w:pPr>
              <w:keepNext w:val="0"/>
              <w:keepLines w:val="0"/>
              <w:pageBreakBefore w:val="0"/>
              <w:widowControl/>
              <w:kinsoku/>
              <w:wordWrap/>
              <w:overflowPunct/>
              <w:topLinePunct w:val="0"/>
              <w:autoSpaceDE/>
              <w:autoSpaceDN/>
              <w:bidi w:val="0"/>
              <w:adjustRightInd/>
              <w:snapToGrid/>
              <w:spacing w:line="400" w:lineRule="exact"/>
              <w:textAlignment w:val="center"/>
              <w:rPr>
                <w:rFonts w:ascii="宋体" w:hAnsi="宋体" w:cs="宋体"/>
                <w:color w:val="auto"/>
                <w:sz w:val="24"/>
                <w:szCs w:val="24"/>
                <w:highlight w:val="none"/>
              </w:rPr>
            </w:pPr>
            <w:r>
              <w:rPr>
                <w:rFonts w:hint="eastAsia" w:ascii="宋体" w:hAnsi="宋体" w:cs="宋体"/>
                <w:color w:val="auto"/>
                <w:sz w:val="24"/>
                <w:szCs w:val="24"/>
                <w:highlight w:val="none"/>
              </w:rPr>
              <w:t>2、新建围栏62米，围栏采用镀锌结构的角铁栅栏，高1.5m。围栏含1套1米宽人行门，均为镀锌结构的角铁。</w:t>
            </w:r>
          </w:p>
        </w:tc>
      </w:tr>
    </w:tbl>
    <w:p w14:paraId="04BC8C88">
      <w:pPr>
        <w:spacing w:line="560" w:lineRule="exact"/>
        <w:rPr>
          <w:rFonts w:ascii="Times New Roman" w:hAnsi="Times New Roman" w:eastAsia="仿宋_GB2312"/>
          <w:b/>
          <w:color w:val="auto"/>
          <w:spacing w:val="-6"/>
          <w:sz w:val="24"/>
          <w:szCs w:val="24"/>
          <w:highlight w:val="none"/>
        </w:rPr>
      </w:pPr>
    </w:p>
    <w:p w14:paraId="5DC0C5B8">
      <w:pPr>
        <w:tabs>
          <w:tab w:val="left" w:pos="312"/>
        </w:tabs>
        <w:spacing w:line="400" w:lineRule="exact"/>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w:t>
      </w:r>
    </w:p>
    <w:p w14:paraId="4217930D">
      <w:pPr>
        <w:tabs>
          <w:tab w:val="left" w:pos="312"/>
        </w:tabs>
        <w:spacing w:line="400" w:lineRule="exact"/>
        <w:ind w:left="239"/>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1、上述技术参数及功能要求中如出现具体产品的品牌、型号、参数等，仅供供应商更好地理解采购人对设备的需求，不能理解为唯一指定，只要优或相当于其技术参数或功能要求的，均可视为响应。</w:t>
      </w:r>
    </w:p>
    <w:p w14:paraId="50167F95">
      <w:pPr>
        <w:tabs>
          <w:tab w:val="left" w:pos="312"/>
        </w:tabs>
        <w:spacing w:line="400" w:lineRule="exact"/>
        <w:ind w:firstLine="241"/>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2、以上规格参数、技术要求需在技术响应偏离表中逐条响应。</w:t>
      </w:r>
    </w:p>
    <w:p w14:paraId="589AFDD3">
      <w:pPr>
        <w:tabs>
          <w:tab w:val="left" w:pos="312"/>
        </w:tabs>
        <w:spacing w:line="400" w:lineRule="exact"/>
        <w:ind w:left="239"/>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3、清单包含主材费、所有设备辅材费、所有设备安装费、所有设备调试费、措施项目费、规费、税金</w:t>
      </w:r>
      <w:r>
        <w:rPr>
          <w:rFonts w:hint="eastAsia" w:ascii="Times New Roman" w:hAnsi="Times New Roman" w:cs="Courier New"/>
          <w:color w:val="auto"/>
          <w:sz w:val="24"/>
          <w:szCs w:val="24"/>
          <w:highlight w:val="none"/>
          <w:lang w:eastAsia="zh-CN"/>
        </w:rPr>
        <w:t>、</w:t>
      </w:r>
      <w:r>
        <w:rPr>
          <w:rFonts w:hint="eastAsia" w:ascii="宋体" w:hAnsi="宋体" w:eastAsia="宋体" w:cs="宋体"/>
          <w:b/>
          <w:color w:val="auto"/>
          <w:sz w:val="24"/>
          <w:szCs w:val="24"/>
          <w:highlight w:val="none"/>
        </w:rPr>
        <w:t>所有设备</w:t>
      </w:r>
      <w:r>
        <w:rPr>
          <w:rFonts w:hint="eastAsia" w:ascii="宋体" w:hAnsi="宋体" w:eastAsia="宋体" w:cs="宋体"/>
          <w:b/>
          <w:color w:val="auto"/>
          <w:sz w:val="24"/>
          <w:szCs w:val="24"/>
          <w:highlight w:val="none"/>
          <w:lang w:val="en-US" w:eastAsia="zh-CN"/>
        </w:rPr>
        <w:t>系统集成运维</w:t>
      </w:r>
      <w:r>
        <w:rPr>
          <w:rFonts w:hint="eastAsia" w:ascii="宋体" w:hAnsi="宋体" w:eastAsia="宋体" w:cs="宋体"/>
          <w:i w:val="0"/>
          <w:iCs w:val="0"/>
          <w:color w:val="auto"/>
          <w:sz w:val="24"/>
          <w:szCs w:val="24"/>
          <w:highlight w:val="none"/>
          <w:u w:val="none"/>
          <w:lang w:val="en-US" w:eastAsia="zh-CN" w:bidi="ar"/>
        </w:rPr>
        <w:t>、</w:t>
      </w:r>
      <w:r>
        <w:rPr>
          <w:rFonts w:hint="eastAsia" w:ascii="宋体" w:hAnsi="宋体" w:eastAsia="宋体" w:cs="宋体"/>
          <w:b/>
          <w:color w:val="auto"/>
          <w:sz w:val="24"/>
          <w:szCs w:val="24"/>
          <w:highlight w:val="none"/>
        </w:rPr>
        <w:t>所有设备运维质保期</w:t>
      </w:r>
      <w:r>
        <w:rPr>
          <w:rFonts w:hint="eastAsia" w:ascii="宋体" w:hAnsi="宋体" w:eastAsia="宋体" w:cs="宋体"/>
          <w:b/>
          <w:color w:val="auto"/>
          <w:sz w:val="24"/>
          <w:szCs w:val="24"/>
          <w:highlight w:val="none"/>
          <w:lang w:val="en-US" w:eastAsia="zh-CN"/>
        </w:rPr>
        <w:t>5年</w:t>
      </w:r>
      <w:r>
        <w:rPr>
          <w:rFonts w:hint="eastAsia" w:ascii="宋体" w:hAnsi="宋体" w:cs="宋体"/>
          <w:b/>
          <w:color w:val="auto"/>
          <w:sz w:val="24"/>
          <w:szCs w:val="24"/>
          <w:highlight w:val="none"/>
          <w:lang w:val="en-US" w:eastAsia="zh-CN"/>
        </w:rPr>
        <w:t>（含运维期每个监测站的电费）</w:t>
      </w:r>
      <w:r>
        <w:rPr>
          <w:rFonts w:hint="eastAsia" w:ascii="宋体" w:hAnsi="宋体" w:eastAsia="宋体" w:cs="宋体"/>
          <w:b/>
          <w:color w:val="auto"/>
          <w:sz w:val="24"/>
          <w:szCs w:val="24"/>
          <w:highlight w:val="none"/>
        </w:rPr>
        <w:t>等一切费用，投标方自行考虑自主报价，投标报价内容包括：货物本身价格、配件、所有辅材、运输、装卸、人工、安装、产品损耗、报验、检测、检验、验收评审、售后服务</w:t>
      </w:r>
      <w:r>
        <w:rPr>
          <w:rFonts w:hint="eastAsia" w:ascii="宋体" w:hAnsi="宋体" w:cs="宋体"/>
          <w:b/>
          <w:color w:val="auto"/>
          <w:sz w:val="24"/>
          <w:szCs w:val="24"/>
          <w:highlight w:val="none"/>
          <w:lang w:eastAsia="zh-CN"/>
        </w:rPr>
        <w:t>、系统集成运维、所有设备运维质保期（</w:t>
      </w:r>
      <w:r>
        <w:rPr>
          <w:rFonts w:hint="eastAsia" w:ascii="宋体" w:hAnsi="宋体" w:cs="宋体"/>
          <w:b/>
          <w:color w:val="auto"/>
          <w:sz w:val="24"/>
          <w:szCs w:val="24"/>
          <w:highlight w:val="none"/>
          <w:lang w:val="en-US" w:eastAsia="zh-CN"/>
        </w:rPr>
        <w:t>含运维期每个监测站的电费</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rPr>
        <w:t>及产品交付使用过程中涉及到的其他一切费用。</w:t>
      </w:r>
    </w:p>
    <w:p w14:paraId="4288ED3C">
      <w:pPr>
        <w:tabs>
          <w:tab w:val="left" w:pos="312"/>
        </w:tabs>
        <w:spacing w:line="400" w:lineRule="exact"/>
        <w:ind w:left="239"/>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投标人报价时应充分考虑所有可能影响到报价的因素，一旦评标结束最终中标，如发生漏、缺、少项，都将被认为是中标人的报价让利行为，损失自负。投标人应充分勘察施工现场，充分考虑工程量及施工难度，确保中标后正常履约。招标人不组织现场踏勘，招标文件中所列的设备种类及数量，仅作为投标报价的依据。</w:t>
      </w:r>
    </w:p>
    <w:p w14:paraId="131F04F2">
      <w:pPr>
        <w:tabs>
          <w:tab w:val="left" w:pos="312"/>
        </w:tabs>
        <w:spacing w:line="400" w:lineRule="exact"/>
        <w:ind w:left="239"/>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5、所有检测报告如要求具备CMA或CNAS资质第三方检测机构出具且在有效期内的，不限定检测机构地域、合作厂商；</w:t>
      </w:r>
    </w:p>
    <w:p w14:paraId="12B6A813">
      <w:pPr>
        <w:pBdr>
          <w:top w:val="none" w:color="000000" w:sz="0" w:space="0"/>
          <w:left w:val="none" w:color="000000" w:sz="0" w:space="0"/>
          <w:bottom w:val="none" w:color="000000" w:sz="0" w:space="0"/>
          <w:right w:val="none" w:color="000000" w:sz="0" w:space="0"/>
        </w:pBdr>
        <w:spacing w:line="400" w:lineRule="exact"/>
        <w:jc w:val="left"/>
        <w:rPr>
          <w:rFonts w:ascii="宋体" w:hAnsi="宋体" w:cs="宋体"/>
          <w:b/>
          <w:color w:val="auto"/>
          <w:sz w:val="28"/>
          <w:highlight w:val="none"/>
        </w:rPr>
      </w:pPr>
      <w:r>
        <w:rPr>
          <w:rFonts w:hint="eastAsia" w:ascii="宋体" w:hAnsi="宋体" w:cs="宋体"/>
          <w:b/>
          <w:color w:val="auto"/>
          <w:sz w:val="28"/>
          <w:highlight w:val="none"/>
        </w:rPr>
        <w:t>三、服务要求：</w:t>
      </w:r>
    </w:p>
    <w:p w14:paraId="454D2A0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jc w:val="left"/>
        <w:textAlignment w:val="auto"/>
        <w:rPr>
          <w:rFonts w:ascii="宋体" w:hAnsi="宋体" w:cs="宋体"/>
          <w:color w:val="auto"/>
          <w:sz w:val="24"/>
          <w:szCs w:val="21"/>
          <w:highlight w:val="none"/>
        </w:rPr>
      </w:pPr>
      <w:r>
        <w:rPr>
          <w:rFonts w:hint="eastAsia" w:ascii="宋体" w:hAnsi="宋体" w:cs="宋体"/>
          <w:color w:val="auto"/>
          <w:sz w:val="24"/>
          <w:szCs w:val="21"/>
          <w:highlight w:val="none"/>
        </w:rPr>
        <w:t>（1）采购产品为全新未使用过的原装合格正品，质量应符合各项技术标准和国家强制性标准，并满足采购人的使用需求，可根据要求接入江苏省智慧农事服务中心平台或“苏农云”平台。</w:t>
      </w:r>
    </w:p>
    <w:p w14:paraId="1C09D3F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jc w:val="left"/>
        <w:textAlignment w:val="auto"/>
        <w:rPr>
          <w:rFonts w:ascii="宋体" w:hAnsi="宋体" w:cs="宋体"/>
          <w:color w:val="auto"/>
          <w:sz w:val="24"/>
          <w:szCs w:val="21"/>
          <w:highlight w:val="none"/>
        </w:rPr>
      </w:pPr>
      <w:r>
        <w:rPr>
          <w:rFonts w:hint="eastAsia" w:ascii="宋体" w:hAnsi="宋体" w:cs="宋体"/>
          <w:color w:val="auto"/>
          <w:sz w:val="24"/>
          <w:szCs w:val="21"/>
          <w:highlight w:val="none"/>
        </w:rPr>
        <w:t>（2）接到采购人通知后30日内将设备送达采购人指定地点且装卸、安装、调试完毕。成交供应商应按照采购人的通知要求进行供货，不得以任何理由拒绝供货或延期供货，产品的装卸、安装、调试费用由乙方承担。</w:t>
      </w:r>
    </w:p>
    <w:p w14:paraId="71FC45C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jc w:val="left"/>
        <w:textAlignment w:val="auto"/>
        <w:rPr>
          <w:rFonts w:ascii="宋体" w:hAnsi="宋体" w:cs="宋体"/>
          <w:color w:val="auto"/>
          <w:sz w:val="24"/>
          <w:szCs w:val="21"/>
          <w:highlight w:val="none"/>
        </w:rPr>
      </w:pPr>
      <w:r>
        <w:rPr>
          <w:rFonts w:hint="eastAsia" w:ascii="宋体" w:hAnsi="宋体" w:cs="宋体"/>
          <w:color w:val="auto"/>
          <w:sz w:val="24"/>
          <w:szCs w:val="21"/>
          <w:highlight w:val="none"/>
        </w:rPr>
        <w:t>（3）设备在安装使用前，应对设备进行校正。成交供应商须提供完善售后服务。安装前或土壤发生扰动影响数据后，成交供应商应免费提供设备校正。土壤传感器安装应采用原位安装方法，不能破坏土体结构。设备安装时要同步测定土壤容重、田间持水量等基础数据。保证设备无故障运行时长超过1年，成交供应商自签订合同之日起需提供5年运维质保期（包括设备正常运行、数据正常传输及承担数据流量费、长期提供软件平台维护及升级服务等），质保期内成交供应商免费提供相关技术培训与配套技术支持服务。设备发生故障两周内成交供应商完成维修，特殊情况需向采购方说明并征得同意。成交供应商定期维保巡检设备，每年上门维护检修次数不少于3次。巡田无人机提供5年无人机保险服务，在25000元额度内不限次数的维修或者置换；巡田无人机三者险提供5年，每年100万第三方险，其中人60万，物40万。</w:t>
      </w:r>
    </w:p>
    <w:p w14:paraId="43ECCDD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jc w:val="left"/>
        <w:textAlignment w:val="auto"/>
        <w:rPr>
          <w:rFonts w:ascii="宋体" w:hAnsi="宋体" w:cs="宋体"/>
          <w:color w:val="auto"/>
          <w:sz w:val="24"/>
          <w:szCs w:val="21"/>
          <w:highlight w:val="none"/>
        </w:rPr>
      </w:pPr>
      <w:r>
        <w:rPr>
          <w:rFonts w:hint="eastAsia" w:ascii="宋体" w:hAnsi="宋体" w:cs="宋体"/>
          <w:color w:val="auto"/>
          <w:sz w:val="24"/>
          <w:szCs w:val="21"/>
          <w:highlight w:val="none"/>
        </w:rPr>
        <w:t>（4）投标产品属于国家规定“三包”范围的，其产品的质量保证期不得低于“三包”规定。供应商的质量保证期承诺优于国家“三包”规定的，按供应商实际承诺执行；在质量保证期内，用户遇到使用及技术问题，供应商和厂家应当为用户提供技术援助电话。电话咨询不能解决的，供应商和厂家应采取相应措施，提供上门服务。实在无法解决的，应提供备用产品，确保用户能够正常使用；质量保证期满后，供应商和厂家应同样提供免费电话咨询服务，并以优惠价格提供售后服务。</w:t>
      </w:r>
    </w:p>
    <w:p w14:paraId="1A5C9CB9">
      <w:pPr>
        <w:pStyle w:val="2"/>
        <w:keepNext w:val="0"/>
        <w:keepLines w:val="0"/>
        <w:pageBreakBefore w:val="0"/>
        <w:widowControl w:val="0"/>
        <w:kinsoku/>
        <w:wordWrap/>
        <w:overflowPunct/>
        <w:topLinePunct w:val="0"/>
        <w:autoSpaceDE/>
        <w:autoSpaceDN/>
        <w:bidi w:val="0"/>
        <w:adjustRightInd/>
        <w:snapToGrid/>
        <w:spacing w:line="400" w:lineRule="exact"/>
        <w:ind w:firstLine="0"/>
        <w:textAlignment w:val="auto"/>
        <w:rPr>
          <w:rFonts w:ascii="宋体" w:hAnsi="宋体" w:eastAsia="宋体" w:cs="宋体"/>
          <w:color w:val="auto"/>
          <w:spacing w:val="0"/>
          <w:sz w:val="24"/>
          <w:szCs w:val="21"/>
          <w:highlight w:val="none"/>
        </w:rPr>
      </w:pPr>
      <w:r>
        <w:rPr>
          <w:rFonts w:hint="eastAsia" w:ascii="宋体" w:hAnsi="宋体" w:cs="宋体"/>
          <w:color w:val="auto"/>
          <w:sz w:val="24"/>
          <w:szCs w:val="21"/>
          <w:highlight w:val="none"/>
        </w:rPr>
        <w:t>（</w:t>
      </w:r>
      <w:r>
        <w:rPr>
          <w:rFonts w:hint="eastAsia" w:ascii="宋体" w:hAnsi="宋体" w:eastAsia="宋体" w:cs="宋体"/>
          <w:color w:val="auto"/>
          <w:spacing w:val="0"/>
          <w:sz w:val="24"/>
          <w:szCs w:val="21"/>
          <w:highlight w:val="none"/>
        </w:rPr>
        <w:t>5）巡田无人机监测内容</w:t>
      </w:r>
    </w:p>
    <w:p w14:paraId="73C6ED69">
      <w:pPr>
        <w:pStyle w:val="2"/>
        <w:keepNext w:val="0"/>
        <w:keepLines w:val="0"/>
        <w:pageBreakBefore w:val="0"/>
        <w:widowControl w:val="0"/>
        <w:kinsoku/>
        <w:wordWrap/>
        <w:overflowPunct/>
        <w:topLinePunct w:val="0"/>
        <w:autoSpaceDE/>
        <w:autoSpaceDN/>
        <w:bidi w:val="0"/>
        <w:adjustRightInd/>
        <w:snapToGrid/>
        <w:spacing w:line="400" w:lineRule="exact"/>
        <w:ind w:firstLine="0"/>
        <w:textAlignment w:val="auto"/>
        <w:rPr>
          <w:rFonts w:ascii="宋体" w:hAnsi="宋体" w:eastAsia="宋体" w:cs="宋体"/>
          <w:color w:val="auto"/>
          <w:spacing w:val="0"/>
          <w:sz w:val="24"/>
          <w:szCs w:val="21"/>
          <w:highlight w:val="none"/>
        </w:rPr>
      </w:pPr>
      <w:r>
        <w:rPr>
          <w:rFonts w:hint="eastAsia" w:ascii="宋体" w:hAnsi="宋体" w:eastAsia="宋体" w:cs="宋体"/>
          <w:color w:val="auto"/>
          <w:spacing w:val="0"/>
          <w:sz w:val="24"/>
          <w:szCs w:val="21"/>
          <w:highlight w:val="none"/>
        </w:rPr>
        <w:t>苗情:依托巡田无人机常态化开展苗情监测，确定固定苗情监测点和苗情长势监测样田区。根据稻麦</w:t>
      </w:r>
      <w:r>
        <w:rPr>
          <w:rFonts w:hint="eastAsia" w:ascii="宋体" w:hAnsi="宋体" w:eastAsia="宋体" w:cs="宋体"/>
          <w:color w:val="auto"/>
          <w:spacing w:val="0"/>
          <w:sz w:val="24"/>
          <w:szCs w:val="21"/>
          <w:highlight w:val="none"/>
          <w:lang w:eastAsia="zh-CN"/>
        </w:rPr>
        <w:t>每年</w:t>
      </w:r>
      <w:r>
        <w:rPr>
          <w:rFonts w:hint="eastAsia" w:ascii="宋体" w:hAnsi="宋体" w:eastAsia="宋体" w:cs="宋体"/>
          <w:color w:val="auto"/>
          <w:spacing w:val="0"/>
          <w:sz w:val="24"/>
          <w:szCs w:val="21"/>
          <w:highlight w:val="none"/>
        </w:rPr>
        <w:t>关键生育期，对固定苗情监测点安排水稻巡飞查苗</w:t>
      </w:r>
      <w:r>
        <w:rPr>
          <w:rFonts w:hint="eastAsia" w:ascii="宋体" w:hAnsi="宋体" w:eastAsia="宋体" w:cs="宋体"/>
          <w:color w:val="auto"/>
          <w:spacing w:val="0"/>
          <w:sz w:val="24"/>
          <w:szCs w:val="21"/>
          <w:highlight w:val="none"/>
          <w:lang w:eastAsia="zh-CN"/>
        </w:rPr>
        <w:t>不少于</w:t>
      </w:r>
      <w:r>
        <w:rPr>
          <w:rFonts w:hint="eastAsia" w:ascii="宋体" w:hAnsi="宋体" w:eastAsia="宋体" w:cs="宋体"/>
          <w:color w:val="auto"/>
          <w:spacing w:val="0"/>
          <w:sz w:val="24"/>
          <w:szCs w:val="21"/>
          <w:highlight w:val="none"/>
        </w:rPr>
        <w:t>9次、小麦</w:t>
      </w:r>
      <w:r>
        <w:rPr>
          <w:rFonts w:hint="eastAsia" w:ascii="宋体" w:hAnsi="宋体" w:eastAsia="宋体" w:cs="宋体"/>
          <w:color w:val="auto"/>
          <w:spacing w:val="0"/>
          <w:sz w:val="24"/>
          <w:szCs w:val="21"/>
          <w:highlight w:val="none"/>
          <w:lang w:eastAsia="zh-CN"/>
        </w:rPr>
        <w:t>不少于</w:t>
      </w:r>
      <w:r>
        <w:rPr>
          <w:rFonts w:hint="eastAsia" w:ascii="宋体" w:hAnsi="宋体" w:eastAsia="宋体" w:cs="宋体"/>
          <w:color w:val="auto"/>
          <w:spacing w:val="0"/>
          <w:sz w:val="24"/>
          <w:szCs w:val="21"/>
          <w:highlight w:val="none"/>
        </w:rPr>
        <w:t>8次，同步进行人工查苗校验;</w:t>
      </w:r>
      <w:r>
        <w:rPr>
          <w:rFonts w:hint="eastAsia" w:ascii="宋体" w:hAnsi="宋体" w:eastAsia="宋体" w:cs="宋体"/>
          <w:color w:val="auto"/>
          <w:spacing w:val="0"/>
          <w:sz w:val="24"/>
          <w:szCs w:val="21"/>
          <w:highlight w:val="none"/>
          <w:lang w:eastAsia="zh-CN"/>
        </w:rPr>
        <w:t>花木区及养殖区，根据采购人通知和安排及时进行巡飞监测，原则每季度不低于</w:t>
      </w:r>
      <w:r>
        <w:rPr>
          <w:rFonts w:hint="eastAsia" w:ascii="宋体" w:hAnsi="宋体" w:eastAsia="宋体" w:cs="宋体"/>
          <w:color w:val="auto"/>
          <w:spacing w:val="0"/>
          <w:sz w:val="24"/>
          <w:szCs w:val="21"/>
          <w:highlight w:val="none"/>
          <w:lang w:val="en-US" w:eastAsia="zh-CN"/>
        </w:rPr>
        <w:t>1次；</w:t>
      </w:r>
      <w:r>
        <w:rPr>
          <w:rFonts w:hint="eastAsia" w:ascii="宋体" w:hAnsi="宋体" w:eastAsia="宋体" w:cs="宋体"/>
          <w:color w:val="auto"/>
          <w:spacing w:val="0"/>
          <w:sz w:val="24"/>
          <w:szCs w:val="21"/>
          <w:highlight w:val="none"/>
        </w:rPr>
        <w:t>对苗情长势监测样田区开展周期性长势巡飞监测，人工审核巡飞监测分析报告，并按要求将分析报告和拼接影像上传至"苏农云"管控平台;相关农事管理建议推送至规模种植主体(农事中心)，并结合实际开展现场指导服务。</w:t>
      </w:r>
    </w:p>
    <w:p w14:paraId="1EB9E391">
      <w:pPr>
        <w:pStyle w:val="2"/>
        <w:keepNext w:val="0"/>
        <w:keepLines w:val="0"/>
        <w:pageBreakBefore w:val="0"/>
        <w:widowControl w:val="0"/>
        <w:kinsoku/>
        <w:wordWrap/>
        <w:overflowPunct/>
        <w:topLinePunct w:val="0"/>
        <w:autoSpaceDE/>
        <w:autoSpaceDN/>
        <w:bidi w:val="0"/>
        <w:adjustRightInd/>
        <w:snapToGrid/>
        <w:spacing w:line="400" w:lineRule="exact"/>
        <w:ind w:firstLine="0"/>
        <w:textAlignment w:val="auto"/>
        <w:rPr>
          <w:rFonts w:hint="eastAsia" w:ascii="宋体" w:hAnsi="宋体" w:eastAsia="宋体" w:cs="宋体"/>
          <w:color w:val="auto"/>
          <w:spacing w:val="0"/>
          <w:sz w:val="24"/>
          <w:szCs w:val="21"/>
          <w:highlight w:val="none"/>
        </w:rPr>
      </w:pPr>
      <w:r>
        <w:rPr>
          <w:rFonts w:hint="eastAsia" w:ascii="宋体" w:hAnsi="宋体" w:eastAsia="宋体" w:cs="宋体"/>
          <w:color w:val="auto"/>
          <w:spacing w:val="0"/>
          <w:sz w:val="24"/>
          <w:szCs w:val="21"/>
          <w:highlight w:val="none"/>
        </w:rPr>
        <w:t>灾情:在遭遇灾害性天气或其他临时调度任务时，按省市县农业农村部门要求</w:t>
      </w:r>
      <w:r>
        <w:rPr>
          <w:rFonts w:hint="eastAsia" w:ascii="宋体" w:hAnsi="宋体" w:eastAsia="宋体" w:cs="宋体"/>
          <w:color w:val="auto"/>
          <w:spacing w:val="0"/>
          <w:sz w:val="24"/>
          <w:szCs w:val="21"/>
          <w:highlight w:val="none"/>
          <w:lang w:eastAsia="zh-CN"/>
        </w:rPr>
        <w:t>及通知</w:t>
      </w:r>
      <w:r>
        <w:rPr>
          <w:rFonts w:hint="eastAsia" w:ascii="宋体" w:hAnsi="宋体" w:eastAsia="宋体" w:cs="宋体"/>
          <w:color w:val="auto"/>
          <w:spacing w:val="0"/>
          <w:sz w:val="24"/>
          <w:szCs w:val="21"/>
          <w:highlight w:val="none"/>
        </w:rPr>
        <w:t>，依托"苏农云"管控平台，调看高清摄像头，及时开展巡飞监测并推送结果，为防灾抗灾救灾等提供即时支撑。</w:t>
      </w:r>
    </w:p>
    <w:p w14:paraId="3C4C1BA4">
      <w:pPr>
        <w:rPr>
          <w:rFonts w:hint="default" w:eastAsia="宋体"/>
          <w:lang w:val="en-US" w:eastAsia="zh-CN"/>
        </w:rPr>
      </w:pPr>
      <w:r>
        <w:rPr>
          <w:rFonts w:hint="eastAsia" w:ascii="宋体" w:hAnsi="宋体" w:cs="宋体"/>
          <w:color w:val="auto"/>
          <w:spacing w:val="0"/>
          <w:sz w:val="24"/>
          <w:szCs w:val="21"/>
          <w:highlight w:val="none"/>
          <w:lang w:eastAsia="zh-CN"/>
        </w:rPr>
        <w:t>（</w:t>
      </w:r>
      <w:r>
        <w:rPr>
          <w:rFonts w:hint="eastAsia" w:ascii="宋体" w:hAnsi="宋体" w:cs="宋体"/>
          <w:color w:val="auto"/>
          <w:spacing w:val="0"/>
          <w:sz w:val="24"/>
          <w:szCs w:val="21"/>
          <w:highlight w:val="none"/>
          <w:lang w:val="en-US" w:eastAsia="zh-CN"/>
        </w:rPr>
        <w:t>6</w:t>
      </w:r>
      <w:r>
        <w:rPr>
          <w:rFonts w:hint="eastAsia" w:ascii="宋体" w:hAnsi="宋体" w:cs="宋体"/>
          <w:color w:val="auto"/>
          <w:spacing w:val="0"/>
          <w:sz w:val="24"/>
          <w:szCs w:val="21"/>
          <w:highlight w:val="none"/>
          <w:lang w:eastAsia="zh-CN"/>
        </w:rPr>
        <w:t>）中标供应商需配合采购人进行设备用电接入，</w:t>
      </w:r>
      <w:r>
        <w:rPr>
          <w:rFonts w:hint="eastAsia" w:ascii="宋体" w:hAnsi="宋体" w:cs="宋体"/>
          <w:color w:val="auto"/>
          <w:spacing w:val="0"/>
          <w:sz w:val="24"/>
          <w:szCs w:val="21"/>
          <w:highlight w:val="none"/>
          <w:lang w:val="en-US" w:eastAsia="zh-CN"/>
        </w:rPr>
        <w:t xml:space="preserve"> 中标供应商运维期需承担每个监测站的电费。</w:t>
      </w:r>
    </w:p>
    <w:p w14:paraId="73FCCC20">
      <w:pPr>
        <w:pBdr>
          <w:top w:val="none" w:color="000000" w:sz="0" w:space="0"/>
          <w:left w:val="none" w:color="000000" w:sz="0" w:space="0"/>
          <w:bottom w:val="none" w:color="000000" w:sz="0" w:space="0"/>
          <w:right w:val="none" w:color="000000" w:sz="0" w:space="0"/>
        </w:pBdr>
        <w:spacing w:line="400" w:lineRule="exact"/>
        <w:jc w:val="left"/>
        <w:rPr>
          <w:rFonts w:ascii="宋体" w:hAnsi="宋体" w:cs="宋体"/>
          <w:b/>
          <w:color w:val="auto"/>
          <w:sz w:val="28"/>
          <w:highlight w:val="none"/>
        </w:rPr>
      </w:pPr>
      <w:r>
        <w:rPr>
          <w:rFonts w:hint="eastAsia" w:ascii="宋体" w:hAnsi="宋体" w:cs="宋体"/>
          <w:b/>
          <w:color w:val="auto"/>
          <w:sz w:val="28"/>
          <w:highlight w:val="none"/>
        </w:rPr>
        <w:t>四、验收</w:t>
      </w:r>
    </w:p>
    <w:p w14:paraId="3CF7736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82"/>
        <w:jc w:val="left"/>
        <w:textAlignment w:val="auto"/>
        <w:rPr>
          <w:rFonts w:ascii="宋体" w:hAnsi="宋体" w:cs="宋体"/>
          <w:color w:val="auto"/>
          <w:sz w:val="24"/>
          <w:szCs w:val="21"/>
          <w:highlight w:val="none"/>
        </w:rPr>
      </w:pPr>
      <w:r>
        <w:rPr>
          <w:rFonts w:hint="eastAsia" w:ascii="宋体" w:hAnsi="宋体" w:cs="宋体"/>
          <w:color w:val="auto"/>
          <w:sz w:val="24"/>
          <w:szCs w:val="21"/>
          <w:highlight w:val="none"/>
        </w:rPr>
        <w:t>1.在发货前，供应商应对货物的质量、规格、参数、性能、数量等进行准确而全面的检验，并出具证明货物符合合同规定的证明文件（含合格证、技术参数说明书、有效期内的出厂检验报告等）。该证明文件将作为提交付款单据的一部分，但有关质量、规格、参数、性能、数量或重量的检验不应视为最终检验。检验的结果和细节应附在检验证书后面。</w:t>
      </w:r>
    </w:p>
    <w:p w14:paraId="1F903B4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82"/>
        <w:jc w:val="left"/>
        <w:textAlignment w:val="auto"/>
        <w:rPr>
          <w:rFonts w:ascii="宋体" w:hAnsi="宋体" w:cs="宋体"/>
          <w:color w:val="auto"/>
          <w:sz w:val="24"/>
          <w:szCs w:val="21"/>
          <w:highlight w:val="none"/>
        </w:rPr>
      </w:pPr>
      <w:r>
        <w:rPr>
          <w:rFonts w:hint="eastAsia" w:ascii="宋体" w:hAnsi="宋体" w:cs="宋体"/>
          <w:color w:val="auto"/>
          <w:sz w:val="24"/>
          <w:szCs w:val="21"/>
          <w:highlight w:val="none"/>
        </w:rPr>
        <w:t>2.货物交付时，须经采购人现场检验。供应商应准备好相关初步验收资料，验收内容包括：产地、货号、规格、参数、数量、外观质量及设备是否完好等。验收合格后，方可投入使用。根据工作需要配合采购人进行抽样检测。</w:t>
      </w:r>
    </w:p>
    <w:p w14:paraId="6153271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82"/>
        <w:jc w:val="left"/>
        <w:textAlignment w:val="auto"/>
        <w:rPr>
          <w:rFonts w:ascii="宋体" w:hAnsi="宋体" w:cs="宋体"/>
          <w:color w:val="auto"/>
          <w:sz w:val="24"/>
          <w:szCs w:val="21"/>
          <w:highlight w:val="none"/>
        </w:rPr>
      </w:pPr>
      <w:r>
        <w:rPr>
          <w:rFonts w:hint="eastAsia" w:ascii="宋体" w:hAnsi="宋体" w:cs="宋体"/>
          <w:color w:val="auto"/>
          <w:sz w:val="24"/>
          <w:szCs w:val="21"/>
          <w:highlight w:val="none"/>
        </w:rPr>
        <w:t>如采购人认为需要抽样检测的，由采购人有权随机抽样送第三方检测（检测费用由供应商支付），检测完成合格后方可进行安装。</w:t>
      </w:r>
    </w:p>
    <w:p w14:paraId="25A8F96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82"/>
        <w:jc w:val="left"/>
        <w:textAlignment w:val="auto"/>
        <w:rPr>
          <w:rFonts w:ascii="宋体" w:hAnsi="宋体" w:cs="宋体"/>
          <w:color w:val="auto"/>
          <w:sz w:val="24"/>
          <w:szCs w:val="21"/>
          <w:highlight w:val="none"/>
        </w:rPr>
      </w:pPr>
      <w:r>
        <w:rPr>
          <w:rFonts w:hint="eastAsia" w:ascii="宋体" w:hAnsi="宋体" w:cs="宋体"/>
          <w:color w:val="auto"/>
          <w:sz w:val="24"/>
          <w:szCs w:val="21"/>
          <w:highlight w:val="none"/>
        </w:rPr>
        <w:t>3.货物交付后，在安装前应仔细检查货物自身无缺陷后方可安装，如果存在货物破损、自身材质、规格等质量缺陷，采购人有权要求将货物退场，由此引起的一切后果由供应商承担。</w:t>
      </w:r>
    </w:p>
    <w:p w14:paraId="65C1991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82"/>
        <w:jc w:val="left"/>
        <w:textAlignment w:val="auto"/>
        <w:rPr>
          <w:rFonts w:ascii="宋体" w:hAnsi="宋体" w:cs="宋体"/>
          <w:color w:val="auto"/>
          <w:sz w:val="24"/>
          <w:szCs w:val="21"/>
          <w:highlight w:val="none"/>
        </w:rPr>
      </w:pPr>
      <w:r>
        <w:rPr>
          <w:rFonts w:hint="eastAsia" w:ascii="宋体" w:hAnsi="宋体" w:cs="宋体"/>
          <w:color w:val="auto"/>
          <w:sz w:val="24"/>
          <w:szCs w:val="21"/>
          <w:highlight w:val="none"/>
        </w:rPr>
        <w:t xml:space="preserve">4.货物进场后供应商自行负责设备看管工作，如因看管不善所造成的一切损失均由供应商自行承担。 </w:t>
      </w:r>
    </w:p>
    <w:p w14:paraId="32ABF52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82"/>
        <w:jc w:val="left"/>
        <w:textAlignment w:val="auto"/>
        <w:rPr>
          <w:rFonts w:hint="eastAsia" w:ascii="宋体" w:hAnsi="宋体" w:eastAsia="宋体" w:cs="宋体"/>
          <w:color w:val="auto"/>
          <w:sz w:val="24"/>
          <w:szCs w:val="21"/>
          <w:highlight w:val="none"/>
          <w:lang w:eastAsia="zh-CN"/>
        </w:rPr>
      </w:pPr>
      <w:r>
        <w:rPr>
          <w:rFonts w:hint="eastAsia" w:ascii="宋体" w:hAnsi="宋体" w:cs="宋体"/>
          <w:color w:val="auto"/>
          <w:sz w:val="24"/>
          <w:szCs w:val="21"/>
          <w:highlight w:val="none"/>
        </w:rPr>
        <w:t>5.</w:t>
      </w:r>
      <w:r>
        <w:rPr>
          <w:rFonts w:hint="eastAsia" w:ascii="宋体" w:hAnsi="宋体" w:cs="宋体"/>
          <w:color w:val="auto"/>
          <w:sz w:val="24"/>
          <w:szCs w:val="21"/>
          <w:highlight w:val="none"/>
          <w:lang w:eastAsia="zh-CN"/>
        </w:rPr>
        <w:t>验收</w:t>
      </w:r>
    </w:p>
    <w:p w14:paraId="4F4525F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82"/>
        <w:jc w:val="left"/>
        <w:textAlignment w:val="auto"/>
        <w:rPr>
          <w:rFonts w:ascii="宋体" w:hAnsi="宋体" w:cs="宋体"/>
          <w:color w:val="auto"/>
          <w:sz w:val="24"/>
          <w:szCs w:val="21"/>
          <w:highlight w:val="none"/>
        </w:rPr>
      </w:pPr>
      <w:r>
        <w:rPr>
          <w:rFonts w:hint="eastAsia" w:ascii="宋体" w:hAnsi="宋体" w:cs="宋体"/>
          <w:color w:val="auto"/>
          <w:sz w:val="24"/>
          <w:szCs w:val="21"/>
          <w:highlight w:val="none"/>
        </w:rPr>
        <w:t>在合同期内将货物送至采购人指定地点并安装调试完毕，供应商向采购人提交项目</w:t>
      </w:r>
      <w:r>
        <w:rPr>
          <w:rFonts w:hint="eastAsia" w:ascii="宋体" w:hAnsi="宋体" w:cs="宋体"/>
          <w:color w:val="auto"/>
          <w:sz w:val="24"/>
          <w:szCs w:val="21"/>
          <w:highlight w:val="none"/>
          <w:lang w:eastAsia="zh-CN"/>
        </w:rPr>
        <w:t>验收</w:t>
      </w:r>
      <w:r>
        <w:rPr>
          <w:rFonts w:hint="eastAsia" w:ascii="宋体" w:hAnsi="宋体" w:cs="宋体"/>
          <w:color w:val="auto"/>
          <w:sz w:val="24"/>
          <w:szCs w:val="21"/>
          <w:highlight w:val="none"/>
        </w:rPr>
        <w:t>技术资料以及验收申请单，采购人收到申请后5个工作日内组织验收，并按照合同约定以及响应文件中的产品技术标准进行验收，对发现的问题下达限期整改通知书，整改完成后经采购人复查无问题后签署验收报告。</w:t>
      </w:r>
    </w:p>
    <w:p w14:paraId="219A2DB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82"/>
        <w:jc w:val="left"/>
        <w:textAlignment w:val="auto"/>
        <w:rPr>
          <w:rFonts w:ascii="宋体" w:hAnsi="宋体" w:cs="宋体"/>
          <w:color w:val="auto"/>
          <w:sz w:val="24"/>
          <w:szCs w:val="21"/>
          <w:highlight w:val="none"/>
        </w:rPr>
      </w:pPr>
      <w:r>
        <w:rPr>
          <w:rFonts w:hint="eastAsia" w:ascii="宋体" w:hAnsi="宋体" w:cs="宋体"/>
          <w:color w:val="auto"/>
          <w:sz w:val="24"/>
          <w:szCs w:val="21"/>
          <w:highlight w:val="none"/>
        </w:rPr>
        <w:t>验收的标准按照项目采购文件、响应文件及相关标准实施，须服从采购人安排要求。</w:t>
      </w:r>
    </w:p>
    <w:p w14:paraId="78052400">
      <w:pPr>
        <w:pBdr>
          <w:top w:val="none" w:color="000000" w:sz="0" w:space="0"/>
          <w:left w:val="none" w:color="000000" w:sz="0" w:space="0"/>
          <w:bottom w:val="none" w:color="000000" w:sz="0" w:space="0"/>
          <w:right w:val="none" w:color="000000" w:sz="0" w:space="0"/>
        </w:pBdr>
        <w:spacing w:line="400" w:lineRule="exact"/>
        <w:jc w:val="left"/>
        <w:rPr>
          <w:rFonts w:ascii="宋体" w:hAnsi="宋体" w:cs="宋体"/>
          <w:b/>
          <w:color w:val="auto"/>
          <w:sz w:val="28"/>
          <w:highlight w:val="none"/>
        </w:rPr>
      </w:pPr>
      <w:r>
        <w:rPr>
          <w:rFonts w:hint="eastAsia" w:ascii="宋体" w:hAnsi="宋体" w:cs="宋体"/>
          <w:b/>
          <w:color w:val="auto"/>
          <w:sz w:val="28"/>
          <w:highlight w:val="none"/>
        </w:rPr>
        <w:t>五、项目实施方案要求</w:t>
      </w:r>
    </w:p>
    <w:p w14:paraId="78B700E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80" w:firstLineChars="200"/>
        <w:jc w:val="left"/>
        <w:textAlignment w:val="auto"/>
        <w:rPr>
          <w:rFonts w:ascii="宋体" w:hAnsi="宋体" w:cs="宋体"/>
          <w:color w:val="auto"/>
          <w:sz w:val="24"/>
          <w:szCs w:val="21"/>
          <w:highlight w:val="none"/>
        </w:rPr>
      </w:pPr>
      <w:r>
        <w:rPr>
          <w:rFonts w:hint="eastAsia" w:ascii="宋体" w:hAnsi="宋体" w:cs="宋体"/>
          <w:color w:val="auto"/>
          <w:sz w:val="24"/>
          <w:szCs w:val="21"/>
          <w:highlight w:val="none"/>
        </w:rPr>
        <w:t>投标人针对本项目提供详细的项目实施方案，内容包括但不限于：供货时间进度安排方案、质量保障措施、售后服务方案等内容。</w:t>
      </w:r>
    </w:p>
    <w:p w14:paraId="6B8661D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80" w:firstLineChars="200"/>
        <w:jc w:val="left"/>
        <w:textAlignment w:val="auto"/>
        <w:rPr>
          <w:rFonts w:ascii="宋体" w:hAnsi="宋体" w:cs="宋体"/>
          <w:color w:val="auto"/>
          <w:sz w:val="24"/>
          <w:szCs w:val="21"/>
          <w:highlight w:val="none"/>
        </w:rPr>
      </w:pPr>
      <w:r>
        <w:rPr>
          <w:rFonts w:hint="eastAsia" w:ascii="宋体" w:hAnsi="宋体" w:cs="宋体"/>
          <w:color w:val="auto"/>
          <w:sz w:val="24"/>
          <w:szCs w:val="21"/>
          <w:highlight w:val="none"/>
        </w:rPr>
        <w:t>1.供货时间进度安排方案</w:t>
      </w:r>
    </w:p>
    <w:p w14:paraId="757BA52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80" w:firstLineChars="200"/>
        <w:jc w:val="left"/>
        <w:textAlignment w:val="auto"/>
        <w:rPr>
          <w:rFonts w:ascii="宋体" w:hAnsi="宋体" w:cs="宋体"/>
          <w:color w:val="auto"/>
          <w:sz w:val="24"/>
          <w:szCs w:val="21"/>
          <w:highlight w:val="none"/>
        </w:rPr>
      </w:pPr>
      <w:r>
        <w:rPr>
          <w:rFonts w:hint="eastAsia" w:ascii="宋体" w:hAnsi="宋体" w:cs="宋体"/>
          <w:color w:val="auto"/>
          <w:sz w:val="24"/>
          <w:szCs w:val="21"/>
          <w:highlight w:val="none"/>
        </w:rPr>
        <w:t>进度计划、进度计划保障措施、有明确的时间节点和应急安排等。</w:t>
      </w:r>
    </w:p>
    <w:p w14:paraId="3117AC8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80" w:firstLineChars="200"/>
        <w:jc w:val="left"/>
        <w:textAlignment w:val="auto"/>
        <w:rPr>
          <w:rFonts w:ascii="宋体" w:hAnsi="宋体" w:cs="宋体"/>
          <w:color w:val="auto"/>
          <w:sz w:val="24"/>
          <w:szCs w:val="21"/>
          <w:highlight w:val="none"/>
        </w:rPr>
      </w:pPr>
      <w:r>
        <w:rPr>
          <w:rFonts w:hint="eastAsia" w:ascii="宋体" w:hAnsi="宋体" w:cs="宋体"/>
          <w:color w:val="auto"/>
          <w:sz w:val="24"/>
          <w:szCs w:val="21"/>
          <w:highlight w:val="none"/>
        </w:rPr>
        <w:t>2.质量保障措施</w:t>
      </w:r>
    </w:p>
    <w:p w14:paraId="5B6034D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80" w:firstLineChars="200"/>
        <w:jc w:val="left"/>
        <w:textAlignment w:val="auto"/>
        <w:rPr>
          <w:rFonts w:ascii="宋体" w:hAnsi="宋体" w:cs="宋体"/>
          <w:color w:val="auto"/>
          <w:sz w:val="24"/>
          <w:szCs w:val="21"/>
          <w:highlight w:val="none"/>
        </w:rPr>
      </w:pPr>
      <w:r>
        <w:rPr>
          <w:rFonts w:hint="eastAsia" w:ascii="宋体" w:hAnsi="宋体" w:cs="宋体"/>
          <w:color w:val="auto"/>
          <w:sz w:val="24"/>
          <w:szCs w:val="21"/>
          <w:highlight w:val="none"/>
        </w:rPr>
        <w:t>包括质量控制目标、质量控制方法、技术规范和工艺流程保障措施等。</w:t>
      </w:r>
    </w:p>
    <w:p w14:paraId="18AAAF7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80" w:firstLineChars="200"/>
        <w:jc w:val="left"/>
        <w:textAlignment w:val="auto"/>
        <w:rPr>
          <w:rFonts w:ascii="宋体" w:hAnsi="宋体" w:cs="宋体"/>
          <w:color w:val="auto"/>
          <w:sz w:val="24"/>
          <w:szCs w:val="21"/>
          <w:highlight w:val="none"/>
        </w:rPr>
      </w:pPr>
      <w:r>
        <w:rPr>
          <w:rFonts w:hint="eastAsia" w:ascii="宋体" w:hAnsi="宋体" w:cs="宋体"/>
          <w:color w:val="auto"/>
          <w:sz w:val="24"/>
          <w:szCs w:val="21"/>
          <w:highlight w:val="none"/>
        </w:rPr>
        <w:t>3.售后服务</w:t>
      </w:r>
    </w:p>
    <w:p w14:paraId="4D688E5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80" w:firstLineChars="200"/>
        <w:jc w:val="left"/>
        <w:textAlignment w:val="auto"/>
        <w:rPr>
          <w:rFonts w:ascii="宋体" w:hAnsi="宋体" w:cs="宋体"/>
          <w:color w:val="auto"/>
          <w:sz w:val="24"/>
          <w:szCs w:val="21"/>
          <w:highlight w:val="none"/>
        </w:rPr>
      </w:pPr>
      <w:r>
        <w:rPr>
          <w:rFonts w:hint="eastAsia" w:ascii="宋体" w:hAnsi="宋体" w:cs="宋体"/>
          <w:color w:val="auto"/>
          <w:sz w:val="24"/>
          <w:szCs w:val="21"/>
          <w:highlight w:val="none"/>
        </w:rPr>
        <w:t>包含制定有效的服务承诺，详细阐述与售后服务有关的技术支持原则、目标、内容、充足数量的维保备件、合同结 束后服务等内容。</w:t>
      </w:r>
    </w:p>
    <w:p w14:paraId="203A9DB5">
      <w:pPr>
        <w:pBdr>
          <w:top w:val="none" w:color="000000" w:sz="0" w:space="0"/>
          <w:left w:val="none" w:color="000000" w:sz="0" w:space="0"/>
          <w:bottom w:val="none" w:color="000000" w:sz="0" w:space="0"/>
          <w:right w:val="none" w:color="000000" w:sz="0" w:space="0"/>
        </w:pBdr>
        <w:spacing w:line="400" w:lineRule="exact"/>
        <w:jc w:val="left"/>
        <w:rPr>
          <w:rFonts w:ascii="Times New Roman" w:hAnsi="Times New Roman"/>
          <w:color w:val="auto"/>
          <w:sz w:val="22"/>
          <w:highlight w:val="none"/>
        </w:rPr>
      </w:pPr>
      <w:r>
        <w:rPr>
          <w:rFonts w:hint="eastAsia" w:ascii="宋体" w:hAnsi="宋体" w:cs="宋体"/>
          <w:b/>
          <w:color w:val="auto"/>
          <w:sz w:val="28"/>
          <w:highlight w:val="none"/>
        </w:rPr>
        <w:t>六</w:t>
      </w:r>
      <w:r>
        <w:rPr>
          <w:rFonts w:ascii="宋体" w:hAnsi="宋体" w:cs="宋体"/>
          <w:b/>
          <w:color w:val="auto"/>
          <w:sz w:val="28"/>
          <w:highlight w:val="none"/>
        </w:rPr>
        <w:t>、项目要求</w:t>
      </w:r>
    </w:p>
    <w:p w14:paraId="75E19E03">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400"/>
        </w:tabs>
        <w:kinsoku/>
        <w:wordWrap/>
        <w:overflowPunct/>
        <w:topLinePunct w:val="0"/>
        <w:autoSpaceDE/>
        <w:autoSpaceDN/>
        <w:bidi w:val="0"/>
        <w:adjustRightInd/>
        <w:snapToGrid/>
        <w:spacing w:line="400" w:lineRule="exact"/>
        <w:ind w:firstLine="482"/>
        <w:jc w:val="left"/>
        <w:textAlignment w:val="auto"/>
        <w:rPr>
          <w:rFonts w:ascii="Times New Roman" w:hAnsi="Times New Roman"/>
          <w:color w:val="auto"/>
          <w:szCs w:val="21"/>
          <w:highlight w:val="none"/>
        </w:rPr>
      </w:pPr>
      <w:r>
        <w:rPr>
          <w:rFonts w:ascii="宋体" w:hAnsi="宋体" w:cs="宋体"/>
          <w:b/>
          <w:color w:val="auto"/>
          <w:sz w:val="24"/>
          <w:szCs w:val="21"/>
          <w:highlight w:val="none"/>
        </w:rPr>
        <w:t>（一）供货要求</w:t>
      </w:r>
    </w:p>
    <w:p w14:paraId="56BFF0E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80"/>
        <w:jc w:val="left"/>
        <w:textAlignment w:val="auto"/>
        <w:rPr>
          <w:rFonts w:ascii="Times New Roman" w:hAnsi="Times New Roman"/>
          <w:color w:val="auto"/>
          <w:szCs w:val="21"/>
          <w:highlight w:val="none"/>
        </w:rPr>
      </w:pPr>
      <w:r>
        <w:rPr>
          <w:rFonts w:ascii="宋体" w:hAnsi="宋体" w:cs="宋体"/>
          <w:color w:val="auto"/>
          <w:sz w:val="24"/>
          <w:szCs w:val="21"/>
          <w:highlight w:val="none"/>
        </w:rPr>
        <w:t>供方应严格按照标书的有关规定提供合格商品，保证货物为全新、未使用的原装正品，货物上均有合格证，包括品牌的有关标志；一旦发生质量问题，中标人需在</w:t>
      </w:r>
      <w:r>
        <w:rPr>
          <w:rFonts w:ascii="Times New Roman" w:hAnsi="Times New Roman" w:eastAsia="Times New Roman"/>
          <w:color w:val="auto"/>
          <w:sz w:val="24"/>
          <w:szCs w:val="21"/>
          <w:highlight w:val="none"/>
        </w:rPr>
        <w:t>2</w:t>
      </w:r>
      <w:r>
        <w:rPr>
          <w:rFonts w:ascii="宋体" w:hAnsi="宋体" w:cs="宋体"/>
          <w:color w:val="auto"/>
          <w:sz w:val="24"/>
          <w:szCs w:val="21"/>
          <w:highlight w:val="none"/>
        </w:rPr>
        <w:t>小时内响应，并保证在接到通知</w:t>
      </w:r>
      <w:r>
        <w:rPr>
          <w:rFonts w:ascii="Times New Roman" w:hAnsi="Times New Roman" w:eastAsia="Times New Roman"/>
          <w:color w:val="auto"/>
          <w:sz w:val="24"/>
          <w:szCs w:val="21"/>
          <w:highlight w:val="none"/>
        </w:rPr>
        <w:t>24</w:t>
      </w:r>
      <w:r>
        <w:rPr>
          <w:rFonts w:ascii="宋体" w:hAnsi="宋体" w:cs="宋体"/>
          <w:color w:val="auto"/>
          <w:sz w:val="24"/>
          <w:szCs w:val="21"/>
          <w:highlight w:val="none"/>
        </w:rPr>
        <w:t>小时内到现场进行更换或退货，费用由中标人负责。如中标人在接到通知工作日的</w:t>
      </w:r>
      <w:r>
        <w:rPr>
          <w:rFonts w:ascii="Times New Roman" w:hAnsi="Times New Roman" w:eastAsia="Times New Roman"/>
          <w:color w:val="auto"/>
          <w:sz w:val="24"/>
          <w:szCs w:val="21"/>
          <w:highlight w:val="none"/>
        </w:rPr>
        <w:t>24</w:t>
      </w:r>
      <w:r>
        <w:rPr>
          <w:rFonts w:ascii="宋体" w:hAnsi="宋体" w:cs="宋体"/>
          <w:color w:val="auto"/>
          <w:sz w:val="24"/>
          <w:szCs w:val="21"/>
          <w:highlight w:val="none"/>
        </w:rPr>
        <w:t>小时内没有答复或处理问题，则视为中标人承认质量问题并承担由此而发生的一切费用。</w:t>
      </w:r>
    </w:p>
    <w:p w14:paraId="05F5562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82"/>
        <w:jc w:val="left"/>
        <w:textAlignment w:val="auto"/>
        <w:rPr>
          <w:rFonts w:ascii="Times New Roman" w:hAnsi="Times New Roman"/>
          <w:color w:val="auto"/>
          <w:szCs w:val="21"/>
          <w:highlight w:val="none"/>
        </w:rPr>
      </w:pPr>
      <w:r>
        <w:rPr>
          <w:rFonts w:ascii="宋体" w:hAnsi="宋体" w:cs="宋体"/>
          <w:b/>
          <w:color w:val="auto"/>
          <w:sz w:val="24"/>
          <w:szCs w:val="21"/>
          <w:highlight w:val="none"/>
        </w:rPr>
        <w:t>（二）质量保证</w:t>
      </w:r>
    </w:p>
    <w:p w14:paraId="0EDAD59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80"/>
        <w:jc w:val="left"/>
        <w:textAlignment w:val="auto"/>
        <w:rPr>
          <w:rFonts w:ascii="Times New Roman" w:hAnsi="Times New Roman"/>
          <w:color w:val="auto"/>
          <w:szCs w:val="21"/>
          <w:highlight w:val="none"/>
        </w:rPr>
      </w:pPr>
      <w:r>
        <w:rPr>
          <w:rFonts w:ascii="宋体" w:hAnsi="宋体" w:cs="宋体"/>
          <w:color w:val="auto"/>
          <w:sz w:val="24"/>
          <w:szCs w:val="21"/>
          <w:highlight w:val="none"/>
        </w:rPr>
        <w:t>（</w:t>
      </w:r>
      <w:r>
        <w:rPr>
          <w:rFonts w:ascii="Times New Roman" w:hAnsi="Times New Roman" w:eastAsia="Times New Roman"/>
          <w:color w:val="auto"/>
          <w:sz w:val="24"/>
          <w:szCs w:val="21"/>
          <w:highlight w:val="none"/>
        </w:rPr>
        <w:t>1</w:t>
      </w:r>
      <w:r>
        <w:rPr>
          <w:rFonts w:ascii="宋体" w:hAnsi="宋体" w:cs="宋体"/>
          <w:color w:val="auto"/>
          <w:sz w:val="24"/>
          <w:szCs w:val="21"/>
          <w:highlight w:val="none"/>
        </w:rPr>
        <w:t>）投标人应保证提供的货物与服务项目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p>
    <w:p w14:paraId="4B2EEE9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80"/>
        <w:jc w:val="left"/>
        <w:textAlignment w:val="auto"/>
        <w:rPr>
          <w:rFonts w:ascii="Times New Roman" w:hAnsi="Times New Roman"/>
          <w:color w:val="auto"/>
          <w:szCs w:val="21"/>
          <w:highlight w:val="none"/>
        </w:rPr>
      </w:pPr>
      <w:r>
        <w:rPr>
          <w:rFonts w:ascii="宋体" w:hAnsi="宋体" w:cs="宋体"/>
          <w:color w:val="auto"/>
          <w:sz w:val="24"/>
          <w:szCs w:val="21"/>
          <w:highlight w:val="none"/>
        </w:rPr>
        <w:t>（</w:t>
      </w:r>
      <w:r>
        <w:rPr>
          <w:rFonts w:ascii="Times New Roman" w:hAnsi="Times New Roman" w:eastAsia="Times New Roman"/>
          <w:color w:val="auto"/>
          <w:sz w:val="24"/>
          <w:szCs w:val="21"/>
          <w:highlight w:val="none"/>
        </w:rPr>
        <w:t>2</w:t>
      </w:r>
      <w:r>
        <w:rPr>
          <w:rFonts w:ascii="宋体" w:hAnsi="宋体" w:cs="宋体"/>
          <w:color w:val="auto"/>
          <w:sz w:val="24"/>
          <w:szCs w:val="21"/>
          <w:highlight w:val="none"/>
        </w:rPr>
        <w:t>）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p>
    <w:p w14:paraId="1A6ECC1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80"/>
        <w:jc w:val="left"/>
        <w:textAlignment w:val="auto"/>
        <w:rPr>
          <w:rFonts w:ascii="Times New Roman" w:hAnsi="Times New Roman"/>
          <w:color w:val="auto"/>
          <w:szCs w:val="21"/>
          <w:highlight w:val="none"/>
        </w:rPr>
      </w:pPr>
      <w:r>
        <w:rPr>
          <w:rFonts w:ascii="宋体" w:hAnsi="宋体" w:cs="宋体"/>
          <w:color w:val="auto"/>
          <w:sz w:val="24"/>
          <w:szCs w:val="21"/>
          <w:highlight w:val="none"/>
        </w:rPr>
        <w:t>（</w:t>
      </w:r>
      <w:r>
        <w:rPr>
          <w:rFonts w:ascii="Times New Roman" w:hAnsi="Times New Roman" w:eastAsia="Times New Roman"/>
          <w:color w:val="auto"/>
          <w:sz w:val="24"/>
          <w:szCs w:val="21"/>
          <w:highlight w:val="none"/>
        </w:rPr>
        <w:t>3</w:t>
      </w:r>
      <w:r>
        <w:rPr>
          <w:rFonts w:ascii="宋体" w:hAnsi="宋体" w:cs="宋体"/>
          <w:color w:val="auto"/>
          <w:sz w:val="24"/>
          <w:szCs w:val="21"/>
          <w:highlight w:val="none"/>
        </w:rPr>
        <w:t>）投标人在收到通知后，应在合同所附服务承诺约定的时间内维修、更换有缺陷的货物或部件。</w:t>
      </w:r>
    </w:p>
    <w:p w14:paraId="579F8E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80"/>
        <w:jc w:val="left"/>
        <w:textAlignment w:val="auto"/>
        <w:rPr>
          <w:rFonts w:ascii="Times New Roman" w:hAnsi="Times New Roman"/>
          <w:color w:val="auto"/>
          <w:szCs w:val="21"/>
          <w:highlight w:val="none"/>
        </w:rPr>
      </w:pPr>
      <w:r>
        <w:rPr>
          <w:rFonts w:ascii="宋体" w:hAnsi="宋体" w:cs="宋体"/>
          <w:color w:val="auto"/>
          <w:sz w:val="24"/>
          <w:szCs w:val="21"/>
          <w:highlight w:val="none"/>
        </w:rPr>
        <w:t>（</w:t>
      </w:r>
      <w:r>
        <w:rPr>
          <w:rFonts w:ascii="Times New Roman" w:hAnsi="Times New Roman" w:eastAsia="Times New Roman"/>
          <w:color w:val="auto"/>
          <w:sz w:val="24"/>
          <w:szCs w:val="21"/>
          <w:highlight w:val="none"/>
        </w:rPr>
        <w:t>4</w:t>
      </w:r>
      <w:r>
        <w:rPr>
          <w:rFonts w:ascii="宋体" w:hAnsi="宋体" w:cs="宋体"/>
          <w:color w:val="auto"/>
          <w:sz w:val="24"/>
          <w:szCs w:val="21"/>
          <w:highlight w:val="none"/>
        </w:rPr>
        <w:t>）如果投标人在收到通知后，在合同所附服务承诺约定的时间内没有弥补缺陷，采购人可采取必要的补救措施，但风险和费用将由投标人承担。</w:t>
      </w:r>
    </w:p>
    <w:p w14:paraId="0BE24B8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82"/>
        <w:jc w:val="left"/>
        <w:textAlignment w:val="auto"/>
        <w:rPr>
          <w:rFonts w:ascii="Times New Roman" w:hAnsi="Times New Roman"/>
          <w:color w:val="auto"/>
          <w:szCs w:val="21"/>
          <w:highlight w:val="none"/>
        </w:rPr>
      </w:pPr>
      <w:r>
        <w:rPr>
          <w:rFonts w:ascii="宋体" w:hAnsi="宋体" w:cs="宋体"/>
          <w:b/>
          <w:color w:val="auto"/>
          <w:sz w:val="24"/>
          <w:szCs w:val="21"/>
          <w:highlight w:val="none"/>
        </w:rPr>
        <w:t>（</w:t>
      </w:r>
      <w:r>
        <w:rPr>
          <w:rFonts w:hint="eastAsia" w:ascii="宋体" w:hAnsi="宋体" w:cs="宋体"/>
          <w:b/>
          <w:color w:val="auto"/>
          <w:sz w:val="24"/>
          <w:szCs w:val="21"/>
          <w:highlight w:val="none"/>
        </w:rPr>
        <w:t>三</w:t>
      </w:r>
      <w:r>
        <w:rPr>
          <w:rFonts w:ascii="宋体" w:hAnsi="宋体" w:cs="宋体"/>
          <w:b/>
          <w:color w:val="auto"/>
          <w:sz w:val="24"/>
          <w:szCs w:val="21"/>
          <w:highlight w:val="none"/>
        </w:rPr>
        <w:t>）产品的包装、发运及运输</w:t>
      </w:r>
    </w:p>
    <w:p w14:paraId="40293C6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80"/>
        <w:jc w:val="left"/>
        <w:textAlignment w:val="auto"/>
        <w:rPr>
          <w:rFonts w:ascii="Times New Roman" w:hAnsi="Times New Roman"/>
          <w:color w:val="auto"/>
          <w:szCs w:val="21"/>
          <w:highlight w:val="none"/>
        </w:rPr>
      </w:pPr>
      <w:r>
        <w:rPr>
          <w:rFonts w:ascii="宋体" w:hAnsi="宋体" w:cs="宋体"/>
          <w:color w:val="auto"/>
          <w:sz w:val="24"/>
          <w:szCs w:val="21"/>
          <w:highlight w:val="none"/>
        </w:rPr>
        <w:t>（</w:t>
      </w:r>
      <w:r>
        <w:rPr>
          <w:rFonts w:ascii="Times New Roman" w:hAnsi="Times New Roman" w:eastAsia="Times New Roman"/>
          <w:color w:val="auto"/>
          <w:sz w:val="24"/>
          <w:szCs w:val="21"/>
          <w:highlight w:val="none"/>
        </w:rPr>
        <w:t>1</w:t>
      </w:r>
      <w:r>
        <w:rPr>
          <w:rFonts w:ascii="宋体" w:hAnsi="宋体" w:cs="宋体"/>
          <w:color w:val="auto"/>
          <w:sz w:val="24"/>
          <w:szCs w:val="21"/>
          <w:highlight w:val="none"/>
        </w:rPr>
        <w:t>）投标人应在产品发运前对其进行满足运输距离、防潮、防震、防锈和防破损装卸等要求包装，以保证产品安全运达采购人指定地点。</w:t>
      </w:r>
    </w:p>
    <w:p w14:paraId="5674425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80"/>
        <w:jc w:val="left"/>
        <w:textAlignment w:val="auto"/>
        <w:rPr>
          <w:rFonts w:ascii="Times New Roman" w:hAnsi="Times New Roman"/>
          <w:color w:val="auto"/>
          <w:szCs w:val="21"/>
          <w:highlight w:val="none"/>
        </w:rPr>
      </w:pPr>
      <w:r>
        <w:rPr>
          <w:rFonts w:ascii="宋体" w:hAnsi="宋体" w:cs="宋体"/>
          <w:color w:val="auto"/>
          <w:sz w:val="24"/>
          <w:szCs w:val="21"/>
          <w:highlight w:val="none"/>
        </w:rPr>
        <w:t>（</w:t>
      </w:r>
      <w:r>
        <w:rPr>
          <w:rFonts w:ascii="Times New Roman" w:hAnsi="Times New Roman" w:eastAsia="Times New Roman"/>
          <w:color w:val="auto"/>
          <w:sz w:val="24"/>
          <w:szCs w:val="21"/>
          <w:highlight w:val="none"/>
        </w:rPr>
        <w:t>2</w:t>
      </w:r>
      <w:r>
        <w:rPr>
          <w:rFonts w:ascii="宋体" w:hAnsi="宋体" w:cs="宋体"/>
          <w:color w:val="auto"/>
          <w:sz w:val="24"/>
          <w:szCs w:val="21"/>
          <w:highlight w:val="none"/>
        </w:rPr>
        <w:t>）使用说明书、质量检验证明书、随配附件和工具以及清单一并附于货物内。</w:t>
      </w:r>
    </w:p>
    <w:p w14:paraId="616A2BD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80"/>
        <w:jc w:val="left"/>
        <w:textAlignment w:val="auto"/>
        <w:rPr>
          <w:rFonts w:ascii="Times New Roman" w:hAnsi="Times New Roman"/>
          <w:color w:val="auto"/>
          <w:szCs w:val="21"/>
          <w:highlight w:val="none"/>
        </w:rPr>
      </w:pPr>
      <w:r>
        <w:rPr>
          <w:rFonts w:ascii="宋体" w:hAnsi="宋体" w:cs="宋体"/>
          <w:color w:val="auto"/>
          <w:sz w:val="24"/>
          <w:szCs w:val="21"/>
          <w:highlight w:val="none"/>
        </w:rPr>
        <w:t>（</w:t>
      </w:r>
      <w:r>
        <w:rPr>
          <w:rFonts w:ascii="Times New Roman" w:hAnsi="Times New Roman" w:eastAsia="Times New Roman"/>
          <w:color w:val="auto"/>
          <w:sz w:val="24"/>
          <w:szCs w:val="21"/>
          <w:highlight w:val="none"/>
        </w:rPr>
        <w:t>3</w:t>
      </w:r>
      <w:r>
        <w:rPr>
          <w:rFonts w:ascii="宋体" w:hAnsi="宋体" w:cs="宋体"/>
          <w:color w:val="auto"/>
          <w:sz w:val="24"/>
          <w:szCs w:val="21"/>
          <w:highlight w:val="none"/>
        </w:rPr>
        <w:t>）投标人在产品发运手续办理完毕后</w:t>
      </w:r>
      <w:r>
        <w:rPr>
          <w:rFonts w:ascii="Times New Roman" w:hAnsi="Times New Roman" w:eastAsia="Times New Roman"/>
          <w:color w:val="auto"/>
          <w:sz w:val="24"/>
          <w:szCs w:val="21"/>
          <w:highlight w:val="none"/>
        </w:rPr>
        <w:t>24</w:t>
      </w:r>
      <w:r>
        <w:rPr>
          <w:rFonts w:ascii="宋体" w:hAnsi="宋体" w:cs="宋体"/>
          <w:color w:val="auto"/>
          <w:sz w:val="24"/>
          <w:szCs w:val="21"/>
          <w:highlight w:val="none"/>
        </w:rPr>
        <w:t>小时内或货到采购人</w:t>
      </w:r>
      <w:r>
        <w:rPr>
          <w:rFonts w:ascii="Times New Roman" w:hAnsi="Times New Roman" w:eastAsia="Times New Roman"/>
          <w:color w:val="auto"/>
          <w:sz w:val="24"/>
          <w:szCs w:val="21"/>
          <w:highlight w:val="none"/>
        </w:rPr>
        <w:t>48</w:t>
      </w:r>
      <w:r>
        <w:rPr>
          <w:rFonts w:ascii="宋体" w:hAnsi="宋体" w:cs="宋体"/>
          <w:color w:val="auto"/>
          <w:sz w:val="24"/>
          <w:szCs w:val="21"/>
          <w:highlight w:val="none"/>
        </w:rPr>
        <w:t>小时前通知采购人，以准备接货。</w:t>
      </w:r>
    </w:p>
    <w:p w14:paraId="1269B46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left="543" w:hanging="64"/>
        <w:jc w:val="left"/>
        <w:textAlignment w:val="auto"/>
        <w:rPr>
          <w:rFonts w:ascii="Times New Roman" w:hAnsi="Times New Roman"/>
          <w:color w:val="auto"/>
          <w:szCs w:val="21"/>
          <w:highlight w:val="none"/>
        </w:rPr>
      </w:pPr>
      <w:r>
        <w:rPr>
          <w:rFonts w:ascii="宋体" w:hAnsi="宋体" w:cs="宋体"/>
          <w:color w:val="auto"/>
          <w:sz w:val="24"/>
          <w:szCs w:val="21"/>
          <w:highlight w:val="none"/>
        </w:rPr>
        <w:t>（</w:t>
      </w:r>
      <w:r>
        <w:rPr>
          <w:rFonts w:ascii="Times New Roman" w:hAnsi="Times New Roman" w:eastAsia="Times New Roman"/>
          <w:color w:val="auto"/>
          <w:sz w:val="24"/>
          <w:szCs w:val="21"/>
          <w:highlight w:val="none"/>
        </w:rPr>
        <w:t>4</w:t>
      </w:r>
      <w:r>
        <w:rPr>
          <w:rFonts w:ascii="宋体" w:hAnsi="宋体" w:cs="宋体"/>
          <w:color w:val="auto"/>
          <w:sz w:val="24"/>
          <w:szCs w:val="21"/>
          <w:highlight w:val="none"/>
        </w:rPr>
        <w:t>）产品在交付采购人前发生的风险均由投标人负责。</w:t>
      </w:r>
    </w:p>
    <w:p w14:paraId="6D12A83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80"/>
        <w:jc w:val="left"/>
        <w:textAlignment w:val="auto"/>
        <w:rPr>
          <w:rFonts w:ascii="Times New Roman" w:hAnsi="Times New Roman"/>
          <w:color w:val="auto"/>
          <w:szCs w:val="21"/>
          <w:highlight w:val="none"/>
        </w:rPr>
      </w:pPr>
      <w:r>
        <w:rPr>
          <w:rFonts w:ascii="宋体" w:hAnsi="宋体" w:cs="宋体"/>
          <w:color w:val="auto"/>
          <w:sz w:val="24"/>
          <w:szCs w:val="21"/>
          <w:highlight w:val="none"/>
        </w:rPr>
        <w:t>（</w:t>
      </w:r>
      <w:r>
        <w:rPr>
          <w:rFonts w:hint="eastAsia" w:ascii="Times New Roman" w:hAnsi="Times New Roman"/>
          <w:color w:val="auto"/>
          <w:sz w:val="24"/>
          <w:szCs w:val="21"/>
          <w:highlight w:val="none"/>
        </w:rPr>
        <w:t>5</w:t>
      </w:r>
      <w:r>
        <w:rPr>
          <w:rFonts w:ascii="宋体" w:hAnsi="宋体" w:cs="宋体"/>
          <w:color w:val="auto"/>
          <w:sz w:val="24"/>
          <w:szCs w:val="21"/>
          <w:highlight w:val="none"/>
        </w:rPr>
        <w:t>）产品在规定的交付期限内由投标人送达采购人指定的地点视为交付，投标人同时需通知采购人产品已送达。</w:t>
      </w:r>
    </w:p>
    <w:p w14:paraId="58C574B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82"/>
        <w:jc w:val="left"/>
        <w:textAlignment w:val="auto"/>
        <w:rPr>
          <w:rFonts w:ascii="Times New Roman" w:hAnsi="Times New Roman"/>
          <w:color w:val="auto"/>
          <w:szCs w:val="21"/>
          <w:highlight w:val="none"/>
        </w:rPr>
      </w:pPr>
      <w:r>
        <w:rPr>
          <w:rFonts w:ascii="宋体" w:hAnsi="宋体" w:cs="宋体"/>
          <w:b/>
          <w:color w:val="auto"/>
          <w:sz w:val="24"/>
          <w:szCs w:val="21"/>
          <w:highlight w:val="none"/>
        </w:rPr>
        <w:t>（</w:t>
      </w:r>
      <w:r>
        <w:rPr>
          <w:rFonts w:hint="eastAsia" w:ascii="宋体" w:hAnsi="宋体" w:cs="宋体"/>
          <w:b/>
          <w:color w:val="auto"/>
          <w:sz w:val="24"/>
          <w:szCs w:val="21"/>
          <w:highlight w:val="none"/>
        </w:rPr>
        <w:t>四</w:t>
      </w:r>
      <w:r>
        <w:rPr>
          <w:rFonts w:ascii="宋体" w:hAnsi="宋体" w:cs="宋体"/>
          <w:b/>
          <w:color w:val="auto"/>
          <w:sz w:val="24"/>
          <w:szCs w:val="21"/>
          <w:highlight w:val="none"/>
        </w:rPr>
        <w:t>）节能、环保产品政策</w:t>
      </w:r>
    </w:p>
    <w:p w14:paraId="6DFBD8E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80"/>
        <w:jc w:val="left"/>
        <w:textAlignment w:val="auto"/>
        <w:rPr>
          <w:rFonts w:ascii="Times New Roman" w:hAnsi="Times New Roman"/>
          <w:color w:val="auto"/>
          <w:szCs w:val="21"/>
          <w:highlight w:val="none"/>
        </w:rPr>
      </w:pPr>
      <w:r>
        <w:rPr>
          <w:rFonts w:ascii="宋体" w:hAnsi="宋体" w:cs="宋体"/>
          <w:color w:val="auto"/>
          <w:sz w:val="24"/>
          <w:szCs w:val="21"/>
          <w:highlight w:val="none"/>
        </w:rPr>
        <w:t>对照财库〔</w:t>
      </w:r>
      <w:r>
        <w:rPr>
          <w:rFonts w:ascii="Times New Roman" w:hAnsi="Times New Roman" w:eastAsia="Times New Roman"/>
          <w:color w:val="auto"/>
          <w:sz w:val="24"/>
          <w:szCs w:val="21"/>
          <w:highlight w:val="none"/>
        </w:rPr>
        <w:t>2019</w:t>
      </w:r>
      <w:r>
        <w:rPr>
          <w:rFonts w:ascii="宋体" w:hAnsi="宋体" w:cs="宋体"/>
          <w:color w:val="auto"/>
          <w:sz w:val="24"/>
          <w:szCs w:val="21"/>
          <w:highlight w:val="none"/>
        </w:rPr>
        <w:t>〕</w:t>
      </w:r>
      <w:r>
        <w:rPr>
          <w:rFonts w:ascii="Times New Roman" w:hAnsi="Times New Roman" w:eastAsia="Times New Roman"/>
          <w:color w:val="auto"/>
          <w:sz w:val="24"/>
          <w:szCs w:val="21"/>
          <w:highlight w:val="none"/>
        </w:rPr>
        <w:t>9</w:t>
      </w:r>
      <w:r>
        <w:rPr>
          <w:rFonts w:ascii="宋体" w:hAnsi="宋体" w:cs="宋体"/>
          <w:color w:val="auto"/>
          <w:sz w:val="24"/>
          <w:szCs w:val="21"/>
          <w:highlight w:val="none"/>
        </w:rPr>
        <w:t>号、财库〔</w:t>
      </w:r>
      <w:r>
        <w:rPr>
          <w:rFonts w:ascii="Times New Roman" w:hAnsi="Times New Roman" w:eastAsia="Times New Roman"/>
          <w:color w:val="auto"/>
          <w:sz w:val="24"/>
          <w:szCs w:val="21"/>
          <w:highlight w:val="none"/>
        </w:rPr>
        <w:t>2019</w:t>
      </w:r>
      <w:r>
        <w:rPr>
          <w:rFonts w:ascii="宋体" w:hAnsi="宋体" w:cs="宋体"/>
          <w:color w:val="auto"/>
          <w:sz w:val="24"/>
          <w:szCs w:val="21"/>
          <w:highlight w:val="none"/>
        </w:rPr>
        <w:t>〕</w:t>
      </w:r>
      <w:r>
        <w:rPr>
          <w:rFonts w:ascii="Times New Roman" w:hAnsi="Times New Roman" w:eastAsia="Times New Roman"/>
          <w:color w:val="auto"/>
          <w:sz w:val="24"/>
          <w:szCs w:val="21"/>
          <w:highlight w:val="none"/>
        </w:rPr>
        <w:t>19</w:t>
      </w:r>
      <w:r>
        <w:rPr>
          <w:rFonts w:ascii="宋体" w:hAnsi="宋体" w:cs="宋体"/>
          <w:color w:val="auto"/>
          <w:sz w:val="24"/>
          <w:szCs w:val="21"/>
          <w:highlight w:val="none"/>
        </w:rPr>
        <w:t>号文件规定，供应商所投产品属于强制采购产品的，应提供</w:t>
      </w:r>
      <w:r>
        <w:rPr>
          <w:rFonts w:hint="eastAsia" w:ascii="宋体" w:hAnsi="宋体" w:cs="宋体"/>
          <w:color w:val="auto"/>
          <w:sz w:val="24"/>
          <w:szCs w:val="21"/>
          <w:highlight w:val="none"/>
        </w:rPr>
        <w:t>国家市场监督管理总局</w:t>
      </w:r>
      <w:r>
        <w:rPr>
          <w:rFonts w:ascii="宋体" w:hAnsi="宋体" w:cs="宋体"/>
          <w:color w:val="auto"/>
          <w:sz w:val="24"/>
          <w:szCs w:val="21"/>
          <w:highlight w:val="none"/>
        </w:rPr>
        <w:t>确定的列入“参与实施政府采购节能产品认证机构名录”内的认证机构出具的、有效期内的该产品的节能产品认证证书电子件，不满足以上要求的按无效标处理。</w:t>
      </w:r>
    </w:p>
    <w:p w14:paraId="464639F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82"/>
        <w:jc w:val="left"/>
        <w:textAlignment w:val="auto"/>
        <w:rPr>
          <w:rFonts w:ascii="Times New Roman" w:hAnsi="Times New Roman"/>
          <w:color w:val="auto"/>
          <w:szCs w:val="21"/>
          <w:highlight w:val="none"/>
        </w:rPr>
      </w:pPr>
      <w:r>
        <w:rPr>
          <w:rFonts w:ascii="宋体" w:hAnsi="宋体" w:cs="宋体"/>
          <w:b/>
          <w:color w:val="auto"/>
          <w:sz w:val="24"/>
          <w:szCs w:val="21"/>
          <w:highlight w:val="none"/>
        </w:rPr>
        <w:t>（</w:t>
      </w:r>
      <w:r>
        <w:rPr>
          <w:rFonts w:hint="eastAsia" w:ascii="宋体" w:hAnsi="宋体" w:cs="宋体"/>
          <w:b/>
          <w:color w:val="auto"/>
          <w:sz w:val="24"/>
          <w:szCs w:val="21"/>
          <w:highlight w:val="none"/>
        </w:rPr>
        <w:t>五</w:t>
      </w:r>
      <w:r>
        <w:rPr>
          <w:rFonts w:ascii="宋体" w:hAnsi="宋体" w:cs="宋体"/>
          <w:b/>
          <w:color w:val="auto"/>
          <w:sz w:val="24"/>
          <w:szCs w:val="21"/>
          <w:highlight w:val="none"/>
        </w:rPr>
        <w:t>）商品包装、快递包装政府采购需求标准（试行）</w:t>
      </w:r>
    </w:p>
    <w:p w14:paraId="6CD69A3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80"/>
        <w:jc w:val="left"/>
        <w:textAlignment w:val="auto"/>
        <w:rPr>
          <w:rFonts w:ascii="Times New Roman" w:hAnsi="Times New Roman"/>
          <w:color w:val="auto"/>
          <w:szCs w:val="21"/>
          <w:highlight w:val="none"/>
        </w:rPr>
      </w:pPr>
      <w:r>
        <w:rPr>
          <w:rFonts w:ascii="宋体" w:hAnsi="宋体" w:cs="宋体"/>
          <w:color w:val="auto"/>
          <w:sz w:val="24"/>
          <w:szCs w:val="21"/>
          <w:highlight w:val="none"/>
        </w:rPr>
        <w:t>为助力打好污染防治攻坚战，推广使用绿色包装，本项目中涉及的商品包装和快递包装执行《关于印发〈商品包装政府采购需求标准（试行）〉、〈快递包装政府采购需求标准（试行）〉的通知》（财办库〔</w:t>
      </w:r>
      <w:r>
        <w:rPr>
          <w:rFonts w:ascii="Times New Roman" w:hAnsi="Times New Roman" w:eastAsia="Times New Roman"/>
          <w:color w:val="auto"/>
          <w:sz w:val="24"/>
          <w:szCs w:val="21"/>
          <w:highlight w:val="none"/>
        </w:rPr>
        <w:t>2020</w:t>
      </w:r>
      <w:r>
        <w:rPr>
          <w:rFonts w:ascii="宋体" w:hAnsi="宋体" w:cs="宋体"/>
          <w:color w:val="auto"/>
          <w:sz w:val="24"/>
          <w:szCs w:val="21"/>
          <w:highlight w:val="none"/>
        </w:rPr>
        <w:t>〕</w:t>
      </w:r>
      <w:r>
        <w:rPr>
          <w:rFonts w:ascii="Times New Roman" w:hAnsi="Times New Roman" w:eastAsia="Times New Roman"/>
          <w:color w:val="auto"/>
          <w:sz w:val="24"/>
          <w:szCs w:val="21"/>
          <w:highlight w:val="none"/>
        </w:rPr>
        <w:t>123</w:t>
      </w:r>
      <w:r>
        <w:rPr>
          <w:rFonts w:ascii="宋体" w:hAnsi="宋体" w:cs="宋体"/>
          <w:color w:val="auto"/>
          <w:sz w:val="24"/>
          <w:szCs w:val="21"/>
          <w:highlight w:val="none"/>
        </w:rPr>
        <w:t>号）、《江苏省财政厅关于加强政府绿色采购有关事项的通知》（苏财购〔</w:t>
      </w:r>
      <w:r>
        <w:rPr>
          <w:rFonts w:ascii="Times New Roman" w:hAnsi="Times New Roman" w:eastAsia="Times New Roman"/>
          <w:color w:val="auto"/>
          <w:sz w:val="24"/>
          <w:szCs w:val="21"/>
          <w:highlight w:val="none"/>
        </w:rPr>
        <w:t>2023</w:t>
      </w:r>
      <w:r>
        <w:rPr>
          <w:rFonts w:ascii="宋体" w:hAnsi="宋体" w:cs="宋体"/>
          <w:color w:val="auto"/>
          <w:sz w:val="24"/>
          <w:szCs w:val="21"/>
          <w:highlight w:val="none"/>
        </w:rPr>
        <w:t>〕</w:t>
      </w:r>
      <w:r>
        <w:rPr>
          <w:rFonts w:ascii="Times New Roman" w:hAnsi="Times New Roman" w:eastAsia="Times New Roman"/>
          <w:color w:val="auto"/>
          <w:sz w:val="24"/>
          <w:szCs w:val="21"/>
          <w:highlight w:val="none"/>
        </w:rPr>
        <w:t>65</w:t>
      </w:r>
      <w:r>
        <w:rPr>
          <w:rFonts w:ascii="宋体" w:hAnsi="宋体" w:cs="宋体"/>
          <w:color w:val="auto"/>
          <w:sz w:val="24"/>
          <w:szCs w:val="21"/>
          <w:highlight w:val="none"/>
        </w:rPr>
        <w:t>号）的要求，投标人应当提供符合需求标准的产品及相关快递服务的包装。</w:t>
      </w:r>
    </w:p>
    <w:p w14:paraId="3FA2677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82"/>
        <w:jc w:val="left"/>
        <w:textAlignment w:val="auto"/>
        <w:rPr>
          <w:rFonts w:ascii="Times New Roman" w:hAnsi="Times New Roman"/>
          <w:color w:val="auto"/>
          <w:szCs w:val="21"/>
          <w:highlight w:val="none"/>
        </w:rPr>
      </w:pPr>
      <w:r>
        <w:rPr>
          <w:rFonts w:ascii="宋体" w:hAnsi="宋体" w:cs="宋体"/>
          <w:b/>
          <w:color w:val="auto"/>
          <w:sz w:val="24"/>
          <w:szCs w:val="21"/>
          <w:highlight w:val="none"/>
        </w:rPr>
        <w:t>（</w:t>
      </w:r>
      <w:r>
        <w:rPr>
          <w:rFonts w:hint="eastAsia" w:ascii="宋体" w:hAnsi="宋体" w:cs="宋体"/>
          <w:b/>
          <w:color w:val="auto"/>
          <w:sz w:val="24"/>
          <w:szCs w:val="21"/>
          <w:highlight w:val="none"/>
        </w:rPr>
        <w:t>六</w:t>
      </w:r>
      <w:r>
        <w:rPr>
          <w:rFonts w:ascii="宋体" w:hAnsi="宋体" w:cs="宋体"/>
          <w:b/>
          <w:color w:val="auto"/>
          <w:sz w:val="24"/>
          <w:szCs w:val="21"/>
          <w:highlight w:val="none"/>
        </w:rPr>
        <w:t>）绿色数据中心政府采购需求标准（试行）</w:t>
      </w:r>
    </w:p>
    <w:p w14:paraId="7A32AD9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80"/>
        <w:jc w:val="left"/>
        <w:textAlignment w:val="auto"/>
        <w:rPr>
          <w:rFonts w:ascii="Times New Roman" w:hAnsi="Times New Roman"/>
          <w:color w:val="auto"/>
          <w:szCs w:val="21"/>
          <w:highlight w:val="none"/>
        </w:rPr>
      </w:pPr>
      <w:r>
        <w:rPr>
          <w:rFonts w:ascii="宋体" w:hAnsi="宋体" w:cs="宋体"/>
          <w:color w:val="auto"/>
          <w:sz w:val="24"/>
          <w:szCs w:val="21"/>
          <w:highlight w:val="none"/>
        </w:rPr>
        <w:t>为加快数据中心绿色转型，根据财政部 生态环境部 工业和信息化部关于印发《绿色数据中心政府采购需求标准（试行）》的通知），本项目如涉及绿色数据中心，具体详见采购需求内容。</w:t>
      </w:r>
    </w:p>
    <w:p w14:paraId="7454A830">
      <w:pPr>
        <w:keepNext w:val="0"/>
        <w:keepLines w:val="0"/>
        <w:pageBreakBefore w:val="0"/>
        <w:widowControl w:val="0"/>
        <w:kinsoku/>
        <w:wordWrap/>
        <w:overflowPunct/>
        <w:topLinePunct w:val="0"/>
        <w:autoSpaceDE/>
        <w:autoSpaceDN/>
        <w:bidi w:val="0"/>
        <w:adjustRightInd/>
        <w:snapToGrid/>
        <w:spacing w:line="400" w:lineRule="exact"/>
        <w:textAlignment w:val="auto"/>
        <w:rPr>
          <w:color w:val="auto"/>
          <w:highlight w:val="none"/>
        </w:rPr>
      </w:pPr>
    </w:p>
    <w:p w14:paraId="7A9BE49F">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Times New Roman" w:hAnsi="Times New Roman" w:eastAsia="等线" w:cs="仿宋"/>
          <w:sz w:val="24"/>
          <w:szCs w:val="24"/>
        </w:rPr>
      </w:pPr>
    </w:p>
    <w:p w14:paraId="4408C665">
      <w:pPr>
        <w:pStyle w:val="499"/>
        <w:widowControl w:val="0"/>
        <w:spacing w:before="0" w:beforeAutospacing="0" w:after="0" w:afterAutospacing="0" w:line="500" w:lineRule="exact"/>
        <w:ind w:firstLine="480"/>
        <w:jc w:val="both"/>
        <w:rPr>
          <w:rFonts w:ascii="Times New Roman" w:hAnsi="Times New Roman" w:eastAsia="等线" w:cs="仿宋"/>
        </w:rPr>
      </w:pPr>
    </w:p>
    <w:p w14:paraId="51446BD4">
      <w:bookmarkStart w:id="144" w:name="_Toc31499"/>
      <w:bookmarkStart w:id="145" w:name="_Toc81575169"/>
      <w:bookmarkStart w:id="146" w:name="_Toc81575206"/>
      <w:bookmarkStart w:id="147" w:name="_Toc22098"/>
      <w:bookmarkStart w:id="148" w:name="_Toc2513"/>
    </w:p>
    <w:p w14:paraId="76970B98">
      <w:pPr>
        <w:pStyle w:val="42"/>
        <w:numPr>
          <w:ilvl w:val="0"/>
          <w:numId w:val="8"/>
        </w:numPr>
        <w:spacing w:before="200"/>
        <w:jc w:val="center"/>
        <w:rPr>
          <w:rFonts w:ascii="Calibri" w:hAnsi="Calibri" w:eastAsia="宋体" w:cs="Times New Roman"/>
          <w:b/>
          <w:sz w:val="44"/>
          <w:szCs w:val="44"/>
        </w:rPr>
      </w:pPr>
      <w:r>
        <w:rPr>
          <w:rFonts w:hint="eastAsia" w:ascii="Calibri" w:hAnsi="Calibri" w:eastAsia="宋体" w:cs="Times New Roman"/>
          <w:b/>
          <w:sz w:val="44"/>
          <w:szCs w:val="44"/>
        </w:rPr>
        <w:br w:type="page" w:clear="all"/>
      </w:r>
      <w:r>
        <w:rPr>
          <w:rFonts w:hint="eastAsia" w:ascii="Calibri" w:hAnsi="Calibri" w:eastAsia="宋体" w:cs="Times New Roman"/>
          <w:b/>
          <w:sz w:val="44"/>
          <w:szCs w:val="44"/>
        </w:rPr>
        <w:t>合同文本</w:t>
      </w:r>
      <w:bookmarkEnd w:id="144"/>
      <w:bookmarkEnd w:id="145"/>
      <w:bookmarkEnd w:id="146"/>
      <w:bookmarkEnd w:id="147"/>
      <w:bookmarkEnd w:id="148"/>
      <w:bookmarkStart w:id="149" w:name="_Toc20823315"/>
      <w:bookmarkEnd w:id="149"/>
      <w:bookmarkStart w:id="150" w:name="_Toc513029243"/>
      <w:bookmarkEnd w:id="150"/>
      <w:bookmarkStart w:id="151" w:name="_Toc16938559"/>
      <w:bookmarkEnd w:id="151"/>
    </w:p>
    <w:p w14:paraId="22DA4F2C">
      <w:pPr>
        <w:spacing w:line="360" w:lineRule="auto"/>
        <w:ind w:firstLine="482"/>
        <w:jc w:val="center"/>
        <w:rPr>
          <w:rFonts w:hint="eastAsia" w:ascii="宋体" w:hAnsi="宋体" w:eastAsia="宋体" w:cs="宋体"/>
          <w:b/>
          <w:sz w:val="24"/>
          <w:szCs w:val="24"/>
        </w:rPr>
      </w:pPr>
      <w:bookmarkStart w:id="152" w:name="_Toc12937"/>
      <w:bookmarkStart w:id="153" w:name="_Toc19649"/>
      <w:bookmarkStart w:id="154" w:name="_Toc81575170"/>
      <w:bookmarkStart w:id="155" w:name="_Toc22853"/>
      <w:bookmarkStart w:id="156" w:name="_Toc9003"/>
      <w:bookmarkStart w:id="157" w:name="_Toc81575207"/>
      <w:r>
        <w:rPr>
          <w:rFonts w:hint="eastAsia" w:ascii="宋体" w:hAnsi="宋体" w:eastAsia="宋体" w:cs="宋体"/>
          <w:b/>
          <w:sz w:val="24"/>
          <w:szCs w:val="24"/>
        </w:rPr>
        <w:t>政府采购合同</w:t>
      </w:r>
    </w:p>
    <w:p w14:paraId="2BE2F0FA">
      <w:pPr>
        <w:spacing w:line="360" w:lineRule="auto"/>
        <w:ind w:firstLine="482"/>
        <w:jc w:val="center"/>
        <w:rPr>
          <w:rFonts w:hint="eastAsia" w:ascii="宋体" w:hAnsi="宋体" w:eastAsia="宋体" w:cs="宋体"/>
          <w:b/>
          <w:sz w:val="24"/>
          <w:szCs w:val="24"/>
        </w:rPr>
      </w:pPr>
      <w:r>
        <w:rPr>
          <w:rFonts w:hint="eastAsia" w:ascii="宋体" w:hAnsi="宋体" w:eastAsia="宋体" w:cs="宋体"/>
          <w:b/>
          <w:sz w:val="24"/>
          <w:szCs w:val="24"/>
        </w:rPr>
        <w:t>专用条款</w:t>
      </w:r>
    </w:p>
    <w:p w14:paraId="7ED0F721">
      <w:pPr>
        <w:spacing w:line="500" w:lineRule="exact"/>
        <w:ind w:firstLine="480"/>
        <w:rPr>
          <w:rFonts w:hint="eastAsia" w:ascii="宋体" w:hAnsi="宋体" w:eastAsia="宋体" w:cs="宋体"/>
          <w:sz w:val="24"/>
          <w:szCs w:val="24"/>
          <w:u w:val="single"/>
        </w:rPr>
      </w:pPr>
      <w:r>
        <w:rPr>
          <w:rFonts w:hint="eastAsia" w:ascii="宋体" w:hAnsi="宋体" w:eastAsia="宋体" w:cs="宋体"/>
          <w:sz w:val="24"/>
          <w:szCs w:val="24"/>
        </w:rPr>
        <w:t>采购单位（全称）</w:t>
      </w:r>
      <w:r>
        <w:rPr>
          <w:rFonts w:hint="eastAsia" w:ascii="宋体" w:hAnsi="宋体" w:eastAsia="宋体" w:cs="宋体"/>
          <w:sz w:val="24"/>
          <w:szCs w:val="24"/>
          <w:u w:val="single"/>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rPr>
        <w:t>（简称甲方）</w:t>
      </w:r>
    </w:p>
    <w:p w14:paraId="76AB4E67">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中标投标人（全称）</w:t>
      </w:r>
      <w:r>
        <w:rPr>
          <w:rFonts w:hint="eastAsia" w:ascii="宋体" w:hAnsi="宋体" w:eastAsia="宋体" w:cs="宋体"/>
          <w:sz w:val="24"/>
          <w:szCs w:val="24"/>
          <w:u w:val="single"/>
        </w:rPr>
        <w:t xml:space="preserve">：         </w:t>
      </w:r>
      <w:r>
        <w:rPr>
          <w:rFonts w:hint="eastAsia" w:ascii="宋体" w:hAnsi="宋体" w:eastAsia="宋体" w:cs="宋体"/>
          <w:sz w:val="24"/>
          <w:szCs w:val="24"/>
        </w:rPr>
        <w:t>（简称乙方）</w:t>
      </w:r>
    </w:p>
    <w:p w14:paraId="1077234C">
      <w:pPr>
        <w:spacing w:line="500" w:lineRule="exact"/>
        <w:ind w:firstLine="960"/>
        <w:rPr>
          <w:rFonts w:hint="eastAsia" w:ascii="宋体" w:hAnsi="宋体" w:eastAsia="宋体" w:cs="宋体"/>
          <w:sz w:val="24"/>
          <w:szCs w:val="24"/>
        </w:rPr>
      </w:pPr>
      <w:r>
        <w:rPr>
          <w:rFonts w:hint="eastAsia" w:ascii="宋体" w:hAnsi="宋体" w:eastAsia="宋体" w:cs="宋体"/>
          <w:sz w:val="24"/>
          <w:szCs w:val="24"/>
        </w:rPr>
        <w:t>依照《中华人民共和国政府采购法》及其实施条例、《中华人民共和国民法典（第三编合同）》及其他有关法律、行政法规，遵循平等、自愿、公平和诚实信用的原则，双方就相关事项协商一致，达成如下合同条款：</w:t>
      </w:r>
    </w:p>
    <w:p w14:paraId="1A653A53">
      <w:pPr>
        <w:spacing w:line="500" w:lineRule="exact"/>
        <w:ind w:left="480"/>
        <w:outlineLvl w:val="2"/>
        <w:rPr>
          <w:rFonts w:hint="eastAsia" w:ascii="宋体" w:hAnsi="宋体" w:eastAsia="宋体" w:cs="宋体"/>
          <w:sz w:val="24"/>
          <w:szCs w:val="24"/>
        </w:rPr>
      </w:pPr>
      <w:r>
        <w:rPr>
          <w:rFonts w:hint="eastAsia" w:ascii="宋体" w:hAnsi="宋体" w:eastAsia="宋体" w:cs="宋体"/>
          <w:sz w:val="24"/>
          <w:szCs w:val="24"/>
        </w:rPr>
        <w:t>一、乙方向甲方提供总价值为元的标的物（货物）。</w:t>
      </w:r>
    </w:p>
    <w:p w14:paraId="14F2D70A">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注：合同总价包含全部货物和服务、设备及其备品、备件和专用工具费用、数据对接费、入网费、电费、人工费、税费及包装、运输、保险、安装、调试、施工场地复原费、技术支持与培训、售后服务与维保及相关劳务支出等工作所发生的全部费用以及企业利润、税金和政策性文件规定及合同包含的所有风险、责任等各项应有费用。</w:t>
      </w:r>
    </w:p>
    <w:p w14:paraId="350109CD">
      <w:pPr>
        <w:spacing w:line="500" w:lineRule="exact"/>
        <w:jc w:val="center"/>
        <w:rPr>
          <w:rFonts w:hint="eastAsia" w:ascii="宋体" w:hAnsi="宋体" w:eastAsia="宋体" w:cs="宋体"/>
          <w:b/>
          <w:sz w:val="24"/>
          <w:szCs w:val="24"/>
        </w:rPr>
      </w:pPr>
      <w:r>
        <w:rPr>
          <w:rFonts w:hint="eastAsia" w:ascii="宋体" w:hAnsi="宋体" w:eastAsia="宋体" w:cs="宋体"/>
          <w:b/>
          <w:sz w:val="24"/>
          <w:szCs w:val="24"/>
        </w:rPr>
        <w:t>主要标的物清单（详细列明）</w:t>
      </w:r>
    </w:p>
    <w:tbl>
      <w:tblPr>
        <w:tblStyle w:val="30"/>
        <w:tblW w:w="8600" w:type="dxa"/>
        <w:jc w:val="center"/>
        <w:tblLayout w:type="fixed"/>
        <w:tblCellMar>
          <w:top w:w="0" w:type="dxa"/>
          <w:left w:w="108" w:type="dxa"/>
          <w:bottom w:w="0" w:type="dxa"/>
          <w:right w:w="108" w:type="dxa"/>
        </w:tblCellMar>
      </w:tblPr>
      <w:tblGrid>
        <w:gridCol w:w="1080"/>
        <w:gridCol w:w="3040"/>
        <w:gridCol w:w="1240"/>
        <w:gridCol w:w="1080"/>
        <w:gridCol w:w="1080"/>
        <w:gridCol w:w="1080"/>
      </w:tblGrid>
      <w:tr w14:paraId="5D866748">
        <w:tblPrEx>
          <w:tblCellMar>
            <w:top w:w="0" w:type="dxa"/>
            <w:left w:w="108" w:type="dxa"/>
            <w:bottom w:w="0" w:type="dxa"/>
            <w:right w:w="108" w:type="dxa"/>
          </w:tblCellMar>
        </w:tblPrEx>
        <w:trPr>
          <w:trHeight w:val="570"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6EC0B744">
            <w:pPr>
              <w:widowControl/>
              <w:spacing w:line="280" w:lineRule="exact"/>
              <w:jc w:val="center"/>
              <w:rPr>
                <w:rFonts w:hint="eastAsia" w:ascii="宋体" w:hAnsi="宋体" w:eastAsia="宋体" w:cs="宋体"/>
                <w:sz w:val="24"/>
                <w:szCs w:val="24"/>
              </w:rPr>
            </w:pPr>
            <w:r>
              <w:rPr>
                <w:rFonts w:hint="eastAsia" w:ascii="宋体" w:hAnsi="宋体" w:eastAsia="宋体" w:cs="宋体"/>
                <w:sz w:val="24"/>
                <w:szCs w:val="24"/>
              </w:rPr>
              <w:t>序号</w:t>
            </w:r>
          </w:p>
        </w:tc>
        <w:tc>
          <w:tcPr>
            <w:tcW w:w="3040" w:type="dxa"/>
            <w:tcBorders>
              <w:top w:val="single" w:color="auto" w:sz="4" w:space="0"/>
              <w:left w:val="nil"/>
              <w:bottom w:val="single" w:color="auto" w:sz="4" w:space="0"/>
              <w:right w:val="single" w:color="auto" w:sz="4" w:space="0"/>
            </w:tcBorders>
            <w:vAlign w:val="center"/>
          </w:tcPr>
          <w:p w14:paraId="42259DE4">
            <w:pPr>
              <w:widowControl/>
              <w:spacing w:line="280" w:lineRule="exact"/>
              <w:jc w:val="center"/>
              <w:rPr>
                <w:rFonts w:hint="eastAsia" w:ascii="宋体" w:hAnsi="宋体" w:eastAsia="宋体" w:cs="宋体"/>
                <w:sz w:val="24"/>
                <w:szCs w:val="24"/>
              </w:rPr>
            </w:pPr>
            <w:r>
              <w:rPr>
                <w:rFonts w:hint="eastAsia" w:ascii="宋体" w:hAnsi="宋体" w:eastAsia="宋体" w:cs="宋体"/>
                <w:sz w:val="24"/>
                <w:szCs w:val="24"/>
              </w:rPr>
              <w:t>货物名称.品牌.规格.型号</w:t>
            </w:r>
          </w:p>
        </w:tc>
        <w:tc>
          <w:tcPr>
            <w:tcW w:w="1240" w:type="dxa"/>
            <w:tcBorders>
              <w:top w:val="single" w:color="auto" w:sz="4" w:space="0"/>
              <w:left w:val="nil"/>
              <w:bottom w:val="single" w:color="auto" w:sz="4" w:space="0"/>
              <w:right w:val="single" w:color="auto" w:sz="4" w:space="0"/>
            </w:tcBorders>
            <w:vAlign w:val="center"/>
          </w:tcPr>
          <w:p w14:paraId="0223F773">
            <w:pPr>
              <w:widowControl/>
              <w:spacing w:line="280" w:lineRule="exact"/>
              <w:jc w:val="center"/>
              <w:rPr>
                <w:rFonts w:hint="eastAsia" w:ascii="宋体" w:hAnsi="宋体" w:eastAsia="宋体" w:cs="宋体"/>
                <w:sz w:val="24"/>
                <w:szCs w:val="24"/>
              </w:rPr>
            </w:pPr>
            <w:r>
              <w:rPr>
                <w:rFonts w:hint="eastAsia" w:ascii="宋体" w:hAnsi="宋体" w:eastAsia="宋体" w:cs="宋体"/>
                <w:sz w:val="24"/>
                <w:szCs w:val="24"/>
              </w:rPr>
              <w:t>单位</w:t>
            </w:r>
          </w:p>
        </w:tc>
        <w:tc>
          <w:tcPr>
            <w:tcW w:w="1080" w:type="dxa"/>
            <w:tcBorders>
              <w:top w:val="single" w:color="auto" w:sz="4" w:space="0"/>
              <w:left w:val="nil"/>
              <w:bottom w:val="single" w:color="auto" w:sz="4" w:space="0"/>
              <w:right w:val="single" w:color="auto" w:sz="4" w:space="0"/>
            </w:tcBorders>
            <w:vAlign w:val="center"/>
          </w:tcPr>
          <w:p w14:paraId="797DB829">
            <w:pPr>
              <w:widowControl/>
              <w:spacing w:line="280" w:lineRule="exact"/>
              <w:jc w:val="center"/>
              <w:rPr>
                <w:rFonts w:hint="eastAsia" w:ascii="宋体" w:hAnsi="宋体" w:eastAsia="宋体" w:cs="宋体"/>
                <w:sz w:val="24"/>
                <w:szCs w:val="24"/>
              </w:rPr>
            </w:pPr>
            <w:r>
              <w:rPr>
                <w:rFonts w:hint="eastAsia" w:ascii="宋体" w:hAnsi="宋体" w:eastAsia="宋体" w:cs="宋体"/>
                <w:sz w:val="24"/>
                <w:szCs w:val="24"/>
              </w:rPr>
              <w:t>数量</w:t>
            </w:r>
          </w:p>
        </w:tc>
        <w:tc>
          <w:tcPr>
            <w:tcW w:w="1080" w:type="dxa"/>
            <w:tcBorders>
              <w:top w:val="single" w:color="auto" w:sz="4" w:space="0"/>
              <w:left w:val="nil"/>
              <w:bottom w:val="single" w:color="auto" w:sz="4" w:space="0"/>
              <w:right w:val="single" w:color="auto" w:sz="4" w:space="0"/>
            </w:tcBorders>
            <w:vAlign w:val="center"/>
          </w:tcPr>
          <w:p w14:paraId="63FD9B42">
            <w:pPr>
              <w:widowControl/>
              <w:spacing w:line="280" w:lineRule="exact"/>
              <w:jc w:val="center"/>
              <w:rPr>
                <w:rFonts w:hint="eastAsia" w:ascii="宋体" w:hAnsi="宋体" w:eastAsia="宋体" w:cs="宋体"/>
                <w:sz w:val="24"/>
                <w:szCs w:val="24"/>
              </w:rPr>
            </w:pPr>
            <w:r>
              <w:rPr>
                <w:rFonts w:hint="eastAsia" w:ascii="宋体" w:hAnsi="宋体" w:eastAsia="宋体" w:cs="宋体"/>
                <w:sz w:val="24"/>
                <w:szCs w:val="24"/>
              </w:rPr>
              <w:t>单价（元）</w:t>
            </w:r>
          </w:p>
        </w:tc>
        <w:tc>
          <w:tcPr>
            <w:tcW w:w="1080" w:type="dxa"/>
            <w:tcBorders>
              <w:top w:val="single" w:color="auto" w:sz="4" w:space="0"/>
              <w:left w:val="nil"/>
              <w:bottom w:val="single" w:color="auto" w:sz="4" w:space="0"/>
              <w:right w:val="single" w:color="auto" w:sz="4" w:space="0"/>
            </w:tcBorders>
            <w:vAlign w:val="center"/>
          </w:tcPr>
          <w:p w14:paraId="09F1C81D">
            <w:pPr>
              <w:widowControl/>
              <w:spacing w:line="280" w:lineRule="exact"/>
              <w:jc w:val="center"/>
              <w:rPr>
                <w:rFonts w:hint="eastAsia" w:ascii="宋体" w:hAnsi="宋体" w:eastAsia="宋体" w:cs="宋体"/>
                <w:sz w:val="24"/>
                <w:szCs w:val="24"/>
              </w:rPr>
            </w:pPr>
            <w:r>
              <w:rPr>
                <w:rFonts w:hint="eastAsia" w:ascii="宋体" w:hAnsi="宋体" w:eastAsia="宋体" w:cs="宋体"/>
                <w:sz w:val="24"/>
                <w:szCs w:val="24"/>
              </w:rPr>
              <w:t>总价（元）</w:t>
            </w:r>
          </w:p>
        </w:tc>
      </w:tr>
      <w:tr w14:paraId="420D3E7A">
        <w:tblPrEx>
          <w:tblCellMar>
            <w:top w:w="0" w:type="dxa"/>
            <w:left w:w="108" w:type="dxa"/>
            <w:bottom w:w="0" w:type="dxa"/>
            <w:right w:w="108" w:type="dxa"/>
          </w:tblCellMar>
        </w:tblPrEx>
        <w:trPr>
          <w:trHeight w:val="547" w:hRule="atLeast"/>
          <w:jc w:val="center"/>
        </w:trPr>
        <w:tc>
          <w:tcPr>
            <w:tcW w:w="1080" w:type="dxa"/>
            <w:tcBorders>
              <w:top w:val="nil"/>
              <w:left w:val="single" w:color="auto" w:sz="4" w:space="0"/>
              <w:bottom w:val="single" w:color="auto" w:sz="4" w:space="0"/>
              <w:right w:val="single" w:color="auto" w:sz="4" w:space="0"/>
            </w:tcBorders>
            <w:vAlign w:val="center"/>
          </w:tcPr>
          <w:p w14:paraId="5BAB34F7">
            <w:pPr>
              <w:widowControl/>
              <w:spacing w:line="280" w:lineRule="exact"/>
              <w:jc w:val="center"/>
              <w:rPr>
                <w:rFonts w:hint="eastAsia" w:ascii="宋体" w:hAnsi="宋体" w:eastAsia="宋体" w:cs="宋体"/>
                <w:sz w:val="24"/>
                <w:szCs w:val="24"/>
              </w:rPr>
            </w:pPr>
            <w:r>
              <w:rPr>
                <w:rFonts w:hint="eastAsia" w:ascii="宋体" w:hAnsi="宋体" w:eastAsia="宋体" w:cs="宋体"/>
                <w:sz w:val="24"/>
                <w:szCs w:val="24"/>
              </w:rPr>
              <w:t>　</w:t>
            </w:r>
          </w:p>
        </w:tc>
        <w:tc>
          <w:tcPr>
            <w:tcW w:w="3040" w:type="dxa"/>
            <w:tcBorders>
              <w:top w:val="nil"/>
              <w:left w:val="nil"/>
              <w:bottom w:val="single" w:color="auto" w:sz="4" w:space="0"/>
              <w:right w:val="single" w:color="auto" w:sz="4" w:space="0"/>
            </w:tcBorders>
            <w:vAlign w:val="center"/>
          </w:tcPr>
          <w:p w14:paraId="12C22BFF">
            <w:pPr>
              <w:widowControl/>
              <w:spacing w:line="280" w:lineRule="exact"/>
              <w:jc w:val="center"/>
              <w:rPr>
                <w:rFonts w:hint="eastAsia" w:ascii="宋体" w:hAnsi="宋体" w:eastAsia="宋体" w:cs="宋体"/>
                <w:sz w:val="24"/>
                <w:szCs w:val="24"/>
              </w:rPr>
            </w:pPr>
            <w:r>
              <w:rPr>
                <w:rFonts w:hint="eastAsia" w:ascii="宋体" w:hAnsi="宋体" w:eastAsia="宋体" w:cs="宋体"/>
                <w:sz w:val="24"/>
                <w:szCs w:val="24"/>
              </w:rPr>
              <w:t>　</w:t>
            </w:r>
          </w:p>
        </w:tc>
        <w:tc>
          <w:tcPr>
            <w:tcW w:w="1240" w:type="dxa"/>
            <w:tcBorders>
              <w:top w:val="nil"/>
              <w:left w:val="nil"/>
              <w:bottom w:val="single" w:color="auto" w:sz="4" w:space="0"/>
              <w:right w:val="single" w:color="auto" w:sz="4" w:space="0"/>
            </w:tcBorders>
            <w:vAlign w:val="center"/>
          </w:tcPr>
          <w:p w14:paraId="0B6837BF">
            <w:pPr>
              <w:widowControl/>
              <w:spacing w:line="280" w:lineRule="exact"/>
              <w:jc w:val="center"/>
              <w:rPr>
                <w:rFonts w:hint="eastAsia" w:ascii="宋体" w:hAnsi="宋体" w:eastAsia="宋体" w:cs="宋体"/>
                <w:sz w:val="24"/>
                <w:szCs w:val="24"/>
              </w:rPr>
            </w:pPr>
            <w:r>
              <w:rPr>
                <w:rFonts w:hint="eastAsia" w:ascii="宋体" w:hAnsi="宋体" w:eastAsia="宋体" w:cs="宋体"/>
                <w:sz w:val="24"/>
                <w:szCs w:val="24"/>
              </w:rPr>
              <w:t>　</w:t>
            </w:r>
          </w:p>
        </w:tc>
        <w:tc>
          <w:tcPr>
            <w:tcW w:w="1080" w:type="dxa"/>
            <w:tcBorders>
              <w:top w:val="nil"/>
              <w:left w:val="nil"/>
              <w:bottom w:val="single" w:color="auto" w:sz="4" w:space="0"/>
              <w:right w:val="single" w:color="auto" w:sz="4" w:space="0"/>
            </w:tcBorders>
            <w:vAlign w:val="center"/>
          </w:tcPr>
          <w:p w14:paraId="41698D96">
            <w:pPr>
              <w:widowControl/>
              <w:spacing w:line="280" w:lineRule="exact"/>
              <w:jc w:val="center"/>
              <w:rPr>
                <w:rFonts w:hint="eastAsia" w:ascii="宋体" w:hAnsi="宋体" w:eastAsia="宋体" w:cs="宋体"/>
                <w:sz w:val="24"/>
                <w:szCs w:val="24"/>
              </w:rPr>
            </w:pPr>
            <w:r>
              <w:rPr>
                <w:rFonts w:hint="eastAsia" w:ascii="宋体" w:hAnsi="宋体" w:eastAsia="宋体" w:cs="宋体"/>
                <w:sz w:val="24"/>
                <w:szCs w:val="24"/>
              </w:rPr>
              <w:t>　</w:t>
            </w:r>
          </w:p>
        </w:tc>
        <w:tc>
          <w:tcPr>
            <w:tcW w:w="1080" w:type="dxa"/>
            <w:tcBorders>
              <w:top w:val="nil"/>
              <w:left w:val="nil"/>
              <w:bottom w:val="single" w:color="auto" w:sz="4" w:space="0"/>
              <w:right w:val="single" w:color="auto" w:sz="4" w:space="0"/>
            </w:tcBorders>
            <w:vAlign w:val="center"/>
          </w:tcPr>
          <w:p w14:paraId="0934BFD8">
            <w:pPr>
              <w:widowControl/>
              <w:spacing w:line="280" w:lineRule="exact"/>
              <w:jc w:val="center"/>
              <w:rPr>
                <w:rFonts w:hint="eastAsia" w:ascii="宋体" w:hAnsi="宋体" w:eastAsia="宋体" w:cs="宋体"/>
                <w:sz w:val="24"/>
                <w:szCs w:val="24"/>
              </w:rPr>
            </w:pPr>
            <w:r>
              <w:rPr>
                <w:rFonts w:hint="eastAsia" w:ascii="宋体" w:hAnsi="宋体" w:eastAsia="宋体" w:cs="宋体"/>
                <w:sz w:val="24"/>
                <w:szCs w:val="24"/>
              </w:rPr>
              <w:t>　</w:t>
            </w:r>
          </w:p>
        </w:tc>
        <w:tc>
          <w:tcPr>
            <w:tcW w:w="1080" w:type="dxa"/>
            <w:tcBorders>
              <w:top w:val="nil"/>
              <w:left w:val="nil"/>
              <w:bottom w:val="single" w:color="auto" w:sz="4" w:space="0"/>
              <w:right w:val="single" w:color="auto" w:sz="4" w:space="0"/>
            </w:tcBorders>
            <w:vAlign w:val="center"/>
          </w:tcPr>
          <w:p w14:paraId="78167E13">
            <w:pPr>
              <w:widowControl/>
              <w:spacing w:line="280" w:lineRule="exact"/>
              <w:jc w:val="center"/>
              <w:rPr>
                <w:rFonts w:hint="eastAsia" w:ascii="宋体" w:hAnsi="宋体" w:eastAsia="宋体" w:cs="宋体"/>
                <w:sz w:val="24"/>
                <w:szCs w:val="24"/>
              </w:rPr>
            </w:pPr>
            <w:r>
              <w:rPr>
                <w:rFonts w:hint="eastAsia" w:ascii="宋体" w:hAnsi="宋体" w:eastAsia="宋体" w:cs="宋体"/>
                <w:sz w:val="24"/>
                <w:szCs w:val="24"/>
              </w:rPr>
              <w:t>　</w:t>
            </w:r>
          </w:p>
        </w:tc>
      </w:tr>
      <w:tr w14:paraId="4092E822">
        <w:tblPrEx>
          <w:tblCellMar>
            <w:top w:w="0" w:type="dxa"/>
            <w:left w:w="108" w:type="dxa"/>
            <w:bottom w:w="0" w:type="dxa"/>
            <w:right w:w="108" w:type="dxa"/>
          </w:tblCellMar>
        </w:tblPrEx>
        <w:trPr>
          <w:trHeight w:val="540" w:hRule="atLeast"/>
          <w:jc w:val="center"/>
        </w:trPr>
        <w:tc>
          <w:tcPr>
            <w:tcW w:w="1080" w:type="dxa"/>
            <w:tcBorders>
              <w:top w:val="nil"/>
              <w:left w:val="single" w:color="auto" w:sz="4" w:space="0"/>
              <w:bottom w:val="single" w:color="auto" w:sz="4" w:space="0"/>
              <w:right w:val="single" w:color="auto" w:sz="4" w:space="0"/>
            </w:tcBorders>
            <w:vAlign w:val="center"/>
          </w:tcPr>
          <w:p w14:paraId="67543D08">
            <w:pPr>
              <w:widowControl/>
              <w:spacing w:line="280" w:lineRule="exact"/>
              <w:jc w:val="center"/>
              <w:rPr>
                <w:rFonts w:hint="eastAsia" w:ascii="宋体" w:hAnsi="宋体" w:eastAsia="宋体" w:cs="宋体"/>
                <w:sz w:val="24"/>
                <w:szCs w:val="24"/>
              </w:rPr>
            </w:pPr>
            <w:r>
              <w:rPr>
                <w:rFonts w:hint="eastAsia" w:ascii="宋体" w:hAnsi="宋体" w:eastAsia="宋体" w:cs="宋体"/>
                <w:sz w:val="24"/>
                <w:szCs w:val="24"/>
              </w:rPr>
              <w:t>　</w:t>
            </w:r>
          </w:p>
        </w:tc>
        <w:tc>
          <w:tcPr>
            <w:tcW w:w="3040" w:type="dxa"/>
            <w:tcBorders>
              <w:top w:val="nil"/>
              <w:left w:val="nil"/>
              <w:bottom w:val="single" w:color="auto" w:sz="4" w:space="0"/>
              <w:right w:val="single" w:color="auto" w:sz="4" w:space="0"/>
            </w:tcBorders>
            <w:vAlign w:val="center"/>
          </w:tcPr>
          <w:p w14:paraId="5735379C">
            <w:pPr>
              <w:widowControl/>
              <w:spacing w:line="280" w:lineRule="exact"/>
              <w:jc w:val="center"/>
              <w:rPr>
                <w:rFonts w:hint="eastAsia" w:ascii="宋体" w:hAnsi="宋体" w:eastAsia="宋体" w:cs="宋体"/>
                <w:sz w:val="24"/>
                <w:szCs w:val="24"/>
              </w:rPr>
            </w:pPr>
            <w:r>
              <w:rPr>
                <w:rFonts w:hint="eastAsia" w:ascii="宋体" w:hAnsi="宋体" w:eastAsia="宋体" w:cs="宋体"/>
                <w:sz w:val="24"/>
                <w:szCs w:val="24"/>
              </w:rPr>
              <w:t>　</w:t>
            </w:r>
          </w:p>
        </w:tc>
        <w:tc>
          <w:tcPr>
            <w:tcW w:w="1240" w:type="dxa"/>
            <w:tcBorders>
              <w:top w:val="nil"/>
              <w:left w:val="nil"/>
              <w:bottom w:val="single" w:color="auto" w:sz="4" w:space="0"/>
              <w:right w:val="single" w:color="auto" w:sz="4" w:space="0"/>
            </w:tcBorders>
            <w:vAlign w:val="center"/>
          </w:tcPr>
          <w:p w14:paraId="341556B2">
            <w:pPr>
              <w:widowControl/>
              <w:spacing w:line="280" w:lineRule="exact"/>
              <w:jc w:val="center"/>
              <w:rPr>
                <w:rFonts w:hint="eastAsia" w:ascii="宋体" w:hAnsi="宋体" w:eastAsia="宋体" w:cs="宋体"/>
                <w:sz w:val="24"/>
                <w:szCs w:val="24"/>
              </w:rPr>
            </w:pPr>
            <w:r>
              <w:rPr>
                <w:rFonts w:hint="eastAsia" w:ascii="宋体" w:hAnsi="宋体" w:eastAsia="宋体" w:cs="宋体"/>
                <w:sz w:val="24"/>
                <w:szCs w:val="24"/>
              </w:rPr>
              <w:t>　</w:t>
            </w:r>
          </w:p>
        </w:tc>
        <w:tc>
          <w:tcPr>
            <w:tcW w:w="1080" w:type="dxa"/>
            <w:tcBorders>
              <w:top w:val="nil"/>
              <w:left w:val="nil"/>
              <w:bottom w:val="single" w:color="auto" w:sz="4" w:space="0"/>
              <w:right w:val="single" w:color="auto" w:sz="4" w:space="0"/>
            </w:tcBorders>
            <w:vAlign w:val="center"/>
          </w:tcPr>
          <w:p w14:paraId="12FECBBA">
            <w:pPr>
              <w:widowControl/>
              <w:spacing w:line="280" w:lineRule="exact"/>
              <w:jc w:val="center"/>
              <w:rPr>
                <w:rFonts w:hint="eastAsia" w:ascii="宋体" w:hAnsi="宋体" w:eastAsia="宋体" w:cs="宋体"/>
                <w:sz w:val="24"/>
                <w:szCs w:val="24"/>
              </w:rPr>
            </w:pPr>
            <w:r>
              <w:rPr>
                <w:rFonts w:hint="eastAsia" w:ascii="宋体" w:hAnsi="宋体" w:eastAsia="宋体" w:cs="宋体"/>
                <w:sz w:val="24"/>
                <w:szCs w:val="24"/>
              </w:rPr>
              <w:t>　</w:t>
            </w:r>
          </w:p>
        </w:tc>
        <w:tc>
          <w:tcPr>
            <w:tcW w:w="1080" w:type="dxa"/>
            <w:tcBorders>
              <w:top w:val="nil"/>
              <w:left w:val="nil"/>
              <w:bottom w:val="single" w:color="auto" w:sz="4" w:space="0"/>
              <w:right w:val="single" w:color="auto" w:sz="4" w:space="0"/>
            </w:tcBorders>
            <w:vAlign w:val="center"/>
          </w:tcPr>
          <w:p w14:paraId="5815F324">
            <w:pPr>
              <w:widowControl/>
              <w:spacing w:line="280" w:lineRule="exact"/>
              <w:jc w:val="center"/>
              <w:rPr>
                <w:rFonts w:hint="eastAsia" w:ascii="宋体" w:hAnsi="宋体" w:eastAsia="宋体" w:cs="宋体"/>
                <w:sz w:val="24"/>
                <w:szCs w:val="24"/>
              </w:rPr>
            </w:pPr>
            <w:r>
              <w:rPr>
                <w:rFonts w:hint="eastAsia" w:ascii="宋体" w:hAnsi="宋体" w:eastAsia="宋体" w:cs="宋体"/>
                <w:sz w:val="24"/>
                <w:szCs w:val="24"/>
              </w:rPr>
              <w:t>　</w:t>
            </w:r>
          </w:p>
        </w:tc>
        <w:tc>
          <w:tcPr>
            <w:tcW w:w="1080" w:type="dxa"/>
            <w:tcBorders>
              <w:top w:val="nil"/>
              <w:left w:val="nil"/>
              <w:bottom w:val="single" w:color="auto" w:sz="4" w:space="0"/>
              <w:right w:val="single" w:color="auto" w:sz="4" w:space="0"/>
            </w:tcBorders>
            <w:vAlign w:val="center"/>
          </w:tcPr>
          <w:p w14:paraId="52943EE5">
            <w:pPr>
              <w:widowControl/>
              <w:spacing w:line="280" w:lineRule="exact"/>
              <w:jc w:val="center"/>
              <w:rPr>
                <w:rFonts w:hint="eastAsia" w:ascii="宋体" w:hAnsi="宋体" w:eastAsia="宋体" w:cs="宋体"/>
                <w:sz w:val="24"/>
                <w:szCs w:val="24"/>
              </w:rPr>
            </w:pPr>
            <w:r>
              <w:rPr>
                <w:rFonts w:hint="eastAsia" w:ascii="宋体" w:hAnsi="宋体" w:eastAsia="宋体" w:cs="宋体"/>
                <w:sz w:val="24"/>
                <w:szCs w:val="24"/>
              </w:rPr>
              <w:t>　</w:t>
            </w:r>
          </w:p>
        </w:tc>
      </w:tr>
      <w:tr w14:paraId="6C539748">
        <w:tblPrEx>
          <w:tblCellMar>
            <w:top w:w="0" w:type="dxa"/>
            <w:left w:w="108" w:type="dxa"/>
            <w:bottom w:w="0" w:type="dxa"/>
            <w:right w:w="108" w:type="dxa"/>
          </w:tblCellMar>
        </w:tblPrEx>
        <w:trPr>
          <w:trHeight w:val="570" w:hRule="atLeast"/>
          <w:jc w:val="center"/>
        </w:trPr>
        <w:tc>
          <w:tcPr>
            <w:tcW w:w="8600" w:type="dxa"/>
            <w:gridSpan w:val="6"/>
            <w:tcBorders>
              <w:top w:val="single" w:color="auto" w:sz="4" w:space="0"/>
              <w:left w:val="single" w:color="auto" w:sz="4" w:space="0"/>
              <w:bottom w:val="single" w:color="auto" w:sz="4" w:space="0"/>
              <w:right w:val="single" w:color="auto" w:sz="4" w:space="0"/>
            </w:tcBorders>
            <w:vAlign w:val="center"/>
          </w:tcPr>
          <w:p w14:paraId="18EF0C2C">
            <w:pPr>
              <w:widowControl/>
              <w:spacing w:line="280" w:lineRule="exact"/>
              <w:jc w:val="center"/>
              <w:rPr>
                <w:rFonts w:hint="eastAsia" w:ascii="宋体" w:hAnsi="宋体" w:eastAsia="宋体" w:cs="宋体"/>
                <w:sz w:val="24"/>
                <w:szCs w:val="24"/>
              </w:rPr>
            </w:pPr>
            <w:r>
              <w:rPr>
                <w:rFonts w:hint="eastAsia" w:ascii="宋体" w:hAnsi="宋体" w:eastAsia="宋体" w:cs="宋体"/>
                <w:sz w:val="24"/>
                <w:szCs w:val="24"/>
              </w:rPr>
              <w:t>合计：人民币金额（大写）：                  （￥：       ）</w:t>
            </w:r>
          </w:p>
        </w:tc>
      </w:tr>
    </w:tbl>
    <w:p w14:paraId="75D04397">
      <w:pPr>
        <w:spacing w:line="480" w:lineRule="exact"/>
        <w:ind w:firstLine="480"/>
        <w:outlineLvl w:val="2"/>
        <w:rPr>
          <w:rFonts w:hint="eastAsia" w:ascii="宋体" w:hAnsi="宋体" w:eastAsia="宋体" w:cs="宋体"/>
          <w:sz w:val="24"/>
          <w:szCs w:val="24"/>
        </w:rPr>
      </w:pPr>
      <w:r>
        <w:rPr>
          <w:rFonts w:hint="eastAsia" w:ascii="宋体" w:hAnsi="宋体" w:eastAsia="宋体" w:cs="宋体"/>
          <w:sz w:val="24"/>
          <w:szCs w:val="24"/>
        </w:rPr>
        <w:t>二、合同履行期限、地点</w:t>
      </w:r>
    </w:p>
    <w:p w14:paraId="21B3B95C">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（一）合同履行期限：合同签订后30日历天内供货安装调试完毕并交付使用。</w:t>
      </w:r>
    </w:p>
    <w:p w14:paraId="29394AE0">
      <w:pPr>
        <w:spacing w:line="48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（二）履行地点：</w:t>
      </w:r>
      <w:r>
        <w:rPr>
          <w:rFonts w:hint="eastAsia" w:ascii="宋体" w:hAnsi="宋体" w:eastAsia="宋体" w:cs="宋体"/>
          <w:sz w:val="24"/>
          <w:szCs w:val="24"/>
          <w:u w:val="single"/>
        </w:rPr>
        <w:t>甲方指定地点</w:t>
      </w:r>
      <w:r>
        <w:rPr>
          <w:rFonts w:hint="eastAsia" w:ascii="宋体" w:hAnsi="宋体" w:eastAsia="宋体" w:cs="宋体"/>
          <w:sz w:val="24"/>
          <w:szCs w:val="24"/>
        </w:rPr>
        <w:t>。</w:t>
      </w:r>
    </w:p>
    <w:p w14:paraId="026BDEA2">
      <w:pPr>
        <w:spacing w:line="480" w:lineRule="exact"/>
        <w:ind w:firstLine="480"/>
        <w:outlineLvl w:val="2"/>
        <w:rPr>
          <w:rFonts w:hint="eastAsia" w:ascii="宋体" w:hAnsi="宋体" w:eastAsia="宋体" w:cs="宋体"/>
          <w:sz w:val="24"/>
          <w:szCs w:val="24"/>
        </w:rPr>
      </w:pPr>
      <w:r>
        <w:rPr>
          <w:rFonts w:hint="eastAsia" w:ascii="宋体" w:hAnsi="宋体" w:eastAsia="宋体" w:cs="宋体"/>
          <w:sz w:val="24"/>
          <w:szCs w:val="24"/>
        </w:rPr>
        <w:t>三、质量技术标准</w:t>
      </w:r>
    </w:p>
    <w:p w14:paraId="454BA2B9">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乙方提供的服务和产品性能及质量有国家标准的应符合国家标准。无国家标准的应符合行业标准或企业标准，并满足采购文件要求，实现投标文件承诺条款。</w:t>
      </w:r>
    </w:p>
    <w:p w14:paraId="3D8EA133">
      <w:pPr>
        <w:spacing w:line="480" w:lineRule="exact"/>
        <w:ind w:firstLine="480"/>
        <w:outlineLvl w:val="2"/>
        <w:rPr>
          <w:rFonts w:hint="eastAsia" w:ascii="宋体" w:hAnsi="宋体" w:eastAsia="宋体" w:cs="宋体"/>
          <w:sz w:val="24"/>
          <w:szCs w:val="24"/>
        </w:rPr>
      </w:pPr>
      <w:r>
        <w:rPr>
          <w:rFonts w:hint="eastAsia" w:ascii="宋体" w:hAnsi="宋体" w:eastAsia="宋体" w:cs="宋体"/>
          <w:sz w:val="24"/>
          <w:szCs w:val="24"/>
        </w:rPr>
        <w:t>四、验收</w:t>
      </w:r>
    </w:p>
    <w:p w14:paraId="3A46FB7B">
      <w:pPr>
        <w:spacing w:line="480" w:lineRule="exact"/>
        <w:ind w:firstLine="480"/>
        <w:outlineLvl w:val="2"/>
        <w:rPr>
          <w:rFonts w:hint="eastAsia" w:ascii="宋体" w:hAnsi="宋体" w:eastAsia="宋体" w:cs="宋体"/>
          <w:sz w:val="24"/>
          <w:szCs w:val="24"/>
        </w:rPr>
      </w:pPr>
      <w:r>
        <w:rPr>
          <w:rFonts w:hint="eastAsia" w:ascii="宋体" w:hAnsi="宋体" w:eastAsia="宋体" w:cs="宋体"/>
          <w:sz w:val="24"/>
          <w:szCs w:val="24"/>
        </w:rPr>
        <w:t>（一）在发货前，供应商应对货物的质量、规格、参数、性能、数量等进行准确而全面的检验，并出具证明货物符合合同规定的证明文件（含合格证、技术参数说明书、有效期内的出厂检验报告等）。该证明文件将作为提交付款单据的一部分，但有关质量、规格、参数、性能、数量或重量的检验不应视为最终检验。检验的结果和细节应附在检验证书后面。</w:t>
      </w:r>
    </w:p>
    <w:p w14:paraId="740D518E">
      <w:pPr>
        <w:spacing w:line="480" w:lineRule="exact"/>
        <w:ind w:firstLine="480"/>
        <w:outlineLvl w:val="2"/>
        <w:rPr>
          <w:rFonts w:hint="eastAsia" w:ascii="宋体" w:hAnsi="宋体" w:eastAsia="宋体" w:cs="宋体"/>
          <w:sz w:val="24"/>
          <w:szCs w:val="24"/>
        </w:rPr>
      </w:pPr>
      <w:r>
        <w:rPr>
          <w:rFonts w:hint="eastAsia" w:ascii="宋体" w:hAnsi="宋体" w:eastAsia="宋体" w:cs="宋体"/>
          <w:sz w:val="24"/>
          <w:szCs w:val="24"/>
        </w:rPr>
        <w:t>（二）货物交付时，须经采购人现场检验。供应商应准备好相关初步验收资料，验收内容包括：产地、货号、规格、参数、数量、外观质量及设备是否完好等。验收合格后，方可投入使用。根据工作需要配合采购人进行抽样检测。</w:t>
      </w:r>
    </w:p>
    <w:p w14:paraId="6C7C110A">
      <w:pPr>
        <w:spacing w:line="480" w:lineRule="exact"/>
        <w:ind w:firstLine="480"/>
        <w:outlineLvl w:val="2"/>
        <w:rPr>
          <w:rFonts w:hint="eastAsia" w:ascii="宋体" w:hAnsi="宋体" w:eastAsia="宋体" w:cs="宋体"/>
          <w:sz w:val="24"/>
          <w:szCs w:val="24"/>
        </w:rPr>
      </w:pPr>
      <w:r>
        <w:rPr>
          <w:rFonts w:hint="eastAsia" w:ascii="宋体" w:hAnsi="宋体" w:eastAsia="宋体" w:cs="宋体"/>
          <w:sz w:val="24"/>
          <w:szCs w:val="24"/>
        </w:rPr>
        <w:t>如采购人认为需要抽样检测的，由采购人有权随机抽样送第三方检测（检测费用由供应商支付），检测完成合格后方可进行安装。</w:t>
      </w:r>
    </w:p>
    <w:p w14:paraId="72AE1D04">
      <w:pPr>
        <w:spacing w:line="480" w:lineRule="exact"/>
        <w:ind w:firstLine="480"/>
        <w:outlineLvl w:val="2"/>
        <w:rPr>
          <w:rFonts w:hint="eastAsia" w:ascii="宋体" w:hAnsi="宋体" w:eastAsia="宋体" w:cs="宋体"/>
          <w:sz w:val="24"/>
          <w:szCs w:val="24"/>
        </w:rPr>
      </w:pPr>
      <w:r>
        <w:rPr>
          <w:rFonts w:hint="eastAsia" w:ascii="宋体" w:hAnsi="宋体" w:eastAsia="宋体" w:cs="宋体"/>
          <w:sz w:val="24"/>
          <w:szCs w:val="24"/>
        </w:rPr>
        <w:t>（三）货物交付后，在安装前应仔细检查货物自身无缺陷后方可安装，如果存在货物破损、自身材质、规格等质量缺陷，采购人有权要求将货物退场，由此引起的一切后果由供应商承担。</w:t>
      </w:r>
    </w:p>
    <w:p w14:paraId="4F1F48E6">
      <w:pPr>
        <w:spacing w:line="480" w:lineRule="exact"/>
        <w:ind w:firstLine="480"/>
        <w:outlineLvl w:val="2"/>
        <w:rPr>
          <w:rFonts w:hint="eastAsia" w:ascii="宋体" w:hAnsi="宋体" w:eastAsia="宋体" w:cs="宋体"/>
          <w:sz w:val="24"/>
          <w:szCs w:val="24"/>
        </w:rPr>
      </w:pPr>
      <w:r>
        <w:rPr>
          <w:rFonts w:hint="eastAsia" w:ascii="宋体" w:hAnsi="宋体" w:eastAsia="宋体" w:cs="宋体"/>
          <w:sz w:val="24"/>
          <w:szCs w:val="24"/>
        </w:rPr>
        <w:t xml:space="preserve">（四）货物进场后供应商自行负责设备看管工作，如因看管不善所造成的一切损失均由供应商自行承担。 </w:t>
      </w:r>
    </w:p>
    <w:p w14:paraId="5894BF4D">
      <w:pPr>
        <w:spacing w:line="480" w:lineRule="exact"/>
        <w:ind w:firstLine="480"/>
        <w:outlineLvl w:val="2"/>
        <w:rPr>
          <w:rFonts w:hint="eastAsia" w:ascii="宋体" w:hAnsi="宋体" w:eastAsia="宋体" w:cs="宋体"/>
          <w:sz w:val="24"/>
          <w:szCs w:val="24"/>
          <w:lang w:eastAsia="zh-CN"/>
        </w:rPr>
      </w:pPr>
      <w:r>
        <w:rPr>
          <w:rFonts w:hint="eastAsia" w:ascii="宋体" w:hAnsi="宋体" w:eastAsia="宋体" w:cs="宋体"/>
          <w:sz w:val="24"/>
          <w:szCs w:val="24"/>
        </w:rPr>
        <w:t>（五）</w:t>
      </w:r>
      <w:r>
        <w:rPr>
          <w:rFonts w:hint="eastAsia" w:ascii="宋体" w:hAnsi="宋体" w:eastAsia="宋体" w:cs="宋体"/>
          <w:sz w:val="24"/>
          <w:szCs w:val="24"/>
          <w:lang w:eastAsia="zh-CN"/>
        </w:rPr>
        <w:t>验收</w:t>
      </w:r>
    </w:p>
    <w:p w14:paraId="4614048D">
      <w:pPr>
        <w:spacing w:line="480" w:lineRule="exact"/>
        <w:ind w:firstLine="480"/>
        <w:outlineLvl w:val="2"/>
        <w:rPr>
          <w:rFonts w:hint="eastAsia" w:ascii="宋体" w:hAnsi="宋体" w:eastAsia="宋体" w:cs="宋体"/>
          <w:sz w:val="24"/>
          <w:szCs w:val="24"/>
        </w:rPr>
      </w:pPr>
      <w:r>
        <w:rPr>
          <w:rFonts w:hint="eastAsia" w:ascii="宋体" w:hAnsi="宋体" w:eastAsia="宋体" w:cs="宋体"/>
          <w:sz w:val="24"/>
          <w:szCs w:val="24"/>
        </w:rPr>
        <w:t>在合同期内将货物送至采购人指定地点并安装调试完毕，供应商向采购人提交项目验收技术资料以及验收申请单，采购人收到申请后5个工作日内组织验收，并按照合同约定以及响应文件中的产品技术标准进行验收，对发现的问题下达限期整改通知书，整改完成后经采购人复查无问题后签署验收报告。</w:t>
      </w:r>
    </w:p>
    <w:p w14:paraId="7C4EBB8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2"/>
        <w:rPr>
          <w:rFonts w:hint="eastAsia" w:ascii="宋体" w:hAnsi="宋体" w:eastAsia="宋体" w:cs="宋体"/>
          <w:sz w:val="24"/>
          <w:szCs w:val="24"/>
        </w:rPr>
      </w:pPr>
      <w:r>
        <w:rPr>
          <w:rFonts w:hint="eastAsia" w:ascii="宋体" w:hAnsi="宋体" w:eastAsia="宋体" w:cs="宋体"/>
          <w:sz w:val="24"/>
          <w:szCs w:val="24"/>
        </w:rPr>
        <w:t>验收的标准按照项目采购文件、响应文件及相关标准实施，须服从采购人安排要求。</w:t>
      </w:r>
    </w:p>
    <w:p w14:paraId="3F44DA3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2"/>
        <w:rPr>
          <w:rFonts w:hint="eastAsia" w:ascii="宋体" w:hAnsi="宋体" w:eastAsia="宋体" w:cs="宋体"/>
          <w:sz w:val="24"/>
          <w:szCs w:val="24"/>
        </w:rPr>
      </w:pPr>
      <w:r>
        <w:rPr>
          <w:rFonts w:hint="eastAsia" w:ascii="宋体" w:hAnsi="宋体" w:eastAsia="宋体" w:cs="宋体"/>
          <w:sz w:val="24"/>
          <w:szCs w:val="24"/>
        </w:rPr>
        <w:t>五、付款方式：</w:t>
      </w:r>
    </w:p>
    <w:p w14:paraId="28B34E0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项目验收合格后，支付至合同总金额70％；验收合格满一年（项目正常运行，符合维保要求），支付至合同总价的75％；验收合格满两年（项目正常运行，符合维保要求），支付至合同总价80％；验收合格满三年（项目正常运行，符合维保要求），支付至合同总价的85％；验收合格满四年（项目正常运行，符合维保要求），支付至合同总价的90％；五年运维服务期满（项目正常运行，符合维保要求），支付剩余10％合同总价。</w:t>
      </w:r>
    </w:p>
    <w:p w14:paraId="30E15CE9">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资金支付的时间：收到供应商发票10个工作日内；</w:t>
      </w:r>
    </w:p>
    <w:p w14:paraId="590197F0">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资金支付的条件：满足相应阶段的要求且收到供应商发票。</w:t>
      </w:r>
    </w:p>
    <w:p w14:paraId="0283FCBE">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注：每期运维款项支付时，同步扣除当期产生的违约金。采购人可采用数字人民币支付。</w:t>
      </w:r>
    </w:p>
    <w:p w14:paraId="10E992E5">
      <w:pPr>
        <w:jc w:val="left"/>
        <w:rPr>
          <w:rFonts w:hint="eastAsia" w:ascii="宋体" w:hAnsi="宋体" w:eastAsia="宋体" w:cs="宋体"/>
          <w:sz w:val="24"/>
          <w:szCs w:val="24"/>
        </w:rPr>
      </w:pPr>
      <w:r>
        <w:rPr>
          <w:rFonts w:hint="eastAsia" w:ascii="宋体" w:hAnsi="宋体" w:eastAsia="宋体" w:cs="宋体"/>
          <w:sz w:val="24"/>
          <w:szCs w:val="24"/>
        </w:rPr>
        <w:t>六、履约保证金</w:t>
      </w:r>
    </w:p>
    <w:p w14:paraId="481E3FCC">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根据招标文件要求收取履约保证金。</w:t>
      </w:r>
    </w:p>
    <w:p w14:paraId="53B95D50">
      <w:pPr>
        <w:spacing w:line="480" w:lineRule="exact"/>
        <w:outlineLvl w:val="2"/>
        <w:rPr>
          <w:rFonts w:hint="eastAsia" w:ascii="宋体" w:hAnsi="宋体" w:eastAsia="宋体" w:cs="宋体"/>
          <w:sz w:val="24"/>
          <w:szCs w:val="24"/>
        </w:rPr>
      </w:pPr>
      <w:r>
        <w:rPr>
          <w:rFonts w:hint="eastAsia" w:ascii="宋体" w:hAnsi="宋体" w:eastAsia="宋体" w:cs="宋体"/>
          <w:sz w:val="24"/>
          <w:szCs w:val="24"/>
        </w:rPr>
        <w:t>七、售后服务</w:t>
      </w:r>
    </w:p>
    <w:p w14:paraId="50BAF348">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一）运维质保期5年。保证设备无故障运行时长超过1年，成交供应商自签订合同之日起需提供5年运维质保期（包括设备正常运行、数据正常传输及承担数据流量费、长期提供软件平台维护及升级服务等），质保期内成交供应商免费提供相关技术培训与配套技术支持服务。设备发生故障两周内成交供应商完成维修，特殊情况需向采购方说明并征得同意。成交供应商定期维保巡检设备，每年上门维护检修次数不少于3次。巡田无人机提供5年无人机保险服务，在25000元额度内不限次数的维修或者置换；巡田无人机三者险提供5年，每年100万第三方险，其中人60万，物40万。</w:t>
      </w:r>
    </w:p>
    <w:p w14:paraId="564FAAAE">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二）投标产品属于国家规定“三包”范围的，其产品的质量保证期不得低于“三包”规定。供应商的质量保证期承诺优于国家“三包”规定的，按供应商实际承诺执行；在质量保证期内，用户遇到使用及技术问题，供应商和厂家应当为用户提供技术援助电话。电话咨询不能解决的，供应商和厂家应采取相应措施，提供上门服务。实在无法解决的，应提供备用产品，确保用户能够正常使用；质量保证期满后，供应商和厂家应同样提供免费电话咨询服务，并以优惠价格提供售后服务。</w:t>
      </w:r>
    </w:p>
    <w:p w14:paraId="48EAE2B3">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（三）巡田无人机监测内容</w:t>
      </w:r>
    </w:p>
    <w:p w14:paraId="2A3D6A2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苗情:依托巡田无人机常态化开展苗情监测，确定固定苗情监测点和苗情长势监测样田区。根据稻麦每年关键生育期，对固定苗情监测点安排水稻巡飞查苗不少于9次、小麦不少于8次，同步进行人工查苗校验;花木区及养殖区，根据采购人通知和安排及时进行巡飞监测，原则每季度不低于1次；对苗情长势监测样田区开展周期性长势巡飞监测，人工审核巡飞监测分析报告，并按要求将分析报告和拼接影像上传至"苏农云"管控平台;相关农事管理建议推送至规模种植主体(农事中心)，并结合实际开展现场指导服务。</w:t>
      </w:r>
    </w:p>
    <w:p w14:paraId="2B327DFC">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灾情:在遭遇灾害性天气或其他临时调度任务时，按省市县农业农村部门要求及通知，依托"苏农云"管控平台，调看高清摄像头，及时开展巡飞监测并推送结果，为防灾抗灾救灾等提供即时支撑。</w:t>
      </w:r>
    </w:p>
    <w:p w14:paraId="4FB0E8CB">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eastAsia="zh-CN"/>
        </w:rPr>
        <w:t>四</w:t>
      </w:r>
      <w:r>
        <w:rPr>
          <w:rFonts w:hint="eastAsia" w:ascii="宋体" w:hAnsi="宋体" w:eastAsia="宋体" w:cs="宋体"/>
          <w:sz w:val="24"/>
          <w:szCs w:val="24"/>
        </w:rPr>
        <w:t>）安全责任</w:t>
      </w:r>
    </w:p>
    <w:p w14:paraId="2219020F">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1.乙方在项目建设过程、售后运维期中要采取安全风险防范措施，因此造成的一切安全事故和责任均由乙方自行承担。</w:t>
      </w:r>
    </w:p>
    <w:p w14:paraId="449964C3">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2.乙方在项目建设过程、售后运维期涉及乙方自有及劳务外包人员意外伤害保险等费用，由乙方自行负责。</w:t>
      </w:r>
    </w:p>
    <w:p w14:paraId="79D2B862">
      <w:pPr>
        <w:spacing w:line="480" w:lineRule="exact"/>
        <w:ind w:firstLine="480"/>
        <w:outlineLvl w:val="2"/>
        <w:rPr>
          <w:rFonts w:hint="eastAsia" w:ascii="宋体" w:hAnsi="宋体" w:eastAsia="宋体" w:cs="宋体"/>
          <w:sz w:val="24"/>
          <w:szCs w:val="24"/>
        </w:rPr>
      </w:pPr>
      <w:r>
        <w:rPr>
          <w:rFonts w:hint="eastAsia" w:ascii="宋体" w:hAnsi="宋体" w:eastAsia="宋体" w:cs="宋体"/>
          <w:sz w:val="24"/>
          <w:szCs w:val="24"/>
        </w:rPr>
        <w:t>八、违约条款</w:t>
      </w:r>
    </w:p>
    <w:p w14:paraId="0AAF42F8">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（一）甲方无正当理由拒收货物、拒付货物款的，由甲方向乙方偿付合同总价的0.1%违约金。</w:t>
      </w:r>
    </w:p>
    <w:p w14:paraId="2A623E1C">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（二）甲方未按合同规定的期限向乙方支付货款的，每逾期1天甲方向乙方偿付欠款总额的1‰滞纳金，但累计滞纳金总额不超过欠款总额的1%。</w:t>
      </w:r>
    </w:p>
    <w:p w14:paraId="7E0FC7EC">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（三）乙方逾期交付的，每逾期1天，乙方向甲方偿付合同总额的</w:t>
      </w: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滞纳金。如乙方逾期交付达15天，甲方有权解除合同，解除合同的通知自到达乙方时生效。 </w:t>
      </w:r>
    </w:p>
    <w:p w14:paraId="6202D210">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（四）如需要调整设备参数的，必须征得甲方同意，乙方已全面了解市场信息，相关费用如有增加由乙方自行承担。</w:t>
      </w:r>
    </w:p>
    <w:p w14:paraId="4FA46075">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（五）乙方所交付的货物品种、型号、规格不符合合同规定的，甲方有权拒收。甲方拒收的，每发生一次，乙方应向甲方支付货款总额5%的违约金。</w:t>
      </w:r>
    </w:p>
    <w:p w14:paraId="52D0F640">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 xml:space="preserve">（六）在乙方承诺或本合同约定的质量保证期内（取两者中最长的期限），如经乙方两次维修或更换，货物仍不能达到合同约定的质量标准，甲方有权退货，乙方应退回相应货款，同时，乙方还须赔偿甲方因此造成的损失。 </w:t>
      </w:r>
    </w:p>
    <w:p w14:paraId="452112B1">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 xml:space="preserve">（七）乙方未按本合同的规定和“服务承诺”提供伴随服务/售后服务的，甲方有权终止合同，并应按运维养护服务费的5%向甲方缴纳违约金。 </w:t>
      </w:r>
    </w:p>
    <w:p w14:paraId="2AA416CA">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 xml:space="preserve">（八）乙方在承担上述（四-七）款一项或多项违约责任后，仍应继续履行合同规定的义务（甲方解除合同的除外）。甲方未能及时追究乙方的任何一项违约责任并不表明甲方放弃追究乙方该项或其他违约责任。 </w:t>
      </w:r>
    </w:p>
    <w:p w14:paraId="0BD65416">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 xml:space="preserve">（九）如乙方投标时提供虚假承诺，或经权威部门检测提供的货物不能满足采购文件要求，或是由于乙方的过错造成合同无法继续履行的，甲方有权解除合同，同时乙方还须向甲方支付不少于合同总价20%赔偿金。 </w:t>
      </w:r>
    </w:p>
    <w:p w14:paraId="180AE786">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（十）非因甲方原因，乙方不履行本合同规定的义务，致使工作延误，甲方有权要求其强制履行或解除合同，并要求乙方等额赔偿由此造成的一切损失。</w:t>
      </w:r>
    </w:p>
    <w:p w14:paraId="0C9DE15B">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（十一）本项目不得转包和违法分包，如有发生，甲方有权解除合同，所造成的一切损失由乙方负责。</w:t>
      </w:r>
    </w:p>
    <w:p w14:paraId="107300E8">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（十二）合同签订15日内，完成现场勘查及设备陆续进场，如果无设备进场的，每超过1天扣除0.5%的违约金。</w:t>
      </w:r>
    </w:p>
    <w:p w14:paraId="33750797">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（十三）项目负责人须全过程参与安装、调试、验收等工作，无故未请假私自离开工地现场处以500-1000元/天违约金，该违约金直接从合同款中扣除。</w:t>
      </w:r>
    </w:p>
    <w:p w14:paraId="4FCFFC90">
      <w:pPr>
        <w:spacing w:line="480" w:lineRule="exact"/>
        <w:ind w:firstLine="480"/>
        <w:outlineLvl w:val="2"/>
        <w:rPr>
          <w:rFonts w:hint="eastAsia" w:ascii="宋体" w:hAnsi="宋体" w:eastAsia="宋体" w:cs="宋体"/>
          <w:sz w:val="24"/>
          <w:szCs w:val="24"/>
        </w:rPr>
      </w:pPr>
      <w:r>
        <w:rPr>
          <w:rFonts w:hint="eastAsia" w:ascii="宋体" w:hAnsi="宋体" w:eastAsia="宋体" w:cs="宋体"/>
          <w:sz w:val="24"/>
          <w:szCs w:val="24"/>
        </w:rPr>
        <w:t>九、知识产权</w:t>
      </w:r>
    </w:p>
    <w:p w14:paraId="0FB0902B">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乙方应保证甲方免除并承担由于甲方在其使用该项目产品时而引起第三方提出的侵犯专利权、知识产权或设计权的起诉、行政程序索赔等，以及甲方为此而产生的损失、损害等费用和支出（包括律师费）。</w:t>
      </w:r>
    </w:p>
    <w:p w14:paraId="1C2CB0B4">
      <w:pPr>
        <w:spacing w:line="480" w:lineRule="exact"/>
        <w:ind w:firstLine="480"/>
        <w:outlineLvl w:val="2"/>
        <w:rPr>
          <w:rFonts w:hint="eastAsia" w:ascii="宋体" w:hAnsi="宋体" w:eastAsia="宋体" w:cs="宋体"/>
          <w:sz w:val="24"/>
          <w:szCs w:val="24"/>
        </w:rPr>
      </w:pPr>
      <w:r>
        <w:rPr>
          <w:rFonts w:hint="eastAsia" w:ascii="宋体" w:hAnsi="宋体" w:eastAsia="宋体" w:cs="宋体"/>
          <w:sz w:val="24"/>
          <w:szCs w:val="24"/>
        </w:rPr>
        <w:t>十、合同生效</w:t>
      </w:r>
    </w:p>
    <w:p w14:paraId="4AEAF44D">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本合同经甲方、乙方签字盖章后生效，合同签订的内容不能超出采购文件和响应文件的实质性内容。</w:t>
      </w:r>
    </w:p>
    <w:p w14:paraId="5BBAA022">
      <w:pPr>
        <w:spacing w:line="480" w:lineRule="exact"/>
        <w:ind w:firstLine="480"/>
        <w:outlineLvl w:val="2"/>
        <w:rPr>
          <w:rFonts w:hint="eastAsia" w:ascii="宋体" w:hAnsi="宋体" w:eastAsia="宋体" w:cs="宋体"/>
          <w:sz w:val="24"/>
          <w:szCs w:val="24"/>
        </w:rPr>
      </w:pPr>
      <w:r>
        <w:rPr>
          <w:rFonts w:hint="eastAsia" w:ascii="宋体" w:hAnsi="宋体" w:eastAsia="宋体" w:cs="宋体"/>
          <w:sz w:val="24"/>
          <w:szCs w:val="24"/>
        </w:rPr>
        <w:t>合同的组成部分</w:t>
      </w:r>
    </w:p>
    <w:p w14:paraId="5512D7B3">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 xml:space="preserve">本合同条款、成交通知书、采购文件、响应文件及投标人在报价时的书面承诺等构成合同的组成部分。 </w:t>
      </w:r>
    </w:p>
    <w:p w14:paraId="34D5C92B">
      <w:pPr>
        <w:spacing w:line="480" w:lineRule="exact"/>
        <w:ind w:firstLine="480"/>
        <w:outlineLvl w:val="2"/>
        <w:rPr>
          <w:rFonts w:hint="eastAsia" w:ascii="宋体" w:hAnsi="宋体" w:eastAsia="宋体" w:cs="宋体"/>
          <w:sz w:val="24"/>
          <w:szCs w:val="24"/>
        </w:rPr>
      </w:pPr>
      <w:r>
        <w:rPr>
          <w:rFonts w:hint="eastAsia" w:ascii="宋体" w:hAnsi="宋体" w:eastAsia="宋体" w:cs="宋体"/>
          <w:sz w:val="24"/>
          <w:szCs w:val="24"/>
        </w:rPr>
        <w:t>十一、合同份数</w:t>
      </w:r>
    </w:p>
    <w:p w14:paraId="2BD96D15">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本合同一式陆份，以中文书写，甲方执肆份、乙方执贰份。</w:t>
      </w:r>
    </w:p>
    <w:p w14:paraId="77E8DE08">
      <w:pPr>
        <w:spacing w:line="480" w:lineRule="exact"/>
        <w:ind w:firstLine="480"/>
        <w:rPr>
          <w:rFonts w:hint="eastAsia" w:ascii="宋体" w:hAnsi="宋体" w:eastAsia="宋体" w:cs="宋体"/>
          <w:sz w:val="24"/>
          <w:szCs w:val="24"/>
        </w:rPr>
      </w:pPr>
      <w:r>
        <w:rPr>
          <w:rFonts w:hint="eastAsia" w:ascii="宋体" w:hAnsi="宋体" w:eastAsia="宋体" w:cs="宋体"/>
          <w:sz w:val="24"/>
          <w:szCs w:val="24"/>
        </w:rPr>
        <w:t>十二、本合同一切未尽事宜，按民法典有关规定执行，无相关规定的，由甲乙双方协商解决。</w:t>
      </w:r>
    </w:p>
    <w:p w14:paraId="38301E0E">
      <w:pPr>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通用条款</w:t>
      </w:r>
    </w:p>
    <w:p w14:paraId="25C72F05">
      <w:pPr>
        <w:spacing w:line="480" w:lineRule="exact"/>
        <w:ind w:firstLine="480"/>
        <w:outlineLvl w:val="2"/>
        <w:rPr>
          <w:rFonts w:hint="eastAsia" w:ascii="宋体" w:hAnsi="宋体" w:eastAsia="宋体" w:cs="宋体"/>
          <w:sz w:val="24"/>
          <w:szCs w:val="24"/>
        </w:rPr>
      </w:pPr>
      <w:r>
        <w:rPr>
          <w:rFonts w:hint="eastAsia" w:ascii="宋体" w:hAnsi="宋体" w:eastAsia="宋体" w:cs="宋体"/>
          <w:sz w:val="24"/>
          <w:szCs w:val="24"/>
        </w:rPr>
        <w:t>十三、词语</w:t>
      </w:r>
      <w:r>
        <w:rPr>
          <w:rFonts w:hint="eastAsia" w:ascii="宋体" w:hAnsi="宋体" w:eastAsia="宋体" w:cs="宋体"/>
          <w:sz w:val="24"/>
          <w:szCs w:val="24"/>
          <w:lang w:eastAsia="zh-CN"/>
        </w:rPr>
        <w:t>含义</w:t>
      </w:r>
    </w:p>
    <w:p w14:paraId="14360AB9">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（一）合同：甲乙双方签署的、合同格式中载明的甲方与乙方所达成的协议，包括所有的附件、附录和构成合同的所有文件。</w:t>
      </w:r>
    </w:p>
    <w:p w14:paraId="7BF18DFA">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（二）合同价：根据合同规定，乙方在正确地完全履行合同义务后甲方应支付给卖方的价格。</w:t>
      </w:r>
    </w:p>
    <w:p w14:paraId="4D2E8F6C">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（三）货物：乙方根据合同规定须向买方提供的一切设备、机械、仪表、备件、工具、手册和其他技术资料及其他材料。</w:t>
      </w:r>
    </w:p>
    <w:p w14:paraId="6A9E46A4">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（四）服务：根据合同规定甲方承担与供货有关的辅助服务，如运输、保险以及其它的伴随服务，比如安装、调试、提供技术援助、培训和其他类似的乙方应承担的义务。</w:t>
      </w:r>
    </w:p>
    <w:p w14:paraId="5D7E1161">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（五）甲方：采购单位，即。</w:t>
      </w:r>
    </w:p>
    <w:p w14:paraId="67D575EB">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（六）乙方：提供货物和服务的公司或实体，即。</w:t>
      </w:r>
    </w:p>
    <w:p w14:paraId="63D0A4BF">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（七）不可抗力：指不能预见、不能避免和不能克服的客观情况，如战争、动乱、空中飞行物体坠落或其它非甲乙方责任造成的爆炸、火灾，以及协议条款约定等级以上的风、雨、雪、地震等。</w:t>
      </w:r>
    </w:p>
    <w:p w14:paraId="14BE87A7">
      <w:pPr>
        <w:keepNext w:val="0"/>
        <w:keepLines w:val="0"/>
        <w:pageBreakBefore w:val="0"/>
        <w:widowControl w:val="0"/>
        <w:kinsoku/>
        <w:wordWrap/>
        <w:overflowPunct/>
        <w:topLinePunct w:val="0"/>
        <w:autoSpaceDE/>
        <w:autoSpaceDN/>
        <w:bidi w:val="0"/>
        <w:adjustRightInd/>
        <w:snapToGrid/>
        <w:spacing w:line="480" w:lineRule="exact"/>
        <w:ind w:firstLine="482"/>
        <w:textAlignment w:val="auto"/>
        <w:outlineLvl w:val="2"/>
        <w:rPr>
          <w:rFonts w:hint="eastAsia" w:ascii="宋体" w:hAnsi="宋体" w:eastAsia="宋体" w:cs="宋体"/>
          <w:sz w:val="24"/>
          <w:szCs w:val="24"/>
        </w:rPr>
      </w:pPr>
      <w:r>
        <w:rPr>
          <w:rFonts w:hint="eastAsia" w:ascii="宋体" w:hAnsi="宋体" w:eastAsia="宋体" w:cs="宋体"/>
          <w:sz w:val="24"/>
          <w:szCs w:val="24"/>
        </w:rPr>
        <w:t>十四、技术规格</w:t>
      </w:r>
    </w:p>
    <w:p w14:paraId="350CCE94">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乙方所提供货物的技术规格应与采购文件规定的技术规格以及所附的技术规格响应表相一致。</w:t>
      </w:r>
    </w:p>
    <w:p w14:paraId="369DE787">
      <w:pPr>
        <w:keepNext w:val="0"/>
        <w:keepLines w:val="0"/>
        <w:pageBreakBefore w:val="0"/>
        <w:widowControl w:val="0"/>
        <w:kinsoku/>
        <w:wordWrap/>
        <w:overflowPunct/>
        <w:topLinePunct w:val="0"/>
        <w:autoSpaceDE/>
        <w:autoSpaceDN/>
        <w:bidi w:val="0"/>
        <w:adjustRightInd/>
        <w:snapToGrid/>
        <w:spacing w:line="480" w:lineRule="exact"/>
        <w:ind w:firstLine="482"/>
        <w:textAlignment w:val="auto"/>
        <w:outlineLvl w:val="2"/>
        <w:rPr>
          <w:rFonts w:hint="eastAsia" w:ascii="宋体" w:hAnsi="宋体" w:eastAsia="宋体" w:cs="宋体"/>
          <w:sz w:val="24"/>
          <w:szCs w:val="24"/>
        </w:rPr>
      </w:pPr>
      <w:r>
        <w:rPr>
          <w:rFonts w:hint="eastAsia" w:ascii="宋体" w:hAnsi="宋体" w:eastAsia="宋体" w:cs="宋体"/>
          <w:sz w:val="24"/>
          <w:szCs w:val="24"/>
        </w:rPr>
        <w:t>十五、专利权</w:t>
      </w:r>
    </w:p>
    <w:p w14:paraId="7CD607E2">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乙方应保证甲方在使用该货物或其任何一部分时不受第三方提出侵犯其专利权、商标权和工业设计权的起诉。一旦出现专利侵权，乙方应负全部责任。</w:t>
      </w:r>
    </w:p>
    <w:p w14:paraId="2BA2F97C">
      <w:pPr>
        <w:keepNext w:val="0"/>
        <w:keepLines w:val="0"/>
        <w:pageBreakBefore w:val="0"/>
        <w:widowControl w:val="0"/>
        <w:kinsoku/>
        <w:wordWrap/>
        <w:overflowPunct/>
        <w:topLinePunct w:val="0"/>
        <w:autoSpaceDE/>
        <w:autoSpaceDN/>
        <w:bidi w:val="0"/>
        <w:adjustRightInd/>
        <w:snapToGrid/>
        <w:spacing w:line="480" w:lineRule="exact"/>
        <w:ind w:firstLine="482"/>
        <w:textAlignment w:val="auto"/>
        <w:outlineLvl w:val="2"/>
        <w:rPr>
          <w:rFonts w:hint="eastAsia" w:ascii="宋体" w:hAnsi="宋体" w:eastAsia="宋体" w:cs="宋体"/>
          <w:sz w:val="24"/>
          <w:szCs w:val="24"/>
        </w:rPr>
      </w:pPr>
      <w:r>
        <w:rPr>
          <w:rFonts w:hint="eastAsia" w:ascii="宋体" w:hAnsi="宋体" w:eastAsia="宋体" w:cs="宋体"/>
          <w:sz w:val="24"/>
          <w:szCs w:val="24"/>
        </w:rPr>
        <w:t>十六、包装要求</w:t>
      </w:r>
    </w:p>
    <w:p w14:paraId="6F099CFA">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一）除合同另有规定外，乙方提供的全部货物均按标准保护措施进行包装。该包装应适应于远距离运输、防潮、防震、防锈和防野蛮装卸，以确保货物安全无损运抵指定现场。由于包装不善所引起的货物锈蚀、损坏和损失均由卖方承担。</w:t>
      </w:r>
    </w:p>
    <w:p w14:paraId="57A35AC9">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（二）每件包装箱内应附一份详细装箱单和质量合格标识。</w:t>
      </w:r>
    </w:p>
    <w:p w14:paraId="1C470FBB">
      <w:pPr>
        <w:keepNext w:val="0"/>
        <w:keepLines w:val="0"/>
        <w:pageBreakBefore w:val="0"/>
        <w:widowControl w:val="0"/>
        <w:kinsoku/>
        <w:wordWrap/>
        <w:overflowPunct/>
        <w:topLinePunct w:val="0"/>
        <w:autoSpaceDE/>
        <w:autoSpaceDN/>
        <w:bidi w:val="0"/>
        <w:adjustRightInd/>
        <w:snapToGrid/>
        <w:spacing w:line="480" w:lineRule="exact"/>
        <w:ind w:firstLine="482"/>
        <w:textAlignment w:val="auto"/>
        <w:outlineLvl w:val="2"/>
        <w:rPr>
          <w:rFonts w:hint="eastAsia" w:ascii="宋体" w:hAnsi="宋体" w:eastAsia="宋体" w:cs="宋体"/>
          <w:sz w:val="24"/>
          <w:szCs w:val="24"/>
        </w:rPr>
      </w:pPr>
      <w:r>
        <w:rPr>
          <w:rFonts w:hint="eastAsia" w:ascii="宋体" w:hAnsi="宋体" w:eastAsia="宋体" w:cs="宋体"/>
          <w:sz w:val="24"/>
          <w:szCs w:val="24"/>
        </w:rPr>
        <w:t>十七、装运条件</w:t>
      </w:r>
    </w:p>
    <w:p w14:paraId="492CA379">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根据采购人指定地点，乙方负责安排运输，并承担运费。</w:t>
      </w:r>
    </w:p>
    <w:p w14:paraId="3E4E66F0">
      <w:pPr>
        <w:keepNext w:val="0"/>
        <w:keepLines w:val="0"/>
        <w:pageBreakBefore w:val="0"/>
        <w:widowControl w:val="0"/>
        <w:kinsoku/>
        <w:wordWrap/>
        <w:overflowPunct/>
        <w:topLinePunct w:val="0"/>
        <w:autoSpaceDE/>
        <w:autoSpaceDN/>
        <w:bidi w:val="0"/>
        <w:adjustRightInd/>
        <w:snapToGrid/>
        <w:spacing w:line="480" w:lineRule="exact"/>
        <w:ind w:firstLine="482"/>
        <w:textAlignment w:val="auto"/>
        <w:outlineLvl w:val="2"/>
        <w:rPr>
          <w:rFonts w:hint="eastAsia" w:ascii="宋体" w:hAnsi="宋体" w:eastAsia="宋体" w:cs="宋体"/>
          <w:sz w:val="24"/>
          <w:szCs w:val="24"/>
        </w:rPr>
      </w:pPr>
      <w:r>
        <w:rPr>
          <w:rFonts w:hint="eastAsia" w:ascii="宋体" w:hAnsi="宋体" w:eastAsia="宋体" w:cs="宋体"/>
          <w:sz w:val="24"/>
          <w:szCs w:val="24"/>
        </w:rPr>
        <w:t>十八、付款</w:t>
      </w:r>
    </w:p>
    <w:p w14:paraId="78B4A39E">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（一）本合同以人民币付款。</w:t>
      </w:r>
    </w:p>
    <w:p w14:paraId="69233A89">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二）乙方应按照与甲方签订的合同规定交货。交货后乙方向甲方提供下列单据，按合同规定审核后付款：1、发票；2、制造厂家出具的质量检验证书等；3、装箱单；4、验收合格证书；5、买方加盖公章证明货物交付使用合格的验收合格报告。</w:t>
      </w:r>
    </w:p>
    <w:p w14:paraId="0E865DB8">
      <w:pPr>
        <w:keepNext w:val="0"/>
        <w:keepLines w:val="0"/>
        <w:pageBreakBefore w:val="0"/>
        <w:widowControl w:val="0"/>
        <w:kinsoku/>
        <w:wordWrap/>
        <w:overflowPunct/>
        <w:topLinePunct w:val="0"/>
        <w:autoSpaceDE/>
        <w:autoSpaceDN/>
        <w:bidi w:val="0"/>
        <w:adjustRightInd/>
        <w:snapToGrid/>
        <w:spacing w:line="480" w:lineRule="exact"/>
        <w:ind w:firstLine="482"/>
        <w:textAlignment w:val="auto"/>
        <w:outlineLvl w:val="2"/>
        <w:rPr>
          <w:rFonts w:hint="eastAsia" w:ascii="宋体" w:hAnsi="宋体" w:eastAsia="宋体" w:cs="宋体"/>
          <w:sz w:val="24"/>
          <w:szCs w:val="24"/>
        </w:rPr>
      </w:pPr>
      <w:r>
        <w:rPr>
          <w:rFonts w:hint="eastAsia" w:ascii="宋体" w:hAnsi="宋体" w:eastAsia="宋体" w:cs="宋体"/>
          <w:sz w:val="24"/>
          <w:szCs w:val="24"/>
        </w:rPr>
        <w:t>十九、伴随服务</w:t>
      </w:r>
    </w:p>
    <w:p w14:paraId="22463597">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乙方应按照国家有关规定和合同中所附的服务承诺提供服务，主要包括：</w:t>
      </w:r>
    </w:p>
    <w:p w14:paraId="7FD32C3B">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（一）货物的现场安装；</w:t>
      </w:r>
    </w:p>
    <w:p w14:paraId="29C02415">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（二）提供货物组装和维修所需的工具；</w:t>
      </w:r>
    </w:p>
    <w:p w14:paraId="75B4CEFF">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（三）在合同中乙方承诺的期限内对所提供货物实施运行监督、维修，该服务并不能免除乙方在质量保证期内应承担的义务；</w:t>
      </w:r>
    </w:p>
    <w:p w14:paraId="1AD522E7">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（四）在项目交货现场就货物的安装、启动、运行、维护对使用方人员进行培训。</w:t>
      </w:r>
    </w:p>
    <w:p w14:paraId="32D89732">
      <w:pPr>
        <w:keepNext w:val="0"/>
        <w:keepLines w:val="0"/>
        <w:pageBreakBefore w:val="0"/>
        <w:widowControl w:val="0"/>
        <w:kinsoku/>
        <w:wordWrap/>
        <w:overflowPunct/>
        <w:topLinePunct w:val="0"/>
        <w:autoSpaceDE/>
        <w:autoSpaceDN/>
        <w:bidi w:val="0"/>
        <w:adjustRightInd/>
        <w:snapToGrid/>
        <w:spacing w:line="480" w:lineRule="exact"/>
        <w:ind w:firstLine="482"/>
        <w:textAlignment w:val="auto"/>
        <w:outlineLvl w:val="2"/>
        <w:rPr>
          <w:rFonts w:hint="eastAsia" w:ascii="宋体" w:hAnsi="宋体" w:eastAsia="宋体" w:cs="宋体"/>
          <w:sz w:val="24"/>
          <w:szCs w:val="24"/>
        </w:rPr>
      </w:pPr>
      <w:r>
        <w:rPr>
          <w:rFonts w:hint="eastAsia" w:ascii="宋体" w:hAnsi="宋体" w:eastAsia="宋体" w:cs="宋体"/>
          <w:sz w:val="24"/>
          <w:szCs w:val="24"/>
        </w:rPr>
        <w:t>二十、质量保证</w:t>
      </w:r>
    </w:p>
    <w:p w14:paraId="62164A96">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（一）乙方所提供的产品必须符合最新的国家标准和行业标准。</w:t>
      </w:r>
    </w:p>
    <w:p w14:paraId="73ACBC02">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二）乙方应保证货物是全新、未使用过的原装合格正品，并完全符合合同规定的质量、规格和性能。货物在正确安装、正常使用和保养条件下，在其使用寿命内应具有满意的性能。货物最终验收后，在质量保证期内，对由于设计、工艺或材料缺陷而发生任何不足或故障，乙方应负责并承担相应费用。</w:t>
      </w:r>
    </w:p>
    <w:p w14:paraId="1FD6EFFB">
      <w:pPr>
        <w:keepNext w:val="0"/>
        <w:keepLines w:val="0"/>
        <w:pageBreakBefore w:val="0"/>
        <w:widowControl w:val="0"/>
        <w:kinsoku/>
        <w:wordWrap/>
        <w:overflowPunct/>
        <w:topLinePunct w:val="0"/>
        <w:autoSpaceDE/>
        <w:autoSpaceDN/>
        <w:bidi w:val="0"/>
        <w:adjustRightInd/>
        <w:snapToGrid/>
        <w:spacing w:line="480" w:lineRule="exact"/>
        <w:ind w:firstLine="482"/>
        <w:textAlignment w:val="auto"/>
        <w:outlineLvl w:val="2"/>
        <w:rPr>
          <w:rFonts w:hint="eastAsia" w:ascii="宋体" w:hAnsi="宋体" w:eastAsia="宋体" w:cs="宋体"/>
          <w:sz w:val="24"/>
          <w:szCs w:val="24"/>
        </w:rPr>
      </w:pPr>
      <w:r>
        <w:rPr>
          <w:rFonts w:hint="eastAsia" w:ascii="宋体" w:hAnsi="宋体" w:eastAsia="宋体" w:cs="宋体"/>
          <w:sz w:val="24"/>
          <w:szCs w:val="24"/>
        </w:rPr>
        <w:t>二十一、检验</w:t>
      </w:r>
    </w:p>
    <w:p w14:paraId="6FF503BF">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p>
    <w:p w14:paraId="7587530F">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二）甲方在乙方交货后及时组织验收，如果货物的质量和规格与合同规定相符，甲方应及时填写验收表；如果货物的质量、规格与合同规定不符，或在质量保证期内发现货物是有缺陷的（包括潜在缺陷或使用不符合要求的材料），甲方应报请法定检验机构进行检查，有权凭其出具的检验报告向乙方提出索赔。</w:t>
      </w:r>
    </w:p>
    <w:p w14:paraId="18710F3B">
      <w:pPr>
        <w:keepNext w:val="0"/>
        <w:keepLines w:val="0"/>
        <w:pageBreakBefore w:val="0"/>
        <w:widowControl w:val="0"/>
        <w:kinsoku/>
        <w:wordWrap/>
        <w:overflowPunct/>
        <w:topLinePunct w:val="0"/>
        <w:autoSpaceDE/>
        <w:autoSpaceDN/>
        <w:bidi w:val="0"/>
        <w:adjustRightInd/>
        <w:snapToGrid/>
        <w:spacing w:line="480" w:lineRule="exact"/>
        <w:ind w:firstLine="482"/>
        <w:textAlignment w:val="auto"/>
        <w:outlineLvl w:val="2"/>
        <w:rPr>
          <w:rFonts w:hint="eastAsia" w:ascii="宋体" w:hAnsi="宋体" w:eastAsia="宋体" w:cs="宋体"/>
          <w:sz w:val="24"/>
          <w:szCs w:val="24"/>
        </w:rPr>
      </w:pPr>
      <w:r>
        <w:rPr>
          <w:rFonts w:hint="eastAsia" w:ascii="宋体" w:hAnsi="宋体" w:eastAsia="宋体" w:cs="宋体"/>
          <w:sz w:val="24"/>
          <w:szCs w:val="24"/>
        </w:rPr>
        <w:t>二十二、索赔</w:t>
      </w:r>
    </w:p>
    <w:p w14:paraId="6F5C9F54">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一）甲方有权根据法定检验机构出具的检验报告，向乙方提出索赔。根据合同规定的检验期和质量保证期内，如乙方对甲方提出的索赔和差异负有责任，乙方应按照甲方同意的下列一种或多种方式解决索赔事宜：</w:t>
      </w:r>
    </w:p>
    <w:p w14:paraId="5336378B">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1、乙方同意退货，按合同中规定的货币将货款退还给甲方，并承担由此发生的一切损失和费用，包括利息、银行手续费、运费、保险费、检验费、仓储费、装卸费以及为保护退回货物所需的其它必要费用。</w:t>
      </w:r>
    </w:p>
    <w:p w14:paraId="12755445">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2、根据货物的低劣程度、损坏程度以及买方所遭损失的数额，乙方须降低货物的价格。</w:t>
      </w:r>
    </w:p>
    <w:p w14:paraId="7CEE2208">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3、用符合合同规定的规格、质量和性能要求的新零件、部件或设备来更换和或修补有缺陷的部分，乙方应承担一切费用和风险并负担甲方所蒙受的全部直接损失费用。同时应按合同规定对更换和修补件，相应延长质量保证期。</w:t>
      </w:r>
    </w:p>
    <w:p w14:paraId="3FC91BBC">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（二）在甲方发出索赔通知后20天内，如乙方未作答复，上述索赔应视为已被接受，按照本合同规定的任何一种方法解决索赔事宜，甲方将采用法律手段解决索赔事宜。</w:t>
      </w:r>
    </w:p>
    <w:p w14:paraId="0CBE45CA">
      <w:pPr>
        <w:keepNext w:val="0"/>
        <w:keepLines w:val="0"/>
        <w:pageBreakBefore w:val="0"/>
        <w:widowControl w:val="0"/>
        <w:kinsoku/>
        <w:wordWrap/>
        <w:overflowPunct/>
        <w:topLinePunct w:val="0"/>
        <w:autoSpaceDE/>
        <w:autoSpaceDN/>
        <w:bidi w:val="0"/>
        <w:adjustRightInd/>
        <w:snapToGrid/>
        <w:spacing w:line="480" w:lineRule="exact"/>
        <w:ind w:firstLine="482"/>
        <w:textAlignment w:val="auto"/>
        <w:outlineLvl w:val="2"/>
        <w:rPr>
          <w:rFonts w:hint="eastAsia" w:ascii="宋体" w:hAnsi="宋体" w:eastAsia="宋体" w:cs="宋体"/>
          <w:sz w:val="24"/>
          <w:szCs w:val="24"/>
        </w:rPr>
      </w:pPr>
      <w:r>
        <w:rPr>
          <w:rFonts w:hint="eastAsia" w:ascii="宋体" w:hAnsi="宋体" w:eastAsia="宋体" w:cs="宋体"/>
          <w:sz w:val="24"/>
          <w:szCs w:val="24"/>
        </w:rPr>
        <w:t>二十三、误期赔偿</w:t>
      </w:r>
    </w:p>
    <w:p w14:paraId="09E058CB">
      <w:pPr>
        <w:keepNext w:val="0"/>
        <w:keepLines w:val="0"/>
        <w:pageBreakBefore w:val="0"/>
        <w:widowControl w:val="0"/>
        <w:kinsoku/>
        <w:wordWrap/>
        <w:overflowPunct/>
        <w:topLinePunct w:val="0"/>
        <w:autoSpaceDE/>
        <w:autoSpaceDN/>
        <w:bidi w:val="0"/>
        <w:adjustRightInd/>
        <w:snapToGrid/>
        <w:spacing w:line="480" w:lineRule="exact"/>
        <w:ind w:firstLine="482"/>
        <w:textAlignment w:val="auto"/>
        <w:outlineLvl w:val="2"/>
        <w:rPr>
          <w:rFonts w:hint="eastAsia" w:ascii="宋体" w:hAnsi="宋体" w:eastAsia="宋体" w:cs="宋体"/>
          <w:sz w:val="24"/>
          <w:szCs w:val="24"/>
        </w:rPr>
      </w:pPr>
      <w:r>
        <w:rPr>
          <w:rFonts w:hint="eastAsia" w:ascii="宋体" w:hAnsi="宋体" w:eastAsia="宋体" w:cs="宋体"/>
          <w:sz w:val="24"/>
          <w:szCs w:val="24"/>
        </w:rPr>
        <w:t>具体详见专用合同</w:t>
      </w:r>
    </w:p>
    <w:p w14:paraId="03467C36">
      <w:pPr>
        <w:keepNext w:val="0"/>
        <w:keepLines w:val="0"/>
        <w:pageBreakBefore w:val="0"/>
        <w:widowControl w:val="0"/>
        <w:kinsoku/>
        <w:wordWrap/>
        <w:overflowPunct/>
        <w:topLinePunct w:val="0"/>
        <w:autoSpaceDE/>
        <w:autoSpaceDN/>
        <w:bidi w:val="0"/>
        <w:adjustRightInd/>
        <w:snapToGrid/>
        <w:spacing w:line="480" w:lineRule="exact"/>
        <w:ind w:firstLine="482"/>
        <w:textAlignment w:val="auto"/>
        <w:outlineLvl w:val="2"/>
        <w:rPr>
          <w:rFonts w:hint="eastAsia" w:ascii="宋体" w:hAnsi="宋体" w:eastAsia="宋体" w:cs="宋体"/>
          <w:sz w:val="24"/>
          <w:szCs w:val="24"/>
        </w:rPr>
      </w:pPr>
      <w:r>
        <w:rPr>
          <w:rFonts w:hint="eastAsia" w:ascii="宋体" w:hAnsi="宋体" w:eastAsia="宋体" w:cs="宋体"/>
          <w:sz w:val="24"/>
          <w:szCs w:val="24"/>
        </w:rPr>
        <w:t>二十四、不可抗力</w:t>
      </w:r>
    </w:p>
    <w:p w14:paraId="0198FD93">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p>
    <w:p w14:paraId="6DB801DF">
      <w:pPr>
        <w:keepNext w:val="0"/>
        <w:keepLines w:val="0"/>
        <w:pageBreakBefore w:val="0"/>
        <w:widowControl w:val="0"/>
        <w:kinsoku/>
        <w:wordWrap/>
        <w:overflowPunct/>
        <w:topLinePunct w:val="0"/>
        <w:autoSpaceDE/>
        <w:autoSpaceDN/>
        <w:bidi w:val="0"/>
        <w:adjustRightInd/>
        <w:snapToGrid/>
        <w:spacing w:line="480" w:lineRule="exact"/>
        <w:ind w:firstLine="482"/>
        <w:textAlignment w:val="auto"/>
        <w:outlineLvl w:val="2"/>
        <w:rPr>
          <w:rFonts w:hint="eastAsia" w:ascii="宋体" w:hAnsi="宋体" w:eastAsia="宋体" w:cs="宋体"/>
          <w:sz w:val="24"/>
          <w:szCs w:val="24"/>
        </w:rPr>
      </w:pPr>
      <w:r>
        <w:rPr>
          <w:rFonts w:hint="eastAsia" w:ascii="宋体" w:hAnsi="宋体" w:eastAsia="宋体" w:cs="宋体"/>
          <w:sz w:val="24"/>
          <w:szCs w:val="24"/>
        </w:rPr>
        <w:t>二十五、税费</w:t>
      </w:r>
    </w:p>
    <w:p w14:paraId="567A931E">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中国政府根据现行税法规定对甲方征收的与本合同有关的一切税费由甲方负担；规定对乙方征收的与本合同有关的一切税费由乙方负担。</w:t>
      </w:r>
    </w:p>
    <w:p w14:paraId="56312BA1">
      <w:pPr>
        <w:keepNext w:val="0"/>
        <w:keepLines w:val="0"/>
        <w:pageBreakBefore w:val="0"/>
        <w:widowControl w:val="0"/>
        <w:kinsoku/>
        <w:wordWrap/>
        <w:overflowPunct/>
        <w:topLinePunct w:val="0"/>
        <w:autoSpaceDE/>
        <w:autoSpaceDN/>
        <w:bidi w:val="0"/>
        <w:adjustRightInd/>
        <w:snapToGrid/>
        <w:spacing w:line="480" w:lineRule="exact"/>
        <w:ind w:firstLine="482"/>
        <w:textAlignment w:val="auto"/>
        <w:outlineLvl w:val="2"/>
        <w:rPr>
          <w:rFonts w:hint="eastAsia" w:ascii="宋体" w:hAnsi="宋体" w:eastAsia="宋体" w:cs="宋体"/>
          <w:sz w:val="24"/>
          <w:szCs w:val="24"/>
        </w:rPr>
      </w:pPr>
      <w:r>
        <w:rPr>
          <w:rFonts w:hint="eastAsia" w:ascii="宋体" w:hAnsi="宋体" w:eastAsia="宋体" w:cs="宋体"/>
          <w:sz w:val="24"/>
          <w:szCs w:val="24"/>
        </w:rPr>
        <w:t>二十六、合同争议</w:t>
      </w:r>
    </w:p>
    <w:p w14:paraId="4CD9724B">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甲乙双方应通过友好协商，解决在执行本合同中所发生的或与本合同有关的一切争议。如果协商仍得不到解决，任何一方均可按“中华人民共和国民法典”规定向工程所在地人民法院起诉。   </w:t>
      </w:r>
    </w:p>
    <w:p w14:paraId="0291EF33">
      <w:pPr>
        <w:keepNext w:val="0"/>
        <w:keepLines w:val="0"/>
        <w:pageBreakBefore w:val="0"/>
        <w:widowControl w:val="0"/>
        <w:kinsoku/>
        <w:wordWrap/>
        <w:overflowPunct/>
        <w:topLinePunct w:val="0"/>
        <w:autoSpaceDE/>
        <w:autoSpaceDN/>
        <w:bidi w:val="0"/>
        <w:adjustRightInd/>
        <w:snapToGrid/>
        <w:spacing w:line="480" w:lineRule="exact"/>
        <w:ind w:firstLine="482"/>
        <w:textAlignment w:val="auto"/>
        <w:outlineLvl w:val="2"/>
        <w:rPr>
          <w:rFonts w:hint="eastAsia" w:ascii="宋体" w:hAnsi="宋体" w:eastAsia="宋体" w:cs="宋体"/>
          <w:sz w:val="24"/>
          <w:szCs w:val="24"/>
        </w:rPr>
      </w:pPr>
      <w:r>
        <w:rPr>
          <w:rFonts w:hint="eastAsia" w:ascii="宋体" w:hAnsi="宋体" w:eastAsia="宋体" w:cs="宋体"/>
          <w:sz w:val="24"/>
          <w:szCs w:val="24"/>
        </w:rPr>
        <w:t>二十七、适用法律</w:t>
      </w:r>
    </w:p>
    <w:p w14:paraId="2409F443">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本合同应按照中华人民共和国的现行法律进行解释。</w:t>
      </w:r>
    </w:p>
    <w:p w14:paraId="6486BF8E">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 xml:space="preserve">甲方：（盖章）                        乙方：  （盖章）      </w:t>
      </w:r>
    </w:p>
    <w:p w14:paraId="6E6B30B6">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地址：                               地址：</w:t>
      </w:r>
    </w:p>
    <w:p w14:paraId="63A77988">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法定（授权）代表人：                 法定（授权）代表人：</w:t>
      </w:r>
    </w:p>
    <w:p w14:paraId="2C9D9531">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联系人：                             联系人：</w:t>
      </w:r>
    </w:p>
    <w:p w14:paraId="4305A54A">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联系电话：                           联系电话：</w:t>
      </w:r>
    </w:p>
    <w:p w14:paraId="7BDBFBC7">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lang w:val="en-US" w:eastAsia="zh-CN"/>
        </w:rPr>
      </w:pPr>
      <w:r>
        <w:rPr>
          <w:rFonts w:hint="eastAsia" w:ascii="宋体" w:hAnsi="宋体" w:eastAsia="宋体" w:cs="宋体"/>
          <w:sz w:val="24"/>
          <w:szCs w:val="24"/>
        </w:rPr>
        <w:t>2026年    月   日                    2026年   月   日</w:t>
      </w:r>
    </w:p>
    <w:p w14:paraId="64020341">
      <w:pPr>
        <w:keepNext/>
        <w:keepLines/>
        <w:pageBreakBefore/>
        <w:jc w:val="center"/>
        <w:outlineLvl w:val="0"/>
        <w:rPr>
          <w:b/>
          <w:color w:val="000000"/>
          <w:sz w:val="44"/>
          <w:szCs w:val="44"/>
        </w:rPr>
      </w:pPr>
      <w:r>
        <w:rPr>
          <w:rFonts w:hint="eastAsia"/>
          <w:b/>
          <w:color w:val="000000"/>
          <w:sz w:val="44"/>
          <w:szCs w:val="44"/>
        </w:rPr>
        <w:t>第六章  投标文件格式</w:t>
      </w:r>
      <w:bookmarkEnd w:id="152"/>
      <w:bookmarkEnd w:id="153"/>
      <w:bookmarkEnd w:id="154"/>
      <w:bookmarkEnd w:id="155"/>
      <w:bookmarkEnd w:id="156"/>
      <w:bookmarkEnd w:id="157"/>
    </w:p>
    <w:p w14:paraId="4553F9EC">
      <w:pPr>
        <w:rPr>
          <w:color w:val="000000"/>
        </w:rPr>
      </w:pPr>
      <w:bookmarkStart w:id="158" w:name="EB819316f773b24a75aef829f9b72900c0"/>
    </w:p>
    <w:p w14:paraId="139DF5DC">
      <w:pPr>
        <w:rPr>
          <w:rFonts w:ascii="Times New Roman" w:hAnsi="Times New Roman"/>
          <w:b/>
          <w:color w:val="000000"/>
          <w:sz w:val="72"/>
        </w:rPr>
      </w:pPr>
      <w:bookmarkStart w:id="159" w:name="_Toc15716"/>
    </w:p>
    <w:p w14:paraId="1ACED2C9">
      <w:pPr>
        <w:rPr>
          <w:rFonts w:ascii="Times New Roman" w:hAnsi="Times New Roman"/>
          <w:b/>
          <w:color w:val="000000"/>
          <w:sz w:val="72"/>
        </w:rPr>
      </w:pPr>
    </w:p>
    <w:p w14:paraId="2DB9D36A">
      <w:pPr>
        <w:rPr>
          <w:rFonts w:ascii="Times New Roman" w:hAnsi="Times New Roman"/>
          <w:b/>
          <w:color w:val="000000"/>
          <w:sz w:val="72"/>
        </w:rPr>
      </w:pPr>
    </w:p>
    <w:p w14:paraId="08E5A265">
      <w:pPr>
        <w:jc w:val="center"/>
        <w:rPr>
          <w:rFonts w:ascii="Times New Roman" w:hAnsi="Times New Roman"/>
          <w:b/>
          <w:color w:val="000000"/>
          <w:sz w:val="72"/>
        </w:rPr>
      </w:pPr>
      <w:r>
        <w:rPr>
          <w:rFonts w:hint="eastAsia" w:ascii="Times New Roman" w:hAnsi="Times New Roman"/>
          <w:b/>
          <w:color w:val="000000"/>
          <w:sz w:val="72"/>
        </w:rPr>
        <w:t>投  标  文  件</w:t>
      </w:r>
    </w:p>
    <w:p w14:paraId="40A1F6DB">
      <w:pPr>
        <w:jc w:val="center"/>
        <w:rPr>
          <w:rFonts w:ascii="Times New Roman" w:hAnsi="Times New Roman"/>
          <w:b/>
          <w:color w:val="000000"/>
          <w:sz w:val="72"/>
        </w:rPr>
      </w:pPr>
    </w:p>
    <w:p w14:paraId="201BA1A9">
      <w:pPr>
        <w:jc w:val="center"/>
        <w:rPr>
          <w:rFonts w:ascii="Times New Roman" w:hAnsi="Times New Roman"/>
          <w:b/>
          <w:color w:val="000000"/>
          <w:sz w:val="72"/>
        </w:rPr>
      </w:pPr>
    </w:p>
    <w:p w14:paraId="249449A2">
      <w:pPr>
        <w:jc w:val="center"/>
        <w:rPr>
          <w:rFonts w:ascii="Times New Roman" w:hAnsi="Times New Roman"/>
          <w:b/>
          <w:color w:val="000000"/>
          <w:sz w:val="72"/>
        </w:rPr>
      </w:pPr>
    </w:p>
    <w:p w14:paraId="5D3C3F1C">
      <w:pPr>
        <w:jc w:val="center"/>
        <w:rPr>
          <w:rFonts w:ascii="Times New Roman" w:hAnsi="Times New Roman"/>
          <w:b/>
          <w:color w:val="000000"/>
          <w:sz w:val="72"/>
        </w:rPr>
      </w:pPr>
    </w:p>
    <w:p w14:paraId="51206C32">
      <w:pPr>
        <w:jc w:val="center"/>
        <w:rPr>
          <w:rFonts w:ascii="Times New Roman" w:hAnsi="Times New Roman"/>
          <w:b/>
          <w:color w:val="000000"/>
          <w:sz w:val="72"/>
        </w:rPr>
      </w:pPr>
    </w:p>
    <w:p w14:paraId="1D241738">
      <w:pPr>
        <w:jc w:val="center"/>
        <w:rPr>
          <w:rFonts w:ascii="Times New Roman" w:hAnsi="Times New Roman"/>
          <w:b/>
          <w:color w:val="000000"/>
          <w:sz w:val="36"/>
        </w:rPr>
      </w:pPr>
    </w:p>
    <w:p w14:paraId="2EC52546">
      <w:pPr>
        <w:jc w:val="center"/>
        <w:rPr>
          <w:rFonts w:ascii="Times New Roman" w:hAnsi="Times New Roman"/>
          <w:b/>
          <w:color w:val="000000"/>
          <w:sz w:val="36"/>
        </w:rPr>
      </w:pPr>
    </w:p>
    <w:p w14:paraId="34C4A889">
      <w:pPr>
        <w:jc w:val="center"/>
        <w:rPr>
          <w:rFonts w:ascii="Times New Roman" w:hAnsi="Times New Roman"/>
          <w:b/>
          <w:color w:val="000000"/>
          <w:sz w:val="36"/>
        </w:rPr>
      </w:pPr>
    </w:p>
    <w:p w14:paraId="4366A678">
      <w:pPr>
        <w:ind w:firstLine="1084"/>
        <w:rPr>
          <w:rFonts w:ascii="Times New Roman" w:hAnsi="Times New Roman"/>
          <w:b/>
          <w:color w:val="000000"/>
          <w:sz w:val="36"/>
        </w:rPr>
      </w:pPr>
      <w:r>
        <w:rPr>
          <w:rFonts w:hint="eastAsia" w:ascii="Times New Roman" w:hAnsi="Times New Roman"/>
          <w:b/>
          <w:color w:val="000000"/>
          <w:sz w:val="36"/>
        </w:rPr>
        <w:t>项 目 名 称：</w:t>
      </w:r>
    </w:p>
    <w:p w14:paraId="08C273A3">
      <w:pPr>
        <w:ind w:firstLine="1084"/>
        <w:rPr>
          <w:rFonts w:ascii="Times New Roman" w:hAnsi="Times New Roman"/>
          <w:b/>
          <w:color w:val="000000"/>
          <w:sz w:val="36"/>
          <w:u w:val="single"/>
        </w:rPr>
      </w:pPr>
      <w:r>
        <w:rPr>
          <w:rFonts w:hint="eastAsia" w:ascii="Times New Roman" w:hAnsi="Times New Roman"/>
          <w:b/>
          <w:color w:val="000000"/>
          <w:sz w:val="36"/>
        </w:rPr>
        <w:t>项 目 编 号：</w:t>
      </w:r>
    </w:p>
    <w:p w14:paraId="0F5A4FE8">
      <w:pPr>
        <w:rPr>
          <w:rFonts w:ascii="Times New Roman" w:hAnsi="Times New Roman"/>
          <w:b/>
          <w:color w:val="000000"/>
          <w:sz w:val="36"/>
          <w:u w:val="single"/>
        </w:rPr>
      </w:pPr>
      <w:r>
        <w:rPr>
          <w:rFonts w:hint="eastAsia" w:ascii="Times New Roman" w:hAnsi="Times New Roman"/>
          <w:b/>
          <w:color w:val="000000"/>
          <w:sz w:val="36"/>
        </w:rPr>
        <w:t xml:space="preserve">      投标人名称 ：</w:t>
      </w:r>
      <w:r>
        <w:rPr>
          <w:rFonts w:hint="eastAsia" w:ascii="Times New Roman" w:hAnsi="Times New Roman"/>
          <w:b/>
          <w:color w:val="000000"/>
          <w:sz w:val="36"/>
          <w:u w:val="single"/>
        </w:rPr>
        <w:t>（盖CA电子公章）</w:t>
      </w:r>
    </w:p>
    <w:p w14:paraId="11B1A819">
      <w:pPr>
        <w:rPr>
          <w:rFonts w:ascii="Times New Roman" w:hAnsi="Times New Roman"/>
          <w:b/>
          <w:color w:val="000000"/>
          <w:sz w:val="36"/>
          <w:u w:val="single"/>
        </w:rPr>
      </w:pPr>
      <w:r>
        <w:rPr>
          <w:rFonts w:hint="eastAsia" w:ascii="Times New Roman" w:hAnsi="Times New Roman"/>
          <w:b/>
          <w:color w:val="000000"/>
          <w:sz w:val="36"/>
        </w:rPr>
        <w:t xml:space="preserve">      日      期 ：</w:t>
      </w:r>
      <w:bookmarkEnd w:id="159"/>
    </w:p>
    <w:p w14:paraId="3D074E0B">
      <w:pPr>
        <w:pStyle w:val="326"/>
        <w:rPr>
          <w:rFonts w:ascii="宋体" w:hAnsi="宋体" w:eastAsia="宋体" w:cs="宋体"/>
          <w:color w:val="000000"/>
        </w:rPr>
      </w:pPr>
    </w:p>
    <w:bookmarkEnd w:id="158"/>
    <w:p w14:paraId="1C9494FB">
      <w:pPr>
        <w:pStyle w:val="326"/>
        <w:rPr>
          <w:rFonts w:ascii="宋体" w:hAnsi="宋体" w:eastAsia="宋体" w:cs="宋体"/>
          <w:color w:val="000000"/>
        </w:rPr>
      </w:pPr>
    </w:p>
    <w:p w14:paraId="50610C52">
      <w:pPr>
        <w:pStyle w:val="326"/>
        <w:rPr>
          <w:rFonts w:ascii="宋体" w:hAnsi="宋体" w:eastAsia="宋体" w:cs="宋体"/>
          <w:color w:val="000000"/>
        </w:rPr>
      </w:pPr>
    </w:p>
    <w:p w14:paraId="52A5600F">
      <w:pPr>
        <w:pStyle w:val="326"/>
        <w:rPr>
          <w:rFonts w:ascii="宋体" w:hAnsi="宋体" w:eastAsia="宋体" w:cs="宋体"/>
          <w:color w:val="000000"/>
        </w:rPr>
      </w:pPr>
    </w:p>
    <w:p w14:paraId="76255CC5">
      <w:pPr>
        <w:pStyle w:val="326"/>
        <w:rPr>
          <w:rFonts w:ascii="宋体" w:hAnsi="宋体" w:eastAsia="宋体" w:cs="宋体"/>
          <w:color w:val="000000"/>
        </w:rPr>
      </w:pPr>
    </w:p>
    <w:p w14:paraId="42AD5CC2">
      <w:pPr>
        <w:pStyle w:val="326"/>
        <w:rPr>
          <w:rFonts w:ascii="宋体" w:hAnsi="宋体" w:eastAsia="宋体" w:cs="宋体"/>
          <w:color w:val="000000"/>
        </w:rPr>
      </w:pPr>
    </w:p>
    <w:p w14:paraId="6D4BB030">
      <w:pPr>
        <w:pStyle w:val="326"/>
        <w:rPr>
          <w:rFonts w:ascii="宋体" w:hAnsi="宋体" w:eastAsia="宋体" w:cs="宋体"/>
          <w:color w:val="000000"/>
        </w:rPr>
      </w:pPr>
    </w:p>
    <w:p w14:paraId="740F97A3">
      <w:pPr>
        <w:pStyle w:val="326"/>
        <w:spacing w:line="360" w:lineRule="auto"/>
        <w:jc w:val="center"/>
        <w:rPr>
          <w:rFonts w:ascii="宋体" w:hAnsi="宋体" w:eastAsia="宋体" w:cs="宋体"/>
          <w:b/>
          <w:bCs/>
          <w:color w:val="000000"/>
          <w:sz w:val="32"/>
          <w:szCs w:val="32"/>
        </w:rPr>
      </w:pPr>
    </w:p>
    <w:p w14:paraId="5362A5B0">
      <w:pPr>
        <w:pStyle w:val="326"/>
        <w:spacing w:line="360" w:lineRule="auto"/>
        <w:jc w:val="center"/>
        <w:rPr>
          <w:rFonts w:ascii="宋体" w:hAnsi="宋体" w:eastAsia="宋体" w:cs="宋体"/>
          <w:b/>
          <w:bCs/>
          <w:color w:val="000000"/>
          <w:sz w:val="32"/>
          <w:szCs w:val="32"/>
        </w:rPr>
      </w:pPr>
      <w:r>
        <w:rPr>
          <w:rFonts w:hint="eastAsia" w:ascii="宋体" w:hAnsi="宋体" w:eastAsia="宋体" w:cs="宋体"/>
          <w:b/>
          <w:bCs/>
          <w:color w:val="000000"/>
          <w:sz w:val="32"/>
          <w:szCs w:val="32"/>
        </w:rPr>
        <w:t>投标文件目录</w:t>
      </w:r>
    </w:p>
    <w:p w14:paraId="6DDD8234">
      <w:pPr>
        <w:pStyle w:val="326"/>
        <w:spacing w:line="360" w:lineRule="auto"/>
        <w:rPr>
          <w:rFonts w:ascii="宋体" w:hAnsi="宋体" w:eastAsia="宋体" w:cs="宋体"/>
          <w:color w:val="000000"/>
          <w:sz w:val="28"/>
          <w:szCs w:val="28"/>
        </w:rPr>
      </w:pPr>
    </w:p>
    <w:p w14:paraId="00EBD7F6">
      <w:pPr>
        <w:spacing w:line="360" w:lineRule="auto"/>
        <w:rPr>
          <w:rFonts w:ascii="Times New Roman" w:hAnsi="Times New Roman"/>
          <w:color w:val="000000"/>
          <w:sz w:val="28"/>
          <w:szCs w:val="28"/>
        </w:rPr>
      </w:pPr>
      <w:r>
        <w:rPr>
          <w:rFonts w:hint="eastAsia" w:ascii="Times New Roman" w:hAnsi="Times New Roman"/>
          <w:color w:val="000000"/>
          <w:sz w:val="28"/>
          <w:szCs w:val="28"/>
        </w:rPr>
        <w:t>一、投标函</w:t>
      </w:r>
    </w:p>
    <w:p w14:paraId="392EE7D7">
      <w:pPr>
        <w:spacing w:line="360" w:lineRule="auto"/>
        <w:rPr>
          <w:rFonts w:ascii="Times New Roman" w:hAnsi="Times New Roman"/>
          <w:color w:val="000000"/>
          <w:sz w:val="28"/>
          <w:szCs w:val="28"/>
        </w:rPr>
      </w:pPr>
      <w:r>
        <w:rPr>
          <w:rFonts w:hint="eastAsia" w:ascii="Times New Roman" w:hAnsi="Times New Roman"/>
          <w:color w:val="000000"/>
          <w:sz w:val="28"/>
          <w:szCs w:val="28"/>
        </w:rPr>
        <w:t>二、法人授权书</w:t>
      </w:r>
    </w:p>
    <w:p w14:paraId="2DACA32A">
      <w:pPr>
        <w:spacing w:line="360" w:lineRule="auto"/>
        <w:rPr>
          <w:rFonts w:ascii="Times New Roman" w:hAnsi="Times New Roman"/>
          <w:color w:val="000000"/>
          <w:sz w:val="28"/>
          <w:szCs w:val="28"/>
        </w:rPr>
      </w:pPr>
      <w:r>
        <w:rPr>
          <w:rFonts w:hint="eastAsia" w:ascii="Times New Roman" w:hAnsi="Times New Roman"/>
          <w:color w:val="000000"/>
          <w:sz w:val="28"/>
          <w:szCs w:val="28"/>
        </w:rPr>
        <w:t>三、开标一览表</w:t>
      </w:r>
    </w:p>
    <w:p w14:paraId="4C5E3F06">
      <w:pPr>
        <w:spacing w:line="360" w:lineRule="auto"/>
        <w:rPr>
          <w:rFonts w:ascii="Times New Roman" w:hAnsi="Times New Roman"/>
          <w:color w:val="000000"/>
          <w:sz w:val="28"/>
          <w:szCs w:val="28"/>
        </w:rPr>
      </w:pPr>
      <w:r>
        <w:rPr>
          <w:rFonts w:hint="eastAsia" w:ascii="Times New Roman" w:hAnsi="Times New Roman"/>
          <w:color w:val="000000"/>
          <w:sz w:val="28"/>
          <w:szCs w:val="28"/>
        </w:rPr>
        <w:t>四、分项报价表</w:t>
      </w:r>
    </w:p>
    <w:p w14:paraId="3320FD70">
      <w:pPr>
        <w:spacing w:line="360" w:lineRule="auto"/>
        <w:rPr>
          <w:rFonts w:ascii="Times New Roman" w:hAnsi="Times New Roman"/>
          <w:color w:val="000000"/>
          <w:sz w:val="28"/>
          <w:szCs w:val="28"/>
        </w:rPr>
      </w:pPr>
      <w:r>
        <w:rPr>
          <w:rFonts w:hint="eastAsia" w:ascii="Times New Roman" w:hAnsi="Times New Roman"/>
          <w:color w:val="000000"/>
          <w:sz w:val="28"/>
          <w:szCs w:val="28"/>
        </w:rPr>
        <w:t>五、中小企业或残疾人福利性单位声明函</w:t>
      </w:r>
    </w:p>
    <w:p w14:paraId="6BDFB969">
      <w:pPr>
        <w:spacing w:line="360" w:lineRule="auto"/>
        <w:rPr>
          <w:rFonts w:ascii="Times New Roman" w:hAnsi="Times New Roman"/>
          <w:color w:val="000000"/>
          <w:sz w:val="28"/>
          <w:szCs w:val="28"/>
        </w:rPr>
      </w:pPr>
      <w:r>
        <w:rPr>
          <w:rFonts w:hint="eastAsia" w:ascii="Times New Roman" w:hAnsi="Times New Roman"/>
          <w:color w:val="000000"/>
          <w:sz w:val="28"/>
          <w:szCs w:val="28"/>
        </w:rPr>
        <w:t>六、技术响应偏离表</w:t>
      </w:r>
    </w:p>
    <w:p w14:paraId="6812053C">
      <w:pPr>
        <w:spacing w:line="360" w:lineRule="auto"/>
        <w:rPr>
          <w:rFonts w:ascii="Times New Roman" w:hAnsi="Times New Roman"/>
          <w:color w:val="000000"/>
          <w:sz w:val="28"/>
          <w:szCs w:val="28"/>
        </w:rPr>
      </w:pPr>
      <w:r>
        <w:rPr>
          <w:rFonts w:hint="eastAsia" w:ascii="Times New Roman" w:hAnsi="Times New Roman"/>
          <w:color w:val="000000"/>
          <w:sz w:val="28"/>
          <w:szCs w:val="28"/>
        </w:rPr>
        <w:t>七、项目实施方案</w:t>
      </w:r>
    </w:p>
    <w:p w14:paraId="489AD914">
      <w:pPr>
        <w:spacing w:line="360" w:lineRule="auto"/>
        <w:rPr>
          <w:rFonts w:ascii="Times New Roman" w:hAnsi="Times New Roman"/>
          <w:color w:val="000000"/>
          <w:sz w:val="28"/>
          <w:szCs w:val="28"/>
        </w:rPr>
      </w:pPr>
      <w:r>
        <w:rPr>
          <w:rFonts w:hint="eastAsia" w:ascii="Times New Roman" w:hAnsi="Times New Roman"/>
          <w:color w:val="000000"/>
          <w:sz w:val="28"/>
          <w:szCs w:val="28"/>
        </w:rPr>
        <w:t>八、企业业绩</w:t>
      </w:r>
    </w:p>
    <w:p w14:paraId="1A41B5E8">
      <w:pPr>
        <w:spacing w:line="360" w:lineRule="auto"/>
        <w:rPr>
          <w:rFonts w:ascii="宋体" w:hAnsi="宋体" w:cs="宋体"/>
          <w:color w:val="000000"/>
          <w:sz w:val="28"/>
          <w:szCs w:val="28"/>
        </w:rPr>
      </w:pPr>
      <w:r>
        <w:rPr>
          <w:rFonts w:hint="eastAsia" w:ascii="Times New Roman" w:hAnsi="Times New Roman"/>
          <w:color w:val="000000"/>
          <w:sz w:val="28"/>
          <w:szCs w:val="28"/>
        </w:rPr>
        <w:t>九、投标所需其他材料</w:t>
      </w:r>
    </w:p>
    <w:p w14:paraId="069FE8D0">
      <w:pPr>
        <w:rPr>
          <w:color w:val="000000"/>
        </w:rPr>
      </w:pPr>
      <w:bookmarkStart w:id="160" w:name="_Toc20577"/>
      <w:bookmarkStart w:id="161" w:name="_Toc26005"/>
    </w:p>
    <w:p w14:paraId="275E69B2">
      <w:pPr>
        <w:rPr>
          <w:color w:val="000000"/>
        </w:rPr>
      </w:pPr>
    </w:p>
    <w:p w14:paraId="176D6AED">
      <w:pPr>
        <w:rPr>
          <w:color w:val="000000"/>
        </w:rPr>
      </w:pPr>
    </w:p>
    <w:p w14:paraId="29457D2E">
      <w:pPr>
        <w:rPr>
          <w:color w:val="000000"/>
        </w:rPr>
      </w:pPr>
    </w:p>
    <w:p w14:paraId="7B3D003C">
      <w:pPr>
        <w:rPr>
          <w:color w:val="000000"/>
        </w:rPr>
      </w:pPr>
    </w:p>
    <w:p w14:paraId="7A1D2855">
      <w:pPr>
        <w:rPr>
          <w:color w:val="000000"/>
        </w:rPr>
      </w:pPr>
    </w:p>
    <w:p w14:paraId="07B5E2E8">
      <w:pPr>
        <w:rPr>
          <w:color w:val="000000"/>
        </w:rPr>
      </w:pPr>
    </w:p>
    <w:p w14:paraId="626F023B">
      <w:pPr>
        <w:rPr>
          <w:color w:val="000000"/>
        </w:rPr>
      </w:pPr>
    </w:p>
    <w:p w14:paraId="60AA1D35">
      <w:pPr>
        <w:rPr>
          <w:color w:val="000000"/>
        </w:rPr>
      </w:pPr>
    </w:p>
    <w:p w14:paraId="27500924">
      <w:pPr>
        <w:rPr>
          <w:color w:val="000000"/>
        </w:rPr>
      </w:pPr>
    </w:p>
    <w:p w14:paraId="72FC8F3F">
      <w:pPr>
        <w:rPr>
          <w:color w:val="000000"/>
        </w:rPr>
      </w:pPr>
    </w:p>
    <w:p w14:paraId="7CB2E41E">
      <w:pPr>
        <w:rPr>
          <w:color w:val="000000"/>
        </w:rPr>
      </w:pPr>
    </w:p>
    <w:p w14:paraId="3468380A">
      <w:pPr>
        <w:rPr>
          <w:color w:val="000000"/>
        </w:rPr>
      </w:pPr>
    </w:p>
    <w:p w14:paraId="6BD2066E">
      <w:pPr>
        <w:rPr>
          <w:color w:val="000000"/>
        </w:rPr>
      </w:pPr>
    </w:p>
    <w:p w14:paraId="1BA7DF82">
      <w:pPr>
        <w:rPr>
          <w:color w:val="000000"/>
        </w:rPr>
      </w:pPr>
    </w:p>
    <w:p w14:paraId="49C18B88">
      <w:pPr>
        <w:rPr>
          <w:color w:val="000000"/>
        </w:rPr>
      </w:pPr>
    </w:p>
    <w:p w14:paraId="4B096898">
      <w:pPr>
        <w:rPr>
          <w:color w:val="000000"/>
        </w:rPr>
      </w:pPr>
    </w:p>
    <w:p w14:paraId="6A8754C0">
      <w:pPr>
        <w:rPr>
          <w:color w:val="000000"/>
        </w:rPr>
      </w:pPr>
    </w:p>
    <w:p w14:paraId="422DB685">
      <w:pPr>
        <w:rPr>
          <w:color w:val="000000"/>
        </w:rPr>
      </w:pPr>
    </w:p>
    <w:p w14:paraId="78222D59">
      <w:pPr>
        <w:rPr>
          <w:color w:val="000000"/>
        </w:rPr>
      </w:pPr>
    </w:p>
    <w:p w14:paraId="08F24C20">
      <w:pPr>
        <w:rPr>
          <w:color w:val="000000"/>
        </w:rPr>
      </w:pPr>
    </w:p>
    <w:p w14:paraId="149476B8">
      <w:pPr>
        <w:rPr>
          <w:color w:val="000000"/>
        </w:rPr>
      </w:pPr>
    </w:p>
    <w:p w14:paraId="4F330D7E">
      <w:pPr>
        <w:rPr>
          <w:color w:val="000000"/>
        </w:rPr>
      </w:pPr>
    </w:p>
    <w:p w14:paraId="0009E2DC">
      <w:pPr>
        <w:rPr>
          <w:color w:val="000000"/>
        </w:rPr>
      </w:pPr>
    </w:p>
    <w:bookmarkEnd w:id="160"/>
    <w:bookmarkEnd w:id="161"/>
    <w:p w14:paraId="1E4C1D71">
      <w:pPr>
        <w:rPr>
          <w:color w:val="000000"/>
        </w:rPr>
      </w:pPr>
    </w:p>
    <w:p w14:paraId="468E3BA4">
      <w:pPr>
        <w:rPr>
          <w:color w:val="000000"/>
        </w:rPr>
      </w:pPr>
    </w:p>
    <w:p w14:paraId="5C6A7F13">
      <w:pPr>
        <w:rPr>
          <w:color w:val="000000"/>
        </w:rPr>
      </w:pPr>
    </w:p>
    <w:p w14:paraId="11CAC3AE">
      <w:pPr>
        <w:rPr>
          <w:color w:val="000000"/>
        </w:rPr>
      </w:pPr>
    </w:p>
    <w:p w14:paraId="4DE9A81D">
      <w:pPr>
        <w:outlineLvl w:val="1"/>
        <w:rPr>
          <w:rFonts w:ascii="黑体" w:hAnsi="黑体" w:eastAsia="黑体" w:cs="黑体"/>
          <w:bCs/>
          <w:color w:val="000000"/>
          <w:sz w:val="32"/>
          <w:szCs w:val="24"/>
        </w:rPr>
      </w:pPr>
      <w:bookmarkStart w:id="162" w:name="_Toc8978"/>
      <w:r>
        <w:rPr>
          <w:rFonts w:hint="eastAsia" w:ascii="黑体" w:hAnsi="黑体" w:eastAsia="黑体" w:cs="黑体"/>
          <w:bCs/>
          <w:color w:val="000000"/>
          <w:sz w:val="32"/>
          <w:szCs w:val="24"/>
        </w:rPr>
        <w:t>一</w:t>
      </w:r>
      <w:r>
        <w:rPr>
          <w:rFonts w:ascii="黑体" w:hAnsi="黑体" w:eastAsia="黑体" w:cs="黑体"/>
          <w:bCs/>
          <w:color w:val="000000"/>
          <w:sz w:val="32"/>
          <w:szCs w:val="24"/>
        </w:rPr>
        <w:t>、投标函</w:t>
      </w:r>
      <w:bookmarkEnd w:id="162"/>
    </w:p>
    <w:p w14:paraId="1CCBB7C2">
      <w:pPr>
        <w:jc w:val="center"/>
        <w:rPr>
          <w:rFonts w:ascii="方正小标宋_GBK" w:eastAsia="方正小标宋_GBK"/>
          <w:bCs/>
          <w:color w:val="000000"/>
          <w:sz w:val="32"/>
          <w:szCs w:val="32"/>
        </w:rPr>
      </w:pPr>
    </w:p>
    <w:p w14:paraId="6C4F73BD">
      <w:pPr>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投标函</w:t>
      </w:r>
    </w:p>
    <w:p w14:paraId="5D6BF1F2">
      <w:pPr>
        <w:spacing w:line="500" w:lineRule="exact"/>
        <w:jc w:val="left"/>
        <w:rPr>
          <w:rFonts w:ascii="宋体" w:hAnsi="宋体"/>
          <w:color w:val="000000"/>
          <w:sz w:val="24"/>
          <w:szCs w:val="24"/>
          <w:u w:val="single"/>
        </w:rPr>
      </w:pPr>
      <w:r>
        <w:rPr>
          <w:rFonts w:hint="eastAsia" w:ascii="宋体" w:hAnsi="宋体"/>
          <w:color w:val="000000"/>
          <w:sz w:val="24"/>
          <w:szCs w:val="24"/>
          <w:u w:val="single"/>
        </w:rPr>
        <w:t>（采购单位名称）：</w:t>
      </w:r>
    </w:p>
    <w:p w14:paraId="14F5CBA8">
      <w:pPr>
        <w:spacing w:line="500" w:lineRule="exact"/>
        <w:ind w:firstLine="480"/>
        <w:jc w:val="left"/>
        <w:rPr>
          <w:rFonts w:ascii="宋体" w:hAnsi="宋体"/>
          <w:color w:val="000000"/>
          <w:sz w:val="24"/>
          <w:szCs w:val="24"/>
        </w:rPr>
      </w:pPr>
      <w:r>
        <w:rPr>
          <w:rFonts w:hint="eastAsia" w:ascii="宋体" w:hAnsi="宋体"/>
          <w:color w:val="000000"/>
          <w:sz w:val="24"/>
          <w:szCs w:val="24"/>
        </w:rPr>
        <w:t>根据已收到的项目编号为</w:t>
      </w:r>
      <w:r>
        <w:rPr>
          <w:rFonts w:hint="eastAsia" w:ascii="宋体" w:hAnsi="宋体"/>
          <w:color w:val="000000"/>
          <w:sz w:val="24"/>
          <w:szCs w:val="24"/>
          <w:u w:val="single"/>
        </w:rPr>
        <w:t>（项目编号）</w:t>
      </w:r>
      <w:r>
        <w:rPr>
          <w:rFonts w:hint="eastAsia" w:ascii="宋体" w:hAnsi="宋体"/>
          <w:color w:val="000000"/>
          <w:sz w:val="24"/>
          <w:szCs w:val="24"/>
        </w:rPr>
        <w:t>的</w:t>
      </w:r>
      <w:r>
        <w:rPr>
          <w:rFonts w:hint="eastAsia" w:ascii="宋体" w:hAnsi="宋体"/>
          <w:color w:val="000000"/>
          <w:sz w:val="24"/>
          <w:szCs w:val="24"/>
          <w:u w:val="single"/>
        </w:rPr>
        <w:t>（项目名称）</w:t>
      </w:r>
      <w:r>
        <w:rPr>
          <w:rFonts w:hint="eastAsia" w:ascii="宋体" w:hAnsi="宋体"/>
          <w:color w:val="000000"/>
          <w:sz w:val="24"/>
          <w:szCs w:val="24"/>
        </w:rPr>
        <w:t>的招标文件，我方在参加本项目招投标活动中，特作出如下承诺：</w:t>
      </w:r>
    </w:p>
    <w:p w14:paraId="5C272958">
      <w:pPr>
        <w:spacing w:line="500" w:lineRule="exact"/>
        <w:ind w:firstLine="480"/>
        <w:jc w:val="left"/>
        <w:rPr>
          <w:rFonts w:ascii="宋体" w:hAnsi="宋体"/>
          <w:color w:val="000000"/>
          <w:sz w:val="24"/>
        </w:rPr>
      </w:pPr>
      <w:r>
        <w:rPr>
          <w:rFonts w:hint="eastAsia" w:ascii="宋体" w:hAnsi="宋体"/>
          <w:color w:val="000000"/>
          <w:sz w:val="24"/>
          <w:szCs w:val="24"/>
        </w:rPr>
        <w:t>一、我方</w:t>
      </w:r>
      <w:r>
        <w:rPr>
          <w:rFonts w:ascii="宋体" w:hAnsi="宋体"/>
          <w:color w:val="000000"/>
          <w:sz w:val="24"/>
        </w:rPr>
        <w:t>具备《中华人民共和国政府采购法》第二十二条第一款规定的6项条件；</w:t>
      </w:r>
    </w:p>
    <w:p w14:paraId="4D5D886A">
      <w:pPr>
        <w:spacing w:line="500" w:lineRule="exact"/>
        <w:ind w:firstLine="480"/>
        <w:jc w:val="left"/>
        <w:rPr>
          <w:rFonts w:ascii="宋体" w:hAnsi="宋体"/>
          <w:color w:val="000000"/>
          <w:sz w:val="24"/>
          <w:szCs w:val="24"/>
        </w:rPr>
      </w:pPr>
      <w:r>
        <w:rPr>
          <w:rFonts w:hint="eastAsia" w:ascii="宋体" w:hAnsi="宋体"/>
          <w:color w:val="000000"/>
          <w:sz w:val="24"/>
          <w:szCs w:val="24"/>
        </w:rPr>
        <w:t>二、我方在参加政府采购活动前三年内（自本项目开标时间之日起计算），在经营活动中没有重大违法记录（指因违法经营受到刑事处罚或者责令停产停业、吊销许可证或者执照、较大数额罚款等行政处罚）。</w:t>
      </w:r>
    </w:p>
    <w:p w14:paraId="4748D6FB">
      <w:pPr>
        <w:spacing w:line="500" w:lineRule="exact"/>
        <w:ind w:firstLine="480"/>
        <w:jc w:val="left"/>
        <w:rPr>
          <w:rFonts w:ascii="宋体" w:hAnsi="宋体"/>
          <w:color w:val="000000"/>
          <w:sz w:val="24"/>
          <w:szCs w:val="24"/>
        </w:rPr>
      </w:pPr>
      <w:r>
        <w:rPr>
          <w:rFonts w:hint="eastAsia" w:ascii="宋体" w:hAnsi="宋体"/>
          <w:color w:val="000000"/>
          <w:sz w:val="24"/>
          <w:szCs w:val="24"/>
        </w:rPr>
        <w:t>三、我方按招标文件要求提交投标文件，响应招标文件规定的投标有效期；</w:t>
      </w:r>
    </w:p>
    <w:p w14:paraId="0CBA1C9C">
      <w:pPr>
        <w:spacing w:line="500" w:lineRule="exact"/>
        <w:ind w:firstLine="480"/>
        <w:jc w:val="left"/>
        <w:rPr>
          <w:rFonts w:ascii="宋体" w:hAnsi="宋体"/>
          <w:color w:val="000000"/>
          <w:sz w:val="24"/>
          <w:szCs w:val="24"/>
        </w:rPr>
      </w:pPr>
      <w:r>
        <w:rPr>
          <w:rFonts w:hint="eastAsia" w:ascii="宋体" w:hAnsi="宋体"/>
          <w:color w:val="000000"/>
          <w:sz w:val="24"/>
          <w:szCs w:val="24"/>
        </w:rPr>
        <w:t>四、如果我方的投标文件被接受，我方将按《中华人民共和国民法典（第三编合同）》及其他有关法律、法规的规定，按期、按质、按量交付采购单位，全面做到履约守信；</w:t>
      </w:r>
    </w:p>
    <w:p w14:paraId="3CABD13D">
      <w:pPr>
        <w:spacing w:line="500" w:lineRule="exact"/>
        <w:ind w:firstLine="480"/>
        <w:jc w:val="left"/>
        <w:rPr>
          <w:rFonts w:ascii="宋体" w:hAnsi="宋体"/>
          <w:color w:val="000000"/>
          <w:sz w:val="24"/>
          <w:szCs w:val="24"/>
        </w:rPr>
      </w:pPr>
      <w:r>
        <w:rPr>
          <w:rFonts w:hint="eastAsia" w:ascii="宋体" w:hAnsi="宋体"/>
          <w:color w:val="000000"/>
          <w:sz w:val="24"/>
          <w:szCs w:val="24"/>
        </w:rPr>
        <w:t>五、我方若违背本声明及承诺约定，经查实，自愿接受采购人及相关主管部门相应的规定处理，并依法承担相应的法律责任。</w:t>
      </w:r>
    </w:p>
    <w:p w14:paraId="47621149">
      <w:pPr>
        <w:spacing w:line="500" w:lineRule="exact"/>
        <w:ind w:firstLine="480"/>
        <w:jc w:val="left"/>
        <w:rPr>
          <w:rFonts w:ascii="宋体" w:hAnsi="宋体"/>
          <w:color w:val="000000"/>
          <w:sz w:val="24"/>
          <w:szCs w:val="24"/>
        </w:rPr>
      </w:pPr>
      <w:r>
        <w:rPr>
          <w:rFonts w:hint="eastAsia" w:ascii="宋体" w:hAnsi="宋体"/>
          <w:color w:val="000000"/>
          <w:sz w:val="24"/>
          <w:szCs w:val="24"/>
        </w:rPr>
        <w:t>六、我方同意采购人、采购代理机构将本函上网公开。</w:t>
      </w:r>
    </w:p>
    <w:p w14:paraId="4BF5B5A3">
      <w:pPr>
        <w:spacing w:line="500" w:lineRule="exact"/>
        <w:ind w:firstLine="480"/>
        <w:jc w:val="left"/>
        <w:rPr>
          <w:rFonts w:ascii="方正仿宋_GBK" w:eastAsia="方正仿宋_GBK"/>
          <w:color w:val="000000"/>
          <w:sz w:val="24"/>
          <w:szCs w:val="24"/>
        </w:rPr>
      </w:pPr>
    </w:p>
    <w:p w14:paraId="0B017EAF">
      <w:pPr>
        <w:spacing w:line="500" w:lineRule="exact"/>
        <w:jc w:val="left"/>
        <w:rPr>
          <w:rFonts w:ascii="宋体" w:hAnsi="宋体"/>
          <w:color w:val="000000"/>
          <w:sz w:val="24"/>
          <w:szCs w:val="24"/>
        </w:rPr>
      </w:pPr>
    </w:p>
    <w:p w14:paraId="560DF2FA">
      <w:pPr>
        <w:spacing w:line="500" w:lineRule="exact"/>
        <w:ind w:firstLine="480"/>
        <w:jc w:val="left"/>
        <w:rPr>
          <w:rFonts w:ascii="宋体" w:hAnsi="宋体"/>
          <w:color w:val="000000"/>
          <w:sz w:val="24"/>
          <w:szCs w:val="24"/>
        </w:rPr>
      </w:pPr>
      <w:r>
        <w:rPr>
          <w:rFonts w:hint="eastAsia" w:ascii="宋体" w:hAnsi="宋体"/>
          <w:color w:val="000000"/>
          <w:sz w:val="24"/>
          <w:szCs w:val="24"/>
        </w:rPr>
        <w:t>投标人名称： （盖CA电子公章）</w:t>
      </w:r>
    </w:p>
    <w:p w14:paraId="74818A3D">
      <w:pPr>
        <w:ind w:firstLine="480"/>
        <w:rPr>
          <w:rFonts w:ascii="宋体" w:hAnsi="宋体"/>
          <w:color w:val="000000"/>
          <w:sz w:val="24"/>
          <w:szCs w:val="24"/>
        </w:rPr>
      </w:pPr>
    </w:p>
    <w:p w14:paraId="2F74166B">
      <w:pPr>
        <w:ind w:firstLine="480"/>
        <w:rPr>
          <w:rFonts w:ascii="宋体" w:hAnsi="宋体"/>
          <w:color w:val="000000"/>
        </w:rPr>
      </w:pPr>
      <w:r>
        <w:rPr>
          <w:rFonts w:hint="eastAsia" w:ascii="宋体" w:hAnsi="宋体"/>
          <w:color w:val="000000"/>
          <w:sz w:val="24"/>
          <w:szCs w:val="24"/>
        </w:rPr>
        <w:t>日期：    年    月   日</w:t>
      </w:r>
    </w:p>
    <w:p w14:paraId="58F2F15E">
      <w:pPr>
        <w:rPr>
          <w:color w:val="000000"/>
        </w:rPr>
      </w:pPr>
    </w:p>
    <w:p w14:paraId="7EB4A65F">
      <w:pPr>
        <w:rPr>
          <w:color w:val="000000"/>
        </w:rPr>
      </w:pPr>
    </w:p>
    <w:p w14:paraId="3DE9E874">
      <w:pPr>
        <w:rPr>
          <w:color w:val="000000"/>
        </w:rPr>
      </w:pPr>
    </w:p>
    <w:p w14:paraId="25412747">
      <w:pPr>
        <w:rPr>
          <w:color w:val="000000"/>
        </w:rPr>
      </w:pPr>
    </w:p>
    <w:p w14:paraId="580F53A8">
      <w:pPr>
        <w:rPr>
          <w:color w:val="000000"/>
        </w:rPr>
      </w:pPr>
    </w:p>
    <w:p w14:paraId="64C04C2A">
      <w:pPr>
        <w:rPr>
          <w:color w:val="000000"/>
        </w:rPr>
      </w:pPr>
    </w:p>
    <w:p w14:paraId="5654BC25">
      <w:pPr>
        <w:rPr>
          <w:color w:val="000000"/>
        </w:rPr>
      </w:pPr>
    </w:p>
    <w:p w14:paraId="41A544E6">
      <w:pPr>
        <w:rPr>
          <w:color w:val="000000"/>
        </w:rPr>
      </w:pPr>
    </w:p>
    <w:p w14:paraId="393FC385">
      <w:pPr>
        <w:rPr>
          <w:color w:val="000000"/>
          <w:szCs w:val="24"/>
        </w:rPr>
      </w:pPr>
    </w:p>
    <w:p w14:paraId="62DE0C98">
      <w:pPr>
        <w:rPr>
          <w:color w:val="000000"/>
          <w:szCs w:val="24"/>
        </w:rPr>
      </w:pPr>
    </w:p>
    <w:p w14:paraId="16480E67">
      <w:pPr>
        <w:rPr>
          <w:color w:val="000000"/>
          <w:szCs w:val="24"/>
        </w:rPr>
      </w:pPr>
    </w:p>
    <w:p w14:paraId="1893D488">
      <w:pPr>
        <w:rPr>
          <w:color w:val="000000"/>
          <w:szCs w:val="24"/>
        </w:rPr>
      </w:pPr>
    </w:p>
    <w:p w14:paraId="6474CD52">
      <w:pPr>
        <w:outlineLvl w:val="1"/>
        <w:rPr>
          <w:rFonts w:ascii="黑体" w:hAnsi="黑体" w:eastAsia="黑体" w:cs="黑体"/>
          <w:bCs/>
          <w:color w:val="000000"/>
          <w:sz w:val="32"/>
          <w:szCs w:val="24"/>
        </w:rPr>
      </w:pPr>
      <w:bookmarkStart w:id="163" w:name="_Toc29506"/>
      <w:bookmarkStart w:id="164" w:name="_Toc3680"/>
      <w:bookmarkStart w:id="165" w:name="_Toc27409"/>
    </w:p>
    <w:p w14:paraId="1B23795F">
      <w:pPr>
        <w:outlineLvl w:val="1"/>
        <w:rPr>
          <w:color w:val="000000"/>
        </w:rPr>
      </w:pPr>
      <w:r>
        <w:rPr>
          <w:rFonts w:hint="eastAsia" w:ascii="黑体" w:hAnsi="黑体" w:eastAsia="黑体" w:cs="黑体"/>
          <w:bCs/>
          <w:color w:val="000000"/>
          <w:sz w:val="32"/>
          <w:szCs w:val="24"/>
        </w:rPr>
        <w:t>二、</w:t>
      </w:r>
      <w:bookmarkEnd w:id="163"/>
      <w:bookmarkEnd w:id="164"/>
      <w:r>
        <w:rPr>
          <w:rFonts w:hint="eastAsia" w:ascii="黑体" w:hAnsi="黑体" w:eastAsia="黑体" w:cs="黑体"/>
          <w:bCs/>
          <w:color w:val="000000"/>
          <w:sz w:val="32"/>
          <w:szCs w:val="24"/>
        </w:rPr>
        <w:t>法人授权书</w:t>
      </w:r>
      <w:bookmarkEnd w:id="165"/>
    </w:p>
    <w:p w14:paraId="3F532A5E">
      <w:pPr>
        <w:jc w:val="center"/>
        <w:rPr>
          <w:rFonts w:ascii="方正小标宋_GBK" w:eastAsia="方正小标宋_GBK"/>
          <w:bCs/>
          <w:color w:val="000000"/>
          <w:sz w:val="32"/>
          <w:szCs w:val="32"/>
        </w:rPr>
      </w:pPr>
      <w:bookmarkStart w:id="166" w:name="OLE_LINK6"/>
      <w:r>
        <w:rPr>
          <w:rFonts w:hint="eastAsia" w:ascii="方正小标宋_GBK" w:eastAsia="方正小标宋_GBK"/>
          <w:bCs/>
          <w:color w:val="000000"/>
          <w:sz w:val="32"/>
          <w:szCs w:val="32"/>
        </w:rPr>
        <w:t>法人授权书</w:t>
      </w:r>
      <w:bookmarkEnd w:id="166"/>
    </w:p>
    <w:p w14:paraId="20B190C6">
      <w:pPr>
        <w:spacing w:line="480" w:lineRule="exact"/>
        <w:ind w:firstLine="482"/>
        <w:rPr>
          <w:rFonts w:ascii="宋体" w:hAnsi="宋体"/>
          <w:color w:val="000000"/>
          <w:sz w:val="24"/>
          <w:szCs w:val="24"/>
        </w:rPr>
      </w:pPr>
      <w:r>
        <w:rPr>
          <w:rFonts w:hint="eastAsia" w:ascii="宋体" w:hAnsi="宋体"/>
          <w:color w:val="000000"/>
          <w:sz w:val="24"/>
          <w:szCs w:val="24"/>
        </w:rPr>
        <w:t>本授权书声明：____________（投标人名称）授权________________（被授权人的姓名）为我方就</w:t>
      </w:r>
      <w:r>
        <w:rPr>
          <w:rFonts w:hint="eastAsia" w:ascii="宋体" w:hAnsi="宋体"/>
          <w:color w:val="000000"/>
          <w:sz w:val="24"/>
          <w:szCs w:val="24"/>
          <w:u w:val="single"/>
        </w:rPr>
        <w:t>（项目编号）</w:t>
      </w:r>
      <w:r>
        <w:rPr>
          <w:rFonts w:hint="eastAsia" w:ascii="宋体" w:hAnsi="宋体"/>
          <w:color w:val="000000"/>
          <w:sz w:val="24"/>
          <w:szCs w:val="24"/>
        </w:rPr>
        <w:t>号</w:t>
      </w:r>
      <w:r>
        <w:rPr>
          <w:rFonts w:hint="eastAsia" w:ascii="宋体" w:hAnsi="宋体"/>
          <w:color w:val="000000"/>
          <w:sz w:val="24"/>
          <w:szCs w:val="24"/>
          <w:u w:val="single"/>
        </w:rPr>
        <w:t xml:space="preserve">          （项目名称）           项目</w:t>
      </w:r>
      <w:r>
        <w:rPr>
          <w:rFonts w:hint="eastAsia" w:ascii="宋体" w:hAnsi="宋体"/>
          <w:color w:val="000000"/>
          <w:sz w:val="24"/>
          <w:szCs w:val="24"/>
        </w:rPr>
        <w:t>采购活动的合法代理人，以本单位名义全权处理一切与该项目采购有关的事务。</w:t>
      </w:r>
    </w:p>
    <w:p w14:paraId="12467FD5">
      <w:pPr>
        <w:spacing w:line="480" w:lineRule="exact"/>
        <w:ind w:firstLine="482"/>
        <w:rPr>
          <w:rFonts w:ascii="宋体" w:hAnsi="宋体"/>
          <w:color w:val="000000"/>
          <w:sz w:val="24"/>
          <w:szCs w:val="24"/>
        </w:rPr>
      </w:pPr>
      <w:r>
        <w:rPr>
          <w:rFonts w:hint="eastAsia" w:ascii="宋体" w:hAnsi="宋体"/>
          <w:color w:val="000000"/>
          <w:sz w:val="24"/>
          <w:szCs w:val="24"/>
        </w:rPr>
        <w:t>本授权书于______年____月____日起生效，特此声明。</w:t>
      </w:r>
    </w:p>
    <w:p w14:paraId="2D7868DD">
      <w:pPr>
        <w:spacing w:line="480" w:lineRule="exact"/>
        <w:ind w:firstLine="482"/>
        <w:rPr>
          <w:rFonts w:ascii="Times New Roman" w:hAnsi="Times New Roman"/>
          <w:color w:val="000000"/>
          <w:sz w:val="24"/>
          <w:szCs w:val="24"/>
          <w:u w:val="single"/>
        </w:rPr>
      </w:pPr>
      <w:r>
        <w:rPr>
          <w:rFonts w:hint="eastAsia" w:ascii="Times New Roman" w:hAnsi="Times New Roman"/>
          <w:color w:val="000000"/>
          <w:sz w:val="24"/>
          <w:szCs w:val="24"/>
        </w:rPr>
        <w:t>被授权人身份证号码：</w:t>
      </w:r>
    </w:p>
    <w:p w14:paraId="6C1551BF">
      <w:pPr>
        <w:spacing w:line="480" w:lineRule="exact"/>
        <w:ind w:firstLine="482"/>
        <w:rPr>
          <w:rFonts w:ascii="宋体" w:hAnsi="宋体"/>
          <w:color w:val="000000"/>
          <w:sz w:val="24"/>
          <w:szCs w:val="24"/>
        </w:rPr>
      </w:pPr>
      <w:r>
        <w:rPr>
          <w:rFonts w:hint="eastAsia" w:ascii="Times New Roman" w:hAnsi="Times New Roman"/>
          <w:color w:val="000000"/>
          <w:sz w:val="24"/>
          <w:szCs w:val="24"/>
        </w:rPr>
        <w:t>被授权人联系电话：（手机）</w:t>
      </w:r>
    </w:p>
    <w:p w14:paraId="7E6D4E17">
      <w:pPr>
        <w:spacing w:line="480" w:lineRule="exact"/>
        <w:ind w:firstLine="482"/>
        <w:rPr>
          <w:rFonts w:ascii="宋体" w:hAnsi="宋体"/>
          <w:color w:val="000000"/>
          <w:sz w:val="24"/>
          <w:szCs w:val="24"/>
        </w:rPr>
      </w:pPr>
      <w:r>
        <w:rPr>
          <w:rFonts w:hint="eastAsia" w:ascii="Times New Roman" w:hAnsi="Times New Roman"/>
          <w:color w:val="000000"/>
          <w:sz w:val="24"/>
          <w:szCs w:val="24"/>
        </w:rPr>
        <w:t>授权单位名称：</w:t>
      </w:r>
      <w:r>
        <w:rPr>
          <w:rFonts w:hint="eastAsia" w:ascii="Times New Roman" w:hAnsi="Times New Roman"/>
          <w:color w:val="000000"/>
          <w:sz w:val="24"/>
          <w:szCs w:val="24"/>
          <w:u w:val="single"/>
        </w:rPr>
        <w:t>（盖CA电子公章）</w:t>
      </w:r>
    </w:p>
    <w:p w14:paraId="14C3772C">
      <w:pPr>
        <w:spacing w:line="480" w:lineRule="exact"/>
        <w:ind w:firstLine="482"/>
        <w:rPr>
          <w:rFonts w:ascii="宋体" w:hAnsi="宋体"/>
          <w:color w:val="000000"/>
          <w:sz w:val="24"/>
          <w:szCs w:val="24"/>
        </w:rPr>
      </w:pPr>
      <w:r>
        <w:rPr>
          <w:rFonts w:hint="eastAsia" w:ascii="Times New Roman" w:hAnsi="Times New Roman"/>
          <w:color w:val="000000"/>
          <w:sz w:val="24"/>
          <w:szCs w:val="24"/>
        </w:rPr>
        <w:t>单位地址：</w:t>
      </w:r>
    </w:p>
    <w:p w14:paraId="39EAF305">
      <w:pPr>
        <w:spacing w:line="480" w:lineRule="exact"/>
        <w:ind w:firstLine="482"/>
        <w:rPr>
          <w:rFonts w:ascii="宋体" w:hAnsi="宋体"/>
          <w:color w:val="000000"/>
          <w:sz w:val="24"/>
          <w:szCs w:val="24"/>
        </w:rPr>
      </w:pPr>
      <w:r>
        <w:rPr>
          <w:rFonts w:hint="eastAsia" w:ascii="Times New Roman" w:hAnsi="Times New Roman"/>
          <w:color w:val="000000"/>
          <w:sz w:val="24"/>
          <w:szCs w:val="24"/>
        </w:rPr>
        <w:t>日期：</w:t>
      </w:r>
      <w:bookmarkStart w:id="167" w:name="_格式3__银行出具的资信证明"/>
      <w:bookmarkEnd w:id="167"/>
      <w:bookmarkStart w:id="168" w:name="_Hlt26671380"/>
      <w:bookmarkEnd w:id="168"/>
      <w:bookmarkStart w:id="169" w:name="_Hlt26955070"/>
      <w:bookmarkEnd w:id="169"/>
    </w:p>
    <w:p w14:paraId="7F456CCA">
      <w:pPr>
        <w:spacing w:line="700" w:lineRule="exact"/>
        <w:ind w:firstLine="629"/>
        <w:rPr>
          <w:rFonts w:ascii="方正仿宋_GBK" w:hAnsi="Times New Roman" w:eastAsia="方正仿宋_GBK"/>
          <w:color w:val="000000"/>
          <w:sz w:val="24"/>
        </w:rPr>
      </w:pPr>
    </w:p>
    <w:p w14:paraId="20706C3F">
      <w:pPr>
        <w:outlineLvl w:val="1"/>
        <w:rPr>
          <w:rFonts w:ascii="黑体" w:hAnsi="黑体" w:eastAsia="黑体" w:cs="黑体"/>
          <w:b/>
          <w:color w:val="000000"/>
          <w:sz w:val="32"/>
          <w:szCs w:val="24"/>
        </w:rPr>
      </w:pPr>
      <w:r>
        <w:rPr>
          <w:rFonts w:ascii="黑体" w:hAnsi="黑体" w:eastAsia="黑体" w:cs="黑体"/>
          <w:b/>
          <w:color w:val="000000"/>
          <w:sz w:val="32"/>
          <w:szCs w:val="24"/>
        </w:rPr>
        <w:br w:type="page" w:clear="all"/>
      </w:r>
      <w:bookmarkStart w:id="170" w:name="_Toc30543"/>
      <w:bookmarkStart w:id="171" w:name="_Toc13550"/>
      <w:bookmarkStart w:id="172" w:name="_Toc27199"/>
      <w:r>
        <w:rPr>
          <w:rFonts w:hint="eastAsia" w:ascii="黑体" w:hAnsi="黑体" w:eastAsia="黑体" w:cs="黑体"/>
          <w:bCs/>
          <w:color w:val="000000"/>
          <w:sz w:val="32"/>
          <w:szCs w:val="24"/>
        </w:rPr>
        <w:t>三</w:t>
      </w:r>
      <w:r>
        <w:rPr>
          <w:rFonts w:ascii="黑体" w:hAnsi="黑体" w:eastAsia="黑体" w:cs="黑体"/>
          <w:bCs/>
          <w:color w:val="000000"/>
          <w:sz w:val="32"/>
          <w:szCs w:val="24"/>
        </w:rPr>
        <w:t>、开标一览表</w:t>
      </w:r>
      <w:bookmarkEnd w:id="170"/>
      <w:bookmarkEnd w:id="171"/>
      <w:bookmarkEnd w:id="172"/>
    </w:p>
    <w:p w14:paraId="2F8E469B">
      <w:pPr>
        <w:rPr>
          <w:rFonts w:ascii="宋体" w:hAnsi="宋体" w:cs="宋体"/>
          <w:color w:val="000000"/>
          <w:sz w:val="24"/>
          <w:szCs w:val="24"/>
        </w:rPr>
      </w:pPr>
    </w:p>
    <w:p w14:paraId="2691AFE7">
      <w:pPr>
        <w:rPr>
          <w:rFonts w:ascii="Times New Roman" w:hAnsi="Times New Roman" w:eastAsia="Times New Roman"/>
          <w:color w:val="000000"/>
          <w:sz w:val="24"/>
          <w:szCs w:val="24"/>
        </w:rPr>
      </w:pPr>
      <w:r>
        <w:rPr>
          <w:rFonts w:hint="eastAsia" w:ascii="宋体" w:hAnsi="宋体" w:cs="宋体"/>
          <w:color w:val="000000"/>
          <w:sz w:val="24"/>
          <w:szCs w:val="24"/>
        </w:rPr>
        <w:t>投标人全称</w:t>
      </w:r>
      <w:r>
        <w:rPr>
          <w:rFonts w:hint="eastAsia" w:ascii="Times New Roman" w:hAnsi="Times New Roman" w:eastAsia="Times New Roman"/>
          <w:color w:val="000000"/>
          <w:sz w:val="24"/>
          <w:szCs w:val="24"/>
        </w:rPr>
        <w:t>(CA</w:t>
      </w:r>
      <w:r>
        <w:rPr>
          <w:rFonts w:hint="eastAsia" w:ascii="宋体" w:hAnsi="宋体" w:cs="宋体"/>
          <w:color w:val="000000"/>
          <w:sz w:val="24"/>
          <w:szCs w:val="24"/>
        </w:rPr>
        <w:t>公章</w:t>
      </w:r>
      <w:r>
        <w:rPr>
          <w:rFonts w:hint="eastAsia" w:ascii="Times New Roman" w:hAnsi="Times New Roman" w:eastAsia="Times New Roman"/>
          <w:color w:val="000000"/>
          <w:sz w:val="24"/>
          <w:szCs w:val="24"/>
        </w:rPr>
        <w:t xml:space="preserve">) </w:t>
      </w:r>
      <w:r>
        <w:rPr>
          <w:rFonts w:hint="eastAsia" w:ascii="Times New Roman" w:hAnsi="Times New Roman"/>
          <w:color w:val="000000"/>
          <w:sz w:val="24"/>
          <w:szCs w:val="24"/>
        </w:rPr>
        <w:t>：</w:t>
      </w:r>
      <w:r>
        <w:rPr>
          <w:rFonts w:hint="eastAsia" w:ascii="宋体" w:hAnsi="宋体" w:cs="宋体"/>
          <w:color w:val="000000"/>
          <w:sz w:val="24"/>
          <w:szCs w:val="24"/>
        </w:rPr>
        <w:t>供应商名称</w:t>
      </w:r>
    </w:p>
    <w:p w14:paraId="27A9469E">
      <w:pPr>
        <w:spacing w:line="500" w:lineRule="exact"/>
        <w:rPr>
          <w:rFonts w:ascii="宋体" w:hAnsi="宋体" w:cs="宋体"/>
          <w:color w:val="000000"/>
          <w:sz w:val="24"/>
          <w:szCs w:val="24"/>
        </w:rPr>
      </w:pPr>
      <w:r>
        <w:rPr>
          <w:rFonts w:hint="eastAsia" w:ascii="宋体" w:hAnsi="宋体" w:cs="宋体"/>
          <w:color w:val="000000"/>
          <w:sz w:val="24"/>
          <w:szCs w:val="24"/>
        </w:rPr>
        <w:t>采购项目名称：</w:t>
      </w:r>
    </w:p>
    <w:p w14:paraId="30C3619F">
      <w:pPr>
        <w:spacing w:line="500" w:lineRule="exact"/>
        <w:rPr>
          <w:rFonts w:ascii="宋体" w:hAnsi="宋体" w:cs="宋体"/>
          <w:color w:val="000000"/>
          <w:sz w:val="24"/>
          <w:szCs w:val="24"/>
        </w:rPr>
      </w:pPr>
      <w:r>
        <w:rPr>
          <w:rFonts w:hint="eastAsia" w:ascii="宋体" w:hAnsi="宋体" w:cs="宋体"/>
          <w:color w:val="000000"/>
          <w:sz w:val="24"/>
          <w:szCs w:val="24"/>
        </w:rPr>
        <w:t xml:space="preserve">采购项目编号： </w:t>
      </w:r>
    </w:p>
    <w:p w14:paraId="27897DD8">
      <w:pPr>
        <w:spacing w:line="500" w:lineRule="exact"/>
        <w:rPr>
          <w:rFonts w:ascii="宋体" w:hAnsi="宋体" w:cs="宋体"/>
          <w:color w:val="000000"/>
          <w:sz w:val="24"/>
          <w:szCs w:val="24"/>
        </w:rPr>
      </w:pPr>
      <w:r>
        <w:rPr>
          <w:rFonts w:hint="eastAsia" w:ascii="宋体" w:hAnsi="宋体" w:cs="宋体"/>
          <w:color w:val="000000"/>
          <w:sz w:val="24"/>
          <w:szCs w:val="24"/>
        </w:rPr>
        <w:t xml:space="preserve"> 采购包号：</w:t>
      </w:r>
      <w:r>
        <w:rPr>
          <w:rFonts w:ascii="宋体" w:hAnsi="宋体" w:cs="宋体"/>
          <w:sz w:val="24"/>
          <w:szCs w:val="24"/>
        </w:rPr>
        <w:t>分包号 </w:t>
      </w:r>
    </w:p>
    <w:tbl>
      <w:tblPr>
        <w:tblStyle w:val="124"/>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400"/>
      </w:tblGrid>
      <w:tr w14:paraId="444A3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tcPr>
          <w:p w14:paraId="19D159D5">
            <w:pPr>
              <w:spacing w:line="500" w:lineRule="exact"/>
              <w:jc w:val="center"/>
              <w:rPr>
                <w:rFonts w:ascii="宋体" w:hAnsi="宋体" w:cs="宋体"/>
                <w:color w:val="000000"/>
                <w:sz w:val="24"/>
                <w:szCs w:val="24"/>
              </w:rPr>
            </w:pPr>
            <w:r>
              <w:rPr>
                <w:rFonts w:hint="eastAsia" w:ascii="宋体" w:hAnsi="宋体" w:cs="宋体"/>
                <w:color w:val="000000"/>
                <w:sz w:val="24"/>
                <w:szCs w:val="24"/>
              </w:rPr>
              <w:t>投标总报价</w:t>
            </w:r>
          </w:p>
        </w:tc>
      </w:tr>
      <w:tr w14:paraId="67F94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tcPr>
          <w:p w14:paraId="51223365">
            <w:pPr>
              <w:spacing w:line="500" w:lineRule="exact"/>
              <w:rPr>
                <w:rFonts w:ascii="宋体" w:hAnsi="宋体" w:cs="宋体"/>
                <w:color w:val="000000"/>
                <w:sz w:val="24"/>
                <w:szCs w:val="24"/>
              </w:rPr>
            </w:pPr>
            <w:r>
              <w:rPr>
                <w:rFonts w:hint="eastAsia" w:ascii="宋体" w:hAnsi="宋体" w:cs="宋体"/>
                <w:color w:val="000000"/>
                <w:sz w:val="24"/>
                <w:szCs w:val="24"/>
              </w:rPr>
              <w:t xml:space="preserve">总价（小写）：          </w:t>
            </w:r>
            <w:r>
              <w:rPr>
                <w:rFonts w:ascii="宋体" w:hAnsi="宋体" w:cs="宋体"/>
                <w:sz w:val="24"/>
                <w:szCs w:val="24"/>
              </w:rPr>
              <w:t>（人民币：元）</w:t>
            </w:r>
          </w:p>
        </w:tc>
      </w:tr>
      <w:tr w14:paraId="62B5E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tcPr>
          <w:p w14:paraId="45A569FC">
            <w:pPr>
              <w:spacing w:line="500" w:lineRule="exact"/>
              <w:rPr>
                <w:rFonts w:ascii="宋体" w:hAnsi="宋体" w:cs="宋体"/>
                <w:color w:val="000000"/>
                <w:sz w:val="24"/>
                <w:szCs w:val="24"/>
              </w:rPr>
            </w:pPr>
            <w:r>
              <w:rPr>
                <w:rFonts w:ascii="宋体" w:hAnsi="宋体" w:cs="宋体"/>
                <w:sz w:val="24"/>
                <w:szCs w:val="24"/>
              </w:rPr>
              <w:t>总价（大写）：金额大写 （人民币：元）</w:t>
            </w:r>
          </w:p>
        </w:tc>
      </w:tr>
    </w:tbl>
    <w:p w14:paraId="4526DAC6">
      <w:pPr>
        <w:spacing w:line="500" w:lineRule="exact"/>
        <w:rPr>
          <w:rFonts w:ascii="宋体" w:hAnsi="宋体" w:cs="宋体"/>
          <w:color w:val="000000"/>
          <w:sz w:val="24"/>
          <w:szCs w:val="24"/>
        </w:rPr>
      </w:pPr>
    </w:p>
    <w:p w14:paraId="5DE24246">
      <w:pPr>
        <w:rPr>
          <w:color w:val="000000"/>
        </w:rPr>
      </w:pPr>
    </w:p>
    <w:p w14:paraId="1D958858">
      <w:pPr>
        <w:rPr>
          <w:color w:val="000000"/>
        </w:rPr>
      </w:pPr>
    </w:p>
    <w:p w14:paraId="554F79FB">
      <w:pPr>
        <w:rPr>
          <w:color w:val="000000"/>
        </w:rPr>
      </w:pPr>
    </w:p>
    <w:p w14:paraId="1BD11B38">
      <w:pPr>
        <w:rPr>
          <w:rFonts w:ascii="宋体" w:hAnsi="宋体" w:cs="宋体"/>
          <w:color w:val="000000"/>
          <w:sz w:val="24"/>
        </w:rPr>
      </w:pPr>
      <w:bookmarkStart w:id="173" w:name="_Toc12113"/>
      <w:r>
        <w:rPr>
          <w:rFonts w:hint="eastAsia" w:ascii="宋体" w:hAnsi="宋体" w:cs="宋体"/>
          <w:color w:val="000000"/>
          <w:sz w:val="24"/>
        </w:rPr>
        <w:t>日期： 年 月 日</w:t>
      </w:r>
      <w:bookmarkEnd w:id="173"/>
    </w:p>
    <w:p w14:paraId="6CA2FC95">
      <w:pPr>
        <w:outlineLvl w:val="1"/>
        <w:rPr>
          <w:rFonts w:ascii="黑体" w:hAnsi="黑体" w:eastAsia="黑体" w:cs="黑体"/>
          <w:b/>
          <w:color w:val="000000"/>
          <w:sz w:val="32"/>
          <w:szCs w:val="24"/>
        </w:rPr>
      </w:pPr>
      <w:r>
        <w:rPr>
          <w:rFonts w:ascii="黑体" w:hAnsi="黑体" w:eastAsia="黑体" w:cs="黑体"/>
          <w:b/>
          <w:color w:val="000000"/>
          <w:sz w:val="32"/>
          <w:szCs w:val="24"/>
        </w:rPr>
        <w:br w:type="page" w:clear="all"/>
      </w:r>
      <w:bookmarkStart w:id="174" w:name="_Toc26543"/>
      <w:bookmarkStart w:id="175" w:name="_Toc956"/>
      <w:bookmarkStart w:id="176" w:name="_Toc12614"/>
      <w:r>
        <w:rPr>
          <w:rFonts w:hint="eastAsia" w:ascii="黑体" w:hAnsi="黑体" w:eastAsia="黑体" w:cs="黑体"/>
          <w:bCs/>
          <w:color w:val="000000"/>
          <w:sz w:val="32"/>
          <w:szCs w:val="24"/>
        </w:rPr>
        <w:t>四</w:t>
      </w:r>
      <w:r>
        <w:rPr>
          <w:rFonts w:ascii="黑体" w:hAnsi="黑体" w:eastAsia="黑体" w:cs="黑体"/>
          <w:bCs/>
          <w:color w:val="000000"/>
          <w:sz w:val="32"/>
          <w:szCs w:val="24"/>
        </w:rPr>
        <w:t>、</w:t>
      </w:r>
      <w:bookmarkEnd w:id="174"/>
      <w:bookmarkEnd w:id="175"/>
      <w:r>
        <w:rPr>
          <w:rFonts w:hint="eastAsia" w:ascii="黑体" w:hAnsi="黑体" w:eastAsia="黑体" w:cs="黑体"/>
          <w:bCs/>
          <w:color w:val="000000"/>
          <w:sz w:val="32"/>
          <w:szCs w:val="24"/>
        </w:rPr>
        <w:t>分项报价表</w:t>
      </w:r>
      <w:bookmarkEnd w:id="176"/>
    </w:p>
    <w:p w14:paraId="487F727E">
      <w:pPr>
        <w:jc w:val="center"/>
        <w:rPr>
          <w:rFonts w:ascii="方正小标宋_GBK" w:eastAsia="方正小标宋_GBK"/>
          <w:bCs/>
          <w:color w:val="000000"/>
          <w:sz w:val="32"/>
          <w:szCs w:val="32"/>
        </w:rPr>
      </w:pPr>
    </w:p>
    <w:p w14:paraId="64B2D619">
      <w:pPr>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分项报价表</w:t>
      </w:r>
    </w:p>
    <w:p w14:paraId="7616279A">
      <w:pPr>
        <w:jc w:val="center"/>
        <w:rPr>
          <w:b/>
          <w:bCs/>
          <w:color w:val="000000"/>
        </w:rPr>
      </w:pPr>
      <w:r>
        <w:rPr>
          <w:rFonts w:hint="eastAsia" w:ascii="方正小标宋_GBK" w:eastAsia="方正小标宋_GBK"/>
          <w:bCs/>
          <w:color w:val="000000"/>
          <w:sz w:val="32"/>
          <w:szCs w:val="32"/>
        </w:rPr>
        <w:t>（货物类）</w:t>
      </w:r>
    </w:p>
    <w:tbl>
      <w:tblPr>
        <w:tblStyle w:val="30"/>
        <w:tblW w:w="92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0"/>
        <w:gridCol w:w="1239"/>
        <w:gridCol w:w="878"/>
        <w:gridCol w:w="1061"/>
        <w:gridCol w:w="1037"/>
        <w:gridCol w:w="975"/>
        <w:gridCol w:w="891"/>
        <w:gridCol w:w="748"/>
        <w:gridCol w:w="833"/>
        <w:gridCol w:w="1115"/>
        <w:gridCol w:w="21"/>
      </w:tblGrid>
      <w:tr w14:paraId="2C6EF5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00" w:type="dxa"/>
            <w:noWrap/>
          </w:tcPr>
          <w:p w14:paraId="446EF5EA">
            <w:pPr>
              <w:spacing w:line="0" w:lineRule="atLeast"/>
              <w:jc w:val="center"/>
              <w:rPr>
                <w:rFonts w:ascii="宋体" w:hAnsi="宋体"/>
                <w:color w:val="000000"/>
                <w:sz w:val="24"/>
                <w:szCs w:val="24"/>
              </w:rPr>
            </w:pPr>
            <w:r>
              <w:rPr>
                <w:rFonts w:hint="eastAsia" w:ascii="宋体" w:hAnsi="宋体"/>
                <w:color w:val="000000"/>
                <w:sz w:val="24"/>
                <w:szCs w:val="24"/>
              </w:rPr>
              <w:t>序号</w:t>
            </w:r>
          </w:p>
        </w:tc>
        <w:tc>
          <w:tcPr>
            <w:tcW w:w="1239" w:type="dxa"/>
            <w:noWrap/>
            <w:vAlign w:val="center"/>
          </w:tcPr>
          <w:p w14:paraId="5047C49C">
            <w:pPr>
              <w:spacing w:line="0" w:lineRule="atLeast"/>
              <w:jc w:val="center"/>
              <w:rPr>
                <w:rFonts w:ascii="宋体" w:hAnsi="宋体"/>
                <w:color w:val="000000"/>
                <w:sz w:val="24"/>
                <w:szCs w:val="24"/>
              </w:rPr>
            </w:pPr>
            <w:r>
              <w:rPr>
                <w:rFonts w:hint="eastAsia" w:ascii="宋体" w:hAnsi="宋体"/>
                <w:color w:val="000000"/>
                <w:sz w:val="24"/>
                <w:szCs w:val="24"/>
              </w:rPr>
              <w:t>产品</w:t>
            </w:r>
          </w:p>
          <w:p w14:paraId="0CE9C859">
            <w:pPr>
              <w:spacing w:line="0" w:lineRule="atLeast"/>
              <w:jc w:val="center"/>
              <w:rPr>
                <w:rFonts w:ascii="宋体" w:hAnsi="宋体"/>
                <w:color w:val="000000"/>
                <w:sz w:val="24"/>
                <w:szCs w:val="24"/>
              </w:rPr>
            </w:pPr>
            <w:r>
              <w:rPr>
                <w:rFonts w:hint="eastAsia" w:ascii="宋体" w:hAnsi="宋体"/>
                <w:color w:val="000000"/>
                <w:sz w:val="24"/>
                <w:szCs w:val="24"/>
              </w:rPr>
              <w:t>名称</w:t>
            </w:r>
          </w:p>
        </w:tc>
        <w:tc>
          <w:tcPr>
            <w:tcW w:w="878" w:type="dxa"/>
            <w:noWrap/>
            <w:vAlign w:val="center"/>
          </w:tcPr>
          <w:p w14:paraId="4D50B7A1">
            <w:pPr>
              <w:spacing w:line="0" w:lineRule="atLeast"/>
              <w:jc w:val="center"/>
              <w:rPr>
                <w:rFonts w:ascii="宋体" w:hAnsi="宋体"/>
                <w:color w:val="000000"/>
                <w:sz w:val="24"/>
                <w:szCs w:val="24"/>
              </w:rPr>
            </w:pPr>
            <w:r>
              <w:rPr>
                <w:rFonts w:hint="eastAsia" w:ascii="宋体" w:hAnsi="宋体"/>
                <w:color w:val="000000"/>
                <w:sz w:val="24"/>
                <w:szCs w:val="24"/>
              </w:rPr>
              <w:t>品牌</w:t>
            </w:r>
          </w:p>
        </w:tc>
        <w:tc>
          <w:tcPr>
            <w:tcW w:w="1061" w:type="dxa"/>
            <w:noWrap/>
            <w:vAlign w:val="center"/>
          </w:tcPr>
          <w:p w14:paraId="74A7154F">
            <w:pPr>
              <w:spacing w:line="0" w:lineRule="atLeast"/>
              <w:jc w:val="center"/>
              <w:rPr>
                <w:rFonts w:ascii="宋体" w:hAnsi="宋体"/>
                <w:color w:val="000000"/>
                <w:sz w:val="24"/>
                <w:szCs w:val="24"/>
              </w:rPr>
            </w:pPr>
            <w:r>
              <w:rPr>
                <w:rFonts w:hint="eastAsia" w:ascii="宋体" w:hAnsi="宋体"/>
                <w:color w:val="000000"/>
                <w:sz w:val="24"/>
                <w:szCs w:val="24"/>
              </w:rPr>
              <w:t>规格</w:t>
            </w:r>
          </w:p>
          <w:p w14:paraId="28052F5B">
            <w:pPr>
              <w:spacing w:line="0" w:lineRule="atLeast"/>
              <w:jc w:val="center"/>
              <w:rPr>
                <w:rFonts w:ascii="宋体" w:hAnsi="宋体"/>
                <w:color w:val="000000"/>
                <w:sz w:val="24"/>
                <w:szCs w:val="24"/>
              </w:rPr>
            </w:pPr>
            <w:r>
              <w:rPr>
                <w:rFonts w:hint="eastAsia" w:ascii="宋体" w:hAnsi="宋体"/>
                <w:color w:val="000000"/>
                <w:sz w:val="24"/>
                <w:szCs w:val="24"/>
              </w:rPr>
              <w:t>型号</w:t>
            </w:r>
          </w:p>
        </w:tc>
        <w:tc>
          <w:tcPr>
            <w:tcW w:w="1037" w:type="dxa"/>
            <w:noWrap/>
            <w:vAlign w:val="center"/>
          </w:tcPr>
          <w:p w14:paraId="3D04FA46">
            <w:pPr>
              <w:spacing w:line="0" w:lineRule="atLeast"/>
              <w:jc w:val="center"/>
              <w:rPr>
                <w:rFonts w:ascii="宋体" w:hAnsi="宋体"/>
                <w:color w:val="000000"/>
                <w:sz w:val="24"/>
                <w:szCs w:val="24"/>
              </w:rPr>
            </w:pPr>
            <w:r>
              <w:rPr>
                <w:rFonts w:hint="eastAsia" w:ascii="宋体" w:hAnsi="宋体"/>
                <w:color w:val="000000" w:themeColor="text1"/>
                <w:sz w:val="24"/>
                <w:szCs w:val="24"/>
              </w:rPr>
              <w:t>产地</w:t>
            </w:r>
          </w:p>
        </w:tc>
        <w:tc>
          <w:tcPr>
            <w:tcW w:w="975" w:type="dxa"/>
            <w:noWrap/>
            <w:vAlign w:val="center"/>
          </w:tcPr>
          <w:p w14:paraId="45EBDD08">
            <w:pPr>
              <w:spacing w:line="0" w:lineRule="atLeast"/>
              <w:jc w:val="center"/>
              <w:rPr>
                <w:rFonts w:ascii="宋体" w:hAnsi="宋体"/>
                <w:color w:val="000000"/>
                <w:sz w:val="24"/>
                <w:szCs w:val="24"/>
              </w:rPr>
            </w:pPr>
            <w:r>
              <w:rPr>
                <w:rFonts w:hint="eastAsia" w:ascii="宋体" w:hAnsi="宋体"/>
                <w:color w:val="000000"/>
                <w:sz w:val="24"/>
                <w:szCs w:val="24"/>
              </w:rPr>
              <w:t>交付期</w:t>
            </w:r>
          </w:p>
        </w:tc>
        <w:tc>
          <w:tcPr>
            <w:tcW w:w="891" w:type="dxa"/>
            <w:noWrap/>
            <w:vAlign w:val="center"/>
          </w:tcPr>
          <w:p w14:paraId="270E1E6C">
            <w:pPr>
              <w:spacing w:line="0" w:lineRule="atLeast"/>
              <w:jc w:val="center"/>
              <w:rPr>
                <w:rFonts w:ascii="宋体" w:hAnsi="宋体"/>
                <w:color w:val="000000"/>
                <w:sz w:val="24"/>
                <w:szCs w:val="24"/>
              </w:rPr>
            </w:pPr>
            <w:r>
              <w:rPr>
                <w:rFonts w:hint="eastAsia" w:ascii="宋体" w:hAnsi="宋体"/>
                <w:color w:val="000000"/>
                <w:sz w:val="24"/>
                <w:szCs w:val="24"/>
              </w:rPr>
              <w:t>数量</w:t>
            </w:r>
          </w:p>
        </w:tc>
        <w:tc>
          <w:tcPr>
            <w:tcW w:w="748" w:type="dxa"/>
            <w:noWrap/>
            <w:vAlign w:val="center"/>
          </w:tcPr>
          <w:p w14:paraId="2A7C27F6">
            <w:pPr>
              <w:spacing w:line="0" w:lineRule="atLeast"/>
              <w:jc w:val="center"/>
              <w:rPr>
                <w:rFonts w:ascii="宋体" w:hAnsi="宋体"/>
                <w:color w:val="000000"/>
                <w:sz w:val="24"/>
                <w:szCs w:val="24"/>
              </w:rPr>
            </w:pPr>
            <w:r>
              <w:rPr>
                <w:rFonts w:hint="eastAsia" w:ascii="宋体" w:hAnsi="宋体"/>
                <w:color w:val="000000"/>
                <w:sz w:val="24"/>
                <w:szCs w:val="24"/>
              </w:rPr>
              <w:t>单位</w:t>
            </w:r>
          </w:p>
        </w:tc>
        <w:tc>
          <w:tcPr>
            <w:tcW w:w="833" w:type="dxa"/>
            <w:noWrap/>
            <w:vAlign w:val="center"/>
          </w:tcPr>
          <w:p w14:paraId="1663051A">
            <w:pPr>
              <w:spacing w:line="0" w:lineRule="atLeast"/>
              <w:jc w:val="center"/>
              <w:rPr>
                <w:rFonts w:ascii="宋体" w:hAnsi="宋体"/>
                <w:color w:val="000000"/>
                <w:sz w:val="24"/>
                <w:szCs w:val="24"/>
              </w:rPr>
            </w:pPr>
            <w:r>
              <w:rPr>
                <w:rFonts w:hint="eastAsia" w:ascii="宋体" w:hAnsi="宋体"/>
                <w:color w:val="000000"/>
                <w:sz w:val="24"/>
                <w:szCs w:val="24"/>
              </w:rPr>
              <w:t>分项</w:t>
            </w:r>
          </w:p>
          <w:p w14:paraId="28306420">
            <w:pPr>
              <w:spacing w:line="0" w:lineRule="atLeast"/>
              <w:jc w:val="center"/>
              <w:rPr>
                <w:rFonts w:ascii="宋体" w:hAnsi="宋体"/>
                <w:color w:val="000000"/>
                <w:sz w:val="24"/>
                <w:szCs w:val="24"/>
              </w:rPr>
            </w:pPr>
            <w:r>
              <w:rPr>
                <w:rFonts w:hint="eastAsia" w:ascii="宋体" w:hAnsi="宋体"/>
                <w:color w:val="000000"/>
                <w:sz w:val="24"/>
                <w:szCs w:val="24"/>
              </w:rPr>
              <w:t>单价</w:t>
            </w:r>
          </w:p>
        </w:tc>
        <w:tc>
          <w:tcPr>
            <w:tcW w:w="1136" w:type="dxa"/>
            <w:gridSpan w:val="2"/>
            <w:noWrap/>
            <w:vAlign w:val="center"/>
          </w:tcPr>
          <w:p w14:paraId="17149DD0">
            <w:pPr>
              <w:spacing w:line="0" w:lineRule="atLeast"/>
              <w:jc w:val="center"/>
              <w:rPr>
                <w:rFonts w:ascii="宋体" w:hAnsi="宋体"/>
                <w:color w:val="000000"/>
                <w:sz w:val="24"/>
                <w:szCs w:val="24"/>
              </w:rPr>
            </w:pPr>
            <w:r>
              <w:rPr>
                <w:rFonts w:hint="eastAsia" w:ascii="宋体" w:hAnsi="宋体"/>
                <w:color w:val="000000"/>
                <w:sz w:val="24"/>
                <w:szCs w:val="24"/>
              </w:rPr>
              <w:t>分项</w:t>
            </w:r>
          </w:p>
          <w:p w14:paraId="1885FB72">
            <w:pPr>
              <w:spacing w:line="0" w:lineRule="atLeast"/>
              <w:jc w:val="center"/>
              <w:rPr>
                <w:rFonts w:ascii="宋体" w:hAnsi="宋体"/>
                <w:color w:val="000000"/>
                <w:sz w:val="24"/>
                <w:szCs w:val="24"/>
              </w:rPr>
            </w:pPr>
            <w:r>
              <w:rPr>
                <w:rFonts w:hint="eastAsia" w:ascii="宋体" w:hAnsi="宋体"/>
                <w:color w:val="000000"/>
                <w:sz w:val="24"/>
                <w:szCs w:val="24"/>
              </w:rPr>
              <w:t>总价</w:t>
            </w:r>
          </w:p>
        </w:tc>
      </w:tr>
      <w:tr w14:paraId="7276B2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8" w:hRule="atLeast"/>
        </w:trPr>
        <w:tc>
          <w:tcPr>
            <w:tcW w:w="500" w:type="dxa"/>
            <w:noWrap/>
            <w:vAlign w:val="center"/>
          </w:tcPr>
          <w:p w14:paraId="5C48287F">
            <w:pPr>
              <w:spacing w:line="0" w:lineRule="atLeast"/>
              <w:jc w:val="center"/>
              <w:rPr>
                <w:rFonts w:ascii="宋体" w:hAnsi="宋体"/>
                <w:color w:val="000000"/>
                <w:sz w:val="24"/>
                <w:szCs w:val="24"/>
              </w:rPr>
            </w:pPr>
            <w:r>
              <w:rPr>
                <w:rFonts w:hint="eastAsia" w:ascii="宋体" w:hAnsi="宋体"/>
                <w:color w:val="000000"/>
                <w:sz w:val="24"/>
                <w:szCs w:val="24"/>
              </w:rPr>
              <w:t>1</w:t>
            </w:r>
          </w:p>
        </w:tc>
        <w:tc>
          <w:tcPr>
            <w:tcW w:w="1239" w:type="dxa"/>
            <w:noWrap/>
            <w:vAlign w:val="center"/>
          </w:tcPr>
          <w:p w14:paraId="26DD7B8B">
            <w:pPr>
              <w:spacing w:line="0" w:lineRule="atLeast"/>
              <w:jc w:val="center"/>
              <w:rPr>
                <w:rFonts w:ascii="宋体" w:hAnsi="宋体"/>
                <w:color w:val="000000"/>
                <w:sz w:val="24"/>
                <w:szCs w:val="24"/>
              </w:rPr>
            </w:pPr>
          </w:p>
        </w:tc>
        <w:tc>
          <w:tcPr>
            <w:tcW w:w="878" w:type="dxa"/>
            <w:noWrap/>
            <w:vAlign w:val="center"/>
          </w:tcPr>
          <w:p w14:paraId="5D57FFAB">
            <w:pPr>
              <w:spacing w:line="0" w:lineRule="atLeast"/>
              <w:jc w:val="center"/>
              <w:rPr>
                <w:rFonts w:ascii="宋体" w:hAnsi="宋体"/>
                <w:color w:val="000000"/>
                <w:sz w:val="24"/>
                <w:szCs w:val="24"/>
              </w:rPr>
            </w:pPr>
          </w:p>
        </w:tc>
        <w:tc>
          <w:tcPr>
            <w:tcW w:w="1061" w:type="dxa"/>
            <w:noWrap/>
            <w:vAlign w:val="center"/>
          </w:tcPr>
          <w:p w14:paraId="6319E835">
            <w:pPr>
              <w:spacing w:line="0" w:lineRule="atLeast"/>
              <w:jc w:val="center"/>
              <w:rPr>
                <w:rFonts w:ascii="宋体" w:hAnsi="宋体"/>
                <w:color w:val="000000"/>
                <w:sz w:val="24"/>
                <w:szCs w:val="24"/>
              </w:rPr>
            </w:pPr>
          </w:p>
        </w:tc>
        <w:tc>
          <w:tcPr>
            <w:tcW w:w="1037" w:type="dxa"/>
            <w:noWrap/>
            <w:vAlign w:val="center"/>
          </w:tcPr>
          <w:p w14:paraId="21AE7BFB">
            <w:pPr>
              <w:spacing w:line="0" w:lineRule="atLeast"/>
              <w:jc w:val="center"/>
              <w:rPr>
                <w:rFonts w:ascii="宋体" w:hAnsi="宋体"/>
                <w:color w:val="000000"/>
                <w:sz w:val="24"/>
                <w:szCs w:val="24"/>
              </w:rPr>
            </w:pPr>
          </w:p>
        </w:tc>
        <w:tc>
          <w:tcPr>
            <w:tcW w:w="975" w:type="dxa"/>
            <w:noWrap/>
            <w:vAlign w:val="center"/>
          </w:tcPr>
          <w:p w14:paraId="0E0FF763">
            <w:pPr>
              <w:spacing w:line="0" w:lineRule="atLeast"/>
              <w:jc w:val="center"/>
              <w:rPr>
                <w:rFonts w:ascii="宋体" w:hAnsi="宋体"/>
                <w:color w:val="000000"/>
                <w:sz w:val="24"/>
                <w:szCs w:val="24"/>
              </w:rPr>
            </w:pPr>
          </w:p>
        </w:tc>
        <w:tc>
          <w:tcPr>
            <w:tcW w:w="891" w:type="dxa"/>
            <w:noWrap/>
            <w:vAlign w:val="center"/>
          </w:tcPr>
          <w:p w14:paraId="07DB921F">
            <w:pPr>
              <w:spacing w:line="0" w:lineRule="atLeast"/>
              <w:jc w:val="center"/>
              <w:rPr>
                <w:rFonts w:ascii="宋体" w:hAnsi="宋体"/>
                <w:color w:val="000000"/>
                <w:sz w:val="24"/>
                <w:szCs w:val="24"/>
              </w:rPr>
            </w:pPr>
          </w:p>
        </w:tc>
        <w:tc>
          <w:tcPr>
            <w:tcW w:w="748" w:type="dxa"/>
            <w:noWrap/>
            <w:vAlign w:val="center"/>
          </w:tcPr>
          <w:p w14:paraId="4C44EC4A">
            <w:pPr>
              <w:spacing w:line="0" w:lineRule="atLeast"/>
              <w:jc w:val="center"/>
              <w:rPr>
                <w:rFonts w:ascii="宋体" w:hAnsi="宋体"/>
                <w:color w:val="000000"/>
                <w:sz w:val="24"/>
                <w:szCs w:val="24"/>
              </w:rPr>
            </w:pPr>
          </w:p>
        </w:tc>
        <w:tc>
          <w:tcPr>
            <w:tcW w:w="833" w:type="dxa"/>
            <w:noWrap/>
            <w:vAlign w:val="center"/>
          </w:tcPr>
          <w:p w14:paraId="1915B27D">
            <w:pPr>
              <w:spacing w:line="0" w:lineRule="atLeast"/>
              <w:jc w:val="center"/>
              <w:rPr>
                <w:rFonts w:ascii="宋体" w:hAnsi="宋体"/>
                <w:color w:val="000000"/>
                <w:sz w:val="24"/>
                <w:szCs w:val="24"/>
              </w:rPr>
            </w:pPr>
          </w:p>
        </w:tc>
        <w:tc>
          <w:tcPr>
            <w:tcW w:w="1136" w:type="dxa"/>
            <w:gridSpan w:val="2"/>
            <w:noWrap/>
            <w:vAlign w:val="center"/>
          </w:tcPr>
          <w:p w14:paraId="103F1F4D">
            <w:pPr>
              <w:spacing w:line="0" w:lineRule="atLeast"/>
              <w:jc w:val="center"/>
              <w:rPr>
                <w:rFonts w:ascii="宋体" w:hAnsi="宋体"/>
                <w:color w:val="000000"/>
                <w:sz w:val="24"/>
                <w:szCs w:val="24"/>
              </w:rPr>
            </w:pPr>
          </w:p>
        </w:tc>
      </w:tr>
      <w:tr w14:paraId="022840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96" w:hRule="atLeast"/>
        </w:trPr>
        <w:tc>
          <w:tcPr>
            <w:tcW w:w="500" w:type="dxa"/>
            <w:noWrap/>
            <w:vAlign w:val="center"/>
          </w:tcPr>
          <w:p w14:paraId="1A320052">
            <w:pPr>
              <w:spacing w:line="0" w:lineRule="atLeast"/>
              <w:jc w:val="center"/>
              <w:rPr>
                <w:rFonts w:ascii="宋体" w:hAnsi="宋体"/>
                <w:color w:val="000000"/>
                <w:sz w:val="24"/>
                <w:szCs w:val="24"/>
              </w:rPr>
            </w:pPr>
            <w:r>
              <w:rPr>
                <w:rFonts w:hint="eastAsia" w:ascii="宋体" w:hAnsi="宋体"/>
                <w:color w:val="000000"/>
                <w:sz w:val="24"/>
                <w:szCs w:val="24"/>
              </w:rPr>
              <w:t>2</w:t>
            </w:r>
          </w:p>
        </w:tc>
        <w:tc>
          <w:tcPr>
            <w:tcW w:w="1239" w:type="dxa"/>
            <w:noWrap/>
            <w:vAlign w:val="center"/>
          </w:tcPr>
          <w:p w14:paraId="6A36434C">
            <w:pPr>
              <w:spacing w:line="0" w:lineRule="atLeast"/>
              <w:jc w:val="center"/>
              <w:rPr>
                <w:rFonts w:ascii="宋体" w:hAnsi="宋体"/>
                <w:color w:val="000000"/>
                <w:sz w:val="24"/>
                <w:szCs w:val="24"/>
              </w:rPr>
            </w:pPr>
          </w:p>
        </w:tc>
        <w:tc>
          <w:tcPr>
            <w:tcW w:w="878" w:type="dxa"/>
            <w:noWrap/>
            <w:vAlign w:val="center"/>
          </w:tcPr>
          <w:p w14:paraId="6E1EF665">
            <w:pPr>
              <w:spacing w:line="0" w:lineRule="atLeast"/>
              <w:jc w:val="center"/>
              <w:rPr>
                <w:rFonts w:ascii="宋体" w:hAnsi="宋体"/>
                <w:color w:val="000000"/>
                <w:sz w:val="24"/>
                <w:szCs w:val="24"/>
              </w:rPr>
            </w:pPr>
          </w:p>
        </w:tc>
        <w:tc>
          <w:tcPr>
            <w:tcW w:w="1061" w:type="dxa"/>
            <w:noWrap/>
            <w:vAlign w:val="center"/>
          </w:tcPr>
          <w:p w14:paraId="5E40ADEA">
            <w:pPr>
              <w:spacing w:line="0" w:lineRule="atLeast"/>
              <w:jc w:val="center"/>
              <w:rPr>
                <w:rFonts w:ascii="宋体" w:hAnsi="宋体"/>
                <w:color w:val="000000"/>
                <w:sz w:val="24"/>
                <w:szCs w:val="24"/>
              </w:rPr>
            </w:pPr>
          </w:p>
        </w:tc>
        <w:tc>
          <w:tcPr>
            <w:tcW w:w="1037" w:type="dxa"/>
            <w:noWrap/>
            <w:vAlign w:val="center"/>
          </w:tcPr>
          <w:p w14:paraId="11CFD512">
            <w:pPr>
              <w:spacing w:line="0" w:lineRule="atLeast"/>
              <w:jc w:val="center"/>
              <w:rPr>
                <w:rFonts w:ascii="宋体" w:hAnsi="宋体"/>
                <w:color w:val="000000"/>
                <w:sz w:val="24"/>
                <w:szCs w:val="24"/>
              </w:rPr>
            </w:pPr>
          </w:p>
        </w:tc>
        <w:tc>
          <w:tcPr>
            <w:tcW w:w="975" w:type="dxa"/>
            <w:noWrap/>
          </w:tcPr>
          <w:p w14:paraId="7F46F873">
            <w:pPr>
              <w:spacing w:line="0" w:lineRule="atLeast"/>
              <w:jc w:val="center"/>
              <w:rPr>
                <w:rFonts w:ascii="宋体" w:hAnsi="宋体"/>
                <w:color w:val="000000"/>
                <w:sz w:val="24"/>
                <w:szCs w:val="24"/>
              </w:rPr>
            </w:pPr>
          </w:p>
        </w:tc>
        <w:tc>
          <w:tcPr>
            <w:tcW w:w="891" w:type="dxa"/>
            <w:noWrap/>
            <w:vAlign w:val="center"/>
          </w:tcPr>
          <w:p w14:paraId="0E721B96">
            <w:pPr>
              <w:spacing w:line="0" w:lineRule="atLeast"/>
              <w:jc w:val="center"/>
              <w:rPr>
                <w:rFonts w:ascii="宋体" w:hAnsi="宋体"/>
                <w:color w:val="000000"/>
                <w:sz w:val="24"/>
                <w:szCs w:val="24"/>
                <w:u w:val="single"/>
              </w:rPr>
            </w:pPr>
          </w:p>
        </w:tc>
        <w:tc>
          <w:tcPr>
            <w:tcW w:w="748" w:type="dxa"/>
            <w:noWrap/>
            <w:vAlign w:val="center"/>
          </w:tcPr>
          <w:p w14:paraId="26FB349F">
            <w:pPr>
              <w:spacing w:line="0" w:lineRule="atLeast"/>
              <w:jc w:val="center"/>
              <w:rPr>
                <w:rFonts w:ascii="宋体" w:hAnsi="宋体"/>
                <w:color w:val="000000"/>
                <w:sz w:val="24"/>
                <w:szCs w:val="24"/>
                <w:u w:val="single"/>
              </w:rPr>
            </w:pPr>
          </w:p>
        </w:tc>
        <w:tc>
          <w:tcPr>
            <w:tcW w:w="833" w:type="dxa"/>
            <w:noWrap/>
            <w:vAlign w:val="center"/>
          </w:tcPr>
          <w:p w14:paraId="7E8204C4">
            <w:pPr>
              <w:spacing w:line="0" w:lineRule="atLeast"/>
              <w:jc w:val="center"/>
              <w:rPr>
                <w:rFonts w:ascii="宋体" w:hAnsi="宋体"/>
                <w:color w:val="000000"/>
                <w:sz w:val="24"/>
                <w:szCs w:val="24"/>
              </w:rPr>
            </w:pPr>
          </w:p>
        </w:tc>
        <w:tc>
          <w:tcPr>
            <w:tcW w:w="1136" w:type="dxa"/>
            <w:gridSpan w:val="2"/>
            <w:noWrap/>
            <w:vAlign w:val="center"/>
          </w:tcPr>
          <w:p w14:paraId="3C07D6CB">
            <w:pPr>
              <w:spacing w:line="0" w:lineRule="atLeast"/>
              <w:jc w:val="center"/>
              <w:rPr>
                <w:rFonts w:ascii="宋体" w:hAnsi="宋体"/>
                <w:color w:val="000000"/>
                <w:sz w:val="24"/>
                <w:szCs w:val="24"/>
              </w:rPr>
            </w:pPr>
          </w:p>
        </w:tc>
      </w:tr>
      <w:tr w14:paraId="7811DE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500" w:type="dxa"/>
            <w:noWrap/>
            <w:vAlign w:val="center"/>
          </w:tcPr>
          <w:p w14:paraId="7A47C678">
            <w:pPr>
              <w:spacing w:line="0" w:lineRule="atLeast"/>
              <w:jc w:val="center"/>
              <w:rPr>
                <w:rFonts w:ascii="宋体" w:hAnsi="宋体"/>
                <w:color w:val="000000"/>
                <w:sz w:val="24"/>
                <w:szCs w:val="24"/>
              </w:rPr>
            </w:pPr>
            <w:r>
              <w:rPr>
                <w:rFonts w:hint="eastAsia" w:ascii="宋体" w:hAnsi="宋体"/>
                <w:color w:val="000000"/>
                <w:sz w:val="24"/>
                <w:szCs w:val="24"/>
              </w:rPr>
              <w:t>3</w:t>
            </w:r>
          </w:p>
        </w:tc>
        <w:tc>
          <w:tcPr>
            <w:tcW w:w="1239" w:type="dxa"/>
            <w:noWrap/>
            <w:vAlign w:val="center"/>
          </w:tcPr>
          <w:p w14:paraId="383CC178">
            <w:pPr>
              <w:spacing w:line="0" w:lineRule="atLeast"/>
              <w:jc w:val="center"/>
              <w:rPr>
                <w:rFonts w:ascii="宋体" w:hAnsi="宋体"/>
                <w:color w:val="000000"/>
                <w:sz w:val="24"/>
                <w:szCs w:val="24"/>
              </w:rPr>
            </w:pPr>
          </w:p>
        </w:tc>
        <w:tc>
          <w:tcPr>
            <w:tcW w:w="878" w:type="dxa"/>
            <w:noWrap/>
            <w:vAlign w:val="center"/>
          </w:tcPr>
          <w:p w14:paraId="3B65CDF3">
            <w:pPr>
              <w:spacing w:line="0" w:lineRule="atLeast"/>
              <w:jc w:val="center"/>
              <w:rPr>
                <w:rFonts w:ascii="宋体" w:hAnsi="宋体"/>
                <w:color w:val="000000"/>
                <w:sz w:val="24"/>
                <w:szCs w:val="24"/>
              </w:rPr>
            </w:pPr>
          </w:p>
        </w:tc>
        <w:tc>
          <w:tcPr>
            <w:tcW w:w="1061" w:type="dxa"/>
            <w:noWrap/>
            <w:vAlign w:val="center"/>
          </w:tcPr>
          <w:p w14:paraId="4FC27E07">
            <w:pPr>
              <w:spacing w:line="0" w:lineRule="atLeast"/>
              <w:jc w:val="center"/>
              <w:rPr>
                <w:rFonts w:ascii="宋体" w:hAnsi="宋体"/>
                <w:color w:val="000000"/>
                <w:sz w:val="24"/>
                <w:szCs w:val="24"/>
              </w:rPr>
            </w:pPr>
          </w:p>
        </w:tc>
        <w:tc>
          <w:tcPr>
            <w:tcW w:w="1037" w:type="dxa"/>
            <w:noWrap/>
            <w:vAlign w:val="center"/>
          </w:tcPr>
          <w:p w14:paraId="0BB3E665">
            <w:pPr>
              <w:spacing w:line="0" w:lineRule="atLeast"/>
              <w:jc w:val="center"/>
              <w:rPr>
                <w:rFonts w:ascii="宋体" w:hAnsi="宋体"/>
                <w:color w:val="000000"/>
                <w:sz w:val="24"/>
                <w:szCs w:val="24"/>
              </w:rPr>
            </w:pPr>
          </w:p>
        </w:tc>
        <w:tc>
          <w:tcPr>
            <w:tcW w:w="975" w:type="dxa"/>
            <w:noWrap/>
          </w:tcPr>
          <w:p w14:paraId="2A553D74">
            <w:pPr>
              <w:spacing w:line="0" w:lineRule="atLeast"/>
              <w:jc w:val="center"/>
              <w:rPr>
                <w:rFonts w:ascii="宋体" w:hAnsi="宋体"/>
                <w:color w:val="000000"/>
                <w:sz w:val="24"/>
                <w:szCs w:val="24"/>
              </w:rPr>
            </w:pPr>
          </w:p>
        </w:tc>
        <w:tc>
          <w:tcPr>
            <w:tcW w:w="891" w:type="dxa"/>
            <w:noWrap/>
            <w:vAlign w:val="center"/>
          </w:tcPr>
          <w:p w14:paraId="604F50A2">
            <w:pPr>
              <w:spacing w:line="0" w:lineRule="atLeast"/>
              <w:jc w:val="center"/>
              <w:rPr>
                <w:rFonts w:ascii="宋体" w:hAnsi="宋体"/>
                <w:color w:val="000000"/>
                <w:sz w:val="24"/>
                <w:szCs w:val="24"/>
              </w:rPr>
            </w:pPr>
          </w:p>
        </w:tc>
        <w:tc>
          <w:tcPr>
            <w:tcW w:w="748" w:type="dxa"/>
            <w:noWrap/>
            <w:vAlign w:val="center"/>
          </w:tcPr>
          <w:p w14:paraId="7088F5D3">
            <w:pPr>
              <w:spacing w:line="0" w:lineRule="atLeast"/>
              <w:jc w:val="center"/>
              <w:rPr>
                <w:rFonts w:ascii="宋体" w:hAnsi="宋体"/>
                <w:color w:val="000000"/>
                <w:sz w:val="24"/>
                <w:szCs w:val="24"/>
              </w:rPr>
            </w:pPr>
          </w:p>
        </w:tc>
        <w:tc>
          <w:tcPr>
            <w:tcW w:w="833" w:type="dxa"/>
            <w:noWrap/>
            <w:vAlign w:val="center"/>
          </w:tcPr>
          <w:p w14:paraId="26170405">
            <w:pPr>
              <w:spacing w:line="0" w:lineRule="atLeast"/>
              <w:jc w:val="center"/>
              <w:rPr>
                <w:rFonts w:ascii="宋体" w:hAnsi="宋体"/>
                <w:color w:val="000000"/>
                <w:sz w:val="24"/>
                <w:szCs w:val="24"/>
              </w:rPr>
            </w:pPr>
          </w:p>
        </w:tc>
        <w:tc>
          <w:tcPr>
            <w:tcW w:w="1136" w:type="dxa"/>
            <w:gridSpan w:val="2"/>
            <w:noWrap/>
            <w:vAlign w:val="center"/>
          </w:tcPr>
          <w:p w14:paraId="4978B6D3">
            <w:pPr>
              <w:spacing w:line="0" w:lineRule="atLeast"/>
              <w:jc w:val="center"/>
              <w:rPr>
                <w:rFonts w:ascii="宋体" w:hAnsi="宋体"/>
                <w:color w:val="000000"/>
                <w:sz w:val="24"/>
                <w:szCs w:val="24"/>
              </w:rPr>
            </w:pPr>
          </w:p>
        </w:tc>
      </w:tr>
      <w:tr w14:paraId="2FB98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00" w:type="dxa"/>
            <w:noWrap/>
            <w:vAlign w:val="center"/>
          </w:tcPr>
          <w:p w14:paraId="7A8B4DF7">
            <w:pPr>
              <w:spacing w:line="0" w:lineRule="atLeast"/>
              <w:jc w:val="center"/>
              <w:rPr>
                <w:rFonts w:ascii="宋体" w:hAnsi="宋体"/>
                <w:color w:val="000000"/>
                <w:sz w:val="24"/>
                <w:szCs w:val="24"/>
              </w:rPr>
            </w:pPr>
            <w:r>
              <w:rPr>
                <w:rFonts w:hint="eastAsia" w:ascii="宋体" w:hAnsi="宋体"/>
                <w:color w:val="000000"/>
                <w:sz w:val="24"/>
                <w:szCs w:val="24"/>
              </w:rPr>
              <w:t>4</w:t>
            </w:r>
          </w:p>
        </w:tc>
        <w:tc>
          <w:tcPr>
            <w:tcW w:w="1239" w:type="dxa"/>
            <w:noWrap/>
            <w:vAlign w:val="center"/>
          </w:tcPr>
          <w:p w14:paraId="5AC31225">
            <w:pPr>
              <w:spacing w:line="0" w:lineRule="atLeast"/>
              <w:jc w:val="center"/>
              <w:rPr>
                <w:rFonts w:ascii="宋体" w:hAnsi="宋体"/>
                <w:color w:val="000000"/>
                <w:sz w:val="24"/>
                <w:szCs w:val="24"/>
              </w:rPr>
            </w:pPr>
          </w:p>
        </w:tc>
        <w:tc>
          <w:tcPr>
            <w:tcW w:w="878" w:type="dxa"/>
            <w:noWrap/>
            <w:vAlign w:val="center"/>
          </w:tcPr>
          <w:p w14:paraId="5968A1C0">
            <w:pPr>
              <w:spacing w:line="0" w:lineRule="atLeast"/>
              <w:jc w:val="center"/>
              <w:rPr>
                <w:rFonts w:ascii="宋体" w:hAnsi="宋体"/>
                <w:color w:val="000000"/>
                <w:sz w:val="24"/>
                <w:szCs w:val="24"/>
              </w:rPr>
            </w:pPr>
          </w:p>
        </w:tc>
        <w:tc>
          <w:tcPr>
            <w:tcW w:w="1061" w:type="dxa"/>
            <w:noWrap/>
            <w:vAlign w:val="center"/>
          </w:tcPr>
          <w:p w14:paraId="09EF314C">
            <w:pPr>
              <w:spacing w:line="0" w:lineRule="atLeast"/>
              <w:jc w:val="center"/>
              <w:rPr>
                <w:rFonts w:ascii="宋体" w:hAnsi="宋体"/>
                <w:color w:val="000000"/>
                <w:sz w:val="24"/>
                <w:szCs w:val="24"/>
              </w:rPr>
            </w:pPr>
          </w:p>
        </w:tc>
        <w:tc>
          <w:tcPr>
            <w:tcW w:w="1037" w:type="dxa"/>
            <w:noWrap/>
            <w:vAlign w:val="center"/>
          </w:tcPr>
          <w:p w14:paraId="52BFA824">
            <w:pPr>
              <w:spacing w:line="0" w:lineRule="atLeast"/>
              <w:jc w:val="center"/>
              <w:rPr>
                <w:rFonts w:ascii="宋体" w:hAnsi="宋体"/>
                <w:color w:val="000000"/>
                <w:sz w:val="24"/>
                <w:szCs w:val="24"/>
              </w:rPr>
            </w:pPr>
          </w:p>
        </w:tc>
        <w:tc>
          <w:tcPr>
            <w:tcW w:w="975" w:type="dxa"/>
            <w:noWrap/>
          </w:tcPr>
          <w:p w14:paraId="78965038">
            <w:pPr>
              <w:spacing w:line="0" w:lineRule="atLeast"/>
              <w:jc w:val="center"/>
              <w:rPr>
                <w:rFonts w:ascii="宋体" w:hAnsi="宋体"/>
                <w:color w:val="000000"/>
                <w:sz w:val="24"/>
                <w:szCs w:val="24"/>
              </w:rPr>
            </w:pPr>
          </w:p>
        </w:tc>
        <w:tc>
          <w:tcPr>
            <w:tcW w:w="891" w:type="dxa"/>
            <w:noWrap/>
            <w:vAlign w:val="center"/>
          </w:tcPr>
          <w:p w14:paraId="4441714C">
            <w:pPr>
              <w:spacing w:line="0" w:lineRule="atLeast"/>
              <w:jc w:val="center"/>
              <w:rPr>
                <w:rFonts w:ascii="宋体" w:hAnsi="宋体"/>
                <w:color w:val="000000"/>
                <w:sz w:val="24"/>
                <w:szCs w:val="24"/>
              </w:rPr>
            </w:pPr>
          </w:p>
        </w:tc>
        <w:tc>
          <w:tcPr>
            <w:tcW w:w="748" w:type="dxa"/>
            <w:noWrap/>
            <w:vAlign w:val="center"/>
          </w:tcPr>
          <w:p w14:paraId="2A2CBFF2">
            <w:pPr>
              <w:spacing w:line="0" w:lineRule="atLeast"/>
              <w:jc w:val="center"/>
              <w:rPr>
                <w:rFonts w:ascii="宋体" w:hAnsi="宋体"/>
                <w:color w:val="000000"/>
                <w:sz w:val="24"/>
                <w:szCs w:val="24"/>
              </w:rPr>
            </w:pPr>
          </w:p>
        </w:tc>
        <w:tc>
          <w:tcPr>
            <w:tcW w:w="833" w:type="dxa"/>
            <w:noWrap/>
            <w:vAlign w:val="center"/>
          </w:tcPr>
          <w:p w14:paraId="7F838724">
            <w:pPr>
              <w:spacing w:line="0" w:lineRule="atLeast"/>
              <w:jc w:val="center"/>
              <w:rPr>
                <w:rFonts w:ascii="宋体" w:hAnsi="宋体"/>
                <w:color w:val="000000"/>
                <w:sz w:val="24"/>
                <w:szCs w:val="24"/>
              </w:rPr>
            </w:pPr>
          </w:p>
        </w:tc>
        <w:tc>
          <w:tcPr>
            <w:tcW w:w="1136" w:type="dxa"/>
            <w:gridSpan w:val="2"/>
            <w:noWrap/>
            <w:vAlign w:val="center"/>
          </w:tcPr>
          <w:p w14:paraId="72807399">
            <w:pPr>
              <w:spacing w:line="0" w:lineRule="atLeast"/>
              <w:jc w:val="center"/>
              <w:rPr>
                <w:rFonts w:ascii="宋体" w:hAnsi="宋体"/>
                <w:color w:val="000000"/>
                <w:sz w:val="24"/>
                <w:szCs w:val="24"/>
              </w:rPr>
            </w:pPr>
          </w:p>
        </w:tc>
      </w:tr>
      <w:tr w14:paraId="2423F0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77" w:hRule="atLeast"/>
        </w:trPr>
        <w:tc>
          <w:tcPr>
            <w:tcW w:w="500" w:type="dxa"/>
            <w:noWrap/>
            <w:vAlign w:val="center"/>
          </w:tcPr>
          <w:p w14:paraId="7F5DED6F">
            <w:pPr>
              <w:spacing w:line="0" w:lineRule="atLeast"/>
              <w:jc w:val="center"/>
              <w:rPr>
                <w:rFonts w:ascii="宋体" w:hAnsi="宋体"/>
                <w:color w:val="000000"/>
                <w:sz w:val="24"/>
                <w:szCs w:val="24"/>
              </w:rPr>
            </w:pPr>
            <w:r>
              <w:rPr>
                <w:rFonts w:ascii="宋体" w:hAnsi="宋体"/>
                <w:color w:val="000000"/>
                <w:sz w:val="24"/>
                <w:szCs w:val="24"/>
              </w:rPr>
              <w:t>…</w:t>
            </w:r>
          </w:p>
        </w:tc>
        <w:tc>
          <w:tcPr>
            <w:tcW w:w="1239" w:type="dxa"/>
            <w:noWrap/>
            <w:vAlign w:val="center"/>
          </w:tcPr>
          <w:p w14:paraId="795B4BCF">
            <w:pPr>
              <w:spacing w:line="0" w:lineRule="atLeast"/>
              <w:jc w:val="center"/>
              <w:rPr>
                <w:rFonts w:ascii="宋体" w:hAnsi="宋体"/>
                <w:color w:val="000000"/>
                <w:sz w:val="24"/>
                <w:szCs w:val="24"/>
              </w:rPr>
            </w:pPr>
            <w:r>
              <w:rPr>
                <w:rFonts w:ascii="宋体" w:hAnsi="宋体"/>
                <w:color w:val="000000"/>
                <w:sz w:val="24"/>
                <w:szCs w:val="24"/>
              </w:rPr>
              <w:t>……</w:t>
            </w:r>
          </w:p>
        </w:tc>
        <w:tc>
          <w:tcPr>
            <w:tcW w:w="878" w:type="dxa"/>
            <w:noWrap/>
            <w:vAlign w:val="center"/>
          </w:tcPr>
          <w:p w14:paraId="70CC3311">
            <w:pPr>
              <w:spacing w:line="0" w:lineRule="atLeast"/>
              <w:jc w:val="center"/>
              <w:rPr>
                <w:rFonts w:ascii="宋体" w:hAnsi="宋体"/>
                <w:color w:val="000000"/>
                <w:sz w:val="24"/>
                <w:szCs w:val="24"/>
              </w:rPr>
            </w:pPr>
          </w:p>
        </w:tc>
        <w:tc>
          <w:tcPr>
            <w:tcW w:w="1061" w:type="dxa"/>
            <w:noWrap/>
            <w:vAlign w:val="center"/>
          </w:tcPr>
          <w:p w14:paraId="1D5F2E68">
            <w:pPr>
              <w:spacing w:line="0" w:lineRule="atLeast"/>
              <w:jc w:val="center"/>
              <w:rPr>
                <w:rFonts w:ascii="宋体" w:hAnsi="宋体"/>
                <w:color w:val="000000"/>
                <w:sz w:val="24"/>
                <w:szCs w:val="24"/>
              </w:rPr>
            </w:pPr>
          </w:p>
        </w:tc>
        <w:tc>
          <w:tcPr>
            <w:tcW w:w="1037" w:type="dxa"/>
            <w:noWrap/>
            <w:vAlign w:val="center"/>
          </w:tcPr>
          <w:p w14:paraId="4389F3A8">
            <w:pPr>
              <w:spacing w:line="0" w:lineRule="atLeast"/>
              <w:jc w:val="center"/>
              <w:rPr>
                <w:rFonts w:ascii="宋体" w:hAnsi="宋体"/>
                <w:color w:val="000000"/>
                <w:sz w:val="24"/>
                <w:szCs w:val="24"/>
              </w:rPr>
            </w:pPr>
          </w:p>
        </w:tc>
        <w:tc>
          <w:tcPr>
            <w:tcW w:w="975" w:type="dxa"/>
            <w:noWrap/>
          </w:tcPr>
          <w:p w14:paraId="2DB81409">
            <w:pPr>
              <w:spacing w:line="0" w:lineRule="atLeast"/>
              <w:jc w:val="center"/>
              <w:rPr>
                <w:rFonts w:ascii="宋体" w:hAnsi="宋体"/>
                <w:color w:val="000000"/>
                <w:sz w:val="24"/>
                <w:szCs w:val="24"/>
              </w:rPr>
            </w:pPr>
          </w:p>
        </w:tc>
        <w:tc>
          <w:tcPr>
            <w:tcW w:w="891" w:type="dxa"/>
            <w:noWrap/>
            <w:vAlign w:val="center"/>
          </w:tcPr>
          <w:p w14:paraId="2872B963">
            <w:pPr>
              <w:spacing w:line="0" w:lineRule="atLeast"/>
              <w:jc w:val="center"/>
              <w:rPr>
                <w:rFonts w:ascii="宋体" w:hAnsi="宋体"/>
                <w:color w:val="000000"/>
                <w:sz w:val="24"/>
                <w:szCs w:val="24"/>
              </w:rPr>
            </w:pPr>
          </w:p>
        </w:tc>
        <w:tc>
          <w:tcPr>
            <w:tcW w:w="748" w:type="dxa"/>
            <w:noWrap/>
            <w:vAlign w:val="center"/>
          </w:tcPr>
          <w:p w14:paraId="5060D3E6">
            <w:pPr>
              <w:spacing w:line="0" w:lineRule="atLeast"/>
              <w:jc w:val="center"/>
              <w:rPr>
                <w:rFonts w:ascii="宋体" w:hAnsi="宋体"/>
                <w:color w:val="000000"/>
                <w:sz w:val="24"/>
                <w:szCs w:val="24"/>
              </w:rPr>
            </w:pPr>
          </w:p>
        </w:tc>
        <w:tc>
          <w:tcPr>
            <w:tcW w:w="833" w:type="dxa"/>
            <w:noWrap/>
            <w:vAlign w:val="center"/>
          </w:tcPr>
          <w:p w14:paraId="27435C3B">
            <w:pPr>
              <w:spacing w:line="0" w:lineRule="atLeast"/>
              <w:jc w:val="center"/>
              <w:rPr>
                <w:rFonts w:ascii="宋体" w:hAnsi="宋体"/>
                <w:color w:val="000000"/>
                <w:sz w:val="24"/>
                <w:szCs w:val="24"/>
              </w:rPr>
            </w:pPr>
          </w:p>
        </w:tc>
        <w:tc>
          <w:tcPr>
            <w:tcW w:w="1136" w:type="dxa"/>
            <w:gridSpan w:val="2"/>
            <w:noWrap/>
            <w:vAlign w:val="center"/>
          </w:tcPr>
          <w:p w14:paraId="760DE718">
            <w:pPr>
              <w:spacing w:line="0" w:lineRule="atLeast"/>
              <w:jc w:val="center"/>
              <w:rPr>
                <w:rFonts w:ascii="宋体" w:hAnsi="宋体"/>
                <w:color w:val="000000"/>
                <w:sz w:val="24"/>
                <w:szCs w:val="24"/>
              </w:rPr>
            </w:pPr>
          </w:p>
        </w:tc>
      </w:tr>
      <w:tr w14:paraId="11B0C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77" w:hRule="atLeast"/>
        </w:trPr>
        <w:tc>
          <w:tcPr>
            <w:tcW w:w="500" w:type="dxa"/>
            <w:noWrap/>
            <w:vAlign w:val="center"/>
          </w:tcPr>
          <w:p w14:paraId="7DF22EFD">
            <w:pPr>
              <w:spacing w:line="0" w:lineRule="atLeast"/>
              <w:jc w:val="center"/>
              <w:rPr>
                <w:rFonts w:ascii="宋体" w:hAnsi="宋体"/>
                <w:color w:val="000000"/>
                <w:sz w:val="24"/>
                <w:szCs w:val="24"/>
              </w:rPr>
            </w:pPr>
          </w:p>
        </w:tc>
        <w:tc>
          <w:tcPr>
            <w:tcW w:w="1239" w:type="dxa"/>
            <w:noWrap/>
            <w:vAlign w:val="center"/>
          </w:tcPr>
          <w:p w14:paraId="7DE1CCC0">
            <w:pPr>
              <w:spacing w:line="0" w:lineRule="atLeast"/>
              <w:jc w:val="center"/>
              <w:rPr>
                <w:rFonts w:ascii="宋体" w:hAnsi="宋体"/>
                <w:color w:val="000000"/>
                <w:sz w:val="24"/>
                <w:szCs w:val="24"/>
              </w:rPr>
            </w:pPr>
          </w:p>
        </w:tc>
        <w:tc>
          <w:tcPr>
            <w:tcW w:w="878" w:type="dxa"/>
            <w:noWrap/>
            <w:vAlign w:val="center"/>
          </w:tcPr>
          <w:p w14:paraId="37AAF5A3">
            <w:pPr>
              <w:spacing w:line="0" w:lineRule="atLeast"/>
              <w:jc w:val="center"/>
              <w:rPr>
                <w:rFonts w:ascii="宋体" w:hAnsi="宋体"/>
                <w:color w:val="000000"/>
                <w:sz w:val="24"/>
                <w:szCs w:val="24"/>
              </w:rPr>
            </w:pPr>
          </w:p>
        </w:tc>
        <w:tc>
          <w:tcPr>
            <w:tcW w:w="1061" w:type="dxa"/>
            <w:noWrap/>
            <w:vAlign w:val="center"/>
          </w:tcPr>
          <w:p w14:paraId="3E1829FF">
            <w:pPr>
              <w:spacing w:line="0" w:lineRule="atLeast"/>
              <w:jc w:val="center"/>
              <w:rPr>
                <w:rFonts w:ascii="宋体" w:hAnsi="宋体"/>
                <w:color w:val="000000"/>
                <w:sz w:val="24"/>
                <w:szCs w:val="24"/>
              </w:rPr>
            </w:pPr>
          </w:p>
        </w:tc>
        <w:tc>
          <w:tcPr>
            <w:tcW w:w="1037" w:type="dxa"/>
            <w:noWrap/>
            <w:vAlign w:val="center"/>
          </w:tcPr>
          <w:p w14:paraId="2D8B7826">
            <w:pPr>
              <w:spacing w:line="0" w:lineRule="atLeast"/>
              <w:jc w:val="center"/>
              <w:rPr>
                <w:rFonts w:ascii="宋体" w:hAnsi="宋体"/>
                <w:color w:val="000000"/>
                <w:sz w:val="24"/>
                <w:szCs w:val="24"/>
              </w:rPr>
            </w:pPr>
          </w:p>
        </w:tc>
        <w:tc>
          <w:tcPr>
            <w:tcW w:w="975" w:type="dxa"/>
            <w:noWrap/>
          </w:tcPr>
          <w:p w14:paraId="74CCEF8A">
            <w:pPr>
              <w:spacing w:line="0" w:lineRule="atLeast"/>
              <w:jc w:val="center"/>
              <w:rPr>
                <w:rFonts w:ascii="宋体" w:hAnsi="宋体"/>
                <w:color w:val="000000"/>
                <w:sz w:val="24"/>
                <w:szCs w:val="24"/>
              </w:rPr>
            </w:pPr>
          </w:p>
        </w:tc>
        <w:tc>
          <w:tcPr>
            <w:tcW w:w="891" w:type="dxa"/>
            <w:noWrap/>
            <w:vAlign w:val="center"/>
          </w:tcPr>
          <w:p w14:paraId="61E5D020">
            <w:pPr>
              <w:spacing w:line="0" w:lineRule="atLeast"/>
              <w:jc w:val="center"/>
              <w:rPr>
                <w:rFonts w:ascii="宋体" w:hAnsi="宋体"/>
                <w:color w:val="000000"/>
                <w:sz w:val="24"/>
                <w:szCs w:val="24"/>
              </w:rPr>
            </w:pPr>
          </w:p>
        </w:tc>
        <w:tc>
          <w:tcPr>
            <w:tcW w:w="748" w:type="dxa"/>
            <w:noWrap/>
            <w:vAlign w:val="center"/>
          </w:tcPr>
          <w:p w14:paraId="6649FC05">
            <w:pPr>
              <w:spacing w:line="0" w:lineRule="atLeast"/>
              <w:jc w:val="center"/>
              <w:rPr>
                <w:rFonts w:ascii="宋体" w:hAnsi="宋体"/>
                <w:color w:val="000000"/>
                <w:sz w:val="24"/>
                <w:szCs w:val="24"/>
              </w:rPr>
            </w:pPr>
          </w:p>
        </w:tc>
        <w:tc>
          <w:tcPr>
            <w:tcW w:w="833" w:type="dxa"/>
            <w:noWrap/>
            <w:vAlign w:val="center"/>
          </w:tcPr>
          <w:p w14:paraId="7453FBB7">
            <w:pPr>
              <w:spacing w:line="0" w:lineRule="atLeast"/>
              <w:jc w:val="center"/>
              <w:rPr>
                <w:rFonts w:ascii="宋体" w:hAnsi="宋体"/>
                <w:color w:val="000000"/>
                <w:sz w:val="24"/>
                <w:szCs w:val="24"/>
              </w:rPr>
            </w:pPr>
          </w:p>
        </w:tc>
        <w:tc>
          <w:tcPr>
            <w:tcW w:w="1136" w:type="dxa"/>
            <w:gridSpan w:val="2"/>
            <w:noWrap/>
            <w:vAlign w:val="center"/>
          </w:tcPr>
          <w:p w14:paraId="345D4FDB">
            <w:pPr>
              <w:spacing w:line="0" w:lineRule="atLeast"/>
              <w:jc w:val="center"/>
              <w:rPr>
                <w:rFonts w:ascii="宋体" w:hAnsi="宋体"/>
                <w:color w:val="000000"/>
                <w:sz w:val="24"/>
                <w:szCs w:val="24"/>
              </w:rPr>
            </w:pPr>
          </w:p>
        </w:tc>
      </w:tr>
      <w:tr w14:paraId="09955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21" w:type="dxa"/>
          <w:cantSplit/>
          <w:trHeight w:val="677" w:hRule="atLeast"/>
        </w:trPr>
        <w:tc>
          <w:tcPr>
            <w:tcW w:w="2617" w:type="dxa"/>
            <w:gridSpan w:val="3"/>
            <w:noWrap/>
            <w:vAlign w:val="center"/>
          </w:tcPr>
          <w:p w14:paraId="763C651B">
            <w:pPr>
              <w:spacing w:line="500" w:lineRule="exact"/>
              <w:jc w:val="center"/>
              <w:rPr>
                <w:rFonts w:ascii="宋体" w:hAnsi="宋体"/>
                <w:b/>
                <w:bCs/>
                <w:color w:val="000000"/>
                <w:sz w:val="24"/>
              </w:rPr>
            </w:pPr>
            <w:r>
              <w:rPr>
                <w:rFonts w:hint="eastAsia" w:ascii="宋体" w:hAnsi="宋体"/>
                <w:b/>
                <w:bCs/>
                <w:color w:val="000000"/>
                <w:sz w:val="28"/>
                <w:szCs w:val="28"/>
              </w:rPr>
              <w:t>投标总报价</w:t>
            </w:r>
          </w:p>
        </w:tc>
        <w:tc>
          <w:tcPr>
            <w:tcW w:w="6660" w:type="dxa"/>
            <w:gridSpan w:val="7"/>
            <w:noWrap/>
            <w:vAlign w:val="center"/>
          </w:tcPr>
          <w:p w14:paraId="2F73D11C">
            <w:pPr>
              <w:spacing w:line="500" w:lineRule="exact"/>
              <w:rPr>
                <w:rFonts w:ascii="宋体" w:hAnsi="宋体"/>
                <w:b/>
                <w:bCs/>
                <w:color w:val="000000"/>
                <w:sz w:val="24"/>
              </w:rPr>
            </w:pPr>
            <w:r>
              <w:rPr>
                <w:rFonts w:hint="eastAsia" w:ascii="宋体" w:hAnsi="宋体"/>
                <w:b/>
                <w:bCs/>
                <w:color w:val="000000"/>
                <w:sz w:val="24"/>
              </w:rPr>
              <w:t>￥</w:t>
            </w:r>
          </w:p>
          <w:p w14:paraId="12AF8ED9">
            <w:pPr>
              <w:spacing w:line="500" w:lineRule="exact"/>
              <w:rPr>
                <w:rFonts w:ascii="宋体" w:hAnsi="宋体"/>
                <w:b/>
                <w:bCs/>
                <w:color w:val="000000"/>
                <w:sz w:val="24"/>
              </w:rPr>
            </w:pPr>
            <w:r>
              <w:rPr>
                <w:rFonts w:hint="eastAsia" w:ascii="宋体" w:hAnsi="宋体"/>
                <w:b/>
                <w:bCs/>
                <w:color w:val="000000"/>
                <w:sz w:val="24"/>
              </w:rPr>
              <w:t>人民币（大写）：</w:t>
            </w:r>
            <w:r>
              <w:rPr>
                <w:rFonts w:hint="eastAsia" w:ascii="宋体" w:hAnsi="宋体"/>
                <w:bCs/>
                <w:color w:val="000000"/>
                <w:sz w:val="24"/>
              </w:rPr>
              <w:t>佰拾 万仟佰拾元角分</w:t>
            </w:r>
          </w:p>
        </w:tc>
      </w:tr>
    </w:tbl>
    <w:p w14:paraId="346D489B">
      <w:pPr>
        <w:spacing w:line="480" w:lineRule="exact"/>
        <w:rPr>
          <w:rFonts w:ascii="宋体" w:hAnsi="宋体"/>
          <w:color w:val="000000"/>
          <w:sz w:val="24"/>
          <w:szCs w:val="24"/>
        </w:rPr>
      </w:pPr>
      <w:r>
        <w:rPr>
          <w:rFonts w:hint="eastAsia" w:ascii="宋体" w:hAnsi="宋体"/>
          <w:color w:val="000000"/>
          <w:sz w:val="24"/>
          <w:szCs w:val="24"/>
        </w:rPr>
        <w:t>备注：“投标总报价”数额应当与“开标一览表”中“投标总报价”数额一致。</w:t>
      </w:r>
    </w:p>
    <w:p w14:paraId="204B171D">
      <w:pPr>
        <w:rPr>
          <w:rFonts w:ascii="方正小标宋_GBK" w:eastAsia="方正小标宋_GBK"/>
          <w:bCs/>
          <w:color w:val="000000"/>
          <w:sz w:val="32"/>
          <w:szCs w:val="32"/>
        </w:rPr>
      </w:pPr>
    </w:p>
    <w:p w14:paraId="6DDC34AD">
      <w:pPr>
        <w:outlineLvl w:val="1"/>
        <w:rPr>
          <w:rFonts w:ascii="黑体" w:hAnsi="黑体" w:eastAsia="黑体" w:cs="黑体"/>
          <w:bCs/>
          <w:color w:val="000000"/>
          <w:sz w:val="32"/>
          <w:szCs w:val="24"/>
        </w:rPr>
      </w:pPr>
      <w:bookmarkStart w:id="177" w:name="_Toc21129"/>
      <w:bookmarkStart w:id="178" w:name="_Toc17418"/>
      <w:bookmarkStart w:id="179" w:name="_Toc2747"/>
    </w:p>
    <w:p w14:paraId="5C35C10D">
      <w:pPr>
        <w:outlineLvl w:val="1"/>
        <w:rPr>
          <w:rFonts w:ascii="黑体" w:hAnsi="黑体" w:eastAsia="黑体" w:cs="黑体"/>
          <w:bCs/>
          <w:color w:val="000000"/>
          <w:sz w:val="32"/>
          <w:szCs w:val="24"/>
        </w:rPr>
      </w:pPr>
    </w:p>
    <w:p w14:paraId="69D9165C">
      <w:pPr>
        <w:outlineLvl w:val="1"/>
        <w:rPr>
          <w:rFonts w:ascii="黑体" w:hAnsi="黑体" w:eastAsia="黑体" w:cs="黑体"/>
          <w:bCs/>
          <w:color w:val="000000"/>
          <w:sz w:val="32"/>
          <w:szCs w:val="24"/>
        </w:rPr>
      </w:pPr>
    </w:p>
    <w:p w14:paraId="53EEFEEC">
      <w:pPr>
        <w:outlineLvl w:val="1"/>
        <w:rPr>
          <w:rFonts w:ascii="黑体" w:hAnsi="黑体" w:eastAsia="黑体" w:cs="黑体"/>
          <w:bCs/>
          <w:color w:val="000000"/>
          <w:sz w:val="32"/>
          <w:szCs w:val="24"/>
        </w:rPr>
      </w:pPr>
    </w:p>
    <w:p w14:paraId="192EE90A">
      <w:pPr>
        <w:outlineLvl w:val="1"/>
        <w:rPr>
          <w:rFonts w:ascii="黑体" w:hAnsi="黑体" w:eastAsia="黑体" w:cs="黑体"/>
          <w:bCs/>
          <w:color w:val="000000"/>
          <w:sz w:val="32"/>
          <w:szCs w:val="24"/>
        </w:rPr>
      </w:pPr>
    </w:p>
    <w:p w14:paraId="1C38511F">
      <w:pPr>
        <w:outlineLvl w:val="1"/>
        <w:rPr>
          <w:rFonts w:ascii="黑体" w:hAnsi="黑体" w:eastAsia="黑体" w:cs="黑体"/>
          <w:bCs/>
          <w:color w:val="000000"/>
          <w:sz w:val="32"/>
          <w:szCs w:val="24"/>
        </w:rPr>
      </w:pPr>
    </w:p>
    <w:p w14:paraId="65871622">
      <w:pPr>
        <w:outlineLvl w:val="1"/>
        <w:rPr>
          <w:rFonts w:ascii="黑体" w:hAnsi="黑体" w:eastAsia="黑体" w:cs="黑体"/>
          <w:bCs/>
          <w:color w:val="000000"/>
          <w:sz w:val="32"/>
          <w:szCs w:val="24"/>
        </w:rPr>
      </w:pPr>
    </w:p>
    <w:p w14:paraId="7B6C4538">
      <w:pPr>
        <w:outlineLvl w:val="1"/>
        <w:rPr>
          <w:rFonts w:ascii="黑体" w:hAnsi="黑体" w:eastAsia="黑体" w:cs="黑体"/>
          <w:bCs/>
          <w:color w:val="000000"/>
          <w:sz w:val="32"/>
          <w:szCs w:val="24"/>
        </w:rPr>
      </w:pPr>
    </w:p>
    <w:p w14:paraId="5F9FA166">
      <w:pPr>
        <w:outlineLvl w:val="1"/>
        <w:rPr>
          <w:rFonts w:ascii="黑体" w:hAnsi="黑体" w:eastAsia="黑体" w:cs="黑体"/>
          <w:bCs/>
          <w:color w:val="000000"/>
          <w:sz w:val="32"/>
          <w:szCs w:val="24"/>
        </w:rPr>
      </w:pPr>
    </w:p>
    <w:p w14:paraId="4F6ADD72">
      <w:pPr>
        <w:outlineLvl w:val="1"/>
        <w:rPr>
          <w:rFonts w:ascii="黑体" w:hAnsi="黑体" w:eastAsia="黑体" w:cs="黑体"/>
          <w:bCs/>
          <w:color w:val="000000"/>
          <w:sz w:val="32"/>
          <w:szCs w:val="24"/>
        </w:rPr>
      </w:pPr>
    </w:p>
    <w:p w14:paraId="67EEB502">
      <w:pPr>
        <w:outlineLvl w:val="1"/>
        <w:rPr>
          <w:rFonts w:ascii="黑体" w:hAnsi="黑体" w:eastAsia="黑体" w:cs="黑体"/>
          <w:color w:val="000000"/>
          <w:sz w:val="32"/>
          <w:szCs w:val="32"/>
        </w:rPr>
      </w:pPr>
    </w:p>
    <w:p w14:paraId="1C6F2C10">
      <w:pPr>
        <w:outlineLvl w:val="1"/>
        <w:rPr>
          <w:rFonts w:ascii="黑体" w:hAnsi="黑体" w:eastAsia="黑体" w:cs="黑体"/>
          <w:color w:val="000000"/>
          <w:sz w:val="32"/>
          <w:szCs w:val="32"/>
        </w:rPr>
      </w:pPr>
    </w:p>
    <w:p w14:paraId="5276CD6F">
      <w:pPr>
        <w:outlineLvl w:val="1"/>
        <w:rPr>
          <w:rFonts w:ascii="方正小标宋_GBK" w:eastAsia="方正小标宋_GBK"/>
          <w:bCs/>
          <w:sz w:val="32"/>
          <w:szCs w:val="32"/>
        </w:rPr>
      </w:pPr>
      <w:r>
        <w:rPr>
          <w:rFonts w:hint="eastAsia" w:ascii="黑体" w:hAnsi="黑体" w:eastAsia="黑体" w:cs="黑体"/>
          <w:bCs/>
          <w:color w:val="000000"/>
          <w:sz w:val="32"/>
          <w:szCs w:val="24"/>
        </w:rPr>
        <w:t>五、中小企业或残疾人福利性单位声明函</w:t>
      </w:r>
      <w:bookmarkEnd w:id="177"/>
      <w:bookmarkEnd w:id="178"/>
      <w:bookmarkEnd w:id="179"/>
    </w:p>
    <w:p w14:paraId="22D8DF67">
      <w:pPr>
        <w:jc w:val="center"/>
        <w:rPr>
          <w:rFonts w:ascii="方正小标宋_GBK" w:eastAsia="方正小标宋_GBK"/>
          <w:bCs/>
          <w:sz w:val="32"/>
          <w:szCs w:val="32"/>
        </w:rPr>
      </w:pPr>
      <w:r>
        <w:rPr>
          <w:rFonts w:hint="eastAsia" w:ascii="方正小标宋_GBK" w:eastAsia="方正小标宋_GBK"/>
          <w:bCs/>
          <w:sz w:val="32"/>
          <w:szCs w:val="32"/>
        </w:rPr>
        <w:t>中小微企业声明函</w:t>
      </w:r>
    </w:p>
    <w:p w14:paraId="77B9DF7E">
      <w:pPr>
        <w:spacing w:line="480" w:lineRule="exact"/>
        <w:ind w:firstLine="480"/>
        <w:rPr>
          <w:rFonts w:ascii="Times New Roman" w:hAnsi="Times New Roman"/>
          <w:color w:val="000000"/>
          <w:sz w:val="24"/>
          <w:szCs w:val="24"/>
        </w:rPr>
      </w:pPr>
      <w:r>
        <w:rPr>
          <w:rFonts w:hint="eastAsia" w:ascii="Times New Roman" w:hAnsi="Times New Roman"/>
          <w:color w:val="000000"/>
          <w:sz w:val="24"/>
          <w:szCs w:val="24"/>
        </w:rPr>
        <w:t>本公司（联合体）郑重声明，根据《政府采购促进中小企业发展管理办法》(财库〔2020〕46号)的规定，本公司（联合体）参加江苏省政府采购代理机构组织的（单位名称）采购编号为***，（项目名称）（分包号：**）的采购活动，提供的货物全部由符合政策要求的中小微企业制造。相关企业（含联合体中的中小微企业、签订采购包意向协议的中小微企业）的具体情况如下：</w:t>
      </w:r>
    </w:p>
    <w:p w14:paraId="45FED25C">
      <w:pPr>
        <w:spacing w:line="480" w:lineRule="exact"/>
        <w:ind w:firstLine="480"/>
        <w:rPr>
          <w:rFonts w:ascii="Times New Roman" w:hAnsi="Times New Roman"/>
          <w:i/>
          <w:color w:val="000000"/>
          <w:sz w:val="24"/>
          <w:szCs w:val="24"/>
          <w:u w:val="single"/>
        </w:rPr>
      </w:pPr>
      <w:r>
        <w:rPr>
          <w:rFonts w:hint="eastAsia" w:ascii="Times New Roman" w:hAnsi="Times New Roman"/>
          <w:color w:val="000000"/>
          <w:sz w:val="24"/>
          <w:szCs w:val="24"/>
        </w:rPr>
        <w:t>1.</w:t>
      </w:r>
      <w:r>
        <w:rPr>
          <w:rFonts w:hint="eastAsia" w:ascii="Times New Roman" w:hAnsi="Times New Roman"/>
          <w:color w:val="000000"/>
          <w:sz w:val="24"/>
          <w:szCs w:val="24"/>
          <w:u w:val="single"/>
        </w:rPr>
        <w:t>（标的名称）</w:t>
      </w:r>
      <w:r>
        <w:rPr>
          <w:rFonts w:hint="eastAsia" w:ascii="Times New Roman" w:hAnsi="Times New Roman"/>
          <w:i/>
          <w:color w:val="000000"/>
          <w:sz w:val="24"/>
          <w:szCs w:val="24"/>
        </w:rPr>
        <w:t>，</w:t>
      </w:r>
      <w:r>
        <w:rPr>
          <w:rFonts w:hint="eastAsia" w:ascii="Times New Roman" w:hAnsi="Times New Roman"/>
          <w:color w:val="000000"/>
          <w:sz w:val="24"/>
          <w:szCs w:val="24"/>
        </w:rPr>
        <w:t>属于</w:t>
      </w:r>
      <w:r>
        <w:rPr>
          <w:rFonts w:hint="eastAsia" w:ascii="Times New Roman" w:hAnsi="Times New Roman"/>
          <w:color w:val="000000"/>
          <w:sz w:val="24"/>
          <w:szCs w:val="24"/>
          <w:u w:val="single"/>
        </w:rPr>
        <w:t>（投标人填写招标文件中明确的所属行业）</w:t>
      </w:r>
      <w:r>
        <w:rPr>
          <w:rFonts w:hint="eastAsia" w:ascii="Times New Roman" w:hAnsi="Times New Roman"/>
          <w:color w:val="000000"/>
          <w:sz w:val="24"/>
          <w:szCs w:val="24"/>
        </w:rPr>
        <w:t>行业；投标产品制造商为</w:t>
      </w:r>
      <w:r>
        <w:rPr>
          <w:rFonts w:hint="eastAsia" w:ascii="Times New Roman" w:hAnsi="Times New Roman"/>
          <w:color w:val="000000"/>
          <w:sz w:val="24"/>
          <w:szCs w:val="24"/>
          <w:u w:val="single"/>
        </w:rPr>
        <w:t>（企业名称）</w:t>
      </w:r>
      <w:r>
        <w:rPr>
          <w:rFonts w:hint="eastAsia" w:ascii="Times New Roman" w:hAnsi="Times New Roman"/>
          <w:color w:val="000000"/>
          <w:sz w:val="24"/>
          <w:szCs w:val="24"/>
        </w:rPr>
        <w:t>，从业人员人，营业收入为万元，资产总额为万元，属于</w:t>
      </w:r>
      <w:r>
        <w:rPr>
          <w:rFonts w:hint="eastAsia" w:ascii="Times New Roman" w:hAnsi="Times New Roman"/>
          <w:color w:val="000000"/>
          <w:sz w:val="24"/>
          <w:szCs w:val="24"/>
          <w:u w:val="single"/>
        </w:rPr>
        <w:t>（□中型企业 □小型企业 □微型企业）；</w:t>
      </w:r>
    </w:p>
    <w:p w14:paraId="6582C2C9">
      <w:pPr>
        <w:spacing w:line="480" w:lineRule="exact"/>
        <w:ind w:firstLine="480"/>
        <w:rPr>
          <w:rFonts w:ascii="Times New Roman" w:hAnsi="Times New Roman"/>
          <w:i/>
          <w:color w:val="000000"/>
          <w:sz w:val="24"/>
          <w:szCs w:val="24"/>
          <w:u w:val="single"/>
        </w:rPr>
      </w:pPr>
      <w:r>
        <w:rPr>
          <w:rFonts w:hint="eastAsia" w:ascii="Times New Roman" w:hAnsi="Times New Roman"/>
          <w:color w:val="000000"/>
          <w:sz w:val="24"/>
          <w:szCs w:val="24"/>
        </w:rPr>
        <w:t>2.</w:t>
      </w:r>
      <w:r>
        <w:rPr>
          <w:rFonts w:hint="eastAsia" w:ascii="Times New Roman" w:hAnsi="Times New Roman"/>
          <w:color w:val="000000"/>
          <w:sz w:val="24"/>
          <w:szCs w:val="24"/>
          <w:u w:val="single"/>
        </w:rPr>
        <w:t>（标的名称）</w:t>
      </w:r>
      <w:r>
        <w:rPr>
          <w:rFonts w:hint="eastAsia" w:ascii="Times New Roman" w:hAnsi="Times New Roman"/>
          <w:i/>
          <w:color w:val="000000"/>
          <w:sz w:val="24"/>
          <w:szCs w:val="24"/>
        </w:rPr>
        <w:t>，</w:t>
      </w:r>
      <w:r>
        <w:rPr>
          <w:rFonts w:hint="eastAsia" w:ascii="Times New Roman" w:hAnsi="Times New Roman"/>
          <w:color w:val="000000"/>
          <w:sz w:val="24"/>
          <w:szCs w:val="24"/>
        </w:rPr>
        <w:t>属于</w:t>
      </w:r>
      <w:r>
        <w:rPr>
          <w:rFonts w:hint="eastAsia" w:ascii="Times New Roman" w:hAnsi="Times New Roman"/>
          <w:color w:val="000000"/>
          <w:sz w:val="24"/>
          <w:szCs w:val="24"/>
          <w:u w:val="single"/>
        </w:rPr>
        <w:t>（投标人填写招标文件中明确的所属行业）</w:t>
      </w:r>
      <w:r>
        <w:rPr>
          <w:rFonts w:hint="eastAsia" w:ascii="Times New Roman" w:hAnsi="Times New Roman"/>
          <w:color w:val="000000"/>
          <w:sz w:val="24"/>
          <w:szCs w:val="24"/>
        </w:rPr>
        <w:t>行业；投标产品制造商为</w:t>
      </w:r>
      <w:r>
        <w:rPr>
          <w:rFonts w:hint="eastAsia" w:ascii="Times New Roman" w:hAnsi="Times New Roman"/>
          <w:color w:val="000000"/>
          <w:sz w:val="24"/>
          <w:szCs w:val="24"/>
          <w:u w:val="single"/>
        </w:rPr>
        <w:t>（企业名称）</w:t>
      </w:r>
      <w:r>
        <w:rPr>
          <w:rFonts w:hint="eastAsia" w:ascii="Times New Roman" w:hAnsi="Times New Roman"/>
          <w:color w:val="000000"/>
          <w:sz w:val="24"/>
          <w:szCs w:val="24"/>
        </w:rPr>
        <w:t>，从业人员人，营业收入为万元，资产总额为万元，属于</w:t>
      </w:r>
      <w:r>
        <w:rPr>
          <w:rFonts w:hint="eastAsia" w:ascii="Times New Roman" w:hAnsi="Times New Roman"/>
          <w:color w:val="000000"/>
          <w:sz w:val="24"/>
          <w:szCs w:val="24"/>
          <w:u w:val="single"/>
        </w:rPr>
        <w:t>（□中型企业 □小型企业 □微型企业）；</w:t>
      </w:r>
    </w:p>
    <w:p w14:paraId="1E473241">
      <w:pPr>
        <w:spacing w:line="480" w:lineRule="exact"/>
        <w:ind w:firstLine="480"/>
        <w:rPr>
          <w:rFonts w:ascii="Times New Roman" w:hAnsi="Times New Roman"/>
          <w:color w:val="000000"/>
          <w:sz w:val="24"/>
          <w:szCs w:val="24"/>
        </w:rPr>
      </w:pPr>
      <w:r>
        <w:rPr>
          <w:rFonts w:hint="eastAsia" w:ascii="Times New Roman" w:hAnsi="Times New Roman"/>
          <w:color w:val="000000"/>
          <w:sz w:val="24"/>
          <w:szCs w:val="24"/>
        </w:rPr>
        <w:t>……</w:t>
      </w:r>
    </w:p>
    <w:p w14:paraId="202982C9">
      <w:pPr>
        <w:spacing w:line="480" w:lineRule="exact"/>
        <w:ind w:firstLine="480"/>
        <w:rPr>
          <w:rFonts w:ascii="Times New Roman" w:hAnsi="Times New Roman"/>
          <w:color w:val="000000"/>
          <w:sz w:val="24"/>
          <w:szCs w:val="24"/>
        </w:rPr>
      </w:pPr>
      <w:r>
        <w:rPr>
          <w:rFonts w:hint="eastAsia" w:ascii="Times New Roman" w:hAnsi="Times New Roman"/>
          <w:color w:val="000000"/>
          <w:sz w:val="24"/>
          <w:szCs w:val="24"/>
        </w:rPr>
        <w:t>以上企业，不属于大企业的分支机构，不存在控股股东为大企业的情形，也不存在与大企业的负责人为同一人的情形。</w:t>
      </w:r>
    </w:p>
    <w:p w14:paraId="3C488261">
      <w:pPr>
        <w:spacing w:line="480" w:lineRule="exact"/>
        <w:ind w:firstLine="480"/>
        <w:rPr>
          <w:rFonts w:ascii="Times New Roman" w:hAnsi="Times New Roman"/>
          <w:color w:val="000000"/>
          <w:sz w:val="24"/>
          <w:szCs w:val="24"/>
        </w:rPr>
      </w:pPr>
      <w:r>
        <w:rPr>
          <w:rFonts w:hint="eastAsia" w:ascii="Times New Roman" w:hAnsi="Times New Roman"/>
          <w:color w:val="000000"/>
          <w:sz w:val="24"/>
          <w:szCs w:val="24"/>
        </w:rPr>
        <w:t>本企业对上述声明内容的真实性负责。如有虚假，将依法承担相应责任。</w:t>
      </w:r>
    </w:p>
    <w:p w14:paraId="2E611935">
      <w:pPr>
        <w:spacing w:line="480" w:lineRule="exact"/>
        <w:ind w:right="720"/>
        <w:rPr>
          <w:rFonts w:ascii="宋体" w:hAnsi="宋体"/>
          <w:color w:val="000000"/>
          <w:sz w:val="24"/>
          <w:szCs w:val="24"/>
        </w:rPr>
      </w:pPr>
    </w:p>
    <w:p w14:paraId="0E731D46">
      <w:pPr>
        <w:spacing w:line="400" w:lineRule="exact"/>
        <w:ind w:right="180" w:firstLine="360"/>
        <w:jc w:val="right"/>
        <w:rPr>
          <w:rFonts w:ascii="宋体" w:hAnsi="宋体"/>
          <w:color w:val="000000"/>
          <w:sz w:val="24"/>
          <w:szCs w:val="24"/>
        </w:rPr>
      </w:pPr>
      <w:r>
        <w:rPr>
          <w:rFonts w:hint="eastAsia" w:ascii="宋体" w:hAnsi="宋体"/>
          <w:color w:val="000000"/>
          <w:sz w:val="24"/>
          <w:szCs w:val="24"/>
        </w:rPr>
        <w:t>企业名称（加盖CA电子公章）：</w:t>
      </w:r>
    </w:p>
    <w:p w14:paraId="77C058AC">
      <w:pPr>
        <w:spacing w:line="400" w:lineRule="exact"/>
        <w:ind w:right="180" w:firstLine="360"/>
        <w:jc w:val="center"/>
        <w:rPr>
          <w:rFonts w:ascii="宋体" w:hAnsi="宋体"/>
          <w:color w:val="000000"/>
          <w:sz w:val="24"/>
          <w:szCs w:val="24"/>
        </w:rPr>
      </w:pPr>
      <w:r>
        <w:rPr>
          <w:rFonts w:hint="eastAsia" w:ascii="宋体" w:hAnsi="宋体"/>
          <w:color w:val="000000"/>
          <w:sz w:val="24"/>
          <w:szCs w:val="24"/>
        </w:rPr>
        <w:t xml:space="preserve">                       日  期：</w:t>
      </w:r>
    </w:p>
    <w:p w14:paraId="41E720BD">
      <w:pPr>
        <w:spacing w:line="400" w:lineRule="exact"/>
        <w:ind w:firstLine="480"/>
        <w:rPr>
          <w:rFonts w:ascii="宋体" w:hAnsi="宋体"/>
          <w:color w:val="000000"/>
          <w:sz w:val="24"/>
          <w:szCs w:val="24"/>
        </w:rPr>
      </w:pPr>
    </w:p>
    <w:p w14:paraId="70987158">
      <w:pPr>
        <w:spacing w:line="400" w:lineRule="exact"/>
        <w:ind w:firstLine="480"/>
        <w:rPr>
          <w:rFonts w:ascii="Times New Roman" w:hAnsi="Times New Roman"/>
          <w:color w:val="000000"/>
          <w:sz w:val="24"/>
          <w:szCs w:val="24"/>
        </w:rPr>
      </w:pPr>
      <w:r>
        <w:rPr>
          <w:rFonts w:ascii="Times New Roman" w:hAnsi="Times New Roman"/>
          <w:color w:val="000000"/>
          <w:sz w:val="24"/>
          <w:szCs w:val="24"/>
        </w:rPr>
        <w:t>备注：1.从业人员、营业收入、资产总额填报上一年度数据，无上一年度数据的新成立企业可不填报。</w:t>
      </w:r>
    </w:p>
    <w:p w14:paraId="32A2E907">
      <w:pPr>
        <w:spacing w:line="400" w:lineRule="exact"/>
        <w:ind w:firstLine="480"/>
        <w:jc w:val="right"/>
        <w:rPr>
          <w:rFonts w:ascii="宋体" w:hAnsi="宋体"/>
          <w:sz w:val="24"/>
          <w:szCs w:val="24"/>
        </w:rPr>
      </w:pPr>
      <w:r>
        <w:rPr>
          <w:rFonts w:ascii="Times New Roman" w:hAnsi="Times New Roman"/>
          <w:color w:val="000000"/>
          <w:sz w:val="24"/>
          <w:szCs w:val="24"/>
        </w:rPr>
        <w:t>2.对照《工业和信息化部、国家统计局、国家发展和改革委员会、财政部关于印发中小企业划型标准规定的通知》(工信部联企业[2011]300号)的规定，</w:t>
      </w:r>
      <w:r>
        <w:rPr>
          <w:rFonts w:hint="eastAsia" w:ascii="Times New Roman" w:hAnsi="Times New Roman"/>
          <w:color w:val="000000"/>
          <w:sz w:val="24"/>
          <w:szCs w:val="24"/>
        </w:rPr>
        <w:t>投标人</w:t>
      </w:r>
      <w:r>
        <w:rPr>
          <w:rFonts w:ascii="Times New Roman" w:hAnsi="Times New Roman"/>
          <w:color w:val="000000"/>
          <w:sz w:val="24"/>
          <w:szCs w:val="24"/>
        </w:rPr>
        <w:t>自行勾选制造商的企业规模类型。</w:t>
      </w:r>
    </w:p>
    <w:p w14:paraId="26D7EC46">
      <w:pPr>
        <w:jc w:val="center"/>
        <w:rPr>
          <w:rFonts w:ascii="方正小标宋_GBK" w:eastAsia="方正小标宋_GBK"/>
          <w:bCs/>
          <w:sz w:val="32"/>
          <w:szCs w:val="32"/>
        </w:rPr>
      </w:pPr>
      <w:r>
        <w:rPr>
          <w:rFonts w:ascii="宋体" w:hAnsi="宋体"/>
          <w:sz w:val="24"/>
          <w:szCs w:val="24"/>
        </w:rPr>
        <w:br w:type="page" w:clear="all"/>
      </w:r>
      <w:r>
        <w:rPr>
          <w:rFonts w:hint="eastAsia" w:ascii="方正小标宋_GBK" w:eastAsia="方正小标宋_GBK"/>
          <w:bCs/>
          <w:sz w:val="32"/>
          <w:szCs w:val="32"/>
        </w:rPr>
        <w:t>残疾人福利性单位声明函</w:t>
      </w:r>
    </w:p>
    <w:p w14:paraId="3C0EC516">
      <w:pPr>
        <w:spacing w:line="588" w:lineRule="exact"/>
        <w:rPr>
          <w:rFonts w:ascii="仿宋_GB2312" w:eastAsia="仿宋_GB2312"/>
          <w:b/>
          <w:spacing w:val="6"/>
          <w:sz w:val="30"/>
          <w:szCs w:val="30"/>
        </w:rPr>
      </w:pPr>
    </w:p>
    <w:p w14:paraId="56E7FA77">
      <w:pPr>
        <w:spacing w:line="500" w:lineRule="exact"/>
        <w:ind w:firstLine="480"/>
        <w:rPr>
          <w:rFonts w:ascii="Times New Roman" w:hAnsi="Times New Roman"/>
          <w:sz w:val="24"/>
        </w:rPr>
      </w:pPr>
      <w:r>
        <w:rPr>
          <w:rFonts w:hint="eastAsia" w:ascii="Times New Roman" w:hAnsi="Times New Roman"/>
          <w:sz w:val="24"/>
        </w:rPr>
        <w:t>本单位郑重声明，根据《财政部 民政部 中国残疾人联合会关于促进残疾人就业政府采购政策的通知》（财库〔</w:t>
      </w:r>
      <w:r>
        <w:rPr>
          <w:rFonts w:ascii="Times New Roman" w:hAnsi="Times New Roman"/>
          <w:sz w:val="24"/>
        </w:rPr>
        <w:t>2017</w:t>
      </w:r>
      <w:r>
        <w:rPr>
          <w:rFonts w:hint="eastAsia" w:ascii="Times New Roman" w:hAnsi="Times New Roman"/>
          <w:sz w:val="24"/>
        </w:rPr>
        <w:t>〕</w:t>
      </w:r>
      <w:r>
        <w:rPr>
          <w:rFonts w:ascii="Times New Roman" w:hAnsi="Times New Roman"/>
          <w:sz w:val="24"/>
        </w:rPr>
        <w:t>141</w:t>
      </w:r>
      <w:r>
        <w:rPr>
          <w:rFonts w:hint="eastAsia" w:ascii="Times New Roman" w:hAnsi="Times New Roman"/>
          <w:sz w:val="24"/>
        </w:rPr>
        <w:t>号）的规定，本单位为符合条件的残疾人福利性单位，且本单位参加</w:t>
      </w:r>
      <w:r>
        <w:rPr>
          <w:rFonts w:hint="eastAsia" w:ascii="Times New Roman" w:hAnsi="Times New Roman"/>
          <w:sz w:val="24"/>
          <w:u w:val="single"/>
        </w:rPr>
        <w:t>（</w:t>
      </w:r>
      <w:r>
        <w:rPr>
          <w:rFonts w:hint="eastAsia" w:ascii="Times New Roman" w:hAnsi="Times New Roman"/>
          <w:sz w:val="24"/>
          <w:szCs w:val="24"/>
          <w:u w:val="single"/>
        </w:rPr>
        <w:t>单位名称）</w:t>
      </w:r>
      <w:r>
        <w:rPr>
          <w:rFonts w:hint="eastAsia" w:ascii="Times New Roman" w:hAnsi="Times New Roman"/>
          <w:sz w:val="24"/>
        </w:rPr>
        <w:t>的</w:t>
      </w:r>
      <w:r>
        <w:rPr>
          <w:rFonts w:hint="eastAsia" w:ascii="Times New Roman" w:hAnsi="Times New Roman"/>
          <w:sz w:val="24"/>
          <w:u w:val="single"/>
        </w:rPr>
        <w:t xml:space="preserve">（项目名称） </w:t>
      </w:r>
      <w:r>
        <w:rPr>
          <w:rFonts w:hint="eastAsia" w:ascii="Times New Roman" w:hAnsi="Times New Roman"/>
          <w:sz w:val="24"/>
        </w:rPr>
        <w:t>采购活动提供本单位制造的货物（由本单位承担工程/提供服务），或者提供其他残疾人福利性单位制造的货物（不包括使用非残疾人福利性单位注册商标的货物）。</w:t>
      </w:r>
    </w:p>
    <w:p w14:paraId="429A8CFF">
      <w:pPr>
        <w:spacing w:line="500" w:lineRule="exact"/>
        <w:ind w:firstLine="480"/>
        <w:rPr>
          <w:rFonts w:ascii="Times New Roman" w:hAnsi="Times New Roman"/>
          <w:sz w:val="24"/>
        </w:rPr>
      </w:pPr>
      <w:r>
        <w:rPr>
          <w:rFonts w:hint="eastAsia" w:ascii="Times New Roman" w:hAnsi="Times New Roman"/>
          <w:sz w:val="24"/>
        </w:rPr>
        <w:t>本单位对上述声明的真实性负责。如有虚假，将依法承担相应责任。</w:t>
      </w:r>
    </w:p>
    <w:p w14:paraId="7BA6B4BC">
      <w:pPr>
        <w:spacing w:line="500" w:lineRule="exact"/>
        <w:ind w:firstLine="3810"/>
        <w:rPr>
          <w:rFonts w:ascii="Times New Roman" w:hAnsi="Times New Roman"/>
          <w:spacing w:val="6"/>
          <w:sz w:val="24"/>
          <w:szCs w:val="24"/>
        </w:rPr>
      </w:pPr>
    </w:p>
    <w:p w14:paraId="61812411">
      <w:pPr>
        <w:spacing w:line="500" w:lineRule="exact"/>
        <w:ind w:firstLine="3629"/>
        <w:jc w:val="left"/>
        <w:rPr>
          <w:rFonts w:ascii="Times New Roman" w:hAnsi="Times New Roman"/>
          <w:sz w:val="24"/>
        </w:rPr>
      </w:pPr>
    </w:p>
    <w:p w14:paraId="0FEABE46">
      <w:pPr>
        <w:spacing w:line="500" w:lineRule="exact"/>
        <w:ind w:firstLine="480"/>
        <w:jc w:val="left"/>
        <w:rPr>
          <w:rFonts w:ascii="Times New Roman" w:hAnsi="Times New Roman"/>
          <w:sz w:val="24"/>
        </w:rPr>
      </w:pPr>
      <w:r>
        <w:rPr>
          <w:rFonts w:hint="eastAsia" w:ascii="Times New Roman" w:hAnsi="Times New Roman"/>
          <w:sz w:val="24"/>
        </w:rPr>
        <w:t>单位名称：（</w:t>
      </w:r>
      <w:r>
        <w:rPr>
          <w:rFonts w:hint="eastAsia" w:ascii="Times New Roman" w:hAnsi="Times New Roman"/>
          <w:sz w:val="24"/>
          <w:szCs w:val="24"/>
        </w:rPr>
        <w:t>盖CA电子公章</w:t>
      </w:r>
      <w:r>
        <w:rPr>
          <w:rFonts w:hint="eastAsia" w:ascii="Times New Roman" w:hAnsi="Times New Roman"/>
          <w:sz w:val="24"/>
        </w:rPr>
        <w:t>）</w:t>
      </w:r>
    </w:p>
    <w:p w14:paraId="53D5000C">
      <w:pPr>
        <w:spacing w:line="500" w:lineRule="exact"/>
        <w:ind w:firstLine="480"/>
        <w:jc w:val="left"/>
        <w:rPr>
          <w:rFonts w:ascii="Times New Roman" w:hAnsi="Times New Roman"/>
          <w:sz w:val="24"/>
          <w:szCs w:val="20"/>
        </w:rPr>
      </w:pPr>
      <w:r>
        <w:rPr>
          <w:rFonts w:hint="eastAsia" w:ascii="Times New Roman" w:hAnsi="Times New Roman"/>
          <w:sz w:val="24"/>
          <w:szCs w:val="20"/>
        </w:rPr>
        <w:t>日期：  年  月  日</w:t>
      </w:r>
    </w:p>
    <w:p w14:paraId="7C48AF74">
      <w:pPr>
        <w:tabs>
          <w:tab w:val="left" w:pos="4860"/>
        </w:tabs>
        <w:spacing w:line="588" w:lineRule="exact"/>
        <w:ind w:right="1560" w:firstLine="480"/>
        <w:jc w:val="center"/>
        <w:rPr>
          <w:rFonts w:ascii="Times New Roman" w:hAnsi="Times New Roman" w:cs="Arial"/>
          <w:sz w:val="24"/>
          <w:szCs w:val="24"/>
        </w:rPr>
      </w:pPr>
    </w:p>
    <w:p w14:paraId="468A1BE7">
      <w:pPr>
        <w:spacing w:line="500" w:lineRule="exact"/>
        <w:ind w:left="357"/>
        <w:rPr>
          <w:rFonts w:ascii="Times New Roman" w:hAnsi="Times New Roman" w:cs="Arial"/>
          <w:sz w:val="24"/>
          <w:szCs w:val="24"/>
        </w:rPr>
      </w:pPr>
    </w:p>
    <w:p w14:paraId="466659EB">
      <w:pPr>
        <w:spacing w:line="480" w:lineRule="exact"/>
        <w:ind w:firstLine="442"/>
        <w:rPr>
          <w:rFonts w:ascii="Times New Roman" w:hAnsi="Times New Roman"/>
          <w:sz w:val="24"/>
          <w:szCs w:val="24"/>
        </w:rPr>
      </w:pPr>
      <w:r>
        <w:rPr>
          <w:rFonts w:hint="eastAsia" w:ascii="Times New Roman" w:hAnsi="Times New Roman"/>
          <w:sz w:val="24"/>
          <w:szCs w:val="24"/>
        </w:rPr>
        <w:t>备注：1.非残疾人福利性单位不需提供此函。</w:t>
      </w:r>
    </w:p>
    <w:p w14:paraId="3CA8A68D">
      <w:pPr>
        <w:spacing w:line="480" w:lineRule="exact"/>
        <w:rPr>
          <w:rFonts w:ascii="Times New Roman" w:hAnsi="Times New Roman"/>
          <w:sz w:val="24"/>
          <w:szCs w:val="24"/>
        </w:rPr>
      </w:pPr>
      <w:r>
        <w:rPr>
          <w:rFonts w:hint="eastAsia" w:ascii="Times New Roman" w:hAnsi="Times New Roman"/>
          <w:sz w:val="24"/>
          <w:szCs w:val="24"/>
        </w:rPr>
        <w:t>2.符合报价折扣情形的请将此函填报上传至“企业报价折扣证明”一栏中。</w:t>
      </w:r>
    </w:p>
    <w:p w14:paraId="2620509B">
      <w:pPr>
        <w:spacing w:line="480" w:lineRule="exact"/>
        <w:ind w:firstLine="442"/>
        <w:rPr>
          <w:rFonts w:ascii="Times New Roman" w:hAnsi="Times New Roman"/>
          <w:color w:val="000000"/>
          <w:sz w:val="24"/>
          <w:szCs w:val="24"/>
        </w:rPr>
      </w:pPr>
    </w:p>
    <w:p w14:paraId="10F31575">
      <w:pPr>
        <w:spacing w:line="480" w:lineRule="exact"/>
        <w:ind w:firstLine="442"/>
        <w:rPr>
          <w:rFonts w:ascii="Times New Roman" w:hAnsi="Times New Roman"/>
          <w:color w:val="000000"/>
          <w:sz w:val="24"/>
          <w:szCs w:val="24"/>
        </w:rPr>
      </w:pPr>
    </w:p>
    <w:p w14:paraId="0313386E">
      <w:pPr>
        <w:spacing w:line="480" w:lineRule="exact"/>
        <w:ind w:firstLine="442"/>
        <w:rPr>
          <w:rFonts w:ascii="Times New Roman" w:hAnsi="Times New Roman"/>
          <w:color w:val="000000"/>
          <w:sz w:val="24"/>
          <w:szCs w:val="24"/>
        </w:rPr>
      </w:pPr>
    </w:p>
    <w:p w14:paraId="08EAA2DC">
      <w:pPr>
        <w:spacing w:line="480" w:lineRule="exact"/>
        <w:ind w:firstLine="442"/>
        <w:rPr>
          <w:rFonts w:ascii="Times New Roman" w:hAnsi="Times New Roman"/>
          <w:color w:val="000000"/>
          <w:sz w:val="24"/>
          <w:szCs w:val="24"/>
        </w:rPr>
      </w:pPr>
    </w:p>
    <w:p w14:paraId="3A3FA3C1">
      <w:pPr>
        <w:spacing w:line="480" w:lineRule="exact"/>
        <w:ind w:firstLine="442"/>
        <w:rPr>
          <w:rFonts w:ascii="Times New Roman" w:hAnsi="Times New Roman"/>
          <w:color w:val="000000"/>
          <w:sz w:val="24"/>
          <w:szCs w:val="24"/>
        </w:rPr>
      </w:pPr>
    </w:p>
    <w:p w14:paraId="0B1A2421">
      <w:pPr>
        <w:spacing w:line="480" w:lineRule="exact"/>
        <w:ind w:firstLine="442"/>
        <w:rPr>
          <w:rFonts w:ascii="Times New Roman" w:hAnsi="Times New Roman"/>
          <w:color w:val="000000"/>
          <w:sz w:val="24"/>
          <w:szCs w:val="24"/>
        </w:rPr>
      </w:pPr>
    </w:p>
    <w:p w14:paraId="3551BBC7">
      <w:pPr>
        <w:spacing w:line="480" w:lineRule="exact"/>
        <w:rPr>
          <w:rFonts w:ascii="Times New Roman" w:hAnsi="Times New Roman"/>
          <w:color w:val="000000"/>
          <w:sz w:val="24"/>
          <w:szCs w:val="24"/>
        </w:rPr>
      </w:pPr>
    </w:p>
    <w:p w14:paraId="47A6485B">
      <w:pPr>
        <w:spacing w:line="480" w:lineRule="exact"/>
        <w:ind w:firstLine="442"/>
        <w:rPr>
          <w:rFonts w:ascii="Times New Roman" w:hAnsi="Times New Roman"/>
          <w:color w:val="000000"/>
          <w:sz w:val="24"/>
          <w:szCs w:val="24"/>
        </w:rPr>
      </w:pPr>
    </w:p>
    <w:p w14:paraId="78412A93">
      <w:pPr>
        <w:spacing w:line="480" w:lineRule="exact"/>
        <w:ind w:firstLine="442"/>
        <w:rPr>
          <w:rFonts w:ascii="Times New Roman" w:hAnsi="Times New Roman"/>
          <w:color w:val="000000"/>
          <w:sz w:val="24"/>
          <w:szCs w:val="24"/>
        </w:rPr>
      </w:pPr>
    </w:p>
    <w:p w14:paraId="07A4345A">
      <w:pPr>
        <w:spacing w:line="480" w:lineRule="exact"/>
        <w:ind w:firstLine="442"/>
        <w:rPr>
          <w:rFonts w:ascii="Times New Roman" w:hAnsi="Times New Roman"/>
          <w:color w:val="000000"/>
          <w:sz w:val="24"/>
          <w:szCs w:val="24"/>
        </w:rPr>
      </w:pPr>
    </w:p>
    <w:p w14:paraId="0E3CD423">
      <w:pPr>
        <w:spacing w:line="480" w:lineRule="exact"/>
        <w:rPr>
          <w:rFonts w:ascii="Times New Roman" w:hAnsi="Times New Roman"/>
          <w:color w:val="000000"/>
          <w:sz w:val="24"/>
          <w:szCs w:val="24"/>
        </w:rPr>
      </w:pPr>
    </w:p>
    <w:p w14:paraId="4AA43C4C">
      <w:pPr>
        <w:keepNext/>
        <w:keepLines/>
        <w:spacing w:line="520" w:lineRule="exact"/>
        <w:outlineLvl w:val="1"/>
        <w:rPr>
          <w:rFonts w:ascii="宋体" w:hAnsi="宋体" w:cs="宋体"/>
          <w:b/>
          <w:bCs/>
          <w:color w:val="000000"/>
          <w:sz w:val="32"/>
          <w:szCs w:val="32"/>
        </w:rPr>
      </w:pPr>
    </w:p>
    <w:p w14:paraId="1D4F5403">
      <w:pPr>
        <w:keepNext/>
        <w:keepLines/>
        <w:spacing w:line="520" w:lineRule="exact"/>
        <w:outlineLvl w:val="1"/>
        <w:rPr>
          <w:rFonts w:ascii="宋体" w:hAnsi="宋体" w:cs="宋体"/>
          <w:b/>
          <w:bCs/>
          <w:color w:val="000000"/>
          <w:sz w:val="32"/>
          <w:szCs w:val="32"/>
        </w:rPr>
      </w:pPr>
      <w:r>
        <w:rPr>
          <w:rFonts w:hint="eastAsia" w:ascii="宋体" w:hAnsi="宋体" w:cs="宋体"/>
          <w:b/>
          <w:bCs/>
          <w:color w:val="000000"/>
          <w:sz w:val="32"/>
          <w:szCs w:val="32"/>
        </w:rPr>
        <w:t>六、技术响应偏离表（技术参数响应）</w:t>
      </w:r>
    </w:p>
    <w:tbl>
      <w:tblPr>
        <w:tblStyle w:val="30"/>
        <w:tblW w:w="0" w:type="auto"/>
        <w:tblInd w:w="-333" w:type="dxa"/>
        <w:tblLayout w:type="autofit"/>
        <w:tblCellMar>
          <w:top w:w="0" w:type="dxa"/>
          <w:left w:w="108" w:type="dxa"/>
          <w:bottom w:w="0" w:type="dxa"/>
          <w:right w:w="108" w:type="dxa"/>
        </w:tblCellMar>
      </w:tblPr>
      <w:tblGrid>
        <w:gridCol w:w="2791"/>
        <w:gridCol w:w="2386"/>
        <w:gridCol w:w="1994"/>
        <w:gridCol w:w="2223"/>
      </w:tblGrid>
      <w:tr w14:paraId="6FC01DC4">
        <w:tblPrEx>
          <w:tblCellMar>
            <w:top w:w="0" w:type="dxa"/>
            <w:left w:w="108" w:type="dxa"/>
            <w:bottom w:w="0" w:type="dxa"/>
            <w:right w:w="108" w:type="dxa"/>
          </w:tblCellMar>
        </w:tblPrEx>
        <w:trPr>
          <w:trHeight w:val="665" w:hRule="atLeast"/>
        </w:trPr>
        <w:tc>
          <w:tcPr>
            <w:tcW w:w="2791" w:type="dxa"/>
            <w:tcBorders>
              <w:top w:val="single" w:color="000000" w:sz="8" w:space="0"/>
              <w:left w:val="single" w:color="000000" w:sz="8" w:space="0"/>
              <w:bottom w:val="single" w:color="000000" w:sz="8" w:space="0"/>
              <w:right w:val="single" w:color="000000" w:sz="8" w:space="0"/>
            </w:tcBorders>
            <w:noWrap/>
            <w:vAlign w:val="center"/>
          </w:tcPr>
          <w:p w14:paraId="05F9CB4D">
            <w:pPr>
              <w:spacing w:before="100" w:line="559" w:lineRule="atLeast"/>
              <w:jc w:val="center"/>
              <w:rPr>
                <w:rFonts w:ascii="宋体" w:hAnsi="宋体" w:cs="仿宋"/>
                <w:color w:val="000000"/>
              </w:rPr>
            </w:pPr>
            <w:r>
              <w:rPr>
                <w:rFonts w:hint="eastAsia" w:ascii="宋体" w:hAnsi="宋体" w:cs="仿宋"/>
                <w:color w:val="000000"/>
                <w:sz w:val="28"/>
              </w:rPr>
              <w:t>招标文件内容</w:t>
            </w:r>
          </w:p>
        </w:tc>
        <w:tc>
          <w:tcPr>
            <w:tcW w:w="2386" w:type="dxa"/>
            <w:tcBorders>
              <w:top w:val="single" w:color="000000" w:sz="8" w:space="0"/>
              <w:left w:val="nil"/>
              <w:bottom w:val="single" w:color="000000" w:sz="8" w:space="0"/>
              <w:right w:val="single" w:color="000000" w:sz="8" w:space="0"/>
            </w:tcBorders>
            <w:noWrap/>
            <w:vAlign w:val="center"/>
          </w:tcPr>
          <w:p w14:paraId="41DEC86D">
            <w:pPr>
              <w:spacing w:before="100" w:line="559" w:lineRule="atLeast"/>
              <w:jc w:val="center"/>
              <w:rPr>
                <w:rFonts w:ascii="宋体" w:hAnsi="宋体" w:cs="仿宋"/>
                <w:color w:val="000000"/>
              </w:rPr>
            </w:pPr>
            <w:r>
              <w:rPr>
                <w:rFonts w:hint="eastAsia" w:ascii="宋体" w:hAnsi="宋体" w:cs="仿宋"/>
                <w:color w:val="000000"/>
                <w:sz w:val="28"/>
              </w:rPr>
              <w:t>投标文件内容</w:t>
            </w:r>
          </w:p>
        </w:tc>
        <w:tc>
          <w:tcPr>
            <w:tcW w:w="1994" w:type="dxa"/>
            <w:tcBorders>
              <w:top w:val="single" w:color="000000" w:sz="8" w:space="0"/>
              <w:left w:val="nil"/>
              <w:bottom w:val="single" w:color="000000" w:sz="8" w:space="0"/>
              <w:right w:val="single" w:color="000000" w:sz="8" w:space="0"/>
            </w:tcBorders>
            <w:noWrap/>
            <w:vAlign w:val="center"/>
          </w:tcPr>
          <w:p w14:paraId="14CA71F3">
            <w:pPr>
              <w:spacing w:before="100" w:line="400" w:lineRule="exact"/>
              <w:jc w:val="center"/>
              <w:rPr>
                <w:rFonts w:ascii="宋体" w:hAnsi="宋体" w:cs="仿宋"/>
                <w:color w:val="000000"/>
                <w:sz w:val="28"/>
              </w:rPr>
            </w:pPr>
            <w:r>
              <w:rPr>
                <w:rFonts w:hint="eastAsia" w:ascii="宋体" w:hAnsi="宋体" w:cs="仿宋"/>
                <w:color w:val="000000"/>
                <w:sz w:val="28"/>
              </w:rPr>
              <w:t>偏离情况</w:t>
            </w:r>
          </w:p>
          <w:p w14:paraId="695BFB09">
            <w:pPr>
              <w:spacing w:before="100" w:line="400" w:lineRule="exact"/>
              <w:jc w:val="center"/>
              <w:rPr>
                <w:rFonts w:ascii="宋体" w:hAnsi="宋体" w:cs="仿宋"/>
                <w:color w:val="000000"/>
                <w:sz w:val="28"/>
              </w:rPr>
            </w:pPr>
            <w:r>
              <w:rPr>
                <w:rFonts w:hint="eastAsia" w:ascii="宋体" w:hAnsi="宋体" w:cs="仿宋"/>
                <w:color w:val="000000"/>
                <w:sz w:val="28"/>
              </w:rPr>
              <w:t>（</w:t>
            </w:r>
            <w:r>
              <w:rPr>
                <w:rFonts w:ascii="宋体" w:hAnsi="宋体" w:cs="仿宋"/>
                <w:b/>
                <w:color w:val="000000"/>
                <w:sz w:val="24"/>
              </w:rPr>
              <w:t>正偏离、负偏离、无偏离</w:t>
            </w:r>
            <w:r>
              <w:rPr>
                <w:rFonts w:hint="eastAsia" w:ascii="宋体" w:hAnsi="宋体" w:cs="仿宋"/>
                <w:color w:val="000000"/>
                <w:sz w:val="28"/>
              </w:rPr>
              <w:t>）</w:t>
            </w:r>
          </w:p>
        </w:tc>
        <w:tc>
          <w:tcPr>
            <w:tcW w:w="2223" w:type="dxa"/>
            <w:tcBorders>
              <w:top w:val="single" w:color="000000" w:sz="8" w:space="0"/>
              <w:left w:val="nil"/>
              <w:bottom w:val="single" w:color="000000" w:sz="8" w:space="0"/>
              <w:right w:val="single" w:color="000000" w:sz="8" w:space="0"/>
            </w:tcBorders>
            <w:noWrap/>
            <w:vAlign w:val="center"/>
          </w:tcPr>
          <w:p w14:paraId="7AD68F17">
            <w:pPr>
              <w:spacing w:before="100" w:line="559" w:lineRule="atLeast"/>
              <w:jc w:val="center"/>
              <w:rPr>
                <w:rFonts w:ascii="宋体" w:hAnsi="宋体" w:cs="仿宋"/>
                <w:color w:val="000000"/>
                <w:sz w:val="28"/>
                <w:szCs w:val="28"/>
              </w:rPr>
            </w:pPr>
            <w:r>
              <w:rPr>
                <w:rFonts w:hint="eastAsia" w:ascii="宋体" w:hAnsi="宋体" w:cs="仿宋"/>
                <w:color w:val="000000"/>
                <w:sz w:val="28"/>
              </w:rPr>
              <w:t>偏离内容及说明</w:t>
            </w:r>
          </w:p>
        </w:tc>
      </w:tr>
      <w:tr w14:paraId="1C0538B0">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ign w:val="center"/>
          </w:tcPr>
          <w:p w14:paraId="56376626">
            <w:pPr>
              <w:spacing w:line="559" w:lineRule="atLeast"/>
              <w:jc w:val="center"/>
              <w:rPr>
                <w:rFonts w:ascii="仿宋" w:hAnsi="仿宋" w:eastAsia="仿宋" w:cs="仿宋"/>
                <w:color w:val="000000"/>
              </w:rPr>
            </w:pPr>
            <w:r>
              <w:rPr>
                <w:rFonts w:hint="eastAsia" w:ascii="仿宋" w:hAnsi="仿宋" w:eastAsia="仿宋" w:cs="仿宋"/>
                <w:color w:val="000000"/>
                <w:sz w:val="24"/>
              </w:rPr>
              <w:t> </w:t>
            </w:r>
          </w:p>
        </w:tc>
        <w:tc>
          <w:tcPr>
            <w:tcW w:w="2386" w:type="dxa"/>
            <w:tcBorders>
              <w:top w:val="nil"/>
              <w:left w:val="nil"/>
              <w:bottom w:val="single" w:color="000000" w:sz="8" w:space="0"/>
              <w:right w:val="single" w:color="000000" w:sz="8" w:space="0"/>
            </w:tcBorders>
            <w:noWrap/>
            <w:vAlign w:val="center"/>
          </w:tcPr>
          <w:p w14:paraId="76567499">
            <w:pPr>
              <w:spacing w:line="559" w:lineRule="atLeast"/>
              <w:jc w:val="center"/>
              <w:rPr>
                <w:rFonts w:ascii="仿宋" w:hAnsi="仿宋" w:eastAsia="仿宋" w:cs="仿宋"/>
                <w:color w:val="000000"/>
              </w:rPr>
            </w:pPr>
            <w:r>
              <w:rPr>
                <w:rFonts w:hint="eastAsia" w:ascii="仿宋" w:hAnsi="仿宋" w:eastAsia="仿宋" w:cs="仿宋"/>
                <w:color w:val="000000"/>
                <w:sz w:val="24"/>
              </w:rPr>
              <w:t> </w:t>
            </w:r>
          </w:p>
        </w:tc>
        <w:tc>
          <w:tcPr>
            <w:tcW w:w="1994" w:type="dxa"/>
            <w:tcBorders>
              <w:top w:val="nil"/>
              <w:left w:val="nil"/>
              <w:bottom w:val="single" w:color="000000" w:sz="8" w:space="0"/>
              <w:right w:val="single" w:color="000000" w:sz="8" w:space="0"/>
            </w:tcBorders>
            <w:noWrap/>
            <w:vAlign w:val="center"/>
          </w:tcPr>
          <w:p w14:paraId="120286FA">
            <w:pPr>
              <w:spacing w:line="559" w:lineRule="atLeast"/>
              <w:jc w:val="center"/>
              <w:rPr>
                <w:rFonts w:ascii="仿宋" w:hAnsi="仿宋" w:eastAsia="仿宋" w:cs="仿宋"/>
                <w:color w:val="000000"/>
                <w:sz w:val="24"/>
              </w:rPr>
            </w:pPr>
          </w:p>
        </w:tc>
        <w:tc>
          <w:tcPr>
            <w:tcW w:w="2223" w:type="dxa"/>
            <w:tcBorders>
              <w:top w:val="nil"/>
              <w:left w:val="nil"/>
              <w:bottom w:val="single" w:color="000000" w:sz="8" w:space="0"/>
              <w:right w:val="single" w:color="000000" w:sz="8" w:space="0"/>
            </w:tcBorders>
            <w:noWrap/>
            <w:vAlign w:val="center"/>
          </w:tcPr>
          <w:p w14:paraId="5D3EDAA6">
            <w:pPr>
              <w:spacing w:line="559" w:lineRule="atLeast"/>
              <w:jc w:val="center"/>
              <w:rPr>
                <w:rFonts w:ascii="仿宋" w:hAnsi="仿宋" w:eastAsia="仿宋" w:cs="仿宋"/>
                <w:color w:val="000000"/>
              </w:rPr>
            </w:pPr>
            <w:r>
              <w:rPr>
                <w:rFonts w:hint="eastAsia" w:ascii="仿宋" w:hAnsi="仿宋" w:eastAsia="仿宋" w:cs="仿宋"/>
                <w:color w:val="000000"/>
                <w:sz w:val="24"/>
              </w:rPr>
              <w:t> </w:t>
            </w:r>
          </w:p>
        </w:tc>
      </w:tr>
      <w:tr w14:paraId="4BABD0D6">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ign w:val="center"/>
          </w:tcPr>
          <w:p w14:paraId="25BED34D">
            <w:pPr>
              <w:spacing w:line="559" w:lineRule="atLeast"/>
              <w:jc w:val="center"/>
              <w:rPr>
                <w:rFonts w:ascii="仿宋" w:hAnsi="仿宋" w:eastAsia="仿宋" w:cs="仿宋"/>
                <w:color w:val="000000"/>
              </w:rPr>
            </w:pPr>
            <w:r>
              <w:rPr>
                <w:rFonts w:hint="eastAsia" w:ascii="仿宋" w:hAnsi="仿宋" w:eastAsia="仿宋" w:cs="仿宋"/>
                <w:color w:val="000000"/>
                <w:sz w:val="24"/>
              </w:rPr>
              <w:t> </w:t>
            </w:r>
          </w:p>
        </w:tc>
        <w:tc>
          <w:tcPr>
            <w:tcW w:w="2386" w:type="dxa"/>
            <w:tcBorders>
              <w:top w:val="nil"/>
              <w:left w:val="nil"/>
              <w:bottom w:val="single" w:color="000000" w:sz="8" w:space="0"/>
              <w:right w:val="single" w:color="000000" w:sz="8" w:space="0"/>
            </w:tcBorders>
            <w:noWrap/>
            <w:vAlign w:val="center"/>
          </w:tcPr>
          <w:p w14:paraId="322FB408">
            <w:pPr>
              <w:spacing w:line="559" w:lineRule="atLeast"/>
              <w:jc w:val="center"/>
              <w:rPr>
                <w:rFonts w:ascii="仿宋" w:hAnsi="仿宋" w:eastAsia="仿宋" w:cs="仿宋"/>
                <w:color w:val="000000"/>
              </w:rPr>
            </w:pPr>
            <w:r>
              <w:rPr>
                <w:rFonts w:hint="eastAsia" w:ascii="仿宋" w:hAnsi="仿宋" w:eastAsia="仿宋" w:cs="仿宋"/>
                <w:color w:val="000000"/>
                <w:sz w:val="24"/>
              </w:rPr>
              <w:t> </w:t>
            </w:r>
          </w:p>
        </w:tc>
        <w:tc>
          <w:tcPr>
            <w:tcW w:w="1994" w:type="dxa"/>
            <w:tcBorders>
              <w:top w:val="nil"/>
              <w:left w:val="nil"/>
              <w:bottom w:val="single" w:color="000000" w:sz="8" w:space="0"/>
              <w:right w:val="single" w:color="000000" w:sz="8" w:space="0"/>
            </w:tcBorders>
            <w:noWrap/>
            <w:vAlign w:val="center"/>
          </w:tcPr>
          <w:p w14:paraId="0AFCB90A">
            <w:pPr>
              <w:spacing w:line="559" w:lineRule="atLeast"/>
              <w:jc w:val="center"/>
              <w:rPr>
                <w:rFonts w:ascii="仿宋" w:hAnsi="仿宋" w:eastAsia="仿宋" w:cs="仿宋"/>
                <w:color w:val="000000"/>
                <w:sz w:val="24"/>
              </w:rPr>
            </w:pPr>
          </w:p>
        </w:tc>
        <w:tc>
          <w:tcPr>
            <w:tcW w:w="2223" w:type="dxa"/>
            <w:tcBorders>
              <w:top w:val="nil"/>
              <w:left w:val="nil"/>
              <w:bottom w:val="single" w:color="000000" w:sz="8" w:space="0"/>
              <w:right w:val="single" w:color="000000" w:sz="8" w:space="0"/>
            </w:tcBorders>
            <w:noWrap/>
            <w:vAlign w:val="center"/>
          </w:tcPr>
          <w:p w14:paraId="33A1A0AF">
            <w:pPr>
              <w:spacing w:line="559" w:lineRule="atLeast"/>
              <w:jc w:val="center"/>
              <w:rPr>
                <w:rFonts w:ascii="仿宋" w:hAnsi="仿宋" w:eastAsia="仿宋" w:cs="仿宋"/>
                <w:color w:val="000000"/>
              </w:rPr>
            </w:pPr>
            <w:r>
              <w:rPr>
                <w:rFonts w:hint="eastAsia" w:ascii="仿宋" w:hAnsi="仿宋" w:eastAsia="仿宋" w:cs="仿宋"/>
                <w:color w:val="000000"/>
                <w:sz w:val="24"/>
              </w:rPr>
              <w:t> </w:t>
            </w:r>
          </w:p>
        </w:tc>
      </w:tr>
      <w:tr w14:paraId="4627414E">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ign w:val="center"/>
          </w:tcPr>
          <w:p w14:paraId="1BC8FC3B">
            <w:pPr>
              <w:spacing w:line="559" w:lineRule="atLeast"/>
              <w:jc w:val="center"/>
              <w:rPr>
                <w:rFonts w:ascii="仿宋" w:hAnsi="仿宋" w:eastAsia="仿宋" w:cs="仿宋"/>
                <w:color w:val="000000"/>
              </w:rPr>
            </w:pPr>
            <w:r>
              <w:rPr>
                <w:rFonts w:hint="eastAsia" w:ascii="仿宋" w:hAnsi="仿宋" w:eastAsia="仿宋" w:cs="仿宋"/>
                <w:color w:val="000000"/>
                <w:sz w:val="24"/>
              </w:rPr>
              <w:t> </w:t>
            </w:r>
          </w:p>
        </w:tc>
        <w:tc>
          <w:tcPr>
            <w:tcW w:w="2386" w:type="dxa"/>
            <w:tcBorders>
              <w:top w:val="nil"/>
              <w:left w:val="nil"/>
              <w:bottom w:val="single" w:color="000000" w:sz="8" w:space="0"/>
              <w:right w:val="single" w:color="000000" w:sz="8" w:space="0"/>
            </w:tcBorders>
            <w:noWrap/>
            <w:vAlign w:val="center"/>
          </w:tcPr>
          <w:p w14:paraId="3BFD78A1">
            <w:pPr>
              <w:spacing w:line="559" w:lineRule="atLeast"/>
              <w:jc w:val="center"/>
              <w:rPr>
                <w:rFonts w:ascii="仿宋" w:hAnsi="仿宋" w:eastAsia="仿宋" w:cs="仿宋"/>
                <w:color w:val="000000"/>
              </w:rPr>
            </w:pPr>
            <w:r>
              <w:rPr>
                <w:rFonts w:hint="eastAsia" w:ascii="仿宋" w:hAnsi="仿宋" w:eastAsia="仿宋" w:cs="仿宋"/>
                <w:color w:val="000000"/>
                <w:sz w:val="24"/>
              </w:rPr>
              <w:t> </w:t>
            </w:r>
          </w:p>
        </w:tc>
        <w:tc>
          <w:tcPr>
            <w:tcW w:w="1994" w:type="dxa"/>
            <w:tcBorders>
              <w:top w:val="nil"/>
              <w:left w:val="nil"/>
              <w:bottom w:val="single" w:color="000000" w:sz="8" w:space="0"/>
              <w:right w:val="single" w:color="000000" w:sz="8" w:space="0"/>
            </w:tcBorders>
            <w:noWrap/>
            <w:vAlign w:val="center"/>
          </w:tcPr>
          <w:p w14:paraId="5FD3A6F0">
            <w:pPr>
              <w:spacing w:line="559" w:lineRule="atLeast"/>
              <w:jc w:val="center"/>
              <w:rPr>
                <w:rFonts w:ascii="仿宋" w:hAnsi="仿宋" w:eastAsia="仿宋" w:cs="仿宋"/>
                <w:color w:val="000000"/>
                <w:sz w:val="24"/>
              </w:rPr>
            </w:pPr>
          </w:p>
        </w:tc>
        <w:tc>
          <w:tcPr>
            <w:tcW w:w="2223" w:type="dxa"/>
            <w:tcBorders>
              <w:top w:val="nil"/>
              <w:left w:val="nil"/>
              <w:bottom w:val="single" w:color="000000" w:sz="8" w:space="0"/>
              <w:right w:val="single" w:color="000000" w:sz="8" w:space="0"/>
            </w:tcBorders>
            <w:noWrap/>
            <w:vAlign w:val="center"/>
          </w:tcPr>
          <w:p w14:paraId="11B0DEE9">
            <w:pPr>
              <w:spacing w:line="559" w:lineRule="atLeast"/>
              <w:jc w:val="center"/>
              <w:rPr>
                <w:rFonts w:ascii="仿宋" w:hAnsi="仿宋" w:eastAsia="仿宋" w:cs="仿宋"/>
                <w:color w:val="000000"/>
              </w:rPr>
            </w:pPr>
            <w:r>
              <w:rPr>
                <w:rFonts w:hint="eastAsia" w:ascii="仿宋" w:hAnsi="仿宋" w:eastAsia="仿宋" w:cs="仿宋"/>
                <w:color w:val="000000"/>
                <w:sz w:val="24"/>
              </w:rPr>
              <w:t> </w:t>
            </w:r>
          </w:p>
        </w:tc>
      </w:tr>
      <w:tr w14:paraId="4EF64226">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ign w:val="center"/>
          </w:tcPr>
          <w:p w14:paraId="1046F133">
            <w:pPr>
              <w:spacing w:line="559" w:lineRule="atLeast"/>
              <w:jc w:val="center"/>
              <w:rPr>
                <w:rFonts w:ascii="仿宋" w:hAnsi="仿宋" w:eastAsia="仿宋" w:cs="仿宋"/>
                <w:color w:val="000000"/>
              </w:rPr>
            </w:pPr>
            <w:r>
              <w:rPr>
                <w:rFonts w:hint="eastAsia" w:ascii="仿宋" w:hAnsi="仿宋" w:eastAsia="仿宋" w:cs="仿宋"/>
                <w:color w:val="000000"/>
                <w:sz w:val="24"/>
              </w:rPr>
              <w:t> </w:t>
            </w:r>
          </w:p>
        </w:tc>
        <w:tc>
          <w:tcPr>
            <w:tcW w:w="2386" w:type="dxa"/>
            <w:tcBorders>
              <w:top w:val="nil"/>
              <w:left w:val="nil"/>
              <w:bottom w:val="single" w:color="000000" w:sz="8" w:space="0"/>
              <w:right w:val="single" w:color="000000" w:sz="8" w:space="0"/>
            </w:tcBorders>
            <w:noWrap/>
            <w:vAlign w:val="center"/>
          </w:tcPr>
          <w:p w14:paraId="2EF975A2">
            <w:pPr>
              <w:spacing w:line="559" w:lineRule="atLeast"/>
              <w:jc w:val="center"/>
              <w:rPr>
                <w:rFonts w:ascii="仿宋" w:hAnsi="仿宋" w:eastAsia="仿宋" w:cs="仿宋"/>
                <w:color w:val="000000"/>
              </w:rPr>
            </w:pPr>
            <w:r>
              <w:rPr>
                <w:rFonts w:hint="eastAsia" w:ascii="仿宋" w:hAnsi="仿宋" w:eastAsia="仿宋" w:cs="仿宋"/>
                <w:color w:val="000000"/>
                <w:sz w:val="24"/>
              </w:rPr>
              <w:t> </w:t>
            </w:r>
          </w:p>
        </w:tc>
        <w:tc>
          <w:tcPr>
            <w:tcW w:w="1994" w:type="dxa"/>
            <w:tcBorders>
              <w:top w:val="nil"/>
              <w:left w:val="nil"/>
              <w:bottom w:val="single" w:color="000000" w:sz="8" w:space="0"/>
              <w:right w:val="single" w:color="000000" w:sz="8" w:space="0"/>
            </w:tcBorders>
            <w:noWrap/>
            <w:vAlign w:val="center"/>
          </w:tcPr>
          <w:p w14:paraId="1004FBAA">
            <w:pPr>
              <w:spacing w:line="559" w:lineRule="atLeast"/>
              <w:jc w:val="center"/>
              <w:rPr>
                <w:rFonts w:ascii="仿宋" w:hAnsi="仿宋" w:eastAsia="仿宋" w:cs="仿宋"/>
                <w:color w:val="000000"/>
                <w:sz w:val="24"/>
              </w:rPr>
            </w:pPr>
          </w:p>
        </w:tc>
        <w:tc>
          <w:tcPr>
            <w:tcW w:w="2223" w:type="dxa"/>
            <w:tcBorders>
              <w:top w:val="nil"/>
              <w:left w:val="nil"/>
              <w:bottom w:val="single" w:color="000000" w:sz="8" w:space="0"/>
              <w:right w:val="single" w:color="000000" w:sz="8" w:space="0"/>
            </w:tcBorders>
            <w:noWrap/>
            <w:vAlign w:val="center"/>
          </w:tcPr>
          <w:p w14:paraId="31997C5E">
            <w:pPr>
              <w:spacing w:line="559" w:lineRule="atLeast"/>
              <w:jc w:val="center"/>
              <w:rPr>
                <w:rFonts w:ascii="仿宋" w:hAnsi="仿宋" w:eastAsia="仿宋" w:cs="仿宋"/>
                <w:color w:val="000000"/>
              </w:rPr>
            </w:pPr>
            <w:r>
              <w:rPr>
                <w:rFonts w:hint="eastAsia" w:ascii="仿宋" w:hAnsi="仿宋" w:eastAsia="仿宋" w:cs="仿宋"/>
                <w:color w:val="000000"/>
                <w:sz w:val="24"/>
              </w:rPr>
              <w:t> </w:t>
            </w:r>
          </w:p>
        </w:tc>
      </w:tr>
      <w:tr w14:paraId="76FC1748">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ign w:val="center"/>
          </w:tcPr>
          <w:p w14:paraId="5EEA40C5">
            <w:pPr>
              <w:spacing w:line="559" w:lineRule="atLeast"/>
              <w:jc w:val="center"/>
              <w:rPr>
                <w:rFonts w:ascii="仿宋" w:hAnsi="仿宋" w:eastAsia="仿宋" w:cs="仿宋"/>
                <w:color w:val="000000"/>
              </w:rPr>
            </w:pPr>
            <w:r>
              <w:rPr>
                <w:rFonts w:hint="eastAsia" w:ascii="仿宋" w:hAnsi="仿宋" w:eastAsia="仿宋" w:cs="仿宋"/>
                <w:color w:val="000000"/>
                <w:sz w:val="24"/>
              </w:rPr>
              <w:t> </w:t>
            </w:r>
          </w:p>
        </w:tc>
        <w:tc>
          <w:tcPr>
            <w:tcW w:w="2386" w:type="dxa"/>
            <w:tcBorders>
              <w:top w:val="nil"/>
              <w:left w:val="nil"/>
              <w:bottom w:val="single" w:color="000000" w:sz="8" w:space="0"/>
              <w:right w:val="single" w:color="000000" w:sz="8" w:space="0"/>
            </w:tcBorders>
            <w:noWrap/>
            <w:vAlign w:val="center"/>
          </w:tcPr>
          <w:p w14:paraId="106FADBE">
            <w:pPr>
              <w:spacing w:line="559" w:lineRule="atLeast"/>
              <w:jc w:val="center"/>
              <w:rPr>
                <w:rFonts w:ascii="仿宋" w:hAnsi="仿宋" w:eastAsia="仿宋" w:cs="仿宋"/>
                <w:color w:val="000000"/>
              </w:rPr>
            </w:pPr>
            <w:r>
              <w:rPr>
                <w:rFonts w:hint="eastAsia" w:ascii="仿宋" w:hAnsi="仿宋" w:eastAsia="仿宋" w:cs="仿宋"/>
                <w:color w:val="000000"/>
                <w:sz w:val="24"/>
              </w:rPr>
              <w:t> </w:t>
            </w:r>
          </w:p>
        </w:tc>
        <w:tc>
          <w:tcPr>
            <w:tcW w:w="1994" w:type="dxa"/>
            <w:tcBorders>
              <w:top w:val="nil"/>
              <w:left w:val="nil"/>
              <w:bottom w:val="single" w:color="000000" w:sz="8" w:space="0"/>
              <w:right w:val="single" w:color="000000" w:sz="8" w:space="0"/>
            </w:tcBorders>
            <w:noWrap/>
            <w:vAlign w:val="center"/>
          </w:tcPr>
          <w:p w14:paraId="627A5366">
            <w:pPr>
              <w:spacing w:line="559" w:lineRule="atLeast"/>
              <w:jc w:val="center"/>
              <w:rPr>
                <w:rFonts w:ascii="仿宋" w:hAnsi="仿宋" w:eastAsia="仿宋" w:cs="仿宋"/>
                <w:color w:val="000000"/>
                <w:sz w:val="24"/>
              </w:rPr>
            </w:pPr>
          </w:p>
        </w:tc>
        <w:tc>
          <w:tcPr>
            <w:tcW w:w="2223" w:type="dxa"/>
            <w:tcBorders>
              <w:top w:val="nil"/>
              <w:left w:val="nil"/>
              <w:bottom w:val="single" w:color="000000" w:sz="8" w:space="0"/>
              <w:right w:val="single" w:color="000000" w:sz="8" w:space="0"/>
            </w:tcBorders>
            <w:noWrap/>
            <w:vAlign w:val="center"/>
          </w:tcPr>
          <w:p w14:paraId="019BA59E">
            <w:pPr>
              <w:spacing w:line="559" w:lineRule="atLeast"/>
              <w:jc w:val="center"/>
              <w:rPr>
                <w:rFonts w:ascii="仿宋" w:hAnsi="仿宋" w:eastAsia="仿宋" w:cs="仿宋"/>
                <w:color w:val="000000"/>
              </w:rPr>
            </w:pPr>
            <w:r>
              <w:rPr>
                <w:rFonts w:hint="eastAsia" w:ascii="仿宋" w:hAnsi="仿宋" w:eastAsia="仿宋" w:cs="仿宋"/>
                <w:color w:val="000000"/>
                <w:sz w:val="24"/>
              </w:rPr>
              <w:t> </w:t>
            </w:r>
          </w:p>
        </w:tc>
      </w:tr>
      <w:tr w14:paraId="42EF829C">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ign w:val="center"/>
          </w:tcPr>
          <w:p w14:paraId="649CC400">
            <w:pPr>
              <w:spacing w:line="559" w:lineRule="atLeast"/>
              <w:jc w:val="center"/>
              <w:rPr>
                <w:rFonts w:ascii="仿宋" w:hAnsi="仿宋" w:eastAsia="仿宋" w:cs="仿宋"/>
                <w:color w:val="000000"/>
              </w:rPr>
            </w:pPr>
            <w:r>
              <w:rPr>
                <w:rFonts w:hint="eastAsia" w:ascii="仿宋" w:hAnsi="仿宋" w:eastAsia="仿宋" w:cs="仿宋"/>
                <w:color w:val="000000"/>
                <w:sz w:val="24"/>
              </w:rPr>
              <w:t> </w:t>
            </w:r>
          </w:p>
        </w:tc>
        <w:tc>
          <w:tcPr>
            <w:tcW w:w="2386" w:type="dxa"/>
            <w:tcBorders>
              <w:top w:val="nil"/>
              <w:left w:val="nil"/>
              <w:bottom w:val="single" w:color="000000" w:sz="8" w:space="0"/>
              <w:right w:val="single" w:color="000000" w:sz="8" w:space="0"/>
            </w:tcBorders>
            <w:noWrap/>
            <w:vAlign w:val="center"/>
          </w:tcPr>
          <w:p w14:paraId="1B349111">
            <w:pPr>
              <w:spacing w:line="559" w:lineRule="atLeast"/>
              <w:jc w:val="center"/>
              <w:rPr>
                <w:rFonts w:ascii="仿宋" w:hAnsi="仿宋" w:eastAsia="仿宋" w:cs="仿宋"/>
                <w:color w:val="000000"/>
              </w:rPr>
            </w:pPr>
            <w:r>
              <w:rPr>
                <w:rFonts w:hint="eastAsia" w:ascii="仿宋" w:hAnsi="仿宋" w:eastAsia="仿宋" w:cs="仿宋"/>
                <w:color w:val="000000"/>
                <w:sz w:val="24"/>
              </w:rPr>
              <w:t> </w:t>
            </w:r>
          </w:p>
        </w:tc>
        <w:tc>
          <w:tcPr>
            <w:tcW w:w="1994" w:type="dxa"/>
            <w:tcBorders>
              <w:top w:val="nil"/>
              <w:left w:val="nil"/>
              <w:bottom w:val="single" w:color="000000" w:sz="8" w:space="0"/>
              <w:right w:val="single" w:color="000000" w:sz="8" w:space="0"/>
            </w:tcBorders>
            <w:noWrap/>
            <w:vAlign w:val="center"/>
          </w:tcPr>
          <w:p w14:paraId="5A260098">
            <w:pPr>
              <w:spacing w:line="559" w:lineRule="atLeast"/>
              <w:jc w:val="center"/>
              <w:rPr>
                <w:rFonts w:ascii="仿宋" w:hAnsi="仿宋" w:eastAsia="仿宋" w:cs="仿宋"/>
                <w:color w:val="000000"/>
                <w:sz w:val="24"/>
              </w:rPr>
            </w:pPr>
          </w:p>
        </w:tc>
        <w:tc>
          <w:tcPr>
            <w:tcW w:w="2223" w:type="dxa"/>
            <w:tcBorders>
              <w:top w:val="nil"/>
              <w:left w:val="nil"/>
              <w:bottom w:val="single" w:color="000000" w:sz="8" w:space="0"/>
              <w:right w:val="single" w:color="000000" w:sz="8" w:space="0"/>
            </w:tcBorders>
            <w:noWrap/>
            <w:vAlign w:val="center"/>
          </w:tcPr>
          <w:p w14:paraId="17A14E82">
            <w:pPr>
              <w:spacing w:line="559" w:lineRule="atLeast"/>
              <w:jc w:val="center"/>
              <w:rPr>
                <w:rFonts w:ascii="仿宋" w:hAnsi="仿宋" w:eastAsia="仿宋" w:cs="仿宋"/>
                <w:color w:val="000000"/>
              </w:rPr>
            </w:pPr>
            <w:r>
              <w:rPr>
                <w:rFonts w:hint="eastAsia" w:ascii="仿宋" w:hAnsi="仿宋" w:eastAsia="仿宋" w:cs="仿宋"/>
                <w:color w:val="000000"/>
                <w:sz w:val="24"/>
              </w:rPr>
              <w:t> </w:t>
            </w:r>
          </w:p>
        </w:tc>
      </w:tr>
      <w:tr w14:paraId="4FFE9417">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ign w:val="center"/>
          </w:tcPr>
          <w:p w14:paraId="56648293">
            <w:pPr>
              <w:spacing w:line="559" w:lineRule="atLeast"/>
              <w:jc w:val="center"/>
              <w:rPr>
                <w:rFonts w:ascii="仿宋" w:hAnsi="仿宋" w:eastAsia="仿宋" w:cs="仿宋"/>
                <w:color w:val="000000"/>
              </w:rPr>
            </w:pPr>
            <w:r>
              <w:rPr>
                <w:rFonts w:hint="eastAsia" w:ascii="仿宋" w:hAnsi="仿宋" w:eastAsia="仿宋" w:cs="仿宋"/>
                <w:color w:val="000000"/>
                <w:sz w:val="24"/>
              </w:rPr>
              <w:t> </w:t>
            </w:r>
          </w:p>
        </w:tc>
        <w:tc>
          <w:tcPr>
            <w:tcW w:w="2386" w:type="dxa"/>
            <w:tcBorders>
              <w:top w:val="nil"/>
              <w:left w:val="nil"/>
              <w:bottom w:val="single" w:color="000000" w:sz="8" w:space="0"/>
              <w:right w:val="single" w:color="000000" w:sz="8" w:space="0"/>
            </w:tcBorders>
            <w:noWrap/>
            <w:vAlign w:val="center"/>
          </w:tcPr>
          <w:p w14:paraId="16223B39">
            <w:pPr>
              <w:spacing w:line="559" w:lineRule="atLeast"/>
              <w:jc w:val="center"/>
              <w:rPr>
                <w:rFonts w:ascii="仿宋" w:hAnsi="仿宋" w:eastAsia="仿宋" w:cs="仿宋"/>
                <w:color w:val="000000"/>
              </w:rPr>
            </w:pPr>
            <w:r>
              <w:rPr>
                <w:rFonts w:hint="eastAsia" w:ascii="仿宋" w:hAnsi="仿宋" w:eastAsia="仿宋" w:cs="仿宋"/>
                <w:color w:val="000000"/>
                <w:sz w:val="24"/>
              </w:rPr>
              <w:t> </w:t>
            </w:r>
          </w:p>
        </w:tc>
        <w:tc>
          <w:tcPr>
            <w:tcW w:w="1994" w:type="dxa"/>
            <w:tcBorders>
              <w:top w:val="nil"/>
              <w:left w:val="nil"/>
              <w:bottom w:val="single" w:color="000000" w:sz="8" w:space="0"/>
              <w:right w:val="single" w:color="000000" w:sz="8" w:space="0"/>
            </w:tcBorders>
            <w:noWrap/>
            <w:vAlign w:val="center"/>
          </w:tcPr>
          <w:p w14:paraId="5E55E548">
            <w:pPr>
              <w:spacing w:line="559" w:lineRule="atLeast"/>
              <w:jc w:val="center"/>
              <w:rPr>
                <w:rFonts w:ascii="仿宋" w:hAnsi="仿宋" w:eastAsia="仿宋" w:cs="仿宋"/>
                <w:color w:val="000000"/>
                <w:sz w:val="24"/>
              </w:rPr>
            </w:pPr>
          </w:p>
        </w:tc>
        <w:tc>
          <w:tcPr>
            <w:tcW w:w="2223" w:type="dxa"/>
            <w:tcBorders>
              <w:top w:val="nil"/>
              <w:left w:val="nil"/>
              <w:bottom w:val="single" w:color="000000" w:sz="8" w:space="0"/>
              <w:right w:val="single" w:color="000000" w:sz="8" w:space="0"/>
            </w:tcBorders>
            <w:noWrap/>
            <w:vAlign w:val="center"/>
          </w:tcPr>
          <w:p w14:paraId="53BFA3C8">
            <w:pPr>
              <w:spacing w:line="559" w:lineRule="atLeast"/>
              <w:jc w:val="center"/>
              <w:rPr>
                <w:rFonts w:ascii="仿宋" w:hAnsi="仿宋" w:eastAsia="仿宋" w:cs="仿宋"/>
                <w:color w:val="000000"/>
              </w:rPr>
            </w:pPr>
            <w:r>
              <w:rPr>
                <w:rFonts w:hint="eastAsia" w:ascii="仿宋" w:hAnsi="仿宋" w:eastAsia="仿宋" w:cs="仿宋"/>
                <w:color w:val="000000"/>
                <w:sz w:val="24"/>
              </w:rPr>
              <w:t> </w:t>
            </w:r>
          </w:p>
        </w:tc>
      </w:tr>
      <w:tr w14:paraId="0285540B">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ign w:val="center"/>
          </w:tcPr>
          <w:p w14:paraId="6316838B">
            <w:pPr>
              <w:spacing w:line="559" w:lineRule="atLeast"/>
              <w:jc w:val="center"/>
              <w:rPr>
                <w:rFonts w:ascii="仿宋" w:hAnsi="仿宋" w:eastAsia="仿宋" w:cs="仿宋"/>
                <w:color w:val="000000"/>
              </w:rPr>
            </w:pPr>
            <w:r>
              <w:rPr>
                <w:rFonts w:hint="eastAsia" w:ascii="仿宋" w:hAnsi="仿宋" w:eastAsia="仿宋" w:cs="仿宋"/>
                <w:color w:val="000000"/>
                <w:sz w:val="24"/>
              </w:rPr>
              <w:t> </w:t>
            </w:r>
          </w:p>
        </w:tc>
        <w:tc>
          <w:tcPr>
            <w:tcW w:w="2386" w:type="dxa"/>
            <w:tcBorders>
              <w:top w:val="nil"/>
              <w:left w:val="nil"/>
              <w:bottom w:val="single" w:color="000000" w:sz="8" w:space="0"/>
              <w:right w:val="single" w:color="000000" w:sz="8" w:space="0"/>
            </w:tcBorders>
            <w:noWrap/>
            <w:vAlign w:val="center"/>
          </w:tcPr>
          <w:p w14:paraId="650638A2">
            <w:pPr>
              <w:spacing w:line="559" w:lineRule="atLeast"/>
              <w:jc w:val="center"/>
              <w:rPr>
                <w:rFonts w:ascii="仿宋" w:hAnsi="仿宋" w:eastAsia="仿宋" w:cs="仿宋"/>
                <w:color w:val="000000"/>
              </w:rPr>
            </w:pPr>
            <w:r>
              <w:rPr>
                <w:rFonts w:hint="eastAsia" w:ascii="仿宋" w:hAnsi="仿宋" w:eastAsia="仿宋" w:cs="仿宋"/>
                <w:color w:val="000000"/>
                <w:sz w:val="24"/>
              </w:rPr>
              <w:t> </w:t>
            </w:r>
          </w:p>
        </w:tc>
        <w:tc>
          <w:tcPr>
            <w:tcW w:w="1994" w:type="dxa"/>
            <w:tcBorders>
              <w:top w:val="nil"/>
              <w:left w:val="nil"/>
              <w:bottom w:val="single" w:color="000000" w:sz="8" w:space="0"/>
              <w:right w:val="single" w:color="000000" w:sz="8" w:space="0"/>
            </w:tcBorders>
            <w:noWrap/>
            <w:vAlign w:val="center"/>
          </w:tcPr>
          <w:p w14:paraId="2C7FCC15">
            <w:pPr>
              <w:spacing w:line="559" w:lineRule="atLeast"/>
              <w:jc w:val="center"/>
              <w:rPr>
                <w:rFonts w:ascii="仿宋" w:hAnsi="仿宋" w:eastAsia="仿宋" w:cs="仿宋"/>
                <w:color w:val="000000"/>
                <w:sz w:val="24"/>
              </w:rPr>
            </w:pPr>
          </w:p>
        </w:tc>
        <w:tc>
          <w:tcPr>
            <w:tcW w:w="2223" w:type="dxa"/>
            <w:tcBorders>
              <w:top w:val="nil"/>
              <w:left w:val="nil"/>
              <w:bottom w:val="single" w:color="000000" w:sz="8" w:space="0"/>
              <w:right w:val="single" w:color="000000" w:sz="8" w:space="0"/>
            </w:tcBorders>
            <w:noWrap/>
            <w:vAlign w:val="center"/>
          </w:tcPr>
          <w:p w14:paraId="02DF3911">
            <w:pPr>
              <w:spacing w:line="559" w:lineRule="atLeast"/>
              <w:jc w:val="center"/>
              <w:rPr>
                <w:rFonts w:ascii="仿宋" w:hAnsi="仿宋" w:eastAsia="仿宋" w:cs="仿宋"/>
                <w:color w:val="000000"/>
              </w:rPr>
            </w:pPr>
            <w:r>
              <w:rPr>
                <w:rFonts w:hint="eastAsia" w:ascii="仿宋" w:hAnsi="仿宋" w:eastAsia="仿宋" w:cs="仿宋"/>
                <w:color w:val="000000"/>
                <w:sz w:val="24"/>
              </w:rPr>
              <w:t> </w:t>
            </w:r>
          </w:p>
        </w:tc>
      </w:tr>
      <w:tr w14:paraId="132EE654">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ign w:val="center"/>
          </w:tcPr>
          <w:p w14:paraId="1BD670E3">
            <w:pPr>
              <w:spacing w:line="559" w:lineRule="atLeast"/>
              <w:jc w:val="center"/>
              <w:rPr>
                <w:rFonts w:ascii="仿宋" w:hAnsi="仿宋" w:eastAsia="仿宋" w:cs="仿宋"/>
                <w:color w:val="000000"/>
              </w:rPr>
            </w:pPr>
            <w:r>
              <w:rPr>
                <w:rFonts w:hint="eastAsia" w:ascii="仿宋" w:hAnsi="仿宋" w:eastAsia="仿宋" w:cs="仿宋"/>
                <w:color w:val="000000"/>
                <w:sz w:val="24"/>
              </w:rPr>
              <w:t> </w:t>
            </w:r>
          </w:p>
        </w:tc>
        <w:tc>
          <w:tcPr>
            <w:tcW w:w="2386" w:type="dxa"/>
            <w:tcBorders>
              <w:top w:val="nil"/>
              <w:left w:val="nil"/>
              <w:bottom w:val="single" w:color="000000" w:sz="8" w:space="0"/>
              <w:right w:val="single" w:color="000000" w:sz="8" w:space="0"/>
            </w:tcBorders>
            <w:noWrap/>
            <w:vAlign w:val="center"/>
          </w:tcPr>
          <w:p w14:paraId="3BC7DD60">
            <w:pPr>
              <w:spacing w:line="559" w:lineRule="atLeast"/>
              <w:jc w:val="center"/>
              <w:rPr>
                <w:rFonts w:ascii="仿宋" w:hAnsi="仿宋" w:eastAsia="仿宋" w:cs="仿宋"/>
                <w:color w:val="000000"/>
              </w:rPr>
            </w:pPr>
            <w:r>
              <w:rPr>
                <w:rFonts w:hint="eastAsia" w:ascii="仿宋" w:hAnsi="仿宋" w:eastAsia="仿宋" w:cs="仿宋"/>
                <w:color w:val="000000"/>
                <w:sz w:val="24"/>
              </w:rPr>
              <w:t> </w:t>
            </w:r>
          </w:p>
        </w:tc>
        <w:tc>
          <w:tcPr>
            <w:tcW w:w="1994" w:type="dxa"/>
            <w:tcBorders>
              <w:top w:val="nil"/>
              <w:left w:val="nil"/>
              <w:bottom w:val="single" w:color="000000" w:sz="8" w:space="0"/>
              <w:right w:val="single" w:color="000000" w:sz="8" w:space="0"/>
            </w:tcBorders>
            <w:noWrap/>
            <w:vAlign w:val="center"/>
          </w:tcPr>
          <w:p w14:paraId="65D41B1C">
            <w:pPr>
              <w:spacing w:line="559" w:lineRule="atLeast"/>
              <w:jc w:val="center"/>
              <w:rPr>
                <w:rFonts w:ascii="仿宋" w:hAnsi="仿宋" w:eastAsia="仿宋" w:cs="仿宋"/>
                <w:color w:val="000000"/>
                <w:sz w:val="24"/>
              </w:rPr>
            </w:pPr>
          </w:p>
        </w:tc>
        <w:tc>
          <w:tcPr>
            <w:tcW w:w="2223" w:type="dxa"/>
            <w:tcBorders>
              <w:top w:val="nil"/>
              <w:left w:val="nil"/>
              <w:bottom w:val="single" w:color="000000" w:sz="8" w:space="0"/>
              <w:right w:val="single" w:color="000000" w:sz="8" w:space="0"/>
            </w:tcBorders>
            <w:noWrap/>
            <w:vAlign w:val="center"/>
          </w:tcPr>
          <w:p w14:paraId="22FC045B">
            <w:pPr>
              <w:spacing w:line="559" w:lineRule="atLeast"/>
              <w:jc w:val="center"/>
              <w:rPr>
                <w:rFonts w:ascii="仿宋" w:hAnsi="仿宋" w:eastAsia="仿宋" w:cs="仿宋"/>
                <w:color w:val="000000"/>
              </w:rPr>
            </w:pPr>
            <w:r>
              <w:rPr>
                <w:rFonts w:hint="eastAsia" w:ascii="仿宋" w:hAnsi="仿宋" w:eastAsia="仿宋" w:cs="仿宋"/>
                <w:color w:val="000000"/>
                <w:sz w:val="24"/>
              </w:rPr>
              <w:t> </w:t>
            </w:r>
          </w:p>
        </w:tc>
      </w:tr>
      <w:tr w14:paraId="18FE5A2C">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ign w:val="center"/>
          </w:tcPr>
          <w:p w14:paraId="43208414">
            <w:pPr>
              <w:spacing w:line="559" w:lineRule="atLeast"/>
              <w:jc w:val="center"/>
              <w:rPr>
                <w:rFonts w:ascii="仿宋" w:hAnsi="仿宋" w:eastAsia="仿宋" w:cs="仿宋"/>
                <w:color w:val="000000"/>
              </w:rPr>
            </w:pPr>
            <w:r>
              <w:rPr>
                <w:rFonts w:hint="eastAsia" w:ascii="仿宋" w:hAnsi="仿宋" w:eastAsia="仿宋" w:cs="仿宋"/>
                <w:color w:val="000000"/>
                <w:sz w:val="24"/>
              </w:rPr>
              <w:t> </w:t>
            </w:r>
          </w:p>
        </w:tc>
        <w:tc>
          <w:tcPr>
            <w:tcW w:w="2386" w:type="dxa"/>
            <w:tcBorders>
              <w:top w:val="nil"/>
              <w:left w:val="nil"/>
              <w:bottom w:val="single" w:color="000000" w:sz="8" w:space="0"/>
              <w:right w:val="single" w:color="000000" w:sz="8" w:space="0"/>
            </w:tcBorders>
            <w:noWrap/>
            <w:vAlign w:val="center"/>
          </w:tcPr>
          <w:p w14:paraId="6B39D713">
            <w:pPr>
              <w:spacing w:line="559" w:lineRule="atLeast"/>
              <w:jc w:val="center"/>
              <w:rPr>
                <w:rFonts w:ascii="仿宋" w:hAnsi="仿宋" w:eastAsia="仿宋" w:cs="仿宋"/>
                <w:color w:val="000000"/>
              </w:rPr>
            </w:pPr>
            <w:r>
              <w:rPr>
                <w:rFonts w:hint="eastAsia" w:ascii="仿宋" w:hAnsi="仿宋" w:eastAsia="仿宋" w:cs="仿宋"/>
                <w:color w:val="000000"/>
                <w:sz w:val="24"/>
              </w:rPr>
              <w:t> </w:t>
            </w:r>
          </w:p>
        </w:tc>
        <w:tc>
          <w:tcPr>
            <w:tcW w:w="1994" w:type="dxa"/>
            <w:tcBorders>
              <w:top w:val="nil"/>
              <w:left w:val="nil"/>
              <w:bottom w:val="single" w:color="000000" w:sz="8" w:space="0"/>
              <w:right w:val="single" w:color="000000" w:sz="8" w:space="0"/>
            </w:tcBorders>
            <w:noWrap/>
            <w:vAlign w:val="center"/>
          </w:tcPr>
          <w:p w14:paraId="72142773">
            <w:pPr>
              <w:spacing w:line="559" w:lineRule="atLeast"/>
              <w:jc w:val="center"/>
              <w:rPr>
                <w:rFonts w:ascii="仿宋" w:hAnsi="仿宋" w:eastAsia="仿宋" w:cs="仿宋"/>
                <w:color w:val="000000"/>
                <w:sz w:val="24"/>
              </w:rPr>
            </w:pPr>
          </w:p>
        </w:tc>
        <w:tc>
          <w:tcPr>
            <w:tcW w:w="2223" w:type="dxa"/>
            <w:tcBorders>
              <w:top w:val="nil"/>
              <w:left w:val="nil"/>
              <w:bottom w:val="single" w:color="000000" w:sz="8" w:space="0"/>
              <w:right w:val="single" w:color="000000" w:sz="8" w:space="0"/>
            </w:tcBorders>
            <w:noWrap/>
            <w:vAlign w:val="center"/>
          </w:tcPr>
          <w:p w14:paraId="3C2FDB36">
            <w:pPr>
              <w:spacing w:line="559" w:lineRule="atLeast"/>
              <w:jc w:val="center"/>
              <w:rPr>
                <w:rFonts w:ascii="仿宋" w:hAnsi="仿宋" w:eastAsia="仿宋" w:cs="仿宋"/>
                <w:color w:val="000000"/>
              </w:rPr>
            </w:pPr>
            <w:r>
              <w:rPr>
                <w:rFonts w:hint="eastAsia" w:ascii="仿宋" w:hAnsi="仿宋" w:eastAsia="仿宋" w:cs="仿宋"/>
                <w:color w:val="000000"/>
                <w:sz w:val="24"/>
              </w:rPr>
              <w:t> </w:t>
            </w:r>
          </w:p>
        </w:tc>
      </w:tr>
    </w:tbl>
    <w:p w14:paraId="33664F8D">
      <w:pPr>
        <w:spacing w:line="559" w:lineRule="atLeast"/>
        <w:jc w:val="right"/>
        <w:rPr>
          <w:rFonts w:ascii="宋体" w:hAnsi="宋体" w:cs="仿宋"/>
          <w:color w:val="000000"/>
        </w:rPr>
      </w:pPr>
      <w:r>
        <w:rPr>
          <w:rFonts w:hint="eastAsia" w:ascii="宋体" w:hAnsi="宋体" w:cs="仿宋"/>
          <w:color w:val="000000"/>
          <w:sz w:val="24"/>
        </w:rPr>
        <w:t>单位名称：</w:t>
      </w:r>
      <w:r>
        <w:rPr>
          <w:rFonts w:hint="eastAsia" w:ascii="宋体" w:hAnsi="宋体" w:cs="仿宋"/>
          <w:color w:val="000000"/>
          <w:sz w:val="24"/>
          <w:u w:val="single"/>
        </w:rPr>
        <w:t>             </w:t>
      </w:r>
      <w:r>
        <w:rPr>
          <w:rFonts w:hint="eastAsia" w:ascii="宋体" w:hAnsi="宋体" w:cs="仿宋"/>
          <w:color w:val="000000"/>
          <w:sz w:val="24"/>
        </w:rPr>
        <w:t>（</w:t>
      </w:r>
      <w:r>
        <w:rPr>
          <w:rFonts w:ascii="宋体" w:hAnsi="宋体" w:cs="仿宋"/>
          <w:color w:val="000000"/>
          <w:sz w:val="24"/>
        </w:rPr>
        <w:t>盖</w:t>
      </w:r>
      <w:r>
        <w:rPr>
          <w:rFonts w:hint="eastAsia" w:ascii="宋体" w:hAnsi="宋体" w:cs="仿宋"/>
          <w:color w:val="000000"/>
          <w:sz w:val="24"/>
        </w:rPr>
        <w:t>CA</w:t>
      </w:r>
      <w:r>
        <w:rPr>
          <w:rFonts w:ascii="宋体" w:hAnsi="宋体" w:cs="仿宋"/>
          <w:color w:val="000000"/>
          <w:sz w:val="24"/>
        </w:rPr>
        <w:t>电子公章）</w:t>
      </w:r>
    </w:p>
    <w:p w14:paraId="000C4845">
      <w:pPr>
        <w:spacing w:line="400" w:lineRule="exact"/>
        <w:ind w:firstLine="482"/>
        <w:rPr>
          <w:rFonts w:ascii="宋体" w:hAnsi="宋体" w:cs="仿宋"/>
          <w:b/>
          <w:bCs/>
          <w:color w:val="000000"/>
          <w:sz w:val="24"/>
          <w:szCs w:val="28"/>
        </w:rPr>
      </w:pPr>
    </w:p>
    <w:p w14:paraId="7E57C479">
      <w:pPr>
        <w:spacing w:line="400" w:lineRule="exact"/>
        <w:ind w:firstLine="482"/>
        <w:rPr>
          <w:rFonts w:ascii="Times New Roman" w:hAnsi="Times New Roman" w:cs="宋体"/>
          <w:b/>
          <w:bCs/>
          <w:color w:val="000000"/>
          <w:sz w:val="24"/>
          <w:szCs w:val="20"/>
        </w:rPr>
      </w:pPr>
      <w:r>
        <w:rPr>
          <w:rFonts w:hint="eastAsia" w:ascii="Times New Roman" w:hAnsi="Times New Roman" w:cs="仿宋"/>
          <w:b/>
          <w:bCs/>
          <w:color w:val="000000"/>
          <w:sz w:val="24"/>
          <w:szCs w:val="28"/>
        </w:rPr>
        <w:t>备注：</w:t>
      </w:r>
      <w:r>
        <w:rPr>
          <w:rFonts w:hint="eastAsia" w:ascii="Times New Roman" w:hAnsi="Times New Roman" w:cs="仿宋"/>
          <w:color w:val="000000"/>
          <w:sz w:val="24"/>
          <w:szCs w:val="28"/>
        </w:rPr>
        <w:t>1</w:t>
      </w:r>
      <w:bookmarkStart w:id="180" w:name="_Hlk187934629"/>
      <w:r>
        <w:rPr>
          <w:rFonts w:hint="eastAsia" w:ascii="Times New Roman" w:hAnsi="Times New Roman" w:cs="仿宋"/>
          <w:color w:val="000000"/>
          <w:sz w:val="24"/>
          <w:szCs w:val="28"/>
        </w:rPr>
        <w:t>.</w:t>
      </w:r>
      <w:r>
        <w:rPr>
          <w:rFonts w:hint="eastAsia" w:ascii="Times New Roman" w:hAnsi="Times New Roman" w:cs="宋体"/>
          <w:color w:val="000000"/>
          <w:sz w:val="24"/>
          <w:szCs w:val="20"/>
        </w:rPr>
        <w:t>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cs="宋体"/>
          <w:b/>
          <w:bCs/>
          <w:color w:val="000000"/>
          <w:sz w:val="24"/>
          <w:szCs w:val="20"/>
        </w:rPr>
        <w:t>作无效响应处理。</w:t>
      </w:r>
    </w:p>
    <w:p w14:paraId="28FD1DC6">
      <w:pPr>
        <w:spacing w:line="400" w:lineRule="exact"/>
        <w:ind w:firstLine="480"/>
        <w:rPr>
          <w:rFonts w:ascii="Times New Roman" w:hAnsi="Times New Roman" w:cs="宋体"/>
          <w:color w:val="000000"/>
          <w:sz w:val="24"/>
          <w:szCs w:val="20"/>
        </w:rPr>
      </w:pPr>
      <w:r>
        <w:rPr>
          <w:rFonts w:hint="eastAsia" w:ascii="Times New Roman" w:hAnsi="Times New Roman" w:cs="仿宋"/>
          <w:color w:val="000000"/>
          <w:sz w:val="24"/>
          <w:szCs w:val="28"/>
        </w:rPr>
        <w:t>2.对采购需求的其他非实质性要求，投标人按所投产品情况</w:t>
      </w:r>
      <w:r>
        <w:rPr>
          <w:rFonts w:ascii="Times New Roman" w:hAnsi="Times New Roman" w:cs="仿宋"/>
          <w:color w:val="000000"/>
          <w:sz w:val="24"/>
          <w:szCs w:val="28"/>
        </w:rPr>
        <w:t>在此表中详细列出偏离情况（包括正偏离、负偏离、无偏离）并说明理由</w:t>
      </w:r>
      <w:r>
        <w:rPr>
          <w:rFonts w:hint="eastAsia" w:ascii="Times New Roman" w:hAnsi="Times New Roman" w:cs="仿宋"/>
          <w:color w:val="000000"/>
          <w:sz w:val="24"/>
          <w:szCs w:val="28"/>
        </w:rPr>
        <w:t>；未列明的均视为未响应招标文件要求</w:t>
      </w:r>
      <w:r>
        <w:rPr>
          <w:rFonts w:ascii="Times New Roman" w:hAnsi="Times New Roman" w:cs="仿宋"/>
          <w:color w:val="000000"/>
          <w:sz w:val="24"/>
          <w:szCs w:val="28"/>
        </w:rPr>
        <w:t>。</w:t>
      </w:r>
      <w:bookmarkEnd w:id="180"/>
    </w:p>
    <w:p w14:paraId="2F7606C4">
      <w:pPr>
        <w:pBdr>
          <w:top w:val="none" w:color="000000" w:sz="0" w:space="0"/>
          <w:left w:val="none" w:color="000000" w:sz="0" w:space="0"/>
          <w:bottom w:val="none" w:color="000000" w:sz="0" w:space="0"/>
          <w:right w:val="none" w:color="000000" w:sz="0" w:space="0"/>
        </w:pBdr>
        <w:spacing w:line="400" w:lineRule="exact"/>
        <w:rPr>
          <w:rFonts w:ascii="Times New Roman" w:hAnsi="Times New Roman"/>
          <w:color w:val="000000"/>
          <w:sz w:val="24"/>
          <w:szCs w:val="21"/>
        </w:rPr>
      </w:pPr>
    </w:p>
    <w:p w14:paraId="4EF0C9FC">
      <w:pPr>
        <w:outlineLvl w:val="1"/>
        <w:rPr>
          <w:rFonts w:ascii="宋体" w:hAnsi="宋体" w:cs="宋体"/>
          <w:b/>
          <w:bCs/>
          <w:color w:val="000000"/>
          <w:sz w:val="32"/>
          <w:szCs w:val="20"/>
        </w:rPr>
      </w:pPr>
      <w:bookmarkStart w:id="181" w:name="_Toc15871"/>
      <w:bookmarkStart w:id="182" w:name="_Toc25337"/>
    </w:p>
    <w:p w14:paraId="004D95A6">
      <w:pPr>
        <w:ind w:left="210"/>
        <w:outlineLvl w:val="1"/>
        <w:rPr>
          <w:rFonts w:ascii="宋体" w:hAnsi="宋体" w:cs="宋体"/>
          <w:b/>
          <w:bCs/>
          <w:color w:val="000000"/>
          <w:sz w:val="32"/>
          <w:szCs w:val="20"/>
        </w:rPr>
      </w:pPr>
    </w:p>
    <w:p w14:paraId="59865340">
      <w:pPr>
        <w:ind w:left="210"/>
        <w:outlineLvl w:val="1"/>
        <w:rPr>
          <w:rFonts w:ascii="宋体" w:hAnsi="黑体" w:eastAsia="黑体" w:cs="黑体"/>
          <w:color w:val="000000"/>
          <w:sz w:val="32"/>
          <w:szCs w:val="32"/>
        </w:rPr>
      </w:pPr>
      <w:r>
        <w:rPr>
          <w:rFonts w:hint="eastAsia" w:ascii="宋体" w:hAnsi="黑体" w:eastAsia="黑体" w:cs="黑体"/>
          <w:color w:val="000000"/>
          <w:sz w:val="32"/>
          <w:szCs w:val="32"/>
        </w:rPr>
        <w:t>七、项目实施方案</w:t>
      </w:r>
    </w:p>
    <w:p w14:paraId="77AABC66">
      <w:pPr>
        <w:ind w:left="210"/>
        <w:outlineLvl w:val="1"/>
        <w:rPr>
          <w:rFonts w:ascii="宋体" w:hAnsi="黑体" w:eastAsia="黑体" w:cs="黑体"/>
          <w:color w:val="000000"/>
          <w:sz w:val="32"/>
          <w:szCs w:val="32"/>
        </w:rPr>
      </w:pPr>
    </w:p>
    <w:p w14:paraId="40908CEC">
      <w:pPr>
        <w:ind w:left="210"/>
        <w:rPr>
          <w:rFonts w:ascii="宋体" w:hAnsi="黑体" w:eastAsia="黑体" w:cs="黑体"/>
          <w:color w:val="000000"/>
          <w:sz w:val="32"/>
          <w:szCs w:val="32"/>
        </w:rPr>
      </w:pPr>
    </w:p>
    <w:p w14:paraId="2E37C4FE">
      <w:pPr>
        <w:ind w:left="210"/>
        <w:rPr>
          <w:rFonts w:ascii="宋体" w:hAnsi="黑体" w:eastAsia="黑体" w:cs="黑体"/>
          <w:color w:val="000000"/>
          <w:sz w:val="32"/>
          <w:szCs w:val="32"/>
        </w:rPr>
      </w:pPr>
    </w:p>
    <w:p w14:paraId="4042F767">
      <w:pPr>
        <w:ind w:left="210"/>
        <w:rPr>
          <w:rFonts w:ascii="宋体" w:hAnsi="黑体" w:eastAsia="黑体" w:cs="黑体"/>
          <w:color w:val="000000"/>
          <w:sz w:val="32"/>
          <w:szCs w:val="32"/>
        </w:rPr>
      </w:pPr>
    </w:p>
    <w:p w14:paraId="63282C6F">
      <w:pPr>
        <w:ind w:left="210"/>
        <w:rPr>
          <w:rFonts w:ascii="宋体" w:hAnsi="黑体" w:eastAsia="黑体" w:cs="黑体"/>
          <w:color w:val="000000"/>
          <w:sz w:val="32"/>
          <w:szCs w:val="32"/>
        </w:rPr>
      </w:pPr>
    </w:p>
    <w:p w14:paraId="3E4A287F">
      <w:pPr>
        <w:ind w:left="210"/>
        <w:rPr>
          <w:rFonts w:ascii="宋体" w:hAnsi="黑体" w:eastAsia="黑体" w:cs="黑体"/>
          <w:color w:val="000000"/>
          <w:sz w:val="32"/>
          <w:szCs w:val="32"/>
        </w:rPr>
      </w:pPr>
    </w:p>
    <w:p w14:paraId="3833D7CD">
      <w:pPr>
        <w:ind w:left="210"/>
        <w:rPr>
          <w:rFonts w:ascii="宋体" w:hAnsi="黑体" w:eastAsia="黑体" w:cs="黑体"/>
          <w:color w:val="000000"/>
          <w:sz w:val="32"/>
          <w:szCs w:val="32"/>
        </w:rPr>
      </w:pPr>
    </w:p>
    <w:p w14:paraId="39BFC15D">
      <w:pPr>
        <w:ind w:left="210"/>
        <w:rPr>
          <w:rFonts w:ascii="宋体" w:hAnsi="黑体" w:eastAsia="黑体" w:cs="黑体"/>
          <w:color w:val="000000"/>
          <w:sz w:val="32"/>
          <w:szCs w:val="32"/>
        </w:rPr>
      </w:pPr>
    </w:p>
    <w:p w14:paraId="44082CCB">
      <w:pPr>
        <w:ind w:left="210"/>
        <w:rPr>
          <w:rFonts w:ascii="宋体" w:hAnsi="黑体" w:eastAsia="黑体" w:cs="黑体"/>
          <w:color w:val="000000"/>
          <w:sz w:val="32"/>
          <w:szCs w:val="32"/>
        </w:rPr>
      </w:pPr>
    </w:p>
    <w:p w14:paraId="7283741C">
      <w:pPr>
        <w:ind w:left="210"/>
        <w:rPr>
          <w:rFonts w:ascii="宋体" w:hAnsi="黑体" w:eastAsia="黑体" w:cs="黑体"/>
          <w:color w:val="000000"/>
          <w:sz w:val="32"/>
          <w:szCs w:val="32"/>
        </w:rPr>
      </w:pPr>
    </w:p>
    <w:p w14:paraId="078CE441">
      <w:pPr>
        <w:ind w:left="210"/>
        <w:rPr>
          <w:rFonts w:ascii="宋体" w:hAnsi="黑体" w:eastAsia="黑体" w:cs="黑体"/>
          <w:color w:val="000000"/>
          <w:sz w:val="32"/>
          <w:szCs w:val="32"/>
        </w:rPr>
      </w:pPr>
    </w:p>
    <w:p w14:paraId="27CDDC3B">
      <w:pPr>
        <w:ind w:left="210"/>
        <w:rPr>
          <w:rFonts w:ascii="宋体" w:hAnsi="黑体" w:eastAsia="黑体" w:cs="黑体"/>
          <w:color w:val="000000"/>
          <w:sz w:val="32"/>
          <w:szCs w:val="32"/>
        </w:rPr>
      </w:pPr>
    </w:p>
    <w:p w14:paraId="33764A51">
      <w:pPr>
        <w:ind w:left="210"/>
        <w:rPr>
          <w:rFonts w:ascii="宋体" w:hAnsi="黑体" w:eastAsia="黑体" w:cs="黑体"/>
          <w:color w:val="000000"/>
          <w:sz w:val="32"/>
          <w:szCs w:val="32"/>
        </w:rPr>
      </w:pPr>
    </w:p>
    <w:p w14:paraId="25B99670">
      <w:pPr>
        <w:ind w:left="210"/>
        <w:rPr>
          <w:rFonts w:ascii="宋体" w:hAnsi="黑体" w:eastAsia="黑体" w:cs="黑体"/>
          <w:color w:val="000000"/>
          <w:sz w:val="32"/>
          <w:szCs w:val="32"/>
        </w:rPr>
      </w:pPr>
    </w:p>
    <w:p w14:paraId="25A01211">
      <w:pPr>
        <w:ind w:left="210"/>
        <w:rPr>
          <w:rFonts w:ascii="宋体" w:hAnsi="黑体" w:eastAsia="黑体" w:cs="黑体"/>
          <w:color w:val="000000"/>
          <w:sz w:val="32"/>
          <w:szCs w:val="32"/>
        </w:rPr>
      </w:pPr>
    </w:p>
    <w:p w14:paraId="486BF1DF">
      <w:pPr>
        <w:ind w:left="210"/>
        <w:rPr>
          <w:rFonts w:ascii="宋体" w:hAnsi="黑体" w:eastAsia="黑体" w:cs="黑体"/>
          <w:color w:val="000000"/>
          <w:sz w:val="32"/>
          <w:szCs w:val="32"/>
        </w:rPr>
      </w:pPr>
    </w:p>
    <w:p w14:paraId="5875D027">
      <w:pPr>
        <w:ind w:left="210"/>
        <w:rPr>
          <w:rFonts w:ascii="宋体" w:hAnsi="黑体" w:eastAsia="黑体" w:cs="黑体"/>
          <w:color w:val="000000"/>
          <w:sz w:val="32"/>
          <w:szCs w:val="32"/>
        </w:rPr>
      </w:pPr>
    </w:p>
    <w:p w14:paraId="0D33BB45">
      <w:pPr>
        <w:ind w:left="210"/>
        <w:rPr>
          <w:rFonts w:ascii="宋体" w:hAnsi="黑体" w:eastAsia="黑体" w:cs="黑体"/>
          <w:color w:val="000000"/>
          <w:sz w:val="32"/>
          <w:szCs w:val="32"/>
        </w:rPr>
      </w:pPr>
    </w:p>
    <w:p w14:paraId="209DF807">
      <w:pPr>
        <w:ind w:left="210"/>
        <w:rPr>
          <w:rFonts w:ascii="宋体" w:hAnsi="黑体" w:eastAsia="黑体" w:cs="黑体"/>
          <w:color w:val="000000"/>
          <w:sz w:val="32"/>
          <w:szCs w:val="32"/>
        </w:rPr>
      </w:pPr>
    </w:p>
    <w:p w14:paraId="7270EE16">
      <w:pPr>
        <w:ind w:left="210"/>
        <w:rPr>
          <w:rFonts w:ascii="宋体" w:hAnsi="黑体" w:eastAsia="黑体" w:cs="黑体"/>
          <w:color w:val="000000"/>
          <w:sz w:val="32"/>
          <w:szCs w:val="32"/>
        </w:rPr>
      </w:pPr>
    </w:p>
    <w:p w14:paraId="1252D543">
      <w:pPr>
        <w:ind w:left="210"/>
        <w:rPr>
          <w:rFonts w:ascii="宋体" w:hAnsi="黑体" w:eastAsia="黑体" w:cs="黑体"/>
          <w:color w:val="000000"/>
          <w:sz w:val="32"/>
          <w:szCs w:val="32"/>
        </w:rPr>
      </w:pPr>
    </w:p>
    <w:p w14:paraId="463F30D6">
      <w:pPr>
        <w:ind w:left="210"/>
        <w:rPr>
          <w:rFonts w:ascii="宋体" w:hAnsi="黑体" w:eastAsia="黑体" w:cs="黑体"/>
          <w:color w:val="000000"/>
          <w:sz w:val="32"/>
          <w:szCs w:val="32"/>
        </w:rPr>
      </w:pPr>
    </w:p>
    <w:p w14:paraId="51873F79">
      <w:pPr>
        <w:ind w:left="210"/>
        <w:rPr>
          <w:rFonts w:ascii="宋体" w:hAnsi="黑体" w:eastAsia="黑体" w:cs="黑体"/>
          <w:color w:val="000000"/>
          <w:sz w:val="32"/>
          <w:szCs w:val="32"/>
        </w:rPr>
      </w:pPr>
    </w:p>
    <w:p w14:paraId="01046DF6">
      <w:pPr>
        <w:ind w:left="210"/>
        <w:rPr>
          <w:rFonts w:ascii="宋体" w:hAnsi="黑体" w:eastAsia="黑体" w:cs="黑体"/>
          <w:color w:val="000000"/>
          <w:sz w:val="32"/>
          <w:szCs w:val="32"/>
        </w:rPr>
      </w:pPr>
    </w:p>
    <w:p w14:paraId="43ADA441">
      <w:pPr>
        <w:ind w:left="210"/>
        <w:rPr>
          <w:rFonts w:ascii="宋体" w:hAnsi="黑体" w:eastAsia="黑体" w:cs="黑体"/>
          <w:color w:val="000000"/>
          <w:sz w:val="32"/>
          <w:szCs w:val="32"/>
        </w:rPr>
      </w:pPr>
    </w:p>
    <w:p w14:paraId="104C148E">
      <w:pPr>
        <w:ind w:left="210"/>
        <w:rPr>
          <w:rFonts w:ascii="宋体" w:hAnsi="黑体" w:eastAsia="黑体" w:cs="黑体"/>
          <w:color w:val="000000"/>
          <w:sz w:val="32"/>
          <w:szCs w:val="32"/>
        </w:rPr>
      </w:pPr>
    </w:p>
    <w:p w14:paraId="4D4777DC">
      <w:pPr>
        <w:ind w:left="210"/>
        <w:rPr>
          <w:rFonts w:ascii="宋体" w:hAnsi="黑体" w:eastAsia="黑体" w:cs="黑体"/>
          <w:color w:val="000000"/>
          <w:sz w:val="32"/>
          <w:szCs w:val="32"/>
        </w:rPr>
      </w:pPr>
    </w:p>
    <w:p w14:paraId="1EBDAFA9">
      <w:pPr>
        <w:ind w:left="210"/>
        <w:rPr>
          <w:rFonts w:ascii="宋体" w:hAnsi="黑体" w:eastAsia="黑体" w:cs="黑体"/>
          <w:color w:val="000000"/>
          <w:sz w:val="32"/>
          <w:szCs w:val="32"/>
        </w:rPr>
      </w:pPr>
    </w:p>
    <w:p w14:paraId="32C97881">
      <w:pPr>
        <w:ind w:left="210"/>
        <w:rPr>
          <w:rFonts w:ascii="宋体" w:hAnsi="黑体" w:eastAsia="黑体" w:cs="黑体"/>
          <w:color w:val="000000"/>
          <w:sz w:val="32"/>
          <w:szCs w:val="32"/>
        </w:rPr>
      </w:pPr>
    </w:p>
    <w:p w14:paraId="25CC8755">
      <w:pPr>
        <w:ind w:left="210"/>
        <w:rPr>
          <w:rFonts w:ascii="宋体" w:hAnsi="黑体" w:eastAsia="黑体" w:cs="黑体"/>
          <w:color w:val="000000"/>
          <w:sz w:val="32"/>
          <w:szCs w:val="32"/>
        </w:rPr>
      </w:pPr>
    </w:p>
    <w:p w14:paraId="2FC54771">
      <w:pPr>
        <w:rPr>
          <w:rFonts w:ascii="宋体" w:hAnsi="黑体" w:eastAsia="黑体" w:cs="黑体"/>
          <w:color w:val="000000"/>
          <w:sz w:val="32"/>
          <w:szCs w:val="32"/>
        </w:rPr>
      </w:pPr>
    </w:p>
    <w:p w14:paraId="69A66689">
      <w:pPr>
        <w:rPr>
          <w:rFonts w:ascii="宋体" w:hAnsi="黑体" w:eastAsia="黑体" w:cs="黑体"/>
          <w:color w:val="000000"/>
          <w:sz w:val="32"/>
          <w:szCs w:val="32"/>
        </w:rPr>
      </w:pPr>
    </w:p>
    <w:p w14:paraId="2BD2DC3E">
      <w:pPr>
        <w:ind w:left="210"/>
        <w:outlineLvl w:val="1"/>
        <w:rPr>
          <w:rFonts w:ascii="宋体" w:hAnsi="黑体" w:eastAsia="黑体" w:cs="黑体"/>
          <w:color w:val="000000"/>
          <w:sz w:val="32"/>
          <w:szCs w:val="32"/>
        </w:rPr>
      </w:pPr>
      <w:r>
        <w:rPr>
          <w:rFonts w:hint="eastAsia" w:ascii="宋体" w:hAnsi="黑体" w:eastAsia="黑体" w:cs="黑体"/>
          <w:color w:val="000000"/>
          <w:sz w:val="32"/>
          <w:szCs w:val="32"/>
        </w:rPr>
        <w:t>八、企业业绩</w:t>
      </w:r>
      <w:bookmarkEnd w:id="181"/>
      <w:bookmarkEnd w:id="182"/>
    </w:p>
    <w:p w14:paraId="6DCC4B84">
      <w:pPr>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投标人</w:t>
      </w:r>
      <w:bookmarkStart w:id="183" w:name="_Hlk187935031"/>
      <w:r>
        <w:rPr>
          <w:rFonts w:hint="eastAsia" w:ascii="方正小标宋_GBK" w:eastAsia="方正小标宋_GBK"/>
          <w:bCs/>
          <w:color w:val="000000"/>
          <w:sz w:val="32"/>
          <w:szCs w:val="32"/>
        </w:rPr>
        <w:t>自年月日以来承担</w:t>
      </w:r>
    </w:p>
    <w:p w14:paraId="6BE39066">
      <w:pPr>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类似项目业绩一览表</w:t>
      </w:r>
      <w:bookmarkEnd w:id="183"/>
    </w:p>
    <w:tbl>
      <w:tblPr>
        <w:tblStyle w:val="3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730F1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tcPr>
          <w:p w14:paraId="5CD74744">
            <w:pPr>
              <w:spacing w:line="560" w:lineRule="exact"/>
              <w:jc w:val="center"/>
              <w:rPr>
                <w:rFonts w:ascii="仿宋_GB2312" w:hAnsi="Times New Roman" w:eastAsia="仿宋_GB2312"/>
                <w:color w:val="000000"/>
                <w:sz w:val="28"/>
                <w:szCs w:val="28"/>
              </w:rPr>
            </w:pPr>
            <w:r>
              <w:rPr>
                <w:rFonts w:hint="eastAsia" w:ascii="仿宋_GB2312" w:hAnsi="Times New Roman" w:eastAsia="仿宋_GB2312"/>
                <w:color w:val="000000"/>
                <w:sz w:val="28"/>
                <w:szCs w:val="28"/>
              </w:rPr>
              <w:t>序号</w:t>
            </w:r>
          </w:p>
        </w:tc>
        <w:tc>
          <w:tcPr>
            <w:tcW w:w="3827" w:type="dxa"/>
            <w:noWrap/>
            <w:vAlign w:val="center"/>
          </w:tcPr>
          <w:p w14:paraId="3B72A6BC">
            <w:pPr>
              <w:spacing w:line="560" w:lineRule="exact"/>
              <w:jc w:val="center"/>
              <w:rPr>
                <w:rFonts w:ascii="仿宋_GB2312" w:hAnsi="Times New Roman" w:eastAsia="仿宋_GB2312"/>
                <w:color w:val="000000"/>
                <w:sz w:val="28"/>
                <w:szCs w:val="28"/>
              </w:rPr>
            </w:pPr>
            <w:r>
              <w:rPr>
                <w:rFonts w:hint="eastAsia" w:ascii="仿宋_GB2312" w:hAnsi="Times New Roman" w:eastAsia="仿宋_GB2312"/>
                <w:color w:val="000000"/>
                <w:sz w:val="28"/>
                <w:szCs w:val="28"/>
              </w:rPr>
              <w:t>项目名称</w:t>
            </w:r>
          </w:p>
        </w:tc>
        <w:tc>
          <w:tcPr>
            <w:tcW w:w="2433" w:type="dxa"/>
            <w:noWrap/>
            <w:vAlign w:val="center"/>
          </w:tcPr>
          <w:p w14:paraId="18F874FB">
            <w:pPr>
              <w:spacing w:line="560" w:lineRule="exact"/>
              <w:jc w:val="center"/>
              <w:rPr>
                <w:rFonts w:ascii="仿宋_GB2312" w:hAnsi="Times New Roman" w:eastAsia="仿宋_GB2312"/>
                <w:color w:val="000000"/>
                <w:sz w:val="28"/>
                <w:szCs w:val="28"/>
              </w:rPr>
            </w:pPr>
            <w:r>
              <w:rPr>
                <w:rFonts w:hint="eastAsia" w:ascii="仿宋_GB2312" w:hAnsi="Times New Roman" w:eastAsia="仿宋_GB2312"/>
                <w:color w:val="000000"/>
                <w:sz w:val="28"/>
                <w:szCs w:val="28"/>
              </w:rPr>
              <w:t>采购单位</w:t>
            </w:r>
          </w:p>
        </w:tc>
        <w:tc>
          <w:tcPr>
            <w:tcW w:w="1395" w:type="dxa"/>
            <w:noWrap/>
            <w:vAlign w:val="center"/>
          </w:tcPr>
          <w:p w14:paraId="60E55761">
            <w:pPr>
              <w:spacing w:line="560" w:lineRule="exact"/>
              <w:jc w:val="center"/>
              <w:rPr>
                <w:rFonts w:ascii="仿宋_GB2312" w:hAnsi="Times New Roman" w:eastAsia="仿宋_GB2312"/>
                <w:color w:val="000000"/>
                <w:sz w:val="28"/>
                <w:szCs w:val="28"/>
              </w:rPr>
            </w:pPr>
            <w:r>
              <w:rPr>
                <w:rFonts w:hint="eastAsia" w:ascii="仿宋_GB2312" w:hAnsi="Times New Roman" w:eastAsia="仿宋_GB2312"/>
                <w:color w:val="000000"/>
                <w:sz w:val="28"/>
                <w:szCs w:val="28"/>
              </w:rPr>
              <w:t>服务主要内容</w:t>
            </w:r>
          </w:p>
        </w:tc>
      </w:tr>
      <w:tr w14:paraId="67D3F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tcPr>
          <w:p w14:paraId="09C0B776">
            <w:pPr>
              <w:spacing w:line="560" w:lineRule="exact"/>
              <w:jc w:val="center"/>
              <w:rPr>
                <w:rFonts w:ascii="仿宋_GB2312" w:hAnsi="Times New Roman" w:eastAsia="仿宋_GB2312"/>
                <w:color w:val="000000"/>
                <w:sz w:val="28"/>
                <w:szCs w:val="24"/>
              </w:rPr>
            </w:pPr>
          </w:p>
        </w:tc>
        <w:tc>
          <w:tcPr>
            <w:tcW w:w="3827" w:type="dxa"/>
            <w:noWrap/>
            <w:vAlign w:val="center"/>
          </w:tcPr>
          <w:p w14:paraId="133CA525">
            <w:pPr>
              <w:spacing w:line="560" w:lineRule="exact"/>
              <w:jc w:val="center"/>
              <w:rPr>
                <w:rFonts w:ascii="仿宋_GB2312" w:hAnsi="Times New Roman" w:eastAsia="仿宋_GB2312"/>
                <w:color w:val="000000"/>
                <w:sz w:val="28"/>
                <w:szCs w:val="24"/>
              </w:rPr>
            </w:pPr>
          </w:p>
        </w:tc>
        <w:tc>
          <w:tcPr>
            <w:tcW w:w="2433" w:type="dxa"/>
            <w:noWrap/>
            <w:vAlign w:val="center"/>
          </w:tcPr>
          <w:p w14:paraId="16BDB2C0">
            <w:pPr>
              <w:spacing w:line="560" w:lineRule="exact"/>
              <w:jc w:val="center"/>
              <w:rPr>
                <w:rFonts w:ascii="仿宋_GB2312" w:hAnsi="Times New Roman" w:eastAsia="仿宋_GB2312"/>
                <w:color w:val="000000"/>
                <w:sz w:val="28"/>
                <w:szCs w:val="24"/>
              </w:rPr>
            </w:pPr>
          </w:p>
        </w:tc>
        <w:tc>
          <w:tcPr>
            <w:tcW w:w="1395" w:type="dxa"/>
            <w:noWrap/>
            <w:vAlign w:val="center"/>
          </w:tcPr>
          <w:p w14:paraId="7742814D">
            <w:pPr>
              <w:spacing w:line="560" w:lineRule="exact"/>
              <w:jc w:val="center"/>
              <w:rPr>
                <w:rFonts w:ascii="仿宋_GB2312" w:hAnsi="Times New Roman" w:eastAsia="仿宋_GB2312"/>
                <w:color w:val="000000"/>
                <w:sz w:val="28"/>
                <w:szCs w:val="24"/>
              </w:rPr>
            </w:pPr>
          </w:p>
        </w:tc>
      </w:tr>
      <w:tr w14:paraId="789C1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tcPr>
          <w:p w14:paraId="648E56DA">
            <w:pPr>
              <w:spacing w:line="560" w:lineRule="exact"/>
              <w:jc w:val="center"/>
              <w:rPr>
                <w:rFonts w:ascii="仿宋_GB2312" w:hAnsi="Times New Roman" w:eastAsia="仿宋_GB2312"/>
                <w:color w:val="000000"/>
                <w:sz w:val="28"/>
                <w:szCs w:val="24"/>
              </w:rPr>
            </w:pPr>
          </w:p>
        </w:tc>
        <w:tc>
          <w:tcPr>
            <w:tcW w:w="3827" w:type="dxa"/>
            <w:noWrap/>
            <w:vAlign w:val="center"/>
          </w:tcPr>
          <w:p w14:paraId="39577685">
            <w:pPr>
              <w:spacing w:line="560" w:lineRule="exact"/>
              <w:jc w:val="center"/>
              <w:rPr>
                <w:rFonts w:ascii="仿宋_GB2312" w:hAnsi="Times New Roman" w:eastAsia="仿宋_GB2312"/>
                <w:color w:val="000000"/>
                <w:sz w:val="28"/>
                <w:szCs w:val="24"/>
              </w:rPr>
            </w:pPr>
          </w:p>
        </w:tc>
        <w:tc>
          <w:tcPr>
            <w:tcW w:w="2433" w:type="dxa"/>
            <w:noWrap/>
            <w:vAlign w:val="center"/>
          </w:tcPr>
          <w:p w14:paraId="3844D08A">
            <w:pPr>
              <w:spacing w:line="560" w:lineRule="exact"/>
              <w:jc w:val="center"/>
              <w:rPr>
                <w:rFonts w:ascii="仿宋_GB2312" w:hAnsi="Times New Roman" w:eastAsia="仿宋_GB2312"/>
                <w:color w:val="000000"/>
                <w:sz w:val="28"/>
                <w:szCs w:val="24"/>
              </w:rPr>
            </w:pPr>
          </w:p>
        </w:tc>
        <w:tc>
          <w:tcPr>
            <w:tcW w:w="1395" w:type="dxa"/>
            <w:noWrap/>
            <w:vAlign w:val="center"/>
          </w:tcPr>
          <w:p w14:paraId="3CCB2C4F">
            <w:pPr>
              <w:spacing w:line="560" w:lineRule="exact"/>
              <w:jc w:val="center"/>
              <w:rPr>
                <w:rFonts w:ascii="仿宋_GB2312" w:hAnsi="Times New Roman" w:eastAsia="仿宋_GB2312"/>
                <w:color w:val="000000"/>
                <w:sz w:val="28"/>
                <w:szCs w:val="24"/>
              </w:rPr>
            </w:pPr>
          </w:p>
        </w:tc>
      </w:tr>
      <w:tr w14:paraId="4A4D70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tcPr>
          <w:p w14:paraId="25BE1807">
            <w:pPr>
              <w:spacing w:line="560" w:lineRule="exact"/>
              <w:jc w:val="center"/>
              <w:rPr>
                <w:rFonts w:ascii="仿宋_GB2312" w:hAnsi="Times New Roman" w:eastAsia="仿宋_GB2312"/>
                <w:color w:val="000000"/>
                <w:sz w:val="28"/>
                <w:szCs w:val="24"/>
              </w:rPr>
            </w:pPr>
          </w:p>
        </w:tc>
        <w:tc>
          <w:tcPr>
            <w:tcW w:w="3827" w:type="dxa"/>
            <w:noWrap/>
            <w:vAlign w:val="center"/>
          </w:tcPr>
          <w:p w14:paraId="6D7DB492">
            <w:pPr>
              <w:spacing w:line="560" w:lineRule="exact"/>
              <w:jc w:val="center"/>
              <w:rPr>
                <w:rFonts w:ascii="仿宋_GB2312" w:hAnsi="Times New Roman" w:eastAsia="仿宋_GB2312"/>
                <w:color w:val="000000"/>
                <w:sz w:val="28"/>
                <w:szCs w:val="24"/>
              </w:rPr>
            </w:pPr>
          </w:p>
        </w:tc>
        <w:tc>
          <w:tcPr>
            <w:tcW w:w="2433" w:type="dxa"/>
            <w:noWrap/>
            <w:vAlign w:val="center"/>
          </w:tcPr>
          <w:p w14:paraId="4A97CD0C">
            <w:pPr>
              <w:spacing w:line="560" w:lineRule="exact"/>
              <w:jc w:val="center"/>
              <w:rPr>
                <w:rFonts w:ascii="仿宋_GB2312" w:hAnsi="Times New Roman" w:eastAsia="仿宋_GB2312"/>
                <w:color w:val="000000"/>
                <w:sz w:val="28"/>
                <w:szCs w:val="24"/>
              </w:rPr>
            </w:pPr>
          </w:p>
        </w:tc>
        <w:tc>
          <w:tcPr>
            <w:tcW w:w="1395" w:type="dxa"/>
            <w:noWrap/>
            <w:vAlign w:val="center"/>
          </w:tcPr>
          <w:p w14:paraId="29EE8873">
            <w:pPr>
              <w:spacing w:line="560" w:lineRule="exact"/>
              <w:jc w:val="center"/>
              <w:rPr>
                <w:rFonts w:ascii="仿宋_GB2312" w:hAnsi="Times New Roman" w:eastAsia="仿宋_GB2312"/>
                <w:color w:val="000000"/>
                <w:sz w:val="28"/>
                <w:szCs w:val="24"/>
              </w:rPr>
            </w:pPr>
          </w:p>
        </w:tc>
      </w:tr>
      <w:tr w14:paraId="19A805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tcPr>
          <w:p w14:paraId="016B8E32">
            <w:pPr>
              <w:spacing w:line="560" w:lineRule="exact"/>
              <w:jc w:val="center"/>
              <w:rPr>
                <w:rFonts w:ascii="仿宋_GB2312" w:hAnsi="Times New Roman" w:eastAsia="仿宋_GB2312"/>
                <w:color w:val="000000"/>
                <w:sz w:val="28"/>
                <w:szCs w:val="24"/>
              </w:rPr>
            </w:pPr>
          </w:p>
        </w:tc>
        <w:tc>
          <w:tcPr>
            <w:tcW w:w="3827" w:type="dxa"/>
            <w:noWrap/>
            <w:vAlign w:val="center"/>
          </w:tcPr>
          <w:p w14:paraId="3CA60911">
            <w:pPr>
              <w:spacing w:line="560" w:lineRule="exact"/>
              <w:jc w:val="center"/>
              <w:rPr>
                <w:rFonts w:ascii="仿宋_GB2312" w:hAnsi="Times New Roman" w:eastAsia="仿宋_GB2312"/>
                <w:color w:val="000000"/>
                <w:sz w:val="28"/>
                <w:szCs w:val="24"/>
              </w:rPr>
            </w:pPr>
          </w:p>
        </w:tc>
        <w:tc>
          <w:tcPr>
            <w:tcW w:w="2433" w:type="dxa"/>
            <w:noWrap/>
            <w:vAlign w:val="center"/>
          </w:tcPr>
          <w:p w14:paraId="2B014B24">
            <w:pPr>
              <w:spacing w:line="560" w:lineRule="exact"/>
              <w:jc w:val="center"/>
              <w:rPr>
                <w:rFonts w:ascii="仿宋_GB2312" w:hAnsi="Times New Roman" w:eastAsia="仿宋_GB2312"/>
                <w:color w:val="000000"/>
                <w:sz w:val="28"/>
                <w:szCs w:val="24"/>
              </w:rPr>
            </w:pPr>
          </w:p>
        </w:tc>
        <w:tc>
          <w:tcPr>
            <w:tcW w:w="1395" w:type="dxa"/>
            <w:noWrap/>
            <w:vAlign w:val="center"/>
          </w:tcPr>
          <w:p w14:paraId="3323B932">
            <w:pPr>
              <w:spacing w:line="560" w:lineRule="exact"/>
              <w:jc w:val="center"/>
              <w:rPr>
                <w:rFonts w:ascii="仿宋_GB2312" w:hAnsi="Times New Roman" w:eastAsia="仿宋_GB2312"/>
                <w:color w:val="000000"/>
                <w:sz w:val="28"/>
                <w:szCs w:val="24"/>
              </w:rPr>
            </w:pPr>
          </w:p>
        </w:tc>
      </w:tr>
    </w:tbl>
    <w:p w14:paraId="7DEC1C06">
      <w:pPr>
        <w:rPr>
          <w:rFonts w:ascii="宋体" w:hAnsi="宋体"/>
          <w:bCs/>
          <w:color w:val="000000"/>
        </w:rPr>
      </w:pPr>
      <w:r>
        <w:rPr>
          <w:rFonts w:hint="eastAsia" w:ascii="宋体" w:hAnsi="宋体"/>
          <w:bCs/>
          <w:color w:val="000000"/>
          <w:sz w:val="24"/>
        </w:rPr>
        <w:t>注：请填写此表，并按要求上传业绩资料电子件。</w:t>
      </w:r>
    </w:p>
    <w:p w14:paraId="266A669B">
      <w:pPr>
        <w:spacing w:line="480" w:lineRule="exact"/>
        <w:outlineLvl w:val="1"/>
        <w:rPr>
          <w:rFonts w:ascii="宋体" w:hAnsi="宋体"/>
          <w:bCs/>
          <w:color w:val="000000"/>
        </w:rPr>
      </w:pPr>
      <w:r>
        <w:rPr>
          <w:rFonts w:ascii="宋体" w:hAnsi="宋体"/>
          <w:bCs/>
          <w:color w:val="000000"/>
        </w:rPr>
        <w:br w:type="page" w:clear="all"/>
      </w:r>
      <w:bookmarkStart w:id="184" w:name="_Toc9275"/>
      <w:bookmarkStart w:id="185" w:name="_Toc26048"/>
    </w:p>
    <w:p w14:paraId="5BFD3D9B">
      <w:pPr>
        <w:spacing w:line="480" w:lineRule="exact"/>
        <w:outlineLvl w:val="1"/>
        <w:rPr>
          <w:rFonts w:ascii="宋体" w:hAnsi="黑体" w:eastAsia="黑体" w:cs="黑体"/>
          <w:color w:val="000000"/>
          <w:sz w:val="32"/>
          <w:szCs w:val="32"/>
        </w:rPr>
      </w:pPr>
    </w:p>
    <w:p w14:paraId="6B596A31">
      <w:pPr>
        <w:spacing w:line="480" w:lineRule="exact"/>
        <w:outlineLvl w:val="1"/>
        <w:rPr>
          <w:rFonts w:ascii="宋体"/>
          <w:color w:val="000000"/>
          <w:szCs w:val="32"/>
        </w:rPr>
      </w:pPr>
      <w:r>
        <w:rPr>
          <w:rFonts w:hint="eastAsia" w:ascii="宋体" w:hAnsi="黑体" w:eastAsia="黑体" w:cs="黑体"/>
          <w:color w:val="000000"/>
          <w:sz w:val="32"/>
          <w:szCs w:val="32"/>
        </w:rPr>
        <w:t>九、投标所需其他材料</w:t>
      </w:r>
      <w:bookmarkEnd w:id="184"/>
      <w:bookmarkEnd w:id="185"/>
    </w:p>
    <w:p w14:paraId="782F2CA2">
      <w:pPr>
        <w:pBdr>
          <w:top w:val="none" w:color="000000" w:sz="0" w:space="0"/>
          <w:left w:val="none" w:color="000000" w:sz="0" w:space="0"/>
          <w:bottom w:val="none" w:color="000000" w:sz="0" w:space="0"/>
          <w:right w:val="none" w:color="000000" w:sz="0" w:space="0"/>
        </w:pBdr>
      </w:pPr>
      <w:r>
        <w:rPr>
          <w:rFonts w:hint="eastAsia"/>
          <w:color w:val="000000"/>
          <w:sz w:val="24"/>
          <w:szCs w:val="24"/>
        </w:rPr>
        <w:t>请在此文档中增加投标所需其他相关内容评分办法、采购需求中涉及的证件证明及其它投标人认为有必要提供的资料），如没有请将此空文档上传。</w:t>
      </w:r>
    </w:p>
    <w:p w14:paraId="185DCFF2">
      <w:pPr>
        <w:spacing w:line="480" w:lineRule="exact"/>
        <w:ind w:firstLine="420"/>
        <w:rPr>
          <w:color w:val="000000"/>
          <w:sz w:val="24"/>
          <w:szCs w:val="24"/>
        </w:rPr>
      </w:pPr>
    </w:p>
    <w:p w14:paraId="633CAAEB">
      <w:pPr>
        <w:spacing w:line="480" w:lineRule="exact"/>
        <w:ind w:firstLine="420"/>
        <w:rPr>
          <w:color w:val="000000"/>
          <w:sz w:val="24"/>
          <w:szCs w:val="24"/>
        </w:rPr>
      </w:pPr>
    </w:p>
    <w:p w14:paraId="4402A9FF">
      <w:pPr>
        <w:spacing w:line="480" w:lineRule="exact"/>
        <w:ind w:firstLine="420"/>
        <w:rPr>
          <w:color w:val="000000"/>
          <w:sz w:val="24"/>
          <w:szCs w:val="24"/>
        </w:rPr>
      </w:pPr>
    </w:p>
    <w:p w14:paraId="7CF3C89B">
      <w:pPr>
        <w:spacing w:line="480" w:lineRule="exact"/>
        <w:ind w:firstLine="420"/>
        <w:rPr>
          <w:color w:val="000000"/>
          <w:sz w:val="24"/>
          <w:szCs w:val="24"/>
        </w:rPr>
      </w:pPr>
    </w:p>
    <w:p w14:paraId="7DD667DC">
      <w:pPr>
        <w:spacing w:line="480" w:lineRule="exact"/>
        <w:ind w:firstLine="420"/>
        <w:rPr>
          <w:color w:val="000000"/>
          <w:sz w:val="24"/>
          <w:szCs w:val="24"/>
        </w:rPr>
      </w:pPr>
    </w:p>
    <w:p w14:paraId="784CB8B4">
      <w:pPr>
        <w:spacing w:line="480" w:lineRule="exact"/>
        <w:ind w:firstLine="420"/>
        <w:rPr>
          <w:color w:val="000000"/>
          <w:sz w:val="24"/>
          <w:szCs w:val="24"/>
        </w:rPr>
      </w:pPr>
    </w:p>
    <w:p w14:paraId="41DFF512">
      <w:pPr>
        <w:spacing w:line="480" w:lineRule="exact"/>
        <w:ind w:firstLine="420"/>
        <w:rPr>
          <w:color w:val="000000"/>
          <w:sz w:val="24"/>
          <w:szCs w:val="24"/>
        </w:rPr>
      </w:pPr>
    </w:p>
    <w:p w14:paraId="29725D54">
      <w:pPr>
        <w:spacing w:line="480" w:lineRule="exact"/>
        <w:ind w:firstLine="420"/>
        <w:rPr>
          <w:color w:val="000000"/>
          <w:sz w:val="24"/>
          <w:szCs w:val="24"/>
        </w:rPr>
      </w:pPr>
    </w:p>
    <w:p w14:paraId="2D27C3F5">
      <w:pPr>
        <w:spacing w:line="480" w:lineRule="exact"/>
        <w:ind w:firstLine="420"/>
        <w:rPr>
          <w:color w:val="000000"/>
          <w:sz w:val="24"/>
          <w:szCs w:val="24"/>
        </w:rPr>
      </w:pPr>
    </w:p>
    <w:p w14:paraId="58280274">
      <w:pPr>
        <w:spacing w:line="480" w:lineRule="exact"/>
        <w:ind w:firstLine="420"/>
        <w:rPr>
          <w:color w:val="000000"/>
          <w:sz w:val="24"/>
          <w:szCs w:val="24"/>
        </w:rPr>
      </w:pPr>
    </w:p>
    <w:p w14:paraId="0A12D4F7">
      <w:pPr>
        <w:spacing w:line="480" w:lineRule="exact"/>
        <w:ind w:firstLine="420"/>
        <w:rPr>
          <w:color w:val="000000"/>
          <w:sz w:val="24"/>
          <w:szCs w:val="24"/>
        </w:rPr>
      </w:pPr>
    </w:p>
    <w:p w14:paraId="02BC2712">
      <w:pPr>
        <w:spacing w:line="480" w:lineRule="exact"/>
        <w:ind w:firstLine="420"/>
        <w:rPr>
          <w:color w:val="000000"/>
          <w:sz w:val="24"/>
          <w:szCs w:val="24"/>
        </w:rPr>
      </w:pPr>
    </w:p>
    <w:p w14:paraId="25131FEA">
      <w:pPr>
        <w:spacing w:line="480" w:lineRule="exact"/>
        <w:ind w:firstLine="420"/>
        <w:rPr>
          <w:color w:val="000000"/>
          <w:sz w:val="24"/>
          <w:szCs w:val="24"/>
        </w:rPr>
      </w:pPr>
    </w:p>
    <w:p w14:paraId="35536463">
      <w:pPr>
        <w:spacing w:line="480" w:lineRule="exact"/>
        <w:ind w:firstLine="420"/>
        <w:rPr>
          <w:color w:val="000000"/>
          <w:sz w:val="24"/>
          <w:szCs w:val="24"/>
        </w:rPr>
      </w:pPr>
    </w:p>
    <w:p w14:paraId="648714C6">
      <w:pPr>
        <w:spacing w:line="480" w:lineRule="exact"/>
        <w:ind w:firstLine="420"/>
        <w:rPr>
          <w:color w:val="000000"/>
          <w:sz w:val="24"/>
          <w:szCs w:val="24"/>
        </w:rPr>
      </w:pPr>
    </w:p>
    <w:p w14:paraId="6EF8EB02">
      <w:pPr>
        <w:spacing w:line="480" w:lineRule="exact"/>
        <w:ind w:firstLine="420"/>
        <w:rPr>
          <w:color w:val="000000"/>
          <w:sz w:val="24"/>
          <w:szCs w:val="24"/>
        </w:rPr>
      </w:pPr>
    </w:p>
    <w:p w14:paraId="7840C365">
      <w:pPr>
        <w:spacing w:line="480" w:lineRule="exact"/>
        <w:ind w:firstLine="420"/>
        <w:rPr>
          <w:color w:val="000000"/>
          <w:sz w:val="24"/>
          <w:szCs w:val="24"/>
        </w:rPr>
      </w:pPr>
    </w:p>
    <w:p w14:paraId="37D8893F">
      <w:pPr>
        <w:spacing w:line="480" w:lineRule="exact"/>
        <w:ind w:firstLine="420"/>
        <w:rPr>
          <w:color w:val="000000"/>
          <w:sz w:val="24"/>
          <w:szCs w:val="24"/>
        </w:rPr>
      </w:pPr>
    </w:p>
    <w:p w14:paraId="1837A635">
      <w:pPr>
        <w:spacing w:line="480" w:lineRule="exact"/>
        <w:ind w:firstLine="420"/>
        <w:rPr>
          <w:color w:val="000000"/>
          <w:sz w:val="24"/>
          <w:szCs w:val="24"/>
        </w:rPr>
      </w:pPr>
    </w:p>
    <w:p w14:paraId="5597A36D">
      <w:pPr>
        <w:spacing w:line="480" w:lineRule="exact"/>
        <w:ind w:firstLine="420"/>
        <w:rPr>
          <w:color w:val="000000"/>
          <w:sz w:val="24"/>
          <w:szCs w:val="24"/>
        </w:rPr>
      </w:pPr>
    </w:p>
    <w:p w14:paraId="24311C6F">
      <w:pPr>
        <w:spacing w:line="480" w:lineRule="exact"/>
        <w:ind w:firstLine="420"/>
        <w:rPr>
          <w:color w:val="000000"/>
          <w:sz w:val="24"/>
          <w:szCs w:val="24"/>
        </w:rPr>
      </w:pPr>
    </w:p>
    <w:p w14:paraId="60A18A1F">
      <w:pPr>
        <w:spacing w:line="480" w:lineRule="exact"/>
        <w:ind w:firstLine="420"/>
        <w:rPr>
          <w:color w:val="000000"/>
          <w:sz w:val="24"/>
          <w:szCs w:val="24"/>
        </w:rPr>
      </w:pPr>
    </w:p>
    <w:p w14:paraId="27A78991">
      <w:pPr>
        <w:spacing w:line="480" w:lineRule="exact"/>
        <w:ind w:firstLine="420"/>
        <w:rPr>
          <w:color w:val="000000"/>
          <w:sz w:val="24"/>
          <w:szCs w:val="24"/>
        </w:rPr>
      </w:pPr>
    </w:p>
    <w:p w14:paraId="4214368E">
      <w:pPr>
        <w:spacing w:line="480" w:lineRule="exact"/>
        <w:ind w:firstLine="420"/>
        <w:rPr>
          <w:color w:val="000000"/>
          <w:sz w:val="24"/>
          <w:szCs w:val="24"/>
        </w:rPr>
      </w:pPr>
    </w:p>
    <w:p w14:paraId="15762A3A">
      <w:pPr>
        <w:spacing w:line="480" w:lineRule="exact"/>
        <w:ind w:firstLine="420"/>
        <w:rPr>
          <w:color w:val="000000"/>
          <w:sz w:val="24"/>
          <w:szCs w:val="24"/>
        </w:rPr>
      </w:pPr>
    </w:p>
    <w:p w14:paraId="56DDEEA4">
      <w:pPr>
        <w:spacing w:line="480" w:lineRule="exact"/>
        <w:ind w:firstLine="420"/>
        <w:rPr>
          <w:color w:val="000000"/>
          <w:sz w:val="24"/>
          <w:szCs w:val="24"/>
        </w:rPr>
      </w:pPr>
    </w:p>
    <w:p w14:paraId="096DB0AF">
      <w:pPr>
        <w:jc w:val="center"/>
      </w:pPr>
      <w:r>
        <w:rPr>
          <w:rFonts w:hint="eastAsia" w:ascii="Times New Roman" w:hAnsi="Times New Roman" w:cs="仿宋"/>
          <w:b/>
          <w:bCs/>
          <w:sz w:val="32"/>
          <w:szCs w:val="32"/>
        </w:rPr>
        <w:t>质疑函范本</w:t>
      </w:r>
    </w:p>
    <w:p w14:paraId="03FB1D5C">
      <w:pPr>
        <w:spacing w:before="290" w:line="360" w:lineRule="auto"/>
      </w:pPr>
      <w:r>
        <w:rPr>
          <w:rFonts w:hint="eastAsia" w:ascii="Times New Roman" w:hAnsi="Times New Roman" w:cs="仿宋"/>
          <w:bCs/>
          <w:sz w:val="24"/>
          <w:szCs w:val="24"/>
        </w:rPr>
        <w:t>一、质疑供应商基本信息</w:t>
      </w:r>
    </w:p>
    <w:p w14:paraId="0196AB8D">
      <w:pPr>
        <w:spacing w:line="360" w:lineRule="auto"/>
      </w:pPr>
      <w:r>
        <w:rPr>
          <w:rFonts w:hint="eastAsia" w:ascii="Times New Roman" w:hAnsi="Times New Roman" w:cs="仿宋"/>
          <w:sz w:val="24"/>
          <w:szCs w:val="24"/>
        </w:rPr>
        <w:t>质疑供应商：</w:t>
      </w:r>
    </w:p>
    <w:p w14:paraId="6AB2BB3D">
      <w:pPr>
        <w:spacing w:line="360" w:lineRule="auto"/>
      </w:pPr>
      <w:r>
        <w:rPr>
          <w:rFonts w:hint="eastAsia" w:ascii="Times New Roman" w:hAnsi="Times New Roman" w:cs="仿宋"/>
          <w:sz w:val="24"/>
          <w:szCs w:val="24"/>
        </w:rPr>
        <w:t>地址：邮编：</w:t>
      </w:r>
    </w:p>
    <w:p w14:paraId="2B5547E1">
      <w:pPr>
        <w:spacing w:line="360" w:lineRule="auto"/>
      </w:pPr>
      <w:r>
        <w:rPr>
          <w:rFonts w:hint="eastAsia" w:ascii="Times New Roman" w:hAnsi="Times New Roman" w:cs="仿宋"/>
          <w:sz w:val="24"/>
          <w:szCs w:val="24"/>
        </w:rPr>
        <w:t>联系人：联系电话：</w:t>
      </w:r>
    </w:p>
    <w:p w14:paraId="61E9662C">
      <w:pPr>
        <w:spacing w:line="360" w:lineRule="auto"/>
      </w:pPr>
      <w:r>
        <w:rPr>
          <w:rFonts w:hint="eastAsia" w:ascii="Times New Roman" w:hAnsi="Times New Roman" w:cs="仿宋"/>
          <w:sz w:val="24"/>
          <w:szCs w:val="24"/>
        </w:rPr>
        <w:t>授权代表：</w:t>
      </w:r>
    </w:p>
    <w:p w14:paraId="1592E9CF">
      <w:pPr>
        <w:spacing w:line="360" w:lineRule="auto"/>
      </w:pPr>
      <w:r>
        <w:rPr>
          <w:rFonts w:hint="eastAsia" w:ascii="Times New Roman" w:hAnsi="Times New Roman" w:cs="仿宋"/>
          <w:sz w:val="24"/>
          <w:szCs w:val="24"/>
        </w:rPr>
        <w:t>联系电话：</w:t>
      </w:r>
    </w:p>
    <w:p w14:paraId="1679967A">
      <w:pPr>
        <w:spacing w:line="360" w:lineRule="auto"/>
      </w:pPr>
      <w:r>
        <w:rPr>
          <w:rFonts w:hint="eastAsia" w:ascii="Times New Roman" w:hAnsi="Times New Roman" w:cs="仿宋"/>
          <w:sz w:val="24"/>
          <w:szCs w:val="24"/>
        </w:rPr>
        <w:t>地址：邮编：</w:t>
      </w:r>
    </w:p>
    <w:p w14:paraId="6200D647">
      <w:pPr>
        <w:spacing w:line="360" w:lineRule="auto"/>
      </w:pPr>
      <w:r>
        <w:rPr>
          <w:rFonts w:hint="eastAsia" w:ascii="Times New Roman" w:hAnsi="Times New Roman" w:cs="仿宋"/>
          <w:bCs/>
          <w:sz w:val="24"/>
          <w:szCs w:val="24"/>
        </w:rPr>
        <w:t>二、质疑项目基本情况</w:t>
      </w:r>
    </w:p>
    <w:p w14:paraId="2758DAD5">
      <w:pPr>
        <w:spacing w:line="360" w:lineRule="auto"/>
      </w:pPr>
      <w:r>
        <w:rPr>
          <w:rFonts w:hint="eastAsia" w:ascii="Times New Roman" w:hAnsi="Times New Roman" w:cs="仿宋"/>
          <w:sz w:val="24"/>
          <w:szCs w:val="24"/>
        </w:rPr>
        <w:t>质疑项目的名称：</w:t>
      </w:r>
    </w:p>
    <w:p w14:paraId="5FA4E2B1">
      <w:pPr>
        <w:spacing w:line="360" w:lineRule="auto"/>
      </w:pPr>
      <w:r>
        <w:rPr>
          <w:rFonts w:hint="eastAsia" w:ascii="Times New Roman" w:hAnsi="Times New Roman" w:cs="仿宋"/>
          <w:sz w:val="24"/>
          <w:szCs w:val="24"/>
        </w:rPr>
        <w:t>质疑项目的编号：包号：</w:t>
      </w:r>
    </w:p>
    <w:p w14:paraId="06F6169D">
      <w:pPr>
        <w:spacing w:line="360" w:lineRule="auto"/>
      </w:pPr>
      <w:r>
        <w:rPr>
          <w:rFonts w:hint="eastAsia" w:ascii="Times New Roman" w:hAnsi="Times New Roman" w:cs="仿宋"/>
          <w:sz w:val="24"/>
          <w:szCs w:val="24"/>
        </w:rPr>
        <w:t>采购人名称：</w:t>
      </w:r>
    </w:p>
    <w:p w14:paraId="4C62F52C">
      <w:pPr>
        <w:spacing w:line="360" w:lineRule="auto"/>
      </w:pPr>
      <w:r>
        <w:rPr>
          <w:rFonts w:hint="eastAsia" w:ascii="Times New Roman" w:hAnsi="Times New Roman" w:cs="仿宋"/>
          <w:sz w:val="24"/>
          <w:szCs w:val="24"/>
        </w:rPr>
        <w:t>采购文件获取日期：</w:t>
      </w:r>
    </w:p>
    <w:p w14:paraId="0704C727">
      <w:pPr>
        <w:spacing w:line="360" w:lineRule="auto"/>
      </w:pPr>
      <w:r>
        <w:rPr>
          <w:rFonts w:hint="eastAsia" w:ascii="Times New Roman" w:hAnsi="Times New Roman" w:cs="仿宋"/>
          <w:bCs/>
          <w:sz w:val="24"/>
          <w:szCs w:val="24"/>
        </w:rPr>
        <w:t>三、质疑事项具体内容</w:t>
      </w:r>
    </w:p>
    <w:p w14:paraId="086E751B">
      <w:pPr>
        <w:spacing w:line="360" w:lineRule="auto"/>
      </w:pPr>
      <w:r>
        <w:rPr>
          <w:rFonts w:hint="eastAsia" w:ascii="Times New Roman" w:hAnsi="Times New Roman" w:cs="仿宋"/>
          <w:sz w:val="24"/>
          <w:szCs w:val="24"/>
        </w:rPr>
        <w:t>质疑事项1：</w:t>
      </w:r>
    </w:p>
    <w:p w14:paraId="0A96F277">
      <w:pPr>
        <w:spacing w:line="360" w:lineRule="auto"/>
      </w:pPr>
      <w:r>
        <w:rPr>
          <w:rFonts w:hint="eastAsia" w:ascii="Times New Roman" w:hAnsi="Times New Roman" w:cs="仿宋"/>
          <w:sz w:val="24"/>
          <w:szCs w:val="24"/>
        </w:rPr>
        <w:t>事实依据：</w:t>
      </w:r>
    </w:p>
    <w:p w14:paraId="7A5DB3A4">
      <w:pPr>
        <w:spacing w:line="360" w:lineRule="auto"/>
      </w:pPr>
    </w:p>
    <w:p w14:paraId="592B5DF9">
      <w:pPr>
        <w:spacing w:line="360" w:lineRule="auto"/>
      </w:pPr>
      <w:r>
        <w:rPr>
          <w:rFonts w:hint="eastAsia" w:ascii="Times New Roman" w:hAnsi="Times New Roman" w:cs="仿宋"/>
          <w:sz w:val="24"/>
          <w:szCs w:val="24"/>
        </w:rPr>
        <w:t>法律依据：</w:t>
      </w:r>
    </w:p>
    <w:p w14:paraId="4F9BCFB3">
      <w:pPr>
        <w:spacing w:line="360" w:lineRule="auto"/>
      </w:pPr>
    </w:p>
    <w:p w14:paraId="73F671C9">
      <w:pPr>
        <w:spacing w:line="360" w:lineRule="auto"/>
      </w:pPr>
      <w:r>
        <w:rPr>
          <w:rFonts w:hint="eastAsia" w:ascii="Times New Roman" w:hAnsi="Times New Roman" w:cs="仿宋"/>
          <w:sz w:val="24"/>
          <w:szCs w:val="24"/>
        </w:rPr>
        <w:t>质疑事项2</w:t>
      </w:r>
    </w:p>
    <w:p w14:paraId="3ECCACC8">
      <w:pPr>
        <w:spacing w:line="360" w:lineRule="auto"/>
      </w:pPr>
      <w:r>
        <w:rPr>
          <w:rFonts w:hint="eastAsia" w:ascii="Times New Roman" w:hAnsi="Times New Roman" w:cs="仿宋"/>
          <w:sz w:val="24"/>
          <w:szCs w:val="24"/>
        </w:rPr>
        <w:t>……</w:t>
      </w:r>
    </w:p>
    <w:p w14:paraId="34AF8487">
      <w:pPr>
        <w:spacing w:line="360" w:lineRule="auto"/>
      </w:pPr>
      <w:r>
        <w:rPr>
          <w:rFonts w:hint="eastAsia" w:ascii="Times New Roman" w:hAnsi="Times New Roman" w:cs="仿宋"/>
          <w:bCs/>
          <w:sz w:val="24"/>
          <w:szCs w:val="24"/>
        </w:rPr>
        <w:t>四、与质疑事项相关的质疑请求</w:t>
      </w:r>
    </w:p>
    <w:p w14:paraId="4025ADB6">
      <w:pPr>
        <w:spacing w:line="360" w:lineRule="auto"/>
      </w:pPr>
      <w:r>
        <w:rPr>
          <w:rFonts w:hint="eastAsia" w:ascii="Times New Roman" w:hAnsi="Times New Roman" w:cs="仿宋"/>
          <w:sz w:val="24"/>
          <w:szCs w:val="24"/>
        </w:rPr>
        <w:t>请求：</w:t>
      </w:r>
    </w:p>
    <w:p w14:paraId="0521227F">
      <w:r>
        <w:rPr>
          <w:rFonts w:hint="eastAsia" w:ascii="Times New Roman" w:hAnsi="Times New Roman"/>
          <w:sz w:val="24"/>
          <w:szCs w:val="24"/>
        </w:rPr>
        <w:t xml:space="preserve">签字(签章)：                   公章：                      </w:t>
      </w:r>
    </w:p>
    <w:p w14:paraId="28BB8CF4">
      <w:r>
        <w:rPr>
          <w:rFonts w:hint="eastAsia" w:ascii="Times New Roman" w:hAnsi="Times New Roman"/>
          <w:sz w:val="24"/>
          <w:szCs w:val="24"/>
        </w:rPr>
        <w:t xml:space="preserve">日期：    </w:t>
      </w:r>
    </w:p>
    <w:p w14:paraId="06E780F7">
      <w:pPr>
        <w:spacing w:line="400" w:lineRule="exact"/>
      </w:pPr>
      <w:r>
        <w:rPr>
          <w:rFonts w:hint="eastAsia" w:ascii="Times New Roman" w:hAnsi="Times New Roman"/>
          <w:b/>
          <w:sz w:val="24"/>
          <w:szCs w:val="24"/>
        </w:rPr>
        <w:t>质疑函制作说明：</w:t>
      </w:r>
    </w:p>
    <w:p w14:paraId="5FDE69C4">
      <w:pPr>
        <w:widowControl/>
        <w:spacing w:line="400" w:lineRule="exact"/>
        <w:ind w:firstLine="480"/>
        <w:jc w:val="left"/>
      </w:pPr>
      <w:r>
        <w:rPr>
          <w:rFonts w:hint="eastAsia" w:ascii="Times New Roman" w:hAnsi="Times New Roman"/>
          <w:sz w:val="24"/>
          <w:szCs w:val="24"/>
        </w:rPr>
        <w:t>1.供应商提出质疑时，应提交质疑函和必要的证明材料。</w:t>
      </w:r>
    </w:p>
    <w:p w14:paraId="77BD15F5">
      <w:pPr>
        <w:widowControl/>
        <w:spacing w:line="400" w:lineRule="exact"/>
        <w:ind w:firstLine="480"/>
        <w:jc w:val="left"/>
      </w:pPr>
      <w:r>
        <w:rPr>
          <w:rFonts w:hint="eastAsia" w:ascii="Times New Roman" w:hAnsi="Times New Roman"/>
          <w:sz w:val="24"/>
          <w:szCs w:val="24"/>
        </w:rPr>
        <w:t>2.质疑供应商若委托代理人进行质疑的，质疑函应按要求列明“授权代表”的有关内容，并在附件中提交由质疑</w:t>
      </w:r>
      <w:r>
        <w:rPr>
          <w:rFonts w:hint="eastAsia" w:ascii="Times New Roman" w:hAnsi="Times New Roman" w:cs="宋体"/>
          <w:sz w:val="24"/>
          <w:szCs w:val="24"/>
        </w:rPr>
        <w:t>供应商签署的授权委托书。授权委托书应载明代理人的姓名或者名称、代理事项、具体权限、期限和相关事项。</w:t>
      </w:r>
    </w:p>
    <w:p w14:paraId="767D94BD">
      <w:pPr>
        <w:widowControl/>
        <w:spacing w:line="400" w:lineRule="exact"/>
        <w:ind w:firstLine="480"/>
        <w:jc w:val="left"/>
      </w:pPr>
      <w:r>
        <w:rPr>
          <w:rFonts w:hint="eastAsia" w:ascii="Times New Roman" w:hAnsi="Times New Roman"/>
          <w:sz w:val="24"/>
          <w:szCs w:val="24"/>
        </w:rPr>
        <w:t>3.质疑供应商若对项目的某一分包进行质疑，质疑函中应列明具体分包号。</w:t>
      </w:r>
    </w:p>
    <w:p w14:paraId="0AC72979">
      <w:pPr>
        <w:widowControl/>
        <w:spacing w:line="400" w:lineRule="exact"/>
        <w:ind w:firstLine="480"/>
        <w:jc w:val="left"/>
      </w:pPr>
      <w:r>
        <w:rPr>
          <w:rFonts w:hint="eastAsia" w:ascii="Times New Roman" w:hAnsi="Times New Roman"/>
          <w:sz w:val="24"/>
          <w:szCs w:val="24"/>
        </w:rPr>
        <w:t>4.质疑函的质疑事项应具体、明确，并有必要的事实依据和法律依据。</w:t>
      </w:r>
    </w:p>
    <w:p w14:paraId="66FAD712">
      <w:pPr>
        <w:widowControl/>
        <w:spacing w:line="400" w:lineRule="exact"/>
        <w:ind w:firstLine="480"/>
        <w:jc w:val="left"/>
      </w:pPr>
      <w:r>
        <w:rPr>
          <w:rFonts w:hint="eastAsia" w:ascii="Times New Roman" w:hAnsi="Times New Roman"/>
          <w:sz w:val="24"/>
          <w:szCs w:val="24"/>
        </w:rPr>
        <w:t>5.质疑函的质疑请求应与质疑事项相关。</w:t>
      </w:r>
    </w:p>
    <w:p w14:paraId="4F595E66">
      <w:pPr>
        <w:widowControl/>
        <w:spacing w:line="400" w:lineRule="exact"/>
        <w:ind w:firstLine="480"/>
        <w:jc w:val="left"/>
      </w:pPr>
      <w:r>
        <w:rPr>
          <w:rFonts w:hint="eastAsia" w:ascii="Times New Roman" w:hAnsi="Times New Roman"/>
          <w:sz w:val="24"/>
          <w:szCs w:val="24"/>
        </w:rPr>
        <w:t>6.质疑供应商为自然人的，质疑函应由本人签字；质疑供应商为法人或者其他组织的，质疑函应由法定代表人、主要负责人，或者其授权代表签字或者盖章，并加盖公章。</w:t>
      </w:r>
    </w:p>
    <w:p w14:paraId="4BF0D5FE">
      <w:pPr>
        <w:rPr>
          <w:rFonts w:eastAsia="Arial"/>
          <w:szCs w:val="24"/>
        </w:rPr>
      </w:pPr>
    </w:p>
    <w:p w14:paraId="4ECC65D8">
      <w:pPr>
        <w:pStyle w:val="421"/>
        <w:rPr>
          <w:rFonts w:ascii="方正仿宋_GBK" w:hAnsi="方正仿宋_GBK" w:eastAsia="方正仿宋_GBK" w:cs="方正仿宋_GBK"/>
          <w:color w:val="000000"/>
          <w:szCs w:val="24"/>
        </w:rPr>
      </w:pPr>
    </w:p>
    <w:sectPr>
      <w:footerReference r:id="rId6" w:type="default"/>
      <w:type w:val="continuous"/>
      <w:pgSz w:w="11906" w:h="16838"/>
      <w:pgMar w:top="1440" w:right="1304" w:bottom="1440" w:left="1418"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E4B49B8-AAB2-45BF-9DFE-E1C34D43DCAD}"/>
  </w:font>
  <w:font w:name="黑体">
    <w:panose1 w:val="02010609060101010101"/>
    <w:charset w:val="86"/>
    <w:family w:val="auto"/>
    <w:pitch w:val="default"/>
    <w:sig w:usb0="800002BF" w:usb1="38CF7CFA" w:usb2="00000016" w:usb3="00000000" w:csb0="00040001" w:csb1="00000000"/>
    <w:embedRegular r:id="rId2" w:fontKey="{B7080E8E-A9C7-4582-BDE6-AC72B746B3D8}"/>
  </w:font>
  <w:font w:name="Courier New">
    <w:panose1 w:val="02070309020205020404"/>
    <w:charset w:val="01"/>
    <w:family w:val="modern"/>
    <w:pitch w:val="default"/>
    <w:sig w:usb0="E0002EFF" w:usb1="C0007843" w:usb2="00000009" w:usb3="00000000" w:csb0="400001FF" w:csb1="FFFF0000"/>
    <w:embedRegular r:id="rId3" w:fontKey="{A62558C4-E066-4A5C-A7F6-68B0145728FD}"/>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AB88E3AB-0312-42CD-8147-01956450B197}"/>
  </w:font>
  <w:font w:name="仿宋_GB2312">
    <w:altName w:val="仿宋"/>
    <w:panose1 w:val="02010609030101010101"/>
    <w:charset w:val="86"/>
    <w:family w:val="modern"/>
    <w:pitch w:val="default"/>
    <w:sig w:usb0="00000000" w:usb1="00000000" w:usb2="00000010" w:usb3="00000000" w:csb0="00040000" w:csb1="00000000"/>
    <w:embedRegular r:id="rId5" w:fontKey="{11DB91C3-708A-4AFA-A3B3-D0D1558138F9}"/>
  </w:font>
  <w:font w:name="仿宋">
    <w:panose1 w:val="02010609060101010101"/>
    <w:charset w:val="86"/>
    <w:family w:val="modern"/>
    <w:pitch w:val="default"/>
    <w:sig w:usb0="800002BF" w:usb1="38CF7CFA" w:usb2="00000016" w:usb3="00000000" w:csb0="00040001" w:csb1="00000000"/>
    <w:embedRegular r:id="rId6" w:fontKey="{21D46D9B-52E7-4C28-AE48-83570643834C}"/>
  </w:font>
  <w:font w:name="新宋体">
    <w:panose1 w:val="02010609030101010101"/>
    <w:charset w:val="86"/>
    <w:family w:val="modern"/>
    <w:pitch w:val="default"/>
    <w:sig w:usb0="00000203" w:usb1="288F0000" w:usb2="0000000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003F01FF" w:csb1="00000000"/>
  </w:font>
  <w:font w:name="方正黑体_GBK">
    <w:altName w:val="微软雅黑"/>
    <w:panose1 w:val="03000509000000000000"/>
    <w:charset w:val="86"/>
    <w:family w:val="script"/>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方正小标宋_GBK">
    <w:panose1 w:val="02000000000000000000"/>
    <w:charset w:val="86"/>
    <w:family w:val="script"/>
    <w:pitch w:val="default"/>
    <w:sig w:usb0="A00002BF" w:usb1="38CF7CFA" w:usb2="00082016" w:usb3="00000000" w:csb0="00040001" w:csb1="00000000"/>
    <w:embedRegular r:id="rId7" w:fontKey="{9B048E87-FB57-4CDD-A027-C2DB2410DEA5}"/>
  </w:font>
  <w:font w:name="华文楷体">
    <w:altName w:val="宋体"/>
    <w:panose1 w:val="02010600040101010101"/>
    <w:charset w:val="86"/>
    <w:family w:val="auto"/>
    <w:pitch w:val="default"/>
    <w:sig w:usb0="00000000" w:usb1="00000000" w:usb2="00000000" w:usb3="00000000" w:csb0="0004009F" w:csb1="DFD70000"/>
  </w:font>
  <w:font w:name="方正仿宋_GBK">
    <w:panose1 w:val="02000000000000000000"/>
    <w:charset w:val="86"/>
    <w:family w:val="script"/>
    <w:pitch w:val="default"/>
    <w:sig w:usb0="A00002BF" w:usb1="38CF7CFA" w:usb2="00082016" w:usb3="00000000" w:csb0="00040001" w:csb1="00000000"/>
    <w:embedRegular r:id="rId8" w:fontKey="{B55F763B-A23D-4F5C-BBE0-3EE25FD8C892}"/>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等线">
    <w:panose1 w:val="02010600030101010101"/>
    <w:charset w:val="86"/>
    <w:family w:val="auto"/>
    <w:pitch w:val="default"/>
    <w:sig w:usb0="A00002BF" w:usb1="38CF7CFA" w:usb2="00000016" w:usb3="00000000" w:csb0="0004000F" w:csb1="00000000"/>
    <w:embedRegular r:id="rId9" w:fontKey="{C6493C80-570E-49E0-977C-3CABE531A0B7}"/>
  </w:font>
  <w:font w:name="KSOFEC83043A">
    <w:panose1 w:val="020B0503020204020204"/>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26D3D">
    <w:pPr>
      <w:pStyle w:val="95"/>
      <w:jc w:val="center"/>
    </w:pPr>
    <w:r>
      <w:pict>
        <v:shape id="_x0000_s1028" o:spid="_x0000_s1028" o:spt="202" type="#_x0000_t202" style="position:absolute;left:0pt;margin-top:-9.6pt;height:27.05pt;width:60.7pt;mso-position-horizontal:center;mso-position-horizontal-relative:margin;z-index:251660288;mso-width-relative:page;mso-height-relative:page;" filled="f" stroked="f" coordsize="21600,21600" o:gfxdata="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rQ2mL1gAAAAcBAAAPAAAAAAAAAAEAIAAAACIA&#10;AABkcnMvZG93bnJldi54bWxQSwECFAAUAAAACACHTuJACZZQhNIBAACXAwAADgAAAAAAAAABACAA&#10;AAAlAQAAZHJzL2Uyb0RvYy54bWxQSwUGAAAAAAYABgBZAQAAaQUAAAAA&#10;">
          <v:path/>
          <v:fill on="f" focussize="0,0"/>
          <v:stroke on="f" joinstyle="miter"/>
          <v:imagedata o:title=""/>
          <o:lock v:ext="edit"/>
          <v:textbox inset="0mm,0mm,0mm,0mm">
            <w:txbxContent>
              <w:p w14:paraId="2099D2F0">
                <w:pPr>
                  <w:pStyle w:val="95"/>
                  <w:tabs>
                    <w:tab w:val="clear" w:pos="4153"/>
                    <w:tab w:val="clear" w:pos="8306"/>
                  </w:tabs>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hint="eastAsia" w:ascii="Times New Roman" w:hAnsi="Times New Roman"/>
                    <w:sz w:val="32"/>
                    <w:szCs w:val="32"/>
                  </w:rPr>
                  <w:t xml:space="preserve"> —</w:t>
                </w:r>
              </w:p>
              <w:p w14:paraId="4C250AAC"/>
            </w:txbxContent>
          </v:textbox>
        </v:shape>
      </w:pict>
    </w:r>
  </w:p>
  <w:p w14:paraId="542E5BB6">
    <w:pPr>
      <w:pStyle w:val="9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9A9F8">
    <w:pPr>
      <w:pStyle w:val="95"/>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qQ4Wm1QEAALEDAAAOAAAAAAAAAAEAIAAAAB4B&#10;AABkcnMvZTJvRG9jLnhtbFBLBQYAAAAABgAGAFkBAABlBQAAAAA=&#10;">
          <v:path/>
          <v:fill on="f" focussize="0,0"/>
          <v:stroke on="f" joinstyle="miter"/>
          <v:imagedata o:title=""/>
          <o:lock v:ext="edit"/>
          <v:textbox inset="0mm,0mm,0mm,0mm" style="mso-fit-shape-to-text:t;">
            <w:txbxContent>
              <w:p w14:paraId="660DCD48">
                <w:pPr>
                  <w:pStyle w:val="95"/>
                  <w:tabs>
                    <w:tab w:val="clear" w:pos="4153"/>
                    <w:tab w:val="clear" w:pos="8306"/>
                  </w:tabs>
                </w:pPr>
                <w:r>
                  <w:fldChar w:fldCharType="begin"/>
                </w:r>
                <w:r>
                  <w:instrText xml:space="preserve"> PAGE  \* MERGEFORMAT </w:instrText>
                </w:r>
                <w:r>
                  <w:fldChar w:fldCharType="separate"/>
                </w:r>
                <w:r>
                  <w:t>1</w:t>
                </w:r>
                <w:r>
                  <w:fldChar w:fldCharType="end"/>
                </w:r>
              </w:p>
              <w:p w14:paraId="4B2D2FA9"/>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C9FE10">
    <w:pPr>
      <w:pStyle w:val="95"/>
      <w:jc w:val="center"/>
    </w:pPr>
    <w:r>
      <w:pict>
        <v:shape id="_x0000_s1027" o:spid="_x0000_s1027" o:spt="202" type="#_x0000_t202" style="position:absolute;left:0pt;margin-left:224.25pt;margin-top:-1pt;height:22pt;width:58.5pt;mso-position-horizontal-relative:margin;z-index:251660288;mso-width-relative:page;mso-height-relative:page;" filled="f" stroked="f" coordsize="21600,21600" o:gfxdata="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KbouxbXAAAACQEAAA8AAAAAAAAAAQAgAAAA&#10;IgAAAGRycy9kb3ducmV2LnhtbFBLAQIUABQAAAAIAIdO4kDKpR6n0wEAAJcDAAAOAAAAAAAAAAEA&#10;IAAAACYBAABkcnMvZTJvRG9jLnhtbFBLBQYAAAAABgAGAFkBAABrBQAAAAA=&#10;">
          <v:path/>
          <v:fill on="f" focussize="0,0"/>
          <v:stroke on="f" joinstyle="miter"/>
          <v:imagedata o:title=""/>
          <o:lock v:ext="edit"/>
          <v:textbox inset="0mm,0mm,0mm,0mm">
            <w:txbxContent>
              <w:p w14:paraId="7B7722A2">
                <w:pPr>
                  <w:pStyle w:val="95"/>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38</w:t>
                </w:r>
                <w:r>
                  <w:rPr>
                    <w:rFonts w:ascii="Times New Roman" w:hAnsi="Times New Roman"/>
                    <w:sz w:val="32"/>
                    <w:szCs w:val="32"/>
                  </w:rPr>
                  <w:fldChar w:fldCharType="end"/>
                </w:r>
                <w:r>
                  <w:rPr>
                    <w:rFonts w:ascii="Times New Roman" w:hAnsi="Times New Roman"/>
                    <w:sz w:val="32"/>
                    <w:szCs w:val="32"/>
                  </w:rPr>
                  <w:t>—</w:t>
                </w:r>
              </w:p>
              <w:p w14:paraId="001DE978"/>
            </w:txbxContent>
          </v:textbox>
        </v:shape>
      </w:pict>
    </w:r>
  </w:p>
  <w:p w14:paraId="70C0BFF4">
    <w:pPr>
      <w:pStyle w:val="9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CE5C59">
    <w:pPr>
      <w:pStyle w:val="97"/>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C61BE33"/>
    <w:multiLevelType w:val="singleLevel"/>
    <w:tmpl w:val="CC61BE33"/>
    <w:lvl w:ilvl="0" w:tentative="0">
      <w:start w:val="1"/>
      <w:numFmt w:val="decimal"/>
      <w:suff w:val="nothing"/>
      <w:lvlText w:val="%1、"/>
      <w:lvlJc w:val="left"/>
    </w:lvl>
  </w:abstractNum>
  <w:abstractNum w:abstractNumId="3">
    <w:nsid w:val="CF092B84"/>
    <w:multiLevelType w:val="multilevel"/>
    <w:tmpl w:val="CF092B84"/>
    <w:lvl w:ilvl="0" w:tentative="0">
      <w:start w:val="1"/>
      <w:numFmt w:val="chineseCounting"/>
      <w:pStyle w:val="465"/>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D1B04727"/>
    <w:multiLevelType w:val="singleLevel"/>
    <w:tmpl w:val="D1B04727"/>
    <w:lvl w:ilvl="0" w:tentative="0">
      <w:start w:val="1"/>
      <w:numFmt w:val="decimal"/>
      <w:suff w:val="nothing"/>
      <w:lvlText w:val="%1、"/>
      <w:lvlJc w:val="left"/>
    </w:lvl>
  </w:abstractNum>
  <w:abstractNum w:abstractNumId="5">
    <w:nsid w:val="0053208E"/>
    <w:multiLevelType w:val="multilevel"/>
    <w:tmpl w:val="0053208E"/>
    <w:lvl w:ilvl="0" w:tentative="0">
      <w:start w:val="1"/>
      <w:numFmt w:val="decimal"/>
      <w:pStyle w:val="450"/>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03D62ECE"/>
    <w:multiLevelType w:val="multilevel"/>
    <w:tmpl w:val="03D62ECE"/>
    <w:lvl w:ilvl="0" w:tentative="0">
      <w:start w:val="5"/>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9ADCABA"/>
    <w:multiLevelType w:val="multilevel"/>
    <w:tmpl w:val="59ADCABA"/>
    <w:lvl w:ilvl="0" w:tentative="0">
      <w:start w:val="2"/>
      <w:numFmt w:val="chineseCounting"/>
      <w:suff w:val="nothing"/>
      <w:lvlText w:val="（%1）"/>
      <w:lvlJc w:val="left"/>
      <w:pPr>
        <w:ind w:left="57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7"/>
  </w:num>
  <w:num w:numId="4">
    <w:abstractNumId w:val="1"/>
  </w:num>
  <w:num w:numId="5">
    <w:abstractNumId w:val="0"/>
  </w:num>
  <w:num w:numId="6">
    <w:abstractNumId w:val="2"/>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useAltKinsokuLineBreakRules/>
    <w:compatSetting w:name="compatibilityMode" w:uri="http://schemas.microsoft.com/office/word" w:val="12"/>
  </w:compat>
  <w:rsids>
    <w:rsidRoot w:val="008D3C93"/>
    <w:rsid w:val="004067B5"/>
    <w:rsid w:val="004A153C"/>
    <w:rsid w:val="004A2438"/>
    <w:rsid w:val="005C269D"/>
    <w:rsid w:val="006C390A"/>
    <w:rsid w:val="0073263F"/>
    <w:rsid w:val="008D3C93"/>
    <w:rsid w:val="00902BBB"/>
    <w:rsid w:val="009052FD"/>
    <w:rsid w:val="0091338B"/>
    <w:rsid w:val="00AB44B6"/>
    <w:rsid w:val="00B50DFF"/>
    <w:rsid w:val="00CD099A"/>
    <w:rsid w:val="00CE3204"/>
    <w:rsid w:val="00DF3ABA"/>
    <w:rsid w:val="00E873A6"/>
    <w:rsid w:val="00F44977"/>
    <w:rsid w:val="00F613E5"/>
    <w:rsid w:val="04910FF4"/>
    <w:rsid w:val="05E145FF"/>
    <w:rsid w:val="0B6144B4"/>
    <w:rsid w:val="1A7C2DE0"/>
    <w:rsid w:val="23403F6B"/>
    <w:rsid w:val="260B41A9"/>
    <w:rsid w:val="34E71DD6"/>
    <w:rsid w:val="3D6B57C2"/>
    <w:rsid w:val="462E283C"/>
    <w:rsid w:val="51B8733E"/>
    <w:rsid w:val="5304544A"/>
    <w:rsid w:val="565E195B"/>
    <w:rsid w:val="5793477B"/>
    <w:rsid w:val="59DF681C"/>
    <w:rsid w:val="5A0D4A28"/>
    <w:rsid w:val="68731258"/>
    <w:rsid w:val="68F559D4"/>
    <w:rsid w:val="6EC4452A"/>
    <w:rsid w:val="70DE776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2"/>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516"/>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17"/>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unhideWhenUsed/>
    <w:qFormat/>
    <w:uiPriority w:val="9"/>
    <w:pPr>
      <w:keepNext/>
      <w:keepLines/>
      <w:spacing w:before="320" w:after="200"/>
      <w:outlineLvl w:val="8"/>
    </w:pPr>
    <w:rPr>
      <w:rFonts w:ascii="Arial" w:hAnsi="Arial" w:eastAsia="Arial" w:cs="Arial"/>
      <w:i/>
      <w:iCs/>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line="560" w:lineRule="exact"/>
      <w:ind w:firstLine="630"/>
    </w:pPr>
    <w:rPr>
      <w:rFonts w:ascii="Times New Roman" w:hAnsi="Times New Roman" w:eastAsia="仿宋_GB2312" w:cs="仿宋_GB2312"/>
      <w:spacing w:val="-6"/>
      <w:sz w:val="32"/>
      <w:szCs w:val="32"/>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sz w:val="18"/>
      <w:szCs w:val="18"/>
    </w:rPr>
  </w:style>
  <w:style w:type="paragraph" w:styleId="14">
    <w:name w:val="toc 5"/>
    <w:basedOn w:val="1"/>
    <w:next w:val="1"/>
    <w:unhideWhenUsed/>
    <w:qFormat/>
    <w:uiPriority w:val="39"/>
    <w:pPr>
      <w:spacing w:after="57"/>
      <w:ind w:left="1134"/>
    </w:pPr>
  </w:style>
  <w:style w:type="paragraph" w:styleId="15">
    <w:name w:val="toc 3"/>
    <w:basedOn w:val="1"/>
    <w:next w:val="1"/>
    <w:unhideWhenUsed/>
    <w:qFormat/>
    <w:uiPriority w:val="39"/>
    <w:pPr>
      <w:spacing w:after="57"/>
      <w:ind w:left="567"/>
    </w:pPr>
  </w:style>
  <w:style w:type="paragraph" w:styleId="16">
    <w:name w:val="toc 8"/>
    <w:basedOn w:val="1"/>
    <w:next w:val="1"/>
    <w:unhideWhenUsed/>
    <w:qFormat/>
    <w:uiPriority w:val="39"/>
    <w:pPr>
      <w:spacing w:after="57"/>
      <w:ind w:left="1984"/>
    </w:pPr>
  </w:style>
  <w:style w:type="paragraph" w:styleId="17">
    <w:name w:val="endnote text"/>
    <w:basedOn w:val="1"/>
    <w:semiHidden/>
    <w:unhideWhenUsed/>
    <w:qFormat/>
    <w:uiPriority w:val="99"/>
    <w:rPr>
      <w:sz w:val="20"/>
    </w:rPr>
  </w:style>
  <w:style w:type="paragraph" w:styleId="18">
    <w:name w:val="footer"/>
    <w:basedOn w:val="1"/>
    <w:unhideWhenUsed/>
    <w:qFormat/>
    <w:uiPriority w:val="99"/>
    <w:pPr>
      <w:tabs>
        <w:tab w:val="center" w:pos="7143"/>
        <w:tab w:val="right" w:pos="14287"/>
      </w:tabs>
    </w:pPr>
  </w:style>
  <w:style w:type="paragraph" w:styleId="19">
    <w:name w:val="header"/>
    <w:basedOn w:val="1"/>
    <w:unhideWhenUsed/>
    <w:qFormat/>
    <w:uiPriority w:val="99"/>
    <w:pPr>
      <w:tabs>
        <w:tab w:val="center" w:pos="7143"/>
        <w:tab w:val="right" w:pos="14287"/>
      </w:tabs>
    </w:pPr>
  </w:style>
  <w:style w:type="paragraph" w:styleId="20">
    <w:name w:val="toc 1"/>
    <w:basedOn w:val="1"/>
    <w:next w:val="1"/>
    <w:unhideWhenUsed/>
    <w:qFormat/>
    <w:uiPriority w:val="39"/>
    <w:pPr>
      <w:spacing w:after="57"/>
    </w:pPr>
  </w:style>
  <w:style w:type="paragraph" w:styleId="21">
    <w:name w:val="toc 4"/>
    <w:basedOn w:val="1"/>
    <w:next w:val="1"/>
    <w:unhideWhenUsed/>
    <w:qFormat/>
    <w:uiPriority w:val="39"/>
    <w:pPr>
      <w:spacing w:after="57"/>
      <w:ind w:left="850"/>
    </w:pPr>
  </w:style>
  <w:style w:type="paragraph" w:styleId="22">
    <w:name w:val="Subtitle"/>
    <w:basedOn w:val="1"/>
    <w:next w:val="1"/>
    <w:qFormat/>
    <w:uiPriority w:val="11"/>
    <w:pPr>
      <w:spacing w:before="200" w:after="200"/>
    </w:pPr>
    <w:rPr>
      <w:sz w:val="24"/>
      <w:szCs w:val="24"/>
    </w:rPr>
  </w:style>
  <w:style w:type="paragraph" w:styleId="23">
    <w:name w:val="footnote text"/>
    <w:basedOn w:val="1"/>
    <w:semiHidden/>
    <w:unhideWhenUsed/>
    <w:qFormat/>
    <w:uiPriority w:val="99"/>
    <w:pPr>
      <w:spacing w:after="40"/>
    </w:pPr>
    <w:rPr>
      <w:sz w:val="18"/>
    </w:rPr>
  </w:style>
  <w:style w:type="paragraph" w:styleId="24">
    <w:name w:val="toc 6"/>
    <w:basedOn w:val="1"/>
    <w:next w:val="1"/>
    <w:unhideWhenUsed/>
    <w:qFormat/>
    <w:uiPriority w:val="39"/>
    <w:pPr>
      <w:spacing w:after="57"/>
      <w:ind w:left="1417"/>
    </w:pPr>
  </w:style>
  <w:style w:type="paragraph" w:styleId="25">
    <w:name w:val="table of figures"/>
    <w:basedOn w:val="1"/>
    <w:next w:val="1"/>
    <w:unhideWhenUsed/>
    <w:qFormat/>
    <w:uiPriority w:val="99"/>
  </w:style>
  <w:style w:type="paragraph" w:styleId="26">
    <w:name w:val="toc 2"/>
    <w:basedOn w:val="1"/>
    <w:next w:val="1"/>
    <w:unhideWhenUsed/>
    <w:qFormat/>
    <w:uiPriority w:val="39"/>
    <w:pPr>
      <w:spacing w:after="57"/>
      <w:ind w:left="283"/>
    </w:pPr>
  </w:style>
  <w:style w:type="paragraph" w:styleId="27">
    <w:name w:val="toc 9"/>
    <w:basedOn w:val="1"/>
    <w:next w:val="1"/>
    <w:unhideWhenUsed/>
    <w:qFormat/>
    <w:uiPriority w:val="39"/>
    <w:pPr>
      <w:spacing w:after="57"/>
      <w:ind w:left="2268"/>
    </w:pPr>
  </w:style>
  <w:style w:type="paragraph" w:styleId="28">
    <w:name w:val="Normal (Web)"/>
    <w:basedOn w:val="1"/>
    <w:qFormat/>
    <w:uiPriority w:val="0"/>
    <w:pPr>
      <w:widowControl/>
      <w:spacing w:before="100" w:beforeAutospacing="1" w:after="100" w:afterAutospacing="1"/>
      <w:jc w:val="left"/>
    </w:pPr>
    <w:rPr>
      <w:rFonts w:ascii="宋体"/>
      <w:sz w:val="24"/>
      <w:szCs w:val="20"/>
    </w:rPr>
  </w:style>
  <w:style w:type="paragraph" w:styleId="29">
    <w:name w:val="Title"/>
    <w:basedOn w:val="1"/>
    <w:next w:val="1"/>
    <w:qFormat/>
    <w:uiPriority w:val="10"/>
    <w:pPr>
      <w:spacing w:before="300" w:after="200"/>
      <w:contextualSpacing/>
    </w:pPr>
    <w:rPr>
      <w:sz w:val="48"/>
      <w:szCs w:val="48"/>
    </w:rPr>
  </w:style>
  <w:style w:type="table" w:styleId="3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u w:val="single"/>
    </w:rPr>
  </w:style>
  <w:style w:type="character" w:styleId="35">
    <w:name w:val="footnote reference"/>
    <w:unhideWhenUsed/>
    <w:qFormat/>
    <w:uiPriority w:val="99"/>
    <w:rPr>
      <w:vertAlign w:val="superscript"/>
    </w:rPr>
  </w:style>
  <w:style w:type="paragraph" w:customStyle="1" w:styleId="36">
    <w:name w:val="TOC 标题1"/>
    <w:unhideWhenUsed/>
    <w:qFormat/>
    <w:uiPriority w:val="39"/>
    <w:rPr>
      <w:rFonts w:ascii="Times New Roman" w:hAnsi="Times New Roman" w:eastAsia="宋体" w:cs="Times New Roman"/>
      <w:lang w:val="en-US" w:eastAsia="zh-CN" w:bidi="ar-SA"/>
    </w:rPr>
  </w:style>
  <w:style w:type="paragraph" w:customStyle="1" w:styleId="37">
    <w:name w:val="首行缩进"/>
    <w:basedOn w:val="1"/>
    <w:qFormat/>
    <w:uiPriority w:val="0"/>
    <w:pPr>
      <w:ind w:firstLine="480"/>
    </w:pPr>
    <w:rPr>
      <w:rFonts w:ascii="Times New Roman" w:hAnsi="Times New Roman"/>
      <w:szCs w:val="21"/>
      <w:lang w:val="zh-CN"/>
    </w:rPr>
  </w:style>
  <w:style w:type="paragraph" w:styleId="38">
    <w:name w:val="List Paragraph"/>
    <w:basedOn w:val="1"/>
    <w:qFormat/>
    <w:uiPriority w:val="34"/>
    <w:pPr>
      <w:ind w:left="720"/>
      <w:contextualSpacing/>
    </w:pPr>
  </w:style>
  <w:style w:type="paragraph" w:styleId="39">
    <w:name w:val="No Spacing"/>
    <w:qFormat/>
    <w:uiPriority w:val="1"/>
    <w:rPr>
      <w:rFonts w:ascii="Times New Roman" w:hAnsi="Times New Roman" w:eastAsia="宋体" w:cs="Times New Roman"/>
      <w:lang w:val="en-US" w:eastAsia="zh-CN" w:bidi="ar-SA"/>
    </w:rPr>
  </w:style>
  <w:style w:type="paragraph" w:styleId="40">
    <w:name w:val="Quote"/>
    <w:basedOn w:val="1"/>
    <w:next w:val="1"/>
    <w:qFormat/>
    <w:uiPriority w:val="29"/>
    <w:pPr>
      <w:ind w:left="720" w:right="720"/>
    </w:pPr>
    <w:rPr>
      <w:i/>
    </w:rPr>
  </w:style>
  <w:style w:type="paragraph" w:styleId="41">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42">
    <w:name w:val="标题 11"/>
    <w:basedOn w:val="1"/>
    <w:next w:val="1"/>
    <w:link w:val="59"/>
    <w:qFormat/>
    <w:uiPriority w:val="0"/>
    <w:pPr>
      <w:keepNext/>
      <w:keepLines/>
      <w:spacing w:before="480" w:after="200"/>
      <w:outlineLvl w:val="0"/>
    </w:pPr>
    <w:rPr>
      <w:rFonts w:ascii="Arial" w:hAnsi="Arial" w:eastAsia="Arial" w:cs="Arial"/>
      <w:sz w:val="40"/>
      <w:szCs w:val="40"/>
    </w:rPr>
  </w:style>
  <w:style w:type="paragraph" w:customStyle="1" w:styleId="43">
    <w:name w:val="标题 211"/>
    <w:basedOn w:val="1"/>
    <w:next w:val="44"/>
    <w:link w:val="60"/>
    <w:qFormat/>
    <w:uiPriority w:val="0"/>
    <w:pPr>
      <w:keepNext/>
      <w:keepLines/>
      <w:spacing w:before="260" w:after="260" w:line="413" w:lineRule="auto"/>
      <w:outlineLvl w:val="1"/>
    </w:pPr>
    <w:rPr>
      <w:rFonts w:ascii="Arial" w:hAnsi="Arial" w:eastAsia="黑体"/>
      <w:b/>
      <w:sz w:val="32"/>
      <w:szCs w:val="20"/>
    </w:rPr>
  </w:style>
  <w:style w:type="paragraph" w:customStyle="1" w:styleId="44">
    <w:name w:val="正文缩进11"/>
    <w:basedOn w:val="1"/>
    <w:link w:val="61"/>
    <w:qFormat/>
    <w:uiPriority w:val="0"/>
    <w:pPr>
      <w:ind w:firstLine="420"/>
    </w:pPr>
    <w:rPr>
      <w:rFonts w:ascii="宋体"/>
      <w:color w:val="000000"/>
      <w:sz w:val="24"/>
      <w:szCs w:val="20"/>
    </w:rPr>
  </w:style>
  <w:style w:type="paragraph" w:customStyle="1" w:styleId="45">
    <w:name w:val="标题 311"/>
    <w:basedOn w:val="46"/>
    <w:next w:val="47"/>
    <w:link w:val="62"/>
    <w:qFormat/>
    <w:uiPriority w:val="0"/>
    <w:pPr>
      <w:keepNext/>
      <w:keepLines/>
      <w:spacing w:before="320" w:after="200"/>
      <w:outlineLvl w:val="2"/>
    </w:pPr>
    <w:rPr>
      <w:rFonts w:ascii="Arial" w:hAnsi="Arial" w:eastAsia="Arial" w:cs="Arial"/>
      <w:sz w:val="30"/>
      <w:szCs w:val="30"/>
    </w:rPr>
  </w:style>
  <w:style w:type="paragraph" w:customStyle="1" w:styleId="46">
    <w:name w:val="Normal1"/>
    <w:next w:val="45"/>
    <w:qFormat/>
    <w:uiPriority w:val="0"/>
    <w:pPr>
      <w:widowControl w:val="0"/>
      <w:jc w:val="both"/>
    </w:pPr>
    <w:rPr>
      <w:rFonts w:ascii="Calibri" w:hAnsi="Calibri" w:eastAsia="宋体" w:cs="Times New Roman"/>
      <w:sz w:val="21"/>
      <w:szCs w:val="22"/>
      <w:lang w:val="en-US" w:eastAsia="zh-CN" w:bidi="ar-SA"/>
    </w:rPr>
  </w:style>
  <w:style w:type="paragraph" w:customStyle="1" w:styleId="47">
    <w:name w:val="Normal_19"/>
    <w:next w:val="48"/>
    <w:qFormat/>
    <w:uiPriority w:val="0"/>
    <w:rPr>
      <w:rFonts w:ascii="黑体" w:hAnsi="黑体" w:eastAsia="黑体" w:cs="黑体"/>
      <w:b/>
      <w:sz w:val="32"/>
      <w:szCs w:val="24"/>
      <w:lang w:val="en-US" w:eastAsia="zh-CN" w:bidi="ar-SA"/>
    </w:rPr>
  </w:style>
  <w:style w:type="paragraph" w:customStyle="1" w:styleId="48">
    <w:name w:val="Normal11"/>
    <w:next w:val="49"/>
    <w:qFormat/>
    <w:uiPriority w:val="0"/>
    <w:pPr>
      <w:widowControl w:val="0"/>
      <w:jc w:val="both"/>
    </w:pPr>
    <w:rPr>
      <w:rFonts w:ascii="Times New Roman" w:hAnsi="Times New Roman" w:eastAsia="宋体" w:cs="Times New Roman"/>
      <w:szCs w:val="21"/>
      <w:lang w:val="en-US" w:eastAsia="zh-CN" w:bidi="ar-SA"/>
    </w:rPr>
  </w:style>
  <w:style w:type="paragraph" w:customStyle="1" w:styleId="49">
    <w:name w:val="Body Text First Indent1"/>
    <w:basedOn w:val="50"/>
    <w:unhideWhenUsed/>
    <w:qFormat/>
    <w:uiPriority w:val="99"/>
    <w:pPr>
      <w:ind w:firstLine="420"/>
    </w:pPr>
  </w:style>
  <w:style w:type="paragraph" w:customStyle="1" w:styleId="50">
    <w:name w:val="Body Text1"/>
    <w:basedOn w:val="48"/>
    <w:unhideWhenUsed/>
    <w:qFormat/>
    <w:uiPriority w:val="99"/>
    <w:pPr>
      <w:spacing w:after="120"/>
    </w:pPr>
  </w:style>
  <w:style w:type="paragraph" w:customStyle="1" w:styleId="51">
    <w:name w:val="标题 411"/>
    <w:basedOn w:val="1"/>
    <w:next w:val="1"/>
    <w:link w:val="63"/>
    <w:qFormat/>
    <w:uiPriority w:val="0"/>
    <w:pPr>
      <w:keepNext/>
      <w:jc w:val="center"/>
      <w:outlineLvl w:val="3"/>
    </w:pPr>
    <w:rPr>
      <w:rFonts w:eastAsia="新宋体"/>
      <w:sz w:val="30"/>
      <w:szCs w:val="21"/>
    </w:rPr>
  </w:style>
  <w:style w:type="paragraph" w:customStyle="1" w:styleId="52">
    <w:name w:val="标题 51"/>
    <w:basedOn w:val="1"/>
    <w:next w:val="1"/>
    <w:link w:val="64"/>
    <w:qFormat/>
    <w:uiPriority w:val="0"/>
    <w:pPr>
      <w:keepNext/>
      <w:keepLines/>
      <w:spacing w:before="320" w:after="200"/>
      <w:outlineLvl w:val="4"/>
    </w:pPr>
    <w:rPr>
      <w:rFonts w:ascii="Arial" w:hAnsi="Arial" w:eastAsia="Arial" w:cs="Arial"/>
      <w:b/>
      <w:bCs/>
      <w:sz w:val="24"/>
      <w:szCs w:val="24"/>
    </w:rPr>
  </w:style>
  <w:style w:type="paragraph" w:customStyle="1" w:styleId="53">
    <w:name w:val="标题 61"/>
    <w:basedOn w:val="1"/>
    <w:next w:val="1"/>
    <w:link w:val="65"/>
    <w:qFormat/>
    <w:uiPriority w:val="0"/>
    <w:pPr>
      <w:keepNext/>
      <w:keepLines/>
      <w:spacing w:before="320" w:after="200"/>
      <w:outlineLvl w:val="5"/>
    </w:pPr>
    <w:rPr>
      <w:rFonts w:ascii="Arial" w:hAnsi="Arial" w:eastAsia="Arial" w:cs="Arial"/>
      <w:b/>
      <w:bCs/>
      <w:sz w:val="22"/>
    </w:rPr>
  </w:style>
  <w:style w:type="paragraph" w:customStyle="1" w:styleId="54">
    <w:name w:val="标题 71"/>
    <w:basedOn w:val="1"/>
    <w:next w:val="1"/>
    <w:link w:val="66"/>
    <w:qFormat/>
    <w:uiPriority w:val="0"/>
    <w:pPr>
      <w:keepNext/>
      <w:keepLines/>
      <w:spacing w:before="320" w:after="200"/>
      <w:outlineLvl w:val="6"/>
    </w:pPr>
    <w:rPr>
      <w:rFonts w:ascii="Arial" w:hAnsi="Arial" w:eastAsia="Arial" w:cs="Arial"/>
      <w:b/>
      <w:bCs/>
      <w:i/>
      <w:iCs/>
      <w:sz w:val="22"/>
    </w:rPr>
  </w:style>
  <w:style w:type="paragraph" w:customStyle="1" w:styleId="55">
    <w:name w:val="标题 81"/>
    <w:basedOn w:val="1"/>
    <w:next w:val="1"/>
    <w:link w:val="67"/>
    <w:qFormat/>
    <w:uiPriority w:val="0"/>
    <w:pPr>
      <w:keepNext/>
      <w:keepLines/>
      <w:spacing w:before="320" w:after="200"/>
      <w:outlineLvl w:val="7"/>
    </w:pPr>
    <w:rPr>
      <w:rFonts w:ascii="Arial" w:hAnsi="Arial" w:eastAsia="Arial" w:cs="Arial"/>
      <w:i/>
      <w:iCs/>
      <w:sz w:val="22"/>
    </w:rPr>
  </w:style>
  <w:style w:type="paragraph" w:customStyle="1" w:styleId="56">
    <w:name w:val="标题 91"/>
    <w:basedOn w:val="1"/>
    <w:next w:val="1"/>
    <w:link w:val="68"/>
    <w:qFormat/>
    <w:uiPriority w:val="0"/>
    <w:pPr>
      <w:keepNext/>
      <w:keepLines/>
      <w:spacing w:before="320" w:after="200"/>
      <w:outlineLvl w:val="8"/>
    </w:pPr>
    <w:rPr>
      <w:rFonts w:ascii="Arial" w:hAnsi="Arial" w:eastAsia="Arial" w:cs="Arial"/>
      <w:i/>
      <w:iCs/>
      <w:szCs w:val="21"/>
    </w:rPr>
  </w:style>
  <w:style w:type="character" w:customStyle="1" w:styleId="57">
    <w:name w:val="默认段落字体11"/>
    <w:unhideWhenUsed/>
    <w:qFormat/>
    <w:uiPriority w:val="1"/>
  </w:style>
  <w:style w:type="table" w:customStyle="1" w:styleId="58">
    <w:name w:val="普通表格1"/>
    <w:unhideWhenUsed/>
    <w:qFormat/>
    <w:uiPriority w:val="99"/>
    <w:tblPr>
      <w:tblCellMar>
        <w:top w:w="0" w:type="dxa"/>
        <w:left w:w="0" w:type="dxa"/>
        <w:bottom w:w="0" w:type="dxa"/>
        <w:right w:w="0" w:type="dxa"/>
      </w:tblCellMar>
    </w:tblPr>
  </w:style>
  <w:style w:type="character" w:customStyle="1" w:styleId="59">
    <w:name w:val="标题 1 字符"/>
    <w:link w:val="42"/>
    <w:qFormat/>
    <w:uiPriority w:val="0"/>
    <w:rPr>
      <w:rFonts w:ascii="Arial" w:hAnsi="Arial" w:eastAsia="Arial" w:cs="Arial"/>
      <w:sz w:val="40"/>
      <w:szCs w:val="40"/>
    </w:rPr>
  </w:style>
  <w:style w:type="character" w:customStyle="1" w:styleId="60">
    <w:name w:val="标题 2 字符"/>
    <w:link w:val="43"/>
    <w:qFormat/>
    <w:uiPriority w:val="0"/>
    <w:rPr>
      <w:rFonts w:ascii="Arial" w:hAnsi="Arial" w:eastAsia="Arial" w:cs="Arial"/>
      <w:sz w:val="34"/>
    </w:rPr>
  </w:style>
  <w:style w:type="character" w:customStyle="1" w:styleId="61">
    <w:name w:val="正文缩进 字符"/>
    <w:link w:val="44"/>
    <w:qFormat/>
    <w:uiPriority w:val="0"/>
    <w:rPr>
      <w:rFonts w:ascii="宋体" w:hAnsi="Calibri"/>
      <w:color w:val="000000"/>
      <w:sz w:val="24"/>
    </w:rPr>
  </w:style>
  <w:style w:type="character" w:customStyle="1" w:styleId="62">
    <w:name w:val="标题 3 字符"/>
    <w:link w:val="45"/>
    <w:qFormat/>
    <w:uiPriority w:val="0"/>
    <w:rPr>
      <w:rFonts w:ascii="Arial" w:hAnsi="Arial" w:eastAsia="Arial" w:cs="Arial"/>
      <w:sz w:val="30"/>
      <w:szCs w:val="30"/>
    </w:rPr>
  </w:style>
  <w:style w:type="character" w:customStyle="1" w:styleId="63">
    <w:name w:val="标题 4 字符"/>
    <w:link w:val="51"/>
    <w:qFormat/>
    <w:uiPriority w:val="0"/>
    <w:rPr>
      <w:rFonts w:ascii="Arial" w:hAnsi="Arial" w:eastAsia="Arial" w:cs="Arial"/>
      <w:b/>
      <w:bCs/>
      <w:sz w:val="26"/>
      <w:szCs w:val="26"/>
    </w:rPr>
  </w:style>
  <w:style w:type="character" w:customStyle="1" w:styleId="64">
    <w:name w:val="标题 5 字符"/>
    <w:link w:val="52"/>
    <w:qFormat/>
    <w:uiPriority w:val="0"/>
    <w:rPr>
      <w:rFonts w:ascii="Arial" w:hAnsi="Arial" w:eastAsia="Arial" w:cs="Arial"/>
      <w:b/>
      <w:bCs/>
      <w:sz w:val="24"/>
      <w:szCs w:val="24"/>
    </w:rPr>
  </w:style>
  <w:style w:type="character" w:customStyle="1" w:styleId="65">
    <w:name w:val="标题 6 字符"/>
    <w:link w:val="53"/>
    <w:qFormat/>
    <w:uiPriority w:val="0"/>
    <w:rPr>
      <w:rFonts w:ascii="Arial" w:hAnsi="Arial" w:eastAsia="Arial" w:cs="Arial"/>
      <w:b/>
      <w:bCs/>
      <w:sz w:val="22"/>
      <w:szCs w:val="22"/>
    </w:rPr>
  </w:style>
  <w:style w:type="character" w:customStyle="1" w:styleId="66">
    <w:name w:val="标题 7 字符"/>
    <w:link w:val="54"/>
    <w:qFormat/>
    <w:uiPriority w:val="0"/>
    <w:rPr>
      <w:rFonts w:ascii="Arial" w:hAnsi="Arial" w:eastAsia="Arial" w:cs="Arial"/>
      <w:b/>
      <w:bCs/>
      <w:i/>
      <w:iCs/>
      <w:sz w:val="22"/>
      <w:szCs w:val="22"/>
    </w:rPr>
  </w:style>
  <w:style w:type="character" w:customStyle="1" w:styleId="67">
    <w:name w:val="标题 8 字符"/>
    <w:link w:val="55"/>
    <w:qFormat/>
    <w:uiPriority w:val="0"/>
    <w:rPr>
      <w:rFonts w:ascii="Arial" w:hAnsi="Arial" w:eastAsia="Arial" w:cs="Arial"/>
      <w:i/>
      <w:iCs/>
      <w:sz w:val="22"/>
      <w:szCs w:val="22"/>
    </w:rPr>
  </w:style>
  <w:style w:type="character" w:customStyle="1" w:styleId="68">
    <w:name w:val="标题 9 字符"/>
    <w:link w:val="56"/>
    <w:qFormat/>
    <w:uiPriority w:val="0"/>
    <w:rPr>
      <w:rFonts w:ascii="Arial" w:hAnsi="Arial" w:eastAsia="Arial" w:cs="Arial"/>
      <w:i/>
      <w:iCs/>
      <w:sz w:val="21"/>
      <w:szCs w:val="21"/>
    </w:rPr>
  </w:style>
  <w:style w:type="paragraph" w:customStyle="1" w:styleId="69">
    <w:name w:val="列表 31"/>
    <w:basedOn w:val="1"/>
    <w:qFormat/>
    <w:uiPriority w:val="0"/>
    <w:pPr>
      <w:ind w:left="100" w:hanging="200"/>
    </w:pPr>
    <w:rPr>
      <w:rFonts w:ascii="Times New Roman" w:hAnsi="Times New Roman"/>
      <w:szCs w:val="21"/>
    </w:rPr>
  </w:style>
  <w:style w:type="paragraph" w:customStyle="1" w:styleId="70">
    <w:name w:val="目录 71"/>
    <w:basedOn w:val="1"/>
    <w:next w:val="1"/>
    <w:unhideWhenUsed/>
    <w:qFormat/>
    <w:uiPriority w:val="0"/>
    <w:pPr>
      <w:spacing w:after="57"/>
      <w:ind w:left="1701"/>
    </w:pPr>
  </w:style>
  <w:style w:type="paragraph" w:customStyle="1" w:styleId="71">
    <w:name w:val="题注1"/>
    <w:basedOn w:val="1"/>
    <w:next w:val="1"/>
    <w:qFormat/>
    <w:uiPriority w:val="35"/>
    <w:pPr>
      <w:spacing w:line="276" w:lineRule="auto"/>
    </w:pPr>
    <w:rPr>
      <w:b/>
      <w:bCs/>
      <w:color w:val="5B9BD5"/>
      <w:sz w:val="18"/>
      <w:szCs w:val="18"/>
    </w:rPr>
  </w:style>
  <w:style w:type="paragraph" w:customStyle="1" w:styleId="72">
    <w:name w:val="文档结构图1"/>
    <w:basedOn w:val="1"/>
    <w:link w:val="73"/>
    <w:semiHidden/>
    <w:qFormat/>
    <w:uiPriority w:val="0"/>
    <w:pPr>
      <w:shd w:val="clear" w:color="auto" w:fill="000080"/>
    </w:pPr>
    <w:rPr>
      <w:rFonts w:ascii="Times New Roman" w:hAnsi="Times New Roman"/>
      <w:szCs w:val="21"/>
    </w:rPr>
  </w:style>
  <w:style w:type="character" w:customStyle="1" w:styleId="73">
    <w:name w:val="文档结构图 字符"/>
    <w:link w:val="72"/>
    <w:semiHidden/>
    <w:qFormat/>
    <w:uiPriority w:val="0"/>
    <w:rPr>
      <w:sz w:val="21"/>
      <w:szCs w:val="21"/>
      <w:shd w:val="clear" w:color="auto" w:fill="000080"/>
    </w:rPr>
  </w:style>
  <w:style w:type="paragraph" w:customStyle="1" w:styleId="74">
    <w:name w:val="批注文字1"/>
    <w:basedOn w:val="1"/>
    <w:link w:val="75"/>
    <w:semiHidden/>
    <w:qFormat/>
    <w:uiPriority w:val="0"/>
    <w:pPr>
      <w:jc w:val="left"/>
    </w:pPr>
    <w:rPr>
      <w:rFonts w:ascii="Times New Roman" w:hAnsi="Times New Roman"/>
      <w:szCs w:val="21"/>
    </w:rPr>
  </w:style>
  <w:style w:type="character" w:customStyle="1" w:styleId="75">
    <w:name w:val="批注文字 字符"/>
    <w:link w:val="74"/>
    <w:semiHidden/>
    <w:qFormat/>
    <w:uiPriority w:val="0"/>
    <w:rPr>
      <w:sz w:val="21"/>
      <w:szCs w:val="21"/>
    </w:rPr>
  </w:style>
  <w:style w:type="paragraph" w:customStyle="1" w:styleId="76">
    <w:name w:val="正文文本 31"/>
    <w:basedOn w:val="1"/>
    <w:link w:val="77"/>
    <w:qFormat/>
    <w:uiPriority w:val="0"/>
    <w:rPr>
      <w:rFonts w:ascii="仿宋_GB2312" w:hAnsi="Arial" w:eastAsia="仿宋_GB2312"/>
      <w:sz w:val="32"/>
      <w:szCs w:val="32"/>
    </w:rPr>
  </w:style>
  <w:style w:type="character" w:customStyle="1" w:styleId="77">
    <w:name w:val="正文文本 3 字符"/>
    <w:link w:val="76"/>
    <w:qFormat/>
    <w:uiPriority w:val="0"/>
    <w:rPr>
      <w:rFonts w:ascii="仿宋_GB2312" w:hAnsi="Arial" w:eastAsia="仿宋_GB2312"/>
      <w:sz w:val="32"/>
      <w:szCs w:val="32"/>
    </w:rPr>
  </w:style>
  <w:style w:type="paragraph" w:customStyle="1" w:styleId="78">
    <w:name w:val="正文文本11"/>
    <w:basedOn w:val="1"/>
    <w:next w:val="1"/>
    <w:semiHidden/>
    <w:qFormat/>
    <w:uiPriority w:val="0"/>
    <w:rPr>
      <w:rFonts w:ascii="仿宋" w:hAnsi="仿宋" w:eastAsia="仿宋" w:cs="仿宋"/>
      <w:sz w:val="32"/>
      <w:szCs w:val="32"/>
      <w:lang w:eastAsia="en-US"/>
    </w:rPr>
  </w:style>
  <w:style w:type="paragraph" w:customStyle="1" w:styleId="79">
    <w:name w:val="正文文本缩进11"/>
    <w:basedOn w:val="1"/>
    <w:link w:val="80"/>
    <w:qFormat/>
    <w:uiPriority w:val="0"/>
    <w:pPr>
      <w:ind w:firstLine="225"/>
    </w:pPr>
    <w:rPr>
      <w:rFonts w:ascii="仿宋_GB2312" w:eastAsia="仿宋_GB2312"/>
      <w:sz w:val="32"/>
    </w:rPr>
  </w:style>
  <w:style w:type="character" w:customStyle="1" w:styleId="80">
    <w:name w:val="正文文本缩进 字符1"/>
    <w:link w:val="79"/>
    <w:qFormat/>
    <w:uiPriority w:val="0"/>
    <w:rPr>
      <w:rFonts w:ascii="仿宋_GB2312" w:hAnsi="Calibri" w:eastAsia="仿宋_GB2312"/>
      <w:sz w:val="32"/>
      <w:szCs w:val="22"/>
    </w:rPr>
  </w:style>
  <w:style w:type="paragraph" w:customStyle="1" w:styleId="81">
    <w:name w:val="列表 21"/>
    <w:basedOn w:val="1"/>
    <w:qFormat/>
    <w:uiPriority w:val="0"/>
    <w:pPr>
      <w:ind w:left="100" w:hanging="200"/>
    </w:pPr>
    <w:rPr>
      <w:rFonts w:ascii="Times New Roman" w:hAnsi="Times New Roman"/>
      <w:szCs w:val="21"/>
    </w:rPr>
  </w:style>
  <w:style w:type="paragraph" w:customStyle="1" w:styleId="82">
    <w:name w:val="目录 51"/>
    <w:basedOn w:val="1"/>
    <w:next w:val="1"/>
    <w:unhideWhenUsed/>
    <w:qFormat/>
    <w:uiPriority w:val="0"/>
    <w:pPr>
      <w:spacing w:after="57"/>
      <w:ind w:left="1134"/>
    </w:pPr>
  </w:style>
  <w:style w:type="paragraph" w:customStyle="1" w:styleId="83">
    <w:name w:val="目录 31"/>
    <w:basedOn w:val="1"/>
    <w:next w:val="1"/>
    <w:unhideWhenUsed/>
    <w:qFormat/>
    <w:uiPriority w:val="0"/>
    <w:pPr>
      <w:spacing w:after="57"/>
      <w:ind w:left="567"/>
    </w:pPr>
  </w:style>
  <w:style w:type="paragraph" w:customStyle="1" w:styleId="84">
    <w:name w:val="纯文本11"/>
    <w:basedOn w:val="1"/>
    <w:link w:val="85"/>
    <w:qFormat/>
    <w:uiPriority w:val="0"/>
    <w:rPr>
      <w:rFonts w:ascii="宋体" w:hAnsi="Courier New" w:cs="Courier New"/>
      <w:szCs w:val="21"/>
    </w:rPr>
  </w:style>
  <w:style w:type="character" w:customStyle="1" w:styleId="85">
    <w:name w:val="纯文本 字符"/>
    <w:link w:val="84"/>
    <w:qFormat/>
    <w:uiPriority w:val="0"/>
    <w:rPr>
      <w:rFonts w:ascii="宋体" w:hAnsi="Courier New" w:cs="Courier New"/>
      <w:sz w:val="21"/>
      <w:szCs w:val="21"/>
    </w:rPr>
  </w:style>
  <w:style w:type="paragraph" w:customStyle="1" w:styleId="86">
    <w:name w:val="目录 81"/>
    <w:basedOn w:val="1"/>
    <w:next w:val="1"/>
    <w:unhideWhenUsed/>
    <w:qFormat/>
    <w:uiPriority w:val="0"/>
    <w:pPr>
      <w:spacing w:after="57"/>
      <w:ind w:left="1984"/>
    </w:pPr>
  </w:style>
  <w:style w:type="paragraph" w:customStyle="1" w:styleId="87">
    <w:name w:val="日期1"/>
    <w:basedOn w:val="1"/>
    <w:next w:val="1"/>
    <w:link w:val="88"/>
    <w:qFormat/>
    <w:uiPriority w:val="0"/>
    <w:rPr>
      <w:rFonts w:ascii="Times New Roman" w:hAnsi="Times New Roman"/>
      <w:sz w:val="24"/>
      <w:szCs w:val="24"/>
    </w:rPr>
  </w:style>
  <w:style w:type="character" w:customStyle="1" w:styleId="88">
    <w:name w:val="日期 字符"/>
    <w:link w:val="87"/>
    <w:qFormat/>
    <w:uiPriority w:val="0"/>
    <w:rPr>
      <w:sz w:val="24"/>
      <w:szCs w:val="24"/>
    </w:rPr>
  </w:style>
  <w:style w:type="paragraph" w:customStyle="1" w:styleId="89">
    <w:name w:val="正文文本缩进 21"/>
    <w:basedOn w:val="1"/>
    <w:link w:val="90"/>
    <w:qFormat/>
    <w:uiPriority w:val="0"/>
    <w:pPr>
      <w:ind w:left="630" w:firstLine="645"/>
    </w:pPr>
    <w:rPr>
      <w:rFonts w:ascii="Arial" w:hAnsi="Arial" w:eastAsia="仿宋_GB2312" w:cs="Arial"/>
      <w:sz w:val="32"/>
      <w:szCs w:val="32"/>
    </w:rPr>
  </w:style>
  <w:style w:type="character" w:customStyle="1" w:styleId="90">
    <w:name w:val="正文文本缩进 2 字符"/>
    <w:link w:val="89"/>
    <w:qFormat/>
    <w:uiPriority w:val="0"/>
    <w:rPr>
      <w:rFonts w:ascii="Arial" w:hAnsi="Arial" w:eastAsia="仿宋_GB2312" w:cs="Arial"/>
      <w:sz w:val="32"/>
      <w:szCs w:val="32"/>
    </w:rPr>
  </w:style>
  <w:style w:type="paragraph" w:customStyle="1" w:styleId="91">
    <w:name w:val="尾注文本1"/>
    <w:basedOn w:val="1"/>
    <w:link w:val="92"/>
    <w:unhideWhenUsed/>
    <w:qFormat/>
    <w:uiPriority w:val="99"/>
    <w:rPr>
      <w:sz w:val="20"/>
    </w:rPr>
  </w:style>
  <w:style w:type="character" w:customStyle="1" w:styleId="92">
    <w:name w:val="尾注文本 字符"/>
    <w:link w:val="91"/>
    <w:qFormat/>
    <w:uiPriority w:val="99"/>
    <w:rPr>
      <w:sz w:val="20"/>
    </w:rPr>
  </w:style>
  <w:style w:type="paragraph" w:customStyle="1" w:styleId="93">
    <w:name w:val="批注框文本1"/>
    <w:basedOn w:val="1"/>
    <w:link w:val="94"/>
    <w:qFormat/>
    <w:uiPriority w:val="0"/>
    <w:rPr>
      <w:rFonts w:ascii="Times New Roman" w:hAnsi="Times New Roman"/>
      <w:sz w:val="18"/>
      <w:szCs w:val="18"/>
    </w:rPr>
  </w:style>
  <w:style w:type="character" w:customStyle="1" w:styleId="94">
    <w:name w:val="批注框文本 字符"/>
    <w:link w:val="93"/>
    <w:qFormat/>
    <w:uiPriority w:val="0"/>
    <w:rPr>
      <w:sz w:val="18"/>
      <w:szCs w:val="18"/>
    </w:rPr>
  </w:style>
  <w:style w:type="paragraph" w:customStyle="1" w:styleId="95">
    <w:name w:val="页脚11"/>
    <w:basedOn w:val="1"/>
    <w:link w:val="96"/>
    <w:qFormat/>
    <w:uiPriority w:val="99"/>
    <w:pPr>
      <w:tabs>
        <w:tab w:val="center" w:pos="4153"/>
        <w:tab w:val="right" w:pos="8306"/>
      </w:tabs>
      <w:jc w:val="left"/>
    </w:pPr>
    <w:rPr>
      <w:sz w:val="18"/>
      <w:szCs w:val="18"/>
    </w:rPr>
  </w:style>
  <w:style w:type="character" w:customStyle="1" w:styleId="96">
    <w:name w:val="页脚 字符"/>
    <w:link w:val="95"/>
    <w:qFormat/>
    <w:uiPriority w:val="99"/>
  </w:style>
  <w:style w:type="paragraph" w:customStyle="1" w:styleId="97">
    <w:name w:val="页眉11"/>
    <w:basedOn w:val="1"/>
    <w:link w:val="98"/>
    <w:qFormat/>
    <w:uiPriority w:val="0"/>
    <w:pPr>
      <w:tabs>
        <w:tab w:val="center" w:pos="4153"/>
        <w:tab w:val="right" w:pos="8306"/>
      </w:tabs>
      <w:jc w:val="center"/>
    </w:pPr>
    <w:rPr>
      <w:sz w:val="18"/>
      <w:szCs w:val="18"/>
    </w:rPr>
  </w:style>
  <w:style w:type="character" w:customStyle="1" w:styleId="98">
    <w:name w:val="页眉 字符"/>
    <w:link w:val="97"/>
    <w:qFormat/>
    <w:uiPriority w:val="0"/>
    <w:rPr>
      <w:rFonts w:ascii="Calibri" w:hAnsi="Calibri"/>
      <w:sz w:val="18"/>
      <w:szCs w:val="18"/>
    </w:rPr>
  </w:style>
  <w:style w:type="paragraph" w:customStyle="1" w:styleId="99">
    <w:name w:val="目录 11"/>
    <w:basedOn w:val="1"/>
    <w:next w:val="1"/>
    <w:qFormat/>
    <w:uiPriority w:val="0"/>
    <w:pPr>
      <w:spacing w:before="120" w:after="120"/>
      <w:jc w:val="left"/>
    </w:pPr>
    <w:rPr>
      <w:rFonts w:cs="Calibri"/>
      <w:b/>
      <w:bCs/>
      <w:caps/>
      <w:sz w:val="20"/>
      <w:szCs w:val="20"/>
    </w:rPr>
  </w:style>
  <w:style w:type="paragraph" w:customStyle="1" w:styleId="100">
    <w:name w:val="目录 41"/>
    <w:basedOn w:val="1"/>
    <w:next w:val="1"/>
    <w:unhideWhenUsed/>
    <w:qFormat/>
    <w:uiPriority w:val="0"/>
    <w:pPr>
      <w:spacing w:after="57"/>
      <w:ind w:left="850"/>
    </w:pPr>
  </w:style>
  <w:style w:type="paragraph" w:customStyle="1" w:styleId="101">
    <w:name w:val="副标题1"/>
    <w:basedOn w:val="1"/>
    <w:next w:val="1"/>
    <w:link w:val="102"/>
    <w:qFormat/>
    <w:uiPriority w:val="11"/>
    <w:pPr>
      <w:spacing w:before="200" w:after="200"/>
    </w:pPr>
    <w:rPr>
      <w:sz w:val="24"/>
      <w:szCs w:val="24"/>
    </w:rPr>
  </w:style>
  <w:style w:type="character" w:customStyle="1" w:styleId="102">
    <w:name w:val="副标题 字符"/>
    <w:link w:val="101"/>
    <w:qFormat/>
    <w:uiPriority w:val="11"/>
    <w:rPr>
      <w:sz w:val="24"/>
      <w:szCs w:val="24"/>
    </w:rPr>
  </w:style>
  <w:style w:type="paragraph" w:customStyle="1" w:styleId="103">
    <w:name w:val="列表1"/>
    <w:basedOn w:val="1"/>
    <w:qFormat/>
    <w:uiPriority w:val="0"/>
    <w:pPr>
      <w:ind w:left="200" w:hanging="200"/>
    </w:pPr>
    <w:rPr>
      <w:rFonts w:ascii="Times New Roman" w:hAnsi="Times New Roman"/>
      <w:szCs w:val="21"/>
    </w:rPr>
  </w:style>
  <w:style w:type="paragraph" w:customStyle="1" w:styleId="104">
    <w:name w:val="脚注文本11"/>
    <w:basedOn w:val="1"/>
    <w:link w:val="105"/>
    <w:unhideWhenUsed/>
    <w:qFormat/>
    <w:uiPriority w:val="99"/>
    <w:pPr>
      <w:spacing w:after="40"/>
    </w:pPr>
    <w:rPr>
      <w:sz w:val="18"/>
    </w:rPr>
  </w:style>
  <w:style w:type="character" w:customStyle="1" w:styleId="105">
    <w:name w:val="脚注文本 字符"/>
    <w:link w:val="104"/>
    <w:qFormat/>
    <w:uiPriority w:val="99"/>
    <w:rPr>
      <w:sz w:val="18"/>
    </w:rPr>
  </w:style>
  <w:style w:type="paragraph" w:customStyle="1" w:styleId="106">
    <w:name w:val="目录 61"/>
    <w:basedOn w:val="1"/>
    <w:next w:val="1"/>
    <w:unhideWhenUsed/>
    <w:qFormat/>
    <w:uiPriority w:val="0"/>
    <w:pPr>
      <w:spacing w:after="57"/>
      <w:ind w:left="1417"/>
    </w:pPr>
  </w:style>
  <w:style w:type="paragraph" w:customStyle="1" w:styleId="107">
    <w:name w:val="正文文本缩进 31"/>
    <w:basedOn w:val="1"/>
    <w:link w:val="108"/>
    <w:qFormat/>
    <w:uiPriority w:val="0"/>
    <w:pPr>
      <w:ind w:left="645" w:firstLine="645"/>
    </w:pPr>
    <w:rPr>
      <w:rFonts w:ascii="Arial" w:hAnsi="Arial" w:eastAsia="仿宋_GB2312" w:cs="Arial"/>
      <w:color w:val="FFFF00"/>
      <w:sz w:val="32"/>
      <w:szCs w:val="32"/>
    </w:rPr>
  </w:style>
  <w:style w:type="character" w:customStyle="1" w:styleId="108">
    <w:name w:val="正文文本缩进 3 字符"/>
    <w:link w:val="107"/>
    <w:qFormat/>
    <w:uiPriority w:val="0"/>
    <w:rPr>
      <w:rFonts w:ascii="Arial" w:hAnsi="Arial" w:eastAsia="仿宋_GB2312" w:cs="Arial"/>
      <w:color w:val="FFFF00"/>
      <w:sz w:val="32"/>
      <w:szCs w:val="32"/>
    </w:rPr>
  </w:style>
  <w:style w:type="paragraph" w:customStyle="1" w:styleId="109">
    <w:name w:val="图表目录1"/>
    <w:basedOn w:val="1"/>
    <w:next w:val="1"/>
    <w:unhideWhenUsed/>
    <w:qFormat/>
    <w:uiPriority w:val="0"/>
  </w:style>
  <w:style w:type="paragraph" w:customStyle="1" w:styleId="110">
    <w:name w:val="目录 21"/>
    <w:basedOn w:val="1"/>
    <w:next w:val="1"/>
    <w:qFormat/>
    <w:uiPriority w:val="0"/>
    <w:pPr>
      <w:ind w:left="210"/>
      <w:jc w:val="left"/>
    </w:pPr>
    <w:rPr>
      <w:rFonts w:cs="Calibri"/>
      <w:smallCaps/>
      <w:sz w:val="20"/>
      <w:szCs w:val="20"/>
    </w:rPr>
  </w:style>
  <w:style w:type="paragraph" w:customStyle="1" w:styleId="111">
    <w:name w:val="目录 91"/>
    <w:basedOn w:val="1"/>
    <w:next w:val="1"/>
    <w:unhideWhenUsed/>
    <w:qFormat/>
    <w:uiPriority w:val="0"/>
    <w:pPr>
      <w:spacing w:after="57"/>
      <w:ind w:left="2268"/>
    </w:pPr>
  </w:style>
  <w:style w:type="paragraph" w:customStyle="1" w:styleId="112">
    <w:name w:val="正文文本 21"/>
    <w:basedOn w:val="1"/>
    <w:link w:val="113"/>
    <w:qFormat/>
    <w:uiPriority w:val="0"/>
    <w:pPr>
      <w:widowControl/>
      <w:jc w:val="center"/>
    </w:pPr>
    <w:rPr>
      <w:rFonts w:ascii="楷体_GB2312" w:hAnsi="Times New Roman" w:eastAsia="楷体_GB2312"/>
      <w:sz w:val="28"/>
      <w:szCs w:val="28"/>
    </w:rPr>
  </w:style>
  <w:style w:type="character" w:customStyle="1" w:styleId="113">
    <w:name w:val="正文文本 2 字符"/>
    <w:link w:val="112"/>
    <w:qFormat/>
    <w:uiPriority w:val="0"/>
    <w:rPr>
      <w:rFonts w:ascii="楷体_GB2312" w:eastAsia="楷体_GB2312"/>
      <w:sz w:val="28"/>
      <w:szCs w:val="28"/>
    </w:rPr>
  </w:style>
  <w:style w:type="paragraph" w:customStyle="1" w:styleId="114">
    <w:name w:val="HTML 预设格式1"/>
    <w:basedOn w:val="1"/>
    <w:link w:val="115"/>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character" w:customStyle="1" w:styleId="115">
    <w:name w:val="HTML 预设格式 字符"/>
    <w:link w:val="114"/>
    <w:qFormat/>
    <w:uiPriority w:val="99"/>
    <w:rPr>
      <w:rFonts w:ascii="宋体" w:hAnsi="宋体"/>
      <w:sz w:val="24"/>
      <w:szCs w:val="24"/>
    </w:rPr>
  </w:style>
  <w:style w:type="paragraph" w:customStyle="1" w:styleId="116">
    <w:name w:val="普通(网站)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117">
    <w:name w:val="索引 11"/>
    <w:basedOn w:val="1"/>
    <w:next w:val="1"/>
    <w:semiHidden/>
    <w:qFormat/>
    <w:uiPriority w:val="0"/>
    <w:pPr>
      <w:spacing w:line="240" w:lineRule="atLeast"/>
    </w:pPr>
    <w:rPr>
      <w:rFonts w:ascii="Times New Roman" w:hAnsi="Times New Roman"/>
      <w:b/>
      <w:bCs/>
      <w:szCs w:val="21"/>
    </w:rPr>
  </w:style>
  <w:style w:type="paragraph" w:customStyle="1" w:styleId="118">
    <w:name w:val="标题11"/>
    <w:basedOn w:val="1"/>
    <w:link w:val="119"/>
    <w:qFormat/>
    <w:uiPriority w:val="10"/>
    <w:pPr>
      <w:spacing w:before="300" w:after="200"/>
      <w:contextualSpacing/>
    </w:pPr>
    <w:rPr>
      <w:sz w:val="48"/>
      <w:szCs w:val="48"/>
    </w:rPr>
  </w:style>
  <w:style w:type="character" w:customStyle="1" w:styleId="119">
    <w:name w:val="标题 字符"/>
    <w:link w:val="118"/>
    <w:qFormat/>
    <w:uiPriority w:val="10"/>
    <w:rPr>
      <w:sz w:val="48"/>
      <w:szCs w:val="48"/>
    </w:rPr>
  </w:style>
  <w:style w:type="paragraph" w:customStyle="1" w:styleId="120">
    <w:name w:val="批注主题1"/>
    <w:basedOn w:val="74"/>
    <w:next w:val="74"/>
    <w:link w:val="121"/>
    <w:semiHidden/>
    <w:qFormat/>
    <w:uiPriority w:val="0"/>
    <w:rPr>
      <w:b/>
      <w:bCs/>
    </w:rPr>
  </w:style>
  <w:style w:type="character" w:customStyle="1" w:styleId="121">
    <w:name w:val="批注主题 字符"/>
    <w:link w:val="120"/>
    <w:semiHidden/>
    <w:qFormat/>
    <w:uiPriority w:val="0"/>
    <w:rPr>
      <w:b/>
      <w:bCs/>
      <w:sz w:val="21"/>
      <w:szCs w:val="21"/>
    </w:rPr>
  </w:style>
  <w:style w:type="paragraph" w:customStyle="1" w:styleId="122">
    <w:name w:val="正文首行缩进 211"/>
    <w:basedOn w:val="79"/>
    <w:link w:val="123"/>
    <w:qFormat/>
    <w:uiPriority w:val="0"/>
    <w:pPr>
      <w:spacing w:line="360" w:lineRule="auto"/>
      <w:ind w:firstLine="420"/>
    </w:pPr>
    <w:rPr>
      <w:rFonts w:ascii="宋体" w:hAnsi="宋体" w:eastAsia="宋体"/>
      <w:sz w:val="21"/>
      <w:szCs w:val="20"/>
    </w:rPr>
  </w:style>
  <w:style w:type="character" w:customStyle="1" w:styleId="123">
    <w:name w:val="正文文本首行缩进 2 字符"/>
    <w:link w:val="122"/>
    <w:qFormat/>
    <w:uiPriority w:val="0"/>
    <w:rPr>
      <w:rFonts w:ascii="宋体" w:hAnsi="宋体" w:eastAsia="仿宋_GB2312"/>
      <w:sz w:val="21"/>
      <w:szCs w:val="22"/>
    </w:rPr>
  </w:style>
  <w:style w:type="table" w:customStyle="1" w:styleId="124">
    <w:name w:val="网格型1"/>
    <w:basedOn w:val="58"/>
    <w:qFormat/>
    <w:uiPriority w:val="0"/>
    <w:pPr>
      <w:widowControl w:val="0"/>
      <w:jc w:val="both"/>
    </w:pPr>
    <w:tblPr>
      <w:tblCellMar>
        <w:top w:w="0" w:type="dxa"/>
        <w:left w:w="0" w:type="dxa"/>
        <w:bottom w:w="0" w:type="dxa"/>
        <w:right w:w="0" w:type="dxa"/>
      </w:tblCellMar>
    </w:tblPr>
  </w:style>
  <w:style w:type="character" w:customStyle="1" w:styleId="125">
    <w:name w:val="要点1"/>
    <w:qFormat/>
    <w:uiPriority w:val="0"/>
    <w:rPr>
      <w:b/>
      <w:bCs/>
    </w:rPr>
  </w:style>
  <w:style w:type="character" w:customStyle="1" w:styleId="126">
    <w:name w:val="尾注引用1"/>
    <w:unhideWhenUsed/>
    <w:qFormat/>
    <w:uiPriority w:val="99"/>
    <w:rPr>
      <w:vertAlign w:val="superscript"/>
    </w:rPr>
  </w:style>
  <w:style w:type="character" w:customStyle="1" w:styleId="127">
    <w:name w:val="页码11"/>
    <w:qFormat/>
    <w:uiPriority w:val="0"/>
  </w:style>
  <w:style w:type="character" w:customStyle="1" w:styleId="128">
    <w:name w:val="已访问的超链接1"/>
    <w:qFormat/>
    <w:uiPriority w:val="0"/>
    <w:rPr>
      <w:color w:val="800080"/>
      <w:u w:val="single"/>
    </w:rPr>
  </w:style>
  <w:style w:type="character" w:customStyle="1" w:styleId="129">
    <w:name w:val="超链接1"/>
    <w:qFormat/>
    <w:uiPriority w:val="0"/>
    <w:rPr>
      <w:color w:val="0000FF"/>
      <w:u w:val="single"/>
    </w:rPr>
  </w:style>
  <w:style w:type="character" w:customStyle="1" w:styleId="130">
    <w:name w:val="批注引用1"/>
    <w:semiHidden/>
    <w:qFormat/>
    <w:uiPriority w:val="0"/>
    <w:rPr>
      <w:sz w:val="21"/>
      <w:szCs w:val="21"/>
    </w:rPr>
  </w:style>
  <w:style w:type="character" w:customStyle="1" w:styleId="131">
    <w:name w:val="脚注引用1"/>
    <w:unhideWhenUsed/>
    <w:qFormat/>
    <w:uiPriority w:val="99"/>
    <w:rPr>
      <w:vertAlign w:val="superscript"/>
    </w:rPr>
  </w:style>
  <w:style w:type="character" w:customStyle="1" w:styleId="132">
    <w:name w:val="默认段落字体1"/>
    <w:unhideWhenUsed/>
    <w:qFormat/>
    <w:uiPriority w:val="1"/>
    <w:rPr>
      <w:rFonts w:ascii="Calibri" w:hAnsi="Calibri"/>
      <w:sz w:val="21"/>
      <w:szCs w:val="22"/>
      <w:lang w:val="en-US" w:eastAsia="zh-CN" w:bidi="ar-SA"/>
    </w:rPr>
  </w:style>
  <w:style w:type="paragraph" w:customStyle="1" w:styleId="133">
    <w:name w:val="标题二、"/>
    <w:basedOn w:val="1"/>
    <w:qFormat/>
    <w:uiPriority w:val="99"/>
    <w:pPr>
      <w:spacing w:line="360" w:lineRule="auto"/>
      <w:ind w:firstLine="200"/>
      <w:outlineLvl w:val="2"/>
    </w:pPr>
    <w:rPr>
      <w:rFonts w:ascii="宋体" w:hAnsi="宋体"/>
      <w:b/>
      <w:szCs w:val="21"/>
    </w:rPr>
  </w:style>
  <w:style w:type="paragraph" w:customStyle="1" w:styleId="134">
    <w:name w:val="正文首行缩进 21"/>
    <w:basedOn w:val="135"/>
    <w:next w:val="1"/>
    <w:qFormat/>
    <w:uiPriority w:val="0"/>
    <w:pPr>
      <w:spacing w:line="360" w:lineRule="auto"/>
      <w:ind w:firstLine="420"/>
    </w:pPr>
    <w:rPr>
      <w:rFonts w:ascii="宋体" w:hAnsi="宋体" w:eastAsia="宋体"/>
      <w:sz w:val="21"/>
      <w:szCs w:val="20"/>
    </w:rPr>
  </w:style>
  <w:style w:type="paragraph" w:customStyle="1" w:styleId="135">
    <w:name w:val="正文文本缩进1"/>
    <w:basedOn w:val="1"/>
    <w:next w:val="136"/>
    <w:qFormat/>
    <w:uiPriority w:val="0"/>
    <w:pPr>
      <w:ind w:firstLine="645"/>
    </w:pPr>
    <w:rPr>
      <w:rFonts w:ascii="楷体_GB2312" w:eastAsia="楷体_GB2312"/>
      <w:sz w:val="32"/>
      <w:szCs w:val="32"/>
    </w:rPr>
  </w:style>
  <w:style w:type="paragraph" w:customStyle="1" w:styleId="136">
    <w:name w:val="寄信人地址1"/>
    <w:basedOn w:val="1"/>
    <w:qFormat/>
    <w:uiPriority w:val="0"/>
    <w:rPr>
      <w:rFonts w:ascii="Arial" w:hAnsi="Arial"/>
    </w:rPr>
  </w:style>
  <w:style w:type="paragraph" w:customStyle="1" w:styleId="137">
    <w:name w:val="标题 41"/>
    <w:basedOn w:val="138"/>
    <w:next w:val="1"/>
    <w:qFormat/>
    <w:uiPriority w:val="0"/>
    <w:pPr>
      <w:keepNext/>
      <w:keepLines/>
      <w:widowControl w:val="0"/>
      <w:tabs>
        <w:tab w:val="left" w:pos="1134"/>
        <w:tab w:val="right" w:pos="7371"/>
      </w:tabs>
      <w:spacing w:line="360" w:lineRule="auto"/>
      <w:outlineLvl w:val="3"/>
    </w:pPr>
    <w:rPr>
      <w:rFonts w:ascii="宋体"/>
      <w:color w:val="800000"/>
      <w:sz w:val="28"/>
      <w:szCs w:val="20"/>
    </w:rPr>
  </w:style>
  <w:style w:type="paragraph" w:customStyle="1" w:styleId="138">
    <w:name w:val="Normal_20"/>
    <w:next w:val="139"/>
    <w:qFormat/>
    <w:uiPriority w:val="0"/>
    <w:rPr>
      <w:rFonts w:ascii="黑体" w:hAnsi="黑体" w:eastAsia="黑体" w:cs="黑体"/>
      <w:b/>
      <w:sz w:val="32"/>
      <w:szCs w:val="24"/>
      <w:lang w:val="en-US" w:eastAsia="zh-CN" w:bidi="ar-SA"/>
    </w:rPr>
  </w:style>
  <w:style w:type="paragraph" w:customStyle="1" w:styleId="139">
    <w:name w:val="Body Text First Indent_2"/>
    <w:basedOn w:val="138"/>
    <w:qFormat/>
    <w:uiPriority w:val="0"/>
    <w:pPr>
      <w:spacing w:after="120"/>
      <w:ind w:firstLine="100"/>
    </w:pPr>
  </w:style>
  <w:style w:type="paragraph" w:customStyle="1" w:styleId="140">
    <w:name w:val="脚注文本1"/>
    <w:basedOn w:val="1"/>
    <w:qFormat/>
    <w:uiPriority w:val="0"/>
    <w:pPr>
      <w:jc w:val="left"/>
    </w:pPr>
    <w:rPr>
      <w:rFonts w:eastAsia="Times New Roman"/>
      <w:sz w:val="18"/>
      <w:szCs w:val="24"/>
    </w:rPr>
  </w:style>
  <w:style w:type="table" w:customStyle="1" w:styleId="141">
    <w:name w:val="Plain Table 1"/>
    <w:basedOn w:val="58"/>
    <w:qFormat/>
    <w:uiPriority w:val="59"/>
    <w:tblPr>
      <w:tblCellMar>
        <w:top w:w="0" w:type="dxa"/>
        <w:left w:w="0" w:type="dxa"/>
        <w:bottom w:w="0" w:type="dxa"/>
        <w:right w:w="0" w:type="dxa"/>
      </w:tblCellMar>
    </w:tblPr>
  </w:style>
  <w:style w:type="table" w:customStyle="1" w:styleId="142">
    <w:name w:val="Plain Table 2"/>
    <w:basedOn w:val="58"/>
    <w:qFormat/>
    <w:uiPriority w:val="59"/>
    <w:tblPr>
      <w:tblCellMar>
        <w:top w:w="0" w:type="dxa"/>
        <w:left w:w="0" w:type="dxa"/>
        <w:bottom w:w="0" w:type="dxa"/>
        <w:right w:w="0" w:type="dxa"/>
      </w:tblCellMar>
    </w:tblPr>
  </w:style>
  <w:style w:type="table" w:customStyle="1" w:styleId="143">
    <w:name w:val="Plain Table 3"/>
    <w:basedOn w:val="58"/>
    <w:qFormat/>
    <w:uiPriority w:val="99"/>
    <w:tblPr>
      <w:tblCellMar>
        <w:top w:w="0" w:type="dxa"/>
        <w:left w:w="0" w:type="dxa"/>
        <w:bottom w:w="0" w:type="dxa"/>
        <w:right w:w="0" w:type="dxa"/>
      </w:tblCellMar>
    </w:tblPr>
  </w:style>
  <w:style w:type="table" w:customStyle="1" w:styleId="144">
    <w:name w:val="Plain Table 4"/>
    <w:basedOn w:val="58"/>
    <w:qFormat/>
    <w:uiPriority w:val="99"/>
    <w:tblPr>
      <w:tblCellMar>
        <w:top w:w="0" w:type="dxa"/>
        <w:left w:w="0" w:type="dxa"/>
        <w:bottom w:w="0" w:type="dxa"/>
        <w:right w:w="0" w:type="dxa"/>
      </w:tblCellMar>
    </w:tblPr>
  </w:style>
  <w:style w:type="table" w:customStyle="1" w:styleId="145">
    <w:name w:val="Plain Table 5"/>
    <w:basedOn w:val="58"/>
    <w:qFormat/>
    <w:uiPriority w:val="99"/>
    <w:tblPr>
      <w:tblCellMar>
        <w:top w:w="0" w:type="dxa"/>
        <w:left w:w="0" w:type="dxa"/>
        <w:bottom w:w="0" w:type="dxa"/>
        <w:right w:w="0" w:type="dxa"/>
      </w:tblCellMar>
    </w:tblPr>
  </w:style>
  <w:style w:type="table" w:customStyle="1" w:styleId="146">
    <w:name w:val="Grid Table 1 Light"/>
    <w:basedOn w:val="58"/>
    <w:qFormat/>
    <w:uiPriority w:val="99"/>
    <w:tblPr>
      <w:tblCellMar>
        <w:top w:w="0" w:type="dxa"/>
        <w:left w:w="0" w:type="dxa"/>
        <w:bottom w:w="0" w:type="dxa"/>
        <w:right w:w="0" w:type="dxa"/>
      </w:tblCellMar>
    </w:tblPr>
  </w:style>
  <w:style w:type="table" w:customStyle="1" w:styleId="147">
    <w:name w:val="Grid Table 2"/>
    <w:basedOn w:val="58"/>
    <w:qFormat/>
    <w:uiPriority w:val="99"/>
    <w:tblPr>
      <w:tblCellMar>
        <w:top w:w="0" w:type="dxa"/>
        <w:left w:w="0" w:type="dxa"/>
        <w:bottom w:w="0" w:type="dxa"/>
        <w:right w:w="0" w:type="dxa"/>
      </w:tblCellMar>
    </w:tblPr>
  </w:style>
  <w:style w:type="table" w:customStyle="1" w:styleId="148">
    <w:name w:val="Grid Table 3"/>
    <w:basedOn w:val="58"/>
    <w:qFormat/>
    <w:uiPriority w:val="99"/>
    <w:tblPr>
      <w:tblCellMar>
        <w:top w:w="0" w:type="dxa"/>
        <w:left w:w="0" w:type="dxa"/>
        <w:bottom w:w="0" w:type="dxa"/>
        <w:right w:w="0" w:type="dxa"/>
      </w:tblCellMar>
    </w:tblPr>
  </w:style>
  <w:style w:type="table" w:customStyle="1" w:styleId="149">
    <w:name w:val="Grid Table 4"/>
    <w:basedOn w:val="58"/>
    <w:qFormat/>
    <w:uiPriority w:val="59"/>
    <w:tblPr>
      <w:tblCellMar>
        <w:top w:w="0" w:type="dxa"/>
        <w:left w:w="0" w:type="dxa"/>
        <w:bottom w:w="0" w:type="dxa"/>
        <w:right w:w="0" w:type="dxa"/>
      </w:tblCellMar>
    </w:tblPr>
  </w:style>
  <w:style w:type="table" w:customStyle="1" w:styleId="150">
    <w:name w:val="Grid Table 5 Dark"/>
    <w:basedOn w:val="58"/>
    <w:qFormat/>
    <w:uiPriority w:val="99"/>
    <w:tblPr>
      <w:tblCellMar>
        <w:top w:w="0" w:type="dxa"/>
        <w:left w:w="0" w:type="dxa"/>
        <w:bottom w:w="0" w:type="dxa"/>
        <w:right w:w="0" w:type="dxa"/>
      </w:tblCellMar>
    </w:tblPr>
  </w:style>
  <w:style w:type="table" w:customStyle="1" w:styleId="151">
    <w:name w:val="Grid Table 6 Colorful"/>
    <w:basedOn w:val="58"/>
    <w:qFormat/>
    <w:uiPriority w:val="99"/>
    <w:tblPr>
      <w:tblCellMar>
        <w:top w:w="0" w:type="dxa"/>
        <w:left w:w="0" w:type="dxa"/>
        <w:bottom w:w="0" w:type="dxa"/>
        <w:right w:w="0" w:type="dxa"/>
      </w:tblCellMar>
    </w:tblPr>
  </w:style>
  <w:style w:type="table" w:customStyle="1" w:styleId="152">
    <w:name w:val="Grid Table 7 Colorful"/>
    <w:basedOn w:val="58"/>
    <w:qFormat/>
    <w:uiPriority w:val="99"/>
    <w:tblPr>
      <w:tblCellMar>
        <w:top w:w="0" w:type="dxa"/>
        <w:left w:w="0" w:type="dxa"/>
        <w:bottom w:w="0" w:type="dxa"/>
        <w:right w:w="0" w:type="dxa"/>
      </w:tblCellMar>
    </w:tblPr>
  </w:style>
  <w:style w:type="table" w:customStyle="1" w:styleId="153">
    <w:name w:val="List Table 1 Light"/>
    <w:basedOn w:val="58"/>
    <w:qFormat/>
    <w:uiPriority w:val="99"/>
    <w:tblPr>
      <w:tblCellMar>
        <w:top w:w="0" w:type="dxa"/>
        <w:left w:w="0" w:type="dxa"/>
        <w:bottom w:w="0" w:type="dxa"/>
        <w:right w:w="0" w:type="dxa"/>
      </w:tblCellMar>
    </w:tblPr>
  </w:style>
  <w:style w:type="table" w:customStyle="1" w:styleId="154">
    <w:name w:val="List Table 2"/>
    <w:basedOn w:val="58"/>
    <w:qFormat/>
    <w:uiPriority w:val="99"/>
    <w:tblPr>
      <w:tblCellMar>
        <w:top w:w="0" w:type="dxa"/>
        <w:left w:w="0" w:type="dxa"/>
        <w:bottom w:w="0" w:type="dxa"/>
        <w:right w:w="0" w:type="dxa"/>
      </w:tblCellMar>
    </w:tblPr>
  </w:style>
  <w:style w:type="table" w:customStyle="1" w:styleId="155">
    <w:name w:val="List Table 3"/>
    <w:basedOn w:val="58"/>
    <w:qFormat/>
    <w:uiPriority w:val="99"/>
    <w:tblPr>
      <w:tblCellMar>
        <w:top w:w="0" w:type="dxa"/>
        <w:left w:w="0" w:type="dxa"/>
        <w:bottom w:w="0" w:type="dxa"/>
        <w:right w:w="0" w:type="dxa"/>
      </w:tblCellMar>
    </w:tblPr>
  </w:style>
  <w:style w:type="table" w:customStyle="1" w:styleId="156">
    <w:name w:val="List Table 4"/>
    <w:basedOn w:val="58"/>
    <w:qFormat/>
    <w:uiPriority w:val="99"/>
    <w:tblPr>
      <w:tblCellMar>
        <w:top w:w="0" w:type="dxa"/>
        <w:left w:w="0" w:type="dxa"/>
        <w:bottom w:w="0" w:type="dxa"/>
        <w:right w:w="0" w:type="dxa"/>
      </w:tblCellMar>
    </w:tblPr>
  </w:style>
  <w:style w:type="table" w:customStyle="1" w:styleId="157">
    <w:name w:val="List Table 5 Dark"/>
    <w:basedOn w:val="58"/>
    <w:qFormat/>
    <w:uiPriority w:val="99"/>
    <w:tblPr>
      <w:tblCellMar>
        <w:top w:w="0" w:type="dxa"/>
        <w:left w:w="0" w:type="dxa"/>
        <w:bottom w:w="0" w:type="dxa"/>
        <w:right w:w="0" w:type="dxa"/>
      </w:tblCellMar>
    </w:tblPr>
  </w:style>
  <w:style w:type="table" w:customStyle="1" w:styleId="158">
    <w:name w:val="List Table 6 Colorful"/>
    <w:basedOn w:val="58"/>
    <w:qFormat/>
    <w:uiPriority w:val="99"/>
    <w:tblPr>
      <w:tblCellMar>
        <w:top w:w="0" w:type="dxa"/>
        <w:left w:w="0" w:type="dxa"/>
        <w:bottom w:w="0" w:type="dxa"/>
        <w:right w:w="0" w:type="dxa"/>
      </w:tblCellMar>
    </w:tblPr>
  </w:style>
  <w:style w:type="table" w:customStyle="1" w:styleId="159">
    <w:name w:val="List Table 7 Colorful"/>
    <w:basedOn w:val="58"/>
    <w:qFormat/>
    <w:uiPriority w:val="99"/>
    <w:tblPr>
      <w:tblCellMar>
        <w:top w:w="0" w:type="dxa"/>
        <w:left w:w="0" w:type="dxa"/>
        <w:bottom w:w="0" w:type="dxa"/>
        <w:right w:w="0" w:type="dxa"/>
      </w:tblCellMar>
    </w:tblPr>
  </w:style>
  <w:style w:type="paragraph" w:customStyle="1" w:styleId="160">
    <w:name w:val="TOC 标题112"/>
    <w:unhideWhenUsed/>
    <w:qFormat/>
    <w:uiPriority w:val="39"/>
    <w:rPr>
      <w:rFonts w:ascii="Times New Roman" w:hAnsi="Times New Roman" w:eastAsia="宋体" w:cs="Times New Roman"/>
      <w:lang w:val="en-US" w:eastAsia="zh-CN" w:bidi="ar-SA"/>
    </w:rPr>
  </w:style>
  <w:style w:type="table" w:customStyle="1" w:styleId="161">
    <w:name w:val="无格式表格 11"/>
    <w:basedOn w:val="58"/>
    <w:qFormat/>
    <w:uiPriority w:val="59"/>
    <w:tblPr>
      <w:tblCellMar>
        <w:top w:w="0" w:type="dxa"/>
        <w:left w:w="0" w:type="dxa"/>
        <w:bottom w:w="0" w:type="dxa"/>
        <w:right w:w="0" w:type="dxa"/>
      </w:tblCellMar>
    </w:tblPr>
  </w:style>
  <w:style w:type="table" w:customStyle="1" w:styleId="162">
    <w:name w:val="无格式表格 21"/>
    <w:basedOn w:val="58"/>
    <w:qFormat/>
    <w:uiPriority w:val="59"/>
    <w:tblPr>
      <w:tblCellMar>
        <w:top w:w="0" w:type="dxa"/>
        <w:left w:w="0" w:type="dxa"/>
        <w:bottom w:w="0" w:type="dxa"/>
        <w:right w:w="0" w:type="dxa"/>
      </w:tblCellMar>
    </w:tblPr>
  </w:style>
  <w:style w:type="table" w:customStyle="1" w:styleId="163">
    <w:name w:val="无格式表格 31"/>
    <w:basedOn w:val="58"/>
    <w:qFormat/>
    <w:uiPriority w:val="99"/>
    <w:tblPr>
      <w:tblCellMar>
        <w:top w:w="0" w:type="dxa"/>
        <w:left w:w="0" w:type="dxa"/>
        <w:bottom w:w="0" w:type="dxa"/>
        <w:right w:w="0" w:type="dxa"/>
      </w:tblCellMar>
    </w:tblPr>
  </w:style>
  <w:style w:type="table" w:customStyle="1" w:styleId="164">
    <w:name w:val="无格式表格 41"/>
    <w:basedOn w:val="58"/>
    <w:qFormat/>
    <w:uiPriority w:val="99"/>
    <w:tblPr>
      <w:tblCellMar>
        <w:top w:w="0" w:type="dxa"/>
        <w:left w:w="0" w:type="dxa"/>
        <w:bottom w:w="0" w:type="dxa"/>
        <w:right w:w="0" w:type="dxa"/>
      </w:tblCellMar>
    </w:tblPr>
  </w:style>
  <w:style w:type="table" w:customStyle="1" w:styleId="165">
    <w:name w:val="无格式表格 51"/>
    <w:basedOn w:val="58"/>
    <w:qFormat/>
    <w:uiPriority w:val="99"/>
    <w:tblPr>
      <w:tblCellMar>
        <w:top w:w="0" w:type="dxa"/>
        <w:left w:w="0" w:type="dxa"/>
        <w:bottom w:w="0" w:type="dxa"/>
        <w:right w:w="0" w:type="dxa"/>
      </w:tblCellMar>
    </w:tblPr>
  </w:style>
  <w:style w:type="table" w:customStyle="1" w:styleId="166">
    <w:name w:val="网格表 1 浅色1"/>
    <w:basedOn w:val="58"/>
    <w:qFormat/>
    <w:uiPriority w:val="99"/>
    <w:tblPr>
      <w:tblCellMar>
        <w:top w:w="0" w:type="dxa"/>
        <w:left w:w="0" w:type="dxa"/>
        <w:bottom w:w="0" w:type="dxa"/>
        <w:right w:w="0" w:type="dxa"/>
      </w:tblCellMar>
    </w:tblPr>
  </w:style>
  <w:style w:type="table" w:customStyle="1" w:styleId="167">
    <w:name w:val="网格表 21"/>
    <w:basedOn w:val="58"/>
    <w:qFormat/>
    <w:uiPriority w:val="99"/>
    <w:tblPr>
      <w:tblCellMar>
        <w:top w:w="0" w:type="dxa"/>
        <w:left w:w="0" w:type="dxa"/>
        <w:bottom w:w="0" w:type="dxa"/>
        <w:right w:w="0" w:type="dxa"/>
      </w:tblCellMar>
    </w:tblPr>
  </w:style>
  <w:style w:type="table" w:customStyle="1" w:styleId="168">
    <w:name w:val="网格表 31"/>
    <w:basedOn w:val="58"/>
    <w:qFormat/>
    <w:uiPriority w:val="99"/>
    <w:tblPr>
      <w:tblCellMar>
        <w:top w:w="0" w:type="dxa"/>
        <w:left w:w="0" w:type="dxa"/>
        <w:bottom w:w="0" w:type="dxa"/>
        <w:right w:w="0" w:type="dxa"/>
      </w:tblCellMar>
    </w:tblPr>
  </w:style>
  <w:style w:type="table" w:customStyle="1" w:styleId="169">
    <w:name w:val="网格表 41"/>
    <w:basedOn w:val="58"/>
    <w:qFormat/>
    <w:uiPriority w:val="59"/>
    <w:tblPr>
      <w:tblCellMar>
        <w:top w:w="0" w:type="dxa"/>
        <w:left w:w="0" w:type="dxa"/>
        <w:bottom w:w="0" w:type="dxa"/>
        <w:right w:w="0" w:type="dxa"/>
      </w:tblCellMar>
    </w:tblPr>
  </w:style>
  <w:style w:type="table" w:customStyle="1" w:styleId="170">
    <w:name w:val="网格表 5 深色1"/>
    <w:basedOn w:val="58"/>
    <w:qFormat/>
    <w:uiPriority w:val="99"/>
    <w:tblPr>
      <w:tblCellMar>
        <w:top w:w="0" w:type="dxa"/>
        <w:left w:w="0" w:type="dxa"/>
        <w:bottom w:w="0" w:type="dxa"/>
        <w:right w:w="0" w:type="dxa"/>
      </w:tblCellMar>
    </w:tblPr>
  </w:style>
  <w:style w:type="table" w:customStyle="1" w:styleId="171">
    <w:name w:val="网格表 6 彩色1"/>
    <w:basedOn w:val="58"/>
    <w:qFormat/>
    <w:uiPriority w:val="99"/>
    <w:tblPr>
      <w:tblCellMar>
        <w:top w:w="0" w:type="dxa"/>
        <w:left w:w="0" w:type="dxa"/>
        <w:bottom w:w="0" w:type="dxa"/>
        <w:right w:w="0" w:type="dxa"/>
      </w:tblCellMar>
    </w:tblPr>
  </w:style>
  <w:style w:type="table" w:customStyle="1" w:styleId="172">
    <w:name w:val="网格表 7 彩色1"/>
    <w:basedOn w:val="58"/>
    <w:qFormat/>
    <w:uiPriority w:val="99"/>
    <w:tblPr>
      <w:tblCellMar>
        <w:top w:w="0" w:type="dxa"/>
        <w:left w:w="0" w:type="dxa"/>
        <w:bottom w:w="0" w:type="dxa"/>
        <w:right w:w="0" w:type="dxa"/>
      </w:tblCellMar>
    </w:tblPr>
  </w:style>
  <w:style w:type="table" w:customStyle="1" w:styleId="173">
    <w:name w:val="清单表 1 浅色1"/>
    <w:basedOn w:val="58"/>
    <w:qFormat/>
    <w:uiPriority w:val="99"/>
    <w:tblPr>
      <w:tblCellMar>
        <w:top w:w="0" w:type="dxa"/>
        <w:left w:w="0" w:type="dxa"/>
        <w:bottom w:w="0" w:type="dxa"/>
        <w:right w:w="0" w:type="dxa"/>
      </w:tblCellMar>
    </w:tblPr>
  </w:style>
  <w:style w:type="table" w:customStyle="1" w:styleId="174">
    <w:name w:val="清单表 21"/>
    <w:basedOn w:val="58"/>
    <w:qFormat/>
    <w:uiPriority w:val="99"/>
    <w:tblPr>
      <w:tblCellMar>
        <w:top w:w="0" w:type="dxa"/>
        <w:left w:w="0" w:type="dxa"/>
        <w:bottom w:w="0" w:type="dxa"/>
        <w:right w:w="0" w:type="dxa"/>
      </w:tblCellMar>
    </w:tblPr>
  </w:style>
  <w:style w:type="table" w:customStyle="1" w:styleId="175">
    <w:name w:val="清单表 31"/>
    <w:basedOn w:val="58"/>
    <w:qFormat/>
    <w:uiPriority w:val="99"/>
    <w:tblPr>
      <w:tblCellMar>
        <w:top w:w="0" w:type="dxa"/>
        <w:left w:w="0" w:type="dxa"/>
        <w:bottom w:w="0" w:type="dxa"/>
        <w:right w:w="0" w:type="dxa"/>
      </w:tblCellMar>
    </w:tblPr>
  </w:style>
  <w:style w:type="table" w:customStyle="1" w:styleId="176">
    <w:name w:val="清单表 41"/>
    <w:basedOn w:val="58"/>
    <w:qFormat/>
    <w:uiPriority w:val="99"/>
    <w:tblPr>
      <w:tblCellMar>
        <w:top w:w="0" w:type="dxa"/>
        <w:left w:w="0" w:type="dxa"/>
        <w:bottom w:w="0" w:type="dxa"/>
        <w:right w:w="0" w:type="dxa"/>
      </w:tblCellMar>
    </w:tblPr>
  </w:style>
  <w:style w:type="table" w:customStyle="1" w:styleId="177">
    <w:name w:val="清单表 5 深色1"/>
    <w:basedOn w:val="58"/>
    <w:qFormat/>
    <w:uiPriority w:val="99"/>
    <w:tblPr>
      <w:tblCellMar>
        <w:top w:w="0" w:type="dxa"/>
        <w:left w:w="0" w:type="dxa"/>
        <w:bottom w:w="0" w:type="dxa"/>
        <w:right w:w="0" w:type="dxa"/>
      </w:tblCellMar>
    </w:tblPr>
  </w:style>
  <w:style w:type="table" w:customStyle="1" w:styleId="178">
    <w:name w:val="清单表 6 彩色1"/>
    <w:basedOn w:val="58"/>
    <w:qFormat/>
    <w:uiPriority w:val="99"/>
    <w:tblPr>
      <w:tblCellMar>
        <w:top w:w="0" w:type="dxa"/>
        <w:left w:w="0" w:type="dxa"/>
        <w:bottom w:w="0" w:type="dxa"/>
        <w:right w:w="0" w:type="dxa"/>
      </w:tblCellMar>
    </w:tblPr>
  </w:style>
  <w:style w:type="table" w:customStyle="1" w:styleId="179">
    <w:name w:val="清单表 7 彩色1"/>
    <w:basedOn w:val="58"/>
    <w:qFormat/>
    <w:uiPriority w:val="99"/>
    <w:tblPr>
      <w:tblCellMar>
        <w:top w:w="0" w:type="dxa"/>
        <w:left w:w="0" w:type="dxa"/>
        <w:bottom w:w="0" w:type="dxa"/>
        <w:right w:w="0" w:type="dxa"/>
      </w:tblCellMar>
    </w:tblPr>
  </w:style>
  <w:style w:type="paragraph" w:customStyle="1" w:styleId="180">
    <w:name w:val="TOC 标题111"/>
    <w:unhideWhenUsed/>
    <w:qFormat/>
    <w:uiPriority w:val="39"/>
    <w:rPr>
      <w:rFonts w:ascii="Times New Roman" w:hAnsi="Times New Roman" w:eastAsia="宋体" w:cs="Times New Roman"/>
      <w:lang w:val="en-US" w:eastAsia="zh-CN" w:bidi="ar-SA"/>
    </w:rPr>
  </w:style>
  <w:style w:type="paragraph" w:customStyle="1" w:styleId="181">
    <w:name w:val="Normal_21"/>
    <w:basedOn w:val="182"/>
    <w:next w:val="182"/>
    <w:qFormat/>
    <w:uiPriority w:val="0"/>
    <w:rPr>
      <w:rFonts w:ascii="Times New Roman" w:hAnsi="Times New Roman"/>
      <w:szCs w:val="24"/>
    </w:rPr>
  </w:style>
  <w:style w:type="paragraph" w:customStyle="1" w:styleId="182">
    <w:name w:val="正文_16"/>
    <w:qFormat/>
    <w:uiPriority w:val="0"/>
    <w:pPr>
      <w:widowControl w:val="0"/>
      <w:jc w:val="both"/>
    </w:pPr>
    <w:rPr>
      <w:rFonts w:ascii="Calibri" w:hAnsi="Calibri" w:eastAsia="宋体" w:cs="Times New Roman"/>
      <w:sz w:val="21"/>
      <w:szCs w:val="22"/>
      <w:lang w:val="en-US" w:eastAsia="zh-CN" w:bidi="ar-SA"/>
    </w:rPr>
  </w:style>
  <w:style w:type="paragraph" w:customStyle="1" w:styleId="183">
    <w:name w:val="正文_17"/>
    <w:next w:val="184"/>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184">
    <w:name w:val="标题 4_1"/>
    <w:basedOn w:val="183"/>
    <w:next w:val="183"/>
    <w:qFormat/>
    <w:uiPriority w:val="0"/>
    <w:pPr>
      <w:keepNext/>
      <w:keepLines/>
      <w:tabs>
        <w:tab w:val="left" w:pos="1134"/>
        <w:tab w:val="right" w:pos="7371"/>
      </w:tabs>
      <w:spacing w:line="360" w:lineRule="auto"/>
      <w:outlineLvl w:val="3"/>
    </w:pPr>
    <w:rPr>
      <w:rFonts w:ascii="宋体"/>
      <w:color w:val="800000"/>
      <w:sz w:val="28"/>
      <w:szCs w:val="20"/>
    </w:rPr>
  </w:style>
  <w:style w:type="character" w:customStyle="1" w:styleId="185">
    <w:name w:val="Heading 1 Char"/>
    <w:qFormat/>
    <w:uiPriority w:val="9"/>
    <w:rPr>
      <w:rFonts w:ascii="Arial" w:hAnsi="Arial" w:eastAsia="Arial" w:cs="Arial"/>
      <w:sz w:val="40"/>
      <w:szCs w:val="40"/>
    </w:rPr>
  </w:style>
  <w:style w:type="character" w:customStyle="1" w:styleId="186">
    <w:name w:val="Heading 2 Char"/>
    <w:qFormat/>
    <w:uiPriority w:val="9"/>
    <w:rPr>
      <w:rFonts w:ascii="Arial" w:hAnsi="Arial" w:eastAsia="Arial" w:cs="Arial"/>
      <w:sz w:val="34"/>
    </w:rPr>
  </w:style>
  <w:style w:type="character" w:customStyle="1" w:styleId="187">
    <w:name w:val="Heading 3 Char"/>
    <w:qFormat/>
    <w:uiPriority w:val="9"/>
    <w:rPr>
      <w:rFonts w:ascii="Arial" w:hAnsi="Arial" w:eastAsia="Arial" w:cs="Arial"/>
      <w:sz w:val="30"/>
      <w:szCs w:val="30"/>
    </w:rPr>
  </w:style>
  <w:style w:type="character" w:customStyle="1" w:styleId="188">
    <w:name w:val="Heading 4 Char"/>
    <w:qFormat/>
    <w:uiPriority w:val="9"/>
    <w:rPr>
      <w:rFonts w:ascii="Arial" w:hAnsi="Arial" w:eastAsia="Arial" w:cs="Arial"/>
      <w:b/>
      <w:bCs/>
      <w:sz w:val="26"/>
      <w:szCs w:val="26"/>
    </w:rPr>
  </w:style>
  <w:style w:type="character" w:customStyle="1" w:styleId="189">
    <w:name w:val="Heading 5 Char"/>
    <w:qFormat/>
    <w:uiPriority w:val="9"/>
    <w:rPr>
      <w:rFonts w:ascii="Arial" w:hAnsi="Arial" w:eastAsia="Arial" w:cs="Arial"/>
      <w:b/>
      <w:bCs/>
      <w:sz w:val="24"/>
      <w:szCs w:val="24"/>
    </w:rPr>
  </w:style>
  <w:style w:type="character" w:customStyle="1" w:styleId="190">
    <w:name w:val="Heading 6 Char"/>
    <w:qFormat/>
    <w:uiPriority w:val="9"/>
    <w:rPr>
      <w:rFonts w:ascii="Arial" w:hAnsi="Arial" w:eastAsia="Arial" w:cs="Arial"/>
      <w:b/>
      <w:bCs/>
      <w:sz w:val="22"/>
      <w:szCs w:val="22"/>
    </w:rPr>
  </w:style>
  <w:style w:type="character" w:customStyle="1" w:styleId="191">
    <w:name w:val="Heading 7 Char"/>
    <w:qFormat/>
    <w:uiPriority w:val="9"/>
    <w:rPr>
      <w:rFonts w:ascii="Arial" w:hAnsi="Arial" w:eastAsia="Arial" w:cs="Arial"/>
      <w:b/>
      <w:bCs/>
      <w:i/>
      <w:iCs/>
      <w:sz w:val="22"/>
      <w:szCs w:val="22"/>
    </w:rPr>
  </w:style>
  <w:style w:type="character" w:customStyle="1" w:styleId="192">
    <w:name w:val="Heading 8 Char"/>
    <w:qFormat/>
    <w:uiPriority w:val="9"/>
    <w:rPr>
      <w:rFonts w:ascii="Arial" w:hAnsi="Arial" w:eastAsia="Arial" w:cs="Arial"/>
      <w:i/>
      <w:iCs/>
      <w:sz w:val="22"/>
      <w:szCs w:val="22"/>
    </w:rPr>
  </w:style>
  <w:style w:type="character" w:customStyle="1" w:styleId="193">
    <w:name w:val="Heading 9 Char"/>
    <w:qFormat/>
    <w:uiPriority w:val="9"/>
    <w:rPr>
      <w:rFonts w:ascii="Arial" w:hAnsi="Arial" w:eastAsia="Arial" w:cs="Arial"/>
      <w:i/>
      <w:iCs/>
      <w:sz w:val="21"/>
      <w:szCs w:val="21"/>
    </w:rPr>
  </w:style>
  <w:style w:type="character" w:customStyle="1" w:styleId="194">
    <w:name w:val="Title Char"/>
    <w:qFormat/>
    <w:uiPriority w:val="10"/>
    <w:rPr>
      <w:sz w:val="48"/>
      <w:szCs w:val="48"/>
    </w:rPr>
  </w:style>
  <w:style w:type="character" w:customStyle="1" w:styleId="195">
    <w:name w:val="Subtitle Char"/>
    <w:qFormat/>
    <w:uiPriority w:val="11"/>
    <w:rPr>
      <w:sz w:val="24"/>
      <w:szCs w:val="24"/>
    </w:rPr>
  </w:style>
  <w:style w:type="character" w:customStyle="1" w:styleId="196">
    <w:name w:val="Quote Char"/>
    <w:qFormat/>
    <w:uiPriority w:val="29"/>
    <w:rPr>
      <w:i/>
    </w:rPr>
  </w:style>
  <w:style w:type="character" w:customStyle="1" w:styleId="197">
    <w:name w:val="Intense Quote Char"/>
    <w:qFormat/>
    <w:uiPriority w:val="30"/>
    <w:rPr>
      <w:i/>
    </w:rPr>
  </w:style>
  <w:style w:type="character" w:customStyle="1" w:styleId="198">
    <w:name w:val="Caption Char"/>
    <w:qFormat/>
    <w:uiPriority w:val="99"/>
  </w:style>
  <w:style w:type="character" w:customStyle="1" w:styleId="199">
    <w:name w:val="Footnote Text Char"/>
    <w:qFormat/>
    <w:uiPriority w:val="99"/>
    <w:rPr>
      <w:sz w:val="18"/>
    </w:rPr>
  </w:style>
  <w:style w:type="character" w:customStyle="1" w:styleId="200">
    <w:name w:val="Endnote Text Char"/>
    <w:qFormat/>
    <w:uiPriority w:val="99"/>
    <w:rPr>
      <w:sz w:val="20"/>
    </w:rPr>
  </w:style>
  <w:style w:type="paragraph" w:customStyle="1" w:styleId="201">
    <w:name w:val="列表段落"/>
    <w:basedOn w:val="1"/>
    <w:qFormat/>
    <w:uiPriority w:val="0"/>
    <w:pPr>
      <w:ind w:left="720"/>
      <w:contextualSpacing/>
    </w:pPr>
  </w:style>
  <w:style w:type="paragraph" w:customStyle="1" w:styleId="202">
    <w:name w:val="无间隔1"/>
    <w:qFormat/>
    <w:uiPriority w:val="99"/>
    <w:rPr>
      <w:rFonts w:ascii="Times New Roman" w:hAnsi="Times New Roman" w:eastAsia="宋体" w:cs="Times New Roman"/>
      <w:lang w:val="en-US" w:eastAsia="zh-CN" w:bidi="ar-SA"/>
    </w:rPr>
  </w:style>
  <w:style w:type="paragraph" w:customStyle="1" w:styleId="203">
    <w:name w:val="引用1"/>
    <w:basedOn w:val="1"/>
    <w:next w:val="1"/>
    <w:link w:val="204"/>
    <w:qFormat/>
    <w:uiPriority w:val="29"/>
    <w:pPr>
      <w:ind w:left="720" w:right="720"/>
    </w:pPr>
    <w:rPr>
      <w:i/>
    </w:rPr>
  </w:style>
  <w:style w:type="character" w:customStyle="1" w:styleId="204">
    <w:name w:val="引用 字符"/>
    <w:link w:val="203"/>
    <w:qFormat/>
    <w:uiPriority w:val="29"/>
    <w:rPr>
      <w:i/>
    </w:rPr>
  </w:style>
  <w:style w:type="paragraph" w:customStyle="1" w:styleId="205">
    <w:name w:val="明显引用1"/>
    <w:basedOn w:val="1"/>
    <w:next w:val="1"/>
    <w:link w:val="20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206">
    <w:name w:val="明显引用 字符"/>
    <w:link w:val="205"/>
    <w:qFormat/>
    <w:uiPriority w:val="30"/>
    <w:rPr>
      <w:i/>
    </w:rPr>
  </w:style>
  <w:style w:type="character" w:customStyle="1" w:styleId="207">
    <w:name w:val="Header Char"/>
    <w:qFormat/>
    <w:uiPriority w:val="99"/>
  </w:style>
  <w:style w:type="character" w:customStyle="1" w:styleId="208">
    <w:name w:val="Footer Char"/>
    <w:qFormat/>
    <w:uiPriority w:val="99"/>
  </w:style>
  <w:style w:type="table" w:customStyle="1" w:styleId="209">
    <w:name w:val="Table Grid Light"/>
    <w:basedOn w:val="58"/>
    <w:qFormat/>
    <w:uiPriority w:val="59"/>
    <w:tblPr>
      <w:tblCellMar>
        <w:top w:w="0" w:type="dxa"/>
        <w:left w:w="0" w:type="dxa"/>
        <w:bottom w:w="0" w:type="dxa"/>
        <w:right w:w="0" w:type="dxa"/>
      </w:tblCellMar>
    </w:tblPr>
  </w:style>
  <w:style w:type="table" w:customStyle="1" w:styleId="210">
    <w:name w:val="Grid Table 1 Light - Accent 1"/>
    <w:basedOn w:val="58"/>
    <w:qFormat/>
    <w:uiPriority w:val="99"/>
    <w:tblPr>
      <w:tblCellMar>
        <w:top w:w="0" w:type="dxa"/>
        <w:left w:w="0" w:type="dxa"/>
        <w:bottom w:w="0" w:type="dxa"/>
        <w:right w:w="0" w:type="dxa"/>
      </w:tblCellMar>
    </w:tblPr>
  </w:style>
  <w:style w:type="table" w:customStyle="1" w:styleId="211">
    <w:name w:val="Grid Table 1 Light - Accent 2"/>
    <w:basedOn w:val="58"/>
    <w:qFormat/>
    <w:uiPriority w:val="99"/>
    <w:tblPr>
      <w:tblCellMar>
        <w:top w:w="0" w:type="dxa"/>
        <w:left w:w="0" w:type="dxa"/>
        <w:bottom w:w="0" w:type="dxa"/>
        <w:right w:w="0" w:type="dxa"/>
      </w:tblCellMar>
    </w:tblPr>
  </w:style>
  <w:style w:type="table" w:customStyle="1" w:styleId="212">
    <w:name w:val="Grid Table 1 Light - Accent 3"/>
    <w:basedOn w:val="58"/>
    <w:qFormat/>
    <w:uiPriority w:val="99"/>
    <w:tblPr>
      <w:tblCellMar>
        <w:top w:w="0" w:type="dxa"/>
        <w:left w:w="0" w:type="dxa"/>
        <w:bottom w:w="0" w:type="dxa"/>
        <w:right w:w="0" w:type="dxa"/>
      </w:tblCellMar>
    </w:tblPr>
  </w:style>
  <w:style w:type="table" w:customStyle="1" w:styleId="213">
    <w:name w:val="Grid Table 1 Light - Accent 4"/>
    <w:basedOn w:val="58"/>
    <w:qFormat/>
    <w:uiPriority w:val="99"/>
    <w:tblPr>
      <w:tblCellMar>
        <w:top w:w="0" w:type="dxa"/>
        <w:left w:w="0" w:type="dxa"/>
        <w:bottom w:w="0" w:type="dxa"/>
        <w:right w:w="0" w:type="dxa"/>
      </w:tblCellMar>
    </w:tblPr>
  </w:style>
  <w:style w:type="table" w:customStyle="1" w:styleId="214">
    <w:name w:val="Grid Table 1 Light - Accent 5"/>
    <w:basedOn w:val="58"/>
    <w:qFormat/>
    <w:uiPriority w:val="99"/>
    <w:tblPr>
      <w:tblCellMar>
        <w:top w:w="0" w:type="dxa"/>
        <w:left w:w="0" w:type="dxa"/>
        <w:bottom w:w="0" w:type="dxa"/>
        <w:right w:w="0" w:type="dxa"/>
      </w:tblCellMar>
    </w:tblPr>
  </w:style>
  <w:style w:type="table" w:customStyle="1" w:styleId="215">
    <w:name w:val="Grid Table 1 Light - Accent 6"/>
    <w:basedOn w:val="58"/>
    <w:qFormat/>
    <w:uiPriority w:val="99"/>
    <w:tblPr>
      <w:tblCellMar>
        <w:top w:w="0" w:type="dxa"/>
        <w:left w:w="0" w:type="dxa"/>
        <w:bottom w:w="0" w:type="dxa"/>
        <w:right w:w="0" w:type="dxa"/>
      </w:tblCellMar>
    </w:tblPr>
  </w:style>
  <w:style w:type="table" w:customStyle="1" w:styleId="216">
    <w:name w:val="Grid Table 2 - Accent 1"/>
    <w:basedOn w:val="58"/>
    <w:qFormat/>
    <w:uiPriority w:val="99"/>
    <w:tblPr>
      <w:tblCellMar>
        <w:top w:w="0" w:type="dxa"/>
        <w:left w:w="0" w:type="dxa"/>
        <w:bottom w:w="0" w:type="dxa"/>
        <w:right w:w="0" w:type="dxa"/>
      </w:tblCellMar>
    </w:tblPr>
  </w:style>
  <w:style w:type="table" w:customStyle="1" w:styleId="217">
    <w:name w:val="Grid Table 2 - Accent 2"/>
    <w:basedOn w:val="58"/>
    <w:qFormat/>
    <w:uiPriority w:val="99"/>
    <w:tblPr>
      <w:tblCellMar>
        <w:top w:w="0" w:type="dxa"/>
        <w:left w:w="0" w:type="dxa"/>
        <w:bottom w:w="0" w:type="dxa"/>
        <w:right w:w="0" w:type="dxa"/>
      </w:tblCellMar>
    </w:tblPr>
  </w:style>
  <w:style w:type="table" w:customStyle="1" w:styleId="218">
    <w:name w:val="Grid Table 2 - Accent 3"/>
    <w:basedOn w:val="58"/>
    <w:qFormat/>
    <w:uiPriority w:val="99"/>
    <w:tblPr>
      <w:tblCellMar>
        <w:top w:w="0" w:type="dxa"/>
        <w:left w:w="0" w:type="dxa"/>
        <w:bottom w:w="0" w:type="dxa"/>
        <w:right w:w="0" w:type="dxa"/>
      </w:tblCellMar>
    </w:tblPr>
  </w:style>
  <w:style w:type="table" w:customStyle="1" w:styleId="219">
    <w:name w:val="Grid Table 2 - Accent 4"/>
    <w:basedOn w:val="58"/>
    <w:qFormat/>
    <w:uiPriority w:val="99"/>
    <w:tblPr>
      <w:tblCellMar>
        <w:top w:w="0" w:type="dxa"/>
        <w:left w:w="0" w:type="dxa"/>
        <w:bottom w:w="0" w:type="dxa"/>
        <w:right w:w="0" w:type="dxa"/>
      </w:tblCellMar>
    </w:tblPr>
  </w:style>
  <w:style w:type="table" w:customStyle="1" w:styleId="220">
    <w:name w:val="Grid Table 2 - Accent 5"/>
    <w:basedOn w:val="58"/>
    <w:qFormat/>
    <w:uiPriority w:val="99"/>
    <w:tblPr>
      <w:tblCellMar>
        <w:top w:w="0" w:type="dxa"/>
        <w:left w:w="0" w:type="dxa"/>
        <w:bottom w:w="0" w:type="dxa"/>
        <w:right w:w="0" w:type="dxa"/>
      </w:tblCellMar>
    </w:tblPr>
  </w:style>
  <w:style w:type="table" w:customStyle="1" w:styleId="221">
    <w:name w:val="Grid Table 2 - Accent 6"/>
    <w:basedOn w:val="58"/>
    <w:qFormat/>
    <w:uiPriority w:val="99"/>
    <w:tblPr>
      <w:tblCellMar>
        <w:top w:w="0" w:type="dxa"/>
        <w:left w:w="0" w:type="dxa"/>
        <w:bottom w:w="0" w:type="dxa"/>
        <w:right w:w="0" w:type="dxa"/>
      </w:tblCellMar>
    </w:tblPr>
  </w:style>
  <w:style w:type="table" w:customStyle="1" w:styleId="222">
    <w:name w:val="Grid Table 3 - Accent 1"/>
    <w:basedOn w:val="58"/>
    <w:qFormat/>
    <w:uiPriority w:val="99"/>
    <w:tblPr>
      <w:tblCellMar>
        <w:top w:w="0" w:type="dxa"/>
        <w:left w:w="0" w:type="dxa"/>
        <w:bottom w:w="0" w:type="dxa"/>
        <w:right w:w="0" w:type="dxa"/>
      </w:tblCellMar>
    </w:tblPr>
  </w:style>
  <w:style w:type="table" w:customStyle="1" w:styleId="223">
    <w:name w:val="Grid Table 3 - Accent 2"/>
    <w:basedOn w:val="58"/>
    <w:qFormat/>
    <w:uiPriority w:val="99"/>
    <w:tblPr>
      <w:tblCellMar>
        <w:top w:w="0" w:type="dxa"/>
        <w:left w:w="0" w:type="dxa"/>
        <w:bottom w:w="0" w:type="dxa"/>
        <w:right w:w="0" w:type="dxa"/>
      </w:tblCellMar>
    </w:tblPr>
  </w:style>
  <w:style w:type="table" w:customStyle="1" w:styleId="224">
    <w:name w:val="Grid Table 3 - Accent 3"/>
    <w:basedOn w:val="58"/>
    <w:qFormat/>
    <w:uiPriority w:val="99"/>
    <w:tblPr>
      <w:tblCellMar>
        <w:top w:w="0" w:type="dxa"/>
        <w:left w:w="0" w:type="dxa"/>
        <w:bottom w:w="0" w:type="dxa"/>
        <w:right w:w="0" w:type="dxa"/>
      </w:tblCellMar>
    </w:tblPr>
  </w:style>
  <w:style w:type="table" w:customStyle="1" w:styleId="225">
    <w:name w:val="Grid Table 3 - Accent 4"/>
    <w:basedOn w:val="58"/>
    <w:qFormat/>
    <w:uiPriority w:val="99"/>
    <w:tblPr>
      <w:tblCellMar>
        <w:top w:w="0" w:type="dxa"/>
        <w:left w:w="0" w:type="dxa"/>
        <w:bottom w:w="0" w:type="dxa"/>
        <w:right w:w="0" w:type="dxa"/>
      </w:tblCellMar>
    </w:tblPr>
  </w:style>
  <w:style w:type="table" w:customStyle="1" w:styleId="226">
    <w:name w:val="Grid Table 3 - Accent 5"/>
    <w:basedOn w:val="58"/>
    <w:qFormat/>
    <w:uiPriority w:val="99"/>
    <w:tblPr>
      <w:tblCellMar>
        <w:top w:w="0" w:type="dxa"/>
        <w:left w:w="0" w:type="dxa"/>
        <w:bottom w:w="0" w:type="dxa"/>
        <w:right w:w="0" w:type="dxa"/>
      </w:tblCellMar>
    </w:tblPr>
  </w:style>
  <w:style w:type="table" w:customStyle="1" w:styleId="227">
    <w:name w:val="Grid Table 3 - Accent 6"/>
    <w:basedOn w:val="58"/>
    <w:qFormat/>
    <w:uiPriority w:val="99"/>
    <w:tblPr>
      <w:tblCellMar>
        <w:top w:w="0" w:type="dxa"/>
        <w:left w:w="0" w:type="dxa"/>
        <w:bottom w:w="0" w:type="dxa"/>
        <w:right w:w="0" w:type="dxa"/>
      </w:tblCellMar>
    </w:tblPr>
  </w:style>
  <w:style w:type="table" w:customStyle="1" w:styleId="228">
    <w:name w:val="Grid Table 4 - Accent 1"/>
    <w:basedOn w:val="58"/>
    <w:qFormat/>
    <w:uiPriority w:val="59"/>
    <w:tblPr>
      <w:tblCellMar>
        <w:top w:w="0" w:type="dxa"/>
        <w:left w:w="0" w:type="dxa"/>
        <w:bottom w:w="0" w:type="dxa"/>
        <w:right w:w="0" w:type="dxa"/>
      </w:tblCellMar>
    </w:tblPr>
  </w:style>
  <w:style w:type="table" w:customStyle="1" w:styleId="229">
    <w:name w:val="Grid Table 4 - Accent 2"/>
    <w:basedOn w:val="58"/>
    <w:qFormat/>
    <w:uiPriority w:val="59"/>
    <w:tblPr>
      <w:tblCellMar>
        <w:top w:w="0" w:type="dxa"/>
        <w:left w:w="0" w:type="dxa"/>
        <w:bottom w:w="0" w:type="dxa"/>
        <w:right w:w="0" w:type="dxa"/>
      </w:tblCellMar>
    </w:tblPr>
  </w:style>
  <w:style w:type="table" w:customStyle="1" w:styleId="230">
    <w:name w:val="Grid Table 4 - Accent 3"/>
    <w:basedOn w:val="58"/>
    <w:qFormat/>
    <w:uiPriority w:val="59"/>
    <w:tblPr>
      <w:tblCellMar>
        <w:top w:w="0" w:type="dxa"/>
        <w:left w:w="0" w:type="dxa"/>
        <w:bottom w:w="0" w:type="dxa"/>
        <w:right w:w="0" w:type="dxa"/>
      </w:tblCellMar>
    </w:tblPr>
  </w:style>
  <w:style w:type="table" w:customStyle="1" w:styleId="231">
    <w:name w:val="Grid Table 4 - Accent 4"/>
    <w:basedOn w:val="58"/>
    <w:qFormat/>
    <w:uiPriority w:val="59"/>
    <w:tblPr>
      <w:tblCellMar>
        <w:top w:w="0" w:type="dxa"/>
        <w:left w:w="0" w:type="dxa"/>
        <w:bottom w:w="0" w:type="dxa"/>
        <w:right w:w="0" w:type="dxa"/>
      </w:tblCellMar>
    </w:tblPr>
  </w:style>
  <w:style w:type="table" w:customStyle="1" w:styleId="232">
    <w:name w:val="Grid Table 4 - Accent 5"/>
    <w:basedOn w:val="58"/>
    <w:qFormat/>
    <w:uiPriority w:val="59"/>
    <w:tblPr>
      <w:tblCellMar>
        <w:top w:w="0" w:type="dxa"/>
        <w:left w:w="0" w:type="dxa"/>
        <w:bottom w:w="0" w:type="dxa"/>
        <w:right w:w="0" w:type="dxa"/>
      </w:tblCellMar>
    </w:tblPr>
  </w:style>
  <w:style w:type="table" w:customStyle="1" w:styleId="233">
    <w:name w:val="Grid Table 4 - Accent 6"/>
    <w:basedOn w:val="58"/>
    <w:qFormat/>
    <w:uiPriority w:val="59"/>
    <w:tblPr>
      <w:tblCellMar>
        <w:top w:w="0" w:type="dxa"/>
        <w:left w:w="0" w:type="dxa"/>
        <w:bottom w:w="0" w:type="dxa"/>
        <w:right w:w="0" w:type="dxa"/>
      </w:tblCellMar>
    </w:tblPr>
  </w:style>
  <w:style w:type="table" w:customStyle="1" w:styleId="234">
    <w:name w:val="Grid Table 5 Dark- Accent 1"/>
    <w:basedOn w:val="58"/>
    <w:qFormat/>
    <w:uiPriority w:val="99"/>
    <w:tblPr>
      <w:tblCellMar>
        <w:top w:w="0" w:type="dxa"/>
        <w:left w:w="0" w:type="dxa"/>
        <w:bottom w:w="0" w:type="dxa"/>
        <w:right w:w="0" w:type="dxa"/>
      </w:tblCellMar>
    </w:tblPr>
  </w:style>
  <w:style w:type="table" w:customStyle="1" w:styleId="235">
    <w:name w:val="Grid Table 5 Dark - Accent 2"/>
    <w:basedOn w:val="58"/>
    <w:qFormat/>
    <w:uiPriority w:val="99"/>
    <w:tblPr>
      <w:tblCellMar>
        <w:top w:w="0" w:type="dxa"/>
        <w:left w:w="0" w:type="dxa"/>
        <w:bottom w:w="0" w:type="dxa"/>
        <w:right w:w="0" w:type="dxa"/>
      </w:tblCellMar>
    </w:tblPr>
  </w:style>
  <w:style w:type="table" w:customStyle="1" w:styleId="236">
    <w:name w:val="Grid Table 5 Dark - Accent 3"/>
    <w:basedOn w:val="58"/>
    <w:qFormat/>
    <w:uiPriority w:val="99"/>
    <w:tblPr>
      <w:tblCellMar>
        <w:top w:w="0" w:type="dxa"/>
        <w:left w:w="0" w:type="dxa"/>
        <w:bottom w:w="0" w:type="dxa"/>
        <w:right w:w="0" w:type="dxa"/>
      </w:tblCellMar>
    </w:tblPr>
  </w:style>
  <w:style w:type="table" w:customStyle="1" w:styleId="237">
    <w:name w:val="Grid Table 5 Dark- Accent 4"/>
    <w:basedOn w:val="58"/>
    <w:qFormat/>
    <w:uiPriority w:val="99"/>
    <w:tblPr>
      <w:tblCellMar>
        <w:top w:w="0" w:type="dxa"/>
        <w:left w:w="0" w:type="dxa"/>
        <w:bottom w:w="0" w:type="dxa"/>
        <w:right w:w="0" w:type="dxa"/>
      </w:tblCellMar>
    </w:tblPr>
  </w:style>
  <w:style w:type="table" w:customStyle="1" w:styleId="238">
    <w:name w:val="Grid Table 5 Dark - Accent 5"/>
    <w:basedOn w:val="58"/>
    <w:qFormat/>
    <w:uiPriority w:val="99"/>
    <w:tblPr>
      <w:tblCellMar>
        <w:top w:w="0" w:type="dxa"/>
        <w:left w:w="0" w:type="dxa"/>
        <w:bottom w:w="0" w:type="dxa"/>
        <w:right w:w="0" w:type="dxa"/>
      </w:tblCellMar>
    </w:tblPr>
  </w:style>
  <w:style w:type="table" w:customStyle="1" w:styleId="239">
    <w:name w:val="Grid Table 5 Dark - Accent 6"/>
    <w:basedOn w:val="58"/>
    <w:qFormat/>
    <w:uiPriority w:val="99"/>
    <w:tblPr>
      <w:tblCellMar>
        <w:top w:w="0" w:type="dxa"/>
        <w:left w:w="0" w:type="dxa"/>
        <w:bottom w:w="0" w:type="dxa"/>
        <w:right w:w="0" w:type="dxa"/>
      </w:tblCellMar>
    </w:tblPr>
  </w:style>
  <w:style w:type="table" w:customStyle="1" w:styleId="240">
    <w:name w:val="Grid Table 6 Colorful - Accent 1"/>
    <w:basedOn w:val="58"/>
    <w:qFormat/>
    <w:uiPriority w:val="99"/>
    <w:tblPr>
      <w:tblCellMar>
        <w:top w:w="0" w:type="dxa"/>
        <w:left w:w="0" w:type="dxa"/>
        <w:bottom w:w="0" w:type="dxa"/>
        <w:right w:w="0" w:type="dxa"/>
      </w:tblCellMar>
    </w:tblPr>
  </w:style>
  <w:style w:type="table" w:customStyle="1" w:styleId="241">
    <w:name w:val="Grid Table 6 Colorful - Accent 2"/>
    <w:basedOn w:val="58"/>
    <w:qFormat/>
    <w:uiPriority w:val="99"/>
    <w:tblPr>
      <w:tblCellMar>
        <w:top w:w="0" w:type="dxa"/>
        <w:left w:w="0" w:type="dxa"/>
        <w:bottom w:w="0" w:type="dxa"/>
        <w:right w:w="0" w:type="dxa"/>
      </w:tblCellMar>
    </w:tblPr>
  </w:style>
  <w:style w:type="table" w:customStyle="1" w:styleId="242">
    <w:name w:val="Grid Table 6 Colorful - Accent 3"/>
    <w:basedOn w:val="58"/>
    <w:qFormat/>
    <w:uiPriority w:val="99"/>
    <w:tblPr>
      <w:tblCellMar>
        <w:top w:w="0" w:type="dxa"/>
        <w:left w:w="0" w:type="dxa"/>
        <w:bottom w:w="0" w:type="dxa"/>
        <w:right w:w="0" w:type="dxa"/>
      </w:tblCellMar>
    </w:tblPr>
  </w:style>
  <w:style w:type="table" w:customStyle="1" w:styleId="243">
    <w:name w:val="Grid Table 6 Colorful - Accent 4"/>
    <w:basedOn w:val="58"/>
    <w:qFormat/>
    <w:uiPriority w:val="99"/>
    <w:tblPr>
      <w:tblCellMar>
        <w:top w:w="0" w:type="dxa"/>
        <w:left w:w="0" w:type="dxa"/>
        <w:bottom w:w="0" w:type="dxa"/>
        <w:right w:w="0" w:type="dxa"/>
      </w:tblCellMar>
    </w:tblPr>
  </w:style>
  <w:style w:type="table" w:customStyle="1" w:styleId="244">
    <w:name w:val="Grid Table 6 Colorful - Accent 5"/>
    <w:basedOn w:val="58"/>
    <w:qFormat/>
    <w:uiPriority w:val="99"/>
    <w:tblPr>
      <w:tblCellMar>
        <w:top w:w="0" w:type="dxa"/>
        <w:left w:w="0" w:type="dxa"/>
        <w:bottom w:w="0" w:type="dxa"/>
        <w:right w:w="0" w:type="dxa"/>
      </w:tblCellMar>
    </w:tblPr>
  </w:style>
  <w:style w:type="table" w:customStyle="1" w:styleId="245">
    <w:name w:val="Grid Table 6 Colorful - Accent 6"/>
    <w:basedOn w:val="58"/>
    <w:qFormat/>
    <w:uiPriority w:val="99"/>
    <w:tblPr>
      <w:tblCellMar>
        <w:top w:w="0" w:type="dxa"/>
        <w:left w:w="0" w:type="dxa"/>
        <w:bottom w:w="0" w:type="dxa"/>
        <w:right w:w="0" w:type="dxa"/>
      </w:tblCellMar>
    </w:tblPr>
  </w:style>
  <w:style w:type="table" w:customStyle="1" w:styleId="246">
    <w:name w:val="Grid Table 7 Colorful - Accent 1"/>
    <w:basedOn w:val="58"/>
    <w:qFormat/>
    <w:uiPriority w:val="99"/>
    <w:tblPr>
      <w:tblCellMar>
        <w:top w:w="0" w:type="dxa"/>
        <w:left w:w="0" w:type="dxa"/>
        <w:bottom w:w="0" w:type="dxa"/>
        <w:right w:w="0" w:type="dxa"/>
      </w:tblCellMar>
    </w:tblPr>
  </w:style>
  <w:style w:type="table" w:customStyle="1" w:styleId="247">
    <w:name w:val="Grid Table 7 Colorful - Accent 2"/>
    <w:basedOn w:val="58"/>
    <w:qFormat/>
    <w:uiPriority w:val="99"/>
    <w:tblPr>
      <w:tblCellMar>
        <w:top w:w="0" w:type="dxa"/>
        <w:left w:w="0" w:type="dxa"/>
        <w:bottom w:w="0" w:type="dxa"/>
        <w:right w:w="0" w:type="dxa"/>
      </w:tblCellMar>
    </w:tblPr>
  </w:style>
  <w:style w:type="table" w:customStyle="1" w:styleId="248">
    <w:name w:val="Grid Table 7 Colorful - Accent 3"/>
    <w:basedOn w:val="58"/>
    <w:qFormat/>
    <w:uiPriority w:val="99"/>
    <w:tblPr>
      <w:tblCellMar>
        <w:top w:w="0" w:type="dxa"/>
        <w:left w:w="0" w:type="dxa"/>
        <w:bottom w:w="0" w:type="dxa"/>
        <w:right w:w="0" w:type="dxa"/>
      </w:tblCellMar>
    </w:tblPr>
  </w:style>
  <w:style w:type="table" w:customStyle="1" w:styleId="249">
    <w:name w:val="Grid Table 7 Colorful - Accent 4"/>
    <w:basedOn w:val="58"/>
    <w:qFormat/>
    <w:uiPriority w:val="99"/>
    <w:tblPr>
      <w:tblCellMar>
        <w:top w:w="0" w:type="dxa"/>
        <w:left w:w="0" w:type="dxa"/>
        <w:bottom w:w="0" w:type="dxa"/>
        <w:right w:w="0" w:type="dxa"/>
      </w:tblCellMar>
    </w:tblPr>
  </w:style>
  <w:style w:type="table" w:customStyle="1" w:styleId="250">
    <w:name w:val="Grid Table 7 Colorful - Accent 5"/>
    <w:basedOn w:val="58"/>
    <w:qFormat/>
    <w:uiPriority w:val="99"/>
    <w:tblPr>
      <w:tblCellMar>
        <w:top w:w="0" w:type="dxa"/>
        <w:left w:w="0" w:type="dxa"/>
        <w:bottom w:w="0" w:type="dxa"/>
        <w:right w:w="0" w:type="dxa"/>
      </w:tblCellMar>
    </w:tblPr>
  </w:style>
  <w:style w:type="table" w:customStyle="1" w:styleId="251">
    <w:name w:val="Grid Table 7 Colorful - Accent 6"/>
    <w:basedOn w:val="58"/>
    <w:qFormat/>
    <w:uiPriority w:val="99"/>
    <w:tblPr>
      <w:tblCellMar>
        <w:top w:w="0" w:type="dxa"/>
        <w:left w:w="0" w:type="dxa"/>
        <w:bottom w:w="0" w:type="dxa"/>
        <w:right w:w="0" w:type="dxa"/>
      </w:tblCellMar>
    </w:tblPr>
  </w:style>
  <w:style w:type="table" w:customStyle="1" w:styleId="252">
    <w:name w:val="List Table 1 Light - Accent 1"/>
    <w:basedOn w:val="58"/>
    <w:qFormat/>
    <w:uiPriority w:val="99"/>
    <w:tblPr>
      <w:tblCellMar>
        <w:top w:w="0" w:type="dxa"/>
        <w:left w:w="0" w:type="dxa"/>
        <w:bottom w:w="0" w:type="dxa"/>
        <w:right w:w="0" w:type="dxa"/>
      </w:tblCellMar>
    </w:tblPr>
  </w:style>
  <w:style w:type="table" w:customStyle="1" w:styleId="253">
    <w:name w:val="List Table 1 Light - Accent 2"/>
    <w:basedOn w:val="58"/>
    <w:qFormat/>
    <w:uiPriority w:val="99"/>
    <w:tblPr>
      <w:tblCellMar>
        <w:top w:w="0" w:type="dxa"/>
        <w:left w:w="0" w:type="dxa"/>
        <w:bottom w:w="0" w:type="dxa"/>
        <w:right w:w="0" w:type="dxa"/>
      </w:tblCellMar>
    </w:tblPr>
  </w:style>
  <w:style w:type="table" w:customStyle="1" w:styleId="254">
    <w:name w:val="List Table 1 Light - Accent 3"/>
    <w:basedOn w:val="58"/>
    <w:qFormat/>
    <w:uiPriority w:val="99"/>
    <w:tblPr>
      <w:tblCellMar>
        <w:top w:w="0" w:type="dxa"/>
        <w:left w:w="0" w:type="dxa"/>
        <w:bottom w:w="0" w:type="dxa"/>
        <w:right w:w="0" w:type="dxa"/>
      </w:tblCellMar>
    </w:tblPr>
  </w:style>
  <w:style w:type="table" w:customStyle="1" w:styleId="255">
    <w:name w:val="List Table 1 Light - Accent 4"/>
    <w:basedOn w:val="58"/>
    <w:qFormat/>
    <w:uiPriority w:val="99"/>
    <w:tblPr>
      <w:tblCellMar>
        <w:top w:w="0" w:type="dxa"/>
        <w:left w:w="0" w:type="dxa"/>
        <w:bottom w:w="0" w:type="dxa"/>
        <w:right w:w="0" w:type="dxa"/>
      </w:tblCellMar>
    </w:tblPr>
  </w:style>
  <w:style w:type="table" w:customStyle="1" w:styleId="256">
    <w:name w:val="List Table 1 Light - Accent 5"/>
    <w:basedOn w:val="58"/>
    <w:qFormat/>
    <w:uiPriority w:val="99"/>
    <w:tblPr>
      <w:tblCellMar>
        <w:top w:w="0" w:type="dxa"/>
        <w:left w:w="0" w:type="dxa"/>
        <w:bottom w:w="0" w:type="dxa"/>
        <w:right w:w="0" w:type="dxa"/>
      </w:tblCellMar>
    </w:tblPr>
  </w:style>
  <w:style w:type="table" w:customStyle="1" w:styleId="257">
    <w:name w:val="List Table 1 Light - Accent 6"/>
    <w:basedOn w:val="58"/>
    <w:qFormat/>
    <w:uiPriority w:val="99"/>
    <w:tblPr>
      <w:tblCellMar>
        <w:top w:w="0" w:type="dxa"/>
        <w:left w:w="0" w:type="dxa"/>
        <w:bottom w:w="0" w:type="dxa"/>
        <w:right w:w="0" w:type="dxa"/>
      </w:tblCellMar>
    </w:tblPr>
  </w:style>
  <w:style w:type="table" w:customStyle="1" w:styleId="258">
    <w:name w:val="List Table 2 - Accent 1"/>
    <w:basedOn w:val="58"/>
    <w:qFormat/>
    <w:uiPriority w:val="99"/>
    <w:tblPr>
      <w:tblCellMar>
        <w:top w:w="0" w:type="dxa"/>
        <w:left w:w="0" w:type="dxa"/>
        <w:bottom w:w="0" w:type="dxa"/>
        <w:right w:w="0" w:type="dxa"/>
      </w:tblCellMar>
    </w:tblPr>
  </w:style>
  <w:style w:type="table" w:customStyle="1" w:styleId="259">
    <w:name w:val="List Table 2 - Accent 2"/>
    <w:basedOn w:val="58"/>
    <w:qFormat/>
    <w:uiPriority w:val="99"/>
    <w:tblPr>
      <w:tblCellMar>
        <w:top w:w="0" w:type="dxa"/>
        <w:left w:w="0" w:type="dxa"/>
        <w:bottom w:w="0" w:type="dxa"/>
        <w:right w:w="0" w:type="dxa"/>
      </w:tblCellMar>
    </w:tblPr>
  </w:style>
  <w:style w:type="table" w:customStyle="1" w:styleId="260">
    <w:name w:val="List Table 2 - Accent 3"/>
    <w:basedOn w:val="58"/>
    <w:qFormat/>
    <w:uiPriority w:val="99"/>
    <w:tblPr>
      <w:tblCellMar>
        <w:top w:w="0" w:type="dxa"/>
        <w:left w:w="0" w:type="dxa"/>
        <w:bottom w:w="0" w:type="dxa"/>
        <w:right w:w="0" w:type="dxa"/>
      </w:tblCellMar>
    </w:tblPr>
  </w:style>
  <w:style w:type="table" w:customStyle="1" w:styleId="261">
    <w:name w:val="List Table 2 - Accent 4"/>
    <w:basedOn w:val="58"/>
    <w:qFormat/>
    <w:uiPriority w:val="99"/>
    <w:tblPr>
      <w:tblCellMar>
        <w:top w:w="0" w:type="dxa"/>
        <w:left w:w="0" w:type="dxa"/>
        <w:bottom w:w="0" w:type="dxa"/>
        <w:right w:w="0" w:type="dxa"/>
      </w:tblCellMar>
    </w:tblPr>
  </w:style>
  <w:style w:type="table" w:customStyle="1" w:styleId="262">
    <w:name w:val="List Table 2 - Accent 5"/>
    <w:basedOn w:val="58"/>
    <w:qFormat/>
    <w:uiPriority w:val="99"/>
    <w:tblPr>
      <w:tblCellMar>
        <w:top w:w="0" w:type="dxa"/>
        <w:left w:w="0" w:type="dxa"/>
        <w:bottom w:w="0" w:type="dxa"/>
        <w:right w:w="0" w:type="dxa"/>
      </w:tblCellMar>
    </w:tblPr>
  </w:style>
  <w:style w:type="table" w:customStyle="1" w:styleId="263">
    <w:name w:val="List Table 2 - Accent 6"/>
    <w:basedOn w:val="58"/>
    <w:qFormat/>
    <w:uiPriority w:val="99"/>
    <w:tblPr>
      <w:tblCellMar>
        <w:top w:w="0" w:type="dxa"/>
        <w:left w:w="0" w:type="dxa"/>
        <w:bottom w:w="0" w:type="dxa"/>
        <w:right w:w="0" w:type="dxa"/>
      </w:tblCellMar>
    </w:tblPr>
  </w:style>
  <w:style w:type="table" w:customStyle="1" w:styleId="264">
    <w:name w:val="List Table 3 - Accent 1"/>
    <w:basedOn w:val="58"/>
    <w:qFormat/>
    <w:uiPriority w:val="99"/>
    <w:tblPr>
      <w:tblCellMar>
        <w:top w:w="0" w:type="dxa"/>
        <w:left w:w="0" w:type="dxa"/>
        <w:bottom w:w="0" w:type="dxa"/>
        <w:right w:w="0" w:type="dxa"/>
      </w:tblCellMar>
    </w:tblPr>
  </w:style>
  <w:style w:type="table" w:customStyle="1" w:styleId="265">
    <w:name w:val="List Table 3 - Accent 2"/>
    <w:basedOn w:val="58"/>
    <w:qFormat/>
    <w:uiPriority w:val="99"/>
    <w:tblPr>
      <w:tblCellMar>
        <w:top w:w="0" w:type="dxa"/>
        <w:left w:w="0" w:type="dxa"/>
        <w:bottom w:w="0" w:type="dxa"/>
        <w:right w:w="0" w:type="dxa"/>
      </w:tblCellMar>
    </w:tblPr>
  </w:style>
  <w:style w:type="table" w:customStyle="1" w:styleId="266">
    <w:name w:val="List Table 3 - Accent 3"/>
    <w:basedOn w:val="58"/>
    <w:qFormat/>
    <w:uiPriority w:val="99"/>
    <w:tblPr>
      <w:tblCellMar>
        <w:top w:w="0" w:type="dxa"/>
        <w:left w:w="0" w:type="dxa"/>
        <w:bottom w:w="0" w:type="dxa"/>
        <w:right w:w="0" w:type="dxa"/>
      </w:tblCellMar>
    </w:tblPr>
  </w:style>
  <w:style w:type="table" w:customStyle="1" w:styleId="267">
    <w:name w:val="List Table 3 - Accent 4"/>
    <w:basedOn w:val="58"/>
    <w:qFormat/>
    <w:uiPriority w:val="99"/>
    <w:tblPr>
      <w:tblCellMar>
        <w:top w:w="0" w:type="dxa"/>
        <w:left w:w="0" w:type="dxa"/>
        <w:bottom w:w="0" w:type="dxa"/>
        <w:right w:w="0" w:type="dxa"/>
      </w:tblCellMar>
    </w:tblPr>
  </w:style>
  <w:style w:type="table" w:customStyle="1" w:styleId="268">
    <w:name w:val="List Table 3 - Accent 5"/>
    <w:basedOn w:val="58"/>
    <w:qFormat/>
    <w:uiPriority w:val="99"/>
    <w:tblPr>
      <w:tblCellMar>
        <w:top w:w="0" w:type="dxa"/>
        <w:left w:w="0" w:type="dxa"/>
        <w:bottom w:w="0" w:type="dxa"/>
        <w:right w:w="0" w:type="dxa"/>
      </w:tblCellMar>
    </w:tblPr>
  </w:style>
  <w:style w:type="table" w:customStyle="1" w:styleId="269">
    <w:name w:val="List Table 3 - Accent 6"/>
    <w:basedOn w:val="58"/>
    <w:qFormat/>
    <w:uiPriority w:val="99"/>
    <w:tblPr>
      <w:tblCellMar>
        <w:top w:w="0" w:type="dxa"/>
        <w:left w:w="0" w:type="dxa"/>
        <w:bottom w:w="0" w:type="dxa"/>
        <w:right w:w="0" w:type="dxa"/>
      </w:tblCellMar>
    </w:tblPr>
  </w:style>
  <w:style w:type="table" w:customStyle="1" w:styleId="270">
    <w:name w:val="List Table 4 - Accent 1"/>
    <w:basedOn w:val="58"/>
    <w:qFormat/>
    <w:uiPriority w:val="99"/>
    <w:tblPr>
      <w:tblCellMar>
        <w:top w:w="0" w:type="dxa"/>
        <w:left w:w="0" w:type="dxa"/>
        <w:bottom w:w="0" w:type="dxa"/>
        <w:right w:w="0" w:type="dxa"/>
      </w:tblCellMar>
    </w:tblPr>
  </w:style>
  <w:style w:type="table" w:customStyle="1" w:styleId="271">
    <w:name w:val="List Table 4 - Accent 2"/>
    <w:basedOn w:val="58"/>
    <w:qFormat/>
    <w:uiPriority w:val="99"/>
    <w:tblPr>
      <w:tblCellMar>
        <w:top w:w="0" w:type="dxa"/>
        <w:left w:w="0" w:type="dxa"/>
        <w:bottom w:w="0" w:type="dxa"/>
        <w:right w:w="0" w:type="dxa"/>
      </w:tblCellMar>
    </w:tblPr>
  </w:style>
  <w:style w:type="table" w:customStyle="1" w:styleId="272">
    <w:name w:val="List Table 4 - Accent 3"/>
    <w:basedOn w:val="58"/>
    <w:qFormat/>
    <w:uiPriority w:val="99"/>
    <w:tblPr>
      <w:tblCellMar>
        <w:top w:w="0" w:type="dxa"/>
        <w:left w:w="0" w:type="dxa"/>
        <w:bottom w:w="0" w:type="dxa"/>
        <w:right w:w="0" w:type="dxa"/>
      </w:tblCellMar>
    </w:tblPr>
  </w:style>
  <w:style w:type="table" w:customStyle="1" w:styleId="273">
    <w:name w:val="List Table 4 - Accent 4"/>
    <w:basedOn w:val="58"/>
    <w:qFormat/>
    <w:uiPriority w:val="99"/>
    <w:tblPr>
      <w:tblCellMar>
        <w:top w:w="0" w:type="dxa"/>
        <w:left w:w="0" w:type="dxa"/>
        <w:bottom w:w="0" w:type="dxa"/>
        <w:right w:w="0" w:type="dxa"/>
      </w:tblCellMar>
    </w:tblPr>
  </w:style>
  <w:style w:type="table" w:customStyle="1" w:styleId="274">
    <w:name w:val="List Table 4 - Accent 5"/>
    <w:basedOn w:val="58"/>
    <w:qFormat/>
    <w:uiPriority w:val="99"/>
    <w:tblPr>
      <w:tblCellMar>
        <w:top w:w="0" w:type="dxa"/>
        <w:left w:w="0" w:type="dxa"/>
        <w:bottom w:w="0" w:type="dxa"/>
        <w:right w:w="0" w:type="dxa"/>
      </w:tblCellMar>
    </w:tblPr>
  </w:style>
  <w:style w:type="table" w:customStyle="1" w:styleId="275">
    <w:name w:val="List Table 4 - Accent 6"/>
    <w:basedOn w:val="58"/>
    <w:qFormat/>
    <w:uiPriority w:val="99"/>
    <w:tblPr>
      <w:tblCellMar>
        <w:top w:w="0" w:type="dxa"/>
        <w:left w:w="0" w:type="dxa"/>
        <w:bottom w:w="0" w:type="dxa"/>
        <w:right w:w="0" w:type="dxa"/>
      </w:tblCellMar>
    </w:tblPr>
  </w:style>
  <w:style w:type="table" w:customStyle="1" w:styleId="276">
    <w:name w:val="List Table 5 Dark - Accent 1"/>
    <w:basedOn w:val="58"/>
    <w:qFormat/>
    <w:uiPriority w:val="99"/>
    <w:tblPr>
      <w:tblCellMar>
        <w:top w:w="0" w:type="dxa"/>
        <w:left w:w="0" w:type="dxa"/>
        <w:bottom w:w="0" w:type="dxa"/>
        <w:right w:w="0" w:type="dxa"/>
      </w:tblCellMar>
    </w:tblPr>
  </w:style>
  <w:style w:type="table" w:customStyle="1" w:styleId="277">
    <w:name w:val="List Table 5 Dark - Accent 2"/>
    <w:basedOn w:val="58"/>
    <w:qFormat/>
    <w:uiPriority w:val="99"/>
    <w:tblPr>
      <w:tblCellMar>
        <w:top w:w="0" w:type="dxa"/>
        <w:left w:w="0" w:type="dxa"/>
        <w:bottom w:w="0" w:type="dxa"/>
        <w:right w:w="0" w:type="dxa"/>
      </w:tblCellMar>
    </w:tblPr>
  </w:style>
  <w:style w:type="table" w:customStyle="1" w:styleId="278">
    <w:name w:val="List Table 5 Dark - Accent 3"/>
    <w:basedOn w:val="58"/>
    <w:qFormat/>
    <w:uiPriority w:val="99"/>
    <w:tblPr>
      <w:tblCellMar>
        <w:top w:w="0" w:type="dxa"/>
        <w:left w:w="0" w:type="dxa"/>
        <w:bottom w:w="0" w:type="dxa"/>
        <w:right w:w="0" w:type="dxa"/>
      </w:tblCellMar>
    </w:tblPr>
  </w:style>
  <w:style w:type="table" w:customStyle="1" w:styleId="279">
    <w:name w:val="List Table 5 Dark - Accent 4"/>
    <w:basedOn w:val="58"/>
    <w:qFormat/>
    <w:uiPriority w:val="99"/>
    <w:tblPr>
      <w:tblCellMar>
        <w:top w:w="0" w:type="dxa"/>
        <w:left w:w="0" w:type="dxa"/>
        <w:bottom w:w="0" w:type="dxa"/>
        <w:right w:w="0" w:type="dxa"/>
      </w:tblCellMar>
    </w:tblPr>
  </w:style>
  <w:style w:type="table" w:customStyle="1" w:styleId="280">
    <w:name w:val="List Table 5 Dark - Accent 5"/>
    <w:basedOn w:val="58"/>
    <w:qFormat/>
    <w:uiPriority w:val="99"/>
    <w:tblPr>
      <w:tblCellMar>
        <w:top w:w="0" w:type="dxa"/>
        <w:left w:w="0" w:type="dxa"/>
        <w:bottom w:w="0" w:type="dxa"/>
        <w:right w:w="0" w:type="dxa"/>
      </w:tblCellMar>
    </w:tblPr>
  </w:style>
  <w:style w:type="table" w:customStyle="1" w:styleId="281">
    <w:name w:val="List Table 5 Dark - Accent 6"/>
    <w:basedOn w:val="58"/>
    <w:qFormat/>
    <w:uiPriority w:val="99"/>
    <w:tblPr>
      <w:tblCellMar>
        <w:top w:w="0" w:type="dxa"/>
        <w:left w:w="0" w:type="dxa"/>
        <w:bottom w:w="0" w:type="dxa"/>
        <w:right w:w="0" w:type="dxa"/>
      </w:tblCellMar>
    </w:tblPr>
  </w:style>
  <w:style w:type="table" w:customStyle="1" w:styleId="282">
    <w:name w:val="List Table 6 Colorful - Accent 1"/>
    <w:basedOn w:val="58"/>
    <w:qFormat/>
    <w:uiPriority w:val="99"/>
    <w:tblPr>
      <w:tblCellMar>
        <w:top w:w="0" w:type="dxa"/>
        <w:left w:w="0" w:type="dxa"/>
        <w:bottom w:w="0" w:type="dxa"/>
        <w:right w:w="0" w:type="dxa"/>
      </w:tblCellMar>
    </w:tblPr>
  </w:style>
  <w:style w:type="table" w:customStyle="1" w:styleId="283">
    <w:name w:val="List Table 6 Colorful - Accent 2"/>
    <w:basedOn w:val="58"/>
    <w:qFormat/>
    <w:uiPriority w:val="99"/>
    <w:tblPr>
      <w:tblCellMar>
        <w:top w:w="0" w:type="dxa"/>
        <w:left w:w="0" w:type="dxa"/>
        <w:bottom w:w="0" w:type="dxa"/>
        <w:right w:w="0" w:type="dxa"/>
      </w:tblCellMar>
    </w:tblPr>
  </w:style>
  <w:style w:type="table" w:customStyle="1" w:styleId="284">
    <w:name w:val="List Table 6 Colorful - Accent 3"/>
    <w:basedOn w:val="58"/>
    <w:qFormat/>
    <w:uiPriority w:val="99"/>
    <w:tblPr>
      <w:tblCellMar>
        <w:top w:w="0" w:type="dxa"/>
        <w:left w:w="0" w:type="dxa"/>
        <w:bottom w:w="0" w:type="dxa"/>
        <w:right w:w="0" w:type="dxa"/>
      </w:tblCellMar>
    </w:tblPr>
  </w:style>
  <w:style w:type="table" w:customStyle="1" w:styleId="285">
    <w:name w:val="List Table 6 Colorful - Accent 4"/>
    <w:basedOn w:val="58"/>
    <w:qFormat/>
    <w:uiPriority w:val="99"/>
    <w:tblPr>
      <w:tblCellMar>
        <w:top w:w="0" w:type="dxa"/>
        <w:left w:w="0" w:type="dxa"/>
        <w:bottom w:w="0" w:type="dxa"/>
        <w:right w:w="0" w:type="dxa"/>
      </w:tblCellMar>
    </w:tblPr>
  </w:style>
  <w:style w:type="table" w:customStyle="1" w:styleId="286">
    <w:name w:val="List Table 6 Colorful - Accent 5"/>
    <w:basedOn w:val="58"/>
    <w:qFormat/>
    <w:uiPriority w:val="99"/>
    <w:tblPr>
      <w:tblCellMar>
        <w:top w:w="0" w:type="dxa"/>
        <w:left w:w="0" w:type="dxa"/>
        <w:bottom w:w="0" w:type="dxa"/>
        <w:right w:w="0" w:type="dxa"/>
      </w:tblCellMar>
    </w:tblPr>
  </w:style>
  <w:style w:type="table" w:customStyle="1" w:styleId="287">
    <w:name w:val="List Table 6 Colorful - Accent 6"/>
    <w:basedOn w:val="58"/>
    <w:qFormat/>
    <w:uiPriority w:val="99"/>
    <w:tblPr>
      <w:tblCellMar>
        <w:top w:w="0" w:type="dxa"/>
        <w:left w:w="0" w:type="dxa"/>
        <w:bottom w:w="0" w:type="dxa"/>
        <w:right w:w="0" w:type="dxa"/>
      </w:tblCellMar>
    </w:tblPr>
  </w:style>
  <w:style w:type="table" w:customStyle="1" w:styleId="288">
    <w:name w:val="List Table 7 Colorful - Accent 1"/>
    <w:basedOn w:val="58"/>
    <w:qFormat/>
    <w:uiPriority w:val="99"/>
    <w:tblPr>
      <w:tblCellMar>
        <w:top w:w="0" w:type="dxa"/>
        <w:left w:w="0" w:type="dxa"/>
        <w:bottom w:w="0" w:type="dxa"/>
        <w:right w:w="0" w:type="dxa"/>
      </w:tblCellMar>
    </w:tblPr>
  </w:style>
  <w:style w:type="table" w:customStyle="1" w:styleId="289">
    <w:name w:val="List Table 7 Colorful - Accent 2"/>
    <w:basedOn w:val="58"/>
    <w:qFormat/>
    <w:uiPriority w:val="99"/>
    <w:tblPr>
      <w:tblCellMar>
        <w:top w:w="0" w:type="dxa"/>
        <w:left w:w="0" w:type="dxa"/>
        <w:bottom w:w="0" w:type="dxa"/>
        <w:right w:w="0" w:type="dxa"/>
      </w:tblCellMar>
    </w:tblPr>
  </w:style>
  <w:style w:type="table" w:customStyle="1" w:styleId="290">
    <w:name w:val="List Table 7 Colorful - Accent 3"/>
    <w:basedOn w:val="58"/>
    <w:qFormat/>
    <w:uiPriority w:val="99"/>
    <w:tblPr>
      <w:tblCellMar>
        <w:top w:w="0" w:type="dxa"/>
        <w:left w:w="0" w:type="dxa"/>
        <w:bottom w:w="0" w:type="dxa"/>
        <w:right w:w="0" w:type="dxa"/>
      </w:tblCellMar>
    </w:tblPr>
  </w:style>
  <w:style w:type="table" w:customStyle="1" w:styleId="291">
    <w:name w:val="List Table 7 Colorful - Accent 4"/>
    <w:basedOn w:val="58"/>
    <w:qFormat/>
    <w:uiPriority w:val="99"/>
    <w:tblPr>
      <w:tblCellMar>
        <w:top w:w="0" w:type="dxa"/>
        <w:left w:w="0" w:type="dxa"/>
        <w:bottom w:w="0" w:type="dxa"/>
        <w:right w:w="0" w:type="dxa"/>
      </w:tblCellMar>
    </w:tblPr>
  </w:style>
  <w:style w:type="table" w:customStyle="1" w:styleId="292">
    <w:name w:val="List Table 7 Colorful - Accent 5"/>
    <w:basedOn w:val="58"/>
    <w:qFormat/>
    <w:uiPriority w:val="99"/>
    <w:tblPr>
      <w:tblCellMar>
        <w:top w:w="0" w:type="dxa"/>
        <w:left w:w="0" w:type="dxa"/>
        <w:bottom w:w="0" w:type="dxa"/>
        <w:right w:w="0" w:type="dxa"/>
      </w:tblCellMar>
    </w:tblPr>
  </w:style>
  <w:style w:type="table" w:customStyle="1" w:styleId="293">
    <w:name w:val="List Table 7 Colorful - Accent 6"/>
    <w:basedOn w:val="58"/>
    <w:qFormat/>
    <w:uiPriority w:val="99"/>
    <w:tblPr>
      <w:tblCellMar>
        <w:top w:w="0" w:type="dxa"/>
        <w:left w:w="0" w:type="dxa"/>
        <w:bottom w:w="0" w:type="dxa"/>
        <w:right w:w="0" w:type="dxa"/>
      </w:tblCellMar>
    </w:tblPr>
  </w:style>
  <w:style w:type="table" w:customStyle="1" w:styleId="294">
    <w:name w:val="Lined - Accent"/>
    <w:basedOn w:val="58"/>
    <w:qFormat/>
    <w:uiPriority w:val="99"/>
    <w:rPr>
      <w:color w:val="404040"/>
    </w:rPr>
    <w:tblPr>
      <w:tblCellMar>
        <w:top w:w="0" w:type="dxa"/>
        <w:left w:w="0" w:type="dxa"/>
        <w:bottom w:w="0" w:type="dxa"/>
        <w:right w:w="0" w:type="dxa"/>
      </w:tblCellMar>
    </w:tblPr>
  </w:style>
  <w:style w:type="table" w:customStyle="1" w:styleId="295">
    <w:name w:val="Lined - Accent 1"/>
    <w:basedOn w:val="58"/>
    <w:qFormat/>
    <w:uiPriority w:val="99"/>
    <w:rPr>
      <w:color w:val="404040"/>
    </w:rPr>
    <w:tblPr>
      <w:tblCellMar>
        <w:top w:w="0" w:type="dxa"/>
        <w:left w:w="0" w:type="dxa"/>
        <w:bottom w:w="0" w:type="dxa"/>
        <w:right w:w="0" w:type="dxa"/>
      </w:tblCellMar>
    </w:tblPr>
  </w:style>
  <w:style w:type="table" w:customStyle="1" w:styleId="296">
    <w:name w:val="Lined - Accent 2"/>
    <w:basedOn w:val="58"/>
    <w:qFormat/>
    <w:uiPriority w:val="99"/>
    <w:rPr>
      <w:color w:val="404040"/>
    </w:rPr>
    <w:tblPr>
      <w:tblCellMar>
        <w:top w:w="0" w:type="dxa"/>
        <w:left w:w="0" w:type="dxa"/>
        <w:bottom w:w="0" w:type="dxa"/>
        <w:right w:w="0" w:type="dxa"/>
      </w:tblCellMar>
    </w:tblPr>
  </w:style>
  <w:style w:type="table" w:customStyle="1" w:styleId="297">
    <w:name w:val="Lined - Accent 3"/>
    <w:basedOn w:val="58"/>
    <w:qFormat/>
    <w:uiPriority w:val="99"/>
    <w:rPr>
      <w:color w:val="404040"/>
    </w:rPr>
    <w:tblPr>
      <w:tblCellMar>
        <w:top w:w="0" w:type="dxa"/>
        <w:left w:w="0" w:type="dxa"/>
        <w:bottom w:w="0" w:type="dxa"/>
        <w:right w:w="0" w:type="dxa"/>
      </w:tblCellMar>
    </w:tblPr>
  </w:style>
  <w:style w:type="table" w:customStyle="1" w:styleId="298">
    <w:name w:val="Lined - Accent 4"/>
    <w:basedOn w:val="58"/>
    <w:qFormat/>
    <w:uiPriority w:val="99"/>
    <w:rPr>
      <w:color w:val="404040"/>
    </w:rPr>
    <w:tblPr>
      <w:tblCellMar>
        <w:top w:w="0" w:type="dxa"/>
        <w:left w:w="0" w:type="dxa"/>
        <w:bottom w:w="0" w:type="dxa"/>
        <w:right w:w="0" w:type="dxa"/>
      </w:tblCellMar>
    </w:tblPr>
  </w:style>
  <w:style w:type="table" w:customStyle="1" w:styleId="299">
    <w:name w:val="Lined - Accent 5"/>
    <w:basedOn w:val="58"/>
    <w:qFormat/>
    <w:uiPriority w:val="99"/>
    <w:rPr>
      <w:color w:val="404040"/>
    </w:rPr>
    <w:tblPr>
      <w:tblCellMar>
        <w:top w:w="0" w:type="dxa"/>
        <w:left w:w="0" w:type="dxa"/>
        <w:bottom w:w="0" w:type="dxa"/>
        <w:right w:w="0" w:type="dxa"/>
      </w:tblCellMar>
    </w:tblPr>
  </w:style>
  <w:style w:type="table" w:customStyle="1" w:styleId="300">
    <w:name w:val="Lined - Accent 6"/>
    <w:basedOn w:val="58"/>
    <w:qFormat/>
    <w:uiPriority w:val="99"/>
    <w:rPr>
      <w:color w:val="404040"/>
    </w:rPr>
    <w:tblPr>
      <w:tblCellMar>
        <w:top w:w="0" w:type="dxa"/>
        <w:left w:w="0" w:type="dxa"/>
        <w:bottom w:w="0" w:type="dxa"/>
        <w:right w:w="0" w:type="dxa"/>
      </w:tblCellMar>
    </w:tblPr>
  </w:style>
  <w:style w:type="table" w:customStyle="1" w:styleId="301">
    <w:name w:val="Bordered &amp; Lined - Accent"/>
    <w:basedOn w:val="58"/>
    <w:qFormat/>
    <w:uiPriority w:val="99"/>
    <w:rPr>
      <w:color w:val="404040"/>
    </w:rPr>
    <w:tblPr>
      <w:tblCellMar>
        <w:top w:w="0" w:type="dxa"/>
        <w:left w:w="0" w:type="dxa"/>
        <w:bottom w:w="0" w:type="dxa"/>
        <w:right w:w="0" w:type="dxa"/>
      </w:tblCellMar>
    </w:tblPr>
  </w:style>
  <w:style w:type="table" w:customStyle="1" w:styleId="302">
    <w:name w:val="Bordered &amp; Lined - Accent 1"/>
    <w:basedOn w:val="58"/>
    <w:qFormat/>
    <w:uiPriority w:val="99"/>
    <w:rPr>
      <w:color w:val="404040"/>
    </w:rPr>
    <w:tblPr>
      <w:tblCellMar>
        <w:top w:w="0" w:type="dxa"/>
        <w:left w:w="0" w:type="dxa"/>
        <w:bottom w:w="0" w:type="dxa"/>
        <w:right w:w="0" w:type="dxa"/>
      </w:tblCellMar>
    </w:tblPr>
  </w:style>
  <w:style w:type="table" w:customStyle="1" w:styleId="303">
    <w:name w:val="Bordered &amp; Lined - Accent 2"/>
    <w:basedOn w:val="58"/>
    <w:qFormat/>
    <w:uiPriority w:val="99"/>
    <w:rPr>
      <w:color w:val="404040"/>
    </w:rPr>
    <w:tblPr>
      <w:tblCellMar>
        <w:top w:w="0" w:type="dxa"/>
        <w:left w:w="0" w:type="dxa"/>
        <w:bottom w:w="0" w:type="dxa"/>
        <w:right w:w="0" w:type="dxa"/>
      </w:tblCellMar>
    </w:tblPr>
  </w:style>
  <w:style w:type="table" w:customStyle="1" w:styleId="304">
    <w:name w:val="Bordered &amp; Lined - Accent 3"/>
    <w:basedOn w:val="58"/>
    <w:qFormat/>
    <w:uiPriority w:val="99"/>
    <w:rPr>
      <w:color w:val="404040"/>
    </w:rPr>
    <w:tblPr>
      <w:tblCellMar>
        <w:top w:w="0" w:type="dxa"/>
        <w:left w:w="0" w:type="dxa"/>
        <w:bottom w:w="0" w:type="dxa"/>
        <w:right w:w="0" w:type="dxa"/>
      </w:tblCellMar>
    </w:tblPr>
  </w:style>
  <w:style w:type="table" w:customStyle="1" w:styleId="305">
    <w:name w:val="Bordered &amp; Lined - Accent 4"/>
    <w:basedOn w:val="58"/>
    <w:qFormat/>
    <w:uiPriority w:val="99"/>
    <w:rPr>
      <w:color w:val="404040"/>
    </w:rPr>
    <w:tblPr>
      <w:tblCellMar>
        <w:top w:w="0" w:type="dxa"/>
        <w:left w:w="0" w:type="dxa"/>
        <w:bottom w:w="0" w:type="dxa"/>
        <w:right w:w="0" w:type="dxa"/>
      </w:tblCellMar>
    </w:tblPr>
  </w:style>
  <w:style w:type="table" w:customStyle="1" w:styleId="306">
    <w:name w:val="Bordered &amp; Lined - Accent 5"/>
    <w:basedOn w:val="58"/>
    <w:qFormat/>
    <w:uiPriority w:val="99"/>
    <w:rPr>
      <w:color w:val="404040"/>
    </w:rPr>
    <w:tblPr>
      <w:tblCellMar>
        <w:top w:w="0" w:type="dxa"/>
        <w:left w:w="0" w:type="dxa"/>
        <w:bottom w:w="0" w:type="dxa"/>
        <w:right w:w="0" w:type="dxa"/>
      </w:tblCellMar>
    </w:tblPr>
  </w:style>
  <w:style w:type="table" w:customStyle="1" w:styleId="307">
    <w:name w:val="Bordered &amp; Lined - Accent 6"/>
    <w:basedOn w:val="58"/>
    <w:qFormat/>
    <w:uiPriority w:val="99"/>
    <w:rPr>
      <w:color w:val="404040"/>
    </w:rPr>
    <w:tblPr>
      <w:tblCellMar>
        <w:top w:w="0" w:type="dxa"/>
        <w:left w:w="0" w:type="dxa"/>
        <w:bottom w:w="0" w:type="dxa"/>
        <w:right w:w="0" w:type="dxa"/>
      </w:tblCellMar>
    </w:tblPr>
  </w:style>
  <w:style w:type="table" w:customStyle="1" w:styleId="308">
    <w:name w:val="Bordered"/>
    <w:basedOn w:val="58"/>
    <w:qFormat/>
    <w:uiPriority w:val="99"/>
    <w:tblPr>
      <w:tblCellMar>
        <w:top w:w="0" w:type="dxa"/>
        <w:left w:w="0" w:type="dxa"/>
        <w:bottom w:w="0" w:type="dxa"/>
        <w:right w:w="0" w:type="dxa"/>
      </w:tblCellMar>
    </w:tblPr>
  </w:style>
  <w:style w:type="table" w:customStyle="1" w:styleId="309">
    <w:name w:val="Bordered - Accent 1"/>
    <w:basedOn w:val="58"/>
    <w:qFormat/>
    <w:uiPriority w:val="99"/>
    <w:tblPr>
      <w:tblCellMar>
        <w:top w:w="0" w:type="dxa"/>
        <w:left w:w="0" w:type="dxa"/>
        <w:bottom w:w="0" w:type="dxa"/>
        <w:right w:w="0" w:type="dxa"/>
      </w:tblCellMar>
    </w:tblPr>
  </w:style>
  <w:style w:type="table" w:customStyle="1" w:styleId="310">
    <w:name w:val="Bordered - Accent 2"/>
    <w:basedOn w:val="58"/>
    <w:qFormat/>
    <w:uiPriority w:val="99"/>
    <w:tblPr>
      <w:tblCellMar>
        <w:top w:w="0" w:type="dxa"/>
        <w:left w:w="0" w:type="dxa"/>
        <w:bottom w:w="0" w:type="dxa"/>
        <w:right w:w="0" w:type="dxa"/>
      </w:tblCellMar>
    </w:tblPr>
  </w:style>
  <w:style w:type="table" w:customStyle="1" w:styleId="311">
    <w:name w:val="Bordered - Accent 3"/>
    <w:basedOn w:val="58"/>
    <w:qFormat/>
    <w:uiPriority w:val="99"/>
    <w:tblPr>
      <w:tblCellMar>
        <w:top w:w="0" w:type="dxa"/>
        <w:left w:w="0" w:type="dxa"/>
        <w:bottom w:w="0" w:type="dxa"/>
        <w:right w:w="0" w:type="dxa"/>
      </w:tblCellMar>
    </w:tblPr>
  </w:style>
  <w:style w:type="table" w:customStyle="1" w:styleId="312">
    <w:name w:val="Bordered - Accent 4"/>
    <w:basedOn w:val="58"/>
    <w:qFormat/>
    <w:uiPriority w:val="99"/>
    <w:tblPr>
      <w:tblCellMar>
        <w:top w:w="0" w:type="dxa"/>
        <w:left w:w="0" w:type="dxa"/>
        <w:bottom w:w="0" w:type="dxa"/>
        <w:right w:w="0" w:type="dxa"/>
      </w:tblCellMar>
    </w:tblPr>
  </w:style>
  <w:style w:type="table" w:customStyle="1" w:styleId="313">
    <w:name w:val="Bordered - Accent 5"/>
    <w:basedOn w:val="58"/>
    <w:qFormat/>
    <w:uiPriority w:val="99"/>
    <w:tblPr>
      <w:tblCellMar>
        <w:top w:w="0" w:type="dxa"/>
        <w:left w:w="0" w:type="dxa"/>
        <w:bottom w:w="0" w:type="dxa"/>
        <w:right w:w="0" w:type="dxa"/>
      </w:tblCellMar>
    </w:tblPr>
  </w:style>
  <w:style w:type="table" w:customStyle="1" w:styleId="314">
    <w:name w:val="Bordered - Accent 6"/>
    <w:basedOn w:val="58"/>
    <w:qFormat/>
    <w:uiPriority w:val="99"/>
    <w:tblPr>
      <w:tblCellMar>
        <w:top w:w="0" w:type="dxa"/>
        <w:left w:w="0" w:type="dxa"/>
        <w:bottom w:w="0" w:type="dxa"/>
        <w:right w:w="0" w:type="dxa"/>
      </w:tblCellMar>
    </w:tblPr>
  </w:style>
  <w:style w:type="paragraph" w:customStyle="1" w:styleId="315">
    <w:name w:val="TOC 标题11"/>
    <w:unhideWhenUsed/>
    <w:qFormat/>
    <w:uiPriority w:val="39"/>
    <w:rPr>
      <w:rFonts w:ascii="Times New Roman" w:hAnsi="Times New Roman" w:eastAsia="宋体" w:cs="Times New Roman"/>
      <w:lang w:val="en-US" w:eastAsia="zh-CN" w:bidi="ar-SA"/>
    </w:rPr>
  </w:style>
  <w:style w:type="paragraph" w:customStyle="1" w:styleId="316">
    <w:name w:val="Normal_0"/>
    <w:qFormat/>
    <w:uiPriority w:val="0"/>
    <w:rPr>
      <w:rFonts w:ascii="黑体" w:hAnsi="黑体" w:eastAsia="黑体" w:cs="Times New Roman"/>
      <w:b/>
      <w:sz w:val="32"/>
      <w:szCs w:val="24"/>
      <w:lang w:val="en-US" w:eastAsia="zh-CN" w:bidi="ar-SA"/>
    </w:rPr>
  </w:style>
  <w:style w:type="paragraph" w:customStyle="1" w:styleId="317">
    <w:name w:val="正文1"/>
    <w:next w:val="49"/>
    <w:qFormat/>
    <w:uiPriority w:val="0"/>
    <w:rPr>
      <w:rFonts w:ascii="Times New Roman" w:hAnsi="Times New Roman" w:eastAsia="Times New Roman" w:cs="Times New Roman"/>
      <w:sz w:val="24"/>
      <w:szCs w:val="24"/>
      <w:lang w:val="en-US" w:eastAsia="zh-CN" w:bidi="ar-SA"/>
    </w:rPr>
  </w:style>
  <w:style w:type="paragraph" w:customStyle="1" w:styleId="318">
    <w:name w:val="Normal_0_3"/>
    <w:qFormat/>
    <w:uiPriority w:val="0"/>
    <w:rPr>
      <w:rFonts w:ascii="黑体" w:hAnsi="黑体" w:eastAsia="黑体" w:cs="黑体"/>
      <w:b/>
      <w:sz w:val="32"/>
      <w:szCs w:val="24"/>
      <w:lang w:val="en-US" w:eastAsia="zh-CN" w:bidi="ar-SA"/>
    </w:rPr>
  </w:style>
  <w:style w:type="paragraph" w:customStyle="1" w:styleId="319">
    <w:name w:val="正文首行缩进 2_0"/>
    <w:basedOn w:val="320"/>
    <w:qFormat/>
    <w:uiPriority w:val="0"/>
    <w:pPr>
      <w:spacing w:after="120"/>
      <w:ind w:left="200" w:firstLine="200"/>
    </w:pPr>
    <w:rPr>
      <w:rFonts w:ascii="Times New Roman" w:hAnsi="Times New Roman"/>
      <w:sz w:val="24"/>
      <w:szCs w:val="24"/>
    </w:rPr>
  </w:style>
  <w:style w:type="paragraph" w:customStyle="1" w:styleId="320">
    <w:name w:val="正文文本缩进_0"/>
    <w:basedOn w:val="321"/>
    <w:qFormat/>
    <w:uiPriority w:val="0"/>
    <w:pPr>
      <w:ind w:firstLine="225"/>
    </w:pPr>
    <w:rPr>
      <w:rFonts w:ascii="仿宋_GB2312" w:eastAsia="仿宋_GB2312"/>
      <w:sz w:val="32"/>
    </w:rPr>
  </w:style>
  <w:style w:type="paragraph" w:customStyle="1" w:styleId="321">
    <w:name w:val="正文_2"/>
    <w:next w:val="322"/>
    <w:qFormat/>
    <w:uiPriority w:val="0"/>
    <w:pPr>
      <w:widowControl w:val="0"/>
      <w:jc w:val="both"/>
    </w:pPr>
    <w:rPr>
      <w:rFonts w:ascii="Calibri" w:hAnsi="Calibri" w:eastAsia="宋体" w:cs="Times New Roman"/>
      <w:sz w:val="21"/>
      <w:szCs w:val="22"/>
      <w:lang w:val="en-US" w:eastAsia="zh-CN" w:bidi="ar-SA"/>
    </w:rPr>
  </w:style>
  <w:style w:type="paragraph" w:customStyle="1" w:styleId="322">
    <w:name w:val="正文首行缩进_0"/>
    <w:basedOn w:val="323"/>
    <w:qFormat/>
    <w:uiPriority w:val="0"/>
    <w:pPr>
      <w:spacing w:after="120" w:line="240" w:lineRule="auto"/>
      <w:ind w:firstLine="100"/>
    </w:pPr>
    <w:rPr>
      <w:rFonts w:ascii="Times New Roman" w:hAnsi="Times New Roman" w:eastAsia="宋体"/>
      <w:sz w:val="21"/>
    </w:rPr>
  </w:style>
  <w:style w:type="paragraph" w:customStyle="1" w:styleId="323">
    <w:name w:val="正文文本_0"/>
    <w:basedOn w:val="321"/>
    <w:qFormat/>
    <w:uiPriority w:val="0"/>
    <w:pPr>
      <w:spacing w:line="60" w:lineRule="auto"/>
    </w:pPr>
    <w:rPr>
      <w:rFonts w:ascii="仿宋_GB2312" w:eastAsia="仿宋_GB2312"/>
      <w:sz w:val="32"/>
    </w:rPr>
  </w:style>
  <w:style w:type="paragraph" w:customStyle="1" w:styleId="324">
    <w:name w:val="Normal_0_2"/>
    <w:qFormat/>
    <w:uiPriority w:val="0"/>
    <w:rPr>
      <w:rFonts w:ascii="黑体" w:hAnsi="黑体" w:eastAsia="黑体" w:cs="黑体"/>
      <w:b/>
      <w:sz w:val="32"/>
      <w:szCs w:val="24"/>
      <w:lang w:val="en-US" w:eastAsia="zh-CN" w:bidi="ar-SA"/>
    </w:rPr>
  </w:style>
  <w:style w:type="paragraph" w:customStyle="1" w:styleId="325">
    <w:name w:val="Body Text First Indent_1"/>
    <w:basedOn w:val="48"/>
    <w:unhideWhenUsed/>
    <w:qFormat/>
    <w:uiPriority w:val="99"/>
    <w:pPr>
      <w:spacing w:after="120"/>
      <w:ind w:firstLine="420"/>
    </w:pPr>
    <w:rPr>
      <w:rFonts w:eastAsia="Times New Roman"/>
    </w:rPr>
  </w:style>
  <w:style w:type="paragraph" w:customStyle="1" w:styleId="326">
    <w:name w:val="Normal_1_2"/>
    <w:qFormat/>
    <w:uiPriority w:val="0"/>
    <w:rPr>
      <w:rFonts w:ascii="Times New Roman" w:hAnsi="Times New Roman" w:eastAsia="Times New Roman" w:cs="Times New Roman"/>
      <w:sz w:val="24"/>
      <w:szCs w:val="24"/>
      <w:lang w:val="en-US" w:eastAsia="zh-CN" w:bidi="ar-SA"/>
    </w:rPr>
  </w:style>
  <w:style w:type="paragraph" w:customStyle="1" w:styleId="327">
    <w:name w:val="Normal_0_1"/>
    <w:next w:val="328"/>
    <w:qFormat/>
    <w:uiPriority w:val="0"/>
    <w:rPr>
      <w:rFonts w:ascii="黑体" w:hAnsi="黑体" w:eastAsia="黑体" w:cs="黑体"/>
      <w:b/>
      <w:sz w:val="32"/>
      <w:szCs w:val="24"/>
      <w:lang w:val="en-US" w:eastAsia="zh-CN" w:bidi="ar-SA"/>
    </w:rPr>
  </w:style>
  <w:style w:type="paragraph" w:customStyle="1" w:styleId="328">
    <w:name w:val="Body Text First Indent_0"/>
    <w:basedOn w:val="329"/>
    <w:unhideWhenUsed/>
    <w:qFormat/>
    <w:uiPriority w:val="99"/>
    <w:pPr>
      <w:spacing w:after="120"/>
      <w:ind w:firstLine="420"/>
    </w:pPr>
  </w:style>
  <w:style w:type="paragraph" w:customStyle="1" w:styleId="329">
    <w:name w:val="正文3"/>
    <w:next w:val="330"/>
    <w:qFormat/>
    <w:uiPriority w:val="0"/>
    <w:rPr>
      <w:rFonts w:ascii="Times New Roman" w:hAnsi="Times New Roman" w:eastAsia="Times New Roman" w:cs="Times New Roman"/>
      <w:sz w:val="24"/>
      <w:szCs w:val="24"/>
      <w:lang w:val="en-US" w:eastAsia="zh-CN" w:bidi="ar-SA"/>
    </w:rPr>
  </w:style>
  <w:style w:type="paragraph" w:customStyle="1" w:styleId="330">
    <w:name w:val="正文首行缩进3"/>
    <w:basedOn w:val="317"/>
    <w:unhideWhenUsed/>
    <w:qFormat/>
    <w:uiPriority w:val="99"/>
    <w:pPr>
      <w:spacing w:after="120"/>
      <w:ind w:firstLine="420"/>
    </w:pPr>
    <w:rPr>
      <w:sz w:val="20"/>
    </w:rPr>
  </w:style>
  <w:style w:type="paragraph" w:customStyle="1" w:styleId="331">
    <w:name w:val="Normal_1_1"/>
    <w:qFormat/>
    <w:uiPriority w:val="0"/>
    <w:rPr>
      <w:rFonts w:ascii="黑体" w:hAnsi="黑体" w:eastAsia="黑体" w:cs="黑体"/>
      <w:b/>
      <w:sz w:val="32"/>
      <w:szCs w:val="24"/>
      <w:lang w:val="en-US" w:eastAsia="zh-CN" w:bidi="ar-SA"/>
    </w:rPr>
  </w:style>
  <w:style w:type="paragraph" w:customStyle="1" w:styleId="332">
    <w:name w:val="正文_0_1"/>
    <w:qFormat/>
    <w:uiPriority w:val="0"/>
    <w:pPr>
      <w:widowControl w:val="0"/>
      <w:jc w:val="both"/>
    </w:pPr>
    <w:rPr>
      <w:rFonts w:ascii="Calibri" w:hAnsi="Calibri" w:eastAsia="宋体" w:cs="Times New Roman"/>
      <w:sz w:val="21"/>
      <w:szCs w:val="22"/>
      <w:lang w:val="en-US" w:eastAsia="zh-CN" w:bidi="ar-SA"/>
    </w:rPr>
  </w:style>
  <w:style w:type="paragraph" w:customStyle="1" w:styleId="333">
    <w:name w:val="正文_1_1"/>
    <w:qFormat/>
    <w:uiPriority w:val="0"/>
    <w:pPr>
      <w:widowControl w:val="0"/>
      <w:jc w:val="both"/>
    </w:pPr>
    <w:rPr>
      <w:rFonts w:ascii="Calibri" w:hAnsi="Calibri" w:eastAsia="宋体" w:cs="Times New Roman"/>
      <w:sz w:val="21"/>
      <w:szCs w:val="22"/>
      <w:lang w:val="en-US" w:eastAsia="zh-CN" w:bidi="ar-SA"/>
    </w:rPr>
  </w:style>
  <w:style w:type="paragraph" w:customStyle="1" w:styleId="334">
    <w:name w:val="Normal_2_0"/>
    <w:qFormat/>
    <w:uiPriority w:val="0"/>
    <w:rPr>
      <w:rFonts w:ascii="黑体" w:hAnsi="黑体" w:eastAsia="黑体" w:cs="黑体"/>
      <w:b/>
      <w:sz w:val="32"/>
      <w:szCs w:val="24"/>
      <w:lang w:val="en-US" w:eastAsia="zh-CN" w:bidi="ar-SA"/>
    </w:rPr>
  </w:style>
  <w:style w:type="paragraph" w:customStyle="1" w:styleId="335">
    <w:name w:val="Normal_3_0"/>
    <w:qFormat/>
    <w:uiPriority w:val="0"/>
    <w:pPr>
      <w:widowControl w:val="0"/>
      <w:jc w:val="both"/>
    </w:pPr>
    <w:rPr>
      <w:rFonts w:ascii="Calibri" w:hAnsi="Calibri" w:eastAsia="宋体" w:cs="Times New Roman"/>
      <w:sz w:val="21"/>
      <w:szCs w:val="22"/>
      <w:lang w:val="en-US" w:eastAsia="zh-CN" w:bidi="ar-SA"/>
    </w:rPr>
  </w:style>
  <w:style w:type="paragraph" w:customStyle="1" w:styleId="336">
    <w:name w:val="Normal_4_0"/>
    <w:qFormat/>
    <w:uiPriority w:val="0"/>
    <w:rPr>
      <w:rFonts w:ascii="黑体" w:hAnsi="黑体" w:eastAsia="黑体" w:cs="黑体"/>
      <w:b/>
      <w:sz w:val="32"/>
      <w:szCs w:val="24"/>
      <w:lang w:val="en-US" w:eastAsia="zh-CN" w:bidi="ar-SA"/>
    </w:rPr>
  </w:style>
  <w:style w:type="paragraph" w:customStyle="1" w:styleId="337">
    <w:name w:val="Normal_5_0"/>
    <w:qFormat/>
    <w:uiPriority w:val="0"/>
    <w:pPr>
      <w:widowControl w:val="0"/>
      <w:jc w:val="both"/>
    </w:pPr>
    <w:rPr>
      <w:rFonts w:ascii="Calibri" w:hAnsi="Calibri" w:eastAsia="宋体" w:cs="Times New Roman"/>
      <w:sz w:val="21"/>
      <w:szCs w:val="22"/>
      <w:lang w:val="en-US" w:eastAsia="zh-CN" w:bidi="ar-SA"/>
    </w:rPr>
  </w:style>
  <w:style w:type="paragraph" w:customStyle="1" w:styleId="338">
    <w:name w:val="Normal_6_0"/>
    <w:qFormat/>
    <w:uiPriority w:val="0"/>
    <w:rPr>
      <w:rFonts w:ascii="黑体" w:hAnsi="黑体" w:eastAsia="黑体" w:cs="黑体"/>
      <w:b/>
      <w:sz w:val="32"/>
      <w:szCs w:val="24"/>
      <w:lang w:val="en-US" w:eastAsia="zh-CN" w:bidi="ar-SA"/>
    </w:rPr>
  </w:style>
  <w:style w:type="paragraph" w:customStyle="1" w:styleId="339">
    <w:name w:val="正文_1_0_0"/>
    <w:qFormat/>
    <w:uiPriority w:val="0"/>
    <w:pPr>
      <w:widowControl w:val="0"/>
      <w:jc w:val="both"/>
    </w:pPr>
    <w:rPr>
      <w:rFonts w:ascii="Times New Roman" w:hAnsi="Times New Roman" w:eastAsia="宋体" w:cs="Times New Roman"/>
      <w:sz w:val="21"/>
      <w:lang w:val="en-US" w:eastAsia="zh-CN" w:bidi="ar-SA"/>
    </w:rPr>
  </w:style>
  <w:style w:type="paragraph" w:customStyle="1" w:styleId="340">
    <w:name w:val="正文_0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41">
    <w:name w:val="正文_1_0_0_0"/>
    <w:qFormat/>
    <w:uiPriority w:val="0"/>
    <w:pPr>
      <w:widowControl w:val="0"/>
      <w:jc w:val="both"/>
    </w:pPr>
    <w:rPr>
      <w:rFonts w:ascii="Times New Roman" w:hAnsi="Times New Roman" w:eastAsia="宋体" w:cs="Times New Roman"/>
      <w:sz w:val="21"/>
      <w:lang w:val="en-US" w:eastAsia="zh-CN" w:bidi="ar-SA"/>
    </w:rPr>
  </w:style>
  <w:style w:type="paragraph" w:customStyle="1" w:styleId="342">
    <w:name w:val="Normal_7_0"/>
    <w:qFormat/>
    <w:uiPriority w:val="0"/>
    <w:rPr>
      <w:rFonts w:ascii="黑体" w:hAnsi="黑体" w:eastAsia="黑体" w:cs="黑体"/>
      <w:b/>
      <w:sz w:val="32"/>
      <w:szCs w:val="24"/>
      <w:lang w:val="en-US" w:eastAsia="zh-CN" w:bidi="ar-SA"/>
    </w:rPr>
  </w:style>
  <w:style w:type="paragraph" w:customStyle="1" w:styleId="343">
    <w:name w:val="Normal_8_0"/>
    <w:qFormat/>
    <w:uiPriority w:val="0"/>
    <w:rPr>
      <w:rFonts w:ascii="Times New Roman" w:hAnsi="Times New Roman" w:eastAsia="Times New Roman" w:cs="Times New Roman"/>
      <w:sz w:val="24"/>
      <w:szCs w:val="24"/>
      <w:lang w:val="en-US" w:eastAsia="zh-CN" w:bidi="ar-SA"/>
    </w:rPr>
  </w:style>
  <w:style w:type="paragraph" w:customStyle="1" w:styleId="344">
    <w:name w:val="Normal_9_0"/>
    <w:qFormat/>
    <w:uiPriority w:val="0"/>
    <w:rPr>
      <w:rFonts w:ascii="Times New Roman" w:hAnsi="Times New Roman" w:eastAsia="Times New Roman" w:cs="Times New Roman"/>
      <w:sz w:val="24"/>
      <w:szCs w:val="24"/>
      <w:lang w:val="en-US" w:eastAsia="zh-CN" w:bidi="ar-SA"/>
    </w:rPr>
  </w:style>
  <w:style w:type="paragraph" w:customStyle="1" w:styleId="345">
    <w:name w:val="Normal_10_0"/>
    <w:qFormat/>
    <w:uiPriority w:val="0"/>
    <w:rPr>
      <w:rFonts w:ascii="黑体" w:hAnsi="黑体" w:eastAsia="黑体" w:cs="黑体"/>
      <w:b/>
      <w:sz w:val="32"/>
      <w:szCs w:val="24"/>
      <w:lang w:val="en-US" w:eastAsia="zh-CN" w:bidi="ar-SA"/>
    </w:rPr>
  </w:style>
  <w:style w:type="paragraph" w:customStyle="1" w:styleId="346">
    <w:name w:val="正文_3"/>
    <w:next w:val="347"/>
    <w:qFormat/>
    <w:uiPriority w:val="0"/>
    <w:pPr>
      <w:widowControl w:val="0"/>
      <w:jc w:val="both"/>
    </w:pPr>
    <w:rPr>
      <w:rFonts w:ascii="Calibri" w:hAnsi="Calibri" w:eastAsia="宋体" w:cs="Times New Roman"/>
      <w:sz w:val="21"/>
      <w:szCs w:val="22"/>
      <w:lang w:val="en-US" w:eastAsia="zh-CN" w:bidi="ar-SA"/>
    </w:rPr>
  </w:style>
  <w:style w:type="paragraph" w:customStyle="1" w:styleId="347">
    <w:name w:val="正文文本缩进_1"/>
    <w:basedOn w:val="348"/>
    <w:next w:val="346"/>
    <w:qFormat/>
    <w:uiPriority w:val="0"/>
    <w:pPr>
      <w:ind w:firstLine="225"/>
    </w:pPr>
    <w:rPr>
      <w:rFonts w:ascii="仿宋_GB2312" w:eastAsia="仿宋_GB2312"/>
      <w:sz w:val="32"/>
    </w:rPr>
  </w:style>
  <w:style w:type="paragraph" w:customStyle="1" w:styleId="348">
    <w:name w:val="正文_17_0"/>
    <w:next w:val="349"/>
    <w:qFormat/>
    <w:uiPriority w:val="0"/>
    <w:pPr>
      <w:widowControl w:val="0"/>
      <w:jc w:val="both"/>
    </w:pPr>
    <w:rPr>
      <w:rFonts w:ascii="Calibri" w:hAnsi="Calibri" w:eastAsia="宋体" w:cs="Times New Roman"/>
      <w:sz w:val="21"/>
      <w:szCs w:val="22"/>
      <w:lang w:val="en-US" w:eastAsia="zh-CN" w:bidi="ar-SA"/>
    </w:rPr>
  </w:style>
  <w:style w:type="paragraph" w:customStyle="1" w:styleId="349">
    <w:name w:val="正文首行缩进 2_1"/>
    <w:basedOn w:val="347"/>
    <w:qFormat/>
    <w:uiPriority w:val="0"/>
    <w:pPr>
      <w:spacing w:after="120"/>
      <w:ind w:left="200" w:firstLine="200"/>
    </w:pPr>
    <w:rPr>
      <w:rFonts w:ascii="Times New Roman"/>
      <w:szCs w:val="24"/>
    </w:rPr>
  </w:style>
  <w:style w:type="paragraph" w:customStyle="1" w:styleId="350">
    <w:name w:val="正文_18"/>
    <w:next w:val="347"/>
    <w:qFormat/>
    <w:uiPriority w:val="0"/>
    <w:pPr>
      <w:widowControl w:val="0"/>
      <w:jc w:val="both"/>
    </w:pPr>
    <w:rPr>
      <w:rFonts w:ascii="Calibri" w:hAnsi="Calibri" w:eastAsia="宋体" w:cs="Times New Roman"/>
      <w:sz w:val="21"/>
      <w:szCs w:val="22"/>
      <w:lang w:val="en-US" w:eastAsia="zh-CN" w:bidi="ar-SA"/>
    </w:rPr>
  </w:style>
  <w:style w:type="paragraph" w:customStyle="1" w:styleId="351">
    <w:name w:val="xl53_0"/>
    <w:next w:val="346"/>
    <w:qFormat/>
    <w:uiPriority w:val="0"/>
    <w:pPr>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eastAsia="宋体" w:cs="Times New Roman"/>
      <w:b/>
      <w:bCs/>
      <w:lang w:val="en-US" w:eastAsia="zh-CN" w:bidi="ar-SA"/>
    </w:rPr>
  </w:style>
  <w:style w:type="paragraph" w:customStyle="1" w:styleId="352">
    <w:name w:val="正文_4_0"/>
    <w:qFormat/>
    <w:uiPriority w:val="0"/>
    <w:pPr>
      <w:widowControl w:val="0"/>
      <w:jc w:val="both"/>
    </w:pPr>
    <w:rPr>
      <w:rFonts w:ascii="Calibri" w:hAnsi="Calibri" w:eastAsia="宋体" w:cs="Times New Roman"/>
      <w:sz w:val="21"/>
      <w:szCs w:val="22"/>
      <w:lang w:val="en-US" w:eastAsia="zh-CN" w:bidi="ar-SA"/>
    </w:rPr>
  </w:style>
  <w:style w:type="paragraph" w:customStyle="1" w:styleId="353">
    <w:name w:val="Normal_11_0"/>
    <w:qFormat/>
    <w:uiPriority w:val="0"/>
    <w:rPr>
      <w:rFonts w:ascii="黑体" w:hAnsi="黑体" w:eastAsia="黑体" w:cs="黑体"/>
      <w:b/>
      <w:sz w:val="32"/>
      <w:szCs w:val="24"/>
      <w:lang w:val="en-US" w:eastAsia="zh-CN" w:bidi="ar-SA"/>
    </w:rPr>
  </w:style>
  <w:style w:type="paragraph" w:customStyle="1" w:styleId="354">
    <w:name w:val="Normal_12_0"/>
    <w:qFormat/>
    <w:uiPriority w:val="0"/>
    <w:pPr>
      <w:widowControl w:val="0"/>
      <w:jc w:val="both"/>
    </w:pPr>
    <w:rPr>
      <w:rFonts w:ascii="Calibri" w:hAnsi="Calibri" w:eastAsia="宋体" w:cs="Times New Roman"/>
      <w:sz w:val="21"/>
      <w:szCs w:val="22"/>
      <w:lang w:val="en-US" w:eastAsia="zh-CN" w:bidi="ar-SA"/>
    </w:rPr>
  </w:style>
  <w:style w:type="paragraph" w:customStyle="1" w:styleId="355">
    <w:name w:val="正文_9_0"/>
    <w:qFormat/>
    <w:uiPriority w:val="0"/>
    <w:pPr>
      <w:widowControl w:val="0"/>
      <w:jc w:val="both"/>
    </w:pPr>
    <w:rPr>
      <w:rFonts w:ascii="Calibri" w:hAnsi="Calibri" w:eastAsia="宋体" w:cs="Times New Roman"/>
      <w:sz w:val="21"/>
      <w:szCs w:val="22"/>
      <w:lang w:val="en-US" w:eastAsia="zh-CN" w:bidi="ar-SA"/>
    </w:rPr>
  </w:style>
  <w:style w:type="paragraph" w:customStyle="1" w:styleId="356">
    <w:name w:val="正文_8_1"/>
    <w:qFormat/>
    <w:uiPriority w:val="0"/>
    <w:pPr>
      <w:widowControl w:val="0"/>
      <w:jc w:val="both"/>
    </w:pPr>
    <w:rPr>
      <w:rFonts w:ascii="Calibri" w:hAnsi="Calibri" w:eastAsia="宋体" w:cs="Times New Roman"/>
      <w:sz w:val="21"/>
      <w:szCs w:val="22"/>
      <w:lang w:val="en-US" w:eastAsia="zh-CN" w:bidi="ar-SA"/>
    </w:rPr>
  </w:style>
  <w:style w:type="paragraph" w:customStyle="1" w:styleId="357">
    <w:name w:val="正文_1_0_0_0_0"/>
    <w:qFormat/>
    <w:uiPriority w:val="0"/>
    <w:pPr>
      <w:widowControl w:val="0"/>
      <w:jc w:val="both"/>
    </w:pPr>
    <w:rPr>
      <w:rFonts w:ascii="Times New Roman" w:hAnsi="Times New Roman" w:eastAsia="宋体" w:cs="Times New Roman"/>
      <w:sz w:val="21"/>
      <w:lang w:val="en-US" w:eastAsia="zh-CN" w:bidi="ar-SA"/>
    </w:rPr>
  </w:style>
  <w:style w:type="paragraph" w:customStyle="1" w:styleId="358">
    <w:name w:val="列出段落_2"/>
    <w:basedOn w:val="356"/>
    <w:qFormat/>
    <w:uiPriority w:val="34"/>
    <w:pPr>
      <w:ind w:firstLine="420"/>
    </w:pPr>
  </w:style>
  <w:style w:type="paragraph" w:customStyle="1" w:styleId="359">
    <w:name w:val="Normal_13_0"/>
    <w:qFormat/>
    <w:uiPriority w:val="0"/>
    <w:rPr>
      <w:rFonts w:ascii="黑体" w:hAnsi="黑体" w:eastAsia="黑体" w:cs="黑体"/>
      <w:b/>
      <w:sz w:val="32"/>
      <w:szCs w:val="24"/>
      <w:lang w:val="en-US" w:eastAsia="zh-CN" w:bidi="ar-SA"/>
    </w:rPr>
  </w:style>
  <w:style w:type="paragraph" w:customStyle="1" w:styleId="360">
    <w:name w:val="正文_7_1_0"/>
    <w:qFormat/>
    <w:uiPriority w:val="0"/>
    <w:pPr>
      <w:widowControl w:val="0"/>
      <w:jc w:val="both"/>
    </w:pPr>
    <w:rPr>
      <w:rFonts w:ascii="Calibri" w:hAnsi="Calibri" w:eastAsia="宋体" w:cs="Times New Roman"/>
      <w:sz w:val="21"/>
      <w:szCs w:val="22"/>
      <w:lang w:val="en-US" w:eastAsia="zh-CN" w:bidi="ar-SA"/>
    </w:rPr>
  </w:style>
  <w:style w:type="paragraph" w:customStyle="1" w:styleId="361">
    <w:name w:val="纯文本_0_0"/>
    <w:basedOn w:val="360"/>
    <w:unhideWhenUsed/>
    <w:qFormat/>
    <w:uiPriority w:val="0"/>
    <w:rPr>
      <w:rFonts w:ascii="宋体" w:hAnsi="Courier New"/>
      <w:szCs w:val="21"/>
    </w:rPr>
  </w:style>
  <w:style w:type="paragraph" w:customStyle="1" w:styleId="362">
    <w:name w:val="正文_8_0"/>
    <w:qFormat/>
    <w:uiPriority w:val="0"/>
    <w:pPr>
      <w:widowControl w:val="0"/>
      <w:jc w:val="both"/>
    </w:pPr>
    <w:rPr>
      <w:rFonts w:ascii="Calibri" w:hAnsi="Calibri" w:eastAsia="宋体" w:cs="Times New Roman"/>
      <w:sz w:val="21"/>
      <w:szCs w:val="22"/>
      <w:lang w:val="en-US" w:eastAsia="zh-CN" w:bidi="ar-SA"/>
    </w:rPr>
  </w:style>
  <w:style w:type="paragraph" w:customStyle="1" w:styleId="363">
    <w:name w:val="Normal_14_0"/>
    <w:qFormat/>
    <w:uiPriority w:val="0"/>
    <w:rPr>
      <w:rFonts w:ascii="黑体" w:hAnsi="黑体" w:eastAsia="黑体" w:cs="黑体"/>
      <w:b/>
      <w:sz w:val="32"/>
      <w:szCs w:val="24"/>
      <w:lang w:val="en-US" w:eastAsia="zh-CN" w:bidi="ar-SA"/>
    </w:rPr>
  </w:style>
  <w:style w:type="paragraph" w:customStyle="1" w:styleId="364">
    <w:name w:val="正文_6_0"/>
    <w:qFormat/>
    <w:uiPriority w:val="0"/>
    <w:pPr>
      <w:widowControl w:val="0"/>
      <w:jc w:val="both"/>
    </w:pPr>
    <w:rPr>
      <w:rFonts w:ascii="Calibri" w:hAnsi="Calibri" w:eastAsia="宋体" w:cs="Times New Roman"/>
      <w:sz w:val="21"/>
      <w:szCs w:val="22"/>
      <w:lang w:val="en-US" w:eastAsia="zh-CN" w:bidi="ar-SA"/>
    </w:rPr>
  </w:style>
  <w:style w:type="paragraph" w:customStyle="1" w:styleId="365">
    <w:name w:val="Normal_15_0"/>
    <w:qFormat/>
    <w:uiPriority w:val="0"/>
    <w:rPr>
      <w:rFonts w:ascii="黑体" w:hAnsi="黑体" w:eastAsia="黑体" w:cs="黑体"/>
      <w:b/>
      <w:sz w:val="32"/>
      <w:szCs w:val="24"/>
      <w:lang w:val="en-US" w:eastAsia="zh-CN" w:bidi="ar-SA"/>
    </w:rPr>
  </w:style>
  <w:style w:type="paragraph" w:customStyle="1" w:styleId="366">
    <w:name w:val="正文_7_0"/>
    <w:qFormat/>
    <w:uiPriority w:val="0"/>
    <w:pPr>
      <w:widowControl w:val="0"/>
      <w:jc w:val="both"/>
    </w:pPr>
    <w:rPr>
      <w:rFonts w:ascii="Calibri" w:hAnsi="Calibri" w:eastAsia="宋体" w:cs="Times New Roman"/>
      <w:sz w:val="21"/>
      <w:szCs w:val="22"/>
      <w:lang w:val="en-US" w:eastAsia="zh-CN" w:bidi="ar-SA"/>
    </w:rPr>
  </w:style>
  <w:style w:type="paragraph" w:customStyle="1" w:styleId="367">
    <w:name w:val="正文_9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68">
    <w:name w:val="Normal_16_0"/>
    <w:qFormat/>
    <w:uiPriority w:val="0"/>
    <w:rPr>
      <w:rFonts w:ascii="黑体" w:hAnsi="黑体" w:eastAsia="黑体" w:cs="黑体"/>
      <w:b/>
      <w:sz w:val="32"/>
      <w:szCs w:val="24"/>
      <w:lang w:val="en-US" w:eastAsia="zh-CN" w:bidi="ar-SA"/>
    </w:rPr>
  </w:style>
  <w:style w:type="paragraph" w:customStyle="1" w:styleId="369">
    <w:name w:val="正文_1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70">
    <w:name w:val="Normal_17_0"/>
    <w:qFormat/>
    <w:uiPriority w:val="0"/>
    <w:rPr>
      <w:rFonts w:ascii="黑体" w:hAnsi="黑体" w:eastAsia="黑体" w:cs="黑体"/>
      <w:b/>
      <w:sz w:val="32"/>
      <w:szCs w:val="24"/>
      <w:lang w:val="en-US" w:eastAsia="zh-CN" w:bidi="ar-SA"/>
    </w:rPr>
  </w:style>
  <w:style w:type="paragraph" w:customStyle="1" w:styleId="371">
    <w:name w:val="正文_1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72">
    <w:name w:val="Normal_18_0"/>
    <w:qFormat/>
    <w:uiPriority w:val="0"/>
    <w:rPr>
      <w:rFonts w:ascii="黑体" w:hAnsi="黑体" w:eastAsia="黑体" w:cs="黑体"/>
      <w:b/>
      <w:sz w:val="32"/>
      <w:szCs w:val="24"/>
      <w:lang w:val="en-US" w:eastAsia="zh-CN" w:bidi="ar-SA"/>
    </w:rPr>
  </w:style>
  <w:style w:type="paragraph" w:customStyle="1" w:styleId="373">
    <w:name w:val="正文_12_0"/>
    <w:qFormat/>
    <w:uiPriority w:val="0"/>
    <w:pPr>
      <w:widowControl w:val="0"/>
      <w:jc w:val="both"/>
    </w:pPr>
    <w:rPr>
      <w:rFonts w:ascii="Calibri" w:hAnsi="Calibri" w:eastAsia="宋体" w:cs="Times New Roman"/>
      <w:sz w:val="21"/>
      <w:szCs w:val="22"/>
      <w:lang w:val="en-US" w:eastAsia="zh-CN" w:bidi="ar-SA"/>
    </w:rPr>
  </w:style>
  <w:style w:type="paragraph" w:customStyle="1" w:styleId="374">
    <w:name w:val="正文_9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75">
    <w:name w:val="Normal_14_0_0"/>
    <w:qFormat/>
    <w:uiPriority w:val="0"/>
    <w:rPr>
      <w:rFonts w:ascii="黑体" w:hAnsi="黑体" w:eastAsia="黑体" w:cs="Times New Roman"/>
      <w:b/>
      <w:sz w:val="32"/>
      <w:szCs w:val="24"/>
      <w:lang w:val="en-US" w:eastAsia="zh-CN" w:bidi="ar-SA"/>
    </w:rPr>
  </w:style>
  <w:style w:type="paragraph" w:customStyle="1" w:styleId="376">
    <w:name w:val="正文_12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77">
    <w:name w:val="正文_12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78">
    <w:name w:val="正文_13_0"/>
    <w:qFormat/>
    <w:uiPriority w:val="0"/>
    <w:pPr>
      <w:widowControl w:val="0"/>
      <w:jc w:val="both"/>
    </w:pPr>
    <w:rPr>
      <w:rFonts w:ascii="Calibri" w:hAnsi="Calibri" w:eastAsia="宋体" w:cs="Times New Roman"/>
      <w:sz w:val="21"/>
      <w:szCs w:val="22"/>
      <w:lang w:val="en-US" w:eastAsia="zh-CN" w:bidi="ar-SA"/>
    </w:rPr>
  </w:style>
  <w:style w:type="paragraph" w:customStyle="1" w:styleId="379">
    <w:name w:val="正文_13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80">
    <w:name w:val="正文_14_0"/>
    <w:qFormat/>
    <w:uiPriority w:val="0"/>
    <w:pPr>
      <w:widowControl w:val="0"/>
      <w:jc w:val="both"/>
    </w:pPr>
    <w:rPr>
      <w:rFonts w:ascii="Calibri" w:hAnsi="Calibri" w:eastAsia="宋体" w:cs="Times New Roman"/>
      <w:sz w:val="21"/>
      <w:szCs w:val="22"/>
      <w:lang w:val="en-US" w:eastAsia="zh-CN" w:bidi="ar-SA"/>
    </w:rPr>
  </w:style>
  <w:style w:type="paragraph" w:customStyle="1" w:styleId="381">
    <w:name w:val="正文_14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82">
    <w:name w:val="Normal Indent_0"/>
    <w:basedOn w:val="138"/>
    <w:qFormat/>
    <w:uiPriority w:val="0"/>
    <w:pPr>
      <w:ind w:firstLine="420"/>
    </w:pPr>
    <w:rPr>
      <w:rFonts w:ascii="宋体" w:eastAsia="Times New Roman"/>
      <w:color w:val="000000"/>
      <w:sz w:val="24"/>
      <w:szCs w:val="20"/>
    </w:rPr>
  </w:style>
  <w:style w:type="paragraph" w:customStyle="1" w:styleId="383">
    <w:name w:val="Heading 3_0"/>
    <w:basedOn w:val="138"/>
    <w:next w:val="138"/>
    <w:qFormat/>
    <w:uiPriority w:val="0"/>
    <w:pPr>
      <w:keepNext/>
      <w:keepLines/>
      <w:spacing w:before="260" w:after="260" w:line="413" w:lineRule="auto"/>
      <w:outlineLvl w:val="2"/>
    </w:pPr>
    <w:rPr>
      <w:rFonts w:ascii="Times New Roman" w:hAnsi="Times New Roman" w:eastAsia="Times New Roman"/>
      <w:szCs w:val="20"/>
    </w:rPr>
  </w:style>
  <w:style w:type="paragraph" w:customStyle="1" w:styleId="384">
    <w:name w:val="正文_15_0"/>
    <w:qFormat/>
    <w:uiPriority w:val="0"/>
    <w:pPr>
      <w:widowControl w:val="0"/>
      <w:jc w:val="both"/>
    </w:pPr>
    <w:rPr>
      <w:rFonts w:ascii="Calibri" w:hAnsi="Calibri" w:eastAsia="宋体" w:cs="Times New Roman"/>
      <w:sz w:val="21"/>
      <w:szCs w:val="22"/>
      <w:lang w:val="en-US" w:eastAsia="zh-CN" w:bidi="ar-SA"/>
    </w:rPr>
  </w:style>
  <w:style w:type="paragraph" w:customStyle="1" w:styleId="385">
    <w:name w:val="正文2"/>
    <w:basedOn w:val="1"/>
    <w:qFormat/>
    <w:uiPriority w:val="0"/>
    <w:pPr>
      <w:spacing w:before="156" w:line="360" w:lineRule="auto"/>
      <w:ind w:firstLine="510"/>
    </w:pPr>
    <w:rPr>
      <w:sz w:val="24"/>
      <w:szCs w:val="20"/>
    </w:rPr>
  </w:style>
  <w:style w:type="paragraph" w:customStyle="1" w:styleId="386">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387">
    <w:name w:val="正文_0_2_0"/>
    <w:qFormat/>
    <w:uiPriority w:val="0"/>
    <w:pPr>
      <w:widowControl w:val="0"/>
      <w:jc w:val="both"/>
    </w:pPr>
    <w:rPr>
      <w:rFonts w:ascii="Times New Roman" w:hAnsi="Times New Roman" w:eastAsia="宋体" w:cs="Times New Roman"/>
      <w:szCs w:val="24"/>
      <w:lang w:val="en-US" w:eastAsia="zh-CN" w:bidi="ar-SA"/>
    </w:rPr>
  </w:style>
  <w:style w:type="paragraph" w:customStyle="1" w:styleId="388">
    <w:name w:val="Normal_19_1_0"/>
    <w:next w:val="389"/>
    <w:qFormat/>
    <w:uiPriority w:val="0"/>
    <w:pPr>
      <w:widowControl w:val="0"/>
      <w:jc w:val="both"/>
    </w:pPr>
    <w:rPr>
      <w:rFonts w:ascii="Calibri" w:hAnsi="Calibri" w:eastAsia="宋体" w:cs="Times New Roman"/>
      <w:szCs w:val="24"/>
      <w:lang w:val="en-US" w:eastAsia="zh-CN" w:bidi="ar-SA"/>
    </w:rPr>
  </w:style>
  <w:style w:type="paragraph" w:customStyle="1" w:styleId="389">
    <w:name w:val="正文_16_0"/>
    <w:basedOn w:val="350"/>
    <w:next w:val="349"/>
    <w:qFormat/>
    <w:uiPriority w:val="0"/>
    <w:rPr>
      <w:rFonts w:ascii="Times New Roman" w:hAnsi="Times New Roman"/>
    </w:rPr>
  </w:style>
  <w:style w:type="paragraph" w:customStyle="1" w:styleId="390">
    <w:name w:val="Normal_19_0"/>
    <w:basedOn w:val="46"/>
    <w:next w:val="391"/>
    <w:qFormat/>
    <w:uiPriority w:val="0"/>
    <w:rPr>
      <w:szCs w:val="24"/>
    </w:rPr>
  </w:style>
  <w:style w:type="paragraph" w:customStyle="1" w:styleId="391">
    <w:name w:val="Body Text First Indent_1_0"/>
    <w:basedOn w:val="390"/>
    <w:qFormat/>
    <w:uiPriority w:val="0"/>
    <w:pPr>
      <w:spacing w:after="120"/>
      <w:ind w:firstLine="100"/>
    </w:pPr>
  </w:style>
  <w:style w:type="paragraph" w:customStyle="1" w:styleId="392">
    <w:name w:val="Body Text_0"/>
    <w:basedOn w:val="390"/>
    <w:qFormat/>
    <w:uiPriority w:val="0"/>
    <w:pPr>
      <w:spacing w:line="60" w:lineRule="auto"/>
    </w:pPr>
    <w:rPr>
      <w:rFonts w:ascii="仿宋_GB2312" w:eastAsia="仿宋_GB2312"/>
      <w:sz w:val="32"/>
    </w:rPr>
  </w:style>
  <w:style w:type="paragraph" w:customStyle="1" w:styleId="393">
    <w:name w:val="Normal_19_1"/>
    <w:next w:val="138"/>
    <w:qFormat/>
    <w:uiPriority w:val="0"/>
    <w:pPr>
      <w:widowControl w:val="0"/>
      <w:jc w:val="both"/>
    </w:pPr>
    <w:rPr>
      <w:rFonts w:ascii="Calibri" w:hAnsi="Calibri" w:eastAsia="宋体" w:cs="Times New Roman"/>
      <w:szCs w:val="24"/>
      <w:lang w:val="en-US" w:eastAsia="zh-CN" w:bidi="ar-SA"/>
    </w:rPr>
  </w:style>
  <w:style w:type="paragraph" w:customStyle="1" w:styleId="394">
    <w:name w:val="正文_6_0_0"/>
    <w:qFormat/>
    <w:uiPriority w:val="0"/>
    <w:pPr>
      <w:widowControl w:val="0"/>
      <w:jc w:val="both"/>
    </w:pPr>
    <w:rPr>
      <w:rFonts w:ascii="Calibri" w:hAnsi="Calibri" w:eastAsia="宋体" w:cs="Times New Roman"/>
      <w:lang w:val="en-US" w:eastAsia="zh-CN" w:bidi="ar-SA"/>
    </w:rPr>
  </w:style>
  <w:style w:type="paragraph" w:customStyle="1" w:styleId="395">
    <w:name w:val="正文_7_1"/>
    <w:qFormat/>
    <w:uiPriority w:val="0"/>
    <w:pPr>
      <w:widowControl w:val="0"/>
      <w:jc w:val="both"/>
    </w:pPr>
    <w:rPr>
      <w:rFonts w:ascii="Calibri" w:hAnsi="Calibri" w:eastAsia="宋体" w:cs="Times New Roman"/>
      <w:lang w:val="en-US" w:eastAsia="zh-CN" w:bidi="ar-SA"/>
    </w:rPr>
  </w:style>
  <w:style w:type="paragraph" w:customStyle="1" w:styleId="396">
    <w:name w:val="正文1_1"/>
    <w:basedOn w:val="343"/>
    <w:qFormat/>
    <w:uiPriority w:val="0"/>
    <w:pPr>
      <w:widowControl w:val="0"/>
      <w:jc w:val="both"/>
    </w:pPr>
    <w:rPr>
      <w:sz w:val="20"/>
      <w:szCs w:val="20"/>
    </w:rPr>
  </w:style>
  <w:style w:type="paragraph" w:customStyle="1" w:styleId="397">
    <w:name w:val="Normal_8_0_0"/>
    <w:qFormat/>
    <w:uiPriority w:val="0"/>
    <w:rPr>
      <w:rFonts w:ascii="Times New Roman" w:hAnsi="Times New Roman" w:eastAsia="Times New Roman" w:cs="Times New Roman"/>
      <w:sz w:val="24"/>
      <w:szCs w:val="24"/>
      <w:lang w:val="en-US" w:eastAsia="zh-CN" w:bidi="ar-SA"/>
    </w:rPr>
  </w:style>
  <w:style w:type="paragraph" w:customStyle="1" w:styleId="398">
    <w:name w:val="Normal_8_0_0_0"/>
    <w:qFormat/>
    <w:uiPriority w:val="0"/>
    <w:pPr>
      <w:widowControl w:val="0"/>
      <w:jc w:val="both"/>
    </w:pPr>
    <w:rPr>
      <w:rFonts w:ascii="Calibri" w:hAnsi="Calibri" w:eastAsia="宋体" w:cs="Times New Roman"/>
      <w:lang w:val="en-US" w:eastAsia="zh-CN" w:bidi="ar-SA"/>
    </w:rPr>
  </w:style>
  <w:style w:type="paragraph" w:customStyle="1" w:styleId="399">
    <w:name w:val="Normal_16_1"/>
    <w:qFormat/>
    <w:uiPriority w:val="0"/>
    <w:rPr>
      <w:rFonts w:ascii="黑体" w:hAnsi="黑体" w:eastAsia="黑体" w:cs="Times New Roman"/>
      <w:b/>
      <w:sz w:val="32"/>
      <w:szCs w:val="24"/>
      <w:lang w:val="en-US" w:eastAsia="zh-CN" w:bidi="ar-SA"/>
    </w:rPr>
  </w:style>
  <w:style w:type="paragraph" w:customStyle="1" w:styleId="400">
    <w:name w:val="Normal_19_0_1"/>
    <w:qFormat/>
    <w:uiPriority w:val="0"/>
    <w:rPr>
      <w:rFonts w:ascii="Tahoma" w:hAnsi="Tahoma" w:eastAsia="微软雅黑" w:cs="Times New Roman"/>
      <w:lang w:val="en-US" w:eastAsia="zh-CN" w:bidi="ar-SA"/>
    </w:rPr>
  </w:style>
  <w:style w:type="paragraph" w:customStyle="1" w:styleId="401">
    <w:name w:val="Normal_16_0_0"/>
    <w:qFormat/>
    <w:uiPriority w:val="0"/>
    <w:pPr>
      <w:widowControl w:val="0"/>
      <w:jc w:val="both"/>
    </w:pPr>
    <w:rPr>
      <w:rFonts w:ascii="Calibri" w:hAnsi="Calibri" w:eastAsia="宋体" w:cs="Times New Roman"/>
      <w:lang w:val="en-US" w:eastAsia="zh-CN" w:bidi="ar-SA"/>
    </w:rPr>
  </w:style>
  <w:style w:type="paragraph" w:customStyle="1" w:styleId="402">
    <w:name w:val="Normal_22_0"/>
    <w:qFormat/>
    <w:uiPriority w:val="0"/>
    <w:pPr>
      <w:widowControl w:val="0"/>
      <w:jc w:val="both"/>
    </w:pPr>
    <w:rPr>
      <w:rFonts w:ascii="Calibri" w:hAnsi="Calibri" w:eastAsia="宋体" w:cs="Times New Roman"/>
      <w:szCs w:val="24"/>
      <w:lang w:val="en-US" w:eastAsia="zh-CN" w:bidi="ar-SA"/>
    </w:rPr>
  </w:style>
  <w:style w:type="paragraph" w:customStyle="1" w:styleId="403">
    <w:name w:val="Normal_17_0_0"/>
    <w:qFormat/>
    <w:uiPriority w:val="0"/>
    <w:rPr>
      <w:rFonts w:ascii="黑体" w:hAnsi="黑体" w:eastAsia="黑体" w:cs="Times New Roman"/>
      <w:b/>
      <w:sz w:val="32"/>
      <w:szCs w:val="24"/>
      <w:lang w:val="en-US" w:eastAsia="zh-CN" w:bidi="ar-SA"/>
    </w:rPr>
  </w:style>
  <w:style w:type="paragraph" w:customStyle="1" w:styleId="404">
    <w:name w:val="Normal_19_0_1_0"/>
    <w:qFormat/>
    <w:uiPriority w:val="0"/>
    <w:rPr>
      <w:rFonts w:ascii="Tahoma" w:hAnsi="Tahoma" w:eastAsia="微软雅黑" w:cs="Times New Roman"/>
      <w:lang w:val="en-US" w:eastAsia="zh-CN" w:bidi="ar-SA"/>
    </w:rPr>
  </w:style>
  <w:style w:type="paragraph" w:customStyle="1" w:styleId="405">
    <w:name w:val="Normal_19_3"/>
    <w:next w:val="348"/>
    <w:qFormat/>
    <w:uiPriority w:val="0"/>
    <w:pPr>
      <w:widowControl w:val="0"/>
      <w:jc w:val="both"/>
    </w:pPr>
    <w:rPr>
      <w:rFonts w:ascii="Calibri" w:hAnsi="Calibri" w:eastAsia="Times New Roman" w:cs="Times New Roman"/>
      <w:szCs w:val="24"/>
      <w:lang w:val="en-US" w:eastAsia="zh-CN" w:bidi="ar-SA"/>
    </w:rPr>
  </w:style>
  <w:style w:type="paragraph" w:customStyle="1" w:styleId="406">
    <w:name w:val="Normal_22_0_0"/>
    <w:qFormat/>
    <w:uiPriority w:val="0"/>
    <w:pPr>
      <w:widowControl w:val="0"/>
      <w:jc w:val="both"/>
    </w:pPr>
    <w:rPr>
      <w:rFonts w:ascii="Calibri" w:hAnsi="Calibri" w:eastAsia="宋体" w:cs="Times New Roman"/>
      <w:szCs w:val="24"/>
      <w:lang w:val="en-US" w:eastAsia="zh-CN" w:bidi="ar-SA"/>
    </w:rPr>
  </w:style>
  <w:style w:type="character" w:customStyle="1" w:styleId="407">
    <w:name w:val="custom-tag-placeholder-class"/>
    <w:qFormat/>
    <w:uiPriority w:val="0"/>
  </w:style>
  <w:style w:type="paragraph" w:customStyle="1" w:styleId="408">
    <w:name w:val="Normal_19_0_0"/>
    <w:basedOn w:val="138"/>
    <w:next w:val="409"/>
    <w:qFormat/>
    <w:uiPriority w:val="0"/>
    <w:rPr>
      <w:rFonts w:ascii="Calibri" w:hAnsi="Calibri" w:eastAsia="Times New Roman"/>
      <w:sz w:val="24"/>
    </w:rPr>
  </w:style>
  <w:style w:type="paragraph" w:customStyle="1" w:styleId="409">
    <w:name w:val="Body Text First Indent_1_0_0"/>
    <w:basedOn w:val="408"/>
    <w:qFormat/>
    <w:uiPriority w:val="0"/>
    <w:pPr>
      <w:spacing w:after="120"/>
      <w:ind w:firstLine="100"/>
    </w:pPr>
  </w:style>
  <w:style w:type="paragraph" w:customStyle="1" w:styleId="410">
    <w:name w:val="正文首行缩进1"/>
    <w:basedOn w:val="411"/>
    <w:next w:val="1"/>
    <w:qFormat/>
    <w:uiPriority w:val="0"/>
    <w:pPr>
      <w:spacing w:after="120" w:line="240" w:lineRule="auto"/>
      <w:ind w:firstLine="100"/>
    </w:pPr>
    <w:rPr>
      <w:rFonts w:ascii="Times New Roman" w:hAnsi="Times New Roman" w:eastAsia="宋体"/>
      <w:sz w:val="21"/>
    </w:rPr>
  </w:style>
  <w:style w:type="paragraph" w:customStyle="1" w:styleId="411">
    <w:name w:val="正文文本1"/>
    <w:basedOn w:val="1"/>
    <w:qFormat/>
    <w:uiPriority w:val="0"/>
    <w:pPr>
      <w:spacing w:line="60" w:lineRule="auto"/>
    </w:pPr>
    <w:rPr>
      <w:rFonts w:ascii="仿宋_GB2312" w:eastAsia="仿宋_GB2312"/>
      <w:sz w:val="32"/>
    </w:rPr>
  </w:style>
  <w:style w:type="paragraph" w:customStyle="1" w:styleId="412">
    <w:name w:val="正文_2_0"/>
    <w:qFormat/>
    <w:uiPriority w:val="0"/>
    <w:pPr>
      <w:widowControl w:val="0"/>
      <w:jc w:val="both"/>
    </w:pPr>
    <w:rPr>
      <w:rFonts w:ascii="Calibri" w:hAnsi="Calibri" w:eastAsia="宋体" w:cs="Times New Roman"/>
      <w:sz w:val="21"/>
      <w:szCs w:val="22"/>
      <w:lang w:val="en-US" w:eastAsia="zh-CN" w:bidi="ar-SA"/>
    </w:rPr>
  </w:style>
  <w:style w:type="paragraph" w:customStyle="1" w:styleId="413">
    <w:name w:val="List Paragraph_0"/>
    <w:basedOn w:val="321"/>
    <w:qFormat/>
    <w:uiPriority w:val="0"/>
    <w:pPr>
      <w:ind w:firstLine="420"/>
    </w:pPr>
  </w:style>
  <w:style w:type="paragraph" w:customStyle="1" w:styleId="414">
    <w:name w:val="纯文本_1"/>
    <w:basedOn w:val="412"/>
    <w:qFormat/>
    <w:uiPriority w:val="0"/>
    <w:rPr>
      <w:rFonts w:ascii="宋体" w:hAnsi="Times New Roman"/>
      <w:sz w:val="20"/>
      <w:szCs w:val="21"/>
    </w:rPr>
  </w:style>
  <w:style w:type="paragraph" w:customStyle="1" w:styleId="415">
    <w:name w:val="正文_16_0_0"/>
    <w:next w:val="416"/>
    <w:qFormat/>
    <w:uiPriority w:val="0"/>
    <w:pPr>
      <w:widowControl w:val="0"/>
      <w:jc w:val="both"/>
    </w:pPr>
    <w:rPr>
      <w:rFonts w:ascii="Calibri" w:hAnsi="Calibri" w:eastAsia="宋体" w:cs="Times New Roman"/>
      <w:sz w:val="21"/>
      <w:szCs w:val="22"/>
      <w:lang w:val="en-US" w:eastAsia="zh-CN" w:bidi="ar-SA"/>
    </w:rPr>
  </w:style>
  <w:style w:type="paragraph" w:customStyle="1" w:styleId="416">
    <w:name w:val="正文1_0"/>
    <w:basedOn w:val="412"/>
    <w:qFormat/>
    <w:uiPriority w:val="0"/>
    <w:pPr>
      <w:widowControl/>
      <w:spacing w:line="360" w:lineRule="auto"/>
      <w:ind w:left="357" w:firstLine="420"/>
      <w:jc w:val="left"/>
    </w:pPr>
    <w:rPr>
      <w:rFonts w:cs="Arial"/>
      <w:szCs w:val="20"/>
    </w:rPr>
  </w:style>
  <w:style w:type="paragraph" w:customStyle="1" w:styleId="417">
    <w:name w:val="正文_11_0"/>
    <w:basedOn w:val="183"/>
    <w:qFormat/>
    <w:uiPriority w:val="0"/>
    <w:rPr>
      <w:rFonts w:ascii="Calibri" w:hAnsi="Calibri"/>
      <w:szCs w:val="20"/>
    </w:rPr>
  </w:style>
  <w:style w:type="paragraph" w:customStyle="1" w:styleId="418">
    <w:name w:val="Normal_19_0_0_0"/>
    <w:basedOn w:val="46"/>
    <w:qFormat/>
    <w:uiPriority w:val="0"/>
    <w:rPr>
      <w:rFonts w:cs="黑体"/>
      <w:szCs w:val="24"/>
    </w:rPr>
  </w:style>
  <w:style w:type="paragraph" w:customStyle="1" w:styleId="419">
    <w:name w:val="无间隔11"/>
    <w:basedOn w:val="329"/>
    <w:qFormat/>
    <w:uiPriority w:val="0"/>
    <w:rPr>
      <w:rFonts w:ascii="Calibri" w:hAnsi="Calibri" w:cs="Calibri"/>
    </w:rPr>
  </w:style>
  <w:style w:type="paragraph" w:customStyle="1" w:styleId="420">
    <w:name w:val="标题 31"/>
    <w:basedOn w:val="329"/>
    <w:next w:val="421"/>
    <w:qFormat/>
    <w:uiPriority w:val="0"/>
    <w:pPr>
      <w:keepNext/>
      <w:keepLines/>
      <w:spacing w:before="260" w:after="260" w:line="413" w:lineRule="auto"/>
      <w:outlineLvl w:val="2"/>
    </w:pPr>
    <w:rPr>
      <w:b/>
      <w:sz w:val="32"/>
      <w:szCs w:val="20"/>
    </w:rPr>
  </w:style>
  <w:style w:type="paragraph" w:customStyle="1" w:styleId="421">
    <w:name w:val="正文缩进1"/>
    <w:basedOn w:val="1"/>
    <w:next w:val="1"/>
    <w:qFormat/>
    <w:uiPriority w:val="0"/>
    <w:pPr>
      <w:ind w:firstLine="420"/>
      <w:jc w:val="left"/>
    </w:pPr>
    <w:rPr>
      <w:rFonts w:ascii="宋体"/>
      <w:sz w:val="24"/>
    </w:rPr>
  </w:style>
  <w:style w:type="character" w:customStyle="1" w:styleId="422">
    <w:name w:val="标题 2 Char_0"/>
    <w:link w:val="423"/>
    <w:qFormat/>
    <w:uiPriority w:val="0"/>
    <w:rPr>
      <w:rFonts w:ascii="Arial" w:hAnsi="Arial" w:eastAsia="黑体"/>
      <w:b/>
      <w:sz w:val="32"/>
      <w:szCs w:val="22"/>
    </w:rPr>
  </w:style>
  <w:style w:type="paragraph" w:customStyle="1" w:styleId="423">
    <w:name w:val="标题 21"/>
    <w:basedOn w:val="47"/>
    <w:next w:val="47"/>
    <w:link w:val="422"/>
    <w:unhideWhenUsed/>
    <w:qFormat/>
    <w:uiPriority w:val="0"/>
    <w:pPr>
      <w:keepNext/>
      <w:keepLines/>
      <w:spacing w:before="260" w:after="260" w:line="413" w:lineRule="auto"/>
      <w:outlineLvl w:val="1"/>
    </w:pPr>
    <w:rPr>
      <w:rFonts w:ascii="Arial" w:hAnsi="Arial"/>
      <w:szCs w:val="22"/>
    </w:rPr>
  </w:style>
  <w:style w:type="paragraph" w:customStyle="1" w:styleId="424">
    <w:name w:val="Normal_19_1_0_0"/>
    <w:next w:val="425"/>
    <w:qFormat/>
    <w:uiPriority w:val="0"/>
    <w:pPr>
      <w:widowControl w:val="0"/>
      <w:jc w:val="both"/>
    </w:pPr>
    <w:rPr>
      <w:rFonts w:ascii="Calibri" w:hAnsi="Calibri" w:eastAsia="宋体" w:cs="Times New Roman"/>
      <w:sz w:val="21"/>
      <w:szCs w:val="24"/>
      <w:lang w:val="en-US" w:eastAsia="zh-CN" w:bidi="ar-SA"/>
    </w:rPr>
  </w:style>
  <w:style w:type="paragraph" w:customStyle="1" w:styleId="425">
    <w:name w:val="正文_16_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26">
    <w:name w:val="正文1_0_0"/>
    <w:basedOn w:val="47"/>
    <w:qFormat/>
    <w:uiPriority w:val="0"/>
    <w:pPr>
      <w:spacing w:line="360" w:lineRule="auto"/>
      <w:ind w:left="357" w:firstLine="420"/>
    </w:pPr>
    <w:rPr>
      <w:rFonts w:eastAsia="Times New Roman" w:cs="Arial"/>
    </w:rPr>
  </w:style>
  <w:style w:type="paragraph" w:customStyle="1" w:styleId="427">
    <w:name w:val="普通正文"/>
    <w:basedOn w:val="1"/>
    <w:qFormat/>
    <w:uiPriority w:val="0"/>
    <w:pPr>
      <w:spacing w:before="120" w:after="120" w:line="360" w:lineRule="auto"/>
      <w:ind w:firstLine="480"/>
      <w:jc w:val="left"/>
    </w:pPr>
    <w:rPr>
      <w:rFonts w:ascii="Arial" w:hAnsi="Arial"/>
      <w:sz w:val="24"/>
      <w:szCs w:val="24"/>
    </w:rPr>
  </w:style>
  <w:style w:type="paragraph" w:customStyle="1" w:styleId="428">
    <w:name w:val="正文空2字"/>
    <w:basedOn w:val="429"/>
    <w:qFormat/>
    <w:uiPriority w:val="99"/>
    <w:pPr>
      <w:widowControl w:val="0"/>
      <w:spacing w:line="560" w:lineRule="exact"/>
      <w:ind w:firstLine="640"/>
    </w:pPr>
    <w:rPr>
      <w:rFonts w:ascii="仿宋_GB2312" w:hAnsi="仿宋_GB2312" w:cs="仿宋_GB2312"/>
      <w:lang w:val="zh-TW"/>
    </w:rPr>
  </w:style>
  <w:style w:type="paragraph" w:customStyle="1" w:styleId="429">
    <w:name w:val="左对齐正文"/>
    <w:qFormat/>
    <w:uiPriority w:val="99"/>
    <w:rPr>
      <w:rFonts w:ascii="Calibri" w:hAnsi="Calibri" w:eastAsia="仿宋_GB2312" w:cs="Calibri"/>
      <w:sz w:val="32"/>
      <w:szCs w:val="32"/>
      <w:lang w:val="en-US" w:eastAsia="zh-CN" w:bidi="ar-SA"/>
    </w:rPr>
  </w:style>
  <w:style w:type="paragraph" w:customStyle="1" w:styleId="430">
    <w:name w:val="普通(网站)1"/>
    <w:basedOn w:val="1"/>
    <w:qFormat/>
    <w:uiPriority w:val="0"/>
    <w:rPr>
      <w:sz w:val="24"/>
    </w:rPr>
  </w:style>
  <w:style w:type="character" w:customStyle="1" w:styleId="431">
    <w:name w:val="16"/>
    <w:qFormat/>
    <w:uiPriority w:val="0"/>
    <w:rPr>
      <w:rFonts w:ascii="Times New Roman" w:hAnsi="Times New Roman"/>
      <w:sz w:val="21"/>
      <w:szCs w:val="21"/>
      <w:lang w:val="en-US" w:eastAsia="zh-CN" w:bidi="ar-SA"/>
    </w:rPr>
  </w:style>
  <w:style w:type="paragraph" w:customStyle="1" w:styleId="432">
    <w:name w:val="正文缩进_1"/>
    <w:basedOn w:val="321"/>
    <w:qFormat/>
    <w:uiPriority w:val="0"/>
    <w:pPr>
      <w:ind w:firstLine="420"/>
    </w:pPr>
    <w:rPr>
      <w:rFonts w:ascii="宋体"/>
      <w:color w:val="000000"/>
      <w:sz w:val="24"/>
      <w:szCs w:val="20"/>
    </w:rPr>
  </w:style>
  <w:style w:type="paragraph" w:customStyle="1" w:styleId="433">
    <w:name w:val="Table Paragraph"/>
    <w:basedOn w:val="138"/>
    <w:qFormat/>
    <w:uiPriority w:val="1"/>
    <w:rPr>
      <w:rFonts w:ascii="宋体" w:hAnsi="宋体" w:cs="宋体"/>
      <w:sz w:val="22"/>
      <w:lang w:val="zh-CN" w:bidi="zh-CN"/>
    </w:rPr>
  </w:style>
  <w:style w:type="paragraph" w:customStyle="1" w:styleId="434">
    <w:name w:val="Normal_19_2"/>
    <w:basedOn w:val="435"/>
    <w:qFormat/>
    <w:uiPriority w:val="0"/>
    <w:rPr>
      <w:rFonts w:ascii="Times New Roman" w:hAnsi="Times New Roman"/>
      <w:szCs w:val="21"/>
    </w:rPr>
  </w:style>
  <w:style w:type="paragraph" w:customStyle="1" w:styleId="435">
    <w:name w:val="正文_3_0"/>
    <w:qFormat/>
    <w:uiPriority w:val="0"/>
    <w:pPr>
      <w:widowControl w:val="0"/>
      <w:jc w:val="both"/>
    </w:pPr>
    <w:rPr>
      <w:rFonts w:ascii="Calibri" w:hAnsi="Calibri" w:eastAsia="宋体" w:cs="Times New Roman"/>
      <w:sz w:val="21"/>
      <w:szCs w:val="22"/>
      <w:lang w:val="en-US" w:eastAsia="zh-CN" w:bidi="ar-SA"/>
    </w:rPr>
  </w:style>
  <w:style w:type="paragraph" w:customStyle="1" w:styleId="436">
    <w:name w:val="正文文本2"/>
    <w:basedOn w:val="181"/>
    <w:qFormat/>
    <w:uiPriority w:val="0"/>
    <w:pPr>
      <w:spacing w:line="60" w:lineRule="auto"/>
    </w:pPr>
    <w:rPr>
      <w:rFonts w:ascii="仿宋_GB2312" w:eastAsia="仿宋_GB2312"/>
      <w:sz w:val="32"/>
      <w:szCs w:val="22"/>
    </w:rPr>
  </w:style>
  <w:style w:type="paragraph" w:customStyle="1" w:styleId="437">
    <w:name w:val="Normal_19_2_0"/>
    <w:basedOn w:val="438"/>
    <w:qFormat/>
    <w:uiPriority w:val="0"/>
    <w:rPr>
      <w:rFonts w:ascii="Times New Roman" w:hAnsi="Times New Roman"/>
      <w:szCs w:val="21"/>
    </w:rPr>
  </w:style>
  <w:style w:type="paragraph" w:customStyle="1" w:styleId="438">
    <w:name w:val="正文_3_1"/>
    <w:qFormat/>
    <w:uiPriority w:val="0"/>
    <w:pPr>
      <w:widowControl w:val="0"/>
      <w:jc w:val="both"/>
    </w:pPr>
    <w:rPr>
      <w:rFonts w:ascii="Calibri" w:hAnsi="Calibri" w:eastAsia="宋体" w:cs="Times New Roman"/>
      <w:sz w:val="21"/>
      <w:szCs w:val="22"/>
      <w:lang w:val="en-US" w:eastAsia="zh-CN" w:bidi="ar-SA"/>
    </w:rPr>
  </w:style>
  <w:style w:type="paragraph" w:customStyle="1" w:styleId="439">
    <w:name w:val="纯文本1"/>
    <w:basedOn w:val="182"/>
    <w:qFormat/>
    <w:uiPriority w:val="0"/>
    <w:rPr>
      <w:rFonts w:ascii="宋体" w:hAnsi="Courier New"/>
    </w:rPr>
  </w:style>
  <w:style w:type="paragraph" w:customStyle="1" w:styleId="440">
    <w:name w:val="Normal_21_0"/>
    <w:next w:val="44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41">
    <w:name w:val="Heading 1_0"/>
    <w:basedOn w:val="440"/>
    <w:next w:val="440"/>
    <w:qFormat/>
    <w:uiPriority w:val="0"/>
    <w:pPr>
      <w:keepNext/>
      <w:keepLines/>
      <w:spacing w:before="240" w:after="120" w:line="300" w:lineRule="auto"/>
      <w:jc w:val="center"/>
      <w:outlineLvl w:val="0"/>
    </w:pPr>
    <w:rPr>
      <w:rFonts w:ascii="宋体"/>
      <w:b/>
      <w:sz w:val="32"/>
      <w:szCs w:val="20"/>
    </w:rPr>
  </w:style>
  <w:style w:type="paragraph" w:customStyle="1" w:styleId="442">
    <w:name w:val="正文_12_0_0_0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443">
    <w:name w:val="正文文本 字符"/>
    <w:qFormat/>
    <w:uiPriority w:val="0"/>
    <w:rPr>
      <w:rFonts w:ascii="楷体_GB2312" w:hAnsi="Arial" w:eastAsia="楷体_GB2312" w:cs="Times New Roman"/>
      <w:sz w:val="28"/>
      <w:szCs w:val="28"/>
    </w:rPr>
  </w:style>
  <w:style w:type="character" w:customStyle="1" w:styleId="444">
    <w:name w:val="正文文本缩进 字符"/>
    <w:qFormat/>
    <w:uiPriority w:val="0"/>
    <w:rPr>
      <w:rFonts w:ascii="楷体_GB2312" w:hAnsi="Times New Roman" w:eastAsia="楷体_GB2312" w:cs="Times New Roman"/>
      <w:sz w:val="32"/>
      <w:szCs w:val="32"/>
    </w:rPr>
  </w:style>
  <w:style w:type="character" w:customStyle="1" w:styleId="445">
    <w:name w:val="正文文本 字符1"/>
    <w:qFormat/>
    <w:uiPriority w:val="0"/>
    <w:rPr>
      <w:rFonts w:ascii="Calibri" w:hAnsi="Calibri"/>
      <w:sz w:val="28"/>
      <w:szCs w:val="24"/>
    </w:rPr>
  </w:style>
  <w:style w:type="character" w:customStyle="1" w:styleId="446">
    <w:name w:val="正文文本首行缩进 字符"/>
    <w:qFormat/>
    <w:uiPriority w:val="0"/>
    <w:rPr>
      <w:rFonts w:ascii="仿宋_GB2312" w:hAnsi="Calibri" w:eastAsia="仿宋_GB2312"/>
      <w:sz w:val="30"/>
      <w:szCs w:val="30"/>
    </w:rPr>
  </w:style>
  <w:style w:type="paragraph" w:customStyle="1" w:styleId="447">
    <w:name w:val="索引 41"/>
    <w:basedOn w:val="1"/>
    <w:next w:val="1"/>
    <w:semiHidden/>
    <w:qFormat/>
    <w:uiPriority w:val="0"/>
    <w:pPr>
      <w:ind w:left="1260"/>
    </w:pPr>
    <w:rPr>
      <w:rFonts w:eastAsia="Calibri" w:cs="宋体"/>
      <w:sz w:val="20"/>
      <w:szCs w:val="21"/>
      <w:lang w:val="zh-CN"/>
    </w:rPr>
  </w:style>
  <w:style w:type="character" w:customStyle="1" w:styleId="448">
    <w:name w:val="font5 Char"/>
    <w:qFormat/>
    <w:uiPriority w:val="0"/>
    <w:rPr>
      <w:rFonts w:ascii="宋体" w:hAnsi="宋体" w:eastAsia="宋体"/>
      <w:sz w:val="28"/>
      <w:szCs w:val="28"/>
      <w:lang w:val="en-US" w:eastAsia="zh-CN" w:bidi="ar-SA"/>
    </w:rPr>
  </w:style>
  <w:style w:type="character" w:customStyle="1" w:styleId="449">
    <w:name w:val="二级目录 Char"/>
    <w:link w:val="450"/>
    <w:qFormat/>
    <w:uiPriority w:val="0"/>
    <w:rPr>
      <w:b/>
      <w:sz w:val="30"/>
      <w:szCs w:val="28"/>
    </w:rPr>
  </w:style>
  <w:style w:type="paragraph" w:customStyle="1" w:styleId="450">
    <w:name w:val="二级目录"/>
    <w:next w:val="1"/>
    <w:link w:val="449"/>
    <w:qFormat/>
    <w:uiPriority w:val="0"/>
    <w:pPr>
      <w:numPr>
        <w:ilvl w:val="0"/>
        <w:numId w:val="1"/>
      </w:numPr>
      <w:tabs>
        <w:tab w:val="left" w:pos="907"/>
        <w:tab w:val="left" w:pos="1145"/>
      </w:tabs>
      <w:outlineLvl w:val="1"/>
    </w:pPr>
    <w:rPr>
      <w:rFonts w:ascii="Times New Roman" w:hAnsi="Times New Roman" w:eastAsia="宋体" w:cs="Times New Roman"/>
      <w:b/>
      <w:sz w:val="30"/>
      <w:szCs w:val="28"/>
      <w:lang w:val="en-US" w:eastAsia="zh-CN" w:bidi="ar-SA"/>
    </w:rPr>
  </w:style>
  <w:style w:type="character" w:customStyle="1" w:styleId="451">
    <w:name w:val="列出段落 Char"/>
    <w:link w:val="452"/>
    <w:qFormat/>
    <w:uiPriority w:val="0"/>
    <w:rPr>
      <w:rFonts w:ascii="Calibri" w:hAnsi="Calibri"/>
      <w:sz w:val="24"/>
      <w:szCs w:val="24"/>
      <w:lang w:eastAsia="en-US" w:bidi="en-US"/>
    </w:rPr>
  </w:style>
  <w:style w:type="paragraph" w:customStyle="1" w:styleId="452">
    <w:name w:val="列出段落1"/>
    <w:basedOn w:val="1"/>
    <w:link w:val="451"/>
    <w:qFormat/>
    <w:uiPriority w:val="0"/>
    <w:pPr>
      <w:widowControl/>
      <w:ind w:left="720"/>
      <w:contextualSpacing/>
      <w:jc w:val="left"/>
    </w:pPr>
    <w:rPr>
      <w:sz w:val="24"/>
      <w:szCs w:val="24"/>
      <w:lang w:eastAsia="en-US" w:bidi="en-US"/>
    </w:rPr>
  </w:style>
  <w:style w:type="paragraph" w:customStyle="1" w:styleId="453">
    <w:name w:val="Body Text(ch)"/>
    <w:basedOn w:val="1"/>
    <w:qFormat/>
    <w:uiPriority w:val="0"/>
    <w:pPr>
      <w:spacing w:after="120"/>
    </w:pPr>
    <w:rPr>
      <w:rFonts w:ascii="宋体" w:hAnsi="Arial"/>
      <w:bCs/>
      <w:iCs/>
      <w:szCs w:val="24"/>
    </w:rPr>
  </w:style>
  <w:style w:type="paragraph" w:customStyle="1" w:styleId="454">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5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456">
    <w:name w:val="Char"/>
    <w:basedOn w:val="1"/>
    <w:qFormat/>
    <w:uiPriority w:val="0"/>
    <w:pPr>
      <w:tabs>
        <w:tab w:val="left" w:pos="360"/>
      </w:tabs>
      <w:ind w:firstLine="200"/>
    </w:pPr>
    <w:rPr>
      <w:rFonts w:ascii="Times New Roman" w:hAnsi="Times New Roman"/>
      <w:sz w:val="28"/>
      <w:szCs w:val="30"/>
    </w:rPr>
  </w:style>
  <w:style w:type="paragraph" w:customStyle="1" w:styleId="457">
    <w:name w:val="Char1"/>
    <w:basedOn w:val="72"/>
    <w:qFormat/>
    <w:uiPriority w:val="0"/>
    <w:rPr>
      <w:rFonts w:ascii="Tahoma" w:hAnsi="Tahoma"/>
      <w:sz w:val="24"/>
      <w:szCs w:val="24"/>
    </w:rPr>
  </w:style>
  <w:style w:type="paragraph" w:customStyle="1" w:styleId="458">
    <w:name w:val="table_lines"/>
    <w:basedOn w:val="1"/>
    <w:qFormat/>
    <w:uiPriority w:val="0"/>
    <w:pPr>
      <w:widowControl/>
      <w:jc w:val="left"/>
    </w:pPr>
    <w:rPr>
      <w:rFonts w:ascii="Times New Roman" w:hAnsi="Times New Roman"/>
      <w:sz w:val="20"/>
      <w:szCs w:val="20"/>
      <w:lang w:val="de-DE" w:eastAsia="de-DE"/>
    </w:rPr>
  </w:style>
  <w:style w:type="paragraph" w:customStyle="1" w:styleId="459">
    <w:name w:val="附录1"/>
    <w:qFormat/>
    <w:uiPriority w:val="0"/>
    <w:pPr>
      <w:tabs>
        <w:tab w:val="left" w:pos="907"/>
      </w:tabs>
      <w:spacing w:before="240" w:line="600" w:lineRule="atLeast"/>
    </w:pPr>
    <w:rPr>
      <w:rFonts w:ascii="Times New Roman" w:hAnsi="Times New Roman" w:eastAsia="宋体" w:cs="Times New Roman"/>
      <w:b/>
      <w:i/>
      <w:sz w:val="28"/>
      <w:lang w:val="en-US" w:eastAsia="zh-CN" w:bidi="ar-SA"/>
    </w:rPr>
  </w:style>
  <w:style w:type="paragraph" w:customStyle="1" w:styleId="460">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61">
    <w:name w:val="Char Char Char Char"/>
    <w:basedOn w:val="72"/>
    <w:qFormat/>
    <w:uiPriority w:val="0"/>
    <w:pPr>
      <w:spacing w:line="360" w:lineRule="auto"/>
    </w:pPr>
    <w:rPr>
      <w:rFonts w:ascii="Tahoma" w:hAnsi="Tahoma"/>
      <w:sz w:val="24"/>
      <w:szCs w:val="24"/>
    </w:rPr>
  </w:style>
  <w:style w:type="paragraph" w:customStyle="1" w:styleId="462">
    <w:name w:val="4"/>
    <w:basedOn w:val="1"/>
    <w:next w:val="107"/>
    <w:qFormat/>
    <w:uiPriority w:val="0"/>
    <w:pPr>
      <w:spacing w:line="360" w:lineRule="auto"/>
      <w:ind w:firstLine="420"/>
    </w:pPr>
    <w:rPr>
      <w:rFonts w:ascii="Times New Roman" w:hAnsi="Times New Roman"/>
      <w:color w:val="FF0000"/>
      <w:sz w:val="24"/>
      <w:szCs w:val="24"/>
    </w:rPr>
  </w:style>
  <w:style w:type="paragraph" w:customStyle="1" w:styleId="463">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464">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465">
    <w:name w:val="样式1"/>
    <w:basedOn w:val="1"/>
    <w:qFormat/>
    <w:uiPriority w:val="0"/>
    <w:pPr>
      <w:numPr>
        <w:ilvl w:val="0"/>
        <w:numId w:val="2"/>
      </w:numPr>
      <w:tabs>
        <w:tab w:val="left" w:pos="709"/>
      </w:tabs>
    </w:pPr>
    <w:rPr>
      <w:rFonts w:ascii="宋体" w:hAnsi="宋体"/>
      <w:szCs w:val="21"/>
    </w:rPr>
  </w:style>
  <w:style w:type="paragraph" w:customStyle="1" w:styleId="466">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467">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468">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469">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470">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71">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72">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73">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74">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75">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476">
    <w:name w:val="Char Char Char Char1"/>
    <w:basedOn w:val="72"/>
    <w:qFormat/>
    <w:uiPriority w:val="0"/>
    <w:pPr>
      <w:spacing w:line="360" w:lineRule="auto"/>
    </w:pPr>
    <w:rPr>
      <w:rFonts w:ascii="Tahoma" w:hAnsi="Tahoma"/>
      <w:sz w:val="24"/>
      <w:szCs w:val="24"/>
    </w:rPr>
  </w:style>
  <w:style w:type="paragraph" w:customStyle="1" w:styleId="477">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478">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479">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480">
    <w:name w:val="修订1"/>
    <w:semiHidden/>
    <w:qFormat/>
    <w:uiPriority w:val="99"/>
    <w:rPr>
      <w:rFonts w:ascii="Times New Roman" w:hAnsi="Times New Roman" w:eastAsia="宋体" w:cs="Times New Roman"/>
      <w:sz w:val="21"/>
      <w:szCs w:val="21"/>
      <w:lang w:val="en-US" w:eastAsia="zh-CN" w:bidi="ar-SA"/>
    </w:rPr>
  </w:style>
  <w:style w:type="table" w:customStyle="1" w:styleId="481">
    <w:name w:val="Table Normal"/>
    <w:qFormat/>
    <w:uiPriority w:val="0"/>
    <w:tblPr>
      <w:tblCellMar>
        <w:top w:w="0" w:type="dxa"/>
        <w:left w:w="0" w:type="dxa"/>
        <w:bottom w:w="0" w:type="dxa"/>
        <w:right w:w="0" w:type="dxa"/>
      </w:tblCellMar>
    </w:tblPr>
  </w:style>
  <w:style w:type="paragraph" w:customStyle="1" w:styleId="482">
    <w:name w:val="正文文本12"/>
    <w:basedOn w:val="1"/>
    <w:qFormat/>
    <w:uiPriority w:val="1"/>
    <w:pPr>
      <w:ind w:left="120"/>
    </w:pPr>
    <w:rPr>
      <w:rFonts w:ascii="宋体" w:hAnsi="宋体" w:cs="宋体"/>
      <w:szCs w:val="21"/>
      <w:lang w:val="zh-CN" w:bidi="zh-CN"/>
    </w:rPr>
  </w:style>
  <w:style w:type="paragraph" w:customStyle="1" w:styleId="483">
    <w:name w:val="部分1"/>
    <w:basedOn w:val="1"/>
    <w:qFormat/>
    <w:uiPriority w:val="0"/>
    <w:pPr>
      <w:keepNext/>
      <w:pageBreakBefore/>
      <w:tabs>
        <w:tab w:val="left" w:pos="720"/>
      </w:tabs>
      <w:spacing w:line="360" w:lineRule="auto"/>
      <w:jc w:val="center"/>
      <w:outlineLvl w:val="0"/>
    </w:pPr>
    <w:rPr>
      <w:rFonts w:ascii="Times New Roman" w:hAnsi="Times New Roman" w:eastAsia="黑体"/>
      <w:b/>
      <w:sz w:val="36"/>
      <w:szCs w:val="20"/>
    </w:rPr>
  </w:style>
  <w:style w:type="character" w:customStyle="1" w:styleId="484">
    <w:name w:val="15"/>
    <w:qFormat/>
    <w:uiPriority w:val="0"/>
    <w:rPr>
      <w:rFonts w:ascii="Times New Roman" w:hAnsi="Times New Roman" w:cs="Times New Roman"/>
    </w:rPr>
  </w:style>
  <w:style w:type="paragraph" w:customStyle="1" w:styleId="485">
    <w:name w:val="正文文本缩进 2_0"/>
    <w:basedOn w:val="321"/>
    <w:qFormat/>
    <w:uiPriority w:val="0"/>
    <w:pPr>
      <w:spacing w:line="540" w:lineRule="exact"/>
      <w:ind w:firstLine="720"/>
      <w:jc w:val="left"/>
    </w:pPr>
    <w:rPr>
      <w:rFonts w:ascii="仿宋_GB2312" w:hAnsi="仿宋_GB2312" w:cs="宋体"/>
      <w:sz w:val="32"/>
      <w:szCs w:val="32"/>
    </w:rPr>
  </w:style>
  <w:style w:type="character" w:customStyle="1" w:styleId="486">
    <w:name w:val="10"/>
    <w:qFormat/>
    <w:uiPriority w:val="0"/>
    <w:rPr>
      <w:rFonts w:ascii="Times New Roman" w:hAnsi="Times New Roman" w:cs="Times New Roman"/>
    </w:rPr>
  </w:style>
  <w:style w:type="paragraph" w:customStyle="1" w:styleId="487">
    <w:name w:val="正文_16_1"/>
    <w:basedOn w:val="1"/>
    <w:qFormat/>
    <w:uiPriority w:val="0"/>
    <w:rPr>
      <w:rFonts w:ascii="Times New Roman" w:hAnsi="Times New Roman"/>
      <w:szCs w:val="21"/>
    </w:rPr>
  </w:style>
  <w:style w:type="paragraph" w:customStyle="1" w:styleId="488">
    <w:name w:val="页脚1"/>
    <w:basedOn w:val="1"/>
    <w:qFormat/>
    <w:uiPriority w:val="0"/>
    <w:pPr>
      <w:tabs>
        <w:tab w:val="center" w:pos="4153"/>
        <w:tab w:val="right" w:pos="8306"/>
      </w:tabs>
      <w:jc w:val="left"/>
    </w:pPr>
    <w:rPr>
      <w:sz w:val="18"/>
      <w:szCs w:val="18"/>
    </w:rPr>
  </w:style>
  <w:style w:type="character" w:customStyle="1" w:styleId="489">
    <w:name w:val="页码1"/>
    <w:qFormat/>
    <w:uiPriority w:val="0"/>
  </w:style>
  <w:style w:type="paragraph" w:customStyle="1" w:styleId="490">
    <w:name w:val="*正文"/>
    <w:basedOn w:val="44"/>
    <w:qFormat/>
    <w:uiPriority w:val="0"/>
    <w:pPr>
      <w:ind w:firstLine="200"/>
    </w:pPr>
    <w:rPr>
      <w:rFonts w:hAnsi="宋体"/>
      <w:szCs w:val="24"/>
    </w:rPr>
  </w:style>
  <w:style w:type="paragraph" w:customStyle="1" w:styleId="491">
    <w:name w:val="*正文_0"/>
    <w:basedOn w:val="492"/>
    <w:qFormat/>
    <w:uiPriority w:val="0"/>
    <w:pPr>
      <w:spacing w:line="360" w:lineRule="auto"/>
      <w:ind w:firstLine="200"/>
    </w:pPr>
    <w:rPr>
      <w:rFonts w:ascii="宋体" w:hAnsi="宋体" w:eastAsia="Arial" w:cs="Arial"/>
      <w:color w:val="000000"/>
      <w:sz w:val="24"/>
    </w:rPr>
  </w:style>
  <w:style w:type="paragraph" w:customStyle="1" w:styleId="492">
    <w:name w:val="正文缩进_2"/>
    <w:basedOn w:val="346"/>
    <w:unhideWhenUsed/>
    <w:qFormat/>
    <w:uiPriority w:val="0"/>
    <w:pPr>
      <w:widowControl/>
      <w:ind w:firstLine="420"/>
      <w:jc w:val="left"/>
    </w:pPr>
    <w:rPr>
      <w:rFonts w:ascii="Times New Roman" w:hAnsi="Times New Roman"/>
      <w:sz w:val="20"/>
      <w:szCs w:val="24"/>
    </w:rPr>
  </w:style>
  <w:style w:type="paragraph" w:customStyle="1" w:styleId="493">
    <w:name w:val="*正文_0_0"/>
    <w:basedOn w:val="346"/>
    <w:qFormat/>
    <w:uiPriority w:val="0"/>
    <w:pPr>
      <w:widowControl/>
      <w:spacing w:line="360" w:lineRule="auto"/>
      <w:ind w:firstLine="200"/>
      <w:jc w:val="left"/>
    </w:pPr>
    <w:rPr>
      <w:rFonts w:ascii="宋体" w:hAnsi="宋体" w:eastAsia="Arial" w:cs="Arial"/>
      <w:color w:val="000000"/>
      <w:sz w:val="24"/>
      <w:szCs w:val="24"/>
    </w:rPr>
  </w:style>
  <w:style w:type="paragraph" w:customStyle="1" w:styleId="494">
    <w:name w:val="无间隔1_0_0"/>
    <w:basedOn w:val="346"/>
    <w:qFormat/>
    <w:uiPriority w:val="0"/>
    <w:rPr>
      <w:rFonts w:ascii="Times New Roman" w:hAnsi="Times New Roman"/>
      <w:szCs w:val="21"/>
    </w:rPr>
  </w:style>
  <w:style w:type="paragraph" w:customStyle="1" w:styleId="495">
    <w:name w:val="正文_0_2"/>
    <w:qFormat/>
    <w:uiPriority w:val="0"/>
    <w:pPr>
      <w:widowControl w:val="0"/>
      <w:jc w:val="both"/>
    </w:pPr>
    <w:rPr>
      <w:rFonts w:ascii="Times New Roman" w:hAnsi="Times New Roman" w:eastAsia="宋体" w:cs="Times New Roman"/>
      <w:szCs w:val="24"/>
      <w:lang w:val="en-US" w:eastAsia="zh-CN" w:bidi="ar-SA"/>
    </w:rPr>
  </w:style>
  <w:style w:type="paragraph" w:customStyle="1" w:styleId="496">
    <w:name w:val="标题 4_0"/>
    <w:basedOn w:val="497"/>
    <w:next w:val="497"/>
    <w:unhideWhenUsed/>
    <w:qFormat/>
    <w:uiPriority w:val="9"/>
    <w:pPr>
      <w:keepNext/>
      <w:keepLines/>
      <w:spacing w:before="280" w:after="290" w:line="372" w:lineRule="auto"/>
      <w:outlineLvl w:val="3"/>
    </w:pPr>
    <w:rPr>
      <w:rFonts w:ascii="Arial" w:hAnsi="Arial" w:eastAsia="黑体"/>
      <w:b/>
      <w:sz w:val="28"/>
    </w:rPr>
  </w:style>
  <w:style w:type="paragraph" w:customStyle="1" w:styleId="497">
    <w:name w:val="正文4"/>
    <w:qFormat/>
    <w:uiPriority w:val="0"/>
    <w:pPr>
      <w:widowControl w:val="0"/>
      <w:jc w:val="both"/>
    </w:pPr>
    <w:rPr>
      <w:rFonts w:ascii="Calibri" w:hAnsi="Calibri" w:eastAsia="宋体" w:cs="Times New Roman"/>
      <w:lang w:val="en-US" w:eastAsia="zh-CN" w:bidi="ar-SA"/>
    </w:rPr>
  </w:style>
  <w:style w:type="paragraph" w:customStyle="1" w:styleId="498">
    <w:name w:val="正文_3_0_0"/>
    <w:qFormat/>
    <w:uiPriority w:val="0"/>
    <w:pPr>
      <w:widowControl w:val="0"/>
      <w:jc w:val="both"/>
    </w:pPr>
    <w:rPr>
      <w:rFonts w:ascii="Times New Roman" w:hAnsi="Times New Roman" w:eastAsia="宋体" w:cs="Times New Roman"/>
      <w:lang w:val="en-US" w:eastAsia="zh-CN" w:bidi="ar-SA"/>
    </w:rPr>
  </w:style>
  <w:style w:type="paragraph" w:customStyle="1" w:styleId="499">
    <w:name w:val="p17_0_0"/>
    <w:basedOn w:val="390"/>
    <w:qFormat/>
    <w:uiPriority w:val="0"/>
    <w:pPr>
      <w:widowControl/>
      <w:spacing w:before="100" w:beforeAutospacing="1" w:after="100" w:afterAutospacing="1"/>
      <w:jc w:val="left"/>
    </w:pPr>
    <w:rPr>
      <w:rFonts w:ascii="宋体" w:hAnsi="宋体" w:eastAsia="Times New Roman" w:cs="宋体"/>
      <w:sz w:val="24"/>
    </w:rPr>
  </w:style>
  <w:style w:type="paragraph" w:customStyle="1" w:styleId="500">
    <w:name w:val="p17_0"/>
    <w:basedOn w:val="47"/>
    <w:qFormat/>
    <w:uiPriority w:val="0"/>
    <w:pPr>
      <w:spacing w:before="100" w:beforeAutospacing="1" w:after="100" w:afterAutospacing="1"/>
    </w:pPr>
    <w:rPr>
      <w:rFonts w:ascii="宋体" w:hAnsi="宋体" w:eastAsia="Times New Roman" w:cs="宋体"/>
      <w:sz w:val="24"/>
    </w:rPr>
  </w:style>
  <w:style w:type="paragraph" w:customStyle="1" w:styleId="501">
    <w:name w:val="普通(网站)11"/>
    <w:basedOn w:val="1"/>
    <w:qFormat/>
    <w:uiPriority w:val="99"/>
    <w:rPr>
      <w:sz w:val="24"/>
    </w:rPr>
  </w:style>
  <w:style w:type="paragraph" w:customStyle="1" w:styleId="502">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503">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504">
    <w:name w:val="列出段落2"/>
    <w:basedOn w:val="1"/>
    <w:qFormat/>
    <w:uiPriority w:val="0"/>
    <w:pPr>
      <w:widowControl/>
      <w:ind w:left="720"/>
      <w:contextualSpacing/>
      <w:jc w:val="left"/>
    </w:pPr>
    <w:rPr>
      <w:sz w:val="24"/>
      <w:szCs w:val="24"/>
      <w:lang w:eastAsia="en-US" w:bidi="en-US"/>
    </w:rPr>
  </w:style>
  <w:style w:type="paragraph" w:customStyle="1" w:styleId="505">
    <w:name w:val="正文_19"/>
    <w:qFormat/>
    <w:uiPriority w:val="0"/>
    <w:pPr>
      <w:widowControl w:val="0"/>
      <w:jc w:val="both"/>
    </w:pPr>
    <w:rPr>
      <w:rFonts w:ascii="Calibri" w:hAnsi="Calibri" w:eastAsia="宋体" w:cs="Times New Roman"/>
      <w:sz w:val="21"/>
      <w:szCs w:val="24"/>
      <w:lang w:val="en-US" w:eastAsia="zh-CN" w:bidi="ar-SA"/>
    </w:rPr>
  </w:style>
  <w:style w:type="character" w:customStyle="1" w:styleId="506">
    <w:name w:val="font41"/>
    <w:qFormat/>
    <w:uiPriority w:val="0"/>
    <w:rPr>
      <w:rFonts w:ascii="方正仿宋_GBK" w:hAnsi="方正仿宋_GBK" w:eastAsia="方正仿宋_GBK" w:cs="方正仿宋_GBK"/>
      <w:color w:val="000000"/>
      <w:sz w:val="24"/>
      <w:szCs w:val="24"/>
      <w:u w:val="none"/>
    </w:rPr>
  </w:style>
  <w:style w:type="character" w:customStyle="1" w:styleId="507">
    <w:name w:val="font31"/>
    <w:qFormat/>
    <w:uiPriority w:val="0"/>
    <w:rPr>
      <w:rFonts w:hint="default" w:ascii="Times New Roman" w:hAnsi="Times New Roman" w:cs="Times New Roman"/>
      <w:color w:val="000000"/>
      <w:sz w:val="24"/>
      <w:szCs w:val="24"/>
      <w:u w:val="none"/>
    </w:rPr>
  </w:style>
  <w:style w:type="character" w:customStyle="1" w:styleId="508">
    <w:name w:val="font61"/>
    <w:qFormat/>
    <w:uiPriority w:val="0"/>
    <w:rPr>
      <w:rFonts w:ascii="方正仿宋_GBK" w:hAnsi="方正仿宋_GBK" w:eastAsia="方正仿宋_GBK" w:cs="方正仿宋_GBK"/>
      <w:color w:val="000000"/>
      <w:sz w:val="24"/>
      <w:szCs w:val="24"/>
      <w:u w:val="none"/>
    </w:rPr>
  </w:style>
  <w:style w:type="character" w:customStyle="1" w:styleId="509">
    <w:name w:val="font51"/>
    <w:qFormat/>
    <w:uiPriority w:val="0"/>
    <w:rPr>
      <w:rFonts w:hint="default" w:ascii="Times New Roman" w:hAnsi="Times New Roman" w:cs="Times New Roman"/>
      <w:color w:val="000000"/>
      <w:sz w:val="24"/>
      <w:szCs w:val="24"/>
      <w:u w:val="none"/>
    </w:rPr>
  </w:style>
  <w:style w:type="paragraph" w:customStyle="1" w:styleId="510">
    <w:name w:val="1正文"/>
    <w:basedOn w:val="1"/>
    <w:qFormat/>
    <w:uiPriority w:val="0"/>
    <w:pPr>
      <w:spacing w:line="360" w:lineRule="auto"/>
      <w:ind w:firstLine="200"/>
    </w:pPr>
    <w:rPr>
      <w:rFonts w:cs="Calibri"/>
      <w:sz w:val="24"/>
      <w:szCs w:val="20"/>
    </w:rPr>
  </w:style>
  <w:style w:type="character" w:customStyle="1" w:styleId="511">
    <w:name w:val="font71"/>
    <w:basedOn w:val="32"/>
    <w:qFormat/>
    <w:uiPriority w:val="0"/>
    <w:rPr>
      <w:rFonts w:ascii="MS Mincho" w:hAnsi="MS Mincho" w:eastAsia="MS Mincho" w:cs="MS Mincho"/>
      <w:color w:val="000000"/>
      <w:sz w:val="24"/>
      <w:szCs w:val="24"/>
      <w:u w:val="none"/>
    </w:rPr>
  </w:style>
  <w:style w:type="character" w:customStyle="1" w:styleId="512">
    <w:name w:val="font81"/>
    <w:basedOn w:val="32"/>
    <w:qFormat/>
    <w:uiPriority w:val="0"/>
    <w:rPr>
      <w:rFonts w:hint="eastAsia" w:ascii="宋体" w:hAnsi="宋体" w:eastAsia="宋体" w:cs="宋体"/>
      <w:color w:val="000000"/>
      <w:sz w:val="24"/>
      <w:szCs w:val="24"/>
      <w:u w:val="none"/>
    </w:rPr>
  </w:style>
  <w:style w:type="character" w:customStyle="1" w:styleId="513">
    <w:name w:val="font01"/>
    <w:basedOn w:val="32"/>
    <w:qFormat/>
    <w:uiPriority w:val="0"/>
    <w:rPr>
      <w:rFonts w:hint="eastAsia" w:ascii="宋体" w:hAnsi="宋体" w:eastAsia="宋体" w:cs="宋体"/>
      <w:color w:val="000000"/>
      <w:sz w:val="24"/>
      <w:szCs w:val="24"/>
      <w:u w:val="none"/>
    </w:rPr>
  </w:style>
  <w:style w:type="character" w:customStyle="1" w:styleId="514">
    <w:name w:val="font91"/>
    <w:basedOn w:val="32"/>
    <w:qFormat/>
    <w:uiPriority w:val="0"/>
    <w:rPr>
      <w:rFonts w:hint="eastAsia" w:ascii="宋体" w:hAnsi="宋体" w:eastAsia="宋体" w:cs="宋体"/>
      <w:color w:val="000000"/>
      <w:sz w:val="24"/>
      <w:szCs w:val="24"/>
      <w:u w:val="none"/>
    </w:rPr>
  </w:style>
  <w:style w:type="paragraph" w:customStyle="1" w:styleId="515">
    <w:name w:val="Table Text"/>
    <w:basedOn w:val="1"/>
    <w:semiHidden/>
    <w:qFormat/>
    <w:uiPriority w:val="0"/>
    <w:rPr>
      <w:rFonts w:ascii="宋体" w:hAnsi="宋体" w:cs="宋体"/>
      <w:sz w:val="24"/>
      <w:szCs w:val="24"/>
      <w:lang w:eastAsia="en-US"/>
    </w:rPr>
  </w:style>
  <w:style w:type="character" w:customStyle="1" w:styleId="516">
    <w:name w:val="标题 2 Char"/>
    <w:link w:val="4"/>
    <w:qFormat/>
    <w:uiPriority w:val="0"/>
    <w:rPr>
      <w:rFonts w:ascii="Arial" w:hAnsi="Arial" w:eastAsia="Arial" w:cs="Arial"/>
      <w:sz w:val="34"/>
    </w:rPr>
  </w:style>
  <w:style w:type="character" w:customStyle="1" w:styleId="517">
    <w:name w:val="标题 3 Char"/>
    <w:link w:val="5"/>
    <w:qFormat/>
    <w:uiPriority w:val="0"/>
    <w:rPr>
      <w:rFonts w:ascii="Arial" w:hAnsi="Arial" w:eastAsia="Arial" w:cs="Arial"/>
      <w:sz w:val="30"/>
      <w:szCs w:val="3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8"/>
    <customShpInfo spid="_x0000_s1026"/>
    <customShpInfo spid="_x0000_s1027"/>
  </customShpExts>
</s:customData>
</file>

<file path=customXml/item2.xml><?xml version="1.0" encoding="utf-8"?>
<contractReview xmlns="http://schemas.wps.cn/vas-ai-hub/contract-review">
  <reviewItems>
    <reviewItem>
      <errorID>8a922808-b4fd-4440-b33e-7ee0ec7a1b38</errorID>
      <errorWord>()</errorWord>
      <group>L1_Format</group>
      <groupName>格式问题</groupName>
      <ability>L2_HalfPunc_CN</ability>
      <abilityName>全半角问题</abilityName>
      <candidateList>
        <item>（）</item>
      </candidateList>
      <explain>文本全半角错误。</explain>
      <paraID>31EEC73B</paraID>
      <start>64</start>
      <end>66</end>
      <status>unmodified</status>
      <modifiedWord/>
      <trackRevisions>false</trackRevisions>
    </reviewItem>
    <reviewItem>
      <errorID>dd491a23-eaf8-4217-83c4-cf243fdae183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4FE4A90</paraID>
      <start>28</start>
      <end>31</end>
      <status>unmodified</status>
      <modifiedWord/>
      <trackRevisions>false</trackRevisions>
    </reviewItem>
    <reviewItem>
      <errorID>46ac35da-9ef6-4758-b7be-d092fe3aa4c2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4E2074DF</paraID>
      <start>0</start>
      <end>2</end>
      <status>unmodified</status>
      <modifiedWord/>
      <trackRevisions>false</trackRevisions>
    </reviewItem>
    <reviewItem>
      <errorID>dfc9bede-e3d7-4696-a531-bf4083563956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62CB5995</paraID>
      <start>0</start>
      <end>2</end>
      <status>unmodified</status>
      <modifiedWord/>
      <trackRevisions>false</trackRevisions>
    </reviewItem>
    <reviewItem>
      <errorID>99188b5b-2d87-40a4-a200-472df0931f95</errorID>
      <errorWord>的供应商</errorWord>
      <group>L1_Grammar</group>
      <groupName>语法问题</groupName>
      <ability>L2_Grammar</ability>
      <abilityName>语法错误</abilityName>
      <candidateList>
        <item>的</item>
      </candidateList>
      <explain/>
      <paraID>266987A6</paraID>
      <start>79</start>
      <end>83</end>
      <status>unmodified</status>
      <modifiedWord/>
      <trackRevisions>false</trackRevisions>
    </reviewItem>
    <reviewItem>
      <errorID>a645c584-9c0c-441e-8e81-b12a7c69f924</errorID>
      <errorWord>。</errorWord>
      <group>L1_Punc</group>
      <groupName>标点问题</groupName>
      <ability>L2_Punc_CN</ability>
      <abilityName>标点符号问题</abilityName>
      <candidateList>
        <item/>
      </candidateList>
      <explain/>
      <paraID>266987A6</paraID>
      <start>96</start>
      <end>97</end>
      <status>unmodified</status>
      <modifiedWord/>
      <trackRevisions>false</trackRevisions>
    </reviewItem>
    <reviewItem>
      <errorID>73678bec-9c75-4b1b-a54b-cc5c2426c0f0</errorID>
      <errorWord>-</errorWord>
      <group>L1_Format</group>
      <groupName>格式问题</groupName>
      <ability>L2_HalfPunc_CN</ability>
      <abilityName>全半角问题</abilityName>
      <candidateList>
        <item>－</item>
      </candidateList>
      <explain>文本全半角错误。</explain>
      <paraID>4B719098</paraID>
      <start>104</start>
      <end>105</end>
      <status>unmodified</status>
      <modifiedWord/>
      <trackRevisions>false</trackRevisions>
    </reviewItem>
    <reviewItem>
      <errorID>c6961c09-2483-46a4-b902-6cf473d3cba4</errorID>
      <errorWord>“.</errorWord>
      <group>L1_Punc</group>
      <groupName>标点问题</groupName>
      <ability>L2_Punc_CN</ability>
      <abilityName>标点符号问题</abilityName>
      <candidateList>
        <item>“</item>
      </candidateList>
      <explain/>
      <paraID>4B719098</paraID>
      <start>131</start>
      <end>133</end>
      <status>unmodified</status>
      <modifiedWord/>
      <trackRevisions>false</trackRevisions>
    </reviewItem>
    <reviewItem>
      <errorID>1e017482-1ef8-4824-baf0-b5b586c17188</errorID>
      <errorWord>【2022】002号</errorWord>
      <group>L1_Knowledge</group>
      <groupName>知识性问题</groupName>
      <ability>L2_Knowledge</ability>
      <abilityName>其他知识</abilityName>
      <candidateList>
        <item>〔2022〕2号</item>
      </candidateList>
      <explain>发文字号格式错误。</explain>
      <paraID>163923E8</paraID>
      <start>34</start>
      <end>44</end>
      <status>unmodified</status>
      <modifiedWord/>
      <trackRevisions>false</trackRevisions>
    </reviewItem>
    <reviewItem>
      <errorID>4ef0e93e-7cbb-4f04-a9f6-6f92fbf8c25e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67D1E616</paraID>
      <start>0</start>
      <end>2</end>
      <status>unmodified</status>
      <modifiedWord/>
      <trackRevisions>false</trackRevisions>
    </reviewItem>
    <reviewItem>
      <errorID>bd59d953-b6d4-420a-84c9-7de993c39bf3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1C5B1850</paraID>
      <start>0</start>
      <end>2</end>
      <status>unmodified</status>
      <modifiedWord/>
      <trackRevisions>false</trackRevisions>
    </reviewItem>
    <reviewItem>
      <errorID>eac0c40e-ac77-4eb0-a900-af9651e0ba25</errorID>
      <errorWord>实质性要求的规定</errorWord>
      <group>L1_Word</group>
      <groupName>字词问题</groupName>
      <ability>L2_Typo</ability>
      <abilityName>字词错误</abilityName>
      <candidateList>
        <item>规定的实质性要求</item>
      </candidateList>
      <explain/>
      <paraID>5923CEDA</paraID>
      <start>8</start>
      <end>16</end>
      <status>unmodified</status>
      <modifiedWord/>
      <trackRevisions>false</trackRevisions>
    </reviewItem>
    <reviewItem>
      <errorID>5f3ea4ba-6dc8-4a99-870e-7900012508a2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30EA65C2</paraID>
      <start>0</start>
      <end>2</end>
      <status>unmodified</status>
      <modifiedWord/>
      <trackRevisions>false</trackRevisions>
    </reviewItem>
    <reviewItem>
      <errorID>975a810a-5513-45e4-9c2f-fea9332ee05c</errorID>
      <errorWord>法律、法规</errorWord>
      <group>L1_Word</group>
      <groupName>字词问题</groupName>
      <ability>L2_Typo</ability>
      <abilityName>字词错误</abilityName>
      <candidateList>
        <item>法律法规</item>
      </candidateList>
      <explain/>
      <paraID>17C4A12E</paraID>
      <start>24</start>
      <end>29</end>
      <status>unmodified</status>
      <modifiedWord/>
      <trackRevisions>false</trackRevisions>
    </reviewItem>
    <reviewItem>
      <errorID>8b72664a-2374-4dd6-9c3c-684112918421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45A9E871</paraID>
      <start>0</start>
      <end>2</end>
      <status>unmodified</status>
      <modifiedWord/>
      <trackRevisions>false</trackRevisions>
    </reviewItem>
    <reviewItem>
      <errorID>90f75083-29dd-44ed-be22-a358dee6a39e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33D1197F</paraID>
      <start>0</start>
      <end>2</end>
      <status>unmodified</status>
      <modifiedWord/>
      <trackRevisions>false</trackRevisions>
    </reviewItem>
    <reviewItem>
      <errorID>5bc94342-abb0-4afa-bdd3-10f7bef6649d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5F881456</paraID>
      <start>0</start>
      <end>2</end>
      <status>unmodified</status>
      <modifiedWord/>
      <trackRevisions>false</trackRevisions>
    </reviewItem>
    <reviewItem>
      <errorID>a49f4a16-4d35-4475-9fb2-e295e89ed4c8</errorID>
      <errorWord>》</errorWord>
      <group>L1_Word</group>
      <groupName>字词问题</groupName>
      <ability>L2_Typo</ability>
      <abilityName>字词错误</abilityName>
      <candidateList>
        <item>》和</item>
      </candidateList>
      <explain/>
      <paraID>7E5870F3</paraID>
      <start>25</start>
      <end>26</end>
      <status>unmodified</status>
      <modifiedWord/>
      <trackRevisions>false</trackRevisions>
    </reviewItem>
    <reviewItem>
      <errorID>e91ddf77-2efe-465c-91ed-ddc7f77d96e1</errorID>
      <errorWord>财政部</errorWord>
      <group>L1_Punc</group>
      <groupName>标点问题</groupName>
      <ability>L2_Punc_CN</ability>
      <abilityName>标点符号问题</abilityName>
      <candidateList>
        <item>《财政部</item>
      </candidateList>
      <explain/>
      <paraID>72A5B547</paraID>
      <start>2</start>
      <end>5</end>
      <status>unmodified</status>
      <modifiedWord/>
      <trackRevisions>false</trackRevisions>
    </reviewItem>
    <reviewItem>
      <errorID>7ddbcd16-4375-4c38-aff7-ffc9b4300a34</errorID>
      <errorWord>《</errorWord>
      <group>L1_Punc</group>
      <groupName>标点问题</groupName>
      <ability>L2_Punc_CN</ability>
      <abilityName>标点符号问题</abilityName>
      <candidateList>
        <item>〈</item>
      </candidateList>
      <explain/>
      <paraID>72A5B547</paraID>
      <start>23</start>
      <end>24</end>
      <status>unmodified</status>
      <modifiedWord/>
      <trackRevisions>false</trackRevisions>
    </reviewItem>
    <reviewItem>
      <errorID>ae0a3cd7-6907-435c-b59c-e1ee42f9aed4</errorID>
      <errorWord>》</errorWord>
      <group>L1_Punc</group>
      <groupName>标点问题</groupName>
      <ability>L2_Punc_CN</ability>
      <abilityName>标点符号问题</abilityName>
      <candidateList>
        <item>〉</item>
      </candidateList>
      <explain/>
      <paraID>72A5B547</paraID>
      <start>42</start>
      <end>43</end>
      <status>unmodified</status>
      <modifiedWord/>
      <trackRevisions>false</trackRevisions>
    </reviewItem>
    <reviewItem>
      <errorID>530cb6e2-6045-4e76-817d-60833e919c3a</errorID>
      <errorWord>）</errorWord>
      <group>L1_Punc</group>
      <groupName>标点问题</groupName>
      <ability>L2_Punc_CN</ability>
      <abilityName>标点符号问题</abilityName>
      <candidateList>
        <item>》</item>
      </candidateList>
      <explain/>
      <paraID>72A5B547</paraID>
      <start>46</start>
      <end>47</end>
      <status>unmodified</status>
      <modifiedWord/>
      <trackRevisions>false</trackRevisions>
    </reviewItem>
    <reviewItem>
      <errorID>a2e8d729-38d3-4868-85c3-39be62461597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604FFFE0</paraID>
      <start>0</start>
      <end>2</end>
      <status>unmodified</status>
      <modifiedWord/>
      <trackRevisions>false</trackRevisions>
    </reviewItem>
    <reviewItem>
      <errorID>8f79c88e-7cd2-470c-97c8-675e80f9ef57</errorID>
      <errorWord>日前</errorWord>
      <group>L1_Word</group>
      <groupName>字词问题</groupName>
      <ability>L2_Typo</ability>
      <abilityName>字词错误</abilityName>
      <candidateList>
        <item>日</item>
      </candidateList>
      <explain/>
      <paraID>777C57C7</paraID>
      <start>90</start>
      <end>92</end>
      <status>unmodified</status>
      <modifiedWord/>
      <trackRevisions>false</trackRevisions>
    </reviewItem>
    <reviewItem>
      <errorID>e3210aa5-0aa5-468d-b179-e7e28e46e30f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4895AA44</paraID>
      <start>0</start>
      <end>2</end>
      <status>unmodified</status>
      <modifiedWord/>
      <trackRevisions>false</trackRevisions>
    </reviewItem>
    <reviewItem>
      <errorID>fa524ca2-2179-4a16-a4dc-d7b15cdd65c9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9BF38F4</paraID>
      <start>0</start>
      <end>2</end>
      <status>unmodified</status>
      <modifiedWord/>
      <trackRevisions>false</trackRevisions>
    </reviewItem>
    <reviewItem>
      <errorID>6e5e7acf-ee6f-4d1a-950c-1150d875ed26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31BC3CC1</paraID>
      <start>0</start>
      <end>3</end>
      <status>unmodified</status>
      <modifiedWord/>
      <trackRevisions>false</trackRevisions>
    </reviewItem>
    <reviewItem>
      <errorID>3d2f9f9b-d59a-4c50-aeb8-a45e9eb68fc2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4AD57DA5</paraID>
      <start>0</start>
      <end>3</end>
      <status>unmodified</status>
      <modifiedWord/>
      <trackRevisions>false</trackRevisions>
    </reviewItem>
    <reviewItem>
      <errorID>584c4327-830d-4659-bbb4-136a166c4fe6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4E946776</paraID>
      <start>0</start>
      <end>3</end>
      <status>unmodified</status>
      <modifiedWord/>
      <trackRevisions>false</trackRevisions>
    </reviewItem>
    <reviewItem>
      <errorID>68ba6511-dc29-4695-9a78-d01d1b6ed879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44A62DEF</paraID>
      <start>0</start>
      <end>3</end>
      <status>unmodified</status>
      <modifiedWord/>
      <trackRevisions>false</trackRevisions>
    </reviewItem>
    <reviewItem>
      <errorID>110c9f06-ff20-401a-90f5-a026204cbf96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1D62F503</paraID>
      <start>0</start>
      <end>3</end>
      <status>unmodified</status>
      <modifiedWord/>
      <trackRevisions>false</trackRevisions>
    </reviewItem>
    <reviewItem>
      <errorID>73ff85bc-a5f3-4393-997f-ced338312619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2237156A</paraID>
      <start>0</start>
      <end>3</end>
      <status>unmodified</status>
      <modifiedWord/>
      <trackRevisions>false</trackRevisions>
    </reviewItem>
    <reviewItem>
      <errorID>f7d4d4f6-fca9-4b6d-ac0d-f62849d124c9</errorID>
      <errorWord>保持通讯畅通</errorWord>
      <group>L1_Word</group>
      <groupName>字词问题</groupName>
      <ability>L2_Typo</ability>
      <abilityName>字词错误</abilityName>
      <candidateList>
        <item>保持通信畅通</item>
      </candidateList>
      <explain/>
      <paraID>7E578A2B</paraID>
      <start>17</start>
      <end>23</end>
      <status>unmodified</status>
      <modifiedWord/>
      <trackRevisions>false</trackRevisions>
    </reviewItem>
    <reviewItem>
      <errorID>6eb0d5c0-95ff-4af1-8e20-cf95bb0c9418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1C507075</paraID>
      <start>0</start>
      <end>3</end>
      <status>unmodified</status>
      <modifiedWord/>
      <trackRevisions>false</trackRevisions>
    </reviewItem>
    <reviewItem>
      <errorID>12a11016-77f1-4141-999d-c221dccbb14d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35CBD159</paraID>
      <start>0</start>
      <end>3</end>
      <status>unmodified</status>
      <modifiedWord/>
      <trackRevisions>false</trackRevisions>
    </reviewItem>
    <reviewItem>
      <errorID>5c256e97-83ad-4a9e-91ea-4c9bc1ccf152</errorID>
      <errorWord>从</errorWord>
      <group>L1_Word</group>
      <groupName>字词问题</groupName>
      <ability>L2_Typo</ability>
      <abilityName>字词错误</abilityName>
      <candidateList>
        <item>对</item>
      </candidateList>
      <explain/>
      <paraID>209672D0</paraID>
      <start>22</start>
      <end>23</end>
      <status>unmodified</status>
      <modifiedWord/>
      <trackRevisions>false</trackRevisions>
    </reviewItem>
    <reviewItem>
      <errorID>e2bc68e2-c16b-47a8-9a6e-1c8eaf9abf0c</errorID>
      <errorWord>且</errorWord>
      <group>L1_Grammar</group>
      <groupName>语法问题</groupName>
      <ability>L2_Grammar</ability>
      <abilityName>语法错误</abilityName>
      <candidateList>
        <item>相同且</item>
      </candidateList>
      <explain/>
      <paraID>36C57E82</paraID>
      <start>124</start>
      <end>125</end>
      <status>unmodified</status>
      <modifiedWord/>
      <trackRevisions>false</trackRevisions>
    </reviewItem>
    <reviewItem>
      <errorID>0703613e-12e7-44a5-b4ea-4c362f24d8ad</errorID>
      <errorWord>&lt;</errorWord>
      <group>L1_Format</group>
      <groupName>格式问题</groupName>
      <ability>L2_HalfPunc_CN</ability>
      <abilityName>全半角问题</abilityName>
      <candidateList>
        <item>〈</item>
      </candidateList>
      <explain>文本全半角错误。</explain>
      <paraID>114DE6DC</paraID>
      <start>50</start>
      <end>51</end>
      <status>unmodified</status>
      <modifiedWord/>
      <trackRevisions>false</trackRevisions>
    </reviewItem>
    <reviewItem>
      <errorID>f2be6e2c-2ef5-4a33-9782-e782378e8ae8</errorID>
      <errorWord>&lt;</errorWord>
      <group>L1_Format</group>
      <groupName>格式问题</groupName>
      <ability>L2_HalfPunc_CN</ability>
      <abilityName>全半角问题</abilityName>
      <candidateList>
        <item>〈</item>
      </candidateList>
      <explain>文本全半角错误。</explain>
      <paraID>6B0B6C29</paraID>
      <start>50</start>
      <end>51</end>
      <status>unmodified</status>
      <modifiedWord/>
      <trackRevisions>false</trackRevisions>
    </reviewItem>
    <reviewItem>
      <errorID>d3addff8-1522-40df-9f28-e76e584a29ed</errorID>
      <errorWord>&lt;</errorWord>
      <group>L1_Format</group>
      <groupName>格式问题</groupName>
      <ability>L2_HalfPunc_CN</ability>
      <abilityName>全半角问题</abilityName>
      <candidateList>
        <item>〈</item>
      </candidateList>
      <explain>文本全半角错误。</explain>
      <paraID>1219DCD7</paraID>
      <start>35</start>
      <end>36</end>
      <status>unmodified</status>
      <modifiedWord/>
      <trackRevisions>false</trackRevisions>
    </reviewItem>
    <reviewItem>
      <errorID>f6132472-7e2b-4ca2-94e5-420f98902591</errorID>
      <errorWord>，</errorWord>
      <group>L1_Word</group>
      <groupName>字词问题</groupName>
      <ability>L2_Typo</ability>
      <abilityName>字词错误</abilityName>
      <candidateList>
        <item>，并</item>
      </candidateList>
      <explain/>
      <paraID>443F7BE4</paraID>
      <start>61</start>
      <end>62</end>
      <status>unmodified</status>
      <modifiedWord/>
      <trackRevisions>false</trackRevisions>
    </reviewItem>
    <reviewItem>
      <errorID>860ebaf8-699f-4ce1-988a-98fcbd8298b5</errorID>
      <errorWord>，</errorWord>
      <group>L1_Punc</group>
      <groupName>标点问题</groupName>
      <ability>L2_Punc_CN</ability>
      <abilityName>标点符号问题</abilityName>
      <candidateList>
        <item>、</item>
      </candidateList>
      <explain/>
      <paraID>443F7BE4</paraID>
      <start>106</start>
      <end>107</end>
      <status>unmodified</status>
      <modifiedWord/>
      <trackRevisions>false</trackRevisions>
    </reviewItem>
    <reviewItem>
      <errorID>f2b52f3e-5f40-49ed-92b1-764964b16029</errorID>
      <errorWord>，</errorWord>
      <group>L1_Punc</group>
      <groupName>标点问题</groupName>
      <ability>L2_Punc_CN</ability>
      <abilityName>标点符号问题</abilityName>
      <candidateList>
        <item>、</item>
      </candidateList>
      <explain/>
      <paraID>443F7BE4</paraID>
      <start>111</start>
      <end>112</end>
      <status>unmodified</status>
      <modifiedWord/>
      <trackRevisions>false</trackRevisions>
    </reviewItem>
    <reviewItem>
      <errorID>a8dd9b25-6679-4e98-953a-d0a3eaf520e0</errorID>
      <errorWord>(</errorWord>
      <group>L1_Format</group>
      <groupName>格式问题</groupName>
      <ability>L2_HalfPunc_CN</ability>
      <abilityName>全半角问题</abilityName>
      <candidateList>
        <item>（</item>
      </candidateList>
      <explain>文本全半角错误。</explain>
      <paraID>55D75BE4</paraID>
      <start>20</start>
      <end>21</end>
      <status>unmodified</status>
      <modifiedWord/>
      <trackRevisions>false</trackRevisions>
    </reviewItem>
    <reviewItem>
      <errorID>0263c6ae-022f-4203-be12-691e0d33373c</errorID>
      <errorWord>)</errorWord>
      <group>L1_Format</group>
      <groupName>格式问题</groupName>
      <ability>L2_HalfPunc_CN</ability>
      <abilityName>全半角问题</abilityName>
      <candidateList>
        <item>）</item>
      </candidateList>
      <explain>文本全半角错误。</explain>
      <paraID>55D75BE4</paraID>
      <start>23</start>
      <end>24</end>
      <status>unmodified</status>
      <modifiedWord/>
      <trackRevisions>false</trackRevisions>
    </reviewItem>
    <reviewItem>
      <errorID>75b7c24b-2114-4f43-bd0d-f279ded43579</errorID>
      <errorWord>，</errorWord>
      <group>L1_Punc</group>
      <groupName>标点问题</groupName>
      <ability>L2_Punc_CN</ability>
      <abilityName>标点符号问题</abilityName>
      <candidateList>
        <item>、</item>
      </candidateList>
      <explain/>
      <paraID>55D75BE4</paraID>
      <start>26</start>
      <end>27</end>
      <status>unmodified</status>
      <modifiedWord/>
      <trackRevisions>false</trackRevisions>
    </reviewItem>
    <reviewItem>
      <errorID>62d437ee-6ae7-4918-8ef8-2d9f9ebeeab9</errorID>
      <errorWord>，</errorWord>
      <group>L1_Punc</group>
      <groupName>标点问题</groupName>
      <ability>L2_Punc_CN</ability>
      <abilityName>标点符号问题</abilityName>
      <candidateList>
        <item>、</item>
      </candidateList>
      <explain/>
      <paraID>55D75BE4</paraID>
      <start>37</start>
      <end>38</end>
      <status>unmodified</status>
      <modifiedWord/>
      <trackRevisions>false</trackRevisions>
    </reviewItem>
    <reviewItem>
      <errorID>d5eb71df-dae1-40e0-bda0-9a6af7464062</errorID>
      <errorWord>，</errorWord>
      <group>L1_Punc</group>
      <groupName>标点问题</groupName>
      <ability>L2_Punc_CN</ability>
      <abilityName>标点符号问题</abilityName>
      <candidateList>
        <item>、</item>
      </candidateList>
      <explain/>
      <paraID>55D75BE4</paraID>
      <start>46</start>
      <end>47</end>
      <status>unmodified</status>
      <modifiedWord/>
      <trackRevisions>false</trackRevisions>
    </reviewItem>
    <reviewItem>
      <errorID>05e929da-05e1-41e3-94fb-6f955a412889</errorID>
      <errorWord>，</errorWord>
      <group>L1_Punc</group>
      <groupName>标点问题</groupName>
      <ability>L2_Punc_CN</ability>
      <abilityName>标点符号问题</abilityName>
      <candidateList>
        <item>、</item>
      </candidateList>
      <explain/>
      <paraID>55D75BE4</paraID>
      <start>96</start>
      <end>97</end>
      <status>unmodified</status>
      <modifiedWord/>
      <trackRevisions>false</trackRevisions>
    </reviewItem>
    <reviewItem>
      <errorID>5c130ed1-2839-4caf-ae43-14687dfe594b</errorID>
      <errorWord>，</errorWord>
      <group>L1_Punc</group>
      <groupName>标点问题</groupName>
      <ability>L2_Punc_CN</ability>
      <abilityName>标点符号问题</abilityName>
      <candidateList>
        <item>、</item>
      </candidateList>
      <explain/>
      <paraID>55D75BE4</paraID>
      <start>111</start>
      <end>112</end>
      <status>unmodified</status>
      <modifiedWord/>
      <trackRevisions>false</trackRevisions>
    </reviewItem>
    <reviewItem>
      <errorID>3d0fad1d-00ea-40f0-a6fd-904e49a522eb</errorID>
      <errorWord>(</errorWord>
      <group>L1_Format</group>
      <groupName>格式问题</groupName>
      <ability>L2_HalfPunc_CN</ability>
      <abilityName>全半角问题</abilityName>
      <candidateList>
        <item>（</item>
      </candidateList>
      <explain>文本全半角错误。</explain>
      <paraID>2C40B69D</paraID>
      <start>6</start>
      <end>7</end>
      <status>unmodified</status>
      <modifiedWord/>
      <trackRevisions>false</trackRevisions>
    </reviewItem>
    <reviewItem>
      <errorID>c9183519-6668-460c-ad4e-7d15c0162fe9</errorID>
      <errorWord>)</errorWord>
      <group>L1_Format</group>
      <groupName>格式问题</groupName>
      <ability>L2_HalfPunc_CN</ability>
      <abilityName>全半角问题</abilityName>
      <candidateList>
        <item>）</item>
      </candidateList>
      <explain>文本全半角错误。</explain>
      <paraID>2C40B69D</paraID>
      <start>9</start>
      <end>10</end>
      <status>unmodified</status>
      <modifiedWord/>
      <trackRevisions>false</trackRevisions>
    </reviewItem>
    <reviewItem>
      <errorID>0abf0a32-7059-41a2-967f-943f3576fbe1</errorID>
      <errorWord>，</errorWord>
      <group>L1_Punc</group>
      <groupName>标点问题</groupName>
      <ability>L2_Punc_CN</ability>
      <abilityName>标点符号问题</abilityName>
      <candidateList>
        <item>、</item>
      </candidateList>
      <explain/>
      <paraID>2C40B69D</paraID>
      <start>17</start>
      <end>18</end>
      <status>unmodified</status>
      <modifiedWord/>
      <trackRevisions>false</trackRevisions>
    </reviewItem>
    <reviewItem>
      <errorID>8625ce58-22a0-43ef-98de-026692a4ab1e</errorID>
      <errorWord>，</errorWord>
      <group>L1_Punc</group>
      <groupName>标点问题</groupName>
      <ability>L2_Punc_CN</ability>
      <abilityName>标点符号问题</abilityName>
      <candidateList>
        <item>、</item>
      </candidateList>
      <explain/>
      <paraID>2C40B69D</paraID>
      <start>77</start>
      <end>78</end>
      <status>unmodified</status>
      <modifiedWord/>
      <trackRevisions>false</trackRevisions>
    </reviewItem>
    <reviewItem>
      <errorID>dd60984d-9705-4f70-be7d-d218a052844e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38D93567</paraID>
      <start>0</start>
      <end>3</end>
      <status>unmodified</status>
      <modifiedWord/>
      <trackRevisions>false</trackRevisions>
    </reviewItem>
    <reviewItem>
      <errorID>fd78334b-1252-42d7-bf02-694760c70f20</errorID>
      <errorWord>法律、法规</errorWord>
      <group>L1_Word</group>
      <groupName>字词问题</groupName>
      <ability>L2_Typo</ability>
      <abilityName>字词错误</abilityName>
      <candidateList>
        <item>法律法规</item>
      </candidateList>
      <explain/>
      <paraID>5902C0AC</paraID>
      <start>7</start>
      <end>12</end>
      <status>unmodified</status>
      <modifiedWord/>
      <trackRevisions>false</trackRevisions>
    </reviewItem>
    <reviewItem>
      <errorID>ac765916-f61d-405f-bea4-74cd3f6c0960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6809C3BC</paraID>
      <start>0</start>
      <end>3</end>
      <status>unmodified</status>
      <modifiedWord/>
      <trackRevisions>false</trackRevisions>
    </reviewItem>
    <reviewItem>
      <errorID>27791f91-758e-45ae-9734-22c451165efc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74236B69</paraID>
      <start>0</start>
      <end>3</end>
      <status>unmodified</status>
      <modifiedWord/>
      <trackRevisions>false</trackRevisions>
    </reviewItem>
    <reviewItem>
      <errorID>c6bfba86-b06f-4f15-8ff1-a1d7d70e12f0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334522BB</paraID>
      <start>0</start>
      <end>3</end>
      <status>unmodified</status>
      <modifiedWord/>
      <trackRevisions>false</trackRevisions>
    </reviewItem>
    <reviewItem>
      <errorID>7d74e00d-45ac-4e13-bac8-d229cc61e715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6A69AE4E</paraID>
      <start>0</start>
      <end>3</end>
      <status>unmodified</status>
      <modifiedWord/>
      <trackRevisions>false</trackRevisions>
    </reviewItem>
    <reviewItem>
      <errorID>bd26a44a-fbf2-4a7c-bbdb-af144599b2a9</errorID>
      <errorWord>法律、法规</errorWord>
      <group>L1_Word</group>
      <groupName>字词问题</groupName>
      <ability>L2_Typo</ability>
      <abilityName>字词错误</abilityName>
      <candidateList>
        <item>法律法规</item>
      </candidateList>
      <explain/>
      <paraID>26E2716C</paraID>
      <start>4</start>
      <end>9</end>
      <status>unmodified</status>
      <modifiedWord/>
      <trackRevisions>false</trackRevisions>
    </reviewItem>
    <reviewItem>
      <errorID>3e19a949-5278-42de-a945-ba8836030bff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75E0721F</paraID>
      <start>0</start>
      <end>3</end>
      <status>unmodified</status>
      <modifiedWord/>
      <trackRevisions>false</trackRevisions>
    </reviewItem>
    <reviewItem>
      <errorID>fa32dad7-fde2-4c1c-b019-b5054dbac086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7FADA58D</paraID>
      <start>0</start>
      <end>3</end>
      <status>unmodified</status>
      <modifiedWord/>
      <trackRevisions>false</trackRevisions>
    </reviewItem>
    <reviewItem>
      <errorID>a72109ae-9814-4095-a2e7-de53493bb909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13BD92D1</paraID>
      <start>0</start>
      <end>3</end>
      <status>unmodified</status>
      <modifiedWord/>
      <trackRevisions>false</trackRevisions>
    </reviewItem>
    <reviewItem>
      <errorID>23a2eea0-7d9f-4290-9939-ef80f4f5d01d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532D6971</paraID>
      <start>0</start>
      <end>3</end>
      <status>unmodified</status>
      <modifiedWord/>
      <trackRevisions>false</trackRevisions>
    </reviewItem>
    <reviewItem>
      <errorID>a05c992c-3e4d-40d5-a769-df778ff53736</errorID>
      <errorWord> </errorWord>
      <group>L1_Punc</group>
      <groupName>标点问题</groupName>
      <ability>L2_Punc_CN</ability>
      <abilityName>标点符号问题</abilityName>
      <candidateList>
        <item/>
      </candidateList>
      <explain>此处空格冗余，建议删除。</explain>
      <paraID>7EDD57AA</paraID>
      <start>9</start>
      <end>10</end>
      <status>unmodified</status>
      <modifiedWord/>
      <trackRevisions>false</trackRevisions>
    </reviewItem>
    <reviewItem>
      <errorID>0343f28c-3f3f-4477-b16b-842b2931e4ab</errorID>
      <errorWord> </errorWord>
      <group>L1_Punc</group>
      <groupName>标点问题</groupName>
      <ability>L2_Punc_CN</ability>
      <abilityName>标点符号问题</abilityName>
      <candidateList>
        <item/>
      </candidateList>
      <explain>此处空格冗余，建议删除。</explain>
      <paraID>71322323</paraID>
      <start>70</start>
      <end>71</end>
      <status>unmodified</status>
      <modifiedWord/>
      <trackRevisions>false</trackRevisions>
    </reviewItem>
    <reviewItem>
      <errorID>f40905b5-1e2f-4699-967f-3c8b4265dd58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61149926</paraID>
      <start>0</start>
      <end>3</end>
      <status>unmodified</status>
      <modifiedWord/>
      <trackRevisions>false</trackRevisions>
    </reviewItem>
    <reviewItem>
      <errorID>1ca83ff5-522e-44b1-a1b5-137b9d21e31b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3AF3A3CB</paraID>
      <start>0</start>
      <end>3</end>
      <status>unmodified</status>
      <modifiedWord/>
      <trackRevisions>false</trackRevisions>
    </reviewItem>
    <reviewItem>
      <errorID>561e3eee-7d43-4c82-9179-efcc6cd5b2a9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21671E60</paraID>
      <start>0</start>
      <end>3</end>
      <status>unmodified</status>
      <modifiedWord/>
      <trackRevisions>false</trackRevisions>
    </reviewItem>
    <reviewItem>
      <errorID>24b95cf7-eb29-4052-b8fa-500332a400f3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4D4B2EF0</paraID>
      <start>0</start>
      <end>3</end>
      <status>unmodified</status>
      <modifiedWord/>
      <trackRevisions>false</trackRevisions>
    </reviewItem>
    <reviewItem>
      <errorID>afe71b4d-cda4-4362-9c4e-5f010c1db026</errorID>
      <errorWord>(</errorWord>
      <group>L1_Format</group>
      <groupName>格式问题</groupName>
      <ability>L2_HalfPunc_CN</ability>
      <abilityName>全半角问题</abilityName>
      <candidateList>
        <item>（</item>
      </candidateList>
      <explain>文本全半角错误。</explain>
      <paraID>2B800A33</paraID>
      <start>15</start>
      <end>16</end>
      <status>unmodified</status>
      <modifiedWord/>
      <trackRevisions>false</trackRevisions>
    </reviewItem>
    <reviewItem>
      <errorID>ad64fdcd-ad6c-4dd4-b4cb-63f7763fb7dd</errorID>
      <errorWord>)</errorWord>
      <group>L1_Format</group>
      <groupName>格式问题</groupName>
      <ability>L2_HalfPunc_CN</ability>
      <abilityName>全半角问题</abilityName>
      <candidateList>
        <item>）</item>
      </candidateList>
      <explain>文本全半角错误。</explain>
      <paraID>2B800A33</paraID>
      <start>25</start>
      <end>26</end>
      <status>unmodified</status>
      <modifiedWord/>
      <trackRevisions>false</trackRevisions>
    </reviewItem>
    <reviewItem>
      <errorID>ffd720a4-0d06-4a7c-944c-2c3613508f40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5104B4DD</paraID>
      <start>0</start>
      <end>2</end>
      <status>unmodified</status>
      <modifiedWord/>
      <trackRevisions>false</trackRevisions>
    </reviewItem>
    <reviewItem>
      <errorID>038f2ccd-517e-4ce1-b59b-4d1d5b8f5b44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561321F4</paraID>
      <start>0</start>
      <end>2</end>
      <status>unmodified</status>
      <modifiedWord/>
      <trackRevisions>false</trackRevisions>
    </reviewItem>
    <reviewItem>
      <errorID>1e69368d-183d-4c92-a1a9-272fdb676c95</errorID>
      <errorWord>具有有</errorWord>
      <group>L1_Word</group>
      <groupName>字词问题</groupName>
      <ability>L2_Typo</ability>
      <abilityName>字词错误</abilityName>
      <candidateList>
        <item>具有</item>
      </candidateList>
      <explain/>
      <paraID>561321F4</paraID>
      <start>6</start>
      <end>9</end>
      <status>unmodified</status>
      <modifiedWord/>
      <trackRevisions>false</trackRevisions>
    </reviewItem>
    <reviewItem>
      <errorID>38b754a9-7cce-42b3-85b7-1b8278459a94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287A8661</paraID>
      <start>0</start>
      <end>2</end>
      <status>unmodified</status>
      <modifiedWord/>
      <trackRevisions>false</trackRevisions>
    </reviewItem>
    <reviewItem>
      <errorID>33c70dff-b340-4830-acec-95047b51aa45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159D286D</paraID>
      <start>0</start>
      <end>2</end>
      <status>unmodified</status>
      <modifiedWord/>
      <trackRevisions>false</trackRevisions>
    </reviewItem>
    <reviewItem>
      <errorID>791f5c98-22b0-4317-89ee-6bc20fc00f18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13A5044D</paraID>
      <start>0</start>
      <end>2</end>
      <status>unmodified</status>
      <modifiedWord/>
      <trackRevisions>false</trackRevisions>
    </reviewItem>
    <reviewItem>
      <errorID>c46f6695-8071-4c69-bbb4-57b85b4c0a77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44E29783</paraID>
      <start>0</start>
      <end>2</end>
      <status>unmodified</status>
      <modifiedWord/>
      <trackRevisions>false</trackRevisions>
    </reviewItem>
    <reviewItem>
      <errorID>982c3f05-dcb9-4f11-9b94-1f162ce914a5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1E1B15DC</paraID>
      <start>0</start>
      <end>2</end>
      <status>unmodified</status>
      <modifiedWord/>
      <trackRevisions>false</trackRevisions>
    </reviewItem>
    <reviewItem>
      <errorID>047eacbc-f496-4a6a-9e0f-4ba9f1caaa35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537C01D4</paraID>
      <start>0</start>
      <end>2</end>
      <status>unmodified</status>
      <modifiedWord/>
      <trackRevisions>false</trackRevisions>
    </reviewItem>
    <reviewItem>
      <errorID>02923b8e-fd4e-4fea-8921-a15906c54c4a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4E6A66B5</paraID>
      <start>0</start>
      <end>2</end>
      <status>unmodified</status>
      <modifiedWord/>
      <trackRevisions>false</trackRevisions>
    </reviewItem>
    <reviewItem>
      <errorID>d759bd8a-5036-4fde-8a83-e0b7cec547ce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7FCD8124</paraID>
      <start>0</start>
      <end>2</end>
      <status>unmodified</status>
      <modifiedWord/>
      <trackRevisions>false</trackRevisions>
    </reviewItem>
    <reviewItem>
      <errorID>4d9e0843-ad92-4d94-a54c-bb7f0fa37142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38A195CA</paraID>
      <start>0</start>
      <end>2</end>
      <status>unmodified</status>
      <modifiedWord/>
      <trackRevisions>false</trackRevisions>
    </reviewItem>
    <reviewItem>
      <errorID>eaf1574d-aacb-4a74-841b-71e927cf9b23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55C8CFC9</paraID>
      <start>0</start>
      <end>2</end>
      <status>unmodified</status>
      <modifiedWord/>
      <trackRevisions>false</trackRevisions>
    </reviewItem>
    <reviewItem>
      <errorID>950eca1f-44de-497a-9950-cb0c696f7f59</errorID>
      <errorWord>，如</errorWord>
      <group>L1_Word</group>
      <groupName>字词问题</groupName>
      <ability>L2_Typo</ability>
      <abilityName>字词错误</abilityName>
      <candidateList>
        <item>，</item>
      </candidateList>
      <explain/>
      <paraID>2C642AA8</paraID>
      <start>13</start>
      <end>15</end>
      <status>unmodified</status>
      <modifiedWord/>
      <trackRevisions>false</trackRevisions>
    </reviewItem>
    <reviewItem>
      <errorID>432b2768-31a9-4edc-aea2-ef09c50c1ea3</errorID>
      <errorWord>详实</errorWord>
      <group>L1_Word</group>
      <groupName>字词问题</groupName>
      <ability>L2_Typo</ability>
      <abilityName>字词错误</abilityName>
      <candidateList>
        <item>翔实</item>
      </candidateList>
      <explain/>
      <paraID>4F1BD48D</paraID>
      <start>4</start>
      <end>6</end>
      <status>unmodified</status>
      <modifiedWord/>
      <trackRevisions>false</trackRevisions>
    </reviewItem>
    <reviewItem>
      <errorID>aa597bfd-ac00-4b52-b825-7d5f0aff0475</errorID>
      <errorWord>详实</errorWord>
      <group>L1_Word</group>
      <groupName>字词问题</groupName>
      <ability>L2_Typo</ability>
      <abilityName>字词错误</abilityName>
      <candidateList>
        <item>翔实</item>
      </candidateList>
      <explain/>
      <paraID>3A050C5D</paraID>
      <start>7</start>
      <end>9</end>
      <status>unmodified</status>
      <modifiedWord/>
      <trackRevisions>false</trackRevisions>
    </reviewItem>
    <reviewItem>
      <errorID>785a4541-9021-4152-940e-9a49b6a88429</errorID>
      <errorWord>详实</errorWord>
      <group>L1_Word</group>
      <groupName>字词问题</groupName>
      <ability>L2_Typo</ability>
      <abilityName>字词错误</abilityName>
      <candidateList>
        <item>翔实</item>
      </candidateList>
      <explain/>
      <paraID>56BB9BA0</paraID>
      <start>6</start>
      <end>8</end>
      <status>unmodified</status>
      <modifiedWord/>
      <trackRevisions>false</trackRevisions>
    </reviewItem>
    <reviewItem>
      <errorID>f280a4e2-91d4-4abc-87be-72d666b39ad2</errorID>
      <errorWord>３</errorWord>
      <group>L1_Format</group>
      <groupName>格式问题</groupName>
      <ability>L2_HalfPunc_CN</ability>
      <abilityName>全半角问题</abilityName>
      <candidateList>
        <item>3</item>
      </candidateList>
      <explain>文本全半角错误。</explain>
      <paraID>46195B7C</paraID>
      <start>0</start>
      <end>1</end>
      <status>unmodified</status>
      <modifiedWord/>
      <trackRevisions>false</trackRevisions>
    </reviewItem>
    <reviewItem>
      <errorID>6e8be998-9f74-4fa2-bf42-ef842208f976</errorID>
      <errorWord>３</errorWord>
      <group>L1_Format</group>
      <groupName>格式问题</groupName>
      <ability>L2_HalfPunc_CN</ability>
      <abilityName>全半角问题</abilityName>
      <candidateList>
        <item>3</item>
      </candidateList>
      <explain>文本全半角错误。</explain>
      <paraID>2AE85F63</paraID>
      <start>0</start>
      <end>1</end>
      <status>unmodified</status>
      <modifiedWord/>
      <trackRevisions>false</trackRevisions>
    </reviewItem>
    <reviewItem>
      <errorID>3a1716ab-837c-4cad-9c58-143e57506b32</errorID>
      <errorWord>３</errorWord>
      <group>L1_Format</group>
      <groupName>格式问题</groupName>
      <ability>L2_HalfPunc_CN</ability>
      <abilityName>全半角问题</abilityName>
      <candidateList>
        <item>3</item>
      </candidateList>
      <explain>文本全半角错误。</explain>
      <paraID>2B6138B6</paraID>
      <start>0</start>
      <end>1</end>
      <status>unmodified</status>
      <modifiedWord/>
      <trackRevisions>false</trackRevisions>
    </reviewItem>
    <reviewItem>
      <errorID>e169b94d-2009-4751-a390-51e9a3d31a6e</errorID>
      <errorWord>３</errorWord>
      <group>L1_Format</group>
      <groupName>格式问题</groupName>
      <ability>L2_HalfPunc_CN</ability>
      <abilityName>全半角问题</abilityName>
      <candidateList>
        <item>3</item>
      </candidateList>
      <explain>文本全半角错误。</explain>
      <paraID>1CB74D00</paraID>
      <start>0</start>
      <end>1</end>
      <status>unmodified</status>
      <modifiedWord/>
      <trackRevisions>false</trackRevisions>
    </reviewItem>
    <reviewItem>
      <errorID>7362b441-3e47-49fb-a343-33c16246f61a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65EEEB09</paraID>
      <start>0</start>
      <end>2</end>
      <status>unmodified</status>
      <modifiedWord/>
      <trackRevisions>false</trackRevisions>
    </reviewItem>
    <reviewItem>
      <errorID>a2fccfbd-7ddb-48b9-b5ab-5021bd61c5db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22F8F99A</paraID>
      <start>0</start>
      <end>2</end>
      <status>unmodified</status>
      <modifiedWord/>
      <trackRevisions>false</trackRevisions>
    </reviewItem>
    <reviewItem>
      <errorID>d3d1897a-6a4c-49ce-9033-f20899f8dd49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2E77B25</paraID>
      <start>0</start>
      <end>2</end>
      <status>unmodified</status>
      <modifiedWord/>
      <trackRevisions>false</trackRevisions>
    </reviewItem>
    <reviewItem>
      <errorID>07a60b88-10a1-443a-b541-bee5cf4209e2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CBA217E</paraID>
      <start>0</start>
      <end>2</end>
      <status>unmodified</status>
      <modifiedWord/>
      <trackRevisions>false</trackRevisions>
    </reviewItem>
    <reviewItem>
      <errorID>20dd5974-751b-4894-b2f9-ede8b1856e3a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1A9EEDD8</paraID>
      <start>0</start>
      <end>2</end>
      <status>unmodified</status>
      <modifiedWord/>
      <trackRevisions>false</trackRevisions>
    </reviewItem>
    <reviewItem>
      <errorID>f8427d45-50c2-4af3-a718-7bbc96e019d4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30FF1573</paraID>
      <start>0</start>
      <end>2</end>
      <status>unmodified</status>
      <modifiedWord/>
      <trackRevisions>false</trackRevisions>
    </reviewItem>
    <reviewItem>
      <errorID>bf7a5b93-8db2-4f95-9493-9d0f3ef555a1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11EDBFD0</paraID>
      <start>0</start>
      <end>3</end>
      <status>unmodified</status>
      <modifiedWord/>
      <trackRevisions>false</trackRevisions>
    </reviewItem>
    <reviewItem>
      <errorID>48c0ef4e-5b43-4d26-9842-b2136967ccf1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64C3BE40</paraID>
      <start>0</start>
      <end>3</end>
      <status>unmodified</status>
      <modifiedWord/>
      <trackRevisions>false</trackRevisions>
    </reviewItem>
    <reviewItem>
      <errorID>1f175007-0836-43ed-9197-6d403a7ae920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2AD272D6</paraID>
      <start>0</start>
      <end>3</end>
      <status>unmodified</status>
      <modifiedWord/>
      <trackRevisions>false</trackRevisions>
    </reviewItem>
    <reviewItem>
      <errorID>23a32028-d66a-46a8-a75c-40b085910711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75BC4BB8</paraID>
      <start>0</start>
      <end>3</end>
      <status>unmodified</status>
      <modifiedWord/>
      <trackRevisions>false</trackRevisions>
    </reviewItem>
    <reviewItem>
      <errorID>e587d3df-124f-4d81-ae9b-12144919a32c</errorID>
      <errorWord>记时</errorWord>
      <group>L1_Word</group>
      <groupName>字词问题</groupName>
      <ability>L2_Typo</ability>
      <abilityName>字词错误</abilityName>
      <candidateList>
        <item>计时</item>
      </candidateList>
      <explain/>
      <paraID> 165289A</paraID>
      <start>28</start>
      <end>30</end>
      <status>unmodified</status>
      <modifiedWord/>
      <trackRevisions>false</trackRevisions>
    </reviewItem>
    <reviewItem>
      <errorID>388b81a7-56b7-43fa-afd2-75c30c25d71a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67FDAA4E</paraID>
      <start>0</start>
      <end>3</end>
      <status>unmodified</status>
      <modifiedWord/>
      <trackRevisions>false</trackRevisions>
    </reviewItem>
    <reviewItem>
      <errorID>6f61e2c6-b60a-484d-ad59-705d5c9738a2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A319D96</paraID>
      <start>0</start>
      <end>3</end>
      <status>unmodified</status>
      <modifiedWord/>
      <trackRevisions>false</trackRevisions>
    </reviewItem>
    <reviewItem>
      <errorID>721766f8-8d3c-490c-9c60-8e103103e5ca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60E62601</paraID>
      <start>0</start>
      <end>3</end>
      <status>unmodified</status>
      <modifiedWord/>
      <trackRevisions>false</trackRevisions>
    </reviewItem>
    <reviewItem>
      <errorID>c085e9e1-78d5-4469-92c4-b816d2288fdd</errorID>
      <errorWord>具</errorWord>
      <group>L1_Word</group>
      <groupName>字词问题</groupName>
      <ability>L2_Typo</ability>
      <abilityName>字词错误</abilityName>
      <candidateList>
        <item>具有</item>
      </candidateList>
      <explain/>
      <paraID>60E62601</paraID>
      <start>53</start>
      <end>54</end>
      <status>unmodified</status>
      <modifiedWord/>
      <trackRevisions>false</trackRevisions>
    </reviewItem>
    <reviewItem>
      <errorID>cb4e0376-edde-46bf-aab8-2f656f541fe2</errorID>
      <errorWord>震动</errorWord>
      <group>L1_Word</group>
      <groupName>字词问题</groupName>
      <ability>L2_Typo</ability>
      <abilityName>字词错误</abilityName>
      <candidateList>
        <item>振动</item>
      </candidateList>
      <explain>存在发音相同字词的误用。</explain>
      <paraID>44506E1C</paraID>
      <start>128</start>
      <end>130</end>
      <status>unmodified</status>
      <modifiedWord/>
      <trackRevisions>false</trackRevisions>
    </reviewItem>
    <reviewItem>
      <errorID>b5302ff6-bc70-41c7-b0ad-d51721f9d98a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6C19C00D</paraID>
      <start>0</start>
      <end>2</end>
      <status>unmodified</status>
      <modifiedWord/>
      <trackRevisions>false</trackRevisions>
    </reviewItem>
    <reviewItem>
      <errorID>a5d585f4-dea9-4839-9dbe-d5e1de8eebdd</errorID>
      <errorWord>具</errorWord>
      <group>L1_Word</group>
      <groupName>字词问题</groupName>
      <ability>L2_Typo</ability>
      <abilityName>字词错误</abilityName>
      <candidateList>
        <item>具有</item>
      </candidateList>
      <explain/>
      <paraID>6C19C00D</paraID>
      <start>35</start>
      <end>36</end>
      <status>unmodified</status>
      <modifiedWord/>
      <trackRevisions>false</trackRevisions>
    </reviewItem>
    <reviewItem>
      <errorID>1eee1c72-687b-4f5c-86b0-3e75ab8c422d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594728E9</paraID>
      <start>0</start>
      <end>2</end>
      <status>unmodified</status>
      <modifiedWord/>
      <trackRevisions>false</trackRevisions>
    </reviewItem>
    <reviewItem>
      <errorID>f0421980-75b5-41f2-93e7-9d62608a5745</errorID>
      <errorWord>,</errorWord>
      <group>L1_Format</group>
      <groupName>格式问题</groupName>
      <ability>L2_HalfPunc_CN</ability>
      <abilityName>全半角问题</abilityName>
      <candidateList>
        <item>，</item>
      </candidateList>
      <explain>文本全半角错误。</explain>
      <paraID>594728E9</paraID>
      <start>78</start>
      <end>79</end>
      <status>unmodified</status>
      <modifiedWord/>
      <trackRevisions>false</trackRevisions>
    </reviewItem>
    <reviewItem>
      <errorID>9e22126a-d273-4746-a412-a9bc29cefe74</errorID>
      <errorWord>入工</errorWord>
      <group>L1_Word</group>
      <groupName>字词问题</groupName>
      <ability>L2_Typo</ability>
      <abilityName>字词错误</abilityName>
      <candidateList>
        <item>人工</item>
      </candidateList>
      <explain/>
      <paraID>3172F580</paraID>
      <start>23</start>
      <end>25</end>
      <status>unmodified</status>
      <modifiedWord/>
      <trackRevisions>false</trackRevisions>
    </reviewItem>
    <reviewItem>
      <errorID>63bceca7-3cbf-41a2-8e36-bc73b99be3f5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2C35BC4E</paraID>
      <start>0</start>
      <end>2</end>
      <status>unmodified</status>
      <modifiedWord/>
      <trackRevisions>false</trackRevisions>
    </reviewItem>
    <reviewItem>
      <errorID>5089eb68-c8ee-428c-a52c-31e0636271b3</errorID>
      <errorWord>:</errorWord>
      <group>L1_Format</group>
      <groupName>格式问题</groupName>
      <ability>L2_HalfPunc_CN</ability>
      <abilityName>全半角问题</abilityName>
      <candidateList>
        <item>：</item>
      </candidateList>
      <explain>文本全半角错误。</explain>
      <paraID>2C35BC4E</paraID>
      <start>5</start>
      <end>6</end>
      <status>unmodified</status>
      <modifiedWord/>
      <trackRevisions>false</trackRevisions>
    </reviewItem>
    <reviewItem>
      <errorID>99a0a304-a3c2-4c78-8553-058bf093d894</errorID>
      <errorWord>:</errorWord>
      <group>L1_Format</group>
      <groupName>格式问题</groupName>
      <ability>L2_HalfPunc_CN</ability>
      <abilityName>全半角问题</abilityName>
      <candidateList>
        <item>：</item>
      </candidateList>
      <explain>文本全半角错误。</explain>
      <paraID>2C35BC4E</paraID>
      <start>20</start>
      <end>21</end>
      <status>unmodified</status>
      <modifiedWord/>
      <trackRevisions>false</trackRevisions>
    </reviewItem>
    <reviewItem>
      <errorID>769e79cc-fbcb-4e20-a53d-8d5b784a2f00</errorID>
      <errorWord>:</errorWord>
      <group>L1_Format</group>
      <groupName>格式问题</groupName>
      <ability>L2_HalfPunc_CN</ability>
      <abilityName>全半角问题</abilityName>
      <candidateList>
        <item>：</item>
      </candidateList>
      <explain>文本全半角错误。</explain>
      <paraID>2C35BC4E</paraID>
      <start>33</start>
      <end>34</end>
      <status>unmodified</status>
      <modifiedWord/>
      <trackRevisions>false</trackRevisions>
    </reviewItem>
    <reviewItem>
      <errorID>fd4d2e38-7461-4a00-8a1c-d707a3409397</errorID>
      <errorWord>(</errorWord>
      <group>L1_Format</group>
      <groupName>格式问题</groupName>
      <ability>L2_HalfPunc_CN</ability>
      <abilityName>全半角问题</abilityName>
      <candidateList>
        <item>（</item>
      </candidateList>
      <explain>文本全半角错误。</explain>
      <paraID>43FCA561</paraID>
      <start>24</start>
      <end>25</end>
      <status>unmodified</status>
      <modifiedWord/>
      <trackRevisions>false</trackRevisions>
    </reviewItem>
    <reviewItem>
      <errorID>36fdbbf4-e819-4e9d-a1f0-ac6407d728d0</errorID>
      <errorWord>)</errorWord>
      <group>L1_Format</group>
      <groupName>格式问题</groupName>
      <ability>L2_HalfPunc_CN</ability>
      <abilityName>全半角问题</abilityName>
      <candidateList>
        <item>）</item>
      </candidateList>
      <explain>文本全半角错误。</explain>
      <paraID>43FCA561</paraID>
      <start>36</start>
      <end>37</end>
      <status>unmodified</status>
      <modifiedWord/>
      <trackRevisions>false</trackRevisions>
    </reviewItem>
    <reviewItem>
      <errorID>291bd0bf-38fc-460a-9cf4-a4a3d59e4a68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2EB33717</paraID>
      <start>0</start>
      <end>3</end>
      <status>unmodified</status>
      <modifiedWord/>
      <trackRevisions>false</trackRevisions>
    </reviewItem>
    <reviewItem>
      <errorID>02a61716-4be9-4134-a1dc-e3ac5f58f2a0</errorID>
      <errorWord>:</errorWord>
      <group>L1_Format</group>
      <groupName>格式问题</groupName>
      <ability>L2_HalfPunc_CN</ability>
      <abilityName>全半角问题</abilityName>
      <candidateList>
        <item>：</item>
      </candidateList>
      <explain>文本全半角错误。</explain>
      <paraID>2EB33717</paraID>
      <start>5</start>
      <end>6</end>
      <status>unmodified</status>
      <modifiedWord/>
      <trackRevisions>false</trackRevisions>
    </reviewItem>
    <reviewItem>
      <errorID>49e73da9-dd0d-46c9-8363-8b118692f3d6</errorID>
      <errorWord>:</errorWord>
      <group>L1_Format</group>
      <groupName>格式问题</groupName>
      <ability>L2_HalfPunc_CN</ability>
      <abilityName>全半角问题</abilityName>
      <candidateList>
        <item>：</item>
      </candidateList>
      <explain>文本全半角错误。</explain>
      <paraID>2EB33717</paraID>
      <start>18</start>
      <end>19</end>
      <status>unmodified</status>
      <modifiedWord/>
      <trackRevisions>false</trackRevisions>
    </reviewItem>
    <reviewItem>
      <errorID>e96f5bed-251f-4d66-a055-7f9c19b3e5b0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2D6A5412</paraID>
      <start>0</start>
      <end>3</end>
      <status>unmodified</status>
      <modifiedWord/>
      <trackRevisions>false</trackRevisions>
    </reviewItem>
    <reviewItem>
      <errorID>82410f7e-c523-42c8-9f0d-69aae190b8d2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DB8A3A</paraID>
      <start>0</start>
      <end>3</end>
      <status>unmodified</status>
      <modifiedWord/>
      <trackRevisions>false</trackRevisions>
    </reviewItem>
    <reviewItem>
      <errorID>69a34272-8365-4d01-8b89-edfbd80515e2</errorID>
      <errorWord>,</errorWord>
      <group>L1_Format</group>
      <groupName>格式问题</groupName>
      <ability>L2_HalfPunc_CN</ability>
      <abilityName>全半角问题</abilityName>
      <candidateList>
        <item>，</item>
      </candidateList>
      <explain>文本全半角错误。</explain>
      <paraID>  DB8A3A</paraID>
      <start>59</start>
      <end>60</end>
      <status>unmodified</status>
      <modifiedWord/>
      <trackRevisions>false</trackRevisions>
    </reviewItem>
    <reviewItem>
      <errorID>2758e28a-9986-4ae0-8900-af50f040bc0d</errorID>
      <errorWord>,</errorWord>
      <group>L1_Format</group>
      <groupName>格式问题</groupName>
      <ability>L2_HalfPunc_CN</ability>
      <abilityName>全半角问题</abilityName>
      <candidateList>
        <item>，</item>
      </candidateList>
      <explain>文本全半角错误。</explain>
      <paraID>  DB8A3A</paraID>
      <start>66</start>
      <end>67</end>
      <status>unmodified</status>
      <modifiedWord/>
      <trackRevisions>false</trackRevisions>
    </reviewItem>
    <reviewItem>
      <errorID>2d4d9466-0a83-4e8b-b8eb-6eab95260b1c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4BD2455F</paraID>
      <start>0</start>
      <end>3</end>
      <status>unmodified</status>
      <modifiedWord/>
      <trackRevisions>false</trackRevisions>
    </reviewItem>
    <reviewItem>
      <errorID>96c88f4c-4bab-483a-8a97-85a3e531ed1c</errorID>
      <errorWord>(</errorWord>
      <group>L1_Format</group>
      <groupName>格式问题</groupName>
      <ability>L2_HalfPunc_CN</ability>
      <abilityName>全半角问题</abilityName>
      <candidateList>
        <item>（</item>
      </candidateList>
      <explain>文本全半角错误。</explain>
      <paraID>4BD2455F</paraID>
      <start>27</start>
      <end>28</end>
      <status>unmodified</status>
      <modifiedWord/>
      <trackRevisions>false</trackRevisions>
    </reviewItem>
    <reviewItem>
      <errorID>f07dec28-c02a-4087-abec-2f57be1a10d3</errorID>
      <errorWord>)</errorWord>
      <group>L1_Format</group>
      <groupName>格式问题</groupName>
      <ability>L2_HalfPunc_CN</ability>
      <abilityName>全半角问题</abilityName>
      <candidateList>
        <item>）</item>
      </candidateList>
      <explain>文本全半角错误。</explain>
      <paraID>4BD2455F</paraID>
      <start>33</start>
      <end>34</end>
      <status>unmodified</status>
      <modifiedWord/>
      <trackRevisions>false</trackRevisions>
    </reviewItem>
    <reviewItem>
      <errorID>7ad1e487-86f5-41e3-9e8d-5af213dbccea</errorID>
      <errorWord>,</errorWord>
      <group>L1_Format</group>
      <groupName>格式问题</groupName>
      <ability>L2_HalfPunc_CN</ability>
      <abilityName>全半角问题</abilityName>
      <candidateList>
        <item>，</item>
      </candidateList>
      <explain>文本全半角错误。</explain>
      <paraID>4BD2455F</paraID>
      <start>44</start>
      <end>45</end>
      <status>unmodified</status>
      <modifiedWord/>
      <trackRevisions>false</trackRevisions>
    </reviewItem>
    <reviewItem>
      <errorID>0fdbd7f2-cb9c-4178-a864-73d34df5ac92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6C4CCD</paraID>
      <start>0</start>
      <end>3</end>
      <status>unmodified</status>
      <modifiedWord/>
      <trackRevisions>false</trackRevisions>
    </reviewItem>
    <reviewItem>
      <errorID>eaaa9c79-eae4-4ed0-94e2-64481cf8722b</errorID>
      <errorWord>Deepseek</errorWord>
      <group>L1_English</group>
      <groupName>英文问题</groupName>
      <ability>L2_Brand_Name</ability>
      <abilityName>品牌词问题</abilityName>
      <candidateList>
        <item>DeepSeek</item>
      </candidateList>
      <explain>此处疑似有拼写错误，建议修改</explain>
      <paraID>281B16EF</paraID>
      <start>20</start>
      <end>28</end>
      <status>unmodified</status>
      <modifiedWord/>
      <trackRevisions>false</trackRevisions>
    </reviewItem>
    <reviewItem>
      <errorID>a57095ef-1ca6-4ab8-90ff-a5abf480f8dc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51DEA7C5</paraID>
      <start>0</start>
      <end>2</end>
      <status>unmodified</status>
      <modifiedWord/>
      <trackRevisions>false</trackRevisions>
    </reviewItem>
    <reviewItem>
      <errorID>7566bea5-daa1-4d83-91f3-6138813dbac7</errorID>
      <errorWord>爆发</errorWord>
      <group>L1_Word</group>
      <groupName>字词问题</groupName>
      <ability>L2_Typo</ability>
      <abilityName>字词错误</abilityName>
      <candidateList>
        <item>暴发</item>
      </candidateList>
      <explain/>
      <paraID>51DEA7C5</paraID>
      <start>1030</start>
      <end>1032</end>
      <status>modified</status>
      <modifiedWord>暴发</modifiedWord>
      <trackRevisions>false</trackRevisions>
    </reviewItem>
    <reviewItem>
      <errorID>47ca1da6-dd23-448c-8385-0b2aedf11001</errorID>
      <errorWord>-</errorWord>
      <group>L1_Format</group>
      <groupName>格式问题</groupName>
      <ability>L2_HalfPunc_CN</ability>
      <abilityName>全半角问题</abilityName>
      <candidateList>
        <item>－</item>
      </candidateList>
      <explain>文本全半角错误。</explain>
      <paraID> 79B1776</paraID>
      <start>63</start>
      <end>64</end>
      <status>unmodified</status>
      <modifiedWord/>
      <trackRevisions>false</trackRevisions>
    </reviewItem>
    <reviewItem>
      <errorID>61677387-0973-45fb-9d65-767521b4857c</errorID>
      <errorWord>-</errorWord>
      <group>L1_Format</group>
      <groupName>格式问题</groupName>
      <ability>L2_HalfPunc_CN</ability>
      <abilityName>全半角问题</abilityName>
      <candidateList>
        <item>－</item>
      </candidateList>
      <explain>文本全半角错误。</explain>
      <paraID> 79B1776</paraID>
      <start>71</start>
      <end>72</end>
      <status>unmodified</status>
      <modifiedWord/>
      <trackRevisions>false</trackRevisions>
    </reviewItem>
    <reviewItem>
      <errorID>a6c027ad-e18f-40af-82c7-012e81b40455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6542CD22</paraID>
      <start>0</start>
      <end>2</end>
      <status>unmodified</status>
      <modifiedWord/>
      <trackRevisions>false</trackRevisions>
    </reviewItem>
    <reviewItem>
      <errorID>74fc8a12-1e9a-47f1-8ebb-b150dacd4472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129E9524</paraID>
      <start>0</start>
      <end>2</end>
      <status>unmodified</status>
      <modifiedWord/>
      <trackRevisions>false</trackRevisions>
    </reviewItem>
    <reviewItem>
      <errorID>8e56e357-0f79-438f-a4ac-a5f735a779f1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20775DAF</paraID>
      <start>0</start>
      <end>2</end>
      <status>unmodified</status>
      <modifiedWord/>
      <trackRevisions>false</trackRevisions>
    </reviewItem>
    <reviewItem>
      <errorID>ce9a5694-03fc-4cf9-aa9c-3277d73784e0</errorID>
      <errorWord>(</errorWord>
      <group>L1_Format</group>
      <groupName>格式问题</groupName>
      <ability>L2_HalfPunc_CN</ability>
      <abilityName>全半角问题</abilityName>
      <candidateList>
        <item>（</item>
      </candidateList>
      <explain>文本全半角错误。</explain>
      <paraID>20775DAF</paraID>
      <start>30</start>
      <end>31</end>
      <status>unmodified</status>
      <modifiedWord/>
      <trackRevisions>false</trackRevisions>
    </reviewItem>
    <reviewItem>
      <errorID>3bb81b40-2c31-4e9b-948b-58f085792282</errorID>
      <errorWord>敏感原件</errorWord>
      <group>L1_Knowledge</group>
      <groupName>知识性问题</groupName>
      <ability>L2_Term</ability>
      <abilityName>专业术语</abilityName>
      <candidateList>
        <item>敏感元件</item>
      </candidateList>
      <explain/>
      <paraID>20775DAF</paraID>
      <start>83</start>
      <end>87</end>
      <status>modified</status>
      <modifiedWord>敏感元件</modifiedWord>
      <trackRevisions>false</trackRevisions>
    </reviewItem>
    <reviewItem>
      <errorID>63bcf49a-52c5-42d7-ae06-99fdae03ea64</errorID>
      <errorWord>)</errorWord>
      <group>L1_Format</group>
      <groupName>格式问题</groupName>
      <ability>L2_HalfPunc_CN</ability>
      <abilityName>全半角问题</abilityName>
      <candidateList>
        <item>）</item>
      </candidateList>
      <explain>文本全半角错误。</explain>
      <paraID>20775DAF</paraID>
      <start>119</start>
      <end>120</end>
      <status>unmodified</status>
      <modifiedWord/>
      <trackRevisions>false</trackRevisions>
    </reviewItem>
    <reviewItem>
      <errorID>f9d4b45d-cd0e-452d-8fd5-9dc9e7941fcb</errorID>
      <errorWord>(</errorWord>
      <group>L1_Format</group>
      <groupName>格式问题</groupName>
      <ability>L2_HalfPunc_CN</ability>
      <abilityName>全半角问题</abilityName>
      <candidateList>
        <item>（</item>
      </candidateList>
      <explain>文本全半角错误。</explain>
      <paraID>20775DAF</paraID>
      <start>125</start>
      <end>126</end>
      <status>unmodified</status>
      <modifiedWord/>
      <trackRevisions>false</trackRevisions>
    </reviewItem>
    <reviewItem>
      <errorID>93df91ab-b496-4150-bff8-5011e81fd532</errorID>
      <errorWord>)</errorWord>
      <group>L1_Format</group>
      <groupName>格式问题</groupName>
      <ability>L2_HalfPunc_CN</ability>
      <abilityName>全半角问题</abilityName>
      <candidateList>
        <item>）</item>
      </candidateList>
      <explain>文本全半角错误。</explain>
      <paraID>20775DAF</paraID>
      <start>136</start>
      <end>137</end>
      <status>unmodified</status>
      <modifiedWord/>
      <trackRevisions>false</trackRevisions>
    </reviewItem>
    <reviewItem>
      <errorID>22ddd427-e0d5-433a-b63a-4520a0eefc2d</errorID>
      <errorWord>(</errorWord>
      <group>L1_Format</group>
      <groupName>格式问题</groupName>
      <ability>L2_HalfPunc_CN</ability>
      <abilityName>全半角问题</abilityName>
      <candidateList>
        <item>（</item>
      </candidateList>
      <explain>文本全半角错误。</explain>
      <paraID>20775DAF</paraID>
      <start>172</start>
      <end>173</end>
      <status>unmodified</status>
      <modifiedWord/>
      <trackRevisions>false</trackRevisions>
    </reviewItem>
    <reviewItem>
      <errorID>0897d66a-80d6-41f7-843b-29a74b144089</errorID>
      <errorWord>)</errorWord>
      <group>L1_Format</group>
      <groupName>格式问题</groupName>
      <ability>L2_HalfPunc_CN</ability>
      <abilityName>全半角问题</abilityName>
      <candidateList>
        <item>）</item>
      </candidateList>
      <explain>文本全半角错误。</explain>
      <paraID>20775DAF</paraID>
      <start>176</start>
      <end>177</end>
      <status>unmodified</status>
      <modifiedWord/>
      <trackRevisions>false</trackRevisions>
    </reviewItem>
    <reviewItem>
      <errorID>b40a618b-b1a2-4941-b6b5-687c6d60475a</errorID>
      <errorWord>(</errorWord>
      <group>L1_Format</group>
      <groupName>格式问题</groupName>
      <ability>L2_HalfPunc_CN</ability>
      <abilityName>全半角问题</abilityName>
      <candidateList>
        <item>（</item>
      </candidateList>
      <explain>文本全半角错误。</explain>
      <paraID>20775DAF</paraID>
      <start>203</start>
      <end>204</end>
      <status>unmodified</status>
      <modifiedWord/>
      <trackRevisions>false</trackRevisions>
    </reviewItem>
    <reviewItem>
      <errorID>70f930c7-4cac-4af4-9390-fe4a24d7298a</errorID>
      <errorWord>)</errorWord>
      <group>L1_Format</group>
      <groupName>格式问题</groupName>
      <ability>L2_HalfPunc_CN</ability>
      <abilityName>全半角问题</abilityName>
      <candidateList>
        <item>）</item>
      </candidateList>
      <explain>文本全半角错误。</explain>
      <paraID>20775DAF</paraID>
      <start>213</start>
      <end>214</end>
      <status>unmodified</status>
      <modifiedWord/>
      <trackRevisions>false</trackRevisions>
    </reviewItem>
    <reviewItem>
      <errorID>2a9877b4-74b3-44b8-8e18-847c081d91cf</errorID>
      <errorWord>图象传感器</errorWord>
      <group>L1_Word</group>
      <groupName>字词问题</groupName>
      <ability>L2_Variant</ability>
      <abilityName>异形词</abilityName>
      <candidateList>
        <item>图像传感器</item>
      </candidateList>
      <explain>词汇[图象传感器]的规范词形写作[图像传感器]。</explain>
      <paraID>20775DAF</paraID>
      <start>217</start>
      <end>222</end>
      <status>unmodified</status>
      <modifiedWord/>
      <trackRevisions>false</trackRevisions>
    </reviewItem>
    <reviewItem>
      <errorID>ed4bba90-409b-42ca-a45e-5aee00ae0b60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5D4F5D79</paraID>
      <start>0</start>
      <end>2</end>
      <status>unmodified</status>
      <modifiedWord/>
      <trackRevisions>false</trackRevisions>
    </reviewItem>
    <reviewItem>
      <errorID>0a3a3b16-9609-4225-a214-fb79f1f2d494</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6575B158</paraID>
      <start>0</start>
      <end>2</end>
      <status>unmodified</status>
      <modifiedWord/>
      <trackRevisions>false</trackRevisions>
    </reviewItem>
    <reviewItem>
      <errorID>bc91da6b-17e2-479f-b634-25cc683bb9d6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20E6C845</paraID>
      <start>0</start>
      <end>2</end>
      <status>unmodified</status>
      <modifiedWord/>
      <trackRevisions>false</trackRevisions>
    </reviewItem>
    <reviewItem>
      <errorID>95adc8f1-8e29-4a12-9d66-1e4e477b4a77</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613B0C54</paraID>
      <start>0</start>
      <end>2</end>
      <status>unmodified</status>
      <modifiedWord/>
      <trackRevisions>false</trackRevisions>
    </reviewItem>
    <reviewItem>
      <errorID>48e7040a-f476-4246-b92a-6ac0d1becf17</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6E5B122C</paraID>
      <start>0</start>
      <end>2</end>
      <status>unmodified</status>
      <modifiedWord/>
      <trackRevisions>false</trackRevisions>
    </reviewItem>
    <reviewItem>
      <errorID>84856383-b007-4750-a9e5-f1b7d64165bd</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19DDF6BF</paraID>
      <start>0</start>
      <end>2</end>
      <status>unmodified</status>
      <modifiedWord/>
      <trackRevisions>false</trackRevisions>
    </reviewItem>
    <reviewItem>
      <errorID>2ba0a0b7-e682-4c0a-8183-92aaeeb3b886</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B69FF2B</paraID>
      <start>0</start>
      <end>2</end>
      <status>unmodified</status>
      <modifiedWord/>
      <trackRevisions>false</trackRevisions>
    </reviewItem>
    <reviewItem>
      <errorID>4d063df3-ca78-494e-a4bc-8f5c4563d75d</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3FEB2A87</paraID>
      <start>0</start>
      <end>2</end>
      <status>unmodified</status>
      <modifiedWord/>
      <trackRevisions>false</trackRevisions>
    </reviewItem>
    <reviewItem>
      <errorID>92b26935-1fde-407a-9917-d9f2e31ac81a</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7C78453</paraID>
      <start>0</start>
      <end>2</end>
      <status>unmodified</status>
      <modifiedWord/>
      <trackRevisions>false</trackRevisions>
    </reviewItem>
    <reviewItem>
      <errorID>bbd4bf1e-151f-4949-a617-48b503e39cc0</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5E1BAF79</paraID>
      <start>0</start>
      <end>2</end>
      <status>unmodified</status>
      <modifiedWord/>
      <trackRevisions>false</trackRevisions>
    </reviewItem>
    <reviewItem>
      <errorID>27e7a0dd-2f81-418c-b00b-5eca330e0670</errorID>
      <errorWord>j)</errorWord>
      <group>L1_Format</group>
      <groupName>格式问题</groupName>
      <ability>L2_Ordinal</ability>
      <abilityName>序号格式</abilityName>
      <candidateList>
        <item>j）</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181439ED</paraID>
      <start>0</start>
      <end>2</end>
      <status>unmodified</status>
      <modifiedWord/>
      <trackRevisions>false</trackRevisions>
    </reviewItem>
    <reviewItem>
      <errorID>de97766c-1164-41a9-b5b2-7e552f6ee4ea</errorID>
      <errorWord>k)</errorWord>
      <group>L1_Format</group>
      <groupName>格式问题</groupName>
      <ability>L2_Ordinal</ability>
      <abilityName>序号格式</abilityName>
      <candidateList>
        <item>k）</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3A9A391C</paraID>
      <start>0</start>
      <end>2</end>
      <status>unmodified</status>
      <modifiedWord/>
      <trackRevisions>false</trackRevisions>
    </reviewItem>
    <reviewItem>
      <errorID>b581d085-8c33-4eb6-b5bd-54c7be26fc59</errorID>
      <errorWord>)</errorWord>
      <group>L1_Format</group>
      <groupName>格式问题</groupName>
      <ability>L2_HalfPunc_CN</ability>
      <abilityName>全半角问题</abilityName>
      <candidateList>
        <item>）</item>
      </candidateList>
      <explain>文本全半角错误。</explain>
      <paraID>4610321A</paraID>
      <start>1</start>
      <end>2</end>
      <status>unmodified</status>
      <modifiedWord/>
      <trackRevisions>false</trackRevisions>
    </reviewItem>
    <reviewItem>
      <errorID>ccc29a6e-7f32-4eed-8e0b-24e089c667b0</errorID>
      <errorWord>)</errorWord>
      <group>L1_Format</group>
      <groupName>格式问题</groupName>
      <ability>L2_HalfPunc_CN</ability>
      <abilityName>全半角问题</abilityName>
      <candidateList>
        <item>）</item>
      </candidateList>
      <explain>文本全半角错误。</explain>
      <paraID>4610321A</paraID>
      <start>24</start>
      <end>25</end>
      <status>unmodified</status>
      <modifiedWord/>
      <trackRevisions>false</trackRevisions>
    </reviewItem>
    <reviewItem>
      <errorID>7e373dd5-c218-4951-940d-f8457f32a427</errorID>
      <errorWord>m)</errorWord>
      <group>L1_Format</group>
      <groupName>格式问题</groupName>
      <ability>L2_Ordinal</ability>
      <abilityName>序号格式</abilityName>
      <candidateList>
        <item>m）</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186A161B</paraID>
      <start>0</start>
      <end>2</end>
      <status>unmodified</status>
      <modifiedWord/>
      <trackRevisions>false</trackRevisions>
    </reviewItem>
    <reviewItem>
      <errorID>0b766236-ffcd-41d8-b7ec-5130ec3f9969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411BDA5A</paraID>
      <start>0</start>
      <end>2</end>
      <status>unmodified</status>
      <modifiedWord/>
      <trackRevisions>false</trackRevisions>
    </reviewItem>
    <reviewItem>
      <errorID>b76e1915-be45-45f4-bbed-8a95ac1d297f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D50CB3C</paraID>
      <start>0</start>
      <end>2</end>
      <status>unmodified</status>
      <modifiedWord/>
      <trackRevisions>false</trackRevisions>
    </reviewItem>
    <reviewItem>
      <errorID>25243d27-f055-47b3-b902-760aac46ead0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7D75B206</paraID>
      <start>0</start>
      <end>2</end>
      <status>unmodified</status>
      <modifiedWord/>
      <trackRevisions>false</trackRevisions>
    </reviewItem>
    <reviewItem>
      <errorID>8590dcc5-9805-4267-876d-9f054c36ac0c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AB9E5A4</paraID>
      <start>0</start>
      <end>3</end>
      <status>unmodified</status>
      <modifiedWord/>
      <trackRevisions>false</trackRevisions>
    </reviewItem>
    <reviewItem>
      <errorID>9598d2ff-d9e5-4c10-a4b7-1144959715fd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718E2F7</paraID>
      <start>0</start>
      <end>3</end>
      <status>unmodified</status>
      <modifiedWord/>
      <trackRevisions>false</trackRevisions>
    </reviewItem>
    <reviewItem>
      <errorID>a4997af5-a53e-4bd8-9483-ab88d862f38d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7F1522B3</paraID>
      <start>0</start>
      <end>3</end>
      <status>unmodified</status>
      <modifiedWord/>
      <trackRevisions>false</trackRevisions>
    </reviewItem>
    <reviewItem>
      <errorID>3fa57ee3-7699-4974-91a5-22005289d843</errorID>
      <errorWord>,</errorWord>
      <group>L1_Format</group>
      <groupName>格式问题</groupName>
      <ability>L2_HalfPunc_CN</ability>
      <abilityName>全半角问题</abilityName>
      <candidateList>
        <item>，</item>
      </candidateList>
      <explain>文本全半角错误。</explain>
      <paraID>7F1522B3</paraID>
      <start>25</start>
      <end>26</end>
      <status>unmodified</status>
      <modifiedWord/>
      <trackRevisions>false</trackRevisions>
    </reviewItem>
    <reviewItem>
      <errorID>03b22596-4644-409d-957f-eb895eabbd01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1C0072B9</paraID>
      <start>0</start>
      <end>3</end>
      <status>unmodified</status>
      <modifiedWord/>
      <trackRevisions>false</trackRevisions>
    </reviewItem>
    <reviewItem>
      <errorID>c2d825d7-f14c-40e1-a9b0-93f2c18b437a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4722F43B</paraID>
      <start>0</start>
      <end>2</end>
      <status>unmodified</status>
      <modifiedWord/>
      <trackRevisions>false</trackRevisions>
    </reviewItem>
    <reviewItem>
      <errorID>968d909b-7468-46dc-9e84-2350ef21da61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B3951A5</paraID>
      <start>0</start>
      <end>2</end>
      <status>unmodified</status>
      <modifiedWord/>
      <trackRevisions>false</trackRevisions>
    </reviewItem>
    <reviewItem>
      <errorID>974bfa5a-ccce-4dcd-b32a-a664e41b3dbe</errorID>
      <errorWord>3、</errorWord>
      <group>L1_Format</group>
      <groupName>格式问题</groupName>
      <ability>L2_Ordinal</ability>
      <abilityName>序号格式</abilityName>
      <candidateList>
        <item>3.</item>
      </candidateList>
      <explain>当前序号格式不规范，建议修改为规范格式[3.]。</explain>
      <paraID> 361DD66</paraID>
      <start>0</start>
      <end>2</end>
      <status>unmodified</status>
      <modifiedWord/>
      <trackRevisions>false</trackRevisions>
    </reviewItem>
    <reviewItem>
      <errorID>f99445c8-ca35-401f-ab8a-b214190bd655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5DF1A8B5</paraID>
      <start>0</start>
      <end>2</end>
      <status>unmodified</status>
      <modifiedWord/>
      <trackRevisions>false</trackRevisions>
    </reviewItem>
    <reviewItem>
      <errorID>c2ae30d6-21b6-49bf-9bec-ae846c22d4ab</errorID>
      <errorWord>:</errorWord>
      <group>L1_Format</group>
      <groupName>格式问题</groupName>
      <ability>L2_HalfPunc_CN</ability>
      <abilityName>全半角问题</abilityName>
      <candidateList>
        <item>：</item>
      </candidateList>
      <explain>文本全半角错误。</explain>
      <paraID>5DF1A8B5</paraID>
      <start>9</start>
      <end>10</end>
      <status>unmodified</status>
      <modifiedWord/>
      <trackRevisions>false</trackRevisions>
    </reviewItem>
    <reviewItem>
      <errorID>571eb63a-20ea-4c98-afa4-f5c8f4ab0f48</errorID>
      <errorWord>:</errorWord>
      <group>L1_Format</group>
      <groupName>格式问题</groupName>
      <ability>L2_HalfPunc_CN</ability>
      <abilityName>全半角问题</abilityName>
      <candidateList>
        <item>：</item>
      </candidateList>
      <explain>文本全半角错误。</explain>
      <paraID>5DF1A8B5</paraID>
      <start>24</start>
      <end>25</end>
      <status>unmodified</status>
      <modifiedWord/>
      <trackRevisions>false</trackRevisions>
    </reviewItem>
    <reviewItem>
      <errorID>1495caca-1cd7-46d1-8d46-b9b9e075cbde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2F7D560E</paraID>
      <start>0</start>
      <end>2</end>
      <status>unmodified</status>
      <modifiedWord/>
      <trackRevisions>false</trackRevisions>
    </reviewItem>
    <reviewItem>
      <errorID>89ebf21a-3e14-49fd-8454-449be6908c73</errorID>
      <errorWord>（</errorWord>
      <group>L1_Format</group>
      <groupName>格式问题</groupName>
      <ability>L2_HalfPunc_CN</ability>
      <abilityName>全半角问题</abilityName>
      <candidateList>
        <item>(</item>
      </candidateList>
      <explain>文本全半角错误。</explain>
      <paraID>4B0447E9</paraID>
      <start>75</start>
      <end>76</end>
      <status>unmodified</status>
      <modifiedWord/>
      <trackRevisions>false</trackRevisions>
    </reviewItem>
    <reviewItem>
      <errorID>df4c942a-3e4e-4ead-b0f4-05458c7d7e14</errorID>
      <errorWord>)</errorWord>
      <group>L1_Format</group>
      <groupName>格式问题</groupName>
      <ability>L2_HalfPunc_CN</ability>
      <abilityName>全半角问题</abilityName>
      <candidateList>
        <item>）</item>
      </candidateList>
      <explain>文本全半角错误。</explain>
      <paraID>4B0447E9</paraID>
      <start>123</start>
      <end>124</end>
      <status>unmodified</status>
      <modifiedWord/>
      <trackRevisions>false</trackRevisions>
    </reviewItem>
    <reviewItem>
      <errorID>d555e7c1-9716-41d8-babc-3a9ba3bda311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42406B1A</paraID>
      <start>0</start>
      <end>2</end>
      <status>unmodified</status>
      <modifiedWord/>
      <trackRevisions>false</trackRevisions>
    </reviewItem>
    <reviewItem>
      <errorID>7357f2b4-48dc-45d3-b82d-87a3b965ea4c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552D0765</paraID>
      <start>0</start>
      <end>2</end>
      <status>unmodified</status>
      <modifiedWord/>
      <trackRevisions>false</trackRevisions>
    </reviewItem>
    <reviewItem>
      <errorID>bca85a7a-9455-46fa-9b72-849adcb9e41c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1926EF32</paraID>
      <start>0</start>
      <end>2</end>
      <status>unmodified</status>
      <modifiedWord/>
      <trackRevisions>false</trackRevisions>
    </reviewItem>
    <reviewItem>
      <errorID>5e726988-5105-49bb-8cea-663d8258ddd8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61C3E814</paraID>
      <start>0</start>
      <end>3</end>
      <status>unmodified</status>
      <modifiedWord/>
      <trackRevisions>false</trackRevisions>
    </reviewItem>
    <reviewItem>
      <errorID>c52d59fc-edc6-4341-9a24-e53eaba18577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B5BA327</paraID>
      <start>0</start>
      <end>3</end>
      <status>unmodified</status>
      <modifiedWord/>
      <trackRevisions>false</trackRevisions>
    </reviewItem>
    <reviewItem>
      <errorID>82fb52f7-2a82-495c-846e-86cbdb8d036a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D8041E5</paraID>
      <start>0</start>
      <end>3</end>
      <status>unmodified</status>
      <modifiedWord/>
      <trackRevisions>false</trackRevisions>
    </reviewItem>
    <reviewItem>
      <errorID>7e53889e-2b9d-4c7f-ba74-bf9490508aa4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7301840B</paraID>
      <start>0</start>
      <end>3</end>
      <status>unmodified</status>
      <modifiedWord/>
      <trackRevisions>false</trackRevisions>
    </reviewItem>
    <reviewItem>
      <errorID>35817049-0f7e-45a7-a527-543de92d628d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53EDD56</paraID>
      <start>0</start>
      <end>3</end>
      <status>unmodified</status>
      <modifiedWord/>
      <trackRevisions>false</trackRevisions>
    </reviewItem>
    <reviewItem>
      <errorID>f70837db-4616-4359-ab12-bf88fdc5d3f4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2FB58A61</paraID>
      <start>0</start>
      <end>3</end>
      <status>unmodified</status>
      <modifiedWord/>
      <trackRevisions>false</trackRevisions>
    </reviewItem>
    <reviewItem>
      <errorID>32e9bf94-aa55-447b-96e5-a21880af6f1a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4CF67D20</paraID>
      <start>0</start>
      <end>3</end>
      <status>unmodified</status>
      <modifiedWord/>
      <trackRevisions>false</trackRevisions>
    </reviewItem>
    <reviewItem>
      <errorID>761bc322-e766-459e-bea3-e53727cf439a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74EC2E0</paraID>
      <start>0</start>
      <end>3</end>
      <status>unmodified</status>
      <modifiedWord/>
      <trackRevisions>false</trackRevisions>
    </reviewItem>
    <reviewItem>
      <errorID>06c9a163-da44-4038-9952-9a5f62f2cbf3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3EA6F1CC</paraID>
      <start>0</start>
      <end>3</end>
      <status>unmodified</status>
      <modifiedWord/>
      <trackRevisions>false</trackRevisions>
    </reviewItem>
    <reviewItem>
      <errorID>d443d26a-887b-4738-b3d6-80c57c01ff8c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2894475D</paraID>
      <start>0</start>
      <end>3</end>
      <status>unmodified</status>
      <modifiedWord/>
      <trackRevisions>false</trackRevisions>
    </reviewItem>
    <reviewItem>
      <errorID>9458e05e-57b0-4bce-9d69-0e68ca7c4602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531AB55</paraID>
      <start>0</start>
      <end>3</end>
      <status>unmodified</status>
      <modifiedWord/>
      <trackRevisions>false</trackRevisions>
    </reviewItem>
    <reviewItem>
      <errorID>a748427a-7189-4d4e-8d9a-61fe052fd313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D3CF9FF</paraID>
      <start>0</start>
      <end>3</end>
      <status>unmodified</status>
      <modifiedWord/>
      <trackRevisions>false</trackRevisions>
    </reviewItem>
    <reviewItem>
      <errorID>8ea36405-787c-47f4-8bfa-aeffa0426100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7B81C220</paraID>
      <start>0</start>
      <end>3</end>
      <status>unmodified</status>
      <modifiedWord/>
      <trackRevisions>false</trackRevisions>
    </reviewItem>
    <reviewItem>
      <errorID>749c467e-a94a-420e-8419-a0522867a317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13B241C4</paraID>
      <start>0</start>
      <end>3</end>
      <status>unmodified</status>
      <modifiedWord/>
      <trackRevisions>false</trackRevisions>
    </reviewItem>
    <reviewItem>
      <errorID>603417f5-96e9-4504-8ca9-18fa0e079066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4C0F58D1</paraID>
      <start>0</start>
      <end>3</end>
      <status>unmodified</status>
      <modifiedWord/>
      <trackRevisions>false</trackRevisions>
    </reviewItem>
    <reviewItem>
      <errorID>76e9728f-79e7-42c8-8fe7-3f2782524fd6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3DA2DCD8</paraID>
      <start>0</start>
      <end>3</end>
      <status>unmodified</status>
      <modifiedWord/>
      <trackRevisions>false</trackRevisions>
    </reviewItem>
    <reviewItem>
      <errorID>944b3c47-741d-442f-ae41-80dbe0fc762f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29145F25</paraID>
      <start>0</start>
      <end>3</end>
      <status>unmodified</status>
      <modifiedWord/>
      <trackRevisions>false</trackRevisions>
    </reviewItem>
    <reviewItem>
      <errorID>25e786bd-9c7c-43d7-a6c0-e68eac0ad69b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38628801</paraID>
      <start>0</start>
      <end>2</end>
      <status>unmodified</status>
      <modifiedWord/>
      <trackRevisions>false</trackRevisions>
    </reviewItem>
    <reviewItem>
      <errorID>8abd531e-2d7f-494f-a5d8-49723706db8c</errorID>
      <errorWord>海拔高度</errorWord>
      <group>L1_Word</group>
      <groupName>字词问题</groupName>
      <ability>L2_Typo</ability>
      <abilityName>字词错误</abilityName>
      <candidateList>
        <item>海拔</item>
      </candidateList>
      <explain/>
      <paraID>38628801</paraID>
      <start>107</start>
      <end>109</end>
      <status>modified</status>
      <modifiedWord>海拔</modifiedWord>
      <trackRevisions>false</trackRevisions>
    </reviewItem>
    <reviewItem>
      <errorID>43a48fdd-d267-4c6e-b2c7-49358204d76f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3EA50E75</paraID>
      <start>0</start>
      <end>2</end>
      <status>unmodified</status>
      <modifiedWord/>
      <trackRevisions>false</trackRevisions>
    </reviewItem>
    <reviewItem>
      <errorID>ec3615d4-7963-4333-9a9b-5df53b7eb5f9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3083600F</paraID>
      <start>0</start>
      <end>2</end>
      <status>unmodified</status>
      <modifiedWord/>
      <trackRevisions>false</trackRevisions>
    </reviewItem>
    <reviewItem>
      <errorID>1ab5c53a-a319-44d8-816f-62bdb90d64e8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30DF851</paraID>
      <start>0</start>
      <end>2</end>
      <status>unmodified</status>
      <modifiedWord/>
      <trackRevisions>false</trackRevisions>
    </reviewItem>
    <reviewItem>
      <errorID>7601d565-988f-4706-9c38-2a2d4c7aeccf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2D65E4E3</paraID>
      <start>0</start>
      <end>2</end>
      <status>unmodified</status>
      <modifiedWord/>
      <trackRevisions>false</trackRevisions>
    </reviewItem>
    <reviewItem>
      <errorID>a6463300-f9de-4c71-a2a2-c1ef87a66ff5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39C73AD5</paraID>
      <start>0</start>
      <end>2</end>
      <status>unmodified</status>
      <modifiedWord/>
      <trackRevisions>false</trackRevisions>
    </reviewItem>
    <reviewItem>
      <errorID>4554c0cc-1e71-4b64-9ace-ac3d8b5f4fd4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5502FBDC</paraID>
      <start>0</start>
      <end>2</end>
      <status>unmodified</status>
      <modifiedWord/>
      <trackRevisions>false</trackRevisions>
    </reviewItem>
    <reviewItem>
      <errorID>01da0641-48ef-4ad2-9451-da51dfe4b3de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5009CF</paraID>
      <start>0</start>
      <end>3</end>
      <status>unmodified</status>
      <modifiedWord/>
      <trackRevisions>false</trackRevisions>
    </reviewItem>
    <reviewItem>
      <errorID>3477cc51-4683-470a-9d4a-e1bc84028766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5AB0BF57</paraID>
      <start>0</start>
      <end>3</end>
      <status>unmodified</status>
      <modifiedWord/>
      <trackRevisions>false</trackRevisions>
    </reviewItem>
    <reviewItem>
      <errorID>78474d82-c9be-49bf-bfb1-57abb68efeb1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E8A7C1C</paraID>
      <start>0</start>
      <end>3</end>
      <status>unmodified</status>
      <modifiedWord/>
      <trackRevisions>false</trackRevisions>
    </reviewItem>
    <reviewItem>
      <errorID>7c0ef487-64c1-4544-8ddf-50e42652d2bc</errorID>
      <errorWord>机仓</errorWord>
      <group>L1_Word</group>
      <groupName>字词问题</groupName>
      <ability>L2_Typo</ability>
      <abilityName>字词错误</abilityName>
      <candidateList>
        <item>机舱</item>
      </candidateList>
      <explain/>
      <paraID> E8A7C1C</paraID>
      <start>239</start>
      <end>241</end>
      <status>unmodified</status>
      <modifiedWord/>
      <trackRevisions>false</trackRevisions>
    </reviewItem>
    <reviewItem>
      <errorID>b3327360-1b4a-4595-97d8-e1f8a100361e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4B27DFE7</paraID>
      <start>0</start>
      <end>3</end>
      <status>unmodified</status>
      <modifiedWord/>
      <trackRevisions>false</trackRevisions>
    </reviewItem>
    <reviewItem>
      <errorID>db310a06-ba34-4176-8c44-f267f17bfd10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49A98385</paraID>
      <start>0</start>
      <end>3</end>
      <status>unmodified</status>
      <modifiedWord/>
      <trackRevisions>false</trackRevisions>
    </reviewItem>
    <reviewItem>
      <errorID>1238c4ba-28bd-4548-93b6-ab04a93f4def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E2ECA3F</paraID>
      <start>0</start>
      <end>2</end>
      <status>unmodified</status>
      <modifiedWord/>
      <trackRevisions>false</trackRevisions>
    </reviewItem>
    <reviewItem>
      <errorID>d2656edc-0752-4636-a613-e7c31502e514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60063ECE</paraID>
      <start>0</start>
      <end>2</end>
      <status>unmodified</status>
      <modifiedWord/>
      <trackRevisions>false</trackRevisions>
    </reviewItem>
    <reviewItem>
      <errorID>bc5f1ea5-49a3-46dc-a556-42444f0a8bc6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4217930D</paraID>
      <start>1</start>
      <end>3</end>
      <status>unmodified</status>
      <modifiedWord/>
      <trackRevisions>false</trackRevisions>
    </reviewItem>
    <reviewItem>
      <errorID>c32f88bf-22eb-41d6-93b9-ad3c31e12884</errorID>
      <errorWord>优</errorWord>
      <group>L1_Word</group>
      <groupName>字词问题</groupName>
      <ability>L2_Typo</ability>
      <abilityName>字词错误</abilityName>
      <candidateList>
        <item>有</item>
      </candidateList>
      <explain/>
      <paraID>4217930D</paraID>
      <start>65</start>
      <end>66</end>
      <status>unmodified</status>
      <modifiedWord/>
      <trackRevisions>false</trackRevisions>
    </reviewItem>
    <reviewItem>
      <errorID>a71854fb-e047-44c4-a94f-e6c8027afcc3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50167F95</paraID>
      <start>0</start>
      <end>2</end>
      <status>unmodified</status>
      <modifiedWord/>
      <trackRevisions>false</trackRevisions>
    </reviewItem>
    <reviewItem>
      <errorID>03825ee1-1df2-4455-a532-f774ede108c2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589AFDD3</paraID>
      <start>0</start>
      <end>2</end>
      <status>unmodified</status>
      <modifiedWord/>
      <trackRevisions>false</trackRevisions>
    </reviewItem>
    <reviewItem>
      <errorID>9d598568-bbbe-492b-ab74-563a7059677d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589AFDD3</paraID>
      <start>120</start>
      <end>123</end>
      <status>unmodified</status>
      <modifiedWord/>
      <trackRevisions>false</trackRevisions>
    </reviewItem>
    <reviewItem>
      <errorID>48073d63-2130-4776-bd25-ea03e2a72ee9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4288ED3C</paraID>
      <start>0</start>
      <end>2</end>
      <status>unmodified</status>
      <modifiedWord/>
      <trackRevisions>false</trackRevisions>
    </reviewItem>
    <reviewItem>
      <errorID>9e356134-6e9f-4a6b-b314-2cd54a7e1b23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131F04F2</paraID>
      <start>0</start>
      <end>2</end>
      <status>unmodified</status>
      <modifiedWord/>
      <trackRevisions>false</trackRevisions>
    </reviewItem>
    <reviewItem>
      <errorID>8646233a-f727-453c-aa7f-4347c3f6e5fc</errorID>
      <errorWord>资质第三方</errorWord>
      <group>L1_Word</group>
      <groupName>字词问题</groupName>
      <ability>L2_Typo</ability>
      <abilityName>字词错误</abilityName>
      <candidateList>
        <item>资质的第三方</item>
      </candidateList>
      <explain/>
      <paraID>131F04F2</paraID>
      <start>21</start>
      <end>26</end>
      <status>unmodified</status>
      <modifiedWord/>
      <trackRevisions>false</trackRevisions>
    </reviewItem>
    <reviewItem>
      <errorID>86e3ca67-2508-46a5-8f5c-30c26824108c</errorID>
      <errorWord>:</errorWord>
      <group>L1_Format</group>
      <groupName>格式问题</groupName>
      <ability>L2_HalfPunc_CN</ability>
      <abilityName>全半角问题</abilityName>
      <candidateList>
        <item>：</item>
      </candidateList>
      <explain>文本全半角错误。</explain>
      <paraID>73C6ED69</paraID>
      <start>2</start>
      <end>3</end>
      <status>unmodified</status>
      <modifiedWord/>
      <trackRevisions>false</trackRevisions>
    </reviewItem>
    <reviewItem>
      <errorID>b0af484e-ba6a-40c5-bfbd-609b773513f5</errorID>
      <errorWord>;</errorWord>
      <group>L1_Format</group>
      <groupName>格式问题</groupName>
      <ability>L2_HalfPunc_CN</ability>
      <abilityName>全半角问题</abilityName>
      <candidateList>
        <item>；</item>
      </candidateList>
      <explain>文本全半角错误。</explain>
      <paraID>73C6ED69</paraID>
      <start>92</start>
      <end>93</end>
      <status>unmodified</status>
      <modifiedWord/>
      <trackRevisions>false</trackRevisions>
    </reviewItem>
    <reviewItem>
      <errorID>fd8ad68e-594b-4ea4-be7d-6f0fef551b5f</errorID>
      <errorWord>则</errorWord>
      <group>L1_Word</group>
      <groupName>字词问题</groupName>
      <ability>L2_Typo</ability>
      <abilityName>字词错误</abilityName>
      <candidateList>
        <item>则上</item>
      </candidateList>
      <explain/>
      <paraID>73C6ED69</paraID>
      <start>121</start>
      <end>122</end>
      <status>unmodified</status>
      <modifiedWord/>
      <trackRevisions>false</trackRevisions>
    </reviewItem>
    <reviewItem>
      <errorID>2185feed-3462-4c90-8b82-9a3cf1ae9ebe</errorID>
      <errorWord>"</errorWord>
      <group>L1_Format</group>
      <groupName>格式问题</groupName>
      <ability>L2_HalfPunc_CN</ability>
      <abilityName>全半角问题</abilityName>
      <candidateList>
        <item>“</item>
      </candidateList>
      <explain>文本全半角错误。</explain>
      <paraID>73C6ED69</paraID>
      <start>183</start>
      <end>184</end>
      <status>unmodified</status>
      <modifiedWord/>
      <trackRevisions>false</trackRevisions>
    </reviewItem>
    <reviewItem>
      <errorID>e31253a9-80ee-43c9-bb2b-a0270d504e88</errorID>
      <errorWord>"</errorWord>
      <group>L1_Format</group>
      <groupName>格式问题</groupName>
      <ability>L2_HalfPunc_CN</ability>
      <abilityName>全半角问题</abilityName>
      <candidateList>
        <item>”</item>
      </candidateList>
      <explain>文本全半角错误。</explain>
      <paraID>73C6ED69</paraID>
      <start>187</start>
      <end>188</end>
      <status>unmodified</status>
      <modifiedWord/>
      <trackRevisions>false</trackRevisions>
    </reviewItem>
    <reviewItem>
      <errorID>7d589638-b73d-4121-a3ca-6fc2ffe9b920</errorID>
      <errorWord>;</errorWord>
      <group>L1_Format</group>
      <groupName>格式问题</groupName>
      <ability>L2_HalfPunc_CN</ability>
      <abilityName>全半角问题</abilityName>
      <candidateList>
        <item>；</item>
      </candidateList>
      <explain>文本全半角错误。</explain>
      <paraID>73C6ED69</paraID>
      <start>192</start>
      <end>193</end>
      <status>unmodified</status>
      <modifiedWord/>
      <trackRevisions>false</trackRevisions>
    </reviewItem>
    <reviewItem>
      <errorID>3c10a7e0-2742-4347-855b-86ece732b0c3</errorID>
      <errorWord>(</errorWord>
      <group>L1_Format</group>
      <groupName>格式问题</groupName>
      <ability>L2_HalfPunc_CN</ability>
      <abilityName>全半角问题</abilityName>
      <candidateList>
        <item>（</item>
      </candidateList>
      <explain>文本全半角错误。</explain>
      <paraID>73C6ED69</paraID>
      <start>210</start>
      <end>211</end>
      <status>unmodified</status>
      <modifiedWord/>
      <trackRevisions>false</trackRevisions>
    </reviewItem>
    <reviewItem>
      <errorID>9e3f8116-0364-4707-89be-24d984c3f36e</errorID>
      <errorWord>)</errorWord>
      <group>L1_Format</group>
      <groupName>格式问题</groupName>
      <ability>L2_HalfPunc_CN</ability>
      <abilityName>全半角问题</abilityName>
      <candidateList>
        <item>）</item>
      </candidateList>
      <explain>文本全半角错误。</explain>
      <paraID>73C6ED69</paraID>
      <start>215</start>
      <end>216</end>
      <status>unmodified</status>
      <modifiedWord/>
      <trackRevisions>false</trackRevisions>
    </reviewItem>
    <reviewItem>
      <errorID>d7bda5b5-508e-411a-99fe-2e2a55a15694</errorID>
      <errorWord>:</errorWord>
      <group>L1_Format</group>
      <groupName>格式问题</groupName>
      <ability>L2_HalfPunc_CN</ability>
      <abilityName>全半角问题</abilityName>
      <candidateList>
        <item>：</item>
      </candidateList>
      <explain>文本全半角错误。</explain>
      <paraID>1EB9E391</paraID>
      <start>2</start>
      <end>3</end>
      <status>unmodified</status>
      <modifiedWord/>
      <trackRevisions>false</trackRevisions>
    </reviewItem>
    <reviewItem>
      <errorID>a92c3184-86ff-4232-a617-e23f82c484bb</errorID>
      <errorWord>"</errorWord>
      <group>L1_Format</group>
      <groupName>格式问题</groupName>
      <ability>L2_HalfPunc_CN</ability>
      <abilityName>全半角问题</abilityName>
      <candidateList>
        <item>“</item>
      </candidateList>
      <explain>文本全半角错误。</explain>
      <paraID>1EB9E391</paraID>
      <start>40</start>
      <end>41</end>
      <status>unmodified</status>
      <modifiedWord/>
      <trackRevisions>false</trackRevisions>
    </reviewItem>
    <reviewItem>
      <errorID>14e758d1-53eb-4e91-896e-fe601c415158</errorID>
      <errorWord>"</errorWord>
      <group>L1_Format</group>
      <groupName>格式问题</groupName>
      <ability>L2_HalfPunc_CN</ability>
      <abilityName>全半角问题</abilityName>
      <candidateList>
        <item>”</item>
      </candidateList>
      <explain>文本全半角错误。</explain>
      <paraID>1EB9E391</paraID>
      <start>44</start>
      <end>45</end>
      <status>unmodified</status>
      <modifiedWord/>
      <trackRevisions>false</trackRevisions>
    </reviewItem>
    <reviewItem>
      <errorID>574ded59-3b5c-4630-9d7d-84ad4b4c17b1</errorID>
      <errorWord>目</errorWord>
      <group>L1_Word</group>
      <groupName>字词问题</groupName>
      <ability>L2_Typo</ability>
      <abilityName>字词错误</abilityName>
      <candidateList>
        <item>目在</item>
      </candidateList>
      <explain/>
      <paraID> EDAD596</paraID>
      <start>18</start>
      <end>19</end>
      <status>unmodified</status>
      <modifiedWord/>
      <trackRevisions>false</trackRevisions>
    </reviewItem>
    <reviewItem>
      <errorID>1009e036-0774-4004-a239-4b11efcf5bb2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7A32AD9C</paraID>
      <start>58</start>
      <end>59</end>
      <status>unmodified</status>
      <modifiedWord/>
      <trackRevisions>false</trackRevisions>
    </reviewItem>
    <reviewItem>
      <errorID>6ee10e58-0c48-48ca-b5b4-c5dbca9ec688</errorID>
      <errorWord>.</errorWord>
      <group>L1_Format</group>
      <groupName>格式问题</groupName>
      <ability>L2_HalfPunc_CN</ability>
      <abilityName>全半角问题</abilityName>
      <candidateList>
        <item>。</item>
      </candidateList>
      <explain>文本全半角错误。</explain>
      <paraID>42259DE4</paraID>
      <start>4</start>
      <end>5</end>
      <status>unmodified</status>
      <modifiedWord/>
      <trackRevisions>false</trackRevisions>
    </reviewItem>
    <reviewItem>
      <errorID>ae6de69a-a8ad-4237-9b95-1e715404bcea</errorID>
      <errorWord>.</errorWord>
      <group>L1_Format</group>
      <groupName>格式问题</groupName>
      <ability>L2_HalfPunc_CN</ability>
      <abilityName>全半角问题</abilityName>
      <candidateList>
        <item>。</item>
      </candidateList>
      <explain>文本全半角错误。</explain>
      <paraID>42259DE4</paraID>
      <start>7</start>
      <end>8</end>
      <status>unmodified</status>
      <modifiedWord/>
      <trackRevisions>false</trackRevisions>
    </reviewItem>
    <reviewItem>
      <errorID>f9e4b1a0-66b8-4c5c-93d4-ad635502e7a5</errorID>
      <errorWord>.</errorWord>
      <group>L1_Format</group>
      <groupName>格式问题</groupName>
      <ability>L2_HalfPunc_CN</ability>
      <abilityName>全半角问题</abilityName>
      <candidateList>
        <item>。</item>
      </candidateList>
      <explain>文本全半角错误。</explain>
      <paraID>42259DE4</paraID>
      <start>10</start>
      <end>11</end>
      <status>unmodified</status>
      <modifiedWord/>
      <trackRevisions>false</trackRevisions>
    </reviewItem>
    <reviewItem>
      <errorID>7004456e-8b1a-4379-a5b1-26391f6cd902</errorID>
      <errorWord>(</errorWord>
      <group>L1_Format</group>
      <groupName>格式问题</groupName>
      <ability>L2_HalfPunc_CN</ability>
      <abilityName>全半角问题</abilityName>
      <candidateList>
        <item>（</item>
      </candidateList>
      <explain>文本全半角错误。</explain>
      <paraID>50BAF348</paraID>
      <start>0</start>
      <end>1</end>
      <status>unmodified</status>
      <modifiedWord/>
      <trackRevisions>false</trackRevisions>
    </reviewItem>
    <reviewItem>
      <errorID>e8863f90-d3e4-470f-9aa2-bd4203482d2e</errorID>
      <errorWord>:</errorWord>
      <group>L1_Format</group>
      <groupName>格式问题</groupName>
      <ability>L2_HalfPunc_CN</ability>
      <abilityName>全半角问题</abilityName>
      <candidateList>
        <item>：</item>
      </candidateList>
      <explain>文本全半角错误。</explain>
      <paraID>2A3D6A24</paraID>
      <start>2</start>
      <end>3</end>
      <status>unmodified</status>
      <modifiedWord/>
      <trackRevisions>false</trackRevisions>
    </reviewItem>
    <reviewItem>
      <errorID>00576444-e046-42ce-8235-0292b87a864f</errorID>
      <errorWord>;</errorWord>
      <group>L1_Format</group>
      <groupName>格式问题</groupName>
      <ability>L2_HalfPunc_CN</ability>
      <abilityName>全半角问题</abilityName>
      <candidateList>
        <item>；</item>
      </candidateList>
      <explain>文本全半角错误。</explain>
      <paraID>2A3D6A24</paraID>
      <start>92</start>
      <end>93</end>
      <status>unmodified</status>
      <modifiedWord/>
      <trackRevisions>false</trackRevisions>
    </reviewItem>
    <reviewItem>
      <errorID>b9b1959c-8db6-4a48-82f2-f7c250337f7d</errorID>
      <errorWord>则</errorWord>
      <group>L1_Word</group>
      <groupName>字词问题</groupName>
      <ability>L2_Typo</ability>
      <abilityName>字词错误</abilityName>
      <candidateList>
        <item>则上</item>
      </candidateList>
      <explain/>
      <paraID>2A3D6A24</paraID>
      <start>121</start>
      <end>122</end>
      <status>unmodified</status>
      <modifiedWord/>
      <trackRevisions>false</trackRevisions>
    </reviewItem>
    <reviewItem>
      <errorID>1edef91b-42b2-4c29-b807-83f688a48417</errorID>
      <errorWord>"</errorWord>
      <group>L1_Format</group>
      <groupName>格式问题</groupName>
      <ability>L2_HalfPunc_CN</ability>
      <abilityName>全半角问题</abilityName>
      <candidateList>
        <item>“</item>
      </candidateList>
      <explain>文本全半角错误。</explain>
      <paraID>2A3D6A24</paraID>
      <start>183</start>
      <end>184</end>
      <status>unmodified</status>
      <modifiedWord/>
      <trackRevisions>false</trackRevisions>
    </reviewItem>
    <reviewItem>
      <errorID>eb7470ff-5388-4b4e-9bac-7a340e68f70a</errorID>
      <errorWord>"</errorWord>
      <group>L1_Format</group>
      <groupName>格式问题</groupName>
      <ability>L2_HalfPunc_CN</ability>
      <abilityName>全半角问题</abilityName>
      <candidateList>
        <item>”</item>
      </candidateList>
      <explain>文本全半角错误。</explain>
      <paraID>2A3D6A24</paraID>
      <start>187</start>
      <end>188</end>
      <status>unmodified</status>
      <modifiedWord/>
      <trackRevisions>false</trackRevisions>
    </reviewItem>
    <reviewItem>
      <errorID>8a7774a6-be6a-41b5-9610-f2014e8d9ead</errorID>
      <errorWord>;</errorWord>
      <group>L1_Format</group>
      <groupName>格式问题</groupName>
      <ability>L2_HalfPunc_CN</ability>
      <abilityName>全半角问题</abilityName>
      <candidateList>
        <item>；</item>
      </candidateList>
      <explain>文本全半角错误。</explain>
      <paraID>2A3D6A24</paraID>
      <start>192</start>
      <end>193</end>
      <status>unmodified</status>
      <modifiedWord/>
      <trackRevisions>false</trackRevisions>
    </reviewItem>
    <reviewItem>
      <errorID>f35f28fa-9975-4db7-83c6-ec02f439b4a6</errorID>
      <errorWord>(</errorWord>
      <group>L1_Format</group>
      <groupName>格式问题</groupName>
      <ability>L2_HalfPunc_CN</ability>
      <abilityName>全半角问题</abilityName>
      <candidateList>
        <item>（</item>
      </candidateList>
      <explain>文本全半角错误。</explain>
      <paraID>2A3D6A24</paraID>
      <start>210</start>
      <end>211</end>
      <status>unmodified</status>
      <modifiedWord/>
      <trackRevisions>false</trackRevisions>
    </reviewItem>
    <reviewItem>
      <errorID>7f93b8d6-7d29-4aba-96c0-0e2632058b52</errorID>
      <errorWord>)</errorWord>
      <group>L1_Format</group>
      <groupName>格式问题</groupName>
      <ability>L2_HalfPunc_CN</ability>
      <abilityName>全半角问题</abilityName>
      <candidateList>
        <item>）</item>
      </candidateList>
      <explain>文本全半角错误。</explain>
      <paraID>2A3D6A24</paraID>
      <start>215</start>
      <end>216</end>
      <status>unmodified</status>
      <modifiedWord/>
      <trackRevisions>false</trackRevisions>
    </reviewItem>
    <reviewItem>
      <errorID>26e940a5-8ca8-4cd9-ab36-c470f323f33a</errorID>
      <errorWord>:</errorWord>
      <group>L1_Format</group>
      <groupName>格式问题</groupName>
      <ability>L2_HalfPunc_CN</ability>
      <abilityName>全半角问题</abilityName>
      <candidateList>
        <item>：</item>
      </candidateList>
      <explain>文本全半角错误。</explain>
      <paraID>2B327DFC</paraID>
      <start>2</start>
      <end>3</end>
      <status>unmodified</status>
      <modifiedWord/>
      <trackRevisions>false</trackRevisions>
    </reviewItem>
    <reviewItem>
      <errorID>e666e59a-500c-454d-9ecf-3dffd755abfa</errorID>
      <errorWord>"</errorWord>
      <group>L1_Format</group>
      <groupName>格式问题</groupName>
      <ability>L2_HalfPunc_CN</ability>
      <abilityName>全半角问题</abilityName>
      <candidateList>
        <item>“</item>
      </candidateList>
      <explain>文本全半角错误。</explain>
      <paraID>2B327DFC</paraID>
      <start>40</start>
      <end>41</end>
      <status>unmodified</status>
      <modifiedWord/>
      <trackRevisions>false</trackRevisions>
    </reviewItem>
    <reviewItem>
      <errorID>b26a24a7-7ead-4123-ac58-4bada3663915</errorID>
      <errorWord>"</errorWord>
      <group>L1_Format</group>
      <groupName>格式问题</groupName>
      <ability>L2_HalfPunc_CN</ability>
      <abilityName>全半角问题</abilityName>
      <candidateList>
        <item>”</item>
      </candidateList>
      <explain>文本全半角错误。</explain>
      <paraID>2B327DFC</paraID>
      <start>44</start>
      <end>45</end>
      <status>unmodified</status>
      <modifiedWord/>
      <trackRevisions>false</trackRevisions>
    </reviewItem>
    <reviewItem>
      <errorID>079da49c-7429-4497-82fd-4565fa29941a</errorID>
      <errorWord>程</errorWord>
      <group>L1_Word</group>
      <groupName>字词问题</groupName>
      <ability>L2_Typo</ability>
      <abilityName>字词错误</abilityName>
      <candidateList>
        <item>程中</item>
      </candidateList>
      <explain/>
      <paraID>449964C3</paraID>
      <start>10</start>
      <end>11</end>
      <status>unmodified</status>
      <modifiedWord/>
      <trackRevisions>false</trackRevisions>
    </reviewItem>
    <reviewItem>
      <errorID>27072e5c-3cf2-41b1-9ad7-43ce62ff5d52</errorID>
      <errorWord>期</errorWord>
      <group>L1_Word</group>
      <groupName>字词问题</groupName>
      <ability>L2_Typo</ability>
      <abilityName>字词错误</abilityName>
      <candidateList>
        <item>期间</item>
      </candidateList>
      <explain/>
      <paraID>449964C3</paraID>
      <start>16</start>
      <end>17</end>
      <status>unmodified</status>
      <modifiedWord/>
      <trackRevisions>false</trackRevisions>
    </reviewItem>
    <reviewItem>
      <errorID>85b1da86-6015-4145-9587-3365fa7f78a5</errorID>
      <errorWord>-</errorWord>
      <group>L1_Format</group>
      <groupName>格式问题</groupName>
      <ability>L2_HalfPunc_CN</ability>
      <abilityName>全半角问题</abilityName>
      <candidateList>
        <item>－</item>
      </candidateList>
      <explain>文本全半角错误。</explain>
      <paraID>2AA416CA</paraID>
      <start>12</start>
      <end>13</end>
      <status>unmodified</status>
      <modifiedWord/>
      <trackRevisions>false</trackRevisions>
    </reviewItem>
    <reviewItem>
      <errorID>2677af0a-614e-4aec-9781-87ddcc7b0df6</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 BD65416</paraID>
      <start>41</start>
      <end>51</end>
      <status>unmodified</status>
      <modifiedWord/>
      <trackRevisions>false</trackRevisions>
    </reviewItem>
    <reviewItem>
      <errorID>b76140af-dc97-49c1-9491-c97d2949ad32</errorID>
      <errorWord>涵义</errorWord>
      <group>L1_Word</group>
      <groupName>字词问题</groupName>
      <ability>L2_Alias</ability>
      <abilityName>也作/曾用词</abilityName>
      <candidateList>
        <item>含义</item>
      </candidateList>
      <explain>词汇[涵义]为不规范表述或旧称，其规范书面表述为[含义]。</explain>
      <paraID>25C72F05</paraID>
      <start>5</start>
      <end>7</end>
      <status>modified</status>
      <modifiedWord>含义</modifiedWord>
      <trackRevisions>false</trackRevisions>
    </reviewItem>
    <reviewItem>
      <errorID>8ff81608-dae7-4e26-9c79-75566e943640</errorID>
      <errorWord>须</errorWord>
      <group>L1_Word</group>
      <groupName>字词问题</groupName>
      <ability>L2_Typo</ability>
      <abilityName>字词错误</abilityName>
      <candidateList>
        <item>需</item>
      </candidateList>
      <explain>存在发音相同字词的误用。</explain>
      <paraID>4D2E8F6C</paraID>
      <start>14</start>
      <end>15</end>
      <status>unmodified</status>
      <modifiedWord/>
      <trackRevisions>false</trackRevisions>
    </reviewItem>
    <reviewItem>
      <errorID>e7967e90-39bb-4a5b-bf60-5eac2acd37e6</errorID>
      <errorWord>其它</errorWord>
      <group>L1_Word</group>
      <groupName>字词问题</groupName>
      <ability>L2_Alias</ability>
      <abilityName>也作/曾用词</abilityName>
      <candidateList>
        <item>其他</item>
      </candidateList>
      <explain>词汇[其它]为不规范表述或旧称，其规范书面表述为[其他]。</explain>
      <paraID>6A9E46A4</paraID>
      <start>35</start>
      <end>37</end>
      <status>unmodified</status>
      <modifiedWord/>
      <trackRevisions>false</trackRevisions>
    </reviewItem>
    <reviewItem>
      <errorID>059f8241-dae9-4a64-b32a-dc3a1565b4f0</errorID>
      <errorWord>其它</errorWord>
      <group>L1_Word</group>
      <groupName>字词问题</groupName>
      <ability>L2_Alias</ability>
      <abilityName>也作/曾用词</abilityName>
      <candidateList>
        <item>其他</item>
      </candidateList>
      <explain>词汇[其它]为不规范表述或旧称，其规范书面表述为[其他]。</explain>
      <paraID>63D0A4BF</paraID>
      <start>45</start>
      <end>47</end>
      <status>unmodified</status>
      <modifiedWord/>
      <trackRevisions>false</trackRevisions>
    </reviewItem>
    <reviewItem>
      <errorID>e0e78968-3074-4f0a-a5d0-1f95cf46a756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5336378B</paraID>
      <start>0</start>
      <end>2</end>
      <status>unmodified</status>
      <modifiedWord/>
      <trackRevisions>false</trackRevisions>
    </reviewItem>
    <reviewItem>
      <errorID>2168a3bc-9ca3-4e05-aa7b-3081088ab1a4</errorID>
      <errorWord>其它</errorWord>
      <group>L1_Word</group>
      <groupName>字词问题</groupName>
      <ability>L2_Alias</ability>
      <abilityName>也作/曾用词</abilityName>
      <candidateList>
        <item>其他</item>
      </candidateList>
      <explain>词汇[其它]为不规范表述或旧称，其规范书面表述为[其他]。</explain>
      <paraID>5336378B</paraID>
      <start>84</start>
      <end>86</end>
      <status>unmodified</status>
      <modifiedWord/>
      <trackRevisions>false</trackRevisions>
    </reviewItem>
    <reviewItem>
      <errorID>1a169897-bd6b-468e-9ca5-75323d2f6a60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12755445</paraID>
      <start>0</start>
      <end>2</end>
      <status>unmodified</status>
      <modifiedWord/>
      <trackRevisions>false</trackRevisions>
    </reviewItem>
    <reviewItem>
      <errorID>ae748ec6-7d7a-4769-87e6-93e0a4559fe4</errorID>
      <errorWord>遭</errorWord>
      <group>L1_Word</group>
      <groupName>字词问题</groupName>
      <ability>L2_Typo</ability>
      <abilityName>字词错误</abilityName>
      <candidateList>
        <item>遭受</item>
      </candidateList>
      <explain/>
      <paraID>12755445</paraID>
      <start>21</start>
      <end>22</end>
      <status>unmodified</status>
      <modifiedWord/>
      <trackRevisions>false</trackRevisions>
    </reviewItem>
    <reviewItem>
      <errorID>ddbae0e6-0c27-47cf-aa3f-b2d1f1cf9329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7CEE2208</paraID>
      <start>0</start>
      <end>2</end>
      <status>unmodified</status>
      <modifiedWord/>
      <trackRevisions>false</trackRevisions>
    </reviewItem>
    <reviewItem>
      <errorID>37e6d86c-5be0-4359-ac17-02cedd2f3d79</errorID>
      <errorWord>中华人民共和国民法典</errorWord>
      <group>L1_Knowledge</group>
      <groupName>知识性问题</groupName>
      <ability>L2_Knowledge</ability>
      <abilityName>其他知识</abilityName>
      <candidateList>
        <item>《中华人民共和国民法典》</item>
      </candidateList>
      <explain>完整法律法规名称需要加书名号，请注意检查。</explain>
      <paraID>4CD9724B</paraID>
      <start>57</start>
      <end>67</end>
      <status>unmodified</status>
      <modifiedWord/>
      <trackRevisions>false</trackRevisions>
    </reviewItem>
    <reviewItem>
      <errorID>8c321d27-eb0e-4165-92d5-65715d04cfff</errorID>
      <errorWord>法律、法规</errorWord>
      <group>L1_Word</group>
      <groupName>字词问题</groupName>
      <ability>L2_Typo</ability>
      <abilityName>字词错误</abilityName>
      <candidateList>
        <item>法律法规</item>
      </candidateList>
      <explain/>
      <paraID> CBA1C9C</paraID>
      <start>43</start>
      <end>48</end>
      <status>unmodified</status>
      <modifiedWord/>
      <trackRevisions>false</trackRevisions>
    </reviewItem>
    <reviewItem>
      <errorID>47cd26c3-2e9e-4bbd-a0b8-27d8c603cad1</errorID>
      <errorWord>(</errorWord>
      <group>L1_Format</group>
      <groupName>格式问题</groupName>
      <ability>L2_HalfPunc_CN</ability>
      <abilityName>全半角问题</abilityName>
      <candidateList>
        <item>（</item>
      </candidateList>
      <explain>文本全半角错误。</explain>
      <paraID>2691AFE7</paraID>
      <start>5</start>
      <end>6</end>
      <status>unmodified</status>
      <modifiedWord/>
      <trackRevisions>false</trackRevisions>
    </reviewItem>
    <reviewItem>
      <errorID>b0a9f002-b056-4863-864c-cdb9ce843a1d</errorID>
      <errorWord>)</errorWord>
      <group>L1_Format</group>
      <groupName>格式问题</groupName>
      <ability>L2_HalfPunc_CN</ability>
      <abilityName>全半角问题</abilityName>
      <candidateList>
        <item>）</item>
      </candidateList>
      <explain>文本全半角错误。</explain>
      <paraID>2691AFE7</paraID>
      <start>10</start>
      <end>11</end>
      <status>unmodified</status>
      <modifiedWord/>
      <trackRevisions>false</trackRevisions>
    </reviewItem>
    <reviewItem>
      <errorID>e6ca9504-3689-435a-a9fa-0bde8ed49560</errorID>
      <errorWord>(</errorWord>
      <group>L1_Format</group>
      <groupName>格式问题</groupName>
      <ability>L2_HalfPunc_CN</ability>
      <abilityName>全半角问题</abilityName>
      <candidateList>
        <item>（</item>
      </candidateList>
      <explain>文本全半角错误。</explain>
      <paraID>77B9DF7E</paraID>
      <start>33</start>
      <end>34</end>
      <status>unmodified</status>
      <modifiedWord/>
      <trackRevisions>false</trackRevisions>
    </reviewItem>
    <reviewItem>
      <errorID>7e07d57e-68ac-434b-b911-12923edf31ff</errorID>
      <errorWord>)</errorWord>
      <group>L1_Format</group>
      <groupName>格式问题</groupName>
      <ability>L2_HalfPunc_CN</ability>
      <abilityName>全半角问题</abilityName>
      <candidateList>
        <item>）</item>
      </candidateList>
      <explain>文本全半角错误。</explain>
      <paraID>77B9DF7E</paraID>
      <start>45</start>
      <end>46</end>
      <status>unmodified</status>
      <modifiedWord/>
      <trackRevisions>false</trackRevisions>
    </reviewItem>
    <reviewItem>
      <errorID>19f3f62c-78b9-4810-93c1-60fbf72b76f0</errorID>
      <errorWord>(</errorWord>
      <group>L1_Format</group>
      <groupName>格式问题</groupName>
      <ability>L2_HalfPunc_CN</ability>
      <abilityName>全半角问题</abilityName>
      <candidateList>
        <item>（</item>
      </candidateList>
      <explain>文本全半角错误。</explain>
      <paraID>32A2E907</paraID>
      <start>51</start>
      <end>52</end>
      <status>unmodified</status>
      <modifiedWord/>
      <trackRevisions>false</trackRevisions>
    </reviewItem>
    <reviewItem>
      <errorID>25d43fb7-cf95-44e1-b338-72ded49b60a2</errorID>
      <errorWord>[2011]300号</errorWord>
      <group>L1_Knowledge</group>
      <groupName>知识性问题</groupName>
      <ability>L2_Knowledge</ability>
      <abilityName>其他知识</abilityName>
      <candidateList>
        <item>〔2011〕300号</item>
      </candidateList>
      <explain>发文字号格式错误。</explain>
      <paraID>32A2E907</paraID>
      <start>58</start>
      <end>68</end>
      <status>unmodified</status>
      <modifiedWord/>
      <trackRevisions>false</trackRevisions>
    </reviewItem>
    <reviewItem>
      <errorID>e8634df0-5c87-49ca-acd1-d8f1a85bb007</errorID>
      <errorWord>)</errorWord>
      <group>L1_Format</group>
      <groupName>格式问题</groupName>
      <ability>L2_HalfPunc_CN</ability>
      <abilityName>全半角问题</abilityName>
      <candidateList>
        <item>）</item>
      </candidateList>
      <explain>文本全半角错误。</explain>
      <paraID>32A2E907</paraID>
      <start>68</start>
      <end>69</end>
      <status>unmodified</status>
      <modifiedWord/>
      <trackRevisions>false</trackRevisions>
    </reviewItem>
    <reviewItem>
      <errorID>01ec92ae-37b0-413c-996b-2f23d4d8e1d2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782F2CA2</paraID>
      <start>51</start>
      <end>52</end>
      <status>unmodified</status>
      <modifiedWord/>
      <trackRevisions>false</trackRevisions>
    </reviewItem>
    <reviewItem>
      <errorID>138731b4-e785-4d0d-8906-935e906469ef</errorID>
      <errorWord>(</errorWord>
      <group>L1_Format</group>
      <groupName>格式问题</groupName>
      <ability>L2_HalfPunc_CN</ability>
      <abilityName>全半角问题</abilityName>
      <candidateList>
        <item>（</item>
      </candidateList>
      <explain>文本全半角错误。</explain>
      <paraID> 521227F</paraID>
      <start>2</start>
      <end>3</end>
      <status>unmodified</status>
      <modifiedWord/>
      <trackRevisions>false</trackRevisions>
    </reviewItem>
    <reviewItem>
      <errorID>945f4761-a91c-4021-93b6-2397cb384ef2</errorID>
      <errorWord>)</errorWord>
      <group>L1_Format</group>
      <groupName>格式问题</groupName>
      <ability>L2_HalfPunc_CN</ability>
      <abilityName>全半角问题</abilityName>
      <candidateList>
        <item>）</item>
      </candidateList>
      <explain>文本全半角错误。</explain>
      <paraID> 521227F</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ab9e558-944a-409b-8615-29565ad68769}">
  <ds:schemaRefs/>
</ds:datastoreItem>
</file>

<file path=docProps/app.xml><?xml version="1.0" encoding="utf-8"?>
<Properties xmlns="http://schemas.openxmlformats.org/officeDocument/2006/extended-properties" xmlns:vt="http://schemas.openxmlformats.org/officeDocument/2006/docPropsVTypes">
  <Template>Normal</Template>
  <Company>Organi</Company>
  <Pages>66</Pages>
  <Words>14115</Words>
  <Characters>14913</Characters>
  <Lines>289</Lines>
  <Paragraphs>81</Paragraphs>
  <TotalTime>10</TotalTime>
  <ScaleCrop>false</ScaleCrop>
  <LinksUpToDate>false</LinksUpToDate>
  <CharactersWithSpaces>14979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2023-07-23T13:07:00Z</dcterms:created>
  <dc:creator>宿迁政府采</dc:creator>
  <cp:lastModifiedBy>Administrator</cp:lastModifiedBy>
  <dcterms:modified xsi:type="dcterms:W3CDTF">2026-09-08T03:20:55Z</dcterms:modified>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eyJoZGlkIjoiNzZiMDY3YzFhOTBkN2U4ZGI4NjJiZDViMGEyNzMyMzUiLCJ1c2VySWQiOiI5NTgzNDI0MjYifQ==</vt:lpwstr>
  </property>
  <property fmtid="{D5CDD505-2E9C-101B-9397-08002B2CF9AE}" pid="3" name="KSOProductBuildVer">
    <vt:lpwstr>2052-12.1.0.28505</vt:lpwstr>
  </property>
  <property fmtid="{D5CDD505-2E9C-101B-9397-08002B2CF9AE}" pid="4" name="ICV">
    <vt:lpwstr>20EF30AD8271455DBA943618873A541A_12</vt:lpwstr>
  </property>
</Properties>
</file>