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line="1000" w:lineRule="exact"/>
        <w:rPr>
          <w:rFonts w:hint="eastAsia" w:ascii="Arial" w:hAnsi="Arial"/>
          <w:b/>
          <w:bCs/>
          <w:color w:val="auto"/>
          <w:sz w:val="32"/>
          <w:szCs w:val="24"/>
          <w:highlight w:val="none"/>
        </w:rPr>
      </w:pPr>
      <w:r>
        <w:rPr>
          <w:rFonts w:hint="eastAsia" w:ascii="Arial" w:hAnsi="Arial"/>
          <w:b/>
          <w:bCs/>
          <w:color w:val="auto"/>
          <w:sz w:val="32"/>
          <w:szCs w:val="24"/>
          <w:highlight w:val="none"/>
        </w:rPr>
        <w:t xml:space="preserve">项目名称：南通市教育局直属学校智能批阅机项目</w:t>
      </w:r>
      <w:r/>
    </w:p>
    <w:p>
      <w:pPr>
        <w:jc w:val="center"/>
        <w:spacing w:line="1000" w:lineRule="exact"/>
        <w:rPr>
          <w:rFonts w:hint="default" w:ascii="宋体" w:hAnsi="宋体" w:eastAsia="宋体" w:cs="宋体"/>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ascii="宋体" w:hAnsi="宋体" w:eastAsia="宋体" w:cs="宋体"/>
          <w:color w:val="auto"/>
          <w:sz w:val="32"/>
          <w:szCs w:val="32"/>
          <w:highlight w:val="none"/>
        </w:rPr>
        <w:t xml:space="preserve">JSZC-320600-JZCG-G202</w:t>
      </w:r>
      <w:r>
        <w:rPr>
          <w:rFonts w:hint="eastAsia" w:ascii="宋体" w:hAnsi="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0146</w:t>
      </w:r>
      <w:r/>
    </w:p>
    <w:p>
      <w:pPr>
        <w:ind w:left="3012" w:hanging="3012"/>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7"/>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77"/>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77"/>
        <w:ind w:firstLine="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720"/>
        <w:spacing w:line="360" w:lineRule="auto"/>
        <w:rPr>
          <w:rFonts w:hint="eastAsia" w:ascii="宋体" w:hAnsi="宋体"/>
          <w:color w:val="auto"/>
          <w:sz w:val="32"/>
          <w:szCs w:val="20"/>
          <w:highlight w:val="none"/>
        </w:rPr>
      </w:pPr>
      <w:r>
        <w:rPr>
          <w:rFonts w:hint="eastAsia" w:ascii="宋体" w:hAnsi="宋体"/>
          <w:color w:val="auto"/>
          <w:sz w:val="32"/>
          <w:szCs w:val="20"/>
          <w:highlight w:val="none"/>
        </w:rPr>
        <w:t xml:space="preserve">南通市教育技术中心</w:t>
      </w:r>
      <w:r/>
    </w:p>
    <w:p>
      <w:pPr>
        <w:jc w:val="center"/>
        <w:spacing w:before="120" w:after="120" w:line="360" w:lineRule="auto"/>
        <w:rPr>
          <w:rFonts w:hint="eastAsia" w:ascii="Arial" w:hAnsi="Arial"/>
          <w:bCs/>
          <w:color w:val="auto"/>
          <w:sz w:val="32"/>
          <w:szCs w:val="24"/>
          <w:highlight w:val="none"/>
        </w:rPr>
      </w:pPr>
      <w:r>
        <w:rPr>
          <w:rFonts w:hint="eastAsia" w:ascii="Arial" w:hAnsi="Arial"/>
          <w:bCs/>
          <w:color w:val="auto"/>
          <w:sz w:val="32"/>
          <w:szCs w:val="24"/>
          <w:highlight w:val="none"/>
        </w:rPr>
        <w:t xml:space="preserve">202</w:t>
      </w:r>
      <w:r>
        <w:rPr>
          <w:rFonts w:hint="eastAsia" w:ascii="Arial" w:hAnsi="Arial"/>
          <w:bCs/>
          <w:color w:val="auto"/>
          <w:sz w:val="32"/>
          <w:szCs w:val="24"/>
          <w:highlight w:val="none"/>
          <w:lang w:val="en-US" w:eastAsia="zh-CN"/>
        </w:rPr>
        <w:t xml:space="preserve">6</w:t>
      </w:r>
      <w:r>
        <w:rPr>
          <w:rFonts w:hint="eastAsia" w:ascii="Arial" w:hAnsi="Arial"/>
          <w:bCs/>
          <w:color w:val="auto"/>
          <w:sz w:val="32"/>
          <w:szCs w:val="24"/>
          <w:highlight w:val="none"/>
        </w:rPr>
        <w:t xml:space="preserve">年</w:t>
      </w:r>
      <w:r>
        <w:rPr>
          <w:rFonts w:hint="eastAsia" w:ascii="Arial" w:hAnsi="Arial"/>
          <w:bCs/>
          <w:color w:val="auto"/>
          <w:sz w:val="32"/>
          <w:szCs w:val="24"/>
          <w:highlight w:val="none"/>
          <w:lang w:val="en-US" w:eastAsia="zh-CN"/>
        </w:rPr>
        <w:t xml:space="preserve">10</w:t>
      </w:r>
      <w:r>
        <w:rPr>
          <w:rFonts w:hint="eastAsia" w:ascii="Arial" w:hAnsi="Arial"/>
          <w:bCs/>
          <w:color w:val="auto"/>
          <w:sz w:val="32"/>
          <w:szCs w:val="24"/>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523127445"/>
      <w:r/>
      <w:bookmarkStart w:id="2" w:name="_Toc20823272"/>
      <w:r/>
      <w:bookmarkStart w:id="3" w:name="_Toc16938516"/>
      <w:r/>
      <w:bookmarkStart w:id="4" w:name="_Toc479757206"/>
      <w:r/>
      <w:bookmarkStart w:id="5" w:name="_Toc513029200"/>
      <w:r/>
      <w:r/>
    </w:p>
    <w:p>
      <w:pPr>
        <w:jc w:val="center"/>
        <w:spacing w:line="48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pStyle w:val="955"/>
        <w:tabs>
          <w:tab w:val="right" w:pos="8306" w:leader="dot"/>
        </w:tabs>
        <w:rPr>
          <w:sz w:val="40"/>
          <w:szCs w:val="44"/>
        </w:rPr>
      </w:pPr>
      <w:r>
        <w:rPr>
          <w:rFonts w:hint="eastAsia" w:ascii="黑体" w:hAnsi="黑体" w:eastAsia="黑体" w:cs="黑体"/>
          <w:b/>
          <w:color w:val="auto"/>
          <w:sz w:val="40"/>
          <w:szCs w:val="44"/>
          <w:highlight w:val="none"/>
        </w:rPr>
        <w:fldChar w:fldCharType="begin"/>
      </w:r>
      <w:r>
        <w:rPr>
          <w:rFonts w:hint="eastAsia" w:ascii="黑体" w:hAnsi="黑体" w:eastAsia="黑体" w:cs="黑体"/>
          <w:b/>
          <w:color w:val="auto"/>
          <w:sz w:val="40"/>
          <w:szCs w:val="44"/>
          <w:highlight w:val="none"/>
        </w:rPr>
        <w:instrText xml:space="preserve"> TOC \o "1-1" \h \z \u </w:instrText>
      </w:r>
      <w:r>
        <w:rPr>
          <w:rFonts w:hint="eastAsia" w:ascii="黑体" w:hAnsi="黑体" w:eastAsia="黑体" w:cs="黑体"/>
          <w:b/>
          <w:color w:val="auto"/>
          <w:sz w:val="40"/>
          <w:szCs w:val="44"/>
          <w:highlight w:val="none"/>
        </w:rPr>
        <w:fldChar w:fldCharType="separate"/>
      </w:r>
      <w:r>
        <w:rPr>
          <w:rFonts w:hint="eastAsia" w:ascii="黑体" w:hAnsi="黑体" w:eastAsia="黑体" w:cs="黑体"/>
          <w:color w:val="auto"/>
          <w:sz w:val="40"/>
          <w:szCs w:val="96"/>
          <w:highlight w:val="none"/>
        </w:rPr>
        <w:fldChar w:fldCharType="begin"/>
      </w:r>
      <w:r>
        <w:rPr>
          <w:rFonts w:hint="eastAsia" w:ascii="黑体" w:hAnsi="黑体" w:eastAsia="黑体" w:cs="黑体"/>
          <w:sz w:val="40"/>
          <w:szCs w:val="96"/>
          <w:highlight w:val="none"/>
        </w:rPr>
        <w:instrText xml:space="preserve"> HYPERLINK \l _Toc134 </w:instrText>
      </w:r>
      <w:r>
        <w:rPr>
          <w:rFonts w:hint="eastAsia" w:ascii="黑体" w:hAnsi="黑体" w:eastAsia="黑体" w:cs="黑体"/>
          <w:sz w:val="40"/>
          <w:szCs w:val="96"/>
          <w:highlight w:val="none"/>
        </w:rPr>
        <w:fldChar w:fldCharType="separate"/>
      </w:r>
      <w:r>
        <w:rPr>
          <w:rFonts w:hint="eastAsia" w:ascii="黑体" w:eastAsia="黑体"/>
          <w:sz w:val="40"/>
          <w:szCs w:val="96"/>
          <w:highlight w:val="none"/>
        </w:rPr>
        <w:t xml:space="preserve">第一章  投标邀请</w:t>
      </w:r>
      <w:r>
        <w:rPr>
          <w:sz w:val="40"/>
          <w:szCs w:val="44"/>
        </w:rPr>
        <w:tab/>
      </w:r>
      <w:r>
        <w:rPr>
          <w:sz w:val="40"/>
          <w:szCs w:val="44"/>
        </w:rPr>
        <w:fldChar w:fldCharType="begin"/>
      </w:r>
      <w:r>
        <w:rPr>
          <w:sz w:val="40"/>
          <w:szCs w:val="44"/>
        </w:rPr>
        <w:instrText xml:space="preserve"> PAGEREF _Toc134 \h </w:instrText>
      </w:r>
      <w:r>
        <w:rPr>
          <w:sz w:val="40"/>
          <w:szCs w:val="44"/>
        </w:rPr>
        <w:fldChar w:fldCharType="separate"/>
      </w:r>
      <w:r>
        <w:rPr>
          <w:sz w:val="40"/>
          <w:szCs w:val="44"/>
        </w:rPr>
        <w:t xml:space="preserve">1</w:t>
      </w:r>
      <w:r>
        <w:rPr>
          <w:sz w:val="40"/>
          <w:szCs w:val="44"/>
        </w:rPr>
        <w:fldChar w:fldCharType="end"/>
      </w:r>
      <w:r>
        <w:rPr>
          <w:rFonts w:hint="eastAsia" w:ascii="黑体" w:hAnsi="黑体" w:eastAsia="黑体" w:cs="黑体"/>
          <w:color w:val="auto"/>
          <w:sz w:val="40"/>
          <w:szCs w:val="96"/>
          <w:highlight w:val="none"/>
        </w:rPr>
        <w:fldChar w:fldCharType="end"/>
      </w:r>
      <w:r/>
    </w:p>
    <w:p>
      <w:pPr>
        <w:pStyle w:val="955"/>
        <w:tabs>
          <w:tab w:val="right" w:pos="8306" w:leader="dot"/>
        </w:tabs>
        <w:rPr>
          <w:sz w:val="40"/>
          <w:szCs w:val="44"/>
        </w:rPr>
      </w:pPr>
      <w:r>
        <w:rPr>
          <w:rFonts w:hint="eastAsia" w:ascii="黑体" w:hAnsi="黑体" w:eastAsia="黑体" w:cs="黑体"/>
          <w:color w:val="auto"/>
          <w:sz w:val="40"/>
          <w:szCs w:val="96"/>
          <w:highlight w:val="none"/>
        </w:rPr>
        <w:fldChar w:fldCharType="begin"/>
      </w:r>
      <w:r>
        <w:rPr>
          <w:rFonts w:hint="eastAsia" w:ascii="黑体" w:hAnsi="黑体" w:eastAsia="黑体" w:cs="黑体"/>
          <w:sz w:val="40"/>
          <w:szCs w:val="96"/>
          <w:highlight w:val="none"/>
        </w:rPr>
        <w:instrText xml:space="preserve"> HYPERLINK \l _Toc22075 </w:instrText>
      </w:r>
      <w:r>
        <w:rPr>
          <w:rFonts w:hint="eastAsia" w:ascii="黑体" w:hAnsi="黑体" w:eastAsia="黑体" w:cs="黑体"/>
          <w:sz w:val="40"/>
          <w:szCs w:val="96"/>
          <w:highlight w:val="none"/>
        </w:rPr>
        <w:fldChar w:fldCharType="separate"/>
      </w:r>
      <w:r>
        <w:rPr>
          <w:rFonts w:hint="eastAsia" w:ascii="黑体" w:hAnsi="Arial" w:eastAsia="黑体" w:cs="Arial"/>
          <w:bCs/>
          <w:sz w:val="40"/>
          <w:szCs w:val="96"/>
          <w:highlight w:val="none"/>
        </w:rPr>
        <w:t xml:space="preserve">第二章  投标人须知</w:t>
      </w:r>
      <w:r>
        <w:rPr>
          <w:sz w:val="40"/>
          <w:szCs w:val="44"/>
        </w:rPr>
        <w:tab/>
      </w:r>
      <w:r>
        <w:rPr>
          <w:sz w:val="40"/>
          <w:szCs w:val="44"/>
        </w:rPr>
        <w:fldChar w:fldCharType="begin"/>
      </w:r>
      <w:r>
        <w:rPr>
          <w:sz w:val="40"/>
          <w:szCs w:val="44"/>
        </w:rPr>
        <w:instrText xml:space="preserve"> PAGEREF _Toc22075 \h </w:instrText>
      </w:r>
      <w:r>
        <w:rPr>
          <w:sz w:val="40"/>
          <w:szCs w:val="44"/>
        </w:rPr>
        <w:fldChar w:fldCharType="separate"/>
      </w:r>
      <w:r>
        <w:rPr>
          <w:sz w:val="40"/>
          <w:szCs w:val="44"/>
        </w:rPr>
        <w:t xml:space="preserve">5</w:t>
      </w:r>
      <w:r>
        <w:rPr>
          <w:sz w:val="40"/>
          <w:szCs w:val="44"/>
        </w:rPr>
        <w:fldChar w:fldCharType="end"/>
      </w:r>
      <w:r>
        <w:rPr>
          <w:rFonts w:hint="eastAsia" w:ascii="黑体" w:hAnsi="黑体" w:eastAsia="黑体" w:cs="黑体"/>
          <w:color w:val="auto"/>
          <w:sz w:val="40"/>
          <w:szCs w:val="96"/>
          <w:highlight w:val="none"/>
        </w:rPr>
        <w:fldChar w:fldCharType="end"/>
      </w:r>
      <w:r/>
    </w:p>
    <w:p>
      <w:pPr>
        <w:pStyle w:val="955"/>
        <w:tabs>
          <w:tab w:val="right" w:pos="8306" w:leader="dot"/>
        </w:tabs>
        <w:rPr>
          <w:sz w:val="40"/>
          <w:szCs w:val="44"/>
        </w:rPr>
      </w:pPr>
      <w:r>
        <w:rPr>
          <w:rFonts w:hint="eastAsia" w:ascii="黑体" w:hAnsi="黑体" w:eastAsia="黑体" w:cs="黑体"/>
          <w:color w:val="auto"/>
          <w:sz w:val="40"/>
          <w:szCs w:val="96"/>
          <w:highlight w:val="none"/>
        </w:rPr>
        <w:fldChar w:fldCharType="begin"/>
      </w:r>
      <w:r>
        <w:rPr>
          <w:rFonts w:hint="eastAsia" w:ascii="黑体" w:hAnsi="黑体" w:eastAsia="黑体" w:cs="黑体"/>
          <w:sz w:val="40"/>
          <w:szCs w:val="96"/>
          <w:highlight w:val="none"/>
        </w:rPr>
        <w:instrText xml:space="preserve"> HYPERLINK \l _Toc14252 </w:instrText>
      </w:r>
      <w:r>
        <w:rPr>
          <w:rFonts w:hint="eastAsia" w:ascii="黑体" w:hAnsi="黑体" w:eastAsia="黑体" w:cs="黑体"/>
          <w:sz w:val="40"/>
          <w:szCs w:val="96"/>
          <w:highlight w:val="none"/>
        </w:rPr>
        <w:fldChar w:fldCharType="separate"/>
      </w:r>
      <w:r>
        <w:rPr>
          <w:rFonts w:hint="eastAsia" w:ascii="黑体" w:eastAsia="黑体"/>
          <w:bCs/>
          <w:sz w:val="40"/>
          <w:szCs w:val="52"/>
          <w:highlight w:val="none"/>
        </w:rPr>
        <w:t xml:space="preserve">第三章  合同文本</w:t>
      </w:r>
      <w:r>
        <w:rPr>
          <w:sz w:val="40"/>
          <w:szCs w:val="44"/>
        </w:rPr>
        <w:tab/>
      </w:r>
      <w:r>
        <w:rPr>
          <w:sz w:val="40"/>
          <w:szCs w:val="44"/>
        </w:rPr>
        <w:fldChar w:fldCharType="begin"/>
      </w:r>
      <w:r>
        <w:rPr>
          <w:sz w:val="40"/>
          <w:szCs w:val="44"/>
        </w:rPr>
        <w:instrText xml:space="preserve"> PAGEREF _Toc14252 \h </w:instrText>
      </w:r>
      <w:r>
        <w:rPr>
          <w:sz w:val="40"/>
          <w:szCs w:val="44"/>
        </w:rPr>
        <w:fldChar w:fldCharType="separate"/>
      </w:r>
      <w:r>
        <w:rPr>
          <w:sz w:val="40"/>
          <w:szCs w:val="44"/>
        </w:rPr>
        <w:t xml:space="preserve">25</w:t>
      </w:r>
      <w:r>
        <w:rPr>
          <w:sz w:val="40"/>
          <w:szCs w:val="44"/>
        </w:rPr>
        <w:fldChar w:fldCharType="end"/>
      </w:r>
      <w:r>
        <w:rPr>
          <w:rFonts w:hint="eastAsia" w:ascii="黑体" w:hAnsi="黑体" w:eastAsia="黑体" w:cs="黑体"/>
          <w:color w:val="auto"/>
          <w:sz w:val="40"/>
          <w:szCs w:val="96"/>
          <w:highlight w:val="none"/>
        </w:rPr>
        <w:fldChar w:fldCharType="end"/>
      </w:r>
      <w:r/>
    </w:p>
    <w:p>
      <w:pPr>
        <w:pStyle w:val="955"/>
        <w:tabs>
          <w:tab w:val="right" w:pos="8306" w:leader="dot"/>
        </w:tabs>
        <w:rPr>
          <w:sz w:val="40"/>
          <w:szCs w:val="44"/>
        </w:rPr>
      </w:pPr>
      <w:r>
        <w:rPr>
          <w:rFonts w:hint="eastAsia" w:ascii="黑体" w:hAnsi="黑体" w:eastAsia="黑体" w:cs="黑体"/>
          <w:color w:val="auto"/>
          <w:sz w:val="40"/>
          <w:szCs w:val="96"/>
          <w:highlight w:val="none"/>
        </w:rPr>
        <w:fldChar w:fldCharType="begin"/>
      </w:r>
      <w:r>
        <w:rPr>
          <w:rFonts w:hint="eastAsia" w:ascii="黑体" w:hAnsi="黑体" w:eastAsia="黑体" w:cs="黑体"/>
          <w:sz w:val="40"/>
          <w:szCs w:val="96"/>
          <w:highlight w:val="none"/>
        </w:rPr>
        <w:instrText xml:space="preserve"> HYPERLINK \l _Toc19167 </w:instrText>
      </w:r>
      <w:r>
        <w:rPr>
          <w:rFonts w:hint="eastAsia" w:ascii="黑体" w:hAnsi="黑体" w:eastAsia="黑体" w:cs="黑体"/>
          <w:sz w:val="40"/>
          <w:szCs w:val="96"/>
          <w:highlight w:val="none"/>
        </w:rPr>
        <w:fldChar w:fldCharType="separate"/>
      </w:r>
      <w:r>
        <w:rPr>
          <w:rFonts w:hint="eastAsia" w:ascii="黑体" w:hAnsi="Courier New" w:eastAsia="黑体" w:cs="Courier New"/>
          <w:bCs/>
          <w:sz w:val="40"/>
          <w:szCs w:val="40"/>
          <w:highlight w:val="none"/>
        </w:rPr>
        <w:t xml:space="preserve">第四章 </w:t>
      </w:r>
      <w:r>
        <w:rPr>
          <w:rFonts w:ascii="黑体" w:hAnsi="Courier New" w:eastAsia="黑体" w:cs="Courier New"/>
          <w:bCs/>
          <w:sz w:val="40"/>
          <w:szCs w:val="40"/>
          <w:highlight w:val="none"/>
        </w:rPr>
        <w:t xml:space="preserve"> </w:t>
      </w:r>
      <w:r>
        <w:rPr>
          <w:rFonts w:hint="eastAsia" w:ascii="黑体" w:hAnsi="Courier New" w:eastAsia="黑体" w:cs="Courier New"/>
          <w:bCs/>
          <w:sz w:val="40"/>
          <w:szCs w:val="40"/>
          <w:highlight w:val="none"/>
        </w:rPr>
        <w:t xml:space="preserve">采购需求</w:t>
      </w:r>
      <w:r>
        <w:rPr>
          <w:sz w:val="40"/>
          <w:szCs w:val="44"/>
        </w:rPr>
        <w:tab/>
      </w:r>
      <w:r>
        <w:rPr>
          <w:sz w:val="40"/>
          <w:szCs w:val="44"/>
        </w:rPr>
        <w:fldChar w:fldCharType="begin"/>
      </w:r>
      <w:r>
        <w:rPr>
          <w:sz w:val="40"/>
          <w:szCs w:val="44"/>
        </w:rPr>
        <w:instrText xml:space="preserve"> PAGEREF _Toc19167 \h </w:instrText>
      </w:r>
      <w:r>
        <w:rPr>
          <w:sz w:val="40"/>
          <w:szCs w:val="44"/>
        </w:rPr>
        <w:fldChar w:fldCharType="separate"/>
      </w:r>
      <w:r>
        <w:rPr>
          <w:sz w:val="40"/>
          <w:szCs w:val="44"/>
        </w:rPr>
        <w:t xml:space="preserve">41</w:t>
      </w:r>
      <w:r>
        <w:rPr>
          <w:sz w:val="40"/>
          <w:szCs w:val="44"/>
        </w:rPr>
        <w:fldChar w:fldCharType="end"/>
      </w:r>
      <w:r>
        <w:rPr>
          <w:rFonts w:hint="eastAsia" w:ascii="黑体" w:hAnsi="黑体" w:eastAsia="黑体" w:cs="黑体"/>
          <w:color w:val="auto"/>
          <w:sz w:val="40"/>
          <w:szCs w:val="96"/>
          <w:highlight w:val="none"/>
        </w:rPr>
        <w:fldChar w:fldCharType="end"/>
      </w:r>
      <w:r/>
    </w:p>
    <w:p>
      <w:pPr>
        <w:pStyle w:val="955"/>
        <w:tabs>
          <w:tab w:val="right" w:pos="8306" w:leader="dot"/>
        </w:tabs>
        <w:rPr>
          <w:sz w:val="40"/>
          <w:szCs w:val="44"/>
        </w:rPr>
      </w:pPr>
      <w:r>
        <w:rPr>
          <w:rFonts w:hint="eastAsia" w:ascii="黑体" w:hAnsi="黑体" w:eastAsia="黑体" w:cs="黑体"/>
          <w:color w:val="auto"/>
          <w:sz w:val="40"/>
          <w:szCs w:val="96"/>
          <w:highlight w:val="none"/>
        </w:rPr>
        <w:fldChar w:fldCharType="begin"/>
      </w:r>
      <w:r>
        <w:rPr>
          <w:rFonts w:hint="eastAsia" w:ascii="黑体" w:hAnsi="黑体" w:eastAsia="黑体" w:cs="黑体"/>
          <w:sz w:val="40"/>
          <w:szCs w:val="96"/>
          <w:highlight w:val="none"/>
        </w:rPr>
        <w:instrText xml:space="preserve"> HYPERLINK \l _Toc3365 </w:instrText>
      </w:r>
      <w:r>
        <w:rPr>
          <w:rFonts w:hint="eastAsia" w:ascii="黑体" w:hAnsi="黑体" w:eastAsia="黑体" w:cs="黑体"/>
          <w:sz w:val="40"/>
          <w:szCs w:val="96"/>
          <w:highlight w:val="none"/>
        </w:rPr>
        <w:fldChar w:fldCharType="separate"/>
      </w:r>
      <w:r>
        <w:rPr>
          <w:rFonts w:hint="eastAsia" w:ascii="黑体" w:hAnsi="Courier New" w:eastAsia="黑体" w:cs="Courier New"/>
          <w:bCs/>
          <w:sz w:val="40"/>
          <w:szCs w:val="40"/>
          <w:highlight w:val="none"/>
        </w:rPr>
        <w:t xml:space="preserve">第五章  评标方法与评标标准</w:t>
      </w:r>
      <w:r>
        <w:rPr>
          <w:sz w:val="40"/>
          <w:szCs w:val="44"/>
        </w:rPr>
        <w:tab/>
      </w:r>
      <w:r>
        <w:rPr>
          <w:sz w:val="40"/>
          <w:szCs w:val="44"/>
        </w:rPr>
        <w:fldChar w:fldCharType="begin"/>
      </w:r>
      <w:r>
        <w:rPr>
          <w:sz w:val="40"/>
          <w:szCs w:val="44"/>
        </w:rPr>
        <w:instrText xml:space="preserve"> PAGEREF _Toc3365 \h </w:instrText>
      </w:r>
      <w:r>
        <w:rPr>
          <w:sz w:val="40"/>
          <w:szCs w:val="44"/>
        </w:rPr>
        <w:fldChar w:fldCharType="separate"/>
      </w:r>
      <w:r>
        <w:rPr>
          <w:sz w:val="40"/>
          <w:szCs w:val="44"/>
        </w:rPr>
        <w:t xml:space="preserve">52</w:t>
      </w:r>
      <w:r>
        <w:rPr>
          <w:sz w:val="40"/>
          <w:szCs w:val="44"/>
        </w:rPr>
        <w:fldChar w:fldCharType="end"/>
      </w:r>
      <w:r>
        <w:rPr>
          <w:rFonts w:hint="eastAsia" w:ascii="黑体" w:hAnsi="黑体" w:eastAsia="黑体" w:cs="黑体"/>
          <w:color w:val="auto"/>
          <w:sz w:val="40"/>
          <w:szCs w:val="96"/>
          <w:highlight w:val="none"/>
        </w:rPr>
        <w:fldChar w:fldCharType="end"/>
      </w:r>
      <w:r/>
    </w:p>
    <w:p>
      <w:pPr>
        <w:pStyle w:val="955"/>
        <w:tabs>
          <w:tab w:val="right" w:pos="8306" w:leader="dot"/>
        </w:tabs>
      </w:pPr>
      <w:r>
        <w:rPr>
          <w:rFonts w:hint="eastAsia" w:ascii="黑体" w:hAnsi="黑体" w:eastAsia="黑体" w:cs="黑体"/>
          <w:color w:val="auto"/>
          <w:sz w:val="40"/>
          <w:szCs w:val="96"/>
          <w:highlight w:val="none"/>
        </w:rPr>
        <w:fldChar w:fldCharType="begin"/>
      </w:r>
      <w:r>
        <w:rPr>
          <w:rFonts w:hint="eastAsia" w:ascii="黑体" w:hAnsi="黑体" w:eastAsia="黑体" w:cs="黑体"/>
          <w:sz w:val="40"/>
          <w:szCs w:val="96"/>
          <w:highlight w:val="none"/>
        </w:rPr>
        <w:instrText xml:space="preserve"> HYPERLINK \l _Toc11110 </w:instrText>
      </w:r>
      <w:r>
        <w:rPr>
          <w:rFonts w:hint="eastAsia" w:ascii="黑体" w:hAnsi="黑体" w:eastAsia="黑体" w:cs="黑体"/>
          <w:sz w:val="40"/>
          <w:szCs w:val="96"/>
          <w:highlight w:val="none"/>
        </w:rPr>
        <w:fldChar w:fldCharType="separate"/>
      </w:r>
      <w:r>
        <w:rPr>
          <w:rFonts w:hint="eastAsia" w:ascii="黑体" w:hAnsi="Times New Roman" w:eastAsia="黑体" w:cs="Times New Roman"/>
          <w:bCs/>
          <w:sz w:val="40"/>
          <w:szCs w:val="52"/>
          <w:highlight w:val="none"/>
        </w:rPr>
        <w:t xml:space="preserve">第六章</w:t>
      </w:r>
      <w:r>
        <w:rPr>
          <w:rFonts w:hint="eastAsia" w:ascii="黑体" w:hAnsi="Times New Roman" w:eastAsia="黑体" w:cs="Times New Roman"/>
          <w:bCs/>
          <w:sz w:val="40"/>
          <w:szCs w:val="52"/>
          <w:highlight w:val="none"/>
          <w:lang w:val="en-US" w:eastAsia="zh-CN"/>
        </w:rPr>
        <w:t xml:space="preserve"> </w:t>
      </w:r>
      <w:r>
        <w:rPr>
          <w:rFonts w:hint="eastAsia" w:ascii="黑体" w:eastAsia="黑体" w:cs="Times New Roman"/>
          <w:bCs/>
          <w:sz w:val="40"/>
          <w:szCs w:val="52"/>
          <w:highlight w:val="none"/>
          <w:lang w:val="en-US" w:eastAsia="zh-CN"/>
        </w:rPr>
        <w:t xml:space="preserve"> </w:t>
      </w:r>
      <w:r>
        <w:rPr>
          <w:rFonts w:hint="eastAsia" w:ascii="黑体" w:hAnsi="Times New Roman" w:eastAsia="黑体" w:cs="Times New Roman"/>
          <w:bCs/>
          <w:sz w:val="40"/>
          <w:szCs w:val="52"/>
          <w:highlight w:val="none"/>
          <w:lang w:val="en-US" w:eastAsia="zh-CN"/>
        </w:rPr>
        <w:t xml:space="preserve">投标文件格式</w:t>
      </w:r>
      <w:r>
        <w:rPr>
          <w:sz w:val="40"/>
          <w:szCs w:val="44"/>
        </w:rPr>
        <w:tab/>
      </w:r>
      <w:r>
        <w:rPr>
          <w:sz w:val="40"/>
          <w:szCs w:val="44"/>
        </w:rPr>
        <w:fldChar w:fldCharType="begin"/>
      </w:r>
      <w:r>
        <w:rPr>
          <w:sz w:val="40"/>
          <w:szCs w:val="44"/>
        </w:rPr>
        <w:instrText xml:space="preserve"> PAGEREF _Toc11110 \h </w:instrText>
      </w:r>
      <w:r>
        <w:rPr>
          <w:sz w:val="40"/>
          <w:szCs w:val="44"/>
        </w:rPr>
        <w:fldChar w:fldCharType="separate"/>
      </w:r>
      <w:r>
        <w:rPr>
          <w:sz w:val="40"/>
          <w:szCs w:val="44"/>
        </w:rPr>
        <w:t xml:space="preserve">56</w:t>
      </w:r>
      <w:r>
        <w:rPr>
          <w:sz w:val="40"/>
          <w:szCs w:val="44"/>
        </w:rPr>
        <w:fldChar w:fldCharType="end"/>
      </w:r>
      <w:r>
        <w:rPr>
          <w:rFonts w:hint="eastAsia" w:ascii="黑体" w:hAnsi="黑体" w:eastAsia="黑体" w:cs="黑体"/>
          <w:color w:val="auto"/>
          <w:sz w:val="40"/>
          <w:szCs w:val="96"/>
          <w:highlight w:val="none"/>
        </w:rPr>
        <w:fldChar w:fldCharType="end"/>
      </w:r>
      <w:r/>
    </w:p>
    <w:p>
      <w:pPr>
        <w:keepLines w:val="0"/>
        <w:keepNext w:val="0"/>
        <w:pageBreakBefore w:val="0"/>
        <w:spacing w:line="360" w:lineRule="auto"/>
        <w:widowControl w:val="off"/>
        <w:rPr>
          <w:rFonts w:hint="eastAsia" w:ascii="黑体" w:hAnsi="黑体" w:eastAsia="黑体" w:cs="黑体"/>
          <w:color w:val="auto"/>
          <w:sz w:val="40"/>
          <w:szCs w:val="24"/>
          <w:highlight w:val="none"/>
        </w:rPr>
      </w:pPr>
      <w:r>
        <w:rPr>
          <w:rFonts w:hint="eastAsia" w:ascii="黑体" w:hAnsi="黑体" w:eastAsia="黑体" w:cs="黑体"/>
          <w:color w:val="auto"/>
          <w:szCs w:val="44"/>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6" w:name="_Toc134"/>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6"/>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bookmarkStart w:id="7" w:name="_Toc28359002"/>
      <w:r/>
      <w:bookmarkStart w:id="8" w:name="_Toc38985263"/>
      <w:r/>
      <w:bookmarkStart w:id="9" w:name="_Toc35393621"/>
      <w:r/>
      <w:bookmarkStart w:id="10" w:name="_Toc35393790"/>
      <w:r/>
      <w:bookmarkStart w:id="11" w:name="_Toc28359079"/>
      <w:r/>
      <w:bookmarkStart w:id="12" w:name="_Hlk24379207"/>
      <w:r>
        <w:rPr>
          <w:rFonts w:hint="eastAsia" w:ascii="仿宋" w:hAnsi="仿宋" w:eastAsia="仿宋"/>
          <w:color w:val="auto"/>
          <w:sz w:val="28"/>
          <w:szCs w:val="28"/>
          <w:highlight w:val="none"/>
        </w:rPr>
        <w:t xml:space="preserve">项目概况</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lang w:eastAsia="zh-CN"/>
        </w:rPr>
        <w:t xml:space="preserve">南通市教育局直属学校智能批阅机项目</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6</w:t>
      </w:r>
      <w:r>
        <w:rPr>
          <w:rFonts w:hint="eastAsia" w:ascii="仿宋" w:hAnsi="仿宋" w:eastAsia="仿宋"/>
          <w:bCs/>
          <w:color w:val="auto"/>
          <w:sz w:val="28"/>
          <w:szCs w:val="28"/>
          <w:highlight w:val="none"/>
          <w:u w:val="single"/>
        </w:rPr>
        <w:t xml:space="preserve">年</w:t>
      </w:r>
      <w:r>
        <w:rPr>
          <w:rFonts w:hint="eastAsia" w:ascii="仿宋" w:hAnsi="仿宋" w:eastAsia="仿宋"/>
          <w:bCs/>
          <w:color w:val="auto"/>
          <w:sz w:val="28"/>
          <w:szCs w:val="28"/>
          <w:highlight w:val="none"/>
          <w:u w:val="single"/>
          <w:lang w:val="en-US" w:eastAsia="zh-CN"/>
        </w:rPr>
        <w:t xml:space="preserve">10</w:t>
      </w:r>
      <w:r>
        <w:rPr>
          <w:rFonts w:hint="eastAsia" w:ascii="仿宋" w:hAnsi="仿宋" w:eastAsia="仿宋"/>
          <w:bCs/>
          <w:color w:val="auto"/>
          <w:sz w:val="28"/>
          <w:szCs w:val="28"/>
          <w:highlight w:val="none"/>
          <w:u w:val="single"/>
        </w:rPr>
        <w:t xml:space="preserve">月27</w:t>
      </w:r>
      <w:r>
        <w:rPr>
          <w:rFonts w:hint="eastAsia" w:ascii="仿宋" w:hAnsi="仿宋" w:eastAsia="仿宋"/>
          <w:bCs/>
          <w:color w:val="auto"/>
          <w:sz w:val="28"/>
          <w:szCs w:val="28"/>
          <w:highlight w:val="none"/>
          <w:u w:val="single"/>
        </w:rPr>
        <w:t xml:space="preserve">日</w:t>
      </w:r>
      <w:r>
        <w:rPr>
          <w:rFonts w:hint="eastAsia" w:ascii="仿宋" w:hAnsi="仿宋" w:eastAsia="仿宋"/>
          <w:bCs/>
          <w:color w:val="auto"/>
          <w:sz w:val="28"/>
          <w:szCs w:val="28"/>
          <w:highlight w:val="none"/>
          <w:u w:val="single"/>
          <w:lang w:val="en-US" w:eastAsia="zh-CN"/>
        </w:rPr>
        <w:t xml:space="preserve">9:30</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一、项目基本情况</w:t>
      </w:r>
      <w:bookmarkEnd w:id="7"/>
      <w:r/>
      <w:bookmarkEnd w:id="8"/>
      <w:r/>
      <w:bookmarkEnd w:id="9"/>
      <w:r/>
      <w:bookmarkEnd w:id="10"/>
      <w:r/>
      <w:bookmarkEnd w:id="11"/>
      <w:r/>
      <w:r/>
    </w:p>
    <w:p>
      <w:pPr>
        <w:ind w:firstLine="560"/>
        <w:pageBreakBefore w:val="0"/>
        <w:spacing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1.项目编号：JSZC-320600-JZCG-G202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0146</w:t>
      </w:r>
      <w:r/>
    </w:p>
    <w:p>
      <w:pPr>
        <w:ind w:firstLine="56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2.项目名称：</w:t>
      </w:r>
      <w:bookmarkEnd w:id="12"/>
      <w:r>
        <w:rPr>
          <w:rFonts w:hint="eastAsia" w:ascii="仿宋" w:hAnsi="仿宋" w:eastAsia="仿宋"/>
          <w:color w:val="auto"/>
          <w:sz w:val="28"/>
          <w:szCs w:val="28"/>
          <w:highlight w:val="none"/>
          <w:lang w:eastAsia="zh-CN"/>
        </w:rPr>
        <w:t xml:space="preserve">南通市教育局直属学校智能批阅机项目</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bookmarkStart w:id="13" w:name="_Toc28359003"/>
      <w:r/>
      <w:bookmarkStart w:id="14" w:name="_Toc35393622"/>
      <w:r/>
      <w:bookmarkStart w:id="15" w:name="_Toc38985264"/>
      <w:r/>
      <w:bookmarkStart w:id="16" w:name="_Toc28359080"/>
      <w:r/>
      <w:bookmarkStart w:id="17" w:name="_Toc35393791"/>
      <w:r>
        <w:rPr>
          <w:rFonts w:hint="eastAsia" w:ascii="仿宋" w:hAnsi="仿宋" w:eastAsia="仿宋"/>
          <w:color w:val="auto"/>
          <w:sz w:val="28"/>
          <w:szCs w:val="28"/>
          <w:highlight w:val="none"/>
          <w:lang w:val="en-US" w:eastAsia="zh-CN"/>
        </w:rPr>
        <w:t xml:space="preserve">552</w:t>
      </w:r>
      <w:r>
        <w:rPr>
          <w:rFonts w:hint="eastAsia" w:ascii="仿宋" w:hAnsi="仿宋" w:eastAsia="仿宋"/>
          <w:color w:val="auto"/>
          <w:sz w:val="28"/>
          <w:szCs w:val="28"/>
          <w:highlight w:val="none"/>
        </w:rPr>
        <w:t xml:space="preserve">万元</w:t>
      </w:r>
      <w:r/>
    </w:p>
    <w:p>
      <w:pPr>
        <w:ind w:firstLine="560"/>
        <w:pageBreakBefore w:val="0"/>
        <w:spacing w:line="48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552</w:t>
      </w:r>
      <w:r>
        <w:rPr>
          <w:rFonts w:hint="eastAsia" w:ascii="仿宋" w:hAnsi="仿宋" w:eastAsia="仿宋" w:cs="Times New Roman"/>
          <w:color w:val="auto"/>
          <w:sz w:val="28"/>
          <w:szCs w:val="28"/>
          <w:highlight w:val="none"/>
        </w:rPr>
        <w:t xml:space="preserve">万元</w:t>
      </w:r>
      <w:r/>
    </w:p>
    <w:p>
      <w:pPr>
        <w:ind w:firstLine="560"/>
        <w:pageBreakBefore w:val="0"/>
        <w:spacing w:after="62" w:line="480" w:lineRule="exact"/>
        <w:rPr>
          <w:rFonts w:ascii="Times New Roman" w:hAnsi="Times New Roman" w:eastAsia="仿宋" w:cs="Times New Roman"/>
          <w:color w:val="auto"/>
          <w:sz w:val="28"/>
          <w:szCs w:val="28"/>
          <w:highlight w:val="none"/>
        </w:rPr>
      </w:pPr>
      <w:r>
        <w:rPr>
          <w:rFonts w:hint="eastAsia" w:ascii="仿宋" w:hAnsi="仿宋" w:eastAsia="仿宋"/>
          <w:color w:val="auto"/>
          <w:sz w:val="28"/>
          <w:szCs w:val="28"/>
          <w:highlight w:val="none"/>
        </w:rPr>
        <w:t xml:space="preserve">5.采购需求（简介）：</w:t>
      </w:r>
      <w:r>
        <w:rPr>
          <w:rFonts w:hint="eastAsia" w:ascii="仿宋" w:hAnsi="仿宋" w:eastAsia="仿宋"/>
          <w:color w:val="auto"/>
          <w:sz w:val="28"/>
          <w:szCs w:val="28"/>
          <w:highlight w:val="none"/>
          <w:lang w:val="en-US" w:eastAsia="zh-CN"/>
        </w:rPr>
        <w:t xml:space="preserve">详见采购文件第四章</w:t>
      </w:r>
      <w:r>
        <w:rPr>
          <w:rFonts w:ascii="Times New Roman" w:hAnsi="Times New Roman" w:eastAsia="仿宋" w:cs="Times New Roman"/>
          <w:color w:val="auto"/>
          <w:sz w:val="28"/>
          <w:szCs w:val="28"/>
          <w:highlight w:val="none"/>
        </w:rPr>
        <w:t xml:space="preserve">。</w:t>
      </w:r>
      <w:r/>
    </w:p>
    <w:p>
      <w:pPr>
        <w:ind w:firstLine="560"/>
        <w:pageBreakBefore w:val="0"/>
        <w:spacing w:line="480" w:lineRule="exact"/>
        <w:rPr>
          <w:rFonts w:hint="eastAsia"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6.合同履行期限：</w:t>
      </w:r>
      <w:r>
        <w:rPr>
          <w:rFonts w:hint="eastAsia" w:ascii="Times New Roman" w:hAnsi="Times New Roman" w:eastAsia="仿宋" w:cs="Times New Roman"/>
          <w:color w:val="auto"/>
          <w:sz w:val="28"/>
          <w:szCs w:val="28"/>
          <w:highlight w:val="none"/>
        </w:rPr>
        <w:t xml:space="preserve">30个日历天内完成安装调试并通过验收。</w:t>
      </w:r>
      <w:r/>
    </w:p>
    <w:p>
      <w:pPr>
        <w:pageBreakBefore w:val="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bookmarkEnd w:id="13"/>
      <w:r/>
      <w:bookmarkEnd w:id="14"/>
      <w:r/>
      <w:bookmarkEnd w:id="15"/>
      <w:r/>
      <w:bookmarkEnd w:id="16"/>
      <w:r/>
      <w:bookmarkEnd w:id="17"/>
      <w:r/>
      <w:r/>
    </w:p>
    <w:p>
      <w:pPr>
        <w:ind w:firstLine="560"/>
        <w:pageBreakBefore w:val="0"/>
        <w:spacing w:line="480" w:lineRule="exact"/>
        <w:rPr>
          <w:rFonts w:ascii="仿宋" w:hAnsi="仿宋" w:eastAsia="仿宋"/>
          <w:color w:val="auto"/>
          <w:sz w:val="28"/>
          <w:szCs w:val="28"/>
          <w:highlight w:val="none"/>
        </w:rPr>
      </w:pPr>
      <w:r/>
      <w:bookmarkStart w:id="18" w:name="_Toc38985265"/>
      <w:r/>
      <w:bookmarkStart w:id="19" w:name="_Toc35393623"/>
      <w:r/>
      <w:bookmarkStart w:id="20" w:name="_Toc28359004"/>
      <w:r/>
      <w:bookmarkStart w:id="21" w:name="_Toc35393792"/>
      <w:r/>
      <w:bookmarkStart w:id="22" w:name="_Toc28359081"/>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提供声明函</w:t>
      </w:r>
      <w:r>
        <w:rPr>
          <w:rFonts w:hint="eastAsia" w:ascii="仿宋" w:hAnsi="仿宋" w:eastAsia="仿宋"/>
          <w:color w:val="auto"/>
          <w:sz w:val="28"/>
          <w:szCs w:val="28"/>
          <w:highlight w:val="none"/>
          <w:lang w:eastAsia="zh-CN"/>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auto"/>
          <w:sz w:val="28"/>
          <w:szCs w:val="28"/>
          <w:highlight w:val="none"/>
          <w:lang w:val="en-US" w:eastAsia="zh-CN"/>
        </w:rPr>
        <w:t xml:space="preserve">证明</w:t>
      </w:r>
      <w:r>
        <w:rPr>
          <w:rFonts w:hint="eastAsia" w:ascii="仿宋" w:hAnsi="仿宋" w:eastAsia="仿宋"/>
          <w:color w:val="auto"/>
          <w:sz w:val="28"/>
          <w:szCs w:val="28"/>
          <w:highlight w:val="none"/>
          <w:lang w:eastAsia="zh-CN"/>
        </w:rPr>
        <w:t xml:space="preserve">材料</w:t>
      </w:r>
      <w:r>
        <w:rPr>
          <w:rFonts w:hint="eastAsia" w:ascii="仿宋" w:hAnsi="仿宋" w:eastAsia="仿宋"/>
          <w:color w:val="auto"/>
          <w:sz w:val="28"/>
          <w:szCs w:val="28"/>
          <w:highlight w:val="none"/>
        </w:rPr>
        <w:t xml:space="preserve">）</w:t>
      </w:r>
      <w:r/>
    </w:p>
    <w:p>
      <w:pPr>
        <w:ind w:firstLine="560"/>
        <w:pageBreakBefore w:val="0"/>
        <w:spacing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3.落实政府采购政策需满足的资格要求：</w:t>
      </w:r>
      <w:r>
        <w:rPr>
          <w:rFonts w:hint="eastAsia" w:ascii="仿宋" w:hAnsi="仿宋" w:eastAsia="仿宋"/>
          <w:color w:val="auto"/>
          <w:sz w:val="28"/>
          <w:szCs w:val="28"/>
          <w:highlight w:val="none"/>
          <w:lang w:val="en-US" w:eastAsia="zh-CN"/>
        </w:rPr>
        <w:t xml:space="preserve">无</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4.本项目不接受联合体投标。</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5.本项目不接受分包。</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8"/>
      <w:r/>
      <w:bookmarkEnd w:id="19"/>
      <w:r/>
      <w:bookmarkEnd w:id="20"/>
      <w:r/>
      <w:bookmarkEnd w:id="21"/>
      <w:r/>
      <w:bookmarkEnd w:id="22"/>
      <w:r/>
      <w:r/>
    </w:p>
    <w:p>
      <w:pPr>
        <w:ind w:firstLine="540"/>
        <w:pageBreakBefore w:val="0"/>
        <w:spacing w:line="480" w:lineRule="exact"/>
        <w:rPr>
          <w:rFonts w:ascii="仿宋" w:hAnsi="仿宋" w:eastAsia="仿宋" w:cs="宋体"/>
          <w:color w:val="auto"/>
          <w:sz w:val="28"/>
          <w:szCs w:val="28"/>
          <w:highlight w:val="none"/>
        </w:rPr>
      </w:pPr>
      <w:r/>
      <w:bookmarkStart w:id="23" w:name="_Toc28359005"/>
      <w:r/>
      <w:bookmarkStart w:id="24" w:name="_Toc28359082"/>
      <w:r/>
      <w:bookmarkStart w:id="25" w:name="_Toc35393624"/>
      <w:r/>
      <w:bookmarkStart w:id="26" w:name="_Toc35393793"/>
      <w:r/>
      <w:bookmarkStart w:id="27" w:name="_Toc38985266"/>
      <w:r>
        <w:rPr>
          <w:rFonts w:hint="eastAsia" w:ascii="仿宋" w:hAnsi="仿宋" w:eastAsia="仿宋" w:cs="宋体"/>
          <w:color w:val="auto"/>
          <w:sz w:val="28"/>
          <w:szCs w:val="28"/>
          <w:highlight w:val="none"/>
        </w:rPr>
        <w:t xml:space="preserve">1.时间：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w:t>
      </w:r>
      <w:r>
        <w:rPr>
          <w:rFonts w:hint="eastAsia" w:ascii="仿宋" w:hAnsi="仿宋" w:eastAsia="仿宋"/>
          <w:bCs/>
          <w:color w:val="auto"/>
          <w:sz w:val="28"/>
          <w:szCs w:val="28"/>
          <w:highlight w:val="none"/>
          <w:u w:val="none"/>
          <w:lang w:val="en-US" w:eastAsia="zh-CN"/>
        </w:rPr>
        <w:t xml:space="preserve">27</w:t>
      </w:r>
      <w:r>
        <w:rPr>
          <w:rFonts w:hint="eastAsia" w:ascii="仿宋" w:hAnsi="仿宋" w:eastAsia="仿宋"/>
          <w:bCs/>
          <w:color w:val="auto"/>
          <w:sz w:val="28"/>
          <w:szCs w:val="28"/>
          <w:highlight w:val="none"/>
          <w:u w:val="none"/>
        </w:rPr>
        <w:t xml:space="preserve">日</w:t>
      </w:r>
      <w:r>
        <w:rPr>
          <w:rFonts w:hint="eastAsia" w:ascii="仿宋" w:hAnsi="仿宋" w:eastAsia="仿宋"/>
          <w:bCs/>
          <w:color w:val="auto"/>
          <w:sz w:val="28"/>
          <w:szCs w:val="28"/>
          <w:highlight w:val="none"/>
          <w:u w:val="none"/>
          <w:lang w:val="en-US" w:eastAsia="zh-CN"/>
        </w:rPr>
        <w:t xml:space="preserve">9:3</w:t>
      </w:r>
      <w:r>
        <w:rPr>
          <w:rFonts w:hint="eastAsia" w:ascii="仿宋" w:hAnsi="仿宋" w:eastAsia="仿宋"/>
          <w:bCs/>
          <w:color w:val="auto"/>
          <w:sz w:val="28"/>
          <w:szCs w:val="28"/>
          <w:highlight w:val="none"/>
          <w:u w:val="none"/>
        </w:rPr>
        <w:t xml:space="preserve">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40"/>
        <w:pageBreakBefore w:val="0"/>
        <w:spacing w:line="48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2.方式：在“江苏政府采购网”自行免费下载招标文件。</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3"/>
      <w:r/>
      <w:bookmarkEnd w:id="24"/>
      <w:r>
        <w:rPr>
          <w:rFonts w:hint="eastAsia" w:ascii="仿宋" w:hAnsi="仿宋" w:eastAsia="仿宋"/>
          <w:b/>
          <w:bCs/>
          <w:color w:val="auto"/>
          <w:sz w:val="28"/>
          <w:szCs w:val="28"/>
          <w:highlight w:val="none"/>
        </w:rPr>
        <w:t xml:space="preserve">截止时间、开标时间和地点</w:t>
      </w:r>
      <w:bookmarkEnd w:id="25"/>
      <w:r/>
      <w:bookmarkEnd w:id="26"/>
      <w:r/>
      <w:bookmarkEnd w:id="27"/>
      <w:r/>
      <w:r/>
    </w:p>
    <w:p>
      <w:pPr>
        <w:ind w:firstLine="560"/>
        <w:pageBreakBefore w:val="0"/>
        <w:spacing w:line="480" w:lineRule="exact"/>
        <w:rPr>
          <w:rFonts w:hint="eastAsia" w:ascii="仿宋" w:hAnsi="仿宋" w:eastAsia="仿宋" w:cs="宋体"/>
          <w:i/>
          <w:color w:val="auto"/>
          <w:sz w:val="28"/>
          <w:szCs w:val="28"/>
          <w:highlight w:val="none"/>
        </w:rPr>
      </w:pPr>
      <w:r>
        <w:rPr>
          <w:rFonts w:hint="eastAsia" w:ascii="仿宋" w:hAnsi="仿宋" w:eastAsia="仿宋"/>
          <w:bCs/>
          <w:color w:val="auto"/>
          <w:sz w:val="28"/>
          <w:szCs w:val="28"/>
          <w:highlight w:val="none"/>
          <w:u w:val="none"/>
        </w:rPr>
        <w:t xml:space="preserve">1.</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月27</w:t>
      </w:r>
      <w:r>
        <w:rPr>
          <w:rFonts w:hint="eastAsia" w:ascii="仿宋" w:hAnsi="仿宋" w:eastAsia="仿宋"/>
          <w:bCs/>
          <w:color w:val="auto"/>
          <w:sz w:val="28"/>
          <w:szCs w:val="28"/>
          <w:highlight w:val="none"/>
          <w:u w:val="none"/>
        </w:rPr>
        <w:t xml:space="preserve">日9</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3</w:t>
      </w:r>
      <w:r>
        <w:rPr>
          <w:rFonts w:hint="eastAsia" w:ascii="仿宋" w:hAnsi="仿宋" w:eastAsia="仿宋"/>
          <w:bCs/>
          <w:color w:val="auto"/>
          <w:sz w:val="28"/>
          <w:szCs w:val="28"/>
          <w:highlight w:val="none"/>
          <w:u w:val="none"/>
        </w:rPr>
        <w:t xml:space="preserve">0（北京时间</w:t>
      </w:r>
      <w:r>
        <w:rPr>
          <w:rFonts w:hint="eastAsia" w:ascii="仿宋" w:hAnsi="仿宋" w:eastAsia="仿宋"/>
          <w:bCs/>
          <w:color w:val="auto"/>
          <w:sz w:val="28"/>
          <w:szCs w:val="28"/>
          <w:highlight w:val="none"/>
        </w:rPr>
        <w:t xml:space="preserve">）</w:t>
      </w:r>
      <w:r/>
    </w:p>
    <w:p>
      <w:pPr>
        <w:ind w:firstLine="560"/>
        <w:pageBreakBefore w:val="0"/>
        <w:spacing w:line="480" w:lineRule="exact"/>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28" w:name="_Toc35393794"/>
      <w:r/>
      <w:bookmarkStart w:id="29" w:name="_Toc28359007"/>
      <w:r/>
      <w:bookmarkStart w:id="30" w:name="_Toc38985267"/>
      <w:r/>
      <w:bookmarkStart w:id="31" w:name="_Toc28359084"/>
      <w:r/>
      <w:bookmarkStart w:id="32" w:name="_Toc35393625"/>
      <w:r>
        <w:rPr>
          <w:rFonts w:hint="eastAsia" w:ascii="仿宋" w:hAnsi="仿宋" w:eastAsia="仿宋"/>
          <w:b/>
          <w:bCs/>
          <w:color w:val="auto"/>
          <w:sz w:val="28"/>
          <w:szCs w:val="28"/>
          <w:highlight w:val="none"/>
        </w:rPr>
        <w:t xml:space="preserve">五、公告期限</w:t>
      </w:r>
      <w:bookmarkEnd w:id="28"/>
      <w:r/>
      <w:bookmarkEnd w:id="29"/>
      <w:r/>
      <w:bookmarkEnd w:id="30"/>
      <w:r/>
      <w:bookmarkEnd w:id="31"/>
      <w:r/>
      <w:bookmarkEnd w:id="32"/>
      <w:r/>
      <w:r/>
    </w:p>
    <w:p>
      <w:pPr>
        <w:ind w:firstLine="560"/>
        <w:pageBreakBefore w:val="0"/>
        <w:spacing w:line="480" w:lineRule="exact"/>
        <w:rPr>
          <w:rFonts w:ascii="仿宋" w:hAnsi="仿宋" w:eastAsia="仿宋" w:cs="宋体"/>
          <w:color w:val="auto"/>
          <w:sz w:val="28"/>
          <w:szCs w:val="28"/>
          <w:highlight w:val="none"/>
        </w:rPr>
      </w:pPr>
      <w:r/>
      <w:bookmarkStart w:id="33" w:name="_Toc38985268"/>
      <w:r/>
      <w:bookmarkStart w:id="34" w:name="_Toc35393795"/>
      <w:r/>
      <w:bookmarkStart w:id="35" w:name="_Toc35393626"/>
      <w:r>
        <w:rPr>
          <w:rFonts w:hint="eastAsia" w:ascii="仿宋" w:hAnsi="仿宋" w:eastAsia="仿宋" w:cs="宋体"/>
          <w:color w:val="auto"/>
          <w:sz w:val="28"/>
          <w:szCs w:val="28"/>
          <w:highlight w:val="none"/>
        </w:rPr>
        <w:t xml:space="preserve">招标文件公告期限为自本公告发布之日起5个工作日。</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3"/>
      <w:r/>
      <w:bookmarkEnd w:id="34"/>
      <w:r/>
      <w:bookmarkEnd w:id="35"/>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详见采购文件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w:t>
      </w:r>
      <w:r>
        <w:rPr>
          <w:rFonts w:hint="eastAsia" w:ascii="仿宋" w:hAnsi="仿宋" w:eastAsia="仿宋" w:cs="宋体"/>
          <w:color w:val="auto"/>
          <w:sz w:val="28"/>
          <w:szCs w:val="28"/>
          <w:highlight w:val="none"/>
          <w:lang w:eastAsia="zh-CN"/>
        </w:rPr>
        <w:t xml:space="preserve">中标人</w:t>
      </w:r>
      <w:r>
        <w:rPr>
          <w:rFonts w:hint="eastAsia" w:ascii="仿宋" w:hAnsi="仿宋" w:eastAsia="仿宋" w:cs="宋体"/>
          <w:color w:val="auto"/>
          <w:sz w:val="28"/>
          <w:szCs w:val="28"/>
          <w:highlight w:val="none"/>
        </w:rPr>
        <w:t xml:space="preserve">应做好提交声明函、承诺函相应原件的核查准备；核查后发现虚假或违背承诺的，依照相关法律法规规定处理。</w:t>
      </w:r>
      <w:r/>
    </w:p>
    <w:p>
      <w:pPr>
        <w:ind w:firstLine="560"/>
        <w:keepLines w:val="0"/>
        <w:keepNext w:val="0"/>
        <w:pageBreakBefore w:val="0"/>
        <w:spacing w:line="460" w:lineRule="exact"/>
        <w:widowControl w:val="off"/>
        <w:rPr>
          <w:rFonts w:hint="eastAsia" w:ascii="仿宋" w:hAnsi="仿宋" w:eastAsia="仿宋" w:cs="宋体"/>
          <w:bCs/>
          <w:color w:val="auto"/>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26.1.1款附上的特别说明</w:t>
      </w:r>
      <w:r>
        <w:rPr>
          <w:rFonts w:hint="eastAsia" w:ascii="仿宋" w:hAnsi="仿宋" w:eastAsia="仿宋" w:cs="仿宋"/>
          <w:sz w:val="28"/>
          <w:szCs w:val="28"/>
          <w:highlight w:val="none"/>
        </w:rPr>
        <w:t xml:space="preserve">。</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.“苏采云”系统使用相关提醒</w:t>
      </w:r>
      <w:r/>
    </w:p>
    <w:p>
      <w:pPr>
        <w:ind w:right="119" w:firstLine="560"/>
        <w:jc w:val="left"/>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jc w:val="left"/>
        <w:pageBreakBefore w:val="0"/>
        <w:spacing w:line="48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http://www.ccgp-</w:t>
      </w:r>
      <w:r>
        <w:rPr>
          <w:rFonts w:hint="eastAsia" w:ascii="仿宋" w:hAnsi="仿宋" w:eastAsia="仿宋" w:cs="宋体"/>
          <w:bCs/>
          <w:color w:val="auto"/>
          <w:sz w:val="24"/>
          <w:szCs w:val="24"/>
          <w:highlight w:val="none"/>
          <w:lang w:val="en-US" w:eastAsia="zh-CN"/>
        </w:rPr>
        <w:t xml:space="preserve">ji</w:t>
      </w:r>
      <w:r>
        <w:rPr>
          <w:rFonts w:hint="eastAsia" w:ascii="仿宋" w:hAnsi="仿宋" w:eastAsia="仿宋" w:cs="宋体"/>
          <w:bCs/>
          <w:color w:val="auto"/>
          <w:sz w:val="24"/>
          <w:szCs w:val="24"/>
          <w:highlight w:val="none"/>
        </w:rPr>
        <w:t xml:space="preserve">angsu.gov.cn/jiangsu/zlxz/ee/ee3a4bc5a3454aa2b0d9312230633ce9.html</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宋体"/>
          <w:bCs/>
          <w:color w:val="auto"/>
          <w:sz w:val="28"/>
          <w:szCs w:val="28"/>
          <w:highlight w:val="none"/>
          <w:lang w:eastAsia="zh-CN"/>
        </w:rPr>
        <w:t xml:space="preserve">（</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pageBreakBefore w:val="0"/>
        <w:spacing w:line="480" w:lineRule="exact"/>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.3开标当天投标供应商应及时登录“苏采云”不见面开标大厅，并在规定时</w:t>
      </w:r>
      <w:r>
        <w:rPr>
          <w:rFonts w:hint="eastAsia" w:ascii="仿宋" w:hAnsi="仿宋" w:eastAsia="仿宋" w:cs="宋体"/>
          <w:bCs/>
          <w:color w:val="auto"/>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36" w:name="_Toc28359085"/>
      <w:r/>
      <w:bookmarkStart w:id="37" w:name="_Toc35393627"/>
      <w:r/>
      <w:bookmarkStart w:id="38" w:name="_Toc38985269"/>
      <w:r/>
      <w:bookmarkStart w:id="39" w:name="_Toc28359008"/>
      <w:r/>
      <w:bookmarkStart w:id="40" w:name="_Toc35393796"/>
      <w:r>
        <w:rPr>
          <w:rFonts w:hint="eastAsia" w:ascii="仿宋" w:hAnsi="仿宋" w:eastAsia="仿宋"/>
          <w:b/>
          <w:bCs/>
          <w:color w:val="auto"/>
          <w:sz w:val="28"/>
          <w:szCs w:val="28"/>
          <w:highlight w:val="none"/>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bookmarkStart w:id="41" w:name="_Toc28359010"/>
      <w:r/>
      <w:bookmarkStart w:id="42" w:name="_Toc28359087"/>
      <w:r>
        <w:rPr>
          <w:rFonts w:hint="eastAsia" w:ascii="仿宋" w:hAnsi="仿宋" w:eastAsia="仿宋" w:cs="宋体"/>
          <w:color w:val="auto"/>
          <w:sz w:val="28"/>
          <w:szCs w:val="28"/>
          <w:highlight w:val="none"/>
        </w:rPr>
        <w:t xml:space="preserve">1.采购人信息</w:t>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名称：</w:t>
      </w:r>
      <w:r>
        <w:rPr>
          <w:rFonts w:hint="eastAsia" w:ascii="仿宋" w:hAnsi="仿宋" w:eastAsia="仿宋" w:cs="宋体"/>
          <w:color w:val="auto"/>
          <w:sz w:val="28"/>
          <w:szCs w:val="28"/>
          <w:highlight w:val="none"/>
          <w:lang w:val="en-US" w:eastAsia="zh-CN"/>
        </w:rPr>
        <w:t xml:space="preserve">南通市教育技术中心</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张老师</w:t>
      </w:r>
      <w:r/>
    </w:p>
    <w:p>
      <w:pPr>
        <w:ind w:firstLine="280"/>
        <w:jc w:val="left"/>
        <w:pageBreakBefore w:val="0"/>
        <w:spacing w:line="56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bookmarkStart w:id="43" w:name="_Toc28359009"/>
      <w:r/>
      <w:bookmarkStart w:id="44" w:name="_Toc28359086"/>
      <w:r>
        <w:rPr>
          <w:rFonts w:hint="eastAsia" w:ascii="仿宋" w:hAnsi="仿宋" w:eastAsia="仿宋"/>
          <w:color w:val="auto"/>
          <w:sz w:val="28"/>
          <w:szCs w:val="28"/>
          <w:highlight w:val="none"/>
          <w:lang w:val="en-US" w:eastAsia="zh-CN"/>
        </w:rPr>
        <w:t xml:space="preserve">0513-85010978</w:t>
      </w:r>
      <w:r/>
    </w:p>
    <w:p>
      <w:pPr>
        <w:numPr>
          <w:ilvl w:val="0"/>
          <w:numId w:val="0"/>
        </w:numPr>
        <w:ind w:firstLine="280"/>
        <w:jc w:val="left"/>
        <w:pageBreakBefore w:val="0"/>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2.采购代理机构</w:t>
      </w:r>
      <w:r>
        <w:rPr>
          <w:rFonts w:hint="eastAsia" w:ascii="仿宋" w:hAnsi="仿宋" w:eastAsia="仿宋" w:cs="宋体"/>
          <w:color w:val="auto"/>
          <w:sz w:val="28"/>
          <w:szCs w:val="28"/>
          <w:highlight w:val="none"/>
        </w:rPr>
        <w:t xml:space="preserve">信息</w:t>
      </w:r>
      <w:bookmarkEnd w:id="43"/>
      <w:r/>
      <w:bookmarkEnd w:id="44"/>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名称：南通市教育技术中心</w:t>
      </w:r>
      <w:r/>
    </w:p>
    <w:p>
      <w:pPr>
        <w:ind w:firstLine="280"/>
        <w:pageBreakBefore w:val="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pageBreakBefore w:val="0"/>
        <w:spacing w:line="56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成老师</w:t>
      </w:r>
      <w:r/>
    </w:p>
    <w:p>
      <w:pPr>
        <w:ind w:firstLine="280"/>
        <w:pageBreakBefore w:val="0"/>
        <w:spacing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联系方式：0513-85010355</w:t>
      </w:r>
      <w:r/>
    </w:p>
    <w:p>
      <w:pPr>
        <w:ind w:firstLine="280"/>
        <w:pageBreakBefore w:val="0"/>
        <w:spacing w:line="480" w:lineRule="exact"/>
        <w:rPr>
          <w:rFonts w:hint="eastAsia" w:ascii="黑体" w:hAnsi="Arial" w:eastAsia="黑体" w:cs="Arial"/>
          <w:b/>
          <w:bCs/>
          <w:color w:val="auto"/>
          <w:sz w:val="44"/>
          <w:szCs w:val="44"/>
          <w:highlight w:val="none"/>
        </w:rPr>
      </w:pPr>
      <w:r>
        <w:rPr>
          <w:rFonts w:hint="eastAsia" w:ascii="仿宋" w:hAnsi="仿宋" w:eastAsia="仿宋"/>
          <w:color w:val="auto"/>
          <w:sz w:val="28"/>
          <w:szCs w:val="28"/>
          <w:highlight w:val="none"/>
        </w:rPr>
        <w:t xml:space="preserve">3.</w:t>
      </w:r>
      <w:bookmarkEnd w:id="41"/>
      <w:r/>
      <w:bookmarkEnd w:id="42"/>
      <w:r>
        <w:rPr>
          <w:rFonts w:hint="eastAsia" w:ascii="仿宋" w:hAnsi="仿宋" w:eastAsia="仿宋"/>
          <w:color w:val="auto"/>
          <w:sz w:val="28"/>
          <w:szCs w:val="28"/>
          <w:highlight w:val="none"/>
        </w:rPr>
        <w:t xml:space="preserve">苏采云客服：0519-86722801、0519-86722806、0513-59001950</w:t>
      </w:r>
      <w:bookmarkStart w:id="45" w:name="_Toc120614211"/>
      <w:r>
        <w:rPr>
          <w:rFonts w:hint="eastAsia" w:ascii="黑体" w:hAnsi="Arial" w:eastAsia="黑体" w:cs="Arial"/>
          <w:b/>
          <w:bCs/>
          <w:color w:val="auto"/>
          <w:sz w:val="44"/>
          <w:szCs w:val="44"/>
          <w:highlight w:val="none"/>
        </w:rPr>
        <w:br w:type="page" w:clear="all"/>
      </w:r>
      <w:r/>
    </w:p>
    <w:p>
      <w:pPr>
        <w:ind w:right="839"/>
        <w:jc w:val="center"/>
        <w:rPr>
          <w:rFonts w:hint="eastAsia" w:ascii="黑体" w:hAnsi="Arial" w:eastAsia="黑体" w:cs="Arial"/>
          <w:color w:val="auto"/>
          <w:sz w:val="44"/>
          <w:szCs w:val="44"/>
          <w:highlight w:val="none"/>
        </w:rPr>
        <w:outlineLvl w:val="0"/>
      </w:pPr>
      <w:r/>
      <w:bookmarkStart w:id="46" w:name="_Toc22075"/>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bookmarkStart w:id="47" w:name="_Toc513029202"/>
      <w:r/>
      <w:bookmarkStart w:id="48" w:name="_Toc16938518"/>
      <w:r/>
      <w:bookmarkStart w:id="49" w:name="_Toc20823274"/>
      <w:r/>
      <w:bookmarkStart w:id="50" w:name="_Toc120614213"/>
      <w:r>
        <w:rPr>
          <w:rFonts w:hint="eastAsia" w:ascii="黑体" w:hAnsi="Arial" w:eastAsia="黑体" w:cs="Arial"/>
          <w:b/>
          <w:bCs/>
          <w:color w:val="auto"/>
          <w:sz w:val="44"/>
          <w:szCs w:val="44"/>
          <w:highlight w:val="none"/>
        </w:rPr>
        <w:t xml:space="preserve">投标人须知</w:t>
      </w:r>
      <w:bookmarkEnd w:id="46"/>
      <w:r/>
      <w:bookmarkEnd w:id="47"/>
      <w:r/>
      <w:bookmarkEnd w:id="48"/>
      <w:r/>
      <w:bookmarkEnd w:id="49"/>
      <w:r/>
      <w:bookmarkEnd w:id="50"/>
      <w:r/>
      <w:r/>
    </w:p>
    <w:p>
      <w:pPr>
        <w:keepLines/>
        <w:keepNext/>
        <w:pageBreakBefore w:val="0"/>
        <w:spacing w:line="480" w:lineRule="exact"/>
        <w:widowControl w:val="off"/>
        <w:rPr>
          <w:rFonts w:ascii="仿宋" w:hAnsi="仿宋" w:eastAsia="仿宋"/>
          <w:b/>
          <w:bCs/>
          <w:color w:val="auto"/>
          <w:sz w:val="28"/>
          <w:szCs w:val="28"/>
          <w:highlight w:val="none"/>
        </w:rPr>
        <w:outlineLvl w:val="2"/>
      </w:pPr>
      <w:r/>
      <w:bookmarkStart w:id="51" w:name="_Toc120614214"/>
      <w:r/>
      <w:bookmarkStart w:id="52" w:name="_Toc16938519"/>
      <w:r/>
      <w:bookmarkStart w:id="53" w:name="_Toc20823275"/>
      <w:r/>
      <w:bookmarkStart w:id="54" w:name="_Toc513029203"/>
      <w:r>
        <w:rPr>
          <w:rFonts w:ascii="仿宋" w:hAnsi="仿宋" w:eastAsia="仿宋"/>
          <w:b/>
          <w:bCs/>
          <w:color w:val="auto"/>
          <w:sz w:val="28"/>
          <w:szCs w:val="28"/>
          <w:highlight w:val="none"/>
        </w:rPr>
        <w:t xml:space="preserve">（一）总则</w:t>
      </w:r>
      <w:bookmarkEnd w:id="51"/>
      <w:r/>
      <w:bookmarkEnd w:id="52"/>
      <w:r/>
      <w:bookmarkEnd w:id="53"/>
      <w:r/>
      <w:bookmarkEnd w:id="54"/>
      <w:r/>
      <w:r/>
    </w:p>
    <w:p>
      <w:pPr>
        <w:keepNext/>
        <w:pageBreakBefore w:val="0"/>
        <w:spacing w:line="480" w:lineRule="exact"/>
        <w:widowControl w:val="off"/>
        <w:rPr>
          <w:rFonts w:ascii="仿宋" w:hAnsi="仿宋" w:eastAsia="仿宋"/>
          <w:b/>
          <w:bCs/>
          <w:color w:val="auto"/>
          <w:sz w:val="28"/>
          <w:szCs w:val="28"/>
          <w:highlight w:val="none"/>
        </w:rPr>
        <w:outlineLvl w:val="3"/>
      </w:pPr>
      <w:r/>
      <w:bookmarkStart w:id="55" w:name="_Hlt16619475"/>
      <w:r/>
      <w:bookmarkEnd w:id="55"/>
      <w:r/>
      <w:bookmarkStart w:id="56" w:name="_Toc458694821"/>
      <w:r/>
      <w:bookmarkStart w:id="57" w:name="_Toc20823276"/>
      <w:r/>
      <w:bookmarkStart w:id="58" w:name="_Toc16938520"/>
      <w:r/>
      <w:bookmarkStart w:id="59" w:name="_Toc513029204"/>
      <w:r>
        <w:rPr>
          <w:rFonts w:ascii="仿宋" w:hAnsi="仿宋" w:eastAsia="仿宋"/>
          <w:color w:val="auto"/>
          <w:sz w:val="28"/>
          <w:szCs w:val="28"/>
          <w:highlight w:val="none"/>
        </w:rPr>
        <w:t xml:space="preserve">1</w:t>
      </w:r>
      <w:bookmarkEnd w:id="56"/>
      <w:r>
        <w:rPr>
          <w:rFonts w:ascii="仿宋" w:hAnsi="仿宋" w:eastAsia="仿宋"/>
          <w:color w:val="auto"/>
          <w:sz w:val="28"/>
          <w:szCs w:val="28"/>
          <w:highlight w:val="none"/>
        </w:rPr>
        <w:t xml:space="preserve">.招标方式</w:t>
      </w:r>
      <w:bookmarkEnd w:id="57"/>
      <w:r/>
      <w:bookmarkEnd w:id="58"/>
      <w:r/>
      <w:bookmarkEnd w:id="5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1.1 本次招标采取公开招标方式，本招标文件仅适用于招标公告中所述项目。</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0" w:name="_Toc20823277"/>
      <w:r/>
      <w:bookmarkStart w:id="61" w:name="_Toc16938521"/>
      <w:r/>
      <w:bookmarkStart w:id="62" w:name="_Toc513029205"/>
      <w:r>
        <w:rPr>
          <w:rFonts w:ascii="仿宋" w:hAnsi="仿宋" w:eastAsia="仿宋"/>
          <w:color w:val="auto"/>
          <w:sz w:val="28"/>
          <w:szCs w:val="28"/>
          <w:highlight w:val="none"/>
        </w:rPr>
        <w:t xml:space="preserve">2.合格的投标人</w:t>
      </w:r>
      <w:bookmarkEnd w:id="60"/>
      <w:r/>
      <w:bookmarkEnd w:id="61"/>
      <w:r/>
      <w:bookmarkEnd w:id="62"/>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3" w:name="_Toc16938522"/>
      <w:r/>
      <w:bookmarkStart w:id="64" w:name="_Toc513029206"/>
      <w:r/>
      <w:bookmarkStart w:id="65" w:name="_Toc20823278"/>
      <w:r>
        <w:rPr>
          <w:rFonts w:ascii="仿宋" w:hAnsi="仿宋" w:eastAsia="仿宋"/>
          <w:color w:val="auto"/>
          <w:sz w:val="28"/>
          <w:szCs w:val="28"/>
          <w:highlight w:val="none"/>
        </w:rPr>
        <w:t xml:space="preserve">3.适用法律</w:t>
      </w:r>
      <w:bookmarkEnd w:id="63"/>
      <w:r/>
      <w:bookmarkEnd w:id="64"/>
      <w:r/>
      <w:bookmarkEnd w:id="65"/>
      <w:r/>
      <w:r/>
    </w:p>
    <w:p>
      <w:pPr>
        <w:ind w:firstLine="49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3.1 本次招标及由此产生的合同受中华人民共和国有关的法律法规制约和保护。</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6" w:name="_Toc462564067"/>
      <w:r/>
      <w:bookmarkStart w:id="67" w:name="_Toc20823279"/>
      <w:r/>
      <w:bookmarkStart w:id="68" w:name="_Toc513029207"/>
      <w:r/>
      <w:bookmarkStart w:id="69" w:name="_Toc16938523"/>
      <w:r>
        <w:rPr>
          <w:rFonts w:ascii="仿宋" w:hAnsi="仿宋" w:eastAsia="仿宋"/>
          <w:color w:val="auto"/>
          <w:sz w:val="28"/>
          <w:szCs w:val="28"/>
          <w:highlight w:val="none"/>
        </w:rPr>
        <w:t xml:space="preserve">4.投标费用</w:t>
      </w:r>
      <w:bookmarkEnd w:id="66"/>
      <w:r/>
      <w:bookmarkEnd w:id="67"/>
      <w:r/>
      <w:bookmarkEnd w:id="68"/>
      <w:r/>
      <w:bookmarkEnd w:id="6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 投标人应自行承担所有与参加投标有关的费用，无论投标过程中的做法和结果如何，</w:t>
      </w:r>
      <w:r>
        <w:rPr>
          <w:rFonts w:hint="eastAsia" w:ascii="仿宋" w:hAnsi="仿宋" w:eastAsia="仿宋"/>
          <w:color w:val="auto"/>
          <w:sz w:val="28"/>
          <w:szCs w:val="28"/>
          <w:highlight w:val="none"/>
        </w:rPr>
        <w:t xml:space="preserve">南通市教育技术中心</w:t>
      </w:r>
      <w:r>
        <w:rPr>
          <w:rFonts w:ascii="仿宋" w:hAnsi="仿宋" w:eastAsia="仿宋"/>
          <w:color w:val="auto"/>
          <w:sz w:val="28"/>
          <w:szCs w:val="28"/>
          <w:highlight w:val="none"/>
        </w:rPr>
        <w:t xml:space="preserve">在任何情况下均无义务和责任承担这些费用。</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4.2本次招标</w:t>
      </w:r>
      <w:r>
        <w:rPr>
          <w:rFonts w:hint="eastAsia" w:ascii="仿宋" w:hAnsi="仿宋" w:eastAsia="仿宋"/>
          <w:color w:val="auto"/>
          <w:sz w:val="28"/>
          <w:szCs w:val="28"/>
          <w:highlight w:val="none"/>
        </w:rPr>
        <w:t xml:space="preserve">南通市教育技术</w:t>
      </w:r>
      <w:r>
        <w:rPr>
          <w:rFonts w:ascii="仿宋" w:hAnsi="仿宋" w:eastAsia="仿宋"/>
          <w:color w:val="auto"/>
          <w:sz w:val="28"/>
          <w:szCs w:val="28"/>
          <w:highlight w:val="none"/>
        </w:rPr>
        <w:t xml:space="preserve">中心和采购人不收取标书工本费与中标服务费。</w:t>
      </w:r>
      <w:r/>
    </w:p>
    <w:p>
      <w:pPr>
        <w:keepNext/>
        <w:pageBreakBefore w:val="0"/>
        <w:spacing w:line="480" w:lineRule="exact"/>
        <w:widowControl w:val="off"/>
        <w:rPr>
          <w:rFonts w:ascii="仿宋" w:hAnsi="仿宋" w:eastAsia="仿宋"/>
          <w:b/>
          <w:bCs/>
          <w:color w:val="auto"/>
          <w:sz w:val="28"/>
          <w:szCs w:val="28"/>
          <w:highlight w:val="none"/>
        </w:rPr>
        <w:outlineLvl w:val="3"/>
      </w:pPr>
      <w:r>
        <w:rPr>
          <w:rFonts w:ascii="仿宋" w:hAnsi="仿宋" w:eastAsia="仿宋"/>
          <w:color w:val="auto"/>
          <w:sz w:val="28"/>
          <w:szCs w:val="28"/>
          <w:highlight w:val="none"/>
        </w:rPr>
        <w:t xml:space="preserve">5.招标文件的约束力</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 投标人一旦参加本项目采购活动，即被认为接受了本招标文件的规定和约束。</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70" w:name="_Toc20823281"/>
      <w:r/>
      <w:bookmarkStart w:id="71" w:name="_Toc16938525"/>
      <w:r/>
      <w:bookmarkStart w:id="72" w:name="_Toc513029209"/>
      <w:r/>
      <w:bookmarkStart w:id="73" w:name="_Toc120614215"/>
      <w:r>
        <w:rPr>
          <w:rFonts w:hint="eastAsia" w:ascii="仿宋" w:hAnsi="仿宋" w:eastAsia="仿宋"/>
          <w:b/>
          <w:bCs/>
          <w:color w:val="auto"/>
          <w:sz w:val="28"/>
          <w:szCs w:val="28"/>
          <w:highlight w:val="none"/>
        </w:rPr>
        <w:t xml:space="preserve">二、招标文件</w:t>
      </w:r>
      <w:bookmarkEnd w:id="70"/>
      <w:r/>
      <w:bookmarkEnd w:id="71"/>
      <w:r/>
      <w:bookmarkEnd w:id="72"/>
      <w:r/>
      <w:bookmarkEnd w:id="73"/>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4" w:name="_Toc16938526"/>
      <w:r/>
      <w:bookmarkStart w:id="75" w:name="_Toc20823282"/>
      <w:r/>
      <w:bookmarkStart w:id="76" w:name="_Toc513029210"/>
      <w:r>
        <w:rPr>
          <w:rFonts w:hint="eastAsia" w:ascii="仿宋" w:hAnsi="仿宋" w:eastAsia="仿宋" w:cs="Arial"/>
          <w:color w:val="auto"/>
          <w:sz w:val="28"/>
          <w:szCs w:val="28"/>
          <w:highlight w:val="none"/>
          <w:lang w:eastAsia="zh-CN"/>
        </w:rPr>
        <w:t xml:space="preserve">6.</w:t>
      </w:r>
      <w:r>
        <w:rPr>
          <w:rFonts w:hint="eastAsia" w:ascii="仿宋" w:hAnsi="仿宋" w:eastAsia="仿宋" w:cs="Arial"/>
          <w:color w:val="auto"/>
          <w:sz w:val="28"/>
          <w:szCs w:val="28"/>
          <w:highlight w:val="none"/>
        </w:rPr>
        <w:t xml:space="preserve">招标文件构成</w:t>
      </w:r>
      <w:bookmarkEnd w:id="74"/>
      <w:r/>
      <w:bookmarkEnd w:id="75"/>
      <w:r/>
      <w:bookmarkEnd w:id="7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请仔细检查招标文件是否齐全，如有缺漏请立即与南通市教育技术中心联系解决。</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7" w:name="_Toc20823283"/>
      <w:r/>
      <w:bookmarkStart w:id="78" w:name="_Toc462564070"/>
      <w:r/>
      <w:bookmarkStart w:id="79" w:name="_Toc16938527"/>
      <w:r/>
      <w:bookmarkStart w:id="80" w:name="_Toc513029211"/>
      <w:r>
        <w:rPr>
          <w:rFonts w:hint="eastAsia" w:ascii="仿宋" w:hAnsi="仿宋" w:eastAsia="仿宋" w:cs="Arial"/>
          <w:color w:val="auto"/>
          <w:sz w:val="28"/>
          <w:szCs w:val="28"/>
          <w:highlight w:val="none"/>
          <w:lang w:eastAsia="zh-CN"/>
        </w:rPr>
        <w:t xml:space="preserve">7.</w:t>
      </w:r>
      <w:r>
        <w:rPr>
          <w:rFonts w:hint="eastAsia" w:ascii="仿宋" w:hAnsi="仿宋" w:eastAsia="仿宋" w:cs="Arial"/>
          <w:color w:val="auto"/>
          <w:sz w:val="28"/>
          <w:szCs w:val="28"/>
          <w:highlight w:val="none"/>
        </w:rPr>
        <w:t xml:space="preserve">招标文件的澄清</w:t>
      </w:r>
      <w:bookmarkEnd w:id="77"/>
      <w:r/>
      <w:bookmarkEnd w:id="78"/>
      <w:r/>
      <w:bookmarkEnd w:id="79"/>
      <w:r/>
      <w:bookmarkEnd w:id="80"/>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w:t>
      </w:r>
      <w:r>
        <w:rPr>
          <w:rFonts w:hint="eastAsia" w:ascii="仿宋" w:hAnsi="仿宋" w:eastAsia="仿宋"/>
          <w:color w:val="auto"/>
          <w:sz w:val="28"/>
          <w:szCs w:val="28"/>
          <w:highlight w:val="none"/>
        </w:rPr>
        <w:t xml:space="preserve">前按招标公告中的通讯地址，以书面形式通知南通市教育技术中心。采购人有权对发出的招标文件进行必要的澄清或修改。</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81" w:name="_Toc16938528"/>
      <w:r/>
      <w:bookmarkStart w:id="82" w:name="_Toc20823284"/>
      <w:r/>
      <w:bookmarkStart w:id="83" w:name="_Toc513029212"/>
      <w:r/>
      <w:bookmarkStart w:id="84" w:name="_Toc462564071"/>
      <w:r>
        <w:rPr>
          <w:rFonts w:hint="eastAsia" w:ascii="仿宋" w:hAnsi="仿宋" w:eastAsia="仿宋" w:cs="Arial"/>
          <w:color w:val="auto"/>
          <w:sz w:val="28"/>
          <w:szCs w:val="28"/>
          <w:highlight w:val="none"/>
          <w:lang w:eastAsia="zh-CN"/>
        </w:rPr>
        <w:t xml:space="preserve">8.</w:t>
      </w:r>
      <w:r>
        <w:rPr>
          <w:rFonts w:hint="eastAsia" w:ascii="仿宋" w:hAnsi="仿宋" w:eastAsia="仿宋" w:cs="Arial"/>
          <w:color w:val="auto"/>
          <w:sz w:val="28"/>
          <w:szCs w:val="28"/>
          <w:highlight w:val="none"/>
        </w:rPr>
        <w:t xml:space="preserve">招标文件的修改</w:t>
      </w:r>
      <w:bookmarkEnd w:id="81"/>
      <w:r/>
      <w:bookmarkEnd w:id="82"/>
      <w:r/>
      <w:bookmarkEnd w:id="83"/>
      <w:r/>
      <w:bookmarkEnd w:id="84"/>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w:t>
      </w:r>
      <w:r>
        <w:rPr>
          <w:rFonts w:hint="eastAsia" w:ascii="仿宋" w:hAnsi="仿宋" w:eastAsia="仿宋"/>
          <w:color w:val="auto"/>
          <w:sz w:val="28"/>
          <w:szCs w:val="28"/>
          <w:highlight w:val="none"/>
          <w:lang w:eastAsia="zh-CN"/>
        </w:rPr>
        <w:t xml:space="preserve">间之</w:t>
      </w:r>
      <w:r>
        <w:rPr>
          <w:rFonts w:hint="eastAsia" w:ascii="仿宋" w:hAnsi="仿宋" w:eastAsia="仿宋"/>
          <w:color w:val="auto"/>
          <w:sz w:val="28"/>
          <w:szCs w:val="28"/>
          <w:highlight w:val="none"/>
        </w:rPr>
        <w:t xml:space="preserve">前，南通市教育技术中心可以对招标文件进行修改。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南通市教育技术中心有权按照法定的要求推迟投标截止日期和开标日期。</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 </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85" w:name="_Toc16938529"/>
      <w:r/>
      <w:bookmarkStart w:id="86" w:name="_Toc120614216"/>
      <w:r/>
      <w:bookmarkStart w:id="87" w:name="_Toc513029213"/>
      <w:r/>
      <w:bookmarkStart w:id="88" w:name="_Toc20823285"/>
      <w:r/>
      <w:bookmarkStart w:id="89" w:name="_Toc462564072"/>
      <w:r>
        <w:rPr>
          <w:rFonts w:hint="eastAsia" w:ascii="仿宋" w:hAnsi="仿宋" w:eastAsia="仿宋"/>
          <w:b/>
          <w:bCs/>
          <w:color w:val="auto"/>
          <w:sz w:val="28"/>
          <w:szCs w:val="28"/>
          <w:highlight w:val="none"/>
        </w:rPr>
        <w:t xml:space="preserve">三、投标文件的编制</w:t>
      </w:r>
      <w:bookmarkEnd w:id="85"/>
      <w:r/>
      <w:bookmarkEnd w:id="86"/>
      <w:r/>
      <w:bookmarkEnd w:id="87"/>
      <w:r/>
      <w:bookmarkEnd w:id="88"/>
      <w:r/>
      <w:bookmarkEnd w:id="89"/>
      <w:r/>
      <w:r/>
    </w:p>
    <w:p>
      <w:pPr>
        <w:keepLines/>
        <w:keepNext/>
        <w:pageBreakBefore w:val="0"/>
        <w:spacing w:line="480" w:lineRule="exact"/>
        <w:widowControl w:val="off"/>
        <w:rPr>
          <w:rFonts w:hint="eastAsia" w:ascii="仿宋" w:hAnsi="仿宋" w:eastAsia="仿宋" w:cs="Arial"/>
          <w:b/>
          <w:color w:val="auto"/>
          <w:sz w:val="28"/>
          <w:szCs w:val="28"/>
          <w:highlight w:val="none"/>
        </w:rPr>
        <w:outlineLvl w:val="3"/>
      </w:pPr>
      <w:r/>
      <w:bookmarkStart w:id="90" w:name="_Toc16938530"/>
      <w:r/>
      <w:bookmarkStart w:id="91" w:name="_Toc20823286"/>
      <w:r/>
      <w:bookmarkStart w:id="92" w:name="_Toc462564073"/>
      <w:r/>
      <w:bookmarkStart w:id="93" w:name="_Toc513029214"/>
      <w:r>
        <w:rPr>
          <w:rFonts w:hint="eastAsia" w:ascii="仿宋" w:hAnsi="仿宋" w:eastAsia="仿宋" w:cs="Arial"/>
          <w:color w:val="auto"/>
          <w:sz w:val="28"/>
          <w:szCs w:val="28"/>
          <w:highlight w:val="none"/>
          <w:lang w:eastAsia="zh-CN"/>
        </w:rPr>
        <w:t xml:space="preserve">9.</w:t>
      </w:r>
      <w:r>
        <w:rPr>
          <w:rFonts w:hint="eastAsia" w:ascii="仿宋" w:hAnsi="仿宋" w:eastAsia="仿宋" w:cs="Arial"/>
          <w:color w:val="auto"/>
          <w:sz w:val="28"/>
          <w:szCs w:val="28"/>
          <w:highlight w:val="none"/>
        </w:rPr>
        <w:t xml:space="preserve">投标文件的语言及度量衡单位</w:t>
      </w:r>
      <w:bookmarkEnd w:id="90"/>
      <w:r/>
      <w:bookmarkEnd w:id="91"/>
      <w:r/>
      <w:bookmarkEnd w:id="92"/>
      <w:r/>
      <w:bookmarkEnd w:id="93"/>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 投标人提交的投标文件以及投标人与南通市教育技术中心就有关投标的所有来往通知、函件和文件均应使用简体中文。</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 除技术性能另有规定外，投标文件所使用的度量衡单位，均须采用国家法定计量单位。</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4" w:name="_Toc513029215"/>
      <w:r/>
      <w:bookmarkStart w:id="95" w:name="_Toc16938531"/>
      <w:r/>
      <w:bookmarkStart w:id="96" w:name="_Toc462564074"/>
      <w:r/>
      <w:bookmarkStart w:id="97" w:name="_Toc20823287"/>
      <w:r>
        <w:rPr>
          <w:rFonts w:hint="eastAsia" w:ascii="仿宋" w:hAnsi="仿宋" w:eastAsia="仿宋" w:cs="Arial"/>
          <w:color w:val="auto"/>
          <w:sz w:val="28"/>
          <w:szCs w:val="28"/>
          <w:highlight w:val="none"/>
          <w:lang w:eastAsia="zh-CN"/>
        </w:rPr>
        <w:t xml:space="preserve">10.</w:t>
      </w:r>
      <w:r>
        <w:rPr>
          <w:rFonts w:hint="eastAsia" w:ascii="仿宋" w:hAnsi="仿宋" w:eastAsia="仿宋" w:cs="Arial"/>
          <w:color w:val="auto"/>
          <w:sz w:val="28"/>
          <w:szCs w:val="28"/>
          <w:highlight w:val="none"/>
        </w:rPr>
        <w:t xml:space="preserve">投标文件构成</w:t>
      </w:r>
      <w:bookmarkEnd w:id="94"/>
      <w:r/>
      <w:bookmarkEnd w:id="95"/>
      <w:r/>
      <w:bookmarkEnd w:id="96"/>
      <w:r/>
      <w:bookmarkEnd w:id="97"/>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 投标人编写的投标文件应包括资格证明文件、开标一览表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投标分项报价表、技术要求响应及偏离表、商务要求响应及偏离表、其他证明文件等部分。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如标书制作工具中格式和内容与“江苏政府采购网”发布的招标文件不一致，请以“江苏政府采购网”发布的招标文件为准。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8" w:name="_Hlt26670360"/>
      <w:r/>
      <w:bookmarkEnd w:id="98"/>
      <w:r/>
      <w:bookmarkStart w:id="99" w:name="_Hlt26668975"/>
      <w:r/>
      <w:bookmarkEnd w:id="99"/>
      <w:r/>
      <w:bookmarkStart w:id="100" w:name="_Hlt26954838"/>
      <w:r/>
      <w:bookmarkEnd w:id="100"/>
      <w:r/>
      <w:bookmarkStart w:id="101" w:name="_Toc49090509"/>
      <w:r/>
      <w:bookmarkStart w:id="102" w:name="_Toc513029216"/>
      <w:r/>
      <w:bookmarkStart w:id="103" w:name="_Toc14577357"/>
      <w:r/>
      <w:bookmarkStart w:id="104" w:name="_Toc14577354"/>
      <w:r/>
      <w:bookmarkStart w:id="105" w:name="_Toc513029219"/>
      <w:r/>
      <w:bookmarkStart w:id="106" w:name="_Toc49090507"/>
      <w:r/>
      <w:bookmarkStart w:id="107" w:name="_Toc14577355"/>
      <w:r/>
      <w:bookmarkStart w:id="108" w:name="_Toc49090508"/>
      <w:r>
        <w:rPr>
          <w:rFonts w:hint="eastAsia" w:ascii="仿宋" w:hAnsi="仿宋" w:eastAsia="仿宋" w:cs="Arial"/>
          <w:color w:val="auto"/>
          <w:sz w:val="28"/>
          <w:szCs w:val="28"/>
          <w:highlight w:val="none"/>
          <w:lang w:eastAsia="zh-CN"/>
        </w:rPr>
        <w:t xml:space="preserve">11.</w:t>
      </w:r>
      <w:r>
        <w:rPr>
          <w:rFonts w:hint="eastAsia" w:ascii="仿宋" w:hAnsi="仿宋" w:eastAsia="仿宋" w:cs="Arial"/>
          <w:color w:val="auto"/>
          <w:sz w:val="28"/>
          <w:szCs w:val="28"/>
          <w:highlight w:val="none"/>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 投标人应按照招标文件要求提交证明文件，证明其及投标标的符合招标文件规定。</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7"/>
      <w:r/>
      <w:bookmarkEnd w:id="108"/>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12.</w:t>
      </w:r>
      <w:r>
        <w:rPr>
          <w:rFonts w:hint="eastAsia" w:ascii="仿宋" w:hAnsi="仿宋" w:eastAsia="仿宋" w:cs="Arial"/>
          <w:color w:val="auto"/>
          <w:sz w:val="28"/>
          <w:szCs w:val="28"/>
          <w:highlight w:val="none"/>
        </w:rPr>
        <w:t xml:space="preserve">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 投标人按照招标文件规定格式填报投标分项报价表。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09" w:name="_Hlt26954846"/>
      <w:r/>
      <w:bookmarkEnd w:id="109"/>
      <w:r/>
      <w:bookmarkStart w:id="110" w:name="_Hlt26670482"/>
      <w:r/>
      <w:bookmarkEnd w:id="110"/>
      <w:r/>
      <w:bookmarkStart w:id="111" w:name="_Hlt26954848"/>
      <w:r/>
      <w:bookmarkEnd w:id="111"/>
      <w:r/>
      <w:bookmarkStart w:id="112" w:name="_Hlt26670486"/>
      <w:r/>
      <w:bookmarkEnd w:id="112"/>
      <w:r/>
      <w:bookmarkStart w:id="113" w:name="_Hlt26954731"/>
      <w:r/>
      <w:bookmarkEnd w:id="113"/>
      <w:r>
        <w:rPr>
          <w:rFonts w:hint="eastAsia" w:ascii="仿宋" w:hAnsi="仿宋" w:eastAsia="仿宋" w:cs="Arial"/>
          <w:color w:val="auto"/>
          <w:sz w:val="28"/>
          <w:szCs w:val="28"/>
          <w:highlight w:val="none"/>
          <w:lang w:eastAsia="zh-CN"/>
        </w:rPr>
        <w:t xml:space="preserve">13.</w:t>
      </w:r>
      <w:r>
        <w:rPr>
          <w:rFonts w:hint="eastAsia" w:ascii="仿宋" w:hAnsi="仿宋" w:eastAsia="仿宋" w:cs="Arial"/>
          <w:color w:val="auto"/>
          <w:sz w:val="28"/>
          <w:szCs w:val="28"/>
          <w:highlight w:val="none"/>
        </w:rPr>
        <w:t xml:space="preserve">技术要求响应及偏离表、商务要求响应及偏离表</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13.2投标人需按照招标文件要求，在投标文件中提供与技术要求和商务要求相关的佐证材料。</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14.</w:t>
      </w:r>
      <w:r>
        <w:rPr>
          <w:rFonts w:hint="eastAsia" w:ascii="仿宋" w:hAnsi="仿宋" w:eastAsia="仿宋" w:cs="Arial"/>
          <w:color w:val="auto"/>
          <w:sz w:val="28"/>
          <w:szCs w:val="28"/>
          <w:highlight w:val="none"/>
        </w:rPr>
        <w:t xml:space="preserve">服务承诺、培训计划、人员安排及其他</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投标人需根据招标文件要求提供培训计划。</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4" w:name="_Toc49090510"/>
      <w:r/>
      <w:bookmarkStart w:id="115" w:name="_Toc14577359"/>
      <w:r>
        <w:rPr>
          <w:rFonts w:hint="eastAsia" w:ascii="仿宋" w:hAnsi="仿宋" w:eastAsia="仿宋" w:cs="Arial"/>
          <w:color w:val="auto"/>
          <w:sz w:val="28"/>
          <w:szCs w:val="28"/>
          <w:highlight w:val="none"/>
          <w:lang w:eastAsia="zh-CN"/>
        </w:rPr>
        <w:t xml:space="preserve">15.</w:t>
      </w:r>
      <w:r>
        <w:rPr>
          <w:rFonts w:hint="eastAsia" w:ascii="仿宋" w:hAnsi="仿宋" w:eastAsia="仿宋" w:cs="Arial"/>
          <w:color w:val="auto"/>
          <w:sz w:val="28"/>
          <w:szCs w:val="28"/>
          <w:highlight w:val="none"/>
        </w:rPr>
        <w:t xml:space="preserve">投标函和开标一览表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 投标人应按照招标文件中提供的格式完整、正确填写投标函、开标一览表。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6" w:name="_Toc14577360"/>
      <w:r/>
      <w:bookmarkStart w:id="117" w:name="_Toc49090511"/>
      <w:r>
        <w:rPr>
          <w:rFonts w:hint="eastAsia" w:ascii="仿宋" w:hAnsi="仿宋" w:eastAsia="仿宋" w:cs="Arial"/>
          <w:color w:val="auto"/>
          <w:sz w:val="28"/>
          <w:szCs w:val="28"/>
          <w:highlight w:val="none"/>
          <w:lang w:eastAsia="zh-CN"/>
        </w:rPr>
        <w:t xml:space="preserve">16.</w:t>
      </w:r>
      <w:r>
        <w:rPr>
          <w:rFonts w:hint="eastAsia" w:ascii="仿宋" w:hAnsi="仿宋" w:eastAsia="仿宋" w:cs="Arial"/>
          <w:color w:val="auto"/>
          <w:sz w:val="28"/>
          <w:szCs w:val="28"/>
          <w:highlight w:val="none"/>
        </w:rPr>
        <w:t xml:space="preserve">投标有效期</w:t>
      </w:r>
      <w:bookmarkEnd w:id="116"/>
      <w:r/>
      <w:bookmarkEnd w:id="117"/>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17.</w:t>
      </w:r>
      <w:r>
        <w:rPr>
          <w:rFonts w:hint="eastAsia" w:ascii="仿宋" w:hAnsi="仿宋" w:eastAsia="仿宋" w:cs="Arial"/>
          <w:color w:val="auto"/>
          <w:sz w:val="28"/>
          <w:szCs w:val="28"/>
          <w:highlight w:val="none"/>
        </w:rPr>
        <w:t xml:space="preserve">投标有效期的延长</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18" w:name="_Hlt26954739"/>
      <w:r/>
      <w:bookmarkEnd w:id="118"/>
      <w:r/>
      <w:bookmarkStart w:id="119" w:name="_Hlt26954852"/>
      <w:r/>
      <w:bookmarkEnd w:id="119"/>
      <w:r/>
      <w:bookmarkStart w:id="120" w:name="_Toc120614217"/>
      <w:r/>
      <w:bookmarkStart w:id="121" w:name="_Toc20823296"/>
      <w:r/>
      <w:bookmarkStart w:id="122" w:name="_Toc513029224"/>
      <w:r/>
      <w:bookmarkStart w:id="123" w:name="_Toc16938540"/>
      <w:r>
        <w:rPr>
          <w:rFonts w:hint="eastAsia" w:ascii="仿宋" w:hAnsi="仿宋" w:eastAsia="仿宋"/>
          <w:b/>
          <w:bCs/>
          <w:color w:val="auto"/>
          <w:sz w:val="28"/>
          <w:szCs w:val="28"/>
          <w:highlight w:val="none"/>
        </w:rPr>
        <w:t xml:space="preserve">四、投标文件的递交</w:t>
      </w:r>
      <w:bookmarkEnd w:id="120"/>
      <w:r/>
      <w:bookmarkEnd w:id="121"/>
      <w:r/>
      <w:bookmarkEnd w:id="122"/>
      <w:r/>
      <w:bookmarkEnd w:id="123"/>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24" w:name="_Toc462564084"/>
      <w:r/>
      <w:bookmarkStart w:id="125" w:name="_Toc20823297"/>
      <w:r/>
      <w:bookmarkStart w:id="126" w:name="_Toc16938541"/>
      <w:r/>
      <w:bookmarkStart w:id="127" w:name="_Toc513029225"/>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电子投标文件</w:t>
      </w:r>
      <w:bookmarkEnd w:id="124"/>
      <w:r/>
      <w:bookmarkEnd w:id="125"/>
      <w:r/>
      <w:bookmarkEnd w:id="126"/>
      <w:r/>
      <w:bookmarkEnd w:id="127"/>
      <w:r>
        <w:rPr>
          <w:rFonts w:hint="eastAsia" w:ascii="仿宋" w:hAnsi="仿宋" w:eastAsia="仿宋"/>
          <w:bCs/>
          <w:color w:val="auto"/>
          <w:sz w:val="28"/>
          <w:szCs w:val="28"/>
          <w:highlight w:val="none"/>
        </w:rPr>
        <w:t xml:space="preserve">的递交</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8" w:name="_Toc513029226"/>
      <w:r/>
      <w:bookmarkStart w:id="129" w:name="_Toc16938542"/>
      <w:r/>
      <w:bookmarkStart w:id="130" w:name="_Toc20823298"/>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19.</w:t>
      </w:r>
      <w:r>
        <w:rPr>
          <w:rFonts w:hint="eastAsia" w:ascii="仿宋" w:hAnsi="仿宋" w:eastAsia="仿宋"/>
          <w:bCs/>
          <w:color w:val="auto"/>
          <w:sz w:val="28"/>
          <w:szCs w:val="28"/>
          <w:highlight w:val="none"/>
        </w:rPr>
        <w:t xml:space="preserve">投标截止日期</w:t>
      </w:r>
      <w:bookmarkEnd w:id="128"/>
      <w:r/>
      <w:bookmarkEnd w:id="129"/>
      <w:r/>
      <w:bookmarkEnd w:id="130"/>
      <w:r/>
      <w:r/>
    </w:p>
    <w:p>
      <w:pPr>
        <w:ind w:firstLine="562"/>
        <w:pageBreakBefore w:val="0"/>
        <w:spacing w:line="480" w:lineRule="exact"/>
        <w:widowControl w:val="off"/>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 投标人上传电子投标文件的时间不得迟于招标公告中规定的投标截止时间。</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auto"/>
          <w:sz w:val="28"/>
          <w:szCs w:val="28"/>
          <w:highlight w:val="none"/>
          <w:lang w:eastAsia="zh-CN"/>
        </w:rPr>
        <w:t xml:space="preserve">作无效投标</w:t>
      </w:r>
      <w:r>
        <w:rPr>
          <w:rFonts w:hint="eastAsia" w:ascii="仿宋" w:hAnsi="仿宋" w:eastAsia="仿宋"/>
          <w:bCs/>
          <w:color w:val="auto"/>
          <w:sz w:val="28"/>
          <w:szCs w:val="28"/>
          <w:highlight w:val="none"/>
        </w:rPr>
        <w:t xml:space="preserve">处理。</w:t>
      </w:r>
      <w:r/>
    </w:p>
    <w:p>
      <w:pPr>
        <w:ind w:firstLine="56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1" w:name="_Toc20823299"/>
      <w:r/>
      <w:bookmarkStart w:id="132" w:name="_Toc513029227"/>
      <w:r/>
      <w:bookmarkStart w:id="133" w:name="_Toc16938543"/>
      <w:r>
        <w:rPr>
          <w:rFonts w:hint="eastAsia" w:ascii="仿宋" w:hAnsi="仿宋" w:eastAsia="仿宋" w:cs="Arial"/>
          <w:color w:val="auto"/>
          <w:sz w:val="28"/>
          <w:szCs w:val="28"/>
          <w:highlight w:val="none"/>
          <w:lang w:eastAsia="zh-CN"/>
        </w:rPr>
        <w:t xml:space="preserve">20.</w:t>
      </w:r>
      <w:r>
        <w:rPr>
          <w:rFonts w:hint="eastAsia" w:ascii="仿宋" w:hAnsi="仿宋" w:eastAsia="仿宋" w:cs="Arial"/>
          <w:color w:val="auto"/>
          <w:sz w:val="28"/>
          <w:szCs w:val="28"/>
          <w:highlight w:val="none"/>
        </w:rPr>
        <w:t xml:space="preserve">投标文件</w:t>
      </w:r>
      <w:bookmarkEnd w:id="131"/>
      <w:r/>
      <w:bookmarkEnd w:id="132"/>
      <w:r/>
      <w:bookmarkEnd w:id="133"/>
      <w:r>
        <w:rPr>
          <w:rFonts w:hint="eastAsia" w:ascii="仿宋" w:hAnsi="仿宋" w:eastAsia="仿宋" w:cs="Arial"/>
          <w:color w:val="auto"/>
          <w:sz w:val="28"/>
          <w:szCs w:val="28"/>
          <w:highlight w:val="none"/>
        </w:rPr>
        <w:t xml:space="preserve">的拒收</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 南通市教育技术中心拒绝接收在其规定的投标截止时间后上传的任何投标文件。</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4" w:name="_Toc16938544"/>
      <w:r/>
      <w:bookmarkStart w:id="135" w:name="_Toc20823300"/>
      <w:r/>
      <w:bookmarkStart w:id="136" w:name="_Toc513029228"/>
      <w:r>
        <w:rPr>
          <w:rFonts w:hint="eastAsia" w:ascii="仿宋" w:hAnsi="仿宋" w:eastAsia="仿宋" w:cs="Arial"/>
          <w:color w:val="auto"/>
          <w:sz w:val="28"/>
          <w:szCs w:val="28"/>
          <w:highlight w:val="none"/>
          <w:lang w:eastAsia="zh-CN"/>
        </w:rPr>
        <w:t xml:space="preserve">21.</w:t>
      </w:r>
      <w:r>
        <w:rPr>
          <w:rFonts w:hint="eastAsia" w:ascii="仿宋" w:hAnsi="仿宋" w:eastAsia="仿宋" w:cs="Arial"/>
          <w:color w:val="auto"/>
          <w:sz w:val="28"/>
          <w:szCs w:val="28"/>
          <w:highlight w:val="none"/>
        </w:rPr>
        <w:t xml:space="preserve">投标文件的撤回和修改</w:t>
      </w:r>
      <w:bookmarkEnd w:id="134"/>
      <w:r/>
      <w:bookmarkEnd w:id="135"/>
      <w:r/>
      <w:bookmarkEnd w:id="13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 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 电子投标文件的撤回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投标人撤回电子投标文件，则认为其不再参与本项目投标活动。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 投标文件的修改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 在投标截止时间之后，投标人不得对其电子投标文件作任何修改。</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 在投标截止时间至招标文件中规定的投标有效期满之间的这段时间内，投标人不得撤回其投标。</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37" w:name="_Toc120614218"/>
      <w:r/>
      <w:bookmarkStart w:id="138" w:name="_Toc16938545"/>
      <w:r/>
      <w:bookmarkStart w:id="139" w:name="_Toc513029229"/>
      <w:r/>
      <w:bookmarkStart w:id="140" w:name="_Toc20823301"/>
      <w:r>
        <w:rPr>
          <w:rFonts w:hint="eastAsia" w:ascii="仿宋" w:hAnsi="仿宋" w:eastAsia="仿宋"/>
          <w:b/>
          <w:bCs/>
          <w:color w:val="auto"/>
          <w:sz w:val="28"/>
          <w:szCs w:val="28"/>
          <w:highlight w:val="none"/>
        </w:rPr>
        <w:t xml:space="preserve">五、开标与评标</w:t>
      </w:r>
      <w:bookmarkEnd w:id="137"/>
      <w:r/>
      <w:bookmarkEnd w:id="138"/>
      <w:r/>
      <w:bookmarkEnd w:id="139"/>
      <w:r/>
      <w:bookmarkEnd w:id="140"/>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1" w:name="_Toc513029230"/>
      <w:r/>
      <w:bookmarkStart w:id="142" w:name="_Toc20823302"/>
      <w:r/>
      <w:bookmarkStart w:id="143" w:name="_Toc16938546"/>
      <w:r>
        <w:rPr>
          <w:rFonts w:hint="eastAsia" w:ascii="仿宋" w:hAnsi="仿宋" w:eastAsia="仿宋" w:cs="Arial"/>
          <w:color w:val="auto"/>
          <w:sz w:val="28"/>
          <w:szCs w:val="28"/>
          <w:highlight w:val="none"/>
          <w:lang w:eastAsia="zh-CN"/>
        </w:rPr>
        <w:t xml:space="preserve">22.</w:t>
      </w:r>
      <w:r>
        <w:rPr>
          <w:rFonts w:hint="eastAsia" w:ascii="仿宋" w:hAnsi="仿宋" w:eastAsia="仿宋" w:cs="Arial"/>
          <w:color w:val="auto"/>
          <w:sz w:val="28"/>
          <w:szCs w:val="28"/>
          <w:highlight w:val="none"/>
        </w:rPr>
        <w:t xml:space="preserve">开标</w:t>
      </w:r>
      <w:bookmarkEnd w:id="141"/>
      <w:r/>
      <w:bookmarkEnd w:id="142"/>
      <w:r/>
      <w:bookmarkEnd w:id="143"/>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 南通市教育技术中心将在招标公告中规定的时间和地点组织公开开标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开标仪式由南通市教育技术中心组织。苏采云系统将自动对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w:t>
      </w:r>
      <w:r>
        <w:rPr>
          <w:rFonts w:hint="eastAsia" w:ascii="仿宋" w:hAnsi="仿宋" w:eastAsia="仿宋"/>
          <w:bCs/>
          <w:color w:val="auto"/>
          <w:sz w:val="28"/>
          <w:szCs w:val="28"/>
          <w:highlight w:val="none"/>
          <w:lang w:eastAsia="zh-CN"/>
        </w:rPr>
        <w:t xml:space="preserve">涉及</w:t>
      </w:r>
      <w:r>
        <w:rPr>
          <w:rFonts w:hint="eastAsia" w:ascii="仿宋" w:hAnsi="仿宋" w:eastAsia="仿宋"/>
          <w:bCs/>
          <w:color w:val="auto"/>
          <w:sz w:val="28"/>
          <w:szCs w:val="28"/>
          <w:highlight w:val="none"/>
        </w:rPr>
        <w:t xml:space="preserve">的投标文件解密、开标结果确认等工作，应按照《操作手册》规定执行。</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4" w:name="_Toc513029231"/>
      <w:r/>
      <w:bookmarkStart w:id="145" w:name="_Toc20823303"/>
      <w:r/>
      <w:bookmarkStart w:id="146" w:name="_Toc16938547"/>
      <w:r>
        <w:rPr>
          <w:rFonts w:hint="eastAsia" w:ascii="仿宋" w:hAnsi="仿宋" w:eastAsia="仿宋" w:cs="Arial"/>
          <w:color w:val="auto"/>
          <w:sz w:val="28"/>
          <w:szCs w:val="28"/>
          <w:highlight w:val="none"/>
          <w:lang w:eastAsia="zh-CN"/>
        </w:rPr>
        <w:t xml:space="preserve">23.</w:t>
      </w:r>
      <w:r>
        <w:rPr>
          <w:rFonts w:hint="eastAsia" w:ascii="仿宋" w:hAnsi="仿宋" w:eastAsia="仿宋" w:cs="Arial"/>
          <w:color w:val="auto"/>
          <w:sz w:val="28"/>
          <w:szCs w:val="28"/>
          <w:highlight w:val="none"/>
        </w:rPr>
        <w:t xml:space="preserve">评标委员会</w:t>
      </w:r>
      <w:r/>
    </w:p>
    <w:p>
      <w:pPr>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开标后，南通市教育技术中心将立即组织评标委员会（以下简称评委会）进行评标。</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24.</w:t>
      </w:r>
      <w:r>
        <w:rPr>
          <w:rFonts w:hint="eastAsia" w:ascii="仿宋" w:hAnsi="仿宋" w:eastAsia="仿宋" w:cs="Arial"/>
          <w:color w:val="auto"/>
          <w:sz w:val="28"/>
          <w:szCs w:val="28"/>
          <w:highlight w:val="none"/>
        </w:rPr>
        <w:t xml:space="preserve">评标过程的保密与公正</w:t>
      </w:r>
      <w:bookmarkEnd w:id="144"/>
      <w:r/>
      <w:bookmarkEnd w:id="145"/>
      <w:r/>
      <w:bookmarkEnd w:id="146"/>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.2在评标过程中，投标人不得以任何行为影响评标过程，否则其投标文件将被作为无效投标文件。</w:t>
      </w:r>
      <w:r/>
    </w:p>
    <w:p>
      <w:pPr>
        <w:ind w:firstLine="560"/>
        <w:pageBreakBefore w:val="0"/>
        <w:spacing w:line="480" w:lineRule="exact"/>
        <w:widowControl w:val="off"/>
        <w:rPr>
          <w:rFonts w:hint="eastAsia" w:ascii="仿宋" w:hAnsi="仿宋" w:eastAsia="仿宋"/>
          <w:b/>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南通市教育技术中心和评标委员会不向未中标的投标人解释未中标原因，也不公布评标过程中的相关细节。</w:t>
      </w:r>
      <w:r/>
    </w:p>
    <w:p>
      <w:pPr>
        <w:ind w:firstLine="560"/>
        <w:pageBreakBefore w:val="0"/>
        <w:spacing w:line="480" w:lineRule="exact"/>
        <w:widowControl w:val="off"/>
        <w:rPr>
          <w:rFonts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7" w:name="_Toc513029232"/>
      <w:r/>
      <w:bookmarkStart w:id="148" w:name="_Toc20823304"/>
      <w:r/>
      <w:bookmarkStart w:id="149" w:name="_Toc16938548"/>
      <w:r>
        <w:rPr>
          <w:rFonts w:hint="eastAsia" w:ascii="仿宋" w:hAnsi="仿宋" w:eastAsia="仿宋" w:cs="Arial"/>
          <w:color w:val="auto"/>
          <w:sz w:val="28"/>
          <w:szCs w:val="28"/>
          <w:highlight w:val="none"/>
          <w:lang w:eastAsia="zh-CN"/>
        </w:rPr>
        <w:t xml:space="preserve">25.</w:t>
      </w:r>
      <w:r>
        <w:rPr>
          <w:rFonts w:hint="eastAsia" w:ascii="仿宋" w:hAnsi="仿宋" w:eastAsia="仿宋" w:cs="Arial"/>
          <w:color w:val="auto"/>
          <w:sz w:val="28"/>
          <w:szCs w:val="28"/>
          <w:highlight w:val="none"/>
        </w:rPr>
        <w:t xml:space="preserve">投标文件的澄清</w:t>
      </w:r>
      <w:bookmarkEnd w:id="147"/>
      <w:r/>
      <w:bookmarkEnd w:id="148"/>
      <w:r/>
      <w:bookmarkEnd w:id="149"/>
      <w:r/>
      <w:r/>
    </w:p>
    <w:p>
      <w:pPr>
        <w:ind w:firstLine="560"/>
        <w:pageBreakBefore w:val="0"/>
        <w:spacing w:line="480" w:lineRule="exact"/>
        <w:widowControl w:val="off"/>
        <w:rPr>
          <w:rFonts w:ascii="仿宋" w:hAnsi="仿宋" w:eastAsia="仿宋"/>
          <w:color w:val="auto"/>
          <w:sz w:val="28"/>
          <w:szCs w:val="28"/>
          <w:highlight w:val="none"/>
        </w:rPr>
      </w:pPr>
      <w:r/>
      <w:bookmarkStart w:id="150" w:name="_Toc513029233"/>
      <w:r/>
      <w:bookmarkStart w:id="151" w:name="_Toc20823305"/>
      <w:r/>
      <w:bookmarkStart w:id="152" w:name="_Toc16938549"/>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26.</w:t>
      </w:r>
      <w:r>
        <w:rPr>
          <w:rFonts w:hint="eastAsia" w:ascii="仿宋" w:hAnsi="仿宋" w:eastAsia="仿宋" w:cs="Arial"/>
          <w:color w:val="auto"/>
          <w:sz w:val="28"/>
          <w:szCs w:val="28"/>
          <w:highlight w:val="none"/>
        </w:rPr>
        <w:t xml:space="preserve">对投标文件的初审</w:t>
      </w:r>
      <w:bookmarkEnd w:id="150"/>
      <w:r/>
      <w:bookmarkEnd w:id="151"/>
      <w:r/>
      <w:bookmarkEnd w:id="152"/>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查询结果留存并归档。</w:t>
      </w:r>
      <w:r/>
    </w:p>
    <w:p>
      <w:pPr>
        <w:pStyle w:val="972"/>
        <w:ind w:left="0" w:firstLine="560"/>
        <w:jc w:val="left"/>
        <w:keepLines w:val="0"/>
        <w:keepNext w:val="0"/>
        <w:pageBreakBefore w:val="0"/>
        <w:spacing w:line="480" w:lineRule="exact"/>
        <w:widowControl w:val="off"/>
        <w:rPr>
          <w:rFonts w:hint="eastAsia" w:ascii="仿宋" w:hAnsi="仿宋" w:eastAsia="仿宋"/>
          <w:bCs/>
          <w:color w:val="auto"/>
          <w:sz w:val="28"/>
          <w:szCs w:val="28"/>
          <w:highlight w:val="none"/>
        </w:rPr>
        <w:outlineLvl w:val="1"/>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联合体成员中任何一方存在不良信用记录的，视同联合体存在不良应用记录。</w:t>
      </w:r>
      <w:r/>
    </w:p>
    <w:p>
      <w:pPr>
        <w:pStyle w:val="972"/>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97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97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97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97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972"/>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97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972"/>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972"/>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 未通过资格审查或符合性审查的投标人，南通市教育技术中心将在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中告知未通过资格审查或符合性审查的原因，评审结束后，南通市教育技术中心将不再告知未通过资格审查或符合性审查的原因。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auto"/>
          <w:sz w:val="28"/>
          <w:szCs w:val="28"/>
          <w:highlight w:val="none"/>
          <w:lang w:eastAsia="zh-CN"/>
        </w:rPr>
        <w:t xml:space="preserve">不符</w:t>
      </w:r>
      <w:r>
        <w:rPr>
          <w:rFonts w:hint="eastAsia" w:ascii="仿宋" w:hAnsi="仿宋" w:eastAsia="仿宋"/>
          <w:bCs/>
          <w:color w:val="auto"/>
          <w:sz w:val="28"/>
          <w:szCs w:val="28"/>
          <w:highlight w:val="none"/>
        </w:rPr>
        <w:t xml:space="preserve">合要求的偏离或保留而使其投标成为实质性响应的投标。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pageBreakBefore w:val="0"/>
        <w:spacing w:line="480" w:lineRule="exact"/>
        <w:widowControl w:val="off"/>
        <w:rPr>
          <w:rFonts w:ascii="仿宋" w:hAnsi="仿宋" w:eastAsia="仿宋"/>
          <w:color w:val="auto"/>
          <w:sz w:val="28"/>
          <w:szCs w:val="28"/>
          <w:highlight w:val="none"/>
        </w:rPr>
      </w:pPr>
      <w:r/>
      <w:bookmarkStart w:id="153" w:name="_Toc513029234"/>
      <w:r/>
      <w:bookmarkStart w:id="154" w:name="_Toc16938550"/>
      <w:r/>
      <w:bookmarkStart w:id="155" w:name="_Toc20823306"/>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并安排专人与南通市教育技术中心及评标委员会联系。</w:t>
      </w:r>
      <w:bookmarkEnd w:id="153"/>
      <w:r/>
      <w:bookmarkEnd w:id="154"/>
      <w:r/>
      <w:bookmarkEnd w:id="155"/>
      <w:r/>
      <w:r/>
    </w:p>
    <w:p>
      <w:pPr>
        <w:pStyle w:val="1270"/>
        <w:numPr>
          <w:ilvl w:val="0"/>
          <w:numId w:val="0"/>
        </w:numPr>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bookmarkStart w:id="156" w:name="_Toc513029235"/>
      <w:r/>
      <w:bookmarkStart w:id="157" w:name="_Toc20823307"/>
      <w:r/>
      <w:bookmarkStart w:id="158" w:name="_Toc16938551"/>
      <w:r>
        <w:rPr>
          <w:rFonts w:hint="eastAsia" w:ascii="仿宋" w:hAnsi="仿宋" w:eastAsia="仿宋" w:cs="Times New Roman"/>
          <w:b/>
          <w:bCs/>
          <w:color w:val="auto"/>
          <w:sz w:val="28"/>
          <w:szCs w:val="28"/>
          <w:highlight w:val="none"/>
          <w:lang w:val="en-US" w:eastAsia="zh-CN" w:bidi="ar-SA"/>
        </w:rPr>
        <w:t xml:space="preserve">27.异常低价审查</w:t>
      </w:r>
      <w:r/>
    </w:p>
    <w:p>
      <w:pPr>
        <w:pStyle w:val="1270"/>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w:t>
      </w:r>
      <w:r>
        <w:rPr>
          <w:rFonts w:hint="eastAsia" w:ascii="仿宋" w:hAnsi="仿宋" w:eastAsia="仿宋" w:cs="Times New Roman"/>
          <w:b w:val="0"/>
          <w:bCs w:val="0"/>
          <w:color w:val="auto"/>
          <w:sz w:val="28"/>
          <w:szCs w:val="28"/>
          <w:highlight w:val="none"/>
          <w:lang w:val="en-US" w:eastAsia="zh-CN" w:bidi="ar-SA"/>
        </w:rPr>
        <w:t xml:space="preserve">全部通过符合性审查供应商投标（响应）报价平均值×50%；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通过符合性审查的次低报价供应商投标（响应）报价×50%；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采购项目最高限价×45%；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p>
    <w:p>
      <w:pPr>
        <w:ind w:firstLine="48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auto"/>
          <w:sz w:val="28"/>
          <w:szCs w:val="28"/>
          <w:highlight w:val="none"/>
          <w:lang w:val="en-US" w:eastAsia="zh-CN" w:bidi="ar-SA"/>
        </w:rPr>
        <w:t xml:space="preserve"> </w:t>
      </w:r>
      <w:r/>
    </w:p>
    <w:p>
      <w:pPr>
        <w:keepLines w:val="0"/>
        <w:keepNext w:val="0"/>
        <w:pageBreakBefore w:val="0"/>
        <w:spacing w:line="480" w:lineRule="exact"/>
        <w:widowControl w:val="off"/>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val="en-US" w:eastAsia="zh-CN"/>
        </w:rPr>
        <w:t xml:space="preserve">28.</w:t>
      </w:r>
      <w:r>
        <w:rPr>
          <w:rFonts w:hint="eastAsia" w:ascii="仿宋" w:hAnsi="仿宋" w:eastAsia="仿宋" w:cs="仿宋"/>
          <w:b/>
          <w:color w:val="auto"/>
          <w:sz w:val="28"/>
          <w:highlight w:val="none"/>
          <w:lang w:eastAsia="zh-CN"/>
        </w:rPr>
        <w:t xml:space="preserve">政府采购政策功能落实</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本项目对小型和微型企业产品给予10%的扣除价格，用扣除后的价格参与评审。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供应商需按照采购文件的要求提供相应的《小型、微型企业声明函》。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2残疾人福利单位价格扣除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本项目对残疾人福利性单位视同小型、微型企业，给予10%的价格扣除，用扣除后的价格参与评审。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残疾人福利单位需按照采购文件的要求提供《残疾人福利性单位声明函》。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3监狱和戒毒企业价格扣除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本项目对监狱和戒毒企业（简称监狱企业）视同小型、微型企业，给予10%的价格扣除，用扣除后的价格参与评审。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4疾人福利单位、监狱企业属于小型、微型企业的，不重复享受政策。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single"/>
          <w:lang w:val="en-US" w:eastAsia="zh-CN"/>
        </w:rPr>
        <w:t xml:space="preserve">28.</w:t>
      </w:r>
      <w:r>
        <w:rPr>
          <w:rFonts w:hint="eastAsia" w:ascii="仿宋" w:hAnsi="仿宋" w:eastAsia="仿宋" w:cs="仿宋"/>
          <w:b/>
          <w:color w:val="auto"/>
          <w:sz w:val="28"/>
          <w:szCs w:val="28"/>
          <w:highlight w:val="none"/>
          <w:u w:val="single"/>
        </w:rPr>
        <w:t xml:space="preserve">7专门面向中小企业采购的项目或者采购包，不再执行价格评审优惠的扶持政策。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8强制采购节能产品。政府强制采购节能产品是指</w:t>
      </w:r>
      <w:bookmarkStart w:id="159"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强制采购产品的，供应商须按照上述要求提供相关产品的证明材料，否则投标（响应）无效。</w:t>
      </w:r>
      <w:bookmarkStart w:id="160" w:name="OLE_LINK210"/>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w:t>
      </w:r>
      <w:r>
        <w:rPr>
          <w:rFonts w:hint="eastAsia" w:ascii="仿宋" w:hAnsi="仿宋" w:eastAsia="仿宋" w:cs="仿宋"/>
          <w:color w:val="auto"/>
          <w:sz w:val="28"/>
          <w:szCs w:val="28"/>
          <w:highlight w:val="none"/>
        </w:rPr>
        <w:t xml:space="preserve">绿色采购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本次采购需切实履行绿色采购，参照《江苏省财政</w:t>
      </w:r>
      <w:r>
        <w:rPr>
          <w:rFonts w:hint="eastAsia" w:ascii="仿宋" w:hAnsi="仿宋" w:eastAsia="仿宋" w:cs="仿宋"/>
          <w:color w:val="auto"/>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28.9.1</w:t>
      </w:r>
      <w:r>
        <w:rPr>
          <w:rFonts w:hint="eastAsia" w:ascii="仿宋" w:hAnsi="仿宋" w:eastAsia="仿宋" w:cs="仿宋"/>
          <w:color w:val="auto"/>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28.9.2</w:t>
      </w:r>
      <w:r>
        <w:rPr>
          <w:rFonts w:hint="eastAsia" w:ascii="仿宋" w:hAnsi="仿宋" w:eastAsia="仿宋" w:cs="仿宋"/>
          <w:color w:val="auto"/>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28.9.3</w:t>
      </w:r>
      <w:r>
        <w:rPr>
          <w:rFonts w:hint="eastAsia" w:ascii="仿宋" w:hAnsi="仿宋" w:eastAsia="仿宋" w:cs="仿宋"/>
          <w:color w:val="auto"/>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b/>
          <w:bCs/>
          <w:color w:val="auto"/>
          <w:sz w:val="28"/>
          <w:szCs w:val="28"/>
          <w:highlight w:val="none"/>
        </w:rPr>
        <w:t xml:space="preserve">采购本国产品的支持政策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投标文件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规定的，供应商提供的相关产品视为不符合本国产品标准。</w:t>
      </w:r>
      <w:r/>
    </w:p>
    <w:p>
      <w:pPr>
        <w:keepLines/>
        <w:keepNext/>
        <w:pageBreakBefore w:val="0"/>
        <w:spacing w:line="480" w:lineRule="exact"/>
        <w:widowControl w:val="off"/>
        <w:rPr>
          <w:rFonts w:hint="eastAsia" w:ascii="仿宋" w:hAnsi="仿宋" w:eastAsia="仿宋" w:cs="Times New Roman"/>
          <w:b/>
          <w:bCs/>
          <w:color w:val="auto"/>
          <w:sz w:val="28"/>
          <w:szCs w:val="28"/>
          <w:highlight w:val="none"/>
        </w:rPr>
        <w:outlineLvl w:val="3"/>
      </w:pPr>
      <w:r>
        <w:rPr>
          <w:rFonts w:hint="eastAsia" w:ascii="仿宋" w:hAnsi="仿宋" w:eastAsia="仿宋" w:cs="Times New Roman"/>
          <w:b/>
          <w:bCs/>
          <w:color w:val="auto"/>
          <w:sz w:val="28"/>
          <w:szCs w:val="28"/>
          <w:highlight w:val="none"/>
          <w:lang w:val="en-US" w:eastAsia="zh-CN" w:bidi="ar-SA"/>
        </w:rPr>
        <w:t xml:space="preserve">29.无效投标条款和废标条款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29.1无效投标条款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 投标人在苏采云系统规定的时间内未成功解密电子投标文件的。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29.1.2 投标人未按照招标文件要求上传电子投标文件的。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29.1.3投标人同一分包提交两个（含两个）以上不同的投标报价的。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29.1.4投标人不具备招标文件中规定资格要求的。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29.1.5投标人的报价超过了采购预算或最高限价的。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29.1.7</w:t>
      </w:r>
      <w:r>
        <w:rPr>
          <w:rFonts w:hint="eastAsia" w:ascii="仿宋" w:hAnsi="仿宋" w:eastAsia="仿宋" w:cs="仿宋"/>
          <w:b w:val="0"/>
          <w:bCs w:val="0"/>
          <w:color w:val="000000"/>
          <w:sz w:val="28"/>
          <w:szCs w:val="28"/>
          <w:highlight w:val="none"/>
          <w:u w:val="single"/>
        </w:rPr>
        <w:t xml:space="preserve">不符合</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文件中规定的实质性要求的（详见本</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根据实际情况确定。</w:t>
      </w:r>
      <w:r/>
    </w:p>
    <w:p>
      <w:pPr>
        <w:ind w:firstLine="560"/>
        <w:jc w:val="left"/>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29.1.9 投标文件含有采购人不能接受的附加条件的。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p>
    <w:p>
      <w:pPr>
        <w:ind w:firstLine="56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29.1.12 投标文件未按照招标文件要求加盖CA电子公章的。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29.1.13投标人的商务技术部分得分相差异常悬殊，评标委员会一致认为得分畸低者有可能影响产品质量或者不能诚信履约的。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29.1.14启动异常低价投标审查后，投标人不提供书面说明、佐证材料，或者提供的书面说明、佐证材料不能证明其报价合理性的。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29.1.15其他法律法规及本招标文件规定的属于无效投标的情形。</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29.2.1符合专业条件的供应商或者对招标文件作实质响应的供应商不足三家的。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29.2.2出现影响采购公正的违法、违规行为的。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29.2.3因重大变故，采购任务取消的。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29.2.4评标委员会认定招标文件存在歧义、重大缺陷导致评审工作无法进行。</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29.2.5 因苏采云系统故障原因造成开标不成功的。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 投标截止时间结束后参加投标的供应商不足三家的处理：</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p>
    <w:p>
      <w:pPr>
        <w:keepLines/>
        <w:keepNext/>
        <w:pageBreakBefore w:val="0"/>
        <w:spacing w:before="120" w:after="120" w:line="480" w:lineRule="exact"/>
        <w:widowControl w:val="off"/>
        <w:rPr>
          <w:rFonts w:hint="eastAsia" w:ascii="仿宋" w:hAnsi="仿宋" w:eastAsia="仿宋" w:cs="Times New Roman"/>
          <w:color w:val="auto"/>
          <w:sz w:val="28"/>
          <w:szCs w:val="28"/>
          <w:highlight w:val="none"/>
        </w:rPr>
        <w:outlineLvl w:val="2"/>
      </w:pPr>
      <w:r/>
      <w:bookmarkStart w:id="161" w:name="_Toc120614219"/>
      <w:r>
        <w:rPr>
          <w:rFonts w:hint="eastAsia" w:ascii="仿宋" w:hAnsi="仿宋" w:eastAsia="仿宋" w:cs="Times New Roman"/>
          <w:color w:val="auto"/>
          <w:sz w:val="28"/>
          <w:szCs w:val="28"/>
          <w:highlight w:val="none"/>
          <w:lang w:val="en-US" w:eastAsia="zh-CN" w:bidi="ar-SA"/>
        </w:rPr>
        <w:t xml:space="preserve">六、</w:t>
      </w:r>
      <w:bookmarkEnd w:id="156"/>
      <w:r/>
      <w:bookmarkEnd w:id="157"/>
      <w:r/>
      <w:bookmarkEnd w:id="158"/>
      <w:r>
        <w:rPr>
          <w:rFonts w:hint="eastAsia" w:ascii="仿宋" w:hAnsi="仿宋" w:eastAsia="仿宋" w:cs="Times New Roman"/>
          <w:color w:val="auto"/>
          <w:sz w:val="28"/>
          <w:szCs w:val="28"/>
          <w:highlight w:val="none"/>
          <w:lang w:val="en-US" w:eastAsia="zh-CN" w:bidi="ar-SA"/>
        </w:rPr>
        <w:t xml:space="preserve">定标</w:t>
      </w:r>
      <w:bookmarkEnd w:id="161"/>
      <w:r/>
      <w:r/>
    </w:p>
    <w:p>
      <w:pPr>
        <w:keepLines/>
        <w:keepNext/>
        <w:pageBreakBefore w:val="0"/>
        <w:spacing w:line="480" w:lineRule="exact"/>
        <w:widowControl w:val="off"/>
        <w:rPr>
          <w:rFonts w:hint="eastAsia" w:ascii="仿宋" w:hAnsi="仿宋" w:eastAsia="仿宋" w:cs="Times New Roman"/>
          <w:color w:val="auto"/>
          <w:sz w:val="28"/>
          <w:szCs w:val="28"/>
          <w:highlight w:val="none"/>
        </w:rPr>
        <w:outlineLvl w:val="3"/>
      </w:pPr>
      <w:r/>
      <w:bookmarkStart w:id="162" w:name="_Toc513029238"/>
      <w:r/>
      <w:bookmarkStart w:id="163" w:name="_Toc16938554"/>
      <w:r/>
      <w:bookmarkStart w:id="164" w:name="_Toc20823310"/>
      <w:r>
        <w:rPr>
          <w:rFonts w:hint="eastAsia" w:ascii="仿宋" w:hAnsi="仿宋" w:eastAsia="仿宋" w:cs="Times New Roman"/>
          <w:color w:val="auto"/>
          <w:sz w:val="28"/>
          <w:szCs w:val="28"/>
          <w:highlight w:val="none"/>
          <w:lang w:val="en-US" w:eastAsia="zh-CN" w:bidi="ar-SA"/>
        </w:rPr>
        <w:t xml:space="preserve">30.</w:t>
      </w:r>
      <w:bookmarkEnd w:id="162"/>
      <w:r>
        <w:rPr>
          <w:rFonts w:hint="eastAsia" w:ascii="仿宋" w:hAnsi="仿宋" w:eastAsia="仿宋" w:cs="Times New Roman"/>
          <w:color w:val="auto"/>
          <w:sz w:val="28"/>
          <w:szCs w:val="28"/>
          <w:highlight w:val="none"/>
          <w:lang w:val="en-US" w:eastAsia="zh-CN" w:bidi="ar-SA"/>
        </w:rPr>
        <w:t xml:space="preserve">确定</w:t>
      </w:r>
      <w:bookmarkEnd w:id="163"/>
      <w:r/>
      <w:bookmarkEnd w:id="164"/>
      <w:r>
        <w:rPr>
          <w:rFonts w:hint="eastAsia" w:ascii="仿宋" w:hAnsi="仿宋" w:eastAsia="仿宋" w:cs="Times New Roman"/>
          <w:color w:val="auto"/>
          <w:sz w:val="28"/>
          <w:szCs w:val="28"/>
          <w:highlight w:val="none"/>
          <w:lang w:val="en-US" w:eastAsia="zh-CN" w:bidi="ar-SA"/>
        </w:rPr>
        <w:t xml:space="preserve">中标单位</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30.1中标候选人的选取原则和数量见招标文件第五章规定。 </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30.2 采购人应根据评委会推荐的中标候选人确定中标人。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30.3 南通市教育技术中心将在“江苏政府采购网”发布中标公告，公告期限为1个工作日。</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 若有充分证据证明，中标人出现下列情况之一的，一经查实，将被取消中标资格：</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30.4.1提供虚假材料谋取中标的。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30.4.2向采购人、南通市教育技术中心行贿或者提供其他不正当利益的。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30.4.3属于本文件规定的无效条件，但在评标过程中又未被评委会发现的。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30.4.4与采购人或者其他供应商恶意串通的。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30.4.5采取不正当手段诋毁、排挤其他供应商的。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bookmarkStart w:id="165" w:name="_Toc200451960"/>
      <w:r>
        <w:rPr>
          <w:rFonts w:hint="eastAsia" w:ascii="仿宋" w:hAnsi="仿宋" w:eastAsia="仿宋" w:cs="Times New Roman"/>
          <w:color w:val="auto"/>
          <w:sz w:val="28"/>
          <w:szCs w:val="28"/>
          <w:highlight w:val="none"/>
          <w:lang w:val="en-US" w:eastAsia="zh-CN" w:bidi="ar-SA"/>
        </w:rPr>
        <w:t xml:space="preserve">30.5.有下列情形之一的，视为投标人串通投标，投标无效：</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30.5.1不同投标人的投标文件由同一单位或者个人编制；</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30.5.2不同投标人委托同一单位或者个人办理投标事宜；</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30.5.3 不同投标人的投标文件载明的项目管理成员或者联系人员为同一人；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30.5.4不同投标人的投标文件异常一致或者投标报价呈规律性差异；</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val="en-US" w:eastAsia="zh-CN"/>
        </w:rPr>
        <w:t xml:space="preserve">31.</w:t>
      </w:r>
      <w:r>
        <w:rPr>
          <w:rFonts w:hint="eastAsia" w:ascii="仿宋" w:hAnsi="仿宋" w:eastAsia="仿宋"/>
          <w:bCs/>
          <w:color w:val="auto"/>
          <w:sz w:val="28"/>
          <w:szCs w:val="28"/>
          <w:highlight w:val="none"/>
        </w:rPr>
        <w:t xml:space="preserve">质疑处理</w:t>
      </w:r>
      <w:bookmarkEnd w:id="165"/>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.1 提出质疑的供应商应当是参与所质疑项目采购活动的供应商。潜在供应商依法获取其可质疑的采购文件的，可以对采购文件提出质疑。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jc w:val="left"/>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.2.1</w:t>
      </w:r>
      <w:r>
        <w:rPr>
          <w:rFonts w:ascii="仿宋" w:hAnsi="仿宋" w:eastAsia="仿宋" w:cs="宋体"/>
          <w:color w:val="auto"/>
          <w:sz w:val="28"/>
          <w:szCs w:val="28"/>
          <w:highlight w:val="none"/>
        </w:rPr>
        <w:t xml:space="preserve">对可以质疑的采购文件提出质疑的，为收到采购文件之日或者采购文件公告期限届满之日；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.2.2</w:t>
      </w:r>
      <w:r>
        <w:rPr>
          <w:rFonts w:ascii="仿宋" w:hAnsi="仿宋" w:eastAsia="仿宋" w:cs="宋体"/>
          <w:color w:val="auto"/>
          <w:sz w:val="28"/>
          <w:szCs w:val="28"/>
          <w:highlight w:val="none"/>
        </w:rPr>
        <w:t xml:space="preserve">对采购过程提出质疑的，为各采购程序环节结束之日；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.2.3</w:t>
      </w:r>
      <w:r>
        <w:rPr>
          <w:rFonts w:ascii="仿宋" w:hAnsi="仿宋" w:eastAsia="仿宋" w:cs="宋体"/>
          <w:color w:val="auto"/>
          <w:sz w:val="28"/>
          <w:szCs w:val="28"/>
          <w:highlight w:val="none"/>
        </w:rPr>
        <w:t xml:space="preserve">对中标或者成交结果提出质疑的，为中标或者成交结果公告期限届满之日。</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highlight w:val="none"/>
        </w:rPr>
        <w:t xml:space="preserve">采购人</w:t>
      </w:r>
      <w:r>
        <w:rPr>
          <w:rFonts w:hint="eastAsia" w:ascii="仿宋" w:hAnsi="仿宋" w:eastAsia="仿宋" w:cs="宋体"/>
          <w:color w:val="auto"/>
          <w:sz w:val="28"/>
          <w:szCs w:val="28"/>
          <w:highlight w:val="none"/>
        </w:rPr>
        <w:t xml:space="preserve">将只对供应商第一次质疑作出答复。</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480" w:lineRule="exact"/>
        <w:widowControl w:val="off"/>
        <w:rPr>
          <w:rFonts w:hint="eastAsia" w:ascii="仿宋" w:hAnsi="仿宋" w:eastAsia="仿宋" w:cs="宋体"/>
          <w:b/>
          <w:bCs/>
          <w:color w:val="auto"/>
          <w:sz w:val="28"/>
          <w:szCs w:val="28"/>
          <w:highlight w:val="none"/>
        </w:rPr>
      </w:pPr>
      <w:r>
        <w:rPr>
          <w:rFonts w:hint="eastAsia" w:ascii="仿宋" w:hAnsi="仿宋" w:eastAsia="仿宋"/>
          <w:b/>
          <w:bCs/>
          <w:color w:val="auto"/>
          <w:sz w:val="28"/>
          <w:szCs w:val="28"/>
          <w:highlight w:val="none"/>
          <w:lang w:val="en-US" w:eastAsia="zh-CN"/>
        </w:rPr>
        <w:t xml:space="preserve">31</w:t>
      </w:r>
      <w:r>
        <w:rPr>
          <w:rFonts w:hint="eastAsia" w:ascii="仿宋" w:hAnsi="仿宋" w:eastAsia="仿宋"/>
          <w:b/>
          <w:bCs/>
          <w:color w:val="auto"/>
          <w:sz w:val="28"/>
          <w:szCs w:val="28"/>
          <w:highlight w:val="none"/>
        </w:rPr>
        <w:t xml:space="preserve">.4 </w:t>
      </w:r>
      <w:r>
        <w:rPr>
          <w:rFonts w:hint="eastAsia" w:ascii="仿宋" w:hAnsi="仿宋" w:eastAsia="仿宋" w:cs="宋体"/>
          <w:b/>
          <w:bCs/>
          <w:color w:val="auto"/>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采购人及南通市教育技术中心只接收以纸质原件形式送达的质疑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建议供应商尽量通过邮寄方式提交质疑（采购人和南通市教育技术中心不接受无快递运</w:t>
      </w:r>
      <w:r>
        <w:rPr>
          <w:rFonts w:ascii="仿宋" w:hAnsi="仿宋" w:eastAsia="仿宋"/>
          <w:b/>
          <w:bCs/>
          <w:color w:val="auto"/>
          <w:sz w:val="28"/>
          <w:szCs w:val="28"/>
          <w:highlight w:val="none"/>
        </w:rPr>
        <w:t xml:space="preserve">单号</w:t>
      </w:r>
      <w:r>
        <w:rPr>
          <w:rFonts w:hint="eastAsia" w:ascii="仿宋" w:hAnsi="仿宋" w:eastAsia="仿宋"/>
          <w:b/>
          <w:bCs/>
          <w:color w:val="auto"/>
          <w:sz w:val="28"/>
          <w:szCs w:val="28"/>
          <w:highlight w:val="none"/>
        </w:rPr>
        <w:t xml:space="preserve">的快递）。</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采购人质疑接收人及联系方式见招标文件第一章。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 以下情形的质疑不予受理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.5.1 内容不符合《政府采购质疑和投诉办法》第十二条规定的质疑。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.5.2 超出政府采购法定期限的质疑。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.5.3 以传真、电子邮件等方式递交的非原件形式的质疑。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.5.4 未参加投标活动的供应商或在投标活动中自身权益未受到损害的供应商所提出的质疑。</w:t>
      </w:r>
      <w:r/>
    </w:p>
    <w:p>
      <w:pPr>
        <w:ind w:firstLine="560"/>
        <w:jc w:val="left"/>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.5.5供应商组成联合体参加投标，联合体中任何一方或多方未按要求签字、盖章、加盖公章的质疑。</w:t>
      </w:r>
      <w:r/>
    </w:p>
    <w:p>
      <w:pPr>
        <w:ind w:firstLine="546"/>
        <w:jc w:val="left"/>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中标通知书</w:t>
      </w:r>
      <w:r/>
    </w:p>
    <w:p>
      <w:pPr>
        <w:ind w:firstLine="560"/>
        <w:jc w:val="left"/>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.l</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因未及时下载而造成的不利后果由中标人自行承担。</w:t>
      </w:r>
      <w:r/>
    </w:p>
    <w:p>
      <w:pPr>
        <w:ind w:firstLine="560"/>
        <w:jc w:val="left"/>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.2中标通知书将是合同的一个组成部分。对采购人和</w:t>
      </w:r>
      <w:r>
        <w:rPr>
          <w:rFonts w:hint="eastAsia" w:ascii="仿宋" w:hAnsi="仿宋" w:eastAsia="仿宋"/>
          <w:color w:val="auto"/>
          <w:sz w:val="28"/>
          <w:szCs w:val="28"/>
          <w:highlight w:val="none"/>
          <w:lang w:eastAsia="zh-CN"/>
        </w:rPr>
        <w:t xml:space="preserve">中标人</w:t>
      </w:r>
      <w:r>
        <w:rPr>
          <w:rFonts w:hint="eastAsia" w:ascii="仿宋" w:hAnsi="仿宋" w:eastAsia="仿宋"/>
          <w:color w:val="auto"/>
          <w:sz w:val="28"/>
          <w:szCs w:val="28"/>
          <w:highlight w:val="none"/>
        </w:rPr>
        <w:t xml:space="preserve">均具有法律效力。中标通知书发出后，采购人改变中标结果的，或者</w:t>
      </w:r>
      <w:r>
        <w:rPr>
          <w:rFonts w:hint="eastAsia" w:ascii="仿宋" w:hAnsi="仿宋" w:eastAsia="仿宋"/>
          <w:color w:val="auto"/>
          <w:sz w:val="28"/>
          <w:szCs w:val="28"/>
          <w:highlight w:val="none"/>
          <w:lang w:eastAsia="zh-CN"/>
        </w:rPr>
        <w:t xml:space="preserve">中标人</w:t>
      </w:r>
      <w:r>
        <w:rPr>
          <w:rFonts w:hint="eastAsia" w:ascii="仿宋" w:hAnsi="仿宋" w:eastAsia="仿宋"/>
          <w:color w:val="auto"/>
          <w:sz w:val="28"/>
          <w:szCs w:val="28"/>
          <w:highlight w:val="none"/>
        </w:rPr>
        <w:t xml:space="preserve">放弃中标项目的，应当依法承担法律责任。</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66" w:name="_Toc20823308"/>
      <w:r/>
      <w:bookmarkStart w:id="167" w:name="_Toc120614220"/>
      <w:r/>
      <w:bookmarkStart w:id="168" w:name="_Toc513029236"/>
      <w:r/>
      <w:bookmarkStart w:id="169" w:name="_Toc16938552"/>
      <w:r>
        <w:rPr>
          <w:rFonts w:hint="eastAsia" w:ascii="仿宋" w:hAnsi="仿宋" w:eastAsia="仿宋"/>
          <w:b/>
          <w:bCs/>
          <w:color w:val="auto"/>
          <w:sz w:val="28"/>
          <w:szCs w:val="28"/>
          <w:highlight w:val="none"/>
        </w:rPr>
        <w:t xml:space="preserve">七、授予合同</w:t>
      </w:r>
      <w:bookmarkEnd w:id="166"/>
      <w:r/>
      <w:bookmarkEnd w:id="167"/>
      <w:r/>
      <w:bookmarkEnd w:id="168"/>
      <w:r/>
      <w:bookmarkEnd w:id="169"/>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70" w:name="_Toc16938553"/>
      <w:r/>
      <w:bookmarkStart w:id="171" w:name="_Toc20823309"/>
      <w:r/>
      <w:bookmarkStart w:id="172" w:name="_Toc513029237"/>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 签订合同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.l中标人应当在中标通知书发出之日起三十日内，按照招标文件确定的事项与采购人签订政府采购合同。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货物（包含与货物相关的服务）的追加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bookmarkEnd w:id="171"/>
      <w:r/>
      <w:bookmarkEnd w:id="172"/>
      <w:r/>
      <w:r/>
    </w:p>
    <w:p>
      <w:pPr>
        <w:keepLines/>
        <w:keepNext/>
        <w:pageBreakBefore w:val="0"/>
        <w:spacing w:line="480" w:lineRule="exact"/>
        <w:widowControl w:val="off"/>
        <w:rPr>
          <w:rFonts w:ascii="仿宋" w:hAnsi="仿宋" w:eastAsia="仿宋"/>
          <w:bCs/>
          <w:color w:val="auto"/>
          <w:sz w:val="28"/>
          <w:szCs w:val="28"/>
          <w:highlight w:val="none"/>
        </w:rPr>
        <w:outlineLvl w:val="3"/>
      </w:pPr>
      <w:r/>
      <w:bookmarkStart w:id="173" w:name="_Toc120614221"/>
      <w:r/>
      <w:bookmarkStart w:id="174" w:name="_Toc20823314"/>
      <w:r/>
      <w:bookmarkStart w:id="175" w:name="_Toc16938558"/>
      <w:r/>
      <w:bookmarkStart w:id="176" w:name="_Toc479757207"/>
      <w:r/>
      <w:bookmarkStart w:id="177" w:name="_Toc513029242"/>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政府采购履约资金扶持政策</w:t>
      </w:r>
      <w:r/>
    </w:p>
    <w:p>
      <w:pPr>
        <w:ind w:firstLine="555"/>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w:t>
      </w:r>
      <w:r>
        <w:rPr>
          <w:rFonts w:hint="eastAsia" w:ascii="仿宋" w:hAnsi="仿宋" w:eastAsia="仿宋"/>
          <w:bCs/>
          <w:color w:val="auto"/>
          <w:sz w:val="28"/>
          <w:szCs w:val="28"/>
          <w:highlight w:val="none"/>
          <w:lang w:eastAsia="zh-CN"/>
        </w:rPr>
        <w:t xml:space="preserve">中标人</w:t>
      </w:r>
      <w:r>
        <w:rPr>
          <w:rFonts w:hint="eastAsia" w:ascii="仿宋" w:hAnsi="仿宋" w:eastAsia="仿宋"/>
          <w:bCs/>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bCs/>
          <w:color w:val="auto"/>
          <w:sz w:val="28"/>
          <w:szCs w:val="28"/>
          <w:highlight w:val="none"/>
          <w:lang w:eastAsia="zh-CN"/>
        </w:rPr>
        <w:t xml:space="preserve">中标人</w:t>
      </w:r>
      <w:r>
        <w:rPr>
          <w:rFonts w:hint="eastAsia" w:ascii="仿宋" w:hAnsi="仿宋" w:eastAsia="仿宋"/>
          <w:bCs/>
          <w:color w:val="auto"/>
          <w:sz w:val="28"/>
          <w:szCs w:val="28"/>
          <w:highlight w:val="none"/>
        </w:rPr>
        <w:t xml:space="preserve">如需获得合同信用融资支持，可凭政府采购合同办理“政采贷”融资贷款，详情请见江苏省政府采购网-政采贷专栏。</w:t>
      </w:r>
      <w:r/>
    </w:p>
    <w:p>
      <w:pPr>
        <w:pageBreakBefore w:val="0"/>
        <w:spacing w:line="560" w:lineRule="exact"/>
        <w:widowControl w:val="off"/>
        <w:rPr>
          <w:rFonts w:hint="eastAsia"/>
          <w:color w:val="auto"/>
          <w:szCs w:val="21"/>
          <w:highlight w:val="none"/>
        </w:rPr>
      </w:pPr>
      <w:r>
        <w:rPr>
          <w:rFonts w:hint="eastAsia"/>
          <w:color w:val="auto"/>
          <w:szCs w:val="21"/>
          <w:highlight w:val="none"/>
        </w:rPr>
      </w:r>
      <w:r/>
    </w:p>
    <w:p>
      <w:pPr>
        <w:pageBreakBefore w:val="0"/>
        <w:spacing w:line="560" w:lineRule="exact"/>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r/>
    </w:p>
    <w:p>
      <w:pPr>
        <w:jc w:val="center"/>
        <w:keepNext/>
        <w:rPr>
          <w:rFonts w:hint="eastAsia" w:ascii="黑体" w:eastAsia="黑体"/>
          <w:bCs/>
          <w:color w:val="auto"/>
          <w:sz w:val="44"/>
          <w:szCs w:val="28"/>
          <w:highlight w:val="none"/>
        </w:rPr>
        <w:outlineLvl w:val="0"/>
      </w:pPr>
      <w:r/>
      <w:bookmarkStart w:id="178" w:name="_Toc14252"/>
      <w:r>
        <w:rPr>
          <w:rFonts w:hint="eastAsia" w:ascii="黑体" w:eastAsia="黑体"/>
          <w:bCs/>
          <w:color w:val="auto"/>
          <w:sz w:val="44"/>
          <w:szCs w:val="28"/>
          <w:highlight w:val="none"/>
        </w:rPr>
        <w:t xml:space="preserve">第三章  合同</w:t>
      </w:r>
      <w:bookmarkEnd w:id="173"/>
      <w:r/>
      <w:bookmarkEnd w:id="174"/>
      <w:r/>
      <w:bookmarkEnd w:id="175"/>
      <w:r/>
      <w:bookmarkEnd w:id="176"/>
      <w:r/>
      <w:bookmarkEnd w:id="177"/>
      <w:r>
        <w:rPr>
          <w:rFonts w:hint="eastAsia" w:ascii="黑体" w:eastAsia="黑体"/>
          <w:bCs/>
          <w:color w:val="auto"/>
          <w:sz w:val="44"/>
          <w:szCs w:val="28"/>
          <w:highlight w:val="none"/>
        </w:rPr>
        <w:t xml:space="preserve">文本</w:t>
      </w:r>
      <w:bookmarkEnd w:id="178"/>
      <w:r/>
      <w:bookmarkStart w:id="179" w:name="_Hlt16619369"/>
      <w:r/>
      <w:bookmarkEnd w:id="179"/>
      <w:r/>
      <w:bookmarkStart w:id="180" w:name="_Hlt16619350"/>
      <w:r/>
      <w:bookmarkStart w:id="181" w:name="_Toc16938590"/>
      <w:r/>
      <w:bookmarkStart w:id="182" w:name="_Toc120614244"/>
      <w:r/>
      <w:bookmarkStart w:id="183" w:name="_Toc20823346"/>
      <w:r/>
      <w:bookmarkStart w:id="184" w:name="_Toc479757211"/>
      <w:r/>
      <w:bookmarkStart w:id="185" w:name="_Toc462564139"/>
      <w:r/>
      <w:r/>
    </w:p>
    <w:p>
      <w:pPr>
        <w:jc w:val="center"/>
        <w:rPr>
          <w:rFonts w:ascii="宋体" w:hAnsi="宋体" w:cs="宋体"/>
          <w:b/>
          <w:bCs/>
          <w:color w:val="auto"/>
          <w:spacing w:val="-20"/>
          <w:sz w:val="48"/>
          <w:szCs w:val="48"/>
          <w:highlight w:val="none"/>
        </w:rPr>
      </w:pPr>
      <w:r/>
      <w:bookmarkStart w:id="18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4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r>
      <w:r/>
    </w:p>
    <w:p>
      <w:pPr>
        <w:pStyle w:val="977"/>
        <w:ind w:firstLine="600"/>
        <w:rPr>
          <w:color w:val="auto"/>
          <w:highlight w:val="none"/>
        </w:rPr>
      </w:pPr>
      <w:r>
        <w:rPr>
          <w:color w:val="auto"/>
          <w:highlight w:val="none"/>
        </w:rPr>
      </w:r>
      <w:r/>
    </w:p>
    <w:p>
      <w:pPr>
        <w:pStyle w:val="977"/>
        <w:ind w:firstLine="600"/>
        <w:rPr>
          <w:color w:val="auto"/>
          <w:highlight w:val="none"/>
        </w:rPr>
      </w:pPr>
      <w:r>
        <w:rPr>
          <w:color w:val="auto"/>
          <w:highlight w:val="none"/>
        </w:rPr>
      </w:r>
      <w:r/>
    </w:p>
    <w:p>
      <w:pPr>
        <w:pStyle w:val="977"/>
        <w:ind w:firstLine="600"/>
        <w:rPr>
          <w:color w:val="auto"/>
          <w:highlight w:val="none"/>
        </w:rPr>
      </w:pPr>
      <w:r>
        <w:rPr>
          <w:color w:val="auto"/>
          <w:highlight w:val="none"/>
        </w:rPr>
      </w:r>
      <w:r/>
    </w:p>
    <w:p>
      <w:pPr>
        <w:pStyle w:val="977"/>
        <w:ind w:firstLine="600"/>
        <w:rPr>
          <w:rFonts w:hint="eastAsia"/>
          <w:color w:val="auto"/>
          <w:highlight w:val="none"/>
        </w:rPr>
      </w:pPr>
      <w:r>
        <w:rPr>
          <w:rFonts w:hint="eastAsia"/>
          <w:color w:val="auto"/>
          <w:highlight w:val="none"/>
        </w:rPr>
      </w:r>
      <w:r/>
    </w:p>
    <w:p>
      <w:pPr>
        <w:pStyle w:val="977"/>
        <w:ind w:firstLine="600"/>
        <w:rPr>
          <w:color w:val="auto"/>
          <w:highlight w:val="none"/>
        </w:rPr>
      </w:pPr>
      <w:r>
        <w:rPr>
          <w:color w:val="auto"/>
          <w:highlight w:val="none"/>
        </w:rPr>
      </w:r>
      <w:r/>
    </w:p>
    <w:p>
      <w:pPr>
        <w:pStyle w:val="977"/>
        <w:ind w:firstLine="600"/>
        <w:rPr>
          <w:rFonts w:hint="eastAsia"/>
          <w:color w:val="auto"/>
          <w:highlight w:val="none"/>
        </w:rPr>
      </w:pPr>
      <w:r>
        <w:rPr>
          <w:rFonts w:hint="eastAsia"/>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86"/>
      <w:r/>
      <w:r/>
    </w:p>
    <w:p>
      <w:pPr>
        <w:rPr>
          <w:rFonts w:eastAsia="黑体"/>
          <w:color w:val="auto"/>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r/>
    </w:p>
    <w:p>
      <w:pPr>
        <w:jc w:val="center"/>
        <w:keepLines/>
        <w:keepNext/>
        <w:spacing w:before="260" w:after="260" w:line="400" w:lineRule="exact"/>
        <w:rPr>
          <w:rFonts w:hint="eastAsia" w:ascii="黑体" w:hAnsi="华文中宋" w:eastAsia="黑体"/>
          <w:color w:val="auto"/>
          <w:sz w:val="28"/>
          <w:szCs w:val="28"/>
          <w:highlight w:val="none"/>
        </w:rPr>
        <w:outlineLvl w:val="1"/>
      </w:pPr>
      <w:r/>
      <w:bookmarkStart w:id="18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87"/>
      <w:r/>
      <w:r/>
    </w:p>
    <w:p>
      <w:pPr>
        <w:jc w:val="center"/>
        <w:keepLines/>
        <w:keepNext/>
        <w:spacing w:before="260" w:after="260"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szCs w:val="24"/>
          <w:highlight w:val="none"/>
        </w:rPr>
      </w:pPr>
      <w:r>
        <w:rPr>
          <w:color w:val="auto"/>
          <w:szCs w:val="24"/>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6"/>
        </w:num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52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52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汉仪书宋二S" w:hAnsi="汉仪书宋二S" w:eastAsia="汉仪书宋二S" w:cs="汉仪书宋二S"/>
          <w:color w:val="auto"/>
          <w:szCs w:val="21"/>
          <w:highlight w:val="none"/>
        </w:rPr>
        <w:t xml:space="preserve">②</w:t>
      </w:r>
      <w:r>
        <w:rPr>
          <w:rFonts w:hint="eastAsia" w:ascii="宋体" w:hAnsi="宋体" w:cs="宋体"/>
          <w:color w:val="auto"/>
          <w:szCs w:val="21"/>
          <w:highlight w:val="none"/>
        </w:rPr>
        <w:t xml:space="preserve">涉及车辆采购，请填写是否属于新能源汽车：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5</w:t>
      </w:r>
      <w:r>
        <w:rPr>
          <w:rFonts w:hint="eastAsia" w:ascii="宋体" w:hAnsi="宋体" w:cs="宋体"/>
          <w:color w:val="auto"/>
          <w:szCs w:val="21"/>
          <w:highlight w:val="none"/>
        </w:rPr>
        <w:t xml:space="preserve">）政府采购方式：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jc w:val="left"/>
        <w:spacing w:line="400" w:lineRule="exact"/>
        <w:widowControl/>
        <w:rPr>
          <w:rFonts w:hint="eastAsia" w:ascii="宋体" w:hAnsi="宋体" w:cs="宋体"/>
          <w:color w:val="auto"/>
          <w:szCs w:val="21"/>
          <w:highlight w:val="none"/>
          <w:u w:val="single"/>
        </w:rPr>
      </w:pPr>
      <w:r>
        <w:rPr>
          <w:rFonts w:hint="eastAsia" w:ascii="宋体" w:hAnsi="宋体" w:eastAsia="华文楷体" w:cs="宋体"/>
          <w:color w:val="auto"/>
          <w:sz w:val="22"/>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84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 w:val="22"/>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szCs w:val="24"/>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Cs w:val="24"/>
          <w:highlight w:val="none"/>
        </w:rPr>
      </w:r>
      <w:r/>
    </w:p>
    <w:p>
      <w:pPr>
        <w:spacing w:line="400" w:lineRule="exact"/>
        <w:rPr>
          <w:rFonts w:hint="eastAsia" w:ascii="宋体" w:hAnsi="宋体"/>
          <w:iCs/>
          <w:color w:val="auto"/>
          <w:szCs w:val="21"/>
          <w:highlight w:val="none"/>
        </w:rPr>
      </w:pPr>
      <w:r>
        <w:rPr>
          <w:rFonts w:hint="eastAsia"/>
          <w:color w:val="auto"/>
          <w:szCs w:val="24"/>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szCs w:val="24"/>
          <w:highlight w:val="none"/>
        </w:rPr>
      </w:pPr>
      <w:r>
        <w:rPr>
          <w:rFonts w:hint="eastAsia"/>
          <w:color w:val="auto"/>
          <w:szCs w:val="24"/>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spacing w:line="400" w:lineRule="exact"/>
        <w:rPr>
          <w:rFonts w:eastAsia="华文楷体"/>
          <w:color w:val="auto"/>
          <w:szCs w:val="24"/>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jc w:val="left"/>
        <w:spacing w:line="400" w:lineRule="exact"/>
        <w:widowControl/>
        <w:tabs>
          <w:tab w:val="left" w:pos="134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63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Cs w:val="21"/>
          <w:highlight w:val="none"/>
        </w:rPr>
        <w:t xml:space="preserve">          </w:t>
      </w:r>
      <w:r>
        <w:rPr>
          <w:rFonts w:hint="eastAsia" w:ascii="宋体" w:hAnsi="宋体"/>
          <w:color w:val="auto"/>
          <w:szCs w:val="21"/>
          <w:highlight w:val="none"/>
        </w:rPr>
        <w:t xml:space="preserve">是否涉及绿色产品： </w:t>
      </w:r>
      <w:r/>
    </w:p>
    <w:p>
      <w:pPr>
        <w:jc w:val="left"/>
        <w:spacing w:line="400" w:lineRule="exact"/>
        <w:widowControl/>
        <w:rPr>
          <w:rFonts w:hint="eastAsia" w:ascii="宋体" w:hAnsi="宋体" w:cs="华文楷体"/>
          <w:color w:val="auto"/>
          <w:sz w:val="22"/>
          <w:szCs w:val="21"/>
          <w:highlight w:val="none"/>
          <w:u w:val="singl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rPr>
          <w:rFonts w:hint="eastAsia" w:ascii="宋体" w:hAnsi="宋体" w:cs="华文楷体"/>
          <w:color w:val="auto"/>
          <w:sz w:val="22"/>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jc w:val="left"/>
        <w:spacing w:line="400" w:lineRule="exact"/>
        <w:widowControl/>
        <w:rPr>
          <w:rFonts w:hint="eastAsia" w:ascii="宋体" w:hAnsi="宋体" w:eastAsia="华文楷体" w:cs="华文楷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ind w:firstLine="945"/>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0"/>
        <w:spacing w:line="400" w:lineRule="exact"/>
        <w:rPr>
          <w:color w:val="auto"/>
          <w:szCs w:val="21"/>
          <w:highlight w:val="none"/>
        </w:rPr>
      </w:pPr>
      <w:r>
        <w:rPr>
          <w:rFonts w:hint="eastAsia" w:ascii="宋体" w:hAnsi="宋体"/>
          <w:color w:val="auto"/>
          <w:szCs w:val="21"/>
          <w:highlight w:val="none"/>
        </w:rPr>
        <w:t xml:space="preserve">（3）付款方式（按项目实际勾选填写）：</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525"/>
        <w:spacing w:line="400" w:lineRule="exact"/>
        <w:rPr>
          <w:color w:val="auto"/>
          <w:szCs w:val="24"/>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52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5"/>
        </w:numPr>
        <w:ind w:firstLine="421"/>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315"/>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315"/>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315"/>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4"/>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eastAsia="华文楷体" w:cs="宋体"/>
          <w:bCs/>
          <w:color w:val="auto"/>
          <w:sz w:val="22"/>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spacing w:line="400" w:lineRule="exact"/>
        <w:rPr>
          <w:rFonts w:hint="eastAsia" w:ascii="宋体" w:hAnsi="宋体" w:cs="宋体"/>
          <w:color w:val="auto"/>
          <w:szCs w:val="24"/>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szCs w:val="24"/>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color w:val="auto"/>
          <w:szCs w:val="21"/>
          <w:highlight w:val="none"/>
        </w:rPr>
      </w:pPr>
      <w:r>
        <w:rPr>
          <w:color w:val="auto"/>
          <w:szCs w:val="21"/>
          <w:highlight w:val="none"/>
        </w:rPr>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Calibri Light" w:hAnsi="Calibri Light"/>
          <w:b/>
          <w:bCs/>
          <w:color w:val="auto"/>
          <w:sz w:val="32"/>
          <w:szCs w:val="32"/>
          <w:highlight w:val="none"/>
        </w:rPr>
        <w:br w:type="page" w:clear="all"/>
      </w:r>
      <w:r/>
    </w:p>
    <w:tbl>
      <w:tblPr>
        <w:tblStyle w:val="941"/>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67"/>
        <w:gridCol w:w="1152"/>
        <w:gridCol w:w="334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（采购人</w:t>
            </w:r>
            <w:r>
              <w:rPr>
                <w:rFonts w:hint="eastAsia" w:ascii="宋体" w:hAnsi="宋体" w:eastAsia="宋体" w:cs="Times New Roman"/>
                <w:color w:val="auto"/>
                <w:sz w:val="21"/>
                <w:szCs w:val="21"/>
                <w:highlight w:val="none"/>
                <w:lang w:val="en-US" w:eastAsia="zh-CN" w:bidi="ar-SA"/>
              </w:rPr>
              <w:t xml:space="preserve">、受采购人委托签订合同的单位或</w:t>
            </w:r>
            <w:r>
              <w:rPr>
                <w:rFonts w:hint="eastAsia" w:ascii="Times New Roman" w:hAnsi="Times New Roman" w:eastAsia="宋体" w:cs="Times New Roman"/>
                <w:color w:val="auto"/>
                <w:sz w:val="21"/>
                <w:szCs w:val="21"/>
                <w:highlight w:val="none"/>
                <w:lang w:val="en-US" w:eastAsia="zh-CN" w:bidi="ar-SA"/>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auto"/>
          <w:sz w:val="28"/>
          <w:szCs w:val="28"/>
          <w:highlight w:val="none"/>
        </w:rPr>
        <w:outlineLvl w:val="1"/>
      </w:pPr>
      <w:r>
        <w:rPr>
          <w:rFonts w:ascii="宋体" w:hAnsi="宋体"/>
          <w:b/>
          <w:bCs/>
          <w:color w:val="auto"/>
          <w:szCs w:val="21"/>
          <w:highlight w:val="none"/>
          <w:u w:val="single"/>
        </w:rPr>
        <w:br w:type="page" w:clear="all"/>
      </w:r>
      <w:bookmarkStart w:id="188" w:name="_Toc27624"/>
      <w:r>
        <w:rPr>
          <w:rFonts w:hint="eastAsia" w:ascii="黑体" w:hAnsi="黑体" w:eastAsia="黑体"/>
          <w:color w:val="auto"/>
          <w:sz w:val="28"/>
          <w:szCs w:val="28"/>
          <w:highlight w:val="none"/>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line="400" w:lineRule="exact"/>
        <w:rPr>
          <w:rFonts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line="400" w:lineRule="exact"/>
        <w:rPr>
          <w:rFonts w:hint="eastAsia"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line="400" w:lineRule="exact"/>
        <w:rPr>
          <w:rFonts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highlight w:val="none"/>
        </w:rPr>
        <w:t xml:space="preserve">。</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line="400" w:lineRule="exact"/>
        <w:rPr>
          <w:color w:val="auto"/>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90"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color w:val="auto"/>
          <w:sz w:val="28"/>
          <w:szCs w:val="28"/>
          <w:highlight w:val="none"/>
        </w:rPr>
        <w:t xml:space="preserve">第三节 政府采购合同专用条款</w:t>
      </w:r>
      <w:bookmarkEnd w:id="190"/>
      <w:r/>
      <w:r/>
    </w:p>
    <w:tbl>
      <w:tblPr>
        <w:tblStyle w:val="941"/>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Times New Roman" w:hAnsi="Times New Roman" w:eastAsia="宋体" w:cs="Times New Roman"/>
                <w:color w:val="auto"/>
                <w:sz w:val="21"/>
                <w:szCs w:val="24"/>
                <w:highlight w:val="none"/>
              </w:rPr>
            </w:pPr>
            <w:r>
              <w:rPr>
                <w:rFonts w:hint="eastAsia" w:ascii="宋体" w:hAnsi="宋体" w:eastAsia="宋体" w:cs="Times New Roman"/>
                <w:color w:val="auto"/>
                <w:sz w:val="21"/>
                <w:szCs w:val="21"/>
                <w:highlight w:val="none"/>
                <w:lang w:val="en-US" w:eastAsia="zh-CN" w:bidi="ar-SA"/>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第8.2（1）项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货物质量缺陷</w:t>
            </w:r>
            <w:r/>
          </w:p>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第二节</w:t>
            </w:r>
            <w:r/>
          </w:p>
          <w:p>
            <w:pPr>
              <w:jc w:val="center"/>
              <w:spacing w:line="400" w:lineRule="exact"/>
              <w:widowControl/>
              <w:rPr>
                <w:rFonts w:ascii="华文楷体" w:hAnsi="华文楷体" w:eastAsia="华文楷体" w:cs="华文楷体"/>
                <w:color w:val="auto"/>
                <w:sz w:val="22"/>
                <w:szCs w:val="21"/>
                <w:highlight w:val="none"/>
              </w:rPr>
            </w:pPr>
            <w:r>
              <w:rPr>
                <w:rFonts w:hint="eastAsia" w:ascii="宋体" w:hAnsi="宋体" w:eastAsia="宋体" w:cs="宋体"/>
                <w:color w:val="auto"/>
                <w:sz w:val="22"/>
                <w:szCs w:val="21"/>
                <w:highlight w:val="none"/>
                <w:lang w:val="en-US" w:eastAsia="zh-CN" w:bidi="ar-SA"/>
              </w:rPr>
              <w:t xml:space="preserve">第11.1款</w:t>
            </w:r>
            <w:r/>
          </w:p>
        </w:tc>
        <w:tc>
          <w:tcPr>
            <w:tcW w:w="2300" w:type="dxa"/>
            <w:vAlign w:val="center"/>
            <w:textDirection w:val="lrTb"/>
            <w:noWrap w:val="false"/>
          </w:tcPr>
          <w:p>
            <w:pPr>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第13.3款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第14.1（5）项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修理、重</w:t>
            </w:r>
            <w:r>
              <w:rPr>
                <w:rFonts w:hint="eastAsia" w:ascii="宋体" w:hAnsi="宋体" w:cs="Times New Roman"/>
                <w:color w:val="auto"/>
                <w:sz w:val="21"/>
                <w:szCs w:val="21"/>
                <w:highlight w:val="none"/>
                <w:lang w:val="en-US" w:eastAsia="zh-CN" w:bidi="ar-SA"/>
              </w:rPr>
              <w:t xml:space="preserve">做</w:t>
            </w:r>
            <w:r>
              <w:rPr>
                <w:rFonts w:hint="eastAsia" w:ascii="宋体" w:hAnsi="宋体" w:eastAsia="宋体" w:cs="Times New Roman"/>
                <w:color w:val="auto"/>
                <w:sz w:val="21"/>
                <w:szCs w:val="21"/>
                <w:highlight w:val="none"/>
                <w:lang w:val="en-US" w:eastAsia="zh-CN" w:bidi="ar-SA"/>
              </w:rPr>
              <w:t xml:space="preserve">、更换相关具体规定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第15.2（2）项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第15.4款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第19.2款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因本合同及合同有关事项发生的争议，按下列第</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种方式解决：</w:t>
            </w:r>
            <w:r/>
          </w:p>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（1）向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仲裁委员会申请仲裁，仲裁地点为</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w:t>
            </w:r>
            <w:r/>
          </w:p>
          <w:p>
            <w:pPr>
              <w:jc w:val="left"/>
              <w:widowControl w:val="off"/>
              <w:rPr>
                <w:rFonts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val="en-US" w:eastAsia="zh-CN" w:bidi="ar-SA"/>
              </w:rPr>
              <w:t xml:space="preserve">（2）向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第23.1款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rPr>
          <w:color w:val="auto"/>
          <w:szCs w:val="24"/>
          <w:highlight w:val="none"/>
        </w:rPr>
      </w:pPr>
      <w:r>
        <w:rPr>
          <w:color w:val="auto"/>
          <w:szCs w:val="24"/>
          <w:highlight w:val="none"/>
        </w:rPr>
      </w:r>
      <w:r/>
    </w:p>
    <w:p>
      <w:pPr>
        <w:spacing w:line="360" w:lineRule="auto"/>
        <w:rPr>
          <w:rFonts w:ascii="等线" w:hAnsi="等线" w:eastAsia="等线" w:cs="仿宋"/>
          <w:color w:val="auto"/>
          <w:szCs w:val="21"/>
          <w:highlight w:val="none"/>
        </w:rPr>
      </w:pPr>
      <w:r>
        <w:rPr>
          <w:rFonts w:ascii="等线" w:hAnsi="等线" w:eastAsia="等线" w:cs="仿宋"/>
          <w:color w:val="auto"/>
          <w:szCs w:val="21"/>
          <w:highlight w:val="none"/>
        </w:rPr>
      </w:r>
      <w:r/>
    </w:p>
    <w:p>
      <w:pPr>
        <w:jc w:val="center"/>
        <w:spacing w:before="120" w:after="120" w:line="480" w:lineRule="exact"/>
        <w:rPr>
          <w:rFonts w:hint="eastAsia"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191" w:name="_Toc19167"/>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181"/>
      <w:r/>
      <w:bookmarkEnd w:id="182"/>
      <w:r/>
      <w:bookmarkEnd w:id="183"/>
      <w:r/>
      <w:bookmarkEnd w:id="191"/>
      <w:r/>
      <w:r/>
    </w:p>
    <w:p>
      <w:pPr>
        <w:keepLines w:val="0"/>
        <w:keepNext w:val="0"/>
        <w:pageBreakBefore w:val="0"/>
        <w:spacing w:after="62" w:line="480" w:lineRule="exact"/>
        <w:widowControl w:val="off"/>
        <w:rPr>
          <w:rFonts w:ascii="Times New Roman" w:hAnsi="Times New Roman" w:eastAsia="仿宋" w:cs="Times New Roman"/>
          <w:color w:val="auto"/>
          <w:sz w:val="28"/>
          <w:szCs w:val="28"/>
          <w:highlight w:val="none"/>
        </w:rPr>
      </w:pPr>
      <w:r/>
      <w:bookmarkStart w:id="192" w:name="_Toc120614281"/>
      <w:r/>
      <w:bookmarkStart w:id="193" w:name="_Toc26554093"/>
      <w:r/>
      <w:bookmarkStart w:id="194" w:name="_Toc49090575"/>
      <w:r>
        <w:rPr>
          <w:rFonts w:ascii="Times New Roman" w:hAnsi="Times New Roman" w:eastAsia="仿宋" w:cs="Times New Roman"/>
          <w:color w:val="auto"/>
          <w:sz w:val="28"/>
          <w:szCs w:val="28"/>
          <w:highlight w:val="none"/>
        </w:rPr>
        <w:t xml:space="preserve">项目属性</w:t>
      </w:r>
      <w:r>
        <w:rPr>
          <w:rFonts w:hint="eastAsia" w:ascii="Times New Roman" w:hAnsi="Times New Roman" w:eastAsia="仿宋" w:cs="Times New Roman"/>
          <w:color w:val="auto"/>
          <w:sz w:val="28"/>
          <w:szCs w:val="28"/>
          <w:highlight w:val="none"/>
          <w:lang w:eastAsia="zh-CN"/>
        </w:rPr>
        <w:t xml:space="preserve">：</w:t>
      </w:r>
      <w:r>
        <w:rPr>
          <w:rFonts w:ascii="Times New Roman" w:hAnsi="Times New Roman" w:eastAsia="仿宋" w:cs="Times New Roman"/>
          <w:color w:val="auto"/>
          <w:sz w:val="28"/>
          <w:szCs w:val="28"/>
          <w:highlight w:val="none"/>
        </w:rPr>
        <w:t xml:space="preserve">货物类项目。</w:t>
      </w:r>
      <w:r/>
    </w:p>
    <w:p>
      <w:pPr>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color w:val="auto"/>
          <w:sz w:val="28"/>
          <w:szCs w:val="28"/>
          <w:highlight w:val="none"/>
        </w:rPr>
        <w:t xml:space="preserve">一、采购标的清单：</w:t>
      </w:r>
      <w:r/>
    </w:p>
    <w:tbl>
      <w:tblPr>
        <w:tblStyle w:val="966"/>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834"/>
        <w:gridCol w:w="904"/>
        <w:gridCol w:w="904"/>
        <w:gridCol w:w="4966"/>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名称</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单位</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数量</w:t>
            </w:r>
            <w:r/>
          </w:p>
        </w:tc>
        <w:tc>
          <w:tcPr>
            <w:tcW w:w="4966" w:type="dxa"/>
            <w:vAlign w:val="center"/>
            <w:textDirection w:val="lrTb"/>
            <w:noWrap w:val="false"/>
          </w:tcPr>
          <w:p>
            <w:pPr>
              <w:ind w:left="0" w:right="0" w:firstLine="0"/>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对应中小微企业划分标准所属行业</w:t>
            </w:r>
            <w:r/>
          </w:p>
        </w:tc>
      </w:tr>
      <w:tr>
        <w:trPr>
          <w:jc w:val="center"/>
          <w:trHeight w:val="0"/>
        </w:trPr>
        <w:tc>
          <w:tcPr>
            <w:tcW w:w="902" w:type="dxa"/>
            <w:vAlign w:val="center"/>
            <w:textDirection w:val="lrTb"/>
            <w:noWrap w:val="false"/>
          </w:tcPr>
          <w:p>
            <w:pPr>
              <w:ind w:left="0" w:right="0" w:firstLine="0"/>
              <w:jc w:val="center"/>
              <w:spacing w:after="0" w:line="24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1834" w:type="dxa"/>
            <w:vAlign w:val="center"/>
            <w:textDirection w:val="lrTb"/>
            <w:noWrap w:val="false"/>
          </w:tcPr>
          <w:p>
            <w:pPr>
              <w:ind w:left="0" w:right="0" w:firstLine="0"/>
              <w:jc w:val="cente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智能批阅机</w:t>
            </w:r>
            <w:r/>
          </w:p>
        </w:tc>
        <w:tc>
          <w:tcPr>
            <w:tcW w:w="904" w:type="dxa"/>
            <w:vAlign w:val="center"/>
            <w:textDirection w:val="lrTb"/>
            <w:noWrap w:val="false"/>
          </w:tcPr>
          <w:p>
            <w:pPr>
              <w:ind w:left="0" w:right="0" w:firstLine="0"/>
              <w:jc w:val="cente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904" w:type="dxa"/>
            <w:vAlign w:val="center"/>
            <w:textDirection w:val="lrTb"/>
            <w:noWrap w:val="false"/>
          </w:tcPr>
          <w:p>
            <w:pPr>
              <w:ind w:left="0" w:right="0" w:firstLine="0"/>
              <w:jc w:val="cente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23</w:t>
            </w:r>
            <w:r/>
          </w:p>
        </w:tc>
        <w:tc>
          <w:tcPr>
            <w:tcW w:w="4966" w:type="dxa"/>
            <w:vAlign w:val="center"/>
            <w:textDirection w:val="lrTb"/>
            <w:noWrap w:val="false"/>
          </w:tcPr>
          <w:p>
            <w:pPr>
              <w:ind w:left="0" w:right="0" w:firstLine="0"/>
              <w:jc w:val="cente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工业</w:t>
            </w:r>
            <w:r/>
          </w:p>
        </w:tc>
      </w:tr>
    </w:tbl>
    <w:p>
      <w:pPr>
        <w:keepLines w:val="0"/>
        <w:keepNext w:val="0"/>
        <w:pageBreakBefore w:val="0"/>
        <w:spacing w:after="62" w:line="480" w:lineRule="exact"/>
        <w:widowControl w:val="off"/>
        <w:rPr>
          <w:rFonts w:ascii="Times New Roman" w:hAnsi="Times New Roman" w:eastAsia="仿宋" w:cs="Times New Roman"/>
          <w:b/>
          <w:color w:val="auto"/>
          <w:sz w:val="24"/>
          <w:szCs w:val="24"/>
          <w:highlight w:val="none"/>
        </w:rPr>
      </w:pPr>
      <w:r>
        <w:rPr>
          <w:rFonts w:hint="eastAsia" w:ascii="Times New Roman" w:hAnsi="Times New Roman" w:eastAsia="仿宋"/>
          <w:b/>
          <w:bCs/>
          <w:sz w:val="24"/>
          <w:szCs w:val="24"/>
        </w:rPr>
        <w:t xml:space="preserve">本项目核心产品（主要标的）：智能批阅机</w:t>
      </w:r>
      <w:r/>
    </w:p>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ascii="Times New Roman" w:hAnsi="Times New Roman" w:eastAsia="仿宋" w:cs="Times New Roman"/>
          <w:b/>
          <w:color w:val="auto"/>
          <w:sz w:val="28"/>
          <w:szCs w:val="28"/>
          <w:highlight w:val="none"/>
        </w:rPr>
        <w:t xml:space="preserve">二、技术要求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包括性能、材料、结构、外观、安全，或者服务内容和标准等：</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（一）采购标的需实现的功能或者目标</w:t>
      </w:r>
      <w:r>
        <w:rPr>
          <w:rFonts w:hint="eastAsia" w:ascii="Times New Roman" w:hAnsi="Times New Roman" w:eastAsia="仿宋" w:cs="Times New Roman"/>
          <w:b/>
          <w:bCs/>
          <w:color w:val="auto"/>
          <w:sz w:val="28"/>
          <w:szCs w:val="28"/>
          <w:highlight w:val="none"/>
          <w:lang w:eastAsia="zh-CN"/>
        </w:rPr>
        <w:t xml:space="preserve">，</w:t>
      </w:r>
      <w:r>
        <w:rPr>
          <w:rFonts w:ascii="Times New Roman" w:hAnsi="Times New Roman" w:eastAsia="仿宋" w:cs="Times New Roman"/>
          <w:b/>
          <w:bCs/>
          <w:color w:val="auto"/>
          <w:sz w:val="28"/>
          <w:szCs w:val="28"/>
          <w:highlight w:val="none"/>
        </w:rPr>
        <w:t xml:space="preserve"> 以及为落实政府采购政策需满足的要求</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本项目为有关学校统一采购智能批阅机（含配套的智能批阅与采集分析系统服务）。</w:t>
      </w:r>
      <w:r>
        <w:rPr>
          <w:rFonts w:hint="eastAsia" w:ascii="仿宋" w:hAnsi="仿宋" w:eastAsia="仿宋" w:cs="宋体"/>
          <w:b/>
          <w:bCs/>
          <w:sz w:val="24"/>
          <w:szCs w:val="24"/>
        </w:rPr>
        <w:t xml:space="preserve">本项目所采购的智能批阅机归采购人所有，中标供应商同时提供至少3年配套智能批阅与采集分析系统服务（从项目验收合格后开始计算）</w:t>
      </w:r>
      <w:r>
        <w:rPr>
          <w:rFonts w:hint="eastAsia" w:ascii="仿宋" w:hAnsi="仿宋" w:eastAsia="仿宋" w:cs="宋体"/>
          <w:sz w:val="24"/>
          <w:szCs w:val="24"/>
        </w:rPr>
        <w:t xml:space="preserve">。智能批阅与采集分析系统服务采用云服务方式，采购人不需要额外提供软硬件、场地进行部署。智能批阅与采集分析系统服务所有功能应能通过智能批阅机独立完成，同时支持用户通过浏览器、app等方式完成练习布置、批阅结果查看等管理功能。</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（二）采购标的需执行的国家相关标准、行业标准、地方标准或者其他标准、规范</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1.</w:t>
      </w:r>
      <w:r>
        <w:rPr>
          <w:rFonts w:ascii="Times New Roman" w:hAnsi="Times New Roman" w:eastAsia="仿宋" w:cs="Times New Roman"/>
          <w:color w:val="auto"/>
          <w:sz w:val="24"/>
          <w:szCs w:val="24"/>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auto"/>
          <w:sz w:val="24"/>
          <w:szCs w:val="24"/>
          <w:highlight w:val="none"/>
          <w:lang w:eastAsia="zh-CN"/>
        </w:rPr>
        <w:t xml:space="preserve">法律法规</w:t>
      </w:r>
      <w:r>
        <w:rPr>
          <w:rFonts w:ascii="Times New Roman" w:hAnsi="Times New Roman" w:eastAsia="仿宋" w:cs="Times New Roman"/>
          <w:color w:val="auto"/>
          <w:sz w:val="24"/>
          <w:szCs w:val="24"/>
          <w:highlight w:val="none"/>
        </w:rPr>
        <w:t xml:space="preserve">规定的要求。</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2.</w:t>
      </w:r>
      <w:r>
        <w:rPr>
          <w:rFonts w:ascii="Times New Roman" w:hAnsi="Times New Roman" w:eastAsia="仿宋" w:cs="Times New Roman"/>
          <w:color w:val="auto"/>
          <w:sz w:val="24"/>
          <w:szCs w:val="24"/>
          <w:highlight w:val="none"/>
        </w:rPr>
        <w:t xml:space="preserve">项目提供的技术要求</w:t>
      </w:r>
      <w:r>
        <w:rPr>
          <w:rFonts w:hint="eastAsia" w:ascii="Times New Roman" w:hAnsi="Times New Roman"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规格</w:t>
      </w:r>
      <w:r>
        <w:rPr>
          <w:rFonts w:hint="eastAsia" w:ascii="Times New Roman" w:hAnsi="Times New Roman"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只是对产品的一些原则性要求，并不是最详尽的描述和要求，投标人有责任依据相关设计技术规范和有关行业国家标准执行。</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3.</w:t>
      </w:r>
      <w:r>
        <w:rPr>
          <w:rFonts w:ascii="Times New Roman" w:hAnsi="Times New Roman" w:eastAsia="仿宋" w:cs="Times New Roman"/>
          <w:color w:val="auto"/>
          <w:sz w:val="24"/>
          <w:szCs w:val="24"/>
          <w:highlight w:val="none"/>
        </w:rPr>
        <w:t xml:space="preserve">投标人应保证提供的产品不得侵犯第三方专利权、商标权和设计权、版权等。否则，投标人应负全部责任，并承担由此引起的一切后果。</w:t>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（三）采购标的需满足的质量、安全、技术规格、物理特性等要求</w:t>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numPr>
          <w:ilvl w:val="0"/>
          <w:numId w:val="12"/>
        </w:numPr>
        <w:ind w:left="0" w:firstLine="0"/>
        <w:jc w:val="left"/>
        <w:spacing w:line="40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技术参数要求</w:t>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9"/>
        <w:gridCol w:w="6887"/>
      </w:tblGrid>
      <w:tr>
        <w:trPr>
          <w:jc w:val="center"/>
        </w:trPr>
        <w:tc>
          <w:tcPr>
            <w:tcW w:w="1829" w:type="dxa"/>
            <w:vAlign w:val="center"/>
            <w:textDirection w:val="lrTb"/>
            <w:noWrap w:val="false"/>
          </w:tcPr>
          <w:p>
            <w:pPr>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名称</w:t>
            </w:r>
            <w:r/>
          </w:p>
        </w:tc>
        <w:tc>
          <w:tcPr>
            <w:tcW w:w="6887" w:type="dxa"/>
            <w:textDirection w:val="lrTb"/>
            <w:noWrap w:val="false"/>
          </w:tcPr>
          <w:p>
            <w:pPr>
              <w:jc w:val="cente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参数要求</w:t>
            </w:r>
            <w:r/>
          </w:p>
        </w:tc>
      </w:tr>
      <w:tr>
        <w:trPr>
          <w:jc w:val="center"/>
          <w:trHeight w:val="1124"/>
        </w:trPr>
        <w:tc>
          <w:tcPr>
            <w:shd w:val="clear" w:color="auto" w:fill="auto"/>
            <w:tcW w:w="1829" w:type="dxa"/>
            <w:vAlign w:val="center"/>
            <w:textDirection w:val="lrTb"/>
            <w:noWrap w:val="false"/>
          </w:tcPr>
          <w:p>
            <w:pPr>
              <w:jc w:val="cente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智能批阅机</w:t>
            </w:r>
            <w:r/>
          </w:p>
        </w:tc>
        <w:tc>
          <w:tcPr>
            <w:shd w:val="clear" w:color="auto" w:fill="auto"/>
            <w:tcW w:w="6887" w:type="dxa"/>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1.扫描速度：不低于60ppm/120ipm；</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2.扫描分辨率：需支持300x300, 600x600dpi图像输出；</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3.ADF容量：≥150张；</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4.打印速度：≥40ppm；</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5.需支持A4、A3、8K、16K、B4、B5等常见练习与试卷纸张版面数据采集，单面或双面均可，适配各学段各学科日常练习与统测试卷；至少支持60克（含）—80克（含）纸张扫描。</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6.处理器：需采用不低于8核处理器</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7.内存：≥8G</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8.存储：≥128G固态存储</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9.设备集扫描、打印于一体，支持黑白及彩色打印，老师无需在多台设备间切换，一机完成扫描、批阅、打印全流程，操作屏幕≥23.8英寸电容触摸屏（可视区域的对角线尺寸）。</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b/>
                <w:bCs/>
                <w:sz w:val="24"/>
                <w:szCs w:val="24"/>
              </w:rPr>
              <w:t xml:space="preserve">智能批阅机应用的智能识别技术对单选题的识别反馈处理时间≤0.2秒，其他题型识别反馈处理时间≤1秒。（投标时提供国家认可的检测机构出具的对应参数检测报告）</w:t>
            </w:r>
            <w:r/>
          </w:p>
        </w:tc>
      </w:tr>
      <w:tr>
        <w:trPr>
          <w:jc w:val="center"/>
          <w:trHeight w:val="607"/>
        </w:trPr>
        <w:tc>
          <w:tcPr>
            <w:tcW w:w="1829" w:type="dxa"/>
            <w:vAlign w:val="center"/>
            <w:textDirection w:val="lrTb"/>
            <w:noWrap w:val="false"/>
          </w:tcPr>
          <w:p>
            <w:pPr>
              <w:jc w:val="cente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配套智能批阅与采集分析系统服务</w:t>
            </w:r>
            <w:r/>
          </w:p>
        </w:tc>
        <w:tc>
          <w:tcPr>
            <w:tcW w:w="6887" w:type="dxa"/>
            <w:textDirection w:val="lrTb"/>
            <w:noWrap w:val="false"/>
          </w:tcPr>
          <w:p>
            <w:pPr>
              <w:numPr>
                <w:ilvl w:val="0"/>
                <w:numId w:val="13"/>
              </w:numP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数据采集与批阅</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（一）学情采集</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11.学情采集需支持不依赖于题库选题组卷、不依赖于特定排版制卡，即可进行练习或试卷数据采集；需支持教师无需通过定位点、二维码、数据线或扫描空白卷，即可进行练习或试卷数据采集；需支持对纸张中复杂版面的分析与图文识别。</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12.学情采集需支持查看采集进度，自动记录布置老师与布置时间。</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13.学情采集需支持单面、双面纸张的数据采集。</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14.学情采集需支持教师通过移动端APP布置作文批阅任务，需支持文本输入、拍照、上传图片的方式生成作文题目。</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（二）智能批阅与留痕打印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15.智能批阅与留痕打印需支持教师对语文、数学、英语、物理、化学、生物、政治、历史、地理等全学科练习与试卷进行自动批阅，系统自动完成客观题与主观题的批改，无需教师逐题手动评分。</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b/>
                <w:bCs/>
                <w:sz w:val="24"/>
                <w:szCs w:val="24"/>
              </w:rPr>
              <w:t xml:space="preserve">智能批阅与留痕打印系统需支持直接采集初中、高中数学学科已加工教辅的原题，无需扫描答案即可进行智能批改，代数类章节的解答题支持分步骤批改，能够定位错误步骤分析错因，可在学生作答原卷的错误步骤处显示留痕渲染，并支持留痕打印。（投标时提供国家认可的检测机构出具的对应参数检测报告）</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17.智能批阅与留痕打印需支持初中、高中学段英语学科学生手写选择题、填空题、单词拼写、完成句子、作文的智能批改；支持在作文原文逐句圈划批改（不少于语法错误、书写建议、用词建议），支持分数或等级评价、写作点评（不少于内容、篇章结构、卷面）和润色建议，总分或等级及逐句圈划批改痕迹可在学生作答原卷显示留痕渲染，并支持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18.智能批阅与留痕打印需支持初中、高中学段语文学科学生手写选择题、填空题、古诗词默写、作文的智能批改，其中语文作文需支持等级评价、多维点评（不少于主题、结构、内容、表达四个维度）、原文批注与评价（至少包括纠正错别字、好词好句点评）和写作建议，需支持在系统智能批改后，学生作答原卷显示等级和批注留痕渲染，并支持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19.智能批阅与留痕打印需支持初、高中学段物理学科学生手写选择题、填空题、作图题的智能批改，解答题、实验探究题支持分步骤批改，可定位错误作答并归纳分析错因；需支持在系统智能批改后，学生作答原卷显示留痕渲染，并支持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20.智能批阅与留痕打印需支持初中、高中生物及化学学科手写选择题、判断题、填空题、实验探究题、作图题的智能批改，可定位错误作答并归纳分析错因，支持在智能批改后，学生作答原卷显示留痕渲染，并支持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21.智能批阅与留痕打印需支持初中道德与法治、历史、地理、信息技术，高中历史、地理、信息技术学生手写判断题、选择题的智能批改，支持在系统智能批改后，学生作答原卷显示留痕渲染，并支持留痕打印。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22.智能批阅与留痕打印需支持学生账号与班级自动匹配，未能匹配的学生可手动处理，界面实时显示学号与姓名，杜绝错漏。</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23.智能批阅与留痕打印需支持教师实时查看已批阅学生数量与总人数对比，掌握批改进度。</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24.智能批阅与留痕打印需兼容学校现有阅卷系统制作的答题卡，无需扫描答案即可对学生作答数据进行采集，系统智批与网阅批注后，需支持在学生作答原卷显示留痕渲染，并支持完整留痕打印。</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▲25、</w:t>
            </w:r>
            <w:r>
              <w:rPr>
                <w:rFonts w:hint="eastAsia" w:ascii="仿宋" w:hAnsi="仿宋" w:eastAsia="仿宋" w:cs="仿宋"/>
                <w:b/>
                <w:bCs/>
                <w:sz w:val="24"/>
                <w:szCs w:val="24"/>
              </w:rPr>
              <w:t xml:space="preserve">智能批阅与留痕打印需支持教师自定义设置介于B5和A3等范围内的非标纸张尺寸；需支持系统读取教师自定义设置的非标纸张尺寸后，在学生原卷上双面留痕打印。（投标时提供国家认可的检测机构出具的对应参数检测报告）</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（三）批阅流程智能优化</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26.批阅流程智能优化需支持对答案卷出现的异常进行智能检测，如学科选择不匹配、扫描图像歪斜、扫描图像残缺、答案书写不规范的异常情形。</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27.批阅流程智能优化扫描过程中，需支持对学生练习与教师答案卷不匹配、练习放置不规范、练习歪斜、练习破损异常进行智能检测，并支持定位到异常卷。</w:t>
            </w:r>
            <w:r/>
          </w:p>
          <w:p>
            <w:pP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二、资源库</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（一）学科资源</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28.需提供初中语文、数学、英语、物理、化学、生物、道德与法治、历史、地理、科学；高中语文、数学、英语、物理、化学、生物、政治、历史、地理学科基础同步试题资源，方便练习选题设计，资源总量不低于500万道。</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29.需提供初中数学人教版&amp;苏科版、初中英语译林版匹配教材版本的练习资源，覆盖基础达标、能力提升和思维拓展三个层级的练习资源，满足同步练习布置需要；其中初中数学、物理、英语需提供不同类型考试卷资源，试卷资源可按照级别、年级、年份进行筛选，筛选的试卷可按照最新、最热两种方式排序展示。</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（二）校本资源</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30.校本资源支持共建共享，校本资源共建共享需支持教师通过扫描方式，实现教师集体教研的校本练习和教师个人设计练习自动录入设备客户端的资源分享库。</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31.校本资源共建共享需支持教师分享扫描的资源，支持选择分享到备课组、分享到学科组分享范围。</w:t>
            </w:r>
            <w:r/>
          </w:p>
          <w:p>
            <w:pP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三、练习系统</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（一）练习布置及推送</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32.需支持基于教材章节，自动推送覆盖基础达标、能力提升和素养拓展三个层级的练习题包。</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33.需支持按年级、班级、学期、得分率多维度灵活筛选班级错题，布置学情练习，错题需支持下载打印Word格式。</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34.需支持教师灵活设置练习版式，支持设置答题卡单双栏，支持设置题卡合一或者纯答题卡模式。</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（二）</w:t>
            </w:r>
            <w:r>
              <w:rPr>
                <w:rFonts w:hint="eastAsia" w:ascii="仿宋" w:hAnsi="仿宋" w:eastAsia="仿宋" w:cs="仿宋"/>
                <w:b/>
                <w:bCs/>
                <w:sz w:val="24"/>
                <w:szCs w:val="24"/>
              </w:rPr>
              <w:t xml:space="preserve">练习</w:t>
            </w:r>
            <w:r>
              <w:rPr>
                <w:rFonts w:hint="eastAsia" w:ascii="仿宋" w:hAnsi="仿宋" w:eastAsia="仿宋" w:cs="仿宋"/>
                <w:sz w:val="24"/>
                <w:szCs w:val="24"/>
              </w:rPr>
              <w:t xml:space="preserve">讲评</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35.练习讲评需支持基于学生练习批阅结果生成班级练习成绩单，包括练习小题正确率或得分率明细、学生个人正确率或总分明细功能。</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36.练习讲评需支持数学学科根据原题推荐相似题，推荐的相似题需包含巩固题、拓展题；方便教师针对重难点题目做变式讲解。</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（三）</w:t>
            </w:r>
            <w:r>
              <w:rPr>
                <w:rFonts w:hint="eastAsia" w:ascii="仿宋" w:hAnsi="仿宋" w:eastAsia="仿宋" w:cs="仿宋"/>
                <w:b/>
                <w:bCs/>
                <w:sz w:val="24"/>
                <w:szCs w:val="24"/>
              </w:rPr>
              <w:t xml:space="preserve">练习</w:t>
            </w:r>
            <w:r>
              <w:rPr>
                <w:rFonts w:hint="eastAsia" w:ascii="仿宋" w:hAnsi="仿宋" w:eastAsia="仿宋" w:cs="仿宋"/>
                <w:sz w:val="24"/>
                <w:szCs w:val="24"/>
              </w:rPr>
              <w:t xml:space="preserve">报告</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37.练习报告需支持教师按科目、年级、班级、时间维度查看班级与学生的整体学情报告，快速定位教学薄弱环节。</w:t>
            </w:r>
            <w:r/>
          </w:p>
          <w:p>
            <w:pPr>
              <w:jc w:val="left"/>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38.练习报告需支持班级知识点掌握情况与学生个人知识点掌握情况的双维度分析，支持可视化呈现班级共性错题与个人学情分布。</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（四）错题本</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39.针对已批阅完成的练习，需支持班级共性错题自动收录，支持查看错题的题干、题型、班级正确率信息。</w:t>
            </w:r>
            <w:r/>
          </w:p>
          <w:p>
            <w:pP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四、区级数据系统</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40.需提供区域练习或试卷整体应用情况，包括应用学校数、应用班级数、应用教师数、应用学生数、区域练习或试卷题量、校本练习或试卷题量、错题库数及智能设备数，需支持下钻查看学校应用情况及应用详情。</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▲41、</w:t>
            </w:r>
            <w:r>
              <w:rPr>
                <w:rFonts w:hint="eastAsia" w:ascii="仿宋" w:hAnsi="仿宋" w:eastAsia="仿宋" w:cs="仿宋"/>
                <w:b/>
                <w:bCs/>
                <w:sz w:val="24"/>
                <w:szCs w:val="24"/>
              </w:rPr>
              <w:t xml:space="preserve">需支持查看覆盖知识点情况，包括考察知识点数量、已掌握知识点数量、待提升知识点数量及薄弱知识点数量。（投标时提供国家认可的检测机构出具的对应参数检测报告）。</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42.需支持查看区域练习或试卷布置次数、应用班级覆盖率、报告查看率及讲评率。</w:t>
            </w:r>
            <w:r/>
          </w:p>
          <w:p>
            <w:pPr>
              <w:spacing w:after="0" w:line="240" w:lineRule="auto"/>
              <w:rPr>
                <w:rFonts w:hint="eastAsia" w:ascii="仿宋" w:hAnsi="仿宋" w:eastAsia="仿宋" w:cs="仿宋"/>
                <w:b/>
                <w:bCs/>
                <w:sz w:val="24"/>
                <w:szCs w:val="24"/>
              </w:rPr>
            </w:pPr>
            <w:r>
              <w:rPr>
                <w:rFonts w:hint="eastAsia" w:ascii="仿宋" w:hAnsi="仿宋" w:eastAsia="仿宋" w:cs="仿宋"/>
                <w:sz w:val="24"/>
                <w:szCs w:val="24"/>
              </w:rPr>
              <w:t xml:space="preserve">▲43、</w:t>
            </w:r>
            <w:r>
              <w:rPr>
                <w:rFonts w:hint="eastAsia" w:ascii="仿宋" w:hAnsi="仿宋" w:eastAsia="仿宋" w:cs="仿宋"/>
                <w:b/>
                <w:bCs/>
                <w:sz w:val="24"/>
                <w:szCs w:val="24"/>
              </w:rPr>
              <w:t xml:space="preserve">支持查看各校应用指标与上个周期的对比差异，支持以图示化形式呈现不同时间范围内应用趋势变化。（投标时提供国家认可的检测机构出具的对应参数检测报告）</w:t>
            </w:r>
            <w:r/>
          </w:p>
          <w:p>
            <w:pPr>
              <w:spacing w:after="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五、其他</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44.智能批阅与采集分析系统服务应具备可靠的异常恢复机制，确保服务连续稳定运行。发生故障后，系统服务应在20分钟内完成修复并恢复正常使用。</w:t>
            </w:r>
            <w:r/>
          </w:p>
          <w:p>
            <w:pPr>
              <w:spacing w:after="0" w:line="240" w:lineRule="auto"/>
              <w:rPr>
                <w:rFonts w:hint="eastAsia" w:ascii="仿宋" w:hAnsi="仿宋" w:eastAsia="仿宋" w:cs="仿宋"/>
                <w:sz w:val="24"/>
                <w:szCs w:val="24"/>
              </w:rPr>
            </w:pPr>
            <w:r>
              <w:rPr>
                <w:rFonts w:hint="eastAsia" w:ascii="仿宋" w:hAnsi="仿宋" w:eastAsia="仿宋" w:cs="仿宋"/>
                <w:sz w:val="24"/>
                <w:szCs w:val="24"/>
              </w:rPr>
              <w:t xml:space="preserve">45.智能批阅与采集分析系统服务月度可用性在每日6:00至24:00期间不得低于99.9%（每月不可用总时长不得超过 40 分钟）。</w:t>
            </w:r>
            <w:r/>
          </w:p>
        </w:tc>
      </w:tr>
    </w:tbl>
    <w:p>
      <w:pPr>
        <w:rPr>
          <w:rFonts w:hint="eastAsia" w:ascii="仿宋" w:hAnsi="仿宋" w:eastAsia="仿宋" w:cs="仿宋"/>
          <w:b/>
          <w:color w:val="auto"/>
          <w:sz w:val="28"/>
          <w:highlight w:val="none"/>
          <w:lang w:val="en-US" w:eastAsia="zh-CN"/>
        </w:rPr>
      </w:pPr>
      <w:r>
        <w:rPr>
          <w:rFonts w:hint="eastAsia" w:ascii="仿宋" w:hAnsi="仿宋" w:eastAsia="仿宋" w:cs="仿宋"/>
          <w:b/>
          <w:color w:val="auto"/>
          <w:sz w:val="28"/>
          <w:highlight w:val="none"/>
          <w:lang w:val="en-US" w:eastAsia="zh-CN"/>
        </w:rPr>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三、商务要求</w:t>
      </w:r>
      <w:r/>
    </w:p>
    <w:p>
      <w:pPr>
        <w:ind w:right="0"/>
        <w:spacing w:before="0" w:after="62" w:line="479" w:lineRule="atLeast"/>
        <w:rPr>
          <w:color w:val="auto"/>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highlight w:val="none"/>
        </w:rPr>
        <w:t xml:space="preserve">包括交付</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lang w:eastAsia="zh-CN"/>
        </w:rPr>
        <w:t xml:space="preserve">、安装调试、质保及售后服务要求</w:t>
      </w:r>
      <w:r>
        <w:rPr>
          <w:rFonts w:ascii="仿宋" w:hAnsi="仿宋" w:eastAsia="仿宋" w:cs="仿宋"/>
          <w:color w:val="auto"/>
          <w:sz w:val="24"/>
          <w:szCs w:val="21"/>
          <w:highlight w:val="none"/>
        </w:rPr>
        <w:t xml:space="preserve">、验收</w:t>
      </w:r>
      <w:r>
        <w:rPr>
          <w:rFonts w:hint="eastAsia" w:ascii="仿宋" w:hAnsi="仿宋" w:eastAsia="仿宋" w:cs="仿宋"/>
          <w:color w:val="auto"/>
          <w:sz w:val="24"/>
          <w:szCs w:val="21"/>
          <w:highlight w:val="none"/>
          <w:lang w:val="en-US" w:eastAsia="zh-CN"/>
        </w:rPr>
        <w:t xml:space="preserve">要求、付款方式</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履约保证金</w:t>
      </w:r>
      <w:r>
        <w:rPr>
          <w:rFonts w:ascii="仿宋" w:hAnsi="仿宋" w:eastAsia="仿宋" w:cs="仿宋"/>
          <w:color w:val="auto"/>
          <w:sz w:val="24"/>
          <w:szCs w:val="21"/>
          <w:highlight w:val="none"/>
        </w:rPr>
        <w:t xml:space="preserve">等：</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（一）交付</w:t>
      </w:r>
      <w:r>
        <w:rPr>
          <w:rFonts w:hint="eastAsia" w:ascii="仿宋" w:hAnsi="仿宋" w:eastAsia="仿宋" w:cs="仿宋"/>
          <w:b/>
          <w:color w:val="auto"/>
          <w:sz w:val="28"/>
          <w:highlight w:val="none"/>
          <w:lang w:val="en-US" w:eastAsia="zh-CN"/>
        </w:rPr>
        <w:t xml:space="preserve">要求</w:t>
      </w:r>
      <w:r/>
    </w:p>
    <w:p>
      <w:pPr>
        <w:ind w:right="0"/>
        <w:spacing w:before="0" w:after="62" w:line="479" w:lineRule="atLeast"/>
        <w:rPr>
          <w:rFonts w:hint="eastAsia" w:ascii="仿宋" w:hAnsi="仿宋" w:eastAsia="仿宋" w:cs="仿宋"/>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lang w:eastAsia="zh-CN"/>
        </w:rPr>
        <w:t xml:space="preserve">1.标的数量：详见“采购标的清单”。</w:t>
      </w:r>
      <w:r/>
    </w:p>
    <w:p>
      <w:pPr>
        <w:ind w:right="0"/>
        <w:spacing w:before="0" w:after="62" w:line="479" w:lineRule="atLeast"/>
        <w:rPr>
          <w:rFonts w:hint="eastAsia" w:ascii="仿宋" w:hAnsi="仿宋" w:eastAsia="仿宋" w:cs="仿宋"/>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lang w:eastAsia="zh-CN"/>
        </w:rPr>
        <w:t xml:space="preserve">2.供货周期：</w:t>
      </w:r>
      <w:r>
        <w:rPr>
          <w:rFonts w:hint="eastAsia" w:ascii="仿宋" w:hAnsi="仿宋" w:eastAsia="仿宋" w:cs="仿宋"/>
          <w:b/>
          <w:bCs/>
          <w:color w:val="auto"/>
          <w:sz w:val="24"/>
          <w:szCs w:val="21"/>
          <w:highlight w:val="none"/>
          <w:lang w:eastAsia="zh-CN"/>
        </w:rPr>
        <w:t xml:space="preserve">30个日历天内完成安装调试并通过验收。</w:t>
      </w:r>
      <w:r>
        <w:rPr>
          <w:rFonts w:hint="eastAsia" w:ascii="仿宋" w:hAnsi="仿宋" w:eastAsia="仿宋" w:cs="仿宋"/>
          <w:color w:val="auto"/>
          <w:sz w:val="24"/>
          <w:szCs w:val="21"/>
          <w:highlight w:val="none"/>
          <w:lang w:eastAsia="zh-CN"/>
        </w:rPr>
        <w:t xml:space="preserve">具体供货时间由采购人确定。逾期未完成或未通过验收的，采购人有权单方面终止合同履行，并报相关部门进行处理，中标供应商将承担一切后果与责任。</w:t>
      </w:r>
      <w:r/>
    </w:p>
    <w:p>
      <w:pPr>
        <w:ind w:right="0"/>
        <w:spacing w:before="0" w:after="62" w:line="479" w:lineRule="atLeast"/>
        <w:rPr>
          <w:rFonts w:hint="eastAsia" w:ascii="仿宋" w:hAnsi="仿宋" w:eastAsia="仿宋" w:cs="仿宋"/>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lang w:eastAsia="zh-CN"/>
        </w:rPr>
        <w:t xml:space="preserve">中标供应商要根据各学校现实情况、产品使用对象、建设周期等内容，制定《入校服务方案》；服务期内，首次到货免费运输产品至指定位置（含上楼），首次安装部署由专业技术工程师免费上门安装。安装前，需与校方沟通选址，提前确定设备安装位置，测试网络环境并确认安装环境符合设备放置标准。</w:t>
      </w:r>
      <w:r/>
    </w:p>
    <w:p>
      <w:pPr>
        <w:ind w:right="0"/>
        <w:spacing w:before="0" w:after="62" w:line="479" w:lineRule="atLeast"/>
        <w:rPr>
          <w:rFonts w:hint="eastAsia" w:ascii="仿宋" w:hAnsi="仿宋" w:eastAsia="仿宋" w:cs="仿宋"/>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lang w:eastAsia="zh-CN"/>
        </w:rPr>
        <w:t xml:space="preserve">3.交货地点：采购人指定</w:t>
      </w:r>
      <w:r/>
    </w:p>
    <w:p>
      <w:pPr>
        <w:ind w:right="0"/>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（二）安装调试、质保及售后服务要求</w:t>
      </w:r>
      <w:r/>
    </w:p>
    <w:p>
      <w:pPr>
        <w:ind w:right="0"/>
        <w:spacing w:before="0" w:after="62"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bookmarkStart w:id="195" w:name="OLE_LINK19"/>
      <w:r/>
      <w:bookmarkStart w:id="196" w:name="OLE_LINK18"/>
      <w:r>
        <w:rPr>
          <w:rFonts w:hint="eastAsia" w:ascii="仿宋" w:hAnsi="仿宋" w:eastAsia="仿宋" w:cs="仿宋"/>
          <w:bCs/>
          <w:sz w:val="24"/>
          <w:szCs w:val="24"/>
        </w:rPr>
        <w:t xml:space="preserve">本项目</w:t>
      </w:r>
      <w:r>
        <w:rPr>
          <w:rFonts w:hint="eastAsia" w:ascii="仿宋" w:hAnsi="仿宋" w:eastAsia="仿宋" w:cs="仿宋"/>
          <w:b/>
          <w:bCs w:val="0"/>
          <w:sz w:val="24"/>
          <w:szCs w:val="24"/>
        </w:rPr>
        <w:t xml:space="preserve">整体质保及服务期为三年</w:t>
      </w:r>
      <w:bookmarkEnd w:id="195"/>
      <w:r/>
      <w:bookmarkEnd w:id="196"/>
      <w:r>
        <w:rPr>
          <w:rFonts w:hint="eastAsia" w:ascii="仿宋" w:hAnsi="仿宋" w:eastAsia="仿宋" w:cs="仿宋"/>
          <w:b/>
          <w:bCs w:val="0"/>
          <w:sz w:val="24"/>
          <w:szCs w:val="24"/>
        </w:rPr>
        <w:t xml:space="preserve">（验收合格后开始计算）</w:t>
      </w:r>
      <w:r>
        <w:rPr>
          <w:rFonts w:hint="eastAsia" w:ascii="仿宋" w:hAnsi="仿宋" w:eastAsia="仿宋" w:cs="仿宋"/>
          <w:sz w:val="24"/>
          <w:szCs w:val="24"/>
        </w:rPr>
        <w:t xml:space="preserve">。</w:t>
      </w:r>
      <w:r/>
    </w:p>
    <w:p>
      <w:pPr>
        <w:spacing w:line="480" w:lineRule="exact"/>
        <w:rPr>
          <w:rFonts w:hint="eastAsia" w:ascii="仿宋" w:hAnsi="仿宋" w:eastAsia="仿宋" w:cs="仿宋"/>
          <w:bCs/>
          <w:sz w:val="24"/>
          <w:szCs w:val="24"/>
        </w:rPr>
      </w:pPr>
      <w:r>
        <w:rPr>
          <w:rFonts w:hint="eastAsia" w:ascii="仿宋" w:hAnsi="仿宋" w:eastAsia="仿宋" w:cs="仿宋"/>
          <w:sz w:val="24"/>
          <w:szCs w:val="24"/>
        </w:rPr>
        <w:t xml:space="preserve">2.</w:t>
      </w:r>
      <w:bookmarkStart w:id="197" w:name="OLE_LINK21"/>
      <w:r/>
      <w:bookmarkStart w:id="198" w:name="OLE_LINK20"/>
      <w:r>
        <w:rPr>
          <w:rFonts w:hint="eastAsia" w:ascii="仿宋" w:hAnsi="仿宋" w:eastAsia="仿宋" w:cs="仿宋"/>
          <w:sz w:val="24"/>
          <w:szCs w:val="24"/>
        </w:rPr>
        <w:t xml:space="preserve">质保及服务期内</w:t>
      </w:r>
      <w:bookmarkEnd w:id="197"/>
      <w:r/>
      <w:bookmarkEnd w:id="198"/>
      <w:r>
        <w:rPr>
          <w:rFonts w:hint="eastAsia" w:ascii="仿宋" w:hAnsi="仿宋" w:eastAsia="仿宋" w:cs="仿宋"/>
          <w:sz w:val="24"/>
          <w:szCs w:val="24"/>
        </w:rPr>
        <w:t xml:space="preserve">提供产品全免费质保售后服务。在质保期内因产品本身质量问题发生故障，需免费更换，具体免费更换方法以国家三包法为准。在质保期内出现故障时，</w:t>
      </w:r>
      <w:r>
        <w:rPr>
          <w:rFonts w:hint="eastAsia" w:ascii="仿宋" w:hAnsi="仿宋" w:eastAsia="仿宋" w:cs="仿宋"/>
          <w:bCs/>
          <w:sz w:val="24"/>
          <w:szCs w:val="24"/>
        </w:rPr>
        <w:t xml:space="preserve">中标供应商应在接到用户单位电话通知后，2小时响应，并在24小时内负责修复。如需更换货物或送修，必须在48小时内提供备用货物，并在7个工作日内负责维修完毕。</w:t>
      </w:r>
      <w:r>
        <w:rPr>
          <w:rFonts w:hint="eastAsia" w:ascii="仿宋" w:hAnsi="仿宋" w:eastAsia="仿宋" w:cs="仿宋"/>
          <w:sz w:val="24"/>
          <w:szCs w:val="24"/>
        </w:rPr>
        <w:t xml:space="preserve">如中标供应商在接到采购单位通知后4小时内未实质性响应，采购人可另行委托他人修理，所需费用由中标供应商支付。</w:t>
      </w:r>
      <w:r>
        <w:rPr>
          <w:rFonts w:hint="eastAsia" w:ascii="仿宋" w:hAnsi="仿宋" w:eastAsia="仿宋" w:cs="仿宋"/>
          <w:bCs/>
          <w:sz w:val="24"/>
          <w:szCs w:val="24"/>
        </w:rPr>
        <w:t xml:space="preserve">在质保期内，同一硬件连续3次出现同一故障，中标方须无偿更换同一档次设备。</w:t>
      </w:r>
      <w:r/>
    </w:p>
    <w:p>
      <w:pPr>
        <w:spacing w:line="480" w:lineRule="exact"/>
        <w:rPr>
          <w:rFonts w:hint="eastAsia" w:ascii="仿宋" w:hAnsi="仿宋" w:eastAsia="仿宋" w:cs="仿宋"/>
          <w:b/>
          <w:bCs/>
          <w:sz w:val="24"/>
          <w:szCs w:val="24"/>
        </w:rPr>
      </w:pPr>
      <w:r>
        <w:rPr>
          <w:rFonts w:hint="eastAsia" w:ascii="仿宋" w:hAnsi="仿宋" w:eastAsia="仿宋" w:cs="仿宋"/>
          <w:b/>
          <w:sz w:val="24"/>
          <w:szCs w:val="24"/>
        </w:rPr>
        <w:t xml:space="preserve">★3.</w:t>
      </w:r>
      <w:r>
        <w:rPr>
          <w:rFonts w:hint="eastAsia" w:ascii="仿宋" w:hAnsi="仿宋" w:eastAsia="仿宋" w:cs="仿宋"/>
          <w:b/>
          <w:bCs/>
          <w:sz w:val="24"/>
          <w:szCs w:val="24"/>
        </w:rPr>
        <w:t xml:space="preserve">质保及服务期内，中标供应商提供的智能批阅与采集分析系统服务应包括其所有功能，不得以会员等级（或变相形式）限制功能使用，功能升级不再另外收费，不含任何增值服务，不得包含任何广告（或与采购文件需求无关链接、弹窗等），不得以限制用户数、限制使用次数、限制token（词元）数量、限制存储空间、限制保存时间等方式限制用户正常使用</w:t>
      </w:r>
      <w:r>
        <w:rPr>
          <w:rFonts w:hint="eastAsia" w:ascii="仿宋" w:hAnsi="仿宋" w:eastAsia="仿宋" w:cs="仿宋"/>
          <w:b/>
          <w:sz w:val="24"/>
          <w:szCs w:val="24"/>
        </w:rPr>
        <w:t xml:space="preserve">。</w:t>
      </w:r>
      <w:r>
        <w:rPr>
          <w:rFonts w:hint="eastAsia" w:ascii="仿宋" w:hAnsi="仿宋" w:eastAsia="仿宋" w:cs="仿宋"/>
          <w:b/>
          <w:bCs/>
          <w:sz w:val="24"/>
          <w:szCs w:val="24"/>
        </w:rPr>
        <w:t xml:space="preserve">3年服务期满后，中标供应商应提供必要驱动及技术支持，确保批阅机的扫描、打印功能正常使用。（</w:t>
      </w:r>
      <w:r>
        <w:rPr>
          <w:rFonts w:hint="eastAsia" w:ascii="仿宋" w:hAnsi="仿宋" w:eastAsia="仿宋" w:cs="仿宋"/>
          <w:b/>
          <w:bCs/>
          <w:sz w:val="24"/>
          <w:szCs w:val="24"/>
          <w:u w:val="single"/>
        </w:rPr>
        <w:t xml:space="preserve">投标时提供承诺函，格式自拟）。</w:t>
      </w:r>
      <w:r/>
    </w:p>
    <w:p>
      <w:pPr>
        <w:spacing w:line="480" w:lineRule="exact"/>
        <w:rPr>
          <w:rFonts w:hint="eastAsia" w:ascii="仿宋" w:hAnsi="仿宋" w:eastAsia="仿宋" w:cs="仿宋"/>
          <w:b/>
          <w:sz w:val="24"/>
          <w:szCs w:val="24"/>
        </w:rPr>
      </w:pPr>
      <w:r/>
      <w:bookmarkStart w:id="199" w:name="OLE_LINK12"/>
      <w:r>
        <w:rPr>
          <w:rFonts w:hint="eastAsia" w:ascii="仿宋" w:hAnsi="仿宋" w:eastAsia="仿宋" w:cs="仿宋"/>
          <w:b/>
          <w:sz w:val="24"/>
          <w:szCs w:val="24"/>
        </w:rPr>
        <w:t xml:space="preserve">★</w:t>
      </w:r>
      <w:bookmarkEnd w:id="199"/>
      <w:r>
        <w:rPr>
          <w:rFonts w:hint="eastAsia" w:ascii="仿宋" w:hAnsi="仿宋" w:eastAsia="仿宋" w:cs="仿宋"/>
          <w:b/>
          <w:sz w:val="24"/>
          <w:szCs w:val="24"/>
        </w:rPr>
        <w:t xml:space="preserve">4.</w:t>
      </w:r>
      <w:r>
        <w:rPr>
          <w:rFonts w:hint="eastAsia" w:ascii="仿宋" w:hAnsi="仿宋" w:eastAsia="仿宋" w:cs="仿宋"/>
          <w:b/>
          <w:bCs/>
          <w:sz w:val="24"/>
          <w:szCs w:val="24"/>
        </w:rPr>
        <w:t xml:space="preserve">质保及服务期内</w:t>
      </w:r>
      <w:r>
        <w:rPr>
          <w:rFonts w:hint="eastAsia" w:ascii="仿宋" w:hAnsi="仿宋" w:eastAsia="仿宋" w:cs="仿宋"/>
          <w:b/>
          <w:sz w:val="24"/>
          <w:szCs w:val="24"/>
        </w:rPr>
        <w:t xml:space="preserve">，</w:t>
      </w:r>
      <w:r>
        <w:rPr>
          <w:rFonts w:hint="eastAsia" w:ascii="仿宋" w:hAnsi="仿宋" w:eastAsia="仿宋" w:cs="仿宋"/>
          <w:b/>
          <w:bCs/>
          <w:sz w:val="24"/>
          <w:szCs w:val="24"/>
        </w:rPr>
        <w:t xml:space="preserve">中标供应商须为采购人提供应急入校保障服务</w:t>
      </w:r>
      <w:r>
        <w:rPr>
          <w:rFonts w:hint="eastAsia" w:ascii="仿宋" w:hAnsi="仿宋" w:eastAsia="仿宋" w:cs="仿宋"/>
          <w:b/>
          <w:sz w:val="24"/>
          <w:szCs w:val="24"/>
        </w:rPr>
        <w:t xml:space="preserve">，解决学校使用过程中的问题。质保期内中标供应商提供“一站式”售后服务，服务时间至少为9:00-18:00，非服务时间内报修，供应商需在上班后2小时内联系用户；如需现场服务的，在接收到学校入校服务需求后2小时内响应并处置，安排具有解决故障能力的技术工程师在24小时内入校进行服务。</w:t>
      </w:r>
      <w:r>
        <w:rPr>
          <w:rFonts w:hint="eastAsia" w:ascii="仿宋" w:hAnsi="仿宋" w:eastAsia="仿宋" w:cs="仿宋"/>
          <w:b/>
          <w:bCs/>
          <w:sz w:val="24"/>
          <w:szCs w:val="24"/>
        </w:rPr>
        <w:t xml:space="preserve">保障人员数量必须满足项目所有学校实际使用情况，原则上保障人员数量不低于2人，</w:t>
      </w:r>
      <w:r>
        <w:rPr>
          <w:rFonts w:hint="eastAsia" w:ascii="仿宋" w:hAnsi="仿宋" w:eastAsia="仿宋" w:cs="仿宋"/>
          <w:b/>
          <w:sz w:val="24"/>
          <w:szCs w:val="24"/>
        </w:rPr>
        <w:t xml:space="preserve">采购人不承担食宿、交通等任何其他费用。保障人员在学校服务期间，因履职产生的相关责任由中标供应商承担，与采购人及学校无关。（</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sz w:val="24"/>
          <w:szCs w:val="24"/>
        </w:rPr>
        <w:t xml:space="preserve">）</w:t>
      </w:r>
      <w:r/>
    </w:p>
    <w:p>
      <w:pPr>
        <w:spacing w:line="480" w:lineRule="exact"/>
        <w:rPr>
          <w:rFonts w:hint="eastAsia" w:ascii="仿宋" w:hAnsi="仿宋" w:eastAsia="仿宋" w:cs="仿宋"/>
          <w:b/>
          <w:bCs/>
          <w:sz w:val="24"/>
          <w:szCs w:val="24"/>
        </w:rPr>
      </w:pPr>
      <w:r/>
      <w:bookmarkStart w:id="200" w:name="OLE_LINK16"/>
      <w:r/>
      <w:bookmarkStart w:id="201" w:name="OLE_LINK29"/>
      <w:r/>
      <w:bookmarkStart w:id="202" w:name="OLE_LINK15"/>
      <w:r>
        <w:rPr>
          <w:rFonts w:hint="eastAsia" w:ascii="仿宋" w:hAnsi="仿宋" w:eastAsia="仿宋" w:cs="仿宋"/>
          <w:b/>
          <w:sz w:val="24"/>
          <w:szCs w:val="24"/>
        </w:rPr>
        <w:t xml:space="preserve">★</w:t>
      </w:r>
      <w:bookmarkEnd w:id="200"/>
      <w:r/>
      <w:bookmarkEnd w:id="201"/>
      <w:r/>
      <w:bookmarkEnd w:id="202"/>
      <w:r>
        <w:rPr>
          <w:rFonts w:hint="eastAsia" w:ascii="仿宋" w:hAnsi="仿宋" w:eastAsia="仿宋" w:cs="仿宋"/>
          <w:b/>
          <w:bCs/>
          <w:sz w:val="24"/>
          <w:szCs w:val="24"/>
        </w:rPr>
        <w:t xml:space="preserve">5. 智能批阅与采集分析系统服务要符合《中华人民共和国网络安全法》《中华人民共和国数据安全法》《中华人民共和国个人信息保护法》《生</w:t>
      </w:r>
      <w:r>
        <w:rPr>
          <w:rFonts w:hint="eastAsia" w:ascii="仿宋" w:hAnsi="仿宋" w:eastAsia="仿宋" w:cs="仿宋"/>
          <w:b/>
          <w:bCs/>
          <w:sz w:val="24"/>
          <w:szCs w:val="24"/>
        </w:rPr>
        <w:t xml:space="preserve">成式人工智能服务管理暂行办法》等网络安全法律法规要求，确保配套系统服务供应链安全，做好师生个人信息保护，防止数据泄露或者被窃取、篡改。中标供应商应根据《信息安全技术网络安全等级保护基本要求》（GB/T22239-2019）相关要求，落实智能批阅与采集分析系统服务等级保护有关工作（三级等保或以上），在验收前完成定级、备案，委托具备公安部认可资质的第三方等级保护测评机构实施测评，出具正式等级保护测评报告；负责根据测评结果制定整改方案并落地实施，确保验收前达到三级等保或以上标准。所有相关费用均包含在投标总价中。（</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bCs/>
          <w:sz w:val="24"/>
          <w:szCs w:val="24"/>
        </w:rPr>
        <w:t xml:space="preserve">）</w:t>
      </w:r>
      <w:r/>
    </w:p>
    <w:p>
      <w:pPr>
        <w:spacing w:line="480" w:lineRule="exact"/>
        <w:rPr>
          <w:rFonts w:hint="eastAsia" w:ascii="仿宋" w:hAnsi="仿宋" w:eastAsia="仿宋" w:cs="仿宋"/>
          <w:b/>
          <w:bCs/>
          <w:sz w:val="24"/>
          <w:szCs w:val="24"/>
        </w:rPr>
      </w:pPr>
      <w:r>
        <w:rPr>
          <w:rFonts w:hint="eastAsia" w:ascii="仿宋" w:hAnsi="仿宋" w:eastAsia="仿宋" w:cs="仿宋"/>
          <w:b/>
          <w:sz w:val="24"/>
          <w:szCs w:val="24"/>
        </w:rPr>
        <w:t xml:space="preserve">★</w:t>
      </w:r>
      <w:r>
        <w:rPr>
          <w:rFonts w:hint="eastAsia" w:ascii="仿宋" w:hAnsi="仿宋" w:eastAsia="仿宋" w:cs="仿宋"/>
          <w:b/>
          <w:bCs/>
          <w:sz w:val="24"/>
          <w:szCs w:val="24"/>
        </w:rPr>
        <w:t xml:space="preserve">6.供应商制作投标文件时所用的所有证明材料均须准备好中标公告结束后7日内被采购人核查（提交原件或加盖原厂公章复印件），如核查时供应商不能提供相关材料作弄虚作假处理，供应商自行承担相应后果与损失。（</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bCs/>
          <w:sz w:val="24"/>
          <w:szCs w:val="24"/>
        </w:rPr>
        <w:t xml:space="preserve">）</w:t>
      </w:r>
      <w:r/>
    </w:p>
    <w:p>
      <w:pPr>
        <w:spacing w:line="480" w:lineRule="exact"/>
        <w:rPr>
          <w:rFonts w:hint="eastAsia" w:ascii="仿宋" w:hAnsi="仿宋" w:eastAsia="仿宋" w:cs="仿宋"/>
          <w:b/>
          <w:bCs/>
          <w:sz w:val="24"/>
          <w:szCs w:val="24"/>
        </w:rPr>
      </w:pPr>
      <w:r/>
      <w:bookmarkStart w:id="203" w:name="OLE_LINK25"/>
      <w:r/>
      <w:bookmarkStart w:id="204" w:name="OLE_LINK24"/>
      <w:r>
        <w:rPr>
          <w:rFonts w:hint="eastAsia" w:ascii="仿宋" w:hAnsi="仿宋" w:eastAsia="仿宋" w:cs="仿宋"/>
          <w:b/>
          <w:sz w:val="24"/>
          <w:szCs w:val="24"/>
        </w:rPr>
        <w:t xml:space="preserve">★</w:t>
      </w:r>
      <w:bookmarkEnd w:id="203"/>
      <w:r/>
      <w:bookmarkEnd w:id="204"/>
      <w:r>
        <w:rPr>
          <w:rFonts w:hint="eastAsia" w:ascii="仿宋" w:hAnsi="仿宋" w:eastAsia="仿宋" w:cs="仿宋"/>
          <w:b/>
          <w:sz w:val="24"/>
          <w:szCs w:val="24"/>
        </w:rPr>
        <w:t xml:space="preserve">7.</w:t>
      </w:r>
      <w:r>
        <w:rPr>
          <w:rFonts w:hint="eastAsia" w:ascii="仿宋" w:hAnsi="仿宋" w:eastAsia="仿宋" w:cs="仿宋"/>
          <w:b/>
          <w:bCs/>
          <w:sz w:val="24"/>
          <w:szCs w:val="24"/>
        </w:rPr>
        <w:t xml:space="preserve">中标供应商要严格做好学校所有批阅的练习、试卷保密与知识产权保护，中标供应商仅有批阅的合理使用权限，未经采购人许可不得对外泄露、复制、传播、使用学校批阅的各类练习、试卷及其答案、答卷等内容。</w:t>
      </w:r>
      <w:bookmarkStart w:id="205" w:name="OLE_LINK26"/>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bCs/>
          <w:sz w:val="24"/>
          <w:szCs w:val="24"/>
        </w:rPr>
        <w:t xml:space="preserve">）</w:t>
      </w:r>
      <w:bookmarkEnd w:id="205"/>
      <w:r/>
      <w:r/>
    </w:p>
    <w:p>
      <w:pPr>
        <w:spacing w:line="48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8.应用培训服务</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中标供应商须提供必要的免费的技术及操作培训服务，制定详细的培训计划，并免费提供产品管理维护手册，培训的内容包括设备软硬件的功能原理、技术参数及安全操作规范、软件系统安装调试、数据配置、权限管理及版本升级说明、硬件日常维护（如清洁、校准、更换）与故障应急处理流程等，确保采购使用单位相关人员能独立操作。</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 w:val="0"/>
          <w:bCs w:val="0"/>
          <w:sz w:val="24"/>
          <w:szCs w:val="24"/>
        </w:rPr>
        <w:t xml:space="preserve">产品交接培训：</w:t>
      </w:r>
      <w:r>
        <w:rPr>
          <w:rFonts w:hint="eastAsia" w:ascii="仿宋" w:hAnsi="仿宋" w:eastAsia="仿宋" w:cs="仿宋"/>
          <w:sz w:val="24"/>
          <w:szCs w:val="24"/>
        </w:rPr>
        <w:t xml:space="preserve">本项目按采购人指定的地点送货后，应对接收货物（含配套智能批阅与采集分析系统服务）学校的相关人员进行产品基本操作培训。</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3）管理员、教师集中培训：结合日常教学场景，指导老师熟悉智能批阅机产品功能模块、操作规范、常见问题及解决办法，并进行实操演练。中标供应商负责提供培训方案、培训材料及培训讲师等。质保期内，每个学校现场培训时长不低于10课时（每课时45分钟），培训地点、人数、时间根据采购人要求实施。</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（4）线上自主培训：合同期内中标供应商提供产品的基础操作文档和视频，分模块录制智能批阅机功能及操作培训视频，供老师根据实际需要随时自主学习。</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9.首次应用保障：协助老师首次使用批阅机留痕打印、学情分析；协助教师完成至少一次练习讲评。</w:t>
      </w:r>
      <w:r/>
    </w:p>
    <w:p>
      <w:pPr>
        <w:spacing w:line="480" w:lineRule="exact"/>
        <w:rPr>
          <w:rFonts w:hint="eastAsia" w:ascii="仿宋" w:hAnsi="仿宋" w:eastAsia="仿宋" w:cs="仿宋"/>
          <w:b/>
          <w:bCs/>
          <w:sz w:val="24"/>
          <w:szCs w:val="24"/>
        </w:rPr>
      </w:pPr>
      <w:r/>
      <w:bookmarkStart w:id="206" w:name="OLE_LINK6"/>
      <w:r/>
      <w:bookmarkStart w:id="207" w:name="OLE_LINK7"/>
      <w:r>
        <w:rPr>
          <w:rFonts w:hint="eastAsia" w:ascii="仿宋" w:hAnsi="仿宋" w:eastAsia="仿宋" w:cs="仿宋"/>
          <w:b/>
          <w:sz w:val="24"/>
          <w:szCs w:val="24"/>
        </w:rPr>
        <w:t xml:space="preserve">★10.</w:t>
      </w:r>
      <w:bookmarkEnd w:id="206"/>
      <w:r/>
      <w:bookmarkEnd w:id="207"/>
      <w:r>
        <w:rPr>
          <w:rFonts w:hint="eastAsia" w:ascii="仿宋" w:hAnsi="仿宋" w:eastAsia="仿宋" w:cs="仿宋"/>
          <w:b/>
          <w:sz w:val="24"/>
          <w:szCs w:val="24"/>
        </w:rPr>
        <w:t xml:space="preserve">耗材保障：质保期内，中标供应商应做好相关配套耗材备货。投标供应商应确保所投批阅机的配套耗材，能通过电商平台、政府采购网上商城等公开合法渠道自行购买，不得以影响质保等理由拒绝采购人及有关学校自行购买。采购人及有关学校无论通过中标供应商购买还是自行购买，中标供应商都应在24小时内上门完成免费安装调试。</w:t>
      </w:r>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bCs/>
          <w:sz w:val="24"/>
          <w:szCs w:val="24"/>
        </w:rPr>
        <w:t xml:space="preserve">）</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11.免费质保期满后仍需向采购人提供只计成本的维护服务。后续服务、硬件配件和软件选件以不高于本次报价提供给采购人，并提供同样时间的免费维保期。同时，中标供应商应负责所有设备，保修期内的软件版本免费升级。</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12.供应商应保证所有商品必须原厂全新，具有相关质保证书，并符合招标文件规定的质量、规格和参数的要求。</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13.中标供应商应保证其货物在正常使用下，在其使用寿命期内应具有满意的性能。</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14.中标供应商应采取必要的安全措施保证货物的运输及安装的安全，并承担货物的运输及安装过程中产生的风险。所有货品必须原包装进场，运送及安装到采购人指定地点。</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15.中标供应商确保工作人员均受过严格培训，项目由具有丰富施工经验的工程技术人员严格按照标准和规范进行施工。中标供应商应文明施工，统一着装，佩戴工作证，并遵守施工现场的安全管理制度；中标供应商应严格实行安全生产责任制，做好施工人员的安全培训教育；加强安全监督管理，施工过程中必须采取得当的安全防护措施，严格遵守行业安全操作规范，确保安全。如在施工过程中发生事故，造成财物损坏、施工人员或其他人员伤害，中标供应商应承担由此引发的所有经济、人员伤亡损失及法律责任。</w:t>
      </w:r>
      <w:r/>
    </w:p>
    <w:p>
      <w:pPr>
        <w:spacing w:line="480" w:lineRule="exact"/>
        <w:rPr>
          <w:rFonts w:hint="eastAsia" w:ascii="仿宋" w:hAnsi="仿宋" w:eastAsia="仿宋" w:cs="仿宋"/>
          <w:b/>
          <w:sz w:val="24"/>
          <w:szCs w:val="24"/>
        </w:rPr>
      </w:pPr>
      <w:r>
        <w:rPr>
          <w:rFonts w:hint="eastAsia" w:ascii="仿宋" w:hAnsi="仿宋" w:eastAsia="仿宋" w:cs="仿宋"/>
          <w:b/>
          <w:sz w:val="24"/>
          <w:szCs w:val="24"/>
        </w:rPr>
        <w:t xml:space="preserve">★16.中标供应商须以不低于其投标时提供的技术方案、实施方案、售后服务及培训等方案的设计、实施及管理水平完成项目建设。</w:t>
      </w:r>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bCs/>
          <w:sz w:val="24"/>
          <w:szCs w:val="24"/>
        </w:rPr>
        <w:t xml:space="preserve">）</w:t>
      </w:r>
      <w:r/>
    </w:p>
    <w:p>
      <w:pPr>
        <w:spacing w:line="480" w:lineRule="exact"/>
        <w:rPr>
          <w:rFonts w:hint="eastAsia" w:ascii="仿宋" w:hAnsi="仿宋" w:eastAsia="仿宋" w:cs="仿宋"/>
          <w:b/>
          <w:sz w:val="24"/>
          <w:szCs w:val="24"/>
        </w:rPr>
      </w:pPr>
      <w:r/>
      <w:bookmarkStart w:id="208" w:name="OLE_LINK32"/>
      <w:r>
        <w:rPr>
          <w:rFonts w:hint="eastAsia" w:ascii="仿宋" w:hAnsi="仿宋" w:eastAsia="仿宋" w:cs="仿宋"/>
          <w:b/>
          <w:sz w:val="24"/>
          <w:szCs w:val="24"/>
        </w:rPr>
        <w:t xml:space="preserve">★</w:t>
      </w:r>
      <w:bookmarkEnd w:id="208"/>
      <w:r>
        <w:rPr>
          <w:rFonts w:hint="eastAsia" w:ascii="仿宋" w:hAnsi="仿宋" w:eastAsia="仿宋" w:cs="仿宋"/>
          <w:b/>
          <w:sz w:val="24"/>
          <w:szCs w:val="24"/>
        </w:rPr>
        <w:t xml:space="preserve">17.中标供应商在合同履约过程中，如出现违反采购文件要求、不按招标文件及合同要求实施的，采购人可对中标供应商进行书面警告，采购人有权要求中标供应商限期整改或扣除履约保证金，造成损失的有权要求赔偿。书面警告超过三次（含）或者出现严重问题（如出现意识形态问题、泄露学生成绩、向师生收取费用、问题超过48小时未整改完成等重大问题），采购人有权单方解除合同并全额扣除履约保证金。合同解除后，中标供应商应在15天内退还有关费用，退还费用计算方式：</w:t>
      </w:r>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szCs w:val="24"/>
        </w:rPr>
        <w:t xml:space="preserve">合同总价X（365X3-已履约天数</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 ÷（365X3），采购人同时有权要求中标供应商赔偿由此造成的直接损失。中标供应商应在10天内将已安装的全部设备设施拆除并搬运出相关单位，同时做好现场清洁恢复，采购人不承担任何费用，拆除产生的破损修复费用由中标供应商承担；逾期不处理的，采购人可自行或委托第三方拆除、恢复、处置，全部费用由中标供应商承担。</w:t>
      </w:r>
      <w:bookmarkStart w:id="209" w:name="OLE_LINK33"/>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投标时提供</w:t>
      </w:r>
      <w:bookmarkStart w:id="210" w:name="OLE_LINK30"/>
      <w:r/>
      <w:bookmarkStart w:id="211" w:name="OLE_LINK31"/>
      <w:r>
        <w:rPr>
          <w:rFonts w:hint="eastAsia" w:ascii="仿宋" w:hAnsi="仿宋" w:eastAsia="仿宋" w:cs="仿宋"/>
          <w:b/>
          <w:bCs/>
          <w:sz w:val="24"/>
          <w:szCs w:val="24"/>
          <w:u w:val="single"/>
        </w:rPr>
        <w:t xml:space="preserve">承诺</w:t>
      </w:r>
      <w:bookmarkEnd w:id="210"/>
      <w:r/>
      <w:bookmarkEnd w:id="211"/>
      <w:r>
        <w:rPr>
          <w:rFonts w:hint="eastAsia" w:ascii="仿宋" w:hAnsi="仿宋" w:eastAsia="仿宋" w:cs="仿宋"/>
          <w:b/>
          <w:bCs/>
          <w:sz w:val="24"/>
          <w:szCs w:val="24"/>
          <w:u w:val="single"/>
        </w:rPr>
        <w:t xml:space="preserve">函，格式自拟</w:t>
      </w:r>
      <w:r>
        <w:rPr>
          <w:rFonts w:hint="eastAsia" w:ascii="仿宋" w:hAnsi="仿宋" w:eastAsia="仿宋" w:cs="仿宋"/>
          <w:b/>
          <w:bCs/>
          <w:sz w:val="24"/>
          <w:szCs w:val="24"/>
        </w:rPr>
        <w:t xml:space="preserve">）</w:t>
      </w:r>
      <w:bookmarkEnd w:id="209"/>
      <w:r/>
      <w:r/>
    </w:p>
    <w:p>
      <w:pPr>
        <w:spacing w:line="480" w:lineRule="exact"/>
        <w:rPr>
          <w:rFonts w:hint="eastAsia" w:ascii="仿宋" w:hAnsi="仿宋" w:eastAsia="仿宋" w:cs="仿宋"/>
          <w:b/>
          <w:bCs/>
          <w:sz w:val="24"/>
          <w:szCs w:val="24"/>
        </w:rPr>
      </w:pPr>
      <w:r/>
      <w:bookmarkStart w:id="212" w:name="OLE_LINK35"/>
      <w:r>
        <w:rPr>
          <w:rFonts w:hint="eastAsia" w:ascii="仿宋" w:hAnsi="仿宋" w:eastAsia="仿宋" w:cs="仿宋"/>
          <w:b/>
          <w:sz w:val="24"/>
          <w:szCs w:val="24"/>
        </w:rPr>
        <w:t xml:space="preserve">★</w:t>
      </w:r>
      <w:bookmarkEnd w:id="212"/>
      <w:r>
        <w:rPr>
          <w:rFonts w:hint="eastAsia" w:ascii="仿宋" w:hAnsi="仿宋" w:eastAsia="仿宋" w:cs="仿宋"/>
          <w:b/>
          <w:sz w:val="24"/>
          <w:szCs w:val="24"/>
        </w:rPr>
        <w:t xml:space="preserve">18.违约方应承担守约方因追究违约责任而产生的全部合理费用，包括但不限于：律师费、诉讼费、仲裁费、保全费、保全保险费、公证费、鉴定费、评估费、差旅费、误工费、交通费、公告费、送达费等。</w:t>
      </w:r>
      <w:bookmarkStart w:id="213" w:name="OLE_LINK36"/>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投标时提供承诺函，格式自拟</w:t>
      </w:r>
      <w:r>
        <w:rPr>
          <w:rFonts w:hint="eastAsia" w:ascii="仿宋" w:hAnsi="仿宋" w:eastAsia="仿宋" w:cs="仿宋"/>
          <w:b/>
          <w:bCs/>
          <w:sz w:val="24"/>
          <w:szCs w:val="24"/>
        </w:rPr>
        <w:t xml:space="preserve">）</w:t>
      </w:r>
      <w:bookmarkEnd w:id="213"/>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19.服务期内，中标供应商应每6个月向采购人提供应用情况统计报告，包括但不限于应用学校数、应用班级数、应用教师数、应用学生数、区域详情使用数据、学校详细使用数据等内容。</w:t>
      </w:r>
      <w:r/>
    </w:p>
    <w:p>
      <w:pPr>
        <w:spacing w:after="62" w:line="460" w:lineRule="exact"/>
        <w:rPr>
          <w:rFonts w:hint="eastAsia" w:ascii="仿宋" w:hAnsi="仿宋" w:eastAsia="仿宋" w:cs="仿宋"/>
          <w:bCs/>
          <w:color w:val="auto"/>
          <w:sz w:val="24"/>
          <w:szCs w:val="24"/>
          <w:highlight w:val="none"/>
          <w:lang w:eastAsia="zh-CN"/>
        </w:rPr>
      </w:pPr>
      <w:r>
        <w:rPr>
          <w:rFonts w:hint="eastAsia" w:ascii="仿宋" w:hAnsi="仿宋" w:eastAsia="仿宋" w:cs="仿宋"/>
          <w:sz w:val="24"/>
          <w:szCs w:val="24"/>
        </w:rPr>
        <w:t xml:space="preserve">20.无论招标需求中是否列出，供应商投标报价应为完成本项目所涉及的全部费用，如运输费、上楼费、安装费、税金、检测费、人工费等以及为确保正常使用、满足招标文件全部需求所产生的一切配套费用，项目实施过程中不另收取其他所有费用。</w:t>
      </w:r>
      <w:r/>
    </w:p>
    <w:p>
      <w:pPr>
        <w:ind w:left="0" w:right="0" w:firstLine="0"/>
        <w:jc w:val="both"/>
        <w:spacing w:before="0" w:after="0" w:line="479" w:lineRule="atLeast"/>
        <w:rPr>
          <w:rFonts w:hint="eastAsia"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（三）验收</w:t>
      </w:r>
      <w:r>
        <w:rPr>
          <w:rFonts w:hint="eastAsia" w:ascii="仿宋" w:hAnsi="仿宋" w:eastAsia="仿宋" w:cs="仿宋"/>
          <w:b/>
          <w:color w:val="auto"/>
          <w:sz w:val="28"/>
          <w:highlight w:val="none"/>
          <w:lang w:val="en-US" w:eastAsia="zh-CN"/>
        </w:rPr>
        <w:t xml:space="preserve">要求</w:t>
      </w:r>
      <w:r/>
    </w:p>
    <w:p>
      <w:pPr>
        <w:ind w:right="0"/>
        <w:jc w:val="both"/>
        <w:spacing w:before="0" w:after="0" w:line="479"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1.招标文件技术规格书中明确的标准和技术要求；与合同货物有关的最新版本的中华人民共和国国家/国际标准和部颁标准；货物合格证书技术资料中的精度、质量要求；</w:t>
      </w:r>
      <w:r/>
    </w:p>
    <w:p>
      <w:pPr>
        <w:ind w:right="0"/>
        <w:jc w:val="both"/>
        <w:spacing w:before="0" w:after="0" w:line="479" w:lineRule="atLeast"/>
        <w:rPr>
          <w:rFonts w:ascii="仿宋" w:hAnsi="仿宋" w:eastAsia="仿宋" w:cs="仿宋"/>
          <w:b w:val="0"/>
          <w:bCs w:val="0"/>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供应商在澄清响应文件时作出的承诺，经采购单位确认后，将作为对货物的验收依据之一；双方签订的合同技术附件所规定的条款。</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中标供应商须在安装、调试、产品交接培训结束后，向采购人提交详细的竣工验收资料，包括但不限于以下部分：交付清单、系统试运行报告、竣工验收报告、项目实施过程照片、技术文件、操作手册、产品交接培训记录等。</w:t>
      </w:r>
      <w:r>
        <w:rPr>
          <w:rFonts w:hint="eastAsia" w:ascii="仿宋" w:hAnsi="仿宋" w:eastAsia="仿宋" w:cs="仿宋"/>
          <w:b/>
          <w:bCs/>
          <w:sz w:val="24"/>
          <w:szCs w:val="24"/>
          <w:lang w:val="en-US" w:eastAsia="zh-CN"/>
        </w:rPr>
        <w:t xml:space="preserve">符合要求的竣工文档是验收的必要条件。全部设备安装、调试、产品交接培训（内容见安装调试、质保及售后服务要求中的第8条第2点）结束后须至少试运行5个工作日</w:t>
      </w:r>
      <w:r>
        <w:rPr>
          <w:rFonts w:hint="eastAsia" w:ascii="仿宋" w:hAnsi="仿宋" w:eastAsia="仿宋" w:cs="仿宋"/>
          <w:sz w:val="24"/>
          <w:szCs w:val="24"/>
          <w:lang w:val="en-US" w:eastAsia="zh-CN"/>
        </w:rPr>
        <w:t xml:space="preserve">，再组织验收。</w:t>
      </w:r>
      <w:r/>
    </w:p>
    <w:p>
      <w:pP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采购人按合同约定积极配合中标供应商履约，按合同约定及时组织人员验收，</w:t>
      </w:r>
      <w:r>
        <w:rPr>
          <w:rFonts w:hint="eastAsia" w:ascii="仿宋" w:hAnsi="仿宋" w:eastAsia="仿宋" w:cs="仿宋"/>
          <w:b/>
          <w:bCs/>
          <w:sz w:val="24"/>
          <w:szCs w:val="24"/>
        </w:rPr>
        <w:t xml:space="preserve">必要时采购人有权委托第三方检测机构检测，如检测不合格，检测费用由中标供应商全额承担</w:t>
      </w:r>
      <w:r>
        <w:rPr>
          <w:rFonts w:hint="eastAsia" w:ascii="仿宋" w:hAnsi="仿宋" w:eastAsia="仿宋" w:cs="仿宋"/>
          <w:sz w:val="24"/>
          <w:szCs w:val="24"/>
        </w:rPr>
        <w:t xml:space="preserve">。验收时如发现不符合招标文件功能和性能要求的，采购人将不予验收通过，中标供应商必须按采购人要求在</w:t>
      </w:r>
      <w:r>
        <w:rPr>
          <w:rFonts w:hint="eastAsia" w:ascii="仿宋" w:hAnsi="仿宋" w:eastAsia="仿宋" w:cs="仿宋"/>
          <w:b/>
          <w:bCs/>
          <w:sz w:val="24"/>
          <w:szCs w:val="24"/>
        </w:rPr>
        <w:t xml:space="preserve">10天</w:t>
      </w:r>
      <w:r>
        <w:rPr>
          <w:rFonts w:hint="eastAsia" w:ascii="仿宋" w:hAnsi="仿宋" w:eastAsia="仿宋" w:cs="仿宋"/>
          <w:sz w:val="24"/>
          <w:szCs w:val="24"/>
        </w:rPr>
        <w:t xml:space="preserve">内完成整改。如经一次整改后仍未满足招标人需求或者逾期未整改，中标供应商将承担一切后果与责任，采购人将视作项目整体验收不合格，有权单方面终止合同履行，并报相关部门进行处理。</w:t>
      </w:r>
      <w:r/>
    </w:p>
    <w:p>
      <w:pPr>
        <w:spacing w:line="48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4.</w:t>
      </w:r>
      <w:r>
        <w:rPr>
          <w:rFonts w:hint="eastAsia" w:ascii="仿宋" w:hAnsi="仿宋" w:eastAsia="仿宋" w:cs="仿宋"/>
          <w:b/>
          <w:bCs/>
          <w:sz w:val="24"/>
          <w:szCs w:val="24"/>
        </w:rPr>
        <w:t xml:space="preserve">如项目验收不合格</w:t>
      </w:r>
      <w:r>
        <w:rPr>
          <w:rFonts w:hint="eastAsia" w:ascii="仿宋" w:hAnsi="仿宋" w:eastAsia="仿宋" w:cs="仿宋"/>
          <w:sz w:val="24"/>
          <w:szCs w:val="24"/>
        </w:rPr>
        <w:t xml:space="preserve">，除项目履约保证金不予退还外，中标供应商还应承担赔偿采购人损失的责任。中标供应商应</w:t>
      </w:r>
      <w:r>
        <w:rPr>
          <w:rFonts w:hint="eastAsia" w:ascii="仿宋" w:hAnsi="仿宋" w:eastAsia="仿宋" w:cs="仿宋"/>
          <w:b/>
          <w:bCs/>
          <w:sz w:val="24"/>
          <w:szCs w:val="24"/>
        </w:rPr>
        <w:t xml:space="preserve">在10天内</w:t>
      </w:r>
      <w:r>
        <w:rPr>
          <w:rFonts w:hint="eastAsia" w:ascii="仿宋" w:hAnsi="仿宋" w:eastAsia="仿宋" w:cs="仿宋"/>
          <w:sz w:val="24"/>
          <w:szCs w:val="24"/>
        </w:rPr>
        <w:t xml:space="preserve">将已安装的全部设备设施拆除并搬运出相关单位，同时做好施工现场清洁恢复，采购人不承担任何费用，拆除产生的破损修复费用由中标供应商承担；逾期不处理的，采购人可自行或委托第三方拆除、恢复、处置，全部费用由中标供应商承担。</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（四）付款方式</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1.货物到场、安装调试完毕，并经采购人验收合格后收到中标人正规发票付至货款的100%。</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2.因中标人发票错误、迟延等问题而导致采购人无法付款的，采购人不承担责任。</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（五）履约保证金</w:t>
      </w:r>
      <w:r/>
    </w:p>
    <w:p>
      <w:pPr>
        <w:spacing w:line="480" w:lineRule="exact"/>
        <w:rPr>
          <w:rFonts w:ascii="仿宋" w:hAnsi="仿宋" w:eastAsia="仿宋"/>
          <w:color w:val="000000"/>
          <w:sz w:val="24"/>
          <w:szCs w:val="24"/>
          <w:highlight w:val="none"/>
        </w:rPr>
      </w:pPr>
      <w:r>
        <w:rPr>
          <w:rFonts w:ascii="仿宋" w:hAnsi="仿宋" w:eastAsia="仿宋" w:cs="仿宋"/>
          <w:color w:val="auto"/>
          <w:sz w:val="24"/>
          <w:highlight w:val="none"/>
        </w:rPr>
        <w:t xml:space="preserve">1.本项目</w:t>
      </w:r>
      <w:r>
        <w:rPr>
          <w:rFonts w:ascii="仿宋" w:hAnsi="仿宋" w:eastAsia="仿宋" w:cs="仿宋"/>
          <w:b/>
          <w:bCs/>
          <w:color w:val="auto"/>
          <w:sz w:val="24"/>
          <w:highlight w:val="none"/>
        </w:rPr>
        <w:t xml:space="preserve">履约保证金为项目成交价的10%</w:t>
      </w:r>
      <w:r>
        <w:rPr>
          <w:rFonts w:ascii="仿宋" w:hAnsi="仿宋" w:eastAsia="仿宋" w:cs="仿宋"/>
          <w:color w:val="auto"/>
          <w:sz w:val="24"/>
          <w:highlight w:val="none"/>
        </w:rPr>
        <w:t xml:space="preserve">，</w:t>
      </w:r>
      <w:r>
        <w:rPr>
          <w:rFonts w:hint="eastAsia" w:ascii="仿宋" w:hAnsi="仿宋" w:eastAsia="仿宋"/>
          <w:color w:val="000000"/>
          <w:sz w:val="24"/>
          <w:szCs w:val="24"/>
          <w:highlight w:val="none"/>
          <w:lang w:eastAsia="zh-CN"/>
        </w:rPr>
        <w:t xml:space="preserve">中标人应在中标通知书发出之日起至合同签订前，以支票、汇票、本票或金融机构、担保机构出具的保函等非现金形式提交履约保证金。中标人凭中标通知书与采购人签订合同。因中标人原因超期未签订合同的，视为自动放弃成交资格。</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全部履行合同义务，经采购人验收合格无质量、进度等问题的，采购人在验收合格后一次性退还履约保证金，采购人若逾期退还履约保证金的，按照逾期部分的每日0.05%支付违约金；</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3.发生以下情况的，履约保证金不予退还或部分退还：</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a.签订合同后，</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不履行合同义务的，采购人有权全额扣除履约保证金，全额不予退还，同时采购人亦有权终止合同，中标人还须承担相应的法律赔偿责任。</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b.</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在履约过程中发生违约行为，给采购人造成损失的，采购人有权在</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缴纳的履约保证金中予以扣款，以弥补采购人经济损失，不足的部分</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另外补齐。</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四、采购需求中必须满足的实质性要求</w:t>
      </w:r>
      <w:r/>
    </w:p>
    <w:p>
      <w:pPr>
        <w:ind w:right="0"/>
        <w:jc w:val="both"/>
        <w:spacing w:before="0" w:after="0" w:line="479" w:lineRule="atLeast"/>
        <w:rPr>
          <w:rFonts w:hint="eastAsia" w:ascii="仿宋" w:hAnsi="仿宋" w:eastAsia="仿宋" w:cs="仿宋"/>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p>
    <w:p>
      <w:pPr>
        <w:ind w:right="0"/>
        <w:jc w:val="both"/>
        <w:spacing w:before="0" w:after="0" w:line="479" w:lineRule="atLeast"/>
        <w:rPr>
          <w:rFonts w:hint="eastAsia" w:ascii="仿宋" w:hAnsi="仿宋" w:eastAsia="仿宋" w:cs="仿宋"/>
          <w:b/>
          <w:bCs/>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u w:val="single"/>
          <w:lang w:val="en-US" w:eastAsia="zh-CN"/>
        </w:rPr>
        <w:t xml:space="preserve">1.商务部分实质性要求</w:t>
      </w:r>
      <w:r/>
    </w:p>
    <w:p>
      <w:pPr>
        <w:ind w:right="0"/>
        <w:jc w:val="both"/>
        <w:spacing w:before="0" w:after="0" w:line="479" w:lineRule="atLeast"/>
        <w:rPr>
          <w:rFonts w:hint="eastAsia" w:ascii="仿宋" w:hAnsi="仿宋" w:eastAsia="仿宋" w:cs="仿宋"/>
          <w:color w:val="auto"/>
          <w:sz w:val="24"/>
          <w:highlight w:val="none"/>
          <w:u w:val="singl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66" w:right="1418" w:bottom="1587" w:left="1418" w:header="851" w:footer="992" w:gutter="0"/>
          <w:cols w:num="1" w:sep="0" w:space="720" w:equalWidth="1"/>
          <w:docGrid w:linePitch="360"/>
        </w:sectPr>
      </w:pPr>
      <w:r>
        <w:rPr>
          <w:rFonts w:hint="eastAsia" w:ascii="仿宋" w:hAnsi="仿宋" w:eastAsia="仿宋" w:cs="仿宋"/>
          <w:color w:val="auto"/>
          <w:sz w:val="24"/>
          <w:highlight w:val="none"/>
          <w:u w:val="single"/>
          <w:lang w:val="en-US" w:eastAsia="zh-CN"/>
        </w:rPr>
        <w:t xml:space="preserve">1.1商务要求中“（二）安装调试、质保及售后服务要求”</w:t>
      </w:r>
      <w:r>
        <w:rPr>
          <w:rFonts w:hint="eastAsia" w:ascii="仿宋" w:hAnsi="仿宋" w:eastAsia="仿宋" w:cs="仿宋"/>
          <w:b/>
          <w:bCs/>
          <w:color w:val="auto"/>
          <w:sz w:val="24"/>
          <w:highlight w:val="none"/>
          <w:u w:val="single"/>
          <w:lang w:val="en-US" w:eastAsia="zh-CN"/>
        </w:rPr>
        <w:t xml:space="preserve">标注★者（3、4、5、6、7、10、16、17、18）</w:t>
      </w:r>
      <w:r>
        <w:rPr>
          <w:rFonts w:hint="eastAsia" w:ascii="仿宋" w:hAnsi="仿宋" w:eastAsia="仿宋" w:cs="仿宋"/>
          <w:color w:val="auto"/>
          <w:sz w:val="24"/>
          <w:highlight w:val="none"/>
          <w:u w:val="single"/>
          <w:lang w:val="en-US" w:eastAsia="zh-CN"/>
        </w:rPr>
        <w:t xml:space="preserve">均为实质性要求，投标人须提供承诺函（格式自拟）。</w:t>
      </w:r>
      <w:r/>
    </w:p>
    <w:p>
      <w:pPr>
        <w:jc w:val="center"/>
        <w:keepLines w:val="0"/>
        <w:keepNext w:val="0"/>
        <w:pageBreakBefore w:val="0"/>
        <w:spacing w:before="120" w:after="120" w:line="480" w:lineRule="exact"/>
        <w:widowControl w:val="off"/>
        <w:rPr>
          <w:rFonts w:hint="eastAsia" w:ascii="黑体" w:hAnsi="Courier New" w:eastAsia="黑体" w:cs="Courier New"/>
          <w:bCs/>
          <w:color w:val="auto"/>
          <w:sz w:val="44"/>
          <w:szCs w:val="21"/>
          <w:highlight w:val="none"/>
        </w:rPr>
        <w:outlineLvl w:val="0"/>
      </w:pPr>
      <w:r/>
      <w:bookmarkStart w:id="214" w:name="_Toc3365"/>
      <w:r>
        <w:rPr>
          <w:rFonts w:hint="eastAsia" w:ascii="黑体" w:hAnsi="Courier New" w:eastAsia="黑体" w:cs="Courier New"/>
          <w:bCs/>
          <w:color w:val="auto"/>
          <w:sz w:val="44"/>
          <w:szCs w:val="21"/>
          <w:highlight w:val="none"/>
        </w:rPr>
        <w:t xml:space="preserve">第五章  评标方法与评标标准</w:t>
      </w:r>
      <w:bookmarkEnd w:id="214"/>
      <w:r/>
      <w:r/>
    </w:p>
    <w:p>
      <w:pPr>
        <w:ind w:firstLine="512"/>
        <w:jc w:val="left"/>
        <w:keepLines w:val="0"/>
        <w:keepNext w:val="0"/>
        <w:pageBreakBefore w:val="0"/>
        <w:spacing w:before="120" w:after="120" w:line="460" w:lineRule="exact"/>
        <w:widowControl w:val="off"/>
        <w:rPr>
          <w:rFonts w:hint="eastAsia" w:ascii="仿宋" w:hAnsi="仿宋" w:eastAsia="仿宋" w:cs="Arial"/>
          <w:color w:val="auto"/>
          <w:sz w:val="28"/>
          <w:szCs w:val="28"/>
          <w:highlight w:val="none"/>
        </w:rPr>
      </w:pPr>
      <w:r>
        <w:rPr>
          <w:rFonts w:ascii="仿宋" w:hAnsi="仿宋" w:eastAsia="仿宋" w:cs="Arial"/>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highlight w:val="none"/>
        </w:rPr>
        <w:t xml:space="preserve">。本项目选取1名中标候选人。</w:t>
      </w:r>
      <w:bookmarkEnd w:id="192"/>
      <w:r/>
      <w:bookmarkEnd w:id="193"/>
      <w:r/>
      <w:bookmarkEnd w:id="194"/>
      <w:r/>
      <w:r/>
    </w:p>
    <w:p>
      <w:pPr>
        <w:ind w:firstLine="562"/>
        <w:jc w:val="left"/>
        <w:keepLines w:val="0"/>
        <w:keepNext w:val="0"/>
        <w:pageBreakBefore w:val="0"/>
        <w:spacing w:before="120" w:after="120" w:line="460" w:lineRule="exact"/>
        <w:widowControl w:val="off"/>
        <w:rPr>
          <w:rFonts w:hint="eastAsia" w:ascii="仿宋" w:hAnsi="仿宋" w:eastAsia="仿宋"/>
          <w:b/>
          <w:color w:val="auto"/>
          <w:sz w:val="28"/>
          <w:szCs w:val="28"/>
          <w:highlight w:val="none"/>
        </w:rPr>
      </w:pPr>
      <w:r/>
      <w:bookmarkStart w:id="215" w:name="_Toc120614282"/>
      <w:r/>
      <w:bookmarkStart w:id="216" w:name="_Toc26554094"/>
      <w:r/>
      <w:bookmarkStart w:id="217" w:name="_Toc49090576"/>
      <w:r>
        <w:rPr>
          <w:rFonts w:hint="eastAsia" w:ascii="仿宋" w:hAnsi="仿宋" w:eastAsia="仿宋"/>
          <w:b/>
          <w:color w:val="auto"/>
          <w:sz w:val="28"/>
          <w:szCs w:val="28"/>
          <w:highlight w:val="none"/>
        </w:rPr>
        <w:t xml:space="preserve">评标方法与评标标准</w:t>
      </w:r>
      <w:r/>
    </w:p>
    <w:p>
      <w:pPr>
        <w:ind w:firstLine="562"/>
        <w:jc w:val="left"/>
        <w:keepLines w:val="0"/>
        <w:keepNext w:val="0"/>
        <w:pageBreakBefore w:val="0"/>
        <w:spacing w:before="120" w:after="120" w:line="460" w:lineRule="exact"/>
        <w:widowControl w:val="off"/>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1.价格分：</w:t>
      </w:r>
      <w:r>
        <w:rPr>
          <w:rFonts w:hint="eastAsia" w:ascii="仿宋" w:hAnsi="仿宋" w:eastAsia="仿宋"/>
          <w:b/>
          <w:color w:val="auto"/>
          <w:sz w:val="24"/>
          <w:szCs w:val="24"/>
          <w:highlight w:val="none"/>
          <w:lang w:val="en-US" w:eastAsia="zh-CN"/>
        </w:rPr>
        <w:t xml:space="preserve">30</w:t>
      </w:r>
      <w:r>
        <w:rPr>
          <w:rFonts w:hint="eastAsia" w:ascii="仿宋" w:hAnsi="仿宋" w:eastAsia="仿宋"/>
          <w:b/>
          <w:color w:val="auto"/>
          <w:sz w:val="24"/>
          <w:szCs w:val="24"/>
          <w:highlight w:val="none"/>
        </w:rPr>
        <w:t xml:space="preserve">分</w:t>
      </w:r>
      <w:r/>
    </w:p>
    <w:p>
      <w:pPr>
        <w:ind w:firstLine="560"/>
        <w:jc w:val="left"/>
        <w:keepLines w:val="0"/>
        <w:keepNext w:val="0"/>
        <w:pageBreakBefore w:val="0"/>
        <w:spacing w:before="120" w:after="120" w:line="460" w:lineRule="exact"/>
        <w:widowControl w:val="off"/>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keepLines w:val="0"/>
        <w:keepNext w:val="0"/>
        <w:pageBreakBefore w:val="0"/>
        <w:spacing w:before="120" w:after="62" w:line="460" w:lineRule="exact"/>
        <w:widowControl w:val="off"/>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2.</w:t>
      </w:r>
      <w:r>
        <w:rPr>
          <w:rFonts w:hint="eastAsia" w:ascii="Times New Roman" w:hAnsi="Times New Roman" w:eastAsia="仿宋" w:cs="Times New Roman"/>
          <w:b/>
          <w:color w:val="auto"/>
          <w:sz w:val="24"/>
          <w:szCs w:val="24"/>
          <w:highlight w:val="none"/>
        </w:rPr>
        <w:t xml:space="preserve">技术分：</w:t>
      </w:r>
      <w:r>
        <w:rPr>
          <w:rFonts w:hint="eastAsia" w:eastAsia="仿宋" w:cs="Times New Roman"/>
          <w:b/>
          <w:color w:val="auto"/>
          <w:sz w:val="24"/>
          <w:szCs w:val="24"/>
          <w:highlight w:val="none"/>
          <w:lang w:val="en-US" w:eastAsia="zh-CN"/>
        </w:rPr>
        <w:t xml:space="preserve">45</w:t>
      </w:r>
      <w:r>
        <w:rPr>
          <w:rFonts w:hint="eastAsia" w:ascii="Times New Roman" w:hAnsi="Times New Roman" w:eastAsia="仿宋" w:cs="Times New Roman"/>
          <w:b/>
          <w:color w:val="auto"/>
          <w:sz w:val="24"/>
          <w:szCs w:val="24"/>
          <w:highlight w:val="none"/>
        </w:rPr>
        <w:t xml:space="preserve">分</w:t>
      </w:r>
      <w:r/>
    </w:p>
    <w:tbl>
      <w:tblPr>
        <w:tblStyle w:val="96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389"/>
        <w:gridCol w:w="960"/>
        <w:gridCol w:w="4928"/>
        <w:gridCol w:w="1052"/>
      </w:tblGrid>
      <w:tr>
        <w:trPr/>
        <w:tc>
          <w:tcPr>
            <w:tcW w:w="840"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序号</w:t>
            </w:r>
            <w:r/>
          </w:p>
        </w:tc>
        <w:tc>
          <w:tcPr>
            <w:tcW w:w="1389"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评分点名称</w:t>
            </w:r>
            <w:r/>
          </w:p>
        </w:tc>
        <w:tc>
          <w:tcPr>
            <w:tcW w:w="960"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分值</w:t>
            </w:r>
            <w:r/>
          </w:p>
        </w:tc>
        <w:tc>
          <w:tcPr>
            <w:tcW w:w="492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评审标准</w:t>
            </w:r>
            <w:r/>
          </w:p>
        </w:tc>
        <w:tc>
          <w:tcPr>
            <w:tcW w:w="1052"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主/客观分</w:t>
            </w:r>
            <w:r/>
          </w:p>
        </w:tc>
      </w:tr>
      <w:tr>
        <w:trPr>
          <w:trHeight w:val="3572"/>
        </w:trPr>
        <w:tc>
          <w:tcPr>
            <w:shd w:val="clear" w:color="auto" w:fill="auto"/>
            <w:tcW w:w="840"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W w:w="1389" w:type="dxa"/>
            <w:vAlign w:val="center"/>
            <w:textDirection w:val="lrTb"/>
            <w:noWrap w:val="false"/>
          </w:tcPr>
          <w:p>
            <w:pPr>
              <w:jc w:val="center"/>
              <w:spacing w:after="0"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技术参数规格</w:t>
            </w:r>
            <w:r/>
          </w:p>
        </w:tc>
        <w:tc>
          <w:tcPr>
            <w:shd w:val="clear" w:color="auto" w:fill="auto"/>
            <w:tcW w:w="960" w:type="dxa"/>
            <w:vAlign w:val="center"/>
            <w:textDirection w:val="lrTb"/>
            <w:noWrap w:val="false"/>
          </w:tcPr>
          <w:p>
            <w:pPr>
              <w:jc w:val="center"/>
              <w:spacing w:after="0" w:line="240"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bCs/>
                <w:color w:val="000000"/>
                <w:sz w:val="22"/>
                <w:szCs w:val="22"/>
                <w:lang w:val="en-US" w:eastAsia="zh-CN"/>
              </w:rPr>
              <w:t xml:space="preserve">30</w:t>
            </w:r>
            <w:r/>
          </w:p>
        </w:tc>
        <w:tc>
          <w:tcPr>
            <w:shd w:val="clear" w:color="auto" w:fill="auto"/>
            <w:tcW w:w="4928" w:type="dxa"/>
            <w:vAlign w:val="center"/>
            <w:textDirection w:val="lrTb"/>
            <w:noWrap w:val="false"/>
          </w:tcPr>
          <w:p>
            <w:pPr>
              <w:jc w:val="left"/>
              <w:spacing w:after="0"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依据响应文件中偏离表、技术规格说明对招标文件《采购需求》“技术参数要求”及服务要求满足程度进行评价（注：未按采购文件要求提供证明材料的视为不满足）。</w:t>
            </w:r>
            <w:r/>
          </w:p>
          <w:p>
            <w:pPr>
              <w:jc w:val="left"/>
              <w:spacing w:after="0"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标有“▲”的参数为重要参数，每项须提供国家认可的检测机构出具的对应参数检测报告</w:t>
            </w:r>
            <w:r>
              <w:rPr>
                <w:rFonts w:hint="eastAsia" w:ascii="仿宋" w:hAnsi="仿宋" w:eastAsia="仿宋" w:cs="仿宋"/>
                <w:color w:val="auto"/>
                <w:sz w:val="22"/>
                <w:szCs w:val="22"/>
                <w:highlight w:val="none"/>
                <w:lang w:eastAsia="zh-CN"/>
              </w:rPr>
              <w:t xml:space="preserve">，完全满足要求该项得2分，未提供或有负偏离该项得0分；</w:t>
            </w:r>
            <w:r/>
          </w:p>
          <w:p>
            <w:pPr>
              <w:jc w:val="left"/>
              <w:spacing w:after="0"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其他参数为普通参数，根据偏离表打分</w:t>
            </w:r>
            <w:r>
              <w:rPr>
                <w:rFonts w:hint="eastAsia" w:ascii="仿宋" w:hAnsi="仿宋" w:eastAsia="仿宋" w:cs="仿宋"/>
                <w:color w:val="auto"/>
                <w:sz w:val="22"/>
                <w:szCs w:val="22"/>
                <w:highlight w:val="none"/>
                <w:lang w:eastAsia="zh-CN"/>
              </w:rPr>
              <w:t xml:space="preserve">，无负偏离该项得0.5分，有负偏离该项得0分。</w:t>
            </w:r>
            <w:r/>
          </w:p>
          <w:p>
            <w:pPr>
              <w:jc w:val="left"/>
              <w:spacing w:after="0"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共计：5项重要参数，40项普通参数。</w:t>
            </w:r>
            <w:r/>
          </w:p>
          <w:p>
            <w:pPr>
              <w:jc w:val="left"/>
              <w:spacing w:after="0" w:line="240" w:lineRule="auto"/>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本项最高得30分，最低得0分。</w:t>
            </w:r>
            <w:r/>
          </w:p>
        </w:tc>
        <w:tc>
          <w:tcPr>
            <w:shd w:val="clear" w:color="auto" w:fill="auto"/>
            <w:tcW w:w="1052"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客观分</w:t>
            </w:r>
            <w:r/>
          </w:p>
        </w:tc>
      </w:tr>
      <w:tr>
        <w:trPr/>
        <w:tc>
          <w:tcPr>
            <w:shd w:val="clear" w:color="auto" w:fill="auto"/>
            <w:tcW w:w="840"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p>
        </w:tc>
        <w:tc>
          <w:tcPr>
            <w:shd w:val="clear" w:color="auto" w:fill="auto"/>
            <w:tcW w:w="1389" w:type="dxa"/>
            <w:vAlign w:val="center"/>
            <w:textDirection w:val="lrTb"/>
            <w:noWrap w:val="false"/>
          </w:tcPr>
          <w:p>
            <w:pPr>
              <w:jc w:val="center"/>
              <w:spacing w:after="0" w:line="240" w:lineRule="auto"/>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 xml:space="preserve">产品演示</w:t>
            </w:r>
            <w:r/>
          </w:p>
        </w:tc>
        <w:tc>
          <w:tcPr>
            <w:shd w:val="clear" w:color="auto" w:fill="auto"/>
            <w:tcW w:w="960" w:type="dxa"/>
            <w:vAlign w:val="center"/>
            <w:textDirection w:val="lrTb"/>
            <w:noWrap w:val="false"/>
          </w:tcPr>
          <w:p>
            <w:pPr>
              <w:jc w:val="center"/>
              <w:spacing w:after="0" w:line="240" w:lineRule="auto"/>
              <w:rPr>
                <w:rFonts w:hint="default" w:ascii="仿宋" w:hAnsi="仿宋" w:eastAsia="仿宋" w:cs="仿宋"/>
                <w:color w:val="auto"/>
                <w:sz w:val="22"/>
                <w:szCs w:val="22"/>
                <w:highlight w:val="none"/>
                <w:lang w:val="en-US" w:eastAsia="zh-CN"/>
              </w:rPr>
            </w:pPr>
            <w:r>
              <w:rPr>
                <w:rFonts w:hint="eastAsia" w:ascii="仿宋" w:hAnsi="仿宋" w:eastAsia="仿宋" w:cs="仿宋"/>
                <w:bCs/>
                <w:color w:val="000000"/>
                <w:sz w:val="22"/>
                <w:szCs w:val="22"/>
                <w:lang w:val="en-US" w:eastAsia="zh-CN"/>
              </w:rPr>
              <w:t xml:space="preserve">15</w:t>
            </w:r>
            <w:r/>
          </w:p>
        </w:tc>
        <w:tc>
          <w:tcPr>
            <w:shd w:val="clear" w:color="auto" w:fill="auto"/>
            <w:tcW w:w="4928" w:type="dxa"/>
            <w:vAlign w:val="top"/>
            <w:textDirection w:val="lrTb"/>
            <w:noWrap w:val="false"/>
          </w:tcPr>
          <w:p>
            <w:pPr>
              <w:pStyle w:val="972"/>
              <w:ind w:left="0" w:firstLine="0"/>
              <w:rPr>
                <w:rFonts w:hint="eastAsia" w:ascii="仿宋" w:hAnsi="仿宋" w:eastAsia="仿宋" w:cs="仿宋"/>
                <w:b/>
                <w:bCs w:val="0"/>
                <w:color w:val="auto"/>
                <w:sz w:val="22"/>
                <w:szCs w:val="22"/>
                <w:shd w:val="clear" w:color="auto" w:fill="ffffff"/>
              </w:rPr>
            </w:pPr>
            <w:r>
              <w:rPr>
                <w:rFonts w:hint="eastAsia" w:ascii="仿宋" w:hAnsi="仿宋" w:eastAsia="仿宋" w:cs="仿宋"/>
                <w:b/>
                <w:bCs w:val="0"/>
                <w:color w:val="0f1115"/>
                <w:sz w:val="22"/>
                <w:szCs w:val="22"/>
                <w:u w:val="single"/>
                <w:shd w:val="clear" w:color="auto" w:fill="ffffff"/>
                <w:lang w:val="en-US" w:eastAsia="zh-CN"/>
              </w:rPr>
              <w:t xml:space="preserve">投标人</w:t>
            </w:r>
            <w:r>
              <w:rPr>
                <w:rFonts w:hint="eastAsia" w:ascii="仿宋" w:hAnsi="仿宋" w:eastAsia="仿宋" w:cs="仿宋"/>
                <w:b/>
                <w:bCs w:val="0"/>
                <w:color w:val="0f1115"/>
                <w:sz w:val="22"/>
                <w:szCs w:val="22"/>
                <w:u w:val="single"/>
                <w:shd w:val="clear" w:color="auto" w:fill="ffffff"/>
              </w:rPr>
              <w:t xml:space="preserve">需提供以下参数真实环境运行演示视频，视频内容须调用真实平台及系统实操演示，严禁</w:t>
            </w:r>
            <w:r>
              <w:rPr>
                <w:rFonts w:hint="eastAsia" w:ascii="仿宋" w:hAnsi="仿宋" w:eastAsia="仿宋" w:cs="仿宋"/>
                <w:b/>
                <w:bCs w:val="0"/>
                <w:color w:val="auto"/>
                <w:sz w:val="22"/>
                <w:szCs w:val="22"/>
                <w:u w:val="single"/>
                <w:shd w:val="clear" w:color="auto" w:fill="ffffff"/>
              </w:rPr>
              <w:t xml:space="preserve">使用PPT、FLASH等静态、虚拟形式演示，严禁使用大模型生成演示视频，</w:t>
            </w:r>
            <w:r>
              <w:rPr>
                <w:rFonts w:hint="eastAsia" w:ascii="仿宋" w:hAnsi="仿宋" w:eastAsia="仿宋" w:cs="仿宋"/>
                <w:b/>
                <w:bCs w:val="0"/>
                <w:color w:val="auto"/>
                <w:sz w:val="22"/>
                <w:szCs w:val="22"/>
                <w:u w:val="single"/>
                <w:shd w:val="clear" w:color="auto" w:fill="ffffff"/>
              </w:rPr>
              <w:t xml:space="preserve">总视频时长不超过</w:t>
            </w:r>
            <w:r>
              <w:rPr>
                <w:rFonts w:hint="eastAsia" w:ascii="仿宋" w:hAnsi="仿宋" w:eastAsia="仿宋" w:cs="仿宋"/>
                <w:b/>
                <w:bCs w:val="0"/>
                <w:color w:val="auto"/>
                <w:sz w:val="22"/>
                <w:szCs w:val="22"/>
                <w:u w:val="single"/>
                <w:shd w:val="clear" w:color="auto" w:fill="ffffff"/>
                <w:lang w:val="en-US" w:eastAsia="zh-CN"/>
              </w:rPr>
              <w:t xml:space="preserve">1</w:t>
            </w:r>
            <w:r>
              <w:rPr>
                <w:rFonts w:hint="eastAsia" w:ascii="仿宋" w:hAnsi="仿宋" w:eastAsia="仿宋" w:cs="仿宋"/>
                <w:b/>
                <w:bCs w:val="0"/>
                <w:color w:val="auto"/>
                <w:sz w:val="22"/>
                <w:szCs w:val="22"/>
                <w:u w:val="single"/>
                <w:shd w:val="clear" w:color="auto" w:fill="ffffff"/>
              </w:rPr>
              <w:t xml:space="preserve">0分钟</w:t>
            </w:r>
            <w:r>
              <w:rPr>
                <w:rFonts w:hint="eastAsia" w:ascii="仿宋" w:hAnsi="仿宋" w:eastAsia="仿宋" w:cs="仿宋"/>
                <w:b/>
                <w:bCs w:val="0"/>
                <w:color w:val="auto"/>
                <w:sz w:val="22"/>
                <w:szCs w:val="22"/>
                <w:u w:val="single"/>
                <w:shd w:val="clear" w:color="auto" w:fill="ffffff"/>
                <w:lang w:eastAsia="zh-CN"/>
              </w:rPr>
              <w:t xml:space="preserve">（</w:t>
            </w:r>
            <w:r>
              <w:rPr>
                <w:rFonts w:hint="eastAsia" w:ascii="仿宋" w:hAnsi="仿宋" w:eastAsia="仿宋" w:cs="仿宋"/>
                <w:b/>
                <w:bCs w:val="0"/>
                <w:color w:val="auto"/>
                <w:sz w:val="22"/>
                <w:szCs w:val="22"/>
                <w:u w:val="single"/>
                <w:shd w:val="clear" w:color="auto" w:fill="ffffff"/>
              </w:rPr>
              <w:t xml:space="preserve">超过</w:t>
            </w:r>
            <w:r>
              <w:rPr>
                <w:rFonts w:hint="eastAsia" w:ascii="仿宋" w:hAnsi="仿宋" w:eastAsia="仿宋" w:cs="仿宋"/>
                <w:b/>
                <w:bCs w:val="0"/>
                <w:color w:val="auto"/>
                <w:sz w:val="22"/>
                <w:szCs w:val="22"/>
                <w:u w:val="single"/>
                <w:shd w:val="clear" w:color="auto" w:fill="ffffff"/>
                <w:lang w:val="en-US" w:eastAsia="zh-CN"/>
              </w:rPr>
              <w:t xml:space="preserve">1</w:t>
            </w:r>
            <w:r>
              <w:rPr>
                <w:rFonts w:hint="eastAsia" w:ascii="仿宋" w:hAnsi="仿宋" w:eastAsia="仿宋" w:cs="仿宋"/>
                <w:b/>
                <w:bCs w:val="0"/>
                <w:color w:val="auto"/>
                <w:sz w:val="22"/>
                <w:szCs w:val="22"/>
                <w:u w:val="single"/>
                <w:shd w:val="clear" w:color="auto" w:fill="ffffff"/>
              </w:rPr>
              <w:t xml:space="preserve">0分钟的，仅根据视频前</w:t>
            </w:r>
            <w:r>
              <w:rPr>
                <w:rFonts w:hint="eastAsia" w:ascii="仿宋" w:hAnsi="仿宋" w:eastAsia="仿宋" w:cs="仿宋"/>
                <w:b/>
                <w:bCs w:val="0"/>
                <w:color w:val="auto"/>
                <w:sz w:val="22"/>
                <w:szCs w:val="22"/>
                <w:u w:val="single"/>
                <w:shd w:val="clear" w:color="auto" w:fill="ffffff"/>
                <w:lang w:val="en-US" w:eastAsia="zh-CN"/>
              </w:rPr>
              <w:t xml:space="preserve">1</w:t>
            </w:r>
            <w:r>
              <w:rPr>
                <w:rFonts w:hint="eastAsia" w:ascii="仿宋" w:hAnsi="仿宋" w:eastAsia="仿宋" w:cs="仿宋"/>
                <w:b/>
                <w:bCs w:val="0"/>
                <w:color w:val="auto"/>
                <w:sz w:val="22"/>
                <w:szCs w:val="22"/>
                <w:u w:val="single"/>
                <w:shd w:val="clear" w:color="auto" w:fill="ffffff"/>
              </w:rPr>
              <w:t xml:space="preserve">0分钟所演示讲解内容评分）。</w:t>
            </w:r>
            <w:r>
              <w:rPr>
                <w:rFonts w:hint="eastAsia" w:ascii="仿宋" w:hAnsi="仿宋" w:eastAsia="仿宋" w:cs="仿宋"/>
                <w:b/>
                <w:bCs w:val="0"/>
                <w:color w:val="auto"/>
                <w:sz w:val="22"/>
                <w:szCs w:val="22"/>
                <w:u w:val="single"/>
              </w:rPr>
              <w:t xml:space="preserve">因投标人上传文件本身损坏等自身原因导致演示资料无法正常读取的视为无效演示，本项不得分，由投标人自行承担责任。</w:t>
            </w:r>
            <w:r>
              <w:rPr>
                <w:color w:val="auto"/>
              </w:rPr>
            </w:r>
          </w:p>
          <w:p>
            <w:pPr>
              <w:pStyle w:val="972"/>
              <w:ind w:left="0" w:firstLine="0"/>
              <w:rPr>
                <w:rFonts w:hint="eastAsia" w:ascii="仿宋" w:hAnsi="仿宋" w:eastAsia="仿宋" w:cs="仿宋"/>
                <w:b/>
                <w:bCs w:val="0"/>
                <w:color w:val="auto"/>
                <w:sz w:val="22"/>
                <w:szCs w:val="22"/>
                <w:shd w:val="clear" w:color="auto" w:fill="ffffff"/>
              </w:rPr>
            </w:pPr>
            <w:r>
              <w:rPr>
                <w:rFonts w:hint="eastAsia" w:ascii="仿宋" w:hAnsi="仿宋" w:eastAsia="仿宋" w:cs="仿宋"/>
                <w:b/>
                <w:bCs w:val="0"/>
                <w:color w:val="auto"/>
                <w:sz w:val="22"/>
                <w:szCs w:val="22"/>
                <w:shd w:val="clear" w:color="auto" w:fill="ffffff"/>
              </w:rPr>
              <w:t xml:space="preserve">本项满分15分，共6项演示内容。</w:t>
            </w:r>
            <w:r>
              <w:rPr>
                <w:color w:val="auto"/>
              </w:rPr>
            </w:r>
          </w:p>
          <w:p>
            <w:pPr>
              <w:pStyle w:val="972"/>
              <w:ind w:left="0" w:firstLine="0"/>
              <w:rPr>
                <w:rFonts w:hint="eastAsia" w:ascii="仿宋" w:hAnsi="仿宋" w:eastAsia="仿宋" w:cs="仿宋"/>
                <w:b/>
                <w:bCs w:val="0"/>
                <w:color w:val="0f1115"/>
                <w:sz w:val="22"/>
                <w:szCs w:val="22"/>
                <w:shd w:val="clear" w:color="auto" w:fill="ffffff"/>
              </w:rPr>
            </w:pPr>
            <w:r>
              <w:rPr>
                <w:rFonts w:hint="eastAsia" w:ascii="仿宋" w:hAnsi="仿宋" w:eastAsia="仿宋" w:cs="仿宋"/>
                <w:b/>
                <w:bCs w:val="0"/>
                <w:color w:val="0f1115"/>
                <w:sz w:val="22"/>
                <w:szCs w:val="22"/>
                <w:shd w:val="clear" w:color="auto" w:fill="ffffff"/>
              </w:rPr>
              <w:t xml:space="preserve">对于每项演示内容，提供符合全部要求的演示视频的，该项得2.5分；不提供或未全部符合该项演示要求的，该项不得分。</w:t>
            </w:r>
            <w:r/>
          </w:p>
          <w:p>
            <w:pPr>
              <w:pStyle w:val="972"/>
              <w:ind w:left="0" w:firstLine="0"/>
              <w:rPr>
                <w:rFonts w:hint="eastAsia" w:ascii="仿宋" w:hAnsi="仿宋" w:eastAsia="仿宋" w:cs="仿宋"/>
                <w:b w:val="0"/>
                <w:bCs/>
                <w:color w:val="0f1115"/>
                <w:sz w:val="22"/>
                <w:szCs w:val="22"/>
                <w:shd w:val="clear" w:color="auto" w:fill="ffffff"/>
              </w:rPr>
            </w:pPr>
            <w:r>
              <w:rPr>
                <w:rFonts w:hint="eastAsia" w:ascii="仿宋" w:hAnsi="仿宋" w:eastAsia="仿宋" w:cs="仿宋"/>
                <w:b w:val="0"/>
                <w:bCs/>
                <w:color w:val="0f1115"/>
                <w:sz w:val="22"/>
                <w:szCs w:val="22"/>
                <w:shd w:val="clear" w:color="auto" w:fill="ffffff"/>
              </w:rPr>
              <w:t xml:space="preserve">需演示的参数内容如下：</w:t>
            </w:r>
            <w:r/>
          </w:p>
          <w:p>
            <w:pPr>
              <w:pStyle w:val="972"/>
              <w:ind w:left="0" w:firstLine="0"/>
              <w:rPr>
                <w:rFonts w:hint="eastAsia" w:ascii="仿宋" w:hAnsi="仿宋" w:eastAsia="仿宋" w:cs="仿宋"/>
                <w:b w:val="0"/>
                <w:bCs/>
                <w:color w:val="0f1115"/>
                <w:sz w:val="22"/>
                <w:szCs w:val="22"/>
                <w:shd w:val="clear" w:color="auto" w:fill="ffffff"/>
              </w:rPr>
            </w:pPr>
            <w:r>
              <w:rPr>
                <w:rFonts w:hint="eastAsia" w:ascii="仿宋" w:hAnsi="仿宋" w:eastAsia="仿宋" w:cs="仿宋"/>
                <w:b w:val="0"/>
                <w:bCs/>
                <w:color w:val="0f1115"/>
                <w:sz w:val="22"/>
                <w:szCs w:val="22"/>
                <w:shd w:val="clear" w:color="auto" w:fill="ffffff"/>
              </w:rPr>
              <w:t xml:space="preserve">1.需支持自动识别语文学科的错别字书写，包含笔画/偏旁/部首/结构错误全类型，支持圈画错别字并同步留痕正确写法。</w:t>
            </w:r>
            <w:r/>
          </w:p>
          <w:p>
            <w:pPr>
              <w:pStyle w:val="972"/>
              <w:ind w:left="0" w:firstLine="0"/>
              <w:rPr>
                <w:rFonts w:hint="eastAsia" w:ascii="仿宋" w:hAnsi="仿宋" w:eastAsia="仿宋" w:cs="仿宋"/>
                <w:b w:val="0"/>
                <w:bCs/>
                <w:color w:val="0f1115"/>
                <w:sz w:val="22"/>
                <w:szCs w:val="22"/>
                <w:shd w:val="clear" w:color="auto" w:fill="ffffff"/>
              </w:rPr>
            </w:pPr>
            <w:r>
              <w:rPr>
                <w:rFonts w:hint="eastAsia" w:ascii="仿宋" w:hAnsi="仿宋" w:eastAsia="仿宋" w:cs="仿宋"/>
                <w:b w:val="0"/>
                <w:bCs/>
                <w:color w:val="0f1115"/>
                <w:sz w:val="22"/>
                <w:szCs w:val="22"/>
                <w:shd w:val="clear" w:color="auto" w:fill="ffffff"/>
              </w:rPr>
              <w:t xml:space="preserve">2.需支持教师通过移动端APP布置作文批阅任务，需支持文本输入、拍照、上传图片的方式生成作文题目。</w:t>
            </w:r>
            <w:r/>
          </w:p>
          <w:p>
            <w:pPr>
              <w:pStyle w:val="972"/>
              <w:ind w:left="0" w:firstLine="0"/>
              <w:rPr>
                <w:rFonts w:hint="eastAsia" w:ascii="仿宋" w:hAnsi="仿宋" w:eastAsia="仿宋" w:cs="仿宋"/>
                <w:b w:val="0"/>
                <w:bCs/>
                <w:color w:val="0f1115"/>
                <w:sz w:val="22"/>
                <w:szCs w:val="22"/>
                <w:shd w:val="clear" w:color="auto" w:fill="ffffff"/>
              </w:rPr>
            </w:pPr>
            <w:r>
              <w:rPr>
                <w:rFonts w:hint="eastAsia" w:ascii="仿宋" w:hAnsi="仿宋" w:eastAsia="仿宋" w:cs="仿宋"/>
                <w:b w:val="0"/>
                <w:bCs/>
                <w:color w:val="0f1115"/>
                <w:sz w:val="22"/>
                <w:szCs w:val="22"/>
                <w:shd w:val="clear" w:color="auto" w:fill="ffffff"/>
              </w:rPr>
              <w:t xml:space="preserve">3.需支持不依赖于平台选题组卷形成的英语试卷（同时包含客观题、主观题及作文）的智能批改，其中针对作文智批需支持在作文原文逐句圈划批改，支持分数/等级评价、写作点评和润色建议；逐句圈划批改痕迹可在学生作答原卷显示留痕渲染，并支持留痕打印。</w:t>
            </w:r>
            <w:r/>
          </w:p>
          <w:p>
            <w:pPr>
              <w:pStyle w:val="972"/>
              <w:ind w:left="0" w:firstLine="0"/>
              <w:rPr>
                <w:rFonts w:hint="eastAsia" w:ascii="仿宋" w:hAnsi="仿宋" w:eastAsia="仿宋" w:cs="仿宋"/>
                <w:b w:val="0"/>
                <w:bCs/>
                <w:color w:val="0f1115"/>
                <w:sz w:val="22"/>
                <w:szCs w:val="22"/>
                <w:shd w:val="clear" w:color="auto" w:fill="ffffff"/>
              </w:rPr>
            </w:pPr>
            <w:r>
              <w:rPr>
                <w:rFonts w:hint="eastAsia" w:ascii="仿宋" w:hAnsi="仿宋" w:eastAsia="仿宋" w:cs="仿宋"/>
                <w:b w:val="0"/>
                <w:bCs/>
                <w:color w:val="0f1115"/>
                <w:sz w:val="22"/>
                <w:szCs w:val="22"/>
                <w:shd w:val="clear" w:color="auto" w:fill="ffffff"/>
              </w:rPr>
              <w:t xml:space="preserve">4.需支持不依赖于平台选题组卷形成的语文试卷（同时包含客观题、主观题及作文）的智能批改，其中针对作文智批需支持在作文原文逐句圈划批改，支持分数/等级评价、并自动生成完整的作文报告，报告需至少包含总评、多维点评、写作建议和全文润色；逐句圈划批改痕迹可在学生作答原卷显示留痕渲染，并支持留痕打印。</w:t>
            </w:r>
            <w:r/>
          </w:p>
          <w:p>
            <w:pPr>
              <w:pStyle w:val="972"/>
              <w:ind w:left="0" w:firstLine="0"/>
              <w:rPr>
                <w:rFonts w:hint="eastAsia" w:ascii="仿宋" w:hAnsi="仿宋" w:eastAsia="仿宋" w:cs="仿宋"/>
                <w:b w:val="0"/>
                <w:bCs/>
                <w:color w:val="0f1115"/>
                <w:sz w:val="22"/>
                <w:szCs w:val="22"/>
                <w:shd w:val="clear" w:color="auto" w:fill="ffffff"/>
              </w:rPr>
            </w:pPr>
            <w:r>
              <w:rPr>
                <w:rFonts w:hint="eastAsia" w:ascii="仿宋" w:hAnsi="仿宋" w:eastAsia="仿宋" w:cs="仿宋"/>
                <w:b w:val="0"/>
                <w:bCs/>
                <w:color w:val="0f1115"/>
                <w:sz w:val="22"/>
                <w:szCs w:val="22"/>
                <w:shd w:val="clear" w:color="auto" w:fill="ffffff"/>
              </w:rPr>
              <w:t xml:space="preserve">5.需支持基于教材章节，自动推送覆盖基础、提升和拓展三个层级的练习题包。</w:t>
            </w:r>
            <w:r/>
          </w:p>
          <w:p>
            <w:pPr>
              <w:pStyle w:val="972"/>
              <w:ind w:left="0" w:firstLine="0"/>
              <w:rPr>
                <w:rFonts w:hint="eastAsia" w:ascii="仿宋" w:hAnsi="仿宋" w:eastAsia="仿宋" w:cs="仿宋"/>
                <w:color w:val="auto"/>
                <w:sz w:val="22"/>
                <w:szCs w:val="22"/>
                <w:highlight w:val="none"/>
                <w:lang w:eastAsia="zh-CN"/>
              </w:rPr>
            </w:pPr>
            <w:r>
              <w:rPr>
                <w:rFonts w:hint="eastAsia" w:ascii="仿宋" w:hAnsi="仿宋" w:eastAsia="仿宋" w:cs="仿宋"/>
                <w:b w:val="0"/>
                <w:bCs/>
                <w:color w:val="0f1115"/>
                <w:sz w:val="22"/>
                <w:szCs w:val="22"/>
                <w:shd w:val="clear" w:color="auto" w:fill="ffffff"/>
              </w:rPr>
              <w:t xml:space="preserve">6.需提供区域练习整体应用情况，包括应用学校数、应用班级数、应用教师数、应用学生数、区本练习题量、校本练习题量、错题库数及智能设备数，需支持查看学校应用情况及应用详情。</w:t>
            </w:r>
            <w:r/>
          </w:p>
        </w:tc>
        <w:tc>
          <w:tcPr>
            <w:shd w:val="clear" w:color="auto" w:fill="auto"/>
            <w:tcW w:w="1052"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客观分</w:t>
            </w:r>
            <w:r/>
          </w:p>
        </w:tc>
      </w:tr>
    </w:tbl>
    <w:p>
      <w:pPr>
        <w:rPr>
          <w:rFonts w:hint="eastAsia" w:ascii="Times New Roman" w:hAnsi="Times New Roman" w:eastAsia="仿宋" w:cs="Times New Roman"/>
          <w:b/>
          <w:color w:val="auto"/>
          <w:sz w:val="24"/>
          <w:szCs w:val="24"/>
          <w:highlight w:val="none"/>
          <w:lang w:val="en-US" w:eastAsia="zh-CN"/>
        </w:rPr>
      </w:pPr>
      <w:r>
        <w:rPr>
          <w:rFonts w:hint="eastAsia" w:ascii="Times New Roman" w:hAnsi="Times New Roman" w:eastAsia="仿宋" w:cs="Times New Roman"/>
          <w:b/>
          <w:color w:val="auto"/>
          <w:sz w:val="24"/>
          <w:szCs w:val="24"/>
          <w:highlight w:val="none"/>
          <w:lang w:val="en-US" w:eastAsia="zh-CN"/>
        </w:rPr>
        <w:br w:type="page" w:clear="all"/>
      </w:r>
      <w:r/>
    </w:p>
    <w:p>
      <w:pPr>
        <w:ind w:left="562"/>
        <w:jc w:val="left"/>
        <w:spacing w:before="120" w:after="62" w:line="480" w:lineRule="exact"/>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3.</w:t>
      </w:r>
      <w:r>
        <w:rPr>
          <w:rFonts w:hint="eastAsia" w:ascii="Times New Roman" w:hAnsi="Times New Roman" w:eastAsia="仿宋" w:cs="Times New Roman"/>
          <w:b/>
          <w:color w:val="auto"/>
          <w:sz w:val="24"/>
          <w:szCs w:val="24"/>
          <w:highlight w:val="none"/>
        </w:rPr>
        <w:t xml:space="preserve">商务分：</w:t>
      </w:r>
      <w:r>
        <w:rPr>
          <w:rFonts w:hint="eastAsia" w:eastAsia="仿宋" w:cs="Times New Roman"/>
          <w:b/>
          <w:color w:val="auto"/>
          <w:sz w:val="24"/>
          <w:szCs w:val="24"/>
          <w:highlight w:val="none"/>
          <w:lang w:val="en-US" w:eastAsia="zh-CN"/>
        </w:rPr>
        <w:t xml:space="preserve">25</w:t>
      </w:r>
      <w:r>
        <w:rPr>
          <w:rFonts w:hint="eastAsia" w:ascii="Times New Roman" w:hAnsi="Times New Roman" w:eastAsia="仿宋" w:cs="Times New Roman"/>
          <w:b/>
          <w:color w:val="auto"/>
          <w:sz w:val="24"/>
          <w:szCs w:val="24"/>
          <w:highlight w:val="none"/>
        </w:rPr>
        <w:t xml:space="preserve">分</w:t>
      </w:r>
      <w:r/>
    </w:p>
    <w:tbl>
      <w:tblPr>
        <w:tblStyle w:val="966"/>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序号</w:t>
            </w:r>
            <w:r/>
          </w:p>
        </w:tc>
        <w:tc>
          <w:tcPr>
            <w:tcW w:w="1064"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评分点名称</w:t>
            </w:r>
            <w:r/>
          </w:p>
        </w:tc>
        <w:tc>
          <w:tcPr>
            <w:tcW w:w="900"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分值</w:t>
            </w:r>
            <w:r/>
          </w:p>
        </w:tc>
        <w:tc>
          <w:tcPr>
            <w:tcW w:w="5205"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评审标准</w:t>
            </w:r>
            <w:r/>
          </w:p>
        </w:tc>
        <w:tc>
          <w:tcPr>
            <w:tcW w:w="1120" w:type="dxa"/>
            <w:vAlign w:val="center"/>
            <w:textDirection w:val="lrTb"/>
            <w:noWrap w:val="false"/>
          </w:tcPr>
          <w:p>
            <w:pPr>
              <w:ind w:left="0" w:right="0" w:firstLine="0"/>
              <w:jc w:val="center"/>
              <w:spacing w:after="62"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主/客观分</w:t>
            </w:r>
            <w:r/>
          </w:p>
        </w:tc>
      </w:tr>
      <w:tr>
        <w:trPr>
          <w:jc w:val="center"/>
          <w:trHeight w:val="1674"/>
        </w:trPr>
        <w:tc>
          <w:tcPr>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tcW w:w="1064" w:type="dxa"/>
            <w:vAlign w:val="center"/>
            <w:textDirection w:val="lrTb"/>
            <w:noWrap w:val="false"/>
          </w:tcPr>
          <w:p>
            <w:pPr>
              <w:jc w:val="center"/>
              <w:spacing w:after="0" w:line="240"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sz w:val="22"/>
                <w:szCs w:val="22"/>
                <w:lang w:val="en-US" w:eastAsia="zh-CN"/>
              </w:rPr>
              <w:t xml:space="preserve">企业资质</w:t>
            </w:r>
            <w:r/>
          </w:p>
        </w:tc>
        <w:tc>
          <w:tcPr>
            <w:tcW w:w="900" w:type="dxa"/>
            <w:vAlign w:val="center"/>
            <w:textDirection w:val="lrTb"/>
            <w:noWrap w:val="false"/>
          </w:tcPr>
          <w:p>
            <w:pPr>
              <w:jc w:val="center"/>
              <w:spacing w:after="0"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sz w:val="22"/>
                <w:szCs w:val="22"/>
                <w:lang w:val="en-US" w:eastAsia="zh-CN"/>
              </w:rPr>
              <w:t xml:space="preserve">6</w:t>
            </w:r>
            <w:r/>
          </w:p>
        </w:tc>
        <w:tc>
          <w:tcPr>
            <w:shd w:val="clear" w:color="auto" w:fill="auto"/>
            <w:tcW w:w="5205" w:type="dxa"/>
            <w:vAlign w:val="center"/>
            <w:textDirection w:val="lrTb"/>
            <w:noWrap w:val="false"/>
          </w:tcPr>
          <w:p>
            <w:pPr>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1.为保障师生数据信息安全，要求所投智能批阅与采集分析系统服务的厂商通过云服务信息安全认证（ISO27017），提供认证证书得2分，未提供或提供材料不符合要求的不得分。</w:t>
            </w:r>
            <w:r/>
          </w:p>
          <w:p>
            <w:pPr>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2.为保障项目服务连续性，要求所投智能批阅与采集分析系统服务的厂商通过业务连续性管理体系认证（ISO22301），提供认证证书得2分，未提供或提供材料不符合要求的不得分。</w:t>
            </w:r>
            <w:r/>
          </w:p>
          <w:p>
            <w:pPr>
              <w:spacing w:after="0"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3.为保障项目运行环境供应链安全，要求所投智能批阅与采集分析系统服务的厂商通过供应链安全管理体系认证（ISO28000），提供认证证书得2分，未提供或提供材料不符合要求的不得分。</w:t>
            </w:r>
            <w:r/>
          </w:p>
        </w:tc>
        <w:tc>
          <w:tcPr>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客观分</w:t>
            </w:r>
            <w:r/>
          </w:p>
        </w:tc>
      </w:tr>
      <w:tr>
        <w:trPr>
          <w:jc w:val="center"/>
        </w:trPr>
        <w:tc>
          <w:tcPr>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p>
        </w:tc>
        <w:tc>
          <w:tcPr>
            <w:shd w:val="clear" w:color="auto" w:fill="auto"/>
            <w:tcW w:w="1064" w:type="dxa"/>
            <w:vAlign w:val="center"/>
            <w:textDirection w:val="lrTb"/>
            <w:noWrap w:val="false"/>
          </w:tcPr>
          <w:p>
            <w:pPr>
              <w:jc w:val="cente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项目整体技术方案</w:t>
            </w:r>
            <w:r/>
          </w:p>
        </w:tc>
        <w:tc>
          <w:tcPr>
            <w:shd w:val="clear" w:color="auto" w:fill="auto"/>
            <w:tcW w:w="900" w:type="dxa"/>
            <w:vAlign w:val="center"/>
            <w:textDirection w:val="lrTb"/>
            <w:noWrap w:val="false"/>
          </w:tcPr>
          <w:p>
            <w:pPr>
              <w:jc w:val="cente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4</w:t>
            </w:r>
            <w:r/>
          </w:p>
        </w:tc>
        <w:tc>
          <w:tcPr>
            <w:shd w:val="clear" w:color="auto" w:fill="auto"/>
            <w:tcW w:w="5205" w:type="dxa"/>
            <w:vAlign w:val="center"/>
            <w:textDirection w:val="lrTb"/>
            <w:noWrap w:val="false"/>
          </w:tcPr>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评委根据供应商提供的项目整体技术方案进行综合评分，方案应包括</w:t>
            </w:r>
            <w:r>
              <w:rPr>
                <w:rFonts w:hint="eastAsia" w:ascii="仿宋" w:hAnsi="仿宋" w:eastAsia="仿宋" w:cs="仿宋"/>
                <w:b/>
                <w:bCs/>
                <w:sz w:val="22"/>
                <w:szCs w:val="22"/>
              </w:rPr>
              <w:t xml:space="preserve">需求分析、整体架构、安全防护、运维保障</w:t>
            </w:r>
            <w:r>
              <w:rPr>
                <w:rFonts w:hint="eastAsia" w:ascii="仿宋" w:hAnsi="仿宋" w:eastAsia="仿宋" w:cs="仿宋"/>
                <w:sz w:val="22"/>
                <w:szCs w:val="22"/>
              </w:rPr>
              <w:t xml:space="preserve">四项内容。</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每项内容最高分1分，最低分0分，按照以下标准进行评分：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1.该项内容专门针对本项目编写，描述全面具体，得1分。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2.该项内容为通用模板文稿（非专门针对本项目编写）或描述简略，缺失关键细节，得0.5分。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3.该项内容存在严重缺陷或未提供，不得分。</w:t>
            </w:r>
            <w:r/>
          </w:p>
          <w:p>
            <w:pPr>
              <w:spacing w:after="0" w:line="279" w:lineRule="auto"/>
              <w:rPr>
                <w:rFonts w:hint="eastAsia" w:ascii="仿宋" w:hAnsi="仿宋" w:eastAsia="仿宋" w:cs="仿宋"/>
                <w:color w:val="auto"/>
                <w:sz w:val="22"/>
                <w:szCs w:val="22"/>
                <w:highlight w:val="none"/>
                <w:lang w:eastAsia="zh-CN"/>
              </w:rPr>
            </w:pPr>
            <w:r>
              <w:rPr>
                <w:rFonts w:hint="eastAsia" w:ascii="仿宋" w:hAnsi="仿宋" w:eastAsia="仿宋" w:cs="仿宋"/>
                <w:sz w:val="22"/>
                <w:szCs w:val="22"/>
              </w:rPr>
              <w:t xml:space="preserve">四项合计最高得4分。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主观分</w:t>
            </w:r>
            <w:r/>
          </w:p>
        </w:tc>
      </w:tr>
      <w:tr>
        <w:trPr>
          <w:jc w:val="center"/>
          <w:trHeight w:val="1701"/>
        </w:trPr>
        <w:tc>
          <w:tcPr>
            <w:shd w:val="clear" w:color="auto" w:fill="auto"/>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p>
        </w:tc>
        <w:tc>
          <w:tcPr>
            <w:shd w:val="clear" w:color="auto" w:fill="auto"/>
            <w:tcW w:w="1064" w:type="dxa"/>
            <w:vAlign w:val="center"/>
            <w:textDirection w:val="lrTb"/>
            <w:noWrap w:val="false"/>
          </w:tcPr>
          <w:p>
            <w:pPr>
              <w:jc w:val="cente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实施方案</w:t>
            </w:r>
            <w:r/>
          </w:p>
        </w:tc>
        <w:tc>
          <w:tcPr>
            <w:shd w:val="clear" w:color="auto" w:fill="auto"/>
            <w:tcW w:w="900" w:type="dxa"/>
            <w:vAlign w:val="center"/>
            <w:textDirection w:val="lrTb"/>
            <w:noWrap w:val="false"/>
          </w:tcPr>
          <w:p>
            <w:pPr>
              <w:jc w:val="cente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5</w:t>
            </w:r>
            <w:r/>
          </w:p>
        </w:tc>
        <w:tc>
          <w:tcPr>
            <w:shd w:val="clear" w:color="auto" w:fill="auto"/>
            <w:tcW w:w="5205" w:type="dxa"/>
            <w:vAlign w:val="center"/>
            <w:textDirection w:val="lrTb"/>
            <w:noWrap w:val="false"/>
          </w:tcPr>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评委根据供应商提供的项目实施方案进行综合评分，方案应包括</w:t>
            </w:r>
            <w:r>
              <w:rPr>
                <w:rFonts w:hint="eastAsia" w:ascii="仿宋" w:hAnsi="仿宋" w:eastAsia="仿宋" w:cs="仿宋"/>
                <w:b/>
                <w:bCs/>
                <w:sz w:val="22"/>
                <w:szCs w:val="22"/>
              </w:rPr>
              <w:t xml:space="preserve">实施计划</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人员配置</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质量管控</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工期保障</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风险防控</w:t>
            </w:r>
            <w:r>
              <w:rPr>
                <w:rFonts w:hint="eastAsia" w:ascii="仿宋" w:hAnsi="仿宋" w:eastAsia="仿宋" w:cs="仿宋"/>
                <w:sz w:val="22"/>
                <w:szCs w:val="22"/>
              </w:rPr>
              <w:t xml:space="preserve">五项内容。每项内容最高分1分，最低分0分，按照以下标准进行评分：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1.该项内容专门针对本项目编写，描述全面具体，得1分。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2.该项内容为通用模板文稿（非专门针对本项目编写）或描述简略，缺失关键细节，得0.5分。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3.该项内容存在严重缺陷或未提供，不得分。</w:t>
            </w:r>
            <w:r/>
          </w:p>
          <w:p>
            <w:pP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五项合计最高得5分。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主观分</w:t>
            </w:r>
            <w:r/>
          </w:p>
        </w:tc>
      </w:tr>
      <w:tr>
        <w:trPr>
          <w:jc w:val="center"/>
          <w:trHeight w:val="28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p>
        </w:tc>
        <w:tc>
          <w:tcPr>
            <w:shd w:val="clear" w:color="auto" w:fill="auto"/>
            <w:tcW w:w="1064" w:type="dxa"/>
            <w:vAlign w:val="center"/>
            <w:textDirection w:val="lrTb"/>
            <w:noWrap w:val="false"/>
          </w:tcPr>
          <w:p>
            <w:pPr>
              <w:jc w:val="cente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售后服务保障方案</w:t>
            </w:r>
            <w:r/>
          </w:p>
        </w:tc>
        <w:tc>
          <w:tcPr>
            <w:shd w:val="clear" w:color="auto" w:fill="auto"/>
            <w:tcW w:w="900" w:type="dxa"/>
            <w:vAlign w:val="center"/>
            <w:textDirection w:val="lrTb"/>
            <w:noWrap w:val="false"/>
          </w:tcPr>
          <w:p>
            <w:pPr>
              <w:jc w:val="center"/>
              <w:spacing w:after="0" w:line="279" w:lineRule="auto"/>
              <w:rPr>
                <w:rFonts w:hint="eastAsia" w:ascii="仿宋" w:hAnsi="仿宋" w:eastAsia="仿宋" w:cs="仿宋"/>
                <w:color w:val="auto"/>
                <w:sz w:val="22"/>
                <w:szCs w:val="22"/>
                <w:highlight w:val="none"/>
              </w:rPr>
            </w:pPr>
            <w:r>
              <w:rPr>
                <w:rFonts w:hint="eastAsia" w:ascii="仿宋" w:hAnsi="仿宋" w:eastAsia="仿宋" w:cs="仿宋"/>
                <w:sz w:val="22"/>
                <w:szCs w:val="22"/>
              </w:rPr>
              <w:t xml:space="preserve">5</w:t>
            </w:r>
            <w:r/>
          </w:p>
        </w:tc>
        <w:tc>
          <w:tcPr>
            <w:shd w:val="clear" w:color="auto" w:fill="auto"/>
            <w:tcW w:w="5205" w:type="dxa"/>
            <w:vAlign w:val="center"/>
            <w:textDirection w:val="lrTb"/>
            <w:noWrap w:val="false"/>
          </w:tcPr>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评委根据供应商提供的售后服务保障方案进行综合评分，方案应包括</w:t>
            </w:r>
            <w:r>
              <w:rPr>
                <w:rFonts w:hint="eastAsia" w:ascii="仿宋" w:hAnsi="仿宋" w:eastAsia="仿宋" w:cs="仿宋"/>
                <w:b/>
                <w:bCs/>
                <w:sz w:val="22"/>
                <w:szCs w:val="22"/>
              </w:rPr>
              <w:t xml:space="preserve">售后服务体系</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售后人员配置、售后服务响应、现场售后服务、专属服务举措</w:t>
            </w:r>
            <w:r>
              <w:rPr>
                <w:rFonts w:hint="eastAsia" w:ascii="仿宋" w:hAnsi="仿宋" w:eastAsia="仿宋" w:cs="仿宋"/>
                <w:sz w:val="22"/>
                <w:szCs w:val="22"/>
              </w:rPr>
              <w:t xml:space="preserve">五项内容。</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每项内容最高分1分，最低分0分，按照以下标准进行评分：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1.该项内容专门针对本项目编写，描述全面具体，得1分。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2.该项内容为通用模板文稿（非专门针对本项目编写）或描述简略，缺失关键细节，得0.5分。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3.该项内容存在严重缺陷或未提供，不得分。</w:t>
            </w:r>
            <w:r/>
          </w:p>
          <w:p>
            <w:pPr>
              <w:spacing w:after="0" w:line="279" w:lineRule="auto"/>
              <w:rPr>
                <w:rFonts w:hint="eastAsia" w:ascii="仿宋" w:hAnsi="仿宋" w:eastAsia="仿宋" w:cs="仿宋"/>
                <w:color w:val="auto"/>
                <w:sz w:val="22"/>
                <w:szCs w:val="22"/>
                <w:highlight w:val="none"/>
                <w:lang w:val="en-US" w:eastAsia="zh-CN"/>
              </w:rPr>
            </w:pPr>
            <w:r>
              <w:rPr>
                <w:rFonts w:hint="eastAsia" w:ascii="仿宋" w:hAnsi="仿宋" w:eastAsia="仿宋" w:cs="仿宋"/>
                <w:sz w:val="22"/>
                <w:szCs w:val="22"/>
              </w:rPr>
              <w:t xml:space="preserve">五项合计最高得5分。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主观分</w:t>
            </w:r>
            <w:r/>
          </w:p>
        </w:tc>
      </w:tr>
      <w:tr>
        <w:trPr>
          <w:jc w:val="center"/>
          <w:trHeight w:val="28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w:t>
            </w:r>
            <w:r/>
          </w:p>
        </w:tc>
        <w:tc>
          <w:tcPr>
            <w:shd w:val="clear" w:color="auto" w:fill="auto"/>
            <w:tcW w:w="1064" w:type="dxa"/>
            <w:vAlign w:val="center"/>
            <w:textDirection w:val="lrTb"/>
            <w:noWrap w:val="false"/>
          </w:tcPr>
          <w:p>
            <w:pPr>
              <w:jc w:val="cente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培训方案</w:t>
            </w:r>
            <w:r/>
          </w:p>
        </w:tc>
        <w:tc>
          <w:tcPr>
            <w:shd w:val="clear" w:color="auto" w:fill="auto"/>
            <w:tcW w:w="900" w:type="dxa"/>
            <w:vAlign w:val="center"/>
            <w:textDirection w:val="lrTb"/>
            <w:noWrap w:val="false"/>
          </w:tcPr>
          <w:p>
            <w:pPr>
              <w:jc w:val="center"/>
              <w:spacing w:after="0" w:line="279" w:lineRule="auto"/>
              <w:rPr>
                <w:rFonts w:hint="eastAsia" w:ascii="仿宋" w:hAnsi="仿宋" w:eastAsia="仿宋" w:cs="仿宋"/>
                <w:sz w:val="22"/>
                <w:szCs w:val="22"/>
                <w:lang w:val="en-US" w:eastAsia="zh-CN"/>
              </w:rPr>
            </w:pPr>
            <w:r>
              <w:rPr>
                <w:rFonts w:hint="eastAsia" w:ascii="仿宋" w:hAnsi="仿宋" w:eastAsia="仿宋" w:cs="仿宋"/>
                <w:sz w:val="22"/>
                <w:szCs w:val="22"/>
              </w:rPr>
              <w:t xml:space="preserve">5</w:t>
            </w:r>
            <w:r/>
          </w:p>
        </w:tc>
        <w:tc>
          <w:tcPr>
            <w:shd w:val="clear" w:color="auto" w:fill="auto"/>
            <w:tcW w:w="5205" w:type="dxa"/>
            <w:vAlign w:val="center"/>
            <w:textDirection w:val="lrTb"/>
            <w:noWrap w:val="false"/>
          </w:tcPr>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评委根据供应商提供的培训方案进行综合评分，方案应包括</w:t>
            </w:r>
            <w:r>
              <w:rPr>
                <w:rFonts w:hint="eastAsia" w:ascii="仿宋" w:hAnsi="仿宋" w:eastAsia="仿宋" w:cs="仿宋"/>
                <w:b/>
                <w:bCs/>
                <w:sz w:val="22"/>
                <w:szCs w:val="22"/>
              </w:rPr>
              <w:t xml:space="preserve">培训目标内容</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培训形式</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培训周期</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培训师资</w:t>
            </w:r>
            <w:r>
              <w:rPr>
                <w:rFonts w:hint="eastAsia" w:ascii="仿宋" w:hAnsi="仿宋" w:eastAsia="仿宋" w:cs="仿宋"/>
                <w:sz w:val="22"/>
                <w:szCs w:val="22"/>
              </w:rPr>
              <w:t xml:space="preserve">、</w:t>
            </w:r>
            <w:r>
              <w:rPr>
                <w:rFonts w:hint="eastAsia" w:ascii="仿宋" w:hAnsi="仿宋" w:eastAsia="仿宋" w:cs="仿宋"/>
                <w:b/>
                <w:bCs/>
                <w:sz w:val="22"/>
                <w:szCs w:val="22"/>
              </w:rPr>
              <w:t xml:space="preserve">培训保障</w:t>
            </w:r>
            <w:r>
              <w:rPr>
                <w:rFonts w:hint="eastAsia" w:ascii="仿宋" w:hAnsi="仿宋" w:eastAsia="仿宋" w:cs="仿宋"/>
                <w:sz w:val="22"/>
                <w:szCs w:val="22"/>
              </w:rPr>
              <w:t xml:space="preserve">五项内容。每项内容最高分1分，最低分0分，按照以下标准进行评分：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1.该项内容专门针对本项目编写，描述全面具体，得1分。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2.该项内容为通用模板文稿（非专门针对本项目编写）或描述简略，缺失关键细节，得0.5分。</w:t>
            </w:r>
            <w:r/>
          </w:p>
          <w:p>
            <w:pPr>
              <w:spacing w:after="0" w:line="279" w:lineRule="auto"/>
              <w:rPr>
                <w:rFonts w:hint="eastAsia" w:ascii="仿宋" w:hAnsi="仿宋" w:eastAsia="仿宋" w:cs="仿宋"/>
                <w:sz w:val="22"/>
                <w:szCs w:val="22"/>
              </w:rPr>
            </w:pPr>
            <w:r>
              <w:rPr>
                <w:rFonts w:hint="eastAsia" w:ascii="仿宋" w:hAnsi="仿宋" w:eastAsia="仿宋" w:cs="仿宋"/>
                <w:sz w:val="22"/>
                <w:szCs w:val="22"/>
              </w:rPr>
              <w:t xml:space="preserve">3.该项内容有严重缺陷或未提供，不得分。</w:t>
            </w:r>
            <w:r/>
          </w:p>
          <w:p>
            <w:pPr>
              <w:spacing w:after="0" w:line="279" w:lineRule="auto"/>
              <w:rPr>
                <w:rFonts w:hint="eastAsia" w:ascii="仿宋" w:hAnsi="仿宋" w:eastAsia="仿宋" w:cs="仿宋"/>
                <w:color w:val="auto"/>
                <w:sz w:val="22"/>
                <w:szCs w:val="22"/>
                <w:highlight w:val="none"/>
                <w:lang w:val="en-US" w:eastAsia="zh-CN"/>
              </w:rPr>
            </w:pPr>
            <w:r>
              <w:rPr>
                <w:rFonts w:hint="eastAsia" w:ascii="仿宋" w:hAnsi="仿宋" w:eastAsia="仿宋" w:cs="仿宋"/>
                <w:sz w:val="22"/>
                <w:szCs w:val="22"/>
              </w:rPr>
              <w:t xml:space="preserve">五项合计最高得5分。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主观分</w:t>
            </w:r>
            <w:bookmarkStart w:id="219" w:name="_GoBack"/>
            <w:r/>
            <w:bookmarkEnd w:id="219"/>
            <w:r/>
            <w:r/>
          </w:p>
        </w:tc>
      </w:tr>
    </w:tbl>
    <w:p>
      <w:pPr>
        <w:rPr>
          <w:rFonts w:ascii="Times New Roman" w:eastAsia="方正公文仿宋" w:cs="Times New Roman"/>
          <w:color w:val="auto"/>
          <w:sz w:val="28"/>
          <w:szCs w:val="28"/>
          <w:highlight w:val="none"/>
        </w:rPr>
      </w:pPr>
      <w:r>
        <w:rPr>
          <w:rFonts w:ascii="Times New Roman" w:eastAsia="方正公文仿宋" w:cs="Times New Roman"/>
          <w:color w:val="auto"/>
          <w:sz w:val="28"/>
          <w:szCs w:val="28"/>
          <w:highlight w:val="none"/>
        </w:rPr>
        <w:br w:type="page" w:clear="all"/>
      </w:r>
      <w:r/>
    </w:p>
    <w:p>
      <w:pPr>
        <w:pStyle w:val="977"/>
        <w:jc w:val="center"/>
        <w:rPr>
          <w:rFonts w:hint="eastAsia"/>
          <w:color w:val="auto"/>
          <w:highlight w:val="none"/>
        </w:rPr>
        <w:outlineLvl w:val="0"/>
      </w:pPr>
      <w:r/>
      <w:bookmarkStart w:id="218" w:name="_Toc11110"/>
      <w:r>
        <w:rPr>
          <w:rFonts w:hint="eastAsia" w:ascii="黑体" w:hAnsi="Times New Roman" w:eastAsia="黑体" w:cs="Times New Roman"/>
          <w:b/>
          <w:bCs/>
          <w:color w:val="auto"/>
          <w:sz w:val="44"/>
          <w:szCs w:val="28"/>
          <w:highlight w:val="none"/>
        </w:rPr>
        <w:t xml:space="preserve">第六章</w:t>
      </w:r>
      <w:r>
        <w:rPr>
          <w:rFonts w:hint="eastAsia" w:ascii="黑体" w:hAnsi="Times New Roman" w:eastAsia="黑体" w:cs="Times New Roman"/>
          <w:b/>
          <w:bCs/>
          <w:color w:val="auto"/>
          <w:sz w:val="44"/>
          <w:szCs w:val="28"/>
          <w:highlight w:val="none"/>
          <w:lang w:val="en-US" w:eastAsia="zh-CN"/>
        </w:rPr>
        <w:t xml:space="preserve"> 投标文件格式</w:t>
      </w:r>
      <w:bookmarkEnd w:id="218"/>
      <w:r/>
      <w:r/>
    </w:p>
    <w:p>
      <w:pPr>
        <w:jc w:val="left"/>
        <w:keepLines w:val="0"/>
        <w:keepNext w:val="0"/>
        <w:widowControl/>
        <w:rPr>
          <w:rFonts w:hint="eastAsia" w:ascii="仿宋" w:hAnsi="仿宋" w:eastAsia="仿宋" w:cs="仿宋"/>
          <w:b/>
          <w:bCs w:val="0"/>
          <w:color w:val="ff0000"/>
          <w:sz w:val="28"/>
          <w:szCs w:val="28"/>
        </w:rPr>
        <w:suppressLineNumbers w:val="0"/>
      </w:pPr>
      <w:r>
        <w:rPr>
          <w:rStyle w:val="967"/>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977"/>
        <w:jc w:val="center"/>
        <w:rPr>
          <w:rFonts w:hint="eastAsia"/>
          <w:color w:val="auto"/>
          <w:highlight w:val="none"/>
        </w:rPr>
      </w:pPr>
      <w:r>
        <w:rPr>
          <w:rFonts w:hint="eastAsia"/>
          <w:color w:val="auto"/>
          <w:highlight w:val="none"/>
        </w:rPr>
      </w:r>
      <w:r/>
    </w:p>
    <w:p>
      <w:pPr>
        <w:pStyle w:val="977"/>
        <w:jc w:val="center"/>
        <w:rPr>
          <w:rFonts w:hint="eastAsia"/>
          <w:color w:val="auto"/>
          <w:highlight w:val="none"/>
        </w:rPr>
      </w:pPr>
      <w:r>
        <w:rPr>
          <w:rFonts w:hint="eastAsia"/>
          <w:color w:val="auto"/>
          <w:highlight w:val="none"/>
        </w:rPr>
      </w:r>
      <w:r/>
    </w:p>
    <w:p>
      <w:pPr>
        <w:pStyle w:val="977"/>
        <w:jc w:val="center"/>
        <w:rPr>
          <w:rFonts w:hint="default"/>
          <w:color w:val="auto"/>
          <w:highlight w:val="none"/>
        </w:rPr>
      </w:pPr>
      <w:r>
        <w:rPr>
          <w:rFonts w:hint="default"/>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977"/>
        <w:ind w:firstLine="600"/>
        <w:rPr>
          <w:rFonts w:hint="eastAsia"/>
          <w:color w:val="auto"/>
          <w:highlight w:val="none"/>
        </w:rPr>
      </w:pPr>
      <w:r>
        <w:rPr>
          <w:rFonts w:hint="eastAsia"/>
          <w:color w:val="auto"/>
          <w:highlight w:val="none"/>
        </w:rPr>
      </w:r>
      <w:r/>
    </w:p>
    <w:p>
      <w:pPr>
        <w:pStyle w:val="977"/>
        <w:ind w:firstLine="60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keepLines w:val="0"/>
        <w:keepNext w:val="0"/>
        <w:pageBreakBefore w:val="0"/>
        <w:spacing w:line="44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keepLines w:val="0"/>
        <w:keepNext w:val="0"/>
        <w:pageBreakBefore w:val="0"/>
        <w:spacing w:line="440" w:lineRule="exact"/>
        <w:widowControl w:val="off"/>
        <w:rPr>
          <w:rFonts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eastAsia="zh-CN"/>
        </w:rPr>
        <w:t xml:space="preserve">《中华人民共和国政府采购法》</w:t>
      </w:r>
      <w:r>
        <w:rPr>
          <w:rFonts w:hint="eastAsia" w:ascii="仿宋" w:hAnsi="仿宋" w:eastAsia="仿宋"/>
          <w:color w:val="auto"/>
          <w:sz w:val="28"/>
          <w:szCs w:val="28"/>
          <w:highlight w:val="none"/>
        </w:rPr>
        <w:t xml:space="preserve">第二十二条规定条件的声明函（格式见附件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p>
    <w:p>
      <w:pPr>
        <w:pStyle w:val="121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pStyle w:val="121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提供有效的营业执照</w:t>
      </w:r>
      <w:r>
        <w:rPr>
          <w:rFonts w:hint="eastAsia" w:ascii="仿宋" w:hAnsi="仿宋" w:eastAsia="仿宋"/>
          <w:color w:val="auto"/>
          <w:sz w:val="28"/>
          <w:szCs w:val="28"/>
          <w:highlight w:val="none"/>
          <w:lang w:eastAsia="zh-CN"/>
        </w:rPr>
        <w:t xml:space="preserve">复印件并加盖</w:t>
      </w:r>
      <w:r>
        <w:rPr>
          <w:rFonts w:ascii="仿宋" w:hAnsi="仿宋" w:eastAsia="仿宋"/>
          <w:color w:val="auto"/>
          <w:sz w:val="28"/>
          <w:szCs w:val="28"/>
          <w:highlight w:val="none"/>
        </w:rPr>
        <w:t xml:space="preserve">公章</w:t>
      </w:r>
      <w:r/>
    </w:p>
    <w:p>
      <w:pPr>
        <w:pStyle w:val="121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法定代表人身份证明</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p>
    <w:p>
      <w:pPr>
        <w:pStyle w:val="1216"/>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eastAsia="方正仿宋_GBK"/>
          <w:color w:val="auto"/>
          <w:sz w:val="28"/>
          <w:szCs w:val="28"/>
          <w:highlight w:val="none"/>
          <w:lang w:val="zh-CN"/>
        </w:rPr>
        <w:t xml:space="preserve">法定代表人授权委托书</w:t>
      </w:r>
      <w:r>
        <w:rPr>
          <w:rFonts w:hint="eastAsia" w:ascii="仿宋" w:hAnsi="仿宋" w:eastAsia="仿宋"/>
          <w:color w:val="auto"/>
          <w:sz w:val="28"/>
          <w:szCs w:val="28"/>
          <w:highlight w:val="none"/>
        </w:rPr>
        <w:t xml:space="preserve">（格式见附件</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6.投标函（格式见附件</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7.中小微企业声明函（如果本项目专门面向中小微型企业采购，则必须提供。格式见附件9）</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备注：上述“资格审查内容”中1、3、4、6条投标人必须在投标文件中提供相关材料，否则作无效投标处理；2、5、7、8条如招标文件要求必须提供相关材料而未提供的，作无效投标处理。</w:t>
      </w:r>
      <w:r/>
    </w:p>
    <w:p>
      <w:pPr>
        <w:ind w:left="48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投标人必须</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采购需求中</w:t>
      </w:r>
      <w:r>
        <w:rPr>
          <w:rFonts w:ascii="仿宋" w:hAnsi="仿宋" w:eastAsia="仿宋"/>
          <w:b/>
          <w:bCs/>
          <w:color w:val="auto"/>
          <w:sz w:val="28"/>
          <w:szCs w:val="28"/>
          <w:highlight w:val="none"/>
        </w:rPr>
        <w:t xml:space="preserve">加下划线的实质性要求</w:t>
      </w:r>
      <w:r>
        <w:rPr>
          <w:rFonts w:hint="eastAsia" w:ascii="仿宋" w:hAnsi="仿宋" w:eastAsia="仿宋"/>
          <w:b/>
          <w:bCs/>
          <w:color w:val="auto"/>
          <w:sz w:val="28"/>
          <w:szCs w:val="28"/>
          <w:highlight w:val="none"/>
        </w:rPr>
        <w:t xml:space="preserve">逐条</w:t>
      </w:r>
      <w:r>
        <w:rPr>
          <w:rFonts w:ascii="仿宋" w:hAnsi="仿宋" w:eastAsia="仿宋"/>
          <w:b/>
          <w:bCs/>
          <w:color w:val="auto"/>
          <w:sz w:val="28"/>
          <w:szCs w:val="28"/>
          <w:highlight w:val="none"/>
        </w:rPr>
        <w:t xml:space="preserve">做出响应，并按照招标</w:t>
      </w:r>
      <w:r>
        <w:rPr>
          <w:rFonts w:hint="eastAsia" w:ascii="仿宋" w:hAnsi="仿宋" w:eastAsia="仿宋"/>
          <w:b/>
          <w:bCs/>
          <w:color w:val="auto"/>
          <w:sz w:val="28"/>
          <w:szCs w:val="28"/>
          <w:highlight w:val="none"/>
        </w:rPr>
        <w:t xml:space="preserve">文件</w:t>
      </w:r>
      <w:r>
        <w:rPr>
          <w:rFonts w:ascii="仿宋" w:hAnsi="仿宋" w:eastAsia="仿宋"/>
          <w:b/>
          <w:bCs/>
          <w:color w:val="auto"/>
          <w:sz w:val="28"/>
          <w:szCs w:val="28"/>
          <w:highlight w:val="none"/>
        </w:rPr>
        <w:t xml:space="preserve">要求提供</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，否则</w:t>
      </w:r>
      <w:r>
        <w:rPr>
          <w:rFonts w:hint="eastAsia" w:ascii="仿宋" w:hAnsi="仿宋" w:eastAsia="仿宋"/>
          <w:b/>
          <w:bCs/>
          <w:color w:val="auto"/>
          <w:sz w:val="28"/>
          <w:szCs w:val="28"/>
          <w:highlight w:val="none"/>
          <w:lang w:eastAsia="zh-CN"/>
        </w:rPr>
        <w:t xml:space="preserve">作</w:t>
      </w:r>
      <w:r>
        <w:rPr>
          <w:rFonts w:hint="eastAsia" w:ascii="仿宋" w:hAnsi="仿宋" w:eastAsia="仿宋"/>
          <w:b/>
          <w:bCs/>
          <w:color w:val="auto"/>
          <w:sz w:val="28"/>
          <w:szCs w:val="28"/>
          <w:highlight w:val="none"/>
        </w:rPr>
        <w:t xml:space="preserve">无效投标处理。</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p>
    <w:p>
      <w:pPr>
        <w:ind w:left="0" w:right="0" w:firstLine="48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四、价格扣除证明文件</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1.中小微企业声明函（格式见附件</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2.残疾人福利性单位声明函（格式见附件</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或</w:t>
      </w:r>
      <w:r>
        <w:rPr>
          <w:rFonts w:hint="eastAsia" w:ascii="仿宋" w:hAnsi="仿宋" w:eastAsia="仿宋"/>
          <w:b w:val="0"/>
          <w:bCs w:val="0"/>
          <w:color w:val="auto"/>
          <w:sz w:val="28"/>
          <w:szCs w:val="28"/>
          <w:highlight w:val="none"/>
          <w:lang w:val="en-US" w:eastAsia="zh-CN"/>
        </w:rPr>
        <w:t xml:space="preserve">属于监狱企业的证明文件</w:t>
      </w: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关于符合本国产品标准的声明函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格式见</w:t>
      </w:r>
      <w:r>
        <w:rPr>
          <w:rFonts w:hint="eastAsia" w:ascii="仿宋" w:hAnsi="仿宋" w:eastAsia="仿宋" w:cs="仿宋"/>
          <w:color w:val="auto"/>
          <w:sz w:val="28"/>
          <w:highlight w:val="none"/>
        </w:rPr>
        <w:t xml:space="preserve">附件</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4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9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小写：</w:t>
            </w:r>
            <w:r>
              <w:rPr>
                <w:rFonts w:hint="eastAsia" w:ascii="仿宋" w:hAnsi="仿宋" w:eastAsia="仿宋" w:cs="宋体"/>
                <w:color w:val="auto"/>
                <w:sz w:val="28"/>
                <w:szCs w:val="28"/>
                <w:highlight w:val="none"/>
                <w:u w:val="single"/>
                <w:lang w:val="en-US" w:eastAsia="zh-CN" w:bidi="ar-SA"/>
              </w:rPr>
              <w:t xml:space="preserve">                         </w:t>
            </w:r>
            <w:r/>
          </w:p>
        </w:tc>
      </w:tr>
      <w:tr>
        <w:trPr>
          <w:cantSplit/>
          <w:trHeight w:val="612"/>
        </w:trPr>
        <w:tc>
          <w:tcPr>
            <w:gridSpan w:val="2"/>
            <w:tcW w:w="8886" w:type="dxa"/>
            <w:vAlign w:val="center"/>
            <w:textDirection w:val="lrTb"/>
            <w:noWrap w:val="false"/>
          </w:tcPr>
          <w:p>
            <w:pPr>
              <w:jc w:val="left"/>
              <w:keepLines w:val="0"/>
              <w:keepNext w:val="0"/>
              <w:widowControl/>
              <w:rPr>
                <w:rFonts w:hint="default" w:ascii="仿宋" w:hAnsi="仿宋" w:eastAsia="仿宋" w:cs="宋体"/>
                <w:color w:val="auto"/>
                <w:sz w:val="28"/>
                <w:szCs w:val="28"/>
                <w:highlight w:val="none"/>
                <w:lang w:val="en-US" w:eastAsia="zh-CN" w:bidi="ar-SA"/>
              </w:rPr>
              <w:suppressLineNumbers w:val="0"/>
            </w:pPr>
            <w:r>
              <w:rPr>
                <w:rFonts w:hint="eastAsia" w:ascii="仿宋" w:hAnsi="仿宋" w:eastAsia="仿宋" w:cs="宋体"/>
                <w:color w:val="auto"/>
                <w:sz w:val="28"/>
                <w:szCs w:val="28"/>
                <w:highlight w:val="none"/>
                <w:lang w:val="en-US" w:eastAsia="zh-CN" w:bidi="ar-SA"/>
              </w:rPr>
              <w:t xml:space="preserve">大写：</w:t>
            </w:r>
            <w:r>
              <w:rPr>
                <w:rFonts w:hint="default" w:ascii="仿宋" w:hAnsi="仿宋" w:eastAsia="仿宋" w:cs="宋体"/>
                <w:color w:val="auto"/>
                <w:sz w:val="28"/>
                <w:szCs w:val="28"/>
                <w:highlight w:val="none"/>
                <w:u w:val="single"/>
                <w:lang w:val="en-US" w:eastAsia="zh-CN" w:bidi="ar-SA"/>
              </w:rPr>
              <w:t xml:space="preserve">___</w:t>
            </w:r>
            <w:r>
              <w:rPr>
                <w:rFonts w:hint="eastAsia" w:ascii="仿宋" w:hAnsi="仿宋" w:eastAsia="仿宋" w:cs="宋体"/>
                <w:color w:val="auto"/>
                <w:sz w:val="28"/>
                <w:szCs w:val="28"/>
                <w:highlight w:val="none"/>
                <w:u w:val="single"/>
                <w:lang w:val="en-US" w:eastAsia="zh-CN" w:bidi="ar-SA"/>
              </w:rPr>
              <w:t xml:space="preserve">                   </w:t>
            </w:r>
            <w:r>
              <w:rPr>
                <w:rFonts w:hint="default" w:ascii="仿宋" w:hAnsi="仿宋" w:eastAsia="仿宋" w:cs="宋体"/>
                <w:color w:val="auto"/>
                <w:sz w:val="28"/>
                <w:szCs w:val="28"/>
                <w:highlight w:val="none"/>
                <w:u w:val="single"/>
                <w:lang w:val="en-US" w:eastAsia="zh-CN" w:bidi="ar-SA"/>
              </w:rPr>
              <w:t xml:space="preserve">___</w:t>
            </w:r>
            <w:r>
              <w:rPr>
                <w:rFonts w:hint="default" w:ascii="仿宋" w:hAnsi="仿宋" w:eastAsia="仿宋" w:cs="宋体"/>
                <w:color w:val="auto"/>
                <w:sz w:val="28"/>
                <w:szCs w:val="28"/>
                <w:highlight w:val="none"/>
                <w:lang w:val="en-US" w:eastAsia="zh-CN" w:bidi="ar-SA"/>
              </w:rPr>
              <w:t xml:space="preserve">整</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bidi="ar-SA"/>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74"/>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74"/>
        <w:ind w:left="0"/>
        <w:spacing w:after="0" w:line="480" w:lineRule="exact"/>
        <w:rPr>
          <w:rFonts w:hint="eastAsia" w:ascii="仿宋" w:hAnsi="仿宋" w:eastAsia="仿宋" w:cs="仿宋"/>
          <w:b/>
          <w:bCs/>
          <w:sz w:val="24"/>
          <w:szCs w:val="21"/>
          <w:highlight w:val="none"/>
          <w:lang w:val="en-US" w:eastAsia="zh-CN"/>
        </w:rPr>
      </w:pPr>
      <w:r>
        <w:rPr>
          <w:rFonts w:hint="eastAsia" w:ascii="仿宋" w:hAnsi="仿宋" w:eastAsia="仿宋" w:cs="仿宋"/>
          <w:b/>
          <w:bCs/>
          <w:sz w:val="24"/>
          <w:szCs w:val="21"/>
          <w:highlight w:val="none"/>
          <w:lang w:val="en-US" w:eastAsia="zh-CN"/>
        </w:rPr>
        <w:t xml:space="preserve">1.本附件格式仅作参考，投标人以苏采云平台实际情况进行填报。</w:t>
      </w:r>
      <w:r/>
    </w:p>
    <w:p>
      <w:pPr>
        <w:pStyle w:val="974"/>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w:t>
      </w:r>
      <w:r>
        <w:rPr>
          <w:rFonts w:hint="eastAsia" w:ascii="仿宋" w:hAnsi="仿宋" w:eastAsia="仿宋" w:cs="仿宋"/>
          <w:sz w:val="24"/>
          <w:szCs w:val="21"/>
          <w:highlight w:val="none"/>
        </w:rPr>
        <w:t xml:space="preserve">本次报价为总价，大小写不一致时以大写为准；</w:t>
      </w:r>
      <w:r/>
    </w:p>
    <w:p>
      <w:pPr>
        <w:pStyle w:val="974"/>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3.本表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总报价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“投标分项报价表”</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74"/>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74"/>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74"/>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74"/>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pStyle w:val="1004"/>
        <w:ind w:firstLine="0"/>
        <w:rPr>
          <w:rFonts w:hint="eastAsia"/>
          <w:b/>
          <w:color w:val="auto"/>
          <w:highlight w:val="none"/>
        </w:rPr>
      </w:pPr>
      <w:r>
        <w:rPr>
          <w:rFonts w:hint="eastAsia"/>
          <w:b/>
          <w:color w:val="auto"/>
          <w:highlight w:val="none"/>
        </w:rPr>
      </w:r>
      <w:r/>
    </w:p>
    <w:p>
      <w:pPr>
        <w:spacing w:line="480" w:lineRule="exact"/>
        <w:rPr>
          <w:rFonts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投标分项报价表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94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ascii="仿宋" w:hAnsi="仿宋" w:eastAsia="仿宋" w:cs="Times New Roman"/>
                <w:color w:val="auto"/>
                <w:sz w:val="28"/>
                <w:szCs w:val="28"/>
                <w:highlight w:val="none"/>
                <w:u w:val="singl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w:t>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74"/>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74"/>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74"/>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招标文件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中“总报价”应当与“开标一览表”中“ 投标总报价”一致。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3</w:t>
      </w:r>
      <w:r/>
    </w:p>
    <w:p>
      <w:pPr>
        <w:jc w:val="center"/>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投标人符合</w:t>
      </w:r>
      <w:r>
        <w:rPr>
          <w:rFonts w:hint="eastAsia" w:ascii="仿宋" w:hAnsi="仿宋" w:eastAsia="仿宋"/>
          <w:b/>
          <w:color w:val="auto"/>
          <w:sz w:val="30"/>
          <w:szCs w:val="30"/>
          <w:highlight w:val="none"/>
          <w:lang w:eastAsia="zh-CN"/>
        </w:rPr>
        <w:t xml:space="preserve">《中华人民共和国政府采购法》</w:t>
      </w:r>
      <w:r>
        <w:rPr>
          <w:rFonts w:hint="eastAsia" w:ascii="仿宋" w:hAnsi="仿宋" w:eastAsia="仿宋"/>
          <w:b/>
          <w:color w:val="auto"/>
          <w:sz w:val="30"/>
          <w:szCs w:val="30"/>
          <w:highlight w:val="none"/>
        </w:rPr>
        <w:t xml:space="preserve">第二十二条规定条件的声明函</w:t>
      </w:r>
      <w:r/>
    </w:p>
    <w:p>
      <w:pPr>
        <w:spacing w:line="460" w:lineRule="exact"/>
        <w:rPr>
          <w:rFonts w:hint="eastAsia" w:ascii="仿宋" w:hAnsi="仿宋" w:eastAsia="仿宋"/>
          <w:b/>
          <w:bCs/>
          <w:color w:val="auto"/>
          <w:sz w:val="44"/>
          <w:szCs w:val="44"/>
          <w:highlight w:val="none"/>
        </w:rPr>
      </w:pPr>
      <w:r>
        <w:rPr>
          <w:rFonts w:hint="eastAsia" w:ascii="仿宋" w:hAnsi="仿宋" w:eastAsia="仿宋"/>
          <w:b/>
          <w:bCs/>
          <w:color w:val="auto"/>
          <w:sz w:val="24"/>
          <w:szCs w:val="21"/>
          <w:highlight w:val="none"/>
        </w:rPr>
        <w:t xml:space="preserve">                       </w:t>
      </w:r>
      <w:r>
        <w:rPr>
          <w:rFonts w:hint="eastAsia" w:ascii="仿宋" w:hAnsi="仿宋" w:eastAsia="仿宋"/>
          <w:b/>
          <w:bCs/>
          <w:color w:val="auto"/>
          <w:sz w:val="44"/>
          <w:szCs w:val="44"/>
          <w:highlight w:val="none"/>
        </w:rPr>
        <w:t xml:space="preserve">   </w:t>
      </w:r>
      <w:r/>
    </w:p>
    <w:p>
      <w:pPr>
        <w:ind w:firstLine="560"/>
        <w:spacing w:line="520" w:lineRule="exact"/>
        <w:rPr>
          <w:rFonts w:hint="eastAsia" w:ascii="仿宋" w:hAnsi="仿宋" w:eastAsia="仿宋"/>
          <w:b/>
          <w:bCs/>
          <w:color w:val="auto"/>
          <w:sz w:val="24"/>
          <w:szCs w:val="21"/>
          <w:highlight w:val="none"/>
        </w:rPr>
      </w:pPr>
      <w:r>
        <w:rPr>
          <w:rFonts w:hint="eastAsia" w:ascii="仿宋" w:hAnsi="仿宋" w:eastAsia="仿宋"/>
          <w:bCs/>
          <w:color w:val="auto"/>
          <w:sz w:val="24"/>
          <w:szCs w:val="21"/>
          <w:highlight w:val="none"/>
        </w:rPr>
        <w:t xml:space="preserve">我单位参加</w:t>
      </w:r>
      <w:r>
        <w:rPr>
          <w:rFonts w:hint="eastAsia" w:ascii="仿宋" w:hAnsi="仿宋" w:eastAsia="仿宋"/>
          <w:bCs/>
          <w:color w:val="auto"/>
          <w:sz w:val="24"/>
          <w:szCs w:val="20"/>
          <w:highlight w:val="none"/>
          <w:u w:val="single"/>
        </w:rPr>
        <w:t xml:space="preserve">________________ _</w:t>
      </w:r>
      <w:r>
        <w:rPr>
          <w:rFonts w:hint="eastAsia" w:ascii="仿宋" w:hAnsi="仿宋" w:eastAsia="仿宋"/>
          <w:bCs/>
          <w:color w:val="auto"/>
          <w:sz w:val="24"/>
          <w:szCs w:val="20"/>
          <w:highlight w:val="none"/>
        </w:rPr>
        <w:t xml:space="preserve">（项目名称），</w:t>
      </w:r>
      <w:r>
        <w:rPr>
          <w:rFonts w:hint="eastAsia" w:ascii="仿宋" w:hAnsi="仿宋" w:eastAsia="仿宋"/>
          <w:bCs/>
          <w:color w:val="auto"/>
          <w:sz w:val="24"/>
          <w:szCs w:val="20"/>
          <w:highlight w:val="none"/>
          <w:u w:val="single"/>
        </w:rPr>
        <w:t xml:space="preserve">_______ __________</w:t>
      </w:r>
      <w:r>
        <w:rPr>
          <w:rFonts w:hint="eastAsia" w:ascii="仿宋" w:hAnsi="仿宋" w:eastAsia="仿宋"/>
          <w:bCs/>
          <w:color w:val="auto"/>
          <w:sz w:val="24"/>
          <w:szCs w:val="20"/>
          <w:highlight w:val="none"/>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bCs/>
          <w:color w:val="auto"/>
          <w:sz w:val="24"/>
          <w:szCs w:val="20"/>
          <w:highlight w:val="none"/>
        </w:rPr>
        <w:t xml:space="preserve">1.我单位具有独立承担民事责任的能力；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2.我单位具有良好的商业信誉和健全的财务会计制度；</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3.我单位具有履行合同所必需的设备和专业技术能力；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4.我单位有依法缴纳税收和社会保障资金的良好记录；</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6.我单位满足法律、行政法规规定的其他条件。</w:t>
      </w:r>
      <w:r/>
    </w:p>
    <w:p>
      <w:pPr>
        <w:pStyle w:val="977"/>
        <w:ind w:firstLine="6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bCs/>
          <w:color w:val="auto"/>
          <w:sz w:val="24"/>
          <w:szCs w:val="20"/>
          <w:highlight w:val="none"/>
        </w:rPr>
        <w:t xml:space="preserve">              </w:t>
      </w:r>
      <w:r>
        <w:rPr>
          <w:rFonts w:hint="eastAsia" w:ascii="仿宋" w:hAnsi="仿宋" w:eastAsia="仿宋"/>
          <w:bCs/>
          <w:color w:val="auto"/>
          <w:sz w:val="24"/>
          <w:szCs w:val="20"/>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center"/>
        <w:spacing w:line="48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w:t>
      </w:r>
      <w:r/>
    </w:p>
    <w:p>
      <w:pPr>
        <w:jc w:val="right"/>
        <w:spacing w:line="46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日期：</w:t>
      </w:r>
      <w:r>
        <w:rPr>
          <w:rFonts w:hint="eastAsia" w:ascii="仿宋" w:hAnsi="仿宋" w:eastAsia="仿宋"/>
          <w:bCs/>
          <w:color w:val="auto"/>
          <w:sz w:val="24"/>
          <w:szCs w:val="20"/>
          <w:highlight w:val="none"/>
          <w:u w:val="single"/>
        </w:rPr>
        <w:t xml:space="preserve">______</w:t>
      </w:r>
      <w:r>
        <w:rPr>
          <w:rFonts w:hint="eastAsia" w:ascii="仿宋" w:hAnsi="仿宋" w:eastAsia="仿宋"/>
          <w:bCs/>
          <w:color w:val="auto"/>
          <w:sz w:val="24"/>
          <w:szCs w:val="20"/>
          <w:highlight w:val="none"/>
        </w:rPr>
        <w:t xml:space="preserve">年</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月</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日</w:t>
      </w:r>
      <w:r/>
    </w:p>
    <w:p>
      <w:pPr>
        <w:spacing w:line="48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4</w:t>
      </w:r>
      <w:r/>
    </w:p>
    <w:p>
      <w:pPr>
        <w:pStyle w:val="977"/>
        <w:ind w:firstLine="600"/>
        <w:rPr>
          <w:color w:val="auto"/>
          <w:highlight w:val="none"/>
        </w:rPr>
      </w:pPr>
      <w:r>
        <w:rPr>
          <w:color w:val="auto"/>
          <w:highlight w:val="none"/>
        </w:rPr>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977"/>
        <w:ind w:left="0" w:firstLine="0"/>
        <w:jc w:val="center"/>
        <w:rPr>
          <w:rFonts w:hint="eastAsia"/>
          <w:b/>
          <w:color w:val="000000" w:themeColor="text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pStyle w:val="977"/>
        <w:ind w:firstLine="600"/>
        <w:rPr>
          <w:rFonts w:hint="eastAsia"/>
          <w:color w:val="auto"/>
          <w:highlight w:val="none"/>
        </w:rPr>
      </w:pPr>
      <w:r>
        <w:rPr>
          <w:rFonts w:hint="eastAsia"/>
          <w:color w:val="auto"/>
          <w:highlight w:val="none"/>
        </w:rPr>
      </w:r>
      <w:r/>
    </w:p>
    <w:p>
      <w:pPr>
        <w:spacing w:line="480" w:lineRule="exact"/>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jc w:val="left"/>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本授权书声明：____________（投标人名称）授权_______________（被授权人的姓名）为我方就JSZC-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b/>
          <w:bCs/>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977"/>
        <w:ind w:firstLine="600"/>
        <w:rPr>
          <w:color w:val="auto"/>
          <w:highlight w:val="none"/>
        </w:rPr>
      </w:pPr>
      <w:r>
        <w:rPr>
          <w:color w:val="auto"/>
          <w:highlight w:val="none"/>
        </w:rPr>
      </w:r>
      <w:r/>
    </w:p>
    <w:p>
      <w:pPr>
        <w:pStyle w:val="977"/>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77"/>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77"/>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spacing w:line="480" w:lineRule="exact"/>
        <w:tabs>
          <w:tab w:val="left" w:pos="360" w:leader="none"/>
        </w:tabs>
        <w:rPr>
          <w:rFonts w:ascii="仿宋" w:hAnsi="仿宋" w:eastAsia="仿宋"/>
          <w:b/>
          <w:color w:val="auto"/>
          <w:sz w:val="28"/>
          <w:szCs w:val="28"/>
          <w:highlight w:val="none"/>
        </w:rPr>
      </w:pP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rFonts w:ascii="仿宋" w:hAnsi="仿宋" w:eastAsia="仿宋"/>
          <w:b/>
          <w:color w:val="auto"/>
          <w:sz w:val="28"/>
          <w:szCs w:val="28"/>
          <w:highlight w:val="none"/>
        </w:rPr>
        <w:t xml:space="preserve">                      </w:t>
      </w:r>
      <w:r/>
    </w:p>
    <w:p>
      <w:pPr>
        <w:jc w:val="center"/>
        <w:spacing w:line="480" w:lineRule="exact"/>
        <w:tabs>
          <w:tab w:val="left" w:pos="360"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投标函</w:t>
      </w:r>
      <w:r/>
    </w:p>
    <w:p>
      <w:pPr>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致：南通市教育技术中心</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根据贵方的JSZC-</w:t>
      </w:r>
      <w:r>
        <w:rPr>
          <w:rFonts w:ascii="仿宋" w:hAnsi="仿宋" w:eastAsia="仿宋"/>
          <w:color w:val="auto"/>
          <w:sz w:val="24"/>
          <w:szCs w:val="24"/>
          <w:highlight w:val="none"/>
        </w:rPr>
        <w:t xml:space="preserve">320</w:t>
      </w:r>
      <w:r>
        <w:rPr>
          <w:rFonts w:hint="eastAsia" w:ascii="仿宋" w:hAnsi="仿宋" w:eastAsia="仿宋"/>
          <w:color w:val="auto"/>
          <w:sz w:val="24"/>
          <w:szCs w:val="24"/>
          <w:highlight w:val="none"/>
          <w:lang w:val="en-US" w:eastAsia="zh-CN"/>
        </w:rPr>
        <w:t xml:space="preserve">6</w:t>
      </w:r>
      <w:r>
        <w:rPr>
          <w:rFonts w:ascii="仿宋" w:hAnsi="仿宋" w:eastAsia="仿宋"/>
          <w:color w:val="auto"/>
          <w:sz w:val="24"/>
          <w:szCs w:val="24"/>
          <w:highlight w:val="none"/>
        </w:rPr>
        <w:t xml:space="preserve">00-</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号招标文件，正式授权下述_____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代表我方_______（投标人的名称），全权处理本次项目投标的有关事宜。</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据此函，__________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兹宣布同意如下：</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2.我们完全理解贵方不一定将合同授予最低报价的投标人。</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.一旦我方中标</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我方将根据招标文件的规定，严格履行合同的责任和义务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并保证在招标文件规定的时</w:t>
      </w:r>
      <w:r>
        <w:rPr>
          <w:rFonts w:hint="eastAsia" w:ascii="仿宋" w:hAnsi="仿宋" w:eastAsia="仿宋"/>
          <w:color w:val="auto"/>
          <w:sz w:val="24"/>
          <w:szCs w:val="24"/>
          <w:highlight w:val="none"/>
          <w:lang w:eastAsia="zh-CN"/>
        </w:rPr>
        <w:t xml:space="preserve">间内</w:t>
      </w:r>
      <w:r>
        <w:rPr>
          <w:rFonts w:hint="eastAsia" w:ascii="仿宋" w:hAnsi="仿宋" w:eastAsia="仿宋"/>
          <w:color w:val="auto"/>
          <w:sz w:val="24"/>
          <w:szCs w:val="24"/>
          <w:highlight w:val="none"/>
        </w:rPr>
        <w:t xml:space="preserve">完成项目，交付买方验收、使用。</w:t>
      </w:r>
      <w:r/>
    </w:p>
    <w:p>
      <w:pPr>
        <w:ind w:left="425"/>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.与本投标有关的正式通讯地址为：</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邮        编：</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电        话：</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传        真：</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投标人开户行：</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972"/>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jc w:val="left"/>
        <w:spacing w:line="48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tbl>
      <w:tblPr>
        <w:tblStyle w:val="9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对技术</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pStyle w:val="977"/>
        <w:ind w:firstLine="0"/>
        <w:rPr>
          <w:rFonts w:hint="eastAsia"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8</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9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商务要求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bookmarkEnd w:id="184"/>
      <w:r/>
      <w:bookmarkEnd w:id="185"/>
      <w:r/>
      <w:bookmarkEnd w:id="215"/>
      <w:r/>
      <w:bookmarkEnd w:id="216"/>
      <w:r/>
      <w:bookmarkEnd w:id="217"/>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日  期：</w:t>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 xml:space="preserve">特别提醒：</w:t>
      </w:r>
      <w:r/>
    </w:p>
    <w:p>
      <w:pPr>
        <w:keepLines w:val="0"/>
        <w:keepNext w:val="0"/>
        <w:pageBreakBefore w:val="0"/>
        <w:spacing w:line="300" w:lineRule="exact"/>
        <w:widowControl w:val="off"/>
        <w:rPr>
          <w:rFonts w:hint="eastAsia"/>
        </w:rPr>
      </w:pPr>
      <w:r>
        <w:rPr>
          <w:rFonts w:hint="eastAsia" w:ascii="仿宋" w:hAnsi="仿宋" w:eastAsia="仿宋" w:cs="仿宋"/>
          <w:b/>
          <w:bCs/>
          <w:color w:val="ff0000"/>
          <w:sz w:val="24"/>
          <w:szCs w:val="24"/>
          <w:highlight w:val="none"/>
        </w:rPr>
        <w:t xml:space="preserve">请按</w:t>
      </w:r>
      <w:r>
        <w:rPr>
          <w:rFonts w:hint="eastAsia" w:ascii="仿宋" w:hAnsi="仿宋" w:eastAsia="仿宋" w:cs="仿宋"/>
          <w:b/>
          <w:bCs/>
          <w:color w:val="ff0000"/>
          <w:sz w:val="24"/>
          <w:szCs w:val="24"/>
          <w:highlight w:val="none"/>
          <w:lang w:val="en-US" w:eastAsia="zh-CN"/>
        </w:rPr>
        <w:t xml:space="preserve">第四章采购需求中的“</w:t>
      </w:r>
      <w:r>
        <w:rPr>
          <w:rFonts w:hint="eastAsia" w:ascii="仿宋" w:hAnsi="仿宋" w:eastAsia="仿宋" w:cs="仿宋"/>
          <w:b/>
          <w:bCs/>
          <w:color w:val="ff0000"/>
          <w:sz w:val="24"/>
          <w:szCs w:val="24"/>
          <w:highlight w:val="none"/>
          <w:lang w:eastAsia="zh-CN"/>
        </w:rPr>
        <w:t xml:space="preserve">一、采购标的清单”</w:t>
      </w:r>
      <w:r>
        <w:rPr>
          <w:rFonts w:hint="eastAsia" w:ascii="仿宋" w:hAnsi="仿宋" w:eastAsia="仿宋" w:cs="仿宋"/>
          <w:b/>
          <w:bCs/>
          <w:color w:val="ff0000"/>
          <w:sz w:val="24"/>
          <w:szCs w:val="24"/>
          <w:highlight w:val="none"/>
        </w:rPr>
        <w:t xml:space="preserve">顺序逐条填写中小微企业具体情况。</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w:t>
      </w:r>
      <w:r>
        <w:rPr>
          <w:rFonts w:hint="eastAsia" w:ascii="仿宋" w:hAnsi="仿宋" w:eastAsia="仿宋"/>
          <w:b/>
          <w:bCs/>
          <w:color w:val="auto"/>
          <w:sz w:val="28"/>
          <w:szCs w:val="28"/>
          <w:highlight w:val="none"/>
          <w:lang w:eastAsia="zh-CN"/>
        </w:rPr>
        <w:t xml:space="preserve">中标人</w:t>
      </w:r>
      <w:r>
        <w:rPr>
          <w:rFonts w:hint="eastAsia" w:ascii="仿宋" w:hAnsi="仿宋" w:eastAsia="仿宋"/>
          <w:b/>
          <w:bCs/>
          <w:color w:val="auto"/>
          <w:sz w:val="28"/>
          <w:szCs w:val="28"/>
          <w:highlight w:val="none"/>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963"/>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963"/>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969"/>
          <w:rFonts w:hint="eastAsia" w:ascii="仿宋" w:hAnsi="仿宋" w:eastAsia="仿宋" w:cs="仿宋"/>
          <w:i w:val="0"/>
          <w:color w:val="auto"/>
          <w:sz w:val="24"/>
          <w:szCs w:val="22"/>
          <w:highlight w:val="none"/>
          <w:u w:val="single"/>
          <w:shd w:val="clear" w:color="auto" w:fill="ffffff"/>
        </w:rPr>
        <w:t xml:space="preserve">（产品名称1）</w:t>
      </w:r>
      <w:r>
        <w:rPr>
          <w:rStyle w:val="969"/>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969"/>
          <w:rFonts w:hint="eastAsia" w:ascii="仿宋" w:hAnsi="仿宋" w:eastAsia="仿宋" w:cs="仿宋"/>
          <w:i w:val="0"/>
          <w:color w:val="auto"/>
          <w:sz w:val="24"/>
          <w:szCs w:val="22"/>
          <w:highlight w:val="none"/>
          <w:u w:val="single"/>
          <w:shd w:val="clear" w:color="auto" w:fill="ffffff"/>
        </w:rPr>
        <w:t xml:space="preserve">（厂名）</w:t>
      </w:r>
      <w:r>
        <w:rPr>
          <w:rStyle w:val="969"/>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969"/>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969"/>
          <w:rFonts w:hint="eastAsia" w:ascii="仿宋" w:hAnsi="仿宋" w:eastAsia="仿宋" w:cs="仿宋"/>
          <w:i w:val="0"/>
          <w:strike/>
          <w:color w:val="auto"/>
          <w:sz w:val="24"/>
          <w:szCs w:val="22"/>
          <w:highlight w:val="none"/>
          <w:u w:val="single"/>
          <w:shd w:val="clear" w:color="auto" w:fill="ffffff"/>
        </w:rPr>
        <w:t xml:space="preserve">（产品名称1）</w:t>
      </w:r>
      <w:r>
        <w:rPr>
          <w:rStyle w:val="969"/>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969"/>
          <w:rFonts w:hint="eastAsia" w:ascii="仿宋" w:hAnsi="仿宋" w:eastAsia="仿宋" w:cs="仿宋"/>
          <w:i w:val="0"/>
          <w:strike/>
          <w:color w:val="auto"/>
          <w:sz w:val="24"/>
          <w:szCs w:val="22"/>
          <w:highlight w:val="none"/>
          <w:u w:val="single"/>
          <w:shd w:val="clear" w:color="auto" w:fill="ffffff"/>
        </w:rPr>
        <w:t xml:space="preserve">（规定比例）</w:t>
      </w:r>
      <w:r>
        <w:rPr>
          <w:rStyle w:val="969"/>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969"/>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69"/>
          <w:rFonts w:hint="eastAsia" w:ascii="仿宋" w:hAnsi="仿宋" w:eastAsia="仿宋" w:cs="仿宋"/>
          <w:i w:val="0"/>
          <w:strike/>
          <w:color w:val="auto"/>
          <w:sz w:val="24"/>
          <w:szCs w:val="22"/>
          <w:highlight w:val="none"/>
          <w:u w:val="single"/>
          <w:shd w:val="clear" w:color="auto" w:fill="ffffff"/>
        </w:rPr>
        <w:t xml:space="preserve">（关键组件）</w:t>
      </w:r>
      <w:r>
        <w:rPr>
          <w:rStyle w:val="969"/>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969"/>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69"/>
          <w:rFonts w:hint="eastAsia" w:ascii="仿宋" w:hAnsi="仿宋" w:eastAsia="仿宋" w:cs="仿宋"/>
          <w:i w:val="0"/>
          <w:strike/>
          <w:color w:val="auto"/>
          <w:sz w:val="24"/>
          <w:szCs w:val="22"/>
          <w:highlight w:val="none"/>
          <w:u w:val="single"/>
          <w:shd w:val="clear" w:color="auto" w:fill="ffffff"/>
        </w:rPr>
        <w:t xml:space="preserve">（关键工序）</w:t>
      </w:r>
      <w:r>
        <w:rPr>
          <w:rStyle w:val="969"/>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963"/>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969"/>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969"/>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969"/>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969"/>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969"/>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969"/>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969"/>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969"/>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69"/>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963"/>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963"/>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63"/>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963"/>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963"/>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480" w:lineRule="exact"/>
        <w:rPr>
          <w:rFonts w:ascii="仿宋" w:hAnsi="仿宋" w:eastAsia="仿宋"/>
          <w:b/>
          <w:color w:val="auto"/>
          <w:sz w:val="24"/>
          <w:szCs w:val="24"/>
          <w:highlight w:val="none"/>
          <w:u w:val="single"/>
        </w:rPr>
      </w:pPr>
      <w:r>
        <w:rPr>
          <w:rFonts w:hint="eastAsia" w:ascii="仿宋" w:hAnsi="仿宋" w:eastAsia="仿宋"/>
          <w:b/>
          <w:color w:val="auto"/>
          <w:sz w:val="24"/>
          <w:szCs w:val="24"/>
          <w:highlight w:val="none"/>
          <w:u w:val="single"/>
        </w:rPr>
        <w:t xml:space="preserve">质疑函制作说明：</w:t>
      </w:r>
      <w:r/>
    </w:p>
    <w:p>
      <w:pPr>
        <w:jc w:val="left"/>
        <w:spacing w:line="480" w:lineRule="exact"/>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1.供应商提出质疑时，应提交质疑函和必要的</w:t>
      </w:r>
      <w:r>
        <w:rPr>
          <w:rFonts w:hint="eastAsia" w:ascii="仿宋" w:hAnsi="仿宋" w:eastAsia="仿宋"/>
          <w:color w:val="auto"/>
          <w:sz w:val="24"/>
          <w:szCs w:val="24"/>
          <w:highlight w:val="none"/>
          <w:u w:val="single"/>
          <w:lang w:eastAsia="zh-CN"/>
        </w:rPr>
        <w:t xml:space="preserve">佐证材料</w:t>
      </w:r>
      <w:r>
        <w:rPr>
          <w:rFonts w:hint="eastAsia" w:ascii="仿宋" w:hAnsi="仿宋" w:eastAsia="仿宋"/>
          <w:color w:val="auto"/>
          <w:sz w:val="24"/>
          <w:szCs w:val="24"/>
          <w:highlight w:val="none"/>
          <w:u w:val="single"/>
        </w:rPr>
        <w:t xml:space="preserve">。</w:t>
      </w:r>
      <w:r/>
    </w:p>
    <w:p>
      <w:pPr>
        <w:jc w:val="left"/>
        <w:spacing w:line="480" w:lineRule="exact"/>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2.质疑供应商若委托代理人进行质疑的，质疑函应按要求列明“授权代表”的有关内容，并在附件中提交由质疑</w:t>
      </w:r>
      <w:r>
        <w:rPr>
          <w:rFonts w:hint="eastAsia" w:ascii="仿宋" w:hAnsi="仿宋" w:eastAsia="仿宋" w:cs="宋体"/>
          <w:color w:val="auto"/>
          <w:sz w:val="24"/>
          <w:szCs w:val="24"/>
          <w:highlight w:val="none"/>
          <w:u w:val="single"/>
        </w:rPr>
        <w:t xml:space="preserve">供应商签署的授权委托书。授权委托书应载明代理人的姓名或者名称、代理事项、具体权限、期限和相关事项。</w:t>
      </w:r>
      <w:r/>
    </w:p>
    <w:p>
      <w:pPr>
        <w:jc w:val="left"/>
        <w:spacing w:line="480" w:lineRule="exact"/>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3.质疑供应商若对项目的某一分包进行质疑，质疑函中应列明具体分包号。</w:t>
      </w:r>
      <w:r/>
    </w:p>
    <w:p>
      <w:pPr>
        <w:jc w:val="left"/>
        <w:spacing w:line="480" w:lineRule="exact"/>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4.质疑函的质疑事项应具体、明确，并有必要的事实依据和法律依据。</w:t>
      </w:r>
      <w:r/>
    </w:p>
    <w:p>
      <w:pPr>
        <w:jc w:val="left"/>
        <w:spacing w:line="480" w:lineRule="exact"/>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5.质疑函的质疑请求应与质疑事项相关。</w:t>
      </w:r>
      <w:r/>
    </w:p>
    <w:p>
      <w:pPr>
        <w:jc w:val="left"/>
        <w:spacing w:line="480" w:lineRule="exact"/>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p>
      <w:pPr>
        <w:jc w:val="center"/>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2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2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2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Style w:val="1223"/>
      </w:rPr>
      <w:framePr w:wrap="around" w:vAnchor="text" w:hAnchor="margin" w:xAlign="center" w:y="1"/>
    </w:pPr>
    <w:r>
      <w:fldChar w:fldCharType="begin"/>
    </w:r>
    <w:r>
      <w:rPr>
        <w:rStyle w:val="1223"/>
      </w:rPr>
      <w:instrText xml:space="preserve">PAGE  </w:instrText>
    </w:r>
    <w:r>
      <w:fldChar w:fldCharType="separate"/>
    </w:r>
    <w:r>
      <w:rPr>
        <w:rStyle w:val="1223"/>
      </w:rPr>
      <w:t xml:space="preserve">1</w:t>
    </w:r>
    <w:r>
      <w:fldChar w:fldCharType="end"/>
    </w:r>
    <w:r/>
  </w:p>
  <w:p>
    <w:pPr>
      <w:pStyle w:val="12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1"/>
      <w:isLgl w:val="false"/>
      <w:suff w:val="nothing"/>
      <w:lvlText w:val=""/>
      <w:lvlJc w:val="left"/>
      <w:pPr>
        <w:ind w:left="0" w:firstLine="0"/>
      </w:pPr>
      <w:rPr>
        <w:rFonts w:hint="eastAsia"/>
      </w:rPr>
    </w:lvl>
    <w:lvl w:ilvl="6">
      <w:start w:val="1"/>
      <w:numFmt w:val="decimal"/>
      <w:pStyle w:val="1173"/>
      <w:isLgl w:val="false"/>
      <w:suff w:val="nothing"/>
      <w:lvlText w:val=""/>
      <w:lvlJc w:val="left"/>
      <w:pPr>
        <w:ind w:left="0" w:firstLine="0"/>
      </w:pPr>
      <w:rPr>
        <w:rFonts w:hint="eastAsia"/>
      </w:rPr>
    </w:lvl>
    <w:lvl w:ilvl="7">
      <w:start w:val="1"/>
      <w:numFmt w:val="decimal"/>
      <w:pStyle w:val="1175"/>
      <w:isLgl w:val="false"/>
      <w:suff w:val="nothing"/>
      <w:lvlText w:val=""/>
      <w:lvlJc w:val="left"/>
      <w:pPr>
        <w:ind w:left="0" w:firstLine="0"/>
      </w:pPr>
      <w:rPr>
        <w:rFonts w:hint="eastAsia"/>
      </w:rPr>
    </w:lvl>
    <w:lvl w:ilvl="8">
      <w:start w:val="1"/>
      <w:numFmt w:val="decimal"/>
      <w:pStyle w:val="1177"/>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79"/>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2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0" w:default="1">
    <w:name w:val="Normal"/>
    <w:link w:val="1274"/>
    <w:uiPriority w:val="0"/>
    <w:qFormat/>
    <w:pPr>
      <w:jc w:val="both"/>
      <w:widowControl w:val="off"/>
    </w:pPr>
    <w:rPr>
      <w:rFonts w:hint="default" w:ascii="Times New Roman" w:hAnsi="Times New Roman" w:eastAsia="宋体" w:cs="Times New Roman"/>
      <w:sz w:val="21"/>
      <w:szCs w:val="22"/>
      <w:lang w:eastAsia="zh-CN"/>
    </w:rPr>
  </w:style>
  <w:style w:type="paragraph" w:styleId="931">
    <w:name w:val="Heading 1"/>
    <w:basedOn w:val="930"/>
    <w:next w:val="930"/>
    <w:link w:val="1010"/>
    <w:uiPriority w:val="9"/>
    <w:qFormat/>
    <w:pPr>
      <w:keepLines/>
      <w:keepNext/>
      <w:spacing w:before="480" w:after="200"/>
      <w:outlineLvl w:val="0"/>
    </w:pPr>
    <w:rPr>
      <w:rFonts w:ascii="Arial" w:hAnsi="Arial" w:eastAsia="Arial" w:cs="Arial"/>
      <w:sz w:val="40"/>
      <w:szCs w:val="40"/>
    </w:rPr>
  </w:style>
  <w:style w:type="paragraph" w:styleId="932">
    <w:name w:val="Heading 2"/>
    <w:basedOn w:val="930"/>
    <w:next w:val="930"/>
    <w:link w:val="1011"/>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link w:val="1012"/>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link w:val="1013"/>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1014"/>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link w:val="1015"/>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1016"/>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1017"/>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1018"/>
    <w:uiPriority w:val="9"/>
    <w:unhideWhenUsed/>
    <w:qFormat/>
    <w:pPr>
      <w:keepLines/>
      <w:keepNext/>
      <w:spacing w:before="320" w:after="200"/>
      <w:outlineLvl w:val="8"/>
    </w:pPr>
    <w:rPr>
      <w:rFonts w:ascii="Arial" w:hAnsi="Arial" w:eastAsia="Arial" w:cs="Arial"/>
      <w:i/>
      <w:iCs/>
      <w:sz w:val="21"/>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toc 7"/>
    <w:basedOn w:val="930"/>
    <w:next w:val="930"/>
    <w:uiPriority w:val="39"/>
    <w:unhideWhenUsed/>
    <w:qFormat/>
    <w:pPr>
      <w:ind w:left="1701" w:right="0" w:firstLine="0"/>
      <w:spacing w:after="57"/>
    </w:pPr>
  </w:style>
  <w:style w:type="paragraph" w:styleId="943">
    <w:name w:val="Caption"/>
    <w:basedOn w:val="930"/>
    <w:next w:val="9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4">
    <w:name w:val="Body Text"/>
    <w:basedOn w:val="930"/>
    <w:next w:val="945"/>
    <w:uiPriority w:val="99"/>
    <w:qFormat/>
    <w:rPr>
      <w:rFonts w:ascii="楷体_GB2312" w:hAnsi="Arial" w:eastAsia="楷体_GB2312"/>
      <w:sz w:val="28"/>
      <w:szCs w:val="28"/>
    </w:rPr>
  </w:style>
  <w:style w:type="paragraph" w:styleId="945" w:customStyle="1">
    <w:name w:val="Default"/>
    <w:next w:val="930"/>
    <w:uiPriority w:val="0"/>
    <w:qFormat/>
    <w:pPr>
      <w:widowControl w:val="off"/>
    </w:pPr>
    <w:rPr>
      <w:rFonts w:hint="default" w:ascii="宋体" w:hAnsi="宋体" w:eastAsia="宋体" w:cs="宋体"/>
      <w:color w:val="000000"/>
      <w:sz w:val="24"/>
      <w:szCs w:val="24"/>
      <w:lang w:val="en-US" w:eastAsia="zh-CN" w:bidi="ar-SA"/>
    </w:rPr>
  </w:style>
  <w:style w:type="paragraph" w:styleId="946">
    <w:name w:val="Body Text Indent"/>
    <w:basedOn w:val="930"/>
    <w:uiPriority w:val="0"/>
    <w:qFormat/>
    <w:pPr>
      <w:ind w:firstLine="403"/>
      <w:spacing w:line="440" w:lineRule="exact"/>
    </w:pPr>
    <w:rPr>
      <w:rFonts w:ascii="宋体" w:hAnsi="宋体"/>
      <w:sz w:val="20"/>
      <w:szCs w:val="21"/>
    </w:rPr>
  </w:style>
  <w:style w:type="paragraph" w:styleId="947">
    <w:name w:val="index 4"/>
    <w:basedOn w:val="930"/>
    <w:next w:val="930"/>
    <w:uiPriority w:val="0"/>
    <w:qFormat/>
    <w:pPr>
      <w:ind w:left="1260"/>
    </w:pPr>
    <w:rPr>
      <w:szCs w:val="20"/>
    </w:rPr>
  </w:style>
  <w:style w:type="paragraph" w:styleId="948">
    <w:name w:val="toc 5"/>
    <w:basedOn w:val="930"/>
    <w:next w:val="930"/>
    <w:uiPriority w:val="39"/>
    <w:unhideWhenUsed/>
    <w:qFormat/>
    <w:pPr>
      <w:ind w:left="1134" w:right="0" w:firstLine="0"/>
      <w:spacing w:after="57"/>
    </w:pPr>
  </w:style>
  <w:style w:type="paragraph" w:styleId="949">
    <w:name w:val="toc 3"/>
    <w:basedOn w:val="930"/>
    <w:next w:val="930"/>
    <w:uiPriority w:val="39"/>
    <w:unhideWhenUsed/>
    <w:qFormat/>
    <w:pPr>
      <w:ind w:left="567" w:right="0" w:firstLine="0"/>
      <w:spacing w:after="57"/>
    </w:pPr>
  </w:style>
  <w:style w:type="paragraph" w:styleId="950">
    <w:name w:val="Plain Text"/>
    <w:basedOn w:val="930"/>
    <w:uiPriority w:val="0"/>
    <w:qFormat/>
    <w:rPr>
      <w:rFonts w:ascii="宋体" w:hAnsi="Courier New"/>
    </w:rPr>
  </w:style>
  <w:style w:type="paragraph" w:styleId="951">
    <w:name w:val="toc 8"/>
    <w:basedOn w:val="930"/>
    <w:next w:val="930"/>
    <w:uiPriority w:val="39"/>
    <w:unhideWhenUsed/>
    <w:qFormat/>
    <w:pPr>
      <w:ind w:left="1984" w:right="0" w:firstLine="0"/>
      <w:spacing w:after="57"/>
    </w:pPr>
  </w:style>
  <w:style w:type="paragraph" w:styleId="952">
    <w:name w:val="endnote text"/>
    <w:basedOn w:val="930"/>
    <w:uiPriority w:val="99"/>
    <w:semiHidden/>
    <w:unhideWhenUsed/>
    <w:qFormat/>
    <w:pPr>
      <w:spacing w:after="0" w:line="240" w:lineRule="auto"/>
    </w:pPr>
    <w:rPr>
      <w:sz w:val="20"/>
    </w:rPr>
  </w:style>
  <w:style w:type="paragraph" w:styleId="953">
    <w:name w:val="Footer"/>
    <w:basedOn w:val="930"/>
    <w:uiPriority w:val="99"/>
    <w:unhideWhenUsed/>
    <w:qFormat/>
    <w:pPr>
      <w:spacing w:after="0" w:line="240" w:lineRule="auto"/>
      <w:tabs>
        <w:tab w:val="center" w:pos="7143" w:leader="none"/>
        <w:tab w:val="right" w:pos="14287" w:leader="none"/>
      </w:tabs>
    </w:pPr>
  </w:style>
  <w:style w:type="paragraph" w:styleId="954">
    <w:name w:val="Header"/>
    <w:basedOn w:val="930"/>
    <w:uiPriority w:val="99"/>
    <w:unhideWhenUsed/>
    <w:qFormat/>
    <w:pPr>
      <w:spacing w:after="0" w:line="240" w:lineRule="auto"/>
      <w:tabs>
        <w:tab w:val="center" w:pos="7143" w:leader="none"/>
        <w:tab w:val="right" w:pos="14287" w:leader="none"/>
      </w:tabs>
    </w:pPr>
  </w:style>
  <w:style w:type="paragraph" w:styleId="955">
    <w:name w:val="toc 1"/>
    <w:basedOn w:val="930"/>
    <w:next w:val="930"/>
    <w:uiPriority w:val="39"/>
    <w:unhideWhenUsed/>
    <w:qFormat/>
    <w:pPr>
      <w:ind w:left="0" w:right="0" w:firstLine="0"/>
      <w:spacing w:after="57"/>
    </w:pPr>
  </w:style>
  <w:style w:type="paragraph" w:styleId="956">
    <w:name w:val="toc 4"/>
    <w:basedOn w:val="930"/>
    <w:next w:val="930"/>
    <w:uiPriority w:val="39"/>
    <w:unhideWhenUsed/>
    <w:qFormat/>
    <w:pPr>
      <w:ind w:left="850" w:right="0" w:firstLine="0"/>
      <w:spacing w:after="57"/>
    </w:pPr>
  </w:style>
  <w:style w:type="paragraph" w:styleId="957">
    <w:name w:val="Subtitle"/>
    <w:basedOn w:val="930"/>
    <w:next w:val="930"/>
    <w:uiPriority w:val="11"/>
    <w:qFormat/>
    <w:pPr>
      <w:spacing w:before="200" w:after="200"/>
    </w:pPr>
    <w:rPr>
      <w:sz w:val="24"/>
      <w:szCs w:val="24"/>
    </w:rPr>
  </w:style>
  <w:style w:type="paragraph" w:styleId="958">
    <w:name w:val="footnote text"/>
    <w:basedOn w:val="930"/>
    <w:uiPriority w:val="99"/>
    <w:semiHidden/>
    <w:unhideWhenUsed/>
    <w:qFormat/>
    <w:pPr>
      <w:spacing w:after="40" w:line="240" w:lineRule="auto"/>
    </w:pPr>
    <w:rPr>
      <w:sz w:val="18"/>
    </w:rPr>
  </w:style>
  <w:style w:type="paragraph" w:styleId="959">
    <w:name w:val="toc 6"/>
    <w:basedOn w:val="930"/>
    <w:next w:val="930"/>
    <w:uiPriority w:val="39"/>
    <w:unhideWhenUsed/>
    <w:qFormat/>
    <w:pPr>
      <w:ind w:left="1417" w:right="0" w:firstLine="0"/>
      <w:spacing w:after="57"/>
    </w:pPr>
  </w:style>
  <w:style w:type="paragraph" w:styleId="960">
    <w:name w:val="table of figures"/>
    <w:basedOn w:val="930"/>
    <w:next w:val="930"/>
    <w:uiPriority w:val="99"/>
    <w:unhideWhenUsed/>
    <w:qFormat/>
    <w:pPr>
      <w:spacing w:after="0" w:afterAutospacing="0"/>
    </w:pPr>
  </w:style>
  <w:style w:type="paragraph" w:styleId="961">
    <w:name w:val="toc 2"/>
    <w:basedOn w:val="930"/>
    <w:next w:val="930"/>
    <w:uiPriority w:val="39"/>
    <w:unhideWhenUsed/>
    <w:qFormat/>
    <w:pPr>
      <w:ind w:left="283" w:right="0" w:firstLine="0"/>
      <w:spacing w:after="57"/>
    </w:pPr>
  </w:style>
  <w:style w:type="paragraph" w:styleId="962">
    <w:name w:val="toc 9"/>
    <w:basedOn w:val="930"/>
    <w:next w:val="930"/>
    <w:uiPriority w:val="39"/>
    <w:unhideWhenUsed/>
    <w:qFormat/>
    <w:pPr>
      <w:ind w:left="2268" w:right="0" w:firstLine="0"/>
      <w:spacing w:after="57"/>
    </w:pPr>
  </w:style>
  <w:style w:type="paragraph" w:styleId="963">
    <w:name w:val="Normal (Web)"/>
    <w:basedOn w:val="930"/>
    <w:uiPriority w:val="0"/>
    <w:qFormat/>
    <w:pPr>
      <w:jc w:val="left"/>
      <w:spacing w:beforeAutospacing="1" w:afterAutospacing="1"/>
    </w:pPr>
    <w:rPr>
      <w:sz w:val="24"/>
    </w:rPr>
  </w:style>
  <w:style w:type="paragraph" w:styleId="964">
    <w:name w:val="Title"/>
    <w:basedOn w:val="930"/>
    <w:next w:val="930"/>
    <w:uiPriority w:val="10"/>
    <w:qFormat/>
    <w:pPr>
      <w:contextualSpacing/>
      <w:spacing w:before="300" w:after="200"/>
    </w:pPr>
    <w:rPr>
      <w:sz w:val="48"/>
      <w:szCs w:val="48"/>
    </w:rPr>
  </w:style>
  <w:style w:type="paragraph" w:styleId="965">
    <w:name w:val="Body Text First Indent 2"/>
    <w:basedOn w:val="946"/>
    <w:uiPriority w:val="99"/>
    <w:semiHidden/>
    <w:unhideWhenUsed/>
    <w:qFormat/>
    <w:pPr>
      <w:ind w:firstLine="420"/>
    </w:pPr>
  </w:style>
  <w:style w:type="table" w:styleId="9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7">
    <w:name w:val="Strong"/>
    <w:basedOn w:val="940"/>
    <w:uiPriority w:val="22"/>
    <w:qFormat/>
    <w:rPr>
      <w:b/>
    </w:rPr>
  </w:style>
  <w:style w:type="character" w:styleId="968">
    <w:name w:val="endnote reference"/>
    <w:uiPriority w:val="99"/>
    <w:semiHidden/>
    <w:unhideWhenUsed/>
    <w:qFormat/>
    <w:rPr>
      <w:vertAlign w:val="superscript"/>
    </w:rPr>
  </w:style>
  <w:style w:type="character" w:styleId="969">
    <w:name w:val="Emphasis"/>
    <w:uiPriority w:val="0"/>
    <w:qFormat/>
    <w:rPr>
      <w:i/>
    </w:rPr>
  </w:style>
  <w:style w:type="character" w:styleId="970">
    <w:name w:val="Hyperlink"/>
    <w:uiPriority w:val="99"/>
    <w:unhideWhenUsed/>
    <w:qFormat/>
    <w:rPr>
      <w:color w:val="0000ff" w:themeColor="hyperlink"/>
      <w:u w:val="single"/>
      <w14:textFill>
        <w14:solidFill>
          <w14:schemeClr w14:val="hlink"/>
        </w14:solidFill>
      </w14:textFill>
    </w:rPr>
  </w:style>
  <w:style w:type="character" w:styleId="971">
    <w:name w:val="footnote reference"/>
    <w:uiPriority w:val="99"/>
    <w:unhideWhenUsed/>
    <w:qFormat/>
    <w:rPr>
      <w:vertAlign w:val="superscript"/>
    </w:rPr>
  </w:style>
  <w:style w:type="paragraph" w:styleId="972" w:customStyle="1">
    <w:name w:val="正文首行缩进 21"/>
    <w:basedOn w:val="973"/>
    <w:link w:val="1220"/>
    <w:uiPriority w:val="0"/>
    <w:qFormat/>
    <w:pPr>
      <w:ind w:left="0" w:firstLine="420"/>
      <w:spacing w:after="0" w:line="360" w:lineRule="auto"/>
    </w:pPr>
    <w:rPr>
      <w:rFonts w:ascii="宋体" w:hAnsi="宋体"/>
      <w:sz w:val="20"/>
      <w:szCs w:val="20"/>
    </w:rPr>
  </w:style>
  <w:style w:type="paragraph" w:styleId="973" w:customStyle="1">
    <w:name w:val="正文文本缩进1"/>
    <w:basedOn w:val="930"/>
    <w:next w:val="972"/>
    <w:link w:val="1189"/>
    <w:uiPriority w:val="99"/>
    <w:unhideWhenUsed/>
    <w:qFormat/>
    <w:pPr>
      <w:ind w:left="420"/>
      <w:spacing w:after="120"/>
    </w:pPr>
  </w:style>
  <w:style w:type="paragraph" w:styleId="974" w:customStyle="1">
    <w:name w:val="正文文本缩进11"/>
    <w:basedOn w:val="930"/>
    <w:next w:val="975"/>
    <w:uiPriority w:val="0"/>
    <w:qFormat/>
    <w:pPr>
      <w:ind w:left="570"/>
      <w:spacing w:line="520" w:lineRule="exact"/>
    </w:pPr>
    <w:rPr>
      <w:rFonts w:hint="eastAsia" w:ascii="楷体_GB2312"/>
    </w:rPr>
  </w:style>
  <w:style w:type="paragraph" w:styleId="975" w:customStyle="1">
    <w:name w:val="寄信人地址1"/>
    <w:basedOn w:val="930"/>
    <w:uiPriority w:val="99"/>
    <w:unhideWhenUsed/>
    <w:qFormat/>
    <w:rPr>
      <w:rFonts w:ascii="Arial" w:hAnsi="Arial"/>
    </w:rPr>
  </w:style>
  <w:style w:type="paragraph" w:styleId="976" w:customStyle="1">
    <w:name w:val="正文文本缩进 31"/>
    <w:basedOn w:val="930"/>
    <w:link w:val="1210"/>
    <w:uiPriority w:val="0"/>
    <w:qFormat/>
    <w:pPr>
      <w:ind w:left="645" w:firstLine="645"/>
    </w:pPr>
    <w:rPr>
      <w:rFonts w:ascii="Arial" w:hAnsi="Arial" w:eastAsia="仿宋_GB2312"/>
      <w:color w:val="ffff00"/>
      <w:sz w:val="32"/>
      <w:szCs w:val="32"/>
    </w:rPr>
  </w:style>
  <w:style w:type="paragraph" w:styleId="977" w:customStyle="1">
    <w:name w:val="正文首行缩进11"/>
    <w:basedOn w:val="978"/>
    <w:link w:val="1009"/>
    <w:uiPriority w:val="0"/>
    <w:qFormat/>
    <w:pPr>
      <w:ind w:firstLine="200"/>
      <w:spacing w:line="360" w:lineRule="auto"/>
    </w:pPr>
    <w:rPr>
      <w:rFonts w:ascii="仿宋_GB2312" w:hAnsi="Times New Roman" w:eastAsia="仿宋_GB2312"/>
      <w:sz w:val="30"/>
      <w:szCs w:val="30"/>
    </w:rPr>
  </w:style>
  <w:style w:type="paragraph" w:styleId="978" w:customStyle="1">
    <w:name w:val="正文文本1"/>
    <w:basedOn w:val="930"/>
    <w:next w:val="930"/>
    <w:uiPriority w:val="0"/>
    <w:qFormat/>
    <w:rPr>
      <w:rFonts w:ascii="楷体_GB2312" w:hAnsi="Arial" w:eastAsia="楷体_GB2312"/>
      <w:sz w:val="28"/>
      <w:szCs w:val="28"/>
      <w:lang w:eastAsia="en-US"/>
    </w:rPr>
  </w:style>
  <w:style w:type="paragraph" w:styleId="979" w:customStyle="1">
    <w:name w:val="标题 111"/>
    <w:basedOn w:val="930"/>
    <w:next w:val="930"/>
    <w:uiPriority w:val="0"/>
    <w:qFormat/>
    <w:pPr>
      <w:numPr>
        <w:ilvl w:val="0"/>
        <w:numId w:val="1"/>
      </w:numPr>
      <w:jc w:val="left"/>
      <w:keepLines/>
      <w:keepNext/>
      <w:outlineLvl w:val="0"/>
    </w:pPr>
    <w:rPr>
      <w:b/>
      <w:bCs/>
      <w:sz w:val="32"/>
      <w:szCs w:val="32"/>
    </w:rPr>
  </w:style>
  <w:style w:type="character" w:styleId="980" w:customStyle="1">
    <w:name w:val="默认段落字体11"/>
    <w:link w:val="930"/>
    <w:uiPriority w:val="1"/>
    <w:unhideWhenUsed/>
    <w:qFormat/>
  </w:style>
  <w:style w:type="table" w:styleId="981" w:customStyle="1">
    <w:name w:val="普通表格11"/>
    <w:uiPriority w:val="99"/>
    <w:unhideWhenUsed/>
    <w:qFormat/>
    <w:tblPr/>
  </w:style>
  <w:style w:type="paragraph" w:styleId="982" w:customStyle="1">
    <w:name w:val="目录 711"/>
    <w:basedOn w:val="930"/>
    <w:next w:val="930"/>
    <w:uiPriority w:val="39"/>
    <w:unhideWhenUsed/>
    <w:qFormat/>
    <w:pPr>
      <w:ind w:left="1701" w:right="0" w:firstLine="0"/>
      <w:spacing w:after="57"/>
    </w:pPr>
  </w:style>
  <w:style w:type="paragraph" w:styleId="983" w:customStyle="1">
    <w:name w:val="正文文本1111"/>
    <w:basedOn w:val="930"/>
    <w:next w:val="930"/>
    <w:uiPriority w:val="0"/>
    <w:qFormat/>
    <w:rPr>
      <w:rFonts w:ascii="楷体_GB2312" w:hAnsi="Arial" w:eastAsia="楷体_GB2312"/>
      <w:sz w:val="28"/>
      <w:szCs w:val="28"/>
    </w:rPr>
  </w:style>
  <w:style w:type="paragraph" w:styleId="984" w:customStyle="1">
    <w:name w:val="目录 511"/>
    <w:basedOn w:val="930"/>
    <w:next w:val="930"/>
    <w:uiPriority w:val="39"/>
    <w:unhideWhenUsed/>
    <w:qFormat/>
    <w:pPr>
      <w:ind w:left="1134" w:right="0" w:firstLine="0"/>
      <w:spacing w:after="57"/>
    </w:pPr>
  </w:style>
  <w:style w:type="paragraph" w:styleId="985" w:customStyle="1">
    <w:name w:val="目录 311"/>
    <w:basedOn w:val="930"/>
    <w:next w:val="930"/>
    <w:uiPriority w:val="39"/>
    <w:unhideWhenUsed/>
    <w:qFormat/>
    <w:pPr>
      <w:ind w:left="567" w:right="0" w:firstLine="0"/>
      <w:spacing w:after="57"/>
    </w:pPr>
  </w:style>
  <w:style w:type="paragraph" w:styleId="986" w:customStyle="1">
    <w:name w:val="纯文本11"/>
    <w:basedOn w:val="930"/>
    <w:uiPriority w:val="0"/>
    <w:qFormat/>
    <w:rPr>
      <w:rFonts w:ascii="宋体" w:hAnsi="Courier New"/>
    </w:rPr>
  </w:style>
  <w:style w:type="paragraph" w:styleId="987" w:customStyle="1">
    <w:name w:val="目录 811"/>
    <w:basedOn w:val="930"/>
    <w:next w:val="930"/>
    <w:uiPriority w:val="39"/>
    <w:unhideWhenUsed/>
    <w:qFormat/>
    <w:pPr>
      <w:ind w:left="1984" w:right="0" w:firstLine="0"/>
      <w:spacing w:after="57"/>
    </w:pPr>
  </w:style>
  <w:style w:type="paragraph" w:styleId="988" w:customStyle="1">
    <w:name w:val="正文文本缩进 211"/>
    <w:basedOn w:val="930"/>
    <w:uiPriority w:val="0"/>
    <w:qFormat/>
    <w:pPr>
      <w:ind w:firstLine="502"/>
      <w:spacing w:line="360" w:lineRule="auto"/>
      <w:tabs>
        <w:tab w:val="left" w:pos="0" w:leader="none"/>
      </w:tabs>
    </w:pPr>
    <w:rPr>
      <w:rFonts w:ascii="宋体" w:eastAsia="宋体"/>
      <w:b/>
      <w:bCs/>
      <w:sz w:val="24"/>
    </w:rPr>
  </w:style>
  <w:style w:type="paragraph" w:styleId="989" w:customStyle="1">
    <w:name w:val="尾注文本1"/>
    <w:basedOn w:val="930"/>
    <w:link w:val="990"/>
    <w:uiPriority w:val="99"/>
    <w:unhideWhenUsed/>
    <w:qFormat/>
    <w:pPr>
      <w:spacing w:after="0" w:line="240" w:lineRule="auto"/>
    </w:pPr>
    <w:rPr>
      <w:sz w:val="20"/>
    </w:rPr>
  </w:style>
  <w:style w:type="character" w:styleId="990" w:customStyle="1">
    <w:name w:val="Endnote Text Char"/>
    <w:link w:val="989"/>
    <w:uiPriority w:val="99"/>
    <w:qFormat/>
    <w:rPr>
      <w:sz w:val="20"/>
    </w:rPr>
  </w:style>
  <w:style w:type="paragraph" w:styleId="991" w:customStyle="1">
    <w:name w:val="目录 111"/>
    <w:basedOn w:val="930"/>
    <w:next w:val="930"/>
    <w:uiPriority w:val="39"/>
    <w:unhideWhenUsed/>
    <w:qFormat/>
    <w:pPr>
      <w:ind w:left="0" w:right="0" w:firstLine="0"/>
      <w:spacing w:after="57"/>
    </w:pPr>
  </w:style>
  <w:style w:type="paragraph" w:styleId="992" w:customStyle="1">
    <w:name w:val="目录 411"/>
    <w:basedOn w:val="930"/>
    <w:next w:val="930"/>
    <w:uiPriority w:val="39"/>
    <w:unhideWhenUsed/>
    <w:qFormat/>
    <w:pPr>
      <w:ind w:left="850" w:right="0" w:firstLine="0"/>
      <w:spacing w:after="57"/>
    </w:pPr>
  </w:style>
  <w:style w:type="paragraph" w:styleId="993" w:customStyle="1">
    <w:name w:val="副标题1"/>
    <w:basedOn w:val="930"/>
    <w:next w:val="930"/>
    <w:link w:val="994"/>
    <w:uiPriority w:val="11"/>
    <w:qFormat/>
    <w:pPr>
      <w:spacing w:before="200" w:after="200"/>
    </w:pPr>
    <w:rPr>
      <w:sz w:val="24"/>
      <w:szCs w:val="24"/>
    </w:rPr>
  </w:style>
  <w:style w:type="character" w:styleId="994" w:customStyle="1">
    <w:name w:val="Subtitle Char"/>
    <w:link w:val="993"/>
    <w:uiPriority w:val="11"/>
    <w:qFormat/>
    <w:rPr>
      <w:sz w:val="24"/>
      <w:szCs w:val="24"/>
    </w:rPr>
  </w:style>
  <w:style w:type="paragraph" w:styleId="995" w:customStyle="1">
    <w:name w:val="脚注文本1"/>
    <w:basedOn w:val="930"/>
    <w:link w:val="996"/>
    <w:uiPriority w:val="99"/>
    <w:unhideWhenUsed/>
    <w:qFormat/>
    <w:pPr>
      <w:spacing w:after="40" w:line="240" w:lineRule="auto"/>
    </w:pPr>
    <w:rPr>
      <w:sz w:val="18"/>
    </w:rPr>
  </w:style>
  <w:style w:type="character" w:styleId="996" w:customStyle="1">
    <w:name w:val="Footnote Text Char"/>
    <w:link w:val="995"/>
    <w:uiPriority w:val="99"/>
    <w:qFormat/>
    <w:rPr>
      <w:sz w:val="18"/>
    </w:rPr>
  </w:style>
  <w:style w:type="paragraph" w:styleId="997" w:customStyle="1">
    <w:name w:val="目录 611"/>
    <w:basedOn w:val="930"/>
    <w:next w:val="930"/>
    <w:uiPriority w:val="39"/>
    <w:unhideWhenUsed/>
    <w:qFormat/>
    <w:pPr>
      <w:ind w:left="1417" w:right="0" w:firstLine="0"/>
      <w:spacing w:after="57"/>
    </w:pPr>
  </w:style>
  <w:style w:type="paragraph" w:styleId="998" w:customStyle="1">
    <w:name w:val="图表目录11"/>
    <w:basedOn w:val="930"/>
    <w:next w:val="930"/>
    <w:uiPriority w:val="99"/>
    <w:unhideWhenUsed/>
    <w:qFormat/>
    <w:pPr>
      <w:spacing w:after="0" w:afterAutospacing="0"/>
    </w:pPr>
  </w:style>
  <w:style w:type="paragraph" w:styleId="999" w:customStyle="1">
    <w:name w:val="目录 211"/>
    <w:basedOn w:val="930"/>
    <w:next w:val="930"/>
    <w:uiPriority w:val="39"/>
    <w:unhideWhenUsed/>
    <w:qFormat/>
    <w:pPr>
      <w:ind w:left="283" w:right="0" w:firstLine="0"/>
      <w:spacing w:after="57"/>
    </w:pPr>
  </w:style>
  <w:style w:type="paragraph" w:styleId="1000" w:customStyle="1">
    <w:name w:val="目录 911"/>
    <w:basedOn w:val="930"/>
    <w:next w:val="930"/>
    <w:uiPriority w:val="39"/>
    <w:unhideWhenUsed/>
    <w:qFormat/>
    <w:pPr>
      <w:ind w:left="2268" w:right="0" w:firstLine="0"/>
      <w:spacing w:after="57"/>
    </w:pPr>
  </w:style>
  <w:style w:type="paragraph" w:styleId="1001" w:customStyle="1">
    <w:name w:val="普通(网站)11"/>
    <w:basedOn w:val="930"/>
    <w:uiPriority w:val="0"/>
    <w:qFormat/>
    <w:pPr>
      <w:jc w:val="left"/>
      <w:spacing w:before="100" w:beforeAutospacing="1" w:after="100" w:afterAutospacing="1" w:line="360" w:lineRule="auto"/>
      <w:widowControl/>
    </w:pPr>
    <w:rPr>
      <w:rFonts w:hint="eastAsia" w:ascii="宋体" w:hAnsi="宋体"/>
      <w:sz w:val="18"/>
      <w:szCs w:val="18"/>
    </w:rPr>
  </w:style>
  <w:style w:type="paragraph" w:styleId="1002" w:customStyle="1">
    <w:name w:val="标题11"/>
    <w:basedOn w:val="930"/>
    <w:next w:val="930"/>
    <w:link w:val="1003"/>
    <w:uiPriority w:val="10"/>
    <w:qFormat/>
    <w:pPr>
      <w:contextualSpacing/>
      <w:spacing w:before="300" w:after="200"/>
    </w:pPr>
    <w:rPr>
      <w:sz w:val="48"/>
      <w:szCs w:val="48"/>
    </w:rPr>
  </w:style>
  <w:style w:type="character" w:styleId="1003" w:customStyle="1">
    <w:name w:val="Title Char"/>
    <w:link w:val="1002"/>
    <w:uiPriority w:val="10"/>
    <w:qFormat/>
    <w:rPr>
      <w:sz w:val="48"/>
      <w:szCs w:val="48"/>
    </w:rPr>
  </w:style>
  <w:style w:type="paragraph" w:styleId="1004" w:customStyle="1">
    <w:name w:val="正文首行缩进121"/>
    <w:basedOn w:val="983"/>
    <w:uiPriority w:val="0"/>
    <w:qFormat/>
    <w:pPr>
      <w:ind w:firstLine="200"/>
      <w:spacing w:line="360" w:lineRule="auto"/>
    </w:pPr>
    <w:rPr>
      <w:rFonts w:ascii="仿宋_GB2312" w:hAnsi="Times New Roman" w:eastAsia="仿宋_GB2312"/>
      <w:sz w:val="30"/>
      <w:szCs w:val="30"/>
    </w:rPr>
  </w:style>
  <w:style w:type="table" w:styleId="1005" w:customStyle="1">
    <w:name w:val="网格型11"/>
    <w:uiPriority w:val="59"/>
    <w:qFormat/>
    <w:pPr>
      <w:spacing w:after="0" w:line="240" w:lineRule="auto"/>
    </w:pPr>
    <w:tblPr/>
  </w:style>
  <w:style w:type="character" w:styleId="1006" w:customStyle="1">
    <w:name w:val="尾注引用1"/>
    <w:link w:val="930"/>
    <w:uiPriority w:val="99"/>
    <w:unhideWhenUsed/>
    <w:qFormat/>
    <w:rPr>
      <w:vertAlign w:val="superscript"/>
    </w:rPr>
  </w:style>
  <w:style w:type="character" w:styleId="1007" w:customStyle="1">
    <w:name w:val="超链接12"/>
    <w:basedOn w:val="980"/>
    <w:link w:val="930"/>
    <w:uiPriority w:val="99"/>
    <w:unhideWhenUsed/>
    <w:qFormat/>
    <w:rPr>
      <w:color w:val="0000ff"/>
      <w:u w:val="single"/>
    </w:rPr>
  </w:style>
  <w:style w:type="character" w:styleId="1008" w:customStyle="1">
    <w:name w:val="脚注引用1"/>
    <w:link w:val="930"/>
    <w:uiPriority w:val="99"/>
    <w:unhideWhenUsed/>
    <w:qFormat/>
    <w:rPr>
      <w:vertAlign w:val="superscript"/>
    </w:rPr>
  </w:style>
  <w:style w:type="character" w:styleId="1009" w:customStyle="1">
    <w:name w:val="正文首行缩进 字符"/>
    <w:link w:val="977"/>
    <w:uiPriority w:val="0"/>
    <w:qFormat/>
    <w:rPr>
      <w:rFonts w:ascii="仿宋_GB2312" w:hAnsi="Times New Roman" w:eastAsia="仿宋_GB2312" w:cs="Times New Roman"/>
      <w:sz w:val="30"/>
      <w:szCs w:val="30"/>
    </w:rPr>
  </w:style>
  <w:style w:type="character" w:styleId="1010" w:customStyle="1">
    <w:name w:val="Heading 1 Char"/>
    <w:link w:val="931"/>
    <w:uiPriority w:val="9"/>
    <w:qFormat/>
    <w:rPr>
      <w:rFonts w:ascii="Arial" w:hAnsi="Arial" w:eastAsia="Arial" w:cs="Arial"/>
      <w:sz w:val="40"/>
      <w:szCs w:val="40"/>
    </w:rPr>
  </w:style>
  <w:style w:type="character" w:styleId="1011" w:customStyle="1">
    <w:name w:val="Heading 2 Char"/>
    <w:link w:val="932"/>
    <w:uiPriority w:val="9"/>
    <w:qFormat/>
    <w:rPr>
      <w:rFonts w:ascii="Arial" w:hAnsi="Arial" w:eastAsia="Arial" w:cs="Arial"/>
      <w:sz w:val="34"/>
    </w:rPr>
  </w:style>
  <w:style w:type="character" w:styleId="1012" w:customStyle="1">
    <w:name w:val="Heading 3 Char"/>
    <w:link w:val="933"/>
    <w:uiPriority w:val="9"/>
    <w:qFormat/>
    <w:rPr>
      <w:rFonts w:ascii="Arial" w:hAnsi="Arial" w:eastAsia="Arial" w:cs="Arial"/>
      <w:sz w:val="30"/>
      <w:szCs w:val="30"/>
    </w:rPr>
  </w:style>
  <w:style w:type="character" w:styleId="1013" w:customStyle="1">
    <w:name w:val="Heading 4 Char"/>
    <w:link w:val="934"/>
    <w:uiPriority w:val="9"/>
    <w:qFormat/>
    <w:rPr>
      <w:rFonts w:ascii="Arial" w:hAnsi="Arial" w:eastAsia="Arial" w:cs="Arial"/>
      <w:b/>
      <w:bCs/>
      <w:sz w:val="26"/>
      <w:szCs w:val="26"/>
    </w:rPr>
  </w:style>
  <w:style w:type="character" w:styleId="1014" w:customStyle="1">
    <w:name w:val="Heading 5 Char"/>
    <w:link w:val="935"/>
    <w:uiPriority w:val="9"/>
    <w:qFormat/>
    <w:rPr>
      <w:rFonts w:ascii="Arial" w:hAnsi="Arial" w:eastAsia="Arial" w:cs="Arial"/>
      <w:b/>
      <w:bCs/>
      <w:sz w:val="24"/>
      <w:szCs w:val="24"/>
    </w:rPr>
  </w:style>
  <w:style w:type="character" w:styleId="1015" w:customStyle="1">
    <w:name w:val="Heading 6 Char"/>
    <w:link w:val="936"/>
    <w:uiPriority w:val="9"/>
    <w:qFormat/>
    <w:rPr>
      <w:rFonts w:ascii="Arial" w:hAnsi="Arial" w:eastAsia="Arial" w:cs="Arial"/>
      <w:b/>
      <w:bCs/>
      <w:sz w:val="22"/>
      <w:szCs w:val="22"/>
    </w:rPr>
  </w:style>
  <w:style w:type="character" w:styleId="1016" w:customStyle="1">
    <w:name w:val="Heading 7 Char"/>
    <w:link w:val="937"/>
    <w:uiPriority w:val="9"/>
    <w:qFormat/>
    <w:rPr>
      <w:rFonts w:ascii="Arial" w:hAnsi="Arial" w:eastAsia="Arial" w:cs="Arial"/>
      <w:b/>
      <w:bCs/>
      <w:i/>
      <w:iCs/>
      <w:sz w:val="22"/>
      <w:szCs w:val="22"/>
    </w:rPr>
  </w:style>
  <w:style w:type="character" w:styleId="1017" w:customStyle="1">
    <w:name w:val="Heading 8 Char"/>
    <w:link w:val="938"/>
    <w:uiPriority w:val="9"/>
    <w:qFormat/>
    <w:rPr>
      <w:rFonts w:ascii="Arial" w:hAnsi="Arial" w:eastAsia="Arial" w:cs="Arial"/>
      <w:i/>
      <w:iCs/>
      <w:sz w:val="22"/>
      <w:szCs w:val="22"/>
    </w:rPr>
  </w:style>
  <w:style w:type="character" w:styleId="1018" w:customStyle="1">
    <w:name w:val="Heading 9 Char"/>
    <w:link w:val="939"/>
    <w:uiPriority w:val="9"/>
    <w:qFormat/>
    <w:rPr>
      <w:rFonts w:ascii="Arial" w:hAnsi="Arial" w:eastAsia="Arial" w:cs="Arial"/>
      <w:i/>
      <w:iCs/>
      <w:sz w:val="21"/>
      <w:szCs w:val="21"/>
    </w:rPr>
  </w:style>
  <w:style w:type="paragraph" w:styleId="1019" w:customStyle="1">
    <w:name w:val="Caption1"/>
    <w:basedOn w:val="930"/>
    <w:next w:val="930"/>
    <w:uiPriority w:val="35"/>
    <w:unhideWhenUsed/>
    <w:qFormat/>
    <w:pPr>
      <w:spacing w:line="276" w:lineRule="auto"/>
    </w:pPr>
    <w:rPr>
      <w:b/>
      <w:bCs/>
      <w:color w:val="4f81bd"/>
      <w:sz w:val="18"/>
      <w:szCs w:val="18"/>
    </w:rPr>
  </w:style>
  <w:style w:type="paragraph" w:styleId="1020" w:customStyle="1">
    <w:name w:val="Footer1"/>
    <w:basedOn w:val="930"/>
    <w:link w:val="1022"/>
    <w:uiPriority w:val="99"/>
    <w:unhideWhenUsed/>
    <w:qFormat/>
    <w:pPr>
      <w:spacing w:after="0" w:line="240" w:lineRule="auto"/>
      <w:tabs>
        <w:tab w:val="center" w:pos="7143" w:leader="none"/>
        <w:tab w:val="right" w:pos="14287" w:leader="none"/>
      </w:tabs>
    </w:pPr>
  </w:style>
  <w:style w:type="character" w:styleId="1021" w:customStyle="1">
    <w:name w:val="Footer Char"/>
    <w:link w:val="1020"/>
    <w:uiPriority w:val="99"/>
    <w:qFormat/>
  </w:style>
  <w:style w:type="character" w:styleId="1022" w:customStyle="1">
    <w:name w:val="Caption Char"/>
    <w:link w:val="1020"/>
    <w:uiPriority w:val="99"/>
    <w:qFormat/>
  </w:style>
  <w:style w:type="paragraph" w:styleId="1023" w:customStyle="1">
    <w:name w:val="Header1"/>
    <w:basedOn w:val="930"/>
    <w:link w:val="1024"/>
    <w:uiPriority w:val="99"/>
    <w:unhideWhenUsed/>
    <w:qFormat/>
    <w:pPr>
      <w:spacing w:after="0" w:line="240" w:lineRule="auto"/>
      <w:tabs>
        <w:tab w:val="center" w:pos="7143" w:leader="none"/>
        <w:tab w:val="right" w:pos="14287" w:leader="none"/>
      </w:tabs>
    </w:pPr>
  </w:style>
  <w:style w:type="character" w:styleId="1024" w:customStyle="1">
    <w:name w:val="Header Char"/>
    <w:link w:val="1023"/>
    <w:uiPriority w:val="99"/>
    <w:qFormat/>
  </w:style>
  <w:style w:type="paragraph" w:styleId="1025" w:customStyle="1">
    <w:name w:val="正文文本11"/>
    <w:basedOn w:val="930"/>
    <w:next w:val="930"/>
    <w:link w:val="1026"/>
    <w:uiPriority w:val="0"/>
    <w:qFormat/>
    <w:rPr>
      <w:rFonts w:ascii="楷体_GB2312" w:hAnsi="Arial" w:eastAsia="楷体_GB2312"/>
      <w:sz w:val="28"/>
      <w:szCs w:val="28"/>
    </w:rPr>
  </w:style>
  <w:style w:type="character" w:styleId="1026" w:customStyle="1">
    <w:name w:val="正文文本 字符"/>
    <w:link w:val="1025"/>
    <w:uiPriority w:val="0"/>
    <w:qFormat/>
    <w:rPr>
      <w:rFonts w:ascii="楷体_GB2312" w:hAnsi="Arial" w:eastAsia="楷体_GB2312" w:cs="Times New Roman"/>
      <w:sz w:val="28"/>
      <w:szCs w:val="28"/>
    </w:rPr>
  </w:style>
  <w:style w:type="paragraph" w:styleId="1027">
    <w:name w:val="List Paragraph"/>
    <w:basedOn w:val="930"/>
    <w:uiPriority w:val="34"/>
    <w:qFormat/>
    <w:pPr>
      <w:contextualSpacing/>
      <w:ind w:left="720"/>
    </w:pPr>
  </w:style>
  <w:style w:type="paragraph" w:styleId="1028">
    <w:name w:val="No Spacing"/>
    <w:uiPriority w:val="1"/>
    <w:qFormat/>
    <w:pPr>
      <w:spacing w:before="0" w:after="0" w:line="240" w:lineRule="auto"/>
    </w:pPr>
    <w:rPr>
      <w:rFonts w:hint="default" w:ascii="Times New Roman" w:hAnsi="Times New Roman" w:eastAsia="宋体" w:cs="Times New Roman"/>
    </w:rPr>
  </w:style>
  <w:style w:type="paragraph" w:styleId="1029">
    <w:name w:val="Quote"/>
    <w:basedOn w:val="930"/>
    <w:next w:val="930"/>
    <w:link w:val="1030"/>
    <w:uiPriority w:val="29"/>
    <w:qFormat/>
    <w:pPr>
      <w:ind w:left="720" w:right="720"/>
    </w:pPr>
    <w:rPr>
      <w:i/>
    </w:rPr>
  </w:style>
  <w:style w:type="character" w:styleId="1030" w:customStyle="1">
    <w:name w:val="Quote Char"/>
    <w:link w:val="1029"/>
    <w:uiPriority w:val="29"/>
    <w:qFormat/>
    <w:rPr>
      <w:i/>
    </w:rPr>
  </w:style>
  <w:style w:type="paragraph" w:styleId="1031">
    <w:name w:val="Intense Quote"/>
    <w:basedOn w:val="930"/>
    <w:next w:val="930"/>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2" w:customStyle="1">
    <w:name w:val="Intense Quote Char"/>
    <w:link w:val="1031"/>
    <w:uiPriority w:val="30"/>
    <w:qFormat/>
    <w:rPr>
      <w:i/>
    </w:rPr>
  </w:style>
  <w:style w:type="table" w:styleId="1033" w:customStyle="1">
    <w:name w:val="Table Grid Light"/>
    <w:uiPriority w:val="59"/>
    <w:qFormat/>
    <w:pPr>
      <w:spacing w:after="0" w:line="240" w:lineRule="auto"/>
    </w:pPr>
    <w:tblPr/>
  </w:style>
  <w:style w:type="table" w:styleId="1034" w:customStyle="1">
    <w:name w:val="Plain Table 1"/>
    <w:uiPriority w:val="59"/>
    <w:qFormat/>
    <w:pPr>
      <w:spacing w:after="0" w:line="240" w:lineRule="auto"/>
    </w:pPr>
    <w:tblPr/>
  </w:style>
  <w:style w:type="table" w:styleId="1035" w:customStyle="1">
    <w:name w:val="Plain Table 2"/>
    <w:uiPriority w:val="59"/>
    <w:qFormat/>
    <w:pPr>
      <w:spacing w:after="0" w:line="240" w:lineRule="auto"/>
    </w:pPr>
    <w:tblPr/>
  </w:style>
  <w:style w:type="table" w:styleId="1036" w:customStyle="1">
    <w:name w:val="Plain Table 3"/>
    <w:uiPriority w:val="99"/>
    <w:qFormat/>
    <w:pPr>
      <w:spacing w:after="0" w:line="240" w:lineRule="auto"/>
    </w:pPr>
    <w:tblPr/>
  </w:style>
  <w:style w:type="table" w:styleId="1037" w:customStyle="1">
    <w:name w:val="Plain Table 4"/>
    <w:uiPriority w:val="99"/>
    <w:qFormat/>
    <w:pPr>
      <w:spacing w:after="0" w:line="240" w:lineRule="auto"/>
    </w:pPr>
    <w:tblPr/>
  </w:style>
  <w:style w:type="table" w:styleId="1038" w:customStyle="1">
    <w:name w:val="Plain Table 5"/>
    <w:uiPriority w:val="99"/>
    <w:qFormat/>
    <w:pPr>
      <w:spacing w:after="0" w:line="240" w:lineRule="auto"/>
    </w:pPr>
    <w:tblPr/>
  </w:style>
  <w:style w:type="table" w:styleId="1039" w:customStyle="1">
    <w:name w:val="Grid Table 1 Light"/>
    <w:uiPriority w:val="99"/>
    <w:qFormat/>
    <w:pPr>
      <w:spacing w:after="0" w:line="240" w:lineRule="auto"/>
    </w:pPr>
    <w:tblPr/>
  </w:style>
  <w:style w:type="table" w:styleId="1040" w:customStyle="1">
    <w:name w:val="Grid Table 1 Light - Accent 1"/>
    <w:uiPriority w:val="99"/>
    <w:qFormat/>
    <w:pPr>
      <w:spacing w:after="0" w:line="240" w:lineRule="auto"/>
    </w:pPr>
    <w:tblPr/>
  </w:style>
  <w:style w:type="table" w:styleId="1041" w:customStyle="1">
    <w:name w:val="Grid Table 1 Light - Accent 2"/>
    <w:uiPriority w:val="99"/>
    <w:qFormat/>
    <w:pPr>
      <w:spacing w:after="0" w:line="240" w:lineRule="auto"/>
    </w:pPr>
    <w:tblPr/>
  </w:style>
  <w:style w:type="table" w:styleId="1042" w:customStyle="1">
    <w:name w:val="Grid Table 1 Light - Accent 3"/>
    <w:uiPriority w:val="99"/>
    <w:qFormat/>
    <w:pPr>
      <w:spacing w:after="0" w:line="240" w:lineRule="auto"/>
    </w:pPr>
    <w:tblPr/>
  </w:style>
  <w:style w:type="table" w:styleId="1043" w:customStyle="1">
    <w:name w:val="Grid Table 1 Light - Accent 4"/>
    <w:uiPriority w:val="99"/>
    <w:qFormat/>
    <w:pPr>
      <w:spacing w:after="0" w:line="240" w:lineRule="auto"/>
    </w:pPr>
    <w:tblPr/>
  </w:style>
  <w:style w:type="table" w:styleId="1044" w:customStyle="1">
    <w:name w:val="Grid Table 1 Light - Accent 5"/>
    <w:uiPriority w:val="99"/>
    <w:qFormat/>
    <w:pPr>
      <w:spacing w:after="0" w:line="240" w:lineRule="auto"/>
    </w:pPr>
    <w:tblPr/>
  </w:style>
  <w:style w:type="table" w:styleId="1045" w:customStyle="1">
    <w:name w:val="Grid Table 1 Light - Accent 6"/>
    <w:uiPriority w:val="99"/>
    <w:qFormat/>
    <w:pPr>
      <w:spacing w:after="0" w:line="240" w:lineRule="auto"/>
    </w:pPr>
    <w:tblPr/>
  </w:style>
  <w:style w:type="table" w:styleId="1046" w:customStyle="1">
    <w:name w:val="Grid Table 2"/>
    <w:uiPriority w:val="99"/>
    <w:qFormat/>
    <w:pPr>
      <w:spacing w:after="0" w:line="240" w:lineRule="auto"/>
    </w:pPr>
    <w:tblPr/>
  </w:style>
  <w:style w:type="table" w:styleId="1047" w:customStyle="1">
    <w:name w:val="Grid Table 2 - Accent 1"/>
    <w:uiPriority w:val="99"/>
    <w:qFormat/>
    <w:pPr>
      <w:spacing w:after="0" w:line="240" w:lineRule="auto"/>
    </w:pPr>
    <w:tblPr/>
  </w:style>
  <w:style w:type="table" w:styleId="1048" w:customStyle="1">
    <w:name w:val="Grid Table 2 - Accent 2"/>
    <w:uiPriority w:val="99"/>
    <w:qFormat/>
    <w:pPr>
      <w:spacing w:after="0" w:line="240" w:lineRule="auto"/>
    </w:pPr>
    <w:tblPr/>
  </w:style>
  <w:style w:type="table" w:styleId="1049" w:customStyle="1">
    <w:name w:val="Grid Table 2 - Accent 3"/>
    <w:uiPriority w:val="99"/>
    <w:qFormat/>
    <w:pPr>
      <w:spacing w:after="0" w:line="240" w:lineRule="auto"/>
    </w:pPr>
    <w:tblPr/>
  </w:style>
  <w:style w:type="table" w:styleId="1050" w:customStyle="1">
    <w:name w:val="Grid Table 2 - Accent 4"/>
    <w:uiPriority w:val="99"/>
    <w:qFormat/>
    <w:pPr>
      <w:spacing w:after="0" w:line="240" w:lineRule="auto"/>
    </w:pPr>
    <w:tblPr/>
  </w:style>
  <w:style w:type="table" w:styleId="1051" w:customStyle="1">
    <w:name w:val="Grid Table 2 - Accent 5"/>
    <w:uiPriority w:val="99"/>
    <w:qFormat/>
    <w:pPr>
      <w:spacing w:after="0" w:line="240" w:lineRule="auto"/>
    </w:pPr>
    <w:tblPr/>
  </w:style>
  <w:style w:type="table" w:styleId="1052" w:customStyle="1">
    <w:name w:val="Grid Table 2 - Accent 6"/>
    <w:uiPriority w:val="99"/>
    <w:qFormat/>
    <w:pPr>
      <w:spacing w:after="0" w:line="240" w:lineRule="auto"/>
    </w:pPr>
    <w:tblPr/>
  </w:style>
  <w:style w:type="table" w:styleId="1053" w:customStyle="1">
    <w:name w:val="Grid Table 3"/>
    <w:uiPriority w:val="99"/>
    <w:qFormat/>
    <w:pPr>
      <w:spacing w:after="0" w:line="240" w:lineRule="auto"/>
    </w:pPr>
    <w:tblPr/>
  </w:style>
  <w:style w:type="table" w:styleId="1054" w:customStyle="1">
    <w:name w:val="Grid Table 3 - Accent 1"/>
    <w:uiPriority w:val="99"/>
    <w:qFormat/>
    <w:pPr>
      <w:spacing w:after="0" w:line="240" w:lineRule="auto"/>
    </w:pPr>
    <w:tblPr/>
  </w:style>
  <w:style w:type="table" w:styleId="1055" w:customStyle="1">
    <w:name w:val="Grid Table 3 - Accent 2"/>
    <w:uiPriority w:val="99"/>
    <w:qFormat/>
    <w:pPr>
      <w:spacing w:after="0" w:line="240" w:lineRule="auto"/>
    </w:pPr>
    <w:tblPr/>
  </w:style>
  <w:style w:type="table" w:styleId="1056" w:customStyle="1">
    <w:name w:val="Grid Table 3 - Accent 3"/>
    <w:uiPriority w:val="99"/>
    <w:qFormat/>
    <w:pPr>
      <w:spacing w:after="0" w:line="240" w:lineRule="auto"/>
    </w:pPr>
    <w:tblPr/>
  </w:style>
  <w:style w:type="table" w:styleId="1057" w:customStyle="1">
    <w:name w:val="Grid Table 3 - Accent 4"/>
    <w:uiPriority w:val="99"/>
    <w:qFormat/>
    <w:pPr>
      <w:spacing w:after="0" w:line="240" w:lineRule="auto"/>
    </w:pPr>
    <w:tblPr/>
  </w:style>
  <w:style w:type="table" w:styleId="1058" w:customStyle="1">
    <w:name w:val="Grid Table 3 - Accent 5"/>
    <w:uiPriority w:val="99"/>
    <w:qFormat/>
    <w:pPr>
      <w:spacing w:after="0" w:line="240" w:lineRule="auto"/>
    </w:pPr>
    <w:tblPr/>
  </w:style>
  <w:style w:type="table" w:styleId="1059" w:customStyle="1">
    <w:name w:val="Grid Table 3 - Accent 6"/>
    <w:uiPriority w:val="99"/>
    <w:qFormat/>
    <w:pPr>
      <w:spacing w:after="0" w:line="240" w:lineRule="auto"/>
    </w:pPr>
    <w:tblPr/>
  </w:style>
  <w:style w:type="table" w:styleId="1060" w:customStyle="1">
    <w:name w:val="Grid Table 4"/>
    <w:uiPriority w:val="59"/>
    <w:qFormat/>
    <w:pPr>
      <w:spacing w:after="0" w:line="240" w:lineRule="auto"/>
    </w:pPr>
    <w:tblPr/>
  </w:style>
  <w:style w:type="table" w:styleId="1061" w:customStyle="1">
    <w:name w:val="Grid Table 4 - Accent 1"/>
    <w:uiPriority w:val="59"/>
    <w:qFormat/>
    <w:pPr>
      <w:spacing w:after="0" w:line="240" w:lineRule="auto"/>
    </w:pPr>
    <w:tblPr/>
  </w:style>
  <w:style w:type="table" w:styleId="1062" w:customStyle="1">
    <w:name w:val="Grid Table 4 - Accent 2"/>
    <w:uiPriority w:val="59"/>
    <w:qFormat/>
    <w:pPr>
      <w:spacing w:after="0" w:line="240" w:lineRule="auto"/>
    </w:pPr>
    <w:tblPr/>
  </w:style>
  <w:style w:type="table" w:styleId="1063" w:customStyle="1">
    <w:name w:val="Grid Table 4 - Accent 3"/>
    <w:uiPriority w:val="59"/>
    <w:qFormat/>
    <w:pPr>
      <w:spacing w:after="0" w:line="240" w:lineRule="auto"/>
    </w:pPr>
    <w:tblPr/>
  </w:style>
  <w:style w:type="table" w:styleId="1064" w:customStyle="1">
    <w:name w:val="Grid Table 4 - Accent 4"/>
    <w:uiPriority w:val="59"/>
    <w:qFormat/>
    <w:pPr>
      <w:spacing w:after="0" w:line="240" w:lineRule="auto"/>
    </w:pPr>
    <w:tblPr/>
  </w:style>
  <w:style w:type="table" w:styleId="1065" w:customStyle="1">
    <w:name w:val="Grid Table 4 - Accent 5"/>
    <w:uiPriority w:val="59"/>
    <w:qFormat/>
    <w:pPr>
      <w:spacing w:after="0" w:line="240" w:lineRule="auto"/>
    </w:pPr>
    <w:tblPr/>
  </w:style>
  <w:style w:type="table" w:styleId="1066" w:customStyle="1">
    <w:name w:val="Grid Table 4 - Accent 6"/>
    <w:uiPriority w:val="59"/>
    <w:qFormat/>
    <w:pPr>
      <w:spacing w:after="0" w:line="240" w:lineRule="auto"/>
    </w:pPr>
    <w:tblPr/>
  </w:style>
  <w:style w:type="table" w:styleId="1067" w:customStyle="1">
    <w:name w:val="Grid Table 5 Dark"/>
    <w:uiPriority w:val="99"/>
    <w:qFormat/>
    <w:pPr>
      <w:spacing w:after="0" w:line="240" w:lineRule="auto"/>
    </w:pPr>
    <w:tblPr/>
  </w:style>
  <w:style w:type="table" w:styleId="1068" w:customStyle="1">
    <w:name w:val="Grid Table 5 Dark- Accent 1"/>
    <w:uiPriority w:val="99"/>
    <w:qFormat/>
    <w:pPr>
      <w:spacing w:after="0" w:line="240" w:lineRule="auto"/>
    </w:pPr>
    <w:tblPr/>
  </w:style>
  <w:style w:type="table" w:styleId="1069" w:customStyle="1">
    <w:name w:val="Grid Table 5 Dark - Accent 2"/>
    <w:uiPriority w:val="99"/>
    <w:qFormat/>
    <w:pPr>
      <w:spacing w:after="0" w:line="240" w:lineRule="auto"/>
    </w:pPr>
    <w:tblPr/>
  </w:style>
  <w:style w:type="table" w:styleId="1070" w:customStyle="1">
    <w:name w:val="Grid Table 5 Dark - Accent 3"/>
    <w:uiPriority w:val="99"/>
    <w:qFormat/>
    <w:pPr>
      <w:spacing w:after="0" w:line="240" w:lineRule="auto"/>
    </w:pPr>
    <w:tblPr/>
  </w:style>
  <w:style w:type="table" w:styleId="1071" w:customStyle="1">
    <w:name w:val="Grid Table 5 Dark- Accent 4"/>
    <w:uiPriority w:val="99"/>
    <w:qFormat/>
    <w:pPr>
      <w:spacing w:after="0" w:line="240" w:lineRule="auto"/>
    </w:pPr>
    <w:tblPr/>
  </w:style>
  <w:style w:type="table" w:styleId="1072" w:customStyle="1">
    <w:name w:val="Grid Table 5 Dark - Accent 5"/>
    <w:uiPriority w:val="99"/>
    <w:qFormat/>
    <w:pPr>
      <w:spacing w:after="0" w:line="240" w:lineRule="auto"/>
    </w:pPr>
    <w:tblPr/>
  </w:style>
  <w:style w:type="table" w:styleId="1073" w:customStyle="1">
    <w:name w:val="Grid Table 5 Dark - Accent 6"/>
    <w:uiPriority w:val="99"/>
    <w:qFormat/>
    <w:pPr>
      <w:spacing w:after="0" w:line="240" w:lineRule="auto"/>
    </w:pPr>
    <w:tblPr/>
  </w:style>
  <w:style w:type="table" w:styleId="1074" w:customStyle="1">
    <w:name w:val="Grid Table 6 Colorful"/>
    <w:uiPriority w:val="99"/>
    <w:qFormat/>
    <w:pPr>
      <w:spacing w:after="0" w:line="240" w:lineRule="auto"/>
    </w:pPr>
    <w:tblPr/>
  </w:style>
  <w:style w:type="table" w:styleId="1075" w:customStyle="1">
    <w:name w:val="Grid Table 6 Colorful - Accent 1"/>
    <w:uiPriority w:val="99"/>
    <w:qFormat/>
    <w:pPr>
      <w:spacing w:after="0" w:line="240" w:lineRule="auto"/>
    </w:pPr>
    <w:tblPr/>
  </w:style>
  <w:style w:type="table" w:styleId="1076" w:customStyle="1">
    <w:name w:val="Grid Table 6 Colorful - Accent 2"/>
    <w:uiPriority w:val="99"/>
    <w:qFormat/>
    <w:pPr>
      <w:spacing w:after="0" w:line="240" w:lineRule="auto"/>
    </w:pPr>
    <w:tblPr/>
  </w:style>
  <w:style w:type="table" w:styleId="1077" w:customStyle="1">
    <w:name w:val="Grid Table 6 Colorful - Accent 3"/>
    <w:uiPriority w:val="99"/>
    <w:qFormat/>
    <w:pPr>
      <w:spacing w:after="0" w:line="240" w:lineRule="auto"/>
    </w:pPr>
    <w:tblPr/>
  </w:style>
  <w:style w:type="table" w:styleId="1078" w:customStyle="1">
    <w:name w:val="Grid Table 6 Colorful - Accent 4"/>
    <w:uiPriority w:val="99"/>
    <w:qFormat/>
    <w:pPr>
      <w:spacing w:after="0" w:line="240" w:lineRule="auto"/>
    </w:pPr>
    <w:tblPr/>
  </w:style>
  <w:style w:type="table" w:styleId="1079" w:customStyle="1">
    <w:name w:val="Grid Table 6 Colorful - Accent 5"/>
    <w:uiPriority w:val="99"/>
    <w:qFormat/>
    <w:pPr>
      <w:spacing w:after="0" w:line="240" w:lineRule="auto"/>
    </w:pPr>
    <w:tblPr/>
  </w:style>
  <w:style w:type="table" w:styleId="1080" w:customStyle="1">
    <w:name w:val="Grid Table 6 Colorful - Accent 6"/>
    <w:uiPriority w:val="99"/>
    <w:qFormat/>
    <w:pPr>
      <w:spacing w:after="0" w:line="240" w:lineRule="auto"/>
    </w:pPr>
    <w:tblPr/>
  </w:style>
  <w:style w:type="table" w:styleId="1081" w:customStyle="1">
    <w:name w:val="Grid Table 7 Colorful"/>
    <w:uiPriority w:val="99"/>
    <w:qFormat/>
    <w:pPr>
      <w:spacing w:after="0" w:line="240" w:lineRule="auto"/>
    </w:pPr>
    <w:tblPr/>
  </w:style>
  <w:style w:type="table" w:styleId="1082" w:customStyle="1">
    <w:name w:val="Grid Table 7 Colorful - Accent 1"/>
    <w:uiPriority w:val="99"/>
    <w:qFormat/>
    <w:pPr>
      <w:spacing w:after="0" w:line="240" w:lineRule="auto"/>
    </w:pPr>
    <w:tblPr/>
  </w:style>
  <w:style w:type="table" w:styleId="1083" w:customStyle="1">
    <w:name w:val="Grid Table 7 Colorful - Accent 2"/>
    <w:uiPriority w:val="99"/>
    <w:qFormat/>
    <w:pPr>
      <w:spacing w:after="0" w:line="240" w:lineRule="auto"/>
    </w:pPr>
    <w:tblPr/>
  </w:style>
  <w:style w:type="table" w:styleId="1084" w:customStyle="1">
    <w:name w:val="Grid Table 7 Colorful - Accent 3"/>
    <w:uiPriority w:val="99"/>
    <w:qFormat/>
    <w:pPr>
      <w:spacing w:after="0" w:line="240" w:lineRule="auto"/>
    </w:pPr>
    <w:tblPr/>
  </w:style>
  <w:style w:type="table" w:styleId="1085" w:customStyle="1">
    <w:name w:val="Grid Table 7 Colorful - Accent 4"/>
    <w:uiPriority w:val="99"/>
    <w:qFormat/>
    <w:pPr>
      <w:spacing w:after="0" w:line="240" w:lineRule="auto"/>
    </w:pPr>
    <w:tblPr/>
  </w:style>
  <w:style w:type="table" w:styleId="1086" w:customStyle="1">
    <w:name w:val="Grid Table 7 Colorful - Accent 5"/>
    <w:uiPriority w:val="99"/>
    <w:qFormat/>
    <w:pPr>
      <w:spacing w:after="0" w:line="240" w:lineRule="auto"/>
    </w:pPr>
    <w:tblPr/>
  </w:style>
  <w:style w:type="table" w:styleId="1087" w:customStyle="1">
    <w:name w:val="Grid Table 7 Colorful - Accent 6"/>
    <w:uiPriority w:val="99"/>
    <w:qFormat/>
    <w:pPr>
      <w:spacing w:after="0" w:line="240" w:lineRule="auto"/>
    </w:pPr>
    <w:tblPr/>
  </w:style>
  <w:style w:type="table" w:styleId="1088" w:customStyle="1">
    <w:name w:val="List Table 1 Light"/>
    <w:uiPriority w:val="99"/>
    <w:qFormat/>
    <w:pPr>
      <w:spacing w:after="0" w:line="240" w:lineRule="auto"/>
    </w:pPr>
    <w:tblPr/>
  </w:style>
  <w:style w:type="table" w:styleId="1089" w:customStyle="1">
    <w:name w:val="List Table 1 Light - Accent 1"/>
    <w:uiPriority w:val="99"/>
    <w:qFormat/>
    <w:pPr>
      <w:spacing w:after="0" w:line="240" w:lineRule="auto"/>
    </w:pPr>
    <w:tblPr/>
  </w:style>
  <w:style w:type="table" w:styleId="1090" w:customStyle="1">
    <w:name w:val="List Table 1 Light - Accent 2"/>
    <w:uiPriority w:val="99"/>
    <w:qFormat/>
    <w:pPr>
      <w:spacing w:after="0" w:line="240" w:lineRule="auto"/>
    </w:pPr>
    <w:tblPr/>
  </w:style>
  <w:style w:type="table" w:styleId="1091" w:customStyle="1">
    <w:name w:val="List Table 1 Light - Accent 3"/>
    <w:uiPriority w:val="99"/>
    <w:qFormat/>
    <w:pPr>
      <w:spacing w:after="0" w:line="240" w:lineRule="auto"/>
    </w:pPr>
    <w:tblPr/>
  </w:style>
  <w:style w:type="table" w:styleId="1092" w:customStyle="1">
    <w:name w:val="List Table 1 Light - Accent 4"/>
    <w:uiPriority w:val="99"/>
    <w:qFormat/>
    <w:pPr>
      <w:spacing w:after="0" w:line="240" w:lineRule="auto"/>
    </w:pPr>
    <w:tblPr/>
  </w:style>
  <w:style w:type="table" w:styleId="1093" w:customStyle="1">
    <w:name w:val="List Table 1 Light - Accent 5"/>
    <w:uiPriority w:val="99"/>
    <w:qFormat/>
    <w:pPr>
      <w:spacing w:after="0" w:line="240" w:lineRule="auto"/>
    </w:pPr>
    <w:tblPr/>
  </w:style>
  <w:style w:type="table" w:styleId="1094" w:customStyle="1">
    <w:name w:val="List Table 1 Light - Accent 6"/>
    <w:uiPriority w:val="99"/>
    <w:qFormat/>
    <w:pPr>
      <w:spacing w:after="0" w:line="240" w:lineRule="auto"/>
    </w:pPr>
    <w:tblPr/>
  </w:style>
  <w:style w:type="table" w:styleId="1095" w:customStyle="1">
    <w:name w:val="List Table 2"/>
    <w:uiPriority w:val="99"/>
    <w:qFormat/>
    <w:pPr>
      <w:spacing w:after="0" w:line="240" w:lineRule="auto"/>
    </w:pPr>
    <w:tblPr/>
  </w:style>
  <w:style w:type="table" w:styleId="1096" w:customStyle="1">
    <w:name w:val="List Table 2 - Accent 1"/>
    <w:uiPriority w:val="99"/>
    <w:qFormat/>
    <w:pPr>
      <w:spacing w:after="0" w:line="240" w:lineRule="auto"/>
    </w:pPr>
    <w:tblPr/>
  </w:style>
  <w:style w:type="table" w:styleId="1097" w:customStyle="1">
    <w:name w:val="List Table 2 - Accent 2"/>
    <w:uiPriority w:val="99"/>
    <w:qFormat/>
    <w:pPr>
      <w:spacing w:after="0" w:line="240" w:lineRule="auto"/>
    </w:pPr>
    <w:tblPr/>
  </w:style>
  <w:style w:type="table" w:styleId="1098" w:customStyle="1">
    <w:name w:val="List Table 2 - Accent 3"/>
    <w:uiPriority w:val="99"/>
    <w:qFormat/>
    <w:pPr>
      <w:spacing w:after="0" w:line="240" w:lineRule="auto"/>
    </w:pPr>
    <w:tblPr/>
  </w:style>
  <w:style w:type="table" w:styleId="1099" w:customStyle="1">
    <w:name w:val="List Table 2 - Accent 4"/>
    <w:uiPriority w:val="99"/>
    <w:qFormat/>
    <w:pPr>
      <w:spacing w:after="0" w:line="240" w:lineRule="auto"/>
    </w:pPr>
    <w:tblPr/>
  </w:style>
  <w:style w:type="table" w:styleId="1100" w:customStyle="1">
    <w:name w:val="List Table 2 - Accent 5"/>
    <w:uiPriority w:val="99"/>
    <w:qFormat/>
    <w:pPr>
      <w:spacing w:after="0" w:line="240" w:lineRule="auto"/>
    </w:pPr>
    <w:tblPr/>
  </w:style>
  <w:style w:type="table" w:styleId="1101" w:customStyle="1">
    <w:name w:val="List Table 2 - Accent 6"/>
    <w:uiPriority w:val="99"/>
    <w:qFormat/>
    <w:pPr>
      <w:spacing w:after="0" w:line="240" w:lineRule="auto"/>
    </w:pPr>
    <w:tblPr/>
  </w:style>
  <w:style w:type="table" w:styleId="1102" w:customStyle="1">
    <w:name w:val="List Table 3"/>
    <w:uiPriority w:val="99"/>
    <w:qFormat/>
    <w:pPr>
      <w:spacing w:after="0" w:line="240" w:lineRule="auto"/>
    </w:pPr>
    <w:tblPr/>
  </w:style>
  <w:style w:type="table" w:styleId="1103" w:customStyle="1">
    <w:name w:val="List Table 3 - Accent 1"/>
    <w:uiPriority w:val="99"/>
    <w:qFormat/>
    <w:pPr>
      <w:spacing w:after="0" w:line="240" w:lineRule="auto"/>
    </w:pPr>
    <w:tblPr/>
  </w:style>
  <w:style w:type="table" w:styleId="1104" w:customStyle="1">
    <w:name w:val="List Table 3 - Accent 2"/>
    <w:uiPriority w:val="99"/>
    <w:qFormat/>
    <w:pPr>
      <w:spacing w:after="0" w:line="240" w:lineRule="auto"/>
    </w:pPr>
    <w:tblPr/>
  </w:style>
  <w:style w:type="table" w:styleId="1105" w:customStyle="1">
    <w:name w:val="List Table 3 - Accent 3"/>
    <w:uiPriority w:val="99"/>
    <w:qFormat/>
    <w:pPr>
      <w:spacing w:after="0" w:line="240" w:lineRule="auto"/>
    </w:pPr>
    <w:tblPr/>
  </w:style>
  <w:style w:type="table" w:styleId="1106" w:customStyle="1">
    <w:name w:val="List Table 3 - Accent 4"/>
    <w:uiPriority w:val="99"/>
    <w:qFormat/>
    <w:pPr>
      <w:spacing w:after="0" w:line="240" w:lineRule="auto"/>
    </w:pPr>
    <w:tblPr/>
  </w:style>
  <w:style w:type="table" w:styleId="1107" w:customStyle="1">
    <w:name w:val="List Table 3 - Accent 5"/>
    <w:uiPriority w:val="99"/>
    <w:qFormat/>
    <w:pPr>
      <w:spacing w:after="0" w:line="240" w:lineRule="auto"/>
    </w:pPr>
    <w:tblPr/>
  </w:style>
  <w:style w:type="table" w:styleId="1108" w:customStyle="1">
    <w:name w:val="List Table 3 - Accent 6"/>
    <w:uiPriority w:val="99"/>
    <w:qFormat/>
    <w:pPr>
      <w:spacing w:after="0" w:line="240" w:lineRule="auto"/>
    </w:pPr>
    <w:tblPr/>
  </w:style>
  <w:style w:type="table" w:styleId="1109" w:customStyle="1">
    <w:name w:val="List Table 4"/>
    <w:uiPriority w:val="99"/>
    <w:qFormat/>
    <w:pPr>
      <w:spacing w:after="0" w:line="240" w:lineRule="auto"/>
    </w:pPr>
    <w:tblPr/>
  </w:style>
  <w:style w:type="table" w:styleId="1110" w:customStyle="1">
    <w:name w:val="List Table 4 - Accent 1"/>
    <w:uiPriority w:val="99"/>
    <w:qFormat/>
    <w:pPr>
      <w:spacing w:after="0" w:line="240" w:lineRule="auto"/>
    </w:pPr>
    <w:tblPr/>
  </w:style>
  <w:style w:type="table" w:styleId="1111" w:customStyle="1">
    <w:name w:val="List Table 4 - Accent 2"/>
    <w:uiPriority w:val="99"/>
    <w:qFormat/>
    <w:pPr>
      <w:spacing w:after="0" w:line="240" w:lineRule="auto"/>
    </w:pPr>
    <w:tblPr/>
  </w:style>
  <w:style w:type="table" w:styleId="1112" w:customStyle="1">
    <w:name w:val="List Table 4 - Accent 3"/>
    <w:uiPriority w:val="99"/>
    <w:qFormat/>
    <w:pPr>
      <w:spacing w:after="0" w:line="240" w:lineRule="auto"/>
    </w:pPr>
    <w:tblPr/>
  </w:style>
  <w:style w:type="table" w:styleId="1113" w:customStyle="1">
    <w:name w:val="List Table 4 - Accent 4"/>
    <w:uiPriority w:val="99"/>
    <w:qFormat/>
    <w:pPr>
      <w:spacing w:after="0" w:line="240" w:lineRule="auto"/>
    </w:pPr>
    <w:tblPr/>
  </w:style>
  <w:style w:type="table" w:styleId="1114" w:customStyle="1">
    <w:name w:val="List Table 4 - Accent 5"/>
    <w:uiPriority w:val="99"/>
    <w:qFormat/>
    <w:pPr>
      <w:spacing w:after="0" w:line="240" w:lineRule="auto"/>
    </w:pPr>
    <w:tblPr/>
  </w:style>
  <w:style w:type="table" w:styleId="1115" w:customStyle="1">
    <w:name w:val="List Table 4 - Accent 6"/>
    <w:uiPriority w:val="99"/>
    <w:qFormat/>
    <w:pPr>
      <w:spacing w:after="0" w:line="240" w:lineRule="auto"/>
    </w:pPr>
    <w:tblPr/>
  </w:style>
  <w:style w:type="table" w:styleId="1116" w:customStyle="1">
    <w:name w:val="List Table 5 Dark"/>
    <w:uiPriority w:val="99"/>
    <w:qFormat/>
    <w:pPr>
      <w:spacing w:after="0" w:line="240" w:lineRule="auto"/>
    </w:pPr>
    <w:tblPr/>
  </w:style>
  <w:style w:type="table" w:styleId="1117" w:customStyle="1">
    <w:name w:val="List Table 5 Dark - Accent 1"/>
    <w:uiPriority w:val="99"/>
    <w:qFormat/>
    <w:pPr>
      <w:spacing w:after="0" w:line="240" w:lineRule="auto"/>
    </w:pPr>
    <w:tblPr/>
  </w:style>
  <w:style w:type="table" w:styleId="1118" w:customStyle="1">
    <w:name w:val="List Table 5 Dark - Accent 2"/>
    <w:uiPriority w:val="99"/>
    <w:qFormat/>
    <w:pPr>
      <w:spacing w:after="0" w:line="240" w:lineRule="auto"/>
    </w:pPr>
    <w:tblPr/>
  </w:style>
  <w:style w:type="table" w:styleId="1119" w:customStyle="1">
    <w:name w:val="List Table 5 Dark - Accent 3"/>
    <w:uiPriority w:val="99"/>
    <w:qFormat/>
    <w:pPr>
      <w:spacing w:after="0" w:line="240" w:lineRule="auto"/>
    </w:pPr>
    <w:tblPr/>
  </w:style>
  <w:style w:type="table" w:styleId="1120" w:customStyle="1">
    <w:name w:val="List Table 5 Dark - Accent 4"/>
    <w:uiPriority w:val="99"/>
    <w:qFormat/>
    <w:pPr>
      <w:spacing w:after="0" w:line="240" w:lineRule="auto"/>
    </w:pPr>
    <w:tblPr/>
  </w:style>
  <w:style w:type="table" w:styleId="1121" w:customStyle="1">
    <w:name w:val="List Table 5 Dark - Accent 5"/>
    <w:uiPriority w:val="99"/>
    <w:qFormat/>
    <w:pPr>
      <w:spacing w:after="0" w:line="240" w:lineRule="auto"/>
    </w:pPr>
    <w:tblPr/>
  </w:style>
  <w:style w:type="table" w:styleId="1122" w:customStyle="1">
    <w:name w:val="List Table 5 Dark - Accent 6"/>
    <w:uiPriority w:val="99"/>
    <w:qFormat/>
    <w:pPr>
      <w:spacing w:after="0" w:line="240" w:lineRule="auto"/>
    </w:pPr>
    <w:tblPr/>
  </w:style>
  <w:style w:type="table" w:styleId="1123" w:customStyle="1">
    <w:name w:val="List Table 6 Colorful"/>
    <w:uiPriority w:val="99"/>
    <w:qFormat/>
    <w:pPr>
      <w:spacing w:after="0" w:line="240" w:lineRule="auto"/>
    </w:pPr>
    <w:tblPr/>
  </w:style>
  <w:style w:type="table" w:styleId="1124" w:customStyle="1">
    <w:name w:val="List Table 6 Colorful - Accent 1"/>
    <w:uiPriority w:val="99"/>
    <w:qFormat/>
    <w:pPr>
      <w:spacing w:after="0" w:line="240" w:lineRule="auto"/>
    </w:pPr>
    <w:tblPr/>
  </w:style>
  <w:style w:type="table" w:styleId="1125" w:customStyle="1">
    <w:name w:val="List Table 6 Colorful - Accent 2"/>
    <w:uiPriority w:val="99"/>
    <w:qFormat/>
    <w:pPr>
      <w:spacing w:after="0" w:line="240" w:lineRule="auto"/>
    </w:pPr>
    <w:tblPr/>
  </w:style>
  <w:style w:type="table" w:styleId="1126" w:customStyle="1">
    <w:name w:val="List Table 6 Colorful - Accent 3"/>
    <w:uiPriority w:val="99"/>
    <w:qFormat/>
    <w:pPr>
      <w:spacing w:after="0" w:line="240" w:lineRule="auto"/>
    </w:pPr>
    <w:tblPr/>
  </w:style>
  <w:style w:type="table" w:styleId="1127" w:customStyle="1">
    <w:name w:val="List Table 6 Colorful - Accent 4"/>
    <w:uiPriority w:val="99"/>
    <w:qFormat/>
    <w:pPr>
      <w:spacing w:after="0" w:line="240" w:lineRule="auto"/>
    </w:pPr>
    <w:tblPr/>
  </w:style>
  <w:style w:type="table" w:styleId="1128" w:customStyle="1">
    <w:name w:val="List Table 6 Colorful - Accent 5"/>
    <w:uiPriority w:val="99"/>
    <w:qFormat/>
    <w:pPr>
      <w:spacing w:after="0" w:line="240" w:lineRule="auto"/>
    </w:pPr>
    <w:tblPr/>
  </w:style>
  <w:style w:type="table" w:styleId="1129" w:customStyle="1">
    <w:name w:val="List Table 6 Colorful - Accent 6"/>
    <w:uiPriority w:val="99"/>
    <w:qFormat/>
    <w:pPr>
      <w:spacing w:after="0" w:line="240" w:lineRule="auto"/>
    </w:pPr>
    <w:tblPr/>
  </w:style>
  <w:style w:type="table" w:styleId="1130" w:customStyle="1">
    <w:name w:val="List Table 7 Colorful"/>
    <w:uiPriority w:val="99"/>
    <w:qFormat/>
    <w:pPr>
      <w:spacing w:after="0" w:line="240" w:lineRule="auto"/>
    </w:pPr>
    <w:tblPr/>
  </w:style>
  <w:style w:type="table" w:styleId="1131" w:customStyle="1">
    <w:name w:val="List Table 7 Colorful - Accent 1"/>
    <w:uiPriority w:val="99"/>
    <w:qFormat/>
    <w:pPr>
      <w:spacing w:after="0" w:line="240" w:lineRule="auto"/>
    </w:pPr>
    <w:tblPr/>
  </w:style>
  <w:style w:type="table" w:styleId="1132" w:customStyle="1">
    <w:name w:val="List Table 7 Colorful - Accent 2"/>
    <w:uiPriority w:val="99"/>
    <w:qFormat/>
    <w:pPr>
      <w:spacing w:after="0" w:line="240" w:lineRule="auto"/>
    </w:pPr>
    <w:tblPr/>
  </w:style>
  <w:style w:type="table" w:styleId="1133" w:customStyle="1">
    <w:name w:val="List Table 7 Colorful - Accent 3"/>
    <w:uiPriority w:val="99"/>
    <w:qFormat/>
    <w:pPr>
      <w:spacing w:after="0" w:line="240" w:lineRule="auto"/>
    </w:pPr>
    <w:tblPr/>
  </w:style>
  <w:style w:type="table" w:styleId="1134" w:customStyle="1">
    <w:name w:val="List Table 7 Colorful - Accent 4"/>
    <w:uiPriority w:val="99"/>
    <w:qFormat/>
    <w:pPr>
      <w:spacing w:after="0" w:line="240" w:lineRule="auto"/>
    </w:pPr>
    <w:tblPr/>
  </w:style>
  <w:style w:type="table" w:styleId="1135" w:customStyle="1">
    <w:name w:val="List Table 7 Colorful - Accent 5"/>
    <w:uiPriority w:val="99"/>
    <w:qFormat/>
    <w:pPr>
      <w:spacing w:after="0" w:line="240" w:lineRule="auto"/>
    </w:pPr>
    <w:tblPr/>
  </w:style>
  <w:style w:type="table" w:styleId="1136" w:customStyle="1">
    <w:name w:val="List Table 7 Colorful - Accent 6"/>
    <w:uiPriority w:val="99"/>
    <w:qFormat/>
    <w:pPr>
      <w:spacing w:after="0" w:line="240" w:lineRule="auto"/>
    </w:pPr>
    <w:tblPr/>
  </w:style>
  <w:style w:type="table" w:styleId="1137" w:customStyle="1">
    <w:name w:val="Lined - Accent"/>
    <w:uiPriority w:val="99"/>
    <w:qFormat/>
    <w:pPr>
      <w:spacing w:after="0" w:line="240" w:lineRule="auto"/>
    </w:pPr>
    <w:rPr>
      <w:color w:val="404040"/>
    </w:rPr>
    <w:tblPr/>
  </w:style>
  <w:style w:type="table" w:styleId="1138" w:customStyle="1">
    <w:name w:val="Lined - Accent 1"/>
    <w:uiPriority w:val="99"/>
    <w:qFormat/>
    <w:pPr>
      <w:spacing w:after="0" w:line="240" w:lineRule="auto"/>
    </w:pPr>
    <w:rPr>
      <w:color w:val="404040"/>
    </w:rPr>
    <w:tblPr/>
  </w:style>
  <w:style w:type="table" w:styleId="1139" w:customStyle="1">
    <w:name w:val="Lined - Accent 2"/>
    <w:uiPriority w:val="99"/>
    <w:qFormat/>
    <w:pPr>
      <w:spacing w:after="0" w:line="240" w:lineRule="auto"/>
    </w:pPr>
    <w:rPr>
      <w:color w:val="404040"/>
    </w:rPr>
    <w:tblPr/>
  </w:style>
  <w:style w:type="table" w:styleId="1140" w:customStyle="1">
    <w:name w:val="Lined - Accent 3"/>
    <w:uiPriority w:val="99"/>
    <w:qFormat/>
    <w:pPr>
      <w:spacing w:after="0" w:line="240" w:lineRule="auto"/>
    </w:pPr>
    <w:rPr>
      <w:color w:val="404040"/>
    </w:rPr>
    <w:tblPr/>
  </w:style>
  <w:style w:type="table" w:styleId="1141" w:customStyle="1">
    <w:name w:val="Lined - Accent 4"/>
    <w:uiPriority w:val="99"/>
    <w:qFormat/>
    <w:pPr>
      <w:spacing w:after="0" w:line="240" w:lineRule="auto"/>
    </w:pPr>
    <w:rPr>
      <w:color w:val="404040"/>
    </w:rPr>
    <w:tblPr/>
  </w:style>
  <w:style w:type="table" w:styleId="1142" w:customStyle="1">
    <w:name w:val="Lined - Accent 5"/>
    <w:uiPriority w:val="99"/>
    <w:qFormat/>
    <w:pPr>
      <w:spacing w:after="0" w:line="240" w:lineRule="auto"/>
    </w:pPr>
    <w:rPr>
      <w:color w:val="404040"/>
    </w:rPr>
    <w:tblPr/>
  </w:style>
  <w:style w:type="table" w:styleId="1143" w:customStyle="1">
    <w:name w:val="Lined - Accent 6"/>
    <w:uiPriority w:val="99"/>
    <w:qFormat/>
    <w:pPr>
      <w:spacing w:after="0" w:line="240" w:lineRule="auto"/>
    </w:pPr>
    <w:rPr>
      <w:color w:val="404040"/>
    </w:rPr>
    <w:tblPr/>
  </w:style>
  <w:style w:type="table" w:styleId="1144" w:customStyle="1">
    <w:name w:val="Bordered &amp; Lined - Accent"/>
    <w:uiPriority w:val="99"/>
    <w:qFormat/>
    <w:pPr>
      <w:spacing w:after="0" w:line="240" w:lineRule="auto"/>
    </w:pPr>
    <w:rPr>
      <w:color w:val="404040"/>
    </w:rPr>
    <w:tblPr/>
  </w:style>
  <w:style w:type="table" w:styleId="1145" w:customStyle="1">
    <w:name w:val="Bordered &amp; Lined - Accent 1"/>
    <w:uiPriority w:val="99"/>
    <w:qFormat/>
    <w:pPr>
      <w:spacing w:after="0" w:line="240" w:lineRule="auto"/>
    </w:pPr>
    <w:rPr>
      <w:color w:val="404040"/>
    </w:rPr>
    <w:tblPr/>
  </w:style>
  <w:style w:type="table" w:styleId="1146" w:customStyle="1">
    <w:name w:val="Bordered &amp; Lined - Accent 2"/>
    <w:uiPriority w:val="99"/>
    <w:qFormat/>
    <w:pPr>
      <w:spacing w:after="0" w:line="240" w:lineRule="auto"/>
    </w:pPr>
    <w:rPr>
      <w:color w:val="404040"/>
    </w:rPr>
    <w:tblPr/>
  </w:style>
  <w:style w:type="table" w:styleId="1147" w:customStyle="1">
    <w:name w:val="Bordered &amp; Lined - Accent 3"/>
    <w:uiPriority w:val="99"/>
    <w:qFormat/>
    <w:pPr>
      <w:spacing w:after="0" w:line="240" w:lineRule="auto"/>
    </w:pPr>
    <w:rPr>
      <w:color w:val="404040"/>
    </w:rPr>
    <w:tblPr/>
  </w:style>
  <w:style w:type="table" w:styleId="1148" w:customStyle="1">
    <w:name w:val="Bordered &amp; Lined - Accent 4"/>
    <w:uiPriority w:val="99"/>
    <w:qFormat/>
    <w:pPr>
      <w:spacing w:after="0" w:line="240" w:lineRule="auto"/>
    </w:pPr>
    <w:rPr>
      <w:color w:val="404040"/>
    </w:rPr>
    <w:tblPr/>
  </w:style>
  <w:style w:type="table" w:styleId="1149" w:customStyle="1">
    <w:name w:val="Bordered &amp; Lined - Accent 5"/>
    <w:uiPriority w:val="99"/>
    <w:qFormat/>
    <w:pPr>
      <w:spacing w:after="0" w:line="240" w:lineRule="auto"/>
    </w:pPr>
    <w:rPr>
      <w:color w:val="404040"/>
    </w:rPr>
    <w:tblPr/>
  </w:style>
  <w:style w:type="table" w:styleId="1150" w:customStyle="1">
    <w:name w:val="Bordered &amp; Lined - Accent 6"/>
    <w:uiPriority w:val="99"/>
    <w:qFormat/>
    <w:pPr>
      <w:spacing w:after="0" w:line="240" w:lineRule="auto"/>
    </w:pPr>
    <w:rPr>
      <w:color w:val="404040"/>
    </w:rPr>
    <w:tblPr/>
  </w:style>
  <w:style w:type="table" w:styleId="1151" w:customStyle="1">
    <w:name w:val="Bordered"/>
    <w:uiPriority w:val="99"/>
    <w:qFormat/>
    <w:pPr>
      <w:spacing w:after="0" w:line="240" w:lineRule="auto"/>
    </w:pPr>
    <w:tblPr/>
  </w:style>
  <w:style w:type="table" w:styleId="1152" w:customStyle="1">
    <w:name w:val="Bordered - Accent 1"/>
    <w:uiPriority w:val="99"/>
    <w:qFormat/>
    <w:pPr>
      <w:spacing w:after="0" w:line="240" w:lineRule="auto"/>
    </w:pPr>
    <w:tblPr/>
  </w:style>
  <w:style w:type="table" w:styleId="1153" w:customStyle="1">
    <w:name w:val="Bordered - Accent 2"/>
    <w:uiPriority w:val="99"/>
    <w:qFormat/>
    <w:pPr>
      <w:spacing w:after="0" w:line="240" w:lineRule="auto"/>
    </w:pPr>
    <w:tblPr/>
  </w:style>
  <w:style w:type="table" w:styleId="1154" w:customStyle="1">
    <w:name w:val="Bordered - Accent 3"/>
    <w:uiPriority w:val="99"/>
    <w:qFormat/>
    <w:pPr>
      <w:spacing w:after="0" w:line="240" w:lineRule="auto"/>
    </w:pPr>
    <w:tblPr/>
  </w:style>
  <w:style w:type="table" w:styleId="1155" w:customStyle="1">
    <w:name w:val="Bordered - Accent 4"/>
    <w:uiPriority w:val="99"/>
    <w:qFormat/>
    <w:pPr>
      <w:spacing w:after="0" w:line="240" w:lineRule="auto"/>
    </w:pPr>
    <w:tblPr/>
  </w:style>
  <w:style w:type="table" w:styleId="1156" w:customStyle="1">
    <w:name w:val="Bordered - Accent 5"/>
    <w:uiPriority w:val="99"/>
    <w:qFormat/>
    <w:pPr>
      <w:spacing w:after="0" w:line="240" w:lineRule="auto"/>
    </w:pPr>
    <w:tblPr/>
  </w:style>
  <w:style w:type="table" w:styleId="1157" w:customStyle="1">
    <w:name w:val="Bordered - Accent 6"/>
    <w:uiPriority w:val="99"/>
    <w:qFormat/>
    <w:pPr>
      <w:spacing w:after="0" w:line="240" w:lineRule="auto"/>
    </w:pPr>
    <w:tblPr/>
  </w:style>
  <w:style w:type="paragraph" w:styleId="1158" w:customStyle="1">
    <w:name w:val="TOC Heading"/>
    <w:uiPriority w:val="39"/>
    <w:unhideWhenUsed/>
    <w:qFormat/>
    <w:rPr>
      <w:rFonts w:hint="default" w:ascii="Times New Roman" w:hAnsi="Times New Roman" w:eastAsia="宋体" w:cs="Times New Roman"/>
    </w:rPr>
  </w:style>
  <w:style w:type="paragraph" w:styleId="1159" w:customStyle="1">
    <w:name w:val="标题 11"/>
    <w:basedOn w:val="930"/>
    <w:next w:val="930"/>
    <w:link w:val="1160"/>
    <w:uiPriority w:val="0"/>
    <w:qFormat/>
    <w:pPr>
      <w:jc w:val="center"/>
      <w:keepNext/>
      <w:outlineLvl w:val="0"/>
    </w:pPr>
    <w:rPr>
      <w:rFonts w:ascii="楷体_GB2312" w:eastAsia="楷体_GB2312"/>
      <w:sz w:val="28"/>
      <w:szCs w:val="28"/>
    </w:rPr>
  </w:style>
  <w:style w:type="character" w:styleId="1160" w:customStyle="1">
    <w:name w:val="标题 1 字符"/>
    <w:link w:val="1159"/>
    <w:uiPriority w:val="0"/>
    <w:qFormat/>
    <w:rPr>
      <w:rFonts w:ascii="楷体_GB2312" w:hAnsi="Times New Roman" w:eastAsia="楷体_GB2312" w:cs="Times New Roman"/>
      <w:sz w:val="28"/>
      <w:szCs w:val="28"/>
    </w:rPr>
  </w:style>
  <w:style w:type="paragraph" w:styleId="1161" w:customStyle="1">
    <w:name w:val="标题 21"/>
    <w:basedOn w:val="930"/>
    <w:next w:val="1162"/>
    <w:link w:val="1163"/>
    <w:uiPriority w:val="0"/>
    <w:qFormat/>
    <w:pPr>
      <w:jc w:val="center"/>
      <w:keepLines/>
      <w:keepNext/>
      <w:spacing w:before="260" w:after="260" w:line="416" w:lineRule="auto"/>
      <w:outlineLvl w:val="1"/>
    </w:pPr>
    <w:rPr>
      <w:rFonts w:ascii="Arial" w:hAnsi="Arial" w:eastAsia="幼圆"/>
      <w:b/>
      <w:bCs/>
      <w:sz w:val="44"/>
      <w:szCs w:val="44"/>
    </w:rPr>
  </w:style>
  <w:style w:type="paragraph" w:styleId="1162" w:customStyle="1">
    <w:name w:val="正文缩进1"/>
    <w:basedOn w:val="930"/>
    <w:link w:val="1164"/>
    <w:uiPriority w:val="0"/>
    <w:qFormat/>
    <w:pPr>
      <w:ind w:firstLine="420"/>
    </w:pPr>
    <w:rPr>
      <w:sz w:val="20"/>
      <w:szCs w:val="21"/>
    </w:rPr>
  </w:style>
  <w:style w:type="character" w:styleId="1163" w:customStyle="1">
    <w:name w:val="标题 2 字符"/>
    <w:link w:val="1161"/>
    <w:uiPriority w:val="0"/>
    <w:qFormat/>
    <w:rPr>
      <w:rFonts w:ascii="Arial" w:hAnsi="Arial" w:eastAsia="幼圆" w:cs="Arial"/>
      <w:b/>
      <w:bCs/>
      <w:sz w:val="44"/>
      <w:szCs w:val="44"/>
    </w:rPr>
  </w:style>
  <w:style w:type="character" w:styleId="1164" w:customStyle="1">
    <w:name w:val="正文缩进 字符"/>
    <w:link w:val="1162"/>
    <w:uiPriority w:val="0"/>
    <w:qFormat/>
    <w:rPr>
      <w:szCs w:val="21"/>
    </w:rPr>
  </w:style>
  <w:style w:type="paragraph" w:styleId="1165" w:customStyle="1">
    <w:name w:val="标题 31"/>
    <w:basedOn w:val="930"/>
    <w:next w:val="1162"/>
    <w:link w:val="1166"/>
    <w:uiPriority w:val="0"/>
    <w:qFormat/>
    <w:pPr>
      <w:keepLines/>
      <w:keepNext/>
      <w:spacing w:before="260" w:after="260" w:line="416" w:lineRule="auto"/>
      <w:outlineLvl w:val="2"/>
    </w:pPr>
    <w:rPr>
      <w:b/>
      <w:bCs/>
      <w:sz w:val="32"/>
      <w:szCs w:val="32"/>
    </w:rPr>
  </w:style>
  <w:style w:type="character" w:styleId="1166" w:customStyle="1">
    <w:name w:val="标题 3 字符"/>
    <w:link w:val="1165"/>
    <w:uiPriority w:val="0"/>
    <w:qFormat/>
    <w:rPr>
      <w:rFonts w:ascii="Times New Roman" w:hAnsi="Times New Roman" w:eastAsia="宋体" w:cs="Times New Roman"/>
      <w:b/>
      <w:bCs/>
      <w:sz w:val="32"/>
      <w:szCs w:val="32"/>
    </w:rPr>
  </w:style>
  <w:style w:type="paragraph" w:styleId="1167" w:customStyle="1">
    <w:name w:val="标题 41"/>
    <w:basedOn w:val="930"/>
    <w:next w:val="1162"/>
    <w:link w:val="1168"/>
    <w:uiPriority w:val="0"/>
    <w:qFormat/>
    <w:pPr>
      <w:keepLines/>
      <w:keepNext/>
      <w:spacing w:before="280" w:after="290" w:line="376" w:lineRule="auto"/>
      <w:outlineLvl w:val="3"/>
    </w:pPr>
    <w:rPr>
      <w:rFonts w:ascii="Arial" w:hAnsi="Arial" w:eastAsia="黑体"/>
      <w:b/>
      <w:bCs/>
      <w:sz w:val="28"/>
      <w:szCs w:val="28"/>
    </w:rPr>
  </w:style>
  <w:style w:type="character" w:styleId="1168" w:customStyle="1">
    <w:name w:val="标题 4 字符"/>
    <w:link w:val="1167"/>
    <w:uiPriority w:val="0"/>
    <w:qFormat/>
    <w:rPr>
      <w:rFonts w:ascii="Arial" w:hAnsi="Arial" w:eastAsia="黑体" w:cs="Arial"/>
      <w:b/>
      <w:bCs/>
      <w:sz w:val="28"/>
      <w:szCs w:val="28"/>
    </w:rPr>
  </w:style>
  <w:style w:type="paragraph" w:styleId="1169" w:customStyle="1">
    <w:name w:val="标题 51"/>
    <w:basedOn w:val="930"/>
    <w:next w:val="1162"/>
    <w:link w:val="1170"/>
    <w:uiPriority w:val="0"/>
    <w:qFormat/>
    <w:pPr>
      <w:keepNext/>
      <w:outlineLvl w:val="4"/>
    </w:pPr>
    <w:rPr>
      <w:rFonts w:ascii="宋体"/>
      <w:color w:val="000000"/>
      <w:sz w:val="28"/>
      <w:szCs w:val="28"/>
    </w:rPr>
  </w:style>
  <w:style w:type="character" w:styleId="1170" w:customStyle="1">
    <w:name w:val="标题 5 字符"/>
    <w:link w:val="1169"/>
    <w:uiPriority w:val="0"/>
    <w:qFormat/>
    <w:rPr>
      <w:rFonts w:ascii="宋体" w:hAnsi="Times New Roman" w:eastAsia="宋体" w:cs="Times New Roman"/>
      <w:color w:val="000000"/>
      <w:sz w:val="28"/>
      <w:szCs w:val="28"/>
    </w:rPr>
  </w:style>
  <w:style w:type="paragraph" w:styleId="1171" w:customStyle="1">
    <w:name w:val="标题 61"/>
    <w:basedOn w:val="930"/>
    <w:next w:val="930"/>
    <w:link w:val="1172"/>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72" w:customStyle="1">
    <w:name w:val="标题 6 字符"/>
    <w:link w:val="1171"/>
    <w:uiPriority w:val="0"/>
    <w:qFormat/>
    <w:rPr>
      <w:rFonts w:ascii="Arial" w:hAnsi="Arial" w:eastAsia="黑体" w:cs="Times New Roman"/>
      <w:b/>
      <w:bCs/>
      <w:sz w:val="24"/>
      <w:szCs w:val="24"/>
    </w:rPr>
  </w:style>
  <w:style w:type="paragraph" w:styleId="1173" w:customStyle="1">
    <w:name w:val="标题 71"/>
    <w:basedOn w:val="930"/>
    <w:next w:val="930"/>
    <w:link w:val="1174"/>
    <w:uiPriority w:val="0"/>
    <w:qFormat/>
    <w:pPr>
      <w:numPr>
        <w:ilvl w:val="6"/>
        <w:numId w:val="2"/>
      </w:numPr>
      <w:keepLines/>
      <w:keepNext/>
      <w:spacing w:before="240" w:after="64" w:line="320" w:lineRule="auto"/>
      <w:outlineLvl w:val="6"/>
    </w:pPr>
    <w:rPr>
      <w:b/>
      <w:bCs/>
      <w:sz w:val="24"/>
      <w:szCs w:val="24"/>
    </w:rPr>
  </w:style>
  <w:style w:type="character" w:styleId="1174" w:customStyle="1">
    <w:name w:val="标题 7 字符"/>
    <w:link w:val="1173"/>
    <w:uiPriority w:val="0"/>
    <w:qFormat/>
    <w:rPr>
      <w:rFonts w:ascii="Times New Roman" w:hAnsi="Times New Roman" w:eastAsia="宋体" w:cs="Times New Roman"/>
      <w:b/>
      <w:bCs/>
      <w:sz w:val="24"/>
      <w:szCs w:val="24"/>
    </w:rPr>
  </w:style>
  <w:style w:type="paragraph" w:styleId="1175" w:customStyle="1">
    <w:name w:val="标题 81"/>
    <w:basedOn w:val="930"/>
    <w:next w:val="930"/>
    <w:link w:val="1176"/>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76" w:customStyle="1">
    <w:name w:val="标题 8 字符"/>
    <w:link w:val="1175"/>
    <w:uiPriority w:val="0"/>
    <w:qFormat/>
    <w:rPr>
      <w:rFonts w:ascii="Arial" w:hAnsi="Arial" w:eastAsia="黑体" w:cs="Times New Roman"/>
      <w:sz w:val="24"/>
      <w:szCs w:val="24"/>
    </w:rPr>
  </w:style>
  <w:style w:type="paragraph" w:styleId="1177" w:customStyle="1">
    <w:name w:val="标题 91"/>
    <w:basedOn w:val="930"/>
    <w:next w:val="930"/>
    <w:link w:val="1178"/>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78" w:customStyle="1">
    <w:name w:val="标题 9 字符"/>
    <w:link w:val="1177"/>
    <w:uiPriority w:val="0"/>
    <w:qFormat/>
    <w:rPr>
      <w:rFonts w:ascii="Arial" w:hAnsi="Arial" w:eastAsia="黑体" w:cs="Times New Roman"/>
      <w:szCs w:val="21"/>
    </w:rPr>
  </w:style>
  <w:style w:type="character" w:styleId="1179" w:customStyle="1">
    <w:name w:val="默认段落字体1"/>
    <w:link w:val="930"/>
    <w:uiPriority w:val="1"/>
    <w:unhideWhenUsed/>
    <w:qFormat/>
  </w:style>
  <w:style w:type="table" w:styleId="1180" w:customStyle="1">
    <w:name w:val="普通表格1"/>
    <w:uiPriority w:val="99"/>
    <w:unhideWhenUsed/>
    <w:qFormat/>
    <w:tblPr/>
  </w:style>
  <w:style w:type="paragraph" w:styleId="1181" w:customStyle="1">
    <w:name w:val="列表 31"/>
    <w:basedOn w:val="930"/>
    <w:uiPriority w:val="0"/>
    <w:qFormat/>
    <w:pPr>
      <w:ind w:left="100" w:hanging="200"/>
    </w:pPr>
    <w:rPr>
      <w:rFonts w:ascii="Times New Roman" w:hAnsi="Times New Roman" w:eastAsia="宋体" w:cs="Times New Roman"/>
      <w:szCs w:val="21"/>
    </w:rPr>
  </w:style>
  <w:style w:type="paragraph" w:styleId="1182" w:customStyle="1">
    <w:name w:val="目录 71"/>
    <w:basedOn w:val="930"/>
    <w:next w:val="930"/>
    <w:uiPriority w:val="0"/>
    <w:semiHidden/>
    <w:qFormat/>
    <w:pPr>
      <w:ind w:left="1260"/>
      <w:jc w:val="left"/>
    </w:pPr>
    <w:rPr>
      <w:rFonts w:ascii="Times New Roman" w:hAnsi="Times New Roman" w:eastAsia="宋体" w:cs="Times New Roman"/>
      <w:szCs w:val="21"/>
    </w:rPr>
  </w:style>
  <w:style w:type="paragraph" w:styleId="1183" w:customStyle="1">
    <w:name w:val="文档结构图1"/>
    <w:basedOn w:val="930"/>
    <w:link w:val="1184"/>
    <w:uiPriority w:val="0"/>
    <w:semiHidden/>
    <w:qFormat/>
    <w:pPr>
      <w:shd w:val="clear" w:color="auto" w:fill="000080"/>
    </w:pPr>
    <w:rPr>
      <w:sz w:val="20"/>
      <w:szCs w:val="21"/>
    </w:rPr>
  </w:style>
  <w:style w:type="character" w:styleId="1184" w:customStyle="1">
    <w:name w:val="文档结构图 字符"/>
    <w:link w:val="1183"/>
    <w:uiPriority w:val="0"/>
    <w:semiHidden/>
    <w:qFormat/>
    <w:rPr>
      <w:rFonts w:ascii="Times New Roman" w:hAnsi="Times New Roman" w:eastAsia="宋体" w:cs="Times New Roman"/>
      <w:szCs w:val="21"/>
      <w:shd w:val="clear" w:color="auto" w:fill="000080"/>
    </w:rPr>
  </w:style>
  <w:style w:type="paragraph" w:styleId="1185" w:customStyle="1">
    <w:name w:val="批注文字1"/>
    <w:basedOn w:val="930"/>
    <w:link w:val="1186"/>
    <w:uiPriority w:val="99"/>
    <w:unhideWhenUsed/>
    <w:qFormat/>
    <w:pPr>
      <w:jc w:val="left"/>
    </w:pPr>
  </w:style>
  <w:style w:type="character" w:styleId="1186" w:customStyle="1">
    <w:name w:val="批注文字 字符"/>
    <w:link w:val="1185"/>
    <w:uiPriority w:val="99"/>
    <w:semiHidden/>
    <w:qFormat/>
  </w:style>
  <w:style w:type="paragraph" w:styleId="1187" w:customStyle="1">
    <w:name w:val="正文文本 31"/>
    <w:basedOn w:val="930"/>
    <w:link w:val="1188"/>
    <w:uiPriority w:val="0"/>
    <w:qFormat/>
    <w:rPr>
      <w:rFonts w:ascii="仿宋_GB2312" w:hAnsi="Arial" w:eastAsia="仿宋_GB2312"/>
      <w:sz w:val="32"/>
      <w:szCs w:val="32"/>
    </w:rPr>
  </w:style>
  <w:style w:type="character" w:styleId="1188" w:customStyle="1">
    <w:name w:val="正文文本 3 字符"/>
    <w:link w:val="1187"/>
    <w:uiPriority w:val="0"/>
    <w:qFormat/>
    <w:rPr>
      <w:rFonts w:ascii="仿宋_GB2312" w:hAnsi="Arial" w:eastAsia="仿宋_GB2312" w:cs="Times New Roman"/>
      <w:sz w:val="32"/>
      <w:szCs w:val="32"/>
    </w:rPr>
  </w:style>
  <w:style w:type="character" w:styleId="1189" w:customStyle="1">
    <w:name w:val="正文文本缩进 字符"/>
    <w:link w:val="973"/>
    <w:uiPriority w:val="99"/>
    <w:semiHidden/>
    <w:qFormat/>
  </w:style>
  <w:style w:type="paragraph" w:styleId="1190" w:customStyle="1">
    <w:name w:val="列表 21"/>
    <w:basedOn w:val="930"/>
    <w:uiPriority w:val="0"/>
    <w:qFormat/>
    <w:pPr>
      <w:ind w:left="100" w:hanging="200"/>
    </w:pPr>
    <w:rPr>
      <w:rFonts w:ascii="Times New Roman" w:hAnsi="Times New Roman" w:eastAsia="宋体" w:cs="Times New Roman"/>
      <w:szCs w:val="21"/>
    </w:rPr>
  </w:style>
  <w:style w:type="paragraph" w:styleId="1191" w:customStyle="1">
    <w:name w:val="目录 51"/>
    <w:basedOn w:val="930"/>
    <w:next w:val="930"/>
    <w:uiPriority w:val="0"/>
    <w:semiHidden/>
    <w:qFormat/>
    <w:pPr>
      <w:ind w:left="840"/>
      <w:jc w:val="left"/>
    </w:pPr>
    <w:rPr>
      <w:rFonts w:ascii="Times New Roman" w:hAnsi="Times New Roman" w:eastAsia="宋体" w:cs="Times New Roman"/>
      <w:szCs w:val="21"/>
    </w:rPr>
  </w:style>
  <w:style w:type="paragraph" w:styleId="1192" w:customStyle="1">
    <w:name w:val="目录 31"/>
    <w:basedOn w:val="930"/>
    <w:next w:val="930"/>
    <w:uiPriority w:val="0"/>
    <w:semiHidden/>
    <w:qFormat/>
    <w:pPr>
      <w:ind w:left="420"/>
      <w:jc w:val="left"/>
    </w:pPr>
    <w:rPr>
      <w:rFonts w:ascii="Times New Roman" w:hAnsi="Times New Roman" w:eastAsia="宋体" w:cs="Times New Roman"/>
      <w:i/>
      <w:iCs/>
      <w:szCs w:val="24"/>
    </w:rPr>
  </w:style>
  <w:style w:type="paragraph" w:styleId="1193" w:customStyle="1">
    <w:name w:val="纯文本1"/>
    <w:basedOn w:val="930"/>
    <w:link w:val="1194"/>
    <w:uiPriority w:val="0"/>
    <w:qFormat/>
    <w:rPr>
      <w:rFonts w:ascii="宋体" w:hAnsi="Courier New"/>
      <w:sz w:val="20"/>
      <w:szCs w:val="21"/>
    </w:rPr>
  </w:style>
  <w:style w:type="character" w:styleId="1194" w:customStyle="1">
    <w:name w:val="纯文本 字符"/>
    <w:link w:val="1193"/>
    <w:uiPriority w:val="0"/>
    <w:qFormat/>
    <w:rPr>
      <w:rFonts w:ascii="宋体" w:hAnsi="Courier New" w:eastAsia="宋体" w:cs="Courier New"/>
      <w:szCs w:val="21"/>
    </w:rPr>
  </w:style>
  <w:style w:type="paragraph" w:styleId="1195" w:customStyle="1">
    <w:name w:val="目录 81"/>
    <w:basedOn w:val="930"/>
    <w:next w:val="930"/>
    <w:uiPriority w:val="0"/>
    <w:semiHidden/>
    <w:qFormat/>
    <w:pPr>
      <w:ind w:left="1470"/>
      <w:jc w:val="left"/>
    </w:pPr>
    <w:rPr>
      <w:rFonts w:ascii="Times New Roman" w:hAnsi="Times New Roman" w:eastAsia="宋体" w:cs="Times New Roman"/>
      <w:szCs w:val="21"/>
    </w:rPr>
  </w:style>
  <w:style w:type="paragraph" w:styleId="1196" w:customStyle="1">
    <w:name w:val="日期1"/>
    <w:basedOn w:val="930"/>
    <w:next w:val="930"/>
    <w:link w:val="1197"/>
    <w:uiPriority w:val="0"/>
    <w:qFormat/>
    <w:rPr>
      <w:sz w:val="24"/>
      <w:szCs w:val="24"/>
    </w:rPr>
  </w:style>
  <w:style w:type="character" w:styleId="1197" w:customStyle="1">
    <w:name w:val="日期 字符"/>
    <w:link w:val="1196"/>
    <w:uiPriority w:val="0"/>
    <w:qFormat/>
    <w:rPr>
      <w:rFonts w:ascii="Times New Roman" w:hAnsi="Times New Roman" w:eastAsia="宋体" w:cs="Times New Roman"/>
      <w:sz w:val="24"/>
      <w:szCs w:val="24"/>
    </w:rPr>
  </w:style>
  <w:style w:type="paragraph" w:styleId="1198" w:customStyle="1">
    <w:name w:val="正文文本缩进 21"/>
    <w:basedOn w:val="930"/>
    <w:link w:val="1199"/>
    <w:uiPriority w:val="0"/>
    <w:qFormat/>
    <w:pPr>
      <w:ind w:left="630" w:firstLine="645"/>
    </w:pPr>
    <w:rPr>
      <w:rFonts w:ascii="Arial" w:hAnsi="Arial" w:eastAsia="仿宋_GB2312"/>
      <w:sz w:val="32"/>
      <w:szCs w:val="32"/>
    </w:rPr>
  </w:style>
  <w:style w:type="character" w:styleId="1199" w:customStyle="1">
    <w:name w:val="正文文本缩进 2 字符"/>
    <w:link w:val="1198"/>
    <w:uiPriority w:val="0"/>
    <w:qFormat/>
    <w:rPr>
      <w:rFonts w:ascii="Arial" w:hAnsi="Arial" w:eastAsia="仿宋_GB2312" w:cs="Arial"/>
      <w:sz w:val="32"/>
      <w:szCs w:val="32"/>
    </w:rPr>
  </w:style>
  <w:style w:type="paragraph" w:styleId="1200" w:customStyle="1">
    <w:name w:val="批注框文本1"/>
    <w:basedOn w:val="930"/>
    <w:link w:val="1201"/>
    <w:uiPriority w:val="0"/>
    <w:semiHidden/>
    <w:qFormat/>
    <w:rPr>
      <w:sz w:val="18"/>
      <w:szCs w:val="18"/>
    </w:rPr>
  </w:style>
  <w:style w:type="character" w:styleId="1201" w:customStyle="1">
    <w:name w:val="批注框文本 字符"/>
    <w:link w:val="1200"/>
    <w:uiPriority w:val="0"/>
    <w:semiHidden/>
    <w:qFormat/>
    <w:rPr>
      <w:rFonts w:ascii="Times New Roman" w:hAnsi="Times New Roman" w:eastAsia="宋体" w:cs="Times New Roman"/>
      <w:sz w:val="18"/>
      <w:szCs w:val="18"/>
    </w:rPr>
  </w:style>
  <w:style w:type="paragraph" w:styleId="1202" w:customStyle="1">
    <w:name w:val="页脚1"/>
    <w:basedOn w:val="930"/>
    <w:link w:val="1203"/>
    <w:uiPriority w:val="99"/>
    <w:qFormat/>
    <w:pPr>
      <w:jc w:val="left"/>
      <w:tabs>
        <w:tab w:val="center" w:pos="4153" w:leader="none"/>
        <w:tab w:val="right" w:pos="8306" w:leader="none"/>
      </w:tabs>
    </w:pPr>
    <w:rPr>
      <w:sz w:val="18"/>
      <w:szCs w:val="18"/>
    </w:rPr>
  </w:style>
  <w:style w:type="character" w:styleId="1203" w:customStyle="1">
    <w:name w:val="页脚 字符"/>
    <w:link w:val="1202"/>
    <w:uiPriority w:val="99"/>
    <w:qFormat/>
    <w:rPr>
      <w:rFonts w:ascii="Times New Roman" w:hAnsi="Times New Roman" w:eastAsia="宋体" w:cs="Times New Roman"/>
      <w:sz w:val="18"/>
      <w:szCs w:val="18"/>
    </w:rPr>
  </w:style>
  <w:style w:type="paragraph" w:styleId="1204" w:customStyle="1">
    <w:name w:val="页眉1"/>
    <w:basedOn w:val="930"/>
    <w:link w:val="1205"/>
    <w:uiPriority w:val="99"/>
    <w:qFormat/>
    <w:pPr>
      <w:jc w:val="center"/>
      <w:tabs>
        <w:tab w:val="center" w:pos="4153" w:leader="none"/>
        <w:tab w:val="right" w:pos="8306" w:leader="none"/>
      </w:tabs>
      <w:pBdr>
        <w:bottom w:val="single" w:color="000000" w:sz="6" w:space="1"/>
      </w:pBdr>
    </w:pPr>
    <w:rPr>
      <w:sz w:val="18"/>
      <w:szCs w:val="18"/>
    </w:rPr>
  </w:style>
  <w:style w:type="character" w:styleId="1205" w:customStyle="1">
    <w:name w:val="页眉 字符"/>
    <w:link w:val="1204"/>
    <w:uiPriority w:val="99"/>
    <w:qFormat/>
    <w:rPr>
      <w:rFonts w:ascii="Times New Roman" w:hAnsi="Times New Roman" w:eastAsia="宋体" w:cs="Times New Roman"/>
      <w:sz w:val="18"/>
      <w:szCs w:val="18"/>
    </w:rPr>
  </w:style>
  <w:style w:type="paragraph" w:styleId="1206" w:customStyle="1">
    <w:name w:val="目录 11"/>
    <w:basedOn w:val="930"/>
    <w:next w:val="93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07" w:customStyle="1">
    <w:name w:val="目录 41"/>
    <w:basedOn w:val="930"/>
    <w:next w:val="930"/>
    <w:uiPriority w:val="0"/>
    <w:semiHidden/>
    <w:qFormat/>
    <w:pPr>
      <w:ind w:left="630"/>
      <w:jc w:val="left"/>
    </w:pPr>
    <w:rPr>
      <w:rFonts w:ascii="Times New Roman" w:hAnsi="Times New Roman" w:eastAsia="宋体" w:cs="Times New Roman"/>
      <w:szCs w:val="21"/>
    </w:rPr>
  </w:style>
  <w:style w:type="paragraph" w:styleId="1208" w:customStyle="1">
    <w:name w:val="列表1"/>
    <w:basedOn w:val="930"/>
    <w:uiPriority w:val="0"/>
    <w:qFormat/>
    <w:pPr>
      <w:ind w:left="200" w:hanging="200"/>
    </w:pPr>
    <w:rPr>
      <w:rFonts w:ascii="Times New Roman" w:hAnsi="Times New Roman" w:eastAsia="宋体" w:cs="Times New Roman"/>
      <w:szCs w:val="21"/>
    </w:rPr>
  </w:style>
  <w:style w:type="paragraph" w:styleId="1209" w:customStyle="1">
    <w:name w:val="目录 61"/>
    <w:basedOn w:val="930"/>
    <w:next w:val="930"/>
    <w:uiPriority w:val="0"/>
    <w:semiHidden/>
    <w:qFormat/>
    <w:pPr>
      <w:ind w:left="1050"/>
      <w:jc w:val="left"/>
    </w:pPr>
    <w:rPr>
      <w:rFonts w:ascii="Times New Roman" w:hAnsi="Times New Roman" w:eastAsia="宋体" w:cs="Times New Roman"/>
      <w:szCs w:val="21"/>
    </w:rPr>
  </w:style>
  <w:style w:type="character" w:styleId="1210" w:customStyle="1">
    <w:name w:val="正文文本缩进 3 字符"/>
    <w:link w:val="976"/>
    <w:uiPriority w:val="0"/>
    <w:qFormat/>
    <w:rPr>
      <w:rFonts w:ascii="Arial" w:hAnsi="Arial" w:eastAsia="仿宋_GB2312" w:cs="Arial"/>
      <w:color w:val="ffff00"/>
      <w:sz w:val="32"/>
      <w:szCs w:val="32"/>
    </w:rPr>
  </w:style>
  <w:style w:type="paragraph" w:styleId="1211" w:customStyle="1">
    <w:name w:val="图表目录1"/>
    <w:basedOn w:val="930"/>
    <w:next w:val="930"/>
    <w:uiPriority w:val="0"/>
    <w:semiHidden/>
    <w:qFormat/>
    <w:pPr>
      <w:ind w:left="840" w:hanging="420"/>
    </w:pPr>
    <w:rPr>
      <w:rFonts w:ascii="Times New Roman" w:hAnsi="Times New Roman" w:eastAsia="宋体" w:cs="Times New Roman"/>
      <w:szCs w:val="21"/>
    </w:rPr>
  </w:style>
  <w:style w:type="paragraph" w:styleId="1212" w:customStyle="1">
    <w:name w:val="目录 21"/>
    <w:basedOn w:val="930"/>
    <w:next w:val="930"/>
    <w:uiPriority w:val="0"/>
    <w:semiHidden/>
    <w:qFormat/>
    <w:pPr>
      <w:ind w:left="210"/>
      <w:jc w:val="left"/>
    </w:pPr>
    <w:rPr>
      <w:rFonts w:ascii="Times New Roman" w:hAnsi="Times New Roman" w:eastAsia="宋体" w:cs="Times New Roman"/>
      <w:smallCaps/>
      <w:szCs w:val="24"/>
    </w:rPr>
  </w:style>
  <w:style w:type="paragraph" w:styleId="1213" w:customStyle="1">
    <w:name w:val="目录 91"/>
    <w:basedOn w:val="930"/>
    <w:next w:val="930"/>
    <w:uiPriority w:val="0"/>
    <w:semiHidden/>
    <w:qFormat/>
    <w:pPr>
      <w:ind w:left="1680"/>
      <w:jc w:val="left"/>
    </w:pPr>
    <w:rPr>
      <w:rFonts w:ascii="Times New Roman" w:hAnsi="Times New Roman" w:eastAsia="宋体" w:cs="Times New Roman"/>
      <w:szCs w:val="21"/>
    </w:rPr>
  </w:style>
  <w:style w:type="paragraph" w:styleId="1214" w:customStyle="1">
    <w:name w:val="正文文本 21"/>
    <w:basedOn w:val="930"/>
    <w:link w:val="1215"/>
    <w:uiPriority w:val="0"/>
    <w:qFormat/>
    <w:pPr>
      <w:jc w:val="center"/>
      <w:widowControl/>
    </w:pPr>
    <w:rPr>
      <w:rFonts w:ascii="楷体_GB2312" w:eastAsia="楷体_GB2312"/>
      <w:sz w:val="28"/>
      <w:szCs w:val="28"/>
    </w:rPr>
  </w:style>
  <w:style w:type="character" w:styleId="1215" w:customStyle="1">
    <w:name w:val="正文文本 2 字符"/>
    <w:link w:val="1214"/>
    <w:uiPriority w:val="0"/>
    <w:qFormat/>
    <w:rPr>
      <w:rFonts w:ascii="楷体_GB2312" w:hAnsi="Times New Roman" w:eastAsia="楷体_GB2312" w:cs="Times New Roman"/>
      <w:sz w:val="28"/>
      <w:szCs w:val="28"/>
    </w:rPr>
  </w:style>
  <w:style w:type="paragraph" w:styleId="1216" w:customStyle="1">
    <w:name w:val="普通(网站)1"/>
    <w:basedOn w:val="930"/>
    <w:uiPriority w:val="99"/>
    <w:qFormat/>
    <w:pPr>
      <w:jc w:val="left"/>
      <w:spacing w:before="100" w:beforeAutospacing="1" w:after="100" w:afterAutospacing="1"/>
      <w:widowControl/>
    </w:pPr>
    <w:rPr>
      <w:rFonts w:ascii="宋体" w:hAnsi="宋体" w:eastAsia="宋体" w:cs="宋体"/>
      <w:sz w:val="24"/>
      <w:szCs w:val="24"/>
    </w:rPr>
  </w:style>
  <w:style w:type="paragraph" w:styleId="1217" w:customStyle="1">
    <w:name w:val="索引 11"/>
    <w:basedOn w:val="930"/>
    <w:next w:val="930"/>
    <w:uiPriority w:val="0"/>
    <w:semiHidden/>
    <w:qFormat/>
    <w:pPr>
      <w:spacing w:line="240" w:lineRule="atLeast"/>
    </w:pPr>
    <w:rPr>
      <w:rFonts w:ascii="Times New Roman" w:hAnsi="Times New Roman" w:eastAsia="宋体" w:cs="Times New Roman"/>
      <w:b/>
      <w:bCs/>
      <w:szCs w:val="21"/>
    </w:rPr>
  </w:style>
  <w:style w:type="paragraph" w:styleId="1218" w:customStyle="1">
    <w:name w:val="批注主题1"/>
    <w:basedOn w:val="1185"/>
    <w:next w:val="1185"/>
    <w:link w:val="1219"/>
    <w:uiPriority w:val="0"/>
    <w:semiHidden/>
    <w:qFormat/>
    <w:rPr>
      <w:b/>
      <w:bCs/>
      <w:sz w:val="20"/>
      <w:szCs w:val="21"/>
    </w:rPr>
  </w:style>
  <w:style w:type="character" w:styleId="1219" w:customStyle="1">
    <w:name w:val="批注主题 字符"/>
    <w:link w:val="1218"/>
    <w:uiPriority w:val="0"/>
    <w:semiHidden/>
    <w:qFormat/>
    <w:rPr>
      <w:rFonts w:ascii="Times New Roman" w:hAnsi="Times New Roman" w:eastAsia="宋体" w:cs="Times New Roman"/>
      <w:b/>
      <w:bCs/>
      <w:szCs w:val="21"/>
    </w:rPr>
  </w:style>
  <w:style w:type="character" w:styleId="1220" w:customStyle="1">
    <w:name w:val="正文首行缩进 2 字符"/>
    <w:link w:val="972"/>
    <w:uiPriority w:val="0"/>
    <w:qFormat/>
    <w:rPr>
      <w:rFonts w:ascii="宋体" w:hAnsi="宋体" w:eastAsia="宋体" w:cs="Times New Roman"/>
      <w:szCs w:val="20"/>
    </w:rPr>
  </w:style>
  <w:style w:type="table" w:styleId="1221" w:customStyle="1">
    <w:name w:val="网格型1"/>
    <w:basedOn w:val="1180"/>
    <w:uiPriority w:val="0"/>
    <w:qFormat/>
    <w:pPr>
      <w:jc w:val="both"/>
      <w:widowControl w:val="off"/>
    </w:pPr>
    <w:rPr>
      <w:rFonts w:ascii="Times New Roman" w:hAnsi="Times New Roman" w:eastAsia="宋体" w:cs="Times New Roman"/>
      <w:sz w:val="20"/>
      <w:szCs w:val="20"/>
    </w:rPr>
    <w:tblPr/>
  </w:style>
  <w:style w:type="character" w:styleId="1222" w:customStyle="1">
    <w:name w:val="要点1"/>
    <w:link w:val="930"/>
    <w:uiPriority w:val="0"/>
    <w:qFormat/>
    <w:rPr>
      <w:b/>
      <w:bCs/>
    </w:rPr>
  </w:style>
  <w:style w:type="character" w:styleId="1223" w:customStyle="1">
    <w:name w:val="页码1"/>
    <w:link w:val="930"/>
    <w:uiPriority w:val="0"/>
    <w:qFormat/>
  </w:style>
  <w:style w:type="character" w:styleId="1224" w:customStyle="1">
    <w:name w:val="访问过的超链接"/>
    <w:link w:val="930"/>
    <w:uiPriority w:val="0"/>
    <w:qFormat/>
    <w:rPr>
      <w:color w:val="800080"/>
      <w:u w:val="single"/>
    </w:rPr>
  </w:style>
  <w:style w:type="character" w:styleId="1225" w:customStyle="1">
    <w:name w:val="超链接11"/>
    <w:link w:val="930"/>
    <w:uiPriority w:val="99"/>
    <w:qFormat/>
    <w:rPr>
      <w:color w:val="0000ff"/>
      <w:u w:val="single"/>
    </w:rPr>
  </w:style>
  <w:style w:type="character" w:styleId="1226" w:customStyle="1">
    <w:name w:val="批注引用1"/>
    <w:link w:val="930"/>
    <w:uiPriority w:val="0"/>
    <w:semiHidden/>
    <w:qFormat/>
    <w:rPr>
      <w:sz w:val="21"/>
      <w:szCs w:val="21"/>
    </w:rPr>
  </w:style>
  <w:style w:type="paragraph" w:styleId="1227" w:customStyle="1">
    <w:name w:val="段"/>
    <w:next w:val="930"/>
    <w:uiPriority w:val="0"/>
    <w:qFormat/>
    <w:pPr>
      <w:ind w:firstLine="200"/>
      <w:jc w:val="both"/>
    </w:pPr>
    <w:rPr>
      <w:rFonts w:hint="default" w:ascii="宋体" w:hAnsi="Times New Roman" w:eastAsia="Times New Roman" w:cs="Times New Roman"/>
      <w:sz w:val="21"/>
      <w:lang w:eastAsia="zh-CN"/>
    </w:rPr>
  </w:style>
  <w:style w:type="character" w:styleId="1228" w:customStyle="1">
    <w:name w:val="font5 Char"/>
    <w:link w:val="930"/>
    <w:uiPriority w:val="0"/>
    <w:qFormat/>
    <w:rPr>
      <w:rFonts w:ascii="宋体" w:hAnsi="宋体" w:eastAsia="宋体"/>
      <w:sz w:val="28"/>
      <w:szCs w:val="28"/>
      <w:lang w:val="en-US" w:eastAsia="zh-CN" w:bidi="ar-SA"/>
    </w:rPr>
  </w:style>
  <w:style w:type="character" w:styleId="1229" w:customStyle="1">
    <w:name w:val="二级目录 Char"/>
    <w:link w:val="1230"/>
    <w:uiPriority w:val="0"/>
    <w:qFormat/>
    <w:rPr>
      <w:b/>
      <w:sz w:val="30"/>
      <w:szCs w:val="28"/>
      <w:lang w:val="en-US" w:eastAsia="zh-CN" w:bidi="ar-SA"/>
    </w:rPr>
  </w:style>
  <w:style w:type="paragraph" w:styleId="1230" w:customStyle="1">
    <w:name w:val="二级目录"/>
    <w:next w:val="930"/>
    <w:link w:val="1229"/>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31" w:customStyle="1">
    <w:name w:val="列出段落 Char"/>
    <w:link w:val="1232"/>
    <w:uiPriority w:val="0"/>
    <w:qFormat/>
    <w:rPr>
      <w:rFonts w:ascii="Calibri" w:hAnsi="Calibri"/>
      <w:sz w:val="24"/>
      <w:szCs w:val="24"/>
      <w:lang w:eastAsia="en-US" w:bidi="en-US"/>
    </w:rPr>
  </w:style>
  <w:style w:type="paragraph" w:styleId="1232" w:customStyle="1">
    <w:name w:val="列出段落1"/>
    <w:basedOn w:val="930"/>
    <w:link w:val="1231"/>
    <w:uiPriority w:val="0"/>
    <w:qFormat/>
    <w:pPr>
      <w:contextualSpacing/>
      <w:ind w:left="720"/>
      <w:jc w:val="left"/>
      <w:widowControl/>
    </w:pPr>
    <w:rPr>
      <w:rFonts w:ascii="Calibri" w:hAnsi="Calibri"/>
      <w:sz w:val="24"/>
      <w:szCs w:val="24"/>
      <w:lang w:eastAsia="en-US" w:bidi="en-US"/>
    </w:rPr>
  </w:style>
  <w:style w:type="paragraph" w:styleId="1233" w:customStyle="1">
    <w:name w:val="Body Text(ch)"/>
    <w:basedOn w:val="930"/>
    <w:next w:val="1025"/>
    <w:uiPriority w:val="0"/>
    <w:qFormat/>
    <w:pPr>
      <w:spacing w:after="120"/>
    </w:pPr>
    <w:rPr>
      <w:rFonts w:ascii="宋体" w:hAnsi="Arial" w:eastAsia="宋体" w:cs="Times New Roman"/>
      <w:bCs/>
      <w:iCs/>
      <w:szCs w:val="24"/>
    </w:rPr>
  </w:style>
  <w:style w:type="paragraph" w:styleId="1234" w:customStyle="1">
    <w:name w:val="xl27"/>
    <w:basedOn w:val="9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5" w:customStyle="1">
    <w:name w:val="xl26"/>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6" w:customStyle="1">
    <w:name w:val="Char"/>
    <w:basedOn w:val="930"/>
    <w:uiPriority w:val="0"/>
    <w:qFormat/>
    <w:pPr>
      <w:ind w:firstLine="200"/>
      <w:tabs>
        <w:tab w:val="left" w:pos="360" w:leader="none"/>
      </w:tabs>
    </w:pPr>
    <w:rPr>
      <w:rFonts w:ascii="Times New Roman" w:hAnsi="Times New Roman" w:eastAsia="宋体" w:cs="Times New Roman"/>
      <w:sz w:val="28"/>
      <w:szCs w:val="30"/>
    </w:rPr>
  </w:style>
  <w:style w:type="paragraph" w:styleId="1237" w:customStyle="1">
    <w:name w:val=" Char"/>
    <w:basedOn w:val="1183"/>
    <w:uiPriority w:val="0"/>
    <w:qFormat/>
    <w:rPr>
      <w:rFonts w:ascii="Tahoma" w:hAnsi="Tahoma"/>
      <w:sz w:val="24"/>
      <w:szCs w:val="24"/>
    </w:rPr>
  </w:style>
  <w:style w:type="paragraph" w:styleId="1238" w:customStyle="1">
    <w:name w:val="普通正文"/>
    <w:basedOn w:val="930"/>
    <w:uiPriority w:val="0"/>
    <w:qFormat/>
    <w:pPr>
      <w:ind w:firstLine="480"/>
      <w:jc w:val="left"/>
      <w:spacing w:before="120" w:after="120" w:line="360" w:lineRule="auto"/>
    </w:pPr>
    <w:rPr>
      <w:rFonts w:ascii="Arial" w:hAnsi="Arial" w:eastAsia="宋体" w:cs="Times New Roman"/>
      <w:sz w:val="24"/>
      <w:szCs w:val="24"/>
    </w:rPr>
  </w:style>
  <w:style w:type="paragraph" w:styleId="1239" w:customStyle="1">
    <w:name w:val="table_lines"/>
    <w:basedOn w:val="930"/>
    <w:uiPriority w:val="0"/>
    <w:qFormat/>
    <w:pPr>
      <w:jc w:val="left"/>
      <w:widowControl/>
    </w:pPr>
    <w:rPr>
      <w:rFonts w:ascii="Times New Roman" w:hAnsi="Times New Roman" w:eastAsia="宋体" w:cs="Times New Roman"/>
      <w:sz w:val="20"/>
      <w:szCs w:val="20"/>
      <w:lang w:val="de-DE" w:eastAsia="de-DE"/>
    </w:rPr>
  </w:style>
  <w:style w:type="paragraph" w:styleId="124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41" w:customStyle="1">
    <w:name w:val="font7"/>
    <w:basedOn w:val="93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42" w:customStyle="1">
    <w:name w:val=" Char Char Char Char"/>
    <w:basedOn w:val="1183"/>
    <w:uiPriority w:val="0"/>
    <w:qFormat/>
    <w:pPr>
      <w:spacing w:line="360" w:lineRule="auto"/>
    </w:pPr>
    <w:rPr>
      <w:rFonts w:ascii="Tahoma" w:hAnsi="Tahoma"/>
      <w:sz w:val="24"/>
      <w:szCs w:val="24"/>
    </w:rPr>
  </w:style>
  <w:style w:type="paragraph" w:styleId="1243" w:customStyle="1">
    <w:name w:val="列出段落"/>
    <w:basedOn w:val="930"/>
    <w:uiPriority w:val="34"/>
    <w:qFormat/>
    <w:pPr>
      <w:contextualSpacing/>
      <w:ind w:left="720"/>
      <w:jc w:val="left"/>
      <w:widowControl/>
    </w:pPr>
    <w:rPr>
      <w:rFonts w:ascii="Calibri" w:hAnsi="Calibri" w:eastAsia="宋体" w:cs="Times New Roman"/>
      <w:sz w:val="24"/>
      <w:szCs w:val="24"/>
      <w:lang w:eastAsia="en-US" w:bidi="en-US"/>
    </w:rPr>
  </w:style>
  <w:style w:type="paragraph" w:styleId="1244" w:customStyle="1">
    <w:name w:val="4"/>
    <w:basedOn w:val="930"/>
    <w:next w:val="976"/>
    <w:uiPriority w:val="0"/>
    <w:qFormat/>
    <w:pPr>
      <w:ind w:firstLine="420"/>
      <w:spacing w:line="360" w:lineRule="auto"/>
    </w:pPr>
    <w:rPr>
      <w:rFonts w:ascii="Times New Roman" w:hAnsi="Times New Roman" w:eastAsia="宋体" w:cs="Times New Roman"/>
      <w:color w:val="ff0000"/>
      <w:sz w:val="24"/>
      <w:szCs w:val="24"/>
    </w:rPr>
  </w:style>
  <w:style w:type="paragraph" w:styleId="1245" w:customStyle="1">
    <w:name w:val="普通 (Web)"/>
    <w:basedOn w:val="930"/>
    <w:uiPriority w:val="0"/>
    <w:qFormat/>
    <w:pPr>
      <w:jc w:val="left"/>
      <w:spacing w:before="100" w:beforeAutospacing="1" w:after="100" w:afterAutospacing="1"/>
      <w:widowControl/>
    </w:pPr>
    <w:rPr>
      <w:rFonts w:ascii="宋体" w:hAnsi="宋体" w:eastAsia="宋体" w:cs="Times New Roman"/>
      <w:sz w:val="24"/>
      <w:szCs w:val="24"/>
    </w:rPr>
  </w:style>
  <w:style w:type="paragraph" w:styleId="1246" w:customStyle="1">
    <w:name w:val=" Char Char Char Char Char Char Char Char Char Char"/>
    <w:basedOn w:val="930"/>
    <w:uiPriority w:val="0"/>
    <w:qFormat/>
    <w:pPr>
      <w:spacing w:line="360" w:lineRule="auto"/>
    </w:pPr>
    <w:rPr>
      <w:rFonts w:ascii="Times New Roman" w:hAnsi="Times New Roman" w:eastAsia="宋体" w:cs="Times New Roman"/>
      <w:sz w:val="24"/>
      <w:szCs w:val="20"/>
    </w:rPr>
  </w:style>
  <w:style w:type="paragraph" w:styleId="1247" w:customStyle="1">
    <w:name w:val="样式1"/>
    <w:basedOn w:val="930"/>
    <w:uiPriority w:val="0"/>
    <w:qFormat/>
    <w:pPr>
      <w:numPr>
        <w:ilvl w:val="0"/>
        <w:numId w:val="4"/>
      </w:numPr>
    </w:pPr>
    <w:rPr>
      <w:rFonts w:ascii="宋体" w:hAnsi="宋体" w:eastAsia="宋体" w:cs="Times New Roman"/>
      <w:szCs w:val="21"/>
    </w:rPr>
  </w:style>
  <w:style w:type="paragraph" w:styleId="1248" w:customStyle="1">
    <w:name w:val="font6"/>
    <w:basedOn w:val="93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49" w:customStyle="1">
    <w:name w:val="xl25"/>
    <w:basedOn w:val="9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0" w:customStyle="1">
    <w:name w:val="图标"/>
    <w:basedOn w:val="930"/>
    <w:next w:val="93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51" w:customStyle="1">
    <w:name w:val="标题3"/>
    <w:basedOn w:val="930"/>
    <w:next w:val="930"/>
    <w:uiPriority w:val="0"/>
    <w:qFormat/>
    <w:pPr>
      <w:ind w:firstLine="624"/>
      <w:spacing w:line="590" w:lineRule="atLeast"/>
    </w:pPr>
    <w:rPr>
      <w:rFonts w:ascii="方正黑体_GBK" w:hAnsi="Times New Roman" w:eastAsia="方正黑体_GBK" w:cs="Times New Roman"/>
      <w:sz w:val="32"/>
      <w:szCs w:val="32"/>
    </w:rPr>
  </w:style>
  <w:style w:type="paragraph" w:styleId="1252" w:customStyle="1">
    <w:name w:val="xl24"/>
    <w:basedOn w:val="9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3" w:customStyle="1">
    <w:name w:val="xl29"/>
    <w:basedOn w:val="93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54" w:customStyle="1">
    <w:name w:val="Char Char Char Char Char Char Char Char"/>
    <w:basedOn w:val="930"/>
    <w:uiPriority w:val="0"/>
    <w:qFormat/>
    <w:pPr>
      <w:jc w:val="left"/>
      <w:spacing w:after="160" w:line="240" w:lineRule="exact"/>
      <w:widowControl/>
    </w:pPr>
    <w:rPr>
      <w:rFonts w:ascii="Verdana" w:hAnsi="Verdana" w:eastAsia="宋体" w:cs="Times New Roman"/>
      <w:sz w:val="20"/>
      <w:szCs w:val="20"/>
      <w:lang w:eastAsia="en-US"/>
    </w:rPr>
  </w:style>
  <w:style w:type="paragraph" w:styleId="1255" w:customStyle="1">
    <w:name w:val="xl28"/>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56" w:customStyle="1">
    <w:name w:val=" Char Char Char Char Char Char Char Char"/>
    <w:basedOn w:val="930"/>
    <w:uiPriority w:val="0"/>
    <w:qFormat/>
    <w:pPr>
      <w:jc w:val="left"/>
      <w:spacing w:after="160" w:line="240" w:lineRule="exact"/>
      <w:widowControl/>
    </w:pPr>
    <w:rPr>
      <w:rFonts w:ascii="Verdana" w:hAnsi="Verdana" w:eastAsia="宋体" w:cs="Times New Roman"/>
      <w:sz w:val="20"/>
      <w:szCs w:val="20"/>
      <w:lang w:eastAsia="en-US"/>
    </w:rPr>
  </w:style>
  <w:style w:type="paragraph" w:styleId="1257" w:customStyle="1">
    <w:name w:val="xl30"/>
    <w:basedOn w:val="93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58" w:customStyle="1">
    <w:name w:val="Char Char Char Char"/>
    <w:basedOn w:val="1183"/>
    <w:uiPriority w:val="0"/>
    <w:qFormat/>
    <w:pPr>
      <w:spacing w:line="360" w:lineRule="auto"/>
    </w:pPr>
    <w:rPr>
      <w:rFonts w:ascii="Tahoma" w:hAnsi="Tahoma"/>
      <w:sz w:val="24"/>
      <w:szCs w:val="24"/>
    </w:rPr>
  </w:style>
  <w:style w:type="paragraph" w:styleId="1259" w:customStyle="1">
    <w:name w:val="table_1stline"/>
    <w:basedOn w:val="930"/>
    <w:uiPriority w:val="0"/>
    <w:qFormat/>
    <w:pPr>
      <w:jc w:val="left"/>
      <w:spacing w:before="120"/>
      <w:widowControl/>
    </w:pPr>
    <w:rPr>
      <w:rFonts w:ascii="Times New Roman" w:hAnsi="Times New Roman" w:eastAsia="宋体" w:cs="Times New Roman"/>
      <w:bCs/>
      <w:sz w:val="20"/>
      <w:szCs w:val="20"/>
      <w:lang w:val="de-DE" w:eastAsia="de-DE"/>
    </w:rPr>
  </w:style>
  <w:style w:type="paragraph" w:styleId="1260" w:customStyle="1">
    <w:name w:val="font5"/>
    <w:basedOn w:val="93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61" w:customStyle="1">
    <w:name w:val="标题1"/>
    <w:basedOn w:val="930"/>
    <w:next w:val="93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62" w:customStyle="1">
    <w:name w:val="修订"/>
    <w:uiPriority w:val="99"/>
    <w:semiHidden/>
    <w:qFormat/>
    <w:rPr>
      <w:rFonts w:hint="default" w:ascii="Times New Roman" w:hAnsi="Times New Roman" w:eastAsia="宋体" w:cs="Times New Roman"/>
      <w:sz w:val="21"/>
      <w:szCs w:val="21"/>
      <w:lang w:eastAsia="zh-CN"/>
    </w:rPr>
  </w:style>
  <w:style w:type="paragraph" w:styleId="126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64" w:customStyle="1">
    <w:name w:val="引文目录标题1"/>
    <w:basedOn w:val="930"/>
    <w:next w:val="930"/>
    <w:uiPriority w:val="0"/>
    <w:qFormat/>
    <w:pPr>
      <w:spacing w:before="120"/>
    </w:pPr>
    <w:rPr>
      <w:rFonts w:ascii="Arial" w:hAnsi="Arial"/>
      <w:sz w:val="24"/>
    </w:rPr>
  </w:style>
  <w:style w:type="character" w:styleId="1265" w:customStyle="1">
    <w:name w:val="超链接1"/>
    <w:link w:val="930"/>
    <w:uiPriority w:val="0"/>
    <w:qFormat/>
    <w:rPr>
      <w:rFonts w:ascii="Times New Roman" w:hAnsi="Times New Roman" w:eastAsia="宋体" w:cs="Times New Roman"/>
      <w:sz w:val="21"/>
      <w:szCs w:val="24"/>
      <w:lang w:val="en-US" w:eastAsia="zh-CN" w:bidi="ar-SA"/>
    </w:rPr>
  </w:style>
  <w:style w:type="paragraph" w:styleId="1266" w:customStyle="1">
    <w:name w:val="正文首行缩进1"/>
    <w:basedOn w:val="1025"/>
    <w:uiPriority w:val="0"/>
    <w:qFormat/>
    <w:pPr>
      <w:ind w:firstLine="200"/>
      <w:spacing w:line="360" w:lineRule="auto"/>
    </w:pPr>
    <w:rPr>
      <w:rFonts w:ascii="仿宋_GB2312" w:hAnsi="Times New Roman" w:eastAsia="仿宋_GB2312"/>
      <w:sz w:val="30"/>
      <w:szCs w:val="30"/>
    </w:rPr>
  </w:style>
  <w:style w:type="paragraph" w:styleId="1267" w:customStyle="1">
    <w:name w:val="正文缩进2格"/>
    <w:basedOn w:val="930"/>
    <w:uiPriority w:val="0"/>
    <w:qFormat/>
    <w:pPr>
      <w:ind w:firstLine="639"/>
      <w:spacing w:line="600" w:lineRule="exact"/>
    </w:pPr>
    <w:rPr>
      <w:rFonts w:ascii="仿宋_GB2312" w:hAnsi="宋体" w:eastAsia="仿宋_GB2312"/>
      <w:sz w:val="31"/>
      <w:szCs w:val="28"/>
      <w:lang w:eastAsia="en-US"/>
    </w:rPr>
  </w:style>
  <w:style w:type="paragraph" w:styleId="1268"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69" w:customStyle="1">
    <w:name w:val="普通(网站) Char"/>
    <w:basedOn w:val="930"/>
    <w:uiPriority w:val="0"/>
    <w:qFormat/>
    <w:pPr>
      <w:spacing w:before="100" w:beforeAutospacing="1" w:after="100" w:afterAutospacing="1"/>
    </w:pPr>
    <w:rPr>
      <w:rFonts w:ascii="宋体" w:hAnsi="宋体" w:cs="宋体"/>
      <w:sz w:val="24"/>
    </w:rPr>
  </w:style>
  <w:style w:type="paragraph" w:styleId="1270" w:customStyle="1">
    <w:name w:val="正文首行缩进111"/>
    <w:basedOn w:val="1271"/>
    <w:uiPriority w:val="0"/>
    <w:qFormat/>
    <w:pPr>
      <w:ind w:firstLine="200"/>
      <w:spacing w:line="360" w:lineRule="auto"/>
    </w:pPr>
    <w:rPr>
      <w:rFonts w:ascii="仿宋_GB2312" w:hAnsi="Times New Roman" w:eastAsia="仿宋_GB2312"/>
      <w:sz w:val="30"/>
      <w:szCs w:val="30"/>
    </w:rPr>
  </w:style>
  <w:style w:type="paragraph" w:styleId="1271" w:customStyle="1">
    <w:name w:val="正文文本111"/>
    <w:basedOn w:val="930"/>
    <w:next w:val="930"/>
    <w:uiPriority w:val="0"/>
    <w:qFormat/>
    <w:rPr>
      <w:rFonts w:ascii="楷体_GB2312" w:hAnsi="Arial" w:eastAsia="楷体_GB2312"/>
      <w:sz w:val="28"/>
      <w:szCs w:val="28"/>
    </w:rPr>
  </w:style>
  <w:style w:type="paragraph" w:styleId="1272" w:customStyle="1">
    <w:name w:val="正文首行缩进12"/>
    <w:basedOn w:val="1273"/>
    <w:uiPriority w:val="0"/>
    <w:qFormat/>
    <w:pPr>
      <w:ind w:firstLine="200"/>
      <w:spacing w:line="360" w:lineRule="auto"/>
    </w:pPr>
    <w:rPr>
      <w:rFonts w:ascii="仿宋_GB2312" w:hAnsi="Times New Roman" w:eastAsia="仿宋_GB2312"/>
      <w:sz w:val="30"/>
      <w:szCs w:val="30"/>
    </w:rPr>
  </w:style>
  <w:style w:type="paragraph" w:styleId="1273" w:customStyle="1">
    <w:name w:val="正文文本12"/>
    <w:basedOn w:val="930"/>
    <w:uiPriority w:val="0"/>
    <w:qFormat/>
    <w:rPr>
      <w:rFonts w:ascii="楷体_GB2312" w:hAnsi="Arial" w:eastAsia="楷体_GB2312"/>
      <w:sz w:val="28"/>
      <w:szCs w:val="28"/>
    </w:rPr>
  </w:style>
  <w:style w:type="character" w:styleId="1274" w:customStyle="1">
    <w:name w:val="font21"/>
    <w:basedOn w:val="940"/>
    <w:link w:val="930"/>
    <w:uiPriority w:val="0"/>
    <w:qFormat/>
    <w:rPr>
      <w:rFonts w:hint="eastAsia" w:ascii="宋体" w:hAnsi="宋体" w:eastAsia="宋体" w:cs="宋体"/>
      <w:color w:val="000000"/>
      <w:sz w:val="22"/>
      <w:szCs w:val="22"/>
      <w:u w:val="none"/>
    </w:rPr>
  </w:style>
  <w:style w:type="paragraph" w:styleId="1275" w:customStyle="1">
    <w:name w:val="方案正文"/>
    <w:basedOn w:val="930"/>
    <w:uiPriority w:val="0"/>
    <w:qFormat/>
    <w:pPr>
      <w:contextualSpacing/>
      <w:ind w:firstLine="200"/>
      <w:jc w:val="left"/>
      <w:widowControl/>
    </w:pPr>
    <w:rPr>
      <w:rFonts w:eastAsia="宋体"/>
    </w:rPr>
  </w:style>
  <w:style w:type="character" w:styleId="1276" w:customStyle="1">
    <w:name w:val="font31"/>
    <w:basedOn w:val="940"/>
    <w:uiPriority w:val="0"/>
    <w:qFormat/>
    <w:rPr>
      <w:rFonts w:ascii="楷体_GB2312" w:eastAsia="楷体_GB2312" w:cs="楷体_GB2312"/>
      <w:b/>
      <w:bCs/>
      <w:color w:val="000000"/>
      <w:sz w:val="28"/>
      <w:szCs w:val="28"/>
      <w:u w:val="none"/>
    </w:rPr>
  </w:style>
  <w:style w:type="character" w:styleId="1277" w:customStyle="1">
    <w:name w:val="font51"/>
    <w:basedOn w:val="940"/>
    <w:uiPriority w:val="0"/>
    <w:qFormat/>
    <w:rPr>
      <w:rFonts w:hint="eastAsia" w:ascii="宋体" w:hAnsi="宋体" w:eastAsia="宋体" w:cs="宋体"/>
      <w:color w:val="000000"/>
      <w:sz w:val="24"/>
      <w:szCs w:val="24"/>
      <w:u w:val="none"/>
    </w:rPr>
  </w:style>
  <w:style w:type="character" w:styleId="1278" w:customStyle="1">
    <w:name w:val="font41"/>
    <w:basedOn w:val="940"/>
    <w:uiPriority w:val="0"/>
    <w:qFormat/>
    <w:rPr>
      <w:rFonts w:hint="eastAsia" w:ascii="宋体" w:hAnsi="宋体" w:eastAsia="宋体" w:cs="宋体"/>
      <w:b/>
      <w:bCs/>
      <w:color w:val="000000"/>
      <w:sz w:val="24"/>
      <w:szCs w:val="24"/>
      <w:u w:val="none"/>
    </w:rPr>
  </w:style>
  <w:style w:type="character" w:styleId="1279" w:customStyle="1">
    <w:name w:val="font161"/>
    <w:basedOn w:val="940"/>
    <w:uiPriority w:val="0"/>
    <w:qFormat/>
    <w:rPr>
      <w:rFonts w:hint="eastAsia" w:ascii="宋体" w:hAnsi="宋体" w:eastAsia="宋体" w:cs="宋体"/>
      <w:b/>
      <w:bCs/>
      <w:color w:val="000000"/>
      <w:sz w:val="22"/>
      <w:szCs w:val="22"/>
      <w:u w:val="none"/>
    </w:rPr>
  </w:style>
  <w:style w:type="character" w:styleId="1280" w:customStyle="1">
    <w:name w:val="font01"/>
    <w:basedOn w:val="940"/>
    <w:uiPriority w:val="0"/>
    <w:qFormat/>
    <w:rPr>
      <w:rFonts w:hint="eastAsia" w:ascii="宋体" w:hAnsi="宋体" w:eastAsia="宋体" w:cs="宋体"/>
      <w:color w:val="000000"/>
      <w:sz w:val="22"/>
      <w:szCs w:val="22"/>
      <w:u w:val="none"/>
    </w:rPr>
  </w:style>
  <w:style w:type="paragraph" w:styleId="1281" w:customStyle="1">
    <w:name w:val="索引 41"/>
    <w:basedOn w:val="930"/>
    <w:next w:val="930"/>
    <w:uiPriority w:val="0"/>
    <w:semiHidden/>
    <w:qFormat/>
    <w:pPr>
      <w:ind w:left="1260"/>
    </w:pPr>
    <w:rPr>
      <w:rFonts w:eastAsia="Calibri" w:cs="宋体"/>
      <w:sz w:val="20"/>
      <w:lang w:val="zh-CN"/>
    </w:rPr>
  </w:style>
  <w:style w:type="paragraph" w:styleId="1282" w:customStyle="1">
    <w:name w:val="表格（正文）"/>
    <w:uiPriority w:val="0"/>
    <w:qFormat/>
    <w:rPr>
      <w:rFonts w:hint="default" w:ascii="宋体" w:hAnsi="宋体" w:eastAsia="宋体" w:cstheme="minorEastAsia"/>
      <w:bCs/>
      <w:sz w:val="21"/>
      <w:szCs w:val="21"/>
      <w:lang w:val="en-US" w:eastAsia="zh-CN" w:bidi="ar-SA"/>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b4b937e6-d0e9-46d0-afe6-e644794dc840</errorID>
      <errorWord>低于500万</errorWord>
      <group>L1_Word</group>
      <groupName>字词问题</groupName>
      <ability>L2_Typo</ability>
      <abilityName>字词错误</abilityName>
      <candidateList>
        <item>低于500万元</item>
      </candidateList>
      <explain/>
      <paraID>54E50D28</paraID>
      <start>94</start>
      <end>100</end>
      <status>ignored</status>
      <modifiedWord/>
      <trackRevisions>false</trackRevisions>
    </reviewItem>
    <reviewItem>
      <errorID>7a4dcc0a-713f-40d3-bc5a-10dc188789d8</errorID>
      <errorWord>考察知识点</errorWord>
      <group>L1_Word</group>
      <groupName>字词问题</groupName>
      <ability>L2_Typo</ability>
      <abilityName>字词错误</abilityName>
      <candidateList>
        <item>考查知识点</item>
      </candidateList>
      <explain/>
      <paraID> B84C0EA</paraID>
      <start>19</start>
      <end>24</end>
      <status>ignored</status>
      <modifiedWord/>
      <trackRevisions>false</trackRevisions>
    </reviewItem>
    <reviewItem>
      <errorID>13c59552-16e2-4f26-9b15-184e9f9efbde</errorID>
      <errorWord>-</errorWord>
      <group>L1_Format</group>
      <groupName>格式问题</groupName>
      <ability>L2_HalfPunc_CN</ability>
      <abilityName>全半角问题</abilityName>
      <candidateList>
        <item>－</item>
      </candidateList>
      <explain>文本全半角错误。</explain>
      <paraID>75307E96</paraID>
      <start>11</start>
      <end>12</end>
      <status>ignored</status>
      <modifiedWord/>
      <trackRevisions>false</trackRevisions>
    </reviewItem>
    <reviewItem>
      <errorID>c2f3f5d9-7072-4741-8c6b-5d3a63659c51</errorID>
      <errorWord>)</errorWord>
      <group>L1_Format</group>
      <groupName>格式问题</groupName>
      <ability>L2_HalfPunc_CN</ability>
      <abilityName>全半角问题</abilityName>
      <candidateList>
        <item>）</item>
      </candidateList>
      <explain>文本全半角错误。</explain>
      <paraID>75307E96</paraID>
      <start>17</start>
      <end>18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28CB18-7445-49BF-A89F-4F853606A2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25</cp:revision>
  <dcterms:created xsi:type="dcterms:W3CDTF">2024-07-09T03:08:00Z</dcterms:created>
  <dcterms:modified xsi:type="dcterms:W3CDTF">2026-09-30T03:54:52Z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2052-12.1.0.28043</vt:lpwstr>
  </property>
  <property fmtid="{D5CDD505-2E9C-101B-9397-08002B2CF9AE}" pid="4" name="ICV">
    <vt:lpwstr>7F3298AB7040485192CFCCBD21B6E692_13</vt:lpwstr>
  </property>
</Properties>
</file>