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项目名称：养老服务智慧综合监管平台（连云港节点）系统建设项目(专门面向中小企业）</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项目编号：JSZC-320700-JZCG-G2026-0116</w:t>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2026年</w:t>
      </w:r>
      <w:r>
        <w:rPr>
          <w:rFonts w:ascii="Arial" w:hAnsi="Arial" w:eastAsia="宋体" w:cs="Times New Roman"/>
          <w:b/>
          <w:bCs/>
          <w:color w:val="000000"/>
          <w:sz w:val="32"/>
          <w:szCs w:val="24"/>
        </w:rPr>
        <w:t xml:space="preserve">9</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before="156" w:after="156"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651"/>
        <w:rPr>
          <w:sz w:val="28"/>
        </w:rPr>
      </w:pPr>
      <w:r>
        <w:rPr>
          <w:sz w:val="28"/>
        </w:rPr>
      </w:r>
      <w:r/>
    </w:p>
    <w:p>
      <w:pPr>
        <w:pStyle w:val="651"/>
        <w:rPr>
          <w:sz w:val="28"/>
        </w:rPr>
      </w:pPr>
      <w:r>
        <w:rPr>
          <w:rFonts w:hint="eastAsia"/>
          <w:sz w:val="28"/>
        </w:rPr>
        <w:t xml:space="preserve">第一章</w:t>
      </w:r>
      <w:r>
        <w:rPr>
          <w:sz w:val="28"/>
        </w:rPr>
        <w:t xml:space="preserve">  </w:t>
      </w:r>
      <w:r>
        <w:rPr>
          <w:rFonts w:hint="eastAsia"/>
          <w:sz w:val="28"/>
        </w:rPr>
        <w:t xml:space="preserve">投标邀请...................................................................................</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651"/>
        <w:rPr>
          <w:sz w:val="28"/>
        </w:rPr>
      </w:pPr>
      <w:r>
        <w:rPr>
          <w:rFonts w:hint="eastAsia"/>
          <w:sz w:val="28"/>
        </w:rPr>
        <w:t xml:space="preserve">第二章</w:t>
      </w:r>
      <w:r>
        <w:rPr>
          <w:sz w:val="28"/>
        </w:rPr>
        <w:t xml:space="preserve">  </w:t>
      </w:r>
      <w:r>
        <w:rPr>
          <w:rFonts w:hint="eastAsia"/>
          <w:sz w:val="28"/>
        </w:rPr>
        <w:t xml:space="preserve">投标人须知...............................................................................</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651"/>
        <w:rPr>
          <w:sz w:val="28"/>
        </w:rPr>
      </w:pPr>
      <w:r>
        <w:rPr>
          <w:rFonts w:hint="eastAsia"/>
          <w:sz w:val="28"/>
        </w:rPr>
        <w:t xml:space="preserve">第三章</w:t>
      </w:r>
      <w:r>
        <w:rPr>
          <w:sz w:val="28"/>
        </w:rPr>
        <w:t xml:space="preserve">  </w:t>
      </w:r>
      <w:r>
        <w:rPr>
          <w:rFonts w:hint="eastAsia"/>
          <w:sz w:val="28"/>
        </w:rPr>
        <w:t xml:space="preserve">合同文本.................................................................................</w:t>
      </w:r>
      <w:r>
        <w:rPr>
          <w:sz w:val="28"/>
        </w:rPr>
        <w:fldChar w:fldCharType="begin"/>
      </w:r>
      <w:r>
        <w:rPr>
          <w:sz w:val="28"/>
        </w:rPr>
        <w:instrText xml:space="preserve"> PAGEREF _Toc162361612 \h </w:instrText>
      </w:r>
      <w:r>
        <w:rPr>
          <w:sz w:val="28"/>
        </w:rPr>
        <w:fldChar w:fldCharType="separate"/>
      </w:r>
      <w:r>
        <w:rPr>
          <w:sz w:val="28"/>
        </w:rPr>
        <w:t xml:space="preserve">20</w:t>
      </w:r>
      <w:r>
        <w:rPr>
          <w:sz w:val="28"/>
        </w:rPr>
        <w:fldChar w:fldCharType="end"/>
      </w:r>
      <w:r/>
    </w:p>
    <w:p>
      <w:pPr>
        <w:pStyle w:val="651"/>
        <w:rPr>
          <w:sz w:val="28"/>
        </w:rPr>
      </w:pPr>
      <w:r>
        <w:rPr>
          <w:rFonts w:hint="eastAsia"/>
          <w:sz w:val="28"/>
        </w:rPr>
        <w:t xml:space="preserve">第四章</w:t>
      </w:r>
      <w:r>
        <w:rPr>
          <w:sz w:val="28"/>
        </w:rPr>
        <w:t xml:space="preserve">  </w:t>
      </w:r>
      <w:r>
        <w:rPr>
          <w:rFonts w:hint="eastAsia"/>
          <w:sz w:val="28"/>
        </w:rPr>
        <w:t xml:space="preserve">采购需求.................................................................................</w:t>
      </w:r>
      <w:r>
        <w:rPr>
          <w:sz w:val="28"/>
        </w:rPr>
        <w:fldChar w:fldCharType="begin"/>
      </w:r>
      <w:r>
        <w:rPr>
          <w:sz w:val="28"/>
        </w:rPr>
        <w:instrText xml:space="preserve"> PAGEREF _Toc162361613 \h </w:instrText>
      </w:r>
      <w:r>
        <w:rPr>
          <w:sz w:val="28"/>
        </w:rPr>
        <w:fldChar w:fldCharType="separate"/>
      </w:r>
      <w:r>
        <w:rPr>
          <w:sz w:val="28"/>
        </w:rPr>
        <w:t xml:space="preserve">25</w:t>
      </w:r>
      <w:r>
        <w:rPr>
          <w:sz w:val="28"/>
        </w:rPr>
        <w:fldChar w:fldCharType="end"/>
      </w:r>
      <w:r/>
    </w:p>
    <w:p>
      <w:pPr>
        <w:pStyle w:val="651"/>
        <w:rPr>
          <w:sz w:val="28"/>
        </w:rPr>
      </w:pPr>
      <w:r>
        <w:rPr>
          <w:rFonts w:hint="eastAsia"/>
          <w:sz w:val="28"/>
        </w:rPr>
        <w:t xml:space="preserve">第五章</w:t>
      </w:r>
      <w:r>
        <w:rPr>
          <w:sz w:val="28"/>
        </w:rPr>
        <w:t xml:space="preserve">  </w:t>
      </w:r>
      <w:r>
        <w:rPr>
          <w:rFonts w:hint="eastAsia"/>
          <w:sz w:val="28"/>
        </w:rPr>
        <w:t xml:space="preserve">评标方法与评标标准.............................................................</w:t>
      </w:r>
      <w:r>
        <w:rPr>
          <w:sz w:val="28"/>
        </w:rPr>
        <w:fldChar w:fldCharType="begin"/>
      </w:r>
      <w:r>
        <w:rPr>
          <w:sz w:val="28"/>
        </w:rPr>
        <w:instrText xml:space="preserve"> PAGEREF _Toc162361614 \h </w:instrText>
      </w:r>
      <w:r>
        <w:rPr>
          <w:sz w:val="28"/>
        </w:rPr>
        <w:fldChar w:fldCharType="separate"/>
      </w:r>
      <w:r>
        <w:rPr>
          <w:sz w:val="28"/>
        </w:rPr>
        <w:t xml:space="preserve">30</w:t>
      </w:r>
      <w:r>
        <w:rPr>
          <w:sz w:val="28"/>
        </w:rPr>
        <w:fldChar w:fldCharType="end"/>
      </w:r>
      <w:r/>
    </w:p>
    <w:p>
      <w:pPr>
        <w:pStyle w:val="651"/>
        <w:rPr>
          <w:sz w:val="28"/>
        </w:rPr>
      </w:pPr>
      <w:r>
        <w:rPr>
          <w:rFonts w:hint="eastAsia"/>
          <w:sz w:val="28"/>
        </w:rPr>
        <w:t xml:space="preserve">第六章</w:t>
      </w:r>
      <w:r>
        <w:rPr>
          <w:sz w:val="28"/>
        </w:rPr>
        <w:t xml:space="preserve">  </w:t>
      </w:r>
      <w:r>
        <w:rPr>
          <w:rFonts w:hint="eastAsia"/>
          <w:sz w:val="28"/>
        </w:rPr>
        <w:t xml:space="preserve">投标文件格式.........................................................................</w:t>
      </w:r>
      <w:r>
        <w:rPr>
          <w:sz w:val="28"/>
        </w:rPr>
        <w:fldChar w:fldCharType="begin"/>
      </w:r>
      <w:r>
        <w:rPr>
          <w:sz w:val="28"/>
        </w:rPr>
        <w:instrText xml:space="preserve"> PAGEREF _Toc162361615 \h </w:instrText>
      </w:r>
      <w:r>
        <w:rPr>
          <w:sz w:val="28"/>
        </w:rPr>
        <w:fldChar w:fldCharType="separate"/>
      </w:r>
      <w:r>
        <w:rPr>
          <w:sz w:val="28"/>
        </w:rPr>
        <w:t xml:space="preserve">32</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639"/>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39"/>
        <w:jc w:val="center"/>
        <w:spacing w:before="156" w:after="156"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受连云港市民政局的委托，连云港市公共资源交易中心就养老服务智慧综合监管平台（连云港节点）系统建设项目(专门面向中小企业）（项目编号</w:t>
      </w:r>
      <w:r>
        <w:rPr>
          <w:rFonts w:ascii="Segoe UI" w:hAnsi="Segoe UI" w:eastAsia="Segoe UI" w:cs="Segoe UI"/>
          <w:szCs w:val="21"/>
          <w:shd w:val="clear" w:color="auto" w:fill="ffffff"/>
        </w:rPr>
        <w:t xml:space="preserve">JSZC-320700-JZCG-G2026-0116</w:t>
      </w:r>
      <w:r>
        <w:rPr>
          <w:rFonts w:hint="eastAsia" w:asciiTheme="minorEastAsia" w:hAnsiTheme="minorEastAsia"/>
          <w:sz w:val="24"/>
          <w:szCs w:val="24"/>
        </w:rPr>
        <w:t xml:space="preserve">）项目进行公开招标采购，欢迎符合条件的供应商投标。</w:t>
      </w:r>
      <w:r/>
    </w:p>
    <w:tbl>
      <w:tblPr>
        <w:tblStyle w:val="653"/>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6"/>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养老服务智慧综合监管平台（连云港节点）系统建设项目(专门面向中小企业）招标项目的潜在投标人应在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u w:val="single"/>
              </w:rPr>
              <w:t xml:space="preserve">202</w:t>
            </w:r>
            <w:r>
              <w:rPr>
                <w:rFonts w:asciiTheme="minorEastAsia" w:hAnsiTheme="minorEastAsia"/>
                <w:b/>
                <w:sz w:val="24"/>
                <w:szCs w:val="24"/>
                <w:u w:val="single"/>
              </w:rPr>
              <w:t xml:space="preserve">6</w:t>
            </w:r>
            <w:r>
              <w:rPr>
                <w:rFonts w:hint="eastAsia" w:asciiTheme="minorEastAsia" w:hAnsiTheme="minorEastAsia"/>
                <w:b/>
                <w:sz w:val="24"/>
                <w:szCs w:val="24"/>
                <w:u w:val="single"/>
              </w:rPr>
              <w:t xml:space="preserve">年10月13日09:00:00</w:t>
            </w:r>
            <w:r>
              <w:rPr>
                <w:rFonts w:hint="eastAsia" w:asciiTheme="minorEastAsia" w:hAnsiTheme="minorEastAsia"/>
                <w:sz w:val="24"/>
                <w:szCs w:val="24"/>
              </w:rPr>
              <w:t xml:space="preserve">（北京时间）前递交（上传）投标文件。</w:t>
            </w:r>
            <w:r/>
          </w:p>
        </w:tc>
      </w:tr>
    </w:tbl>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项目编号：JSZC-320700-JZCG-G2026-0116</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项目名称：养老服务智慧综合监管平台（连云港节点）系统建设项目(专门面向中小企业）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w:t>
      </w:r>
      <w:r>
        <w:rPr>
          <w:rFonts w:asciiTheme="minorEastAsia" w:hAnsiTheme="minorEastAsia"/>
          <w:sz w:val="24"/>
          <w:szCs w:val="24"/>
        </w:rPr>
        <w:t xml:space="preserve">198</w:t>
      </w:r>
      <w:r>
        <w:rPr>
          <w:rFonts w:hint="eastAsia" w:asciiTheme="minorEastAsia" w:hAnsiTheme="minorEastAsia"/>
          <w:sz w:val="24"/>
          <w:szCs w:val="24"/>
        </w:rPr>
        <w:t xml:space="preserve">万元，</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
          <w:color w:val="000000"/>
          <w:sz w:val="24"/>
          <w:szCs w:val="24"/>
        </w:rPr>
        <w:t xml:space="preserve">预算金额</w:t>
      </w:r>
      <w:r>
        <w:rPr>
          <w:rFonts w:hint="eastAsia" w:cs="Times New Roman" w:asciiTheme="minorEastAsia" w:hAnsiTheme="minorEastAsia"/>
          <w:color w:val="000000"/>
          <w:sz w:val="24"/>
          <w:szCs w:val="24"/>
        </w:rPr>
        <w:t xml:space="preserve">的投标无效。</w:t>
      </w:r>
      <w:r/>
    </w:p>
    <w:p>
      <w:pPr>
        <w:ind w:firstLine="480"/>
        <w:spacing w:line="500" w:lineRule="exact"/>
        <w:rPr>
          <w:sz w:val="24"/>
        </w:rPr>
      </w:pPr>
      <w:r>
        <w:rPr>
          <w:rFonts w:hint="eastAsia" w:asciiTheme="minorEastAsia" w:hAnsiTheme="minorEastAsia"/>
          <w:sz w:val="24"/>
          <w:szCs w:val="24"/>
        </w:rPr>
        <w:t xml:space="preserve">采购需求：养老服务智慧综合监管平台（连云港节点）</w:t>
      </w:r>
      <w:r>
        <w:rPr>
          <w:rFonts w:hint="eastAsia"/>
          <w:sz w:val="24"/>
        </w:rPr>
        <w:t xml:space="preserve">实现全省养老服务主体、服务对象、服务场景全覆盖，资金拨付、使用、核销全流程可查可溯，对上门服务等过程实施动态监测、智能预警，养老机构隐患摸排、整改、检查、反馈全链条闭环管理。本次项目建设内容为：</w:t>
      </w:r>
      <w:r>
        <w:rPr>
          <w:rFonts w:hint="eastAsia" w:asciiTheme="minorEastAsia" w:hAnsiTheme="minorEastAsia"/>
          <w:sz w:val="24"/>
          <w:szCs w:val="24"/>
        </w:rPr>
        <w:t xml:space="preserve">养老服务智慧综合监管平台（连云港节点）</w:t>
      </w:r>
      <w:r>
        <w:rPr>
          <w:rFonts w:hint="eastAsia"/>
          <w:sz w:val="24"/>
        </w:rPr>
        <w:t xml:space="preserve">软件定制开发和实施服务，包括服务器操作系统、数据库、中间件采购，软件需求、设计、开发、数据治理、接口适配、测试、部署、培训、试运行支持，形成“一人一码”标识服务、省市县乡分级贯通办理能力和资金、服务、安全三个在线监管能力，完成试点范围的数据归集和人头类资金事项闭环验证。</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合同履行期限：1</w:t>
      </w:r>
      <w:r>
        <w:rPr>
          <w:rFonts w:asciiTheme="minorEastAsia" w:hAnsiTheme="minorEastAsia"/>
          <w:sz w:val="24"/>
          <w:szCs w:val="24"/>
        </w:rPr>
        <w:t xml:space="preserve">80</w:t>
      </w:r>
      <w:r>
        <w:rPr>
          <w:rFonts w:hint="eastAsia" w:asciiTheme="minorEastAsia" w:hAnsiTheme="minorEastAsia"/>
          <w:sz w:val="24"/>
          <w:szCs w:val="24"/>
        </w:rPr>
        <w:t xml:space="preserve">日历天，</w:t>
      </w:r>
      <w:r>
        <w:rPr>
          <w:rFonts w:hint="eastAsia" w:asciiTheme="minorEastAsia" w:hAnsiTheme="minorEastAsia"/>
          <w:sz w:val="24"/>
        </w:rPr>
        <w:t xml:space="preserve">自合同签订之日起计算。</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64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时间：自招标公告发布之日起至2026年9月</w:t>
      </w:r>
      <w:r>
        <w:rPr>
          <w:rFonts w:hint="eastAsia" w:asciiTheme="minorEastAsia" w:hAnsiTheme="minorEastAsia"/>
          <w:sz w:val="24"/>
          <w:szCs w:val="24"/>
          <w:lang w:val="en-US" w:eastAsia="zh-CN"/>
        </w:rPr>
        <w:t xml:space="preserve">30</w:t>
      </w:r>
      <w:r>
        <w:rPr>
          <w:rFonts w:hint="eastAsia" w:asciiTheme="minorEastAsia" w:hAnsiTheme="minorEastAsia"/>
          <w:sz w:val="24"/>
          <w:szCs w:val="24"/>
        </w:rPr>
        <w:t xml:space="preserve">日（北京时间）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64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提交投标文件截止时间：2026年10月13日9:00:00（北京时间）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开标时间：2026年10月13日9:00:00（北京时间）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64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64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64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称：连云港市民政局</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址：连云港市海州区秦东门大街398号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w:t>
      </w:r>
      <w:r>
        <w:rPr>
          <w:rFonts w:asciiTheme="minorEastAsia" w:hAnsiTheme="minorEastAsia"/>
          <w:sz w:val="24"/>
          <w:szCs w:val="24"/>
        </w:rPr>
        <w:t xml:space="preserve">0518-85573818</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联系方式：程杨 </w:t>
      </w:r>
      <w:r>
        <w:rPr>
          <w:rFonts w:cs="Times New Roman" w:asciiTheme="minorEastAsia" w:hAnsiTheme="minorEastAsia"/>
          <w:sz w:val="24"/>
          <w:szCs w:val="24"/>
        </w:rPr>
        <w:t xml:space="preserve">  0518-8</w:t>
      </w:r>
      <w:r>
        <w:rPr>
          <w:rFonts w:hint="eastAsia" w:cs="Times New Roman" w:asciiTheme="minorEastAsia" w:hAnsiTheme="minorEastAsia"/>
          <w:sz w:val="24"/>
          <w:szCs w:val="24"/>
        </w:rPr>
        <w:t xml:space="preserve">2256581</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项目联系人：刘扬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      话：</w:t>
      </w:r>
      <w:r>
        <w:rPr>
          <w:rFonts w:asciiTheme="minorEastAsia" w:hAnsiTheme="minorEastAsia"/>
          <w:sz w:val="24"/>
          <w:szCs w:val="24"/>
        </w:rPr>
        <w:t xml:space="preserve">0518-85573818</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639"/>
        <w:jc w:val="center"/>
        <w:pageBreakBefore/>
        <w:spacing w:before="156" w:after="156" w:line="360" w:lineRule="auto"/>
        <w:rPr>
          <w:rFonts w:ascii="黑体" w:hAnsi="黑体" w:eastAsia="黑体"/>
          <w:b w:val="0"/>
        </w:rPr>
      </w:pPr>
      <w:r/>
      <w:bookmarkStart w:id="1" w:name="_Toc162361611"/>
      <w:r>
        <w:rPr>
          <w:rFonts w:hint="eastAsia" w:ascii="黑体" w:hAnsi="黑体" w:eastAsia="黑体"/>
          <w:b w:val="0"/>
        </w:rPr>
        <w:t xml:space="preserve">第二章  投标人须知</w:t>
      </w:r>
      <w:bookmarkEnd w:id="1"/>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firstLine="480"/>
        <w:spacing w:line="50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（采购人可在此基础上完善细化，也可以直接引用该模板内容，该处建议电话沟通）</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1.投标报价低于全部通过符合性审查供应商投标报价平均值50%的，即投标报价&lt;全部通过符合性审查供应商投标报价平均值×50%；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2.投标报价低于通过符合性审查的次低报价供应商投标报价50%的，即投标报价&lt;通过符合性审查的次低报价供应商投标报价×50%；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3.投标报价低于采购项目最高限价45%的，即投标报价&lt;采购项目最高限价×45%；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37.1 未尽事宜，依照有关法律、法规执行。</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bookmarkStart w:id="4" w:name="OLE_LINK151"/>
      <w:r>
        <w:rPr>
          <w:rFonts w:hint="eastAsia" w:asciiTheme="minorEastAsia" w:hAnsiTheme="minorEastAsia"/>
          <w:sz w:val="24"/>
          <w:szCs w:val="24"/>
        </w:rPr>
        <w:t xml:space="preserve">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参加本项目政府采购活动的供应商应当提供的材料：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（1）投标人为中型企业、小型企业、微型企业的，提供《中小企业声明函》（第六章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享受扶持政策获得政府采购合同的，小微企业不得将合同分包给大中型企业，中型企业不得将合同分包给大型企业。</w:t>
      </w:r>
      <w:bookmarkEnd w:id="4"/>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39"/>
        <w:jc w:val="center"/>
        <w:spacing w:before="156" w:after="156" w:line="360" w:lineRule="auto"/>
        <w:rPr>
          <w:rFonts w:ascii="黑体" w:hAnsi="黑体" w:eastAsia="黑体"/>
          <w:b w:val="0"/>
        </w:rPr>
      </w:pPr>
      <w:r/>
      <w:bookmarkStart w:id="5" w:name="_Toc162361612"/>
      <w:r>
        <w:rPr>
          <w:rFonts w:hint="eastAsia" w:ascii="黑体" w:hAnsi="黑体" w:eastAsia="黑体"/>
          <w:b w:val="0"/>
        </w:rPr>
        <w:t xml:space="preserve">第三章  合同文本</w:t>
      </w:r>
      <w:bookmarkEnd w:id="5"/>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6" w:name="OLE_LINK154"/>
      <w:r/>
      <w:bookmarkStart w:id="7" w:name="OLE_LINK155"/>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spacing w:line="500" w:lineRule="exact"/>
        <w:rPr>
          <w:sz w:val="24"/>
          <w:szCs w:val="24"/>
        </w:rPr>
      </w:pPr>
      <w:r>
        <w:rPr>
          <w:rFonts w:hint="eastAsia"/>
          <w:sz w:val="24"/>
          <w:szCs w:val="24"/>
        </w:rPr>
        <w:t xml:space="preserve">3.1 乙方应按招标文件规定的时间向甲方提供有关技术资料。</w:t>
      </w:r>
      <w:r/>
    </w:p>
    <w:p>
      <w:pPr>
        <w:ind w:firstLine="480"/>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spacing w:line="500" w:lineRule="exact"/>
        <w:rPr>
          <w:sz w:val="24"/>
          <w:szCs w:val="24"/>
        </w:rPr>
      </w:pPr>
      <w:r>
        <w:rPr>
          <w:rFonts w:hint="eastAsia"/>
          <w:sz w:val="24"/>
          <w:szCs w:val="24"/>
        </w:rPr>
        <w:t xml:space="preserve">4</w:t>
      </w:r>
      <w:r>
        <w:rPr>
          <w:sz w:val="24"/>
          <w:szCs w:val="24"/>
        </w:rPr>
        <w:t xml:space="preserve">.2 </w:t>
      </w:r>
      <w:r>
        <w:rPr>
          <w:rFonts w:hint="eastAsia"/>
          <w:sz w:val="24"/>
          <w:szCs w:val="24"/>
        </w:rPr>
        <w:t xml:space="preserve">本合同项下乙方为甲方专属开发、定制、建设的全套软件系统（包含但不限于系统源码、前端页面、后台程序、算法模型、数据库架构、功能模块、接口程序、配套插件、编译程序）、系统衍生成果、项目研发资料及全部交付成果，全部知识产权（含著作权、专利权、商标权、商业秘密、软件登记权等全部知识产权及相关衍生权利）自开发完成、甲方验收合格之日起，完整、唯一归甲方所有。</w:t>
      </w:r>
      <w:r/>
    </w:p>
    <w:p>
      <w:pPr>
        <w:ind w:firstLine="480"/>
        <w:spacing w:line="500" w:lineRule="exact"/>
        <w:rPr>
          <w:sz w:val="24"/>
          <w:szCs w:val="24"/>
        </w:rPr>
      </w:pPr>
      <w:r>
        <w:rPr>
          <w:rFonts w:hint="eastAsia"/>
          <w:sz w:val="24"/>
          <w:szCs w:val="24"/>
        </w:rPr>
        <w:t xml:space="preserve">4</w:t>
      </w:r>
      <w:r>
        <w:rPr>
          <w:sz w:val="24"/>
          <w:szCs w:val="24"/>
        </w:rPr>
        <w:t xml:space="preserve">.3 </w:t>
      </w:r>
      <w:r>
        <w:rPr>
          <w:rFonts w:hint="eastAsia"/>
          <w:sz w:val="24"/>
          <w:szCs w:val="24"/>
        </w:rPr>
        <w:t xml:space="preserve">本项目实施过程中产生的全部文档资料，包括但不限于需求规格说明书、系统设计文档、数据库文档、测试报告、运维手册、用户手册、验收资料、培训资料等，其著作权及相关知识产权均归甲方所有，乙方需在项目整体验收时完整、无保留交付甲方，不得私自留存备份。</w:t>
      </w:r>
      <w:r/>
    </w:p>
    <w:p>
      <w:pPr>
        <w:ind w:firstLine="480"/>
        <w:spacing w:line="500" w:lineRule="exact"/>
        <w:rPr>
          <w:sz w:val="24"/>
          <w:szCs w:val="24"/>
        </w:rPr>
      </w:pPr>
      <w:r>
        <w:rPr>
          <w:sz w:val="24"/>
          <w:szCs w:val="24"/>
        </w:rPr>
        <w:t xml:space="preserve">4.4 </w:t>
      </w:r>
      <w:r>
        <w:rPr>
          <w:rFonts w:hint="eastAsia"/>
          <w:sz w:val="24"/>
          <w:szCs w:val="24"/>
        </w:rPr>
        <w:t xml:space="preserve">乙方仅享有本项目开发技术的通用技术经验使用权，无权单独、变相或授权任何第三方使用、复制、修改、传播、转让、许可使用本项目专属开发的软件系统及全部交付成果，不得将本项目成果用于自身其他项目或为第三方提供服务。未经甲方书面正式授权，乙方不得以任何形式利用本项目知识产权谋取利益，不得泄露、披露本项目系统源码、核心技术、业务架构、甲方业务数据等涉密内容。</w:t>
      </w:r>
      <w:r/>
    </w:p>
    <w:p>
      <w:pPr>
        <w:ind w:firstLine="480"/>
        <w:spacing w:line="500" w:lineRule="exact"/>
        <w:rPr>
          <w:sz w:val="24"/>
          <w:szCs w:val="24"/>
        </w:rPr>
      </w:pPr>
      <w:r>
        <w:rPr>
          <w:rFonts w:hint="eastAsia"/>
          <w:sz w:val="24"/>
          <w:szCs w:val="24"/>
        </w:rPr>
        <w:t xml:space="preserve">4</w:t>
      </w:r>
      <w:r>
        <w:rPr>
          <w:sz w:val="24"/>
          <w:szCs w:val="24"/>
        </w:rPr>
        <w:t xml:space="preserve">.5 </w:t>
      </w:r>
      <w:r>
        <w:rPr>
          <w:rFonts w:hint="eastAsia"/>
          <w:sz w:val="24"/>
          <w:szCs w:val="24"/>
        </w:rPr>
        <w:t xml:space="preserve">乙方自带的通用开源框架、通用基础技术组件（非本项目专属定制开发内容）的知识产权归乙方或原权利人所有，但乙方需保证该类通用组件合法合规、无权属纠纷，且授权甲方可永久、免费、无限制随本项目系统使用，无需另行支付任何费用，同时保障甲方使用过程中不产生任何知识产权纠纷。</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交付方式：</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交付地点：</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w:t>
      </w:r>
      <w:r>
        <w:rPr>
          <w:rFonts w:hint="eastAsia"/>
          <w:sz w:val="24"/>
          <w:szCs w:val="24"/>
          <w:highlight w:val="none"/>
        </w:rPr>
        <w:t xml:space="preserve">商不成，按下列第</w:t>
      </w:r>
      <w:r>
        <w:rPr>
          <w:rFonts w:hint="eastAsia"/>
          <w:sz w:val="24"/>
          <w:szCs w:val="24"/>
          <w:highlight w:val="none"/>
          <w:u w:val="single"/>
        </w:rPr>
        <w:t xml:space="preserve">（1）</w:t>
      </w:r>
      <w:r>
        <w:rPr>
          <w:rFonts w:hint="eastAsia"/>
          <w:sz w:val="24"/>
          <w:szCs w:val="24"/>
          <w:highlight w:val="none"/>
        </w:rPr>
        <w:t xml:space="preserve">种方式解</w:t>
      </w:r>
      <w:r>
        <w:rPr>
          <w:rFonts w:hint="eastAsia"/>
          <w:sz w:val="24"/>
          <w:szCs w:val="24"/>
        </w:rPr>
        <w:t xml:space="preserve">决：</w:t>
      </w:r>
      <w:r/>
    </w:p>
    <w:p>
      <w:pPr>
        <w:ind w:firstLine="480"/>
        <w:jc w:val="left"/>
        <w:spacing w:line="500" w:lineRule="exact"/>
        <w:rPr>
          <w:sz w:val="24"/>
          <w:szCs w:val="24"/>
        </w:rPr>
      </w:pPr>
      <w:r>
        <w:rPr>
          <w:rFonts w:hint="eastAsia"/>
          <w:sz w:val="24"/>
          <w:szCs w:val="24"/>
        </w:rPr>
        <w:t xml:space="preserve">（1）向连云港仲裁委员会申请仲裁。</w:t>
      </w:r>
      <w:bookmarkStart w:id="24" w:name="_GoBack"/>
      <w:r/>
      <w:bookmarkEnd w:id="24"/>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6"/>
      <w:bookmarkEnd w:id="7"/>
      <w:r/>
    </w:p>
    <w:p>
      <w:pPr>
        <w:jc w:val="left"/>
        <w:widowControl/>
        <w:rPr>
          <w:sz w:val="24"/>
          <w:szCs w:val="24"/>
        </w:rPr>
      </w:pPr>
      <w:r>
        <w:rPr>
          <w:sz w:val="24"/>
          <w:szCs w:val="24"/>
        </w:rPr>
        <w:br w:type="page" w:clear="all"/>
      </w:r>
      <w:r/>
    </w:p>
    <w:p>
      <w:pPr>
        <w:pStyle w:val="639"/>
        <w:jc w:val="center"/>
        <w:spacing w:before="156" w:after="156" w:line="360" w:lineRule="auto"/>
        <w:rPr>
          <w:rFonts w:ascii="黑体" w:hAnsi="黑体" w:eastAsia="黑体"/>
          <w:b w:val="0"/>
        </w:rPr>
      </w:pPr>
      <w:r/>
      <w:bookmarkStart w:id="8" w:name="_Toc162361613"/>
      <w:r>
        <w:rPr>
          <w:rFonts w:hint="eastAsia" w:ascii="黑体" w:hAnsi="黑体" w:eastAsia="黑体"/>
          <w:b w:val="0"/>
        </w:rPr>
        <w:t xml:space="preserve">第四章  采购需求</w:t>
      </w:r>
      <w:bookmarkEnd w:id="8"/>
      <w:r/>
      <w:r/>
    </w:p>
    <w:p>
      <w:pPr>
        <w:ind w:firstLine="482"/>
        <w:jc w:val="left"/>
        <w:spacing w:line="500" w:lineRule="exact"/>
        <w:rPr>
          <w:b/>
          <w:sz w:val="24"/>
          <w:szCs w:val="24"/>
        </w:rPr>
      </w:pPr>
      <w:r>
        <w:rPr>
          <w:rFonts w:hint="eastAsia"/>
          <w:b/>
          <w:sz w:val="24"/>
          <w:szCs w:val="24"/>
        </w:rPr>
        <w:t xml:space="preserve">说明：本项目属性为服务，采购标的对应的中小企业划分标准所属行业为：</w:t>
      </w:r>
      <w:r>
        <w:rPr>
          <w:rFonts w:hint="eastAsia"/>
          <w:b/>
          <w:sz w:val="24"/>
          <w:szCs w:val="24"/>
          <w:u w:val="single"/>
        </w:rPr>
        <w:t xml:space="preserve"> 软件和信息技术服务业 </w:t>
      </w:r>
      <w:r>
        <w:rPr>
          <w:rFonts w:hint="eastAsia"/>
          <w:b/>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spacing w:line="360" w:lineRule="auto"/>
        <w:rPr>
          <w:sz w:val="24"/>
        </w:rPr>
      </w:pPr>
      <w:r>
        <w:rPr>
          <w:rFonts w:hint="eastAsia"/>
          <w:sz w:val="24"/>
        </w:rPr>
        <w:t xml:space="preserve">养老服务智慧综合监管平台（连云港节点）</w:t>
      </w:r>
      <w:r>
        <w:rPr>
          <w:rFonts w:hint="eastAsia"/>
          <w:sz w:val="24"/>
          <w:lang w:val="en-US" w:eastAsia="zh-CN"/>
        </w:rPr>
        <w:t xml:space="preserve">系统</w:t>
      </w:r>
      <w:r>
        <w:rPr>
          <w:rFonts w:hint="eastAsia"/>
          <w:sz w:val="24"/>
        </w:rPr>
        <w:t xml:space="preserve">建设项目是省级试点确定的系统建设项目，目标是搭建全省养老服务基础数据库，实现全省养老服务主体、服务对象、服务场景全覆盖，资金拨付、使用、核销全流程可查可溯，对上门服务等过程实施动态监测、智能预警，养老机构隐患摸排、整改、检查、反馈全链条闭环管理。</w:t>
      </w:r>
      <w:r/>
    </w:p>
    <w:p>
      <w:pPr>
        <w:ind w:firstLine="480"/>
        <w:spacing w:line="360" w:lineRule="auto"/>
        <w:rPr>
          <w:sz w:val="24"/>
        </w:rPr>
      </w:pPr>
      <w:r>
        <w:rPr>
          <w:rFonts w:hint="eastAsia"/>
          <w:sz w:val="24"/>
        </w:rPr>
        <w:t xml:space="preserve">项目依托连云港市级政务云、电子政务外网、统一身份认证和共享交换能力，形成“一人一码”标识服务、省市县乡分级贯通办理能力和资金、服务、安全三个在线监管能力，完成试点范围的数据归集和人头类资金事项闭环验证。业务上落实“三个在线”，推行养老服务资金“一人一码”，推动具备政策和采购条件的居家社区养老服务扶持事项由“补供方”向“补需方”转变，实现试点范围内市场主体、服务对象、机构档案和安全感知数据应录尽录，形成可查询、可追溯、可核验的监管闭环。</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p>
    <w:p>
      <w:pPr>
        <w:ind w:firstLine="480"/>
        <w:spacing w:line="360" w:lineRule="auto"/>
        <w:rPr>
          <w:rFonts w:asciiTheme="minorEastAsia" w:hAnsiTheme="minorEastAsia"/>
          <w:sz w:val="24"/>
        </w:rPr>
      </w:pPr>
      <w:r>
        <w:rPr>
          <w:rFonts w:asciiTheme="minorEastAsia" w:hAnsiTheme="minorEastAsia"/>
          <w:sz w:val="24"/>
        </w:rPr>
        <w:t xml:space="preserve">2.</w:t>
      </w:r>
      <w:r>
        <w:rPr>
          <w:rFonts w:hint="eastAsia" w:asciiTheme="minorEastAsia" w:hAnsiTheme="minorEastAsia"/>
          <w:sz w:val="24"/>
        </w:rPr>
        <w:t xml:space="preserve">1</w:t>
      </w:r>
      <w:r>
        <w:rPr>
          <w:rFonts w:asciiTheme="minorEastAsia" w:hAnsiTheme="minorEastAsia"/>
          <w:sz w:val="24"/>
        </w:rPr>
        <w:t xml:space="preserve"> </w:t>
      </w:r>
      <w:r>
        <w:rPr>
          <w:rFonts w:hint="eastAsia" w:asciiTheme="minorEastAsia" w:hAnsiTheme="minorEastAsia"/>
          <w:sz w:val="24"/>
        </w:rPr>
        <w:t xml:space="preserve">服务范围</w:t>
      </w:r>
      <w:r/>
    </w:p>
    <w:p>
      <w:pPr>
        <w:ind w:firstLine="480"/>
        <w:spacing w:line="360" w:lineRule="auto"/>
        <w:rPr>
          <w:rFonts w:asciiTheme="minorEastAsia" w:hAnsiTheme="minorEastAsia"/>
          <w:sz w:val="24"/>
        </w:rPr>
      </w:pPr>
      <w:r>
        <w:rPr>
          <w:rFonts w:hint="eastAsia"/>
          <w:sz w:val="24"/>
        </w:rPr>
        <w:t xml:space="preserve">养老服务智慧综合监管平台（连云港节点）软件定制开发和实施服务，包括服务器操作系统、数据库、中间件采购，软件需求、设计、开发、数据治理、接口适配、测试、部署、培训和试运行支持，完成试点范围的数据归集和人头类资金事项闭环验证。</w:t>
      </w:r>
      <w:r/>
    </w:p>
    <w:p>
      <w:pPr>
        <w:ind w:firstLine="480"/>
        <w:spacing w:line="360" w:lineRule="auto"/>
        <w:rPr>
          <w:rFonts w:asciiTheme="minorEastAsia" w:hAnsiTheme="minorEastAsia"/>
          <w:sz w:val="24"/>
        </w:rPr>
      </w:pPr>
      <w:r>
        <w:rPr>
          <w:rFonts w:hint="eastAsia" w:asciiTheme="minorEastAsia" w:hAnsiTheme="minorEastAsia"/>
          <w:sz w:val="24"/>
        </w:rPr>
        <w:t xml:space="preserve">2.</w:t>
      </w:r>
      <w:r>
        <w:rPr>
          <w:rFonts w:asciiTheme="minorEastAsia" w:hAnsiTheme="minorEastAsia"/>
          <w:sz w:val="24"/>
        </w:rPr>
        <w:t xml:space="preserve">2 </w:t>
      </w:r>
      <w:r>
        <w:rPr>
          <w:rFonts w:hint="eastAsia" w:asciiTheme="minorEastAsia" w:hAnsiTheme="minorEastAsia"/>
          <w:sz w:val="24"/>
        </w:rPr>
        <w:t xml:space="preserve">服务技术要求</w:t>
      </w:r>
      <w:r/>
    </w:p>
    <w:p>
      <w:pPr>
        <w:ind w:firstLine="480"/>
        <w:spacing w:line="360" w:lineRule="auto"/>
        <w:rPr>
          <w:rFonts w:asciiTheme="minorEastAsia" w:hAnsiTheme="minorEastAsia"/>
          <w:sz w:val="24"/>
        </w:rPr>
      </w:pPr>
      <w:r>
        <w:rPr>
          <w:rFonts w:hint="eastAsia" w:asciiTheme="minorEastAsia" w:hAnsiTheme="minorEastAsia"/>
          <w:sz w:val="24"/>
        </w:rPr>
        <w:t xml:space="preserve">2</w:t>
      </w:r>
      <w:r>
        <w:rPr>
          <w:rFonts w:asciiTheme="minorEastAsia" w:hAnsiTheme="minorEastAsia"/>
          <w:sz w:val="24"/>
        </w:rPr>
        <w:t xml:space="preserve">.2.1 </w:t>
      </w:r>
      <w:r>
        <w:rPr>
          <w:rFonts w:hint="eastAsia" w:asciiTheme="minorEastAsia" w:hAnsiTheme="minorEastAsia"/>
          <w:sz w:val="24"/>
        </w:rPr>
        <w:t xml:space="preserve">技术方案要求</w:t>
      </w:r>
      <w:r/>
    </w:p>
    <w:p>
      <w:pPr>
        <w:ind w:firstLine="480"/>
        <w:spacing w:line="360" w:lineRule="auto"/>
        <w:rPr>
          <w:rFonts w:asciiTheme="minorEastAsia" w:hAnsiTheme="minorEastAsia"/>
          <w:sz w:val="24"/>
        </w:rPr>
      </w:pPr>
      <w:r>
        <w:rPr>
          <w:rFonts w:hint="eastAsia" w:asciiTheme="minorEastAsia" w:hAnsiTheme="minorEastAsia"/>
          <w:sz w:val="24"/>
        </w:rPr>
        <w:t xml:space="preserve">要求提供系统建设的总体规划方案，方案具有全面性、前瞻性。要求整体架构设计清晰、准确表述现有软件平台的功能。</w:t>
      </w:r>
      <w:r/>
    </w:p>
    <w:p>
      <w:pPr>
        <w:ind w:firstLine="480"/>
        <w:spacing w:line="360" w:lineRule="auto"/>
        <w:rPr>
          <w:rFonts w:asciiTheme="minorEastAsia" w:hAnsiTheme="minorEastAsia"/>
          <w:sz w:val="24"/>
        </w:rPr>
      </w:pPr>
      <w:r>
        <w:rPr>
          <w:rFonts w:hint="eastAsia" w:asciiTheme="minorEastAsia" w:hAnsiTheme="minorEastAsia"/>
          <w:sz w:val="24"/>
        </w:rPr>
        <w:t xml:space="preserve">提供系统对接方案、安全性整体解决方案、集成部署实施方案、培训方案和售后服务支持方案。</w:t>
      </w:r>
      <w:r/>
    </w:p>
    <w:p>
      <w:pPr>
        <w:ind w:firstLine="480"/>
        <w:spacing w:line="360" w:lineRule="auto"/>
        <w:rPr>
          <w:rFonts w:asciiTheme="minorEastAsia" w:hAnsiTheme="minorEastAsia"/>
          <w:sz w:val="24"/>
        </w:rPr>
      </w:pPr>
      <w:r>
        <w:rPr>
          <w:rFonts w:hint="eastAsia" w:asciiTheme="minorEastAsia" w:hAnsiTheme="minorEastAsia"/>
          <w:sz w:val="24"/>
        </w:rPr>
        <w:t xml:space="preserve">2</w:t>
      </w:r>
      <w:r>
        <w:rPr>
          <w:rFonts w:asciiTheme="minorEastAsia" w:hAnsiTheme="minorEastAsia"/>
          <w:sz w:val="24"/>
        </w:rPr>
        <w:t xml:space="preserve">.2.2 </w:t>
      </w:r>
      <w:r>
        <w:rPr>
          <w:rFonts w:hint="eastAsia" w:asciiTheme="minorEastAsia" w:hAnsiTheme="minorEastAsia"/>
          <w:sz w:val="24"/>
        </w:rPr>
        <w:t xml:space="preserve">数据要求</w:t>
      </w:r>
      <w:r/>
    </w:p>
    <w:p>
      <w:pPr>
        <w:ind w:firstLine="480"/>
        <w:spacing w:line="360" w:lineRule="auto"/>
        <w:rPr>
          <w:rFonts w:asciiTheme="minorEastAsia" w:hAnsiTheme="minorEastAsia"/>
          <w:sz w:val="24"/>
        </w:rPr>
      </w:pPr>
      <w:r>
        <w:rPr>
          <w:rFonts w:hint="eastAsia" w:asciiTheme="minorEastAsia" w:hAnsiTheme="minorEastAsia"/>
          <w:sz w:val="24"/>
        </w:rPr>
        <w:t xml:space="preserve">充分做好数据的安全性保障，防数据篡改、多维度客户账号安全验证管理，保障数据安全。</w:t>
      </w:r>
      <w:r/>
    </w:p>
    <w:p>
      <w:pPr>
        <w:ind w:firstLine="480"/>
        <w:spacing w:line="360" w:lineRule="auto"/>
        <w:rPr>
          <w:rFonts w:asciiTheme="minorEastAsia" w:hAnsiTheme="minorEastAsia"/>
          <w:sz w:val="24"/>
        </w:rPr>
      </w:pPr>
      <w:r>
        <w:rPr>
          <w:rFonts w:hint="eastAsia" w:asciiTheme="minorEastAsia" w:hAnsiTheme="minorEastAsia"/>
          <w:sz w:val="24"/>
        </w:rPr>
        <w:t xml:space="preserve">2</w:t>
      </w:r>
      <w:r>
        <w:rPr>
          <w:rFonts w:asciiTheme="minorEastAsia" w:hAnsiTheme="minorEastAsia"/>
          <w:sz w:val="24"/>
        </w:rPr>
        <w:t xml:space="preserve">.2.3 </w:t>
      </w:r>
      <w:r>
        <w:rPr>
          <w:rFonts w:hint="eastAsia" w:asciiTheme="minorEastAsia" w:hAnsiTheme="minorEastAsia"/>
          <w:sz w:val="24"/>
        </w:rPr>
        <w:t xml:space="preserve">易用性要求</w:t>
      </w:r>
      <w:r/>
    </w:p>
    <w:p>
      <w:pPr>
        <w:ind w:firstLine="480"/>
        <w:spacing w:line="360" w:lineRule="auto"/>
        <w:rPr>
          <w:rFonts w:asciiTheme="minorEastAsia" w:hAnsiTheme="minorEastAsia"/>
          <w:sz w:val="24"/>
        </w:rPr>
      </w:pPr>
      <w:r>
        <w:rPr>
          <w:rFonts w:hint="eastAsia" w:asciiTheme="minorEastAsia" w:hAnsiTheme="minorEastAsia"/>
          <w:sz w:val="24"/>
        </w:rPr>
        <w:t xml:space="preserve">本项目软件系统必须充分考虑易用性，立足于“以人为本”的产品设计理念，其总体功能布局、交互设计、界面设计、导航设计达到操作简便、界面直观、管理灵活的要求，以方便用户经较短时间培训即可熟练运用。</w:t>
      </w:r>
      <w:r/>
    </w:p>
    <w:p>
      <w:pPr>
        <w:ind w:firstLine="480"/>
        <w:spacing w:line="360" w:lineRule="auto"/>
        <w:rPr>
          <w:rFonts w:asciiTheme="minorEastAsia" w:hAnsiTheme="minorEastAsia"/>
          <w:sz w:val="24"/>
        </w:rPr>
      </w:pPr>
      <w:r>
        <w:rPr>
          <w:rFonts w:hint="eastAsia" w:asciiTheme="minorEastAsia" w:hAnsiTheme="minorEastAsia"/>
          <w:sz w:val="24"/>
        </w:rPr>
        <w:t xml:space="preserve">本软件系统用户的权限、信息查询项、信息统计等内容要实现动态可配置，方便用户的灵活使用。</w:t>
      </w:r>
      <w:r/>
    </w:p>
    <w:p>
      <w:pPr>
        <w:ind w:firstLine="480"/>
        <w:spacing w:line="360" w:lineRule="auto"/>
        <w:rPr>
          <w:rFonts w:asciiTheme="minorEastAsia" w:hAnsiTheme="minorEastAsia"/>
          <w:sz w:val="24"/>
        </w:rPr>
      </w:pPr>
      <w:r>
        <w:rPr>
          <w:rFonts w:hint="eastAsia" w:asciiTheme="minorEastAsia" w:hAnsiTheme="minorEastAsia"/>
          <w:sz w:val="24"/>
        </w:rPr>
        <w:t xml:space="preserve">充分考虑养老服务监管部门、老年人、子女亲属、服务机构操作人员中具有不同计算机应用水平的人员均能够对本系统快速地掌握并方便的使用需求，设计时充分考虑用户使用上的接受程度、使用效率及成本等各种因素，要求开发出的应用软件系统具有友好的用户界面，容易上手，便于使用。</w:t>
      </w:r>
      <w:r/>
    </w:p>
    <w:p>
      <w:pPr>
        <w:ind w:firstLine="480"/>
        <w:spacing w:line="360" w:lineRule="auto"/>
        <w:rPr>
          <w:rFonts w:asciiTheme="minorEastAsia" w:hAnsiTheme="minorEastAsia"/>
          <w:sz w:val="24"/>
        </w:rPr>
      </w:pPr>
      <w:r>
        <w:rPr>
          <w:rFonts w:hint="eastAsia" w:asciiTheme="minorEastAsia" w:hAnsiTheme="minorEastAsia"/>
          <w:sz w:val="24"/>
        </w:rPr>
        <w:t xml:space="preserve">2</w:t>
      </w:r>
      <w:r>
        <w:rPr>
          <w:rFonts w:asciiTheme="minorEastAsia" w:hAnsiTheme="minorEastAsia"/>
          <w:sz w:val="24"/>
        </w:rPr>
        <w:t xml:space="preserve">.2.4 </w:t>
      </w:r>
      <w:r>
        <w:rPr>
          <w:rFonts w:hint="eastAsia" w:asciiTheme="minorEastAsia" w:hAnsiTheme="minorEastAsia"/>
          <w:sz w:val="24"/>
        </w:rPr>
        <w:t xml:space="preserve">系统架构要求</w:t>
      </w:r>
      <w:r/>
    </w:p>
    <w:p>
      <w:pPr>
        <w:ind w:firstLine="480"/>
        <w:spacing w:line="360" w:lineRule="auto"/>
        <w:rPr>
          <w:rFonts w:asciiTheme="minorEastAsia" w:hAnsiTheme="minorEastAsia"/>
          <w:sz w:val="24"/>
        </w:rPr>
      </w:pPr>
      <w:r>
        <w:rPr>
          <w:rFonts w:hint="eastAsia" w:asciiTheme="minorEastAsia" w:hAnsiTheme="minorEastAsia"/>
          <w:sz w:val="24"/>
        </w:rPr>
        <w:t xml:space="preserve">本次建设的系统软件系统要求B/S方式来进行软件部署，充分运用成熟技术进行开发，软件架构要求具备开放性，提供完整规范的开发接口；系统建设应有层次，要求可扩展性，并且易维护。系统建设各模块关系要低耦合性，数据、业务分层，未来可以通过系统升级不断完善系统。具有全面的用户和用户组管理功能，支持以角色的方式对资源进行授权。</w:t>
      </w:r>
      <w:r/>
    </w:p>
    <w:p>
      <w:pPr>
        <w:ind w:firstLine="480"/>
        <w:spacing w:line="360" w:lineRule="auto"/>
        <w:rPr>
          <w:rFonts w:asciiTheme="minorEastAsia" w:hAnsiTheme="minorEastAsia"/>
          <w:sz w:val="24"/>
        </w:rPr>
      </w:pPr>
      <w:r>
        <w:rPr>
          <w:rFonts w:hint="eastAsia" w:asciiTheme="minorEastAsia" w:hAnsiTheme="minorEastAsia"/>
          <w:sz w:val="24"/>
        </w:rPr>
        <w:t xml:space="preserve">平台采用多层软件结构，实现用户层、业务层、数据逻辑层和数据存储层的分离，通过用户层实现应用系统的用户接口，采用业务层和数据逻辑层实现基础服务和应用系统的业务逻辑，通过数据存储层实现数据的集中存储。</w:t>
      </w:r>
      <w:r/>
    </w:p>
    <w:p>
      <w:pPr>
        <w:ind w:firstLine="480"/>
        <w:spacing w:line="360" w:lineRule="auto"/>
        <w:rPr>
          <w:rFonts w:asciiTheme="minorEastAsia" w:hAnsiTheme="minorEastAsia"/>
          <w:i/>
          <w:iCs/>
          <w:sz w:val="24"/>
          <w:u w:val="single"/>
        </w:rPr>
      </w:pPr>
      <w:r>
        <w:rPr>
          <w:rFonts w:asciiTheme="minorEastAsia" w:hAnsiTheme="minorEastAsia"/>
          <w:i/>
          <w:iCs/>
          <w:sz w:val="24"/>
          <w:u w:val="single"/>
        </w:rPr>
        <w:t xml:space="preserve">2.2.5 </w:t>
      </w:r>
      <w:r>
        <w:rPr>
          <w:rFonts w:hint="eastAsia" w:asciiTheme="minorEastAsia" w:hAnsiTheme="minorEastAsia"/>
          <w:i/>
          <w:iCs/>
          <w:sz w:val="24"/>
          <w:u w:val="single"/>
        </w:rPr>
        <w:t xml:space="preserve">系统安全性要求</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软件系统建设必须满足网络安全等级保护第三级标准。系统设计应综合采用多种安全技术手段，对应用数据库实施严密防护，制定系统信息资源总体安全解决方案；采用分级操作权限控制、密码管理、系统日志监督等手段，防止数据被窃取、篡改；网络上支持部署防火墙、入侵检测、入侵防御、边界访问控制等安全措施，落实网络区域隔离、边界防护、恶意代码防范要求。完善身份认证与授权、数据库及访问行为审计机制，对数据访问实时跟踪、全程记录，实现操作可追溯。定期识别管控各环节安全风险，针对重大隐患预先制定应急预案。</w:t>
      </w:r>
      <w:r/>
    </w:p>
    <w:p>
      <w:pPr>
        <w:ind w:firstLine="480"/>
        <w:spacing w:line="360" w:lineRule="auto"/>
        <w:rPr>
          <w:rFonts w:asciiTheme="minorEastAsia" w:hAnsiTheme="minorEastAsia"/>
          <w:sz w:val="24"/>
        </w:rPr>
      </w:pPr>
      <w:r>
        <w:rPr>
          <w:rFonts w:hint="eastAsia" w:asciiTheme="minorEastAsia" w:hAnsiTheme="minorEastAsia"/>
          <w:sz w:val="24"/>
        </w:rPr>
        <w:t xml:space="preserve">2</w:t>
      </w:r>
      <w:r>
        <w:rPr>
          <w:rFonts w:asciiTheme="minorEastAsia" w:hAnsiTheme="minorEastAsia"/>
          <w:sz w:val="24"/>
        </w:rPr>
        <w:t xml:space="preserve">.2.6 </w:t>
      </w:r>
      <w:r>
        <w:rPr>
          <w:rFonts w:hint="eastAsia" w:asciiTheme="minorEastAsia" w:hAnsiTheme="minorEastAsia"/>
          <w:sz w:val="24"/>
        </w:rPr>
        <w:t xml:space="preserve">系统性能要求</w:t>
      </w:r>
      <w:r/>
    </w:p>
    <w:p>
      <w:pPr>
        <w:ind w:firstLine="480"/>
        <w:spacing w:line="360" w:lineRule="auto"/>
        <w:rPr>
          <w:rFonts w:asciiTheme="minorEastAsia" w:hAnsiTheme="minorEastAsia"/>
          <w:sz w:val="24"/>
        </w:rPr>
      </w:pPr>
      <w:r>
        <w:rPr>
          <w:rFonts w:hint="eastAsia" w:asciiTheme="minorEastAsia" w:hAnsiTheme="minorEastAsia"/>
          <w:sz w:val="24"/>
        </w:rPr>
        <w:t xml:space="preserve">满足主要性能指标如下：</w:t>
      </w:r>
      <w:r/>
    </w:p>
    <w:p>
      <w:pPr>
        <w:ind w:firstLine="480"/>
        <w:spacing w:line="360" w:lineRule="auto"/>
        <w:rPr>
          <w:rFonts w:asciiTheme="minorEastAsia" w:hAnsiTheme="minorEastAsia"/>
          <w:sz w:val="24"/>
        </w:rPr>
      </w:pPr>
      <w:r>
        <w:rPr>
          <w:rFonts w:hint="eastAsia" w:asciiTheme="minorEastAsia" w:hAnsiTheme="minorEastAsia"/>
          <w:sz w:val="24"/>
        </w:rPr>
        <w:t xml:space="preserve">（1）稳定性指标：系统保证7×24小时不间断运行，试运行期间系统可用率≥9</w:t>
      </w:r>
      <w:r>
        <w:rPr>
          <w:rFonts w:asciiTheme="minorEastAsia" w:hAnsiTheme="minorEastAsia"/>
          <w:sz w:val="24"/>
        </w:rPr>
        <w:t xml:space="preserve">9.5%</w:t>
      </w:r>
      <w:r>
        <w:rPr>
          <w:rFonts w:hint="eastAsia" w:asciiTheme="minorEastAsia" w:hAnsiTheme="minorEastAsia"/>
          <w:sz w:val="24"/>
        </w:rPr>
        <w:t xml:space="preserve">。</w:t>
      </w:r>
      <w:r/>
    </w:p>
    <w:p>
      <w:pPr>
        <w:ind w:firstLine="480"/>
        <w:spacing w:line="360" w:lineRule="auto"/>
        <w:rPr>
          <w:rFonts w:asciiTheme="minorEastAsia" w:hAnsiTheme="minorEastAsia"/>
          <w:sz w:val="24"/>
          <w:highlight w:val="none"/>
        </w:rPr>
      </w:pPr>
      <w:r>
        <w:rPr>
          <w:rFonts w:hint="eastAsia" w:asciiTheme="minorEastAsia" w:hAnsiTheme="minorEastAsia"/>
          <w:sz w:val="24"/>
          <w:highlight w:val="none"/>
        </w:rPr>
        <w:t xml:space="preserve">（2）吞吐量指标：试运行期间，同时在线用户数≥5000人；监管端并发用户数≥100人，机构端并发用户数≥</w:t>
      </w:r>
      <w:r>
        <w:rPr>
          <w:rFonts w:asciiTheme="minorEastAsia" w:hAnsiTheme="minorEastAsia"/>
          <w:sz w:val="24"/>
          <w:highlight w:val="none"/>
        </w:rPr>
        <w:t xml:space="preserve">200</w:t>
      </w:r>
      <w:r>
        <w:rPr>
          <w:rFonts w:hint="eastAsia" w:asciiTheme="minorEastAsia" w:hAnsiTheme="minorEastAsia"/>
          <w:sz w:val="24"/>
          <w:highlight w:val="none"/>
        </w:rPr>
        <w:t xml:space="preserve">人，用户端并发用户数≥</w:t>
      </w:r>
      <w:r>
        <w:rPr>
          <w:rFonts w:asciiTheme="minorEastAsia" w:hAnsiTheme="minorEastAsia"/>
          <w:sz w:val="24"/>
          <w:highlight w:val="none"/>
        </w:rPr>
        <w:t xml:space="preserve">500</w:t>
      </w:r>
      <w:r>
        <w:rPr>
          <w:rFonts w:hint="eastAsia" w:asciiTheme="minorEastAsia" w:hAnsiTheme="minorEastAsia"/>
          <w:sz w:val="24"/>
          <w:highlight w:val="none"/>
        </w:rPr>
        <w:t xml:space="preserve">人；具备根据实际需要进一步拓展能力。</w:t>
      </w:r>
      <w:r/>
    </w:p>
    <w:p>
      <w:pPr>
        <w:ind w:firstLine="480"/>
        <w:spacing w:line="360" w:lineRule="auto"/>
        <w:rPr>
          <w:rFonts w:asciiTheme="minorEastAsia" w:hAnsiTheme="minorEastAsia"/>
          <w:sz w:val="24"/>
        </w:rPr>
      </w:pPr>
      <w:r>
        <w:rPr>
          <w:rFonts w:hint="eastAsia" w:asciiTheme="minorEastAsia" w:hAnsiTheme="minorEastAsia"/>
          <w:sz w:val="24"/>
        </w:rPr>
        <w:t xml:space="preserve">（3）功能完备性指标：服务对象有效入库率≥9</w:t>
      </w:r>
      <w:r>
        <w:rPr>
          <w:rFonts w:asciiTheme="minorEastAsia" w:hAnsiTheme="minorEastAsia"/>
          <w:sz w:val="24"/>
        </w:rPr>
        <w:t xml:space="preserve">5%</w:t>
      </w:r>
      <w:r>
        <w:rPr>
          <w:rFonts w:hint="eastAsia" w:asciiTheme="minorEastAsia" w:hAnsiTheme="minorEastAsia"/>
          <w:sz w:val="24"/>
        </w:rPr>
        <w:t xml:space="preserve">，服务对象“一人一码”建档率1</w:t>
      </w:r>
      <w:r>
        <w:rPr>
          <w:rFonts w:asciiTheme="minorEastAsia" w:hAnsiTheme="minorEastAsia"/>
          <w:sz w:val="24"/>
        </w:rPr>
        <w:t xml:space="preserve">00%</w:t>
      </w:r>
      <w:r>
        <w:rPr>
          <w:rFonts w:hint="eastAsia" w:asciiTheme="minorEastAsia" w:hAnsiTheme="minorEastAsia"/>
          <w:sz w:val="24"/>
        </w:rPr>
        <w:t xml:space="preserve">，资金全链路可追溯率1</w:t>
      </w:r>
      <w:r>
        <w:rPr>
          <w:rFonts w:asciiTheme="minorEastAsia" w:hAnsiTheme="minorEastAsia"/>
          <w:sz w:val="24"/>
        </w:rPr>
        <w:t xml:space="preserve">00%</w:t>
      </w:r>
      <w:r>
        <w:rPr>
          <w:rFonts w:hint="eastAsia" w:asciiTheme="minorEastAsia" w:hAnsiTheme="minorEastAsia"/>
          <w:sz w:val="24"/>
        </w:rPr>
        <w:t xml:space="preserve">。</w:t>
      </w:r>
      <w:r/>
    </w:p>
    <w:p>
      <w:pPr>
        <w:ind w:firstLine="480"/>
        <w:spacing w:line="360" w:lineRule="auto"/>
        <w:rPr>
          <w:rFonts w:asciiTheme="minorEastAsia" w:hAnsiTheme="minorEastAsia"/>
          <w:sz w:val="24"/>
        </w:rPr>
      </w:pPr>
      <w:r>
        <w:rPr>
          <w:rFonts w:hint="eastAsia" w:asciiTheme="minorEastAsia" w:hAnsiTheme="minorEastAsia"/>
          <w:sz w:val="24"/>
        </w:rPr>
        <w:t xml:space="preserve">（4）信息服务指标：系统一般查询响应时间≤3秒。</w:t>
      </w:r>
      <w:r/>
    </w:p>
    <w:p>
      <w:pPr>
        <w:ind w:firstLine="480"/>
        <w:spacing w:line="360" w:lineRule="auto"/>
        <w:rPr>
          <w:rFonts w:asciiTheme="minorEastAsia" w:hAnsiTheme="minorEastAsia"/>
          <w:sz w:val="24"/>
        </w:rPr>
      </w:pPr>
      <w:r>
        <w:rPr>
          <w:rFonts w:hint="eastAsia" w:asciiTheme="minorEastAsia" w:hAnsiTheme="minorEastAsia"/>
          <w:sz w:val="24"/>
        </w:rPr>
        <w:t xml:space="preserve">（5）数据量指标：系统日志保存时间≥6个月，履约影像保存时间≥3年，起止签到位置信息保存时间≥3年，系统支持存储容量≥</w:t>
      </w:r>
      <w:r>
        <w:rPr>
          <w:rFonts w:asciiTheme="minorEastAsia" w:hAnsiTheme="minorEastAsia"/>
          <w:sz w:val="24"/>
        </w:rPr>
        <w:t xml:space="preserve">16</w:t>
      </w:r>
      <w:r>
        <w:rPr>
          <w:rFonts w:hint="eastAsia" w:asciiTheme="minorEastAsia" w:hAnsiTheme="minorEastAsia"/>
          <w:sz w:val="24"/>
        </w:rPr>
        <w:t xml:space="preserve">T</w:t>
      </w:r>
      <w:r>
        <w:rPr>
          <w:rFonts w:asciiTheme="minorEastAsia" w:hAnsiTheme="minorEastAsia"/>
          <w:sz w:val="24"/>
        </w:rPr>
        <w:t xml:space="preserve">B</w:t>
      </w:r>
      <w:r>
        <w:rPr>
          <w:rFonts w:hint="eastAsia" w:asciiTheme="minorEastAsia" w:hAnsiTheme="minorEastAsia"/>
          <w:sz w:val="24"/>
        </w:rPr>
        <w:t xml:space="preserve">，系统支持单次增量备份数据量≥</w:t>
      </w:r>
      <w:r>
        <w:rPr>
          <w:rFonts w:asciiTheme="minorEastAsia" w:hAnsiTheme="minorEastAsia"/>
          <w:sz w:val="24"/>
        </w:rPr>
        <w:t xml:space="preserve">4</w:t>
      </w:r>
      <w:r>
        <w:rPr>
          <w:rFonts w:hint="eastAsia" w:asciiTheme="minorEastAsia" w:hAnsiTheme="minorEastAsia"/>
          <w:sz w:val="24"/>
        </w:rPr>
        <w:t xml:space="preserve">G</w:t>
      </w:r>
      <w:r>
        <w:rPr>
          <w:rFonts w:asciiTheme="minorEastAsia" w:hAnsiTheme="minorEastAsia"/>
          <w:sz w:val="24"/>
        </w:rPr>
        <w:t xml:space="preserve">B</w:t>
      </w:r>
      <w:r>
        <w:rPr>
          <w:rFonts w:hint="eastAsia" w:asciiTheme="minorEastAsia" w:hAnsiTheme="minorEastAsia"/>
          <w:sz w:val="24"/>
        </w:rPr>
        <w:t xml:space="preserve">。</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2</w:t>
      </w:r>
      <w:r>
        <w:rPr>
          <w:rFonts w:asciiTheme="minorEastAsia" w:hAnsiTheme="minorEastAsia"/>
          <w:i/>
          <w:iCs/>
          <w:sz w:val="24"/>
          <w:u w:val="single"/>
        </w:rPr>
        <w:t xml:space="preserve">.2.7 </w:t>
      </w:r>
      <w:r>
        <w:rPr>
          <w:rFonts w:hint="eastAsia" w:asciiTheme="minorEastAsia" w:hAnsiTheme="minorEastAsia"/>
          <w:i/>
          <w:iCs/>
          <w:sz w:val="24"/>
          <w:u w:val="single"/>
        </w:rPr>
        <w:t xml:space="preserve">操作系统和数据库要求</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服务器操作系统、数据库、中间件须选用信创体系产品，满足国家信创相关适配及合规要求。上述产品的采购费、软件授权费、适配费、升级及维保等一切相关费用，均由投标人全额承担，相关费用计入投标报价，采购人无需另行支付任何费用。</w:t>
      </w:r>
      <w:r/>
    </w:p>
    <w:p>
      <w:pPr>
        <w:ind w:firstLine="480"/>
        <w:spacing w:line="360" w:lineRule="auto"/>
        <w:rPr>
          <w:rFonts w:asciiTheme="minorEastAsia" w:hAnsiTheme="minorEastAsia"/>
          <w:sz w:val="24"/>
        </w:rPr>
      </w:pPr>
      <w:r>
        <w:rPr>
          <w:rFonts w:asciiTheme="minorEastAsia" w:hAnsiTheme="minorEastAsia"/>
          <w:sz w:val="24"/>
        </w:rPr>
        <w:t xml:space="preserve">2.2.8 </w:t>
      </w:r>
      <w:r>
        <w:rPr>
          <w:rFonts w:hint="eastAsia" w:asciiTheme="minorEastAsia" w:hAnsiTheme="minorEastAsia"/>
          <w:sz w:val="24"/>
        </w:rPr>
        <w:t xml:space="preserve">客户端兼容性要求</w:t>
      </w:r>
      <w:r/>
    </w:p>
    <w:p>
      <w:pPr>
        <w:ind w:firstLine="480"/>
        <w:spacing w:line="360" w:lineRule="auto"/>
        <w:rPr>
          <w:rFonts w:asciiTheme="minorEastAsia" w:hAnsiTheme="minorEastAsia"/>
          <w:sz w:val="24"/>
        </w:rPr>
      </w:pPr>
      <w:r>
        <w:rPr>
          <w:rFonts w:hint="eastAsia" w:asciiTheme="minorEastAsia" w:hAnsiTheme="minorEastAsia"/>
          <w:sz w:val="24"/>
        </w:rPr>
        <w:t xml:space="preserve">支持主流浏览器包括IE、Chrome等浏览器，界面效果保持一致。PC端操作系统支持纳入信创目录的信创桌面操作系统、Windows7及以上系列操作系统和macOS 10.15及以上版本苹果操作系统。移动客户端在系统开发及试运行期间可使用小程序，试运行结束前应完成向“苏服办”APP迁移工作。</w:t>
      </w:r>
      <w:r/>
    </w:p>
    <w:p>
      <w:pPr>
        <w:ind w:firstLine="480"/>
        <w:spacing w:line="360" w:lineRule="auto"/>
        <w:rPr>
          <w:rFonts w:asciiTheme="minorEastAsia" w:hAnsiTheme="minorEastAsia"/>
          <w:i/>
          <w:iCs/>
          <w:sz w:val="24"/>
          <w:u w:val="single"/>
        </w:rPr>
      </w:pPr>
      <w:r>
        <w:rPr>
          <w:rFonts w:asciiTheme="minorEastAsia" w:hAnsiTheme="minorEastAsia"/>
          <w:i/>
          <w:iCs/>
          <w:sz w:val="24"/>
          <w:u w:val="single"/>
        </w:rPr>
        <w:t xml:space="preserve">2.</w:t>
      </w:r>
      <w:r>
        <w:rPr>
          <w:rFonts w:hint="eastAsia" w:asciiTheme="minorEastAsia" w:hAnsiTheme="minorEastAsia"/>
          <w:i/>
          <w:iCs/>
          <w:sz w:val="24"/>
          <w:u w:val="single"/>
        </w:rPr>
        <w:t xml:space="preserve">3</w:t>
      </w:r>
      <w:r>
        <w:rPr>
          <w:rFonts w:asciiTheme="minorEastAsia" w:hAnsiTheme="minorEastAsia"/>
          <w:i/>
          <w:iCs/>
          <w:sz w:val="24"/>
          <w:u w:val="single"/>
        </w:rPr>
        <w:t xml:space="preserve"> </w:t>
      </w:r>
      <w:r>
        <w:rPr>
          <w:rFonts w:hint="eastAsia" w:asciiTheme="minorEastAsia" w:hAnsiTheme="minorEastAsia"/>
          <w:i/>
          <w:iCs/>
          <w:sz w:val="24"/>
          <w:u w:val="single"/>
        </w:rPr>
        <w:t xml:space="preserve">系统功能要求</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应用系统按监管办理、服务供给、服务对象与作业、统一管理划分，共享同一套主数据、权限和指标口径，通过服务接口协同，不重复建设对象库、台账库或权限体系。提供角色化功能指引与核心业务流程说明，帮助使用者识别业务入口、理解办理流程、掌握系统操作。供应商可在结构清晰、操作简便、功能全覆盖的前提下，对模块和功能端进行整合重构。</w:t>
      </w:r>
      <w:r/>
    </w:p>
    <w:p>
      <w:pPr>
        <w:ind w:firstLine="480"/>
        <w:spacing w:line="360" w:lineRule="auto"/>
        <w:rPr>
          <w:rFonts w:asciiTheme="minorEastAsia" w:hAnsiTheme="minorEastAsia"/>
          <w:i/>
          <w:iCs/>
          <w:sz w:val="24"/>
          <w:u w:val="single"/>
        </w:rPr>
      </w:pPr>
      <w:r>
        <w:rPr>
          <w:rFonts w:asciiTheme="minorEastAsia" w:hAnsiTheme="minorEastAsia"/>
          <w:i/>
          <w:iCs/>
          <w:sz w:val="24"/>
          <w:u w:val="single"/>
        </w:rPr>
        <w:t xml:space="preserve">2.</w:t>
      </w:r>
      <w:r>
        <w:rPr>
          <w:rFonts w:hint="eastAsia" w:asciiTheme="minorEastAsia" w:hAnsiTheme="minorEastAsia"/>
          <w:i/>
          <w:iCs/>
          <w:sz w:val="24"/>
          <w:u w:val="single"/>
        </w:rPr>
        <w:t xml:space="preserve">3</w:t>
      </w:r>
      <w:r>
        <w:rPr>
          <w:rFonts w:asciiTheme="minorEastAsia" w:hAnsiTheme="minorEastAsia"/>
          <w:i/>
          <w:iCs/>
          <w:sz w:val="24"/>
          <w:u w:val="single"/>
        </w:rPr>
        <w:t xml:space="preserve">.1 </w:t>
      </w:r>
      <w:r>
        <w:rPr>
          <w:rFonts w:hint="eastAsia" w:asciiTheme="minorEastAsia" w:hAnsiTheme="minorEastAsia"/>
          <w:i/>
          <w:iCs/>
          <w:sz w:val="24"/>
          <w:u w:val="single"/>
        </w:rPr>
        <w:t xml:space="preserve">监管应用模块</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监管应用模块是业务核心办理入口，基于全量业务台账生成统计分析、预警与专题视图，具备P</w:t>
      </w:r>
      <w:r>
        <w:rPr>
          <w:rFonts w:asciiTheme="minorEastAsia" w:hAnsiTheme="minorEastAsia"/>
          <w:i/>
          <w:iCs/>
          <w:sz w:val="24"/>
          <w:u w:val="single"/>
        </w:rPr>
        <w:t xml:space="preserve">C</w:t>
      </w:r>
      <w:r>
        <w:rPr>
          <w:rFonts w:hint="eastAsia" w:asciiTheme="minorEastAsia" w:hAnsiTheme="minorEastAsia"/>
          <w:i/>
          <w:iCs/>
          <w:sz w:val="24"/>
          <w:u w:val="single"/>
        </w:rPr>
        <w:t xml:space="preserve">端和移动端，主要使用对象为省、市、县、乡镇（街道）工作人员，按行政区划和岗位提供差异化视图。</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1）工作台或综合态势页面展示核心指标、业务趋势、待办事项、风险预警，明确标注统计周期、数据来源、更新时间、口径版本，按级别展示本级监管指标、待办和模块入口，指标与业务台账同源，不得另行填报；待办包括待审备案、待复核核销批次、待处置风险事件、待销号隐患和待回复投诉等。省、市级可下钻至县乡，县级仅见本辖区及下级，乡镇仅见本级核实任务。</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2）能够实现养老机构补贴审核、发放，社区养老服务机构补贴发放、审核，居家养老上门服务工单监管、补贴发放审核，助餐相关补贴结算、审核、发放，底册信息更正和高龄困难补贴办理，老年人能力评估结果、结果复核等涉及养老服务补贴资金的审核、审批、发放流程全程可追溯。</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（3）对养老服务机构安全检查，各类发现问题整改、复核、销号，服务履约异常的报警、反馈、核查、处置等全流程记录、可追溯。</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（4）具备养老服务对象档案管理能力，按照“一人一档”原则，可查看基础信息、享受补贴资格和权益、权益使用、退回、冻结、实效等全量信息。</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w:t>
      </w:r>
      <w:r>
        <w:rPr>
          <w:rFonts w:asciiTheme="minorEastAsia" w:hAnsiTheme="minorEastAsia"/>
          <w:i/>
          <w:iCs/>
          <w:sz w:val="24"/>
          <w:u w:val="single"/>
        </w:rPr>
        <w:t xml:space="preserve">5</w:t>
      </w:r>
      <w:r>
        <w:rPr>
          <w:rFonts w:hint="eastAsia" w:asciiTheme="minorEastAsia" w:hAnsiTheme="minorEastAsia"/>
          <w:i/>
          <w:iCs/>
          <w:sz w:val="24"/>
          <w:u w:val="single"/>
        </w:rPr>
        <w:t xml:space="preserve">）具备整体数据分析模块，按照权限对整个辖区或部分区域的养老服务供给数量、区域覆盖、价格分布等情况进行统计和分析；支持按照事项、服务对象、机构、批次做穿透式查询。</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（6）监管端应设置安全预警智能体，用于事件预警和核查线索展示，不得连接公共人工智能服务，不得上传生产敏感数据。</w:t>
      </w:r>
      <w:r/>
    </w:p>
    <w:p>
      <w:pPr>
        <w:ind w:firstLine="480"/>
        <w:spacing w:line="360" w:lineRule="auto"/>
        <w:rPr>
          <w:rFonts w:asciiTheme="minorEastAsia" w:hAnsiTheme="minorEastAsia"/>
          <w:i/>
          <w:iCs/>
          <w:sz w:val="24"/>
          <w:u w:val="single"/>
        </w:rPr>
      </w:pPr>
      <w:r>
        <w:rPr>
          <w:rFonts w:asciiTheme="minorEastAsia" w:hAnsiTheme="minorEastAsia"/>
          <w:i/>
          <w:iCs/>
          <w:sz w:val="24"/>
          <w:u w:val="single"/>
        </w:rPr>
        <w:t xml:space="preserve">2.3.2 </w:t>
      </w:r>
      <w:r>
        <w:rPr>
          <w:rFonts w:hint="eastAsia" w:asciiTheme="minorEastAsia" w:hAnsiTheme="minorEastAsia"/>
          <w:i/>
          <w:iCs/>
          <w:sz w:val="24"/>
          <w:u w:val="single"/>
        </w:rPr>
        <w:t xml:space="preserve">后台管理模块</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承担统一账号、角色、数据范围和初始化等功能，主要使用对象为省、市系统管理员及经授权的县（区）管理员。</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（1）具备开立、启用、停用和口令重置等账号管理功能，禁止多人共用账号。</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（2）角色按监管、经办、机构、评估、审计查询等职责划分，不得授予与岗位无关的导出和全量证件号查看权限，不得授予业务管理员删除日志的权限。</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（3）系统提供组织机构与机构配置、机构能力、数据范围批量授权、平台对接、操作审计、登录日志，以及老人底册、机构清单和补贴测算等初始化导入。</w:t>
      </w:r>
      <w:r/>
    </w:p>
    <w:p>
      <w:pPr>
        <w:ind w:firstLine="480"/>
        <w:spacing w:line="360" w:lineRule="auto"/>
        <w:rPr>
          <w:rFonts w:asciiTheme="minorEastAsia" w:hAnsiTheme="minorEastAsia"/>
          <w:i/>
          <w:iCs/>
          <w:sz w:val="24"/>
          <w:u w:val="single"/>
        </w:rPr>
      </w:pPr>
      <w:r>
        <w:rPr>
          <w:rFonts w:asciiTheme="minorEastAsia" w:hAnsiTheme="minorEastAsia"/>
          <w:i/>
          <w:iCs/>
          <w:sz w:val="24"/>
          <w:u w:val="single"/>
        </w:rPr>
        <w:t xml:space="preserve">2.</w:t>
      </w:r>
      <w:r>
        <w:rPr>
          <w:rFonts w:hint="eastAsia" w:asciiTheme="minorEastAsia" w:hAnsiTheme="minorEastAsia"/>
          <w:i/>
          <w:iCs/>
          <w:sz w:val="24"/>
          <w:u w:val="single"/>
        </w:rPr>
        <w:t xml:space="preserve">3</w:t>
      </w:r>
      <w:r>
        <w:rPr>
          <w:rFonts w:asciiTheme="minorEastAsia" w:hAnsiTheme="minorEastAsia"/>
          <w:i/>
          <w:iCs/>
          <w:sz w:val="24"/>
          <w:u w:val="single"/>
        </w:rPr>
        <w:t xml:space="preserve">.3 </w:t>
      </w:r>
      <w:r>
        <w:rPr>
          <w:rFonts w:hint="eastAsia" w:asciiTheme="minorEastAsia" w:hAnsiTheme="minorEastAsia"/>
          <w:i/>
          <w:iCs/>
          <w:sz w:val="24"/>
          <w:u w:val="single"/>
        </w:rPr>
        <w:t xml:space="preserve">居民用户端</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面向养老服务对象的对外服务入口，主要使用对象为老年人本人及其合法代办人、监护人。</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1）具备生成短时有效的动态个人电子服务码的功能，供到场核验身份与权益；同时保留电话预约、代办和上门帮办等服务功能，代办须留存授权，服务商及其工作人员不得作为代办人；不得将电子服务码作为享受服务的唯一条件。</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2）具备查看补贴政策说明并申领补贴，办理实名核验和档案信息更正，申请和查看能力评估进度，查看一人一档摘要，检索依法可公开的机构目录，申请适老化改造，浏览养老机构并预约入住，浏览社区站点服务项目信息、报名参与社区活动，浏览助餐点菜单、提交订餐，支付相关服务费用，开展服务评价，由家属代办添加老人，查看账户积分、余额、流水并管理账号安全等功能，政府补贴权益余额不得提现、转让或跨事项混用。</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（3）具备按属地与权益展示已上架服务能力，支持分类、比价和预约，由老年人自主选定服务商、项目和时间。</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（4）具备评价与投诉功能，形成服务、评价、整改闭环。</w:t>
      </w:r>
      <w:r/>
    </w:p>
    <w:p>
      <w:pPr>
        <w:ind w:firstLine="480"/>
        <w:spacing w:line="360" w:lineRule="auto"/>
        <w:rPr>
          <w:rFonts w:asciiTheme="minorEastAsia" w:hAnsiTheme="minorEastAsia"/>
          <w:i/>
          <w:iCs/>
          <w:sz w:val="24"/>
          <w:u w:val="single"/>
        </w:rPr>
      </w:pPr>
      <w:r>
        <w:rPr>
          <w:rFonts w:asciiTheme="minorEastAsia" w:hAnsiTheme="minorEastAsia"/>
          <w:i/>
          <w:iCs/>
          <w:sz w:val="24"/>
          <w:u w:val="single"/>
        </w:rPr>
        <w:t xml:space="preserve">2.</w:t>
      </w:r>
      <w:r>
        <w:rPr>
          <w:rFonts w:hint="eastAsia" w:asciiTheme="minorEastAsia" w:hAnsiTheme="minorEastAsia"/>
          <w:i/>
          <w:iCs/>
          <w:sz w:val="24"/>
          <w:u w:val="single"/>
        </w:rPr>
        <w:t xml:space="preserve">3</w:t>
      </w:r>
      <w:r>
        <w:rPr>
          <w:rFonts w:asciiTheme="minorEastAsia" w:hAnsiTheme="minorEastAsia"/>
          <w:i/>
          <w:iCs/>
          <w:sz w:val="24"/>
          <w:u w:val="single"/>
        </w:rPr>
        <w:t xml:space="preserve">.4 </w:t>
      </w:r>
      <w:r>
        <w:rPr>
          <w:rFonts w:hint="eastAsia" w:asciiTheme="minorEastAsia" w:hAnsiTheme="minorEastAsia"/>
          <w:i/>
          <w:iCs/>
          <w:sz w:val="24"/>
          <w:u w:val="single"/>
        </w:rPr>
        <w:t xml:space="preserve">养老机构端</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面向养老机构的入口，形成“一院一档”。主要使用对象为养老机构工作人员。</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1）具备维护机构基础信息，完成地址定位校准，入住、换床、请假、返院、退住、在住核查业务办理；支持院区、房间、床位档案维护管理，可生成运营统计报表；支持人员档案与资质维护，对无健康证明、资质过期人员做上岗登记限制。</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2）支持房间码、床头码的生成、打印、保存等功能；具备护理员账号开通、查看、重置等功能；扫码完成查房打卡或日常服务打卡的相关记录自动写入巡视台账；可配置日常巡视规则，查看巡视情况；可配置额外收费服务项目和标准，所有额外收费服务应扫码纳入系统记录。</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（3）具备护理人员补贴、运营补贴、建设补贴申报功能，申报数据与入住台账、人员资质台账进行勾稽校验。</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（4）具备投诉事项按时报送、整改回复闭环管理。</w:t>
      </w:r>
      <w:r/>
    </w:p>
    <w:p>
      <w:pPr>
        <w:ind w:firstLine="480"/>
        <w:spacing w:line="360" w:lineRule="auto"/>
        <w:rPr>
          <w:rFonts w:asciiTheme="minorEastAsia" w:hAnsiTheme="minorEastAsia"/>
          <w:i/>
          <w:iCs/>
          <w:sz w:val="24"/>
          <w:u w:val="single"/>
        </w:rPr>
      </w:pPr>
      <w:r>
        <w:rPr>
          <w:rFonts w:asciiTheme="minorEastAsia" w:hAnsiTheme="minorEastAsia"/>
          <w:i/>
          <w:iCs/>
          <w:sz w:val="24"/>
          <w:u w:val="single"/>
        </w:rPr>
        <w:t xml:space="preserve">2.3.5</w:t>
      </w:r>
      <w:r>
        <w:rPr>
          <w:rFonts w:hint="eastAsia" w:asciiTheme="minorEastAsia" w:hAnsiTheme="minorEastAsia"/>
          <w:i/>
          <w:iCs/>
          <w:sz w:val="24"/>
          <w:u w:val="single"/>
        </w:rPr>
        <w:t xml:space="preserve"> 养老机构工作人员作业端</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养老机构工作人员移动端作业入口，实现护理员现场查房打卡、日常服务打卡、机构巡检等现场留痕，主要使用对象为养老机构工作人员。</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（1）支持护理员通过扫描床头码、老人信息码、机构内固定位置码等，完成日常查房打卡、巡视等操作记录。</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2）日常服务打卡时需确认入住老人信息以及是否存在异常情况，出现异常时应填写原因或情况说明，并现场留存照片、录音、录像等影音佐证资料；支持勾选对应服务项，选择“其他”类型时必须补充备注信息。</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（3）具备额外收费服务扫码记录功能。</w:t>
      </w:r>
      <w:r/>
    </w:p>
    <w:p>
      <w:pPr>
        <w:ind w:firstLine="480"/>
        <w:spacing w:line="360" w:lineRule="auto"/>
        <w:rPr>
          <w:rFonts w:asciiTheme="minorEastAsia" w:hAnsiTheme="minorEastAsia"/>
          <w:i/>
          <w:iCs/>
          <w:sz w:val="24"/>
          <w:u w:val="single"/>
        </w:rPr>
      </w:pPr>
      <w:r>
        <w:rPr>
          <w:rFonts w:asciiTheme="minorEastAsia" w:hAnsiTheme="minorEastAsia"/>
          <w:i/>
          <w:iCs/>
          <w:sz w:val="24"/>
          <w:u w:val="single"/>
        </w:rPr>
        <w:t xml:space="preserve">2.</w:t>
      </w:r>
      <w:r>
        <w:rPr>
          <w:rFonts w:hint="eastAsia" w:asciiTheme="minorEastAsia" w:hAnsiTheme="minorEastAsia"/>
          <w:i/>
          <w:iCs/>
          <w:sz w:val="24"/>
          <w:u w:val="single"/>
        </w:rPr>
        <w:t xml:space="preserve">3.</w:t>
      </w:r>
      <w:r>
        <w:rPr>
          <w:rFonts w:asciiTheme="minorEastAsia" w:hAnsiTheme="minorEastAsia"/>
          <w:i/>
          <w:iCs/>
          <w:sz w:val="24"/>
          <w:u w:val="single"/>
        </w:rPr>
        <w:t xml:space="preserve">6</w:t>
      </w:r>
      <w:r>
        <w:rPr>
          <w:rFonts w:hint="eastAsia" w:asciiTheme="minorEastAsia" w:hAnsiTheme="minorEastAsia"/>
          <w:i/>
          <w:iCs/>
          <w:sz w:val="24"/>
          <w:u w:val="single"/>
        </w:rPr>
        <w:t xml:space="preserve"> 社区养老服务机构端</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社区养老服务机构运营管理入口，实现对社区站点信息、活动、安全、服务对象统计、补贴申领等功能，主要使用对象为社区养老服务机构工作人员。</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（1）具备对社区养老服务机构信息维护、地址定位校准、社区活动管理、安全管理、补贴申领等功能，可自行配置服务机构的开放时段、服务项目、收费标准、活动限流等。</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（2）提供日间照料服务的，具备扫码确认老年人进入、离开机构时间等功能；提供收费服务的，具备扫码记录收费服务项目、数量等信息能力；支持社区活动发布、报名、签到、归档全流程管理。</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w:t>
      </w:r>
      <w:r>
        <w:rPr>
          <w:rFonts w:asciiTheme="minorEastAsia" w:hAnsiTheme="minorEastAsia"/>
          <w:i/>
          <w:iCs/>
          <w:sz w:val="24"/>
          <w:u w:val="single"/>
        </w:rPr>
        <w:t xml:space="preserve">3</w:t>
      </w:r>
      <w:r>
        <w:rPr>
          <w:rFonts w:hint="eastAsia" w:asciiTheme="minorEastAsia" w:hAnsiTheme="minorEastAsia"/>
          <w:i/>
          <w:iCs/>
          <w:sz w:val="24"/>
          <w:u w:val="single"/>
        </w:rPr>
        <w:t xml:space="preserve">）具备辖区老年人信息维护功能，支持单独录入、批量导入等多种录入方式；支持通过多种方式统计人流信息，场地使用或预定信息，活动实际参与情况等信息，形成相关统计报表；具备查看、回复居民留言、评价信息功能。</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w:t>
      </w:r>
      <w:r>
        <w:rPr>
          <w:rFonts w:asciiTheme="minorEastAsia" w:hAnsiTheme="minorEastAsia"/>
          <w:i/>
          <w:iCs/>
          <w:sz w:val="24"/>
          <w:u w:val="single"/>
        </w:rPr>
        <w:t xml:space="preserve">4</w:t>
      </w:r>
      <w:r>
        <w:rPr>
          <w:rFonts w:hint="eastAsia" w:asciiTheme="minorEastAsia" w:hAnsiTheme="minorEastAsia"/>
          <w:i/>
          <w:iCs/>
          <w:sz w:val="24"/>
          <w:u w:val="single"/>
        </w:rPr>
        <w:t xml:space="preserve">）登记设施设备台账，实现设施报修、维保管理；支持对突发事件的登记管理，可现场记录留存照片、录音、录像等影音资料，并形成专题情况报告；具备投诉事项按时报送、整改回复闭环管理。</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（5）具备运营补贴、建设补贴申报功能，具备申报数据与相关数据进行勾稽校验能力。</w:t>
      </w:r>
      <w:r/>
    </w:p>
    <w:p>
      <w:pPr>
        <w:ind w:firstLine="480"/>
        <w:spacing w:line="360" w:lineRule="auto"/>
        <w:rPr>
          <w:rFonts w:asciiTheme="minorEastAsia" w:hAnsiTheme="minorEastAsia"/>
          <w:i/>
          <w:iCs/>
          <w:sz w:val="24"/>
          <w:u w:val="single"/>
        </w:rPr>
      </w:pPr>
      <w:r>
        <w:rPr>
          <w:rFonts w:asciiTheme="minorEastAsia" w:hAnsiTheme="minorEastAsia"/>
          <w:i/>
          <w:iCs/>
          <w:sz w:val="24"/>
          <w:u w:val="single"/>
        </w:rPr>
        <w:t xml:space="preserve">2.</w:t>
      </w:r>
      <w:r>
        <w:rPr>
          <w:rFonts w:hint="eastAsia" w:asciiTheme="minorEastAsia" w:hAnsiTheme="minorEastAsia"/>
          <w:i/>
          <w:iCs/>
          <w:sz w:val="24"/>
          <w:u w:val="single"/>
        </w:rPr>
        <w:t xml:space="preserve">3</w:t>
      </w:r>
      <w:r>
        <w:rPr>
          <w:rFonts w:asciiTheme="minorEastAsia" w:hAnsiTheme="minorEastAsia"/>
          <w:i/>
          <w:iCs/>
          <w:sz w:val="24"/>
          <w:u w:val="single"/>
        </w:rPr>
        <w:t xml:space="preserve">.7 </w:t>
      </w:r>
      <w:r>
        <w:rPr>
          <w:rFonts w:hint="eastAsia" w:asciiTheme="minorEastAsia" w:hAnsiTheme="minorEastAsia"/>
          <w:i/>
          <w:iCs/>
          <w:sz w:val="24"/>
          <w:u w:val="single"/>
        </w:rPr>
        <w:t xml:space="preserve">老年助餐服务机构端</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面向老年助餐服务主体，实现网点、菜单、订餐就餐、核销结算全流程管理，主要使用对象为老年助餐服务主体管理和服务人员。</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（1）支持老年助餐点档案管理、老年人信息管理、菜单管理、订餐管理、就餐服务、费用支付、补贴结算等功能。</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（2）实现菜品建档、菜单编排、配送设置，向居民端发布菜单；处理居民订餐，完成接单、收款、订单完结处理；记录支付、抵扣信息，汇总就餐核销并生成申报批次，按期提交补贴资金结算申报。</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（3）具备运营补贴、建设补贴申报功能，具备申报数据与相关数据进行勾稽校验能力。</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（4）具备投诉事项按时报送、整改回复闭环管理。</w:t>
      </w:r>
      <w:r/>
    </w:p>
    <w:p>
      <w:pPr>
        <w:ind w:firstLine="480"/>
        <w:spacing w:line="360" w:lineRule="auto"/>
        <w:rPr>
          <w:rFonts w:asciiTheme="minorEastAsia" w:hAnsiTheme="minorEastAsia"/>
          <w:i/>
          <w:iCs/>
          <w:sz w:val="24"/>
          <w:u w:val="single"/>
        </w:rPr>
      </w:pPr>
      <w:r>
        <w:rPr>
          <w:rFonts w:asciiTheme="minorEastAsia" w:hAnsiTheme="minorEastAsia"/>
          <w:i/>
          <w:iCs/>
          <w:sz w:val="24"/>
          <w:u w:val="single"/>
        </w:rPr>
        <w:t xml:space="preserve">2.</w:t>
      </w:r>
      <w:r>
        <w:rPr>
          <w:rFonts w:hint="eastAsia" w:asciiTheme="minorEastAsia" w:hAnsiTheme="minorEastAsia"/>
          <w:i/>
          <w:iCs/>
          <w:sz w:val="24"/>
          <w:u w:val="single"/>
        </w:rPr>
        <w:t xml:space="preserve">3</w:t>
      </w:r>
      <w:r>
        <w:rPr>
          <w:rFonts w:asciiTheme="minorEastAsia" w:hAnsiTheme="minorEastAsia"/>
          <w:i/>
          <w:iCs/>
          <w:sz w:val="24"/>
          <w:u w:val="single"/>
        </w:rPr>
        <w:t xml:space="preserve">.8 </w:t>
      </w:r>
      <w:r>
        <w:rPr>
          <w:rFonts w:hint="eastAsia" w:asciiTheme="minorEastAsia" w:hAnsiTheme="minorEastAsia"/>
          <w:i/>
          <w:iCs/>
          <w:sz w:val="24"/>
          <w:u w:val="single"/>
        </w:rPr>
        <w:t xml:space="preserve">居家养老上门服务机构端</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面向居家养老上门服务主体，实现居家养老上门服务的服务项目上架、工单分派、履约、结算与回访，主要使用对象为居家养老上门服务主体工作人员。</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（1）系统需支撑服务项目上架、接单派工、履约证据留存、结算申报、回访业务。</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2）支持机构参照服务目录创建服务项目，支持按照工单模板采集服务对象基础信息，支持居民自助下单、机构代下单，基于人员资质、服务时段开展派工，系统自动拦截同一服务人员同一时间段多重派单行为。</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（3）具备依托履约证据链、工单详情支撑结算申报；支持异常订单改派、补充履约证据；对当月已核销订单，支持登记企业内部回访结果。</w:t>
      </w:r>
      <w:r/>
    </w:p>
    <w:p>
      <w:pPr>
        <w:ind w:firstLine="480"/>
        <w:spacing w:line="360" w:lineRule="auto"/>
        <w:rPr>
          <w:rFonts w:asciiTheme="minorEastAsia" w:hAnsiTheme="minorEastAsia"/>
          <w:i/>
          <w:iCs/>
          <w:sz w:val="24"/>
          <w:u w:val="single"/>
        </w:rPr>
      </w:pPr>
      <w:r>
        <w:rPr>
          <w:rFonts w:asciiTheme="minorEastAsia" w:hAnsiTheme="minorEastAsia"/>
          <w:i/>
          <w:iCs/>
          <w:sz w:val="24"/>
          <w:u w:val="single"/>
        </w:rPr>
        <w:t xml:space="preserve">2.3.9 </w:t>
      </w:r>
      <w:r>
        <w:rPr>
          <w:rFonts w:hint="eastAsia" w:asciiTheme="minorEastAsia" w:hAnsiTheme="minorEastAsia"/>
          <w:i/>
          <w:iCs/>
          <w:sz w:val="24"/>
          <w:u w:val="single"/>
        </w:rPr>
        <w:t xml:space="preserve">上门服务人员作业端</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面向一线上门服务人员移动端作业工具，完成服务到场核验、现场取证、工单提交等功能，主要使用对象为护理员、助浴员等上门服务人员。</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（1）具备到场核验、现场取证、工单提交等能力，服务起止签到自动记录位置信息，照片、录音、录像等履约影像资料必须为现场拍摄。</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（2）支持服务人员按待服务、进行中、已完成维度查看个人任务，支持查看问题工单，提供本机草稿保存功能。</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3）支持扫描或录入居民电子服务码完成身份、权益核验以及到场签到；支持现场拍摄带时间水印照片作为履约证据；应在服务对象确认后提交方可提交服务完成，未完成现场核验、缺少必要履约证据的，系统禁止提交服务完成。</w:t>
      </w:r>
      <w:r/>
    </w:p>
    <w:p>
      <w:pPr>
        <w:ind w:firstLine="480"/>
        <w:spacing w:line="360" w:lineRule="auto"/>
        <w:rPr>
          <w:rFonts w:asciiTheme="minorEastAsia" w:hAnsiTheme="minorEastAsia"/>
          <w:i/>
          <w:iCs/>
          <w:sz w:val="24"/>
          <w:u w:val="single"/>
        </w:rPr>
      </w:pPr>
      <w:r>
        <w:rPr>
          <w:rFonts w:asciiTheme="minorEastAsia" w:hAnsiTheme="minorEastAsia"/>
          <w:i/>
          <w:iCs/>
          <w:sz w:val="24"/>
          <w:u w:val="single"/>
        </w:rPr>
        <w:t xml:space="preserve">2.</w:t>
      </w:r>
      <w:r>
        <w:rPr>
          <w:rFonts w:hint="eastAsia" w:asciiTheme="minorEastAsia" w:hAnsiTheme="minorEastAsia"/>
          <w:i/>
          <w:iCs/>
          <w:sz w:val="24"/>
          <w:u w:val="single"/>
        </w:rPr>
        <w:t xml:space="preserve">3.</w:t>
      </w:r>
      <w:r>
        <w:rPr>
          <w:rFonts w:asciiTheme="minorEastAsia" w:hAnsiTheme="minorEastAsia"/>
          <w:i/>
          <w:iCs/>
          <w:sz w:val="24"/>
          <w:u w:val="single"/>
        </w:rPr>
        <w:t xml:space="preserve">10</w:t>
      </w:r>
      <w:r>
        <w:rPr>
          <w:rFonts w:hint="eastAsia" w:asciiTheme="minorEastAsia" w:hAnsiTheme="minorEastAsia"/>
          <w:i/>
          <w:iCs/>
          <w:sz w:val="24"/>
          <w:u w:val="single"/>
        </w:rPr>
        <w:t xml:space="preserve"> 能力评估机构端</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面向老年人能力评估机构，实现评估机构与评估员的管理、工单分派、异议复核和质量管控，主要使用对象为老年人能力评估机构管理人员。</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（1）具备能力评估机构信息维护，评估员名册管理、工单分派、质量复核业务等功能，机构证照过期系统自动限制接案权限，未入库评估员不允许承接评估工单；机构无法承接超出服务范围的评估工单。</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（2）支持接收居民申请、相关部门交办的老年人能力评估工单，实现工单签收、退回操作；对评估结果进行初步审核，自动校验回避规则，主评人员与初步审核人员不得为同一人。</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（3）支持预约告知、影像知情同意办理，跟踪现场评估进度；评估异议需重新评估工单，需支持原评估班组回避规则。</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（4）能够出具评估报告并完成电子签章上报，评估结论归档实现服务对象“一人一档”；审核确认后的评估结论，自动推送至服务对象基础库。</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（5）评估结果到期后，自动生成需复评任务，并提交相关部门审核确认是否纳入交办清单。</w:t>
      </w:r>
      <w:r/>
    </w:p>
    <w:p>
      <w:pPr>
        <w:ind w:firstLine="480"/>
        <w:spacing w:line="360" w:lineRule="auto"/>
        <w:rPr>
          <w:rFonts w:asciiTheme="minorEastAsia" w:hAnsiTheme="minorEastAsia"/>
          <w:i/>
          <w:iCs/>
          <w:sz w:val="24"/>
          <w:u w:val="single"/>
        </w:rPr>
      </w:pPr>
      <w:r>
        <w:rPr>
          <w:rFonts w:asciiTheme="minorEastAsia" w:hAnsiTheme="minorEastAsia"/>
          <w:i/>
          <w:iCs/>
          <w:sz w:val="24"/>
          <w:u w:val="single"/>
        </w:rPr>
        <w:t xml:space="preserve">2.</w:t>
      </w:r>
      <w:r>
        <w:rPr>
          <w:rFonts w:hint="eastAsia" w:asciiTheme="minorEastAsia" w:hAnsiTheme="minorEastAsia"/>
          <w:i/>
          <w:iCs/>
          <w:sz w:val="24"/>
          <w:u w:val="single"/>
        </w:rPr>
        <w:t xml:space="preserve">3.</w:t>
      </w:r>
      <w:r>
        <w:rPr>
          <w:rFonts w:asciiTheme="minorEastAsia" w:hAnsiTheme="minorEastAsia"/>
          <w:i/>
          <w:iCs/>
          <w:sz w:val="24"/>
          <w:u w:val="single"/>
        </w:rPr>
        <w:t xml:space="preserve">11</w:t>
      </w:r>
      <w:r>
        <w:rPr>
          <w:rFonts w:hint="eastAsia" w:asciiTheme="minorEastAsia" w:hAnsiTheme="minorEastAsia"/>
          <w:i/>
          <w:iCs/>
          <w:sz w:val="24"/>
          <w:u w:val="single"/>
        </w:rPr>
        <w:t xml:space="preserve"> 能力评估人员作业端</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面向现场持证老年人能力评估人员移动端作业工具，实现现场量表测评、自动计分、双人复核，主要使用对象为开展现场评估和确认复核的评估人员。</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w:t>
      </w:r>
      <w:r>
        <w:rPr>
          <w:rFonts w:asciiTheme="minorEastAsia" w:hAnsiTheme="minorEastAsia"/>
          <w:i/>
          <w:iCs/>
          <w:sz w:val="24"/>
          <w:u w:val="single"/>
        </w:rPr>
        <w:t xml:space="preserve">1</w:t>
      </w:r>
      <w:r>
        <w:rPr>
          <w:rFonts w:hint="eastAsia" w:asciiTheme="minorEastAsia" w:hAnsiTheme="minorEastAsia"/>
          <w:i/>
          <w:iCs/>
          <w:sz w:val="24"/>
          <w:u w:val="single"/>
        </w:rPr>
        <w:t xml:space="preserve">）支持按照标准量表开展现场作答、取证、自动计分、双人确认、服务对象确认等功能。</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（2）支持评估员查看任务，按照量表逐项作答，校验必填项，系统根据选项分值自动汇总得分并给出评估结果，禁止无依据修改评估分数；评估完成，服务对象签字确认后提交评估结果。</w:t>
      </w:r>
      <w:r/>
    </w:p>
    <w:p>
      <w:pPr>
        <w:ind w:firstLine="480"/>
        <w:spacing w:line="360" w:lineRule="auto"/>
        <w:rPr>
          <w:rFonts w:asciiTheme="minorEastAsia" w:hAnsiTheme="minorEastAsia"/>
          <w:i/>
          <w:iCs/>
          <w:sz w:val="24"/>
          <w:u w:val="single"/>
        </w:rPr>
      </w:pPr>
      <w:r>
        <w:rPr>
          <w:rFonts w:hint="eastAsia" w:asciiTheme="minorEastAsia" w:hAnsiTheme="minorEastAsia"/>
          <w:i/>
          <w:iCs/>
          <w:sz w:val="24"/>
          <w:u w:val="single"/>
        </w:rPr>
        <w:t xml:space="preserve">（3）具备由县级统一配置评估量表和评估结果计算规则能力。</w:t>
      </w:r>
      <w:r/>
    </w:p>
    <w:p>
      <w:pPr>
        <w:ind w:firstLine="480"/>
        <w:spacing w:line="360" w:lineRule="auto"/>
        <w:rPr>
          <w:rFonts w:asciiTheme="minorEastAsia" w:hAnsiTheme="minorEastAsia"/>
          <w:sz w:val="24"/>
        </w:rPr>
      </w:pPr>
      <w:r>
        <w:rPr>
          <w:rFonts w:asciiTheme="minorEastAsia" w:hAnsiTheme="minorEastAsia"/>
          <w:sz w:val="24"/>
        </w:rPr>
        <w:t xml:space="preserve">2.</w:t>
      </w:r>
      <w:r>
        <w:rPr>
          <w:rFonts w:hint="eastAsia" w:asciiTheme="minorEastAsia" w:hAnsiTheme="minorEastAsia"/>
          <w:sz w:val="24"/>
        </w:rPr>
        <w:t xml:space="preserve">4</w:t>
      </w:r>
      <w:r>
        <w:rPr>
          <w:rFonts w:asciiTheme="minorEastAsia" w:hAnsiTheme="minorEastAsia"/>
          <w:sz w:val="24"/>
        </w:rPr>
        <w:t xml:space="preserve"> </w:t>
      </w:r>
      <w:r>
        <w:rPr>
          <w:rFonts w:hint="eastAsia" w:asciiTheme="minorEastAsia" w:hAnsiTheme="minorEastAsia"/>
          <w:sz w:val="24"/>
        </w:rPr>
        <w:t xml:space="preserve">运营维护要求</w:t>
      </w:r>
      <w:r/>
    </w:p>
    <w:p>
      <w:pPr>
        <w:ind w:firstLine="480"/>
        <w:spacing w:line="360" w:lineRule="auto"/>
        <w:rPr>
          <w:rFonts w:asciiTheme="minorEastAsia" w:hAnsiTheme="minorEastAsia"/>
          <w:sz w:val="24"/>
        </w:rPr>
      </w:pPr>
      <w:r>
        <w:rPr>
          <w:rFonts w:asciiTheme="minorEastAsia" w:hAnsiTheme="minorEastAsia"/>
          <w:sz w:val="24"/>
        </w:rPr>
        <w:t xml:space="preserve">2.</w:t>
      </w:r>
      <w:r>
        <w:rPr>
          <w:rFonts w:hint="eastAsia" w:asciiTheme="minorEastAsia" w:hAnsiTheme="minorEastAsia"/>
          <w:sz w:val="24"/>
        </w:rPr>
        <w:t xml:space="preserve">4</w:t>
      </w:r>
      <w:r>
        <w:rPr>
          <w:rFonts w:asciiTheme="minorEastAsia" w:hAnsiTheme="minorEastAsia"/>
          <w:sz w:val="24"/>
        </w:rPr>
        <w:t xml:space="preserve">.1 </w:t>
      </w:r>
      <w:r>
        <w:rPr>
          <w:rFonts w:hint="eastAsia" w:asciiTheme="minorEastAsia" w:hAnsiTheme="minorEastAsia"/>
          <w:sz w:val="24"/>
        </w:rPr>
        <w:t xml:space="preserve">系统日常维护</w:t>
      </w:r>
      <w:r/>
    </w:p>
    <w:p>
      <w:pPr>
        <w:ind w:firstLine="480"/>
        <w:spacing w:line="360" w:lineRule="auto"/>
        <w:rPr>
          <w:rFonts w:asciiTheme="minorEastAsia" w:hAnsiTheme="minorEastAsia"/>
          <w:sz w:val="24"/>
        </w:rPr>
      </w:pPr>
      <w:r>
        <w:rPr>
          <w:rFonts w:hint="eastAsia" w:asciiTheme="minorEastAsia" w:hAnsiTheme="minorEastAsia"/>
          <w:sz w:val="24"/>
        </w:rPr>
        <w:t xml:space="preserve">根据业务需求、时间推进等因素对养老服务智慧综合监管平台（连云港节点）进行功能完善和日常维护。负责平台运行问题收集反馈，及时妥善处理平台运行出现的技术问题，确保平台正常运行。</w:t>
      </w:r>
      <w:r/>
    </w:p>
    <w:p>
      <w:pPr>
        <w:ind w:firstLine="480"/>
        <w:spacing w:line="360" w:lineRule="auto"/>
        <w:rPr>
          <w:rFonts w:asciiTheme="minorEastAsia" w:hAnsiTheme="minorEastAsia"/>
          <w:sz w:val="24"/>
        </w:rPr>
      </w:pPr>
      <w:r>
        <w:rPr>
          <w:rFonts w:asciiTheme="minorEastAsia" w:hAnsiTheme="minorEastAsia"/>
          <w:sz w:val="24"/>
        </w:rPr>
        <w:t xml:space="preserve">2.</w:t>
      </w:r>
      <w:r>
        <w:rPr>
          <w:rFonts w:hint="eastAsia" w:asciiTheme="minorEastAsia" w:hAnsiTheme="minorEastAsia"/>
          <w:sz w:val="24"/>
        </w:rPr>
        <w:t xml:space="preserve">4</w:t>
      </w:r>
      <w:r>
        <w:rPr>
          <w:rFonts w:asciiTheme="minorEastAsia" w:hAnsiTheme="minorEastAsia"/>
          <w:sz w:val="24"/>
        </w:rPr>
        <w:t xml:space="preserve">.2 </w:t>
      </w:r>
      <w:r>
        <w:rPr>
          <w:rFonts w:hint="eastAsia" w:asciiTheme="minorEastAsia" w:hAnsiTheme="minorEastAsia"/>
          <w:sz w:val="24"/>
        </w:rPr>
        <w:t xml:space="preserve">系统运行监管</w:t>
      </w:r>
      <w:r/>
    </w:p>
    <w:p>
      <w:pPr>
        <w:ind w:firstLine="480"/>
        <w:spacing w:line="360" w:lineRule="auto"/>
        <w:rPr>
          <w:rFonts w:asciiTheme="minorEastAsia" w:hAnsiTheme="minorEastAsia"/>
          <w:sz w:val="24"/>
        </w:rPr>
      </w:pPr>
      <w:r>
        <w:rPr>
          <w:rFonts w:hint="eastAsia" w:asciiTheme="minorEastAsia" w:hAnsiTheme="minorEastAsia"/>
          <w:sz w:val="24"/>
        </w:rPr>
        <w:t xml:space="preserve">对养老机构、社区养老服务机构、老年助餐服务机构、居家养老上门服务机构、老年人能力评估机构的相关数据进行监控和统计分析，及时发现并上报异常数据信息。</w:t>
      </w:r>
      <w:r/>
    </w:p>
    <w:p>
      <w:pPr>
        <w:ind w:firstLine="480"/>
        <w:spacing w:line="360" w:lineRule="auto"/>
        <w:rPr>
          <w:rFonts w:asciiTheme="minorEastAsia" w:hAnsiTheme="minorEastAsia"/>
          <w:sz w:val="24"/>
        </w:rPr>
      </w:pPr>
      <w:r>
        <w:rPr>
          <w:rFonts w:asciiTheme="minorEastAsia" w:hAnsiTheme="minorEastAsia"/>
          <w:sz w:val="24"/>
        </w:rPr>
        <w:t xml:space="preserve">2.</w:t>
      </w:r>
      <w:r>
        <w:rPr>
          <w:rFonts w:hint="eastAsia" w:asciiTheme="minorEastAsia" w:hAnsiTheme="minorEastAsia"/>
          <w:sz w:val="24"/>
        </w:rPr>
        <w:t xml:space="preserve">4</w:t>
      </w:r>
      <w:r>
        <w:rPr>
          <w:rFonts w:asciiTheme="minorEastAsia" w:hAnsiTheme="minorEastAsia"/>
          <w:sz w:val="24"/>
        </w:rPr>
        <w:t xml:space="preserve">.3 </w:t>
      </w:r>
      <w:r>
        <w:rPr>
          <w:rFonts w:hint="eastAsia" w:asciiTheme="minorEastAsia" w:hAnsiTheme="minorEastAsia"/>
          <w:sz w:val="24"/>
        </w:rPr>
        <w:t xml:space="preserve">网络安全等级评估</w:t>
      </w:r>
      <w:r/>
    </w:p>
    <w:p>
      <w:pPr>
        <w:ind w:firstLine="480"/>
        <w:spacing w:line="360" w:lineRule="auto"/>
        <w:rPr>
          <w:rFonts w:asciiTheme="minorEastAsia" w:hAnsiTheme="minorEastAsia"/>
          <w:sz w:val="24"/>
        </w:rPr>
      </w:pPr>
      <w:r>
        <w:rPr>
          <w:rFonts w:hint="eastAsia" w:asciiTheme="minorEastAsia" w:hAnsiTheme="minorEastAsia"/>
          <w:sz w:val="24"/>
        </w:rPr>
        <w:t xml:space="preserve">不断完善网络安全保护措施，按照网络安全等级三级的标准聘请具备资质的专业机构进行网络安全等级保护测评，确保信息安全。</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80"/>
        <w:spacing w:line="360" w:lineRule="auto"/>
        <w:rPr>
          <w:sz w:val="24"/>
        </w:rPr>
      </w:pPr>
      <w:r>
        <w:rPr>
          <w:rFonts w:hint="eastAsia"/>
          <w:sz w:val="24"/>
        </w:rPr>
        <w:t xml:space="preserve">3</w:t>
      </w:r>
      <w:r>
        <w:rPr>
          <w:sz w:val="24"/>
        </w:rPr>
        <w:t xml:space="preserve">.1 </w:t>
      </w:r>
      <w:r>
        <w:rPr>
          <w:rFonts w:hint="eastAsia"/>
          <w:sz w:val="24"/>
        </w:rPr>
        <w:t xml:space="preserve">本项目须派驻项目团队成员不少于5名，包括项目负责人1名，项目组成员不少于4名（包含架构开发、后端开发、前端开发、测试、数据治理、实施运维相关岗位）。</w:t>
      </w:r>
      <w:r/>
    </w:p>
    <w:p>
      <w:pPr>
        <w:ind w:firstLine="480"/>
        <w:spacing w:line="360" w:lineRule="auto"/>
        <w:rPr>
          <w:sz w:val="24"/>
        </w:rPr>
      </w:pPr>
      <w:r>
        <w:rPr>
          <w:rFonts w:hint="eastAsia"/>
          <w:sz w:val="24"/>
        </w:rPr>
        <w:t xml:space="preserve">3</w:t>
      </w:r>
      <w:r>
        <w:rPr>
          <w:sz w:val="24"/>
        </w:rPr>
        <w:t xml:space="preserve">.2 </w:t>
      </w:r>
      <w:r>
        <w:rPr>
          <w:rFonts w:hint="eastAsia"/>
          <w:sz w:val="24"/>
        </w:rPr>
        <w:t xml:space="preserve">项目负责人具备政务信息化项目管理经验，统筹需求对接、进度管控、对内对外接口协调，全程驻场开展关键阶段工作；团队配备开发工程师、数据治理工程师、测试工程师、实施培训工程师，分项确定具体负责人员；全部项目人员须具备完成本项目所需技术能力，熟悉民政养老业务、政务平台开发、信创适配、数据对接治理相关工作。</w:t>
      </w:r>
      <w:r/>
    </w:p>
    <w:p>
      <w:pPr>
        <w:ind w:firstLine="480"/>
        <w:spacing w:line="360" w:lineRule="auto"/>
        <w:rPr>
          <w:sz w:val="24"/>
        </w:rPr>
      </w:pPr>
      <w:r>
        <w:rPr>
          <w:rFonts w:hint="eastAsia"/>
          <w:sz w:val="24"/>
        </w:rPr>
        <w:t xml:space="preserve">3</w:t>
      </w:r>
      <w:r>
        <w:rPr>
          <w:sz w:val="24"/>
        </w:rPr>
        <w:t xml:space="preserve">.3 </w:t>
      </w:r>
      <w:r>
        <w:rPr>
          <w:rFonts w:hint="eastAsia"/>
          <w:sz w:val="24"/>
        </w:rPr>
        <w:t xml:space="preserve">项目实施周期内核心人员更换必须提前向采购人书面报备，未经采购人书面同意不得随意更换项目核心人员；</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四、服务期限与项目进度安排</w:t>
      </w:r>
      <w:r/>
    </w:p>
    <w:p>
      <w:pPr>
        <w:ind w:firstLine="480"/>
        <w:spacing w:line="360" w:lineRule="auto"/>
        <w:rPr>
          <w:rFonts w:asciiTheme="minorEastAsia" w:hAnsiTheme="minorEastAsia"/>
          <w:i/>
          <w:iCs/>
          <w:sz w:val="24"/>
          <w:u w:val="single"/>
        </w:rPr>
      </w:pPr>
      <w:r>
        <w:rPr>
          <w:rFonts w:asciiTheme="minorEastAsia" w:hAnsiTheme="minorEastAsia"/>
          <w:i/>
          <w:iCs/>
          <w:sz w:val="24"/>
          <w:u w:val="single"/>
        </w:rPr>
        <w:t xml:space="preserve">4.</w:t>
      </w:r>
      <w:r>
        <w:rPr>
          <w:rFonts w:hint="eastAsia" w:asciiTheme="minorEastAsia" w:hAnsiTheme="minorEastAsia"/>
          <w:i/>
          <w:iCs/>
          <w:sz w:val="24"/>
          <w:u w:val="single"/>
        </w:rPr>
        <w:t xml:space="preserve">1</w:t>
      </w:r>
      <w:r>
        <w:rPr>
          <w:rFonts w:asciiTheme="minorEastAsia" w:hAnsiTheme="minorEastAsia"/>
          <w:i/>
          <w:iCs/>
          <w:sz w:val="24"/>
          <w:u w:val="single"/>
        </w:rPr>
        <w:t xml:space="preserve"> </w:t>
      </w:r>
      <w:r>
        <w:rPr>
          <w:rFonts w:hint="eastAsia" w:asciiTheme="minorEastAsia" w:hAnsiTheme="minorEastAsia"/>
          <w:i/>
          <w:iCs/>
          <w:sz w:val="24"/>
          <w:u w:val="single"/>
        </w:rPr>
        <w:t xml:space="preserve">总服务（合同履行）期限：180日历天，自合同签订之日起计算。</w:t>
      </w:r>
      <w:r/>
    </w:p>
    <w:p>
      <w:pPr>
        <w:ind w:firstLine="480"/>
        <w:spacing w:line="360" w:lineRule="auto"/>
        <w:rPr>
          <w:rFonts w:asciiTheme="minorEastAsia" w:hAnsiTheme="minorEastAsia"/>
          <w:i/>
          <w:iCs/>
          <w:sz w:val="24"/>
          <w:u w:val="single"/>
        </w:rPr>
      </w:pPr>
      <w:r>
        <w:rPr>
          <w:rFonts w:asciiTheme="minorEastAsia" w:hAnsiTheme="minorEastAsia"/>
          <w:i/>
          <w:iCs/>
          <w:sz w:val="24"/>
          <w:u w:val="single"/>
        </w:rPr>
        <w:t xml:space="preserve">4.</w:t>
      </w:r>
      <w:r>
        <w:rPr>
          <w:rFonts w:hint="eastAsia" w:asciiTheme="minorEastAsia" w:hAnsiTheme="minorEastAsia"/>
          <w:i/>
          <w:iCs/>
          <w:sz w:val="24"/>
          <w:u w:val="single"/>
        </w:rPr>
        <w:t xml:space="preserve">2</w:t>
      </w:r>
      <w:r>
        <w:rPr>
          <w:rFonts w:asciiTheme="minorEastAsia" w:hAnsiTheme="minorEastAsia"/>
          <w:i/>
          <w:iCs/>
          <w:sz w:val="24"/>
          <w:u w:val="single"/>
        </w:rPr>
        <w:t xml:space="preserve"> </w:t>
      </w:r>
      <w:r>
        <w:rPr>
          <w:rFonts w:hint="eastAsia" w:asciiTheme="minorEastAsia" w:hAnsiTheme="minorEastAsia"/>
          <w:i/>
          <w:iCs/>
          <w:sz w:val="24"/>
          <w:u w:val="single"/>
        </w:rPr>
        <w:t xml:space="preserve">进度要求：自合同签订起3</w:t>
      </w:r>
      <w:r>
        <w:rPr>
          <w:rFonts w:asciiTheme="minorEastAsia" w:hAnsiTheme="minorEastAsia"/>
          <w:i/>
          <w:iCs/>
          <w:sz w:val="24"/>
          <w:u w:val="single"/>
        </w:rPr>
        <w:t xml:space="preserve">0</w:t>
      </w:r>
      <w:r>
        <w:rPr>
          <w:rFonts w:hint="eastAsia" w:asciiTheme="minorEastAsia" w:hAnsiTheme="minorEastAsia"/>
          <w:i/>
          <w:iCs/>
          <w:sz w:val="24"/>
          <w:u w:val="single"/>
        </w:rPr>
        <w:t xml:space="preserve">个日历日，完成需求确认、系统总体方案设计、主要库表和接口设计，梳理试运行数据目录；6</w:t>
      </w:r>
      <w:r>
        <w:rPr>
          <w:rFonts w:asciiTheme="minorEastAsia" w:hAnsiTheme="minorEastAsia"/>
          <w:i/>
          <w:iCs/>
          <w:sz w:val="24"/>
          <w:u w:val="single"/>
        </w:rPr>
        <w:t xml:space="preserve">0</w:t>
      </w:r>
      <w:r>
        <w:rPr>
          <w:rFonts w:hint="eastAsia" w:asciiTheme="minorEastAsia" w:hAnsiTheme="minorEastAsia"/>
          <w:i/>
          <w:iCs/>
          <w:sz w:val="24"/>
          <w:u w:val="single"/>
        </w:rPr>
        <w:t xml:space="preserve">个日历日，完成归集数据收集整理，主体程序开发；9</w:t>
      </w:r>
      <w:r>
        <w:rPr>
          <w:rFonts w:asciiTheme="minorEastAsia" w:hAnsiTheme="minorEastAsia"/>
          <w:i/>
          <w:iCs/>
          <w:sz w:val="24"/>
          <w:u w:val="single"/>
        </w:rPr>
        <w:t xml:space="preserve">0</w:t>
      </w:r>
      <w:r>
        <w:rPr>
          <w:rFonts w:hint="eastAsia" w:asciiTheme="minorEastAsia" w:hAnsiTheme="minorEastAsia"/>
          <w:i/>
          <w:iCs/>
          <w:sz w:val="24"/>
          <w:u w:val="single"/>
        </w:rPr>
        <w:t xml:space="preserve">个日历日，完成系统联调、系统部署、安全测试、分批培训，开始上线试运行；1</w:t>
      </w:r>
      <w:r>
        <w:rPr>
          <w:rFonts w:asciiTheme="minorEastAsia" w:hAnsiTheme="minorEastAsia"/>
          <w:i/>
          <w:iCs/>
          <w:sz w:val="24"/>
          <w:u w:val="single"/>
        </w:rPr>
        <w:t xml:space="preserve">80</w:t>
      </w:r>
      <w:r>
        <w:rPr>
          <w:rFonts w:hint="eastAsia" w:asciiTheme="minorEastAsia" w:hAnsiTheme="minorEastAsia"/>
          <w:i/>
          <w:iCs/>
          <w:sz w:val="24"/>
          <w:u w:val="single"/>
        </w:rPr>
        <w:t xml:space="preserve">个日历日，完成试运行、系统功能完善、文档交付、整体验收。</w:t>
      </w:r>
      <w:r/>
    </w:p>
    <w:p>
      <w:pPr>
        <w:ind w:firstLine="480"/>
        <w:spacing w:line="360" w:lineRule="auto"/>
        <w:rPr>
          <w:rFonts w:asciiTheme="minorEastAsia" w:hAnsiTheme="minorEastAsia"/>
          <w:sz w:val="24"/>
        </w:rPr>
      </w:pPr>
      <w:r>
        <w:rPr>
          <w:rFonts w:asciiTheme="minorEastAsia" w:hAnsiTheme="minorEastAsia"/>
          <w:sz w:val="24"/>
        </w:rPr>
        <w:t xml:space="preserve">4.</w:t>
      </w:r>
      <w:r>
        <w:rPr>
          <w:rFonts w:hint="eastAsia" w:asciiTheme="minorEastAsia" w:hAnsiTheme="minorEastAsia"/>
          <w:sz w:val="24"/>
        </w:rPr>
        <w:t xml:space="preserve">3</w:t>
      </w:r>
      <w:r>
        <w:rPr>
          <w:rFonts w:hint="eastAsia"/>
        </w:rPr>
        <w:t xml:space="preserve"> </w:t>
      </w:r>
      <w:r>
        <w:rPr>
          <w:rFonts w:hint="eastAsia" w:asciiTheme="minorEastAsia" w:hAnsiTheme="minorEastAsia"/>
          <w:sz w:val="24"/>
        </w:rPr>
        <w:t xml:space="preserve">如因采购人业务需求变更，经双方书面确认后可合理调整工期。</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五、成果要求</w:t>
      </w:r>
      <w:r/>
    </w:p>
    <w:p>
      <w:pPr>
        <w:ind w:firstLine="480"/>
        <w:spacing w:line="360" w:lineRule="auto"/>
        <w:rPr>
          <w:rFonts w:asciiTheme="minorEastAsia" w:hAnsiTheme="minorEastAsia"/>
          <w:sz w:val="24"/>
        </w:rPr>
      </w:pPr>
      <w:r>
        <w:rPr>
          <w:rFonts w:asciiTheme="minorEastAsia" w:hAnsiTheme="minorEastAsia"/>
          <w:sz w:val="24"/>
        </w:rPr>
        <w:t xml:space="preserve">5.</w:t>
      </w:r>
      <w:r>
        <w:rPr>
          <w:rFonts w:hint="eastAsia" w:asciiTheme="minorEastAsia" w:hAnsiTheme="minorEastAsia"/>
          <w:sz w:val="24"/>
        </w:rPr>
        <w:t xml:space="preserve">1</w:t>
      </w:r>
      <w:r>
        <w:rPr>
          <w:rFonts w:asciiTheme="minorEastAsia" w:hAnsiTheme="minorEastAsia"/>
          <w:sz w:val="24"/>
        </w:rPr>
        <w:t xml:space="preserve"> </w:t>
      </w:r>
      <w:r>
        <w:rPr>
          <w:rFonts w:hint="eastAsia" w:asciiTheme="minorEastAsia" w:hAnsiTheme="minorEastAsia"/>
          <w:sz w:val="24"/>
        </w:rPr>
        <w:t xml:space="preserve">交付成果清单</w:t>
      </w:r>
      <w:r/>
    </w:p>
    <w:p>
      <w:pPr>
        <w:ind w:firstLine="480"/>
        <w:spacing w:line="360" w:lineRule="auto"/>
        <w:rPr>
          <w:rFonts w:asciiTheme="minorEastAsia" w:hAnsiTheme="minorEastAsia"/>
          <w:sz w:val="24"/>
        </w:rPr>
      </w:pPr>
      <w:r>
        <w:rPr>
          <w:rFonts w:asciiTheme="minorEastAsia" w:hAnsiTheme="minorEastAsia"/>
          <w:sz w:val="24"/>
        </w:rPr>
        <w:t xml:space="preserve">5.1.1 </w:t>
      </w:r>
      <w:r>
        <w:rPr>
          <w:rFonts w:hint="eastAsia" w:asciiTheme="minorEastAsia" w:hAnsiTheme="minorEastAsia"/>
          <w:sz w:val="24"/>
        </w:rPr>
        <w:t xml:space="preserve">软件成果：全套可部署系统程序、完整可编译源代码、数据库脚本、第三方开源组件清单及合规说明。</w:t>
      </w:r>
      <w:r/>
    </w:p>
    <w:p>
      <w:pPr>
        <w:ind w:firstLine="480"/>
        <w:spacing w:line="360" w:lineRule="auto"/>
        <w:rPr>
          <w:rFonts w:asciiTheme="minorEastAsia" w:hAnsiTheme="minorEastAsia"/>
          <w:sz w:val="24"/>
        </w:rPr>
      </w:pPr>
      <w:r>
        <w:rPr>
          <w:rFonts w:asciiTheme="minorEastAsia" w:hAnsiTheme="minorEastAsia"/>
          <w:sz w:val="24"/>
        </w:rPr>
        <w:t xml:space="preserve">5.1.2 </w:t>
      </w:r>
      <w:r>
        <w:rPr>
          <w:rFonts w:hint="eastAsia" w:asciiTheme="minorEastAsia" w:hAnsiTheme="minorEastAsia"/>
          <w:sz w:val="24"/>
        </w:rPr>
        <w:t xml:space="preserve">技术文档：需求规格说明书、概要设计、详细设计、数据库设计文档、接口文档、测试报告。</w:t>
      </w:r>
      <w:r/>
    </w:p>
    <w:p>
      <w:pPr>
        <w:ind w:firstLine="480"/>
        <w:spacing w:line="360" w:lineRule="auto"/>
        <w:rPr>
          <w:rFonts w:asciiTheme="minorEastAsia" w:hAnsiTheme="minorEastAsia"/>
          <w:sz w:val="24"/>
        </w:rPr>
      </w:pPr>
      <w:r>
        <w:rPr>
          <w:rFonts w:asciiTheme="minorEastAsia" w:hAnsiTheme="minorEastAsia"/>
          <w:sz w:val="24"/>
        </w:rPr>
        <w:t xml:space="preserve">5.1.</w:t>
      </w:r>
      <w:r>
        <w:rPr>
          <w:rFonts w:hint="eastAsia" w:asciiTheme="minorEastAsia" w:hAnsiTheme="minorEastAsia"/>
          <w:sz w:val="24"/>
        </w:rPr>
        <w:t xml:space="preserve">3</w:t>
      </w:r>
      <w:r>
        <w:rPr>
          <w:rFonts w:asciiTheme="minorEastAsia" w:hAnsiTheme="minorEastAsia"/>
          <w:sz w:val="24"/>
        </w:rPr>
        <w:t xml:space="preserve"> </w:t>
      </w:r>
      <w:r>
        <w:rPr>
          <w:rFonts w:hint="eastAsia" w:asciiTheme="minorEastAsia" w:hAnsiTheme="minorEastAsia"/>
          <w:sz w:val="24"/>
        </w:rPr>
        <w:t xml:space="preserve">用户文档：部署手册、系统运维手册、管理员手册、各角色用户操作手册、培训课件。</w:t>
      </w:r>
      <w:r/>
    </w:p>
    <w:p>
      <w:pPr>
        <w:ind w:firstLine="480"/>
        <w:spacing w:line="360" w:lineRule="auto"/>
        <w:rPr>
          <w:rFonts w:asciiTheme="minorEastAsia" w:hAnsiTheme="minorEastAsia"/>
          <w:sz w:val="24"/>
        </w:rPr>
      </w:pPr>
      <w:r>
        <w:rPr>
          <w:rFonts w:asciiTheme="minorEastAsia" w:hAnsiTheme="minorEastAsia"/>
          <w:sz w:val="24"/>
        </w:rPr>
        <w:t xml:space="preserve">5.1.</w:t>
      </w:r>
      <w:r>
        <w:rPr>
          <w:rFonts w:hint="eastAsia" w:asciiTheme="minorEastAsia" w:hAnsiTheme="minorEastAsia"/>
          <w:sz w:val="24"/>
        </w:rPr>
        <w:t xml:space="preserve">4</w:t>
      </w:r>
      <w:r>
        <w:rPr>
          <w:rFonts w:asciiTheme="minorEastAsia" w:hAnsiTheme="minorEastAsia"/>
          <w:sz w:val="24"/>
        </w:rPr>
        <w:t xml:space="preserve"> </w:t>
      </w:r>
      <w:r>
        <w:rPr>
          <w:rFonts w:hint="eastAsia" w:asciiTheme="minorEastAsia" w:hAnsiTheme="minorEastAsia"/>
          <w:sz w:val="24"/>
        </w:rPr>
        <w:t xml:space="preserve">过程成果：需求确认纪要、评审记录、问题台账、试运行报告等。</w:t>
      </w:r>
      <w:r/>
    </w:p>
    <w:p>
      <w:pPr>
        <w:ind w:firstLine="480"/>
        <w:spacing w:line="360" w:lineRule="auto"/>
        <w:rPr>
          <w:rFonts w:asciiTheme="minorEastAsia" w:hAnsiTheme="minorEastAsia"/>
          <w:sz w:val="24"/>
        </w:rPr>
      </w:pPr>
      <w:r>
        <w:rPr>
          <w:rFonts w:hint="eastAsia" w:asciiTheme="minorEastAsia" w:hAnsiTheme="minorEastAsia"/>
          <w:sz w:val="24"/>
        </w:rPr>
        <w:t xml:space="preserve">5.2 执行标准</w:t>
      </w:r>
      <w:r/>
    </w:p>
    <w:p>
      <w:pPr>
        <w:ind w:firstLine="480"/>
        <w:spacing w:line="360" w:lineRule="auto"/>
        <w:rPr>
          <w:rFonts w:asciiTheme="minorEastAsia" w:hAnsiTheme="minorEastAsia"/>
          <w:sz w:val="24"/>
        </w:rPr>
      </w:pPr>
      <w:r>
        <w:rPr>
          <w:rFonts w:hint="eastAsia" w:asciiTheme="minorEastAsia" w:hAnsiTheme="minorEastAsia"/>
          <w:sz w:val="24"/>
        </w:rPr>
        <w:t xml:space="preserve">GB/T 22239-2019《信息安全技术 网络安全等级保护基本要求》</w:t>
      </w:r>
      <w:r/>
    </w:p>
    <w:p>
      <w:pPr>
        <w:ind w:firstLine="480"/>
        <w:spacing w:line="360" w:lineRule="auto"/>
        <w:rPr>
          <w:rFonts w:asciiTheme="minorEastAsia" w:hAnsiTheme="minorEastAsia"/>
          <w:sz w:val="24"/>
        </w:rPr>
      </w:pPr>
      <w:r>
        <w:rPr>
          <w:rFonts w:hint="eastAsia" w:asciiTheme="minorEastAsia" w:hAnsiTheme="minorEastAsia"/>
          <w:sz w:val="24"/>
        </w:rPr>
        <w:t xml:space="preserve">GB/T 39786-2021《信息安全技术 信息系统密码应用基本要求》</w:t>
      </w:r>
      <w:r/>
    </w:p>
    <w:p>
      <w:pPr>
        <w:ind w:firstLine="480"/>
        <w:spacing w:line="360" w:lineRule="auto"/>
        <w:rPr>
          <w:rFonts w:asciiTheme="minorEastAsia" w:hAnsiTheme="minorEastAsia"/>
          <w:sz w:val="24"/>
        </w:rPr>
      </w:pPr>
      <w:r>
        <w:rPr>
          <w:rFonts w:hint="eastAsia" w:asciiTheme="minorEastAsia" w:hAnsiTheme="minorEastAsia"/>
          <w:sz w:val="24"/>
        </w:rPr>
        <w:t xml:space="preserve">《连云港市政务信息化项目建设网络安全管理规定》</w:t>
      </w:r>
      <w:r/>
    </w:p>
    <w:p>
      <w:pPr>
        <w:ind w:firstLine="480"/>
        <w:spacing w:line="360" w:lineRule="auto"/>
        <w:rPr>
          <w:rFonts w:asciiTheme="minorEastAsia" w:hAnsiTheme="minorEastAsia"/>
          <w:sz w:val="24"/>
        </w:rPr>
      </w:pPr>
      <w:r>
        <w:rPr>
          <w:rFonts w:hint="eastAsia" w:asciiTheme="minorEastAsia" w:hAnsiTheme="minorEastAsia"/>
          <w:sz w:val="24"/>
        </w:rPr>
        <w:t xml:space="preserve">其他网络安全等级保护三级、信创产品适配标准、江苏省民政养老信息化相关规范、国家政务信息化建设相关标准。</w:t>
      </w:r>
      <w:r/>
    </w:p>
    <w:p>
      <w:pPr>
        <w:ind w:firstLine="480"/>
        <w:jc w:val="left"/>
        <w:spacing w:line="360" w:lineRule="auto"/>
        <w:rPr>
          <w:rFonts w:asciiTheme="minorEastAsia" w:hAnsiTheme="minorEastAsia"/>
          <w:sz w:val="24"/>
        </w:rPr>
      </w:pPr>
      <w:r>
        <w:rPr>
          <w:rFonts w:hint="eastAsia" w:ascii="宋体" w:hAnsi="宋体" w:cs="宋体"/>
          <w:sz w:val="24"/>
          <w:szCs w:val="24"/>
        </w:rPr>
        <w:t xml:space="preserve">上述标准若有更新，请执行最新标准。</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六、培训要求</w:t>
      </w:r>
      <w:r/>
    </w:p>
    <w:p>
      <w:pPr>
        <w:ind w:firstLine="480"/>
        <w:spacing w:line="360" w:lineRule="auto"/>
        <w:rPr>
          <w:rFonts w:asciiTheme="minorEastAsia" w:hAnsiTheme="minorEastAsia"/>
          <w:sz w:val="24"/>
        </w:rPr>
      </w:pPr>
      <w:r>
        <w:rPr>
          <w:rFonts w:asciiTheme="minorEastAsia" w:hAnsiTheme="minorEastAsia"/>
          <w:sz w:val="24"/>
        </w:rPr>
        <w:t xml:space="preserve">6.</w:t>
      </w:r>
      <w:r>
        <w:rPr>
          <w:rFonts w:hint="eastAsia" w:asciiTheme="minorEastAsia" w:hAnsiTheme="minorEastAsia"/>
          <w:sz w:val="24"/>
        </w:rPr>
        <w:t xml:space="preserve">1</w:t>
      </w:r>
      <w:r>
        <w:rPr>
          <w:rFonts w:asciiTheme="minorEastAsia" w:hAnsiTheme="minorEastAsia"/>
          <w:sz w:val="24"/>
        </w:rPr>
        <w:t xml:space="preserve"> </w:t>
      </w:r>
      <w:r>
        <w:rPr>
          <w:rFonts w:hint="eastAsia" w:asciiTheme="minorEastAsia" w:hAnsiTheme="minorEastAsia"/>
          <w:sz w:val="24"/>
        </w:rPr>
        <w:t xml:space="preserve">培训对象：市、县（区）、乡镇（街道）民政工作人员；养老机构、社区养老服务机构、老年助餐服务机构、居家养老上门服务机构、老年人能力评估机构业务操作人员；系统管理员。</w:t>
      </w:r>
      <w:r/>
    </w:p>
    <w:p>
      <w:pPr>
        <w:ind w:firstLine="480"/>
        <w:spacing w:line="360" w:lineRule="auto"/>
        <w:rPr>
          <w:rFonts w:asciiTheme="minorEastAsia" w:hAnsiTheme="minorEastAsia"/>
          <w:sz w:val="24"/>
        </w:rPr>
      </w:pPr>
      <w:r>
        <w:rPr>
          <w:rFonts w:asciiTheme="minorEastAsia" w:hAnsiTheme="minorEastAsia"/>
          <w:sz w:val="24"/>
        </w:rPr>
        <w:t xml:space="preserve">6.</w:t>
      </w:r>
      <w:r>
        <w:rPr>
          <w:rFonts w:hint="eastAsia" w:asciiTheme="minorEastAsia" w:hAnsiTheme="minorEastAsia"/>
          <w:sz w:val="24"/>
        </w:rPr>
        <w:t xml:space="preserve">2</w:t>
      </w:r>
      <w:r>
        <w:rPr>
          <w:rFonts w:asciiTheme="minorEastAsia" w:hAnsiTheme="minorEastAsia"/>
          <w:sz w:val="24"/>
        </w:rPr>
        <w:t xml:space="preserve"> </w:t>
      </w:r>
      <w:r>
        <w:rPr>
          <w:rFonts w:hint="eastAsia" w:asciiTheme="minorEastAsia" w:hAnsiTheme="minorEastAsia"/>
          <w:sz w:val="24"/>
        </w:rPr>
        <w:t xml:space="preserve">培训形式：集中现场培训、分批次专项培训、一对一实操指导；提供培训课件、操作视频。</w:t>
      </w:r>
      <w:r/>
    </w:p>
    <w:p>
      <w:pPr>
        <w:ind w:firstLine="480"/>
        <w:spacing w:line="360" w:lineRule="auto"/>
        <w:rPr>
          <w:rFonts w:asciiTheme="minorEastAsia" w:hAnsiTheme="minorEastAsia"/>
          <w:sz w:val="24"/>
        </w:rPr>
      </w:pPr>
      <w:r>
        <w:rPr>
          <w:rFonts w:asciiTheme="minorEastAsia" w:hAnsiTheme="minorEastAsia"/>
          <w:sz w:val="24"/>
        </w:rPr>
        <w:t xml:space="preserve">6.</w:t>
      </w:r>
      <w:r>
        <w:rPr>
          <w:rFonts w:hint="eastAsia" w:asciiTheme="minorEastAsia" w:hAnsiTheme="minorEastAsia"/>
          <w:sz w:val="24"/>
        </w:rPr>
        <w:t xml:space="preserve">3</w:t>
      </w:r>
      <w:r>
        <w:rPr>
          <w:rFonts w:asciiTheme="minorEastAsia" w:hAnsiTheme="minorEastAsia"/>
          <w:sz w:val="24"/>
        </w:rPr>
        <w:t xml:space="preserve"> </w:t>
      </w:r>
      <w:r>
        <w:rPr>
          <w:rFonts w:hint="eastAsia" w:asciiTheme="minorEastAsia" w:hAnsiTheme="minorEastAsia"/>
          <w:sz w:val="24"/>
        </w:rPr>
        <w:t xml:space="preserve">培训次数：项目上线前开展集中培训；试运行期间视情开展补充培训；提供长期线上答疑指导。</w:t>
      </w:r>
      <w:r/>
    </w:p>
    <w:p>
      <w:pPr>
        <w:ind w:firstLine="480"/>
        <w:spacing w:line="360" w:lineRule="auto"/>
        <w:rPr>
          <w:rFonts w:asciiTheme="minorEastAsia" w:hAnsiTheme="minorEastAsia"/>
          <w:sz w:val="24"/>
        </w:rPr>
      </w:pPr>
      <w:r>
        <w:rPr>
          <w:rFonts w:asciiTheme="minorEastAsia" w:hAnsiTheme="minorEastAsia"/>
          <w:sz w:val="24"/>
        </w:rPr>
        <w:t xml:space="preserve">6.</w:t>
      </w:r>
      <w:r>
        <w:rPr>
          <w:rFonts w:hint="eastAsia" w:asciiTheme="minorEastAsia" w:hAnsiTheme="minorEastAsia"/>
          <w:sz w:val="24"/>
        </w:rPr>
        <w:t xml:space="preserve">4</w:t>
      </w:r>
      <w:r>
        <w:rPr>
          <w:rFonts w:asciiTheme="minorEastAsia" w:hAnsiTheme="minorEastAsia"/>
          <w:sz w:val="24"/>
        </w:rPr>
        <w:t xml:space="preserve"> </w:t>
      </w:r>
      <w:r>
        <w:rPr>
          <w:rFonts w:hint="eastAsia" w:asciiTheme="minorEastAsia" w:hAnsiTheme="minorEastAsia"/>
          <w:sz w:val="24"/>
        </w:rPr>
        <w:t xml:space="preserve">形成完整培训签到、培训影像、培训记录台账，作为验收依据。</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七、知识产权归属和处理方式</w:t>
      </w:r>
      <w:r/>
    </w:p>
    <w:p>
      <w:pPr>
        <w:ind w:firstLine="480"/>
        <w:spacing w:line="360" w:lineRule="auto"/>
        <w:rPr>
          <w:rFonts w:asciiTheme="minorEastAsia" w:hAnsiTheme="minorEastAsia"/>
          <w:i/>
          <w:iCs/>
          <w:sz w:val="24"/>
          <w:u w:val="single"/>
        </w:rPr>
      </w:pPr>
      <w:r>
        <w:rPr>
          <w:rFonts w:asciiTheme="minorEastAsia" w:hAnsiTheme="minorEastAsia"/>
          <w:i/>
          <w:iCs/>
          <w:sz w:val="24"/>
          <w:u w:val="single"/>
        </w:rPr>
        <w:t xml:space="preserve">7.</w:t>
      </w:r>
      <w:r>
        <w:rPr>
          <w:rFonts w:hint="eastAsia" w:asciiTheme="minorEastAsia" w:hAnsiTheme="minorEastAsia"/>
          <w:i/>
          <w:iCs/>
          <w:sz w:val="24"/>
          <w:u w:val="single"/>
        </w:rPr>
        <w:t xml:space="preserve">1</w:t>
      </w:r>
      <w:r>
        <w:rPr>
          <w:rFonts w:asciiTheme="minorEastAsia" w:hAnsiTheme="minorEastAsia"/>
          <w:i/>
          <w:iCs/>
          <w:sz w:val="24"/>
          <w:u w:val="single"/>
        </w:rPr>
        <w:t xml:space="preserve"> </w:t>
      </w:r>
      <w:r>
        <w:rPr>
          <w:rFonts w:hint="eastAsia" w:asciiTheme="minorEastAsia" w:hAnsiTheme="minorEastAsia"/>
          <w:i/>
          <w:iCs/>
          <w:sz w:val="24"/>
          <w:u w:val="single"/>
        </w:rPr>
        <w:t xml:space="preserve">本项目所有由投标人针对采购人需求专属定制开发、迭代升级、优化完善所形成的全部工作成果（包含但不限于软件源代码、目标程序、算法逻辑、数据库架构、数据结构、系统架构方案、需求规格说明书、概要及详细设计文档、原型文件、测试用例、测试报告、操作手册、运维手册、培训资料、UI界面素材、图标素材、定制</w:t>
      </w:r>
      <w:r>
        <w:rPr>
          <w:rFonts w:hint="eastAsia" w:asciiTheme="minorEastAsia" w:hAnsiTheme="minorEastAsia"/>
          <w:i/>
          <w:iCs/>
          <w:sz w:val="24"/>
          <w:u w:val="single"/>
        </w:rPr>
        <w:t xml:space="preserve">化功能模块、接口文档、部署方案及本项目产生的一切衍生成果、迭代成果、优化成果）的所有知识产权（含计算机软件著作权、专利权、商标权、商业秘密、著作人身权、著作财产权等全部法定知识产权权利），自成果创作、开发完成之日起，完整、唯一、排他性永久归属采购人所有。采购人享有对本系统及全部成果的永久、免费、无地域、无使用场景限制的使用权、修改权、复制权、编译权、二次开发权、升级迭代权、部署使用权、对外授权权、转让权、处置权及全部衍生权利，可自主用于政务应用、业务运营、市场化使用等各类场景，无需向投标人支付任何额外费用。</w:t>
      </w:r>
      <w:r/>
    </w:p>
    <w:p>
      <w:pPr>
        <w:ind w:firstLine="480"/>
        <w:spacing w:line="360" w:lineRule="auto"/>
        <w:rPr>
          <w:rFonts w:asciiTheme="minorEastAsia" w:hAnsiTheme="minorEastAsia"/>
          <w:sz w:val="24"/>
        </w:rPr>
      </w:pPr>
      <w:r>
        <w:rPr>
          <w:rFonts w:asciiTheme="minorEastAsia" w:hAnsiTheme="minorEastAsia"/>
          <w:sz w:val="24"/>
        </w:rPr>
        <w:t xml:space="preserve">7.</w:t>
      </w:r>
      <w:r>
        <w:rPr>
          <w:rFonts w:hint="eastAsia" w:asciiTheme="minorEastAsia" w:hAnsiTheme="minorEastAsia"/>
          <w:sz w:val="24"/>
        </w:rPr>
        <w:t xml:space="preserve">2</w:t>
      </w:r>
      <w:r>
        <w:rPr>
          <w:rFonts w:asciiTheme="minorEastAsia" w:hAnsiTheme="minorEastAsia"/>
          <w:sz w:val="24"/>
        </w:rPr>
        <w:t xml:space="preserve"> </w:t>
      </w:r>
      <w:r>
        <w:rPr>
          <w:rFonts w:hint="eastAsia" w:asciiTheme="minorEastAsia" w:hAnsiTheme="minorEastAsia"/>
          <w:sz w:val="24"/>
        </w:rPr>
        <w:t xml:space="preserve">项目整体验收合格后，投标人须在</w:t>
      </w:r>
      <w:r>
        <w:rPr>
          <w:rFonts w:hint="eastAsia" w:asciiTheme="minorEastAsia" w:hAnsiTheme="minorEastAsia"/>
          <w:sz w:val="24"/>
        </w:rPr>
        <w:t xml:space="preserve">采购人规定时限内，完整、无遗漏、无加密、无后门、无权限锁定向采购人移交本项目全部成果资料，包含但不限于完整可编译源代码、全套工程源码文件、项目依赖配置文件、数据库脚本及源码、完整开源组件清单（含组件名称、版本、授权协议、合规说明）、全套技术文档、设计文档、测试文档、运维手册、用户操作手册、培训课件、部署安装教程等全部配套资料。交付成果须确保完整性、可用性、可编译性、可部署性，保障采购人能够独立自主完成系统部署、编译调试、功能修改、二次开发、版本升级、日常运维及后续迭代优化工作，不存在任何技术壁垒和使用限制。</w:t>
      </w:r>
      <w:r/>
    </w:p>
    <w:p>
      <w:pPr>
        <w:ind w:firstLine="480"/>
        <w:spacing w:line="360" w:lineRule="auto"/>
        <w:rPr>
          <w:rFonts w:asciiTheme="minorEastAsia" w:hAnsiTheme="minorEastAsia"/>
          <w:sz w:val="24"/>
        </w:rPr>
      </w:pPr>
      <w:r>
        <w:rPr>
          <w:rFonts w:asciiTheme="minorEastAsia" w:hAnsiTheme="minorEastAsia"/>
          <w:sz w:val="24"/>
        </w:rPr>
        <w:t xml:space="preserve">7.</w:t>
      </w:r>
      <w:r>
        <w:rPr>
          <w:rFonts w:hint="eastAsia" w:asciiTheme="minorEastAsia" w:hAnsiTheme="minorEastAsia"/>
          <w:sz w:val="24"/>
        </w:rPr>
        <w:t xml:space="preserve">3</w:t>
      </w:r>
      <w:r>
        <w:rPr>
          <w:rFonts w:asciiTheme="minorEastAsia" w:hAnsiTheme="minorEastAsia"/>
          <w:sz w:val="24"/>
        </w:rPr>
        <w:t xml:space="preserve"> </w:t>
      </w:r>
      <w:r>
        <w:rPr>
          <w:rFonts w:hint="eastAsia" w:asciiTheme="minorEastAsia" w:hAnsiTheme="minorEastAsia"/>
          <w:sz w:val="24"/>
        </w:rPr>
        <w:t xml:space="preserve">投标人承诺，本项目交付的全部定制开发成果均为针对本项目全新独立开发，不存在抄袭、剽窃、非法复用第三方代码及技术成果的情形，不存在任何权属争议、权利质押、独占授权、知识产权抵押、侵权隐患等权利瑕疵。项目成果中若涉及第三方开源软件、共享组件、公共技术资源，投标人须提前全面梳理、如实报备，提供完整合规授权证明，严格遵守开源协议规范，确保不影响采购人整体知识产权独占权属，不限制采购人后续使用、修改与二次开发。若因开源组件使用不规范、未合规披露引发知识产权纠纷，全部责任由投标人承担。</w:t>
      </w:r>
      <w:r/>
    </w:p>
    <w:p>
      <w:pPr>
        <w:ind w:firstLine="480"/>
        <w:spacing w:line="360" w:lineRule="auto"/>
        <w:rPr>
          <w:rFonts w:asciiTheme="minorEastAsia" w:hAnsiTheme="minorEastAsia"/>
          <w:sz w:val="24"/>
        </w:rPr>
      </w:pPr>
      <w:r>
        <w:rPr>
          <w:rFonts w:asciiTheme="minorEastAsia" w:hAnsiTheme="minorEastAsia"/>
          <w:sz w:val="24"/>
        </w:rPr>
        <w:t xml:space="preserve">7.</w:t>
      </w:r>
      <w:r>
        <w:rPr>
          <w:rFonts w:hint="eastAsia" w:asciiTheme="minorEastAsia" w:hAnsiTheme="minorEastAsia"/>
          <w:sz w:val="24"/>
        </w:rPr>
        <w:t xml:space="preserve">4</w:t>
      </w:r>
      <w:r>
        <w:rPr>
          <w:rFonts w:asciiTheme="minorEastAsia" w:hAnsiTheme="minorEastAsia"/>
          <w:sz w:val="24"/>
        </w:rPr>
        <w:t xml:space="preserve"> </w:t>
      </w:r>
      <w:r>
        <w:rPr>
          <w:rFonts w:hint="eastAsia" w:asciiTheme="minorEastAsia" w:hAnsiTheme="minorEastAsia"/>
          <w:sz w:val="24"/>
        </w:rPr>
        <w:t xml:space="preserve">本项目所有定制开发成果的知识产权权属永久归采购人独家所有，投标人仅享有项目合法履约的工作署名权（仅限项目验收、归档资料使用，不得用于商业宣传、项目复用、对外授权等商用场景）。投标人不得保留本项目任何成果的使用权、所有权、处置权及衍生权利，不得将本项目源代码、算法逻辑、核心模块、设计方案、技术文档等成果复用至自身其他项目、转借、泄露、授权或转让给任何第三方，不得以任何方式限制、干预采购人对项目成果的全权使用与处置。</w:t>
      </w:r>
      <w:r/>
    </w:p>
    <w:p>
      <w:pPr>
        <w:ind w:firstLine="480"/>
        <w:spacing w:line="360" w:lineRule="auto"/>
        <w:rPr>
          <w:rFonts w:asciiTheme="minorEastAsia" w:hAnsiTheme="minorEastAsia"/>
          <w:sz w:val="24"/>
        </w:rPr>
      </w:pPr>
      <w:r>
        <w:rPr>
          <w:rFonts w:asciiTheme="minorEastAsia" w:hAnsiTheme="minorEastAsia"/>
          <w:sz w:val="24"/>
        </w:rPr>
        <w:t xml:space="preserve">7.5 </w:t>
      </w:r>
      <w:r>
        <w:rPr>
          <w:rFonts w:hint="eastAsia" w:asciiTheme="minorEastAsia" w:hAnsiTheme="minorEastAsia"/>
          <w:sz w:val="24"/>
        </w:rPr>
        <w:t xml:space="preserve">若因投标人提供的成果存在知识产权侵权、权属不清、违规复用、未如实披露开源组件等问题，导致采购人遭受第三方投诉、索赔、诉讼、行政处罚或造成系统停用、整改、商誉及经济损失的，由投标人承担全部法律责任与经济赔偿责任，无条件免费完成整改修复，全额赔偿采购人因此产生的赔偿金、诉讼费、律师费、整改费、运维损失、误工损失等一切相关费用。同时采购人有权依据合同约定追究投标人违约责任，情节严重的可终止项目合作并列入不良合作名单。</w:t>
      </w:r>
      <w:r/>
    </w:p>
    <w:p>
      <w:pPr>
        <w:ind w:firstLine="480"/>
        <w:spacing w:line="360" w:lineRule="auto"/>
        <w:rPr>
          <w:rFonts w:asciiTheme="minorEastAsia" w:hAnsiTheme="minorEastAsia"/>
          <w:sz w:val="24"/>
        </w:rPr>
      </w:pPr>
      <w:r>
        <w:rPr>
          <w:rFonts w:asciiTheme="minorEastAsia" w:hAnsiTheme="minorEastAsia"/>
          <w:sz w:val="24"/>
        </w:rPr>
        <w:t xml:space="preserve">7.6 </w:t>
      </w:r>
      <w:r>
        <w:rPr>
          <w:rFonts w:hint="eastAsia" w:asciiTheme="minorEastAsia" w:hAnsiTheme="minorEastAsia"/>
          <w:sz w:val="24"/>
        </w:rPr>
        <w:t xml:space="preserve">无论本项目成果是否完成著作权登记、专利申请等知识产权备案手续，全部知识产权权属均以本条款约定为准，永久归属采购人。本条款内容为项目专属强制性约定，优先于双方其他口头、书面未尽约定，具有最终法律效力。</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八、考核标准及考核办法（或绩效评价：绩效目标及指标或交付标准等）</w:t>
      </w:r>
      <w:r/>
    </w:p>
    <w:p>
      <w:pPr>
        <w:ind w:firstLine="480"/>
        <w:spacing w:line="360" w:lineRule="auto"/>
        <w:rPr>
          <w:rFonts w:asciiTheme="minorEastAsia" w:hAnsiTheme="minorEastAsia"/>
          <w:sz w:val="24"/>
        </w:rPr>
      </w:pPr>
      <w:r>
        <w:rPr>
          <w:rFonts w:hint="eastAsia" w:asciiTheme="minorEastAsia" w:hAnsiTheme="minorEastAsia"/>
          <w:sz w:val="24"/>
        </w:rPr>
        <w:t xml:space="preserve">本项目软件系统开发建设周期共计</w:t>
      </w:r>
      <w:r>
        <w:rPr>
          <w:rFonts w:asciiTheme="minorEastAsia" w:hAnsiTheme="minorEastAsia"/>
          <w:sz w:val="24"/>
        </w:rPr>
        <w:t xml:space="preserve">180</w:t>
      </w:r>
      <w:r>
        <w:rPr>
          <w:rFonts w:hint="eastAsia" w:asciiTheme="minorEastAsia" w:hAnsiTheme="minorEastAsia"/>
          <w:sz w:val="24"/>
        </w:rPr>
        <w:t xml:space="preserve">个日历日，分两阶段实施：</w:t>
      </w:r>
      <w:r/>
    </w:p>
    <w:p>
      <w:pPr>
        <w:ind w:firstLine="480"/>
        <w:spacing w:line="360" w:lineRule="auto"/>
        <w:rPr>
          <w:rFonts w:asciiTheme="minorEastAsia" w:hAnsiTheme="minorEastAsia"/>
          <w:sz w:val="24"/>
        </w:rPr>
      </w:pPr>
      <w:r>
        <w:rPr>
          <w:rFonts w:hint="eastAsia" w:asciiTheme="minorEastAsia" w:hAnsiTheme="minorEastAsia"/>
          <w:sz w:val="24"/>
        </w:rPr>
        <w:t xml:space="preserve">8</w:t>
      </w:r>
      <w:r>
        <w:rPr>
          <w:rFonts w:asciiTheme="minorEastAsia" w:hAnsiTheme="minorEastAsia"/>
          <w:sz w:val="24"/>
        </w:rPr>
        <w:t xml:space="preserve">.1 </w:t>
      </w:r>
      <w:r>
        <w:rPr>
          <w:rFonts w:hint="eastAsia" w:asciiTheme="minorEastAsia" w:hAnsiTheme="minorEastAsia"/>
          <w:sz w:val="24"/>
        </w:rPr>
        <w:t xml:space="preserve">第一阶段，须在合同签订后</w:t>
      </w:r>
      <w:r>
        <w:rPr>
          <w:rFonts w:asciiTheme="minorEastAsia" w:hAnsiTheme="minorEastAsia"/>
          <w:sz w:val="24"/>
        </w:rPr>
        <w:t xml:space="preserve">90</w:t>
      </w:r>
      <w:r>
        <w:rPr>
          <w:rFonts w:hint="eastAsia" w:asciiTheme="minorEastAsia" w:hAnsiTheme="minorEastAsia"/>
          <w:sz w:val="24"/>
        </w:rPr>
        <w:t xml:space="preserve">个日历日内完成全部既定开发任务并达到试运行条件。具体要求包括：</w:t>
      </w:r>
      <w:r/>
    </w:p>
    <w:p>
      <w:pPr>
        <w:ind w:firstLine="480"/>
        <w:spacing w:line="360" w:lineRule="auto"/>
        <w:rPr>
          <w:rFonts w:asciiTheme="minorEastAsia" w:hAnsiTheme="minorEastAsia"/>
          <w:sz w:val="24"/>
        </w:rPr>
      </w:pPr>
      <w:r>
        <w:rPr>
          <w:rFonts w:hint="eastAsia" w:asciiTheme="minorEastAsia" w:hAnsiTheme="minorEastAsia"/>
          <w:sz w:val="24"/>
        </w:rPr>
        <w:t xml:space="preserve">（1）完成系统需求范围内全部功能开发、自测及集成测试，无核心功能缺失、无高危漏洞及影响业务运行的重大BUG；</w:t>
      </w:r>
      <w:r/>
    </w:p>
    <w:p>
      <w:pPr>
        <w:ind w:firstLine="480"/>
        <w:spacing w:line="360" w:lineRule="auto"/>
        <w:rPr>
          <w:rFonts w:asciiTheme="minorEastAsia" w:hAnsiTheme="minorEastAsia"/>
          <w:sz w:val="24"/>
        </w:rPr>
      </w:pPr>
      <w:r>
        <w:rPr>
          <w:rFonts w:hint="eastAsia" w:asciiTheme="minorEastAsia" w:hAnsiTheme="minorEastAsia"/>
          <w:sz w:val="24"/>
        </w:rPr>
        <w:t xml:space="preserve">（2）完成软硬件环境部署、系统上线，可正常开展全流程业务试运行；</w:t>
      </w:r>
      <w:r/>
    </w:p>
    <w:p>
      <w:pPr>
        <w:ind w:firstLine="480"/>
        <w:spacing w:line="360" w:lineRule="auto"/>
        <w:rPr>
          <w:rFonts w:asciiTheme="minorEastAsia" w:hAnsiTheme="minorEastAsia"/>
          <w:sz w:val="24"/>
        </w:rPr>
      </w:pPr>
      <w:r>
        <w:rPr>
          <w:rFonts w:hint="eastAsia" w:asciiTheme="minorEastAsia" w:hAnsiTheme="minorEastAsia"/>
          <w:sz w:val="24"/>
        </w:rPr>
        <w:t xml:space="preserve">（3）提交阶段性开发文档、测试报告及简易用户操作手册，完成用户初步操作培训。</w:t>
      </w:r>
      <w:r/>
    </w:p>
    <w:p>
      <w:pPr>
        <w:ind w:firstLine="480"/>
        <w:spacing w:line="360" w:lineRule="auto"/>
        <w:rPr>
          <w:rFonts w:asciiTheme="minorEastAsia" w:hAnsiTheme="minorEastAsia"/>
          <w:sz w:val="24"/>
        </w:rPr>
      </w:pPr>
      <w:r>
        <w:rPr>
          <w:rFonts w:hint="eastAsia" w:asciiTheme="minorEastAsia" w:hAnsiTheme="minorEastAsia"/>
          <w:sz w:val="24"/>
        </w:rPr>
        <w:t xml:space="preserve">8</w:t>
      </w:r>
      <w:r>
        <w:rPr>
          <w:rFonts w:asciiTheme="minorEastAsia" w:hAnsiTheme="minorEastAsia"/>
          <w:sz w:val="24"/>
        </w:rPr>
        <w:t xml:space="preserve">.2 </w:t>
      </w:r>
      <w:r>
        <w:rPr>
          <w:rFonts w:hint="eastAsia" w:asciiTheme="minorEastAsia" w:hAnsiTheme="minorEastAsia"/>
          <w:sz w:val="24"/>
        </w:rPr>
        <w:t xml:space="preserve">第二阶段，须在</w:t>
      </w:r>
      <w:r>
        <w:rPr>
          <w:rFonts w:asciiTheme="minorEastAsia" w:hAnsiTheme="minorEastAsia"/>
          <w:sz w:val="24"/>
        </w:rPr>
        <w:t xml:space="preserve">180</w:t>
      </w:r>
      <w:r>
        <w:rPr>
          <w:rFonts w:hint="eastAsia" w:asciiTheme="minorEastAsia" w:hAnsiTheme="minorEastAsia"/>
          <w:sz w:val="24"/>
        </w:rPr>
        <w:t xml:space="preserve">个日历日内完成系统优化整改、验收移交，实现项目全部工作闭环竣工，具备最终验收条件。具体要求包括：</w:t>
      </w:r>
      <w:r/>
    </w:p>
    <w:p>
      <w:pPr>
        <w:ind w:firstLine="480"/>
        <w:spacing w:line="360" w:lineRule="auto"/>
        <w:rPr>
          <w:rFonts w:asciiTheme="minorEastAsia" w:hAnsiTheme="minorEastAsia"/>
          <w:sz w:val="24"/>
        </w:rPr>
      </w:pPr>
      <w:r>
        <w:rPr>
          <w:rFonts w:hint="eastAsia" w:asciiTheme="minorEastAsia" w:hAnsiTheme="minorEastAsia"/>
          <w:sz w:val="24"/>
        </w:rPr>
        <w:t xml:space="preserve">（1）试运行期间发现的所有问题全部整改闭环，完成系统性能优化、功能完善及安全加固；</w:t>
      </w:r>
      <w:r/>
    </w:p>
    <w:p>
      <w:pPr>
        <w:ind w:firstLine="480"/>
        <w:spacing w:line="360" w:lineRule="auto"/>
        <w:rPr>
          <w:rFonts w:asciiTheme="minorEastAsia" w:hAnsiTheme="minorEastAsia"/>
          <w:sz w:val="24"/>
        </w:rPr>
      </w:pPr>
      <w:r>
        <w:rPr>
          <w:rFonts w:hint="eastAsia" w:asciiTheme="minorEastAsia" w:hAnsiTheme="minorEastAsia"/>
          <w:sz w:val="24"/>
        </w:rPr>
        <w:t xml:space="preserve">（2）系统稳定性、安全性、响应速度、并发性能均满足项目业务使用要求，可正式投入常态化使用；</w:t>
      </w:r>
      <w:r/>
    </w:p>
    <w:p>
      <w:pPr>
        <w:ind w:firstLine="480"/>
        <w:spacing w:line="360" w:lineRule="auto"/>
        <w:rPr>
          <w:rFonts w:asciiTheme="minorEastAsia" w:hAnsiTheme="minorEastAsia"/>
          <w:sz w:val="24"/>
        </w:rPr>
      </w:pPr>
      <w:r>
        <w:rPr>
          <w:rFonts w:hint="eastAsia" w:asciiTheme="minorEastAsia" w:hAnsiTheme="minorEastAsia"/>
          <w:sz w:val="24"/>
        </w:rPr>
        <w:t xml:space="preserve">（3）交付5</w:t>
      </w:r>
      <w:r>
        <w:rPr>
          <w:rFonts w:asciiTheme="minorEastAsia" w:hAnsiTheme="minorEastAsia"/>
          <w:sz w:val="24"/>
        </w:rPr>
        <w:t xml:space="preserve">.1</w:t>
      </w:r>
      <w:r>
        <w:rPr>
          <w:rFonts w:hint="eastAsia" w:asciiTheme="minorEastAsia" w:hAnsiTheme="minorEastAsia"/>
          <w:sz w:val="24"/>
        </w:rPr>
        <w:t xml:space="preserve">节要求的全套完整项目资料；</w:t>
      </w:r>
      <w:r/>
    </w:p>
    <w:p>
      <w:pPr>
        <w:ind w:firstLine="480"/>
        <w:spacing w:line="360" w:lineRule="auto"/>
        <w:rPr>
          <w:rFonts w:asciiTheme="minorEastAsia" w:hAnsiTheme="minorEastAsia"/>
          <w:sz w:val="24"/>
        </w:rPr>
      </w:pPr>
      <w:r>
        <w:rPr>
          <w:rFonts w:hint="eastAsia" w:asciiTheme="minorEastAsia" w:hAnsiTheme="minorEastAsia"/>
          <w:sz w:val="24"/>
        </w:rPr>
        <w:t xml:space="preserve">（4）完成项目移交、运维交接，顺利通过采购人的最终竣工验收。</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九、履约验收</w:t>
      </w:r>
      <w:r/>
    </w:p>
    <w:p>
      <w:pPr>
        <w:ind w:firstLine="480"/>
        <w:spacing w:line="360" w:lineRule="auto"/>
        <w:rPr>
          <w:rFonts w:asciiTheme="minorEastAsia" w:hAnsiTheme="minorEastAsia"/>
          <w:sz w:val="24"/>
        </w:rPr>
      </w:pPr>
      <w:r>
        <w:rPr>
          <w:rFonts w:hint="eastAsia" w:asciiTheme="minorEastAsia" w:hAnsiTheme="minorEastAsia"/>
          <w:sz w:val="24"/>
        </w:rPr>
        <w:t xml:space="preserve">本项目实行分阶段验收管理，确保项目履约合规、交付达标。</w:t>
      </w:r>
      <w:r/>
    </w:p>
    <w:p>
      <w:pPr>
        <w:ind w:firstLine="480"/>
        <w:spacing w:line="360" w:lineRule="auto"/>
        <w:rPr>
          <w:rFonts w:asciiTheme="minorEastAsia" w:hAnsiTheme="minorEastAsia"/>
          <w:sz w:val="24"/>
        </w:rPr>
      </w:pPr>
      <w:r>
        <w:rPr>
          <w:rFonts w:hint="eastAsia" w:asciiTheme="minorEastAsia" w:hAnsiTheme="minorEastAsia"/>
          <w:sz w:val="24"/>
        </w:rPr>
        <w:t xml:space="preserve">9</w:t>
      </w:r>
      <w:r>
        <w:rPr>
          <w:rFonts w:asciiTheme="minorEastAsia" w:hAnsiTheme="minorEastAsia"/>
          <w:sz w:val="24"/>
        </w:rPr>
        <w:t xml:space="preserve">.1 </w:t>
      </w:r>
      <w:r>
        <w:rPr>
          <w:rFonts w:hint="eastAsia" w:asciiTheme="minorEastAsia" w:hAnsiTheme="minorEastAsia"/>
          <w:sz w:val="24"/>
        </w:rPr>
        <w:t xml:space="preserve">试运行条件验收</w:t>
      </w:r>
      <w:r/>
    </w:p>
    <w:p>
      <w:pPr>
        <w:ind w:firstLine="480"/>
        <w:spacing w:line="360" w:lineRule="auto"/>
        <w:rPr>
          <w:rFonts w:asciiTheme="minorEastAsia" w:hAnsiTheme="minorEastAsia"/>
          <w:sz w:val="24"/>
        </w:rPr>
      </w:pPr>
      <w:r>
        <w:rPr>
          <w:rFonts w:hint="eastAsia" w:asciiTheme="minorEastAsia" w:hAnsiTheme="minorEastAsia"/>
          <w:sz w:val="24"/>
        </w:rPr>
        <w:t xml:space="preserve">9</w:t>
      </w:r>
      <w:r>
        <w:rPr>
          <w:rFonts w:asciiTheme="minorEastAsia" w:hAnsiTheme="minorEastAsia"/>
          <w:sz w:val="24"/>
        </w:rPr>
        <w:t xml:space="preserve">.1.1 </w:t>
      </w:r>
      <w:r>
        <w:rPr>
          <w:rFonts w:hint="eastAsia" w:asciiTheme="minorEastAsia" w:hAnsiTheme="minorEastAsia"/>
          <w:sz w:val="24"/>
        </w:rPr>
        <w:t xml:space="preserve">合同签订后9</w:t>
      </w:r>
      <w:r>
        <w:rPr>
          <w:rFonts w:asciiTheme="minorEastAsia" w:hAnsiTheme="minorEastAsia"/>
          <w:sz w:val="24"/>
        </w:rPr>
        <w:t xml:space="preserve">0</w:t>
      </w:r>
      <w:r>
        <w:rPr>
          <w:rFonts w:hint="eastAsia" w:asciiTheme="minorEastAsia" w:hAnsiTheme="minorEastAsia"/>
          <w:sz w:val="24"/>
        </w:rPr>
        <w:t xml:space="preserve">个日历日内，投标人完成系统开发、部署上线及自测整改后，向采购人提交试运行验收申请，采购人在收到申请后</w:t>
      </w:r>
      <w:r>
        <w:rPr>
          <w:rFonts w:asciiTheme="minorEastAsia" w:hAnsiTheme="minorEastAsia"/>
          <w:sz w:val="24"/>
        </w:rPr>
        <w:t xml:space="preserve">3</w:t>
      </w:r>
      <w:r>
        <w:rPr>
          <w:rFonts w:hint="eastAsia" w:asciiTheme="minorEastAsia" w:hAnsiTheme="minorEastAsia"/>
          <w:sz w:val="24"/>
        </w:rPr>
        <w:t xml:space="preserve">个工作日内组织阶段性验收，验收通过后系统正式进入试运行阶段。</w:t>
      </w:r>
      <w:r/>
    </w:p>
    <w:p>
      <w:pPr>
        <w:ind w:firstLine="480"/>
        <w:spacing w:line="360" w:lineRule="auto"/>
        <w:rPr>
          <w:rFonts w:asciiTheme="minorEastAsia" w:hAnsiTheme="minorEastAsia"/>
          <w:sz w:val="24"/>
        </w:rPr>
      </w:pPr>
      <w:r>
        <w:rPr>
          <w:rFonts w:hint="eastAsia" w:asciiTheme="minorEastAsia" w:hAnsiTheme="minorEastAsia"/>
          <w:sz w:val="24"/>
        </w:rPr>
        <w:t xml:space="preserve">9</w:t>
      </w:r>
      <w:r>
        <w:rPr>
          <w:rFonts w:asciiTheme="minorEastAsia" w:hAnsiTheme="minorEastAsia"/>
          <w:sz w:val="24"/>
        </w:rPr>
        <w:t xml:space="preserve">.1.2 </w:t>
      </w:r>
      <w:r>
        <w:rPr>
          <w:rFonts w:hint="eastAsia" w:asciiTheme="minorEastAsia" w:hAnsiTheme="minorEastAsia"/>
          <w:sz w:val="24"/>
        </w:rPr>
        <w:t xml:space="preserve">验收方式采用现场核查测试＋资料审核方式开展，具体包括：现场核查系统部署环境、运行状态，对系统业务功能、性能指标、安全配置、兼容性进行抽样测试，审核提交资料的完整性。</w:t>
      </w:r>
      <w:r/>
    </w:p>
    <w:p>
      <w:pPr>
        <w:ind w:firstLine="480"/>
        <w:spacing w:line="360" w:lineRule="auto"/>
        <w:rPr>
          <w:rFonts w:asciiTheme="minorEastAsia" w:hAnsiTheme="minorEastAsia"/>
          <w:sz w:val="24"/>
        </w:rPr>
      </w:pPr>
      <w:r>
        <w:rPr>
          <w:rFonts w:hint="eastAsia" w:asciiTheme="minorEastAsia" w:hAnsiTheme="minorEastAsia"/>
          <w:sz w:val="24"/>
        </w:rPr>
        <w:t xml:space="preserve">9</w:t>
      </w:r>
      <w:r>
        <w:rPr>
          <w:rFonts w:asciiTheme="minorEastAsia" w:hAnsiTheme="minorEastAsia"/>
          <w:sz w:val="24"/>
        </w:rPr>
        <w:t xml:space="preserve">.1.3 </w:t>
      </w:r>
      <w:r>
        <w:rPr>
          <w:rFonts w:hint="eastAsia" w:asciiTheme="minorEastAsia" w:hAnsiTheme="minorEastAsia"/>
          <w:sz w:val="24"/>
        </w:rPr>
        <w:t xml:space="preserve">采购人组织成立验收小组，验收小组结合现场核查测试和资料审核情况，确定验收结果；验收通过后，采购人支付第一阶段费用。</w:t>
      </w:r>
      <w:r/>
    </w:p>
    <w:p>
      <w:pPr>
        <w:ind w:firstLine="480"/>
        <w:spacing w:line="360" w:lineRule="auto"/>
        <w:rPr>
          <w:rFonts w:asciiTheme="minorEastAsia" w:hAnsiTheme="minorEastAsia"/>
          <w:sz w:val="24"/>
        </w:rPr>
      </w:pPr>
      <w:r>
        <w:rPr>
          <w:rFonts w:hint="eastAsia" w:asciiTheme="minorEastAsia" w:hAnsiTheme="minorEastAsia"/>
          <w:sz w:val="24"/>
        </w:rPr>
        <w:t xml:space="preserve">9</w:t>
      </w:r>
      <w:r>
        <w:rPr>
          <w:rFonts w:asciiTheme="minorEastAsia" w:hAnsiTheme="minorEastAsia"/>
          <w:sz w:val="24"/>
        </w:rPr>
        <w:t xml:space="preserve">.2 </w:t>
      </w:r>
      <w:r>
        <w:rPr>
          <w:rFonts w:hint="eastAsia" w:asciiTheme="minorEastAsia" w:hAnsiTheme="minorEastAsia"/>
          <w:sz w:val="24"/>
        </w:rPr>
        <w:t xml:space="preserve">项目最终验收</w:t>
      </w:r>
      <w:r/>
    </w:p>
    <w:p>
      <w:pPr>
        <w:ind w:firstLine="480"/>
        <w:spacing w:line="360" w:lineRule="auto"/>
        <w:rPr>
          <w:rFonts w:asciiTheme="minorEastAsia" w:hAnsiTheme="minorEastAsia"/>
          <w:sz w:val="24"/>
        </w:rPr>
      </w:pPr>
      <w:r>
        <w:rPr>
          <w:rFonts w:hint="eastAsia" w:asciiTheme="minorEastAsia" w:hAnsiTheme="minorEastAsia"/>
          <w:sz w:val="24"/>
        </w:rPr>
        <w:t xml:space="preserve">9</w:t>
      </w:r>
      <w:r>
        <w:rPr>
          <w:rFonts w:asciiTheme="minorEastAsia" w:hAnsiTheme="minorEastAsia"/>
          <w:sz w:val="24"/>
        </w:rPr>
        <w:t xml:space="preserve">.2.1 </w:t>
      </w:r>
      <w:r>
        <w:rPr>
          <w:rFonts w:hint="eastAsia" w:asciiTheme="minorEastAsia" w:hAnsiTheme="minorEastAsia"/>
          <w:sz w:val="24"/>
        </w:rPr>
        <w:t xml:space="preserve">系统试运行期满（合同签订后</w:t>
      </w:r>
      <w:r>
        <w:rPr>
          <w:rFonts w:asciiTheme="minorEastAsia" w:hAnsiTheme="minorEastAsia"/>
          <w:sz w:val="24"/>
        </w:rPr>
        <w:t xml:space="preserve">180</w:t>
      </w:r>
      <w:r>
        <w:rPr>
          <w:rFonts w:hint="eastAsia" w:asciiTheme="minorEastAsia" w:hAnsiTheme="minorEastAsia"/>
          <w:sz w:val="24"/>
        </w:rPr>
        <w:t xml:space="preserve">个日历日内），投标人完成全部优化整改、资料归档后，向采购人提交最终验收申请，采购人在收到申请后10个工作日内组织项目最终验收。</w:t>
      </w:r>
      <w:r/>
    </w:p>
    <w:p>
      <w:pPr>
        <w:ind w:firstLine="480"/>
        <w:spacing w:line="360" w:lineRule="auto"/>
        <w:rPr>
          <w:rFonts w:asciiTheme="minorEastAsia" w:hAnsiTheme="minorEastAsia"/>
          <w:sz w:val="24"/>
        </w:rPr>
      </w:pPr>
      <w:r>
        <w:rPr>
          <w:rFonts w:hint="eastAsia" w:asciiTheme="minorEastAsia" w:hAnsiTheme="minorEastAsia"/>
          <w:sz w:val="24"/>
        </w:rPr>
        <w:t xml:space="preserve">9</w:t>
      </w:r>
      <w:r>
        <w:rPr>
          <w:rFonts w:asciiTheme="minorEastAsia" w:hAnsiTheme="minorEastAsia"/>
          <w:sz w:val="24"/>
        </w:rPr>
        <w:t xml:space="preserve">.2.2 </w:t>
      </w:r>
      <w:r>
        <w:rPr>
          <w:rFonts w:hint="eastAsia" w:asciiTheme="minorEastAsia" w:hAnsiTheme="minorEastAsia"/>
          <w:sz w:val="24"/>
        </w:rPr>
        <w:t xml:space="preserve">验收方式采用现场核查测试＋资料审核＋综合评审方式开展，具体包括：现场核查系统部署环境、运行状态、配套实施落地情况，对系统全部业务功能、性能指标、安全配置、兼容性进行测试核验，核查项目实施文档、测试报告、交付成果、归档资料的完整性、规范性、真实性等。</w:t>
      </w:r>
      <w:r/>
    </w:p>
    <w:p>
      <w:pPr>
        <w:ind w:firstLine="480"/>
        <w:spacing w:line="360" w:lineRule="auto"/>
        <w:rPr>
          <w:rFonts w:asciiTheme="minorEastAsia" w:hAnsiTheme="minorEastAsia"/>
          <w:sz w:val="24"/>
        </w:rPr>
      </w:pPr>
      <w:r>
        <w:rPr>
          <w:rFonts w:asciiTheme="minorEastAsia" w:hAnsiTheme="minorEastAsia"/>
          <w:sz w:val="24"/>
        </w:rPr>
        <w:t xml:space="preserve">9.2.3 </w:t>
      </w:r>
      <w:r>
        <w:rPr>
          <w:rFonts w:hint="eastAsia" w:asciiTheme="minorEastAsia" w:hAnsiTheme="minorEastAsia"/>
          <w:sz w:val="24"/>
        </w:rPr>
        <w:t xml:space="preserve">采购人组织成立验收小组，邀请至少1名非本单位专家参加；验收小组结合阶段履约情况、试运行表现、问题整改情况，综合评定履约结果。</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完成系统开发、部署、上线试运行，通过试运行条件验收后，一次性支付合同总价款的5</w:t>
      </w:r>
      <w:r>
        <w:rPr>
          <w:rFonts w:cs="Times New Roman" w:asciiTheme="minorEastAsia" w:hAnsiTheme="minorEastAsia"/>
          <w:sz w:val="24"/>
          <w:szCs w:val="24"/>
        </w:rPr>
        <w:t xml:space="preserve">0%</w:t>
      </w:r>
      <w:r>
        <w:rPr>
          <w:rFonts w:hint="eastAsia" w:cs="Times New Roman" w:asciiTheme="minorEastAsia" w:hAnsiTheme="minorEastAsia"/>
          <w:sz w:val="24"/>
          <w:szCs w:val="24"/>
        </w:rPr>
        <w:t xml:space="preserve">；试运行满3个月，通过验收评审后一次性付清5</w:t>
      </w:r>
      <w:r>
        <w:rPr>
          <w:rFonts w:cs="Times New Roman" w:asciiTheme="minorEastAsia" w:hAnsiTheme="minorEastAsia"/>
          <w:sz w:val="24"/>
          <w:szCs w:val="24"/>
        </w:rPr>
        <w:t xml:space="preserve">0%</w:t>
      </w:r>
      <w:r>
        <w:rPr>
          <w:rFonts w:hint="eastAsia" w:cs="Times New Roman" w:asciiTheme="minorEastAsia" w:hAnsiTheme="minorEastAsia"/>
          <w:sz w:val="24"/>
          <w:szCs w:val="24"/>
        </w:rPr>
        <w:t xml:space="preserve">余款。</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十一、报价要求</w:t>
      </w:r>
      <w:r/>
    </w:p>
    <w:p>
      <w:pPr>
        <w:ind w:firstLine="480"/>
        <w:spacing w:line="360" w:lineRule="auto"/>
        <w:rPr>
          <w:sz w:val="24"/>
        </w:rPr>
      </w:pPr>
      <w:r>
        <w:rPr>
          <w:rFonts w:hint="eastAsia"/>
          <w:sz w:val="24"/>
        </w:rPr>
        <w:t xml:space="preserve">填写投标报价的构成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1.投标人报价须根据本项目软件系统建设内容，按系统组成模块逐项分列报价，清晰列明各模块名称、模块工作内容、单价、分项合价，同时填报项目总报价，不得仅报总价而无模块明细报价。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各模块报价应包含完成该模块定制开发、需求调研、方案设计、代码开发、测试、上线部署、技术文档交付、培训、质保运维、源码交付、知识产权转移、第三方组件/开源软件合规费用、税费等完成本模块全部工作的一切费用。采购人不再支付报价清单以外任何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3.所有模块分项报价之和应当等于项目总报价；若分项合计与总价存在不一致，以分项报价累加金额为准。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4.投标人须随投标文件提交《模块分项报价明细表》，缺少分项模块明细报价的，视为未实质性响应招标文件要求，评标委员会可作无效投标处理。</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十三、其他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pStyle w:val="639"/>
        <w:jc w:val="center"/>
        <w:pageBreakBefore/>
        <w:spacing w:before="156" w:after="156" w:line="360" w:lineRule="auto"/>
        <w:rPr>
          <w:rFonts w:ascii="黑体" w:hAnsi="黑体" w:eastAsia="黑体"/>
          <w:b w:val="0"/>
        </w:rPr>
      </w:pPr>
      <w:r/>
      <w:bookmarkStart w:id="9" w:name="_Toc162361614"/>
      <w:r>
        <w:rPr>
          <w:rFonts w:ascii="黑体" w:hAnsi="黑体" w:eastAsia="黑体"/>
          <w:b w:val="0"/>
        </w:rPr>
        <w:t xml:space="preserve">第五章</w:t>
      </w:r>
      <w:r>
        <w:rPr>
          <w:rFonts w:hint="eastAsia" w:ascii="黑体" w:hAnsi="黑体" w:eastAsia="黑体"/>
          <w:b w:val="0"/>
        </w:rPr>
        <w:t xml:space="preserve">  评标方法与评标标准</w:t>
      </w:r>
      <w:bookmarkEnd w:id="9"/>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评标结果按评审后得分由高到低顺序排列。得分相同的，按投标报价由低到高顺序排列。得分且投标报价相同的并列。评标委员会按照评审得分由高到低顺序推荐</w:t>
      </w:r>
      <w:r>
        <w:rPr>
          <w:rFonts w:asciiTheme="minorEastAsia" w:hAnsiTheme="minorEastAsia"/>
          <w:sz w:val="24"/>
          <w:szCs w:val="24"/>
        </w:rPr>
        <w:t xml:space="preserve">3</w:t>
      </w:r>
      <w:r>
        <w:rPr>
          <w:rFonts w:hint="eastAsia" w:asciiTheme="minorEastAsia" w:hAnsiTheme="minorEastAsia"/>
          <w:sz w:val="24"/>
          <w:szCs w:val="24"/>
        </w:rPr>
        <w:t xml:space="preserve">名中标候选人。</w:t>
      </w:r>
      <w:r/>
    </w:p>
    <w:p>
      <w:pPr>
        <w:ind w:firstLine="480"/>
        <w:jc w:val="left"/>
        <w:spacing w:line="500" w:lineRule="exact"/>
        <w:rPr>
          <w:rFonts w:asciiTheme="minorEastAsia" w:hAnsiTheme="minorEastAsia"/>
          <w:sz w:val="24"/>
          <w:szCs w:val="24"/>
        </w:rPr>
      </w:pPr>
      <w:r>
        <w:rPr>
          <w:rFonts w:asciiTheme="minorEastAsia" w:hAnsiTheme="minorEastAsia"/>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Theme="minorEastAsia" w:hAnsiTheme="minorEastAsia"/>
          <w:b/>
          <w:sz w:val="24"/>
          <w:szCs w:val="24"/>
        </w:rPr>
        <w:t xml:space="preserve">1.价格分（</w:t>
      </w:r>
      <w:r>
        <w:rPr>
          <w:rFonts w:asciiTheme="minorEastAsia" w:hAnsiTheme="minorEastAsia"/>
          <w:b/>
          <w:sz w:val="24"/>
          <w:szCs w:val="24"/>
        </w:rPr>
        <w:t xml:space="preserve">1</w:t>
      </w:r>
      <w:r>
        <w:rPr>
          <w:rFonts w:hint="eastAsia" w:asciiTheme="minorEastAsia" w:hAnsiTheme="minorEastAsia"/>
          <w:b/>
          <w:sz w:val="24"/>
          <w:szCs w:val="24"/>
        </w:rPr>
        <w:t xml:space="preserve">5分）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highlight w:val="none"/>
        </w:rPr>
      </w:pPr>
      <w:r>
        <w:rPr>
          <w:rFonts w:hint="eastAsia"/>
          <w:sz w:val="24"/>
          <w:szCs w:val="24"/>
          <w:highlight w:val="none"/>
        </w:rPr>
        <w:t xml:space="preserve">投标报价得分=（评标基准价/投标报价）×</w:t>
      </w:r>
      <w:r>
        <w:rPr>
          <w:sz w:val="24"/>
          <w:szCs w:val="24"/>
          <w:highlight w:val="none"/>
        </w:rPr>
        <w:t xml:space="preserve">15</w:t>
      </w:r>
      <w:r>
        <w:rPr>
          <w:rFonts w:hint="eastAsia"/>
          <w:sz w:val="24"/>
          <w:szCs w:val="24"/>
          <w:highlight w:val="none"/>
        </w:rPr>
        <w:t xml:space="preserve">分。</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2.商务分（47分）</w:t>
      </w:r>
      <w:r/>
    </w:p>
    <w:tbl>
      <w:tblPr>
        <w:tblStyle w:val="643"/>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6601"/>
      </w:tblGrid>
      <w:tr>
        <w:trPr>
          <w:jc w:val="center"/>
          <w:trHeight w:val="621"/>
        </w:trPr>
        <w:tc>
          <w:tcPr>
            <w:tcW w:w="169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60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696"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项目团队配置及人员资质（1</w:t>
            </w:r>
            <w:r>
              <w:rPr>
                <w:rFonts w:ascii="宋体" w:hAnsi="宋体" w:eastAsia="宋体"/>
                <w:sz w:val="24"/>
                <w:szCs w:val="24"/>
              </w:rPr>
              <w:t xml:space="preserve">2</w:t>
            </w:r>
            <w:r>
              <w:rPr>
                <w:rFonts w:hint="eastAsia" w:ascii="宋体" w:hAnsi="宋体" w:eastAsia="宋体"/>
                <w:sz w:val="24"/>
                <w:szCs w:val="24"/>
              </w:rPr>
              <w:t xml:space="preserve">分）</w:t>
            </w:r>
            <w:r/>
          </w:p>
        </w:tc>
        <w:tc>
          <w:tcPr>
            <w:tcW w:w="6601" w:type="dxa"/>
            <w:vAlign w:val="center"/>
            <w:textDirection w:val="lrTb"/>
            <w:noWrap w:val="false"/>
          </w:tcPr>
          <w:p>
            <w:pPr>
              <w:numPr>
                <w:ilvl w:val="0"/>
                <w:numId w:val="1"/>
              </w:numPr>
              <w:jc w:val="left"/>
              <w:spacing w:line="276" w:lineRule="auto"/>
              <w:rPr>
                <w:rFonts w:ascii="宋体" w:hAnsi="宋体" w:eastAsia="宋体"/>
                <w:sz w:val="24"/>
                <w:szCs w:val="24"/>
              </w:rPr>
            </w:pPr>
            <w:r>
              <w:rPr>
                <w:rFonts w:hint="eastAsia" w:ascii="宋体" w:hAnsi="宋体" w:eastAsia="宋体"/>
                <w:sz w:val="24"/>
                <w:szCs w:val="24"/>
              </w:rPr>
              <w:t xml:space="preserve">拟派项目负责人具有计算机、电子信息、软件工程、信息系统等相关专业副高级及以上职称（含软考高级以考代评资格）的每有一个</w:t>
            </w:r>
            <w:r>
              <w:rPr>
                <w:rFonts w:hint="eastAsia" w:ascii="宋体" w:hAnsi="宋体" w:eastAsia="宋体"/>
                <w:b/>
                <w:bCs/>
                <w:sz w:val="24"/>
                <w:szCs w:val="24"/>
              </w:rPr>
              <w:t xml:space="preserve">得2分，本项最高得4分；</w:t>
            </w:r>
            <w:r/>
          </w:p>
          <w:p>
            <w:pPr>
              <w:jc w:val="left"/>
              <w:rPr>
                <w:rFonts w:ascii="宋体" w:hAnsi="宋体" w:eastAsia="宋体"/>
                <w:sz w:val="24"/>
                <w:szCs w:val="24"/>
              </w:rPr>
            </w:pPr>
            <w:r>
              <w:rPr>
                <w:rFonts w:hint="eastAsia" w:ascii="Times New Roman" w:hAnsi="Times New Roman" w:eastAsia="宋体" w:cs="宋体"/>
                <w:b/>
                <w:bCs/>
                <w:sz w:val="24"/>
                <w:szCs w:val="18"/>
              </w:rPr>
              <w:t xml:space="preserve">（</w:t>
            </w:r>
            <w:r>
              <w:rPr>
                <w:rFonts w:hint="eastAsia" w:ascii="宋体" w:hAnsi="宋体" w:cs="宋体"/>
                <w:b/>
                <w:bCs/>
                <w:spacing w:val="-6"/>
                <w:sz w:val="24"/>
                <w:szCs w:val="24"/>
              </w:rPr>
              <w:t xml:space="preserve">投标文件中提供有效相关证书扫描件及2026年1月（含）以来任意1个月由投标人为其缴纳的社保证明材料扫描件并加盖投标人公章，否则不得分</w:t>
            </w:r>
            <w:r>
              <w:rPr>
                <w:rFonts w:hint="eastAsia" w:ascii="Times New Roman" w:hAnsi="Times New Roman" w:eastAsia="宋体" w:cs="宋体"/>
                <w:b/>
                <w:bCs/>
                <w:sz w:val="24"/>
                <w:szCs w:val="18"/>
              </w:rPr>
              <w:t xml:space="preserve">）</w:t>
            </w:r>
            <w:r/>
          </w:p>
          <w:p>
            <w:pPr>
              <w:numPr>
                <w:ilvl w:val="0"/>
                <w:numId w:val="1"/>
              </w:numPr>
              <w:jc w:val="left"/>
              <w:spacing w:line="276" w:lineRule="auto"/>
              <w:rPr>
                <w:rFonts w:ascii="宋体" w:hAnsi="宋体" w:eastAsia="宋体"/>
                <w:sz w:val="24"/>
                <w:szCs w:val="24"/>
              </w:rPr>
            </w:pPr>
            <w:r>
              <w:rPr>
                <w:rFonts w:hint="eastAsia" w:ascii="宋体" w:hAnsi="宋体" w:eastAsia="宋体"/>
                <w:sz w:val="24"/>
                <w:szCs w:val="24"/>
              </w:rPr>
              <w:t xml:space="preserve">拟派项目负责人具有民政养老信息化同类项目管理经验的得2分；</w:t>
            </w:r>
            <w:r/>
          </w:p>
          <w:p>
            <w:pPr>
              <w:jc w:val="left"/>
              <w:spacing w:line="276" w:lineRule="auto"/>
              <w:rPr>
                <w:rFonts w:ascii="宋体" w:hAnsi="宋体" w:eastAsia="宋体"/>
                <w:sz w:val="24"/>
                <w:szCs w:val="24"/>
              </w:rPr>
            </w:pPr>
            <w:r>
              <w:rPr>
                <w:rFonts w:hint="eastAsia" w:ascii="宋体" w:hAnsi="宋体" w:eastAsia="宋体"/>
                <w:sz w:val="24"/>
                <w:szCs w:val="24"/>
              </w:rPr>
              <w:t xml:space="preserve">（</w:t>
            </w:r>
            <w:r>
              <w:rPr>
                <w:rFonts w:hint="eastAsia" w:ascii="Times New Roman" w:hAnsi="Times New Roman" w:eastAsia="宋体" w:cs="Times New Roman"/>
                <w:b/>
                <w:bCs/>
                <w:sz w:val="24"/>
                <w:szCs w:val="18"/>
              </w:rPr>
              <w:t xml:space="preserve">(投标文件中提供合同原件扫描件并加盖公章，时间以合同为准，合同中无法体现项目经理或项目负责人身份的还需提供加盖被服务单位公章或其内设机构的公章的任职证明，否则不得分。)</w:t>
            </w:r>
            <w:r>
              <w:rPr>
                <w:rFonts w:hint="eastAsia" w:ascii="宋体" w:hAnsi="宋体" w:eastAsia="宋体"/>
                <w:sz w:val="24"/>
                <w:szCs w:val="24"/>
              </w:rPr>
              <w:t xml:space="preserve">）</w:t>
            </w:r>
            <w:r/>
          </w:p>
          <w:p>
            <w:pPr>
              <w:jc w:val="left"/>
              <w:spacing w:line="276" w:lineRule="auto"/>
              <w:rPr>
                <w:rFonts w:ascii="宋体" w:hAnsi="宋体" w:eastAsia="宋体"/>
                <w:sz w:val="24"/>
                <w:szCs w:val="24"/>
              </w:rPr>
            </w:pPr>
            <w:r>
              <w:rPr>
                <w:rFonts w:hint="eastAsia" w:ascii="宋体" w:hAnsi="宋体" w:eastAsia="宋体"/>
                <w:sz w:val="24"/>
                <w:szCs w:val="24"/>
              </w:rPr>
              <w:t xml:space="preserve">3.</w:t>
            </w:r>
            <w:r>
              <w:rPr>
                <w:rFonts w:hint="eastAsia"/>
              </w:rPr>
              <w:t xml:space="preserve"> </w:t>
            </w:r>
            <w:r>
              <w:rPr>
                <w:rFonts w:hint="eastAsia" w:ascii="宋体" w:hAnsi="宋体" w:eastAsia="宋体"/>
                <w:sz w:val="24"/>
                <w:szCs w:val="24"/>
              </w:rPr>
              <w:t xml:space="preserve">拟派核心团队成员（除项目负责人外）须具备计算机、电子信息、软件工程、信息系统等相关专业中级及以上职称（含软考中级、高级以考代评），每提供1人有效证书得2分，</w:t>
            </w:r>
            <w:r>
              <w:rPr>
                <w:rFonts w:hint="eastAsia" w:ascii="宋体" w:hAnsi="宋体" w:eastAsia="宋体"/>
                <w:b/>
                <w:bCs/>
                <w:sz w:val="24"/>
                <w:szCs w:val="24"/>
              </w:rPr>
              <w:t xml:space="preserve">本项最高6分。</w:t>
            </w:r>
            <w:r>
              <w:rPr>
                <w:rFonts w:hint="eastAsia" w:ascii="宋体" w:hAnsi="宋体" w:eastAsia="宋体"/>
                <w:sz w:val="24"/>
                <w:szCs w:val="24"/>
              </w:rPr>
              <w:t xml:space="preserve">（一人多证不重复得分）</w:t>
            </w:r>
            <w:r/>
          </w:p>
          <w:p>
            <w:pPr>
              <w:jc w:val="left"/>
              <w:rPr>
                <w:rFonts w:ascii="宋体" w:hAnsi="宋体" w:eastAsia="宋体"/>
                <w:sz w:val="24"/>
                <w:szCs w:val="24"/>
              </w:rPr>
            </w:pPr>
            <w:r>
              <w:rPr>
                <w:rFonts w:hint="eastAsia" w:ascii="Times New Roman" w:hAnsi="Times New Roman" w:eastAsia="宋体" w:cs="宋体"/>
                <w:b/>
                <w:bCs/>
                <w:sz w:val="24"/>
                <w:szCs w:val="18"/>
              </w:rPr>
              <w:t xml:space="preserve">（</w:t>
            </w:r>
            <w:r>
              <w:rPr>
                <w:rFonts w:hint="eastAsia" w:ascii="宋体" w:hAnsi="宋体" w:cs="宋体"/>
                <w:b/>
                <w:bCs/>
                <w:spacing w:val="-6"/>
                <w:sz w:val="24"/>
                <w:szCs w:val="24"/>
              </w:rPr>
              <w:t xml:space="preserve">投标文件中提供有效相关证书扫描件及2026年1月（含）以来任意1个月由投标人为其缴纳的社保证明材料扫描件并加盖投标人公章，否则不得分</w:t>
            </w:r>
            <w:r>
              <w:rPr>
                <w:rFonts w:hint="eastAsia" w:ascii="Times New Roman" w:hAnsi="Times New Roman" w:eastAsia="宋体" w:cs="宋体"/>
                <w:b/>
                <w:bCs/>
                <w:sz w:val="24"/>
                <w:szCs w:val="18"/>
              </w:rPr>
              <w:t xml:space="preserve">）</w:t>
            </w:r>
            <w:r/>
          </w:p>
        </w:tc>
      </w:tr>
      <w:tr>
        <w:trPr>
          <w:jc w:val="center"/>
          <w:trHeight w:val="621"/>
        </w:trPr>
        <w:tc>
          <w:tcPr>
            <w:tcW w:w="1696"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业绩（</w:t>
            </w:r>
            <w:r>
              <w:rPr>
                <w:rFonts w:ascii="宋体" w:hAnsi="宋体" w:eastAsia="宋体"/>
                <w:sz w:val="24"/>
                <w:szCs w:val="24"/>
              </w:rPr>
              <w:t xml:space="preserve">15</w:t>
            </w:r>
            <w:r>
              <w:rPr>
                <w:rFonts w:hint="eastAsia" w:ascii="宋体" w:hAnsi="宋体" w:eastAsia="宋体"/>
                <w:sz w:val="24"/>
                <w:szCs w:val="24"/>
              </w:rPr>
              <w:t xml:space="preserve">分）</w:t>
            </w:r>
            <w:r/>
          </w:p>
        </w:tc>
        <w:tc>
          <w:tcPr>
            <w:tcW w:w="6601" w:type="dxa"/>
            <w:vAlign w:val="center"/>
            <w:textDirection w:val="lrTb"/>
            <w:noWrap w:val="false"/>
          </w:tcPr>
          <w:p>
            <w:pPr>
              <w:jc w:val="left"/>
              <w:spacing w:line="276" w:lineRule="auto"/>
              <w:rPr>
                <w:rFonts w:ascii="宋体" w:hAnsi="宋体" w:eastAsia="宋体"/>
                <w:b/>
                <w:bCs/>
                <w:sz w:val="24"/>
                <w:szCs w:val="24"/>
              </w:rPr>
            </w:pPr>
            <w:r>
              <w:rPr>
                <w:rFonts w:ascii="宋体" w:hAnsi="宋体" w:eastAsia="宋体"/>
                <w:sz w:val="24"/>
                <w:szCs w:val="24"/>
              </w:rPr>
              <w:t xml:space="preserve">2022</w:t>
            </w:r>
            <w:r>
              <w:rPr>
                <w:rFonts w:hint="eastAsia" w:ascii="宋体" w:hAnsi="宋体" w:eastAsia="宋体"/>
                <w:sz w:val="24"/>
                <w:szCs w:val="24"/>
              </w:rPr>
              <w:t xml:space="preserve">年1月1日以来（以合同签订时间为准），投标人承接过养老或民政智慧监管平台、信息化平台等类似信息系统建设类项目的，每提供</w:t>
            </w:r>
            <w:r>
              <w:rPr>
                <w:rFonts w:ascii="宋体" w:hAnsi="宋体" w:eastAsia="宋体"/>
                <w:sz w:val="24"/>
                <w:szCs w:val="24"/>
              </w:rPr>
              <w:t xml:space="preserve">1</w:t>
            </w:r>
            <w:r>
              <w:rPr>
                <w:rFonts w:hint="eastAsia" w:ascii="宋体" w:hAnsi="宋体" w:eastAsia="宋体"/>
                <w:sz w:val="24"/>
                <w:szCs w:val="24"/>
              </w:rPr>
              <w:t xml:space="preserve">个完整有效业绩得</w:t>
            </w:r>
            <w:r>
              <w:rPr>
                <w:rFonts w:ascii="宋体" w:hAnsi="宋体" w:eastAsia="宋体"/>
                <w:sz w:val="24"/>
                <w:szCs w:val="24"/>
              </w:rPr>
              <w:t xml:space="preserve">3</w:t>
            </w:r>
            <w:r>
              <w:rPr>
                <w:rFonts w:hint="eastAsia" w:ascii="宋体" w:hAnsi="宋体" w:eastAsia="宋体"/>
                <w:sz w:val="24"/>
                <w:szCs w:val="24"/>
              </w:rPr>
              <w:t xml:space="preserve">分，</w:t>
            </w:r>
            <w:r>
              <w:rPr>
                <w:rFonts w:hint="eastAsia" w:ascii="宋体" w:hAnsi="宋体" w:eastAsia="宋体"/>
                <w:b/>
                <w:bCs/>
                <w:sz w:val="24"/>
                <w:szCs w:val="24"/>
              </w:rPr>
              <w:t xml:space="preserve">本项最高得</w:t>
            </w:r>
            <w:r>
              <w:rPr>
                <w:rFonts w:ascii="宋体" w:hAnsi="宋体" w:eastAsia="宋体"/>
                <w:b/>
                <w:bCs/>
                <w:sz w:val="24"/>
                <w:szCs w:val="24"/>
              </w:rPr>
              <w:t xml:space="preserve">15</w:t>
            </w:r>
            <w:r>
              <w:rPr>
                <w:rFonts w:hint="eastAsia" w:ascii="宋体" w:hAnsi="宋体" w:eastAsia="宋体"/>
                <w:b/>
                <w:bCs/>
                <w:sz w:val="24"/>
                <w:szCs w:val="24"/>
              </w:rPr>
              <w:t xml:space="preserve">分。</w:t>
            </w:r>
            <w:r/>
          </w:p>
          <w:p>
            <w:pPr>
              <w:jc w:val="left"/>
              <w:spacing w:line="276" w:lineRule="auto"/>
              <w:rPr>
                <w:rFonts w:ascii="宋体" w:hAnsi="宋体" w:eastAsia="宋体"/>
                <w:sz w:val="24"/>
                <w:szCs w:val="24"/>
              </w:rPr>
            </w:pPr>
            <w:r>
              <w:rPr>
                <w:rFonts w:hint="eastAsia" w:ascii="Times New Roman" w:hAnsi="Times New Roman" w:eastAsia="宋体" w:cs="宋体"/>
                <w:b/>
                <w:bCs/>
                <w:sz w:val="24"/>
                <w:szCs w:val="18"/>
              </w:rPr>
              <w:t xml:space="preserve">（投标文件中提供合同原件扫描件及验收证明并加盖公章，</w:t>
            </w:r>
            <w:r>
              <w:rPr>
                <w:rFonts w:hint="eastAsia" w:ascii="Times New Roman" w:hAnsi="Times New Roman" w:eastAsia="宋体"/>
                <w:b/>
                <w:bCs/>
                <w:color w:val="000000"/>
                <w:sz w:val="24"/>
                <w:szCs w:val="18"/>
              </w:rPr>
              <w:t xml:space="preserve">时间以合同为准</w:t>
            </w:r>
            <w:r>
              <w:rPr>
                <w:rFonts w:hint="eastAsia" w:ascii="Times New Roman" w:hAnsi="Times New Roman" w:eastAsia="宋体" w:cs="宋体"/>
                <w:b/>
                <w:bCs/>
                <w:sz w:val="24"/>
                <w:szCs w:val="18"/>
              </w:rPr>
              <w:t xml:space="preserve">，合同须能明确反映出服务内容、合同双方签订名称、签订时间等，否则不得分））</w:t>
            </w:r>
            <w:r/>
          </w:p>
        </w:tc>
      </w:tr>
      <w:tr>
        <w:trPr>
          <w:jc w:val="center"/>
          <w:trHeight w:val="621"/>
        </w:trPr>
        <w:tc>
          <w:tcPr>
            <w:tcW w:w="1696"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知识产权（8分）</w:t>
            </w:r>
            <w:r/>
          </w:p>
        </w:tc>
        <w:tc>
          <w:tcPr>
            <w:tcW w:w="6601" w:type="dxa"/>
            <w:vAlign w:val="center"/>
            <w:textDirection w:val="lrTb"/>
            <w:noWrap w:val="false"/>
          </w:tcPr>
          <w:p>
            <w:pPr>
              <w:jc w:val="left"/>
              <w:spacing w:line="276" w:lineRule="auto"/>
              <w:rPr>
                <w:rFonts w:ascii="宋体" w:hAnsi="宋体" w:eastAsia="宋体"/>
                <w:b/>
                <w:bCs/>
                <w:sz w:val="24"/>
                <w:szCs w:val="24"/>
              </w:rPr>
            </w:pPr>
            <w:r>
              <w:rPr>
                <w:rFonts w:hint="eastAsia" w:ascii="宋体" w:hAnsi="宋体" w:eastAsia="宋体"/>
                <w:sz w:val="24"/>
                <w:szCs w:val="24"/>
              </w:rPr>
              <w:t xml:space="preserve">投标人具有养老、民政信息化平台或类似信息系统相关的软件著作权，</w:t>
            </w:r>
            <w:r>
              <w:rPr>
                <w:rFonts w:hint="eastAsia" w:ascii="宋体" w:hAnsi="Arial"/>
                <w:bCs/>
                <w:sz w:val="24"/>
              </w:rPr>
              <w:t xml:space="preserve">每提供一个证书得1分</w:t>
            </w:r>
            <w:r>
              <w:rPr>
                <w:rFonts w:hint="eastAsia" w:ascii="宋体" w:hAnsi="宋体" w:eastAsia="宋体"/>
                <w:sz w:val="24"/>
                <w:szCs w:val="24"/>
              </w:rPr>
              <w:t xml:space="preserve">，</w:t>
            </w:r>
            <w:r>
              <w:rPr>
                <w:rFonts w:hint="eastAsia" w:ascii="宋体" w:hAnsi="宋体" w:eastAsia="宋体"/>
                <w:b/>
                <w:bCs/>
                <w:sz w:val="24"/>
                <w:szCs w:val="24"/>
              </w:rPr>
              <w:t xml:space="preserve">本项最高得8分。</w:t>
            </w:r>
            <w:r/>
          </w:p>
          <w:p>
            <w:pPr>
              <w:jc w:val="left"/>
              <w:spacing w:line="276" w:lineRule="auto"/>
              <w:rPr>
                <w:rFonts w:ascii="宋体" w:hAnsi="宋体" w:eastAsia="宋体"/>
                <w:b/>
                <w:bCs/>
                <w:sz w:val="24"/>
                <w:szCs w:val="24"/>
              </w:rPr>
            </w:pPr>
            <w:r>
              <w:rPr>
                <w:rFonts w:hint="eastAsia" w:ascii="宋体" w:hAnsi="Arial"/>
                <w:b/>
                <w:sz w:val="24"/>
              </w:rPr>
              <w:t xml:space="preserve">（投标文件中提供软件著作权证书扫描件并加盖投标人公章，否则不得分。名称或功能相近的，由评委会统一认定）</w:t>
            </w:r>
            <w:r/>
          </w:p>
        </w:tc>
      </w:tr>
      <w:tr>
        <w:trPr>
          <w:jc w:val="center"/>
          <w:trHeight w:val="621"/>
        </w:trPr>
        <w:tc>
          <w:tcPr>
            <w:tcW w:w="1696"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企业能力认证（12分）</w:t>
            </w:r>
            <w:r/>
          </w:p>
        </w:tc>
        <w:tc>
          <w:tcPr>
            <w:tcW w:w="6601" w:type="dxa"/>
            <w:vAlign w:val="center"/>
            <w:textDirection w:val="lrTb"/>
            <w:noWrap w:val="false"/>
          </w:tcPr>
          <w:p>
            <w:pPr>
              <w:jc w:val="left"/>
              <w:spacing w:line="276" w:lineRule="auto"/>
              <w:rPr>
                <w:rFonts w:ascii="宋体" w:hAnsi="宋体" w:eastAsia="宋体"/>
                <w:sz w:val="24"/>
                <w:szCs w:val="24"/>
              </w:rPr>
            </w:pPr>
            <w:r>
              <w:rPr>
                <w:rFonts w:hint="eastAsia" w:ascii="宋体" w:hAnsi="宋体" w:eastAsia="宋体"/>
                <w:sz w:val="24"/>
                <w:szCs w:val="24"/>
              </w:rPr>
              <w:t xml:space="preserve">1.投标人具有信息技术服务管理体系认证证书（ISO20000）的</w:t>
            </w:r>
            <w:r>
              <w:rPr>
                <w:rFonts w:hint="eastAsia" w:ascii="宋体" w:hAnsi="宋体" w:eastAsia="宋体"/>
                <w:b/>
                <w:bCs/>
                <w:sz w:val="24"/>
                <w:szCs w:val="24"/>
              </w:rPr>
              <w:t xml:space="preserve">得</w:t>
            </w:r>
            <w:r>
              <w:rPr>
                <w:rFonts w:ascii="宋体" w:hAnsi="宋体" w:eastAsia="宋体"/>
                <w:b/>
                <w:bCs/>
                <w:sz w:val="24"/>
                <w:szCs w:val="24"/>
              </w:rPr>
              <w:t xml:space="preserve">3</w:t>
            </w:r>
            <w:r>
              <w:rPr>
                <w:rFonts w:hint="eastAsia" w:ascii="宋体" w:hAnsi="宋体" w:eastAsia="宋体"/>
                <w:b/>
                <w:bCs/>
                <w:sz w:val="24"/>
                <w:szCs w:val="24"/>
              </w:rPr>
              <w:t xml:space="preserve">分；</w:t>
            </w:r>
            <w:r/>
          </w:p>
          <w:p>
            <w:pPr>
              <w:jc w:val="left"/>
              <w:spacing w:line="276" w:lineRule="auto"/>
              <w:rPr>
                <w:rFonts w:ascii="宋体" w:hAnsi="宋体" w:eastAsia="宋体"/>
                <w:sz w:val="24"/>
                <w:szCs w:val="24"/>
              </w:rPr>
            </w:pPr>
            <w:r>
              <w:rPr>
                <w:rFonts w:hint="eastAsia" w:ascii="宋体" w:hAnsi="宋体" w:eastAsia="宋体"/>
                <w:sz w:val="24"/>
                <w:szCs w:val="24"/>
              </w:rPr>
              <w:t xml:space="preserve">2.投标人具有信息安全管理体系ISO27001认证证书的</w:t>
            </w:r>
            <w:r>
              <w:rPr>
                <w:rFonts w:hint="eastAsia" w:ascii="宋体" w:hAnsi="宋体" w:eastAsia="宋体"/>
                <w:b/>
                <w:bCs/>
                <w:sz w:val="24"/>
                <w:szCs w:val="24"/>
              </w:rPr>
              <w:t xml:space="preserve">得</w:t>
            </w:r>
            <w:r>
              <w:rPr>
                <w:rFonts w:ascii="宋体" w:hAnsi="宋体" w:eastAsia="宋体"/>
                <w:b/>
                <w:bCs/>
                <w:sz w:val="24"/>
                <w:szCs w:val="24"/>
              </w:rPr>
              <w:t xml:space="preserve">3</w:t>
            </w:r>
            <w:r>
              <w:rPr>
                <w:rFonts w:hint="eastAsia" w:ascii="宋体" w:hAnsi="宋体" w:eastAsia="宋体"/>
                <w:b/>
                <w:bCs/>
                <w:sz w:val="24"/>
                <w:szCs w:val="24"/>
              </w:rPr>
              <w:t xml:space="preserve">分；</w:t>
            </w:r>
            <w:r/>
          </w:p>
          <w:p>
            <w:pPr>
              <w:jc w:val="left"/>
              <w:spacing w:line="276" w:lineRule="auto"/>
              <w:rPr>
                <w:rFonts w:ascii="宋体" w:hAnsi="宋体" w:eastAsia="宋体"/>
                <w:sz w:val="24"/>
                <w:szCs w:val="24"/>
              </w:rPr>
            </w:pPr>
            <w:r>
              <w:rPr>
                <w:rFonts w:hint="eastAsia" w:ascii="宋体" w:hAnsi="宋体" w:eastAsia="宋体"/>
                <w:sz w:val="24"/>
                <w:szCs w:val="24"/>
              </w:rPr>
              <w:t xml:space="preserve">3.投标人具有质量管理体系ISO9001认证证书的</w:t>
            </w:r>
            <w:r>
              <w:rPr>
                <w:rFonts w:hint="eastAsia" w:ascii="宋体" w:hAnsi="宋体" w:eastAsia="宋体"/>
                <w:b/>
                <w:bCs/>
                <w:sz w:val="24"/>
                <w:szCs w:val="24"/>
              </w:rPr>
              <w:t xml:space="preserve">得</w:t>
            </w:r>
            <w:r>
              <w:rPr>
                <w:rFonts w:ascii="宋体" w:hAnsi="宋体" w:eastAsia="宋体"/>
                <w:b/>
                <w:bCs/>
                <w:sz w:val="24"/>
                <w:szCs w:val="24"/>
              </w:rPr>
              <w:t xml:space="preserve">3</w:t>
            </w:r>
            <w:r>
              <w:rPr>
                <w:rFonts w:hint="eastAsia" w:ascii="宋体" w:hAnsi="宋体" w:eastAsia="宋体"/>
                <w:b/>
                <w:bCs/>
                <w:sz w:val="24"/>
                <w:szCs w:val="24"/>
              </w:rPr>
              <w:t xml:space="preserve">分；</w:t>
            </w:r>
            <w:r/>
          </w:p>
          <w:p>
            <w:pPr>
              <w:jc w:val="left"/>
              <w:spacing w:line="276"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投标人具有CMMI</w:t>
            </w:r>
            <w:r>
              <w:rPr>
                <w:rFonts w:ascii="宋体" w:hAnsi="宋体" w:eastAsia="宋体"/>
                <w:sz w:val="24"/>
                <w:szCs w:val="24"/>
              </w:rPr>
              <w:t xml:space="preserve"> </w:t>
            </w:r>
            <w:r>
              <w:rPr>
                <w:rFonts w:hint="eastAsia" w:ascii="宋体" w:hAnsi="宋体" w:eastAsia="宋体"/>
                <w:sz w:val="24"/>
                <w:szCs w:val="24"/>
              </w:rPr>
              <w:t xml:space="preserve">3级及以上软件成熟度证书的</w:t>
            </w:r>
            <w:r>
              <w:rPr>
                <w:rFonts w:hint="eastAsia" w:ascii="宋体" w:hAnsi="宋体" w:eastAsia="宋体"/>
                <w:b/>
                <w:bCs/>
                <w:sz w:val="24"/>
                <w:szCs w:val="24"/>
              </w:rPr>
              <w:t xml:space="preserve">得</w:t>
            </w:r>
            <w:r>
              <w:rPr>
                <w:rFonts w:ascii="宋体" w:hAnsi="宋体" w:eastAsia="宋体"/>
                <w:b/>
                <w:bCs/>
                <w:sz w:val="24"/>
                <w:szCs w:val="24"/>
              </w:rPr>
              <w:t xml:space="preserve">3</w:t>
            </w:r>
            <w:r>
              <w:rPr>
                <w:rFonts w:hint="eastAsia" w:ascii="宋体" w:hAnsi="宋体" w:eastAsia="宋体"/>
                <w:b/>
                <w:bCs/>
                <w:sz w:val="24"/>
                <w:szCs w:val="24"/>
              </w:rPr>
              <w:t xml:space="preserve">分。</w:t>
            </w:r>
            <w:r/>
          </w:p>
          <w:p>
            <w:pPr>
              <w:jc w:val="left"/>
              <w:spacing w:line="276" w:lineRule="auto"/>
              <w:rPr>
                <w:rFonts w:ascii="宋体" w:hAnsi="宋体" w:eastAsia="宋体"/>
                <w:sz w:val="24"/>
                <w:szCs w:val="24"/>
              </w:rPr>
            </w:pPr>
            <w:r>
              <w:rPr>
                <w:rFonts w:hint="eastAsia" w:ascii="宋体" w:hAnsi="Arial"/>
                <w:b/>
                <w:sz w:val="24"/>
              </w:rPr>
              <w:t xml:space="preserve">（上述1-4项投标文件中提供有效证书扫描件并加盖投标人公章，否则不得分）</w:t>
            </w:r>
            <w:r/>
          </w:p>
        </w:tc>
      </w:tr>
    </w:tbl>
    <w:p>
      <w:pPr>
        <w:pStyle w:val="652"/>
        <w:spacing w:before="0" w:beforeAutospacing="0" w:after="0" w:afterAutospacing="0" w:line="273" w:lineRule="auto"/>
        <w:widowControl w:val="off"/>
      </w:pPr>
      <w:r>
        <w:rPr>
          <w:rFonts w:hint="eastAsia"/>
          <w:b/>
          <w:bCs/>
          <w:color w:val="000000"/>
        </w:rPr>
        <w:t xml:space="preserve">注：高级资格证书包括：信息系统项目管理师、系统分析师、系统架构设计师、网络规划设计师、系统规划与管理师  </w:t>
      </w:r>
      <w:r/>
    </w:p>
    <w:p>
      <w:pPr>
        <w:pStyle w:val="652"/>
        <w:spacing w:before="0" w:beforeAutospacing="0" w:after="0" w:afterAutospacing="0" w:line="273" w:lineRule="auto"/>
        <w:widowControl w:val="off"/>
      </w:pPr>
      <w:r>
        <w:rPr>
          <w:rFonts w:hint="eastAsia"/>
          <w:b/>
          <w:bCs/>
          <w:color w:val="000000"/>
        </w:rPr>
        <w:t xml:space="preserve">中级资格证书包括：软件评测师、软件设计师、软件过程能力评估师、网络工程师</w:t>
      </w:r>
      <w:r>
        <w:rPr>
          <w:rFonts w:ascii="Calibri" w:hAnsi="Calibri" w:cs="Calibri"/>
          <w:color w:val="000000"/>
          <w:sz w:val="21"/>
          <w:szCs w:val="21"/>
        </w:rPr>
        <w:t xml:space="preserve">、</w:t>
      </w:r>
      <w:r>
        <w:rPr>
          <w:rFonts w:hint="eastAsia"/>
          <w:b/>
          <w:bCs/>
          <w:color w:val="000000"/>
        </w:rPr>
        <w:t xml:space="preserve">多媒体应用设计师、嵌入式系统设计师、计算机辅助设计师、电子商务设计师、系统集成项目管理工程师、信息系统监理师、信息安全工程师、数据库系统工程师、信息系统管理工程师、计算机硬件工程师、信息技术支持工程师</w:t>
      </w:r>
      <w:r/>
    </w:p>
    <w:p>
      <w:pPr>
        <w:ind w:firstLine="482"/>
        <w:jc w:val="left"/>
        <w:spacing w:line="360" w:lineRule="auto"/>
        <w:rPr>
          <w:rFonts w:ascii="宋体" w:hAnsi="宋体" w:eastAsia="宋体" w:cs="宋体"/>
          <w:b/>
          <w:sz w:val="24"/>
          <w:szCs w:val="24"/>
        </w:rPr>
      </w:pPr>
      <w:r>
        <w:rPr>
          <w:rFonts w:ascii="宋体" w:hAnsi="宋体" w:eastAsia="宋体" w:cs="宋体"/>
          <w:b/>
          <w:sz w:val="24"/>
          <w:szCs w:val="24"/>
        </w:rPr>
      </w:r>
      <w:r/>
    </w:p>
    <w:p>
      <w:pPr>
        <w:ind w:firstLine="482"/>
        <w:jc w:val="left"/>
        <w:spacing w:line="360" w:lineRule="auto"/>
        <w:rPr>
          <w:rFonts w:ascii="宋体" w:hAnsi="宋体" w:cs="宋体"/>
          <w:b/>
          <w:sz w:val="24"/>
          <w:szCs w:val="24"/>
        </w:rPr>
      </w:pPr>
      <w:r>
        <w:rPr>
          <w:rFonts w:hint="eastAsia" w:ascii="宋体" w:hAnsi="宋体" w:eastAsia="宋体" w:cs="宋体"/>
          <w:b/>
          <w:sz w:val="24"/>
          <w:szCs w:val="24"/>
        </w:rPr>
        <w:t xml:space="preserve">3.技术分（</w:t>
      </w:r>
      <w:r>
        <w:rPr>
          <w:rFonts w:ascii="宋体" w:hAnsi="宋体" w:eastAsia="宋体" w:cs="宋体"/>
          <w:b/>
          <w:sz w:val="24"/>
          <w:szCs w:val="24"/>
        </w:rPr>
        <w:t xml:space="preserve">38</w:t>
      </w:r>
      <w:r>
        <w:rPr>
          <w:rFonts w:hint="eastAsia" w:ascii="宋体" w:hAnsi="宋体" w:eastAsia="宋体" w:cs="宋体"/>
          <w:b/>
          <w:sz w:val="24"/>
          <w:szCs w:val="24"/>
        </w:rPr>
        <w:t xml:space="preserve">分）（本部分</w:t>
      </w:r>
      <w:r>
        <w:rPr>
          <w:rFonts w:hint="eastAsia" w:ascii="宋体" w:hAnsi="宋体" w:cs="Calibri"/>
          <w:b/>
          <w:color w:val="000000"/>
          <w:sz w:val="24"/>
          <w:szCs w:val="24"/>
        </w:rPr>
        <w:t xml:space="preserve">采用暗标方式进行评审）</w:t>
      </w:r>
      <w:r/>
    </w:p>
    <w:tbl>
      <w:tblPr>
        <w:tblStyle w:val="643"/>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6634"/>
      </w:tblGrid>
      <w:tr>
        <w:trPr>
          <w:jc w:val="center"/>
          <w:trHeight w:val="621"/>
        </w:trPr>
        <w:tc>
          <w:tcPr>
            <w:tcW w:w="169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63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696"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项目总体理解与总体架构设计方案</w:t>
            </w:r>
            <w:r>
              <w:rPr>
                <w:rFonts w:ascii="宋体" w:hAnsi="宋体" w:eastAsia="宋体"/>
                <w:sz w:val="24"/>
                <w:szCs w:val="24"/>
              </w:rPr>
              <w:t xml:space="preserve">8</w:t>
            </w:r>
            <w:r>
              <w:rPr>
                <w:rFonts w:hint="eastAsia" w:ascii="宋体" w:hAnsi="宋体" w:eastAsia="宋体"/>
                <w:sz w:val="24"/>
                <w:szCs w:val="24"/>
              </w:rPr>
              <w:t xml:space="preserve">分</w:t>
            </w:r>
            <w:r/>
          </w:p>
        </w:tc>
        <w:tc>
          <w:tcPr>
            <w:tcW w:w="6634" w:type="dxa"/>
            <w:vAlign w:val="center"/>
            <w:textDirection w:val="lrTb"/>
            <w:noWrap w:val="false"/>
          </w:tcPr>
          <w:p>
            <w:pPr>
              <w:jc w:val="left"/>
              <w:spacing w:line="276" w:lineRule="auto"/>
              <w:rPr>
                <w:rFonts w:ascii="宋体" w:hAnsi="宋体" w:eastAsia="宋体"/>
                <w:sz w:val="24"/>
                <w:szCs w:val="24"/>
              </w:rPr>
            </w:pPr>
            <w:r>
              <w:rPr>
                <w:rFonts w:hint="eastAsia" w:ascii="宋体" w:hAnsi="Arial"/>
                <w:bCs/>
                <w:sz w:val="24"/>
              </w:rPr>
              <w:t xml:space="preserve">投标人提供项目总体设计方案，内容包括但不限于</w:t>
            </w:r>
            <w:r>
              <w:rPr>
                <w:rFonts w:hint="eastAsia" w:ascii="宋体" w:hAnsi="宋体" w:eastAsia="宋体"/>
                <w:sz w:val="24"/>
                <w:szCs w:val="24"/>
              </w:rPr>
              <w:t xml:space="preserve">对养老服务智慧综合监管平台（连云港节点）建设目标、业务场景、省级对接、“一人一码”、三个在线监管理解深刻；总体架构分层清晰，B/S多层架构，信创适配设计完整，接口规划合理。</w:t>
            </w:r>
            <w:r/>
          </w:p>
          <w:p>
            <w:pPr>
              <w:jc w:val="left"/>
              <w:spacing w:line="560" w:lineRule="exact"/>
              <w:rPr>
                <w:rFonts w:ascii="宋体" w:hAnsi="Arial"/>
                <w:bCs/>
                <w:sz w:val="24"/>
                <w:szCs w:val="24"/>
              </w:rPr>
            </w:pPr>
            <w:r>
              <w:rPr>
                <w:rFonts w:hint="eastAsia" w:ascii="宋体" w:hAnsi="Arial"/>
                <w:bCs/>
                <w:sz w:val="24"/>
                <w:szCs w:val="24"/>
              </w:rPr>
              <w:t xml:space="preserve">对项目需求有深刻的理解，对系统总体架构、系统集成有深入的分析研究、科学合理、能够贴合采购需求的</w:t>
            </w:r>
            <w:r>
              <w:rPr>
                <w:rFonts w:hint="eastAsia" w:ascii="宋体" w:hAnsi="Arial"/>
                <w:b/>
                <w:sz w:val="24"/>
                <w:szCs w:val="24"/>
              </w:rPr>
              <w:t xml:space="preserve">得8分；</w:t>
            </w:r>
            <w:r/>
          </w:p>
          <w:p>
            <w:pPr>
              <w:jc w:val="left"/>
              <w:spacing w:line="560" w:lineRule="exact"/>
              <w:rPr>
                <w:rFonts w:ascii="宋体" w:hAnsi="Arial"/>
                <w:bCs/>
                <w:sz w:val="24"/>
                <w:szCs w:val="24"/>
              </w:rPr>
            </w:pPr>
            <w:r>
              <w:rPr>
                <w:rFonts w:hint="eastAsia" w:ascii="宋体" w:hAnsi="Arial"/>
                <w:bCs/>
                <w:sz w:val="24"/>
                <w:szCs w:val="24"/>
              </w:rPr>
              <w:t xml:space="preserve">对项目需求有较深刻的理解，对系统总体架构、系统集成有较深入的分析研究，较能贴合采购需求的</w:t>
            </w:r>
            <w:r>
              <w:rPr>
                <w:rFonts w:hint="eastAsia" w:ascii="宋体" w:hAnsi="Arial"/>
                <w:b/>
                <w:sz w:val="24"/>
                <w:szCs w:val="24"/>
              </w:rPr>
              <w:t xml:space="preserve">得5分；</w:t>
            </w:r>
            <w:r/>
          </w:p>
          <w:p>
            <w:pPr>
              <w:jc w:val="left"/>
              <w:spacing w:line="560" w:lineRule="exact"/>
              <w:rPr>
                <w:rFonts w:ascii="宋体" w:hAnsi="Arial"/>
                <w:bCs/>
                <w:sz w:val="24"/>
                <w:szCs w:val="24"/>
              </w:rPr>
            </w:pPr>
            <w:r>
              <w:rPr>
                <w:rFonts w:hint="eastAsia" w:ascii="宋体" w:hAnsi="Arial"/>
                <w:bCs/>
                <w:sz w:val="24"/>
                <w:szCs w:val="24"/>
              </w:rPr>
              <w:t xml:space="preserve">对项目需求理解简单粗糙，与采购需求理解存在偏差的</w:t>
            </w:r>
            <w:r>
              <w:rPr>
                <w:rFonts w:hint="eastAsia" w:ascii="宋体" w:hAnsi="Arial"/>
                <w:b/>
                <w:sz w:val="24"/>
                <w:szCs w:val="24"/>
              </w:rPr>
              <w:t xml:space="preserve">得2分；</w:t>
            </w:r>
            <w:r/>
          </w:p>
          <w:p>
            <w:pPr>
              <w:jc w:val="left"/>
              <w:spacing w:line="276" w:lineRule="auto"/>
              <w:rPr>
                <w:rFonts w:ascii="宋体" w:hAnsi="宋体" w:eastAsia="宋体"/>
                <w:sz w:val="24"/>
                <w:szCs w:val="24"/>
              </w:rPr>
            </w:pPr>
            <w:r>
              <w:rPr>
                <w:rFonts w:hint="eastAsia" w:ascii="宋体" w:hAnsi="Arial"/>
                <w:b/>
                <w:sz w:val="24"/>
                <w:szCs w:val="24"/>
              </w:rPr>
              <w:t xml:space="preserve">该项未见阐述不得分。</w:t>
            </w:r>
            <w:r/>
          </w:p>
        </w:tc>
      </w:tr>
      <w:tr>
        <w:trPr>
          <w:jc w:val="center"/>
          <w:trHeight w:val="621"/>
        </w:trPr>
        <w:tc>
          <w:tcPr>
            <w:tcW w:w="1696" w:type="dxa"/>
            <w:vAlign w:val="center"/>
            <w:textDirection w:val="lrTb"/>
            <w:noWrap w:val="false"/>
          </w:tcPr>
          <w:p>
            <w:pPr>
              <w:jc w:val="center"/>
              <w:spacing w:line="276" w:lineRule="auto"/>
              <w:rPr>
                <w:rFonts w:ascii="宋体" w:hAnsi="宋体" w:eastAsia="宋体"/>
                <w:sz w:val="24"/>
                <w:szCs w:val="24"/>
              </w:rPr>
            </w:pPr>
            <w:r>
              <w:rPr>
                <w:rFonts w:ascii="宋体" w:hAnsi="宋体" w:eastAsia="宋体"/>
                <w:sz w:val="24"/>
                <w:szCs w:val="24"/>
              </w:rPr>
              <w:t xml:space="preserve">数据治理、数据归集与数据安全方案6</w:t>
            </w:r>
            <w:r>
              <w:rPr>
                <w:rFonts w:hint="eastAsia" w:ascii="宋体" w:hAnsi="宋体" w:eastAsia="宋体"/>
                <w:sz w:val="24"/>
                <w:szCs w:val="24"/>
              </w:rPr>
              <w:t xml:space="preserve">分</w:t>
            </w:r>
            <w:r/>
          </w:p>
        </w:tc>
        <w:tc>
          <w:tcPr>
            <w:tcW w:w="6634" w:type="dxa"/>
            <w:vAlign w:val="center"/>
            <w:textDirection w:val="lrTb"/>
            <w:noWrap w:val="false"/>
          </w:tcPr>
          <w:p>
            <w:pPr>
              <w:jc w:val="left"/>
              <w:spacing w:line="276" w:lineRule="auto"/>
              <w:rPr>
                <w:rFonts w:ascii="宋体" w:hAnsi="宋体" w:eastAsia="宋体"/>
                <w:sz w:val="24"/>
                <w:szCs w:val="24"/>
              </w:rPr>
            </w:pPr>
            <w:r>
              <w:rPr>
                <w:rFonts w:hint="eastAsia" w:ascii="宋体" w:hAnsi="Arial"/>
                <w:bCs/>
                <w:sz w:val="24"/>
              </w:rPr>
              <w:t xml:space="preserve">投标人提供</w:t>
            </w:r>
            <w:r>
              <w:rPr>
                <w:rFonts w:ascii="宋体" w:hAnsi="宋体" w:eastAsia="宋体"/>
                <w:sz w:val="24"/>
                <w:szCs w:val="24"/>
              </w:rPr>
              <w:t xml:space="preserve">数据治理、数据归集与数据安全方案</w:t>
            </w:r>
            <w:r>
              <w:rPr>
                <w:rFonts w:hint="eastAsia" w:ascii="宋体" w:hAnsi="宋体" w:eastAsia="宋体"/>
                <w:sz w:val="24"/>
                <w:szCs w:val="24"/>
              </w:rPr>
              <w:t xml:space="preserve">，方案包含养老多源数据归集、数据清洗、校验、质量管控；三级安全防护、权限管控、操作审计、数据脱敏、异地容灾备份、日志留存、隐私保护方案；满足本项目入库率、建档率、可追溯率指标。</w:t>
            </w:r>
            <w:r/>
          </w:p>
          <w:p>
            <w:pPr>
              <w:jc w:val="left"/>
              <w:spacing w:line="560" w:lineRule="exact"/>
              <w:rPr>
                <w:rFonts w:ascii="宋体" w:hAnsi="Arial"/>
                <w:bCs/>
                <w:sz w:val="24"/>
                <w:szCs w:val="24"/>
              </w:rPr>
            </w:pPr>
            <w:r>
              <w:rPr>
                <w:rFonts w:hint="eastAsia" w:ascii="宋体" w:hAnsi="Arial"/>
                <w:bCs/>
                <w:sz w:val="24"/>
                <w:szCs w:val="24"/>
              </w:rPr>
              <w:t xml:space="preserve">方案科学合理，内容全面，措施完善，可行性高，可实施性高的</w:t>
            </w:r>
            <w:r>
              <w:rPr>
                <w:rFonts w:hint="eastAsia" w:ascii="宋体" w:hAnsi="Arial"/>
                <w:b/>
                <w:sz w:val="24"/>
                <w:szCs w:val="24"/>
              </w:rPr>
              <w:t xml:space="preserve">得6分</w:t>
            </w:r>
            <w:r>
              <w:rPr>
                <w:rFonts w:hint="eastAsia" w:ascii="宋体" w:hAnsi="Arial"/>
                <w:bCs/>
                <w:sz w:val="24"/>
                <w:szCs w:val="24"/>
              </w:rPr>
              <w:t xml:space="preserve">；</w:t>
            </w:r>
            <w:r/>
          </w:p>
          <w:p>
            <w:pPr>
              <w:jc w:val="left"/>
              <w:spacing w:line="560" w:lineRule="exact"/>
              <w:rPr>
                <w:rFonts w:ascii="宋体" w:hAnsi="Arial"/>
                <w:bCs/>
                <w:sz w:val="24"/>
                <w:szCs w:val="24"/>
              </w:rPr>
            </w:pPr>
            <w:r>
              <w:rPr>
                <w:rFonts w:hint="eastAsia" w:ascii="宋体" w:hAnsi="Arial"/>
                <w:bCs/>
                <w:sz w:val="24"/>
                <w:szCs w:val="24"/>
              </w:rPr>
              <w:t xml:space="preserve">方案较科学合理，内容较全面完善，具有一定的可行性，可实施性较高的</w:t>
            </w:r>
            <w:r>
              <w:rPr>
                <w:rFonts w:hint="eastAsia" w:ascii="宋体" w:hAnsi="Arial"/>
                <w:b/>
                <w:sz w:val="24"/>
                <w:szCs w:val="24"/>
              </w:rPr>
              <w:t xml:space="preserve">得4分；</w:t>
            </w:r>
            <w:r/>
          </w:p>
          <w:p>
            <w:pPr>
              <w:jc w:val="left"/>
              <w:spacing w:line="560" w:lineRule="exact"/>
              <w:rPr>
                <w:rFonts w:ascii="宋体" w:hAnsi="Arial"/>
                <w:bCs/>
                <w:sz w:val="24"/>
                <w:szCs w:val="24"/>
              </w:rPr>
            </w:pPr>
            <w:r>
              <w:rPr>
                <w:rFonts w:hint="eastAsia" w:ascii="宋体" w:hAnsi="Arial"/>
                <w:bCs/>
                <w:sz w:val="24"/>
                <w:szCs w:val="24"/>
              </w:rPr>
              <w:t xml:space="preserve">方案科学合理性一般、可行性不高，技术保障措施简单，可实施性一般的</w:t>
            </w:r>
            <w:r>
              <w:rPr>
                <w:rFonts w:hint="eastAsia" w:ascii="宋体" w:hAnsi="Arial"/>
                <w:b/>
                <w:sz w:val="24"/>
                <w:szCs w:val="24"/>
              </w:rPr>
              <w:t xml:space="preserve">得2分；</w:t>
            </w:r>
            <w:r/>
          </w:p>
          <w:p>
            <w:pPr>
              <w:jc w:val="left"/>
              <w:spacing w:line="276" w:lineRule="auto"/>
              <w:rPr>
                <w:rFonts w:ascii="宋体" w:hAnsi="宋体" w:eastAsia="宋体"/>
                <w:sz w:val="24"/>
                <w:szCs w:val="24"/>
              </w:rPr>
            </w:pPr>
            <w:r>
              <w:rPr>
                <w:rFonts w:hint="eastAsia" w:ascii="宋体" w:hAnsi="Arial"/>
                <w:b/>
                <w:sz w:val="24"/>
                <w:szCs w:val="24"/>
              </w:rPr>
              <w:t xml:space="preserve">本项未见阐述不得分。</w:t>
            </w:r>
            <w:r/>
          </w:p>
        </w:tc>
      </w:tr>
      <w:tr>
        <w:trPr>
          <w:jc w:val="center"/>
          <w:trHeight w:val="621"/>
        </w:trPr>
        <w:tc>
          <w:tcPr>
            <w:tcW w:w="1696"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业务功能模块实现方案</w:t>
            </w:r>
            <w:r>
              <w:rPr>
                <w:rFonts w:ascii="宋体" w:hAnsi="宋体" w:eastAsia="宋体"/>
                <w:sz w:val="24"/>
                <w:szCs w:val="24"/>
              </w:rPr>
              <w:t xml:space="preserve">8</w:t>
            </w:r>
            <w:r>
              <w:rPr>
                <w:rFonts w:hint="eastAsia" w:ascii="宋体" w:hAnsi="宋体" w:eastAsia="宋体"/>
                <w:sz w:val="24"/>
                <w:szCs w:val="24"/>
              </w:rPr>
              <w:t xml:space="preserve">分</w:t>
            </w:r>
            <w:r/>
          </w:p>
        </w:tc>
        <w:tc>
          <w:tcPr>
            <w:tcW w:w="6634" w:type="dxa"/>
            <w:vAlign w:val="center"/>
            <w:textDirection w:val="lrTb"/>
            <w:noWrap w:val="false"/>
          </w:tcPr>
          <w:p>
            <w:pPr>
              <w:jc w:val="left"/>
              <w:spacing w:line="276" w:lineRule="auto"/>
              <w:rPr>
                <w:rFonts w:ascii="宋体" w:hAnsi="宋体" w:eastAsia="宋体"/>
                <w:sz w:val="24"/>
                <w:szCs w:val="24"/>
              </w:rPr>
            </w:pPr>
            <w:r>
              <w:rPr>
                <w:rFonts w:hint="eastAsia" w:ascii="宋体" w:hAnsi="Arial"/>
                <w:bCs/>
                <w:sz w:val="24"/>
              </w:rPr>
              <w:t xml:space="preserve">投标人提供</w:t>
            </w:r>
            <w:r>
              <w:rPr>
                <w:rFonts w:hint="eastAsia" w:ascii="宋体" w:hAnsi="宋体" w:eastAsia="宋体"/>
                <w:sz w:val="24"/>
                <w:szCs w:val="24"/>
              </w:rPr>
              <w:t xml:space="preserve">业务功能模块实现方案，方案包含但不限于覆盖监管应用、后台管理、居民用户端、机构端、各类作业移动端、评估机构端全部业务模块；对工单监管、补贴全流程闭环、隐患整改销号、助餐全流程管理、老年人能力评估流程设计完整合理。</w:t>
            </w:r>
            <w:r/>
          </w:p>
          <w:p>
            <w:pPr>
              <w:jc w:val="left"/>
              <w:spacing w:line="276" w:lineRule="auto"/>
              <w:rPr>
                <w:rFonts w:ascii="宋体" w:hAnsi="宋体" w:eastAsia="宋体"/>
                <w:sz w:val="24"/>
                <w:szCs w:val="24"/>
              </w:rPr>
            </w:pPr>
            <w:r>
              <w:rPr>
                <w:rFonts w:hint="eastAsia" w:ascii="宋体" w:hAnsi="宋体" w:eastAsia="宋体"/>
                <w:sz w:val="24"/>
                <w:szCs w:val="24"/>
              </w:rPr>
              <w:t xml:space="preserve">全部业务场景全覆盖，流程闭环设计完善，</w:t>
            </w:r>
            <w:r>
              <w:rPr>
                <w:rFonts w:hint="eastAsia" w:ascii="宋体" w:hAnsi="Arial"/>
                <w:bCs/>
                <w:sz w:val="24"/>
                <w:szCs w:val="24"/>
              </w:rPr>
              <w:t xml:space="preserve">内容全面，措施完善，可行性高</w:t>
            </w:r>
            <w:r>
              <w:rPr>
                <w:rFonts w:hint="eastAsia" w:ascii="宋体" w:hAnsi="宋体" w:eastAsia="宋体"/>
                <w:sz w:val="24"/>
                <w:szCs w:val="24"/>
              </w:rPr>
              <w:t xml:space="preserve">的</w:t>
            </w:r>
            <w:r>
              <w:rPr>
                <w:rFonts w:hint="eastAsia" w:ascii="宋体" w:hAnsi="宋体" w:eastAsia="宋体"/>
                <w:b/>
                <w:bCs/>
                <w:sz w:val="24"/>
                <w:szCs w:val="24"/>
              </w:rPr>
              <w:t xml:space="preserve">得8分；</w:t>
            </w:r>
            <w:r/>
          </w:p>
          <w:p>
            <w:pPr>
              <w:jc w:val="left"/>
              <w:spacing w:line="276" w:lineRule="auto"/>
              <w:rPr>
                <w:rFonts w:ascii="宋体" w:hAnsi="宋体" w:eastAsia="宋体"/>
                <w:b/>
                <w:sz w:val="24"/>
                <w:szCs w:val="24"/>
              </w:rPr>
            </w:pPr>
            <w:r>
              <w:rPr>
                <w:rFonts w:hint="eastAsia" w:ascii="宋体" w:hAnsi="宋体" w:eastAsia="宋体"/>
                <w:sz w:val="24"/>
                <w:szCs w:val="24"/>
              </w:rPr>
              <w:t xml:space="preserve">方案能实现主要业务覆盖，流程基本合理，</w:t>
            </w:r>
            <w:r>
              <w:rPr>
                <w:rFonts w:hint="eastAsia" w:ascii="宋体" w:hAnsi="Arial"/>
                <w:bCs/>
                <w:sz w:val="24"/>
                <w:szCs w:val="24"/>
              </w:rPr>
              <w:t xml:space="preserve">内容较全面完善，具有一定的可行性的</w:t>
            </w:r>
            <w:r>
              <w:rPr>
                <w:rFonts w:hint="eastAsia" w:ascii="宋体" w:hAnsi="Arial"/>
                <w:b/>
                <w:sz w:val="24"/>
                <w:szCs w:val="24"/>
              </w:rPr>
              <w:t xml:space="preserve">得5分</w:t>
            </w:r>
            <w:r>
              <w:rPr>
                <w:rFonts w:hint="eastAsia" w:ascii="宋体" w:hAnsi="宋体" w:eastAsia="宋体"/>
                <w:b/>
                <w:sz w:val="24"/>
                <w:szCs w:val="24"/>
              </w:rPr>
              <w:t xml:space="preserve">；</w:t>
            </w:r>
            <w:r/>
          </w:p>
          <w:p>
            <w:pPr>
              <w:jc w:val="left"/>
              <w:spacing w:line="276" w:lineRule="auto"/>
              <w:rPr>
                <w:rFonts w:ascii="宋体" w:hAnsi="宋体" w:eastAsia="宋体"/>
                <w:sz w:val="24"/>
                <w:szCs w:val="24"/>
              </w:rPr>
            </w:pPr>
            <w:r>
              <w:rPr>
                <w:rFonts w:hint="eastAsia" w:ascii="宋体" w:hAnsi="宋体" w:eastAsia="宋体"/>
                <w:sz w:val="24"/>
                <w:szCs w:val="24"/>
              </w:rPr>
              <w:t xml:space="preserve">方案部分模块缺失，流程简单的</w:t>
            </w:r>
            <w:r>
              <w:rPr>
                <w:rFonts w:hint="eastAsia" w:ascii="宋体" w:hAnsi="宋体" w:eastAsia="宋体"/>
                <w:b/>
                <w:bCs/>
                <w:sz w:val="24"/>
                <w:szCs w:val="24"/>
              </w:rPr>
              <w:t xml:space="preserve">得2分；</w:t>
            </w:r>
            <w:r/>
          </w:p>
          <w:p>
            <w:pPr>
              <w:jc w:val="left"/>
              <w:spacing w:line="276" w:lineRule="auto"/>
              <w:rPr>
                <w:rFonts w:ascii="宋体" w:hAnsi="宋体" w:eastAsia="宋体"/>
                <w:sz w:val="24"/>
                <w:szCs w:val="24"/>
              </w:rPr>
            </w:pPr>
            <w:r>
              <w:rPr>
                <w:rFonts w:hint="eastAsia" w:ascii="宋体" w:hAnsi="Arial"/>
                <w:b/>
                <w:sz w:val="24"/>
                <w:szCs w:val="24"/>
              </w:rPr>
              <w:t xml:space="preserve">本项未见阐述不得分。</w:t>
            </w:r>
            <w:r/>
          </w:p>
        </w:tc>
      </w:tr>
      <w:tr>
        <w:trPr>
          <w:jc w:val="center"/>
          <w:trHeight w:val="621"/>
        </w:trPr>
        <w:tc>
          <w:tcPr>
            <w:tcW w:w="1696"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项目实施、测试、部署及进度保障方案</w:t>
            </w:r>
            <w:r>
              <w:rPr>
                <w:rFonts w:ascii="宋体" w:hAnsi="宋体" w:eastAsia="宋体"/>
                <w:sz w:val="24"/>
                <w:szCs w:val="24"/>
              </w:rPr>
              <w:t xml:space="preserve">5</w:t>
            </w:r>
            <w:r>
              <w:rPr>
                <w:rFonts w:hint="eastAsia" w:ascii="宋体" w:hAnsi="宋体" w:eastAsia="宋体"/>
                <w:sz w:val="24"/>
                <w:szCs w:val="24"/>
              </w:rPr>
              <w:t xml:space="preserve">分</w:t>
            </w:r>
            <w:r/>
          </w:p>
        </w:tc>
        <w:tc>
          <w:tcPr>
            <w:tcW w:w="6634" w:type="dxa"/>
            <w:vAlign w:val="center"/>
            <w:textDirection w:val="lrTb"/>
            <w:noWrap w:val="false"/>
          </w:tcPr>
          <w:p>
            <w:pPr>
              <w:jc w:val="left"/>
              <w:spacing w:line="276" w:lineRule="auto"/>
              <w:rPr>
                <w:rFonts w:ascii="宋体" w:hAnsi="宋体" w:eastAsia="宋体"/>
                <w:sz w:val="24"/>
                <w:szCs w:val="24"/>
              </w:rPr>
            </w:pPr>
            <w:r>
              <w:rPr>
                <w:rFonts w:hint="eastAsia" w:ascii="宋体" w:hAnsi="Arial"/>
                <w:bCs/>
                <w:sz w:val="24"/>
              </w:rPr>
              <w:t xml:space="preserve">投标人提供</w:t>
            </w:r>
            <w:r>
              <w:rPr>
                <w:rFonts w:hint="eastAsia" w:ascii="宋体" w:hAnsi="宋体" w:eastAsia="宋体"/>
                <w:sz w:val="24"/>
                <w:szCs w:val="24"/>
              </w:rPr>
              <w:t xml:space="preserve">项目实施、测试、部署及进度保障方案，方案包含需求确认、开发、单元/集成/系统测试、部署上线、试运行管控、风险识别与应对措施；180日历天工期节点安排清晰合理，质量管控、变更管理机制完整。</w:t>
            </w:r>
            <w:r/>
          </w:p>
          <w:p>
            <w:pPr>
              <w:spacing w:line="360" w:lineRule="auto"/>
              <w:rPr>
                <w:rFonts w:ascii="宋体" w:hAnsi="宋体"/>
                <w:b/>
                <w:sz w:val="24"/>
                <w:szCs w:val="24"/>
              </w:rPr>
            </w:pPr>
            <w:r>
              <w:rPr>
                <w:rFonts w:hint="eastAsia" w:ascii="宋体" w:hAnsi="宋体" w:eastAsia="宋体"/>
                <w:sz w:val="24"/>
                <w:szCs w:val="24"/>
              </w:rPr>
              <w:t xml:space="preserve">项目实施</w:t>
            </w:r>
            <w:r>
              <w:rPr>
                <w:rFonts w:hint="eastAsia" w:ascii="宋体" w:hAnsi="宋体"/>
                <w:bCs/>
                <w:sz w:val="24"/>
                <w:szCs w:val="24"/>
              </w:rPr>
              <w:t xml:space="preserve">计划精准、无漏洞，</w:t>
            </w:r>
            <w:r>
              <w:rPr>
                <w:rFonts w:hint="eastAsia" w:ascii="宋体" w:hAnsi="Arial"/>
                <w:bCs/>
                <w:sz w:val="24"/>
                <w:szCs w:val="24"/>
              </w:rPr>
              <w:t xml:space="preserve">项目部署完善，</w:t>
            </w:r>
            <w:r>
              <w:rPr>
                <w:rFonts w:hint="eastAsia" w:ascii="宋体" w:hAnsi="宋体"/>
                <w:bCs/>
                <w:sz w:val="24"/>
                <w:szCs w:val="24"/>
              </w:rPr>
              <w:t xml:space="preserve">内容完整详实的</w:t>
            </w:r>
            <w:r>
              <w:rPr>
                <w:rFonts w:hint="eastAsia" w:ascii="宋体" w:hAnsi="宋体"/>
                <w:b/>
                <w:sz w:val="24"/>
                <w:szCs w:val="24"/>
              </w:rPr>
              <w:t xml:space="preserve">得5分；</w:t>
            </w:r>
            <w:r/>
          </w:p>
          <w:p>
            <w:pPr>
              <w:spacing w:line="360" w:lineRule="auto"/>
              <w:rPr>
                <w:rFonts w:ascii="宋体" w:hAnsi="宋体"/>
                <w:bCs/>
                <w:sz w:val="24"/>
                <w:szCs w:val="24"/>
              </w:rPr>
            </w:pPr>
            <w:r>
              <w:rPr>
                <w:rFonts w:hint="eastAsia" w:ascii="宋体" w:hAnsi="宋体" w:eastAsia="宋体"/>
                <w:sz w:val="24"/>
                <w:szCs w:val="24"/>
              </w:rPr>
              <w:t xml:space="preserve">项目实施</w:t>
            </w:r>
            <w:r>
              <w:rPr>
                <w:rFonts w:hint="eastAsia" w:ascii="宋体" w:hAnsi="宋体"/>
                <w:bCs/>
                <w:sz w:val="24"/>
                <w:szCs w:val="24"/>
              </w:rPr>
              <w:t xml:space="preserve">比较精准，</w:t>
            </w:r>
            <w:r>
              <w:rPr>
                <w:rFonts w:hint="eastAsia" w:ascii="宋体" w:hAnsi="Arial"/>
                <w:bCs/>
                <w:sz w:val="24"/>
                <w:szCs w:val="24"/>
              </w:rPr>
              <w:t xml:space="preserve">项目部署较完善，</w:t>
            </w:r>
            <w:r>
              <w:rPr>
                <w:rFonts w:hint="eastAsia" w:ascii="宋体" w:hAnsi="宋体"/>
                <w:bCs/>
                <w:sz w:val="24"/>
                <w:szCs w:val="24"/>
              </w:rPr>
              <w:t xml:space="preserve">内容完整较详实的</w:t>
            </w:r>
            <w:r>
              <w:rPr>
                <w:rFonts w:hint="eastAsia" w:ascii="宋体" w:hAnsi="宋体"/>
                <w:b/>
                <w:sz w:val="24"/>
                <w:szCs w:val="24"/>
              </w:rPr>
              <w:t xml:space="preserve">得3分；</w:t>
            </w:r>
            <w:r/>
          </w:p>
          <w:p>
            <w:pPr>
              <w:spacing w:line="360" w:lineRule="auto"/>
              <w:rPr>
                <w:rFonts w:ascii="宋体" w:hAnsi="宋体"/>
                <w:bCs/>
                <w:sz w:val="24"/>
                <w:szCs w:val="24"/>
              </w:rPr>
            </w:pPr>
            <w:r>
              <w:rPr>
                <w:rFonts w:hint="eastAsia" w:ascii="宋体" w:hAnsi="宋体" w:eastAsia="宋体"/>
                <w:sz w:val="24"/>
                <w:szCs w:val="24"/>
              </w:rPr>
              <w:t xml:space="preserve">项目实施</w:t>
            </w:r>
            <w:r>
              <w:rPr>
                <w:rFonts w:hint="eastAsia" w:ascii="宋体" w:hAnsi="宋体"/>
                <w:bCs/>
                <w:sz w:val="24"/>
                <w:szCs w:val="24"/>
              </w:rPr>
              <w:t xml:space="preserve">不够具体明确、针对性不强的</w:t>
            </w:r>
            <w:r>
              <w:rPr>
                <w:rFonts w:hint="eastAsia" w:ascii="宋体" w:hAnsi="宋体"/>
                <w:b/>
                <w:sz w:val="24"/>
                <w:szCs w:val="24"/>
              </w:rPr>
              <w:t xml:space="preserve">得1分；</w:t>
            </w:r>
            <w:r/>
          </w:p>
          <w:p>
            <w:pPr>
              <w:jc w:val="left"/>
              <w:spacing w:line="276" w:lineRule="auto"/>
              <w:rPr>
                <w:rFonts w:ascii="宋体" w:hAnsi="宋体" w:eastAsia="宋体"/>
                <w:sz w:val="24"/>
                <w:szCs w:val="24"/>
              </w:rPr>
            </w:pPr>
            <w:r>
              <w:rPr>
                <w:rFonts w:hint="eastAsia" w:ascii="宋体" w:hAnsi="宋体"/>
                <w:b/>
                <w:sz w:val="24"/>
                <w:szCs w:val="24"/>
              </w:rPr>
              <w:t xml:space="preserve">该项未见阐述不得分。</w:t>
            </w:r>
            <w:r/>
          </w:p>
        </w:tc>
      </w:tr>
      <w:tr>
        <w:trPr>
          <w:jc w:val="center"/>
          <w:trHeight w:val="621"/>
        </w:trPr>
        <w:tc>
          <w:tcPr>
            <w:tcW w:w="1696"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培训、运维与售后服务保障方案</w:t>
            </w:r>
            <w:r>
              <w:rPr>
                <w:rFonts w:ascii="宋体" w:hAnsi="宋体" w:eastAsia="宋体"/>
                <w:sz w:val="24"/>
                <w:szCs w:val="24"/>
              </w:rPr>
              <w:t xml:space="preserve">5</w:t>
            </w:r>
            <w:r>
              <w:rPr>
                <w:rFonts w:hint="eastAsia" w:ascii="宋体" w:hAnsi="宋体" w:eastAsia="宋体"/>
                <w:sz w:val="24"/>
                <w:szCs w:val="24"/>
              </w:rPr>
              <w:t xml:space="preserve">分</w:t>
            </w:r>
            <w:r/>
          </w:p>
        </w:tc>
        <w:tc>
          <w:tcPr>
            <w:tcW w:w="6634" w:type="dxa"/>
            <w:vAlign w:val="center"/>
            <w:textDirection w:val="lrTb"/>
            <w:noWrap w:val="false"/>
          </w:tcPr>
          <w:p>
            <w:pPr>
              <w:jc w:val="left"/>
              <w:spacing w:line="276" w:lineRule="auto"/>
              <w:rPr>
                <w:rFonts w:ascii="宋体" w:hAnsi="宋体" w:eastAsia="宋体"/>
                <w:sz w:val="24"/>
                <w:szCs w:val="24"/>
              </w:rPr>
            </w:pPr>
            <w:r>
              <w:rPr>
                <w:rFonts w:hint="eastAsia" w:ascii="宋体" w:hAnsi="Arial"/>
                <w:bCs/>
                <w:sz w:val="24"/>
              </w:rPr>
              <w:t xml:space="preserve">投标人提供</w:t>
            </w:r>
            <w:r>
              <w:rPr>
                <w:rFonts w:hint="eastAsia" w:ascii="宋体" w:hAnsi="宋体" w:eastAsia="宋体"/>
                <w:sz w:val="24"/>
                <w:szCs w:val="24"/>
              </w:rPr>
              <w:t xml:space="preserve">培训、运维与售后服务保障方案针对多类用户分层培训方案；系统7×24小时技术支持、故障响应机制、试运行保障；网络安全等级保护三级测评配合方案。</w:t>
            </w:r>
            <w:r/>
          </w:p>
          <w:p>
            <w:pPr>
              <w:spacing w:line="360" w:lineRule="auto"/>
              <w:shd w:val="clear" w:color="auto" w:fill="ffffff"/>
              <w:widowControl/>
              <w:rPr>
                <w:rFonts w:ascii="宋体" w:hAnsi="Arial"/>
                <w:b/>
                <w:sz w:val="24"/>
              </w:rPr>
            </w:pPr>
            <w:r>
              <w:rPr>
                <w:rFonts w:hint="eastAsia" w:ascii="宋体" w:hAnsi="Arial"/>
                <w:bCs/>
                <w:sz w:val="24"/>
              </w:rPr>
              <w:t xml:space="preserve">方案内容详细，完全能够达到培训目标，人员安排合理、方案全面的</w:t>
            </w:r>
            <w:r>
              <w:rPr>
                <w:rFonts w:hint="eastAsia" w:ascii="宋体" w:hAnsi="Arial"/>
                <w:b/>
                <w:sz w:val="24"/>
              </w:rPr>
              <w:t xml:space="preserve">得5分；</w:t>
            </w:r>
            <w:r/>
          </w:p>
          <w:p>
            <w:pPr>
              <w:spacing w:line="360" w:lineRule="auto"/>
              <w:shd w:val="clear" w:color="auto" w:fill="ffffff"/>
              <w:widowControl/>
              <w:rPr>
                <w:rFonts w:ascii="宋体" w:hAnsi="Arial"/>
                <w:bCs/>
                <w:sz w:val="24"/>
              </w:rPr>
            </w:pPr>
            <w:r>
              <w:rPr>
                <w:rFonts w:hint="eastAsia" w:ascii="宋体" w:hAnsi="Arial"/>
                <w:bCs/>
                <w:sz w:val="24"/>
              </w:rPr>
              <w:t xml:space="preserve">方案内容较详细，基本能够达到培训目标，人员安排较合理、方案较全面的</w:t>
            </w:r>
            <w:r>
              <w:rPr>
                <w:rFonts w:hint="eastAsia" w:ascii="宋体" w:hAnsi="Arial"/>
                <w:b/>
                <w:sz w:val="24"/>
              </w:rPr>
              <w:t xml:space="preserve">得3分；</w:t>
            </w:r>
            <w:r/>
          </w:p>
          <w:p>
            <w:pPr>
              <w:spacing w:line="360" w:lineRule="auto"/>
              <w:shd w:val="clear" w:color="auto" w:fill="ffffff"/>
              <w:widowControl/>
              <w:rPr>
                <w:rFonts w:ascii="宋体" w:hAnsi="Arial"/>
                <w:bCs/>
                <w:sz w:val="24"/>
              </w:rPr>
            </w:pPr>
            <w:r>
              <w:rPr>
                <w:rFonts w:hint="eastAsia" w:ascii="宋体" w:hAnsi="Arial"/>
                <w:bCs/>
                <w:sz w:val="24"/>
              </w:rPr>
              <w:t xml:space="preserve">方案内容简略，与培训目标存在偏差，人员安排存在不合理性、缺乏配套，方案不够全面的</w:t>
            </w:r>
            <w:r>
              <w:rPr>
                <w:rFonts w:hint="eastAsia" w:ascii="宋体" w:hAnsi="Arial"/>
                <w:b/>
                <w:sz w:val="24"/>
              </w:rPr>
              <w:t xml:space="preserve">得1分；</w:t>
            </w:r>
            <w:r/>
          </w:p>
          <w:p>
            <w:pPr>
              <w:jc w:val="left"/>
              <w:spacing w:line="276" w:lineRule="auto"/>
              <w:rPr>
                <w:rFonts w:ascii="宋体" w:hAnsi="宋体" w:eastAsia="宋体"/>
                <w:sz w:val="24"/>
                <w:szCs w:val="24"/>
              </w:rPr>
            </w:pPr>
            <w:r>
              <w:rPr>
                <w:rFonts w:hint="eastAsia" w:ascii="宋体" w:hAnsi="宋体" w:cs="宋体"/>
                <w:b/>
                <w:bCs/>
                <w:color w:val="000000"/>
                <w:sz w:val="24"/>
                <w:szCs w:val="24"/>
              </w:rPr>
              <w:t xml:space="preserve">该项未见阐述不得分。</w:t>
            </w:r>
            <w:r/>
          </w:p>
        </w:tc>
      </w:tr>
      <w:tr>
        <w:trPr>
          <w:jc w:val="center"/>
          <w:trHeight w:val="621"/>
        </w:trPr>
        <w:tc>
          <w:tcPr>
            <w:tcW w:w="1696"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知识产权、源码及文档交付保障方案</w:t>
            </w:r>
            <w:r>
              <w:rPr>
                <w:rFonts w:ascii="宋体" w:hAnsi="宋体" w:eastAsia="宋体"/>
                <w:sz w:val="24"/>
                <w:szCs w:val="24"/>
              </w:rPr>
              <w:t xml:space="preserve">6</w:t>
            </w:r>
            <w:r>
              <w:rPr>
                <w:rFonts w:hint="eastAsia" w:ascii="宋体" w:hAnsi="宋体" w:eastAsia="宋体"/>
                <w:sz w:val="24"/>
                <w:szCs w:val="24"/>
              </w:rPr>
              <w:t xml:space="preserve">分</w:t>
            </w:r>
            <w:r/>
          </w:p>
        </w:tc>
        <w:tc>
          <w:tcPr>
            <w:tcW w:w="6634" w:type="dxa"/>
            <w:vAlign w:val="center"/>
            <w:textDirection w:val="lrTb"/>
            <w:noWrap w:val="false"/>
          </w:tcPr>
          <w:p>
            <w:pPr>
              <w:jc w:val="left"/>
              <w:spacing w:line="276" w:lineRule="auto"/>
              <w:rPr>
                <w:rFonts w:ascii="宋体" w:hAnsi="宋体" w:eastAsia="宋体"/>
                <w:sz w:val="24"/>
                <w:szCs w:val="24"/>
              </w:rPr>
            </w:pPr>
            <w:r>
              <w:rPr>
                <w:rFonts w:hint="eastAsia" w:ascii="宋体" w:hAnsi="Arial"/>
                <w:bCs/>
                <w:sz w:val="24"/>
              </w:rPr>
              <w:t xml:space="preserve">投标人提供</w:t>
            </w:r>
            <w:r>
              <w:rPr>
                <w:rFonts w:hint="eastAsia" w:ascii="宋体" w:hAnsi="宋体" w:eastAsia="宋体"/>
                <w:sz w:val="24"/>
                <w:szCs w:val="24"/>
              </w:rPr>
              <w:t xml:space="preserve">知识产权、源码及文档交付保障方案，完整响应招标文件知识产权归属要求；源代码交付、全套技术文档清单、开源组件合规管理、二次开发保障措施完整。</w:t>
            </w:r>
            <w:r/>
          </w:p>
          <w:p>
            <w:pPr>
              <w:jc w:val="left"/>
              <w:spacing w:line="276" w:lineRule="auto"/>
              <w:rPr>
                <w:rFonts w:ascii="宋体" w:hAnsi="宋体" w:eastAsia="宋体"/>
                <w:sz w:val="24"/>
                <w:szCs w:val="24"/>
              </w:rPr>
            </w:pPr>
            <w:r>
              <w:rPr>
                <w:rFonts w:hint="eastAsia" w:ascii="宋体" w:hAnsi="宋体" w:eastAsia="宋体"/>
                <w:sz w:val="24"/>
                <w:szCs w:val="24"/>
              </w:rPr>
              <w:t xml:space="preserve">方案条款响应完整，交付清单详尽，约束清晰的</w:t>
            </w:r>
            <w:r>
              <w:rPr>
                <w:rFonts w:hint="eastAsia" w:ascii="宋体" w:hAnsi="宋体" w:eastAsia="宋体"/>
                <w:b/>
                <w:bCs/>
                <w:sz w:val="24"/>
                <w:szCs w:val="24"/>
              </w:rPr>
              <w:t xml:space="preserve">得6分；</w:t>
            </w:r>
            <w:r/>
          </w:p>
          <w:p>
            <w:pPr>
              <w:jc w:val="left"/>
              <w:spacing w:line="276" w:lineRule="auto"/>
              <w:rPr>
                <w:rFonts w:ascii="宋体" w:hAnsi="宋体" w:eastAsia="宋体"/>
                <w:b/>
                <w:bCs/>
                <w:sz w:val="24"/>
                <w:szCs w:val="24"/>
              </w:rPr>
            </w:pPr>
            <w:r>
              <w:rPr>
                <w:rFonts w:hint="eastAsia" w:ascii="宋体" w:hAnsi="宋体" w:eastAsia="宋体"/>
                <w:sz w:val="24"/>
                <w:szCs w:val="24"/>
              </w:rPr>
              <w:t xml:space="preserve">方案主要内容响应到位，源代码交付清晰完整的</w:t>
            </w:r>
            <w:r>
              <w:rPr>
                <w:rFonts w:hint="eastAsia" w:ascii="宋体" w:hAnsi="宋体" w:eastAsia="宋体"/>
                <w:b/>
                <w:bCs/>
                <w:sz w:val="24"/>
                <w:szCs w:val="24"/>
              </w:rPr>
              <w:t xml:space="preserve">得4分；</w:t>
            </w:r>
            <w:r/>
          </w:p>
          <w:p>
            <w:pPr>
              <w:jc w:val="left"/>
              <w:spacing w:line="276" w:lineRule="auto"/>
              <w:rPr>
                <w:rFonts w:ascii="宋体" w:hAnsi="宋体" w:eastAsia="宋体"/>
                <w:sz w:val="24"/>
                <w:szCs w:val="24"/>
              </w:rPr>
            </w:pPr>
            <w:r>
              <w:rPr>
                <w:rFonts w:hint="eastAsia" w:ascii="宋体" w:hAnsi="宋体" w:eastAsia="宋体"/>
                <w:sz w:val="24"/>
                <w:szCs w:val="24"/>
              </w:rPr>
              <w:t xml:space="preserve">方案内容简略，关键项缺失的</w:t>
            </w:r>
            <w:r>
              <w:rPr>
                <w:rFonts w:hint="eastAsia" w:ascii="宋体" w:hAnsi="宋体" w:eastAsia="宋体"/>
                <w:b/>
                <w:bCs/>
                <w:sz w:val="24"/>
                <w:szCs w:val="24"/>
              </w:rPr>
              <w:t xml:space="preserve">得2分；</w:t>
            </w:r>
            <w:r/>
          </w:p>
          <w:p>
            <w:pPr>
              <w:jc w:val="left"/>
              <w:spacing w:line="276" w:lineRule="auto"/>
              <w:rPr>
                <w:rFonts w:ascii="宋体" w:hAnsi="宋体" w:eastAsia="宋体"/>
                <w:sz w:val="24"/>
                <w:szCs w:val="24"/>
              </w:rPr>
            </w:pPr>
            <w:r>
              <w:rPr>
                <w:rFonts w:hint="eastAsia" w:ascii="宋体" w:hAnsi="宋体" w:cs="宋体"/>
                <w:b/>
                <w:bCs/>
                <w:color w:val="000000"/>
                <w:sz w:val="24"/>
                <w:szCs w:val="24"/>
              </w:rPr>
              <w:t xml:space="preserve">该项未见阐述不得分。</w:t>
            </w:r>
            <w:r/>
          </w:p>
        </w:tc>
      </w:tr>
    </w:tbl>
    <w:p>
      <w:pPr>
        <w:spacing w:line="360" w:lineRule="auto"/>
        <w:rPr>
          <w:rFonts w:ascii="宋体" w:hAnsi="宋体" w:eastAsia="宋体" w:cs="Calibri"/>
          <w:b/>
          <w:color w:val="000000"/>
          <w:sz w:val="24"/>
          <w:szCs w:val="24"/>
        </w:rPr>
      </w:pPr>
      <w:r>
        <w:rPr>
          <w:rFonts w:hint="eastAsia" w:ascii="宋体" w:hAnsi="宋体" w:cs="Calibri"/>
          <w:b/>
          <w:color w:val="000000"/>
          <w:sz w:val="24"/>
          <w:szCs w:val="24"/>
        </w:rPr>
        <w:t xml:space="preserve">注;</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1.本项目评标标准中的技术分（</w:t>
      </w:r>
      <w:r>
        <w:rPr>
          <w:rFonts w:ascii="宋体" w:hAnsi="宋体" w:cs="Calibri"/>
          <w:b/>
          <w:color w:val="000000"/>
          <w:sz w:val="24"/>
          <w:szCs w:val="24"/>
        </w:rPr>
        <w:t xml:space="preserve">38</w:t>
      </w:r>
      <w:r>
        <w:rPr>
          <w:rFonts w:hint="eastAsia" w:ascii="宋体" w:hAnsi="宋体" w:cs="Calibri"/>
          <w:b/>
          <w:color w:val="000000"/>
          <w:sz w:val="24"/>
          <w:szCs w:val="24"/>
        </w:rPr>
        <w:t xml:space="preserve">分）采用暗标方式进行评审。</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p>
    <w:p>
      <w:pPr>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ascii="宋体" w:hAnsi="宋体" w:cs="Calibri"/>
          <w:b/>
          <w:color w:val="000000"/>
          <w:sz w:val="24"/>
          <w:szCs w:val="24"/>
          <w:highlight w:val="yellow"/>
        </w:rPr>
      </w:pPr>
      <w:r>
        <w:rPr>
          <w:rFonts w:hint="eastAsia" w:ascii="宋体" w:hAnsi="宋体" w:cs="Calibri"/>
          <w:b/>
          <w:color w:val="000000"/>
          <w:sz w:val="24"/>
          <w:szCs w:val="24"/>
        </w:rPr>
        <w:t xml:space="preserve">2.3供应商需按照上述要求编制方案，未按要求编制的本项不得分。</w:t>
      </w:r>
      <w:r/>
    </w:p>
    <w:p>
      <w:pPr>
        <w:jc w:val="left"/>
        <w:widowControl/>
        <w:rPr>
          <w:sz w:val="24"/>
          <w:szCs w:val="24"/>
        </w:rPr>
      </w:pPr>
      <w:r>
        <w:rPr>
          <w:sz w:val="24"/>
          <w:szCs w:val="24"/>
        </w:rPr>
        <w:br w:type="page" w:clear="all"/>
      </w:r>
      <w:r/>
    </w:p>
    <w:p>
      <w:pPr>
        <w:pStyle w:val="639"/>
        <w:jc w:val="center"/>
        <w:spacing w:before="156" w:after="156" w:line="360" w:lineRule="auto"/>
        <w:rPr>
          <w:rFonts w:ascii="黑体" w:hAnsi="黑体" w:eastAsia="黑体"/>
          <w:b w:val="0"/>
        </w:rPr>
      </w:pPr>
      <w:r/>
      <w:bookmarkStart w:id="10" w:name="_Toc162361615"/>
      <w:r>
        <w:rPr>
          <w:rFonts w:hint="eastAsia" w:ascii="黑体" w:hAnsi="黑体" w:eastAsia="黑体"/>
          <w:b w:val="0"/>
        </w:rPr>
        <w:t xml:space="preserve">第六章  投标文件格式</w:t>
      </w:r>
      <w:bookmarkEnd w:id="10"/>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十三、联合体协议（参考格式）</w:t>
      </w:r>
      <w:r>
        <w:rPr>
          <w:rFonts w:hint="eastAsia" w:ascii="Arial" w:hAnsi="Arial" w:eastAsia="宋体" w:cs="Arial"/>
          <w:b/>
          <w:sz w:val="36"/>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十四、投标分项报价表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643"/>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十五、技术要求响应及偏离表</w:t>
      </w:r>
      <w:r>
        <w:rPr>
          <w:rFonts w:hint="eastAsia" w:ascii="Arial" w:hAnsi="Arial" w:eastAsia="宋体" w:cs="Arial"/>
          <w:b/>
          <w:iCs/>
          <w:sz w:val="36"/>
          <w:highlight w:val="yellow"/>
        </w:rPr>
        <w:t xml:space="preserve">（分包号：**）（如有请提供）</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3"/>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1" w:name="_Hlt26955054"/>
      <w:r/>
      <w:bookmarkEnd w:id="11"/>
      <w:r>
        <w:rPr>
          <w:rFonts w:hint="eastAsia" w:ascii="Arial" w:hAnsi="Arial" w:eastAsia="宋体" w:cs="Arial"/>
          <w:b/>
          <w:iCs/>
          <w:sz w:val="36"/>
        </w:rPr>
        <w:t xml:space="preserve">十六、商务要求响应及偏离表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3"/>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ascii="宋体" w:hAnsi="宋体" w:eastAsia="宋体" w:cs="Times New Roman"/>
                <w:color w:val="000000"/>
                <w:sz w:val="24"/>
                <w:szCs w:val="24"/>
              </w:rPr>
            </w:pPr>
            <w:r/>
            <w:bookmarkStart w:id="12" w:name="_Hlt26782999"/>
            <w:r/>
            <w:bookmarkEnd w:id="12"/>
            <w:r/>
            <w:bookmarkStart w:id="13" w:name="_Hlt26671372"/>
            <w:r/>
            <w:bookmarkEnd w:id="13"/>
            <w:r/>
            <w:bookmarkStart w:id="14" w:name="_Hlt26609391"/>
            <w:r/>
            <w:bookmarkEnd w:id="14"/>
            <w:r/>
            <w:bookmarkStart w:id="15" w:name="_Hlt24879081"/>
            <w:r/>
            <w:bookmarkEnd w:id="15"/>
            <w:r/>
            <w:bookmarkStart w:id="16" w:name="_Hlt26955056"/>
            <w:r/>
            <w:bookmarkEnd w:id="16"/>
            <w:r/>
            <w:bookmarkStart w:id="17" w:name="_Hlt26671343"/>
            <w:r/>
            <w:bookmarkEnd w:id="17"/>
            <w:r/>
            <w:bookmarkStart w:id="18" w:name="_Hlt26955064"/>
            <w:r/>
            <w:bookmarkEnd w:id="18"/>
            <w:r/>
            <w:bookmarkStart w:id="19" w:name="_Hlt26580838"/>
            <w:r/>
            <w:bookmarkEnd w:id="19"/>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0" w:name="_Hlt26609389"/>
      <w:r/>
      <w:bookmarkEnd w:id="20"/>
      <w:r/>
      <w:bookmarkStart w:id="21" w:name="_格式2__法定代表人授权书"/>
      <w:r/>
      <w:bookmarkEnd w:id="21"/>
      <w:r/>
      <w:bookmarkStart w:id="22" w:name="_Hlt26955066"/>
      <w:r/>
      <w:bookmarkEnd w:id="22"/>
      <w:r/>
      <w:bookmarkStart w:id="23" w:name="_Hlt26671374"/>
      <w:r/>
      <w:bookmarkEnd w:id="23"/>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十七、类似项目业绩一览表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3"/>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3"/>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highlight w:val="yellow"/>
        </w:rPr>
        <w:outlineLvl w:val="1"/>
      </w:pPr>
      <w:r>
        <w:rPr>
          <w:rFonts w:hint="eastAsia" w:ascii="Arial" w:hAnsi="Arial" w:eastAsia="宋体" w:cs="Arial"/>
          <w:b/>
          <w:sz w:val="36"/>
          <w:highlight w:val="yellow"/>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653"/>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56"/>
        <w:gridCol w:w="2427"/>
        <w:gridCol w:w="3399"/>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646"/>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egoe UI">
    <w:panose1 w:val="020B0502040204020203"/>
  </w:font>
  <w:font w:name="黑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9"/>
      <w:jc w:val="center"/>
    </w:pPr>
    <w:r/>
    <w:r/>
  </w:p>
  <w:p>
    <w:pPr>
      <w:pStyle w:val="6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49"/>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6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2"/>
    <w:link w:val="639"/>
    <w:uiPriority w:val="9"/>
    <w:rPr>
      <w:rFonts w:ascii="Arial" w:hAnsi="Arial" w:eastAsia="Arial" w:cs="Arial"/>
      <w:sz w:val="40"/>
      <w:szCs w:val="40"/>
    </w:rPr>
  </w:style>
  <w:style w:type="character" w:styleId="15">
    <w:name w:val="Heading 2 Char"/>
    <w:basedOn w:val="642"/>
    <w:link w:val="640"/>
    <w:uiPriority w:val="9"/>
    <w:rPr>
      <w:rFonts w:ascii="Arial" w:hAnsi="Arial" w:eastAsia="Arial" w:cs="Arial"/>
      <w:sz w:val="34"/>
    </w:rPr>
  </w:style>
  <w:style w:type="character" w:styleId="17">
    <w:name w:val="Heading 3 Char"/>
    <w:basedOn w:val="642"/>
    <w:link w:val="641"/>
    <w:uiPriority w:val="9"/>
    <w:rPr>
      <w:rFonts w:ascii="Arial" w:hAnsi="Arial" w:eastAsia="Arial" w:cs="Arial"/>
      <w:sz w:val="30"/>
      <w:szCs w:val="30"/>
    </w:rPr>
  </w:style>
  <w:style w:type="paragraph" w:styleId="18">
    <w:name w:val="Heading 4"/>
    <w:basedOn w:val="638"/>
    <w:next w:val="63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2"/>
    <w:link w:val="18"/>
    <w:uiPriority w:val="9"/>
    <w:rPr>
      <w:rFonts w:ascii="Arial" w:hAnsi="Arial" w:eastAsia="Arial" w:cs="Arial"/>
      <w:b/>
      <w:bCs/>
      <w:sz w:val="26"/>
      <w:szCs w:val="26"/>
    </w:rPr>
  </w:style>
  <w:style w:type="paragraph" w:styleId="20">
    <w:name w:val="Heading 5"/>
    <w:basedOn w:val="638"/>
    <w:next w:val="6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2"/>
    <w:link w:val="20"/>
    <w:uiPriority w:val="9"/>
    <w:rPr>
      <w:rFonts w:ascii="Arial" w:hAnsi="Arial" w:eastAsia="Arial" w:cs="Arial"/>
      <w:b/>
      <w:bCs/>
      <w:sz w:val="24"/>
      <w:szCs w:val="24"/>
    </w:rPr>
  </w:style>
  <w:style w:type="paragraph" w:styleId="22">
    <w:name w:val="Heading 6"/>
    <w:basedOn w:val="638"/>
    <w:next w:val="6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2"/>
    <w:link w:val="22"/>
    <w:uiPriority w:val="9"/>
    <w:rPr>
      <w:rFonts w:ascii="Arial" w:hAnsi="Arial" w:eastAsia="Arial" w:cs="Arial"/>
      <w:b/>
      <w:bCs/>
      <w:sz w:val="22"/>
      <w:szCs w:val="22"/>
    </w:rPr>
  </w:style>
  <w:style w:type="paragraph" w:styleId="24">
    <w:name w:val="Heading 7"/>
    <w:basedOn w:val="638"/>
    <w:next w:val="6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2"/>
    <w:link w:val="24"/>
    <w:uiPriority w:val="9"/>
    <w:rPr>
      <w:rFonts w:ascii="Arial" w:hAnsi="Arial" w:eastAsia="Arial" w:cs="Arial"/>
      <w:b/>
      <w:bCs/>
      <w:i/>
      <w:iCs/>
      <w:sz w:val="22"/>
      <w:szCs w:val="22"/>
    </w:rPr>
  </w:style>
  <w:style w:type="paragraph" w:styleId="26">
    <w:name w:val="Heading 8"/>
    <w:basedOn w:val="638"/>
    <w:next w:val="6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2"/>
    <w:link w:val="26"/>
    <w:uiPriority w:val="9"/>
    <w:rPr>
      <w:rFonts w:ascii="Arial" w:hAnsi="Arial" w:eastAsia="Arial" w:cs="Arial"/>
      <w:i/>
      <w:iCs/>
      <w:sz w:val="22"/>
      <w:szCs w:val="22"/>
    </w:rPr>
  </w:style>
  <w:style w:type="paragraph" w:styleId="28">
    <w:name w:val="Heading 9"/>
    <w:basedOn w:val="638"/>
    <w:next w:val="6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8"/>
    <w:next w:val="638"/>
    <w:link w:val="34"/>
    <w:uiPriority w:val="10"/>
    <w:qFormat/>
    <w:pPr>
      <w:contextualSpacing/>
      <w:spacing w:before="300" w:after="200"/>
    </w:pPr>
    <w:rPr>
      <w:sz w:val="48"/>
      <w:szCs w:val="48"/>
    </w:rPr>
  </w:style>
  <w:style w:type="character" w:styleId="34">
    <w:name w:val="Title Char"/>
    <w:basedOn w:val="642"/>
    <w:link w:val="33"/>
    <w:uiPriority w:val="10"/>
    <w:rPr>
      <w:sz w:val="48"/>
      <w:szCs w:val="48"/>
    </w:rPr>
  </w:style>
  <w:style w:type="paragraph" w:styleId="35">
    <w:name w:val="Subtitle"/>
    <w:basedOn w:val="638"/>
    <w:next w:val="638"/>
    <w:link w:val="36"/>
    <w:uiPriority w:val="11"/>
    <w:qFormat/>
    <w:pPr>
      <w:spacing w:before="200" w:after="200"/>
    </w:pPr>
    <w:rPr>
      <w:sz w:val="24"/>
      <w:szCs w:val="24"/>
    </w:rPr>
  </w:style>
  <w:style w:type="character" w:styleId="36">
    <w:name w:val="Subtitle Char"/>
    <w:basedOn w:val="642"/>
    <w:link w:val="35"/>
    <w:uiPriority w:val="11"/>
    <w:rPr>
      <w:sz w:val="24"/>
      <w:szCs w:val="24"/>
    </w:rPr>
  </w:style>
  <w:style w:type="paragraph" w:styleId="37">
    <w:name w:val="Quote"/>
    <w:basedOn w:val="638"/>
    <w:next w:val="638"/>
    <w:link w:val="38"/>
    <w:uiPriority w:val="29"/>
    <w:qFormat/>
    <w:pPr>
      <w:ind w:left="720" w:right="720"/>
    </w:pPr>
    <w:rPr>
      <w:i/>
    </w:rPr>
  </w:style>
  <w:style w:type="character" w:styleId="38">
    <w:name w:val="Quote Char"/>
    <w:link w:val="37"/>
    <w:uiPriority w:val="29"/>
    <w:rPr>
      <w:i/>
    </w:rPr>
  </w:style>
  <w:style w:type="paragraph" w:styleId="39">
    <w:name w:val="Intense Quote"/>
    <w:basedOn w:val="638"/>
    <w:next w:val="6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2"/>
    <w:link w:val="650"/>
    <w:uiPriority w:val="99"/>
  </w:style>
  <w:style w:type="character" w:styleId="44">
    <w:name w:val="Footer Char"/>
    <w:basedOn w:val="642"/>
    <w:link w:val="649"/>
    <w:uiPriority w:val="99"/>
  </w:style>
  <w:style w:type="paragraph" w:styleId="45">
    <w:name w:val="Caption"/>
    <w:basedOn w:val="638"/>
    <w:next w:val="638"/>
    <w:uiPriority w:val="35"/>
    <w:semiHidden/>
    <w:unhideWhenUsed/>
    <w:qFormat/>
    <w:pPr>
      <w:spacing w:line="276" w:lineRule="auto"/>
    </w:pPr>
    <w:rPr>
      <w:b/>
      <w:bCs/>
      <w:color w:val="4f81bd" w:themeColor="accent1"/>
      <w:sz w:val="18"/>
      <w:szCs w:val="18"/>
    </w:rPr>
  </w:style>
  <w:style w:type="character" w:styleId="46">
    <w:name w:val="Caption Char"/>
    <w:basedOn w:val="45"/>
    <w:link w:val="649"/>
    <w:uiPriority w:val="99"/>
  </w:style>
  <w:style w:type="table" w:styleId="48">
    <w:name w:val="Table Grid Light"/>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2"/>
    <w:uiPriority w:val="99"/>
    <w:unhideWhenUsed/>
    <w:rPr>
      <w:vertAlign w:val="superscript"/>
    </w:rPr>
  </w:style>
  <w:style w:type="paragraph" w:styleId="177">
    <w:name w:val="endnote text"/>
    <w:basedOn w:val="6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2"/>
    <w:uiPriority w:val="99"/>
    <w:semiHidden/>
    <w:unhideWhenUsed/>
    <w:rPr>
      <w:vertAlign w:val="superscript"/>
    </w:rPr>
  </w:style>
  <w:style w:type="paragraph" w:styleId="181">
    <w:name w:val="toc 2"/>
    <w:basedOn w:val="638"/>
    <w:next w:val="638"/>
    <w:uiPriority w:val="39"/>
    <w:unhideWhenUsed/>
    <w:pPr>
      <w:ind w:left="283" w:right="0" w:firstLine="0"/>
      <w:spacing w:after="57"/>
    </w:pPr>
  </w:style>
  <w:style w:type="paragraph" w:styleId="182">
    <w:name w:val="toc 3"/>
    <w:basedOn w:val="638"/>
    <w:next w:val="638"/>
    <w:uiPriority w:val="39"/>
    <w:unhideWhenUsed/>
    <w:pPr>
      <w:ind w:left="567" w:right="0" w:firstLine="0"/>
      <w:spacing w:after="57"/>
    </w:pPr>
  </w:style>
  <w:style w:type="paragraph" w:styleId="183">
    <w:name w:val="toc 4"/>
    <w:basedOn w:val="638"/>
    <w:next w:val="638"/>
    <w:uiPriority w:val="39"/>
    <w:unhideWhenUsed/>
    <w:pPr>
      <w:ind w:left="850" w:right="0" w:firstLine="0"/>
      <w:spacing w:after="57"/>
    </w:pPr>
  </w:style>
  <w:style w:type="paragraph" w:styleId="184">
    <w:name w:val="toc 5"/>
    <w:basedOn w:val="638"/>
    <w:next w:val="638"/>
    <w:uiPriority w:val="39"/>
    <w:unhideWhenUsed/>
    <w:pPr>
      <w:ind w:left="1134" w:right="0" w:firstLine="0"/>
      <w:spacing w:after="57"/>
    </w:pPr>
  </w:style>
  <w:style w:type="paragraph" w:styleId="185">
    <w:name w:val="toc 6"/>
    <w:basedOn w:val="638"/>
    <w:next w:val="638"/>
    <w:uiPriority w:val="39"/>
    <w:unhideWhenUsed/>
    <w:pPr>
      <w:ind w:left="1417" w:right="0" w:firstLine="0"/>
      <w:spacing w:after="57"/>
    </w:pPr>
  </w:style>
  <w:style w:type="paragraph" w:styleId="186">
    <w:name w:val="toc 7"/>
    <w:basedOn w:val="638"/>
    <w:next w:val="638"/>
    <w:uiPriority w:val="39"/>
    <w:unhideWhenUsed/>
    <w:pPr>
      <w:ind w:left="1701" w:right="0" w:firstLine="0"/>
      <w:spacing w:after="57"/>
    </w:pPr>
  </w:style>
  <w:style w:type="paragraph" w:styleId="187">
    <w:name w:val="toc 8"/>
    <w:basedOn w:val="638"/>
    <w:next w:val="638"/>
    <w:uiPriority w:val="39"/>
    <w:unhideWhenUsed/>
    <w:pPr>
      <w:ind w:left="1984" w:right="0" w:firstLine="0"/>
      <w:spacing w:after="57"/>
    </w:pPr>
  </w:style>
  <w:style w:type="paragraph" w:styleId="188">
    <w:name w:val="toc 9"/>
    <w:basedOn w:val="638"/>
    <w:next w:val="6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8"/>
    <w:next w:val="638"/>
    <w:uiPriority w:val="99"/>
    <w:unhideWhenUsed/>
    <w:pPr>
      <w:spacing w:after="0" w:afterAutospacing="0"/>
    </w:pPr>
  </w:style>
  <w:style w:type="paragraph" w:styleId="63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39">
    <w:name w:val="Heading 1"/>
    <w:basedOn w:val="638"/>
    <w:next w:val="638"/>
    <w:link w:val="659"/>
    <w:uiPriority w:val="9"/>
    <w:qFormat/>
    <w:pPr>
      <w:keepLines/>
      <w:keepNext/>
      <w:spacing w:before="340" w:after="330" w:line="578" w:lineRule="auto"/>
      <w:outlineLvl w:val="0"/>
    </w:pPr>
    <w:rPr>
      <w:b/>
      <w:bCs/>
      <w:sz w:val="44"/>
      <w:szCs w:val="44"/>
    </w:rPr>
  </w:style>
  <w:style w:type="paragraph" w:styleId="640">
    <w:name w:val="Heading 2"/>
    <w:basedOn w:val="638"/>
    <w:next w:val="638"/>
    <w:link w:val="66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1">
    <w:name w:val="Heading 3"/>
    <w:basedOn w:val="638"/>
    <w:next w:val="638"/>
    <w:link w:val="662"/>
    <w:uiPriority w:val="9"/>
    <w:unhideWhenUsed/>
    <w:qFormat/>
    <w:pPr>
      <w:keepLines/>
      <w:keepNext/>
      <w:spacing w:before="260" w:after="260" w:line="416" w:lineRule="auto"/>
      <w:outlineLvl w:val="2"/>
    </w:pPr>
    <w:rPr>
      <w:b/>
      <w:bCs/>
      <w:sz w:val="32"/>
      <w:szCs w:val="32"/>
    </w:rPr>
  </w:style>
  <w:style w:type="character" w:styleId="642" w:default="1">
    <w:name w:val="Default Paragraph Font"/>
    <w:uiPriority w:val="1"/>
    <w:semiHidden/>
    <w:unhideWhenUsed/>
  </w:style>
  <w:style w:type="table" w:styleId="643" w:default="1">
    <w:name w:val="Normal Table"/>
    <w:uiPriority w:val="99"/>
    <w:semiHidden/>
    <w:unhideWhenUsed/>
    <w:tblPr>
      <w:tblCellMar>
        <w:left w:w="108" w:type="dxa"/>
        <w:top w:w="0" w:type="dxa"/>
        <w:right w:w="108" w:type="dxa"/>
        <w:bottom w:w="0" w:type="dxa"/>
      </w:tblCellMar>
    </w:tblPr>
  </w:style>
  <w:style w:type="paragraph" w:styleId="644">
    <w:name w:val="Document Map"/>
    <w:basedOn w:val="638"/>
    <w:link w:val="660"/>
    <w:uiPriority w:val="99"/>
    <w:semiHidden/>
    <w:unhideWhenUsed/>
    <w:qFormat/>
    <w:rPr>
      <w:rFonts w:ascii="宋体" w:eastAsia="宋体"/>
      <w:sz w:val="18"/>
      <w:szCs w:val="18"/>
    </w:rPr>
  </w:style>
  <w:style w:type="paragraph" w:styleId="645">
    <w:name w:val="annotation text"/>
    <w:basedOn w:val="638"/>
    <w:link w:val="664"/>
    <w:uiPriority w:val="0"/>
    <w:qFormat/>
    <w:pPr>
      <w:ind w:firstLine="922"/>
      <w:jc w:val="left"/>
      <w:spacing w:line="360" w:lineRule="auto"/>
    </w:pPr>
    <w:rPr>
      <w:rFonts w:ascii="Times New Roman" w:hAnsi="Times New Roman" w:eastAsia="宋体" w:cs="Times New Roman"/>
      <w:szCs w:val="24"/>
    </w:rPr>
  </w:style>
  <w:style w:type="paragraph" w:styleId="646">
    <w:name w:val="Plain Text"/>
    <w:basedOn w:val="638"/>
    <w:link w:val="668"/>
    <w:uiPriority w:val="0"/>
    <w:qFormat/>
    <w:rPr>
      <w:rFonts w:ascii="宋体" w:hAnsi="Courier New" w:eastAsia="宋体" w:cs="Times New Roman"/>
      <w:szCs w:val="20"/>
    </w:rPr>
  </w:style>
  <w:style w:type="paragraph" w:styleId="647">
    <w:name w:val="Date"/>
    <w:basedOn w:val="638"/>
    <w:next w:val="638"/>
    <w:link w:val="663"/>
    <w:uiPriority w:val="99"/>
    <w:semiHidden/>
    <w:unhideWhenUsed/>
    <w:qFormat/>
    <w:pPr>
      <w:ind w:left="100"/>
    </w:pPr>
  </w:style>
  <w:style w:type="paragraph" w:styleId="648">
    <w:name w:val="Balloon Text"/>
    <w:basedOn w:val="638"/>
    <w:link w:val="665"/>
    <w:uiPriority w:val="99"/>
    <w:semiHidden/>
    <w:unhideWhenUsed/>
    <w:qFormat/>
    <w:rPr>
      <w:sz w:val="18"/>
      <w:szCs w:val="18"/>
    </w:rPr>
  </w:style>
  <w:style w:type="paragraph" w:styleId="649">
    <w:name w:val="Footer"/>
    <w:basedOn w:val="638"/>
    <w:link w:val="658"/>
    <w:uiPriority w:val="99"/>
    <w:unhideWhenUsed/>
    <w:qFormat/>
    <w:pPr>
      <w:jc w:val="left"/>
      <w:tabs>
        <w:tab w:val="center" w:pos="4153" w:leader="none"/>
        <w:tab w:val="right" w:pos="8306" w:leader="none"/>
      </w:tabs>
    </w:pPr>
    <w:rPr>
      <w:sz w:val="18"/>
      <w:szCs w:val="18"/>
    </w:rPr>
  </w:style>
  <w:style w:type="paragraph" w:styleId="650">
    <w:name w:val="Header"/>
    <w:basedOn w:val="638"/>
    <w:link w:val="65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51">
    <w:name w:val="toc 1"/>
    <w:basedOn w:val="638"/>
    <w:next w:val="638"/>
    <w:uiPriority w:val="39"/>
    <w:unhideWhenUsed/>
    <w:qFormat/>
    <w:pPr>
      <w:jc w:val="center"/>
      <w:spacing w:line="360" w:lineRule="auto"/>
      <w:tabs>
        <w:tab w:val="right" w:pos="9628" w:leader="dot"/>
      </w:tabs>
    </w:pPr>
    <w:rPr>
      <w:sz w:val="32"/>
    </w:rPr>
  </w:style>
  <w:style w:type="paragraph" w:styleId="652">
    <w:name w:val="Normal (Web)"/>
    <w:basedOn w:val="638"/>
    <w:uiPriority w:val="0"/>
    <w:unhideWhenUsed/>
    <w:qFormat/>
    <w:pPr>
      <w:jc w:val="left"/>
      <w:spacing w:before="100" w:beforeAutospacing="1" w:after="100" w:afterAutospacing="1"/>
      <w:widowControl/>
    </w:pPr>
    <w:rPr>
      <w:rFonts w:ascii="宋体" w:hAnsi="宋体" w:eastAsia="宋体" w:cs="宋体"/>
      <w:sz w:val="24"/>
      <w:szCs w:val="24"/>
    </w:rPr>
  </w:style>
  <w:style w:type="table" w:styleId="653">
    <w:name w:val="Table Grid"/>
    <w:basedOn w:val="6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4">
    <w:name w:val="Strong"/>
    <w:uiPriority w:val="22"/>
    <w:qFormat/>
    <w:rPr>
      <w:b/>
      <w:bCs/>
    </w:rPr>
  </w:style>
  <w:style w:type="character" w:styleId="655">
    <w:name w:val="Hyperlink"/>
    <w:uiPriority w:val="99"/>
    <w:qFormat/>
    <w:rPr>
      <w:color w:val="0000ff"/>
      <w:u w:val="none"/>
    </w:rPr>
  </w:style>
  <w:style w:type="character" w:styleId="656">
    <w:name w:val="annotation reference"/>
    <w:uiPriority w:val="0"/>
    <w:qFormat/>
    <w:rPr>
      <w:sz w:val="21"/>
      <w:szCs w:val="21"/>
    </w:rPr>
  </w:style>
  <w:style w:type="character" w:styleId="657" w:customStyle="1">
    <w:name w:val="页眉 字符"/>
    <w:basedOn w:val="642"/>
    <w:link w:val="650"/>
    <w:uiPriority w:val="99"/>
    <w:qFormat/>
    <w:rPr>
      <w:sz w:val="18"/>
      <w:szCs w:val="18"/>
    </w:rPr>
  </w:style>
  <w:style w:type="character" w:styleId="658" w:customStyle="1">
    <w:name w:val="页脚 字符"/>
    <w:basedOn w:val="642"/>
    <w:link w:val="649"/>
    <w:uiPriority w:val="99"/>
    <w:qFormat/>
    <w:rPr>
      <w:sz w:val="18"/>
      <w:szCs w:val="18"/>
    </w:rPr>
  </w:style>
  <w:style w:type="character" w:styleId="659" w:customStyle="1">
    <w:name w:val="标题 1 字符"/>
    <w:basedOn w:val="642"/>
    <w:link w:val="639"/>
    <w:uiPriority w:val="9"/>
    <w:qFormat/>
    <w:rPr>
      <w:b/>
      <w:bCs/>
      <w:sz w:val="44"/>
      <w:szCs w:val="44"/>
    </w:rPr>
  </w:style>
  <w:style w:type="character" w:styleId="660" w:customStyle="1">
    <w:name w:val="文档结构图 字符"/>
    <w:basedOn w:val="642"/>
    <w:link w:val="644"/>
    <w:uiPriority w:val="99"/>
    <w:semiHidden/>
    <w:qFormat/>
    <w:rPr>
      <w:rFonts w:ascii="宋体" w:eastAsia="宋体"/>
      <w:sz w:val="18"/>
      <w:szCs w:val="18"/>
    </w:rPr>
  </w:style>
  <w:style w:type="character" w:styleId="661" w:customStyle="1">
    <w:name w:val="标题 2 字符"/>
    <w:basedOn w:val="642"/>
    <w:link w:val="640"/>
    <w:uiPriority w:val="9"/>
    <w:qFormat/>
    <w:rPr>
      <w:rFonts w:asciiTheme="majorHAnsi" w:hAnsiTheme="majorHAnsi" w:eastAsiaTheme="majorEastAsia" w:cstheme="majorBidi"/>
      <w:b/>
      <w:bCs/>
      <w:sz w:val="32"/>
      <w:szCs w:val="32"/>
    </w:rPr>
  </w:style>
  <w:style w:type="character" w:styleId="662" w:customStyle="1">
    <w:name w:val="标题 3 字符"/>
    <w:basedOn w:val="642"/>
    <w:link w:val="641"/>
    <w:uiPriority w:val="9"/>
    <w:qFormat/>
    <w:rPr>
      <w:b/>
      <w:bCs/>
      <w:sz w:val="32"/>
      <w:szCs w:val="32"/>
    </w:rPr>
  </w:style>
  <w:style w:type="character" w:styleId="663" w:customStyle="1">
    <w:name w:val="日期 字符"/>
    <w:basedOn w:val="642"/>
    <w:link w:val="647"/>
    <w:uiPriority w:val="99"/>
    <w:semiHidden/>
    <w:qFormat/>
  </w:style>
  <w:style w:type="character" w:styleId="664" w:customStyle="1">
    <w:name w:val="批注文字 字符"/>
    <w:basedOn w:val="642"/>
    <w:link w:val="645"/>
    <w:uiPriority w:val="0"/>
    <w:qFormat/>
    <w:rPr>
      <w:rFonts w:ascii="Times New Roman" w:hAnsi="Times New Roman" w:eastAsia="宋体" w:cs="Times New Roman"/>
      <w:szCs w:val="24"/>
    </w:rPr>
  </w:style>
  <w:style w:type="character" w:styleId="665" w:customStyle="1">
    <w:name w:val="批注框文本 字符"/>
    <w:basedOn w:val="642"/>
    <w:link w:val="648"/>
    <w:uiPriority w:val="99"/>
    <w:semiHidden/>
    <w:qFormat/>
    <w:rPr>
      <w:sz w:val="18"/>
      <w:szCs w:val="18"/>
    </w:rPr>
  </w:style>
  <w:style w:type="paragraph" w:styleId="666" w:customStyle="1">
    <w:name w:val="Default"/>
    <w:link w:val="667"/>
    <w:uiPriority w:val="99"/>
    <w:qFormat/>
    <w:pPr>
      <w:widowControl w:val="off"/>
    </w:pPr>
    <w:rPr>
      <w:rFonts w:ascii="MS Mincho" w:hAnsi="Calibri" w:eastAsia="宋体" w:cs="Times New Roman"/>
      <w:color w:val="000000"/>
      <w:sz w:val="21"/>
      <w:szCs w:val="24"/>
      <w:lang w:val="en-US" w:eastAsia="zh-CN" w:bidi="ar-SA"/>
    </w:rPr>
  </w:style>
  <w:style w:type="character" w:styleId="667" w:customStyle="1">
    <w:name w:val="Default Char"/>
    <w:link w:val="666"/>
    <w:uiPriority w:val="99"/>
    <w:qFormat/>
    <w:rPr>
      <w:rFonts w:ascii="MS Mincho" w:hAnsi="Calibri" w:eastAsia="宋体" w:cs="Times New Roman"/>
      <w:color w:val="000000"/>
      <w:szCs w:val="24"/>
    </w:rPr>
  </w:style>
  <w:style w:type="character" w:styleId="668" w:customStyle="1">
    <w:name w:val="纯文本 字符"/>
    <w:basedOn w:val="642"/>
    <w:link w:val="646"/>
    <w:uiPriority w:val="0"/>
    <w:qFormat/>
    <w:rPr>
      <w:rFonts w:ascii="宋体" w:hAnsi="Courier New" w:eastAsia="宋体" w:cs="Times New Roman"/>
      <w:szCs w:val="20"/>
    </w:rPr>
  </w:style>
  <w:style w:type="paragraph" w:styleId="669">
    <w:name w:val="List Paragraph"/>
    <w:basedOn w:val="638"/>
    <w:uiPriority w:val="99"/>
    <w:qFormat/>
    <w:pPr>
      <w:ind w:firstLine="420"/>
    </w:pPr>
  </w:style>
  <w:style w:type="numbering" w:styleId="73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BFF8E6-663A-436A-88C4-85BBB40E990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程杨</cp:lastModifiedBy>
  <cp:revision>6</cp:revision>
  <dcterms:created xsi:type="dcterms:W3CDTF">2026-09-18T07:07:00Z</dcterms:created>
  <dcterms:modified xsi:type="dcterms:W3CDTF">2026-09-21T03:06:24Z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eyJoZGlkIjoiNzk4ZjkyYWVlZDEyZDU2ZDk1NmQ5MDgwZjhiZTY3MzkiLCJ1c2VySWQiOiIxMDQyMDAzNTU1In0=</vt:lpwstr>
  </property>
  <property fmtid="{D5CDD505-2E9C-101B-9397-08002B2CF9AE}" pid="3" name="KSOProductBuildVer">
    <vt:lpwstr>2052-12.1.0.28505</vt:lpwstr>
  </property>
  <property fmtid="{D5CDD505-2E9C-101B-9397-08002B2CF9AE}" pid="4" name="ICV">
    <vt:lpwstr>44E800EBF40143A99D25180E1831B1EB_13</vt:lpwstr>
  </property>
</Properties>
</file>