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苏州工业园区政府采购</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竞争性磋商文件</w:t>
      </w:r>
      <w:r/>
    </w:p>
    <w:p>
      <w:pPr>
        <w:ind w:left="0" w:right="0" w:firstLine="2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2904" w:right="0" w:hanging="15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采购编号:JSZC-320591-PMJS-C2026-0029</w:t>
      </w:r>
      <w:r/>
    </w:p>
    <w:p>
      <w:pPr>
        <w:ind w:left="2904" w:right="0" w:hanging="15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采购项目：2026年上市苗圃服务项目（第二批）</w:t>
      </w:r>
      <w:r/>
    </w:p>
    <w:p>
      <w:pPr>
        <w:ind w:left="0" w:right="0" w:firstLine="13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采购人：苏州工业园区企业发展服务中心</w:t>
      </w:r>
      <w:r/>
    </w:p>
    <w:p>
      <w:pPr>
        <w:ind w:left="0" w:right="0" w:firstLine="13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采购类别：服务类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562100" cy="12001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004315" name=""/>
                        <pic:cNvPicPr>
                          <a:picLocks noChangeAspect="1"/>
                        </pic:cNvPicPr>
                        <pic:nvPr/>
                      </pic:nvPicPr>
                      <pic:blipFill>
                        <a:blip/>
                        <a:stretch/>
                      </pic:blipFill>
                      <pic:spPr bwMode="auto">
                        <a:xfrm>
                          <a:off x="0" y="0"/>
                          <a:ext cx="1562099" cy="1200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3.0pt;height:94.5pt;mso-wrap-distance-left:0.0pt;mso-wrap-distance-top:0.0pt;mso-wrap-distance-right:0.0pt;mso-wrap-distance-bottom:0.0pt;" stroked="false">
                <v:path textboxrect="0,0,0,0"/>
              </v:shape>
            </w:pict>
          </mc:Fallback>
        </mc:AlternateContent>
      </w: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江苏京苏项目管理咨询有限公司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2026年09月</w:t>
      </w:r>
      <w:r/>
    </w:p>
    <w:p>
      <w:pPr>
        <w:ind w:left="52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总目录</w:t>
      </w:r>
      <w:r/>
    </w:p>
    <w:p>
      <w:pPr>
        <w:ind w:left="0" w:right="0" w:firstLine="3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前附表</w:t>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第一章竞争性磋商公告</w:t>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 磋商供应商须知</w:t>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 响应文件格式</w:t>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磋商采购内容</w:t>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 合同条款</w:t>
        <w:tab/>
        <w:t xml:space="preserve">47</w:t>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 评审办法</w:t>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21"/>
        <w:jc w:val="both"/>
        <w:spacing w:before="0" w:after="0"/>
        <w:pBdr>
          <w:top w:val="none" w:color="000000" w:sz="4" w:space="0"/>
          <w:left w:val="none" w:color="000000" w:sz="4" w:space="0"/>
          <w:bottom w:val="none" w:color="000000" w:sz="4" w:space="0"/>
          <w:right w:val="none" w:color="000000" w:sz="4" w:space="0"/>
        </w:pBdr>
      </w:pPr>
      <w:r>
        <w:br w:type="page" w:clear="all"/>
      </w:r>
      <w:r/>
    </w:p>
    <w:p>
      <w:pPr>
        <w:pStyle w:val="874"/>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前附表</w:t>
      </w:r>
      <w:r/>
    </w:p>
    <w:tbl>
      <w:tblPr>
        <w:tblStyle w:val="9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3"/>
        <w:gridCol w:w="7564"/>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241"/>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241"/>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内容规定</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采购内容：2026年上市苗圃服务项目（第二批）</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标段数：1个标段，本项目为JSZC-320591-PMJS-C2026-0028的采购包2的二次采购。</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响应文件有效期为90天（日历日）</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服务时间：一年，以合同签订日期为准。</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磋商保证金：不提交，本项目磋商文件内关于磋商保证金的相关规定均不适用。</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签订合同：成交通知书发出之日起30日内</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现场考察：不组织。</w:t>
            </w:r>
            <w:r/>
          </w:p>
        </w:tc>
      </w:tr>
      <w:tr>
        <w:trPr>
          <w:trHeight w:val="8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响应文件：应使用“苏采云”系统制作并提交电子版响应文件，未按要求线上递交电子响应文件将被拒收。供应商成交后须提供4套响应文件。</w:t>
            </w:r>
            <w:r/>
          </w:p>
        </w:tc>
      </w:tr>
      <w:tr>
        <w:trPr>
          <w:trHeight w:val="21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电子响应文件上传截止时间：2026年10月13日09:30（北京时间）</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上传地点：苏采云政府采购一体化平台</w:t>
            </w:r>
            <w:r/>
          </w:p>
          <w:p>
            <w:pPr>
              <w:ind w:left="0" w:right="0" w:firstLine="0"/>
              <w:jc w:val="both"/>
              <w:spacing w:before="0" w:after="0" w:line="40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本项目为不见面开标项目，开标阶段供应商在【供应商解密】环节必须使用 CA证书解密电子投标文件，如在系统规定的解密时间内未能完成解密的视为放弃投标（响应）。</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询问：获取磋商文件成功的磋商供应商在下载磋商文件后，对磋商文件有疑问的，可通过邮件（1214506206@qq.com）进行询问。采购代理机构通过邮件予以解答，询问人自行在邮件中查看解答信息。</w:t>
            </w:r>
            <w:r/>
          </w:p>
        </w:tc>
      </w:tr>
      <w:tr>
        <w:trPr>
          <w:trHeight w:val="2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ind w:left="0" w:right="0" w:firstLine="6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认为本采购文件条款使自己的权益受到损害的，应在知道或者应知权益受到损害之日起七个工作日内，以书面形式向采购单位提出质疑。采购人应当在收到磋商供应商书面质疑后七个工作日内作出答复。质疑应符合政府采购质疑和投诉办法(中华人民共和国财政部令第94号)。</w:t>
            </w:r>
            <w:r/>
          </w:p>
          <w:p>
            <w:pPr>
              <w:ind w:left="0" w:right="0" w:firstLine="6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未依照磋商公告要求依法获取磋商文件的供应商，视为未参加该项政府采购活动，不具备对该政府采购项目提出质疑的法定权利。</w:t>
            </w:r>
            <w:r/>
          </w:p>
          <w:p>
            <w:pPr>
              <w:ind w:left="0" w:right="0" w:firstLine="6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接受质疑函的方式：当场送达或邮寄方式。</w:t>
            </w:r>
            <w:r/>
          </w:p>
        </w:tc>
      </w:tr>
      <w:tr>
        <w:trPr>
          <w:trHeight w:val="11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24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本项目采购预算中已包含采购代理费，采购代理费由成交单位支付，供应商报价中需包含采购代理费用。</w:t>
            </w:r>
            <w:r/>
          </w:p>
          <w:p>
            <w:pPr>
              <w:ind w:left="0" w:right="0" w:firstLine="24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代理服务费收费标准，由成交供应商在领取成交通知书时付清：</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预算金额100万元以下部分，费率为该部分预算金额的1.5%；</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预算金额100万元（含）－500万元部分，费率为该部分预算金额的1.1%；</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代理服务费以采购预算金额为基数依据，按以上规定的标准和差额定率累进法进行计算收取。例：如预算金额为150万元，则代理服务费＝100万元×1.5%＋（150万元－100万元）×1.1%。如按上述方法计算的金额低于人民币3000元整的，则本项目代理服务费按人民币3000元整计收，最低不低于3000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代理服务费：6981元</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中标原则：综合评分法</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评审办法：详见第六章</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特别提醒：</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1、本项目支持网上不见面开标，供应商不需到现场参加磋商会。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采用线上二次报价(及时关注系统，以防错过二次报价)，供应商应登录采购系统并在规定时间内进行线上二次报价。此处规定时间的计算以采购系统中的倒计时间为准。因供应商自身原因导致线上二次报价失败的后果由供应商自行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3、请供应商确保电脑、系统及其他设备（视频输入输出设备等）无误，且开标直至项目结束始终保持系统在线状态。</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874"/>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u w:val="none"/>
        </w:rPr>
        <w:t xml:space="preserve">第一章竞争性磋商</w:t>
      </w:r>
      <w:r>
        <w:rPr>
          <w:rFonts w:ascii="SimSun" w:hAnsi="SimSun" w:eastAsia="SimSun" w:cs="SimSun"/>
          <w:b/>
          <w:color w:val="000000"/>
          <w:sz w:val="52"/>
        </w:rPr>
        <w:t xml:space="preserve">公告</w:t>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一、竞争性磋商公告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2026年上市苗圃服务项目（第二批）的潜在磋商供应商应在“苏采云政府采购一体化平台”自行免费下载磋商文件，并于2026年10月13日09点30分（北京时间）前提交响应文件。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采购编号：JSZC-320591-PMJS-C2026-0029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项目名称：2026年上市苗圃服务项目（第二批）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预算金额：50.000000万元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最高限价：50.000000万元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突围增长班：为推动苗圃企业技术创新与市场需求深度融合，上市苗圃工程拟为企业核心管理团队提供针对性的能力提升课程，助力企业找准技术产业转化路径，强化市场营销维度“战略-战术”双轮驱动能力，推动企业研发与销售协同赋能，夯实企业上市发展的市场基础。</w:t>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2、成交原则：本项目为JSZC-320591-PMJS-C2026-0028的二次采购，根据JSZC-320591-PMJS-C2026-0028项目的成交原则，JSZC-320591-PMJS-C2026-0028中已成交的单位不具备本项目的成交资格，不再进行评审。</w:t>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3、合同履行期限：</w:t>
      </w:r>
      <w:r>
        <w:rPr>
          <w:rFonts w:ascii="SimSun" w:hAnsi="SimSun" w:eastAsia="SimSun" w:cs="SimSun"/>
          <w:color w:val="000000"/>
          <w:sz w:val="24"/>
          <w:u w:val="none"/>
        </w:rPr>
        <w:t xml:space="preserve">一年，以合同签订日期为准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1.3具有履行合同所必须的设备和专业技术能力；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落实政府采购政策需满足的资格要求：</w:t>
      </w:r>
      <w:r>
        <w:rPr>
          <w:rFonts w:ascii="SimSun" w:hAnsi="SimSun" w:eastAsia="SimSun" w:cs="SimSun"/>
          <w:b/>
          <w:color w:val="000000"/>
          <w:sz w:val="24"/>
        </w:rPr>
        <w:t xml:space="preserve">本项目专门面向中小企业采购，所属行业为其他未列明行业（教育），投标单位须为中小微企业或监狱企业或残疾人福利性单位。</w:t>
      </w:r>
      <w:r/>
    </w:p>
    <w:p>
      <w:pPr>
        <w:ind w:left="0" w:firstLine="0"/>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2.合格磋商磋商响应单位的特殊条件：无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注：（1）根据政府采购法及相关法规，招标代理人将对供应商进行信用查询。对列入失信被执行人、重大税收违法案件当事人名单、政府采购严重违法失信行为记录名单的供应商，拒绝其参与政府采购活动；</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（2）为采购项目提供整体设计、规范编制或者项目管理、监理、监测等服务的磋商供应商，不得再参加该采购项目的其他采购活动；</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（3）单位负责人为同一人或者存在直接控股、管理关系的不同磋商供应商，不得参加同一合同项下的政府采购活动。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三、获取采购文件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时间：磋商公告之日起5个工作日。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地点：供应商登录苏州市政府采购网站首页下侧 “苏采云-已参与项目”中，根据提示，下载招标（采购）文件。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方式：网上报名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截止时间：2026年10月13日09：30（北京时间）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地点：苏州市政府采购网站-苏采云系统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时间：2026年10月13日09：30（北京时间）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地点：苏州工业园区公共资源交易中心新场地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w:t>
      </w:r>
      <w:r>
        <w:rPr>
          <w:rFonts w:ascii="SimSun" w:hAnsi="SimSun" w:eastAsia="SimSun" w:cs="SimSun"/>
          <w:b/>
          <w:color w:val="000000"/>
          <w:sz w:val="24"/>
        </w:rPr>
        <w:t xml:space="preserve">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网上招投标项目，供应商应在“苏州市政府采购网-苏采云-项目参与-采购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2、本项目支持网上不见面开标，</w:t>
      </w:r>
      <w:r>
        <w:rPr>
          <w:rFonts w:ascii="SimSun" w:hAnsi="SimSun" w:eastAsia="SimSun" w:cs="SimSun"/>
          <w:b/>
          <w:color w:val="000000"/>
          <w:sz w:val="24"/>
        </w:rPr>
        <w:t xml:space="preserve">供应商不需到现场参加磋商会，开标阶段供应商在【供应商解密】环节必须使用 CA证书解密电子投标（响应）文件，如在系统规定的解密时间内未能完成解密的视为放弃投标（响应）。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5、请供应商确保电脑、系统及其他设备（视频输入输出设备等）无误，且开标直至项目结束始终保持系统在线状态。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6、CA办理及使用指南： 根据省财政厅《关于更换全省政府采购交易系统C 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陆页面右下角点击【新CA办理指南】--江苏省政府采购数字证书（供应商)数字证书CA及电子签章办理指南。苏州现场办理地址：苏州高新区邓尉路105号狮山科技馆1楼服务大厅，咨询电话：0512-</w:t>
      </w:r>
      <w:r>
        <w:rPr>
          <w:rFonts w:ascii="SimSun" w:hAnsi="SimSun" w:eastAsia="SimSun" w:cs="SimSun"/>
          <w:color w:val="000000"/>
          <w:sz w:val="24"/>
        </w:rPr>
        <w:t xml:space="preserve">65737699。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入“苏采云”政府采购交易系统后按照《苏采云系统供应商操作手册》（以下简称《操作手册》）、进行注册并按《操作手册》要求制作、上传电子响应文件。供应商可在采购系统中下载《苏采云系统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7、考虑到熟悉苏采云系统操作需要一定的时间，请提早准备以免耽误采购活动。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应及时关注政府采购信息发布媒体上发布的更正（补充）公告，同时在苏采云系统中下载更正（补充）资料，如有遗漏（包括但不限于文件未下载或下载不完整），所造成的投标失败或损失由供应商自行负责。</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9、投标人（供应商）应自行在苏采云政府采购一体化平台上下载/获取招标（采购）文件及其澄清（答疑）等相关招标（采购）资料，恕不另行通知。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10、采购项目需要落实的政府采购政策：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（1）财政部、工业和信息化部《政府采购促进中小企业发展管理办法》。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（2）苏州市财政局《关于贯彻执行绿色采购、促进残疾人就业和支持监狱企业发展有关政策的通知（苏财购〔2020〕10号）》。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（3）财库【2022】19号关于进一步加大政府采购支持中小企业力度的通知。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（4）苏财购【2022】16号关于印发《苏州市政府采购促进中小企业发展实施意见》的通知。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（5）国办发〔2025〕34号《国务院办公厅关于在政府采购中实施本国产品标准及相关政策的通知》。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11、成交供应商可凭政府采购合同办理融资贷款，详情请见江苏政府采购网“政采贷”专栏。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12、请贵单位领取本次采购文件后，认真阅读各项内容，进行必要的磋商准备，按文件的要求详细填写和编制响应文件。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13、苏州工业园区政府采购监督电话：0512-66681110。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14、本次采购的有关信息将在苏州市政府采购网、江苏政府采购网、中国政府采购网</w:t>
      </w:r>
      <w:hyperlink r:id="rId12" w:tooltip="http://www.szweikang.xn--com-6y3ba7cbgc4097e4kax19cqoerohxod7w1bva254sga6035lg4sc/" w:history="1">
        <w:r>
          <w:rPr>
            <w:rStyle w:val="910"/>
            <w:rFonts w:ascii="SimSun" w:hAnsi="SimSun" w:eastAsia="SimSun" w:cs="SimSun"/>
            <w:color w:val="0000ee"/>
            <w:sz w:val="24"/>
            <w:u w:val="single"/>
          </w:rPr>
          <w:t xml:space="preserve">上发布</w:t>
        </w:r>
      </w:hyperlink>
      <w:r>
        <w:rPr>
          <w:rFonts w:ascii="SimSun" w:hAnsi="SimSun" w:eastAsia="SimSun" w:cs="SimSun"/>
          <w:color w:val="000000"/>
          <w:sz w:val="24"/>
        </w:rPr>
        <w:t xml:space="preserve">，敬请留意。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系统使用指导与咨询：联系电话：13914088964、18261002950；QQ：3048755361、1315179389、895706745。智能客服：登录苏采云系统后，联系系统右下方智能客服图标进行咨询。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八、凡对本次采购提出询问，请按以下方式联系。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SimSun" w:hAnsi="SimSun" w:eastAsia="SimSun" w:cs="SimSun"/>
          <w:color w:val="000000"/>
          <w:sz w:val="24"/>
        </w:rPr>
        <w:t xml:space="preserve">苏州工业园区企业发展服务中心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联系地址：苏州工业园区旺墩路168号市场大厦东2F</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电话：0512-67068010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人：姜一晶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名称：江苏京苏项目管理咨询有限公司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址：苏州工业园区东环路1400号综艺开元大厦15楼会议室1502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联系方式：0512-67256848-1647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项目联系人：顾苏芯（项目负责人）、周东星、俞莉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话：0512-67256848-1647</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74"/>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第二章 磋商供应商须知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说明</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1.1本磋商采购文件仅适用于江苏京苏项目管理咨询有限公司组织的采购活动。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1.2本次采购活动及因本次采购产生的合同受中国法律制约和保护。</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1.3本磋商采购文件的解释权属于江苏京苏项目管理咨询有限公司。</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词语释义</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2.1采购人：依法进行政府采购的各级国家机关、事业单位、团体组织。</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2.2磋商供应商：指向采购人提供货物、工程或服务的法人、其他组织或者自然人。</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2.3采购代理机构：指依法接受采购人委托，从事货物、工程和服务等政府采购代理业务的社会中介机构。</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2.4磋商采购单位：采购人及采购代理机构的统称，具体组织实施磋商采购活动。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2.5响应：磋商供应商根据采购人发布的磋商文件，编制响应文件并按规定参与磋商的行为。</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2.6知识产权：指专利权、商标权、著作权等无形财产专有权的统称。</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2.7天：日历日。</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2.8服务地点：合同中明确约定的乙方服务的最终地点。</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2.9不可抗力：不能预见、不能避免并且不能克服的客观情况。</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2.10实质性响应：满足有关本次采购标的、数量、质量、价款或者报酬、履行期限、履行地点和方式、违约责任和解决争议方法等要求。</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2.11书面形式：指书面文字、合同书、信件和传真等可以有形地表现所载内容的形式。</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2.12扫描件：指原件的各种彩色复制件，包括扫描、照片等。</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3.合格磋商供应商的一般条件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按磋商公告</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4.合格磋商供应商的特殊条件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按磋商公告</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磋商供应商代表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5.1指全权代表磋商供应商参加磋商采购活动并签署响应文件的人，如果磋商供应商代表不是法人代表，须持有《法人代表授权委托书》（详见附件格式）。</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磋商费用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6.1无论磋商过程中的做法和结果如何，磋商供应商自行承担所有与参加磋商有关的全部费用。</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联合体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磋商采购文件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8.2供应商如有疑问需要澄清，请按照前附表进行询问，代理机构收到询问后应在三个工作日内予以解答。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磋商文件及其补充文件不是直接从苏采云系统处获得的，磋商采购单位对磋商文件及其补遗的真实性、完整性不承担任何责任。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9.现场考察：本项目不组织，相关条款均不适用。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9.1供应商应按磋商文件中所述时间和方式对有关现场和周围环境进行考察，以获取编制响应文件和签署合同所需的信息。考察现场所发生的费用由供应商自己承担。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9.2磋商采购单位向供应商提供的有关现场的资料和数据，是磋商采购单位现有的并认为能使供应商可利用的资料。磋商采购单位对供应商由此而做出的推论、理解和结论概不负责。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经磋商采购单位允许，供应商可为考察目的进入磋商采购单位的项目现场，但供应商不得因此使磋商采购单位承担有关的责任和蒙受损失。供应商应承担考察现场的责任和风险。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供应商应在现场考察时，熟悉现场及周围交通道路等情况，以获得一切可能影响其投标的直接资料。供应商成交后，不得以不完全了解现场情况为理由而向磋商采购单位提出任何索赔的要求，对此磋商采购单位不承担任何责任并将不作任何答复与考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磋商采购文件的澄清和修改</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10.1在递交响应文件截止时间前，采购人、采购代理机构无论出于自己的考虑，还是出于对磋商供应商提问的澄清，均可对磋商文件用更正（补充）文件的方式进行修改。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10.2采购人、采购代理机构对磋商文件的修改，将以更正（补充）文件的方式在苏州政府采购网上进行发布。更正（补充）文件将作为磋商文件的组成部分，对所有磋商供应商有约束力。</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10.3为使磋商供应商有足够的时间按磋商文件的修改要求考虑修正响应文件，或出于其他原因，采购人、采购代理机构有权推迟截止日期和磋商日期。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10.4磋商文件的澄清、修改、补充等内容均以网上发布的内容为准。当磋商文件、磋商文件的澄清、修改、补充等在同一内容的表述上不一致时，以网上发布的为准。</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响应文件计量单位和使用文字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11.1响应文件中所使用的计量单位，除磋商文件中有特殊要求外，均应使用中华人民共和国法定计量单位。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响应文件应使用中文编制，响应文件中必须使用其他文字的，必须附有中文译本，且以中文译本为准。对于未附有中文译本和中文译本不准确的响应文件可能引起的对供应商不利的后果，磋商采购单位概不负责。</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响应文件的组成</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12.1响应文件一（报价部分）(格式见第三章)：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12.1.1授权委托书（非法定代表人参加磋商的提供）；</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12.1.2响应函；</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12.1.3响应报价表；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12.1.4分项报价表；</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12.2响应文件二（资格及技术部分）：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 关于资格文件的声明函（格式见第三章）；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 磋商供应商情况表，供应商与其他单位存在控股、管理关系情况表（格式见第三章）；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12.2.3磋商供应商法定代表人身份证扫描件；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12.2.4磋商供应商代理人身份证扫描件（非法定代表人参加磋商的提供）；</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12.2.5磋商供应商证明其满足合格磋商供应商资格基本条件的证明材料:</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（1）具有独立承担民事责任的能力证明：包括法人或者其他组织的营业执照等证明文件，自然人身份证明扫描件；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（2）具有良好的商业信誉和健全的财务会计制度证明：最近一期财务报表或其基本开户银行出具的资信证明扫描件；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（3）具备履行合同所必需的设备和专业技术能力的证明材料扫描件或承诺函；</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包括税务登记证（如有）和近三个月内依法缴纳税收的凭据，如为依法免税或不需要缴纳的，供应商则须提供对应证明资料；提供近三个月内依法缴纳社会保险的凭据（专用收据或社会保险缴纳清单）的相关材料扫描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12.2.6偏离表；</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12.2.7中小企业声明函（格式见第三章）或残疾人福利性单位声明函（格式见第三章）或监狱企业证明文件；</w:t>
      </w:r>
      <w:r>
        <w:rPr>
          <w:rFonts w:ascii="SimSun" w:hAnsi="SimSun" w:eastAsia="SimSun" w:cs="SimSun"/>
          <w:b/>
          <w:color w:val="000000"/>
          <w:sz w:val="24"/>
          <w:u w:val="single"/>
        </w:rPr>
        <w:t xml:space="preserve">(注：若提供中小企业声明函或残疾人福利性单位声明函或监狱企业证明文件须加盖有公章的彩色扫描件上传至电子投标文件)</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12.2.8《关于符合本国产品标准的声明函》</w:t>
      </w:r>
      <w:r>
        <w:rPr>
          <w:rFonts w:ascii="SimSun" w:hAnsi="SimSun" w:eastAsia="SimSun" w:cs="SimSun"/>
          <w:color w:val="000000"/>
          <w:sz w:val="24"/>
          <w:u w:val="none"/>
        </w:rPr>
        <w:t xml:space="preserve">或财政部会同有关部门规定的有关证明文件扫描件</w:t>
      </w:r>
      <w:r>
        <w:rPr>
          <w:rFonts w:ascii="SimSun" w:hAnsi="SimSun" w:eastAsia="SimSun" w:cs="SimSun"/>
          <w:color w:val="000000"/>
          <w:sz w:val="24"/>
        </w:rPr>
        <w:t xml:space="preserve">（如有）；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12.2.9服务方案；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12.2.10《人员配备一览表》（格式见第三章）及服务期间人员配备方案；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12.2.11《类似业绩一览表》（格式见第三章）；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12.2.12磋商供应商证明其为合格磋商供应商及评分标准中涉及的证书、证明、文件等资料。</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注：供应商应提交以上12.1.1-12.2.7条完整响应文件。否则，响应文件将因资格条件不符或未实质响应磋商文件而被拒绝。</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响应文件由12.1、12.2款规定的内容共同组成。</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电子响应文件编制及提交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本项目为网上招投标项目，供应商应登陆苏采云系统、线上获取招标（采购）文件，线上获取更正（补充）文件、对投标（响应）文件进行电子签章、线上递交投标（响应）文件；应使用电子投标文件制作工具制作电子版投标（响应）文件。</w:t>
      </w:r>
      <w:r>
        <w:rPr>
          <w:rFonts w:ascii="SimSun" w:hAnsi="SimSun" w:eastAsia="SimSun" w:cs="SimSun"/>
          <w:b/>
          <w:color w:val="000000"/>
          <w:sz w:val="24"/>
        </w:rPr>
        <w:t xml:space="preserve">电子投标（响应）文件分标段制作完成后请于上传截止前按标段成功上传，未按要求线上递交电子投标（响应）文件将被拒收。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13.2电子投标（响应）文件制作工具下载：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电子投标文件制作工具下载：详见苏州市政府采购网-苏采云登陆页面右下角点击驱动下载。使用指南见《苏采云系统供应商操作手册》。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13.3电子投标（响应）文件制作与提交：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供应商根据《苏采云系统供应商操作手册》进行操作。制作电子投标文件时必须与投标文件制作软件目录一一对应，将相关资料上传至相应模块。</w:t>
      </w:r>
      <w:r>
        <w:rPr>
          <w:rFonts w:ascii="SimSun" w:hAnsi="SimSun" w:eastAsia="SimSun" w:cs="SimSun"/>
          <w:b/>
          <w:color w:val="000000"/>
          <w:sz w:val="24"/>
        </w:rPr>
        <w:t xml:space="preserve">需对投标（响应）文件中涉及的扫描件（复印件）及需要加盖公章的部分进行签章，否则视为未提供相对应项。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13.4投标（响应）文件制作完成后导出投标（响应）文件，在“参与详情”页面上传已制作完成的投标（响应）文件。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13.5投标（响应）文件提交后，供应商可通过模拟解密操作检测投标（响应）文件是否可以正常解密。</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13.6</w:t>
      </w:r>
      <w:r>
        <w:rPr>
          <w:rFonts w:ascii="SimSun" w:hAnsi="SimSun" w:eastAsia="SimSun" w:cs="SimSun"/>
          <w:b/>
          <w:color w:val="000000"/>
          <w:sz w:val="24"/>
          <w:u w:val="single"/>
        </w:rPr>
        <w:t xml:space="preserve">因本章“12.响应文件的组成及要求”要求的中小企业声明函、残疾人福利性单位声明函要求的文件需在成交公告时对外公示，故磋商供应商如涉及需要提供“12.响应文件的组成及要求”要求的中小企业声明函、残疾人福利性单位声明函的文件时，必须将签章上传至电子投标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13.7供应商应在采购系统中选择已制作好的响应文件进行上传，上传必须在投标（响应）截止时间前完成。</w:t>
      </w:r>
      <w:r>
        <w:rPr>
          <w:rFonts w:ascii="SimSun" w:hAnsi="SimSun" w:eastAsia="SimSun" w:cs="SimSun"/>
          <w:b/>
          <w:color w:val="000000"/>
          <w:sz w:val="24"/>
        </w:rPr>
        <w:t xml:space="preserve">未按要求成功上传的投标（响应）文件视为未递交。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13.8联合体投标：本项目不涉及，相关条款均不适用。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如招标（采购）公告中允许联合体投标，联合体投标的投标（响应）文件制作上传操作如下：</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第一步：在投标（响应）文件中上传联合体投标协议书。</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第二步：在投标（响应）文件中，由联合体中的牵头人制作投标（响应）文件。</w:t>
      </w:r>
      <w:r/>
    </w:p>
    <w:p>
      <w:pPr>
        <w:ind w:left="0" w:right="0" w:firstLine="482"/>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备注：响应文件中的CA证书签章为有效签名章。</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报价（编制）要求的说明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除非合同中另有规定，磋商供应商对《响应报价表》中的报价应包括但不限于完成本项目所需全部费用，报价包括但不限于人工、策划、场地、风险费、利润、税金及政策性文件规定费用等一切费用，报价中还包括耗材、劳保、各种税费及政策性文件规定及合同包含的所有风险、责任等各项应有费用。除非合同条款中另有规定，否则合同价格在合同实施期间不因市场因素、政策规定变更因素等任何因素调整。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14.2磋商报价编制要求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14.2.1根据提供的磋商文件及有关资料单独编制相关的磋商报价并汇总填入《分项报价表》；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磋商供应商应按采购文件中响应文件的全部服务计算单价和总价。《响应报价表》中的每一单项均应计算并填写单价和总价。如发现响应报价中有错算现象，一旦成交，供应商自行承担错算这部分的经济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磋商供应商应对磋商文件内所要采购的全部内容进行报价，只响应其中部分内容者，其响应文件将被拒绝。但如果磋商文件要求分采购包磋商的，则磋商供应商可以有选择地只响应其中一个或几个采购包，也可以投全部采购包，但各采购包应分别计算填写单价和总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14.5一项内容只允许一个报价，采购人不接受任何有选择性的报价。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14.6响应文件报价中的单价和总价全部采用人民币表示，除非合同的特殊条款另有规定。</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磋商保证金（本项目无需提交磋商保证金，本磋商文件内磋商保证金相关规定均不适用）。</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响应文件的有效期</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16.1响应文件的有效期见前附表，在此期间内，响应文件应保持有效。有效期短于这个规定期限的响应，将被拒绝。</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在特殊情况下，磋商采购单位可与磋商供应商协商延长响应文件的有效期。这种要求和答复都应以书面的形式进行。同意延长有效期的磋商供应商不能修改响应文件。拒绝接受延期要求的磋商供应商的投标将被拒绝。</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响应文件的标记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17.1磋商供应商应根据《苏采云系统供应商操作手册》进行操作。制作电子投标文件时必须与投标文件制作软件目录一一对应，将相关资料上传至相应模块。</w:t>
      </w:r>
      <w:r>
        <w:rPr>
          <w:rFonts w:ascii="SimSun" w:hAnsi="SimSun" w:eastAsia="SimSun" w:cs="SimSun"/>
          <w:b/>
          <w:color w:val="000000"/>
          <w:sz w:val="24"/>
        </w:rPr>
        <w:t xml:space="preserve">需对投标（响应）文件中涉及的扫描件（复印件）及需要加盖公章的部分进行签章，否则视为未提供相对应项。</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18.1电子响应文件按照制作要求在响应文件提交截止时间前分标段分别上传系统提交。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18.2磋商供应商应当在磋商文件要求的截止时间前，将响应文件上传系统，未按要求线上递交电子响应文件，采购人、采购代理机构或者磋商小组应当拒收。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18.3在响应文件截止时间止采购人收到的响应文件递交份数少于三份，采购人有权宣布本次采购失败。</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响应文件的修改和撤回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19.1磋商供应商在提交响应文件后可在系统中对其响应文件进行修改或撤销。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开启后磋商供应商不得撤回响应文件。</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磋商程序</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w:t>
      </w:r>
      <w:r>
        <w:rPr>
          <w:rFonts w:ascii="SimSun" w:hAnsi="SimSun" w:eastAsia="SimSun" w:cs="SimSun"/>
          <w:b/>
          <w:color w:val="000000"/>
          <w:sz w:val="24"/>
        </w:rPr>
        <w:t xml:space="preserve">供应商不需到现场参加开标会</w:t>
      </w:r>
      <w:r>
        <w:rPr>
          <w:rFonts w:ascii="SimSun" w:hAnsi="SimSun" w:eastAsia="SimSun" w:cs="SimSun"/>
          <w:b/>
          <w:color w:val="000000"/>
          <w:sz w:val="24"/>
          <w:u w:val="single"/>
        </w:rPr>
        <w:t xml:space="preserve">(但请及时关注系统公告栏及语音播报，以防错过二次报价)。</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20.2线上参加（观看）开标会方式：苏州市政府采购网点击“苏采云”进入交易系统，点击“开标大厅-我的项目”，找到对应项目进行线上参加（观看）。</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20.3开标时，供应商的响应文件须在供应商解密环节进行解密，在解密时长倒计时结束前，供应商需解密完成，否则视为放弃本次投标（磋商）。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解密完成后，供应商可通过查看“磋商响应”菜单查看是否被邀请磋商。供应商进入采购包磋商列表界面，点击【响应】按钮进行响应。供应商需点击【我知道了】，完善磋商回复栏内容后，进行签章提交。在15分钟内未进行磋商响应的供应商，默认已响应。开标大厅显示“立即报价”后，供应商须在报价结束时间前进行报价，报价结束时间未进行报价，则视为放弃报价。报价结束时间前可修改最后报价，点击【修改报价】按钮进行修改，倒计时结束后，点击我知道了。最后报价结束，若需要修改报价信息，可在剩余时间之内进行撤销，重新报价。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20.5成交结果会在苏州政府采购网上公布，请供应商及时查看，否则导致的对供应商不利的后果由供应商自行承担。</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20.6本项目采用线上澄清：</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评审中需要供应商进行澄清的通知会通过苏采云系统发出，供应商应及时登录采购系统查看澄清要求并在规定的时间内按要求进行线上答复，供应商未按上述要求答复引起的不利后果，由供应商自行承担。</w:t>
      </w:r>
      <w:r/>
    </w:p>
    <w:p>
      <w:pPr>
        <w:ind w:left="0" w:right="0" w:firstLine="480"/>
        <w:jc w:val="both"/>
        <w:spacing w:before="2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有关澄清的答复应在系统内采用书面形式，该书面签复应有投标人签(盖)章，并将作为投标内容的一部分。</w:t>
      </w:r>
      <w:r/>
    </w:p>
    <w:p>
      <w:pPr>
        <w:ind w:left="0" w:right="0" w:firstLine="480"/>
        <w:jc w:val="both"/>
        <w:spacing w:before="2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线上澄清答复的方式：当发起答疑澄清时，页面弹出处理答疑澄清消息菜单，点击反馈进入-点击【响应】-填写询问响应内容后，进行询问响应函签章。</w:t>
      </w:r>
      <w:r/>
    </w:p>
    <w:p>
      <w:pPr>
        <w:ind w:left="0" w:right="0" w:firstLine="480"/>
        <w:jc w:val="both"/>
        <w:spacing w:before="2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评审结束后系统公告中会提示评审流程结束，供应商可离开电脑。</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20.7本项目采用线上二次报价</w:t>
      </w:r>
      <w:r>
        <w:rPr>
          <w:rFonts w:ascii="SimSun" w:hAnsi="SimSun" w:eastAsia="SimSun" w:cs="SimSun"/>
          <w:b/>
          <w:color w:val="000000"/>
          <w:sz w:val="24"/>
          <w:u w:val="single"/>
        </w:rPr>
        <w:t xml:space="preserve">(及时关注“苏采云”系统公告栏和语音播报信息，以防错过二次报价)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20.8供应商未按规定时间及要求递交二次报价的，视为放弃本次投标（响应）。</w:t>
      </w:r>
      <w:r/>
    </w:p>
    <w:p>
      <w:pPr>
        <w:ind w:left="0" w:right="0" w:firstLine="518"/>
        <w:jc w:val="both"/>
        <w:spacing w:before="0" w:after="0" w:line="85" w:lineRule="atLeast"/>
        <w:tabs>
          <w:tab w:val="left" w:pos="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20.9磋商结束后，磋商小组要求所有实质性响应的供应商应登录采购系统并在规定时间内进行线上二次报价即最后报价，提交最后报价的供应商不足3家的，磋商采购失败。除因磋商文件修改导致成本增加外，</w:t>
      </w:r>
      <w:r>
        <w:rPr>
          <w:rFonts w:ascii="SimSun" w:hAnsi="SimSun" w:eastAsia="SimSun" w:cs="SimSun"/>
          <w:b/>
          <w:color w:val="000000"/>
          <w:sz w:val="24"/>
        </w:rPr>
        <w:t xml:space="preserve">最后报价不得高于一次报价，否则为无效响应报价。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20.10经磋商确定最终采购需求和提交最后报价的供应商后，由磋商小组采用综合评分法对提交最后报价的供应商的响应文件和最后报价进行综合评分。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20.11异常低价投标审查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20.11.1 评标过程中出现下列情形之一的，评标委员会应当启动异常低价投标审查程序：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（3）投标报价低于采购项目最高限价45%的，即投标报价＜采购项目最高限价×45%；</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（4）评标委员会认定的供应商报价过低、有可能影响产品质量或者不能诚信履约的其他情形。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20.11.2启动异常低价投标审查后，评标委员会应当要求相关供应商在评标现场合理的时间内，提供项目具体成本测算等与报价合理性相关的书面说明材料及相关证明材料，对投标价格作出解释，包括但不限于原材料成本、人工成本、制造费用等；评审委员会依投标（响应）供应商不能提供书面说明、证明材料，或者提供的书面说明、证明材料不能证明其 报价合理性的，评审委员会应当将其作为无效投标（响应）处理。由评标委员会根据专业经验，参考同类项目中标（成交）价格、类似产品市场价格水平、行业人工费用标准、国家有关部门指导行业协会发布的行业平</w:t>
      </w:r>
      <w:r>
        <w:rPr>
          <w:rFonts w:ascii="SimSun" w:hAnsi="SimSun" w:eastAsia="SimSun" w:cs="SimSun"/>
          <w:b/>
          <w:color w:val="000000"/>
          <w:sz w:val="24"/>
        </w:rPr>
        <w:t xml:space="preserve">均成本等情况，对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20.11经磋商确定最终采购需求和提交最后报价的供应商后，由磋商小组采用综合评分法对提交最后报价的供应商的响应文件和最后报价进行综合评分。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20.12由于开标现场监控传输路径与开标信息传输路径不同，会造成网页显示时间与监控图像显示时间不同。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20.13技术支持</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系统使用指导与咨询：联系电话：13914088964、18261002950；QQ：3048755361、1315179389、895706745。智能客服：登录苏采云系统后，联系系统右下方智能客服图标进行咨询。</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磋商小组</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21.1磋商小组由采购人依法组建，由采购人代表、专家评委组成。</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21.2磋商小组与参加采购活动的供应商存在下列利害关系之一的，应当回避：</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（一）参加采购活动前三年内，与投标人存在劳动关系、或者担任过投标人的董事、监事，或者是投标人的控股股东或实际控制人；</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（二）与投标人的法定代表人或者负责人有夫妻、直系血亲、三代以内旁系血亲或者近姻亲关系；</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（三）与投标人有其他影响政府采购活动公平、公正进行的关系。</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磋商小组发现本人与参加采购活动的供应商有利害关系的，应当主动提出回避。采购人或采购代理机构发现评审专家与参加采购活动的供应商有利害关系的，应当要求其回避。</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21.3磋商小组负责具体的磋商事务，并独立履行以下职责：</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21.3.1审查响应文件是否符合磋商采购文件的要求，并作出评价；</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21.3.2可以要求磋商供应商对响应文件有关事项作出解释或澄清；</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21.3.3推荐成交候选磋商供应商名单；</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21.3.4向采购人或者有关部门报告非法干预磋商工作的行为。</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21.4磋商小组成员应当履行下列义务：</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21.4.1遵纪守法，客观、公正、廉洁地履行职责；</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21.4.2按照磋商采购文件规定的评审办法和评分标准进行评审，对评审意见承担个人责任；</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21.4.3对磋商过程和结果，以及磋商供应商的商业秘密保密；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21.4.4参与评审报告的起草；</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21.4.5配合相关部门的投诉处理工作；</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21.4.6配合采购人答复磋商供应商提出的质疑。</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评审内容的保密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22.1磋商开始后，直到宣布授予成交单位合同为止，凡属于审查、澄清、评价和比较响应文件的所有资料，有关授予合同的信息都不应向磋商供应商或与评审无关的其他人泄露。</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22.2在响应文件的审查、澄清、评价和比较以及授予合同的过程中，磋商供应商对采购人和磋商小组施加影响的任何行为，都将取消其成交资格。</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22.3在评审期间，采购人将通过指定联络人与磋商供应商进行联系。</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对响应文件初审</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开始磋商后，磋商小组将审查响应文件是否实质性响应磋商采购文件的要求、内容是否完整、价格构成有无计算错误、文件签署是否齐全等，响应文件有下列情况之一者，且磋商小组认为在磋商承诺函中无法修正的则有权将其拒绝：</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23.1.1磋商供应商的响应文件未按照本须知规定制作的；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23.1.2未按本须知规定提交资格文件；</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23.1.3与磋商采购文件有重大偏离；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23.1.4磋商供应商拒绝修正错误；</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23.1.5磋商供应商的报价是选择性的；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23.1.6磋商供应商的报价只投了部分内容；</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23.1.7 磋商供应商的响应文件出现了评标委员会认为不应当雷同的情况；</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23.1.8 经磋商小组认定磋商供应商的报价低于成本价的；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23.1.9不同供应商的机器码一致的情形；</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23.1.10 其他被磋商小组认定无效的情况。</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23.2磋商采购文件提供的工艺、材料、设备、参考的商标或样本目录号码等仅作为说明并没有限制性，磋商供应商在磋商中可以选用替代标准，但这些替代标准要优于或相当于技术规格中要求的标准，以满足采购人的需要。</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23.3磋商小组将对确定为实质性响应的文件进行审核，看其是否有计算上或累加上的算术错误，修正错误的原则如下：</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23.3.1响应文件的大写金额与小写金额不一致的，以大写金额为准；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如果单价乘数量不等于总价，数量符合磋商采购文件要求，以单价计算金额为准；单价金额小数点有明细错位的，应以总价为准，并修改单价；数量不符合磋商采购文件要求的作为未实质性响应磋商采购文件处理，该响应文件将不予以详细评审，也不成交；</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23.3.3对不同文字文本响应文件的解释发生异议的，以中文文本为准；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23.3.4磋商供应商不同意以上修正，则其响应文件将被拒绝。</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24．项目的终止</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24.1出现下列情形之一的，将终止竞争性磋商采购活动：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24.1.1因情况变化，不再符合规定的竞争性磋商采购方式适用情形的；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24.1.2出现影响采购公正的违法、违规行为的；</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24.1.3实质性响应磋商文件不满三家或进入二次报价的不满三家或二次报价在采购预算或最高限价内不满三家的。</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 响应文件的评价和比较</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25.1磋商小组将仅对按照本须知有关规定确定为实质性响应磋商采购文件要求的响应文件进行评价和比较。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25.2评审办法</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采购人授权磋商小组根据本文件规定的成交原则，在响应文件满足磋商文件全部实质性要求且按评审因素的量化指标评审得分最高的磋商供应商为成交供应商。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评标委员会严格按照磋商采购文件的要求、条件、合格性评审办法，对磋商供应商所提供的服务内容进行比较，同时考虑以下因素：</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25.2.1磋商供应商的资信情况和履约能力；</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25.2.2磋商供应商提供的其他优惠条件；</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25.2.3磋商供应商的服务方案；</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25.3评标委员会各成员独立对每个进入合格性评审程序的磋商供应商的响应文件按评审办法进行评审和评价。</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 成交单位的确认</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26.1磋商小组根据磋商供应商资格审查情况，对响应文件进行评价和比较，按照评审办法和标准进行评审，并按采购人的委托向采购人推荐成交候选单位。</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26.2确定成交供应商后，磋商采购单位将在规定的时间内将成交结果在相关媒体上予以公告。</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 合同授予标准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27.1采购人将把合同授予其响应文件在实质上响应磋商文件要求和按本须知规定评选出的磋商供应商。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 成交通知书</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28.1磋商采购单位应在规定的时间向成交供应商发出成交通知书。成交通知书发出后，采购人改变成交结果，或者成交供应商放弃成交，应当承担相应的法律责任。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28.2成交通知书将成为合同的组成部分。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28.3磋商采购单位对未成交供应商不承担解释未成交原因的义务。</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29.告知成交结果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29.1发出成交通知书。在发布成交公告的同时，向成交磋商供应商发出成交通知书。</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参与项目评审的未成交磋商供应商可在成交公告发布之日起2个工作日内向采购代理机构另行提供用以接收《未成交通知书》的电子邮件地址，未按时提供电子邮件地址或提供信息有误的，视为自动放弃并自行承担相应后果。</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 合同的签订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30.1成交单位应按规定的时间和地点，由法定代表人或代理人与甲方代表签订合同。否则按放弃处理。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30.2签订合同及合同条款应以磋商采购文件和成交单位的响应文件及其澄清文件为依据。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30.3本项目各单项报价二次报价中未明确的，按照磋商总价（最终报价）/第一次总价*响应文件中列明单价（第一次）执行。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30.4合同签订后，将在苏州政府采购网上公示。</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履约保证金：</w:t>
      </w:r>
      <w:r>
        <w:rPr>
          <w:rFonts w:ascii="SimSun" w:hAnsi="SimSun" w:eastAsia="SimSun" w:cs="SimSun"/>
          <w:color w:val="000000"/>
          <w:sz w:val="24"/>
        </w:rPr>
        <w:t xml:space="preserve">本项目无需缴纳，相关条款均不适用。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履约保证金在签订本合同前缴纳，履约保证金可采用支票、本票、汇票、电子履约保函，或者金融机构、担保机构出具的银行保函等非现金形式。如递交电子履约保函的，中标单位在江苏政府采购电子履约保函（保险）平台开具履约保函，按履约要求准时提供有关材料。开具电子保函路径：1、苏采云（江苏政府采购一体化平台）--政策支持--保险保函；2、江苏政府采购网-－保险保函；3、PC端登录 https://www.jsdzbh.com 直接开具。咨询电话：4006800040。</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代理服务费</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32.1成交单位须按前附表的规定计算并支付服务费，该费用应在领取成交通知书时向采购代理机构一次性付清。</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32.2成交单位如果未按规定缴纳服务费，磋商采购单位将保留诉讼的权利。</w:t>
      </w:r>
      <w:r/>
    </w:p>
    <w:p>
      <w:pPr>
        <w:ind w:left="0" w:right="0" w:firstLine="4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33.采购文件的质疑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根据《政府采购质疑和投诉办法》财政部第94号令，供应商认为采购文件、采购过程、成交结果使自己的权益受到损害的，可以在知道或者应知其权益受到损害之日起7个工作日内，以书面形式向采购人、采购代理机构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33.2本次采购文件要求供应商在法定质疑期内一次性提出针对同一采购程序环节的质疑。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33.3采购人、采购代理机构收到质疑供应商在法定质疑期内发出的质疑函，应当在收到质疑函后7个工作日内作出答复，并以书面形式通知质疑供应商和其他有关供应商。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33.4供应商提出质疑应当提交质疑函、报名确认单和必要的证明材料。质疑函应当包括下列内容：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33.4.1供应商的姓名或者名称、地址、邮编、联系人及联系电话；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33.4.2质疑项目的名称、编号；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33.4.3具体、明确的质疑事项和与质疑事项相关的请求；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33.4.4事实依据；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33.4.5必要的法律依据；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33.4.6提出质疑的日期。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33.5质疑联系方式详见采购公告。</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34.政府采购政策</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34.1关于节能环保产品政府采购要求：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项目为服务类项目，不涉及属于《节能产品政府采购品目清单》中强制采购范围内产品，不涉及属于《节能产品政府采购品目清单》中优先采购范围内的产品及《环境标志产品政府采购品目清单》范围内的产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34.2针对中小型企业的评审：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（1）本项目为专门面向中小企业采购。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及《关于做好政府采购支持企业发展有关事项的通知》（苏财购〔2020〕52号）的相关规定，对于专门面向中小微企业的项目，如供应商认定本企业提供的工程或服务符合上述文件规定情形，可以享受中小企业扶持政策的，则需根据《中小企业划型标准规定》（工信部联企业〔2011〕300号）提交《中小企业声明函》并加盖公章，</w:t>
      </w:r>
      <w:r>
        <w:rPr>
          <w:rFonts w:ascii="SimSun" w:hAnsi="SimSun" w:eastAsia="SimSun" w:cs="SimSun"/>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服务类项目中供应商若使用退休人员，将不享受相关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在政府采购活动中，供应商提供的服务符合下列情形的，享受《政府采购促进中小企业发展管理办法》规定的中小企业扶持政策：在服务项目中，项目由中小微企业承接。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根据《政府采购促进中小企业发展管理办法》（财库〔2020〕46号）及《中小企业划型标准规定》（工信部联企业〔2011〕300号），本采购项目对应的中小企业划分标准所属行业为：其他未列明行业（教育）。</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若中小微企业提供的 “中小企业声明函” 或认定证明为虚假声明则视同提供虚假材料，按政府采购相关规定处理并报请政府监管部门给予行政处罚。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未尽事宜按照《苏州市政府采购促进中小企业发展实施意见》执行。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34.3实施本国产品标准及相关政策</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本项目为服务类项目，如提供服务中需提供货物，</w:t>
      </w:r>
      <w:r>
        <w:rPr>
          <w:rFonts w:ascii="SimSun" w:hAnsi="SimSun" w:eastAsia="SimSun" w:cs="SimSun"/>
          <w:b/>
          <w:color w:val="000000"/>
          <w:sz w:val="24"/>
        </w:rPr>
        <w:t xml:space="preserve">根据《国务院办公厅关于在政府采购中实施本国产品标准及相关政策的通知》（国办发（2025）34号）的规定，本项目对采购本国产品给予政策支持。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34.3.3本项目政府采购活动中既有本国产品又有非本国产品参与竞争的，依法对本国产品给予价格评审优惠，对本国产品的报价给予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w:t>
      </w:r>
      <w:r>
        <w:rPr>
          <w:rFonts w:ascii="SimSun" w:hAnsi="SimSun" w:eastAsia="SimSun" w:cs="SimSun"/>
          <w:color w:val="000000"/>
          <w:sz w:val="24"/>
          <w:u w:val="single"/>
        </w:rPr>
        <w:t xml:space="preserve">80%</w:t>
      </w:r>
      <w:r>
        <w:rPr>
          <w:rFonts w:ascii="SimSun" w:hAnsi="SimSun" w:eastAsia="SimSun" w:cs="SimSun"/>
          <w:color w:val="000000"/>
          <w:sz w:val="24"/>
        </w:rPr>
        <w:t xml:space="preserve">以上时（供应商需在“分项报价表”中填写比例数值），依法对该供应商提供的全部产品给予价格评审优惠，即对该供应商提供的全部产品的总报价给予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rPr>
          <w:rFonts w:ascii="SimSun" w:hAnsi="SimSun" w:eastAsia="SimSun" w:cs="SimSun"/>
          <w:b/>
          <w:color w:val="000000"/>
          <w:sz w:val="24"/>
        </w:rPr>
        <w:t xml:space="preserve">供应商未填写比例数值，或比例数值未达到</w:t>
      </w:r>
      <w:r>
        <w:rPr>
          <w:rFonts w:ascii="SimSun" w:hAnsi="SimSun" w:eastAsia="SimSun" w:cs="SimSun"/>
          <w:b/>
          <w:color w:val="000000"/>
          <w:sz w:val="24"/>
          <w:u w:val="single"/>
        </w:rPr>
        <w:t xml:space="preserve">80%</w:t>
      </w:r>
      <w:r>
        <w:rPr>
          <w:rFonts w:ascii="SimSun" w:hAnsi="SimSun" w:eastAsia="SimSun" w:cs="SimSun"/>
          <w:b/>
          <w:color w:val="000000"/>
          <w:sz w:val="24"/>
        </w:rPr>
        <w:t xml:space="preserve">的，将不享受本国产品价格评审优惠。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34.3.4供应商需按照招标文件的要求提供《关于符合本国产品标准的声明函》（以下简称《声明函》）或财政部会同有关部门规定的有关证明文件的，</w:t>
      </w:r>
      <w:r>
        <w:rPr>
          <w:rFonts w:ascii="SimSun" w:hAnsi="SimSun" w:eastAsia="SimSun" w:cs="SimSun"/>
          <w:b/>
          <w:color w:val="000000"/>
          <w:sz w:val="24"/>
        </w:rPr>
        <w:t xml:space="preserve">如不提供或提供不符要求的将不享受本国产品价格评审优惠。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34.3.5供应商需在《声明函》中逐一、准确填写产品名称、厂名、生产厂址三项信息（《声明函》中用斜线划除的地方无需填写），</w:t>
      </w:r>
      <w:r>
        <w:rPr>
          <w:rFonts w:ascii="SimSun" w:hAnsi="SimSun" w:eastAsia="SimSun" w:cs="SimSun"/>
          <w:b/>
          <w:color w:val="000000"/>
          <w:sz w:val="24"/>
        </w:rPr>
        <w:t xml:space="preserve">三项信息中任意一项未填写的视为该项产品不符合本国产品标准，不享受本国产品价格评审优惠。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ascii="SimSun" w:hAnsi="SimSun" w:eastAsia="SimSun" w:cs="SimSun"/>
          <w:b/>
          <w:color w:val="000000"/>
          <w:sz w:val="24"/>
        </w:rPr>
        <w:t xml:space="preserve">供应商提供的相关产品视为不符合本国产品标准。</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34.4信用记录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34.3.1查询截止时点：响应文件递交截止时间。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34.3.2查询渠道：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采购代理机构将通过，在中国政府采购网（http://www.ccgp.gov.cn）、信用中国（www.creditchina.gov.cn）的网站输入供应商全称或统一社会信用代码查询信用记录，并将查询结果递交评审小组。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34.3.3信用记录使用规则：对响应单位进行资格性审查时，应根据查询结果对供应商的不良信用记录逐项甄别确认。按照《中华人民共和国政府采购法》第二十二条规定，下列信用记录属于应依法拒绝供应商参加政府采购的失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 未尽事宜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按《中华人民共和国政府采购法》、《中华人民共和国政府采购法实施条例》及其他有关的法律法规的规定执行。</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74"/>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第三章 响应文件格式</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对本章所有的格式，磋商供应商可根据自身情况进行补充和修改，但补充和修改不得造成与本格式内容有实质性的违背。</w:t>
      </w:r>
      <w:r/>
    </w:p>
    <w:p>
      <w:pPr>
        <w:ind w:left="0" w:right="0" w:firstLine="281"/>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28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1、（供应方）法定代表人授权委托书</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01"/>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法定代表人授权委托书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本授权委托书声明：我</w:t>
      </w:r>
      <w:r>
        <w:rPr>
          <w:rFonts w:ascii="SimSun" w:hAnsi="SimSun" w:eastAsia="SimSun" w:cs="SimSun"/>
          <w:color w:val="000000"/>
          <w:sz w:val="24"/>
          <w:u w:val="single"/>
        </w:rPr>
        <w:t xml:space="preserve">  （姓名）</w:t>
      </w: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的法定代表人，现授权委托</w:t>
      </w:r>
      <w:r>
        <w:rPr>
          <w:rFonts w:ascii="SimSun" w:hAnsi="SimSun" w:eastAsia="SimSun" w:cs="SimSun"/>
          <w:color w:val="000000"/>
          <w:sz w:val="24"/>
          <w:u w:val="single"/>
        </w:rPr>
        <w:t xml:space="preserve"> （姓名）</w:t>
      </w:r>
      <w:r>
        <w:rPr>
          <w:rFonts w:ascii="SimSun" w:hAnsi="SimSun" w:eastAsia="SimSun" w:cs="SimSun"/>
          <w:color w:val="000000"/>
          <w:sz w:val="24"/>
        </w:rPr>
        <w:t xml:space="preserve">为我公司授权代表（即代理人），以本公司的名义参加 组织实施的编号为</w:t>
      </w:r>
      <w:r>
        <w:rPr>
          <w:rFonts w:ascii="SimSun" w:hAnsi="SimSun" w:eastAsia="SimSun" w:cs="SimSun"/>
          <w:color w:val="000000"/>
          <w:sz w:val="24"/>
          <w:u w:val="single"/>
        </w:rPr>
        <w:t xml:space="preserve">JSZC-320591-PMJS-C2026-0029</w:t>
      </w:r>
      <w:r>
        <w:rPr>
          <w:rFonts w:ascii="SimSun" w:hAnsi="SimSun" w:eastAsia="SimSun" w:cs="SimSun"/>
          <w:color w:val="000000"/>
          <w:sz w:val="24"/>
        </w:rPr>
        <w:t xml:space="preserve">号磋商活动。授权代表在磋商活动过程中所签署的一切文件和处理与这有关的一切事务，我均予以承认。</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授权代表在授权委托书有效期内签署的所有文件不因授权委托的撤销而失效，除非有撤销授权委托的书面通知，本授权委托书自磋商活动开始至合同履行完毕止。</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授权代表无转委托权。特此委托。</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2、响应函</w:t>
      </w:r>
      <w:r/>
    </w:p>
    <w:p>
      <w:pPr>
        <w:ind w:left="0" w:right="0" w:firstLine="241"/>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响应函</w:t>
      </w:r>
      <w:r/>
    </w:p>
    <w:p>
      <w:pPr>
        <w:ind w:left="260" w:right="0" w:firstLine="9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26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JSZC-320591-PMJS-C2026-0029 </w:t>
      </w:r>
      <w:r>
        <w:rPr>
          <w:rFonts w:ascii="SimSun" w:hAnsi="SimSun" w:eastAsia="SimSun" w:cs="SimSun"/>
          <w:color w:val="000000"/>
          <w:sz w:val="24"/>
        </w:rPr>
        <w:t xml:space="preserve">号磋商文件，经仔细阅读和研究，我们决定参加磋商活动。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1、我们愿意按照磋商文件的一切要求，完成该项目的全部内容。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2、如果我们的磋商响应文件被接受，我们将严格履行磋商文件中规定的每一项要求，按期、按质、按量履行合同的义务。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3、我们已详细阅读全部磋商文件，包括更正公告(如有)，对磋商文件及更正公告(如有)无任何异议。我们完全理解并同意放弃对这方面有不明及误解的权力。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4、我们同意按磋商文件中的规定，本响应文件的有效期限自提交响应文件截止时间之日起</w:t>
      </w:r>
      <w:r>
        <w:rPr>
          <w:rFonts w:ascii="SimSun" w:hAnsi="SimSun" w:eastAsia="SimSun" w:cs="SimSun"/>
          <w:color w:val="000000"/>
          <w:sz w:val="24"/>
          <w:u w:val="single"/>
        </w:rPr>
        <w:t xml:space="preserve">    </w:t>
      </w:r>
      <w:r>
        <w:rPr>
          <w:rFonts w:ascii="SimSun" w:hAnsi="SimSun" w:eastAsia="SimSun" w:cs="SimSun"/>
          <w:color w:val="000000"/>
          <w:sz w:val="24"/>
        </w:rPr>
        <w:t xml:space="preserve">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5、我们愿意提供磋商采购单位在磋商文件中要求的所有资料。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6、我们愿意遵守磋商文件中所列的收费标准。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7、我们承诺该响应文件在磋商开始后的全过程中保持有效，不作任何更改和变动。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8、我们承诺我公司符合磋商文件供应商须知中“合格供应商的基本、特殊条件”的要求，若与真实情况不符，本公司愿意承担由此而产生的一切后果。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9、我们声明：我们在参加本次政府采购活动前3年内在经营活动中没有重大违法记录。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所有有关响应文件的函电，可按下列地址联系：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联系电话（手机）：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电子邮箱：</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3、响应报价表</w:t>
      </w:r>
      <w:r/>
    </w:p>
    <w:p>
      <w:pPr>
        <w:ind w:left="0" w:right="0" w:firstLine="241"/>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bl>
      <w:tblPr>
        <w:tblStyle w:val="9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3"/>
        <w:gridCol w:w="2249"/>
        <w:gridCol w:w="2647"/>
        <w:gridCol w:w="1591"/>
        <w:gridCol w:w="2164"/>
      </w:tblGrid>
      <w:tr>
        <w:trPr>
          <w:trHeight w:val="7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响应价格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p>
        </w:tc>
      </w:tr>
      <w:tr>
        <w:trPr>
          <w:trHeight w:val="12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2026年上市苗圃服务项目（第二批）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2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6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响应总价：大写    （小写：   元）</w:t>
            </w:r>
            <w:r/>
          </w:p>
        </w:tc>
      </w:tr>
      <w:tr>
        <w:trPr>
          <w:trHeight w:val="86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中型企业（  ） 小型企业（  ）  微型企业（  ）监狱企业 （  ） 残疾人福利性企业(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1"/>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分项报价表</w:t>
      </w:r>
      <w:r/>
    </w:p>
    <w:tbl>
      <w:tblPr>
        <w:tblStyle w:val="9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4"/>
        <w:gridCol w:w="1799"/>
        <w:gridCol w:w="1568"/>
        <w:gridCol w:w="1568"/>
        <w:gridCol w:w="1568"/>
        <w:gridCol w:w="1568"/>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5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w:t>
            </w:r>
            <w:r/>
          </w:p>
        </w:tc>
      </w:tr>
      <w:tr>
        <w:trPr>
          <w:trHeight w:val="533"/>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符合本国产品标准的产品成本之和占本项目提供的全部产品成本之和的比例：</w:t>
            </w:r>
            <w:r>
              <w:rPr>
                <w:rFonts w:ascii="SimSun" w:hAnsi="SimSun" w:eastAsia="SimSun" w:cs="SimSun"/>
                <w:color w:val="000000"/>
                <w:sz w:val="24"/>
                <w:u w:val="single"/>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注：如不涉及则在比例中填写“/”。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4、人员配备一览表</w:t>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（1）人员配备一览表</w:t>
      </w:r>
      <w:r/>
    </w:p>
    <w:p>
      <w:pPr>
        <w:ind w:left="0" w:right="0" w:firstLine="211"/>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9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6"/>
        <w:gridCol w:w="637"/>
        <w:gridCol w:w="652"/>
        <w:gridCol w:w="652"/>
        <w:gridCol w:w="803"/>
        <w:gridCol w:w="687"/>
        <w:gridCol w:w="629"/>
        <w:gridCol w:w="803"/>
        <w:gridCol w:w="931"/>
        <w:gridCol w:w="1083"/>
        <w:gridCol w:w="1328"/>
        <w:gridCol w:w="674"/>
      </w:tblGrid>
      <w:tr>
        <w:trPr>
          <w:trHeight w:val="1086"/>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4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3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8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毕业院校</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所学专业</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9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专业资格证书</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0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从业年限</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3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7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r>
      <w:tr>
        <w:trPr>
          <w:trHeight w:val="59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3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10"/>
        <w:jc w:val="both"/>
        <w:spacing w:before="240" w:after="6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（2）拟投入本项目的负责人简历表</w:t>
      </w:r>
      <w:r/>
    </w:p>
    <w:tbl>
      <w:tblPr>
        <w:tblStyle w:val="9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0"/>
        <w:gridCol w:w="1189"/>
        <w:gridCol w:w="808"/>
        <w:gridCol w:w="1428"/>
        <w:gridCol w:w="1181"/>
        <w:gridCol w:w="1491"/>
        <w:gridCol w:w="1481"/>
      </w:tblGrid>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 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出生日期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毕业院校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5"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45"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从事本专业时间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6"/>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8"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  要  经  历</w:t>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   间</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参加过的项目名称及规模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该项目中任职</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1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3400" w:right="0" w:firstLine="21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5、类似业绩一览表</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28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类似业绩一览表</w:t>
      </w:r>
      <w:r/>
    </w:p>
    <w:tbl>
      <w:tblPr>
        <w:tblStyle w:val="9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1"/>
        <w:gridCol w:w="1916"/>
        <w:gridCol w:w="1750"/>
        <w:gridCol w:w="1750"/>
        <w:gridCol w:w="1395"/>
      </w:tblGrid>
      <w:tr>
        <w:trPr>
          <w:trHeight w:val="12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210"/>
              <w:jc w:val="center"/>
              <w:spacing w:before="0" w:after="0"/>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21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合同金额</w:t>
            </w:r>
            <w:r/>
          </w:p>
          <w:p>
            <w:pPr>
              <w:ind w:left="0" w:right="0" w:firstLine="21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6、</w:t>
      </w:r>
      <w:r>
        <w:rPr>
          <w:rFonts w:ascii="SimSun" w:hAnsi="SimSun" w:eastAsia="SimSun" w:cs="SimSun"/>
          <w:b/>
          <w:color w:val="000000"/>
          <w:sz w:val="24"/>
        </w:rPr>
        <w:t xml:space="preserve">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tbl>
      <w:tblPr>
        <w:tblStyle w:val="9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1800"/>
        <w:gridCol w:w="1620"/>
        <w:gridCol w:w="1440"/>
        <w:gridCol w:w="1699"/>
        <w:gridCol w:w="1757"/>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偏离/响应</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28"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80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44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69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75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注：1、磋商响应单位应对照竞争性磋商文件技术要求等要求，所响应标的物与竞争性磋商文件的规定有偏离的，应在此表中申明与技术要求条文的偏差和例外。</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在上表中说明的，如在响应文件其他内容中已有文字说明的，则以已有文字说明为准，否则，将被认为完全响应竞争性磋商文件的规定。但该表不作为磋商响应单位对所响应标的物关于服务要求等详细描述和说明的替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tbl>
      <w:tblPr>
        <w:tblStyle w:val="9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7"/>
        <w:gridCol w:w="2479"/>
        <w:gridCol w:w="2650"/>
        <w:gridCol w:w="2362"/>
        <w:gridCol w:w="1166"/>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竞争性磋商文件条目号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磋商响应文件的商务条款</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697"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479"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650"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362"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166" w:type="dxa"/>
            <w:vAlign w:val="top"/>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磋商响应单位的磋商响应文件（除服务要求部分）与竞争性磋商文件规定的有偏离的，应在此表中说明。未在上表中说明的，如在响应文件其他内容中已有文字说明的，则以已有文字说明为准，否则，将被认为完全响应竞争性磋商文件的规定。但该表不作为磋商响应单位对所投标服务关于商务条款等详细描述和说明的替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7、资格证明文件</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(1)、关于资格文件的声明函</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关于资格文件的声明函</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本公司愿就由贵公司组织实施的采购编号为</w:t>
      </w:r>
      <w:r>
        <w:rPr>
          <w:rFonts w:ascii="SimSun" w:hAnsi="SimSun" w:eastAsia="SimSun" w:cs="SimSun"/>
          <w:color w:val="000000"/>
          <w:sz w:val="24"/>
          <w:u w:val="single"/>
        </w:rPr>
        <w:t xml:space="preserve"> JSZC-320591-PMJS-C2026-0029 </w:t>
      </w:r>
      <w:r>
        <w:rPr>
          <w:rFonts w:ascii="SimSun" w:hAnsi="SimSun" w:eastAsia="SimSun" w:cs="SimSun"/>
          <w:color w:val="000000"/>
          <w:sz w:val="24"/>
        </w:rPr>
        <w:t xml:space="preserve">号的磋商采购活动进行响应。本公司所提交的响应文件中所有关于磋商资格的文件、证明和陈述均是真实的、准确的。若与真实情况不符，本公司愿意承担由此而产生的一切后果。</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ab/>
        <w:tab/>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(2)、磋商供应商情况表</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9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10"/>
        <w:gridCol w:w="2005"/>
        <w:gridCol w:w="1461"/>
        <w:gridCol w:w="2056"/>
        <w:gridCol w:w="12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1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自有面积平方米</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承租面积平方米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最近2年内在经营过程中受到何种奖励或处分（包括稽查情况和结果）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（3）供应商与其他单位存在控股、管理关系情况表</w:t>
      </w:r>
      <w:r/>
    </w:p>
    <w:p>
      <w:pPr>
        <w:ind w:left="0" w:right="0" w:firstLine="0"/>
        <w:jc w:val="center"/>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供应商与其他单位存在控股、管理关系情况表</w:t>
      </w:r>
      <w:r/>
    </w:p>
    <w:tbl>
      <w:tblPr>
        <w:tblStyle w:val="9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09"/>
        <w:gridCol w:w="3946"/>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bl>
    <w:p>
      <w:pPr>
        <w:ind w:left="0" w:right="0" w:firstLine="241"/>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注：响应单位应当按实填写所有与之有控股、管理关系的情况。</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875"/>
        <w:ind w:left="0" w:right="0" w:firstLine="241"/>
        <w:jc w:val="both"/>
        <w:spacing w:before="120" w:after="12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8、中小企业声明函</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中小企业声明函（工程、服务）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 </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其他未列明行业（教育）</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480" w:firstLine="5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480" w:firstLine="7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1、提供的中小企业声明函须加盖有公章的彩色扫描件上传至电子投标文件中（如属于）。否则不可享受相应扶持政策。</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2、如供应商认定本企业为小型或微型企业，则需根据“工信部联企业〔2011〕300号”通知中的《中小企业划型标准规定》填报“中小企业声明函”。</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3、从业人员、营业收入、资产总额填报上一年度数据，无上一年度数据的新成立企业可不填报。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4、中小企业划分标准详见“工信部联企业〔2011〕300号通知中的《中小企业划型标准规定》”。</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5、《中小企业声明函》中所填的行业应与本采购标的对应的中小企业划分标准所属行业一致，不一致的不可享受相应政策优惠。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6、如未对（中型企业、小型企业、微型企业）进行勾选，视同非小微企业，不可享受相应扶持政策。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7、成交单位为中小微企业的，《中小企业声明函》将随成交结果同时公告。</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8、未尽事宜按照《苏州市政府采购促进中小企业发展实施意见》执行。</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9、若供应商提供的“中小企业声明函”内容不实的，属于提供虚假材料谋取中标、成交，依照《中华人民共和国政府采购法》等国家有关规定追究相应责任。</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9、残疾人福利性单位声明函</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残疾人福利性单位声明函</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本单位郑重声明，根据《财政部民政部中国残疾人联合会关于促进残疾人就业政府采购政策的通知》（财库〔2017〕141号）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本单位对上述声明的真实性负责。如有虚假，将依法承担相应责任。</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480" w:firstLine="5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480" w:firstLine="7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注：提供的</w:t>
      </w:r>
      <w:r>
        <w:rPr>
          <w:rFonts w:ascii="SimSun" w:hAnsi="SimSun" w:eastAsia="SimSun" w:cs="SimSun"/>
          <w:b/>
          <w:color w:val="000000"/>
          <w:sz w:val="26"/>
          <w:u w:val="single"/>
        </w:rPr>
        <w:t xml:space="preserve">残疾人福利性单位声明函</w:t>
      </w:r>
      <w:r>
        <w:rPr>
          <w:rFonts w:ascii="SimSun" w:hAnsi="SimSun" w:eastAsia="SimSun" w:cs="SimSun"/>
          <w:b/>
          <w:color w:val="000000"/>
          <w:sz w:val="24"/>
          <w:u w:val="single"/>
        </w:rPr>
        <w:t xml:space="preserve">须加盖有公章的彩色扫描件上传至电子投标文件中（如属于）。否则不可享受相应扶持政策。</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SimSun" w:hAnsi="SimSun" w:eastAsia="SimSun" w:cs="SimSun"/>
          <w:b/>
          <w:color w:val="333333"/>
          <w:sz w:val="30"/>
          <w:highlight w:val="white"/>
        </w:rPr>
        <w:t xml:space="preserve">关于符合本国产品标准的声明函</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pStyle w:val="874"/>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 </w:t>
      </w:r>
      <w:r/>
    </w:p>
    <w:p>
      <w:pPr>
        <w:pStyle w:val="874"/>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874"/>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874"/>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874"/>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磋商采购内容</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8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磋商采购内容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江苏京苏项目管理咨询有限公司受苏州工业园区企业发展服务中心的委托，就其所需的2026年上市苗圃服务项目（第二批）采用竞争性磋商方式进行采购，欢迎有资格的磋商供应商前来参加本次磋商采购。</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采购编号：</w:t>
      </w:r>
      <w:r>
        <w:rPr>
          <w:rFonts w:ascii="SimSun" w:hAnsi="SimSun" w:eastAsia="SimSun" w:cs="SimSun"/>
          <w:color w:val="000000"/>
          <w:sz w:val="24"/>
        </w:rPr>
        <w:t xml:space="preserve">JSZC-320591-PMJS-C2026-0029</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二、采购内容及要求：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突围增长班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向苗圃企业实控人、产品、研发、销售等核心管理团队，策划及组织2026年《突围增长班》课程，围绕产品研发、成本管控、营销技巧、资本战略等角度，推出企业经营实操课程，授课对象不少于70人次，服务企业不少于35家，课时68小时，根据招标方的要求完成项目的统筹运营管理及落地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主要内容有：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课程方案设计、课研、组织形式设计及讲师资源输入、对接等，提供符合苗圃企业定位、发展需求的总体课程及讲师方案，邀请具备大厂企业高管经验，有相关管理背景的管理咨询专家、相关行业实战讲师、知名投资人等具有丰富经验讲师进行授课，促进各类资源对接，增强企业与优质资源的交往与合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2.课程整体的运营、执行交付：按招标方要求完成班级开营、结营、课程组织实施等内容，包括但不限于组织策划、场地布置、嘉宾邀请、学员通知及需求跟踪、课程总结整理等工作。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3.项目课程全阶段宣传方案策划及执行：项目宣传物料设计及制作、项目前期、中期、后期宣传文案撰写及推广，现场照片及影像素材等多媒体素材整理制作。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4.组建不少于3人的项目服务团队，按照招标方的要求开展相关工作。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（二）验收材料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1.项目实施情况总结：课程实施方案（含课程设计、导师清单、开结营仪式等）、学员手册、学员名单、签到表、其他物料清单等；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2.项目评估情况总结：课程总结报告、满意度调查等；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3.项目宣传情况总结：物料设计及制作、招募通知、摄影摄像素材等；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4.课程运营情况总结：组织实施完成情况等；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三、综合说明及其他要求：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1、投标人应对招标文件提出的全部服务要求进行响应投标，如果其中某些条款不响应时，应在文件中逐条列出，未列出的视同响应。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3、如发生工伤、疾病乃至死亡的一切责任及费用由成交单位全部负责；应严格遵守国家有关的法律、法规及行业标准。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4、如涉及分包：小型、微型企业不得分包或转包给大型、中型企业，中型企业不得分包或转包给大型企业。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5、凡涉及招标文件的补充说明和修改，均以苏州市政府采购网公示的补充通知为准。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第五章 合同条款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采购编号：JSZC-320591-PMJS-C2026-0029</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合同打印日期：年月日</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依据甲方委托江苏京苏项目管理咨询有限公司进行2026年上市苗圃服务项目（第二批）采购编号</w:t>
      </w:r>
      <w:r>
        <w:rPr>
          <w:rFonts w:ascii="SimSun" w:hAnsi="SimSun" w:eastAsia="SimSun" w:cs="SimSun"/>
          <w:color w:val="000000"/>
          <w:sz w:val="24"/>
          <w:u w:val="single"/>
        </w:rPr>
        <w:t xml:space="preserve">JSZC-320591-PMJS-C2026-0029</w:t>
      </w:r>
      <w:r>
        <w:rPr>
          <w:rFonts w:ascii="SimSun" w:hAnsi="SimSun" w:eastAsia="SimSun" w:cs="SimSun"/>
          <w:color w:val="000000"/>
          <w:sz w:val="24"/>
        </w:rPr>
        <w:t xml:space="preserve">的采购结果，确定乙方为本次成交供应商，现依照采购文件、乙方的响应文件及相关文件的内容，签订本合同书。</w:t>
      </w:r>
      <w:r/>
    </w:p>
    <w:p>
      <w:pPr>
        <w:numPr>
          <w:ilvl w:val="0"/>
          <w:numId w:val="12"/>
        </w:numPr>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24"/>
        </w:rPr>
        <w:t xml:space="preserve">合同一般条款：</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（一）合同文件</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1、合同文件适用法律</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适用于合同文件的法律是中华人民共和国现行法律、法规及甲方所在地的地方性法规。</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2、合同文件组成和解释顺序</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合同文件的组成和解释顺序如下：</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合同的一般性条款</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合同的特殊性条款</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洽商、变更等明确双方权利义务的纪要、协议</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成交通知书、招标文件和投标文件</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 标准、规范和其它有关技术资料、技术要求</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合同的特殊性条款的效力优于合同的一般性条款的效力</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3、合同文件使用文字</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合同文件使用中文书写、解释和说明</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合同文件使用特殊性条款约定的国家标准和规范；国家没有相应标准、规范时，可使用特殊性条款约定的行业或甲方所在地地方的标准、规范。</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（二）标的物的一般条款</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完整物权</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对于提供的服务，乙方应当拥有完整物权，并且乙方负有保证第三人不得向甲方主张任何权利（包括知识产权）的义务。</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5、质量保证</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由乙方按采购文件要求自行制定服务方案，并提供服务质量、标准、合同执行期间按此服务标准（参考采购文件要求）执行。</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（三）对服务质量提出异议的时间和办法</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6、提出异议的时间和办法</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乙方在服务期间，若甲方认为乙方的服务质量未达到合同规定的。</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甲方应在验收期满后的【10】个工作日内出具验收合格证明又或提出书面异议。如甲方在上述期限内未出具验收合格证明且未提出书面异议的，视为乙方所提供的服务成果符合合同规定。若甲方在验收过程中发现问题，应在发现问题后的【10】个工作日内书面通知乙方，并暂停验收流程直至问题解决。同时，在验收期满后的【10】个工作日内，甲方仍有权对服务成果进行进一步检验。如在此期间发现服务成果不符合合同规定，甲方应及时通知乙方，并有权要求乙方在【10】个工作日内进行整改。整改完成后，重新进入验收流程。</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（四）合同价款和支付</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7、合同价款和支付</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本合同的结算货币为人民币，单位元。</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乙方应按照双方签订的合同规定提供服务，并在合同特殊条款规定的期限内持下列单据结算合同款项。服务不合格或影响甲方按期正常使用的情形包括但不限于：服务质量未达到合同约定的标准、服务进度延误超过【20】个工作日、服务成果未能通过甲方验收等。</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 合格的发票。</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 由甲乙双方及采购代理机构签章的《政府采购履约验收书（服务类）》。</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7.2.3 项目总结报告。</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7.2.4 由会计师事务所出具的审计报告。</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甲方应按合同特殊条款规定的期限和方式付款。</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根据现行税法对甲方征收的与本合同有关的一切税费均由甲方承担；根据现行税法对乙方征收的与本合同有关的一切税费均由乙方承担。</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（五）违约责任</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8、违约责任</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特殊条款违约责任优先于一般条款；</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合同一方不履行合同义务或者履行合同义务不符合约定的，应当承担继续履行、采取补救措施或者赔偿损失等违约责任。具体违约情形以及赔偿计算方式如下：</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（1）乙方未能按时提供服务的，每逾期一天，应按合同总价款的万分之四支付逾期违约金。</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（2）乙方提供的服务质量不达标的，甲方有权要求乙方重新提供服务，如乙方未能在甲方指定时间内改正，应按合同总价款的10%支付违约金。</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（3）乙方未能完成合同约定的部分服务内容的，甲方有权按未完成部分服务价值的比例扣除相应合同款项。</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（4）乙方未经甲方同意随意更换服务人员的，甲方有权解除合同，并要求乙方向甲方偿付合同总价款20%的违约金。</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（5）其他违约情形，双方应根据实际情况协商确定赔偿金额，但乙方应至少支付合同总价款5%的违约金。</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8.1、不可抗力</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 因不可抗力不能履行合同的，根据不可抗力的影响，部分或者全部免除责任。但合同一方迟延履行后发生不可抗力的，不能免除责任。</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 合同一方因不可抗力不能履行合同的，应当及时通知对方，以减轻可能给对方造成的损失，并应当在合理期限内提供证明。</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（六）合同的解除和转让</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9、合同的解除</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有下列情形之一，合同一方可以解除合同：</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9.1.1 因不可抗力致使不能实现合同目的，且不可抗力事件持续超过【30】天，未受不可抗力影响的一方有权解除合同；</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9.1.2 因合同一方违约导致合同不能履行，且违约方在收到守约方书面通知后【30】天内未能纠正违约行为，另一方有权解除合同，并且违约方应向非违约方支付相当于合同总价款的20%作为违约金，若该违约金不足以弥补非违约方的实际损失，则违约方还需赔偿非违约方因此遭受的全部直接和间接经济损失；</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9.1.3 若乙方严重违反服务标准或多次未能按时提供服务，严重影响合同目的实现，甲方有权解除合同。</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有权解除合同的一方，应当在违约事实或不可抗力发生之后三十天内书面通知对方以主张解除合同，合同在书面通知到达对方时解除。</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10、合同的转让</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合同的部分和全部都不得转让。</w:t>
      </w:r>
      <w:r/>
    </w:p>
    <w:p>
      <w:pPr>
        <w:numPr>
          <w:ilvl w:val="0"/>
          <w:numId w:val="12"/>
        </w:numPr>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24"/>
        </w:rPr>
        <w:t xml:space="preserve">合同特殊条款</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采购编号【JSZC-320591-PMJS-C2026-0029】号的政府采购招标文件（下称政府采购招标文件）及成交单位的投标文件和中标通知书，各方就此次中标的【2026年上市苗圃服务项目（第二批）】的采购事宜，签订本合同书。</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1.合同价格</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1.1合同价格（大写）人民币</w:t>
      </w:r>
      <w:r>
        <w:rPr>
          <w:rFonts w:ascii="SimSun" w:hAnsi="SimSun" w:eastAsia="SimSun" w:cs="SimSun"/>
          <w:color w:val="000000"/>
          <w:sz w:val="24"/>
          <w:u w:val="single"/>
        </w:rPr>
        <w:t xml:space="preserve">                  圆整（￥.00）</w:t>
      </w:r>
      <w:r>
        <w:rPr>
          <w:rFonts w:ascii="SimSun" w:hAnsi="SimSun" w:eastAsia="SimSun" w:cs="SimSun"/>
          <w:color w:val="000000"/>
          <w:sz w:val="24"/>
        </w:rPr>
        <w:t xml:space="preserve">。合同价格包括完成本项目所有服务产生的物料等费用、所有服务人员的工勤管理费用（包括工资、福利、交通、食宿、通讯等费用）、税费、利润、税金、政策性文件规定及合同实施过程中的不可预见的各项费用。除非经甲方书面同意，乙方不得以任何理由要求额外支付其他费用。</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1.2根据现行税法对甲方征收的与本合同有关的一切税费均由甲方承担；根据现行税法对乙方征收的与本合同有关的一切税费均由乙方承担。</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2.服务范围</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2.1甲方聘请乙方提供以下服务：</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（1）服务内容：（详见采购文件）。</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（2）服务期限：自合同签订之日起至2026年12月</w:t>
      </w:r>
      <w:r>
        <w:rPr>
          <w:rFonts w:ascii="SimSun" w:hAnsi="SimSun" w:eastAsia="SimSun" w:cs="SimSun"/>
          <w:color w:val="0000ff"/>
          <w:sz w:val="24"/>
          <w:u w:val="single"/>
        </w:rPr>
        <w:t xml:space="preserve">15</w:t>
      </w:r>
      <w:r>
        <w:rPr>
          <w:rFonts w:ascii="SimSun" w:hAnsi="SimSun" w:eastAsia="SimSun" w:cs="SimSun"/>
          <w:color w:val="000000"/>
          <w:sz w:val="24"/>
        </w:rPr>
        <w:t xml:space="preserve">日。如遇特殊情况需延长服务期限，双方应另行协商并签订补充协议。</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3.合同价格支付</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3.1支付步骤：</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（1）合同签订后，在乙方提交包括但不限于合格的发票、服务计划书等支付申请材料后15个工作日内，甲方向乙方支付合同总金额的40%作为预付款；</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（2）服务期满后10个工作日内，甲乙双方对合同约定服务内容的实际完成情况进行核算并组织验收;验收通过并经第三方审计机构审计后，（第三方审计应在验收合格后 30 个工作日内完成，</w:t>
      </w:r>
      <w:r>
        <w:rPr>
          <w:rFonts w:ascii="SimSun" w:hAnsi="SimSun" w:eastAsia="SimSun" w:cs="SimSun"/>
          <w:color w:val="0000ff"/>
          <w:sz w:val="24"/>
          <w:u w:val="single"/>
        </w:rPr>
        <w:t xml:space="preserve">因乙方提交资料不全、资料瑕疵、拒不补正资料导致审计逾期的，不发生视同审计通过效力；因甲方及审计机构原因逾期未出具审计报告的，视同审计完成，</w:t>
      </w:r>
      <w:r>
        <w:rPr>
          <w:rFonts w:ascii="SimSun" w:hAnsi="SimSun" w:eastAsia="SimSun" w:cs="SimSun"/>
          <w:color w:val="000000"/>
          <w:sz w:val="24"/>
        </w:rPr>
        <w:t xml:space="preserve">甲方按合同价支付尾款。）在乙方提交支付申请及验收材料后，甲方应在【15】个工作日内按照审计结果向乙方支付剩余款项。</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3.2尾款支付应提供以下资料：</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（1）合格的发票。</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（2）《履行验收报告》。</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（3）项目总结报告。</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（4）审计报告。</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3.3支付方式：转账。</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3.4乙方开户银行名称、地址、账号为：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4.服务要求</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4.1乙方应按招标采购文件的有关规定提供合格的服务。</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在合同履行过程中，甲方如需对项目需求进行变更，应及时向乙方提出变更申请，详细说明变更的内容、理由，乙方应提供相应合同价款的服务，需求变更须经双方协商一致，并签订书面变更协议作为本协议之附件执行。</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4.3在合同履行过程中，</w:t>
      </w:r>
      <w:r>
        <w:rPr>
          <w:rFonts w:ascii="SimSun" w:hAnsi="SimSun" w:eastAsia="SimSun" w:cs="SimSun"/>
          <w:color w:val="0000ff"/>
          <w:sz w:val="24"/>
          <w:u w:val="single"/>
        </w:rPr>
        <w:t xml:space="preserve">乙方如需变更讲师或者项目工作人员，应提前【7】个工作日向甲方提交书面变更申请，说明变更理由、拟替换人员简历、资质证明；拟替换人员专业资质、工作经验不得低于乙方投标文件承诺的被替换人员标准。经甲方书面同意后方可更换；未经甲方书面同意不得擅自更换。甲方同意人员变更后，签署书面变更协议作为附件。</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4.4本项目实施过程中乙方基于甲方提供的原始数据和资料提供合同约定服务后形成的对应电子数据、文件等，所有权和使用权均属于甲方；未经甲方授权许可，乙方不得擅自使用和传播。</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乙方应保证甲方免除且因使用乙方提供的服务或产品时而引起的任何第三方关于知识产权（包括但不限于专利权、商标权或设计权）的侵权索赔并承担由此产生的一切损失、损害、费用和支出，包括律师费用。此外，乙方应提供合法来源证明，并承诺在发生知识产权侵权纠纷时，乙方将承担全部侵权赔偿责任。一旦发生此类侵权纠纷，乙方应在接到甲方通知后的【10】个工作日内启动调查，并在【10】个工作日内向甲方提供详细的侵权责任界定报告。</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5合同履行验收：</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甲方将定期（每月/每季度）和不定期地按照预先设定的标准（包括但不限于人员资质、工作经验、服务时间等）抽查乙方实际投入服务人员情况，抽查方式包括但不限于现场检查、电话访谈和服务记录审核。如若发现乙方未经甲方同意，实际人员安排与响应承诺存在不符，甲方有权解除合同，并依据违约条款约定内容执行。</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5.2甲方将根据乙方所提交的服务成果进行履行验收考核，验收依照</w:t>
      </w:r>
      <w:r>
        <w:rPr>
          <w:rFonts w:ascii="SimSun" w:hAnsi="SimSun" w:eastAsia="SimSun" w:cs="SimSun"/>
          <w:color w:val="0000ff"/>
          <w:sz w:val="24"/>
          <w:u w:val="single"/>
        </w:rPr>
        <w:t xml:space="preserve">《关于进一步加强履约验收管理的通知》</w:t>
      </w:r>
      <w:r>
        <w:rPr>
          <w:rFonts w:ascii="SimSun" w:hAnsi="SimSun" w:eastAsia="SimSun" w:cs="SimSun"/>
          <w:color w:val="000000"/>
          <w:sz w:val="24"/>
        </w:rPr>
        <w:t xml:space="preserve">进行，考核合格的按照合同约定支付服务费用；如因乙方服务质量问题导致无法验收合格的，按照本合同违约条款对应约定内容执行。</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6.保密</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6.1乙方应将本项目中的保密资料作为商业秘密予以保护。保密期限为自本合同生效之日起【X】年</w:t>
      </w:r>
      <w:r>
        <w:rPr>
          <w:rFonts w:ascii="SimSun" w:hAnsi="SimSun" w:eastAsia="SimSun" w:cs="SimSun"/>
          <w:color w:val="0000ff"/>
          <w:sz w:val="24"/>
          <w:u w:val="single"/>
        </w:rPr>
        <w:t xml:space="preserve">，本合同终止、解除，不影响本保密义务的效力。</w:t>
      </w:r>
      <w:r>
        <w:rPr>
          <w:rFonts w:ascii="SimSun" w:hAnsi="SimSun" w:eastAsia="SimSun" w:cs="SimSun"/>
          <w:color w:val="000000"/>
          <w:sz w:val="24"/>
        </w:rPr>
        <w:t xml:space="preserve">如发生泄密，甲方有权追究乙方泄密责任</w:t>
      </w:r>
      <w:r>
        <w:rPr>
          <w:rFonts w:ascii="SimSun" w:hAnsi="SimSun" w:eastAsia="SimSun" w:cs="SimSun"/>
          <w:color w:val="0000ff"/>
          <w:sz w:val="24"/>
          <w:u w:val="single"/>
        </w:rPr>
        <w:t xml:space="preserve">，乙方应当确保其员工、劳务人员、合作第三方同样遵守本保密约定，乙方对其相关人员泄密行为向甲方承担全部责任。</w:t>
      </w:r>
      <w:r>
        <w:rPr>
          <w:rFonts w:ascii="SimSun" w:hAnsi="SimSun" w:eastAsia="SimSun" w:cs="SimSun"/>
          <w:color w:val="000000"/>
          <w:sz w:val="24"/>
        </w:rPr>
        <w:t xml:space="preserve">。保密资料是指本项目中不为公众所知悉、能为权利人带来经济利益、具有实用性并经权利人采取保密措施的技术信息和经营信息。包括但不限于：本项目的交付物及交付物中所涉及的版权、专利权、设计、方法、技术、工艺及文档材料，但不包括已公开或可通过公开渠道获取的信息。如发生泄密，甲方有权追究乙方泄密责任，并要求乙方支付相当于合同总价款20%的违约金，或按照实际损失的双倍进行赔偿，以较高者为准。实际损失包括但不限于直接经济损失、间接经济损失、律师费、诉讼费等。</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6.2甲方提供/披露的各类技术、信息数据、商业资料、规格说明、图纸、文件及专有技术等。</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6.3乙方不得以任何形式侵害甲方的知识产权。</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7.违约责任</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7.1甲方违约责任及违约金支付：</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（1）在合同生效后，甲方无理由要求终止服务的，应向乙方偿付合同总价款的5%，作为违约金，违约金不足以补偿损失的，乙方有权要求甲方补足。</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（2）甲方逾期付款的应按照逾期付款金额的每天万分之四支付逾期付款违约金，但违约金总额不超过合同总价款的5%。</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（3）甲方违反合同规定，拒绝接受乙方提供服务，应当承担乙方由此造成的直接损失。</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7.2乙方违约责任及违约金支付：</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w:t>
      </w:r>
      <w:r>
        <w:rPr>
          <w:rFonts w:ascii="SimSun" w:hAnsi="SimSun" w:eastAsia="SimSun" w:cs="SimSun"/>
          <w:color w:val="060607"/>
          <w:spacing w:val="4"/>
          <w:sz w:val="24"/>
          <w:highlight w:val="white"/>
        </w:rPr>
        <w:t xml:space="preserve">方</w:t>
      </w:r>
      <w:r>
        <w:rPr>
          <w:rFonts w:ascii="SimSun" w:hAnsi="SimSun" w:eastAsia="SimSun" w:cs="SimSun"/>
          <w:color w:val="000000"/>
          <w:sz w:val="24"/>
        </w:rPr>
        <w:t xml:space="preserve">未按合同约定的时间、方式、内容等提供服务，甲方有权要求解除合同，乙方需退还已收取的费用，并偿付合同总价款30%的违约金。</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w:t>
      </w:r>
      <w:r>
        <w:rPr>
          <w:rFonts w:ascii="SimSun" w:hAnsi="SimSun" w:eastAsia="SimSun" w:cs="SimSun"/>
          <w:color w:val="060607"/>
          <w:spacing w:val="4"/>
          <w:sz w:val="24"/>
          <w:highlight w:val="white"/>
        </w:rPr>
        <w:t xml:space="preserve">方未经甲方同意擅自将</w:t>
      </w:r>
      <w:r>
        <w:rPr>
          <w:rFonts w:ascii="SimSun" w:hAnsi="SimSun" w:eastAsia="SimSun" w:cs="SimSun"/>
          <w:color w:val="0000ff"/>
          <w:spacing w:val="4"/>
          <w:sz w:val="24"/>
          <w:highlight w:val="white"/>
          <w:u w:val="single"/>
        </w:rPr>
        <w:t xml:space="preserve">本合同项下服务转包/分包</w:t>
      </w:r>
      <w:r>
        <w:rPr>
          <w:rFonts w:ascii="SimSun" w:hAnsi="SimSun" w:eastAsia="SimSun" w:cs="SimSun"/>
          <w:color w:val="060607"/>
          <w:spacing w:val="4"/>
          <w:sz w:val="24"/>
          <w:highlight w:val="white"/>
        </w:rPr>
        <w:t xml:space="preserve">给第三方的，</w:t>
      </w:r>
      <w:r>
        <w:rPr>
          <w:rFonts w:ascii="SimSun" w:hAnsi="SimSun" w:eastAsia="SimSun" w:cs="SimSun"/>
          <w:color w:val="000000"/>
          <w:sz w:val="24"/>
        </w:rPr>
        <w:t xml:space="preserve">甲方有权要求解除合同，乙方需退还已收取的费用，并偿付合同总价款30%的违约金。</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w:t>
      </w:r>
      <w:r>
        <w:rPr>
          <w:rFonts w:ascii="SimSun" w:hAnsi="SimSun" w:eastAsia="SimSun" w:cs="SimSun"/>
          <w:color w:val="060607"/>
          <w:spacing w:val="4"/>
          <w:sz w:val="24"/>
          <w:highlight w:val="white"/>
        </w:rPr>
        <w:t xml:space="preserve">方未经甲方同意</w:t>
      </w:r>
      <w:r>
        <w:rPr>
          <w:rFonts w:ascii="SimSun" w:hAnsi="SimSun" w:eastAsia="SimSun" w:cs="SimSun"/>
          <w:color w:val="000000"/>
          <w:sz w:val="24"/>
        </w:rPr>
        <w:t xml:space="preserve">擅自调换讲师或服务人员的，甲方有权解除合同，并要求乙方向甲方偿付合同总价款30%的违约金。</w:t>
      </w:r>
      <w:r/>
    </w:p>
    <w:p>
      <w:pPr>
        <w:ind w:left="0" w:right="-15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以上如果违约金不足以补偿损失的，甲方有权要求乙方补足。</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8.不可抗力</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8.1因不可抗力不能履行合同的，根据不可抗力的影响，部分或者全部免除责任。但合同一方延迟履行后发生不可抗力的，不能免除责任。</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8.2合同一方因不可抗力不能履行合同的，应当及时通知对方，以减轻可能给对方造成的损失，并应当在合理期限内提供证明。</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9.合同修改</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9.1甲方和乙方都不得擅自变更本合同，但合同继续履行将损害国家和社会公共利益的除外。如必须对合同条款进行改动时，当事人双方须共同签署书面文件，做为合同的补充。</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10.转让和分包</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10.1政府采购合同的部分和全部都不得转让。</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11.合同的解除</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11.1有下列情形之一，合同一方可以解除合同：</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（1）因不可抗力致使不能实现合同目的，且不可抗力事件持续超过【15】天，甲方可单方解除并互不承担违约责任。</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（2）因合同一方违约导致合同不能履行，且违约方在收到守约方书面通知后【30】天内未能纠正违约行为，另一方有权解除合同。</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（3）如因本合同继续履行将损害国家利益和社会公共利益，采购人在获得相关部门批准后有权变更、中止或者终止、解除合同。</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11.2有权解除合同的一方，应当在违约事实或不可抗力发生之后三十天内书面通知对方以主张解除合同，合同在书面通知到达对方时解除。</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12.争议解决办法</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因本合同或与本合同有关的一切事项发生争议，由双方友好协商解决。协商不成的可向甲方所在地的人民法院起诉。 </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13.合同生效及其他</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13.1本合同经双方签字并盖公章后生效。</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13.2下列文件为本合同不可分割部分：</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（1）成交通知书；</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（2）乙方投标文件；</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（3）招标文件；</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（4）乙方在投标过程中所作的其他承诺、声明、书面澄清等。</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13.3双方确认本合同首页所列联系地址、邮箱、电话为双方有效送达地址，任何书面通知邮寄至该地址或发送至指定邮箱即视为有效送达；一方变更送达信息应提前书面告知另一方，否则自行承担无法送达的法律后果。</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14.未尽事宜</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未尽事宜应按照《中华人民共和国民法典》、《中华人民共和国政府采购法》等相关法律法规之规定解释。</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双方协商一致同意，在本合同签订后，若因乙方办理“园采贷”信用融资的需要，本合同第二条第3.4款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15.附则</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合同份数：本合同一式【叁】份，甲乙两方各执【一】份，采购代理机构执【一】份。</w:t>
      </w:r>
      <w:r/>
    </w:p>
    <w:p>
      <w:pPr>
        <w:ind w:left="0" w:right="-159"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法定代表人或受委托人法定代表人或受委托人代表人：</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（签字）：（签字）：</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159"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传真：传真：</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tbl>
      <w:tblPr>
        <w:tblStyle w:val="9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8"/>
        <w:gridCol w:w="1249"/>
        <w:gridCol w:w="1888"/>
        <w:gridCol w:w="1245"/>
        <w:gridCol w:w="1312"/>
        <w:gridCol w:w="1410"/>
        <w:gridCol w:w="1080"/>
      </w:tblGrid>
      <w:tr>
        <w:trPr>
          <w:trHeight w:val="641"/>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政府采购履约验收书（服务类）</w:t>
            </w:r>
            <w:r/>
          </w:p>
        </w:tc>
      </w:tr>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83"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（姓名+职务+单位）</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采购代理机构</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3"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验收日期和地点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0"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项目名称和编号</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3"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合同金额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0"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验收组织形式</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□采购人自行组织验收          □委托代理机构验收</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是否日常检查/分段验收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      □否</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8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日常检查/分段验收情况</w:t>
            </w:r>
            <w:r/>
          </w:p>
        </w:tc>
        <w:tc>
          <w:tcPr>
            <w:gridSpan w:val="4"/>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5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本项目验收共分        期，本次为第        期</w:t>
            </w:r>
            <w:r/>
          </w:p>
        </w:tc>
      </w:tr>
      <w:tr>
        <w:trPr>
          <w:trHeight w:val="49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验收人员</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验收方式（结合验收方案多选）</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验收意见</w:t>
            </w:r>
            <w:r/>
          </w:p>
        </w:tc>
      </w:tr>
      <w:tr>
        <w:trPr>
          <w:trHeight w:val="499"/>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16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验收小组成员（最终验收成员人数为3人以上单数，组成根据实际情况选择）</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138" w:type="dxa"/>
            <w:vAlign w:val="top"/>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（姓名+所属部门）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*最终验收时必有，若经办采购的人员与采购需求人员分属不同部门，二者应同时参与验收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□代建单位（如有）：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（姓名+单位+所属部门）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□采购人委托的代理机构（如有）：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6"/>
              </w:rPr>
              <w:t xml:space="preserve"> </w:t>
            </w:r>
            <w:r>
              <w:rPr>
                <w:rFonts w:ascii="SimSun" w:hAnsi="SimSun" w:eastAsia="SimSun" w:cs="SimSun"/>
                <w:color w:val="000000"/>
                <w:sz w:val="22"/>
              </w:rPr>
              <w:t xml:space="preserve">(姓名）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*前期参与采购活动的采购代理机构工作人员不得参与验收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□采购人委托的专家（如有）：  （姓名+单位）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*前期参与采购活动的评审专家不得参与验收</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□服务时间、进度是否足额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  格         □不合格</w:t>
            </w:r>
            <w:r/>
          </w:p>
        </w:tc>
      </w:tr>
      <w:tr>
        <w:trPr>
          <w:trHeight w:val="499"/>
        </w:trPr>
        <w:tc>
          <w:tcPr>
            <w:vMerge w:val="continue"/>
            <w:textDirection w:val="lrTb"/>
            <w:noWrap w:val="false"/>
          </w:tcPr>
          <w:p>
            <w:r/>
            <w:r/>
          </w:p>
        </w:tc>
        <w:tc>
          <w:tcPr>
            <w:gridSpan w:val="2"/>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□服务范围是否完整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  格         □不合格</w:t>
            </w:r>
            <w:r/>
          </w:p>
        </w:tc>
      </w:tr>
      <w:tr>
        <w:trPr>
          <w:trHeight w:val="499"/>
        </w:trPr>
        <w:tc>
          <w:tcPr>
            <w:vMerge w:val="continue"/>
            <w:textDirection w:val="lrTb"/>
            <w:noWrap w:val="false"/>
          </w:tcPr>
          <w:p>
            <w:r/>
            <w:r/>
          </w:p>
        </w:tc>
        <w:tc>
          <w:tcPr>
            <w:gridSpan w:val="2"/>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□服务要求、行业和安全标准是否达标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  格         □不合格</w:t>
            </w:r>
            <w:r/>
          </w:p>
        </w:tc>
      </w:tr>
      <w:tr>
        <w:trPr>
          <w:trHeight w:val="499"/>
        </w:trPr>
        <w:tc>
          <w:tcPr>
            <w:vMerge w:val="continue"/>
            <w:textDirection w:val="lrTb"/>
            <w:noWrap w:val="false"/>
          </w:tcPr>
          <w:p>
            <w:r/>
            <w:r/>
          </w:p>
        </w:tc>
        <w:tc>
          <w:tcPr>
            <w:gridSpan w:val="2"/>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□项目需求、服务承诺是否实现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  格         □不合格</w:t>
            </w:r>
            <w:r/>
          </w:p>
        </w:tc>
      </w:tr>
      <w:tr>
        <w:trPr>
          <w:trHeight w:val="499"/>
        </w:trPr>
        <w:tc>
          <w:tcPr>
            <w:vMerge w:val="continue"/>
            <w:textDirection w:val="lrTb"/>
            <w:noWrap w:val="false"/>
          </w:tcPr>
          <w:p>
            <w:r/>
            <w:r/>
          </w:p>
        </w:tc>
        <w:tc>
          <w:tcPr>
            <w:gridSpan w:val="2"/>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□核查服务人员、设备是否一致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  格         □不合格</w:t>
            </w:r>
            <w:r/>
          </w:p>
        </w:tc>
      </w:tr>
      <w:tr>
        <w:trPr>
          <w:trHeight w:val="499"/>
        </w:trPr>
        <w:tc>
          <w:tcPr>
            <w:vMerge w:val="continue"/>
            <w:textDirection w:val="lrTb"/>
            <w:noWrap w:val="false"/>
          </w:tcPr>
          <w:p>
            <w:r/>
            <w:r/>
          </w:p>
        </w:tc>
        <w:tc>
          <w:tcPr>
            <w:gridSpan w:val="2"/>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□对照采购人需求，对服务内容中涉及专业领域的部分进行复核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  格         □不合格</w:t>
            </w:r>
            <w:r/>
          </w:p>
        </w:tc>
      </w:tr>
      <w:tr>
        <w:trPr>
          <w:trHeight w:val="499"/>
        </w:trPr>
        <w:tc>
          <w:tcPr>
            <w:vMerge w:val="continue"/>
            <w:textDirection w:val="lrTb"/>
            <w:noWrap w:val="false"/>
          </w:tcPr>
          <w:p>
            <w:r/>
            <w:r/>
          </w:p>
        </w:tc>
        <w:tc>
          <w:tcPr>
            <w:gridSpan w:val="2"/>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□合同履约时间、地点、方式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  格         □不合格</w:t>
            </w:r>
            <w:r/>
          </w:p>
        </w:tc>
      </w:tr>
      <w:tr>
        <w:trPr>
          <w:trHeight w:val="499"/>
        </w:trPr>
        <w:tc>
          <w:tcPr>
            <w:vMerge w:val="continue"/>
            <w:textDirection w:val="lrTb"/>
            <w:noWrap w:val="false"/>
          </w:tcPr>
          <w:p>
            <w:r/>
            <w:r/>
          </w:p>
        </w:tc>
        <w:tc>
          <w:tcPr>
            <w:gridSpan w:val="2"/>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  格         □不合格</w:t>
            </w:r>
            <w:r/>
          </w:p>
        </w:tc>
      </w:tr>
      <w:tr>
        <w:trPr>
          <w:trHeight w:val="499"/>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116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验收参与人员 （如有）</w:t>
            </w:r>
            <w:r/>
          </w:p>
        </w:tc>
        <w:tc>
          <w:tcPr>
            <w:gridSpan w:val="2"/>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313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□服务对象：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服务对象满意度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  格         □不合格</w:t>
            </w:r>
            <w:r/>
          </w:p>
        </w:tc>
      </w:tr>
      <w:tr>
        <w:trPr>
          <w:trHeight w:val="667"/>
        </w:trPr>
        <w:tc>
          <w:tcPr>
            <w:vMerge w:val="continue"/>
            <w:textDirection w:val="lrTb"/>
            <w:noWrap w:val="false"/>
          </w:tcPr>
          <w:p>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13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□第三方专业机构：</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对照采购文件中服务需求，出具加盖公章的评估报告等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  格         □不合格</w:t>
            </w:r>
            <w:r/>
          </w:p>
        </w:tc>
      </w:tr>
      <w:tr>
        <w:trPr>
          <w:trHeight w:val="499"/>
        </w:trPr>
        <w:tc>
          <w:tcPr>
            <w:vMerge w:val="continue"/>
            <w:textDirection w:val="lrTb"/>
            <w:noWrap w:val="false"/>
          </w:tcPr>
          <w:p>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13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□专家：</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出具书面意见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  格         □不合格</w:t>
            </w:r>
            <w:r/>
          </w:p>
        </w:tc>
      </w:tr>
      <w:tr>
        <w:trPr>
          <w:trHeight w:val="499"/>
        </w:trPr>
        <w:tc>
          <w:tcPr>
            <w:vMerge w:val="continue"/>
            <w:textDirection w:val="lrTb"/>
            <w:noWrap w:val="false"/>
          </w:tcPr>
          <w:p>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13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□其他供应商：</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  格         □不合格</w:t>
            </w:r>
            <w:r/>
          </w:p>
        </w:tc>
      </w:tr>
      <w:tr>
        <w:trPr>
          <w:trHeight w:val="11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验收意见</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6"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（如意见一致，请全体验收小组成员分别签名，如有异议，请分别签署意见并签名）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全体验收小组成员签字：                                             </w:t>
            </w:r>
            <w:r/>
          </w:p>
        </w:tc>
      </w:tr>
      <w:tr>
        <w:trPr>
          <w:trHeight w:val="1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异议复核</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异议事项：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复核意见：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签字：</w:t>
            </w:r>
            <w:r/>
          </w:p>
        </w:tc>
      </w:tr>
      <w:tr>
        <w:trPr>
          <w:trHeight w:val="9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验收结论</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6" w:type="dxa"/>
            <w:vAlign w:val="center"/>
            <w:textDirection w:val="lrTb"/>
            <w:noWrap/>
          </w:tcPr>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（采购人签署验收意见并盖章）</w:t>
            </w:r>
            <w:r/>
          </w:p>
        </w:tc>
      </w:tr>
      <w:tr>
        <w:trPr>
          <w:trHeight w:val="8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验收依据和过程（可附件）</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6" w:type="dxa"/>
            <w:vAlign w:val="center"/>
            <w:textDirection w:val="lrTb"/>
            <w:noWrap/>
          </w:tcPr>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pStyle w:val="874"/>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第六章评</w:t>
      </w:r>
      <w:r>
        <w:rPr>
          <w:rFonts w:ascii="SimSun" w:hAnsi="SimSun" w:eastAsia="SimSun" w:cs="SimSun"/>
          <w:b/>
          <w:color w:val="000000"/>
          <w:sz w:val="44"/>
        </w:rPr>
        <w:t xml:space="preserve">审办法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1、评价和比较采用综合评分法，即指响应文件满足采购文件全部实质性要求，且按照评审因素的量化指标评审得分最高的供应商为排名第一的成交候选人的评审方法。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2、评审小组各成员独立对每个进入打分程序的有效磋商供应商的响应文件技术和资质部分以打分的形式进行评审和评价。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评委的评分(除价格分外)进行统计汇总，直接算术平均，计算出每个磋商供应商的得分，加上价格得分即为每个磋商供应商的综合得分。评审结果按评审后得分由高到低顺序排列。得分相同的，按磋商报价由低到高顺序排列。得分且磋商报价相同的并列。响应文件满足采购文件全部实质性要求，且按照前述综合评审得分由高到低的排序选择前三名供应商作为成交候选人。如选取成交候选人时出现评审得分相同，且磋商报价也相同的并列情况的，则由采购人组织以抽签方式确定优先选取顺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4、评审小组根据采购人的授权，按照成交候选人的顺序在成交候选人中直接确定成交供应商。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(一）价格分（20分）</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第一步：投标报价低于或等于最高限价的，为有效投标报价；超最高限价为无效投标报价。无效投标报价的投标文件不进行评审，也不得标。</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第二步：在所有有效投标报价中满足招标文件要求，且评审价格最低的评审报价为评标基准价，其价格分为20分，其他投标单位的价格分按照下列公式计算（计算结果四舍五入保留两位小数）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投标报价得分＝（评标基准价/响应报价）×20×100％</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（二）技术方案（60分）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1、项目理解分析比较（10分）：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投标人需根据企业技术-销售双轮驱动发展需求综合分析，阐述本项目核心服务目标及内容。评标委员会根据分析科学合理性，结构严谨性，针对性，相关建议可行性等内容进行综合比较。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内容清晰合理、相关建议可行性较高的得10分；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内容较为清晰合理、相关建议可行性较高的得7分；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分析不够清晰，相关建议可行性不高的得4分；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无具体内容不得分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2、课程内容方案比较（15分）：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投标人需围绕苗圃企业产品研发、成本管控、销售增长、资本战略等内容，阐述课程内容方案。评标委员会根据课程内容与企业需求匹配度、体系完整性、形式丰富度、落地实操性等内容进行综合比较。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课程内容高度匹配企业需求、体系完整、形式丰富、落地性强的得15分；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内容贴合需求、体系较完整、形式较多元的得10分；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内容基本匹配、体系一般、形式单一的得5分；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无具体方案不得分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3、课程师资配置方案比较（15分）：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投标人需围绕苗圃企业苗圃企业产品研发、成本管控、销售增长、资本战略等课程需求，提交师资配备及授课实施方案。评标委员会根据师资专业能力、实战经验、与课程主题匹配度等内容进行综合比较。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师资专业性强、实战经验丰富、与课程主题高度匹配的得15分；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专业性较强、匹配度较高的得10分；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专业性一般、基本匹配的得5分；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无具体配置不得分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4、课程运营管理方案比较（10分）：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投标人需结合项目服务要求，制定课程全流程运营管理实施方案。评标委员会根据方案完整性、服务机制完善度、评估措施合理性等内容进行综合比较。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方案覆盖全流程、反馈与跟踪机制完善、评估措施科学合理的得10分；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方案较完整、机制较完善的得7分；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方案基本完整、机制一般的得4分；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无具体方案不得分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5、课程成果展示方案及宣传策划方案比较（10分）：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投标人需制定完整的课程成果展示方案及宣传策划方案，明确企业落地方案输出形式及展示方法、宣传策划方案。评标委员会根据方案科学性、输出方式清晰度、专业规范性等内容进行综合比较。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方案科学合理、成果输出方式及宣传策划方案清晰、专业性强的得10分；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方案较科学、输出方式及宣传方式较清晰的得7分；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方案基本可行、输出方式及宣传方案一般的得4分；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无具体方案不得分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（三）投标人综合实力（20分）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1、服务团队比较：（14分）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1.1项目总负责人：承诺委派公司中高层管理人员担任本项目负责人，须提供项目经理工作履历及近期单位参保证明扫描件，否则不得分。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承诺委派的项目总负责人：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拥有10年及以上与本项目相关的服务工作经验的得8分；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拥有5年及以上但不足10年相关服务工作经验的得5分；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工作经验不足5年的得0分；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没有具体内容或证明材料不齐全的不得分。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项目服务人员配置：投标单位需承诺配备总数不少于3人及以上的项目团队，提供团队名单及参保证明。服务人员具有本科及以上学历且有同类项目服务经验，每有1人得2分，最多得6分。须提供服务人员工作履历、毕业证书或学位证书以及单位近期参保证明扫描件、参与同类项目经验描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2、服务能力比较：（6分）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类似服务经验：</w:t>
      </w:r>
      <w:r>
        <w:rPr>
          <w:rFonts w:ascii="SimSun" w:hAnsi="SimSun" w:eastAsia="SimSun" w:cs="SimSun"/>
          <w:color w:val="000000"/>
          <w:sz w:val="24"/>
        </w:rPr>
        <w:t xml:space="preserve">2022年以来签订的类似服务项目合同：提供合同扫描件、合同内容说明、服务成果等证明材料，每有1项得3分，最高得6分。须提供证明材料扫描件。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类似项目指：项目内容为企业降本增效类与本项目服务内容相关的服务。</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1、以上评分标准中的得分要素，均须由磋商供应商在响应文件中提供相应的证明资料，否则视为其不具备该条得分条件。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2、报价超过最高限价的将不进入综合评审程序，也不得标。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3、付款方式、服务期如有负偏离的不得成交。</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4、所有扫描件必须字迹清晰可见，字迹不清晰不得分。扫描件：指原件或者复印件的复制件，包括扫描、照片等。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96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（全文完）</w:t>
      </w:r>
      <w:r/>
    </w:p>
    <w:p>
      <w:r/>
      <w:r/>
    </w:p>
    <w:sectPr>
      <w:headerReference w:type="default" r:id="rId9"/>
      <w:footerReference w:type="default" r:id="rId10"/>
      <w:footnotePr/>
      <w:endnotePr/>
      <w:type w:val="nextPage"/>
      <w:pgSz w:w="11906" w:h="16838" w:orient="portrait"/>
      <w:pgMar w:top="1417" w:right="1417" w:bottom="1417" w:left="141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KaiTi">
    <w:panose1 w:val="02010609060101010101"/>
  </w:font>
  <w:font w:name="Symbol">
    <w:panose1 w:val="05050102010706020507"/>
  </w:font>
  <w:font w:name="Wingdings">
    <w:panose1 w:val="05000000000000000000"/>
  </w:font>
  <w:font w:name="Tahoma">
    <w:panose1 w:val="020B0604030504040204"/>
  </w:font>
  <w:font w:name="宋体糭.飬..">
    <w:panose1 w:val="02010600030101010101"/>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Cambria">
    <w:panose1 w:val="02040503050406030204"/>
  </w:font>
  <w:font w:name="Adobe 宋体 Std L">
    <w:panose1 w:val="020B0503020202020204"/>
  </w:font>
  <w:font w:name="Courier New">
    <w:panose1 w:val="02070309020205020404"/>
  </w:font>
  <w:font w:name="仿宋_GB2312">
    <w:panose1 w:val="020106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18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ind w:firstLine="180"/>
                            <w:jc w:val="center"/>
                          </w:pPr>
                          <w:r>
                            <w:fldChar w:fldCharType="begin"/>
                          </w:r>
                          <w:r>
                            <w:instrText xml:space="preserve"> PAGE   \* MERGEFORMAT </w:instrText>
                          </w:r>
                          <w:r>
                            <w:fldChar w:fldCharType="separate"/>
                          </w:r>
                          <w:r>
                            <w:rPr>
                              <w:lang w:val="zh-CN"/>
                            </w:rPr>
                            <w:t xml:space="preserve">62</w:t>
                          </w:r>
                          <w:r>
                            <w:rPr>
                              <w:lang w:val="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ind w:firstLine="180"/>
                      <w:jc w:val="center"/>
                    </w:pPr>
                    <w:r>
                      <w:fldChar w:fldCharType="begin"/>
                    </w:r>
                    <w:r>
                      <w:instrText xml:space="preserve"> PAGE   \* MERGEFORMAT </w:instrText>
                    </w:r>
                    <w:r>
                      <w:fldChar w:fldCharType="separate"/>
                    </w:r>
                    <w:r>
                      <w:rPr>
                        <w:lang w:val="zh-CN"/>
                      </w:rPr>
                      <w:t xml:space="preserve">62</w:t>
                    </w:r>
                    <w:r>
                      <w:rPr>
                        <w:lang w:val="zh-CN"/>
                      </w:rPr>
                      <w:fldChar w:fldCharType="end"/>
                    </w:r>
                    <w:r/>
                  </w:p>
                </w:txbxContent>
              </v:textbox>
            </v:shape>
          </w:pict>
        </mc:Fallback>
      </mc:AlternateContent>
    </w:r>
    <w:r/>
  </w:p>
  <w:p>
    <w:pPr>
      <w:ind w:firstLine="2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84"/>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1"/>
      <w:numFmt w:val="decimal"/>
      <w:isLgl w:val="false"/>
      <w:suff w:val="space"/>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432" w:hanging="432"/>
        <w:tabs>
          <w:tab w:val="left" w:pos="432"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1"/>
      <w:numFmt w:val="decimal"/>
      <w:isLgl w:val="false"/>
      <w:suff w:val="tab"/>
      <w:lvlText w:val="%1."/>
      <w:lvlJc w:val="left"/>
      <w:pPr>
        <w:ind w:left="0" w:firstLine="0"/>
      </w:pPr>
      <w:rPr>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32" w:hanging="432"/>
      </w:pPr>
      <w:rPr>
        <w:rFonts w:ascii="SimSun" w:hAnsi="SimSun" w:eastAsia="SimSun" w:cs="SimSu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5"/>
  </w:num>
  <w:num w:numId="5">
    <w:abstractNumId w:val="2"/>
  </w:num>
  <w:num w:numId="6">
    <w:abstractNumId w:val="6"/>
  </w:num>
  <w:num w:numId="7">
    <w:abstractNumId w:val="0"/>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79"/>
    <w:link w:val="874"/>
    <w:uiPriority w:val="9"/>
    <w:rPr>
      <w:rFonts w:ascii="Arial" w:hAnsi="Arial" w:eastAsia="Arial" w:cs="Arial"/>
      <w:sz w:val="40"/>
      <w:szCs w:val="40"/>
    </w:rPr>
  </w:style>
  <w:style w:type="character" w:styleId="709">
    <w:name w:val="Heading 2 Char"/>
    <w:basedOn w:val="879"/>
    <w:link w:val="875"/>
    <w:uiPriority w:val="9"/>
    <w:rPr>
      <w:rFonts w:ascii="Arial" w:hAnsi="Arial" w:eastAsia="Arial" w:cs="Arial"/>
      <w:sz w:val="34"/>
    </w:rPr>
  </w:style>
  <w:style w:type="character" w:styleId="710">
    <w:name w:val="Heading 3 Char"/>
    <w:basedOn w:val="879"/>
    <w:link w:val="876"/>
    <w:uiPriority w:val="9"/>
    <w:rPr>
      <w:rFonts w:ascii="Arial" w:hAnsi="Arial" w:eastAsia="Arial" w:cs="Arial"/>
      <w:sz w:val="30"/>
      <w:szCs w:val="30"/>
    </w:rPr>
  </w:style>
  <w:style w:type="character" w:styleId="711">
    <w:name w:val="Heading 4 Char"/>
    <w:basedOn w:val="879"/>
    <w:link w:val="877"/>
    <w:uiPriority w:val="9"/>
    <w:rPr>
      <w:rFonts w:ascii="Arial" w:hAnsi="Arial" w:eastAsia="Arial" w:cs="Arial"/>
      <w:b/>
      <w:bCs/>
      <w:sz w:val="26"/>
      <w:szCs w:val="26"/>
    </w:rPr>
  </w:style>
  <w:style w:type="character" w:styleId="712">
    <w:name w:val="Heading 5 Char"/>
    <w:basedOn w:val="879"/>
    <w:link w:val="878"/>
    <w:uiPriority w:val="9"/>
    <w:rPr>
      <w:rFonts w:ascii="Arial" w:hAnsi="Arial" w:eastAsia="Arial" w:cs="Arial"/>
      <w:b/>
      <w:bCs/>
      <w:sz w:val="24"/>
      <w:szCs w:val="24"/>
    </w:rPr>
  </w:style>
  <w:style w:type="paragraph" w:styleId="713">
    <w:name w:val="Heading 6"/>
    <w:basedOn w:val="873"/>
    <w:next w:val="873"/>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basedOn w:val="879"/>
    <w:link w:val="713"/>
    <w:uiPriority w:val="9"/>
    <w:rPr>
      <w:rFonts w:ascii="Arial" w:hAnsi="Arial" w:eastAsia="Arial" w:cs="Arial"/>
      <w:b/>
      <w:bCs/>
      <w:sz w:val="22"/>
      <w:szCs w:val="22"/>
    </w:rPr>
  </w:style>
  <w:style w:type="paragraph" w:styleId="715">
    <w:name w:val="Heading 7"/>
    <w:basedOn w:val="873"/>
    <w:next w:val="873"/>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basedOn w:val="879"/>
    <w:link w:val="715"/>
    <w:uiPriority w:val="9"/>
    <w:rPr>
      <w:rFonts w:ascii="Arial" w:hAnsi="Arial" w:eastAsia="Arial" w:cs="Arial"/>
      <w:b/>
      <w:bCs/>
      <w:i/>
      <w:iCs/>
      <w:sz w:val="22"/>
      <w:szCs w:val="22"/>
    </w:rPr>
  </w:style>
  <w:style w:type="paragraph" w:styleId="717">
    <w:name w:val="Heading 8"/>
    <w:basedOn w:val="873"/>
    <w:next w:val="873"/>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basedOn w:val="879"/>
    <w:link w:val="717"/>
    <w:uiPriority w:val="9"/>
    <w:rPr>
      <w:rFonts w:ascii="Arial" w:hAnsi="Arial" w:eastAsia="Arial" w:cs="Arial"/>
      <w:i/>
      <w:iCs/>
      <w:sz w:val="22"/>
      <w:szCs w:val="22"/>
    </w:rPr>
  </w:style>
  <w:style w:type="paragraph" w:styleId="719">
    <w:name w:val="Heading 9"/>
    <w:basedOn w:val="873"/>
    <w:next w:val="873"/>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basedOn w:val="879"/>
    <w:link w:val="719"/>
    <w:uiPriority w:val="9"/>
    <w:rPr>
      <w:rFonts w:ascii="Arial" w:hAnsi="Arial" w:eastAsia="Arial" w:cs="Arial"/>
      <w:i/>
      <w:iCs/>
      <w:sz w:val="21"/>
      <w:szCs w:val="21"/>
    </w:rPr>
  </w:style>
  <w:style w:type="paragraph" w:styleId="721">
    <w:name w:val="Title"/>
    <w:basedOn w:val="873"/>
    <w:next w:val="873"/>
    <w:link w:val="722"/>
    <w:uiPriority w:val="10"/>
    <w:qFormat/>
    <w:pPr>
      <w:contextualSpacing/>
      <w:spacing w:before="300" w:after="200"/>
    </w:pPr>
    <w:rPr>
      <w:sz w:val="48"/>
      <w:szCs w:val="48"/>
    </w:rPr>
  </w:style>
  <w:style w:type="character" w:styleId="722">
    <w:name w:val="Title Char"/>
    <w:basedOn w:val="879"/>
    <w:link w:val="721"/>
    <w:uiPriority w:val="10"/>
    <w:rPr>
      <w:sz w:val="48"/>
      <w:szCs w:val="48"/>
    </w:rPr>
  </w:style>
  <w:style w:type="character" w:styleId="723">
    <w:name w:val="Subtitle Char"/>
    <w:basedOn w:val="879"/>
    <w:link w:val="898"/>
    <w:uiPriority w:val="11"/>
    <w:rPr>
      <w:sz w:val="24"/>
      <w:szCs w:val="24"/>
    </w:rPr>
  </w:style>
  <w:style w:type="paragraph" w:styleId="724">
    <w:name w:val="Quote"/>
    <w:basedOn w:val="873"/>
    <w:next w:val="873"/>
    <w:link w:val="725"/>
    <w:uiPriority w:val="29"/>
    <w:qFormat/>
    <w:pPr>
      <w:ind w:left="720" w:right="720"/>
    </w:pPr>
    <w:rPr>
      <w:i/>
    </w:rPr>
  </w:style>
  <w:style w:type="character" w:styleId="725">
    <w:name w:val="Quote Char"/>
    <w:link w:val="724"/>
    <w:uiPriority w:val="29"/>
    <w:rPr>
      <w:i/>
    </w:rPr>
  </w:style>
  <w:style w:type="paragraph" w:styleId="726">
    <w:name w:val="Intense Quote"/>
    <w:basedOn w:val="873"/>
    <w:next w:val="873"/>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name w:val="Intense Quote Char"/>
    <w:link w:val="726"/>
    <w:uiPriority w:val="30"/>
    <w:rPr>
      <w:i/>
    </w:rPr>
  </w:style>
  <w:style w:type="character" w:styleId="728">
    <w:name w:val="Header Char"/>
    <w:basedOn w:val="879"/>
    <w:link w:val="896"/>
    <w:uiPriority w:val="99"/>
  </w:style>
  <w:style w:type="character" w:styleId="729">
    <w:name w:val="Footer Char"/>
    <w:basedOn w:val="879"/>
    <w:link w:val="894"/>
    <w:uiPriority w:val="99"/>
  </w:style>
  <w:style w:type="paragraph" w:styleId="730">
    <w:name w:val="Caption"/>
    <w:basedOn w:val="873"/>
    <w:next w:val="873"/>
    <w:uiPriority w:val="35"/>
    <w:semiHidden/>
    <w:unhideWhenUsed/>
    <w:qFormat/>
    <w:pPr>
      <w:spacing w:line="276" w:lineRule="auto"/>
    </w:pPr>
    <w:rPr>
      <w:b/>
      <w:bCs/>
      <w:color w:val="4f81bd" w:themeColor="accent1"/>
      <w:sz w:val="18"/>
      <w:szCs w:val="18"/>
    </w:rPr>
  </w:style>
  <w:style w:type="character" w:styleId="731">
    <w:name w:val="Caption Char"/>
    <w:basedOn w:val="730"/>
    <w:link w:val="894"/>
    <w:uiPriority w:val="99"/>
  </w:style>
  <w:style w:type="table" w:styleId="732">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7">
    <w:name w:val="footnote text"/>
    <w:basedOn w:val="873"/>
    <w:link w:val="858"/>
    <w:uiPriority w:val="99"/>
    <w:semiHidden/>
    <w:unhideWhenUsed/>
    <w:pPr>
      <w:spacing w:after="40" w:line="240" w:lineRule="auto"/>
    </w:pPr>
    <w:rPr>
      <w:sz w:val="18"/>
    </w:rPr>
  </w:style>
  <w:style w:type="character" w:styleId="858">
    <w:name w:val="Footnote Text Char"/>
    <w:link w:val="857"/>
    <w:uiPriority w:val="99"/>
    <w:rPr>
      <w:sz w:val="18"/>
    </w:rPr>
  </w:style>
  <w:style w:type="character" w:styleId="859">
    <w:name w:val="footnote reference"/>
    <w:basedOn w:val="879"/>
    <w:uiPriority w:val="99"/>
    <w:unhideWhenUsed/>
    <w:rPr>
      <w:vertAlign w:val="superscript"/>
    </w:rPr>
  </w:style>
  <w:style w:type="paragraph" w:styleId="860">
    <w:name w:val="endnote text"/>
    <w:basedOn w:val="873"/>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basedOn w:val="879"/>
    <w:uiPriority w:val="99"/>
    <w:semiHidden/>
    <w:unhideWhenUsed/>
    <w:rPr>
      <w:vertAlign w:val="superscript"/>
    </w:r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1"/>
    <w:uiPriority w:val="0"/>
    <w:qFormat/>
    <w:pPr>
      <w:jc w:val="both"/>
      <w:widowControl w:val="off"/>
    </w:pPr>
    <w:rPr>
      <w:rFonts w:ascii="Times New Roman" w:hAnsi="Times New Roman" w:eastAsia="楷体_GB2312" w:cs="Times New Roman"/>
      <w:sz w:val="26"/>
      <w:lang w:val="en-US" w:eastAsia="zh-CN" w:bidi="ar-SA"/>
    </w:rPr>
  </w:style>
  <w:style w:type="paragraph" w:styleId="874">
    <w:name w:val="Heading 1"/>
    <w:basedOn w:val="873"/>
    <w:next w:val="873"/>
    <w:link w:val="919"/>
    <w:uiPriority w:val="0"/>
    <w:qFormat/>
    <w:pPr>
      <w:keepLines/>
      <w:keepNext/>
      <w:spacing w:before="340" w:after="330" w:line="578" w:lineRule="auto"/>
      <w:outlineLvl w:val="0"/>
    </w:pPr>
    <w:rPr>
      <w:b/>
      <w:sz w:val="44"/>
    </w:rPr>
  </w:style>
  <w:style w:type="paragraph" w:styleId="875">
    <w:name w:val="Heading 2"/>
    <w:basedOn w:val="873"/>
    <w:next w:val="873"/>
    <w:link w:val="920"/>
    <w:uiPriority w:val="0"/>
    <w:qFormat/>
    <w:pPr>
      <w:keepLines/>
      <w:keepNext/>
      <w:spacing w:before="260" w:after="260" w:line="416" w:lineRule="auto"/>
      <w:outlineLvl w:val="1"/>
    </w:pPr>
    <w:rPr>
      <w:rFonts w:ascii="Arial" w:hAnsi="Arial" w:eastAsia="黑体"/>
      <w:b/>
      <w:bCs/>
      <w:sz w:val="32"/>
      <w:szCs w:val="32"/>
    </w:rPr>
  </w:style>
  <w:style w:type="paragraph" w:styleId="876">
    <w:name w:val="Heading 3"/>
    <w:basedOn w:val="873"/>
    <w:next w:val="873"/>
    <w:link w:val="921"/>
    <w:uiPriority w:val="0"/>
    <w:qFormat/>
    <w:pPr>
      <w:keepLines/>
      <w:keepNext/>
      <w:spacing w:before="260" w:after="260" w:line="416" w:lineRule="auto"/>
      <w:outlineLvl w:val="2"/>
    </w:pPr>
    <w:rPr>
      <w:b/>
      <w:bCs/>
      <w:sz w:val="32"/>
      <w:szCs w:val="32"/>
    </w:rPr>
  </w:style>
  <w:style w:type="paragraph" w:styleId="877">
    <w:name w:val="Heading 4"/>
    <w:basedOn w:val="873"/>
    <w:next w:val="873"/>
    <w:link w:val="922"/>
    <w:uiPriority w:val="0"/>
    <w:qFormat/>
    <w:pPr>
      <w:keepLines/>
      <w:keepNext/>
      <w:spacing w:before="280" w:after="290" w:line="376" w:lineRule="auto"/>
      <w:outlineLvl w:val="3"/>
    </w:pPr>
    <w:rPr>
      <w:rFonts w:ascii="Arial" w:hAnsi="Arial" w:eastAsia="黑体"/>
      <w:b/>
      <w:bCs/>
      <w:sz w:val="28"/>
      <w:szCs w:val="28"/>
    </w:rPr>
  </w:style>
  <w:style w:type="paragraph" w:styleId="878">
    <w:name w:val="Heading 5"/>
    <w:basedOn w:val="873"/>
    <w:next w:val="873"/>
    <w:uiPriority w:val="1"/>
    <w:qFormat/>
    <w:pPr>
      <w:ind w:left="721"/>
      <w:outlineLvl w:val="4"/>
    </w:pPr>
    <w:rPr>
      <w:b/>
      <w:bCs/>
      <w:sz w:val="21"/>
      <w:szCs w:val="21"/>
    </w:rPr>
  </w:style>
  <w:style w:type="character" w:styleId="879" w:default="1">
    <w:name w:val="Default Paragraph Font"/>
    <w:uiPriority w:val="1"/>
    <w:semiHidden/>
    <w:unhideWhenUsed/>
    <w:qFormat/>
  </w:style>
  <w:style w:type="table" w:styleId="880"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81">
    <w:name w:val="Body Text Indent"/>
    <w:basedOn w:val="873"/>
    <w:link w:val="939"/>
    <w:uiPriority w:val="0"/>
    <w:qFormat/>
    <w:pPr>
      <w:ind w:left="420"/>
      <w:spacing w:after="120"/>
    </w:pPr>
  </w:style>
  <w:style w:type="paragraph" w:styleId="882">
    <w:name w:val="List Number"/>
    <w:basedOn w:val="873"/>
    <w:uiPriority w:val="0"/>
    <w:qFormat/>
    <w:pPr>
      <w:ind w:left="1125" w:hanging="555"/>
      <w:tabs>
        <w:tab w:val="left" w:pos="1125" w:leader="none"/>
      </w:tabs>
    </w:pPr>
    <w:rPr>
      <w:rFonts w:eastAsia="宋体"/>
      <w:sz w:val="21"/>
      <w:szCs w:val="24"/>
    </w:rPr>
  </w:style>
  <w:style w:type="paragraph" w:styleId="883">
    <w:name w:val="Normal Indent"/>
    <w:basedOn w:val="873"/>
    <w:link w:val="923"/>
    <w:uiPriority w:val="99"/>
    <w:qFormat/>
    <w:pPr>
      <w:ind w:firstLine="420"/>
      <w:jc w:val="left"/>
    </w:pPr>
    <w:rPr>
      <w:sz w:val="24"/>
    </w:rPr>
  </w:style>
  <w:style w:type="paragraph" w:styleId="884">
    <w:name w:val="List Bullet"/>
    <w:basedOn w:val="874"/>
    <w:next w:val="873"/>
    <w:uiPriority w:val="99"/>
    <w:semiHidden/>
    <w:unhideWhenUsed/>
    <w:qFormat/>
    <w:pPr>
      <w:numPr>
        <w:ilvl w:val="0"/>
        <w:numId w:val="1"/>
      </w:numPr>
    </w:pPr>
  </w:style>
  <w:style w:type="paragraph" w:styleId="885">
    <w:name w:val="Document Map"/>
    <w:basedOn w:val="873"/>
    <w:uiPriority w:val="0"/>
    <w:qFormat/>
    <w:rPr>
      <w:rFonts w:ascii="宋体"/>
      <w:sz w:val="18"/>
      <w:szCs w:val="18"/>
    </w:rPr>
  </w:style>
  <w:style w:type="paragraph" w:styleId="886">
    <w:name w:val="annotation text"/>
    <w:basedOn w:val="873"/>
    <w:link w:val="936"/>
    <w:uiPriority w:val="99"/>
    <w:qFormat/>
    <w:pPr>
      <w:jc w:val="left"/>
    </w:pPr>
  </w:style>
  <w:style w:type="paragraph" w:styleId="887">
    <w:name w:val="Body Text"/>
    <w:basedOn w:val="873"/>
    <w:link w:val="928"/>
    <w:uiPriority w:val="0"/>
    <w:qFormat/>
    <w:pPr>
      <w:spacing w:line="400" w:lineRule="exact"/>
    </w:pPr>
    <w:rPr>
      <w:rFonts w:ascii="楷体_GB2312"/>
      <w:sz w:val="28"/>
    </w:rPr>
  </w:style>
  <w:style w:type="paragraph" w:styleId="888">
    <w:name w:val="Block Text"/>
    <w:basedOn w:val="873"/>
    <w:uiPriority w:val="0"/>
    <w:qFormat/>
    <w:pPr>
      <w:ind w:left="147" w:right="246" w:firstLine="480"/>
      <w:spacing w:line="360" w:lineRule="auto"/>
    </w:pPr>
    <w:rPr>
      <w:rFonts w:ascii="宋体" w:hAnsi="宋体" w:eastAsia="宋体"/>
      <w:sz w:val="24"/>
      <w:szCs w:val="24"/>
    </w:rPr>
  </w:style>
  <w:style w:type="paragraph" w:styleId="889">
    <w:name w:val="index 4"/>
    <w:next w:val="873"/>
    <w:uiPriority w:val="0"/>
    <w:qFormat/>
    <w:pPr>
      <w:ind w:left="1260"/>
      <w:jc w:val="both"/>
      <w:widowControl w:val="off"/>
    </w:pPr>
    <w:rPr>
      <w:rFonts w:ascii="Times New Roman" w:hAnsi="Times New Roman" w:eastAsia="楷体_GB2312" w:cs="Times New Roman"/>
      <w:sz w:val="26"/>
      <w:lang w:val="en-US" w:eastAsia="zh-CN" w:bidi="ar-SA"/>
    </w:rPr>
  </w:style>
  <w:style w:type="paragraph" w:styleId="890">
    <w:name w:val="Plain Text"/>
    <w:basedOn w:val="873"/>
    <w:link w:val="926"/>
    <w:uiPriority w:val="99"/>
    <w:qFormat/>
    <w:rPr>
      <w:rFonts w:ascii="宋体" w:hAnsi="Courier New"/>
    </w:rPr>
  </w:style>
  <w:style w:type="paragraph" w:styleId="891">
    <w:name w:val="Date"/>
    <w:basedOn w:val="873"/>
    <w:next w:val="873"/>
    <w:link w:val="927"/>
    <w:uiPriority w:val="0"/>
    <w:qFormat/>
    <w:rPr>
      <w:rFonts w:ascii="宋体" w:hAnsi="宋体"/>
      <w:sz w:val="24"/>
    </w:rPr>
  </w:style>
  <w:style w:type="paragraph" w:styleId="892">
    <w:name w:val="Body Text Indent 2"/>
    <w:basedOn w:val="873"/>
    <w:link w:val="929"/>
    <w:uiPriority w:val="0"/>
    <w:qFormat/>
    <w:pPr>
      <w:ind w:firstLine="502"/>
      <w:spacing w:line="360" w:lineRule="auto"/>
      <w:tabs>
        <w:tab w:val="left" w:pos="0" w:leader="none"/>
      </w:tabs>
    </w:pPr>
    <w:rPr>
      <w:rFonts w:ascii="宋体" w:eastAsia="宋体"/>
      <w:b/>
      <w:bCs/>
      <w:sz w:val="24"/>
    </w:rPr>
  </w:style>
  <w:style w:type="paragraph" w:styleId="893">
    <w:name w:val="Balloon Text"/>
    <w:basedOn w:val="873"/>
    <w:link w:val="930"/>
    <w:uiPriority w:val="0"/>
    <w:semiHidden/>
    <w:qFormat/>
    <w:rPr>
      <w:sz w:val="18"/>
      <w:szCs w:val="18"/>
    </w:rPr>
  </w:style>
  <w:style w:type="paragraph" w:styleId="894">
    <w:name w:val="Footer"/>
    <w:basedOn w:val="873"/>
    <w:link w:val="918"/>
    <w:uiPriority w:val="99"/>
    <w:unhideWhenUsed/>
    <w:qFormat/>
    <w:pPr>
      <w:jc w:val="left"/>
      <w:tabs>
        <w:tab w:val="center" w:pos="4153" w:leader="none"/>
        <w:tab w:val="right" w:pos="8306" w:leader="none"/>
      </w:tabs>
    </w:pPr>
    <w:rPr>
      <w:sz w:val="18"/>
      <w:szCs w:val="18"/>
    </w:rPr>
  </w:style>
  <w:style w:type="paragraph" w:styleId="895">
    <w:name w:val="envelope return"/>
    <w:basedOn w:val="873"/>
    <w:uiPriority w:val="0"/>
    <w:qFormat/>
    <w:rPr>
      <w:rFonts w:ascii="Arial" w:hAnsi="Arial"/>
    </w:rPr>
  </w:style>
  <w:style w:type="paragraph" w:styleId="896">
    <w:name w:val="Header"/>
    <w:basedOn w:val="873"/>
    <w:link w:val="917"/>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7">
    <w:name w:val="toc 1"/>
    <w:basedOn w:val="873"/>
    <w:next w:val="873"/>
    <w:uiPriority w:val="39"/>
    <w:qFormat/>
    <w:pPr>
      <w:jc w:val="left"/>
    </w:pPr>
    <w:rPr>
      <w:sz w:val="24"/>
    </w:rPr>
  </w:style>
  <w:style w:type="paragraph" w:styleId="898">
    <w:name w:val="Subtitle"/>
    <w:basedOn w:val="873"/>
    <w:next w:val="873"/>
    <w:link w:val="955"/>
    <w:uiPriority w:val="0"/>
    <w:qFormat/>
    <w:pPr>
      <w:jc w:val="center"/>
      <w:spacing w:before="240" w:after="60" w:line="312" w:lineRule="auto"/>
      <w:outlineLvl w:val="1"/>
    </w:pPr>
    <w:rPr>
      <w:rFonts w:ascii="Cambria" w:hAnsi="Cambria" w:eastAsia="宋体"/>
      <w:b/>
      <w:bCs/>
      <w:sz w:val="32"/>
      <w:szCs w:val="32"/>
    </w:rPr>
  </w:style>
  <w:style w:type="paragraph" w:styleId="899">
    <w:name w:val="Body Text Indent 3"/>
    <w:basedOn w:val="873"/>
    <w:link w:val="931"/>
    <w:uiPriority w:val="0"/>
    <w:qFormat/>
    <w:pPr>
      <w:ind w:left="420"/>
      <w:spacing w:after="120"/>
    </w:pPr>
    <w:rPr>
      <w:sz w:val="16"/>
      <w:szCs w:val="16"/>
    </w:rPr>
  </w:style>
  <w:style w:type="paragraph" w:styleId="900">
    <w:name w:val="Body Text 2"/>
    <w:basedOn w:val="874"/>
    <w:next w:val="884"/>
    <w:uiPriority w:val="0"/>
    <w:qFormat/>
    <w:pPr>
      <w:spacing w:after="120" w:line="480" w:lineRule="auto"/>
    </w:pPr>
  </w:style>
  <w:style w:type="paragraph" w:styleId="901">
    <w:name w:val="Normal (Web)"/>
    <w:basedOn w:val="873"/>
    <w:uiPriority w:val="99"/>
    <w:qFormat/>
    <w:pPr>
      <w:jc w:val="left"/>
      <w:spacing w:before="100" w:beforeAutospacing="1" w:after="100" w:afterAutospacing="1"/>
      <w:widowControl/>
    </w:pPr>
    <w:rPr>
      <w:rFonts w:ascii="宋体" w:hAnsi="宋体" w:eastAsia="宋体" w:cs="宋体"/>
      <w:sz w:val="24"/>
      <w:szCs w:val="24"/>
    </w:rPr>
  </w:style>
  <w:style w:type="paragraph" w:styleId="902">
    <w:name w:val="index 1"/>
    <w:basedOn w:val="873"/>
    <w:next w:val="873"/>
    <w:uiPriority w:val="0"/>
    <w:semiHidden/>
    <w:qFormat/>
  </w:style>
  <w:style w:type="paragraph" w:styleId="903">
    <w:name w:val="annotation subject"/>
    <w:basedOn w:val="886"/>
    <w:next w:val="886"/>
    <w:link w:val="937"/>
    <w:uiPriority w:val="0"/>
    <w:semiHidden/>
    <w:qFormat/>
    <w:rPr>
      <w:b/>
      <w:bCs/>
    </w:rPr>
  </w:style>
  <w:style w:type="paragraph" w:styleId="904">
    <w:name w:val="Body Text First Indent 2"/>
    <w:basedOn w:val="881"/>
    <w:next w:val="873"/>
    <w:link w:val="951"/>
    <w:uiPriority w:val="0"/>
    <w:qFormat/>
    <w:pPr>
      <w:ind w:firstLine="420"/>
    </w:pPr>
    <w:rPr>
      <w:rFonts w:eastAsia="宋体"/>
      <w:sz w:val="21"/>
      <w:szCs w:val="24"/>
    </w:rPr>
  </w:style>
  <w:style w:type="table" w:styleId="905">
    <w:name w:val="Table Grid"/>
    <w:basedOn w:val="88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6">
    <w:name w:val="Strong"/>
    <w:basedOn w:val="879"/>
    <w:uiPriority w:val="22"/>
    <w:qFormat/>
    <w:rPr>
      <w:b/>
    </w:rPr>
  </w:style>
  <w:style w:type="character" w:styleId="907">
    <w:name w:val="page number"/>
    <w:basedOn w:val="879"/>
    <w:uiPriority w:val="0"/>
    <w:qFormat/>
  </w:style>
  <w:style w:type="character" w:styleId="908">
    <w:name w:val="FollowedHyperlink"/>
    <w:basedOn w:val="879"/>
    <w:uiPriority w:val="99"/>
    <w:semiHidden/>
    <w:unhideWhenUsed/>
    <w:qFormat/>
    <w:rPr>
      <w:color w:val="333333"/>
      <w:u w:val="none"/>
    </w:rPr>
  </w:style>
  <w:style w:type="character" w:styleId="909">
    <w:name w:val="Emphasis"/>
    <w:basedOn w:val="879"/>
    <w:uiPriority w:val="20"/>
    <w:qFormat/>
  </w:style>
  <w:style w:type="character" w:styleId="910">
    <w:name w:val="Hyperlink"/>
    <w:basedOn w:val="879"/>
    <w:uiPriority w:val="0"/>
    <w:qFormat/>
    <w:rPr>
      <w:color w:val="333333"/>
      <w:u w:val="none"/>
    </w:rPr>
  </w:style>
  <w:style w:type="character" w:styleId="911">
    <w:name w:val="annotation reference"/>
    <w:uiPriority w:val="99"/>
    <w:qFormat/>
    <w:rPr>
      <w:sz w:val="21"/>
      <w:szCs w:val="21"/>
    </w:rPr>
  </w:style>
  <w:style w:type="paragraph" w:styleId="912" w:customStyle="1">
    <w:name w:val="目录 51"/>
    <w:next w:val="873"/>
    <w:uiPriority w:val="0"/>
    <w:qFormat/>
    <w:pPr>
      <w:ind w:left="1275"/>
      <w:jc w:val="both"/>
    </w:pPr>
    <w:rPr>
      <w:rFonts w:ascii="Times New Roman" w:hAnsi="Times New Roman" w:eastAsia="宋体" w:cs="Times New Roman"/>
      <w:sz w:val="21"/>
      <w:lang w:val="en-US" w:eastAsia="zh-CN" w:bidi="ar-SA"/>
    </w:rPr>
  </w:style>
  <w:style w:type="paragraph" w:styleId="913" w:customStyle="1">
    <w:name w:val="段"/>
    <w:next w:val="873"/>
    <w:uiPriority w:val="0"/>
    <w:qFormat/>
    <w:pPr>
      <w:ind w:firstLine="200"/>
      <w:jc w:val="both"/>
    </w:pPr>
    <w:rPr>
      <w:rFonts w:ascii="宋体" w:hAnsi="Times New Roman" w:eastAsia="宋体" w:cs="Times New Roman"/>
      <w:sz w:val="21"/>
      <w:lang w:val="en-US" w:eastAsia="zh-CN" w:bidi="ar-SA"/>
    </w:rPr>
  </w:style>
  <w:style w:type="paragraph" w:styleId="914" w:customStyle="1">
    <w:name w:val="首行缩进"/>
    <w:basedOn w:val="873"/>
    <w:uiPriority w:val="0"/>
    <w:qFormat/>
    <w:pPr>
      <w:ind w:firstLine="480"/>
    </w:pPr>
    <w:rPr>
      <w:lang w:val="zh-CN"/>
    </w:rPr>
  </w:style>
  <w:style w:type="paragraph" w:styleId="915" w:customStyle="1">
    <w:name w:val="正文文本1"/>
    <w:basedOn w:val="873"/>
    <w:uiPriority w:val="0"/>
    <w:qFormat/>
    <w:pPr>
      <w:jc w:val="center"/>
    </w:pPr>
    <w:rPr>
      <w:rFonts w:ascii="方正大黑简体" w:hAnsi="Tahoma" w:eastAsia="方正大黑简体"/>
      <w:position w:val="6"/>
      <w:sz w:val="30"/>
      <w:lang w:eastAsia="en-US"/>
    </w:rPr>
  </w:style>
  <w:style w:type="paragraph" w:styleId="916" w:customStyle="1">
    <w:name w:val="Default"/>
    <w:next w:val="873"/>
    <w:uiPriority w:val="0"/>
    <w:qFormat/>
    <w:pPr>
      <w:widowControl w:val="off"/>
    </w:pPr>
    <w:rPr>
      <w:rFonts w:ascii="宋体糭.飬.." w:hAnsi="Times New Roman" w:eastAsia="宋体糭.飬.." w:cs="宋体糭.飬.."/>
      <w:color w:val="000000"/>
      <w:sz w:val="24"/>
      <w:szCs w:val="24"/>
      <w:lang w:val="en-US" w:eastAsia="zh-CN" w:bidi="ar-SA"/>
    </w:rPr>
  </w:style>
  <w:style w:type="character" w:styleId="917" w:customStyle="1">
    <w:name w:val="页眉 Char"/>
    <w:basedOn w:val="879"/>
    <w:link w:val="896"/>
    <w:uiPriority w:val="0"/>
    <w:qFormat/>
    <w:rPr>
      <w:sz w:val="18"/>
      <w:szCs w:val="18"/>
    </w:rPr>
  </w:style>
  <w:style w:type="character" w:styleId="918" w:customStyle="1">
    <w:name w:val="页脚 Char"/>
    <w:basedOn w:val="879"/>
    <w:link w:val="894"/>
    <w:uiPriority w:val="99"/>
    <w:qFormat/>
    <w:rPr>
      <w:sz w:val="18"/>
      <w:szCs w:val="18"/>
    </w:rPr>
  </w:style>
  <w:style w:type="character" w:styleId="919" w:customStyle="1">
    <w:name w:val="标题 1 Char"/>
    <w:basedOn w:val="879"/>
    <w:link w:val="874"/>
    <w:uiPriority w:val="0"/>
    <w:qFormat/>
    <w:rPr>
      <w:rFonts w:ascii="Times New Roman" w:hAnsi="Times New Roman" w:eastAsia="楷体_GB2312" w:cs="Times New Roman"/>
      <w:b/>
      <w:sz w:val="44"/>
      <w:szCs w:val="20"/>
    </w:rPr>
  </w:style>
  <w:style w:type="character" w:styleId="920" w:customStyle="1">
    <w:name w:val="标题 2 Char"/>
    <w:basedOn w:val="879"/>
    <w:link w:val="875"/>
    <w:uiPriority w:val="0"/>
    <w:qFormat/>
    <w:rPr>
      <w:rFonts w:ascii="Arial" w:hAnsi="Arial" w:eastAsia="黑体" w:cs="Times New Roman"/>
      <w:b/>
      <w:bCs/>
      <w:sz w:val="32"/>
      <w:szCs w:val="32"/>
    </w:rPr>
  </w:style>
  <w:style w:type="character" w:styleId="921" w:customStyle="1">
    <w:name w:val="标题 3 Char"/>
    <w:basedOn w:val="879"/>
    <w:link w:val="876"/>
    <w:uiPriority w:val="0"/>
    <w:qFormat/>
    <w:rPr>
      <w:rFonts w:ascii="Times New Roman" w:hAnsi="Times New Roman" w:eastAsia="楷体_GB2312" w:cs="Times New Roman"/>
      <w:b/>
      <w:bCs/>
      <w:sz w:val="32"/>
      <w:szCs w:val="32"/>
    </w:rPr>
  </w:style>
  <w:style w:type="character" w:styleId="922" w:customStyle="1">
    <w:name w:val="标题 4 Char"/>
    <w:basedOn w:val="879"/>
    <w:link w:val="877"/>
    <w:uiPriority w:val="0"/>
    <w:qFormat/>
    <w:rPr>
      <w:rFonts w:ascii="Arial" w:hAnsi="Arial" w:eastAsia="黑体" w:cs="Times New Roman"/>
      <w:b/>
      <w:bCs/>
      <w:sz w:val="28"/>
      <w:szCs w:val="28"/>
    </w:rPr>
  </w:style>
  <w:style w:type="character" w:styleId="923" w:customStyle="1">
    <w:name w:val="正文缩进 Char1"/>
    <w:link w:val="883"/>
    <w:uiPriority w:val="0"/>
    <w:qFormat/>
    <w:rPr>
      <w:rFonts w:ascii="Times New Roman" w:hAnsi="Times New Roman" w:eastAsia="楷体_GB2312" w:cs="Times New Roman"/>
      <w:sz w:val="24"/>
      <w:szCs w:val="20"/>
    </w:rPr>
  </w:style>
  <w:style w:type="paragraph" w:styleId="924" w:customStyle="1">
    <w:name w:val="纯文本1"/>
    <w:basedOn w:val="873"/>
    <w:link w:val="925"/>
    <w:uiPriority w:val="0"/>
    <w:qFormat/>
    <w:rPr>
      <w:rFonts w:ascii="宋体" w:hAnsi="Courier New"/>
    </w:rPr>
  </w:style>
  <w:style w:type="character" w:styleId="925" w:customStyle="1">
    <w:name w:val="Plain Text Char Char"/>
    <w:link w:val="924"/>
    <w:uiPriority w:val="0"/>
    <w:qFormat/>
    <w:rPr>
      <w:rFonts w:ascii="宋体" w:hAnsi="Courier New" w:eastAsia="楷体_GB2312" w:cs="Times New Roman"/>
      <w:sz w:val="26"/>
      <w:szCs w:val="20"/>
    </w:rPr>
  </w:style>
  <w:style w:type="character" w:styleId="926" w:customStyle="1">
    <w:name w:val="纯文本 Char"/>
    <w:basedOn w:val="879"/>
    <w:link w:val="890"/>
    <w:uiPriority w:val="99"/>
    <w:qFormat/>
    <w:rPr>
      <w:rFonts w:ascii="宋体" w:hAnsi="Courier New" w:eastAsia="楷体_GB2312" w:cs="Times New Roman"/>
      <w:sz w:val="26"/>
      <w:szCs w:val="20"/>
    </w:rPr>
  </w:style>
  <w:style w:type="character" w:styleId="927" w:customStyle="1">
    <w:name w:val="日期 Char"/>
    <w:basedOn w:val="879"/>
    <w:link w:val="891"/>
    <w:uiPriority w:val="0"/>
    <w:qFormat/>
    <w:rPr>
      <w:rFonts w:ascii="宋体" w:hAnsi="宋体" w:eastAsia="楷体_GB2312" w:cs="Times New Roman"/>
      <w:sz w:val="24"/>
      <w:szCs w:val="20"/>
    </w:rPr>
  </w:style>
  <w:style w:type="character" w:styleId="928" w:customStyle="1">
    <w:name w:val="正文文本 Char"/>
    <w:basedOn w:val="879"/>
    <w:link w:val="887"/>
    <w:uiPriority w:val="0"/>
    <w:qFormat/>
    <w:rPr>
      <w:rFonts w:ascii="楷体_GB2312" w:hAnsi="Times New Roman" w:eastAsia="楷体_GB2312" w:cs="Times New Roman"/>
      <w:sz w:val="28"/>
      <w:szCs w:val="20"/>
    </w:rPr>
  </w:style>
  <w:style w:type="character" w:styleId="929" w:customStyle="1">
    <w:name w:val="正文文本缩进 2 Char"/>
    <w:basedOn w:val="879"/>
    <w:link w:val="892"/>
    <w:uiPriority w:val="0"/>
    <w:qFormat/>
    <w:rPr>
      <w:rFonts w:ascii="宋体" w:hAnsi="Times New Roman" w:eastAsia="宋体" w:cs="Times New Roman"/>
      <w:b/>
      <w:bCs/>
      <w:sz w:val="24"/>
      <w:szCs w:val="20"/>
    </w:rPr>
  </w:style>
  <w:style w:type="character" w:styleId="930" w:customStyle="1">
    <w:name w:val="批注框文本 Char"/>
    <w:basedOn w:val="879"/>
    <w:link w:val="893"/>
    <w:uiPriority w:val="0"/>
    <w:semiHidden/>
    <w:qFormat/>
    <w:rPr>
      <w:rFonts w:ascii="Times New Roman" w:hAnsi="Times New Roman" w:eastAsia="楷体_GB2312" w:cs="Times New Roman"/>
      <w:sz w:val="18"/>
      <w:szCs w:val="18"/>
    </w:rPr>
  </w:style>
  <w:style w:type="character" w:styleId="931" w:customStyle="1">
    <w:name w:val="正文文本缩进 3 Char"/>
    <w:basedOn w:val="879"/>
    <w:link w:val="899"/>
    <w:uiPriority w:val="0"/>
    <w:qFormat/>
    <w:rPr>
      <w:rFonts w:ascii="Times New Roman" w:hAnsi="Times New Roman" w:eastAsia="楷体_GB2312" w:cs="Times New Roman"/>
      <w:sz w:val="16"/>
      <w:szCs w:val="16"/>
    </w:rPr>
  </w:style>
  <w:style w:type="character" w:styleId="932" w:customStyle="1">
    <w:name w:val="正文首行缩进 Char Char"/>
    <w:link w:val="933"/>
    <w:uiPriority w:val="0"/>
    <w:qFormat/>
    <w:rPr>
      <w:szCs w:val="24"/>
    </w:rPr>
  </w:style>
  <w:style w:type="paragraph" w:styleId="933" w:customStyle="1">
    <w:name w:val="正文首行缩进1"/>
    <w:basedOn w:val="887"/>
    <w:link w:val="932"/>
    <w:uiPriority w:val="0"/>
    <w:qFormat/>
    <w:pPr>
      <w:ind w:firstLine="420"/>
      <w:spacing w:after="120" w:line="240" w:lineRule="auto"/>
    </w:pPr>
    <w:rPr>
      <w:rFonts w:asciiTheme="minorHAnsi" w:hAnsiTheme="minorHAnsi" w:eastAsiaTheme="minorEastAsia" w:cstheme="minorBidi"/>
      <w:sz w:val="21"/>
      <w:szCs w:val="24"/>
    </w:rPr>
  </w:style>
  <w:style w:type="paragraph" w:styleId="934" w:customStyle="1">
    <w:name w:val="_Style 24"/>
    <w:basedOn w:val="873"/>
    <w:uiPriority w:val="0"/>
    <w:qFormat/>
    <w:rPr>
      <w:rFonts w:eastAsia="宋体"/>
      <w:sz w:val="21"/>
      <w:szCs w:val="24"/>
    </w:rPr>
  </w:style>
  <w:style w:type="character" w:styleId="935" w:customStyle="1">
    <w:name w:val="Char Char1"/>
    <w:uiPriority w:val="0"/>
    <w:qFormat/>
    <w:rPr>
      <w:rFonts w:ascii="宋体" w:hAnsi="Courier New" w:eastAsia="楷体_GB2312"/>
      <w:sz w:val="26"/>
      <w:lang w:val="en-US" w:eastAsia="zh-CN" w:bidi="ar-SA"/>
    </w:rPr>
  </w:style>
  <w:style w:type="character" w:styleId="936" w:customStyle="1">
    <w:name w:val="批注文字 Char"/>
    <w:basedOn w:val="879"/>
    <w:link w:val="886"/>
    <w:uiPriority w:val="99"/>
    <w:qFormat/>
    <w:rPr>
      <w:rFonts w:ascii="Times New Roman" w:hAnsi="Times New Roman" w:eastAsia="楷体_GB2312" w:cs="Times New Roman"/>
      <w:sz w:val="26"/>
      <w:szCs w:val="20"/>
    </w:rPr>
  </w:style>
  <w:style w:type="character" w:styleId="937" w:customStyle="1">
    <w:name w:val="批注主题 Char"/>
    <w:basedOn w:val="936"/>
    <w:link w:val="903"/>
    <w:uiPriority w:val="0"/>
    <w:semiHidden/>
    <w:qFormat/>
    <w:rPr>
      <w:rFonts w:ascii="Times New Roman" w:hAnsi="Times New Roman" w:eastAsia="楷体_GB2312" w:cs="Times New Roman"/>
      <w:b/>
      <w:bCs/>
      <w:sz w:val="26"/>
      <w:szCs w:val="20"/>
    </w:rPr>
  </w:style>
  <w:style w:type="paragraph" w:styleId="938" w:customStyle="1">
    <w:name w:val="纯文本111"/>
    <w:basedOn w:val="873"/>
    <w:uiPriority w:val="0"/>
    <w:qFormat/>
    <w:rPr>
      <w:rFonts w:ascii="宋体" w:hAnsi="Courier New"/>
      <w:sz w:val="28"/>
    </w:rPr>
  </w:style>
  <w:style w:type="character" w:styleId="939" w:customStyle="1">
    <w:name w:val="正文文本缩进 Char"/>
    <w:basedOn w:val="879"/>
    <w:link w:val="881"/>
    <w:uiPriority w:val="0"/>
    <w:qFormat/>
    <w:rPr>
      <w:rFonts w:ascii="Times New Roman" w:hAnsi="Times New Roman" w:eastAsia="楷体_GB2312" w:cs="Times New Roman"/>
      <w:sz w:val="26"/>
      <w:szCs w:val="20"/>
    </w:rPr>
  </w:style>
  <w:style w:type="character" w:styleId="940" w:customStyle="1">
    <w:name w:val="ca-221"/>
    <w:uiPriority w:val="0"/>
    <w:qFormat/>
    <w:rPr>
      <w:rFonts w:hint="eastAsia" w:ascii="宋体" w:hAnsi="宋体" w:eastAsia="宋体"/>
      <w:color w:val="ff0000"/>
      <w:sz w:val="24"/>
      <w:szCs w:val="24"/>
    </w:rPr>
  </w:style>
  <w:style w:type="paragraph" w:styleId="941" w:customStyle="1">
    <w:name w:val="p0"/>
    <w:basedOn w:val="873"/>
    <w:uiPriority w:val="0"/>
    <w:qFormat/>
    <w:pPr>
      <w:jc w:val="left"/>
      <w:spacing w:before="100" w:beforeAutospacing="1" w:after="100" w:afterAutospacing="1"/>
      <w:widowControl/>
    </w:pPr>
    <w:rPr>
      <w:rFonts w:ascii="宋体" w:hAnsi="宋体" w:eastAsia="宋体" w:cs="宋体"/>
      <w:sz w:val="24"/>
      <w:szCs w:val="24"/>
    </w:rPr>
  </w:style>
  <w:style w:type="paragraph" w:styleId="942" w:customStyle="1">
    <w:name w:val="正文 Char Char"/>
    <w:uiPriority w:val="0"/>
    <w:qFormat/>
    <w:pPr>
      <w:jc w:val="both"/>
      <w:widowControl w:val="off"/>
    </w:pPr>
    <w:rPr>
      <w:rFonts w:ascii="Times New Roman" w:hAnsi="Times New Roman" w:eastAsia="ヒラギノ角ゴ Pro W3" w:cs="Times New Roman"/>
      <w:color w:val="000000"/>
      <w:sz w:val="26"/>
      <w:lang w:val="en-US" w:eastAsia="en-US" w:bidi="ar-SA"/>
    </w:rPr>
  </w:style>
  <w:style w:type="paragraph" w:styleId="943" w:customStyle="1">
    <w:name w:val="文字"/>
    <w:basedOn w:val="873"/>
    <w:uiPriority w:val="0"/>
    <w:qFormat/>
    <w:pPr>
      <w:ind w:firstLine="420"/>
      <w:spacing w:line="360" w:lineRule="auto"/>
      <w:widowControl/>
    </w:pPr>
    <w:rPr>
      <w:rFonts w:eastAsia="宋体"/>
      <w:sz w:val="24"/>
      <w:szCs w:val="24"/>
    </w:rPr>
  </w:style>
  <w:style w:type="character" w:styleId="944" w:customStyle="1">
    <w:name w:val="正文缩进 Char"/>
    <w:uiPriority w:val="0"/>
    <w:qFormat/>
    <w:rPr>
      <w:rFonts w:eastAsia="楷体_GB2312"/>
      <w:sz w:val="24"/>
      <w:lang w:val="en-US" w:eastAsia="zh-CN" w:bidi="ar-SA"/>
    </w:rPr>
  </w:style>
  <w:style w:type="paragraph" w:styleId="945">
    <w:name w:val="List Paragraph"/>
    <w:basedOn w:val="873"/>
    <w:uiPriority w:val="34"/>
    <w:qFormat/>
    <w:pPr>
      <w:ind w:firstLine="420"/>
    </w:pPr>
    <w:rPr>
      <w:rFonts w:eastAsia="宋体"/>
      <w:sz w:val="21"/>
      <w:szCs w:val="24"/>
    </w:rPr>
  </w:style>
  <w:style w:type="paragraph" w:styleId="946" w:customStyle="1">
    <w:name w:val="xl91"/>
    <w:basedOn w:val="874"/>
    <w:next w:val="947"/>
    <w:uiPriority w:val="0"/>
    <w:qFormat/>
    <w:pPr>
      <w:ind w:firstLine="3584"/>
      <w:spacing w:before="280" w:after="280" w:line="240" w:lineRule="auto"/>
    </w:pPr>
  </w:style>
  <w:style w:type="paragraph" w:styleId="947" w:customStyle="1">
    <w:name w:val="xl76"/>
    <w:basedOn w:val="874"/>
    <w:next w:val="900"/>
    <w:uiPriority w:val="0"/>
    <w:qFormat/>
    <w:pPr>
      <w:ind w:firstLine="3584"/>
      <w:jc w:val="center"/>
      <w:spacing w:before="280" w:after="280" w:line="240" w:lineRule="auto"/>
    </w:pPr>
  </w:style>
  <w:style w:type="paragraph" w:styleId="948" w:customStyle="1">
    <w:name w:val="正文_0_0"/>
    <w:uiPriority w:val="0"/>
    <w:qFormat/>
    <w:pPr>
      <w:jc w:val="both"/>
      <w:widowControl w:val="off"/>
    </w:pPr>
    <w:rPr>
      <w:rFonts w:ascii="Calibri" w:hAnsi="Calibri" w:eastAsia="宋体" w:cs="Times New Roman"/>
      <w:lang w:val="en-US" w:eastAsia="zh-CN" w:bidi="ar-SA"/>
    </w:rPr>
  </w:style>
  <w:style w:type="paragraph" w:styleId="949" w:customStyle="1">
    <w:name w:val="正文1"/>
    <w:uiPriority w:val="0"/>
    <w:qFormat/>
    <w:pPr>
      <w:ind w:firstLine="200"/>
      <w:jc w:val="both"/>
      <w:spacing w:line="360" w:lineRule="auto"/>
      <w:widowControl w:val="off"/>
    </w:pPr>
    <w:rPr>
      <w:rFonts w:ascii="Calibri" w:hAnsi="Calibri" w:eastAsia="仿宋_GB2312" w:cs="Times New Roman"/>
      <w:sz w:val="24"/>
      <w:szCs w:val="22"/>
      <w:lang w:val="en-US" w:eastAsia="zh-CN" w:bidi="ar-SA"/>
    </w:rPr>
  </w:style>
  <w:style w:type="paragraph" w:styleId="950" w:customStyle="1">
    <w:name w:val="修订1"/>
    <w:hidden/>
    <w:uiPriority w:val="99"/>
    <w:semiHidden/>
    <w:qFormat/>
    <w:rPr>
      <w:rFonts w:ascii="Times New Roman" w:hAnsi="Times New Roman" w:eastAsia="楷体_GB2312" w:cs="Times New Roman"/>
      <w:sz w:val="26"/>
      <w:lang w:val="en-US" w:eastAsia="zh-CN" w:bidi="ar-SA"/>
    </w:rPr>
  </w:style>
  <w:style w:type="character" w:styleId="951" w:customStyle="1">
    <w:name w:val="正文首行缩进 2 Char"/>
    <w:basedOn w:val="939"/>
    <w:link w:val="904"/>
    <w:uiPriority w:val="0"/>
    <w:qFormat/>
    <w:rPr>
      <w:rFonts w:ascii="Times New Roman" w:hAnsi="Times New Roman" w:eastAsia="宋体" w:cs="Times New Roman"/>
      <w:sz w:val="26"/>
      <w:szCs w:val="24"/>
    </w:rPr>
  </w:style>
  <w:style w:type="paragraph" w:styleId="952" w:customStyle="1">
    <w:name w:val="b4一级标题"/>
    <w:basedOn w:val="873"/>
    <w:uiPriority w:val="0"/>
    <w:qFormat/>
    <w:pPr>
      <w:jc w:val="center"/>
      <w:spacing w:line="360" w:lineRule="auto"/>
      <w:outlineLvl w:val="0"/>
    </w:pPr>
    <w:rPr>
      <w:rFonts w:ascii="宋体" w:hAnsi="宋体" w:eastAsia="宋体"/>
      <w:b/>
      <w:sz w:val="36"/>
      <w:szCs w:val="36"/>
    </w:rPr>
  </w:style>
  <w:style w:type="paragraph" w:styleId="953" w:customStyle="1">
    <w:name w:val="标题3"/>
    <w:basedOn w:val="876"/>
    <w:uiPriority w:val="0"/>
    <w:qFormat/>
    <w:pPr>
      <w:contextualSpacing/>
      <w:jc w:val="center"/>
      <w:spacing w:line="240" w:lineRule="auto"/>
    </w:pPr>
    <w:rPr>
      <w:rFonts w:eastAsia="黑体" w:cs="宋体"/>
      <w:sz w:val="28"/>
      <w:szCs w:val="20"/>
    </w:rPr>
  </w:style>
  <w:style w:type="paragraph" w:styleId="954" w:customStyle="1">
    <w:name w:val="No Spacing1"/>
    <w:uiPriority w:val="0"/>
    <w:qFormat/>
    <w:pPr>
      <w:jc w:val="both"/>
      <w:widowControl w:val="off"/>
    </w:pPr>
    <w:rPr>
      <w:rFonts w:ascii="Calibri" w:hAnsi="Calibri" w:eastAsia="宋体" w:cs="Times New Roman"/>
      <w:sz w:val="21"/>
      <w:szCs w:val="22"/>
      <w:lang w:val="en-US" w:eastAsia="zh-CN" w:bidi="ar-SA"/>
    </w:rPr>
  </w:style>
  <w:style w:type="character" w:styleId="955" w:customStyle="1">
    <w:name w:val="副标题 Char"/>
    <w:basedOn w:val="879"/>
    <w:link w:val="898"/>
    <w:uiPriority w:val="0"/>
    <w:qFormat/>
    <w:rPr>
      <w:rFonts w:ascii="Cambria" w:hAnsi="Cambria" w:eastAsia="宋体" w:cs="Times New Roman"/>
      <w:b/>
      <w:bCs/>
      <w:sz w:val="32"/>
      <w:szCs w:val="32"/>
    </w:rPr>
  </w:style>
  <w:style w:type="paragraph" w:styleId="956">
    <w:name w:val="No Spacing"/>
    <w:link w:val="957"/>
    <w:uiPriority w:val="1"/>
    <w:qFormat/>
    <w:rPr>
      <w:rFonts w:asciiTheme="minorHAnsi" w:hAnsiTheme="minorHAnsi" w:eastAsiaTheme="minorEastAsia" w:cstheme="minorBidi"/>
      <w:sz w:val="22"/>
      <w:szCs w:val="22"/>
      <w:lang w:val="en-US" w:eastAsia="zh-CN" w:bidi="ar-SA"/>
    </w:rPr>
  </w:style>
  <w:style w:type="character" w:styleId="957" w:customStyle="1">
    <w:name w:val="无间隔 Char"/>
    <w:basedOn w:val="879"/>
    <w:link w:val="956"/>
    <w:uiPriority w:val="1"/>
    <w:qFormat/>
    <w:rPr>
      <w:sz w:val="22"/>
    </w:rPr>
  </w:style>
  <w:style w:type="character" w:styleId="958" w:customStyle="1">
    <w:name w:val="ask-title"/>
    <w:basedOn w:val="879"/>
    <w:uiPriority w:val="0"/>
    <w:qFormat/>
  </w:style>
  <w:style w:type="paragraph" w:styleId="959" w:customStyle="1">
    <w:name w:val="hidinshow"/>
    <w:basedOn w:val="873"/>
    <w:uiPriority w:val="0"/>
    <w:qFormat/>
    <w:pPr>
      <w:jc w:val="left"/>
      <w:spacing w:before="100" w:beforeAutospacing="1" w:after="100" w:afterAutospacing="1"/>
      <w:widowControl/>
    </w:pPr>
    <w:rPr>
      <w:rFonts w:ascii="宋体" w:hAnsi="宋体" w:eastAsia="宋体" w:cs="宋体"/>
      <w:sz w:val="24"/>
      <w:szCs w:val="24"/>
    </w:rPr>
  </w:style>
  <w:style w:type="paragraph" w:styleId="960" w:customStyle="1">
    <w:name w:val="纯文本2"/>
    <w:basedOn w:val="873"/>
    <w:uiPriority w:val="0"/>
    <w:qFormat/>
    <w:rPr>
      <w:rFonts w:ascii="宋体" w:hAnsi="Courier New"/>
    </w:rPr>
  </w:style>
  <w:style w:type="paragraph" w:styleId="961" w:customStyle="1">
    <w:name w:val="Plain Text1"/>
    <w:basedOn w:val="873"/>
    <w:uiPriority w:val="0"/>
    <w:qFormat/>
    <w:rPr>
      <w:rFonts w:hint="eastAsia" w:ascii="宋体" w:hAnsi="Courier New"/>
      <w:sz w:val="28"/>
    </w:rPr>
  </w:style>
  <w:style w:type="table" w:styleId="962" w:customStyle="1">
    <w:name w:val="网格型1"/>
    <w:basedOn w:val="880"/>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63" w:customStyle="1">
    <w:name w:val="*正文"/>
    <w:basedOn w:val="873"/>
    <w:uiPriority w:val="0"/>
    <w:qFormat/>
    <w:pPr>
      <w:ind w:firstLine="200"/>
      <w:spacing w:line="360" w:lineRule="auto"/>
      <w:widowControl/>
    </w:pPr>
    <w:rPr>
      <w:rFonts w:ascii="仿宋_GB2312" w:hAnsi="Calibri" w:eastAsia="仿宋_GB2312"/>
      <w:sz w:val="24"/>
      <w:szCs w:val="28"/>
    </w:rPr>
  </w:style>
  <w:style w:type="paragraph" w:styleId="964" w:customStyle="1">
    <w:name w:val="p25"/>
    <w:basedOn w:val="873"/>
    <w:uiPriority w:val="0"/>
    <w:qFormat/>
    <w:rPr>
      <w:rFonts w:ascii="黑体" w:hAnsi="黑体" w:eastAsia="宋体" w:cs="黑体"/>
      <w:sz w:val="21"/>
      <w:szCs w:val="26"/>
    </w:rPr>
  </w:style>
  <w:style w:type="paragraph" w:styleId="965" w:customStyle="1">
    <w:name w:val="纯文本11"/>
    <w:basedOn w:val="873"/>
    <w:uiPriority w:val="0"/>
    <w:qFormat/>
    <w:rPr>
      <w:rFonts w:ascii="宋体" w:hAnsi="Courier New"/>
      <w:sz w:val="28"/>
    </w:rPr>
  </w:style>
  <w:style w:type="paragraph" w:styleId="966" w:customStyle="1">
    <w:name w:val="修订11"/>
    <w:hidden/>
    <w:uiPriority w:val="99"/>
    <w:semiHidden/>
    <w:qFormat/>
    <w:rPr>
      <w:rFonts w:ascii="Times New Roman" w:hAnsi="Times New Roman" w:eastAsia="楷体_GB2312" w:cs="Times New Roman"/>
      <w:sz w:val="26"/>
      <w:lang w:val="en-US" w:eastAsia="zh-CN" w:bidi="ar-SA"/>
    </w:rPr>
  </w:style>
  <w:style w:type="paragraph" w:styleId="96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68" w:customStyle="1">
    <w:name w:val="格式３"/>
    <w:basedOn w:val="873"/>
    <w:uiPriority w:val="0"/>
    <w:qFormat/>
    <w:pPr>
      <w:ind w:left="600" w:hanging="600"/>
      <w:spacing w:line="420" w:lineRule="exact"/>
    </w:pPr>
    <w:rPr>
      <w:rFonts w:ascii="宋体" w:hAnsi="宋体" w:eastAsia="宋体"/>
      <w:color w:val="000000"/>
      <w:sz w:val="24"/>
    </w:rPr>
  </w:style>
  <w:style w:type="character" w:styleId="969" w:customStyle="1">
    <w:name w:val="font71"/>
    <w:basedOn w:val="879"/>
    <w:uiPriority w:val="0"/>
    <w:qFormat/>
    <w:rPr>
      <w:rFonts w:hint="eastAsia" w:ascii="宋体" w:hAnsi="宋体" w:eastAsia="宋体" w:cs="宋体"/>
      <w:color w:val="000000"/>
      <w:sz w:val="21"/>
      <w:szCs w:val="21"/>
      <w:u w:val="none"/>
    </w:rPr>
  </w:style>
  <w:style w:type="character" w:styleId="970" w:customStyle="1">
    <w:name w:val="font61"/>
    <w:basedOn w:val="879"/>
    <w:uiPriority w:val="0"/>
    <w:qFormat/>
    <w:rPr>
      <w:rFonts w:hint="eastAsia" w:ascii="宋体" w:hAnsi="宋体" w:eastAsia="宋体" w:cs="宋体"/>
      <w:color w:val="ff0000"/>
      <w:sz w:val="21"/>
      <w:szCs w:val="21"/>
      <w:u w:val="none"/>
    </w:rPr>
  </w:style>
  <w:style w:type="character" w:styleId="971" w:customStyle="1">
    <w:name w:val="font41"/>
    <w:basedOn w:val="879"/>
    <w:uiPriority w:val="0"/>
    <w:qFormat/>
    <w:rPr>
      <w:rFonts w:hint="eastAsia" w:ascii="宋体" w:hAnsi="宋体" w:eastAsia="宋体" w:cs="宋体"/>
      <w:color w:val="000000"/>
      <w:sz w:val="21"/>
      <w:szCs w:val="21"/>
      <w:u w:val="none"/>
    </w:rPr>
  </w:style>
  <w:style w:type="character" w:styleId="972" w:customStyle="1">
    <w:name w:val="font101"/>
    <w:basedOn w:val="879"/>
    <w:uiPriority w:val="0"/>
    <w:qFormat/>
    <w:rPr>
      <w:rFonts w:ascii="微软雅黑" w:hAnsi="微软雅黑" w:eastAsia="微软雅黑" w:cs="微软雅黑"/>
      <w:color w:val="000000"/>
      <w:sz w:val="22"/>
      <w:szCs w:val="22"/>
      <w:u w:val="none"/>
    </w:rPr>
  </w:style>
  <w:style w:type="character" w:styleId="973" w:customStyle="1">
    <w:name w:val="font81"/>
    <w:basedOn w:val="879"/>
    <w:uiPriority w:val="0"/>
    <w:qFormat/>
    <w:rPr>
      <w:rFonts w:hint="eastAsia" w:ascii="宋体" w:hAnsi="宋体" w:eastAsia="宋体" w:cs="宋体"/>
      <w:color w:val="ff0000"/>
      <w:sz w:val="21"/>
      <w:szCs w:val="21"/>
      <w:u w:val="none"/>
    </w:rPr>
  </w:style>
  <w:style w:type="character" w:styleId="974" w:customStyle="1">
    <w:name w:val="font111"/>
    <w:basedOn w:val="879"/>
    <w:uiPriority w:val="0"/>
    <w:qFormat/>
    <w:rPr>
      <w:rFonts w:hint="eastAsia" w:ascii="微软雅黑" w:hAnsi="微软雅黑" w:eastAsia="微软雅黑" w:cs="微软雅黑"/>
      <w:color w:val="ff0000"/>
      <w:sz w:val="22"/>
      <w:szCs w:val="22"/>
      <w:u w:val="none"/>
    </w:rPr>
  </w:style>
  <w:style w:type="character" w:styleId="975" w:customStyle="1">
    <w:name w:val="font122"/>
    <w:basedOn w:val="879"/>
    <w:uiPriority w:val="0"/>
    <w:qFormat/>
    <w:rPr>
      <w:rFonts w:hint="eastAsia" w:ascii="宋体" w:hAnsi="宋体" w:eastAsia="宋体" w:cs="宋体"/>
      <w:color w:val="000000"/>
      <w:sz w:val="18"/>
      <w:szCs w:val="18"/>
      <w:u w:val="none"/>
    </w:rPr>
  </w:style>
  <w:style w:type="paragraph" w:styleId="976" w:customStyle="1">
    <w:name w:val="[基本段落]"/>
    <w:basedOn w:val="873"/>
    <w:uiPriority w:val="99"/>
    <w:qFormat/>
    <w:pPr>
      <w:spacing w:line="288" w:lineRule="auto"/>
    </w:pPr>
    <w:rPr>
      <w:rFonts w:ascii="Adobe 宋体 Std L" w:eastAsia="Adobe 宋体 Std L" w:cs="Adobe 宋体 Std L" w:hAnsiTheme="minorHAnsi"/>
      <w:color w:val="000000"/>
      <w:sz w:val="24"/>
      <w:szCs w:val="24"/>
      <w:lang w:val="zh-CN"/>
    </w:rPr>
  </w:style>
  <w:style w:type="paragraph" w:styleId="977" w:customStyle="1">
    <w:name w:val="列表段落1"/>
    <w:basedOn w:val="873"/>
    <w:uiPriority w:val="34"/>
    <w:qFormat/>
    <w:pPr>
      <w:ind w:firstLine="420"/>
    </w:pPr>
  </w:style>
  <w:style w:type="paragraph" w:styleId="978" w:customStyle="1">
    <w:name w:val="列出段落1"/>
    <w:basedOn w:val="873"/>
    <w:uiPriority w:val="34"/>
    <w:qFormat/>
    <w:pPr>
      <w:ind w:firstLine="420"/>
    </w:pPr>
    <w:rPr>
      <w:rFonts w:ascii="Calibri" w:hAnsi="Calibri" w:eastAsia="宋体"/>
      <w:sz w:val="21"/>
      <w:szCs w:val="22"/>
    </w:rPr>
  </w:style>
  <w:style w:type="paragraph" w:styleId="979" w:customStyle="1">
    <w:name w:val="_正文段落"/>
    <w:basedOn w:val="873"/>
    <w:uiPriority w:val="0"/>
    <w:qFormat/>
    <w:pPr>
      <w:ind w:firstLine="480"/>
      <w:spacing w:line="360" w:lineRule="auto"/>
    </w:pPr>
    <w:rPr>
      <w:rFonts w:ascii="宋体" w:hAnsi="宋体" w:eastAsia="宋体"/>
      <w:sz w:val="24"/>
      <w:szCs w:val="24"/>
    </w:rPr>
  </w:style>
  <w:style w:type="paragraph" w:styleId="980" w:customStyle="1">
    <w:name w:val="纯文本3"/>
    <w:basedOn w:val="873"/>
    <w:uiPriority w:val="0"/>
    <w:qFormat/>
    <w:rPr>
      <w:rFonts w:ascii="宋体" w:hAnsi="Courier New"/>
    </w:rPr>
  </w:style>
  <w:style w:type="character" w:styleId="981" w:customStyle="1">
    <w:name w:val="NormalCharacter"/>
    <w:uiPriority w:val="0"/>
    <w:qFormat/>
  </w:style>
  <w:style w:type="table" w:styleId="982" w:customStyle="1">
    <w:name w:val="Table Normal"/>
    <w:uiPriority w:val="0"/>
    <w:semiHidden/>
    <w:unhideWhenUsed/>
    <w:qFormat/>
    <w:tblPr>
      <w:tblCellMar>
        <w:left w:w="0" w:type="dxa"/>
        <w:top w:w="0" w:type="dxa"/>
        <w:right w:w="0" w:type="dxa"/>
        <w:bottom w:w="0" w:type="dxa"/>
      </w:tblCellMar>
    </w:tblPr>
  </w:style>
  <w:style w:type="paragraph" w:styleId="983" w:customStyle="1">
    <w:name w:val="Table Text"/>
    <w:basedOn w:val="873"/>
    <w:uiPriority w:val="0"/>
    <w:semiHidden/>
    <w:qFormat/>
    <w:rPr>
      <w:rFonts w:ascii="宋体" w:hAnsi="宋体" w:eastAsia="宋体" w:cs="宋体"/>
      <w:sz w:val="24"/>
      <w:szCs w:val="24"/>
      <w:lang w:eastAsia="en-US"/>
    </w:rPr>
  </w:style>
  <w:style w:type="character" w:styleId="984" w:customStyle="1">
    <w:name w:val="font01"/>
    <w:basedOn w:val="879"/>
    <w:uiPriority w:val="0"/>
    <w:qFormat/>
    <w:rPr>
      <w:rFonts w:hint="eastAsia" w:ascii="宋体" w:hAnsi="宋体" w:eastAsia="宋体" w:cs="宋体"/>
      <w:color w:val="000000"/>
      <w:sz w:val="22"/>
      <w:szCs w:val="22"/>
      <w:u w:val="none"/>
    </w:rPr>
  </w:style>
  <w:style w:type="character" w:styleId="985" w:customStyle="1">
    <w:name w:val="font91"/>
    <w:basedOn w:val="879"/>
    <w:uiPriority w:val="0"/>
    <w:qFormat/>
    <w:rPr>
      <w:rFonts w:hint="eastAsia" w:ascii="宋体" w:hAnsi="宋体" w:eastAsia="宋体" w:cs="宋体"/>
      <w:color w:val="000000"/>
      <w:sz w:val="22"/>
      <w:szCs w:val="22"/>
      <w:u w:val="none"/>
      <w:vertAlign w:val="superscript"/>
    </w:rPr>
  </w:style>
  <w:style w:type="character" w:styleId="986" w:customStyle="1">
    <w:name w:val="font11"/>
    <w:basedOn w:val="879"/>
    <w:uiPriority w:val="0"/>
    <w:qFormat/>
    <w:rPr>
      <w:rFonts w:hint="eastAsia" w:ascii="宋体" w:hAnsi="宋体" w:eastAsia="宋体" w:cs="宋体"/>
      <w:color w:val="000000"/>
      <w:sz w:val="20"/>
      <w:szCs w:val="20"/>
      <w:u w:val="none"/>
    </w:rPr>
  </w:style>
  <w:style w:type="paragraph" w:styleId="987" w:customStyle="1">
    <w:name w:val="纯文本4"/>
    <w:basedOn w:val="873"/>
    <w:uiPriority w:val="0"/>
    <w:qFormat/>
    <w:rPr>
      <w:rFonts w:ascii="宋体" w:hAnsi="Courier New"/>
    </w:rPr>
  </w:style>
  <w:style w:type="paragraph" w:styleId="988" w:customStyle="1">
    <w:name w:val="标题 11"/>
    <w:next w:val="989"/>
    <w:uiPriority w:val="0"/>
    <w:qFormat/>
    <w:pPr>
      <w:jc w:val="both"/>
      <w:keepLines/>
      <w:keepNext/>
      <w:spacing w:before="340" w:after="330" w:line="578" w:lineRule="auto"/>
      <w:widowControl w:val="off"/>
      <w:outlineLvl w:val="0"/>
    </w:pPr>
    <w:rPr>
      <w:rFonts w:ascii="Arial Unicode MS" w:hAnsi="Arial Unicode MS" w:eastAsia="Arial Unicode MS" w:cs="Arial Unicode MS"/>
      <w:color w:val="000000"/>
      <w:sz w:val="44"/>
      <w:szCs w:val="44"/>
      <w:lang w:val="en-US" w:eastAsia="zh-CN" w:bidi="ar-SA"/>
    </w:rPr>
  </w:style>
  <w:style w:type="paragraph" w:styleId="989" w:customStyle="1">
    <w:name w:val="正文 A"/>
    <w:uiPriority w:val="0"/>
    <w:qFormat/>
    <w:pPr>
      <w:jc w:val="both"/>
      <w:widowControl w:val="off"/>
      <w:framePr w:wrap="around" w:vAnchor="margin" w:hAnchor="text" w:yAlign="top"/>
    </w:pPr>
    <w:rPr>
      <w:rFonts w:ascii="Calibri" w:hAnsi="Calibri" w:eastAsia="Calibri" w:cs="Calibri"/>
      <w:color w:val="000000"/>
      <w:sz w:val="21"/>
      <w:szCs w:val="21"/>
      <w:lang w:val="en-US" w:eastAsia="zh-CN" w:bidi="ar-SA"/>
    </w:rPr>
  </w:style>
  <w:style w:type="paragraph" w:styleId="990" w:customStyle="1">
    <w:name w:val="纯文本41"/>
    <w:basedOn w:val="873"/>
    <w:uiPriority w:val="0"/>
    <w:qFormat/>
    <w:rPr>
      <w:rFonts w:ascii="宋体" w:hAnsi="Courier New"/>
      <w:sz w:val="28"/>
    </w:rPr>
  </w:style>
  <w:style w:type="numbering" w:styleId="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www.szweikang.xn--com-6y3ba7cbgc4097e4kax19cqoerohxod7w1bva254sga6035lg4sc/"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1" textRotate="1"/>
    <customShpInfo spid="_x0000_s2052" textRotate="1"/>
    <customShpInfo spid="_x0000_s2049"/>
    <customShpInfo spid="_x0000_s2053" textRotate="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顾苏芯</cp:lastModifiedBy>
  <cp:revision>474</cp:revision>
  <dcterms:created xsi:type="dcterms:W3CDTF">2022-06-20T04:01:00Z</dcterms:created>
  <dcterms:modified xsi:type="dcterms:W3CDTF">2026-09-29T02:35:11Z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70A5FCA2F24E450CB53662234DA4CD2C_13</vt:lpwstr>
  </property>
  <property fmtid="{D5CDD505-2E9C-101B-9397-08002B2CF9AE}" pid="4" name="KSOTemplateDocerSaveRecord">
    <vt:lpwstr>eyJoZGlkIjoiZTljYzUxZDIxMjIyOTQ5MTdiMjczMzEzYTBjYzFjZGEiLCJ1c2VySWQiOiIyOTQ1NzYwNTUifQ==</vt:lpwstr>
  </property>
</Properties>
</file>