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12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项目名称：南通市海门区卫生健康委员会采购救护车项目</w:t>
      </w:r>
      <w:r/>
    </w:p>
    <w:p>
      <w:pPr>
        <w:ind w:left="0" w:right="0" w:firstLine="12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Arial" w:hAnsi="Arial" w:eastAsia="Arial" w:cs="Arial"/>
          <w:b/>
          <w:color w:val="000000"/>
          <w:sz w:val="32"/>
        </w:rPr>
        <w:t xml:space="preserve">JSZC-320614-JSHY-G2026-0130</w:t>
      </w:r>
      <w:r/>
    </w:p>
    <w:p>
      <w:pPr>
        <w:ind w:left="2800" w:right="0" w:hanging="28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rFonts w:ascii="SimSun" w:hAnsi="SimSun" w:eastAsia="SimSun" w:cs="SimSun"/>
          <w:b/>
          <w:color w:val="000000"/>
          <w:sz w:val="28"/>
        </w:rPr>
        <w:t xml:space="preserve"> </w:t>
      </w:r>
      <w:r/>
    </w:p>
    <w:p>
      <w:pPr>
        <w:ind w:left="2295" w:right="0" w:hanging="1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江苏弘业国际技术工程有限公司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二〇二六年八月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4"/>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14"/>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14"/>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4"/>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4"/>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14"/>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shd w:val="nil"/>
      </w:pPr>
      <w:r>
        <w:rPr>
          <w:rFonts w:ascii="SimHei" w:hAnsi="SimHei" w:eastAsia="SimHei" w:cs="SimHei"/>
          <w:color w:val="000000"/>
          <w:sz w:val="44"/>
          <w:highlight w:val="none"/>
        </w:rPr>
        <w:br w:type="page" w:clear="all"/>
      </w:r>
      <w:r>
        <w:rPr>
          <w:rFonts w:ascii="SimHei" w:hAnsi="SimHei" w:eastAsia="SimHei" w:cs="SimHei"/>
          <w:color w:val="000000"/>
          <w:sz w:val="44"/>
          <w:highlight w:val="none"/>
        </w:rPr>
      </w:r>
    </w:p>
    <w:p>
      <w:pPr>
        <w:ind w:left="0" w:right="0" w:firstLine="0"/>
        <w:jc w:val="center"/>
        <w:spacing w:before="0" w:after="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第一章投标邀请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受〔南通市海门区卫生健康委员会〕的委托，江苏弘业国际技术工程有限公司就南通市海门区卫生健康委员会采购救护车项目(JSZC-320614-JSHY-G2026-0130)项目进行公开招标采购，欢迎符合条件的供应商投标。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南通市海门区卫生健康委员会采购救护车项目</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w:t>
      </w:r>
      <w:r>
        <w:rPr>
          <w:rFonts w:ascii="SimSun" w:hAnsi="SimSun" w:eastAsia="SimSun" w:cs="SimSun"/>
          <w:color w:val="000000"/>
          <w:sz w:val="24"/>
          <w:u w:val="single"/>
        </w:rPr>
        <w:t xml:space="preserve">9</w:t>
      </w:r>
      <w:r>
        <w:rPr>
          <w:rFonts w:ascii="SimSun" w:hAnsi="SimSun" w:eastAsia="SimSun" w:cs="SimSun"/>
          <w:color w:val="000000"/>
          <w:sz w:val="24"/>
          <w:u w:val="single"/>
        </w:rPr>
        <w:t xml:space="preserve">月</w:t>
      </w:r>
      <w:r>
        <w:rPr>
          <w:rFonts w:ascii="SimSun" w:hAnsi="SimSun" w:eastAsia="SimSun" w:cs="SimSun"/>
          <w:color w:val="000000"/>
          <w:sz w:val="24"/>
          <w:u w:val="single"/>
        </w:rPr>
        <w:t xml:space="preserve">2</w:t>
      </w:r>
      <w:r>
        <w:rPr>
          <w:rFonts w:ascii="SimSun" w:hAnsi="SimSun" w:eastAsia="SimSun" w:cs="SimSun"/>
          <w:color w:val="000000"/>
          <w:sz w:val="24"/>
          <w:u w:val="single"/>
        </w:rPr>
        <w:t xml:space="preserve">3</w:t>
      </w:r>
      <w:r>
        <w:rPr>
          <w:rFonts w:ascii="SimSun" w:hAnsi="SimSun" w:eastAsia="SimSun" w:cs="SimSun"/>
          <w:color w:val="000000"/>
          <w:sz w:val="24"/>
          <w:u w:val="single"/>
        </w:rPr>
        <w:t xml:space="preserve">日14点30分（</w:t>
      </w:r>
      <w:r>
        <w:rPr>
          <w:rFonts w:ascii="SimSun" w:hAnsi="SimSun" w:eastAsia="SimSun" w:cs="SimSun"/>
          <w:color w:val="000000"/>
          <w:sz w:val="24"/>
        </w:rPr>
        <w:t xml:space="preserve">北京时间）前递交投标文件。</w:t>
      </w:r>
      <w:r/>
    </w:p>
    <w:p>
      <w:pPr>
        <w:ind w:left="0" w:right="0" w:firstLine="496"/>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一、项目基本情况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1.项目编号：JSZC-320614-JSHY-G2026-0130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2.项目名称：南通市海门区卫生健康委员会采购救护车项目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3.预算金额：447万元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4.最高限价：不设定最高限价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86"/>
        <w:gridCol w:w="2257"/>
        <w:gridCol w:w="1741"/>
        <w:gridCol w:w="1437"/>
        <w:gridCol w:w="2147"/>
      </w:tblGrid>
      <w:tr>
        <w:trPr>
          <w:trHeight w:val="8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7"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数量（套/批）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预算总价（万元）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7"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技术需求</w:t>
            </w:r>
            <w:r/>
          </w:p>
        </w:tc>
      </w:tr>
      <w:tr>
        <w:trPr>
          <w:trHeight w:val="7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7" w:type="dxa"/>
            <w:vAlign w:val="center"/>
            <w:textDirection w:val="lrTb"/>
            <w:noWrap w:val="false"/>
          </w:tcPr>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救护车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7" w:type="dxa"/>
            <w:vAlign w:val="center"/>
            <w:textDirection w:val="lrTb"/>
            <w:noWrap w:val="false"/>
          </w:tcPr>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7" w:type="dxa"/>
            <w:vAlign w:val="center"/>
            <w:textDirection w:val="lrTb"/>
            <w:noWrap w:val="false"/>
          </w:tcPr>
          <w:p>
            <w:pPr>
              <w:ind w:left="0" w:right="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详见本招标文件第四章</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6.合同履行期限：详见项目需求</w:t>
      </w:r>
      <w:r/>
    </w:p>
    <w:p>
      <w:pPr>
        <w:ind w:left="0" w:right="0" w:firstLine="496"/>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二、申请人的资格要求</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（一</w:t>
      </w:r>
      <w:r>
        <w:rPr>
          <w:rFonts w:ascii="SimSun" w:hAnsi="SimSun" w:eastAsia="SimSun" w:cs="SimSun"/>
          <w:color w:val="000000"/>
          <w:sz w:val="28"/>
        </w:rPr>
        <w:t xml:space="preserve">）通用资格要求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3.落实政府采购政策需满足的资格要求：本项目按照以下第 2 种方式落实政府采购促进中小企业发展的要求：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1、本项目为非专门面向中小企业采购的项目。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2、本项目通过以下第（2）种方式预留部分采购份额采购中小企业服务：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（1）本项目要求供应商以联合体形式参加，中小企业合同金额应当达到的比例为%，其中小微企业所占比例应为%（两项比例均应符合《政府采购促进中小企业发展管理办法》第八条规定）。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（2）本项目要求供应商进行合同分包，中小企业合同金额应当达到的比例为80%，其中小微企业所占比例应为70%（两项比例均应符合《政府采购促进中小企业发展管理办法》第八条规定）。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3、本项目为非预留份额的采购项目，对小微企业报价给予扣除，用扣除后的价格参加评审。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监狱企业、残疾人福利性单位视同小微企业；符合中小企业划分标准的个体工商户，在政府采购活动中视同中小企业，享受政府采购支持中小企业发展政策。（供应商按要求填写并提供《中小微企业声明函》或《残疾人福利性单位声明函》，或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4.联合体投标：否</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（二）本项目的特定资格要求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投标产品管理类别提供相应证明材料：①如是第一类医疗器械，提供医疗器械产品备案凭证、医疗器械生产备案凭证；②如是第二类医疗器械，提供医疗器械产品注册证、医疗器械生产许可证、投标单位的Ⅱ类医疗器械经营备案凭证；③如是第三类医疗器械，提供医疗器械产品注册证、医疗器械生产许可证、投标单位的医疗器械经营许可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2.供应商具有救护车生产或经营资质（提供相关证明材料）；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3.随车医疗设备符合国家或行业生产要求（提供相关证明材料）。  </w:t>
      </w:r>
      <w:r/>
    </w:p>
    <w:p>
      <w:pPr>
        <w:ind w:left="0" w:right="0" w:firstLine="496"/>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496"/>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1.2026年</w:t>
      </w:r>
      <w:r>
        <w:rPr>
          <w:rFonts w:ascii="SimSun" w:hAnsi="SimSun" w:eastAsia="SimSun" w:cs="SimSun"/>
          <w:color w:val="000000"/>
          <w:sz w:val="24"/>
        </w:rPr>
        <w:t xml:space="preserve">9</w:t>
      </w:r>
      <w:r>
        <w:rPr>
          <w:rFonts w:ascii="SimSun" w:hAnsi="SimSun" w:eastAsia="SimSun" w:cs="SimSun"/>
          <w:color w:val="000000"/>
          <w:sz w:val="24"/>
        </w:rPr>
        <w:t xml:space="preserve">月</w:t>
      </w:r>
      <w:r>
        <w:rPr>
          <w:rFonts w:ascii="SimSun" w:hAnsi="SimSun" w:eastAsia="SimSun" w:cs="SimSun"/>
          <w:color w:val="000000"/>
          <w:sz w:val="24"/>
        </w:rPr>
        <w:t xml:space="preserve">2</w:t>
      </w:r>
      <w:r>
        <w:rPr>
          <w:rFonts w:ascii="SimSun" w:hAnsi="SimSun" w:eastAsia="SimSun" w:cs="SimSun"/>
          <w:color w:val="000000"/>
          <w:sz w:val="24"/>
        </w:rPr>
        <w:t xml:space="preserve">3</w:t>
      </w:r>
      <w:r>
        <w:rPr>
          <w:rFonts w:ascii="SimSun" w:hAnsi="SimSun" w:eastAsia="SimSun" w:cs="SimSun"/>
          <w:color w:val="000000"/>
          <w:sz w:val="24"/>
        </w:rPr>
        <w:t xml:space="preserve">日14点30分（北京时间）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w:t>
      </w:r>
      <w:r/>
    </w:p>
    <w:p>
      <w:pPr>
        <w:ind w:left="0" w:right="0" w:firstLine="496"/>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96"/>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六、其他补充事宜</w:t>
      </w:r>
      <w:r/>
    </w:p>
    <w:p>
      <w:pPr>
        <w:ind w:left="0" w:right="0" w:firstLine="372"/>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无</w:t>
      </w:r>
      <w:r/>
    </w:p>
    <w:p>
      <w:pPr>
        <w:ind w:left="0" w:right="0" w:firstLine="496"/>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名称：南通市海门区卫生健康委员会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地址：江苏省南通市海门区张謇大道 889号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联系方式：陈先生0513-81200159</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名称：江苏弘业国际技术工程有限公司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地址：南通市海门区光华大厦A座707室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联系方式：茅女士15951603205/王女士 18352665859</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邮箱：</w:t>
      </w:r>
      <w:hyperlink r:id="rId12" w:tooltip="mailto:hollyzbzy@artall.com" w:history="1">
        <w:r>
          <w:rPr>
            <w:rStyle w:val="786"/>
            <w:rFonts w:ascii="SimSun" w:hAnsi="SimSun" w:eastAsia="SimSun" w:cs="SimSun"/>
            <w:color w:val="0000ee"/>
            <w:sz w:val="24"/>
            <w:u w:val="single"/>
          </w:rPr>
          <w:t xml:space="preserve">hollyzbzy@artall.com</w:t>
        </w:r>
      </w:hyperlink>
      <w:r/>
      <w:r/>
    </w:p>
    <w:p>
      <w:pPr>
        <w:ind w:left="0" w:right="0" w:firstLine="496"/>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Times New Roman" w:hAnsi="Times New Roman" w:eastAsia="Times New Roman" w:cs="Times New Roman"/>
          <w:color w:val="000000"/>
          <w:sz w:val="21"/>
        </w:rPr>
        <w:t xml:space="preserve">http://www.ccgp-jiangsu.gov.cn/jiangsu/zlxz/ee/ee3a4bc5a3454aa2b0d9312230633ce9.html</w:t>
      </w:r>
      <w:r>
        <w:rPr>
          <w:rFonts w:ascii="SimSun" w:hAnsi="SimSun" w:eastAsia="SimSun" w:cs="SimSun"/>
          <w:color w:val="000000"/>
          <w:sz w:val="21"/>
        </w:rPr>
        <w:t xml:space="preserve">。</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www.jszwfw.gov.cn</w:t>
      </w:r>
      <w:r>
        <w:rPr>
          <w:rFonts w:ascii="SimSun" w:hAnsi="SimSun" w:eastAsia="SimSun" w:cs="SimSun"/>
          <w:color w:val="000000"/>
          <w:sz w:val="21"/>
        </w:rPr>
        <w:t xml:space="preserve">）</w:t>
      </w:r>
      <w:r>
        <w:rPr>
          <w:rFonts w:ascii="SimSun" w:hAnsi="SimSun" w:eastAsia="SimSun" w:cs="SimSun"/>
          <w:color w:val="000000"/>
          <w:sz w:val="24"/>
        </w:rPr>
        <w:t xml:space="preserve">，“一企来办”专栏下“政府采购”模块详细了解关于CA办理、标书制作、开标投标指引等事宜。</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如果“江苏政府采购网”</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www.ccgp-jiangsu.gov.cn</w:t>
      </w:r>
      <w:r>
        <w:rPr>
          <w:rFonts w:ascii="SimSun" w:hAnsi="SimSun" w:eastAsia="SimSun" w:cs="SimSun"/>
          <w:color w:val="000000"/>
          <w:sz w:val="21"/>
        </w:rPr>
        <w:t xml:space="preserve">）</w:t>
      </w:r>
      <w:r>
        <w:rPr>
          <w:rFonts w:ascii="SimSun" w:hAnsi="SimSun" w:eastAsia="SimSun" w:cs="SimSun"/>
          <w:color w:val="000000"/>
          <w:sz w:val="24"/>
        </w:rPr>
        <w:t xml:space="preserve">信息与“江苏政务服务网”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www.jszwfw.gov.cn</w:t>
      </w:r>
      <w:r>
        <w:rPr>
          <w:rFonts w:ascii="SimSun" w:hAnsi="SimSun" w:eastAsia="SimSun" w:cs="SimSun"/>
          <w:color w:val="000000"/>
          <w:sz w:val="21"/>
        </w:rPr>
        <w:t xml:space="preserve">）</w:t>
      </w:r>
      <w:r>
        <w:rPr>
          <w:rFonts w:ascii="SimSun" w:hAnsi="SimSun" w:eastAsia="SimSun" w:cs="SimSun"/>
          <w:color w:val="000000"/>
          <w:sz w:val="24"/>
        </w:rPr>
        <w:t xml:space="preserve">，“一企来办”专栏下“政府采购”模块中信息不一致，以“江苏政府采购网”信息为准。</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2.有关本次招标的事项若存在变动或修改，敬请及时关注江苏弘业国际技术工程有限公司在“江苏政府采购网”发布的更正公告。</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20"/>
        <w:jc w:val="both"/>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ind w:left="0" w:right="0" w:firstLine="496"/>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w:t>
      </w:r>
      <w:r>
        <w:rPr>
          <w:rFonts w:ascii="SimHei" w:hAnsi="SimHei" w:eastAsia="SimHei" w:cs="SimHei"/>
          <w:color w:val="000000"/>
          <w:sz w:val="28"/>
        </w:rPr>
        <w:t xml:space="preserve">、招标方式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SimHei" w:hAnsi="SimHei" w:eastAsia="SimHei" w:cs="SimHei"/>
          <w:color w:val="000000"/>
          <w:sz w:val="28"/>
          <w:u w:val="none"/>
        </w:rPr>
        <w:t xml:space="preserve">、合格的投标人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满足本文件实质性要求的规定。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3、适用法律</w:t>
      </w:r>
      <w:r>
        <w:rPr>
          <w:rFonts w:ascii="Arial" w:hAnsi="Arial" w:eastAsia="Arial" w:cs="Arial"/>
          <w:color w:val="000000"/>
          <w:sz w:val="28"/>
        </w:rPr>
        <w:t xml:space="preserve">和标准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3.2 在本项目政府采购活动过程中，如果所执行的标准有更新的，按照最新标准执行。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4</w:t>
      </w:r>
      <w:r>
        <w:rPr>
          <w:rFonts w:ascii="SimHei" w:hAnsi="SimHei" w:eastAsia="SimHei" w:cs="SimHei"/>
          <w:color w:val="000000"/>
          <w:sz w:val="28"/>
          <w:u w:val="none"/>
        </w:rPr>
        <w:t xml:space="preserve">、投标费用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供应商应自行承担所有与参加招标有关的费用，无论招标过程中的做法和结果如何，采购人及代理机构在任何情况下均无义务和责任承担这些费用。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4.2中标服务费由中标供应商支付，按照《江苏省招标代理服务收费的指导意见》（苏招协[2022]002号）60%收取。</w:t>
      </w:r>
      <w:r/>
    </w:p>
    <w:p>
      <w:pPr>
        <w:ind w:left="0" w:right="0" w:firstLine="45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320"/>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二、招标文件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6</w:t>
      </w:r>
      <w:r>
        <w:rPr>
          <w:rFonts w:ascii="SimHei" w:hAnsi="SimHei" w:eastAsia="SimHei" w:cs="SimHei"/>
          <w:color w:val="000000"/>
          <w:sz w:val="28"/>
          <w:u w:val="none"/>
        </w:rPr>
        <w:t xml:space="preserve">、招标文件构成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请仔细检查招标文件是否齐全，如有缺漏请立即与招标代理联系解决。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在投标截止时间前，招标代理可以对招标文件进行修改。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招标代理有权按照法定的要求推迟投标截止日期和开标日期。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招标文件的修改将在江苏政府采购网公布，补充文件将作为招标文件的组成部分，并对投标人具有约束力。</w:t>
      </w:r>
      <w:r/>
    </w:p>
    <w:p>
      <w:pPr>
        <w:ind w:left="0" w:right="0" w:firstLine="480"/>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、投标文件的语言及度量衡单位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投标人提交的投标文件以及投标人与招标代理就有关投标的所有来往通知、函件和文件均应使用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投标人编写的投标文件应包括资格证明文件、实质性要求响应及偏离表、投标分项报价表、技术要求响应及偏离表、商务要求响应及偏离表、其他证明文件、投标函、开标一览表等部分。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如标书制作工具中格式和内容与“江苏政府采购网”发布的招标文件不一致，请以“江苏政府采购网”发布的招标文件为准。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w:t>
      </w:r>
      <w:r>
        <w:rPr>
          <w:rFonts w:ascii="Arial" w:hAnsi="Arial" w:eastAsia="Arial" w:cs="Arial"/>
          <w:color w:val="000000"/>
          <w:sz w:val="28"/>
        </w:rPr>
        <w:t xml:space="preserve">0</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10.1 投标人应按照招标文件要求提交证明文件，证明其及投标标的符合招标文件规定。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、投标分项报价表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投标人按照招标文件规定格式填报投标分项报价表。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、服务承诺、培训计划、人员安排及其他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投标人需根据招标文件要求提供培训计划。</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投标人需根据招标文件要求提供所投标的的主要组成部分、功能设计、实现思路及关键技术等。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w:t>
      </w:r>
      <w:r>
        <w:rPr>
          <w:rFonts w:ascii="Arial" w:hAnsi="Arial" w:eastAsia="Arial" w:cs="Arial"/>
          <w:color w:val="000000"/>
          <w:sz w:val="28"/>
        </w:rPr>
        <w:t xml:space="preserve">4</w:t>
      </w:r>
      <w:r>
        <w:rPr>
          <w:rFonts w:ascii="SimHei" w:hAnsi="SimHei" w:eastAsia="SimHei" w:cs="SimHei"/>
          <w:color w:val="000000"/>
          <w:sz w:val="28"/>
        </w:rPr>
        <w:t xml:space="preserve">、投标函和开标一览表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、投标有效期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15.1投标有效期为招标代理规定的开标之日后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、投标有效期的延长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受投标有效期约束的所有权利与义务均延长至新的有效期。</w:t>
      </w:r>
      <w:r/>
    </w:p>
    <w:p>
      <w:pPr>
        <w:ind w:left="0" w:right="0" w:firstLine="0"/>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w:t>
      </w:r>
      <w:r>
        <w:rPr>
          <w:rFonts w:ascii="Arial" w:hAnsi="Arial" w:eastAsia="Arial" w:cs="Arial"/>
          <w:color w:val="000000"/>
          <w:sz w:val="28"/>
        </w:rPr>
        <w:t xml:space="preserve">7</w:t>
      </w:r>
      <w:r>
        <w:rPr>
          <w:rFonts w:ascii="SimHei" w:hAnsi="SimHei" w:eastAsia="SimHei" w:cs="SimHei"/>
          <w:color w:val="000000"/>
          <w:sz w:val="28"/>
        </w:rPr>
        <w:t xml:space="preserve">、电子投标文件的递交</w:t>
      </w:r>
      <w:r/>
    </w:p>
    <w:p>
      <w:pPr>
        <w:ind w:left="525"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17.1投标人应当按照《操作手册》规定，在投标截止时间前制作并上传电</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子投标文件。</w:t>
      </w:r>
      <w:r/>
    </w:p>
    <w:p>
      <w:pPr>
        <w:ind w:left="0" w:right="0" w:firstLine="420"/>
        <w:jc w:val="both"/>
        <w:spacing w:before="280" w:after="29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、投标截止日期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投标人上传电子投标文件的时间不得迟于招标公告中规定的投标截止时间。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招标代理可以按照规定，通过修改招标文件酌情延长投标截止日期，在此情况下，投标人的所有权利和义务以及投标人受制的截止日期均应以延长后新的截止日期为准。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、投标文件的拒收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招标代理拒绝接收在其规定的投标截止时间后上传的任何投标文件。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Arial" w:hAnsi="Arial" w:eastAsia="Arial" w:cs="Arial"/>
          <w:color w:val="000000"/>
          <w:sz w:val="28"/>
        </w:rPr>
        <w:t xml:space="preserve">0</w:t>
      </w:r>
      <w:r>
        <w:rPr>
          <w:rFonts w:ascii="SimHei" w:hAnsi="SimHei" w:eastAsia="SimHei" w:cs="SimHei"/>
          <w:color w:val="000000"/>
          <w:sz w:val="28"/>
        </w:rPr>
        <w:t xml:space="preserve">、投标文件的撤回和修改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 电子投标文件的撤回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 投标人撤回电子投标文件，则认为其不再参与本项目投标活动。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ind w:left="0" w:right="0" w:firstLine="480"/>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Arial" w:hAnsi="Arial" w:eastAsia="Arial" w:cs="Arial"/>
          <w:color w:val="000000"/>
          <w:sz w:val="28"/>
        </w:rPr>
        <w:t xml:space="preserve">1</w:t>
      </w:r>
      <w:r>
        <w:rPr>
          <w:rFonts w:ascii="SimHei" w:hAnsi="SimHei" w:eastAsia="SimHei" w:cs="SimHei"/>
          <w:color w:val="000000"/>
          <w:sz w:val="28"/>
        </w:rPr>
        <w:t xml:space="preserve">、开标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招标代理将在招标公告中规定的时间和地点组织公开开标。投标人应当按照《操作手册》规定，参加开标活动和在苏采云系统规定的时间内对投标文件进行解密。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21.2开标仪式由招标代理组织。苏采云系统将自动对项目进行开标，并宣布各投标人名称和投标价格。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Arial" w:hAnsi="Arial" w:eastAsia="Arial" w:cs="Arial"/>
          <w:color w:val="000000"/>
          <w:sz w:val="28"/>
        </w:rPr>
        <w:t xml:space="preserve">2</w:t>
      </w:r>
      <w:r>
        <w:rPr>
          <w:rFonts w:ascii="SimHei" w:hAnsi="SimHei" w:eastAsia="SimHei" w:cs="SimHei"/>
          <w:color w:val="000000"/>
          <w:sz w:val="28"/>
        </w:rPr>
        <w:t xml:space="preserve">、评标委员会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22.1</w:t>
      </w:r>
      <w:r>
        <w:rPr>
          <w:rFonts w:ascii="SimSun" w:hAnsi="SimSun" w:eastAsia="SimSun" w:cs="SimSun"/>
          <w:b/>
          <w:color w:val="000000"/>
          <w:sz w:val="24"/>
        </w:rPr>
        <w:t xml:space="preserve"> </w:t>
      </w:r>
      <w:r>
        <w:rPr>
          <w:rFonts w:ascii="SimSun" w:hAnsi="SimSun" w:eastAsia="SimSun" w:cs="SimSun"/>
          <w:color w:val="000000"/>
          <w:sz w:val="24"/>
        </w:rPr>
        <w:t xml:space="preserve">开标后，招标代理将立即组织评标委员会（以下简称评委会）进行评标。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22.2 评委会由采购人代表和有关技术、经济等方面的专家组成，且人员构成符合政府采购有关规定。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22.3评委会独立工作，负责评审所有投标文件并确定中标侯选人。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23、评标过程的保密与公正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23.1凡是与审查、澄清、评价和比较投标的有关资料以及授标建议等，采购人、评委、招标代理均不得向投标人或与评标无关的其他人员透露。</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招标代理和评标委员会不向未中标的投标人解释未中标原因，也不公布评标过程中的相关细节。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Arial" w:hAnsi="Arial" w:eastAsia="Arial" w:cs="Arial"/>
          <w:color w:val="000000"/>
          <w:sz w:val="28"/>
        </w:rPr>
        <w:t xml:space="preserve">4</w:t>
      </w:r>
      <w:r>
        <w:rPr>
          <w:rFonts w:ascii="SimHei" w:hAnsi="SimHei" w:eastAsia="SimHei" w:cs="SimHei"/>
          <w:color w:val="000000"/>
          <w:sz w:val="28"/>
        </w:rPr>
        <w:t xml:space="preserve">、投标文件的澄清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、对投标文件的初审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w:t>
      </w:r>
      <w:r>
        <w:rPr>
          <w:rFonts w:ascii="SimSun" w:hAnsi="SimSun" w:eastAsia="SimSun" w:cs="SimSun"/>
          <w:color w:val="000000"/>
          <w:sz w:val="24"/>
        </w:rPr>
        <w:t xml:space="preserve">查询投标人的信用记录，以确定投标人是否具备投标资格,查询结果留存并归档。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未通过资格审查或符合性审查的投标人，招标代理将在苏采云系统中告知未通过资格审查或符合性审查的原因，评审结束后，招标代理将不再告知未通过资格审查或符合性审查的原因。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招标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25.4评委会将对确定为实质性响应的投标进行进一步审核，看其是否有计算上或累加上的算术错误，修正错误的原则如下：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25.7投标人在开、评标全过程中应保持通讯畅通，及时登录苏采云系统查阅、答复相关信息，并安排专人与招标代理及评标委员会联系。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 异常低价投标审查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25.8.1 评标过程中出现下列情形之一的，评标委员会应当启动异常低价投标审查程序：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（1）投标报价低于采购项目预算50%的，即投标报价＜采购项目预算×50%；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（2）投标报价低于采购项目最高限价45%的，即投标报价＜采购项目最高限价×45%；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（3）评标委员会认定的供应商报价过低、有可能影响产品质量或者不能诚信履约的其他情形。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、无效投标条款和废标条款</w:t>
      </w:r>
      <w:r/>
    </w:p>
    <w:p>
      <w:pPr>
        <w:ind w:left="478"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6.1无效投标条款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478"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投标人同一采购包提交两个（含两个）以上不同的投标报价的。</w:t>
      </w:r>
      <w:r/>
    </w:p>
    <w:p>
      <w:pPr>
        <w:ind w:left="478"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26.1.7不符合招标文件中规定的实质性要求的</w:t>
      </w:r>
      <w:r>
        <w:rPr>
          <w:rFonts w:ascii="SimSun" w:hAnsi="SimSun" w:eastAsia="SimSun" w:cs="SimSun"/>
          <w:b/>
          <w:color w:val="000000"/>
          <w:sz w:val="24"/>
        </w:rPr>
        <w:t xml:space="preserve">（本招标文件中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或加*号条款为实质性要求）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 评标委员会按照本招标文件规定对投标人进行异常低价投标审查后，认为投标人不能证明其报价合理性的。</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 投标文件未按照招标文件要求加盖CA电子公章的。</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26.1.13 投标人所投标产品不符合招标文件中所列国家强制性标准的。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26.1.14其他法律、法规及本招标文件规定的属无效投标的情形。</w:t>
      </w:r>
      <w:r/>
    </w:p>
    <w:p>
      <w:pPr>
        <w:ind w:left="478"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 </w:t>
      </w:r>
      <w:r/>
    </w:p>
    <w:p>
      <w:pPr>
        <w:ind w:left="478"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478"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8"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w:t>
      </w:r>
      <w:r/>
    </w:p>
    <w:p>
      <w:pPr>
        <w:ind w:left="478"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因苏采云系统故障原因造成开标不成功的。  </w:t>
      </w:r>
      <w:r/>
    </w:p>
    <w:p>
      <w:pPr>
        <w:ind w:left="478"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480"/>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2</w:t>
      </w:r>
      <w:r>
        <w:rPr>
          <w:rFonts w:ascii="SimHei" w:hAnsi="SimHei" w:eastAsia="SimHei" w:cs="SimHei"/>
          <w:color w:val="000000"/>
          <w:sz w:val="30"/>
        </w:rPr>
        <w:t xml:space="preserve">7、确定中标单位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招标代理将在“江苏政府采购网”发布中标公告，公告期限为1个工作日。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若有充分证据证明，中标供应商出现下列情况之一的，一经查实，将被取消中标资格：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27.4.2向采购人、招标代理行贿或者提供其他不正当利益的。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28、质疑处理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招标代理或采购人提出质疑。上述应知其权益受到损害之日，是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br/>
        <w:t xml:space="preserve">28.2.2对采购过程提出质疑的，为各采购程序环节结束之日；</w:t>
        <w:br/>
        <w:t xml:space="preserve">28.2.3对中标或者成交结果提出质疑的，为中标或者成交结果公告期限届满之日。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供应商应当在法定质疑期内一次性提出针对同一采购程序环节的质疑。供应商如在法定期限内对同一采购程序环节提出多次质疑的，招标代理、采购人将只对供应商第一次质疑作出答复。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供应商（含潜在供应商）对与本项目有关的所有询问、质疑均请向采购人提出，由采购人负责答复。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采购人及招标代理只接收以纸质原件形式送达的质疑,建议供应商尽量通过邮寄方式提交质疑（采购人和招标代理不接受无快递运单号的快递）。</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招标代理质疑接收部门为质疑处理科（快递运单上的收件人填写“质疑处理科”即可），联系地址：南京市中华路50号弘业大厦10楼1008室，联系电话：18352665859。</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招标代理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29、中标通知书</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招标代理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30、签订合同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招标文件、中标供应商的投标文件及招标过程中有关澄清、承诺文件均应作为合同附件。</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31、货物（包含与货物相关的服务）的追加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3</w:t>
      </w:r>
      <w:r>
        <w:rPr>
          <w:rFonts w:ascii="SimHei" w:hAnsi="SimHei" w:eastAsia="SimHei" w:cs="SimHei"/>
          <w:color w:val="000000"/>
          <w:sz w:val="30"/>
        </w:rPr>
        <w:t xml:space="preserve">2、政府采购履约资金扶持政策</w:t>
      </w:r>
      <w:r/>
    </w:p>
    <w:p>
      <w:pPr>
        <w:ind w:left="0" w:right="0" w:firstLine="55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33、其他补充说明</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1.无论投标结果如何，投标人自行承担与投标相应有关的全部费用。</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为交钥匙工程。一切费用均包含在报价内，请各投标单位认真考虑其各种风险。本次报价包含产品价、税金、运费、安装调试、检验、保险、验收、购置税等全部费用。另外含车船税、上牌及首年保险费用（保险为交强险、车损险、涉水险、购置税、自燃险、不低于300万的三责险、20万司机险、10万乘客险/位、不计免赔）。</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3.中标供应商在采购单位现场安装、调试期间，一切费用由中标供应商自理。</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4.中标供应商应全程协助采购单位办理车辆上牌等手续直至车辆落户完成。</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5.中标供应商应提供24小时报修服务电话，保证24小时电话开通。</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6.招标代理服务费应包含（分摊）在投标报价中，但不单独列出。中标供应商人在领取中标通知书前分别向招标代理人支付，招标代理服务费根据苏招协[2022]002号文件规定，按照[2022]002号文收费标准的60%计取。</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4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264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264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264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264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264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264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264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264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264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264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264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264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64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财政部 政府采购货物买卖合同（试行）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范本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rPr>
          <w:rFonts w:ascii="SimSun" w:hAnsi="SimSun" w:eastAsia="SimSun" w:cs="SimSun"/>
          <w:color w:val="000000"/>
          <w:sz w:val="28"/>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合同编号：</w:t>
      </w:r>
      <w:r>
        <w:rPr>
          <w:rFonts w:ascii="SimSun" w:hAnsi="SimSun" w:eastAsia="SimSun" w:cs="SimSun"/>
          <w:color w:val="000000"/>
          <w:sz w:val="28"/>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rPr>
          <w:rFonts w:ascii="SimSun" w:hAnsi="SimSun" w:eastAsia="SimSun" w:cs="SimSun"/>
          <w:color w:val="000000"/>
          <w:sz w:val="28"/>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w:t>
      </w:r>
      <w:r>
        <w:rPr>
          <w:rFonts w:ascii="SimSun" w:hAnsi="SimSun" w:eastAsia="SimSun" w:cs="SimSun"/>
          <w:color w:val="000000"/>
          <w:sz w:val="28"/>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签订时间：</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使 用 说 明</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2.本合同标准文本为政府采购货物买卖合同编制提供参考，可以结合采购项目具体情况，对文本作必要的调整修订后使用。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3.本合同标准文本各条款中，如涉及填写多家供应商、制造商，多种采购标的、分包主要内容等信息的，可根据采购项目具体情况添加信息项。</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32"/>
        <w:ind w:left="0" w:right="0" w:firstLine="0"/>
        <w:jc w:val="center"/>
        <w:spacing w:before="260" w:after="26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第一节 政府采购合同协议书</w:t>
      </w:r>
      <w:r/>
    </w:p>
    <w:p>
      <w:pPr>
        <w:pStyle w:val="732"/>
        <w:ind w:left="0" w:right="0" w:firstLine="0"/>
        <w:jc w:val="center"/>
        <w:spacing w:before="260" w:after="26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甲方（全称）：</w:t>
      </w:r>
      <w:r>
        <w:rPr>
          <w:rFonts w:ascii="SimSun" w:hAnsi="SimSun" w:eastAsia="SimSun" w:cs="SimSun"/>
          <w:color w:val="000000"/>
          <w:sz w:val="21"/>
          <w:u w:val="single"/>
        </w:rPr>
        <w:t xml:space="preserve">                        </w:t>
      </w:r>
      <w:r>
        <w:rPr>
          <w:rFonts w:ascii="SimSun" w:hAnsi="SimSun" w:eastAsia="SimSun" w:cs="SimSun"/>
          <w:color w:val="000000"/>
          <w:sz w:val="21"/>
        </w:rPr>
        <w:t xml:space="preserve">（采购人、受采购人委托签订合同的单位或采购文件约定的合同甲方）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乙方1（全称）：</w:t>
      </w:r>
      <w:r>
        <w:rPr>
          <w:rFonts w:ascii="SimSun" w:hAnsi="SimSun" w:eastAsia="SimSun" w:cs="SimSun"/>
          <w:color w:val="000000"/>
          <w:sz w:val="21"/>
          <w:u w:val="single"/>
        </w:rPr>
        <w:t xml:space="preserve">                       </w:t>
      </w:r>
      <w:r>
        <w:rPr>
          <w:rFonts w:ascii="SimSun" w:hAnsi="SimSun" w:eastAsia="SimSun" w:cs="SimSun"/>
          <w:color w:val="000000"/>
          <w:sz w:val="21"/>
        </w:rPr>
        <w:t xml:space="preserve">（供应商）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乙方2（全称）：</w:t>
      </w:r>
      <w:r>
        <w:rPr>
          <w:rFonts w:ascii="SimSun" w:hAnsi="SimSun" w:eastAsia="SimSun" w:cs="SimSun"/>
          <w:color w:val="000000"/>
          <w:sz w:val="21"/>
          <w:u w:val="single"/>
        </w:rPr>
        <w:t xml:space="preserve">                        </w:t>
      </w:r>
      <w:r>
        <w:rPr>
          <w:rFonts w:ascii="SimSun" w:hAnsi="SimSun" w:eastAsia="SimSun" w:cs="SimSun"/>
          <w:color w:val="000000"/>
          <w:sz w:val="21"/>
        </w:rPr>
        <w:t xml:space="preserve">（联合体成员供应商或其他合同主体）（如有）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乙方3（全称）</w:t>
      </w:r>
      <w:r>
        <w:rPr>
          <w:rFonts w:ascii="SimSun" w:hAnsi="SimSun" w:eastAsia="SimSun" w:cs="SimSun"/>
          <w:color w:val="000000"/>
          <w:sz w:val="21"/>
          <w:u w:val="single"/>
        </w:rPr>
        <w:t xml:space="preserve">                          </w:t>
      </w:r>
      <w:r>
        <w:rPr>
          <w:rFonts w:ascii="SimSun" w:hAnsi="SimSun" w:eastAsia="SimSun" w:cs="SimSun"/>
          <w:color w:val="000000"/>
          <w:sz w:val="21"/>
        </w:rPr>
        <w:t xml:space="preserve">（联合体成员供应商或其他合同主体）（如有）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15"/>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项目信息</w:t>
      </w:r>
      <w:r/>
    </w:p>
    <w:p>
      <w:pPr>
        <w:numPr>
          <w:ilvl w:val="0"/>
          <w:numId w:val="16"/>
        </w:numPr>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采购项目名称：</w:t>
      </w:r>
      <w:r>
        <w:rPr>
          <w:rFonts w:ascii="SimSun" w:hAnsi="SimSun" w:eastAsia="SimSun" w:cs="SimSun"/>
          <w:color w:val="000000"/>
          <w:sz w:val="21"/>
          <w:u w:val="single"/>
        </w:rPr>
        <w:t xml:space="preserve">                                          </w:t>
      </w:r>
      <w:r/>
    </w:p>
    <w:p>
      <w:pPr>
        <w:ind w:left="0" w:right="0" w:firstLine="0"/>
        <w:jc w:val="both"/>
        <w:spacing w:before="210" w:after="0" w:line="400" w:lineRule="atLeast"/>
        <w:tabs>
          <w:tab w:val="left" w:pos="99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采购项目编号：</w:t>
      </w:r>
      <w:r>
        <w:rPr>
          <w:rFonts w:ascii="SimSun" w:hAnsi="SimSun" w:eastAsia="SimSun" w:cs="SimSun"/>
          <w:color w:val="000000"/>
          <w:sz w:val="21"/>
          <w:u w:val="single"/>
        </w:rPr>
        <w:t xml:space="preserve">                                          </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（2）采购计划编号：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（3）项目内容：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采购标的及数量（台/套/个/架/组等）：</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品牌：</w:t>
      </w:r>
      <w:r>
        <w:rPr>
          <w:rFonts w:ascii="SimSun" w:hAnsi="SimSun" w:eastAsia="SimSun" w:cs="SimSun"/>
          <w:color w:val="000000"/>
          <w:sz w:val="21"/>
          <w:u w:val="single"/>
        </w:rPr>
        <w:t xml:space="preserve">               </w:t>
      </w:r>
      <w:r>
        <w:rPr>
          <w:rFonts w:ascii="SimSun" w:hAnsi="SimSun" w:eastAsia="SimSun" w:cs="SimSun"/>
          <w:color w:val="000000"/>
          <w:sz w:val="21"/>
        </w:rPr>
        <w:t xml:space="preserve">     规格型号：</w:t>
      </w:r>
      <w:r>
        <w:rPr>
          <w:rFonts w:ascii="SimSun" w:hAnsi="SimSun" w:eastAsia="SimSun" w:cs="SimSun"/>
          <w:color w:val="000000"/>
          <w:sz w:val="21"/>
          <w:u w:val="single"/>
        </w:rPr>
        <w:t xml:space="preserve">               </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采购标的的技术要求、商务要求具体见附件。</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①</w:t>
      </w:r>
      <w:r>
        <w:rPr>
          <w:rFonts w:ascii="SimSun" w:hAnsi="SimSun" w:eastAsia="SimSun" w:cs="SimSun"/>
          <w:color w:val="000000"/>
          <w:sz w:val="21"/>
        </w:rPr>
        <w:t xml:space="preserve">涉及信息类产品，请填写该产品关键部件的品牌、型号：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标的名称：</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关键部件：</w:t>
      </w:r>
      <w:r>
        <w:rPr>
          <w:rFonts w:ascii="SimSun" w:hAnsi="SimSun" w:eastAsia="SimSun" w:cs="SimSun"/>
          <w:color w:val="000000"/>
          <w:sz w:val="21"/>
          <w:u w:val="single"/>
        </w:rPr>
        <w:t xml:space="preserve">          </w:t>
      </w:r>
      <w:r>
        <w:rPr>
          <w:rFonts w:ascii="SimSun" w:hAnsi="SimSun" w:eastAsia="SimSun" w:cs="SimSun"/>
          <w:color w:val="000000"/>
          <w:sz w:val="21"/>
        </w:rPr>
        <w:t xml:space="preserve"> 品牌：</w:t>
      </w:r>
      <w:r>
        <w:rPr>
          <w:rFonts w:ascii="SimSun" w:hAnsi="SimSun" w:eastAsia="SimSun" w:cs="SimSun"/>
          <w:color w:val="000000"/>
          <w:sz w:val="21"/>
          <w:u w:val="single"/>
        </w:rPr>
        <w:t xml:space="preserve">        </w:t>
      </w:r>
      <w:r>
        <w:rPr>
          <w:rFonts w:ascii="SimSun" w:hAnsi="SimSun" w:eastAsia="SimSun" w:cs="SimSun"/>
          <w:color w:val="000000"/>
          <w:sz w:val="21"/>
        </w:rPr>
        <w:t xml:space="preserve"> 型号：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关键部件：</w:t>
      </w:r>
      <w:r>
        <w:rPr>
          <w:rFonts w:ascii="SimSun" w:hAnsi="SimSun" w:eastAsia="SimSun" w:cs="SimSun"/>
          <w:color w:val="000000"/>
          <w:sz w:val="21"/>
          <w:u w:val="single"/>
        </w:rPr>
        <w:t xml:space="preserve">          </w:t>
      </w:r>
      <w:r>
        <w:rPr>
          <w:rFonts w:ascii="SimSun" w:hAnsi="SimSun" w:eastAsia="SimSun" w:cs="SimSun"/>
          <w:color w:val="000000"/>
          <w:sz w:val="21"/>
        </w:rPr>
        <w:t xml:space="preserve"> 品牌：</w:t>
      </w:r>
      <w:r>
        <w:rPr>
          <w:rFonts w:ascii="SimSun" w:hAnsi="SimSun" w:eastAsia="SimSun" w:cs="SimSun"/>
          <w:color w:val="000000"/>
          <w:sz w:val="21"/>
          <w:u w:val="single"/>
        </w:rPr>
        <w:t xml:space="preserve">        </w:t>
      </w:r>
      <w:r>
        <w:rPr>
          <w:rFonts w:ascii="SimSun" w:hAnsi="SimSun" w:eastAsia="SimSun" w:cs="SimSun"/>
          <w:color w:val="000000"/>
          <w:sz w:val="21"/>
        </w:rPr>
        <w:t xml:space="preserve"> 型号：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关键部件：</w:t>
      </w:r>
      <w:r>
        <w:rPr>
          <w:rFonts w:ascii="SimSun" w:hAnsi="SimSun" w:eastAsia="SimSun" w:cs="SimSun"/>
          <w:color w:val="000000"/>
          <w:sz w:val="21"/>
          <w:u w:val="single"/>
        </w:rPr>
        <w:t xml:space="preserve">          </w:t>
      </w:r>
      <w:r>
        <w:rPr>
          <w:rFonts w:ascii="SimSun" w:hAnsi="SimSun" w:eastAsia="SimSun" w:cs="SimSun"/>
          <w:color w:val="000000"/>
          <w:sz w:val="21"/>
        </w:rPr>
        <w:t xml:space="preserve"> 品牌：</w:t>
      </w:r>
      <w:r>
        <w:rPr>
          <w:rFonts w:ascii="SimSun" w:hAnsi="SimSun" w:eastAsia="SimSun" w:cs="SimSun"/>
          <w:color w:val="000000"/>
          <w:sz w:val="21"/>
          <w:u w:val="single"/>
        </w:rPr>
        <w:t xml:space="preserve">        </w:t>
      </w:r>
      <w:r>
        <w:rPr>
          <w:rFonts w:ascii="SimSun" w:hAnsi="SimSun" w:eastAsia="SimSun" w:cs="SimSun"/>
          <w:color w:val="000000"/>
          <w:sz w:val="21"/>
        </w:rPr>
        <w:t xml:space="preserve"> 型号：</w:t>
      </w:r>
      <w:r>
        <w:rPr>
          <w:rFonts w:ascii="SimSun" w:hAnsi="SimSun" w:eastAsia="SimSun" w:cs="SimSun"/>
          <w:color w:val="000000"/>
          <w:sz w:val="21"/>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1"/>
        </w:rPr>
        <w:t xml:space="preserve">②</w:t>
      </w:r>
      <w:r>
        <w:rPr>
          <w:rFonts w:ascii="SimSun" w:hAnsi="SimSun" w:eastAsia="SimSun" w:cs="SimSun"/>
          <w:color w:val="000000"/>
          <w:sz w:val="21"/>
        </w:rPr>
        <w:t xml:space="preserve">涉及车辆采购，请填写是否属于新能源汽车：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¨是，《政府采购品目分类目录》底级品目名称：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数量：</w:t>
      </w:r>
      <w:r>
        <w:rPr>
          <w:rFonts w:ascii="SimSun" w:hAnsi="SimSun" w:eastAsia="SimSun" w:cs="SimSun"/>
          <w:color w:val="000000"/>
          <w:sz w:val="21"/>
          <w:u w:val="single"/>
        </w:rPr>
        <w:t xml:space="preserve">    </w:t>
      </w:r>
      <w:r>
        <w:rPr>
          <w:rFonts w:ascii="SimSun" w:hAnsi="SimSun" w:eastAsia="SimSun" w:cs="SimSun"/>
          <w:color w:val="000000"/>
          <w:sz w:val="21"/>
        </w:rPr>
        <w:t xml:space="preserve"> 金额：</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（4）政府采购组织形式：¨政府集中采购¨部门集中采购¨分散采购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（5）政府采购方式：¨公开招标 ¨邀请招标 ¨竞争性谈判 ¨竞争性磋商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rPr>
          <w:rFonts w:ascii="SimSun" w:hAnsi="SimSun" w:eastAsia="SimSun" w:cs="SimSun"/>
          <w:color w:val="000000"/>
          <w:sz w:val="21"/>
        </w:rPr>
        <w:t xml:space="preserve">¨询价 ¨单一来源 ¨框架协议 ¨其他：</w:t>
      </w:r>
      <w:r>
        <w:rPr>
          <w:rFonts w:ascii="SimSun" w:hAnsi="SimSun" w:eastAsia="SimSun" w:cs="SimSun"/>
          <w:color w:val="000000"/>
          <w:sz w:val="21"/>
          <w:u w:val="single"/>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（注：在框架协议采购的第二阶段，可选择使用该合同文本）</w:t>
      </w:r>
      <w:r/>
    </w:p>
    <w:p>
      <w:pPr>
        <w:ind w:left="0" w:right="0" w:firstLine="22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rPr>
          <w:rFonts w:ascii="SimSun" w:hAnsi="SimSun" w:eastAsia="SimSun" w:cs="SimSun"/>
          <w:color w:val="000000"/>
          <w:sz w:val="22"/>
        </w:rPr>
        <w:t xml:space="preserve">6</w:t>
      </w:r>
      <w:r>
        <w:rPr>
          <w:rFonts w:ascii="STKaiti" w:hAnsi="STKaiti" w:eastAsia="STKaiti" w:cs="STKaiti"/>
          <w:color w:val="000000"/>
          <w:sz w:val="22"/>
        </w:rPr>
        <w:t xml:space="preserve">）</w:t>
      </w:r>
      <w:r>
        <w:rPr>
          <w:rFonts w:ascii="SimSun" w:hAnsi="SimSun" w:eastAsia="SimSun" w:cs="SimSun"/>
          <w:color w:val="000000"/>
          <w:sz w:val="21"/>
        </w:rPr>
        <w:t xml:space="preserve">中标（成交）采购标的制造商是否为中小企业：¨是¨否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本合同是否为专门面向中小企业的采购合同（中小企业预留合同）：¨是¨否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若本项目不专门面向中小企业采购，是否给予小微企业评审优惠：¨是¨否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中标（成交）采购标的制造商是否为残疾人福利性单位：¨是¨否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中标（成交）采购标的制造商是否为监狱企业：¨是¨否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（7）合同是否分包：¨是¨否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分包主要内容：</w:t>
      </w:r>
      <w:r>
        <w:rPr>
          <w:rFonts w:ascii="SimSun" w:hAnsi="SimSun" w:eastAsia="SimSun" w:cs="SimSun"/>
          <w:color w:val="000000"/>
          <w:sz w:val="21"/>
          <w:u w:val="single"/>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分包供应商/制造商名称（如供应商和制造商不同，请分别填写）：</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分包供应商/制造商类型（如果供应商和制造商不同，只填写制造商类型）：</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¨大型企业¨中型企业¨小微型企业</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¨残疾人福利性单位 ¨监狱企业 ¨其他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（8）中标（成交）供应商是否为外商投资企业：¨是¨否</w:t>
      </w:r>
      <w:r/>
    </w:p>
    <w:p>
      <w:pPr>
        <w:ind w:left="0" w:right="0" w:firstLine="420"/>
        <w:spacing w:before="240" w:after="240"/>
        <w:tabs>
          <w:tab w:val="left" w:pos="13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外商投资企业类型：¨全部由外国投资者投资¨部分由外国投资者投资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（9）是否涉及进口产品：</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¨是，《政府采购品目分类目录》底级品目名称：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金额：</w:t>
      </w:r>
      <w:r>
        <w:rPr>
          <w:rFonts w:ascii="SimSun" w:hAnsi="SimSun" w:eastAsia="SimSun" w:cs="SimSun"/>
          <w:color w:val="000000"/>
          <w:sz w:val="21"/>
          <w:u w:val="single"/>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国别：</w:t>
      </w:r>
      <w:r>
        <w:rPr>
          <w:rFonts w:ascii="SimSun" w:hAnsi="SimSun" w:eastAsia="SimSun" w:cs="SimSun"/>
          <w:color w:val="000000"/>
          <w:sz w:val="21"/>
          <w:u w:val="single"/>
        </w:rPr>
        <w:t xml:space="preserve">        </w:t>
      </w:r>
      <w:r>
        <w:rPr>
          <w:rFonts w:ascii="SimSun" w:hAnsi="SimSun" w:eastAsia="SimSun" w:cs="SimSun"/>
          <w:color w:val="000000"/>
          <w:sz w:val="21"/>
        </w:rPr>
        <w:t xml:space="preserve"> 品牌：</w:t>
      </w:r>
      <w:r>
        <w:rPr>
          <w:rFonts w:ascii="SimSun" w:hAnsi="SimSun" w:eastAsia="SimSun" w:cs="SimSun"/>
          <w:color w:val="000000"/>
          <w:sz w:val="21"/>
          <w:u w:val="single"/>
        </w:rPr>
        <w:t xml:space="preserve">        </w:t>
      </w:r>
      <w:r>
        <w:rPr>
          <w:rFonts w:ascii="SimSun" w:hAnsi="SimSun" w:eastAsia="SimSun" w:cs="SimSun"/>
          <w:color w:val="000000"/>
          <w:sz w:val="21"/>
        </w:rPr>
        <w:t xml:space="preserve"> 规格型号：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¨否</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（10）是否涉及节能产品：</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¨是，《节能产品政府采购品目清单》的底级品目名称：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¨强制采购¨优先采购</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¨否</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是否涉及环境标志产品：</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¨是，《环境标志产品政府采购品目清单》的底级品目名称：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¨强制采购¨优先采购</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1"/>
        </w:rPr>
        <w:t xml:space="preserve">          </w:t>
      </w:r>
      <w:r>
        <w:rPr>
          <w:rFonts w:ascii="SimSun" w:hAnsi="SimSun" w:eastAsia="SimSun" w:cs="SimSun"/>
          <w:color w:val="000000"/>
          <w:sz w:val="21"/>
        </w:rPr>
        <w:t xml:space="preserve">是否涉及绿色产品：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¨是，绿色产品政府采购相关政策确定的底级品目名称：</w:t>
      </w:r>
      <w:r>
        <w:rPr>
          <w:rFonts w:ascii="SimSun" w:hAnsi="SimSun" w:eastAsia="SimSun" w:cs="SimSun"/>
          <w:color w:val="000000"/>
          <w:sz w:val="22"/>
          <w:u w:val="single"/>
        </w:rPr>
        <w:t xml:space="preserve">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¨强制采购¨优先采购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¨是¨否¨不涉及</w:t>
      </w:r>
      <w:r/>
    </w:p>
    <w:p>
      <w:pPr>
        <w:numPr>
          <w:ilvl w:val="0"/>
          <w:numId w:val="15"/>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合同金额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（1）合同金额小写：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大写：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分包金额（如有）小写：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大写：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（注：固定单价合同应填写单价和最高限价）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（2）合同定价方式（采用组合定价方式的，可以勾选多项）：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¨固定总价 ¨固定单价 ¨固定费率 ¨成本补偿 ¨绩效激励 ¨其他</w:t>
      </w:r>
      <w:r>
        <w:rPr>
          <w:rFonts w:ascii="SimSun" w:hAnsi="SimSun" w:eastAsia="SimSun" w:cs="SimSun"/>
          <w:color w:val="000000"/>
          <w:sz w:val="21"/>
          <w:u w:val="single"/>
        </w:rPr>
        <w:t xml:space="preserve">       </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（3）付款方式（按项目实际勾选填写）：</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¨全额付款：</w:t>
      </w:r>
      <w:r>
        <w:rPr>
          <w:rFonts w:ascii="SimSun" w:hAnsi="SimSun" w:eastAsia="SimSun" w:cs="SimSun"/>
          <w:color w:val="000000"/>
          <w:sz w:val="21"/>
          <w:u w:val="single"/>
        </w:rPr>
        <w:t xml:space="preserve">  （应明确一次性支付合同款项的条件）</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¨分期付款：</w:t>
      </w:r>
      <w:r>
        <w:rPr>
          <w:rFonts w:ascii="SimSun" w:hAnsi="SimSun" w:eastAsia="SimSun" w:cs="SimSun"/>
          <w:color w:val="000000"/>
          <w:sz w:val="21"/>
          <w:u w:val="single"/>
        </w:rPr>
        <w:t xml:space="preserve">  （应明确分期支付合同款项的各期比例和支付条件，各期支付条件应与分期履约验收情况挂钩） </w:t>
      </w:r>
      <w:r>
        <w:rPr>
          <w:rFonts w:ascii="SimSun" w:hAnsi="SimSun" w:eastAsia="SimSun" w:cs="SimSun"/>
          <w:color w:val="000000"/>
          <w:sz w:val="21"/>
        </w:rPr>
        <w:t xml:space="preserve">，其中涉及预付款的：</w:t>
      </w:r>
      <w:r>
        <w:rPr>
          <w:rFonts w:ascii="SimSun" w:hAnsi="SimSun" w:eastAsia="SimSun" w:cs="SimSun"/>
          <w:color w:val="000000"/>
          <w:sz w:val="21"/>
          <w:u w:val="single"/>
        </w:rPr>
        <w:t xml:space="preserve"> （应明确预付款的支付比例和支付条件） </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¨成本补偿：</w:t>
      </w:r>
      <w:r>
        <w:rPr>
          <w:rFonts w:ascii="SimSun" w:hAnsi="SimSun" w:eastAsia="SimSun" w:cs="SimSun"/>
          <w:color w:val="000000"/>
          <w:sz w:val="21"/>
          <w:u w:val="single"/>
        </w:rPr>
        <w:t xml:space="preserve">      （应明确按照成本补偿方式的支付方式和支付条件）</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¨绩效激励：</w:t>
      </w:r>
      <w:r>
        <w:rPr>
          <w:rFonts w:ascii="SimSun" w:hAnsi="SimSun" w:eastAsia="SimSun" w:cs="SimSun"/>
          <w:color w:val="000000"/>
          <w:sz w:val="21"/>
          <w:u w:val="single"/>
        </w:rPr>
        <w:t xml:space="preserve">      （应明确按照绩效激励方式的支付方式和支付条件）</w:t>
      </w:r>
      <w:r/>
    </w:p>
    <w:p>
      <w:pPr>
        <w:numPr>
          <w:ilvl w:val="0"/>
          <w:numId w:val="15"/>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合同履行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（1）起始日期：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日，完成日期：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（2）履约地点：</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（3）履约担保：是否收取履约保证金：¨是¨否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rPr>
          <w:rFonts w:ascii="SimSun" w:hAnsi="SimSun" w:eastAsia="SimSun" w:cs="SimSun"/>
          <w:color w:val="000000"/>
          <w:sz w:val="21"/>
        </w:rPr>
        <w:t xml:space="preserve">收取履约保证金形式：</w:t>
      </w:r>
      <w:r>
        <w:rPr>
          <w:rFonts w:ascii="SimSun" w:hAnsi="SimSun" w:eastAsia="SimSun" w:cs="SimSun"/>
          <w:color w:val="000000"/>
          <w:sz w:val="21"/>
          <w:u w:val="single"/>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收取履约保证金金额：</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履约担保期限：</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（4）分期履行要求：</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（5）风险处置措施和替代方案：</w:t>
      </w:r>
      <w:r>
        <w:rPr>
          <w:rFonts w:ascii="SimSun" w:hAnsi="SimSun" w:eastAsia="SimSun" w:cs="SimSun"/>
          <w:color w:val="000000"/>
          <w:sz w:val="21"/>
          <w:u w:val="single"/>
        </w:rPr>
        <w:t xml:space="preserve">                                                </w:t>
      </w:r>
      <w:r/>
    </w:p>
    <w:p>
      <w:pPr>
        <w:numPr>
          <w:ilvl w:val="0"/>
          <w:numId w:val="15"/>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合同验收</w:t>
      </w:r>
      <w:r/>
    </w:p>
    <w:p>
      <w:pPr>
        <w:numPr>
          <w:ilvl w:val="0"/>
          <w:numId w:val="17"/>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验收组织方式：¨自行组织 ¨委托第三方组织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验收主体：</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是否邀请本项目的其他供应商参加验收：¨是¨否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是否邀请专家参加验收：¨是¨否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是否邀请服务对象参加验收：¨是¨否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是否邀请第三方检测机构参加验收：¨是¨否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是否进行抽查检测：¨是，抽查比例：</w:t>
      </w:r>
      <w:r>
        <w:rPr>
          <w:rFonts w:ascii="SimSun" w:hAnsi="SimSun" w:eastAsia="SimSun" w:cs="SimSun"/>
          <w:color w:val="000000"/>
          <w:sz w:val="21"/>
          <w:u w:val="single"/>
        </w:rPr>
        <w:t xml:space="preserve">        </w:t>
      </w:r>
      <w:r>
        <w:rPr>
          <w:rFonts w:ascii="SimSun" w:hAnsi="SimSun" w:eastAsia="SimSun" w:cs="SimSun"/>
          <w:color w:val="000000"/>
          <w:sz w:val="21"/>
        </w:rPr>
        <w:t xml:space="preserve"> ¨否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是否存在破坏性检测：¨是，</w:t>
      </w:r>
      <w:r>
        <w:rPr>
          <w:rFonts w:ascii="SimSun" w:hAnsi="SimSun" w:eastAsia="SimSun" w:cs="SimSun"/>
          <w:color w:val="000000"/>
          <w:sz w:val="21"/>
          <w:u w:val="single"/>
        </w:rPr>
        <w:t xml:space="preserve">（应明确对被破坏的检测产品的处理方式）</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验收组织的其他事项：</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（2）履约验收时间：</w:t>
      </w:r>
      <w:r>
        <w:rPr>
          <w:rFonts w:ascii="SimSun" w:hAnsi="SimSun" w:eastAsia="SimSun" w:cs="SimSun"/>
          <w:color w:val="000000"/>
          <w:sz w:val="21"/>
          <w:u w:val="single"/>
        </w:rPr>
        <w:t xml:space="preserve">（计划于何时验收/供应商提出验收申请之日起   日内组织验收）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（3）履约验收方式：¨一次性验收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¨分期/分项验收：</w:t>
      </w:r>
      <w:r>
        <w:rPr>
          <w:rFonts w:ascii="SimSun" w:hAnsi="SimSun" w:eastAsia="SimSun" w:cs="SimSun"/>
          <w:color w:val="000000"/>
          <w:sz w:val="21"/>
          <w:u w:val="single"/>
        </w:rPr>
        <w:t xml:space="preserve"> （应明确分期/分项验收的工作安排）</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（4）履约验收程序：</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（5）履约验收的内容：</w:t>
      </w:r>
      <w:r>
        <w:rPr>
          <w:rFonts w:ascii="SimSun" w:hAnsi="SimSun" w:eastAsia="SimSun" w:cs="SimSun"/>
          <w:color w:val="000000"/>
          <w:sz w:val="21"/>
          <w:u w:val="single"/>
        </w:rPr>
        <w:t xml:space="preserve"> （应当包括每一项技术和商务要求的履约情况，特别是落实政府采购扶持中小企业，支持绿色发展和乡村振兴等政策情况）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（6）履约验收标准：</w:t>
      </w:r>
      <w:r>
        <w:rPr>
          <w:rFonts w:ascii="SimSun" w:hAnsi="SimSun" w:eastAsia="SimSun" w:cs="SimSun"/>
          <w:color w:val="000000"/>
          <w:sz w:val="21"/>
          <w:u w:val="single"/>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（7）是否以采购活动中供应商提供的样品作为参考：¨是¨否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（8）履约验收其他事项：</w:t>
      </w:r>
      <w:r>
        <w:rPr>
          <w:rFonts w:ascii="SimSun" w:hAnsi="SimSun" w:eastAsia="SimSun" w:cs="SimSun"/>
          <w:color w:val="000000"/>
          <w:sz w:val="21"/>
          <w:u w:val="single"/>
        </w:rPr>
        <w:t xml:space="preserve">      （产权过户登记等）</w:t>
      </w:r>
      <w:r/>
    </w:p>
    <w:p>
      <w:pPr>
        <w:numPr>
          <w:ilvl w:val="0"/>
          <w:numId w:val="15"/>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组成合同的文件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（1）政府采购合同协议书及其变更、补充协议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（2）政府采购合同专用条款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（3）政府采购合同通用条款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（4）中标（成交）通知书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（5）投标（响应）文件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（7）有关技术文件，图纸</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（8）国家法律、行政法规和规章制度规定或合同约定的作为合同组成部分的其他文件</w:t>
      </w:r>
      <w:r/>
    </w:p>
    <w:p>
      <w:pPr>
        <w:numPr>
          <w:ilvl w:val="0"/>
          <w:numId w:val="15"/>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合同生效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                             </w:t>
      </w:r>
      <w:r>
        <w:rPr>
          <w:rFonts w:ascii="SimSun" w:hAnsi="SimSun" w:eastAsia="SimSun" w:cs="SimSun"/>
          <w:color w:val="000000"/>
          <w:sz w:val="21"/>
        </w:rPr>
        <w:t xml:space="preserve">生效。</w:t>
      </w:r>
      <w:r/>
    </w:p>
    <w:p>
      <w:pPr>
        <w:numPr>
          <w:ilvl w:val="0"/>
          <w:numId w:val="15"/>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合同份数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    </w:t>
      </w:r>
      <w:r>
        <w:rPr>
          <w:rFonts w:ascii="SimSun" w:hAnsi="SimSun" w:eastAsia="SimSun" w:cs="SimSun"/>
          <w:color w:val="000000"/>
          <w:sz w:val="21"/>
        </w:rPr>
        <w:t xml:space="preserve">份，甲方执</w:t>
      </w:r>
      <w:r>
        <w:rPr>
          <w:rFonts w:ascii="SimSun" w:hAnsi="SimSun" w:eastAsia="SimSun" w:cs="SimSun"/>
          <w:color w:val="000000"/>
          <w:sz w:val="21"/>
          <w:u w:val="single"/>
        </w:rPr>
        <w:t xml:space="preserve">    </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    </w:t>
      </w:r>
      <w:r>
        <w:rPr>
          <w:rFonts w:ascii="SimSun" w:hAnsi="SimSun" w:eastAsia="SimSun" w:cs="SimSun"/>
          <w:color w:val="000000"/>
          <w:sz w:val="21"/>
        </w:rPr>
        <w:t xml:space="preserve">份，均具有同等法律效力。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合同订立时间：</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合同订立地点：</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附件：具体标的及其技术要求和商务要求、联合协议、分包意向协议等</w:t>
      </w: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36"/>
        <w:gridCol w:w="2436"/>
        <w:gridCol w:w="2436"/>
        <w:gridCol w:w="2436"/>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7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w:t>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单位名称（公章或合同章）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0" w:firstLine="10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83"/>
        </w:trPr>
        <w:tc>
          <w:tcPr>
            <w:vMerge w:val="continue"/>
            <w:textDirection w:val="lrTb"/>
            <w:noWrap w:val="false"/>
          </w:tcPr>
          <w:p>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系</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系</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58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6" w:type="dxa"/>
            <w:vAlign w:val="center"/>
            <w:textDirection w:val="lrTb"/>
            <w:noWrap w:val="false"/>
          </w:tcPr>
          <w:p>
            <w:pPr>
              <w:ind w:left="0" w:right="0" w:firstLine="0"/>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注：涉及联合体或其他合同主体的信息应按上表格式加列。</w:t>
            </w:r>
            <w:r/>
          </w:p>
        </w:tc>
      </w:tr>
    </w:tbl>
    <w:p>
      <w:pPr>
        <w:pStyle w:val="732"/>
        <w:ind w:left="0" w:right="0" w:firstLine="0"/>
        <w:jc w:val="center"/>
        <w:spacing w:before="156" w:after="260" w:line="761" w:lineRule="atLeast"/>
        <w:pBdr>
          <w:top w:val="none" w:color="000000" w:sz="4" w:space="0"/>
          <w:left w:val="none" w:color="000000" w:sz="4" w:space="0"/>
          <w:bottom w:val="none" w:color="000000" w:sz="4" w:space="0"/>
          <w:right w:val="none" w:color="000000" w:sz="4" w:space="0"/>
        </w:pBdr>
      </w:pPr>
      <w:r>
        <w:br w:type="page" w:clear="all"/>
      </w:r>
      <w:r/>
    </w:p>
    <w:p>
      <w:pPr>
        <w:pStyle w:val="732"/>
        <w:ind w:left="0" w:right="0" w:firstLine="0"/>
        <w:jc w:val="center"/>
        <w:spacing w:before="156"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第二节 政府采购合同通用条款</w:t>
      </w:r>
      <w:r/>
    </w:p>
    <w:p>
      <w:pPr>
        <w:ind w:left="0" w:right="0" w:firstLine="0"/>
        <w:spacing w:before="0" w:after="0" w:line="400" w:lineRule="atLeast"/>
        <w:tabs>
          <w:tab w:val="left" w:pos="8820" w:leader="none"/>
          <w:tab w:val="left" w:pos="9345" w:leader="none"/>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定义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1.1合同当事人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（1）采购人（以下称甲方）是指使用财政性资金，通过政府采购方式向供应商购买货物及其相关服务的国家机关、事业单位、团体组织。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（2）供应商（以下称乙方）是指参加政府采购活动并且中标（成交），向采购人提供合同约定的货物及其相关服务的法人、非法人组织或者自然人。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（3）其他合同主体是指除采购人和供应商以外，依法参与合同缔结或履行，享有权利、承担义务的合同当事人。</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1.2本合同下列术语应解释为：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（2）“合同价款”系指根据本合同规定乙方在全面履行合同义务后甲方应支付给乙方的价款。</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（3）“货物”系指乙方根据本合同规定须向甲方提供的各种形态和种类的物品，包括原材料、设备、产品（包括软件）及相关的备品备件、工具、手册及其他技术资料和材料等。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（7）其他术语解释，见【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合同标的及金额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合同标的及金额应与中标（成交）结果一致。乙方为履行本合同而发生的所有费用均应包含在合同价款中，甲方不再另行支付其他任何费用。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履行合同的时间、地点和方式</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乙方应当在约定的时间、地点，按照约定方式履行合同。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甲方的权利和义务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甲方有权要求乙方对缺陷部分予以修复，并按合同约定享有货物保修及其他合同约定的权利。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甲方应当按照合同约定及时对交付的货物进行验收，未在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约定的期限内对乙方履约提出任何异议或者向乙方作出任何说明的，视为验收通过。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甲方应当根据合同约定及时向乙方支付合同价款，不得以内部人员变更、履行内部付款流程等为由，拒绝或迟延支付。</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 国家法律法规规定及</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约定应由甲方承担的其他义务和责任。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乙方的权利和义务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签署合同后，乙方应确定项目负责人（或项目联系人），负责与本合同有关的事务。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5.3乙方有权根据合同约定向甲方收取合同价款。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5.4国家法律法规规定及</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约定应由乙方承担的其他义务和责任。</w:t>
      </w:r>
      <w:r/>
    </w:p>
    <w:p>
      <w:pPr>
        <w:numPr>
          <w:ilvl w:val="0"/>
          <w:numId w:val="19"/>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甲乙双方应当按照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约定顺序履行合同义务；如果没有先后顺序的，应当同时履行。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货物包装、运输、保险和交付要求</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本合同涉及商品包装、快递包装的，除</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另有约定外，包装应适应远距离运输、防潮、防震、防锈和防野蛮装卸等要求，确保货物安全无损地运抵</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约定的指定现场。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除</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另有约定外，乙方负责办理将货物运抵本合同规定的交货地点，并装卸、交付至甲方的一切运输事项，相关费用应包含在合同价款中。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货物保险要求按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乙方在运输到达之前应提前通知甲方，并提示货物运输装卸的注意事项，甲方配合乙方做好货物的接收工作。</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如因包装、运输问题导致货物损毁、丢失或者品质下降，甲方有权要求降价、换货、拒收部分或整批货物，由此产生的费用和损失，均由乙方承担。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质量标准和保证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质量标准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（2）采用中华人民共和国法定计量单位。</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（3）乙方所提供的货物应符合国家有关安全、环保、卫生的规定。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保证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规定或乙方书面承诺（两者以较长的为准）的质量保证期内，本保证保持有效。</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（2）在质量保证期内所发现的缺陷，甲方应尽快以书面形式通知乙方。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（3）乙方收到通知后，应在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规定的响应时间内以合理的速度免费维修或更换有缺陷的货物或部件。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权利瑕疵担保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乙方保证对其出售的货物享有合法的权利。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乙方保证在交付的货物上不存在抵押权等担保物权。</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如甲方使用上述货物构成对第三人侵权的，则由乙方承担全部责任。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知识产权保护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保密义务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合同价款支付</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合同价款支付按照国库集中支付制度及财政管理相关规定执行。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履约保证金</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乙方应当以支票、汇票、本票或者金融机构、担保机构出具的保函等非现金形式提交。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如果乙方出现</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甲方在项目通过验收后按照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规定的时间内将履约保证金退还乙方；逾期退还的，乙方可要求甲方支付违约金，违约金按照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售后服务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除项目不涉及或采购活动中明确约定无须承担外，乙方还应提供下列服务：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（1）货物的现场移动、安装、调试、启动监督及技术支持；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（2）提供货物组装和维修所需的专用工具和辅助材料；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约定的期限内对所有的货物实施运行监督、维修，但前提条件是该服务并不能免除乙方在质量保证期内所承担的义务；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（4）在制造商所在地或指定现场就货物的安装、启动、运营、维护、废弃处置等对甲方操作人员进行培训；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（5）依照法律、行政法规的规定或者按照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约定，货物在有效使用年限届满后应予回收的，乙方负有自行或者委托第三人对货物予以回收的义务；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规定由乙方提供的其他服务。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乙方提供的售后服务的费用已包含在合同价款中，甲方不再另行支付。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15.1质量瑕疵的违约责任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乙方提供的产品不符合合同约定的质量标准或存在产品质量缺陷，甲方有权要求乙方根据</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要求及时修理、重作、更换，并承担由此给甲方造成的损失。</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迟延交货的违约责任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（2）如果乙方没有按照合同规定的时间交货和提供相关服务，甲方有权从货款中扣除误期赔偿费而不影响合同项下的其他补救方法，赔偿费按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规定执行。如果涉及公共利益，且赔偿金额无法弥补公共利益损失，甲方可要求继续履行或者采取其他补救措施。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迟延支付的违约责任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甲方存在迟延支付乙方合同款项的，应当承担</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规定的逾期付款利息。</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15.4其他违约责任根据项目实际需要按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w:t>
      </w:r>
      <w:r/>
    </w:p>
    <w:p>
      <w:pPr>
        <w:numPr>
          <w:ilvl w:val="0"/>
          <w:numId w:val="20"/>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合同变更、中止与终止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16.1合同的变更</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16.2合同的中止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（1）合同履行过程中因供应商就采购文件、采购过程或结果提起投诉的，甲方认为有必要的，可以中止合同的履行。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（4）甲方不得以行政区划调整、政府换届、机构或者职能调整以及相关责任人更替为由中止合同。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16.3合同的终止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（1）合同因有效期限届满而终止；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（2）乙方未按合同约定履行，构成根本性违约的，甲方有权终止合同，并追究乙方的违约责任。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16.4 </w:t>
      </w:r>
      <w:r>
        <w:rPr>
          <w:rFonts w:ascii="SimSun" w:hAnsi="SimSun" w:eastAsia="SimSun" w:cs="SimSun"/>
          <w:color w:val="000000"/>
          <w:sz w:val="21"/>
        </w:rPr>
        <w:t xml:space="preserve">涉及国家利益、社会公共利益的情形</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合同分包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乙方不得将合同转包给其他供应商。涉及合同分包的，乙方应根据采购文件和投标（响应）文件规定进行合同分包。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不可抗力</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不可抗力是指合同双方不能预见、不能避免且不能克服的客观情况。</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任何一方对由于不可抗力造成的部分或全部不能履行合同不承担违约责任。但迟延履行后发生不可抗力的，不能免除责任。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解决争议的方法</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选择仲裁的，应在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中明确仲裁机构及仲裁地；通过诉讼方式解决的，可以在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中进一步约定选择与争议有实际联系的地点的人民法院管辖，但管辖法院的约定不得违反级别管辖和专属管辖的规定。</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如甲乙双方有争议的事项不影响合同其他部分的履行，在争议解决期间，合同其他部分应当继续履行。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政府采购政策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本合同应当按照规定执行政府采购政策。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法律适用</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本合同的订立、生效、解释、履行及与本合同有关的争议解决，均适用法律、行政法规。</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本合同条款与法律、行政法规的强制性规定不一致的，双方当事人应按照法律、行政法规的强制性规定修改本合同的相关条款。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通知</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22.2 一方当事人变更名称、住所、联系人、联系电话或电子邮箱等信息的，应当在变更后3日内及时书面通知对方，对方实际收到变更通知前的送达仍为有效送达。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22.3本合同一方给另一方的通知均应采用书面形式，传真或快递送到本合同中规定的对方的地址和办理签收手续。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22.4通知以送达之日或通知书中规定的生效之日起生效，两者中以较迟之日为准。</w:t>
      </w:r>
      <w:r/>
    </w:p>
    <w:p>
      <w:pPr>
        <w:numPr>
          <w:ilvl w:val="0"/>
          <w:numId w:val="21"/>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合同未尽事项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23.1合同未尽事项见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23.2 合同附件与合同正文具有同等的法律效力。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第三节 政府采购合同专用条款</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7"/>
        <w:gridCol w:w="1742"/>
        <w:gridCol w:w="5170"/>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货物质量缺陷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因本合同及合同有关事项发生的争议，按下列第</w:t>
            </w:r>
            <w:r>
              <w:rPr>
                <w:rFonts w:ascii="SimSun" w:hAnsi="SimSun" w:eastAsia="SimSun" w:cs="SimSun"/>
                <w:color w:val="000000"/>
                <w:sz w:val="21"/>
                <w:u w:val="single"/>
              </w:rPr>
              <w:t xml:space="preserve">   </w:t>
            </w:r>
            <w:r>
              <w:rPr>
                <w:rFonts w:ascii="SimSun" w:hAnsi="SimSun" w:eastAsia="SimSun" w:cs="SimSun"/>
                <w:color w:val="000000"/>
                <w:sz w:val="21"/>
              </w:rPr>
              <w:t xml:space="preserve">种方式解决：</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w:t>
            </w:r>
            <w:r>
              <w:rPr>
                <w:rFonts w:ascii="SimSun" w:hAnsi="SimSun" w:eastAsia="SimSun" w:cs="SimSun"/>
                <w:color w:val="000000"/>
                <w:sz w:val="21"/>
              </w:rPr>
              <w:t xml:space="preserve">仲裁委员会申请仲裁，仲裁地点为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w:t>
            </w:r>
            <w:r>
              <w:rPr>
                <w:rFonts w:ascii="SimSun" w:hAnsi="SimSun" w:eastAsia="SimSun" w:cs="SimSun"/>
                <w:color w:val="000000"/>
                <w:sz w:val="21"/>
              </w:rPr>
              <w:t xml:space="preserve">人民法院起诉。</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20"/>
          <w:sz w:val="48"/>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一、采购标的清单</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2880"/>
        <w:gridCol w:w="1048"/>
        <w:gridCol w:w="1144"/>
        <w:gridCol w:w="1503"/>
        <w:gridCol w:w="2137"/>
      </w:tblGrid>
      <w:tr>
        <w:trPr>
          <w:trHeight w:val="432"/>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计量单位</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432"/>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none" w:color="000000" w:sz="4"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救护车</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辆</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1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249"/>
        </w:trPr>
        <w:tc>
          <w:tcPr>
            <w:gridSpan w:val="5"/>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2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随车附属设备如下</w:t>
            </w:r>
            <w:r/>
          </w:p>
        </w:tc>
        <w:tc>
          <w:tcPr>
            <w:vMerge w:val="continue"/>
            <w:textDirection w:val="lrTb"/>
            <w:noWrap w:val="false"/>
          </w:tcPr>
          <w:p>
            <w:r/>
            <w:r/>
          </w:p>
        </w:tc>
      </w:tr>
      <w:tr>
        <w:trPr>
          <w:trHeight w:val="432"/>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负压系统</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32"/>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自动上车担架</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辆</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32"/>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碳纤维铲式担架</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32"/>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肩带式软担架</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32"/>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脊椎固定板</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432"/>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心电监护仪</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32"/>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十二导联心电图机</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32"/>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体外除颤器（AED）</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32"/>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AED电极片</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32"/>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转运呼吸机</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32"/>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心肺复苏机</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32"/>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电动吸引器</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32"/>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注射泵（双泵）</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32"/>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快速血糖测定仪</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32"/>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多功能急救包</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32"/>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心肺复苏包</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32"/>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颈托</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32"/>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卷式夹板</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32"/>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担架保险带</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32"/>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驾驶员分体式急救雨衣</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件</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3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医护连体式急救雨衣</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件</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524"/>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急救马甲（反光背心）</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件</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32"/>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车载终端 （单模）</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32"/>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监控摄像头</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24个</w:t>
            </w:r>
            <w:r/>
          </w:p>
        </w:tc>
        <w:tc>
          <w:tcPr>
            <w:vMerge w:val="continue"/>
            <w:textDirection w:val="lrTb"/>
            <w:noWrap w:val="false"/>
          </w:tcPr>
          <w:p>
            <w:r/>
            <w:r/>
          </w:p>
        </w:tc>
      </w:tr>
      <w:tr>
        <w:trPr>
          <w:trHeight w:val="432"/>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车载硬盘录像机</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32"/>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保险费及上牌费（含购置税）</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辆</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二、政府采购中实施本国产品标准及相关政策</w:t>
      </w:r>
      <w:r/>
    </w:p>
    <w:p>
      <w:pPr>
        <w:ind w:left="0" w:right="0" w:firstLine="555"/>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1.本项目对采购本国产品给予政策支持，具体内容见招标文件“第五章 评标方法与评标标准”。</w:t>
      </w:r>
      <w:r/>
    </w:p>
    <w:p>
      <w:pPr>
        <w:ind w:left="0" w:right="0" w:firstLine="555"/>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555"/>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三、技术要求</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7"/>
        <w:gridCol w:w="1936"/>
        <w:gridCol w:w="641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参数项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技术规格</w:t>
            </w:r>
            <w:r/>
          </w:p>
        </w:tc>
      </w:tr>
      <w:tr>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一、车辆配置参数</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工作条件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10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（1）适应环境：车辆应适应各种自然条件，适应户外长时期作业的需求；（2）车辆适应气温-35℃到60℃之间（自然环境）；（3）相对湿度小于等于80%。</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10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能在采购单位所在地公安交通管理部门办理特种车上牌照手续。</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外形尺寸（mm）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5550mm≥长≥5300mm,2100mm≥宽≥1986mm,2500≥高≥2390mm</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医疗舱尺寸（mm）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长≥2500mm,宽≥1650mm,高≥1700mm</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轴距（mm）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≥3300</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发动机功率（kw）</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安置及驱动方式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前置前驱</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★变速器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9速自动变速箱</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最大总质量（kg）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≥3300</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发动机排量（ml）</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≥1997</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★燃油种类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汽油</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油箱容积（L）</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油耗（L/100km）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发动机型式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直列、四缸、增压中冷、缸内直喷</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排放标准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国六</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制动形式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前后盘式制动</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前轮距/后轮距（mm）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≥1736/1720</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整备质量（kg）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≥2400</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额定载客（人）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离合器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单片干式</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轮胎型号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215/65R16C</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转向系统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液压助力转向系统</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悬架系统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前麦弗逊式独立悬架/钢板弹簧非独立悬架</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冷暖空调，前后双空调/双恒温，独立控制。</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在环境温度-20摄氏度时，启动加热系统在15分钟内使车内温度至少达到16摄氏度以上。</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制冷要求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在环境温度40摄氏度时，启动制冷系统在15分钟内使车内温度至少下降7摄氏度以上。</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抗菌要求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通风管路做抗菌处理，抗菌率≥99.99%，提供检测结果符合要求的第三方检测报告。</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病毒净化要求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通风管路做病毒净化处理，SARS-CoV-2病毒灭活率≥99.99%，提供检测结果符合要求的第三方检测报告。</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在高温环境中（自然温度60摄氏度）和驻车状态下发动机连续工作时，其水温在95摄氏以下。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安全气囊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主驾驶座配备安全气囊。</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电动车窗，遥控钥匙，中控锁，后视镜，≥8寸中控触摸屏，原车倒车雷达、影像，铝合金轮毂。</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中移门窗户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医疗舱右侧，侧拉门上为可移动式玻璃窗，玻璃窗移动幅度根据使用需要多档可调，每档带限位锁紧装置。</w:t>
            </w:r>
            <w:r/>
          </w:p>
        </w:tc>
      </w:tr>
      <w:tr>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二、救护车改装配置要求</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救护车车身外表颜色为白色，红色喷涂，具体按照南通市救护车车体统一标识执行。</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警示系统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由驾驶室控制。</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LED警灯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车顶前长排LED警灯，高度不超过车顶最高位置；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后尾翼警灯为扰流设计；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灯罩为蓝色，安装牢固，密封严密，保证不漏、不渗雨水。</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左右爆闪警灯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车辆左右为侧爆闪灯，颜色为蓝色，中间带外照明，带控制器。</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警灯、警报器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双电喇叭，100W警报器，麦克风，慢速双音转换调，符合GB/T 13954和GB 8108规定。</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医疗舱所有内饰均采用ABS材料吸塑一次成型。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驾驶舱内顶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驾驶室内顶采用ABS材料吸塑一次成型。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内饰材料特性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防霉、防菌、防静电、防潮、阻燃、易清洗、易消毒,高强度、高韧性、抗老化、无异味、无毒、安全性强。</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内饰环保性能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10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环保无毒，无重金属（铅、镉、铬、汞）残留，苯质量分数≤100mg/Kg。</w:t>
            </w:r>
            <w:r>
              <w:rPr>
                <w:rFonts w:ascii="SimSun" w:hAnsi="SimSun" w:eastAsia="SimSun" w:cs="SimSun"/>
                <w:b/>
                <w:color w:val="000000"/>
                <w:sz w:val="24"/>
              </w:rPr>
              <w:t xml:space="preserve">提供第三方检测机构出具的检验报告。</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10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医疗舱全部内饰不得使用木质、玻璃钢、地毯、布面和纤维类材料。</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中隔墙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中隔墙内饰采用ABS一次成型，将驾驶舱和急救舱完全隔离。</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观察窗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中隔墙上配有透明推拉式观察窗。</w:t>
            </w:r>
            <w:r/>
          </w:p>
        </w:tc>
      </w:tr>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密封隔离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中隔墙四周与车身连接处有专用密封条密封。</w:t>
            </w:r>
            <w:r/>
          </w:p>
        </w:tc>
      </w:tr>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3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医疗器械平台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器械柜及平台均采用ABS一次成型。</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器械平台上可放置监护仪、心电图机、呼吸机、除颤仪等急救设备，安装牢固，便于医护人员的观察和操作。</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平台下方有≥3组器械柜，配有锁扣柜门；1组开放式器械柜可放置吸引器等急救用品。</w:t>
            </w:r>
            <w:r/>
          </w:p>
        </w:tc>
      </w:tr>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3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药品柜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药品柜位于医疗舱左侧前方，分别为3层，可放置药品盒，药品分类并具有独立存放区域，便于医护人员的取放操作。</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可放置湿化瓶、呼吸机接口，便于医护人员的取放操作并有明显标识。</w:t>
            </w:r>
            <w:r/>
          </w:p>
        </w:tc>
      </w:tr>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3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内饰顶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10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采用ABS材料一次吸塑成型。</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10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前方装有液晶控制系统。</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10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左侧有</w:t>
            </w:r>
            <w:r>
              <w:rPr>
                <w:rFonts w:ascii="SimSun" w:hAnsi="SimSun" w:eastAsia="SimSun" w:cs="SimSun"/>
                <w:b/>
                <w:color w:val="000000"/>
                <w:sz w:val="24"/>
              </w:rPr>
              <w:t xml:space="preserve">≥</w:t>
            </w:r>
            <w:r>
              <w:rPr>
                <w:rFonts w:ascii="SimSun" w:hAnsi="SimSun" w:eastAsia="SimSun" w:cs="SimSun"/>
                <w:color w:val="000000"/>
                <w:sz w:val="24"/>
              </w:rPr>
              <w:t xml:space="preserve">3组独立吊柜，柜门透明设计可观察储存物品及耗材。</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10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顶部中间凸台分别安装消毒灯、手术灯、1组输液架、2条安全行车扶手、对讲系统。</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10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顶部右侧为</w:t>
            </w:r>
            <w:r>
              <w:rPr>
                <w:rFonts w:ascii="SimSun" w:hAnsi="SimSun" w:eastAsia="SimSun" w:cs="SimSun"/>
                <w:b/>
                <w:color w:val="000000"/>
                <w:sz w:val="24"/>
              </w:rPr>
              <w:t xml:space="preserve">≥</w:t>
            </w:r>
            <w:r>
              <w:rPr>
                <w:rFonts w:ascii="SimSun" w:hAnsi="SimSun" w:eastAsia="SimSun" w:cs="SimSun"/>
                <w:color w:val="000000"/>
                <w:sz w:val="24"/>
              </w:rPr>
              <w:t xml:space="preserve">3组储物盒。</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10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左后侧装有夜间外照明灯1只。</w:t>
            </w:r>
            <w:r/>
          </w:p>
        </w:tc>
      </w:tr>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氧气瓶柜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安装于左侧后方位置，氧气柜门带有锁扣装置，氧气柜门上有可观察口，便于医护人员观察氧气压力表。</w:t>
            </w:r>
            <w:r/>
          </w:p>
        </w:tc>
      </w:tr>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3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医疗舱左侧饰板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w:t>
            </w:r>
            <w:r>
              <w:rPr>
                <w:rFonts w:ascii="SimSun" w:hAnsi="SimSun" w:eastAsia="SimSun" w:cs="SimSun"/>
                <w:b/>
                <w:color w:val="000000"/>
                <w:sz w:val="24"/>
              </w:rPr>
              <w:t xml:space="preserve">≥</w:t>
            </w:r>
            <w:r>
              <w:rPr>
                <w:rFonts w:ascii="SimSun" w:hAnsi="SimSun" w:eastAsia="SimSun" w:cs="SimSun"/>
                <w:color w:val="000000"/>
                <w:sz w:val="24"/>
              </w:rPr>
              <w:t xml:space="preserve">6组220V电源插座、</w:t>
            </w:r>
            <w:r>
              <w:rPr>
                <w:rFonts w:ascii="SimSun" w:hAnsi="SimSun" w:eastAsia="SimSun" w:cs="SimSun"/>
                <w:b/>
                <w:color w:val="000000"/>
                <w:sz w:val="24"/>
              </w:rPr>
              <w:t xml:space="preserve">≥</w:t>
            </w:r>
            <w:r>
              <w:rPr>
                <w:rFonts w:ascii="SimSun" w:hAnsi="SimSun" w:eastAsia="SimSun" w:cs="SimSun"/>
                <w:color w:val="000000"/>
                <w:sz w:val="24"/>
              </w:rPr>
              <w:t xml:space="preserve">3组12V电源插座。</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插座旁装有医疗设备电源线收纳盒2组。</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医疗舱内饰安装与救护车车身结构件或连接件牢固连接，并具有良好密封性和保温性。</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储物柜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医疗舱中隔墙下方装有1组上翻门储物柜，带锁扣装置；可放置氧气袋等医疗急救用品。</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地板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医疗舱铺设医用地板，禁用物质Pb、Cd、Hg、Cr（VI）、PBBs、PBDEs符合GB/T30512-2014标准要求，燃烧性能符合GB8410-2006《汽车内饰材料的燃烧特性》标准要求。</w:t>
            </w:r>
            <w:r>
              <w:rPr>
                <w:rFonts w:ascii="SimSun" w:hAnsi="SimSun" w:eastAsia="SimSun" w:cs="SimSun"/>
                <w:b/>
                <w:color w:val="000000"/>
                <w:sz w:val="24"/>
              </w:rPr>
              <w:t xml:space="preserve">提供国家第三方检测机构出具的检验报告印证上述参数指标和性能特征。</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护士座椅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位于中隔墙处，座垫采用冷发泡海绵，座椅可折叠，附三点式安全带，下方具有储物空间。符合GB 15083汽车座椅、座椅固定装置及头枕强度要求。</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医生座椅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位于中门处，朝前安装，带折叠功能，附三点式安全带。符合GB 15083汽车座椅、座椅固定装置及头枕强度要求。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提供国家第三方检测机构出具的检验报告。</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长排柜式座椅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医疗舱右侧布置带两点式安全带的2人长条座椅，座垫材质为PU皮冷发泡一次成型，乘坐舒适。长条柜采用ABS材料一次吸塑成型，带上掀门，内部为储物空间，附2个安全带。</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扶手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在上下车门处及顶部安装相应的安全扶手。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103"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医疗舱配有≥10寸液晶触摸控制屏，驾驶舱配有≥4寸液晶触摸控制屏。双并联控制，可同时实现电气设备开关功能。</w:t>
            </w:r>
            <w:r>
              <w:rPr>
                <w:rFonts w:ascii="SimSun" w:hAnsi="SimSun" w:eastAsia="SimSun" w:cs="SimSun"/>
                <w:b/>
                <w:color w:val="000000"/>
                <w:sz w:val="24"/>
              </w:rPr>
              <w:t xml:space="preserve">提供国家第三方检测机构出具的检验报告。</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功能界面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103"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控制屏上显示12V、220V电压、照明灯、消毒灯、顶射灯、后外照明灯、换气扇、逆变器、负压消毒等相关用电设备的工作状态，能够使工作人员直观的掌握用电设备的工作状态并及时发现故障。</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在车辆启动状态下，24小时不间断供电，可输出220V，</w:t>
            </w:r>
            <w:r>
              <w:rPr>
                <w:rFonts w:ascii="SimSun" w:hAnsi="SimSun" w:eastAsia="SimSun" w:cs="SimSun"/>
                <w:b/>
                <w:color w:val="000000"/>
                <w:sz w:val="24"/>
              </w:rPr>
              <w:t xml:space="preserve">≥</w:t>
            </w:r>
            <w:r>
              <w:rPr>
                <w:rFonts w:ascii="SimSun" w:hAnsi="SimSun" w:eastAsia="SimSun" w:cs="SimSun"/>
                <w:color w:val="000000"/>
                <w:sz w:val="24"/>
              </w:rPr>
              <w:t xml:space="preserve">1000W纯正弦波电源可供精密医疗设备使用，并在相应的位置安置了12V电源插座三组及220V电源插座六组。在220V电源输出端安置了漏电及短路保护器。</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专用电瓶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免维护汽车专用电瓶，容量</w:t>
            </w:r>
            <w:r>
              <w:rPr>
                <w:rFonts w:ascii="SimSun" w:hAnsi="SimSun" w:eastAsia="SimSun" w:cs="SimSun"/>
                <w:b/>
                <w:color w:val="000000"/>
                <w:sz w:val="24"/>
              </w:rPr>
              <w:t xml:space="preserve">≥</w:t>
            </w:r>
            <w:r>
              <w:rPr>
                <w:rFonts w:ascii="SimSun" w:hAnsi="SimSun" w:eastAsia="SimSun" w:cs="SimSun"/>
                <w:color w:val="000000"/>
                <w:sz w:val="24"/>
              </w:rPr>
              <w:t xml:space="preserve">80Ah，在驻车时可供一些医疗器械使用，自动连接或断开。确保救护车原车电瓶处于最佳状态，不会因为原车电瓶亏电而影响出车。</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逆变器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智能逆变，12V输入，输出为220V、</w:t>
            </w:r>
            <w:r>
              <w:rPr>
                <w:rFonts w:ascii="SimSun" w:hAnsi="SimSun" w:eastAsia="SimSun" w:cs="SimSun"/>
                <w:b/>
                <w:color w:val="000000"/>
                <w:sz w:val="24"/>
              </w:rPr>
              <w:t xml:space="preserve">≥</w:t>
            </w:r>
            <w:r>
              <w:rPr>
                <w:rFonts w:ascii="SimSun" w:hAnsi="SimSun" w:eastAsia="SimSun" w:cs="SimSun"/>
                <w:color w:val="000000"/>
                <w:sz w:val="24"/>
              </w:rPr>
              <w:t xml:space="preserve">1000W纯正弦波电源。</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外接充电系统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长时间驻车时，可外接市电对车载电瓶充电，也可直接为车载设备供电。</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安全保护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电路设有相应规范的过载保护装置，以确保医疗救护设备的电器正常使用。</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供氧系统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隐藏式密闭管道氧气，带快速接口，即插即用，也可供其它用气设备使用。</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管道</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隐藏式管氧气，安装、检测便捷，预留呼吸机用气接口。</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氧气瓶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10升氧气瓶两只，氧气瓶符合标准，带固定装置。</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高压减压阀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实现高低压转换，并带有压力调节装置及压力表。</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湿化瓶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双路即插即用湿化瓶。</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杀菌系统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采用环形内嵌式紫外线消毒灯，可定时控制。</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照明灯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2条长条LED照明灯长度</w:t>
            </w:r>
            <w:r>
              <w:rPr>
                <w:rFonts w:ascii="SimSun" w:hAnsi="SimSun" w:eastAsia="SimSun" w:cs="SimSun"/>
                <w:b/>
                <w:color w:val="000000"/>
                <w:sz w:val="24"/>
              </w:rPr>
              <w:t xml:space="preserve">≥</w:t>
            </w:r>
            <w:r>
              <w:rPr>
                <w:rFonts w:ascii="SimSun" w:hAnsi="SimSun" w:eastAsia="SimSun" w:cs="SimSun"/>
                <w:color w:val="000000"/>
                <w:sz w:val="24"/>
              </w:rPr>
              <w:t xml:space="preserve">1500mm、医疗舱内独立控制，照明灯与车顶内饰完美结合，同时便于拆卸维修，舱内光照充足均匀，光线柔和。</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顶射灯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高亮度LED射灯4只，适用于医护人员夜间急救使用。</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对讲系统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前后无线对讲，双向控制。</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输液固定系统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在担架车上方安装1组输液架，输液挂钩能同时满足3袋以上的输液需要。</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车内空气消杀系统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隐蔽式安装，驾驶室和医疗舱整体消毒。提供能够与数字指标对应的产品宣传彩页或检测报告，并标明页码。</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符合《医疗机构消毒技术规范》二类消毒产品灭菌要求，产品需在“全国消毒产品网上备案信息服务平台”中公示，提供查询结果页。</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产品质量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整机重量≤2kg</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整机功率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消毒方式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低温等离子体，采用电化学主动式消毒，非过滤式无耗材、免维护</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产品材质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整机采用非金属材质，防止金属材质导致的降低等离子密度从而降低消毒效果</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消毒范围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对密闭环境内空气和物体表面实施全方位无死角消毒</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人机共存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产品工作中不产生如紫外线、过量的臭氧、氧族物质等有害因素，符合人机共存的实时动态消毒要求</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规范要求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产品符合国家卫健委WS/T648-2019（2019）4号中6.4.2条例规定：等离子体空气消毒机内部不得装有中，高效过滤器和紫外线杀菌灯</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臭氧浓度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产品使用过程中，空气中臭氧浓度≤0.08ppm</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等离子体电子密度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≥7.58*1018m-3（提供第三方检测报告）</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产品空气消毒效果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模拟现场消毒试验白色葡萄球菌杀灭率≥99.90%（提供第三方检测报告）</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产品空气消毒效果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开机消毒作用20min对体积≥20m³空间，现场消毒试验空气中空气自然菌消灭率≥90.00%（提供第三方检测报告）</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▲为避免产生售后争议，投标供应商需提供生产厂家或代理商出具针对本项目的售后服务承诺书。</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在驾驶室和医疗舱相应的位置预留通讯系统的电源接线柱和安装监控设备及GPS天线的空线孔。</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后舱配置灭火器1个；医疗舱配备医疗垃圾桶一只。</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每个座位配安全带。</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保护措施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医疗舱内均为过渡软包装，内部表面没有尖锐的物体，所有医疗设备的挂钩、托架应紧贴舱壁安装，周围有保护措施。</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内壁加固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医疗舱内壁加固防撞处理。</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负压系统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医疗舱安装负压装置，提供第三方检测机构出具的检验报告。</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输入电压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12V DC；</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负压范围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-10～-30Pa（国家标准）；</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自动调节功能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设置指定负压值，系统自动调节达到该指定负压值；</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双向控制功能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驾驶室和医疗舱均可以对负压系统进行控制与调节；</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双屏显示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压力值通过电子显示屏直接显示数字负压值，驾驶室和医疗舱分别安装负压值显示屏，方便工作人员随时观察；</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压差报警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当医疗舱内负压高于-10Pa时自动报警，须描述报警方式；</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报警延时功能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为避免开关车门等情况造成的暂时失压引起的报警，延迟30秒报警；</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过滤效率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高效过滤器，对大于0.3μm的微生物过滤效果达到99.97%；</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消毒</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气流进入负压装置，经过紫外线消毒后排出舱外。</w:t>
            </w:r>
            <w:r/>
          </w:p>
        </w:tc>
      </w:tr>
      <w:tr>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三、车载医疗设备</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49</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自动上车担架</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带有自动收折功能，上下救护车均可实现单人操控的转运担架。</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主体框架结构设计，采用铬钢合金材质，亮黄色外喷漆，警示醒目。</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采用顺应性悬挂系统，稳定性高。</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分叉型前腿、分叉型弧形后腿，加强担架的吸震与负载能力，弧形弯腿作为担架折叠后的支撑点，减少对救护车地面的损伤。</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担架各部位的连接采用尼龙装置，增加各部件的灵活性，提高稳定性及安全性。</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担架运行平稳，抗颠簸性强，四轮采用航空轮胎技术，碰撞时具有吸震补偿的效果。车轮直径≥190mm，双后轮360°转向，自带刹车装置，收折后具有自动收折回位功能。</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两折三段式床垫，采用高频焊接技术，增大病员的接触面积，舒适度高。外部材料为采用塑胶材料（专利设计，具有防火，耐腐蚀的特点）。</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49.8</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承载式担架背板，可根据不同病情要求调整病员体位，九种模式可调；头部及上半身位置，0~75度可调，脚部0-15度可调。</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49.9</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担架背板采用一次模压成型材料，安装于担架金属主体结构之上，病人床垫之下，可以避免骨折病人在转运过程中的二次伤害；需要时，可以直接在担架上进行心肺复苏。</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49.10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收折后的担架，床面高度≤400mm；四点对称的支撑轮，提高担架抗车辆颠簸能力，病人舒适度高。</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49.11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担架采用通过10G测试的一体式固定装置，最大程度避免担架床在车内的横向移动，在提高担架安全性的同时提高病人的舒适性。</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49.12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担架打开时前后轮之间轴距≥1030mm，保证担架在运行过程中的稳定性。</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49.13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▲担架病人头侧的前腿具备打开锁定后有监测以及声音灯光报警功能。</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49.14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担架尺寸：长度≥1970mm、宽度≥570mm。</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49.15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自身重量：≤38KG。</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49.16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载重能力：≥170KG。</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49.17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标准配置：一体式固定装置*1、床垫*1、可调节金属卡扣式安全带*2。</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49.18</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厂家具有良好的售后服务体系，国内设有零配件仓库，产品享受3年质保服务。</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49.19</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具备EN13485国际医疗产品认证证书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符合MDR（医疗器械法规）对产品安全的法规要求，具备 EN 1865-1:2015及EN 1789:2014 证明。</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49.20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▲为避免产生售后争议，投标供应商需提供生产厂家或代理商出具针对本项目的售后服务承诺书。</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担架平台</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担架安装组合平台，台面使用封闭式304不锈钢材质，平台内部可放置铲式固定担架。</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碳纤维铲式担架</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尺寸:长≤1640mm（缩短），宽≤440mm，高≤70mm，最大长度≥2000mm。                                              </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自重≤4Kg</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载重≥260kg,适用于不同体重病人，甚至超重病人，满足急救特殊使用需求。。</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担架材质：航空级碳纤维材料，耐腐蚀、耐重压，强度好、重量轻；碳纤维具有优良的强度和刚性，即使在恶劣的条件下，特性长期稳定。适合各种恶劣环境下使用。</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固定带为尼龙材料制成，配有防锈及抗腐蚀的快速固定锁扣。     </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在不移动病人的情况下，可将病人铲入或从病人体下抽出担架。</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担架一端(脚部)采用窄框架结构。</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51.8</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满足医学影像要求，可用于X光，CT，核磁共振。</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51.9</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耐温:-40℃至 180℃。</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质保期≥2年；使用寿命≥8年。</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肩带式软担架</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两侧各配备4个把手，头脚位各1个，共计10个搬抬把手，提升转运方式的可选择性。</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担架含有6个额外增加的锚点，两侧各3个，肩带卡扣可拆卸。</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配备两根肩部安全带，将核心重量转移到救援人员的肩部，减少腰肌劳损的风险，肩带锁扣采用航空铝材质，单扣承重≥500kg。</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所有的把手及锚点的带子均为整体贯穿，更结实牢固。</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软担架尺寸为≥185*72cm。</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背面整体带有一圈荧光条，起到区分正反面以及提高在昏暗环境下转运的安全性。</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脊椎固定板</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长×宽×高（cm）：≥184×45×6；</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自重(kg):≤8；</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承重（kg）：≥181；</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采用无释放污染的HDPE材料中空吹塑一次成型。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可在水上漂浮，并可进行X光透视、CT扫描。</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配有安全带。</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适用于头部、髋关节、骨盆、脊椎损伤病人使用。</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心电监护仪</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配置要求：监护仪（含充电锂电池、心电导联线、血氧电缆与探头、血压导气管、成人血压袖套等全套附件、电源线等）共1套。</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国家三类医疗器械注册证，注册适用范围包括：心电、脉搏血氧饱和度、呼吸、体温、脉率、无创血压、有创血压（含脉搏压变异度）、有创心排量、二氧化碳等。</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显示器≥10英寸，彩色电容触摸屏，≥8通道波形显示。</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内置锂电池，锂电池支持监护仪工作时间≥4小时。</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使用年限≥10年。</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▲心电测量：具备智能导联脱落监测功能，个别导联脱落的情况下仍能保持监护；支持心律失常分析功能，支持不少于25种实时心律失常分析；具有QT/QTc测量功能，提供QT，QTc和ΔQTc参数值。</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血氧测量：提供SpO2、PR和PI参数的实时监测。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54.8</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血压测量提供手动、自动、连续测量模式，并提供24小时血压统计结果，主界面显示不少于5组血压记录。</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54.9</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具备血液动力学，药物计算，氧合计算，通气计算和肾功能计算功能。</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54.10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120小时趋势图和趋势表回顾，支持选择不同趋势组回顾。≥1000条事件回顾，每条报警事件至少能够存储32秒三道相关波形，以及报警触发时所有测量参数值。≥1000组NIBP测量结果。支持49小时全息波形的存储与回顾功能。</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54.11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支持监护仪历史病人数据的存储和回顾，并支持通过USB接口将历史病人数据导出到U盘。</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54.12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支持RJ45接口进行有线网络通信，和除颤监护一起联网通信到中心监护系统。</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54.13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支持根据病人的参数趋势变化可自动推送HR/PR、SPO2、RR等参数的报警限建议。</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54.14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▲为避免产生售后争议，投标供应商需提供生产厂家或代理商出具针对本项目的售后服务承诺书。</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十二导联心电图机</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内置可充电锂电池， 连续工作时间不少于500 份自动报告，或不少于1 小时连续记录，或不少于8 小时无记录测量。</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频率响应：0.01Hz ~ 500Hz。</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采样率：64 kHz。</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起搏器采样率：96 kHz。</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输入阻抗：≥100MΩ（10Hz）</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定标电压：1mV±1%</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耐极化电压：≥±900mV（±5%）</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55.8</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内部噪声：≤12.5µVp-p</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55.9</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共模抑制比： ≥140dB（AC滤波开启）</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灵敏度选择：1.25、2.5、5、10、20、10/5、20/10、自动mm/mV ±5%</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具备彩色液晶屏，屏幕尺寸不小于12英寸，分辨率不小于1280*800， 支持全屏多点触控</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倾斜角设计，支持屏幕背景网格显示</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支持同屏显示10秒12导同步心电波形</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内置存储器支持存储1200 份心电图报告，支持外接U盘扩展存储空间</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内置热敏式点阵打印机，能打印于A4和US letter大小的热敏纸</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▲具有信号质量检测功能，对于信号干扰、接触不良或导联脱落的导联做出提示</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▲具有起搏检测功能，起搏标记在显示屏上单独区域显示，方便医生查看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55.18</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具有预约下载功能，直接将病人预约下载到心电图机上，减少医生工作量</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55.19</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具有关机延迟功能：自第一次低电量提示后，有至少5分钟的关机延迟时间</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55.20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外部接口：USB接口*2，网络接口</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55.21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标配无线WIFI模块，支持2.4G/5G双频</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55.22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支持HL7/DICOM/FTP标准协议，满足医院联网需求</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55.23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▲为避免产生售后争议，投标供应商需提供生产厂家或代理商出具针对本项目的售后服务承诺书。</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体外除颤器（AED）</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一、AED主机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▲整机重量（含1 块电池和1付电极片）≤2.0kg，设备具备便携把手，具备高便携性。</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具备优异的抗冲击/跌落性能，机器六面均可承受≥1.5 m跌落冲击。</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设备具有良好的防尘防水设计，防尘防水级别IP55。</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工作温度范围至少满足 -5ºC～50ºC，且从室温环境下进入-20ºC 环境后，至少能工作60分钟。</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采用双相波除颤技术，除颤方式为半自动，最终实施电击应由操作者操作。</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具备开盖开机，操作步骤不超过3步，电池仓可徒手拆卸，无需使用工具。</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为适应普通民众使用，防止误操作，设备按键数量≤3个(包含软按键和非实体按键)，设备具备中英文一键切换功能。</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56.8</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▲提供≥4英寸彩色触摸屏，提供清晰的交互式动画指导，包括AED使用训练和使用指导和心肺复苏按压指导。</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56.9</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当施救者在实施CPR心肺复苏时，设备主机显示屏可动画显示按压频率，直观指示按压是否达标，指导施救者提供高质量心肺复苏。</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设备可根据环境嘈杂程度自动调节语音音量，无需手动设置。</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▲成人最大输出能量360J，具备成人及儿童一键切换功能，根据成人和儿童模式提供相应的视频和语言操作指引。</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成人首次电击能量不小于200J，儿童首次电击能量不小于50J，没有消除室颤时，第二次和第三次电击分别会自动提供更高级别能量，第三次后的后续电击成人维持最大能量360J，儿童维持最大能量100J。</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设备主机配置的心率分析算法性能测评数据库数量不少于6个，开始心电分析到200J放电就绪≤5秒，开始心电分析到360J放电就绪≤12秒。</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具有心电噪声及运动干扰检测功能，如果检测到干扰，设备会发出语音提示施救者。</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设备状态指示灯根据自检结果红灯/绿灯显示设备状态，设备在故障时发出报警声。</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设备每日、每周、每月对控制模块、充放电、治疗模块等多项自检功能，对于异常情况能及时报警。</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可存储抢救记录数据，包括ECG 波形、抢救事件记录、放电时间、除颤电击次数、录音文件等，抢救数据可传输或导出至电脑端。</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56.18</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设备的内部数据可存储≥3650份自检报告。</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56.19</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二、电池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类型：可更换电池。</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56.20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最大可支持单块电池容量4500mAH，在不进行电击的情况下电池待机时间≥5年。</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56.21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单块电池最大可进行350次200J除颤放电。</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56.22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电池首次低电量警示后，至少可进行6次360J除颤充放电。</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56.23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电池低电量或失效时具有报警功能。</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56.24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三、电极片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类型：一次性电极片，支持成人及儿童一键切换。</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56.25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配套与AED主机同一品牌的电极片，要有明显的指示粘贴部位标记，防止粘贴错误，粘贴无效时有语音提示。</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56.26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待机状态下电极片已经提前与机器连接，电极片不裸露于机器外，可通过主机电极片查看窗不开机不开盖可以查看电极片上有效期。</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56.27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多功能电极片连接AED设备主机，可提供按压实时监测、反馈功能，可评估当前按压节奏是否良好，提供按压频率指导。</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56.28</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单付电极片有效期≥60个月。</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56.29</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四、便携包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提供配套的AED便携包，便携包具备便携提手，轻便且坚固耐用。</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56.30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投标时须提供实物图，产品交付前提供样品给客户确认，可根据用户要求修改便携包方案以便急救现场使用。</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56.31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五、配置及要求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配置清单：除颤器主机、锂电池、电极片、使用说明书、快速参考指南等。</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56.32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设备上需要有明显的使用年限铭牌标志，使用寿命：≥10年。</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56.33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▲为避免产生售后争议，投标供应商需提供生产厂家或代理商出具针对本项目的售后服务承诺书。</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AED电极片</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类型：一次性电极片，支持成人及儿童一键切换。</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配套与AED主机同一品牌的电极片，要有明显的指示粘贴部位标记，防止粘贴错误，粘贴无效时有语音提示。</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待机状态下电极片已经提前与机器连接，电极片不裸露于机器外，可通过主机电极片查看窗不开机不开盖可以查看电极片上有效期。</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多功能电极片连接AED设备主机，可提供按压实时监测、反馈功能，可评估当前按压节奏是否良好，提供按压频率指导。</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单付电极片有效期≥60个月。</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58</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转运呼吸机</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一、总体要求：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适用于成人和儿童的急救转运呼吸机</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驱动方式：气动电控</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显示方式：≥4.3英寸彩色显示屏</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具备吸气保持功能</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具备窒息后备通气功能，保证患者通气功能</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58.6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▲主机重量≤3公斤，方便急救转运。</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二、通气模式：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容量控制模式（A/C-V）</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58.8</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压力控制模式（A/C-P）</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58.9</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同步间歇指令（SIMV-VC）</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58.10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同步间歇指令（SIMV-PC）</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58.11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自主呼吸（SPONT）</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58.12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叹息（A/C+Sigh）</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58.13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手动通气功能。</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58.14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三、参数设置：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潮气量： 50～2000ml</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58.15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呼吸频率：1～120bpm</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58.16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可设置屏气时间：0～4s</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58.17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压力控制水平：5～50cmH2O</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58.18</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呼气末正压：0～25cmH2O</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58.19</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压力触发灵敏度：-20cmH2O～0cmH2O</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58.20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流速触发灵敏度：2～20L/min</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58.21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监测：潮气量、分钟通气量、峰值压力、呼吸频率、氧浓度，呼气末正压，电池电量、压力-时间波形，流速-时间波形等监测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58.22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报警：气道压力报警、分钟通气量报警、窒息、交流电源断电、电池电量低、气源压力低报警、系统故障报警等报警。</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58.23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具有CE、NMPA认证。</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58.24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符合IPX4防水等级。</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58.25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符合EN1789救护车车载标准。</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58.26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电源：AC100V～240V，50Hz/60Hz；DC12V；内置电池（续航不少于4小时）。</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58.27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具备海拔补偿功能。</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58.28</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▲为避免产生售后争议，投标供应商需提供生产厂家或代理商出具针对本项目的售后服务承诺书。</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59</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心肺复苏机</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便携式电动心肺复苏机，适合院内院外心肺复苏急救，提供不间断高质量机械按压转运，以提高区域心脏骤停患者抢救成功率（提供所投品牌相关救治成功案例）。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压技术：采用结合胸泵和心泵机制、模拟心脏搏动原理的智能心肺复苏技术，能比徒手CPR更高效率地改善血流动力学效应，减少复苏过程引起的损伤，并提供≥2篇与所投品牌相关文献证明其疗效。注：未提供与符合要求的文献即为负偏离。</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▲按压频率：100-120次/分钟，至少包含 100次/分钟，连续可调，调节档位≥20档可调，便于适应不同患者的个性化调节需要。</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按压深度可调范围：按压深度在3.0-5.5厘米内连续可调，调节步进幅度为0.1厘米。</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支持非水平按压，最大工作倾斜度：≥45°；工作状态下，主机倾斜度不大于最大工作倾斜度时，能够正常工作并保证按压精度（按压深度误差：≤±2mm、按压频率误差≤±1次/分钟）。</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抬动、移动及转运患者时，不应中断按压，确保更高的CCF。</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主机绷带挂钩内侧宽度：≤185mm，确保按压期胸腔双侧向内收缩，避免按压动能外泄（提供产品实物测量照片）。</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59.8</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▲主机绷带挂钩高度：≥30mm，确保按压期按压动能可实时传至胸腔背部两侧并向内收缩，实现胸周全收缩效果，同时降低按压期主机的晃动（提供产品实物测量照片）。</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59.9</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主机高度≤17.8cm，便于在负压隔离仓内实施心肺复苏。</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59.10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快速响应，主机开/关机按键启动和关闭时间≤2秒。</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59.11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载运行性能：通过EN1789《医用车辆和其设备.道路救护车》测试，具有测试报告。在三级公路、行驶速度40km／h，运行200km状态下，能持续稳定实施胸腔按压，实际按压频率误差≤±1次/分钟，且实际按压深度误差≤±0.2厘米。</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59.12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▲锂电池具有电量指示灯和电量检查按键，从主机取下电池，可检查电池当前的电量状态。</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59.13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最低工作大气压力≤57Kpa，适应高海拔救援（提供注册时备案的说明书）。</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59.14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▲主机重量（含电池）：≤3.1kg。</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59.15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急救5G通讯要求：具有并免费开放WiFi接入协议，便于进行5G救护车医疗舱移动局域网部署。</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59.16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按压频率精度：100-120次/分钟范围内，按压频率允许误差≤±1次/分钟。</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59.17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按压深度精度：5-6厘米内，按压深度允许误差≤±0.2厘米</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59.18</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主机或外接设备可以显示当前实时按压深度和按压频率。</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59.19</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最低持续工作温度：≤-5℃，满足寒冬野外急救需求（提供注册时备案的说明书）。</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59.20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最高持续工作温度：≥ +45℃，满足炎夏野外急救需求（提供注册时备案的说明书）。</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59.21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存储温度：-40℃至55℃（提供注册时备案的说明书）。</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59.22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心肺复苏数据平台，构建“监测、分析、改良”质量监测体系，可导入除颤仪心电图，进行整体数据分析（供应商须在投标文件中提供CA数据登记数据软件截图以及按压质量报告作为佐证，未提供或提供不全的本项即为负偏离）。</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59.23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配套软件可记录急救信息院外OCHA信息登记系统，提供PC版相应软件，用于整体复苏质量提升。</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59.23.1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配套软件可记录急救信息：预估骤停时间，骤停地点，骤停病因，旁观者CPR、起始CPR人员、120到达前应用AED、调度员识别CA等；</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59.23.2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可记录患者预后信息：医院结局，出院30天时CPC评分，行动能力等。</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59.26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▲为避免产生售后争议，投标供应商需提供生产厂家或代理商出具针对本项目的售后服务承诺书。</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电动吸引器</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采用负压泵作负压源，无油雾污染，可免去泵体的日常维护和保养，设备运行时压力系统不会产生正压。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采用交流、外接直流和机内电池三种供电方式，其中机内电池在充足情况下可连续使用30分钟以上，并可反复充电，在病人转运过程中使用可直接接在救护车等交通工具的点烟器（DC12V）上。</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采用恒压限流充电，可间断累加充电，在外接AC100V～240V，50/60Hz或者DC 12V的情况下均可进行充电，有电池量分段指示。</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通过管路上的负压调节阀控制吸引时所需要的负压值，并由面板上的真空表来显示。</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塑料外壳美观、轻巧，携带方便，并具有墙挂式结构，可以安装在房间内和交通工具上，也可以挂在轮椅车侧面。</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极限负压值：≥0.08MPa (600mmHg) 。</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负压调节范围：0.02MPa(150mmHg)～极限负压值 。</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60.8</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抽气速率：≥20 L/min。</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60.9</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噪声：≤65 dB(A)。</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60.10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贮液瓶：1000mL（PC塑料）。</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60.11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电源：AC 100V～240V，50/60Hz；DC 12V。</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60.12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输入功率：110VA。</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注射泵（双泵）</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整机设计使用年限≥10年，需提供证明材料。</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注射精度≤±2% 或0.005mL/h取大者。</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速率范围：0.1-1200ml/h, 最小步进0.1ml/h。</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预置输液总量范围：0.1-9999ml。</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快进流速范围：0.1-1200ml/h，机器上有独立快进按键。</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支持注射器规格：5ml、10ml、20ml、30ml、50/60ml。</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LCD显示屏，可同屏显示：速度、当前注射状态、累计量、电池状态、报警压力档位和在线压力等信息。</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61.8</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锁屏功能：支持自动锁屏，自动锁屏时间可调。</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61.9</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在线滴定功能：安全不中断输液而更改速率。</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分低级、中级、高级三级报警。可实现声光报警提示，同时显示具体报警信息。</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在线动态压力监测，可实时显示当前压力数值。</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电池工作时间≥6小时@5ml/h，可升级至≥12小时@5ml/h。</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接口支持RS232数据传输、护士呼叫、DC输入功能。</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防异物及进液等级IP34。</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可升级无线模块，实现无线联网监测。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整机重量不超过1.8kg，主机自带提手，方便携带。</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满足EN1789标准，适合在救护车使用。</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61.18</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▲为避免产生售后争议，投标供应商需提供生产厂家或代理商出具针对本项目的售后服务承诺书。</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快速血糖测定仪</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测试范围：0.6-33.3mmol/L。</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测试时间：≤8秒。</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HCT范围：30%-60%。</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记忆容量：≥300条。</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具有智能免调码、语音播报、USB数据互联功能。</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多功能急救包</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整体采用进口高档环保面料，具有内外防水、防震、防撕裂、耐磨等特点。</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多处反光标记和特殊夜光材料印刷，在黑暗中也能清晰识别</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内部做出一体收纳，放置在包内，分为5个分割区，有透明盖及物品标签。</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顶部小包收纳药品，与包体定制拉链相连，可以独立使用。放置所有药品（除了液体），两层药品收纳板。定制标签和药品位置，方便急救人员快速拿取。</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加固拎手，拉链采用YKK拉链。</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急救药品和器械按要求固定位置并进行相应标牌标注。</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包含除药品外的基本器械，以实现装备配置的相对统一。</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63.8</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包体外观按照本单位要求印制logo。</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63.9</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规格尺寸≤46*25*30cm。</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63.10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自重≤2KG.</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心肺复苏包</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产品尺寸（cm）：≤54×30×26</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承重（kg）：≤20</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材质：采用环保1680D双股牛津面料，里布采用210D不沾色原纱。</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包盖采用环保EVA压模工艺一体成型，具有防水、防震、抗摔功能，底部有六个防滑脚钉。</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包体后面采用防撕裂树脂网，在-35℃不断裂。</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内部设计多个隔层，可放置各种医用耗材和器械。</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可单肩背、可手提，便于医护人员出诊携带方便。</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64.8</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包内配置：简易呼吸器（含面罩）、胸外按压复苏仪、血压表、三角巾、听诊器、麻醉喉镜、压舌板、手电筒、舌钳、手术剪、气管插管、止血钳、止血钳、口咽通气道、医用镊子、医用纱布敷料等急救用品。</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颈托</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尺寸（cm）：≤56×19×1</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自重（kg）：≤0.12</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颈托尺寸设计使用大多数病人，颈托高度可多档调节。</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不含乳胶，无毒，低过敏性。</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喉部设有开孔，方便对喉部或气管进行检查和治疗。</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特殊材料制成，X光，CAT照射和MRI都能穿透。</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卷式夹板</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尺寸（cm）：≥100×11</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可随意用剪刀改变大小，可适用于不同身体部位。</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铝合金刚性结构，改变状态后的金属形状稳定，可X光拍片。</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符合国际标准，无毒、无刺激气味。</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状态柔软，用手即可改变形状。</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担架保险带</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尺寸大小：长≥1100mm,宽≥50mm。</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材质：尼龙。</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负重：500KG。</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67.4</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特点：两端均有固定的尼龙（与魔术贴），可在任何情况下快速精准地使用。可将患者安全舒适地固定在脊柱板及担架上，从而实现安全轻松地转移。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68</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急救雨衣</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柠檬黄150D弹丝牛津</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成分：100%涤纶</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后处理：PU膜</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PU膜参数：水压5000mm</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防泼水：洗前4级</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里料里布：防静电涤丝绸</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前身和后身必须缝制反光带，有120及急救logo反光标识。</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69</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急救马甲</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柠檬黄网眼布和柠檬黄T400纬弹梭织面料拼接</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成份：100%聚酯纤维</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网眼克重：115g/m²±5</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后背印反光字，左前胸设有现场记录仪的固定装置，下口袋有放置对讲机专用口袋。</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调度车载信息终端</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屏幕显示屏：屏幕尺寸：≥7英寸；分辨率：≥1200*800</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1、处理器：高性能多核处理器，核心数≥8个，频率≥2.0G；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2、内存与存储：运行内存（RAM）≥6GB，存储（ROM）≥128GB；</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3、电池：内置电池容量≥7000mah；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4、网络连接：支持双频Wi-Fi，4G/5G全网通。</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numPr>
                <w:ilvl w:val="0"/>
                <w:numId w:val="2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操作系统：安卓操作系统（版本不低于安卓11）或鸿蒙操作系统4；</w:t>
            </w:r>
            <w:r>
              <w:rPr>
                <w:rFonts w:ascii="SimSun" w:hAnsi="SimSun" w:eastAsia="SimSun" w:cs="SimSun"/>
                <w:b/>
                <w:color w:val="000000"/>
                <w:sz w:val="24"/>
              </w:rPr>
              <w:t xml:space="preserve">需提供操作系统及各软件功能截图，并加盖投标供应商公章；</w:t>
            </w:r>
            <w:r/>
          </w:p>
          <w:p>
            <w:pPr>
              <w:numPr>
                <w:ilvl w:val="0"/>
                <w:numId w:val="2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设备系统环境必须预装高德地图与百度地图最新官方正式版应用；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3、响应速度：应用冷启动时间不超过5秒，路线规划计算时间不超过5秒，地图渲染及缩放操作流畅无卡顿。在实时导航过程中，位置更新延迟应低于2秒。</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1、SIM卡支持：设备必须具备物理SIM卡槽，支持插入任意一种SIM卡，并稳定连接至4G/5G移动网络。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2、语音通话功能：设备必须支持通过移动网络进行高清语音（VoLTE）接打电话功能，确保通话清晰、稳定。设备需配备听筒和麦克风，或提供配套的带麦克风音箱等解决方案以满足嘈杂环境下的通话需求。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3、网络制式：支持国内三大运营商（中国移动、中国联通、中国电信）的4G/5G网络，并实现全网通。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【提供入网许可或相关认证证书或第三方检测报告佐证，并加盖投标供应商公章】</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1、北斗定位：设备必须采用北斗定位芯片/模块，可接收中国北斗卫星导航系统的信号进行定位、导航和/或授时，不支持其他卫星导航系统（如GPS、GLONASS等）。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2、国家认证：必须提供由国家认监委认可的认证机构颁发的 “北斗独立定位性能认证” 或 “北斗独立定位终端检验” 有效证书。投标时需提供证书复印件。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【提供相关认证证书原件的复印件或扫描件，并加盖投标供应商公章】</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终端须满足以下功能，需与现有调度系统相兼容：</w:t>
            </w:r>
            <w:r/>
          </w:p>
          <w:p>
            <w:pPr>
              <w:numPr>
                <w:ilvl w:val="0"/>
                <w:numId w:val="1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接收现120指挥系统调度指令；</w:t>
            </w:r>
            <w:r/>
          </w:p>
          <w:p>
            <w:pPr>
              <w:numPr>
                <w:ilvl w:val="0"/>
                <w:numId w:val="1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接收公告信息；</w:t>
            </w:r>
            <w:r/>
          </w:p>
          <w:p>
            <w:pPr>
              <w:numPr>
                <w:ilvl w:val="0"/>
                <w:numId w:val="1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出车节点反馈至现120业务服务器；</w:t>
            </w:r>
            <w:r/>
          </w:p>
          <w:p>
            <w:pPr>
              <w:numPr>
                <w:ilvl w:val="0"/>
                <w:numId w:val="1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重大突发事件上报；</w:t>
            </w:r>
            <w:r/>
          </w:p>
          <w:p>
            <w:pPr>
              <w:numPr>
                <w:ilvl w:val="0"/>
                <w:numId w:val="1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位置信息上传至120地图服务器；</w:t>
            </w:r>
            <w:r/>
          </w:p>
          <w:p>
            <w:pPr>
              <w:numPr>
                <w:ilvl w:val="0"/>
                <w:numId w:val="1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短信收发；</w:t>
            </w:r>
            <w:r/>
          </w:p>
          <w:p>
            <w:pPr>
              <w:numPr>
                <w:ilvl w:val="0"/>
                <w:numId w:val="1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语音导航；</w:t>
            </w:r>
            <w:r/>
          </w:p>
          <w:p>
            <w:pPr>
              <w:numPr>
                <w:ilvl w:val="0"/>
                <w:numId w:val="1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语音通话；</w:t>
            </w:r>
            <w:r/>
          </w:p>
          <w:p>
            <w:pPr>
              <w:numPr>
                <w:ilvl w:val="0"/>
                <w:numId w:val="1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语音播报。</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1、正式授权：投标人必须为每台设备提供功能应用软件的有效授权文件（或授权证明），确保采购单位拥有在该批设备上合法使用其软件的权利。该授权应覆盖整个产品的预期使用寿命。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2、预装与可用性：所有交付的设备必须预装并成功激活与功能匹配的移动端软件。软件在开箱首次运行时，应能正常启动且所有功能模块均可使用，无需采购单位另行申请或配置授权。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3、证明文件：</w:t>
            </w:r>
            <w:r>
              <w:rPr>
                <w:rFonts w:ascii="SimSun" w:hAnsi="SimSun" w:eastAsia="SimSun" w:cs="SimSun"/>
                <w:b/>
                <w:color w:val="000000"/>
                <w:sz w:val="24"/>
              </w:rPr>
              <w:t xml:space="preserve">须提供功能应用软件公司出具的针对本项目有效的授权证明文件，并加盖投标供应商公章。</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70.8</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稳固安装与防盗：投标人必须提供成熟、可靠的车载防拆除安装支架。该支架必须具备物理钥匙锁闭机构，在锁闭后，无法通过常规工具（如螺丝刀、徒手）将设备从支架上取下，或无法将支架底座从车辆上拆除，从而实现防盗、防随意拆卸的目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安装服务：供应商必须提供上门安装服务，负责将所有安装设备（如支架、底座等）在采购单位的指定车辆内完成安装与调试，确保即装即用。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车载供电：必须为每台设备配备一个车载点烟器转USB-C的快充电源转换器，其输出功率需满足设备在同时运行定位、导航及通讯功能时的峰值功耗，并保证电池电量能持续增长或维持稳定。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钥匙管理：供应商应为所有安装支架提供统一规格的钥匙。如果钥匙规格无法统一，必须提供详尽的钥匙管理方案和备用钥匙。</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70.9</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质保：所有设备（包括设备主机、安装支架、点烟器转换器）需提供自验收合格之日起不少于3年的原厂免费质保。</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监控摄像头</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车载网络摄像机（每辆救护车车头安装数量1台）。</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最低照度 0.005 Lux@(F1.2，AGC ON),0 Lux with IR。</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快门 1/3秒至1/100000秒。</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镜头4mm：水平视场角：87°，垂直视场角：44°，对角线视场角：104°；调整角度 水平: -20°~20°;垂直: -15°~25°。</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数字降噪 3D数字降噪。</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最大图像尺寸 1920×1080。</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主码流帧率分辨率 50Hz:25fps（1920x1080, 1280 x 960, 1280x720）;60Hz:30fps（1920x1080, 1280 x 960, 1280x720）。</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日夜转换方式 白天,黑夜,自动,定时。</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71.1.8</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背光设置 宽动态,背光补偿,强光抑制。</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71.1.9</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视频压缩标准 主码流：H.264 ，H.265, H.264+, H.265+。</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视频压缩码率 256Kbps-12Mbps。</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码率类型配置 定码率，变码率可配置。</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报警触发 移动侦测，遮挡报警，硬盘满，硬盘错误，网络断开，IP地址冲突，非法访问。</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通用功能 一键恢复,防闪烁,主/子码流,镜像,密码保护,视频遮挡。</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通讯接口 四芯航空头网络接口。</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支持TF卡扩展，最大支持256GB。</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红外照射距离 10-30米。</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防护等级 IP68。</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车载网络摄像机（每辆救护车驾驶室安装数量1台）。</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传感器 1/2.8' CMOS。</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镜头2.8mm：水平视场角：105°，垂直视场角：56°， 对角线视场角：126°。</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白平衡 支持日光灯、白炽灯、暖光灯、自然光四种白平衡配置，同时支持手动/自动白平衡调节。</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补光灯类型 红外补光灯。</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红外距离 最远可达10m。</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调节角度 水平: -30°~+30°, 垂直: 0°~75°, 旋转: 0°~ 360°。</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主码流帧率分辨率 50Hz:25fps（1920x1080, 1280 x 960, 1280x720）; 60Hz:30fps（1920x1080, 1280 x 960, 1280x720）。</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71.2.8</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视频压缩标准 主码流：H.264 ，H.265 ,H.264+, H.265+。</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71.2.9</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音频压缩标准 支持G711U，G711A，G726，AAC，G722，PCM。</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71.2.10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音频压缩码率 64kbps。</w:t>
            </w:r>
            <w:r/>
          </w:p>
        </w:tc>
      </w:tr>
      <w:tr>
        <w:trPr>
          <w:trHeight w:val="2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71.2.11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音频采样率 16kHz。</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71.2.12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同时预览路数 最多8路。</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71.2.13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内置MIC。</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71.2.14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复位 支持，内置Reset。</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71.2.15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六芯航空头：DC 9~36V。</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车载网络摄像机（每辆救护车车厢内安装数量2台）。</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传感器类型：1/2.9" Progressive Scan CMOS。</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最小照度：0.02 lux @(F1.2, AGC ON), 0 lux with IR。</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快门：1/3秒至1/100,000秒。</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镜头：4mm/F1.6, 水平视场角84°垂直视场角43°对角线视场角99°。</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调整角度：垂直0~75°,旋转0~360°。</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数字降噪：3D数字降噪。</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宽动态范围 105dB。</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71.3.8</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视频压缩标准 H.264 /H.265。</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71.3.9</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视频压缩码率 256 Kbps~8192Kbps。</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71.3.10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音频压缩标准 G.711U/G.711A/G.726/AAC/PCM。</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71.3.11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最大图像尺寸 1920 × 1080。</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71.3.12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帧率 主码流 50Hz: 25fps (1920×1080,1280×960,1280×720); 60Hz: 30fps (1920 × 1080,1280 × 960,1280 × 720)。</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71.3.13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图像设置 饱和度,亮度,对比度,锐度通过客户端或者浏览器可调。</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71.3.14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日夜转换方式 白天,黑夜,自动,定时。</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71.3.15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背光 宽动态,背光补偿,强光抑制。</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71.3.16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图像镜像 左右,上下,中心。</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71.3.17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 内置mic。</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71.3.18</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环境噪声过滤 支持。</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71.3.19</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音频采样率 16 kHz。</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71.3.20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通讯接口 六芯航空头网络接口。</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71.3.21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红外照射距离 最远可达10米。</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车载硬盘录像机</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产品支持同时接入4路网络视频信号（分辨率1920*1080，码流为4Mbps）。</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1个USB  2.0接口、1个RS232接口、1个5芯航空头USB接口（含供电）、4个6芯航空头接口（POE供电）、1个VGA接口、2个SMA接口、2个FAKRA接口、10路报警输入、2路报警输出。</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支持H.264、H.265编码格式。</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1路CVBS输出及1路VGA输出，VGA最高分辨率1920*1080；VGA输出分辨率需支持1024×768,1280×720,1280×1024,1920×1080；支持VGA和CVBS同源输出显示，可设置16/9/8/6/4/1等多种预览模式；分辨率最高支持1920×1080，信噪比≥35dB，监视水平分辨力以及回放水平分辨力均≥950TVL</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图像质量：分辨率≥704*576，信噪比≥35dB，回放图像帧率≥25帧/秒。</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72.6</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编码格式：支持H.264/H.265编码格式。</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72.7</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定位功能：具备北斗三代定位（投标时提供公安部检测报告证明）。</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72.8</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高低温：高温试验：+70℃±2℃  16h   低温试验-30℃±3℃  16h。（投标时提供公安部检测报告证明）。</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72.9</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格式：采用自动分段记录格式时，相邻两段间最大记录间隔时间应≤0.4s，对于记录在存储介质上的视(音)频信息，取出的存储介质应能在同型号的其他设备上正常回放，以保证设备发生故障后记录资料的留存(或复制)。复制后的视(音)频信号，应能在通用设备上回放，并不易被篡改。（投标时提供公安部检测报告证明）。</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视音频信号的同步方式可有多种选择，但视音频信号的失步时间应≤1s。</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72.11</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产品需为铝镁合金机箱，无风扇设计，具备良好的车载工作环境适应性。</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产品工作温度满足-10℃到55℃。</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系统自动恢复功能：设备在运行或升级过程中发生异常，重启后可自动恢复系统。（投标时提供公安部检测报告证明）。</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72.14</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接入协议：Web界面需支持GB/T 28181协议，1078协议设置选项。（投标时提供公安部检测报告证明）。</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72.15</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本次单台车载网络视频录像机内配置≥2*2TB 5400转2.5英寸SATA盘。</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技术要求是指对采购标的功能和质量要求，包括性能、材料、结构、外观、安全，或者服务内容和标准等。其中</w:t>
      </w:r>
      <w:r>
        <w:rPr>
          <w:rFonts w:ascii="SimSun" w:hAnsi="SimSun" w:eastAsia="SimSun" w:cs="SimSun"/>
          <w:b/>
          <w:color w:val="000000"/>
          <w:sz w:val="24"/>
        </w:rPr>
        <w:t xml:space="preserve">★号条款为实质性要求，如不符合按无效投标处理。“▲”代表重要参数指标，其他参数代表一般指标项。 如提供虚假响应材料，将被列入“江苏省政府采购网”黑名单。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1.交货期：签订合同 40日内完成设备的供货、安装、上好牌照、调试并交付给采购人正常使用。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2.交货地点：采购人指定地点。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3.质保期：</w:t>
      </w:r>
      <w:r>
        <w:rPr>
          <w:rFonts w:ascii="SimSun" w:hAnsi="SimSun" w:eastAsia="SimSun" w:cs="SimSun"/>
          <w:color w:val="000000"/>
          <w:sz w:val="24"/>
          <w:u w:val="none"/>
        </w:rPr>
        <w:t xml:space="preserve">医疗舱改装部分质保一年；提供底盘车辆质保3年或6万公里的保修标准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4.售后服务要求：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医疗舱改装部分提供不低于一年的保修服务。保修期内，由非人为因素引起的故障均在保修范围内，供应商完全免费提供保修服务。保修期外，供应商提供终生的维修服务，且要求相关配件及人工费用低于平均市场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（2）供应商需提供至少3人/次的培训服务，确保用户方至少有2名操作人员可熟练使用（相关人员差旅费自理）。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随车采购的所有医疗器械</w:t>
      </w:r>
      <w:r>
        <w:rPr>
          <w:rFonts w:ascii="SimSun" w:hAnsi="SimSun" w:eastAsia="SimSun" w:cs="SimSun"/>
          <w:color w:val="000000"/>
          <w:sz w:val="24"/>
        </w:rPr>
        <w:t xml:space="preserve">售后要求：根据采购人要求，中标人提供现场操作培训，至操作人员可熟练操作。整机免费质保叁年。在保修期内，中标人在接到用户维修电话通知后，应在2小时内响应，24小时内到位，及时修复设备故障。出现以下情形的中标供应商应无条件给予全套更新或退货：设备供货后3月内，出现非人为因素损坏的；设备供货后1年内，同一设备维修超过两次维修仍无法正常使用；设备供货后1年内，同一问题经两次维修，仍出现相同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5.验收方式：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②验收时，乙方必须参加，由双方签署验收单。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③项目完成后，供方需提供所投产品生产厂家的授权书、质保书、保修证明等书面资料，并按国家制造和安装的标准要求检测验收。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④验收标准：按本招标文件、供应商的投标文件、承诺及国家相关标准为准。如双方对验收结果有分歧，则以南通市海门区技术质量监督局的检验结果为准，检验费用由有过失的一方支付。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⑤货物到达采购人后，投标人应有专人负责看护并派工程技术人员到达现场，在采购人技术人员在场的情况下开箱清点货物，组织安装、调试及操作培训，并承担因此发生的一切费用。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⑥交货过程中如发现不符合本次采购文件所定产品，供方应无条件退换。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6.售后服务：</w:t>
      </w:r>
      <w:r/>
    </w:p>
    <w:p>
      <w:pPr>
        <w:ind w:left="0" w:right="0" w:firstLine="480"/>
        <w:jc w:val="both"/>
        <w:spacing w:before="0" w:after="0" w:line="85" w:lineRule="atLeast"/>
        <w:tabs>
          <w:tab w:val="left" w:pos="41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①中标供应商应明确负责本项目的合格的维修保养单位，并应有相当规模的备件库以满足日常检验及应急修理的需要。确保在接到采购单位通知后24小时内，将所需配件送达采购单位指定地点，并负责安装调试。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质保期内发生的零部件不正常的磨损，或产成品质量不符合生产工艺要求，或非人为原因而损坏、失效的零部件、电子元器件和易损件，中标供应商须免费提供服务；并在接到采购单位通知后24小时内更换上述零部件、电子元器件、备品备件和易损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在质保期内，因中标供应商所供设备制造质量问题出现设备故障时，中标供应商在接到甲方通知后，2小时内响应，在12小时内赶到甲方现场，并在24小时内免费予以排除故障、修复或更换零部件,并赔偿采购单位因此造成的直接损失。而因采购单位使用不当原因出现设备故障时，中标供应商在接到采购单位通知后，应在上述条款中所述的时限内赶到采购单位现场，帮助排除故障、修复或更换零部件，需更换零部件时，酌情收取成本费。如中标供应商未在上述时限内进行响应或排除故障，采购单位有权自行采取必要的措施，由此产生的风险和费用由中标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④中标供应商及时提供合同货物使用和维护方面的最新技术信息和资料。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7.付款方式：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1.项目验收合格后，支付合同价款的95%（根据财政部门拨款进度为准），余款5%验收合格三年后支付。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单位凭中标供应商有效完税发票向采购单位财政提交申请付款手续，款项由采购单位按相关财务支付规定办理支付手续，不得故意拖延支付时间（支付时间为采购单位向财政提交付款申请时间，不包括财政主管部门履行项目审批和资金拨付等流程所需的正常时间）。</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8.履约保证金：</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签订合同前，中标供应商缴纳本项目的履约保证金，为中标金额的5%。项目验收合格无质量问题一次性退还。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履约金缴纳方式非现金方式，须为银行转账、网银、电汇、支票、汇票、本票或者金融机构、担保机构出具的保函等形式提交，在签订合同前缴纳至甲方指定账户，否则采购人有权拒签合同。</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商务要求是指取得采购标的的时间、地点、财务和服务要求，包括交付（实施）的时间（期限）和地点（范围），付款条件（进度和方法），包装和运输，售后服务，保险等。其中</w:t>
      </w:r>
      <w:r>
        <w:rPr>
          <w:rFonts w:ascii="SimSun" w:hAnsi="SimSun" w:eastAsia="SimSun" w:cs="SimSun"/>
          <w:b/>
          <w:color w:val="000000"/>
          <w:sz w:val="24"/>
        </w:rPr>
        <w:t xml:space="preserve">加★号条款为实质性要求。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项目属性:货物类项目。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2．核心产品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3.进口产品投标：本项目不接受进口产品投标，供应商使用进口产品投标 ，则投标人该采购包作无效投标处理。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Hei" w:hAnsi="SimHei" w:eastAsia="SimHei" w:cs="SimHei"/>
          <w:b/>
          <w:color w:val="000000"/>
          <w:sz w:val="44"/>
        </w:rPr>
        <w:t xml:space="preserve">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8"/>
        <w:gridCol w:w="1610"/>
        <w:gridCol w:w="432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2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满足招标文件全部实质性要求，且按照评审因素的量化指标评审得分最高的投标人为中标候选人。</w:t>
            </w:r>
            <w:r/>
          </w:p>
        </w:tc>
      </w:tr>
    </w:tbl>
    <w:p>
      <w:pPr>
        <w:ind w:left="0" w:right="0" w:firstLine="439"/>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color w:val="000000"/>
          <w:sz w:val="24"/>
          <w:u w:val="single"/>
        </w:rPr>
        <w:t xml:space="preserve">10%</w:t>
      </w:r>
      <w:r>
        <w:rPr>
          <w:rFonts w:ascii="SimSun" w:hAnsi="SimSun" w:eastAsia="SimSun" w:cs="SimSun"/>
          <w:color w:val="000000"/>
          <w:sz w:val="24"/>
        </w:rPr>
        <w:t xml:space="preserve">的扣除价格，用扣除后的价格参与评审。</w:t>
      </w:r>
      <w:r/>
    </w:p>
    <w:p>
      <w:pPr>
        <w:ind w:left="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（2）供应商需按照采购文件的要求提供相应的《中小微企业声明函》。</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119"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119"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19"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4%</w:t>
      </w:r>
      <w:r>
        <w:rPr>
          <w:rFonts w:ascii="SimSun" w:hAnsi="SimSun" w:eastAsia="SimSun" w:cs="SimSun"/>
          <w:color w:val="000000"/>
          <w:sz w:val="24"/>
        </w:rPr>
        <w:t xml:space="preserve">的价格扣除，用扣除后的价格参与评审。</w:t>
      </w:r>
      <w:r/>
    </w:p>
    <w:p>
      <w:pPr>
        <w:ind w:left="0" w:right="0" w:firstLine="48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10%</w:t>
      </w:r>
      <w:r>
        <w:rPr>
          <w:rFonts w:ascii="SimSun" w:hAnsi="SimSun" w:eastAsia="SimSun" w:cs="SimSun"/>
          <w:color w:val="000000"/>
          <w:sz w:val="24"/>
        </w:rPr>
        <w:t xml:space="preserve">价格扣除，用扣除后的价格参与评审。</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7、采购本国产品的支持政策</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7.1 本项目政府采购活动中既有本国产品又有非本国产品参与竞争的，依法对本国产品给予价格评审优惠，对本国产品的报价给予  </w:t>
      </w:r>
      <w:r>
        <w:rPr>
          <w:rFonts w:ascii="Arial" w:hAnsi="Arial" w:eastAsia="Arial" w:cs="Arial"/>
          <w:color w:val="000000"/>
          <w:sz w:val="28"/>
          <w:u w:val="single"/>
        </w:rPr>
        <w:t xml:space="preserve">20%</w:t>
      </w:r>
      <w:r>
        <w:rPr>
          <w:rFonts w:ascii="Arial" w:hAnsi="Arial" w:eastAsia="Arial" w:cs="Arial"/>
          <w:color w:val="000000"/>
          <w:sz w:val="28"/>
        </w:rPr>
        <w:t xml:space="preserve">的价格扣除，用扣除后的价格参与评审。</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7.2 当采购项目或者采购包中含有多种产品，供应商为该采购项目或者采购包提供的符合本国产品标准的产品成本之和占该供应商提供的全部产品成本之和的比例达到</w:t>
      </w:r>
      <w:r>
        <w:rPr>
          <w:rFonts w:ascii="Arial" w:hAnsi="Arial" w:eastAsia="Arial" w:cs="Arial"/>
          <w:color w:val="000000"/>
          <w:sz w:val="28"/>
          <w:u w:val="single"/>
        </w:rPr>
        <w:t xml:space="preserve">80%</w:t>
      </w:r>
      <w:r>
        <w:rPr>
          <w:rFonts w:ascii="Arial" w:hAnsi="Arial" w:eastAsia="Arial" w:cs="Arial"/>
          <w:color w:val="000000"/>
          <w:sz w:val="28"/>
        </w:rPr>
        <w:t xml:space="preserve">以上时（供应商需在“第六章 投标文件格式”的“附件2 投标分项报价表”中填写比例数值），依法对该供应商提供的全部产品给予价格评审优惠，即对该供应商提供的全部产品的总报价给予</w:t>
      </w:r>
      <w:r>
        <w:rPr>
          <w:rFonts w:ascii="Arial" w:hAnsi="Arial" w:eastAsia="Arial" w:cs="Arial"/>
          <w:color w:val="000000"/>
          <w:sz w:val="28"/>
          <w:u w:val="single"/>
        </w:rPr>
        <w:t xml:space="preserve">20%</w:t>
      </w:r>
      <w:r>
        <w:rPr>
          <w:rFonts w:ascii="Arial" w:hAnsi="Arial" w:eastAsia="Arial" w:cs="Arial"/>
          <w:color w:val="000000"/>
          <w:sz w:val="28"/>
        </w:rPr>
        <w:t xml:space="preserve">的价格扣除，用扣除后的价格参与评审。供应商未填写比例数值，或比例数值未达到80%的，将不享受本国产品价格评审优惠。</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7.3 供应商需按照招标文件的要求提供《关于符合本国产品标准的声明函》（以下简称《声明函》），如不提供将不享受本国产品价格评审优惠。</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560"/>
        <w:spacing w:before="120" w:after="12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ind w:left="0" w:right="0" w:firstLine="413"/>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商务技术分：48分</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8"/>
        <w:gridCol w:w="1326"/>
        <w:gridCol w:w="840"/>
        <w:gridCol w:w="6254"/>
      </w:tblGrid>
      <w:tr>
        <w:trPr>
          <w:trHeight w:val="5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技术参数响应评价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1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根据招标文件对设备技术要求的描述，对投标文件的技术参数等的响应情况进行评分，全部响应满足招标文件技术要求的得34分。</w:t>
            </w:r>
            <w:r>
              <w:rPr>
                <w:rFonts w:ascii="SimSun" w:hAnsi="SimSun" w:eastAsia="SimSun" w:cs="SimSun"/>
                <w:b/>
                <w:color w:val="000000"/>
                <w:sz w:val="22"/>
              </w:rPr>
              <w:t xml:space="preserve">正偏离不加分。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1.“★”条款必须满足，如不符合按无效投标处理。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2.“▲”代表重要参数指标，每负偏离一项扣2分,其他技术参数每负偏离一项扣1分，扣完为止。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注：供应商对于“▲”技术参数的响应，需按招标文件相关要求提供证明材料；如出现虚假响应或所提供证明材料不足以认定符合采购需求的情形，经评标委员会评定可视为负偏离。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培训方案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供应商针对本项目制定培训计划、培训方案的全面性、详尽性进行打分:培训计划、培训方案的全面性、详尽性较好得6分;培训计划、培训方案的全面性、详性一般，得4分;培训计划、培训方案的全面性、详尽性较差，得2分;其他情况或者没有提供方案，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供应商针对本项目的售后服务方案、措施、响应能力等售后服务能力进行打分：售后服务承诺内容科学合理、内容详实，响应能力及故障修复时间较短的3分；售后服务承诺内容欠合理、内容不够完善，响应能力及故障修复时间一般的2分；售后服务承诺内容欠合理、内容不够完善，响应能力及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障修复时间较差的1分；其他情况或者没有提供方案，不得分。</w:t>
            </w:r>
            <w:r/>
          </w:p>
        </w:tc>
      </w:tr>
      <w:tr>
        <w:trPr>
          <w:trHeight w:val="7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供应商提供的医疗舱改装部分质保期的基础上每增加一年得1分，本项最多得3分。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供应商提供2021年1月1日以来救护车销售业绩合同，每提供1份得1分，最多得2分（提供合同复印件及用户单位质量服务评价表复印件，如提供虚假材料作废标处理）未提供的不得分。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注：①请供应商根据评分标准制作评分索引并放在评审内容的前面，评分索引中应标明每个评分点的页码范围，如响应文件内容顺序混乱，导致评委无法查看，后果自负。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②请供应商制作响应文件的时保证图片、文字材料的完整、清晰可辨，任何原因导致评委看不清楚或无法查看，后果由供应商自负。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③供应商制作响应文件时所用的所有原件材料均须准备好，签订合同前被采购人核查，如核查时供应商不能提供相关原件材料作弄虚作假处理，供应商自行承担相应法律后果。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价格分：50分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价格分统一采用低价优先法计算，即满足招标文件要求且投标价格最低的投标报价为评标基准价，其价格分为满分。其他投标人的价格分统一按照下列公式计算：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投标报价得分=（评标基准价/投标报价）×价格权值×100</w:t>
      </w:r>
      <w:r/>
    </w:p>
    <w:p>
      <w:pPr>
        <w:ind w:left="0" w:right="0" w:firstLine="480"/>
        <w:jc w:val="both"/>
        <w:spacing w:before="120" w:after="1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（六）节能环保（2分）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6.1投标产品属于财政部、国家发改委公布的“节能产品品目清单”范围内的，投标人提供国家确定的认证机构出具的、处于有效期之内的该节能产品认证证书复印件的，有1个得0.5分，最多得1分。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投标产品属于财政部、生态环境部公布的“环境标志产品品目清单”范围内的，投标人提供国家确定的认证机构出具的、处于有效期内的该投标产品环境标志产品认证证书复印件的，有1个得0.5分，最多得1分。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投标文件的组成</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1.开标一览表（格式见附件1）</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2.投标分项报价表（格式见附件2）</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3.技术要求响应及偏离表（格式见附件3）</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4.商务要求响应及偏离表（格式见附件4）</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5.其他认为需要提供的材料（格式自拟）</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二、资格审查内容</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2.上一年度的财务状况报告（投标人成立不满一年无需提供）</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前一年内至少一个月依法缴纳税收及缴纳社会保障资金的证明材料。投标人依法享受缓缴、免缴税收、社会保障资金的提供证明材料。）</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4.具备履行合同所必需的设备和专业技术能力的书面声明（格式见附件5）</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 3 年内在经营活动中没有重大违法记录的书面声</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明（格式见附件6）</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6.特定资格要求的证明文件（如果本项目对投标人做出特定资格要求的，必须提供）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8.法人授权书（格式见附件7）</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9.投标函（格式见附件8）</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10.中小微企业声明函（如果本项目专门面向中小微型企业采购，则必须提供。格式见附件9）</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11.残疾人福利性单位声明函（如果本项目专门面向中小微型企业采购，供应商为残疾人福利性单位并提供本单位制造的货物，或者提供其他残疾人福利性单位制造的货物，则必须提供。格式见附件10）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12.联合体协议（如果本项目接受联合体参加投标，投标人是联合体的，则必须提供。格式见附件11）</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总备注：上述“资格审查内容”中1-5条、8、9条投标人必须在投标文件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中提供相关材料，否则作无效投标处理；6、10、11、12条如招标文件要求必须提供相关材料而未提供的，作无效投标处理。</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三、符合性审查内容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投标人必须对招标文件（含技术要求和商务要求）中</w:t>
      </w:r>
      <w:r>
        <w:rPr>
          <w:rFonts w:ascii="SimSun" w:hAnsi="SimSun" w:eastAsia="SimSun" w:cs="SimSun"/>
          <w:b/>
          <w:color w:val="000000"/>
          <w:sz w:val="24"/>
        </w:rPr>
        <w:t xml:space="preserve">加</w:t>
      </w:r>
      <w:r>
        <w:rPr>
          <w:rFonts w:ascii="SimSun" w:hAnsi="SimSun" w:eastAsia="SimSun" w:cs="SimSun"/>
          <w:b/>
          <w:color w:val="000000"/>
          <w:sz w:val="22"/>
        </w:rPr>
        <w:t xml:space="preserve">★</w:t>
      </w:r>
      <w:r>
        <w:rPr>
          <w:rFonts w:ascii="SimSun" w:hAnsi="SimSun" w:eastAsia="SimSun" w:cs="SimSun"/>
          <w:b/>
          <w:color w:val="000000"/>
          <w:sz w:val="24"/>
        </w:rPr>
        <w:t xml:space="preserve">号条款</w:t>
      </w:r>
      <w:r>
        <w:rPr>
          <w:rFonts w:ascii="SimSun" w:hAnsi="SimSun" w:eastAsia="SimSun" w:cs="SimSun"/>
          <w:color w:val="000000"/>
          <w:sz w:val="24"/>
        </w:rPr>
        <w:t xml:space="preserve">的实质性要求逐条做出响应，并按照招标文件要求提供证明材料，否则作无效投标处理。（格式见附件12）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四、价格扣除证明文件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1.中小微企业声明函（格式见附件9）</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2.残疾人福利性单位声明函（格式见附件10）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 关于符合本国产品标准的声明函（格式见附件13）</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 开标一览表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采购包号：</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81"/>
        <w:gridCol w:w="6405"/>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05"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 投标分项报价表（采购包号：***）</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0"/>
        <w:gridCol w:w="728"/>
        <w:gridCol w:w="728"/>
        <w:gridCol w:w="938"/>
        <w:gridCol w:w="980"/>
        <w:gridCol w:w="1106"/>
        <w:gridCol w:w="1385"/>
        <w:gridCol w:w="924"/>
        <w:gridCol w:w="1008"/>
        <w:gridCol w:w="96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4"/>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rPr>
                <w:rFonts w:ascii="SimSun" w:hAnsi="SimSun" w:eastAsia="SimSun" w:cs="SimSun"/>
                <w:color w:val="000000"/>
                <w:sz w:val="24"/>
                <w:u w:val="single"/>
              </w:rPr>
              <w:t xml:space="preserve">                             </w:t>
            </w:r>
            <w:r/>
          </w:p>
        </w:tc>
      </w:tr>
      <w:tr>
        <w:trPr>
          <w:trHeight w:val="767"/>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本采购包中提供的符合本国产品标准的产品成本之和占该采购包提供的全部产品成本之和的比例为</w:t>
            </w:r>
            <w:r>
              <w:rPr>
                <w:rFonts w:ascii="Arial" w:hAnsi="Arial" w:eastAsia="Arial" w:cs="Arial"/>
                <w:color w:val="000000"/>
                <w:sz w:val="28"/>
                <w:u w:val="single"/>
              </w:rPr>
              <w:t xml:space="preserve">***</w:t>
            </w:r>
            <w:r>
              <w:rPr>
                <w:rFonts w:ascii="Arial" w:hAnsi="Arial" w:eastAsia="Arial" w:cs="Arial"/>
                <w:color w:val="000000"/>
                <w:sz w:val="28"/>
              </w:rPr>
              <w:t xml:space="preserve">%。</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w:t>
      </w:r>
      <w:r>
        <w:rPr>
          <w:rFonts w:ascii="SimSun" w:hAnsi="SimSun" w:eastAsia="SimSun" w:cs="SimSun"/>
          <w:color w:val="000000"/>
          <w:sz w:val="24"/>
        </w:rPr>
        <w:t xml:space="preserve">投标分项报价表</w:t>
      </w:r>
      <w:r>
        <w:rPr>
          <w:rFonts w:ascii="SimSun" w:hAnsi="SimSun" w:eastAsia="SimSun" w:cs="SimSun"/>
          <w:color w:val="000000"/>
          <w:sz w:val="21"/>
        </w:rPr>
        <w:t xml:space="preserve">”</w:t>
      </w:r>
      <w:r>
        <w:rPr>
          <w:rFonts w:ascii="SimSun" w:hAnsi="SimSun" w:eastAsia="SimSun" w:cs="SimSun"/>
          <w:color w:val="000000"/>
          <w:sz w:val="24"/>
        </w:rPr>
        <w:t xml:space="preserve">中“投标总报价”数额应当与“开标一览表”中“投标总报价”数额一致。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4.投标人需认真填写本报价表，尤其注意规格型号的准确填写。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5.项目经办人可以根据项目实际需要对表格结构进行调整。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 技术要求响应及偏离表</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1.投标人需对招标文件技术要求中非实质性要求（</w:t>
      </w:r>
      <w:r>
        <w:rPr>
          <w:rFonts w:ascii="SimSun" w:hAnsi="SimSun" w:eastAsia="SimSun" w:cs="SimSun"/>
          <w:b/>
          <w:color w:val="000000"/>
          <w:sz w:val="24"/>
        </w:rPr>
        <w:t xml:space="preserve">未加</w:t>
      </w:r>
      <w:r>
        <w:rPr>
          <w:rFonts w:ascii="SimSun" w:hAnsi="SimSun" w:eastAsia="SimSun" w:cs="SimSun"/>
          <w:b/>
          <w:color w:val="000000"/>
          <w:sz w:val="22"/>
        </w:rPr>
        <w:t xml:space="preserve">★</w:t>
      </w:r>
      <w:r>
        <w:rPr>
          <w:rFonts w:ascii="SimSun" w:hAnsi="SimSun" w:eastAsia="SimSun" w:cs="SimSun"/>
          <w:b/>
          <w:color w:val="000000"/>
          <w:sz w:val="24"/>
        </w:rPr>
        <w:t xml:space="preserve">号条款</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 商务要求响应及偏离表</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1.投标人需对招标文件商务要求中非实质性要求（</w:t>
      </w:r>
      <w:r>
        <w:rPr>
          <w:rFonts w:ascii="SimSun" w:hAnsi="SimSun" w:eastAsia="SimSun" w:cs="SimSun"/>
          <w:b/>
          <w:color w:val="000000"/>
          <w:sz w:val="24"/>
        </w:rPr>
        <w:t xml:space="preserve">未加</w:t>
      </w:r>
      <w:r>
        <w:rPr>
          <w:rFonts w:ascii="SimSun" w:hAnsi="SimSun" w:eastAsia="SimSun" w:cs="SimSun"/>
          <w:b/>
          <w:color w:val="000000"/>
          <w:sz w:val="22"/>
        </w:rPr>
        <w:t xml:space="preserve">★</w:t>
      </w:r>
      <w:r>
        <w:rPr>
          <w:rFonts w:ascii="SimSun" w:hAnsi="SimSun" w:eastAsia="SimSun" w:cs="SimSun"/>
          <w:b/>
          <w:color w:val="000000"/>
          <w:sz w:val="24"/>
        </w:rPr>
        <w:t xml:space="preserve">号条款</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 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 参加政府采购活动前 3 年内在经营活动中没有重大违法记录的书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                         法人授权书</w:t>
      </w:r>
      <w:r/>
    </w:p>
    <w:p>
      <w:pPr>
        <w:ind w:left="0" w:right="0" w:firstLine="48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JSZC-320000-</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被授权人电子邮箱：</w:t>
      </w:r>
      <w:r>
        <w:rPr>
          <w:rFonts w:ascii="SimSun" w:hAnsi="SimSun" w:eastAsia="SimSun" w:cs="SimSun"/>
          <w:color w:val="000000"/>
          <w:sz w:val="24"/>
          <w:u w:val="single"/>
        </w:rPr>
        <w:t xml:space="preserve">                </w:t>
      </w:r>
      <w:r/>
    </w:p>
    <w:p>
      <w:pPr>
        <w:ind w:left="0" w:right="0" w:firstLine="120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我公司（单位）委托进行现场演示的人员为</w:t>
      </w:r>
      <w:r>
        <w:rPr>
          <w:rFonts w:ascii="SimSun" w:hAnsi="SimSun" w:eastAsia="SimSun" w:cs="SimSun"/>
          <w:color w:val="000000"/>
          <w:sz w:val="24"/>
          <w:u w:val="single"/>
        </w:rPr>
        <w:t xml:space="preserve">     </w:t>
      </w:r>
      <w:r>
        <w:rPr>
          <w:rFonts w:ascii="SimSun" w:hAnsi="SimSun" w:eastAsia="SimSun" w:cs="SimSun"/>
          <w:color w:val="000000"/>
          <w:sz w:val="24"/>
        </w:rPr>
        <w:t xml:space="preserve">（本项目如果无现场演示要求，请项目经办人自行删除备注）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（人员姓名），身份证号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                            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致：江苏弘业国际技术工程有限公司</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根据贵方的JSZC-320000-</w:t>
      </w:r>
      <w:r>
        <w:rPr>
          <w:rFonts w:ascii="SimSun" w:hAnsi="SimSun" w:eastAsia="SimSun" w:cs="SimSun"/>
          <w:color w:val="000000"/>
          <w:sz w:val="24"/>
          <w:u w:val="single"/>
        </w:rPr>
        <w:t xml:space="preserve">****</w:t>
      </w:r>
      <w:r>
        <w:rPr>
          <w:rFonts w:ascii="SimSun" w:hAnsi="SimSun" w:eastAsia="SimSun" w:cs="SimSun"/>
          <w:color w:val="000000"/>
          <w:sz w:val="24"/>
        </w:rPr>
        <w:t xml:space="preserve">号招标文件，正式授权下述签字人_____(姓名)代表我方_______（投标人的名称），全权处理本次项目投标的有关事宜。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附件9  中小微企业声明函（货物类项目）</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本公司（联合体）郑重声明，根据《政府采购促进中小企业发展管理办法》(财库〔2020〕46号)的规定，本公司（联合体）参加江苏弘业国际技术工程有限公司组织的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采购编号为JSZC-320000-</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（项目名称）（采购包号：**）</w:t>
      </w:r>
      <w:r>
        <w:rPr>
          <w:rFonts w:ascii="SimSun" w:hAnsi="SimSun" w:eastAsia="SimSun" w:cs="SimSun"/>
          <w:color w:val="000000"/>
          <w:sz w:val="24"/>
        </w:rPr>
        <w:t xml:space="preserve">的采购活动，提供的货物全部由符合政策要求的中小微企业制造。相关企业（含联合体中的中小微企业、签订采购包意向协议的中小微企业）的具体情况如下：</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行业；投标产品制造商为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行业；投标产品制造商为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48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附件10残疾人福利性单位声明函（货物类项目）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中国残疾人联合会关于促进残疾人就业政府采购政策的通知》（财库〔2017〕141号）的规定，本单位为符合条件的残疾人福利性单位，且本单位参加______单位的采购文件编号为JSZC-320000-</w:t>
      </w:r>
      <w:r>
        <w:rPr>
          <w:rFonts w:ascii="SimSun" w:hAnsi="SimSun" w:eastAsia="SimSun" w:cs="SimSun"/>
          <w:color w:val="000000"/>
          <w:sz w:val="24"/>
          <w:u w:val="single"/>
        </w:rPr>
        <w:t xml:space="preserve">****</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项目（采购包号：**）采购活动提供本单位制造的货物，或者提供其他残疾人福利性单位制造的货物（不包括使用非残疾人福利性单位注册商标的货物）。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非专门面向中小微型企业采购的项目，供应商如不提供此声明函，价格将不做相应扣除。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59" w:firstLine="624"/>
        <w:jc w:val="center"/>
        <w:spacing w:before="0" w:after="0" w:line="400"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59" w:firstLine="480"/>
        <w:jc w:val="center"/>
        <w:spacing w:before="0" w:after="0" w:line="400"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附件11 联合体协议（参考格式）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自愿组成联合体，参加江苏弘业国际技术工程有限公司组织的采购编号为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项目（采购包号：**）的政府采购活动，我联合体指定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6"/>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6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附件12实质性要求响应及偏离表</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609"/>
        <w:gridCol w:w="3317"/>
        <w:gridCol w:w="15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招标文件（含技术要求和商务要求）中的实质性要求</w:t>
            </w:r>
            <w:r>
              <w:rPr>
                <w:rFonts w:ascii="SimSun" w:hAnsi="SimSun" w:eastAsia="SimSun" w:cs="SimSun"/>
                <w:b/>
                <w:color w:val="000000"/>
                <w:sz w:val="24"/>
              </w:rPr>
              <w:t xml:space="preserve">（加</w:t>
            </w:r>
            <w:r>
              <w:rPr>
                <w:rFonts w:ascii="SimSun" w:hAnsi="SimSun" w:eastAsia="SimSun" w:cs="SimSun"/>
                <w:b/>
                <w:color w:val="000000"/>
                <w:sz w:val="22"/>
              </w:rPr>
              <w:t xml:space="preserve">★</w:t>
            </w:r>
            <w:r>
              <w:rPr>
                <w:rFonts w:ascii="SimSun" w:hAnsi="SimSun" w:eastAsia="SimSun" w:cs="SimSun"/>
                <w:b/>
                <w:color w:val="000000"/>
                <w:sz w:val="24"/>
              </w:rPr>
              <w:t xml:space="preserve">号条款）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附件12-1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1.投标人必须对招标文件（含技术要求和商务要求）中的实质性要求</w:t>
      </w:r>
      <w:r>
        <w:rPr>
          <w:rFonts w:ascii="SimSun" w:hAnsi="SimSun" w:eastAsia="SimSun" w:cs="SimSun"/>
          <w:b/>
          <w:color w:val="000000"/>
          <w:sz w:val="24"/>
        </w:rPr>
        <w:t xml:space="preserve">（加</w:t>
      </w:r>
      <w:r>
        <w:rPr>
          <w:rFonts w:ascii="SimSun" w:hAnsi="SimSun" w:eastAsia="SimSun" w:cs="SimSun"/>
          <w:b/>
          <w:color w:val="000000"/>
          <w:sz w:val="22"/>
        </w:rPr>
        <w:t xml:space="preserve">★</w:t>
      </w:r>
      <w:r>
        <w:rPr>
          <w:rFonts w:ascii="SimSun" w:hAnsi="SimSun" w:eastAsia="SimSun" w:cs="SimSun"/>
          <w:b/>
          <w:color w:val="000000"/>
          <w:sz w:val="24"/>
        </w:rPr>
        <w:t xml:space="preserve">号条款）</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附件13  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1500" cy="1428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091215"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742301"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524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050120" name=""/>
                        <pic:cNvPicPr>
                          <a:picLocks noChangeAspect="1"/>
                        </pic:cNvPicPr>
                        <pic:nvPr/>
                      </pic:nvPicPr>
                      <pic:blipFill>
                        <a:blip/>
                        <a:stretch/>
                      </pic:blipFill>
                      <pic:spPr bwMode="auto">
                        <a:xfrm>
                          <a:off x="0" y="0"/>
                          <a:ext cx="828675"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5.2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81000" cy="1143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781902" name=""/>
                        <pic:cNvPicPr>
                          <a:picLocks noChangeAspect="1"/>
                        </pic:cNvPicPr>
                        <pic:nvPr/>
                      </pic:nvPicPr>
                      <pic:blipFill>
                        <a:blip/>
                        <a:stretch/>
                      </pic:blipFill>
                      <pic:spPr bwMode="auto">
                        <a:xfrm>
                          <a:off x="0" y="0"/>
                          <a:ext cx="3809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0.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90550" cy="1047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957270" name=""/>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5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85825" cy="13335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709697" name=""/>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9.8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1430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095158"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8572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92398" name=""/>
                        <pic:cNvPicPr>
                          <a:picLocks noChangeAspect="1"/>
                        </pic:cNvPicPr>
                        <pic:nvPr/>
                      </pic:nvPicPr>
                      <pic:blipFill>
                        <a:blip/>
                        <a:stretch/>
                      </pic:blipFill>
                      <pic:spPr bwMode="auto">
                        <a:xfrm>
                          <a:off x="0" y="0"/>
                          <a:ext cx="828675"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5.2pt;height:6.8pt;mso-wrap-distance-left:0.0pt;mso-wrap-distance-top:0.0pt;mso-wrap-distance-right:0.0pt;mso-wrap-distance-bottom:0.0pt;" stroked="false">
                <v:path textboxrect="0,0,0,0"/>
              </v:shape>
            </w:pict>
          </mc:Fallback>
        </mc:AlternateContent>
      </w:r>
      <w:r>
        <w:rPr>
          <w:rFonts w:ascii="Arial" w:hAnsi="Arial" w:eastAsia="Arial" w:cs="Arial"/>
          <w:color w:val="000000"/>
          <w:sz w:val="24"/>
          <w:highlight w:val="white"/>
        </w:rPr>
        <w:t xml:space="preserve">1.</w:t>
      </w:r>
      <w:r>
        <w:rPr>
          <w:rFonts w:ascii="Arial" w:hAnsi="Arial" w:eastAsia="Arial" w:cs="Arial"/>
          <w:color w:val="000000"/>
          <w:sz w:val="24"/>
          <w:highlight w:val="white"/>
          <w:u w:val="single"/>
        </w:rPr>
        <w:t xml:space="preserve">（产品名称1）</w:t>
      </w:r>
      <w:r>
        <w:rPr>
          <w:rFonts w:ascii="Arial" w:hAnsi="Arial" w:eastAsia="Arial" w:cs="Arial"/>
          <w:color w:val="000000"/>
          <w:sz w:val="20"/>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0"/>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 （产品名称1） </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（规定比例）</w:t>
      </w:r>
      <w:r>
        <w:rPr>
          <w:rFonts w:ascii="Arial" w:hAnsi="Arial" w:eastAsia="Arial" w:cs="Arial"/>
          <w:color w:val="000000"/>
          <w:sz w:val="20"/>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（关键组件）</w:t>
      </w:r>
      <w:r>
        <w:rPr>
          <w:rFonts w:ascii="Arial" w:hAnsi="Arial" w:eastAsia="Arial" w:cs="Arial"/>
          <w:color w:val="000000"/>
          <w:sz w:val="20"/>
          <w:highlight w:val="white"/>
          <w:vertAlign w:val="superscript"/>
        </w:rPr>
        <w:t xml:space="preserve">4</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（关键工序）</w:t>
      </w:r>
      <w:r>
        <w:rPr>
          <w:rFonts w:ascii="Arial" w:hAnsi="Arial" w:eastAsia="Arial" w:cs="Arial"/>
          <w:color w:val="000000"/>
          <w:sz w:val="20"/>
          <w:highlight w:val="white"/>
          <w:vertAlign w:val="superscript"/>
        </w:rPr>
        <w:t xml:space="preserve">5</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76250" cy="16192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618022" name=""/>
                        <pic:cNvPicPr>
                          <a:picLocks noChangeAspect="1"/>
                        </pic:cNvPicPr>
                        <pic:nvPr/>
                      </pic:nvPicPr>
                      <pic:blipFill>
                        <a:blip/>
                        <a:stretch/>
                      </pic:blipFill>
                      <pic:spPr bwMode="auto">
                        <a:xfrm>
                          <a:off x="0" y="0"/>
                          <a:ext cx="4762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7.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38150" cy="123825"/>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758981" name=""/>
                        <pic:cNvPicPr>
                          <a:picLocks noChangeAspect="1"/>
                        </pic:cNvPicPr>
                        <pic:nvPr/>
                      </pic:nvPicPr>
                      <pic:blipFill>
                        <a:blip/>
                        <a:stretch/>
                      </pic:blipFill>
                      <pic:spPr bwMode="auto">
                        <a:xfrm>
                          <a:off x="0" y="0"/>
                          <a:ext cx="43814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4.5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47650" cy="9525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487847" name=""/>
                        <pic:cNvPicPr>
                          <a:picLocks noChangeAspect="1"/>
                        </pic:cNvPicPr>
                        <pic:nvPr/>
                      </pic:nvPicPr>
                      <pic:blipFill>
                        <a:blip/>
                        <a:stretch/>
                      </pic:blipFill>
                      <pic:spPr bwMode="auto">
                        <a:xfrm>
                          <a:off x="0" y="0"/>
                          <a:ext cx="247649"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9.5pt;height:7.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152325"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7.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14400" cy="15240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498738" name=""/>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2.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38200" cy="1143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704949" name=""/>
                        <pic:cNvPicPr>
                          <a:picLocks noChangeAspect="1"/>
                        </pic:cNvPicPr>
                        <pic:nvPr/>
                      </pic:nvPicPr>
                      <pic:blipFill>
                        <a:blip/>
                        <a:stretch/>
                      </pic:blipFill>
                      <pic:spPr bwMode="auto">
                        <a:xfrm>
                          <a:off x="0" y="0"/>
                          <a:ext cx="838198"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6.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327330"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466953"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7.5pt;height:10.5pt;mso-wrap-distance-left:0.0pt;mso-wrap-distance-top:0.0pt;mso-wrap-distance-right:0.0pt;mso-wrap-distance-bottom:0.0pt;" stroked="false">
                <v:path textboxrect="0,0,0,0"/>
              </v:shape>
            </w:pict>
          </mc:Fallback>
        </mc:AlternateContent>
      </w:r>
      <w:r>
        <w:rPr>
          <w:rFonts w:ascii="Arial" w:hAnsi="Arial" w:eastAsia="Arial" w:cs="Arial"/>
          <w:color w:val="000000"/>
          <w:sz w:val="24"/>
          <w:highlight w:val="white"/>
        </w:rPr>
        <w:t xml:space="preserve">2.</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（规定比例）</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（关键组件）</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（关键工序）</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6.用斜线划除的地方无需填写。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3.质疑供应商若对项目的某一采购包进行质疑，质疑函中应列明具体采购包号。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762500" cy="4762500"/>
                <wp:effectExtent l="0" t="0" r="0" b="0"/>
                <wp:docPr id="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866276" name=""/>
                        <pic:cNvPicPr>
                          <a:picLocks noChangeAspect="1"/>
                        </pic:cNvPicPr>
                        <pic:nvPr/>
                      </pic:nvPicPr>
                      <pic:blipFill>
                        <a:blip/>
                        <a:stretch/>
                      </pic:blipFill>
                      <pic:spPr bwMode="auto">
                        <a:xfrm>
                          <a:off x="0" y="0"/>
                          <a:ext cx="4762499" cy="47624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75.0pt;height:375.0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762500" cy="4762500"/>
                <wp:effectExtent l="0" t="0" r="0" b="0"/>
                <wp:docPr id="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025350" name=""/>
                        <pic:cNvPicPr>
                          <a:picLocks noChangeAspect="1"/>
                        </pic:cNvPicPr>
                        <pic:nvPr/>
                      </pic:nvPicPr>
                      <pic:blipFill>
                        <a:blip/>
                        <a:stretch/>
                      </pic:blipFill>
                      <pic:spPr bwMode="auto">
                        <a:xfrm>
                          <a:off x="0" y="0"/>
                          <a:ext cx="4762499" cy="47624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375.0pt;height:375.0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r/>
      <w:r/>
    </w:p>
    <w:sectPr>
      <w:headerReference w:type="default" r:id="rId9"/>
      <w:footerReference w:type="default" r:id="rId10"/>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Kaiti">
    <w:panose1 w:val="02010600040101010101"/>
  </w:font>
  <w:font w:name="FangSong">
    <w:panose1 w:val="02010609060101010101"/>
  </w:font>
  <w:font w:name="SimHei">
    <w:panose1 w:val="02010609060101010101"/>
  </w:font>
  <w:font w:name="Wingdings">
    <w:panose1 w:val="05000000000000000000"/>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Courier New">
    <w:panose1 w:val="02070309020205020404"/>
  </w:font>
  <w:font w:name="KaiTi">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_GB2312">
    <w:panose1 w:val="020B0503020202020204"/>
  </w:font>
  <w:font w:name="SimSun">
    <w:panose1 w:val="02010600030101010101"/>
  </w:font>
  <w:font w:name="monospace">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2639060</wp:posOffset>
              </wp:positionH>
              <wp:positionV relativeFrom="paragraph">
                <wp:posOffset>18415</wp:posOffset>
              </wp:positionV>
              <wp:extent cx="915035" cy="1479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915035" cy="147955"/>
                      </a:xfrm>
                      <a:prstGeom prst="rect">
                        <a:avLst/>
                      </a:prstGeom>
                      <a:noFill/>
                      <a:ln>
                        <a:noFill/>
                      </a:ln>
                    </wps:spPr>
                    <wps:txbx>
                      <w:txbxContent>
                        <w:p>
                          <w:pPr>
                            <w:pStyle w:val="759"/>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NUMPAGES \* MERGEFORMAT</w:instrText>
                          </w:r>
                          <w:r>
                            <w:fldChar w:fldCharType="separate"/>
                          </w:r>
                          <w:r>
                            <w:t xml:space="preserve">60</w:t>
                          </w:r>
                          <w:r>
                            <w:fldChar w:fldCharType="end"/>
                          </w:r>
                          <w: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argin-left:207.8pt;mso-position-horizontal:absolute;mso-position-vertical-relative:text;margin-top:1.4pt;mso-position-vertical:absolute;width:72.0pt;height:11.6pt;mso-wrap-distance-left:9.0pt;mso-wrap-distance-top:0.0pt;mso-wrap-distance-right:9.0pt;mso-wrap-distance-bottom:0.0pt;visibility:visible;" filled="f" stroked="f">
              <v:textbox inset="0,0,0,0">
                <w:txbxContent>
                  <w:p>
                    <w:pPr>
                      <w:pStyle w:val="759"/>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NUMPAGES \* MERGEFORMAT</w:instrText>
                    </w:r>
                    <w:r>
                      <w:fldChar w:fldCharType="separate"/>
                    </w:r>
                    <w:r>
                      <w:t xml:space="preserve">60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33"/>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next w:val="7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1">
    <w:name w:val="Heading 1"/>
    <w:basedOn w:val="730"/>
    <w:next w:val="730"/>
    <w:link w:val="967"/>
    <w:uiPriority w:val="0"/>
    <w:qFormat/>
    <w:pPr>
      <w:keepLines/>
      <w:keepNext/>
      <w:spacing w:before="340" w:after="330" w:line="578" w:lineRule="auto"/>
      <w:outlineLvl w:val="0"/>
    </w:pPr>
    <w:rPr>
      <w:b/>
      <w:bCs/>
      <w:sz w:val="44"/>
      <w:szCs w:val="44"/>
    </w:rPr>
  </w:style>
  <w:style w:type="paragraph" w:styleId="732">
    <w:name w:val="Heading 2"/>
    <w:basedOn w:val="730"/>
    <w:next w:val="730"/>
    <w:link w:val="968"/>
    <w:uiPriority w:val="0"/>
    <w:qFormat/>
    <w:pPr>
      <w:keepLines/>
      <w:keepNext/>
      <w:spacing w:before="260" w:after="260" w:line="416" w:lineRule="auto"/>
      <w:outlineLvl w:val="1"/>
    </w:pPr>
    <w:rPr>
      <w:rFonts w:ascii="Arial" w:hAnsi="Arial" w:eastAsia="黑体"/>
      <w:b/>
      <w:bCs/>
      <w:sz w:val="32"/>
      <w:szCs w:val="32"/>
    </w:rPr>
  </w:style>
  <w:style w:type="paragraph" w:styleId="733">
    <w:name w:val="Heading 3"/>
    <w:basedOn w:val="730"/>
    <w:next w:val="730"/>
    <w:link w:val="969"/>
    <w:uiPriority w:val="0"/>
    <w:qFormat/>
    <w:pPr>
      <w:keepLines/>
      <w:keepNext/>
      <w:spacing w:before="260" w:after="260" w:line="416" w:lineRule="auto"/>
      <w:outlineLvl w:val="2"/>
    </w:pPr>
    <w:rPr>
      <w:b/>
      <w:bCs/>
      <w:sz w:val="32"/>
      <w:szCs w:val="32"/>
    </w:rPr>
  </w:style>
  <w:style w:type="paragraph" w:styleId="734">
    <w:name w:val="Heading 4"/>
    <w:basedOn w:val="730"/>
    <w:next w:val="730"/>
    <w:link w:val="970"/>
    <w:uiPriority w:val="0"/>
    <w:qFormat/>
    <w:pPr>
      <w:jc w:val="center"/>
      <w:keepNext/>
      <w:outlineLvl w:val="3"/>
    </w:pPr>
    <w:rPr>
      <w:rFonts w:eastAsia="新宋体"/>
      <w:sz w:val="30"/>
      <w:szCs w:val="21"/>
    </w:rPr>
  </w:style>
  <w:style w:type="paragraph" w:styleId="735">
    <w:name w:val="Heading 5"/>
    <w:basedOn w:val="730"/>
    <w:next w:val="730"/>
    <w:link w:val="971"/>
    <w:uiPriority w:val="0"/>
    <w:qFormat/>
    <w:pPr>
      <w:keepLines/>
      <w:keepNext/>
      <w:spacing w:before="280" w:after="290" w:line="376" w:lineRule="auto"/>
      <w:outlineLvl w:val="4"/>
    </w:pPr>
    <w:rPr>
      <w:b/>
      <w:bCs/>
      <w:sz w:val="28"/>
      <w:szCs w:val="28"/>
    </w:rPr>
  </w:style>
  <w:style w:type="paragraph" w:styleId="736">
    <w:name w:val="Heading 6"/>
    <w:basedOn w:val="730"/>
    <w:next w:val="743"/>
    <w:link w:val="972"/>
    <w:uiPriority w:val="0"/>
    <w:qFormat/>
    <w:pPr>
      <w:jc w:val="center"/>
      <w:keepNext/>
      <w:outlineLvl w:val="5"/>
    </w:pPr>
    <w:rPr>
      <w:b/>
      <w:sz w:val="44"/>
      <w:szCs w:val="20"/>
    </w:rPr>
  </w:style>
  <w:style w:type="paragraph" w:styleId="737">
    <w:name w:val="Heading 7"/>
    <w:basedOn w:val="730"/>
    <w:next w:val="730"/>
    <w:link w:val="974"/>
    <w:uiPriority w:val="0"/>
    <w:qFormat/>
    <w:pPr>
      <w:keepLines/>
      <w:keepNext/>
      <w:spacing w:before="240" w:after="64" w:line="320" w:lineRule="auto"/>
      <w:outlineLvl w:val="6"/>
    </w:pPr>
    <w:rPr>
      <w:b/>
      <w:bCs/>
      <w:sz w:val="24"/>
    </w:rPr>
  </w:style>
  <w:style w:type="paragraph" w:styleId="738">
    <w:name w:val="Heading 8"/>
    <w:basedOn w:val="730"/>
    <w:next w:val="730"/>
    <w:link w:val="975"/>
    <w:uiPriority w:val="0"/>
    <w:qFormat/>
    <w:pPr>
      <w:keepLines/>
      <w:keepNext/>
      <w:spacing w:before="240" w:after="64" w:line="320" w:lineRule="auto"/>
      <w:outlineLvl w:val="7"/>
    </w:pPr>
    <w:rPr>
      <w:rFonts w:ascii="Arial" w:hAnsi="Arial" w:eastAsia="黑体"/>
      <w:sz w:val="24"/>
    </w:rPr>
  </w:style>
  <w:style w:type="paragraph" w:styleId="739">
    <w:name w:val="Heading 9"/>
    <w:basedOn w:val="730"/>
    <w:next w:val="730"/>
    <w:link w:val="976"/>
    <w:uiPriority w:val="0"/>
    <w:qFormat/>
    <w:pPr>
      <w:keepLines/>
      <w:keepNext/>
      <w:spacing w:before="240" w:after="64" w:line="320" w:lineRule="auto"/>
      <w:outlineLvl w:val="8"/>
    </w:pPr>
    <w:rPr>
      <w:rFonts w:ascii="Arial" w:hAnsi="Arial" w:eastAsia="黑体"/>
      <w:sz w:val="24"/>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customStyle="1">
    <w:name w:val="正文（缩进）"/>
    <w:uiPriority w:val="0"/>
    <w:qFormat/>
    <w:pPr>
      <w:ind w:firstLine="480"/>
      <w:jc w:val="both"/>
      <w:spacing w:before="156" w:after="156"/>
      <w:widowControl w:val="off"/>
    </w:pPr>
    <w:rPr>
      <w:rFonts w:hint="default" w:ascii="Times New Roman" w:hAnsi="Times New Roman" w:eastAsia="宋体" w:cs="Times New Roman"/>
      <w:sz w:val="21"/>
      <w:lang w:val="en-US" w:eastAsia="zh-CN" w:bidi="ar-SA"/>
    </w:rPr>
  </w:style>
  <w:style w:type="paragraph" w:styleId="743">
    <w:name w:val="Normal Indent"/>
    <w:basedOn w:val="730"/>
    <w:link w:val="973"/>
    <w:uiPriority w:val="0"/>
    <w:qFormat/>
    <w:pPr>
      <w:ind w:firstLine="420"/>
    </w:pPr>
    <w:rPr>
      <w:sz w:val="20"/>
      <w:szCs w:val="20"/>
    </w:rPr>
  </w:style>
  <w:style w:type="paragraph" w:styleId="744">
    <w:name w:val="toc 7"/>
    <w:basedOn w:val="730"/>
    <w:next w:val="730"/>
    <w:uiPriority w:val="39"/>
    <w:unhideWhenUsed/>
    <w:qFormat/>
    <w:pPr>
      <w:ind w:left="1701"/>
      <w:spacing w:after="57"/>
    </w:pPr>
  </w:style>
  <w:style w:type="paragraph" w:styleId="745">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6">
    <w:name w:val="Document Map"/>
    <w:basedOn w:val="730"/>
    <w:link w:val="977"/>
    <w:uiPriority w:val="0"/>
    <w:semiHidden/>
    <w:qFormat/>
    <w:pPr>
      <w:shd w:val="clear" w:color="auto" w:fill="000080"/>
    </w:pPr>
    <w:rPr>
      <w:sz w:val="20"/>
    </w:rPr>
  </w:style>
  <w:style w:type="paragraph" w:styleId="747">
    <w:name w:val="annotation text"/>
    <w:basedOn w:val="730"/>
    <w:uiPriority w:val="99"/>
    <w:semiHidden/>
    <w:unhideWhenUsed/>
    <w:qFormat/>
    <w:pPr>
      <w:jc w:val="left"/>
    </w:pPr>
  </w:style>
  <w:style w:type="paragraph" w:styleId="748">
    <w:name w:val="Body Text 3"/>
    <w:basedOn w:val="730"/>
    <w:link w:val="978"/>
    <w:uiPriority w:val="0"/>
    <w:qFormat/>
    <w:pPr>
      <w:spacing w:after="120"/>
    </w:pPr>
    <w:rPr>
      <w:sz w:val="16"/>
      <w:szCs w:val="16"/>
    </w:rPr>
  </w:style>
  <w:style w:type="paragraph" w:styleId="749">
    <w:name w:val="Body Text"/>
    <w:basedOn w:val="730"/>
    <w:next w:val="730"/>
    <w:link w:val="965"/>
    <w:uiPriority w:val="0"/>
    <w:qFormat/>
    <w:rPr>
      <w:rFonts w:ascii="仿宋_GB2312" w:eastAsia="仿宋_GB2312"/>
      <w:sz w:val="24"/>
      <w:szCs w:val="20"/>
    </w:rPr>
  </w:style>
  <w:style w:type="paragraph" w:styleId="750">
    <w:name w:val="Body Text Indent"/>
    <w:basedOn w:val="730"/>
    <w:link w:val="979"/>
    <w:uiPriority w:val="0"/>
    <w:qFormat/>
    <w:pPr>
      <w:ind w:left="765"/>
    </w:pPr>
    <w:rPr>
      <w:rFonts w:ascii="仿宋_GB2312" w:eastAsia="仿宋_GB2312"/>
      <w:sz w:val="28"/>
      <w:szCs w:val="20"/>
    </w:rPr>
  </w:style>
  <w:style w:type="paragraph" w:styleId="751">
    <w:name w:val="toc 5"/>
    <w:basedOn w:val="730"/>
    <w:next w:val="730"/>
    <w:uiPriority w:val="39"/>
    <w:unhideWhenUsed/>
    <w:qFormat/>
    <w:pPr>
      <w:ind w:left="1134"/>
      <w:spacing w:after="57"/>
    </w:pPr>
  </w:style>
  <w:style w:type="paragraph" w:styleId="752">
    <w:name w:val="toc 3"/>
    <w:basedOn w:val="730"/>
    <w:next w:val="730"/>
    <w:uiPriority w:val="39"/>
    <w:unhideWhenUsed/>
    <w:qFormat/>
    <w:pPr>
      <w:ind w:left="567"/>
      <w:spacing w:after="57"/>
    </w:pPr>
  </w:style>
  <w:style w:type="paragraph" w:styleId="753">
    <w:name w:val="Plain Text"/>
    <w:basedOn w:val="730"/>
    <w:link w:val="980"/>
    <w:uiPriority w:val="0"/>
    <w:qFormat/>
    <w:rPr>
      <w:rFonts w:ascii="宋体" w:hAnsi="Courier New"/>
      <w:sz w:val="20"/>
      <w:szCs w:val="21"/>
    </w:rPr>
  </w:style>
  <w:style w:type="paragraph" w:styleId="754">
    <w:name w:val="toc 8"/>
    <w:basedOn w:val="730"/>
    <w:next w:val="730"/>
    <w:uiPriority w:val="39"/>
    <w:unhideWhenUsed/>
    <w:qFormat/>
    <w:pPr>
      <w:ind w:left="1984"/>
      <w:spacing w:after="57"/>
    </w:pPr>
  </w:style>
  <w:style w:type="paragraph" w:styleId="755">
    <w:name w:val="Date"/>
    <w:basedOn w:val="730"/>
    <w:next w:val="730"/>
    <w:link w:val="981"/>
    <w:uiPriority w:val="0"/>
    <w:qFormat/>
    <w:rPr>
      <w:sz w:val="24"/>
      <w:szCs w:val="20"/>
    </w:rPr>
  </w:style>
  <w:style w:type="paragraph" w:styleId="756">
    <w:name w:val="Body Text Indent 2"/>
    <w:basedOn w:val="730"/>
    <w:link w:val="982"/>
    <w:uiPriority w:val="0"/>
    <w:qFormat/>
    <w:pPr>
      <w:ind w:firstLine="560"/>
      <w:spacing w:line="500" w:lineRule="exact"/>
    </w:pPr>
    <w:rPr>
      <w:rFonts w:eastAsia="仿宋_GB2312"/>
      <w:sz w:val="28"/>
      <w:szCs w:val="20"/>
    </w:rPr>
  </w:style>
  <w:style w:type="paragraph" w:styleId="757">
    <w:name w:val="endnote text"/>
    <w:basedOn w:val="730"/>
    <w:link w:val="963"/>
    <w:uiPriority w:val="99"/>
    <w:semiHidden/>
    <w:unhideWhenUsed/>
    <w:qFormat/>
    <w:rPr>
      <w:sz w:val="20"/>
    </w:rPr>
  </w:style>
  <w:style w:type="paragraph" w:styleId="758">
    <w:name w:val="Balloon Text"/>
    <w:basedOn w:val="730"/>
    <w:link w:val="983"/>
    <w:uiPriority w:val="0"/>
    <w:semiHidden/>
    <w:qFormat/>
    <w:rPr>
      <w:sz w:val="18"/>
      <w:szCs w:val="18"/>
    </w:rPr>
  </w:style>
  <w:style w:type="paragraph" w:styleId="759">
    <w:name w:val="Footer"/>
    <w:basedOn w:val="730"/>
    <w:link w:val="984"/>
    <w:uiPriority w:val="0"/>
    <w:qFormat/>
    <w:pPr>
      <w:jc w:val="left"/>
      <w:tabs>
        <w:tab w:val="center" w:pos="4153" w:leader="none"/>
        <w:tab w:val="right" w:pos="8306" w:leader="none"/>
      </w:tabs>
    </w:pPr>
    <w:rPr>
      <w:sz w:val="18"/>
      <w:szCs w:val="20"/>
    </w:rPr>
  </w:style>
  <w:style w:type="paragraph" w:styleId="760">
    <w:name w:val="Header"/>
    <w:basedOn w:val="730"/>
    <w:link w:val="985"/>
    <w:uiPriority w:val="0"/>
    <w:qFormat/>
    <w:pPr>
      <w:jc w:val="center"/>
      <w:tabs>
        <w:tab w:val="center" w:pos="4153" w:leader="none"/>
        <w:tab w:val="right" w:pos="8306" w:leader="none"/>
      </w:tabs>
      <w:pBdr>
        <w:bottom w:val="single" w:color="auto" w:sz="6" w:space="1"/>
      </w:pBdr>
    </w:pPr>
    <w:rPr>
      <w:sz w:val="18"/>
      <w:szCs w:val="18"/>
    </w:rPr>
  </w:style>
  <w:style w:type="paragraph" w:styleId="761">
    <w:name w:val="toc 1"/>
    <w:basedOn w:val="730"/>
    <w:next w:val="730"/>
    <w:uiPriority w:val="0"/>
    <w:semiHidden/>
    <w:qFormat/>
    <w:rPr>
      <w:sz w:val="24"/>
    </w:rPr>
  </w:style>
  <w:style w:type="paragraph" w:styleId="762">
    <w:name w:val="toc 4"/>
    <w:basedOn w:val="730"/>
    <w:next w:val="730"/>
    <w:uiPriority w:val="39"/>
    <w:unhideWhenUsed/>
    <w:qFormat/>
    <w:pPr>
      <w:ind w:left="850"/>
      <w:spacing w:after="57"/>
    </w:pPr>
  </w:style>
  <w:style w:type="paragraph" w:styleId="763">
    <w:name w:val="Subtitle"/>
    <w:basedOn w:val="730"/>
    <w:next w:val="730"/>
    <w:link w:val="829"/>
    <w:uiPriority w:val="11"/>
    <w:qFormat/>
    <w:pPr>
      <w:spacing w:before="200" w:after="200"/>
    </w:pPr>
    <w:rPr>
      <w:sz w:val="24"/>
    </w:rPr>
  </w:style>
  <w:style w:type="paragraph" w:styleId="764">
    <w:name w:val="List"/>
    <w:basedOn w:val="730"/>
    <w:uiPriority w:val="0"/>
    <w:qFormat/>
    <w:pPr>
      <w:ind w:left="200" w:hanging="200"/>
    </w:pPr>
  </w:style>
  <w:style w:type="paragraph" w:styleId="765">
    <w:name w:val="footnote text"/>
    <w:basedOn w:val="730"/>
    <w:uiPriority w:val="99"/>
    <w:unhideWhenUsed/>
    <w:qFormat/>
    <w:pPr>
      <w:jc w:val="left"/>
    </w:pPr>
    <w:rPr>
      <w:sz w:val="18"/>
      <w:szCs w:val="18"/>
    </w:rPr>
  </w:style>
  <w:style w:type="paragraph" w:styleId="766">
    <w:name w:val="toc 6"/>
    <w:basedOn w:val="730"/>
    <w:next w:val="730"/>
    <w:uiPriority w:val="39"/>
    <w:unhideWhenUsed/>
    <w:qFormat/>
    <w:pPr>
      <w:ind w:left="1417"/>
      <w:spacing w:after="57"/>
    </w:pPr>
  </w:style>
  <w:style w:type="paragraph" w:styleId="767">
    <w:name w:val="Body Text Indent 3"/>
    <w:basedOn w:val="730"/>
    <w:link w:val="986"/>
    <w:uiPriority w:val="0"/>
    <w:qFormat/>
    <w:pPr>
      <w:ind w:left="420"/>
      <w:spacing w:after="120"/>
    </w:pPr>
    <w:rPr>
      <w:sz w:val="16"/>
      <w:szCs w:val="16"/>
    </w:rPr>
  </w:style>
  <w:style w:type="paragraph" w:styleId="768">
    <w:name w:val="table of figures"/>
    <w:basedOn w:val="730"/>
    <w:next w:val="730"/>
    <w:uiPriority w:val="99"/>
    <w:unhideWhenUsed/>
    <w:qFormat/>
  </w:style>
  <w:style w:type="paragraph" w:styleId="769">
    <w:name w:val="toc 2"/>
    <w:basedOn w:val="730"/>
    <w:next w:val="730"/>
    <w:uiPriority w:val="39"/>
    <w:unhideWhenUsed/>
    <w:qFormat/>
    <w:pPr>
      <w:ind w:left="283"/>
      <w:spacing w:after="57"/>
    </w:pPr>
  </w:style>
  <w:style w:type="paragraph" w:styleId="770">
    <w:name w:val="toc 9"/>
    <w:basedOn w:val="730"/>
    <w:next w:val="730"/>
    <w:uiPriority w:val="39"/>
    <w:unhideWhenUsed/>
    <w:qFormat/>
    <w:pPr>
      <w:ind w:left="2268"/>
      <w:spacing w:after="57"/>
    </w:pPr>
  </w:style>
  <w:style w:type="paragraph" w:styleId="771">
    <w:name w:val="Body Text 2"/>
    <w:basedOn w:val="730"/>
    <w:link w:val="987"/>
    <w:uiPriority w:val="0"/>
    <w:qFormat/>
    <w:rPr>
      <w:b/>
      <w:bCs/>
      <w:sz w:val="18"/>
    </w:rPr>
  </w:style>
  <w:style w:type="paragraph" w:styleId="772">
    <w:name w:val="Normal (Web)"/>
    <w:basedOn w:val="730"/>
    <w:uiPriority w:val="0"/>
    <w:qFormat/>
    <w:pPr>
      <w:jc w:val="left"/>
      <w:spacing w:before="100" w:beforeAutospacing="1" w:after="100" w:afterAutospacing="1"/>
      <w:widowControl/>
    </w:pPr>
    <w:rPr>
      <w:rFonts w:ascii="宋体" w:hAnsi="宋体"/>
      <w:color w:val="000000"/>
      <w:sz w:val="24"/>
    </w:rPr>
  </w:style>
  <w:style w:type="paragraph" w:styleId="773">
    <w:name w:val="Title"/>
    <w:basedOn w:val="730"/>
    <w:next w:val="730"/>
    <w:link w:val="828"/>
    <w:uiPriority w:val="10"/>
    <w:qFormat/>
    <w:pPr>
      <w:contextualSpacing/>
      <w:spacing w:before="300" w:after="200"/>
    </w:pPr>
    <w:rPr>
      <w:sz w:val="48"/>
      <w:szCs w:val="48"/>
    </w:rPr>
  </w:style>
  <w:style w:type="paragraph" w:styleId="774">
    <w:name w:val="Body Text First Indent"/>
    <w:basedOn w:val="749"/>
    <w:link w:val="966"/>
    <w:uiPriority w:val="0"/>
    <w:qFormat/>
    <w:pPr>
      <w:ind w:firstLine="420"/>
      <w:spacing w:after="120"/>
    </w:pPr>
    <w:rPr>
      <w:rFonts w:ascii="Times New Roman" w:eastAsia="宋体"/>
      <w:szCs w:val="24"/>
    </w:rPr>
  </w:style>
  <w:style w:type="paragraph" w:styleId="775">
    <w:name w:val="Body Text First Indent 2"/>
    <w:basedOn w:val="750"/>
    <w:link w:val="1047"/>
    <w:uiPriority w:val="99"/>
    <w:semiHidden/>
    <w:unhideWhenUsed/>
    <w:qFormat/>
    <w:pPr>
      <w:ind w:left="420" w:firstLine="420"/>
      <w:spacing w:after="120"/>
    </w:pPr>
    <w:rPr>
      <w:rFonts w:ascii="Times New Roman" w:eastAsia="宋体"/>
      <w:sz w:val="21"/>
      <w:szCs w:val="24"/>
    </w:rPr>
  </w:style>
  <w:style w:type="table" w:styleId="776">
    <w:name w:val="Table Grid"/>
    <w:basedOn w:val="7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7">
    <w:name w:val="Strong"/>
    <w:basedOn w:val="740"/>
    <w:uiPriority w:val="0"/>
    <w:qFormat/>
    <w:rPr>
      <w:b/>
      <w:bCs/>
    </w:rPr>
  </w:style>
  <w:style w:type="character" w:styleId="778">
    <w:name w:val="endnote reference"/>
    <w:basedOn w:val="740"/>
    <w:uiPriority w:val="99"/>
    <w:semiHidden/>
    <w:unhideWhenUsed/>
    <w:qFormat/>
    <w:rPr>
      <w:vertAlign w:val="superscript"/>
    </w:rPr>
  </w:style>
  <w:style w:type="character" w:styleId="779">
    <w:name w:val="page number"/>
    <w:uiPriority w:val="0"/>
    <w:qFormat/>
  </w:style>
  <w:style w:type="character" w:styleId="780">
    <w:name w:val="FollowedHyperlink"/>
    <w:uiPriority w:val="0"/>
    <w:qFormat/>
    <w:rPr>
      <w:color w:val="800080"/>
      <w:u w:val="none"/>
    </w:rPr>
  </w:style>
  <w:style w:type="character" w:styleId="781">
    <w:name w:val="Emphasis"/>
    <w:uiPriority w:val="20"/>
    <w:qFormat/>
    <w:rPr>
      <w:b/>
      <w:bCs/>
    </w:rPr>
  </w:style>
  <w:style w:type="character" w:styleId="782">
    <w:name w:val="HTML Definition"/>
    <w:uiPriority w:val="99"/>
    <w:unhideWhenUsed/>
    <w:qFormat/>
  </w:style>
  <w:style w:type="character" w:styleId="783">
    <w:name w:val="HTML Typewriter"/>
    <w:uiPriority w:val="99"/>
    <w:unhideWhenUsed/>
    <w:qFormat/>
    <w:rPr>
      <w:rFonts w:hint="default" w:ascii="monospace" w:hAnsi="monospace" w:eastAsia="monospace" w:cs="monospace"/>
      <w:sz w:val="20"/>
    </w:rPr>
  </w:style>
  <w:style w:type="character" w:styleId="784">
    <w:name w:val="HTML Acronym"/>
    <w:uiPriority w:val="99"/>
    <w:unhideWhenUsed/>
    <w:qFormat/>
  </w:style>
  <w:style w:type="character" w:styleId="785">
    <w:name w:val="HTML Variable"/>
    <w:uiPriority w:val="99"/>
    <w:unhideWhenUsed/>
    <w:qFormat/>
  </w:style>
  <w:style w:type="character" w:styleId="786">
    <w:name w:val="Hyperlink"/>
    <w:uiPriority w:val="0"/>
    <w:qFormat/>
    <w:rPr>
      <w:color w:val="0000ff"/>
      <w:u w:val="none"/>
    </w:rPr>
  </w:style>
  <w:style w:type="character" w:styleId="787">
    <w:name w:val="HTML Code"/>
    <w:uiPriority w:val="99"/>
    <w:unhideWhenUsed/>
    <w:qFormat/>
    <w:rPr>
      <w:rFonts w:hint="default" w:ascii="monospace" w:hAnsi="monospace" w:eastAsia="monospace" w:cs="monospace"/>
      <w:sz w:val="20"/>
    </w:rPr>
  </w:style>
  <w:style w:type="character" w:styleId="788">
    <w:name w:val="HTML Cite"/>
    <w:uiPriority w:val="99"/>
    <w:unhideWhenUsed/>
    <w:qFormat/>
  </w:style>
  <w:style w:type="character" w:styleId="789">
    <w:name w:val="footnote reference"/>
    <w:basedOn w:val="740"/>
    <w:uiPriority w:val="99"/>
    <w:unhideWhenUsed/>
    <w:qFormat/>
    <w:rPr>
      <w:vertAlign w:val="superscript"/>
    </w:rPr>
  </w:style>
  <w:style w:type="character" w:styleId="790">
    <w:name w:val="HTML Keyboard"/>
    <w:uiPriority w:val="99"/>
    <w:unhideWhenUsed/>
    <w:qFormat/>
    <w:rPr>
      <w:rFonts w:hint="default" w:ascii="monospace" w:hAnsi="monospace" w:eastAsia="monospace" w:cs="monospace"/>
      <w:sz w:val="20"/>
    </w:rPr>
  </w:style>
  <w:style w:type="character" w:styleId="791">
    <w:name w:val="HTML Sample"/>
    <w:uiPriority w:val="99"/>
    <w:unhideWhenUsed/>
    <w:qFormat/>
    <w:rPr>
      <w:rFonts w:ascii="monospace" w:hAnsi="monospace" w:eastAsia="monospace" w:cs="monospace"/>
    </w:rPr>
  </w:style>
  <w:style w:type="character" w:styleId="792" w:customStyle="1">
    <w:name w:val="Title Char"/>
    <w:basedOn w:val="740"/>
    <w:uiPriority w:val="10"/>
    <w:qFormat/>
    <w:rPr>
      <w:sz w:val="48"/>
      <w:szCs w:val="48"/>
    </w:rPr>
  </w:style>
  <w:style w:type="character" w:styleId="793" w:customStyle="1">
    <w:name w:val="Subtitle Char"/>
    <w:basedOn w:val="740"/>
    <w:uiPriority w:val="11"/>
    <w:qFormat/>
    <w:rPr>
      <w:sz w:val="24"/>
      <w:szCs w:val="24"/>
    </w:rPr>
  </w:style>
  <w:style w:type="character" w:styleId="794" w:customStyle="1">
    <w:name w:val="Quote Char"/>
    <w:uiPriority w:val="29"/>
    <w:qFormat/>
    <w:rPr>
      <w:i/>
    </w:rPr>
  </w:style>
  <w:style w:type="character" w:styleId="795" w:customStyle="1">
    <w:name w:val="Intense Quote Char"/>
    <w:uiPriority w:val="30"/>
    <w:qFormat/>
    <w:rPr>
      <w:i/>
    </w:rPr>
  </w:style>
  <w:style w:type="table" w:styleId="796"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5" w:customStyle="1">
    <w:name w:val="Endnote Text Char"/>
    <w:uiPriority w:val="99"/>
    <w:qFormat/>
    <w:rPr>
      <w:sz w:val="20"/>
    </w:rPr>
  </w:style>
  <w:style w:type="paragraph" w:styleId="816" w:customStyle="1">
    <w:name w:val="TOC Heading"/>
    <w:uiPriority w:val="39"/>
    <w:unhideWhenUsed/>
    <w:qFormat/>
    <w:rPr>
      <w:rFonts w:hint="default" w:ascii="Times New Roman" w:hAnsi="Times New Roman" w:eastAsia="宋体" w:cs="Times New Roman"/>
    </w:rPr>
  </w:style>
  <w:style w:type="paragraph" w:styleId="817" w:customStyle="1">
    <w:name w:val="正文首行缩进1"/>
    <w:uiPriority w:val="0"/>
    <w:qFormat/>
    <w:pPr>
      <w:ind w:firstLine="200"/>
      <w:jc w:val="both"/>
      <w:spacing w:line="360" w:lineRule="auto"/>
      <w:widowControl w:val="off"/>
    </w:pPr>
    <w:rPr>
      <w:rFonts w:hint="default" w:ascii="仿宋_GB2312" w:hAnsi="Times New Roman" w:eastAsia="仿宋_GB2312" w:cs="Times New Roman"/>
      <w:sz w:val="30"/>
      <w:szCs w:val="30"/>
      <w:lang w:val="en-US" w:eastAsia="zh-CN" w:bidi="ar-SA"/>
    </w:rPr>
  </w:style>
  <w:style w:type="character" w:styleId="818" w:customStyle="1">
    <w:name w:val="Heading 1 Char"/>
    <w:basedOn w:val="740"/>
    <w:uiPriority w:val="9"/>
    <w:qFormat/>
    <w:rPr>
      <w:rFonts w:ascii="Arial" w:hAnsi="Arial" w:eastAsia="Arial" w:cs="Arial"/>
      <w:sz w:val="40"/>
      <w:szCs w:val="40"/>
    </w:rPr>
  </w:style>
  <w:style w:type="character" w:styleId="819" w:customStyle="1">
    <w:name w:val="Heading 2 Char"/>
    <w:basedOn w:val="740"/>
    <w:uiPriority w:val="9"/>
    <w:qFormat/>
    <w:rPr>
      <w:rFonts w:ascii="Arial" w:hAnsi="Arial" w:eastAsia="Arial" w:cs="Arial"/>
      <w:sz w:val="34"/>
    </w:rPr>
  </w:style>
  <w:style w:type="character" w:styleId="820" w:customStyle="1">
    <w:name w:val="Heading 3 Char"/>
    <w:basedOn w:val="740"/>
    <w:uiPriority w:val="9"/>
    <w:qFormat/>
    <w:rPr>
      <w:rFonts w:ascii="Arial" w:hAnsi="Arial" w:eastAsia="Arial" w:cs="Arial"/>
      <w:sz w:val="30"/>
      <w:szCs w:val="30"/>
    </w:rPr>
  </w:style>
  <w:style w:type="character" w:styleId="821" w:customStyle="1">
    <w:name w:val="Heading 4 Char"/>
    <w:basedOn w:val="740"/>
    <w:uiPriority w:val="9"/>
    <w:qFormat/>
    <w:rPr>
      <w:rFonts w:ascii="Arial" w:hAnsi="Arial" w:eastAsia="Arial" w:cs="Arial"/>
      <w:b/>
      <w:bCs/>
      <w:sz w:val="26"/>
      <w:szCs w:val="26"/>
    </w:rPr>
  </w:style>
  <w:style w:type="character" w:styleId="822" w:customStyle="1">
    <w:name w:val="Heading 5 Char"/>
    <w:basedOn w:val="740"/>
    <w:uiPriority w:val="9"/>
    <w:qFormat/>
    <w:rPr>
      <w:rFonts w:ascii="Arial" w:hAnsi="Arial" w:eastAsia="Arial" w:cs="Arial"/>
      <w:b/>
      <w:bCs/>
      <w:sz w:val="24"/>
      <w:szCs w:val="24"/>
    </w:rPr>
  </w:style>
  <w:style w:type="character" w:styleId="823" w:customStyle="1">
    <w:name w:val="Heading 6 Char"/>
    <w:basedOn w:val="740"/>
    <w:uiPriority w:val="9"/>
    <w:qFormat/>
    <w:rPr>
      <w:rFonts w:ascii="Arial" w:hAnsi="Arial" w:eastAsia="Arial" w:cs="Arial"/>
      <w:b/>
      <w:bCs/>
      <w:sz w:val="22"/>
      <w:szCs w:val="22"/>
    </w:rPr>
  </w:style>
  <w:style w:type="character" w:styleId="824" w:customStyle="1">
    <w:name w:val="Heading 7 Char"/>
    <w:basedOn w:val="740"/>
    <w:uiPriority w:val="9"/>
    <w:qFormat/>
    <w:rPr>
      <w:rFonts w:ascii="Arial" w:hAnsi="Arial" w:eastAsia="Arial" w:cs="Arial"/>
      <w:b/>
      <w:bCs/>
      <w:i/>
      <w:iCs/>
      <w:sz w:val="22"/>
      <w:szCs w:val="22"/>
    </w:rPr>
  </w:style>
  <w:style w:type="character" w:styleId="825" w:customStyle="1">
    <w:name w:val="Heading 8 Char"/>
    <w:basedOn w:val="740"/>
    <w:uiPriority w:val="9"/>
    <w:qFormat/>
    <w:rPr>
      <w:rFonts w:ascii="Arial" w:hAnsi="Arial" w:eastAsia="Arial" w:cs="Arial"/>
      <w:i/>
      <w:iCs/>
      <w:sz w:val="22"/>
      <w:szCs w:val="22"/>
    </w:rPr>
  </w:style>
  <w:style w:type="character" w:styleId="826" w:customStyle="1">
    <w:name w:val="Heading 9 Char"/>
    <w:basedOn w:val="740"/>
    <w:uiPriority w:val="9"/>
    <w:qFormat/>
    <w:rPr>
      <w:rFonts w:ascii="Arial" w:hAnsi="Arial" w:eastAsia="Arial" w:cs="Arial"/>
      <w:i/>
      <w:iCs/>
      <w:sz w:val="21"/>
      <w:szCs w:val="21"/>
    </w:rPr>
  </w:style>
  <w:style w:type="paragraph" w:styleId="827">
    <w:name w:val="No Spacing"/>
    <w:uiPriority w:val="1"/>
    <w:qFormat/>
    <w:rPr>
      <w:rFonts w:hint="default" w:ascii="Times New Roman" w:hAnsi="Times New Roman" w:eastAsia="宋体" w:cs="Times New Roman"/>
      <w:lang w:val="en-US" w:eastAsia="zh-CN" w:bidi="ar-SA"/>
    </w:rPr>
  </w:style>
  <w:style w:type="character" w:styleId="828" w:customStyle="1">
    <w:name w:val="标题 字符"/>
    <w:basedOn w:val="740"/>
    <w:link w:val="773"/>
    <w:uiPriority w:val="10"/>
    <w:qFormat/>
    <w:rPr>
      <w:sz w:val="48"/>
      <w:szCs w:val="48"/>
    </w:rPr>
  </w:style>
  <w:style w:type="character" w:styleId="829" w:customStyle="1">
    <w:name w:val="副标题 字符"/>
    <w:basedOn w:val="740"/>
    <w:link w:val="763"/>
    <w:uiPriority w:val="11"/>
    <w:qFormat/>
    <w:rPr>
      <w:sz w:val="24"/>
      <w:szCs w:val="24"/>
    </w:rPr>
  </w:style>
  <w:style w:type="paragraph" w:styleId="830">
    <w:name w:val="Quote"/>
    <w:basedOn w:val="730"/>
    <w:next w:val="730"/>
    <w:link w:val="831"/>
    <w:uiPriority w:val="29"/>
    <w:qFormat/>
    <w:pPr>
      <w:ind w:left="720" w:right="720"/>
    </w:pPr>
    <w:rPr>
      <w:i/>
    </w:rPr>
  </w:style>
  <w:style w:type="character" w:styleId="831" w:customStyle="1">
    <w:name w:val="引用 字符"/>
    <w:link w:val="830"/>
    <w:uiPriority w:val="29"/>
    <w:qFormat/>
    <w:rPr>
      <w:i/>
    </w:rPr>
  </w:style>
  <w:style w:type="paragraph" w:styleId="832">
    <w:name w:val="Intense Quote"/>
    <w:basedOn w:val="730"/>
    <w:next w:val="730"/>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明显引用 字符"/>
    <w:link w:val="832"/>
    <w:uiPriority w:val="30"/>
    <w:qFormat/>
    <w:rPr>
      <w:i/>
    </w:rPr>
  </w:style>
  <w:style w:type="character" w:styleId="834" w:customStyle="1">
    <w:name w:val="Header Char"/>
    <w:basedOn w:val="740"/>
    <w:uiPriority w:val="99"/>
    <w:qFormat/>
  </w:style>
  <w:style w:type="character" w:styleId="835" w:customStyle="1">
    <w:name w:val="Footer Char"/>
    <w:basedOn w:val="740"/>
    <w:uiPriority w:val="99"/>
    <w:qFormat/>
  </w:style>
  <w:style w:type="character" w:styleId="836" w:customStyle="1">
    <w:name w:val="Caption Char"/>
    <w:uiPriority w:val="99"/>
    <w:qFormat/>
  </w:style>
  <w:style w:type="table" w:styleId="837" w:customStyle="1">
    <w:name w:val="Table Grid Light"/>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8" w:customStyle="1">
    <w:name w:val="无格式表格 11"/>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21"/>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31"/>
    <w:basedOn w:val="7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无格式表格 41"/>
    <w:basedOn w:val="7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无格式表格 51"/>
    <w:basedOn w:val="7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网格表 1 浅色1"/>
    <w:basedOn w:val="7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basedOn w:val="74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basedOn w:val="74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basedOn w:val="74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basedOn w:val="7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basedOn w:val="74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basedOn w:val="74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网格表 2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basedOn w:val="74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basedOn w:val="74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basedOn w:val="74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basedOn w:val="7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basedOn w:val="74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basedOn w:val="74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网格表 3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basedOn w:val="74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basedOn w:val="74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basedOn w:val="74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basedOn w:val="7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basedOn w:val="74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basedOn w:val="74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网格表 41"/>
    <w:basedOn w:val="7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basedOn w:val="74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basedOn w:val="74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basedOn w:val="74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basedOn w:val="74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basedOn w:val="74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basedOn w:val="74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网格表 5 深色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网格表 6 彩色1"/>
    <w:basedOn w:val="7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basedOn w:val="74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0" w:customStyle="1">
    <w:name w:val="Grid Table 6 Colorful - Accent 2"/>
    <w:basedOn w:val="74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1" w:customStyle="1">
    <w:name w:val="Grid Table 6 Colorful - Accent 3"/>
    <w:basedOn w:val="74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2" w:customStyle="1">
    <w:name w:val="Grid Table 6 Colorful - Accent 4"/>
    <w:basedOn w:val="7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3" w:customStyle="1">
    <w:name w:val="Grid Table 6 Colorful - Accent 5"/>
    <w:basedOn w:val="74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6 Colorful - Accent 6"/>
    <w:basedOn w:val="74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网格表 7 彩色1"/>
    <w:basedOn w:val="7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basedOn w:val="74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basedOn w:val="74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basedOn w:val="74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basedOn w:val="74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basedOn w:val="74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basedOn w:val="74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清单表 1 浅色1"/>
    <w:basedOn w:val="74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basedOn w:val="74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basedOn w:val="74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basedOn w:val="74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basedOn w:val="74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basedOn w:val="74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basedOn w:val="74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清单表 21"/>
    <w:basedOn w:val="7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basedOn w:val="74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basedOn w:val="74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basedOn w:val="74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basedOn w:val="74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basedOn w:val="74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basedOn w:val="74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清单表 3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basedOn w:val="74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basedOn w:val="74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9" w:customStyle="1">
    <w:name w:val="List Table 3 - Accent 3"/>
    <w:basedOn w:val="74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0" w:customStyle="1">
    <w:name w:val="List Table 3 - Accent 4"/>
    <w:basedOn w:val="7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basedOn w:val="74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basedOn w:val="74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清单表 4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basedOn w:val="74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basedOn w:val="74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basedOn w:val="74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basedOn w:val="74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basedOn w:val="74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basedOn w:val="74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清单表 5 深色1"/>
    <w:basedOn w:val="7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basedOn w:val="74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basedOn w:val="74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basedOn w:val="74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basedOn w:val="74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basedOn w:val="74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basedOn w:val="74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清单表 6 彩色1"/>
    <w:basedOn w:val="74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basedOn w:val="74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9" w:customStyle="1">
    <w:name w:val="List Table 6 Colorful - Accent 2"/>
    <w:basedOn w:val="74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0" w:customStyle="1">
    <w:name w:val="List Table 6 Colorful - Accent 3"/>
    <w:basedOn w:val="74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1" w:customStyle="1">
    <w:name w:val="List Table 6 Colorful - Accent 4"/>
    <w:basedOn w:val="74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2" w:customStyle="1">
    <w:name w:val="List Table 6 Colorful - Accent 5"/>
    <w:basedOn w:val="74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3" w:customStyle="1">
    <w:name w:val="List Table 6 Colorful - Accent 6"/>
    <w:basedOn w:val="74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4" w:customStyle="1">
    <w:name w:val="清单表 7 彩色1"/>
    <w:basedOn w:val="74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basedOn w:val="74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basedOn w:val="74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basedOn w:val="74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basedOn w:val="74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basedOn w:val="74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basedOn w:val="74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basedOn w:val="74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basedOn w:val="74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basedOn w:val="74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basedOn w:val="74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basedOn w:val="74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basedOn w:val="74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basedOn w:val="74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basedOn w:val="74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basedOn w:val="74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basedOn w:val="74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basedOn w:val="74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basedOn w:val="7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basedOn w:val="74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basedOn w:val="74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Footnote Text Char"/>
    <w:uiPriority w:val="99"/>
    <w:qFormat/>
    <w:rPr>
      <w:sz w:val="18"/>
    </w:rPr>
  </w:style>
  <w:style w:type="character" w:styleId="963" w:customStyle="1">
    <w:name w:val="尾注文本 字符"/>
    <w:link w:val="757"/>
    <w:uiPriority w:val="99"/>
    <w:qFormat/>
    <w:rPr>
      <w:sz w:val="20"/>
    </w:rPr>
  </w:style>
  <w:style w:type="paragraph" w:styleId="964" w:customStyle="1">
    <w:name w:val="TOC 标题1"/>
    <w:uiPriority w:val="39"/>
    <w:unhideWhenUsed/>
    <w:qFormat/>
    <w:rPr>
      <w:rFonts w:hint="default" w:ascii="Times New Roman" w:hAnsi="Times New Roman" w:eastAsia="宋体" w:cs="Times New Roman"/>
      <w:lang w:val="en-US" w:eastAsia="zh-CN" w:bidi="ar-SA"/>
    </w:rPr>
  </w:style>
  <w:style w:type="character" w:styleId="965" w:customStyle="1">
    <w:name w:val="正文文本 字符"/>
    <w:link w:val="749"/>
    <w:uiPriority w:val="0"/>
    <w:qFormat/>
    <w:rPr>
      <w:rFonts w:ascii="仿宋_GB2312" w:hAnsi="Times New Roman" w:eastAsia="仿宋_GB2312" w:cs="Times New Roman"/>
      <w:sz w:val="24"/>
      <w:szCs w:val="20"/>
    </w:rPr>
  </w:style>
  <w:style w:type="character" w:styleId="966" w:customStyle="1">
    <w:name w:val="正文首行缩进 字符"/>
    <w:link w:val="774"/>
    <w:uiPriority w:val="0"/>
    <w:qFormat/>
    <w:rPr>
      <w:rFonts w:ascii="Times New Roman" w:hAnsi="Times New Roman" w:eastAsia="宋体" w:cs="Times New Roman"/>
      <w:sz w:val="24"/>
      <w:szCs w:val="24"/>
    </w:rPr>
  </w:style>
  <w:style w:type="character" w:styleId="967" w:customStyle="1">
    <w:name w:val="标题 1 字符"/>
    <w:link w:val="731"/>
    <w:uiPriority w:val="9"/>
    <w:qFormat/>
    <w:rPr>
      <w:rFonts w:ascii="Times New Roman" w:hAnsi="Times New Roman" w:eastAsia="宋体" w:cs="Times New Roman"/>
      <w:b/>
      <w:bCs/>
      <w:sz w:val="44"/>
      <w:szCs w:val="44"/>
    </w:rPr>
  </w:style>
  <w:style w:type="character" w:styleId="968" w:customStyle="1">
    <w:name w:val="标题 2 字符"/>
    <w:link w:val="732"/>
    <w:uiPriority w:val="0"/>
    <w:qFormat/>
    <w:rPr>
      <w:rFonts w:ascii="Arial" w:hAnsi="Arial" w:eastAsia="黑体" w:cs="Times New Roman"/>
      <w:b/>
      <w:bCs/>
      <w:sz w:val="32"/>
      <w:szCs w:val="32"/>
    </w:rPr>
  </w:style>
  <w:style w:type="character" w:styleId="969" w:customStyle="1">
    <w:name w:val="标题 3 字符"/>
    <w:link w:val="733"/>
    <w:uiPriority w:val="0"/>
    <w:qFormat/>
    <w:rPr>
      <w:rFonts w:ascii="Times New Roman" w:hAnsi="Times New Roman" w:eastAsia="宋体" w:cs="Times New Roman"/>
      <w:b/>
      <w:bCs/>
      <w:sz w:val="32"/>
      <w:szCs w:val="32"/>
    </w:rPr>
  </w:style>
  <w:style w:type="character" w:styleId="970" w:customStyle="1">
    <w:name w:val="标题 4 字符"/>
    <w:link w:val="734"/>
    <w:uiPriority w:val="0"/>
    <w:qFormat/>
    <w:rPr>
      <w:rFonts w:ascii="Times New Roman" w:hAnsi="Times New Roman" w:eastAsia="新宋体" w:cs="Times New Roman"/>
      <w:sz w:val="30"/>
      <w:szCs w:val="21"/>
    </w:rPr>
  </w:style>
  <w:style w:type="character" w:styleId="971" w:customStyle="1">
    <w:name w:val="标题 5 字符"/>
    <w:link w:val="735"/>
    <w:uiPriority w:val="0"/>
    <w:qFormat/>
    <w:rPr>
      <w:rFonts w:ascii="Times New Roman" w:hAnsi="Times New Roman" w:eastAsia="宋体" w:cs="Times New Roman"/>
      <w:b/>
      <w:bCs/>
      <w:sz w:val="28"/>
      <w:szCs w:val="28"/>
    </w:rPr>
  </w:style>
  <w:style w:type="character" w:styleId="972" w:customStyle="1">
    <w:name w:val="标题 6 字符"/>
    <w:link w:val="736"/>
    <w:uiPriority w:val="0"/>
    <w:qFormat/>
    <w:rPr>
      <w:rFonts w:ascii="Times New Roman" w:hAnsi="Times New Roman" w:eastAsia="宋体" w:cs="Times New Roman"/>
      <w:b/>
      <w:sz w:val="44"/>
      <w:szCs w:val="20"/>
    </w:rPr>
  </w:style>
  <w:style w:type="character" w:styleId="973" w:customStyle="1">
    <w:name w:val="正文缩进 字符"/>
    <w:link w:val="743"/>
    <w:uiPriority w:val="0"/>
    <w:qFormat/>
    <w:rPr>
      <w:rFonts w:ascii="Times New Roman" w:hAnsi="Times New Roman" w:eastAsia="宋体" w:cs="Times New Roman"/>
      <w:sz w:val="20"/>
      <w:szCs w:val="20"/>
    </w:rPr>
  </w:style>
  <w:style w:type="character" w:styleId="974" w:customStyle="1">
    <w:name w:val="标题 7 字符"/>
    <w:link w:val="737"/>
    <w:uiPriority w:val="0"/>
    <w:qFormat/>
    <w:rPr>
      <w:rFonts w:ascii="Times New Roman" w:hAnsi="Times New Roman" w:eastAsia="宋体" w:cs="Times New Roman"/>
      <w:b/>
      <w:bCs/>
      <w:sz w:val="24"/>
      <w:szCs w:val="24"/>
    </w:rPr>
  </w:style>
  <w:style w:type="character" w:styleId="975" w:customStyle="1">
    <w:name w:val="标题 8 字符"/>
    <w:link w:val="738"/>
    <w:uiPriority w:val="0"/>
    <w:qFormat/>
    <w:rPr>
      <w:rFonts w:ascii="Arial" w:hAnsi="Arial" w:eastAsia="黑体" w:cs="Times New Roman"/>
      <w:sz w:val="24"/>
      <w:szCs w:val="24"/>
    </w:rPr>
  </w:style>
  <w:style w:type="character" w:styleId="976" w:customStyle="1">
    <w:name w:val="标题 9 字符"/>
    <w:link w:val="739"/>
    <w:uiPriority w:val="0"/>
    <w:qFormat/>
    <w:rPr>
      <w:rFonts w:ascii="Arial" w:hAnsi="Arial" w:eastAsia="黑体" w:cs="Times New Roman"/>
      <w:sz w:val="24"/>
      <w:szCs w:val="21"/>
    </w:rPr>
  </w:style>
  <w:style w:type="character" w:styleId="977" w:customStyle="1">
    <w:name w:val="文档结构图 字符"/>
    <w:link w:val="746"/>
    <w:uiPriority w:val="0"/>
    <w:semiHidden/>
    <w:qFormat/>
    <w:rPr>
      <w:szCs w:val="24"/>
      <w:shd w:val="clear" w:color="auto" w:fill="000080"/>
    </w:rPr>
  </w:style>
  <w:style w:type="character" w:styleId="978" w:customStyle="1">
    <w:name w:val="正文文本 3 字符"/>
    <w:link w:val="748"/>
    <w:uiPriority w:val="0"/>
    <w:qFormat/>
    <w:rPr>
      <w:rFonts w:ascii="Times New Roman" w:hAnsi="Times New Roman" w:eastAsia="宋体" w:cs="Times New Roman"/>
      <w:sz w:val="16"/>
      <w:szCs w:val="16"/>
    </w:rPr>
  </w:style>
  <w:style w:type="character" w:styleId="979" w:customStyle="1">
    <w:name w:val="正文文本缩进 字符"/>
    <w:link w:val="750"/>
    <w:uiPriority w:val="0"/>
    <w:qFormat/>
    <w:rPr>
      <w:rFonts w:ascii="仿宋_GB2312" w:hAnsi="Times New Roman" w:eastAsia="仿宋_GB2312" w:cs="Times New Roman"/>
      <w:sz w:val="28"/>
      <w:szCs w:val="20"/>
    </w:rPr>
  </w:style>
  <w:style w:type="character" w:styleId="980" w:customStyle="1">
    <w:name w:val="纯文本 字符"/>
    <w:link w:val="753"/>
    <w:uiPriority w:val="0"/>
    <w:qFormat/>
    <w:rPr>
      <w:rFonts w:ascii="宋体" w:hAnsi="Courier New" w:eastAsia="宋体" w:cs="Courier New"/>
      <w:szCs w:val="21"/>
    </w:rPr>
  </w:style>
  <w:style w:type="character" w:styleId="981" w:customStyle="1">
    <w:name w:val="日期 字符"/>
    <w:link w:val="755"/>
    <w:uiPriority w:val="0"/>
    <w:qFormat/>
    <w:rPr>
      <w:rFonts w:ascii="Times New Roman" w:hAnsi="Times New Roman" w:eastAsia="宋体" w:cs="Times New Roman"/>
      <w:sz w:val="24"/>
      <w:szCs w:val="20"/>
    </w:rPr>
  </w:style>
  <w:style w:type="character" w:styleId="982" w:customStyle="1">
    <w:name w:val="正文文本缩进 2 字符"/>
    <w:link w:val="756"/>
    <w:uiPriority w:val="0"/>
    <w:qFormat/>
    <w:rPr>
      <w:rFonts w:ascii="Times New Roman" w:hAnsi="Times New Roman" w:eastAsia="仿宋_GB2312" w:cs="Times New Roman"/>
      <w:sz w:val="28"/>
      <w:szCs w:val="20"/>
    </w:rPr>
  </w:style>
  <w:style w:type="character" w:styleId="983" w:customStyle="1">
    <w:name w:val="批注框文本 字符"/>
    <w:link w:val="758"/>
    <w:uiPriority w:val="0"/>
    <w:semiHidden/>
    <w:qFormat/>
    <w:rPr>
      <w:sz w:val="18"/>
      <w:szCs w:val="18"/>
    </w:rPr>
  </w:style>
  <w:style w:type="character" w:styleId="984" w:customStyle="1">
    <w:name w:val="页脚 字符"/>
    <w:link w:val="759"/>
    <w:uiPriority w:val="0"/>
    <w:qFormat/>
    <w:rPr>
      <w:rFonts w:ascii="Times New Roman" w:hAnsi="Times New Roman" w:eastAsia="宋体" w:cs="Times New Roman"/>
      <w:sz w:val="18"/>
      <w:szCs w:val="20"/>
    </w:rPr>
  </w:style>
  <w:style w:type="character" w:styleId="985" w:customStyle="1">
    <w:name w:val="页眉 字符"/>
    <w:link w:val="760"/>
    <w:uiPriority w:val="0"/>
    <w:qFormat/>
    <w:rPr>
      <w:rFonts w:ascii="Times New Roman" w:hAnsi="Times New Roman" w:eastAsia="宋体" w:cs="Times New Roman"/>
      <w:sz w:val="18"/>
      <w:szCs w:val="18"/>
    </w:rPr>
  </w:style>
  <w:style w:type="character" w:styleId="986" w:customStyle="1">
    <w:name w:val="正文文本缩进 3 字符"/>
    <w:link w:val="767"/>
    <w:uiPriority w:val="0"/>
    <w:qFormat/>
    <w:rPr>
      <w:rFonts w:ascii="Times New Roman" w:hAnsi="Times New Roman" w:eastAsia="宋体" w:cs="Times New Roman"/>
      <w:sz w:val="16"/>
      <w:szCs w:val="16"/>
    </w:rPr>
  </w:style>
  <w:style w:type="character" w:styleId="987" w:customStyle="1">
    <w:name w:val="正文文本 2 字符"/>
    <w:link w:val="771"/>
    <w:uiPriority w:val="0"/>
    <w:qFormat/>
    <w:rPr>
      <w:rFonts w:ascii="Times New Roman" w:hAnsi="Times New Roman" w:eastAsia="宋体" w:cs="Times New Roman"/>
      <w:b/>
      <w:bCs/>
      <w:sz w:val="18"/>
      <w:szCs w:val="24"/>
    </w:rPr>
  </w:style>
  <w:style w:type="character" w:styleId="988" w:customStyle="1">
    <w:name w:val="列出段落 字符"/>
    <w:link w:val="989"/>
    <w:uiPriority w:val="99"/>
    <w:qFormat/>
  </w:style>
  <w:style w:type="paragraph" w:styleId="989">
    <w:name w:val="List Paragraph"/>
    <w:basedOn w:val="730"/>
    <w:link w:val="988"/>
    <w:uiPriority w:val="99"/>
    <w:qFormat/>
    <w:pPr>
      <w:ind w:firstLine="420"/>
    </w:pPr>
    <w:rPr>
      <w:sz w:val="20"/>
      <w:szCs w:val="20"/>
    </w:rPr>
  </w:style>
  <w:style w:type="character" w:styleId="990" w:customStyle="1">
    <w:name w:val="文档结构图 Char1"/>
    <w:uiPriority w:val="99"/>
    <w:semiHidden/>
    <w:qFormat/>
    <w:rPr>
      <w:rFonts w:ascii="宋体" w:hAnsi="Times New Roman" w:eastAsia="宋体" w:cs="Times New Roman"/>
      <w:sz w:val="18"/>
      <w:szCs w:val="18"/>
    </w:rPr>
  </w:style>
  <w:style w:type="character" w:styleId="991" w:customStyle="1">
    <w:name w:val="普通正文 Char"/>
    <w:link w:val="992"/>
    <w:uiPriority w:val="0"/>
    <w:qFormat/>
    <w:rPr>
      <w:rFonts w:ascii="Arial" w:hAnsi="Arial"/>
      <w:sz w:val="24"/>
      <w:szCs w:val="24"/>
    </w:rPr>
  </w:style>
  <w:style w:type="paragraph" w:styleId="992" w:customStyle="1">
    <w:name w:val="普通正文"/>
    <w:basedOn w:val="730"/>
    <w:link w:val="991"/>
    <w:uiPriority w:val="0"/>
    <w:qFormat/>
    <w:pPr>
      <w:ind w:left="-2" w:right="120" w:firstLine="480"/>
      <w:jc w:val="center"/>
      <w:spacing w:before="120" w:after="120" w:line="360" w:lineRule="auto"/>
    </w:pPr>
    <w:rPr>
      <w:rFonts w:ascii="Arial" w:hAnsi="Arial"/>
      <w:sz w:val="24"/>
    </w:rPr>
  </w:style>
  <w:style w:type="character" w:styleId="993" w:customStyle="1">
    <w:name w:val="FA正文 Char"/>
    <w:link w:val="994"/>
    <w:uiPriority w:val="0"/>
    <w:qFormat/>
    <w:rPr>
      <w:rFonts w:ascii="宋体" w:hAnsi="宋体" w:eastAsia="宋体" w:cs="Times New Roman"/>
      <w:sz w:val="28"/>
      <w:szCs w:val="28"/>
    </w:rPr>
  </w:style>
  <w:style w:type="paragraph" w:styleId="994" w:customStyle="1">
    <w:name w:val="FA正文"/>
    <w:basedOn w:val="730"/>
    <w:link w:val="993"/>
    <w:uiPriority w:val="0"/>
    <w:qFormat/>
    <w:pPr>
      <w:ind w:firstLine="538"/>
      <w:spacing w:line="440" w:lineRule="atLeast"/>
      <w:tabs>
        <w:tab w:val="left" w:pos="3375" w:leader="none"/>
      </w:tabs>
    </w:pPr>
    <w:rPr>
      <w:rFonts w:ascii="宋体" w:hAnsi="宋体"/>
      <w:sz w:val="28"/>
      <w:szCs w:val="28"/>
    </w:rPr>
  </w:style>
  <w:style w:type="character" w:styleId="995" w:customStyle="1">
    <w:name w:val="正文缩进2格 Char"/>
    <w:link w:val="996"/>
    <w:uiPriority w:val="0"/>
    <w:qFormat/>
    <w:rPr>
      <w:rFonts w:ascii="仿宋_GB2312" w:hAnsi="宋体" w:eastAsia="仿宋_GB2312" w:cs="Times New Roman"/>
      <w:sz w:val="31"/>
      <w:szCs w:val="28"/>
    </w:rPr>
  </w:style>
  <w:style w:type="paragraph" w:styleId="996" w:customStyle="1">
    <w:name w:val="正文缩进2格"/>
    <w:basedOn w:val="730"/>
    <w:link w:val="995"/>
    <w:uiPriority w:val="0"/>
    <w:qFormat/>
    <w:pPr>
      <w:ind w:firstLine="639"/>
      <w:spacing w:line="600" w:lineRule="exact"/>
    </w:pPr>
    <w:rPr>
      <w:rFonts w:ascii="仿宋_GB2312" w:hAnsi="宋体" w:eastAsia="仿宋_GB2312"/>
      <w:sz w:val="31"/>
      <w:szCs w:val="28"/>
    </w:rPr>
  </w:style>
  <w:style w:type="character" w:styleId="997" w:customStyle="1">
    <w:name w:val="cn_text1"/>
    <w:uiPriority w:val="0"/>
    <w:qFormat/>
    <w:rPr>
      <w:rFonts w:hint="default" w:ascii="ˎ̥" w:hAnsi="ˎ̥"/>
      <w:color w:val="003399"/>
      <w:spacing w:val="15"/>
      <w:sz w:val="18"/>
      <w:szCs w:val="18"/>
    </w:rPr>
  </w:style>
  <w:style w:type="character" w:styleId="998" w:customStyle="1">
    <w:name w:val="ssss Char"/>
    <w:uiPriority w:val="0"/>
    <w:qFormat/>
    <w:rPr>
      <w:rFonts w:eastAsia="宋体"/>
      <w:sz w:val="24"/>
      <w:szCs w:val="24"/>
      <w:lang w:val="en-US" w:eastAsia="zh-CN" w:bidi="ar-SA"/>
    </w:rPr>
  </w:style>
  <w:style w:type="character" w:styleId="999" w:customStyle="1">
    <w:name w:val="ssss Char1"/>
    <w:link w:val="1000"/>
    <w:uiPriority w:val="0"/>
    <w:qFormat/>
    <w:rPr>
      <w:rFonts w:ascii="Times New Roman" w:hAnsi="Times New Roman" w:eastAsia="宋体" w:cs="Times New Roman"/>
      <w:sz w:val="24"/>
      <w:szCs w:val="24"/>
    </w:rPr>
  </w:style>
  <w:style w:type="paragraph" w:styleId="1000" w:customStyle="1">
    <w:name w:val="ssss"/>
    <w:basedOn w:val="730"/>
    <w:link w:val="999"/>
    <w:uiPriority w:val="0"/>
    <w:qFormat/>
    <w:pPr>
      <w:ind w:firstLine="480"/>
      <w:spacing w:line="360" w:lineRule="auto"/>
    </w:pPr>
    <w:rPr>
      <w:sz w:val="24"/>
    </w:rPr>
  </w:style>
  <w:style w:type="character" w:styleId="1001" w:customStyle="1">
    <w:name w:val="标题 4 Char1"/>
    <w:uiPriority w:val="0"/>
    <w:qFormat/>
    <w:rPr>
      <w:rFonts w:ascii="Arial" w:hAnsi="Arial" w:eastAsia="黑体"/>
      <w:b/>
      <w:bCs/>
      <w:sz w:val="28"/>
      <w:szCs w:val="28"/>
      <w:lang w:val="en-US" w:eastAsia="zh-CN" w:bidi="ar-SA"/>
    </w:rPr>
  </w:style>
  <w:style w:type="character" w:styleId="1002" w:customStyle="1">
    <w:name w:val="列表段落 字符"/>
    <w:uiPriority w:val="34"/>
    <w:qFormat/>
    <w:rPr>
      <w:rFonts w:ascii="Calibri" w:hAnsi="Calibri"/>
      <w:sz w:val="21"/>
      <w:szCs w:val="22"/>
    </w:rPr>
  </w:style>
  <w:style w:type="character" w:styleId="1003" w:customStyle="1">
    <w:name w:val="批注框文本 Char1"/>
    <w:uiPriority w:val="99"/>
    <w:semiHidden/>
    <w:qFormat/>
    <w:rPr>
      <w:rFonts w:ascii="Times New Roman" w:hAnsi="Times New Roman" w:eastAsia="宋体" w:cs="Times New Roman"/>
      <w:sz w:val="18"/>
      <w:szCs w:val="18"/>
    </w:rPr>
  </w:style>
  <w:style w:type="character" w:styleId="1004" w:customStyle="1">
    <w:name w:val="样式 ssss + 宋体 五号1 Char"/>
    <w:link w:val="1005"/>
    <w:uiPriority w:val="0"/>
    <w:qFormat/>
    <w:rPr>
      <w:rFonts w:ascii="宋体" w:hAnsi="宋体" w:eastAsia="宋体" w:cs="Times New Roman"/>
      <w:sz w:val="24"/>
      <w:szCs w:val="24"/>
    </w:rPr>
  </w:style>
  <w:style w:type="paragraph" w:styleId="1005" w:customStyle="1">
    <w:name w:val="样式 ssss + 宋体 五号1"/>
    <w:basedOn w:val="1000"/>
    <w:link w:val="1004"/>
    <w:uiPriority w:val="0"/>
    <w:qFormat/>
    <w:rPr>
      <w:rFonts w:ascii="宋体" w:hAnsi="宋体"/>
    </w:rPr>
  </w:style>
  <w:style w:type="character" w:styleId="1006" w:customStyle="1">
    <w:name w:val="point_normal1"/>
    <w:uiPriority w:val="0"/>
    <w:qFormat/>
    <w:rPr>
      <w:rFonts w:hint="default" w:ascii="Arial" w:hAnsi="Arial" w:cs="Arial"/>
      <w:sz w:val="16"/>
      <w:szCs w:val="16"/>
    </w:rPr>
  </w:style>
  <w:style w:type="paragraph" w:styleId="1007" w:customStyle="1">
    <w:name w:val="样式 正文文本缩进 3 + 四号"/>
    <w:basedOn w:val="767"/>
    <w:uiPriority w:val="0"/>
    <w:qFormat/>
    <w:pPr>
      <w:ind w:left="0" w:firstLine="437"/>
      <w:spacing w:after="0" w:line="360" w:lineRule="auto"/>
    </w:pPr>
    <w:rPr>
      <w:sz w:val="24"/>
      <w:szCs w:val="21"/>
    </w:rPr>
  </w:style>
  <w:style w:type="paragraph" w:styleId="1008" w:customStyle="1">
    <w:name w:val="2cxsplast"/>
    <w:basedOn w:val="730"/>
    <w:uiPriority w:val="0"/>
    <w:qFormat/>
    <w:pPr>
      <w:jc w:val="left"/>
      <w:spacing w:before="100" w:beforeAutospacing="1" w:after="100" w:afterAutospacing="1"/>
      <w:widowControl/>
    </w:pPr>
    <w:rPr>
      <w:rFonts w:ascii="宋体" w:hAnsi="宋体" w:cs="宋体"/>
      <w:sz w:val="24"/>
    </w:rPr>
  </w:style>
  <w:style w:type="paragraph" w:styleId="1009" w:customStyle="1">
    <w:name w:val="ec_msonormal"/>
    <w:basedOn w:val="730"/>
    <w:uiPriority w:val="0"/>
    <w:qFormat/>
    <w:pPr>
      <w:jc w:val="left"/>
      <w:spacing w:before="100" w:beforeAutospacing="1" w:after="100" w:afterAutospacing="1"/>
      <w:widowControl/>
    </w:pPr>
    <w:rPr>
      <w:rFonts w:ascii="宋体" w:hAnsi="宋体"/>
      <w:sz w:val="24"/>
    </w:rPr>
  </w:style>
  <w:style w:type="paragraph" w:styleId="1010" w:customStyle="1">
    <w:name w:val="Char Char Char Char"/>
    <w:basedOn w:val="730"/>
    <w:uiPriority w:val="0"/>
    <w:qFormat/>
    <w:rPr>
      <w:rFonts w:ascii="Tahoma" w:hAnsi="Tahoma"/>
      <w:sz w:val="24"/>
      <w:szCs w:val="20"/>
    </w:rPr>
  </w:style>
  <w:style w:type="paragraph" w:styleId="1011" w:customStyle="1">
    <w:name w:val="Char Char Char Char Char Char Char Char Char Char Char Char Char"/>
    <w:basedOn w:val="730"/>
    <w:uiPriority w:val="0"/>
    <w:qFormat/>
  </w:style>
  <w:style w:type="paragraph" w:styleId="1012" w:customStyle="1">
    <w:name w:val="表格正文"/>
    <w:basedOn w:val="730"/>
    <w:uiPriority w:val="0"/>
    <w:qFormat/>
    <w:pPr>
      <w:jc w:val="left"/>
      <w:spacing w:line="360" w:lineRule="auto"/>
    </w:pPr>
    <w:rPr>
      <w:rFonts w:ascii="Calibri" w:hAnsi="Calibri"/>
      <w:color w:val="000000"/>
      <w:szCs w:val="28"/>
    </w:rPr>
  </w:style>
  <w:style w:type="paragraph" w:styleId="1013" w:customStyle="1">
    <w:name w:val="正文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014" w:customStyle="1">
    <w:name w:val="Char Char Char Char1"/>
    <w:basedOn w:val="730"/>
    <w:uiPriority w:val="0"/>
    <w:qFormat/>
    <w:rPr>
      <w:rFonts w:ascii="Tahoma" w:hAnsi="Tahoma"/>
      <w:sz w:val="24"/>
      <w:szCs w:val="20"/>
    </w:rPr>
  </w:style>
  <w:style w:type="paragraph" w:styleId="1015" w:customStyle="1">
    <w:name w:val="Char Char Char"/>
    <w:basedOn w:val="730"/>
    <w:uiPriority w:val="0"/>
    <w:qFormat/>
    <w:rPr>
      <w:rFonts w:ascii="Tahoma" w:hAnsi="Tahoma"/>
      <w:sz w:val="24"/>
      <w:szCs w:val="20"/>
    </w:rPr>
  </w:style>
  <w:style w:type="paragraph" w:styleId="1016" w:customStyle="1">
    <w:name w:val="标题-----3"/>
    <w:basedOn w:val="733"/>
    <w:uiPriority w:val="0"/>
    <w:qFormat/>
    <w:pPr>
      <w:spacing w:before="0" w:after="0" w:line="240" w:lineRule="auto"/>
      <w:outlineLvl w:val="0"/>
    </w:pPr>
    <w:rPr>
      <w:rFonts w:ascii="宋体" w:hAnsi="宋体"/>
      <w:b w:val="0"/>
      <w:bCs w:val="0"/>
      <w:sz w:val="28"/>
      <w:szCs w:val="28"/>
    </w:rPr>
  </w:style>
  <w:style w:type="paragraph" w:styleId="1017" w:customStyle="1">
    <w:name w:val="样式 ssss + 居中"/>
    <w:basedOn w:val="1000"/>
    <w:uiPriority w:val="0"/>
    <w:qFormat/>
    <w:pPr>
      <w:jc w:val="center"/>
    </w:pPr>
    <w:rPr>
      <w:rFonts w:cs="宋体"/>
      <w:szCs w:val="20"/>
    </w:rPr>
  </w:style>
  <w:style w:type="paragraph" w:styleId="1018" w:customStyle="1">
    <w:name w:val="样式 宋体 四号 黑色 左侧:  0.74 厘米 首行缩进:  0.74 厘米 行距: 1.5 倍行距"/>
    <w:basedOn w:val="730"/>
    <w:uiPriority w:val="0"/>
    <w:qFormat/>
    <w:pPr>
      <w:ind w:firstLine="420"/>
      <w:spacing w:line="360" w:lineRule="auto"/>
    </w:pPr>
    <w:rPr>
      <w:rFonts w:ascii="宋体"/>
      <w:color w:val="000000"/>
      <w:sz w:val="24"/>
      <w:szCs w:val="21"/>
    </w:rPr>
  </w:style>
  <w:style w:type="paragraph" w:styleId="1019" w:customStyle="1">
    <w:name w:val="样式 样式 ssss + 宋体 五号 + 首行缩进:  2 字符"/>
    <w:basedOn w:val="1020"/>
    <w:uiPriority w:val="0"/>
    <w:qFormat/>
    <w:pPr>
      <w:ind w:firstLine="480"/>
    </w:pPr>
  </w:style>
  <w:style w:type="paragraph" w:styleId="1020" w:customStyle="1">
    <w:name w:val="样式 ssss + 宋体 五号"/>
    <w:basedOn w:val="1000"/>
    <w:uiPriority w:val="0"/>
    <w:qFormat/>
    <w:pPr>
      <w:ind w:firstLine="420"/>
    </w:pPr>
    <w:rPr>
      <w:rFonts w:ascii="宋体" w:hAnsi="宋体" w:cs="宋体"/>
      <w:szCs w:val="20"/>
    </w:rPr>
  </w:style>
  <w:style w:type="paragraph" w:styleId="1021" w:customStyle="1">
    <w:name w:val="msonormalcxsplast"/>
    <w:basedOn w:val="730"/>
    <w:uiPriority w:val="0"/>
    <w:qFormat/>
    <w:pPr>
      <w:jc w:val="left"/>
      <w:spacing w:before="100" w:beforeAutospacing="1" w:after="100" w:afterAutospacing="1"/>
      <w:widowControl/>
    </w:pPr>
    <w:rPr>
      <w:rFonts w:ascii="宋体" w:hAnsi="宋体" w:cs="宋体"/>
      <w:sz w:val="24"/>
    </w:rPr>
  </w:style>
  <w:style w:type="paragraph" w:styleId="1022" w:customStyle="1">
    <w:name w:val="Char"/>
    <w:basedOn w:val="730"/>
    <w:uiPriority w:val="0"/>
    <w:qFormat/>
    <w:rPr>
      <w:rFonts w:ascii="Tahoma" w:hAnsi="Tahoma"/>
      <w:sz w:val="24"/>
      <w:szCs w:val="20"/>
    </w:rPr>
  </w:style>
  <w:style w:type="paragraph" w:styleId="1023" w:customStyle="1">
    <w:name w:val="xl25"/>
    <w:basedOn w:val="730"/>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1024" w:customStyle="1">
    <w:name w:val="标题------4"/>
    <w:basedOn w:val="734"/>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25" w:customStyle="1">
    <w:name w:val="msonormalcxspmiddle"/>
    <w:basedOn w:val="730"/>
    <w:uiPriority w:val="0"/>
    <w:qFormat/>
    <w:pPr>
      <w:jc w:val="left"/>
      <w:spacing w:before="100" w:beforeAutospacing="1" w:after="100" w:afterAutospacing="1"/>
      <w:widowControl/>
    </w:pPr>
    <w:rPr>
      <w:rFonts w:ascii="宋体" w:hAnsi="宋体" w:cs="宋体"/>
      <w:sz w:val="24"/>
    </w:rPr>
  </w:style>
  <w:style w:type="paragraph" w:styleId="1026" w:customStyle="1">
    <w:name w:val="Char Char Char Char Char Char Char Char Char Char Char Char Char1"/>
    <w:basedOn w:val="730"/>
    <w:uiPriority w:val="0"/>
    <w:qFormat/>
    <w:rPr>
      <w:sz w:val="24"/>
    </w:rPr>
  </w:style>
  <w:style w:type="paragraph" w:styleId="1027" w:customStyle="1">
    <w:name w:val="表格"/>
    <w:basedOn w:val="730"/>
    <w:uiPriority w:val="0"/>
    <w:qFormat/>
    <w:rPr>
      <w:rFonts w:ascii="Arial" w:hAnsi="Arial"/>
      <w:sz w:val="24"/>
    </w:rPr>
  </w:style>
  <w:style w:type="paragraph" w:styleId="1028" w:customStyle="1">
    <w:name w:val="正文样式1"/>
    <w:basedOn w:val="730"/>
    <w:uiPriority w:val="0"/>
    <w:qFormat/>
    <w:pPr>
      <w:ind w:firstLine="480"/>
      <w:spacing w:before="120" w:after="120" w:line="360" w:lineRule="auto"/>
    </w:pPr>
    <w:rPr>
      <w:sz w:val="24"/>
      <w:szCs w:val="20"/>
    </w:rPr>
  </w:style>
  <w:style w:type="paragraph" w:styleId="1029" w:customStyle="1">
    <w:name w:val="Char Char1 Char Char Char Char Char Char"/>
    <w:basedOn w:val="730"/>
    <w:uiPriority w:val="0"/>
    <w:qFormat/>
    <w:pPr>
      <w:jc w:val="left"/>
      <w:spacing w:after="160" w:line="240" w:lineRule="exact"/>
      <w:widowControl/>
    </w:pPr>
    <w:rPr>
      <w:rFonts w:ascii="Verdana" w:hAnsi="Verdana" w:eastAsia="仿宋_GB2312"/>
      <w:sz w:val="24"/>
      <w:szCs w:val="20"/>
      <w:lang w:eastAsia="en-US"/>
    </w:rPr>
  </w:style>
  <w:style w:type="paragraph" w:styleId="1030" w:customStyle="1">
    <w:name w:val="Char Char Char Char Char Char Char Char Char Char"/>
    <w:basedOn w:val="730"/>
    <w:uiPriority w:val="0"/>
    <w:qFormat/>
    <w:rPr>
      <w:rFonts w:ascii="Tahoma" w:hAnsi="Tahoma"/>
      <w:sz w:val="24"/>
      <w:szCs w:val="20"/>
    </w:rPr>
  </w:style>
  <w:style w:type="paragraph" w:styleId="1031" w:customStyle="1">
    <w:name w:val="Char1"/>
    <w:basedOn w:val="730"/>
    <w:uiPriority w:val="0"/>
    <w:qFormat/>
    <w:pPr>
      <w:tabs>
        <w:tab w:val="left" w:pos="360" w:leader="none"/>
      </w:tabs>
    </w:pPr>
    <w:rPr>
      <w:sz w:val="24"/>
    </w:rPr>
  </w:style>
  <w:style w:type="paragraph" w:styleId="1032" w:customStyle="1">
    <w:name w:val="标题1"/>
    <w:basedOn w:val="730"/>
    <w:next w:val="73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3" w:customStyle="1">
    <w:name w:val="Header2"/>
    <w:basedOn w:val="730"/>
    <w:uiPriority w:val="0"/>
    <w:qFormat/>
    <w:pPr>
      <w:numPr>
        <w:ilvl w:val="0"/>
        <w:numId w:val="1"/>
      </w:numPr>
    </w:pPr>
  </w:style>
  <w:style w:type="paragraph" w:styleId="1034" w:customStyle="1">
    <w:name w:val="Char Char 字元 字元 字元 Char Char Char Char"/>
    <w:basedOn w:val="730"/>
    <w:uiPriority w:val="0"/>
    <w:qFormat/>
    <w:pPr>
      <w:spacing w:line="360" w:lineRule="auto"/>
    </w:pPr>
    <w:rPr>
      <w:sz w:val="24"/>
      <w:szCs w:val="20"/>
    </w:rPr>
  </w:style>
  <w:style w:type="paragraph" w:styleId="1035" w:customStyle="1">
    <w:name w:val="2cxspmiddle"/>
    <w:basedOn w:val="730"/>
    <w:uiPriority w:val="0"/>
    <w:qFormat/>
    <w:pPr>
      <w:jc w:val="left"/>
      <w:spacing w:before="100" w:beforeAutospacing="1" w:after="100" w:afterAutospacing="1"/>
      <w:widowControl/>
    </w:pPr>
    <w:rPr>
      <w:rFonts w:ascii="宋体" w:hAnsi="宋体" w:cs="宋体"/>
      <w:sz w:val="24"/>
    </w:rPr>
  </w:style>
  <w:style w:type="paragraph" w:styleId="103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38" w:customStyle="1">
    <w:name w:val="网格型1"/>
    <w:basedOn w:val="74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39" w:customStyle="1">
    <w:name w:val="正文11"/>
    <w:next w:val="104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40" w:customStyle="1">
    <w:name w:val="正文文本1"/>
    <w:next w:val="730"/>
    <w:uiPriority w:val="99"/>
    <w:unhideWhenUsed/>
    <w:qFormat/>
    <w:pPr>
      <w:jc w:val="both"/>
      <w:widowControl w:val="off"/>
    </w:pPr>
    <w:rPr>
      <w:rFonts w:hint="default" w:ascii="??_GB2312" w:hAnsi="??_GB2312" w:eastAsia="宋体" w:cs="Times New Roman"/>
      <w:sz w:val="28"/>
      <w:szCs w:val="28"/>
      <w:lang w:val="en-US" w:eastAsia="zh-CN" w:bidi="ar-SA"/>
    </w:rPr>
  </w:style>
  <w:style w:type="character" w:styleId="1041" w:customStyle="1">
    <w:name w:val="mini-tree-nodetext3"/>
    <w:uiPriority w:val="0"/>
    <w:qFormat/>
  </w:style>
  <w:style w:type="paragraph" w:styleId="1042" w:customStyle="1">
    <w:name w:val="普通(网站)1"/>
    <w:basedOn w:val="730"/>
    <w:uiPriority w:val="0"/>
    <w:qFormat/>
    <w:pPr>
      <w:jc w:val="left"/>
      <w:spacing w:before="100" w:beforeAutospacing="1" w:after="100" w:afterAutospacing="1"/>
      <w:widowControl/>
    </w:pPr>
    <w:rPr>
      <w:rFonts w:ascii="宋体" w:hAnsi="宋体"/>
      <w:color w:val="000000"/>
      <w:sz w:val="24"/>
    </w:rPr>
  </w:style>
  <w:style w:type="paragraph" w:styleId="1043" w:customStyle="1">
    <w:name w:val="列出段落1"/>
    <w:basedOn w:val="730"/>
    <w:link w:val="1044"/>
    <w:uiPriority w:val="34"/>
    <w:qFormat/>
    <w:pPr>
      <w:ind w:firstLine="200"/>
    </w:pPr>
    <w:rPr>
      <w:rFonts w:ascii="Calibri" w:hAnsi="Calibri"/>
      <w:szCs w:val="22"/>
    </w:rPr>
  </w:style>
  <w:style w:type="character" w:styleId="1044" w:customStyle="1">
    <w:name w:val="列出段落 Char"/>
    <w:link w:val="1043"/>
    <w:uiPriority w:val="0"/>
    <w:qFormat/>
    <w:rPr>
      <w:rFonts w:ascii="Calibri" w:hAnsi="Calibri"/>
      <w:sz w:val="21"/>
      <w:szCs w:val="22"/>
    </w:rPr>
  </w:style>
  <w:style w:type="character" w:styleId="1045" w:customStyle="1">
    <w:name w:val="超链接1"/>
    <w:uiPriority w:val="0"/>
    <w:qFormat/>
    <w:rPr>
      <w:rFonts w:ascii="Times New Roman" w:hAnsi="Times New Roman" w:eastAsia="宋体" w:cs="Times New Roman"/>
      <w:color w:val="0000ff"/>
      <w:u w:val="single"/>
    </w:rPr>
  </w:style>
  <w:style w:type="paragraph" w:styleId="1046"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47" w:customStyle="1">
    <w:name w:val="正文首行缩进 2 字符"/>
    <w:basedOn w:val="979"/>
    <w:link w:val="775"/>
    <w:uiPriority w:val="99"/>
    <w:semiHidden/>
    <w:qFormat/>
    <w:rPr>
      <w:rFonts w:ascii="仿宋_GB2312" w:hAnsi="Times New Roman" w:eastAsia="仿宋_GB2312" w:cs="Times New Roman"/>
      <w:sz w:val="21"/>
      <w:szCs w:val="24"/>
    </w:rPr>
  </w:style>
  <w:style w:type="paragraph" w:styleId="1048" w:customStyle="1">
    <w:name w:val="Normal_10_0"/>
    <w:uiPriority w:val="0"/>
    <w:qFormat/>
    <w:rPr>
      <w:rFonts w:ascii="黑体" w:hAnsi="黑体" w:eastAsia="黑体" w:cs="Times New Roman"/>
      <w:b/>
      <w:sz w:val="32"/>
      <w:szCs w:val="24"/>
      <w:lang w:val="en-US" w:eastAsia="zh-CN" w:bidi="ar-SA"/>
    </w:rPr>
  </w:style>
  <w:style w:type="paragraph" w:styleId="1049"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numbering" w:styleId="10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mailto:hollyzbzy@artall.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王苏琪</cp:lastModifiedBy>
  <cp:revision>15</cp:revision>
  <dcterms:created xsi:type="dcterms:W3CDTF">2025-08-06T14:48:00Z</dcterms:created>
  <dcterms:modified xsi:type="dcterms:W3CDTF">2026-08-28T06:05:29Z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3C9E4DCBDF664DCE8AE47A3A6E443C2E_13</vt:lpwstr>
  </property>
  <property fmtid="{D5CDD505-2E9C-101B-9397-08002B2CF9AE}" pid="4" name="KSOTemplateDocerSaveRecord">
    <vt:lpwstr>eyJoZGlkIjoiMjE0MDljMGE0NTFiMjgwNzE0MTFjYTE5MDRjYjY2NTkiLCJ1c2VySWQiOiIyMzI1ODEzMTAifQ==</vt:lpwstr>
  </property>
</Properties>
</file>