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ind w:firstLine="0"/>
        <w:rPr>
          <w:rFonts w:hint="eastAsia" w:ascii="仿宋" w:hAnsi="仿宋" w:eastAsia="仿宋" w:cs="仿宋"/>
          <w:b/>
          <w:bCs/>
          <w:sz w:val="84"/>
          <w:highlight w:val="none"/>
        </w:rPr>
      </w:pPr>
      <w:r>
        <w:rPr>
          <w:rFonts w:hint="eastAsia" w:ascii="仿宋" w:hAnsi="仿宋" w:eastAsia="仿宋" w:cs="仿宋"/>
          <w:b/>
          <w:bCs/>
          <w:sz w:val="84"/>
          <w:highlight w:val="none"/>
        </w:rPr>
      </w:r>
      <w:r/>
    </w:p>
    <w:p>
      <w:pPr>
        <w:pStyle w:val="899"/>
        <w:ind w:firstLine="0"/>
        <w:jc w:val="center"/>
        <w:rPr>
          <w:rFonts w:hint="eastAsia" w:ascii="仿宋" w:hAnsi="仿宋" w:eastAsia="仿宋" w:cs="仿宋"/>
          <w:b/>
          <w:bCs/>
          <w:sz w:val="84"/>
          <w:highlight w:val="none"/>
        </w:rPr>
      </w:pPr>
      <w:r>
        <w:rPr>
          <w:rFonts w:hint="eastAsia" w:ascii="仿宋" w:hAnsi="仿宋" w:eastAsia="仿宋" w:cs="仿宋"/>
          <w:b/>
          <w:bCs/>
          <w:sz w:val="84"/>
          <w:highlight w:val="none"/>
        </w:rPr>
        <w:t xml:space="preserve">招　标　文　件</w:t>
      </w:r>
      <w:r/>
    </w:p>
    <w:p>
      <w:pPr>
        <w:jc w:val="center"/>
        <w:spacing w:before="120" w:after="120" w:line="360" w:lineRule="auto"/>
        <w:rPr>
          <w:rFonts w:hint="eastAsia" w:ascii="仿宋" w:hAnsi="仿宋" w:eastAsia="仿宋" w:cs="仿宋"/>
          <w:b/>
          <w:bCs/>
          <w:sz w:val="32"/>
          <w:szCs w:val="24"/>
          <w:highlight w:val="none"/>
        </w:rPr>
      </w:pPr>
      <w:r>
        <w:rPr>
          <w:rFonts w:hint="eastAsia" w:ascii="仿宋" w:hAnsi="仿宋" w:eastAsia="仿宋" w:cs="仿宋"/>
          <w:b/>
          <w:bCs/>
          <w:sz w:val="32"/>
          <w:szCs w:val="24"/>
          <w:highlight w:val="none"/>
        </w:rPr>
        <w:t xml:space="preserve">项目名称：</w:t>
      </w:r>
      <w:r>
        <w:rPr>
          <w:rFonts w:hint="eastAsia" w:ascii="仿宋" w:hAnsi="仿宋" w:eastAsia="仿宋" w:cs="仿宋"/>
          <w:b/>
          <w:bCs/>
          <w:sz w:val="32"/>
          <w:szCs w:val="24"/>
          <w:highlight w:val="none"/>
          <w:u w:val="single"/>
        </w:rPr>
        <w:t xml:space="preserve">如东县大豫镇环境卫生长效管护服务项目（重新招标）</w:t>
      </w:r>
      <w:r/>
    </w:p>
    <w:p>
      <w:pPr>
        <w:ind w:firstLine="964"/>
        <w:spacing w:before="120" w:after="120" w:line="360" w:lineRule="auto"/>
        <w:rPr>
          <w:rFonts w:hint="eastAsia" w:ascii="仿宋" w:hAnsi="仿宋" w:eastAsia="仿宋" w:cs="仿宋"/>
          <w:b/>
          <w:bCs/>
          <w:sz w:val="32"/>
          <w:szCs w:val="24"/>
          <w:highlight w:val="none"/>
        </w:rPr>
      </w:pPr>
      <w:r>
        <w:rPr>
          <w:rFonts w:ascii="仿宋" w:hAnsi="仿宋" w:eastAsia="仿宋" w:cs="仿宋"/>
          <w:b/>
          <w:bCs/>
          <w:sz w:val="32"/>
          <w:szCs w:val="24"/>
          <w:highlight w:val="none"/>
        </w:rPr>
        <w:t xml:space="preserve">项目编号：</w:t>
      </w:r>
      <w:r>
        <w:rPr>
          <w:rFonts w:hint="eastAsia" w:ascii="仿宋" w:hAnsi="仿宋" w:eastAsia="仿宋" w:cs="仿宋"/>
          <w:b/>
          <w:bCs/>
          <w:sz w:val="32"/>
          <w:szCs w:val="24"/>
          <w:highlight w:val="none"/>
        </w:rPr>
        <w:t xml:space="preserve">JSZC-320623-NTCJ-G2026-0021 </w:t>
      </w:r>
      <w:r/>
    </w:p>
    <w:p>
      <w:pPr>
        <w:ind w:left="2887" w:hanging="2249"/>
        <w:jc w:val="left"/>
        <w:spacing w:before="120" w:after="120" w:line="360" w:lineRule="auto"/>
        <w:rPr>
          <w:rFonts w:hint="eastAsia" w:ascii="仿宋" w:hAnsi="仿宋" w:eastAsia="仿宋" w:cs="仿宋"/>
          <w:b/>
          <w:bCs/>
          <w:sz w:val="32"/>
          <w:szCs w:val="24"/>
          <w:highlight w:val="none"/>
        </w:rPr>
      </w:pPr>
      <w:r>
        <w:rPr>
          <w:rFonts w:hint="eastAsia" w:ascii="仿宋" w:hAnsi="仿宋" w:eastAsia="仿宋" w:cs="仿宋"/>
          <w:b/>
          <w:bCs/>
          <w:sz w:val="32"/>
          <w:szCs w:val="24"/>
          <w:highlight w:val="none"/>
        </w:rPr>
      </w:r>
      <w:r/>
    </w:p>
    <w:p>
      <w:pPr>
        <w:ind w:left="2887" w:hanging="2249"/>
        <w:jc w:val="left"/>
        <w:spacing w:before="120" w:after="120" w:line="360" w:lineRule="auto"/>
        <w:rPr>
          <w:rFonts w:hint="eastAsia" w:ascii="仿宋" w:hAnsi="仿宋" w:eastAsia="仿宋" w:cs="仿宋"/>
          <w:b/>
          <w:bCs/>
          <w:sz w:val="32"/>
          <w:szCs w:val="24"/>
          <w:highlight w:val="none"/>
        </w:rPr>
      </w:pPr>
      <w:r>
        <w:rPr>
          <w:rFonts w:hint="eastAsia" w:ascii="仿宋" w:hAnsi="仿宋" w:eastAsia="仿宋" w:cs="仿宋"/>
          <w:b/>
          <w:bCs/>
          <w:sz w:val="32"/>
          <w:szCs w:val="24"/>
          <w:highlight w:val="none"/>
        </w:rPr>
      </w:r>
      <w:r/>
    </w:p>
    <w:p>
      <w:pPr>
        <w:ind w:left="2887" w:hanging="2249"/>
        <w:jc w:val="left"/>
        <w:spacing w:before="120" w:after="120" w:line="360" w:lineRule="auto"/>
        <w:rPr>
          <w:rFonts w:hint="eastAsia" w:ascii="仿宋" w:hAnsi="仿宋" w:eastAsia="仿宋" w:cs="仿宋"/>
          <w:b/>
          <w:bCs/>
          <w:sz w:val="32"/>
          <w:szCs w:val="24"/>
          <w:highlight w:val="none"/>
        </w:rPr>
      </w:pPr>
      <w:r>
        <w:rPr>
          <w:rFonts w:hint="eastAsia" w:ascii="仿宋" w:hAnsi="仿宋" w:eastAsia="仿宋" w:cs="仿宋"/>
          <w:b/>
          <w:bCs/>
          <w:sz w:val="32"/>
          <w:szCs w:val="24"/>
          <w:highlight w:val="none"/>
        </w:rPr>
      </w:r>
      <w:r/>
    </w:p>
    <w:p>
      <w:pPr>
        <w:ind w:left="2887" w:hanging="2249"/>
        <w:jc w:val="left"/>
        <w:spacing w:before="120" w:after="120" w:line="360" w:lineRule="auto"/>
        <w:rPr>
          <w:rFonts w:hint="eastAsia" w:ascii="仿宋" w:hAnsi="仿宋" w:eastAsia="仿宋" w:cs="仿宋"/>
          <w:b/>
          <w:bCs/>
          <w:sz w:val="32"/>
          <w:szCs w:val="24"/>
          <w:highlight w:val="none"/>
        </w:rPr>
      </w:pPr>
      <w:r>
        <w:rPr>
          <w:rFonts w:hint="eastAsia" w:ascii="仿宋" w:hAnsi="仿宋" w:eastAsia="仿宋" w:cs="仿宋"/>
          <w:b/>
          <w:bCs/>
          <w:sz w:val="32"/>
          <w:szCs w:val="24"/>
          <w:highlight w:val="none"/>
        </w:rPr>
      </w:r>
      <w:r/>
    </w:p>
    <w:p>
      <w:pPr>
        <w:pStyle w:val="707"/>
        <w:rPr>
          <w:highlight w:val="none"/>
        </w:rPr>
      </w:pPr>
      <w:r>
        <w:rPr>
          <w:highlight w:val="none"/>
        </w:rPr>
      </w:r>
      <w:r/>
    </w:p>
    <w:p>
      <w:pPr>
        <w:pStyle w:val="770"/>
        <w:rPr>
          <w:rFonts w:hint="eastAsia" w:ascii="仿宋" w:hAnsi="仿宋" w:eastAsia="仿宋" w:cs="仿宋"/>
          <w:b/>
          <w:bCs/>
          <w:sz w:val="32"/>
          <w:szCs w:val="24"/>
          <w:highlight w:val="none"/>
        </w:rPr>
      </w:pPr>
      <w:r>
        <w:rPr>
          <w:rFonts w:hint="eastAsia" w:ascii="仿宋" w:hAnsi="仿宋" w:eastAsia="仿宋" w:cs="仿宋"/>
          <w:b/>
          <w:bCs/>
          <w:sz w:val="32"/>
          <w:szCs w:val="24"/>
          <w:highlight w:val="none"/>
        </w:rPr>
      </w:r>
      <w:r/>
    </w:p>
    <w:p>
      <w:pPr>
        <w:pStyle w:val="77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7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7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before="120" w:after="120"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  如东县大豫镇人民政府</w:t>
      </w:r>
      <w:r/>
    </w:p>
    <w:p>
      <w:pPr>
        <w:ind w:firstLine="3534"/>
        <w:jc w:val="left"/>
        <w:spacing w:before="120" w:after="120" w:line="360" w:lineRule="auto"/>
        <w:rPr>
          <w:rFonts w:hint="eastAsia" w:ascii="仿宋" w:hAnsi="仿宋" w:eastAsia="仿宋" w:cs="仿宋"/>
          <w:sz w:val="32"/>
          <w:szCs w:val="32"/>
          <w:highlight w:val="none"/>
        </w:rPr>
        <w:sectPr>
          <w:footerReference w:type="default" r:id="rId9"/>
          <w:footnotePr/>
          <w:endnotePr/>
          <w:type w:val="nextPage"/>
          <w:pgSz w:w="11906" w:h="16838" w:orient="portrait"/>
          <w:pgMar w:top="1191" w:right="1587" w:bottom="1191" w:left="1366" w:header="850" w:footer="907" w:gutter="0"/>
          <w:pgNumType w:start="0"/>
          <w:cols w:num="1" w:sep="0" w:space="0" w:equalWidth="1"/>
          <w:docGrid w:linePitch="360"/>
        </w:sectPr>
      </w:pPr>
      <w:r>
        <w:rPr>
          <w:rFonts w:hint="eastAsia" w:ascii="仿宋" w:hAnsi="仿宋" w:eastAsia="仿宋" w:cs="仿宋"/>
          <w:b/>
          <w:bCs/>
          <w:sz w:val="32"/>
          <w:szCs w:val="32"/>
          <w:highlight w:val="none"/>
        </w:rPr>
        <w:t xml:space="preserve">二O二六年九月  </w:t>
      </w:r>
      <w:r/>
    </w:p>
    <w:p>
      <w:pPr>
        <w:pStyle w:val="899"/>
        <w:ind w:firstLine="0"/>
        <w:jc w:val="both"/>
        <w:rPr>
          <w:rFonts w:hint="eastAsia" w:ascii="仿宋" w:hAnsi="仿宋" w:eastAsia="仿宋" w:cs="仿宋"/>
          <w:highlight w:val="none"/>
        </w:rPr>
      </w:pPr>
      <w:r>
        <w:rPr>
          <w:rFonts w:hint="eastAsia" w:ascii="仿宋" w:hAnsi="仿宋" w:eastAsia="仿宋" w:cs="仿宋"/>
          <w:highlight w:val="none"/>
        </w:rPr>
      </w:r>
      <w:r/>
    </w:p>
    <w:p>
      <w:pPr>
        <w:ind w:firstLine="3570"/>
        <w:spacing w:line="480" w:lineRule="auto"/>
        <w:rPr>
          <w:rFonts w:hint="eastAsia" w:ascii="仿宋" w:hAnsi="仿宋" w:eastAsia="仿宋" w:cs="仿宋"/>
          <w:b/>
          <w:sz w:val="44"/>
          <w:highlight w:val="none"/>
        </w:rPr>
      </w:pPr>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ascii="仿宋" w:hAnsi="仿宋" w:eastAsia="仿宋" w:cs="仿宋"/>
          <w:b/>
          <w:sz w:val="44"/>
          <w:highlight w:val="none"/>
        </w:rPr>
        <w:t xml:space="preserve">总</w:t>
      </w:r>
      <w:bookmarkStart w:id="233" w:name="_GoBack"/>
      <w:r/>
      <w:bookmarkEnd w:id="233"/>
      <w:r>
        <w:rPr>
          <w:rFonts w:hint="eastAsia" w:ascii="仿宋" w:hAnsi="仿宋" w:eastAsia="仿宋" w:cs="仿宋"/>
          <w:b/>
          <w:sz w:val="44"/>
          <w:highlight w:val="none"/>
        </w:rPr>
        <w:t xml:space="preserve">  目  录</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717"/>
        <w:jc w:val="both"/>
        <w:rPr>
          <w:rFonts w:asciiTheme="minorHAnsi" w:hAnsiTheme="minorHAnsi" w:eastAsiaTheme="minorEastAsia" w:cstheme="minorBidi"/>
          <w:caps w:val="0"/>
          <w:sz w:val="21"/>
          <w:szCs w:val="22"/>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TOC \o "1-1" \h \u </w:instrText>
      </w:r>
      <w:r>
        <w:rPr>
          <w:rFonts w:hint="eastAsia" w:ascii="仿宋" w:hAnsi="仿宋" w:eastAsia="仿宋" w:cs="仿宋"/>
          <w:highlight w:val="none"/>
        </w:rPr>
        <w:fldChar w:fldCharType="separate"/>
      </w:r>
      <w:r>
        <w:rPr>
          <w:highlight w:val="none"/>
        </w:rPr>
        <w:fldChar w:fldCharType="begin"/>
      </w:r>
      <w:r>
        <w:rPr>
          <w:highlight w:val="none"/>
        </w:rPr>
        <w:instrText xml:space="preserve"> HYPERLINK \l "_Toc186493267" </w:instrText>
      </w:r>
      <w:r>
        <w:rPr>
          <w:highlight w:val="none"/>
        </w:rPr>
        <w:fldChar w:fldCharType="separate"/>
      </w:r>
      <w:r>
        <w:rPr>
          <w:rStyle w:val="734"/>
          <w:rFonts w:hint="eastAsia" w:ascii="仿宋" w:hAnsi="仿宋" w:eastAsia="仿宋" w:cs="仿宋"/>
          <w:b/>
          <w:bCs/>
          <w:color w:val="auto"/>
          <w:highlight w:val="none"/>
        </w:rPr>
        <w:t xml:space="preserve">第一章</w:t>
      </w:r>
      <w:r>
        <w:rPr>
          <w:rStyle w:val="734"/>
          <w:rFonts w:ascii="仿宋" w:hAnsi="仿宋" w:eastAsia="仿宋" w:cs="仿宋"/>
          <w:b/>
          <w:bCs/>
          <w:color w:val="auto"/>
          <w:highlight w:val="none"/>
        </w:rPr>
        <w:t xml:space="preserve">  </w:t>
      </w:r>
      <w:r>
        <w:rPr>
          <w:rStyle w:val="734"/>
          <w:rFonts w:hint="eastAsia" w:ascii="仿宋" w:hAnsi="仿宋" w:eastAsia="仿宋" w:cs="仿宋"/>
          <w:b/>
          <w:bCs/>
          <w:color w:val="auto"/>
          <w:highlight w:val="none"/>
        </w:rPr>
        <w:t xml:space="preserve">投标邀请</w:t>
      </w:r>
      <w:r>
        <w:rPr>
          <w:rFonts w:hint="eastAsia" w:eastAsia="仿宋"/>
          <w:highlight w:val="none"/>
          <w:lang w:val="en-US" w:eastAsia="zh-CN"/>
        </w:rPr>
        <w:t xml:space="preserve">.......................................................</w:t>
      </w:r>
      <w:r>
        <w:rPr>
          <w:highlight w:val="none"/>
        </w:rPr>
        <w:fldChar w:fldCharType="begin"/>
      </w:r>
      <w:r>
        <w:rPr>
          <w:highlight w:val="none"/>
        </w:rPr>
        <w:instrText xml:space="preserve"> PAGEREF _Toc186493267 \h </w:instrText>
      </w:r>
      <w:r>
        <w:rPr>
          <w:highlight w:val="none"/>
        </w:rPr>
        <w:fldChar w:fldCharType="separate"/>
      </w:r>
      <w:r>
        <w:rPr>
          <w:highlight w:val="none"/>
        </w:rPr>
        <w:t xml:space="preserve">2</w:t>
      </w:r>
      <w:r>
        <w:rPr>
          <w:highlight w:val="none"/>
        </w:rPr>
        <w:fldChar w:fldCharType="end"/>
      </w:r>
      <w:r>
        <w:rPr>
          <w:highlight w:val="none"/>
        </w:rPr>
        <w:fldChar w:fldCharType="end"/>
      </w:r>
      <w:r/>
    </w:p>
    <w:p>
      <w:pPr>
        <w:pStyle w:val="717"/>
        <w:jc w:val="both"/>
        <w:rPr>
          <w:rFonts w:asciiTheme="minorHAnsi" w:hAnsiTheme="minorHAnsi" w:eastAsiaTheme="minorEastAsia" w:cstheme="minorBidi"/>
          <w:caps w:val="0"/>
          <w:sz w:val="21"/>
          <w:szCs w:val="22"/>
          <w:highlight w:val="none"/>
        </w:rPr>
      </w:pPr>
      <w:r>
        <w:rPr>
          <w:highlight w:val="none"/>
        </w:rPr>
        <w:fldChar w:fldCharType="begin"/>
      </w:r>
      <w:r>
        <w:rPr>
          <w:highlight w:val="none"/>
        </w:rPr>
        <w:instrText xml:space="preserve"> HYPERLINK \l "_Toc186493268" </w:instrText>
      </w:r>
      <w:r>
        <w:rPr>
          <w:highlight w:val="none"/>
        </w:rPr>
        <w:fldChar w:fldCharType="separate"/>
      </w:r>
      <w:r>
        <w:rPr>
          <w:rStyle w:val="734"/>
          <w:rFonts w:hint="eastAsia" w:ascii="仿宋" w:hAnsi="仿宋" w:eastAsia="仿宋" w:cs="仿宋"/>
          <w:b/>
          <w:bCs/>
          <w:color w:val="auto"/>
          <w:highlight w:val="none"/>
        </w:rPr>
        <w:t xml:space="preserve">第二章</w:t>
      </w:r>
      <w:r>
        <w:rPr>
          <w:rStyle w:val="734"/>
          <w:rFonts w:ascii="仿宋" w:hAnsi="仿宋" w:eastAsia="仿宋" w:cs="仿宋"/>
          <w:b/>
          <w:bCs/>
          <w:color w:val="auto"/>
          <w:highlight w:val="none"/>
        </w:rPr>
        <w:t xml:space="preserve">  </w:t>
      </w:r>
      <w:r>
        <w:rPr>
          <w:rStyle w:val="734"/>
          <w:rFonts w:hint="eastAsia" w:ascii="仿宋" w:hAnsi="仿宋" w:eastAsia="仿宋" w:cs="仿宋"/>
          <w:b/>
          <w:bCs/>
          <w:color w:val="auto"/>
          <w:highlight w:val="none"/>
        </w:rPr>
        <w:t xml:space="preserve">投标供应商须知</w:t>
      </w:r>
      <w:r>
        <w:rPr>
          <w:rFonts w:hint="eastAsia" w:eastAsia="仿宋"/>
          <w:highlight w:val="none"/>
          <w:lang w:val="en-US" w:eastAsia="zh-CN"/>
        </w:rPr>
        <w:t xml:space="preserve">.................................................</w:t>
      </w:r>
      <w:r>
        <w:rPr>
          <w:rFonts w:hint="eastAsia"/>
          <w:highlight w:val="none"/>
        </w:rPr>
        <w:t xml:space="preserve">6</w:t>
      </w:r>
      <w:r>
        <w:rPr>
          <w:rFonts w:hint="eastAsia"/>
          <w:highlight w:val="none"/>
        </w:rPr>
        <w:fldChar w:fldCharType="end"/>
      </w:r>
      <w:r/>
    </w:p>
    <w:p>
      <w:pPr>
        <w:pStyle w:val="717"/>
        <w:jc w:val="both"/>
        <w:rPr>
          <w:rFonts w:asciiTheme="minorHAnsi" w:hAnsiTheme="minorHAnsi" w:eastAsiaTheme="minorEastAsia" w:cstheme="minorBidi"/>
          <w:caps w:val="0"/>
          <w:sz w:val="21"/>
          <w:szCs w:val="22"/>
          <w:highlight w:val="none"/>
        </w:rPr>
      </w:pPr>
      <w:r>
        <w:rPr>
          <w:highlight w:val="none"/>
        </w:rPr>
        <w:fldChar w:fldCharType="begin"/>
      </w:r>
      <w:r>
        <w:rPr>
          <w:highlight w:val="none"/>
        </w:rPr>
        <w:instrText xml:space="preserve"> HYPERLINK \l "_Toc186493269" </w:instrText>
      </w:r>
      <w:r>
        <w:rPr>
          <w:highlight w:val="none"/>
        </w:rPr>
        <w:fldChar w:fldCharType="separate"/>
      </w:r>
      <w:r>
        <w:rPr>
          <w:rStyle w:val="734"/>
          <w:rFonts w:hint="eastAsia" w:ascii="仿宋" w:hAnsi="仿宋" w:eastAsia="仿宋" w:cs="仿宋"/>
          <w:b/>
          <w:color w:val="auto"/>
          <w:highlight w:val="none"/>
        </w:rPr>
        <w:t xml:space="preserve">第三章</w:t>
      </w:r>
      <w:r>
        <w:rPr>
          <w:rStyle w:val="734"/>
          <w:rFonts w:ascii="仿宋" w:hAnsi="仿宋" w:eastAsia="仿宋" w:cs="仿宋"/>
          <w:b/>
          <w:color w:val="auto"/>
          <w:highlight w:val="none"/>
        </w:rPr>
        <w:t xml:space="preserve"> </w:t>
      </w:r>
      <w:r>
        <w:rPr>
          <w:rStyle w:val="734"/>
          <w:rFonts w:hint="eastAsia" w:ascii="仿宋" w:hAnsi="仿宋" w:eastAsia="仿宋" w:cs="仿宋"/>
          <w:b/>
          <w:color w:val="auto"/>
          <w:highlight w:val="none"/>
        </w:rPr>
        <w:t xml:space="preserve"> </w:t>
      </w:r>
      <w:r>
        <w:rPr>
          <w:rStyle w:val="734"/>
          <w:rFonts w:hint="eastAsia" w:ascii="仿宋" w:hAnsi="仿宋" w:eastAsia="仿宋" w:cs="仿宋"/>
          <w:b/>
          <w:bCs/>
          <w:color w:val="auto"/>
          <w:highlight w:val="none"/>
        </w:rPr>
        <w:t xml:space="preserve">合同文本</w:t>
      </w:r>
      <w:r>
        <w:rPr>
          <w:rFonts w:hint="eastAsia" w:eastAsia="仿宋"/>
          <w:highlight w:val="none"/>
          <w:lang w:val="en-US" w:eastAsia="zh-CN"/>
        </w:rPr>
        <w:t xml:space="preserve">.......................................................</w:t>
      </w:r>
      <w:r>
        <w:rPr>
          <w:highlight w:val="none"/>
        </w:rPr>
        <w:fldChar w:fldCharType="begin"/>
      </w:r>
      <w:r>
        <w:rPr>
          <w:highlight w:val="none"/>
        </w:rPr>
        <w:instrText xml:space="preserve"> PAGEREF _Toc186493269 \h </w:instrText>
      </w:r>
      <w:r>
        <w:rPr>
          <w:highlight w:val="none"/>
        </w:rPr>
        <w:fldChar w:fldCharType="separate"/>
      </w:r>
      <w:r>
        <w:rPr>
          <w:highlight w:val="none"/>
        </w:rPr>
        <w:t xml:space="preserve">1</w:t>
      </w:r>
      <w:r>
        <w:rPr>
          <w:rFonts w:hint="eastAsia"/>
          <w:highlight w:val="none"/>
          <w:lang w:val="en-US" w:eastAsia="zh-CN"/>
        </w:rPr>
        <w:t xml:space="preserve">8</w:t>
      </w:r>
      <w:r>
        <w:rPr>
          <w:highlight w:val="none"/>
        </w:rPr>
        <w:fldChar w:fldCharType="end"/>
      </w:r>
      <w:r>
        <w:rPr>
          <w:highlight w:val="none"/>
        </w:rPr>
        <w:fldChar w:fldCharType="end"/>
      </w:r>
      <w:r/>
    </w:p>
    <w:p>
      <w:pPr>
        <w:pStyle w:val="717"/>
        <w:jc w:val="both"/>
        <w:rPr>
          <w:rFonts w:hint="eastAsia" w:eastAsia="宋体" w:asciiTheme="minorHAnsi" w:hAnsiTheme="minorHAnsi" w:cstheme="minorBidi"/>
          <w:caps w:val="0"/>
          <w:sz w:val="21"/>
          <w:szCs w:val="22"/>
          <w:highlight w:val="none"/>
          <w:lang w:eastAsia="zh-CN"/>
        </w:rPr>
      </w:pPr>
      <w:r>
        <w:rPr>
          <w:highlight w:val="none"/>
        </w:rPr>
        <w:fldChar w:fldCharType="begin"/>
      </w:r>
      <w:r>
        <w:rPr>
          <w:highlight w:val="none"/>
        </w:rPr>
        <w:instrText xml:space="preserve"> HYPERLINK \l "_Toc186493270" </w:instrText>
      </w:r>
      <w:r>
        <w:rPr>
          <w:highlight w:val="none"/>
        </w:rPr>
        <w:fldChar w:fldCharType="separate"/>
      </w:r>
      <w:r>
        <w:rPr>
          <w:rStyle w:val="734"/>
          <w:rFonts w:hint="eastAsia" w:ascii="仿宋" w:hAnsi="仿宋" w:eastAsia="仿宋" w:cs="仿宋"/>
          <w:b/>
          <w:color w:val="auto"/>
          <w:highlight w:val="none"/>
        </w:rPr>
        <w:t xml:space="preserve">第四章</w:t>
      </w:r>
      <w:r>
        <w:rPr>
          <w:rStyle w:val="734"/>
          <w:rFonts w:ascii="仿宋" w:hAnsi="仿宋" w:eastAsia="仿宋" w:cs="仿宋"/>
          <w:b/>
          <w:color w:val="auto"/>
          <w:highlight w:val="none"/>
        </w:rPr>
        <w:t xml:space="preserve">  </w:t>
      </w:r>
      <w:r>
        <w:rPr>
          <w:rStyle w:val="734"/>
          <w:rFonts w:hint="eastAsia" w:ascii="仿宋" w:hAnsi="仿宋" w:eastAsia="仿宋" w:cs="仿宋"/>
          <w:b/>
          <w:color w:val="auto"/>
          <w:highlight w:val="none"/>
        </w:rPr>
        <w:t xml:space="preserve">采购需求</w:t>
      </w:r>
      <w:r>
        <w:rPr>
          <w:rFonts w:hint="eastAsia" w:eastAsia="仿宋"/>
          <w:highlight w:val="none"/>
          <w:lang w:val="en-US" w:eastAsia="zh-CN"/>
        </w:rPr>
        <w:t xml:space="preserve">.......................................................</w:t>
      </w:r>
      <w:r>
        <w:rPr>
          <w:rFonts w:hint="eastAsia"/>
          <w:highlight w:val="none"/>
        </w:rPr>
        <w:t xml:space="preserve">2</w:t>
      </w:r>
      <w:r>
        <w:rPr>
          <w:rFonts w:hint="eastAsia"/>
          <w:highlight w:val="none"/>
        </w:rPr>
        <w:fldChar w:fldCharType="end"/>
      </w:r>
      <w:r>
        <w:rPr>
          <w:rFonts w:hint="eastAsia"/>
          <w:highlight w:val="none"/>
          <w:lang w:val="en-US" w:eastAsia="zh-CN"/>
        </w:rPr>
        <w:t xml:space="preserve">7</w:t>
      </w:r>
      <w:r/>
    </w:p>
    <w:p>
      <w:pPr>
        <w:pStyle w:val="717"/>
        <w:jc w:val="both"/>
        <w:rPr>
          <w:rFonts w:hint="default" w:eastAsia="宋体"/>
          <w:highlight w:val="none"/>
          <w:lang w:val="en-US" w:eastAsia="zh-CN"/>
        </w:rPr>
      </w:pPr>
      <w:r>
        <w:rPr>
          <w:rStyle w:val="734"/>
          <w:rFonts w:hint="eastAsia" w:ascii="仿宋" w:hAnsi="仿宋" w:eastAsia="仿宋" w:cs="仿宋"/>
          <w:b/>
          <w:bCs/>
          <w:color w:val="auto"/>
          <w:highlight w:val="none"/>
          <w:u w:val="none"/>
        </w:rPr>
        <w:t xml:space="preserve">第五章  </w:t>
      </w:r>
      <w:r>
        <w:rPr>
          <w:rStyle w:val="734"/>
          <w:rFonts w:hint="eastAsia" w:ascii="仿宋" w:hAnsi="仿宋" w:eastAsia="仿宋" w:cs="仿宋"/>
          <w:b/>
          <w:color w:val="auto"/>
          <w:highlight w:val="none"/>
          <w:u w:val="none"/>
        </w:rPr>
        <w:t xml:space="preserve">评标方</w:t>
      </w:r>
      <w:r>
        <w:rPr>
          <w:rStyle w:val="734"/>
          <w:rFonts w:hint="eastAsia" w:ascii="仿宋" w:hAnsi="仿宋" w:eastAsia="仿宋" w:cs="仿宋"/>
          <w:b/>
          <w:bCs/>
          <w:color w:val="auto"/>
          <w:highlight w:val="none"/>
          <w:u w:val="none"/>
        </w:rPr>
        <w:t xml:space="preserve">法与评标标准</w:t>
      </w:r>
      <w:r>
        <w:rPr>
          <w:rFonts w:hint="eastAsia" w:eastAsia="仿宋"/>
          <w:highlight w:val="none"/>
          <w:lang w:val="en-US" w:eastAsia="zh-CN"/>
        </w:rPr>
        <w:t xml:space="preserve">.............................................</w:t>
      </w:r>
      <w:r>
        <w:rPr>
          <w:rFonts w:hint="eastAsia"/>
          <w:highlight w:val="none"/>
          <w:lang w:val="en-US" w:eastAsia="zh-CN"/>
        </w:rPr>
        <w:t xml:space="preserve">50</w:t>
      </w:r>
      <w:r/>
    </w:p>
    <w:p>
      <w:pPr>
        <w:pStyle w:val="717"/>
        <w:jc w:val="both"/>
        <w:rPr>
          <w:rFonts w:hint="default" w:eastAsia="宋体" w:asciiTheme="minorHAnsi" w:hAnsiTheme="minorHAnsi" w:cstheme="minorBidi"/>
          <w:caps w:val="0"/>
          <w:sz w:val="21"/>
          <w:szCs w:val="22"/>
          <w:highlight w:val="none"/>
          <w:lang w:val="en-US" w:eastAsia="zh-CN"/>
        </w:rPr>
      </w:pPr>
      <w:r>
        <w:rPr>
          <w:highlight w:val="none"/>
        </w:rPr>
        <w:fldChar w:fldCharType="begin"/>
      </w:r>
      <w:r>
        <w:rPr>
          <w:highlight w:val="none"/>
        </w:rPr>
        <w:instrText xml:space="preserve"> HYPERLINK \l "_Toc186493271" </w:instrText>
      </w:r>
      <w:r>
        <w:rPr>
          <w:highlight w:val="none"/>
        </w:rPr>
        <w:fldChar w:fldCharType="separate"/>
      </w:r>
      <w:r>
        <w:rPr>
          <w:rStyle w:val="734"/>
          <w:rFonts w:hint="eastAsia" w:ascii="仿宋" w:hAnsi="仿宋" w:eastAsia="仿宋" w:cs="仿宋"/>
          <w:b/>
          <w:color w:val="auto"/>
          <w:highlight w:val="none"/>
        </w:rPr>
        <w:t xml:space="preserve">第六章</w:t>
      </w:r>
      <w:r>
        <w:rPr>
          <w:rStyle w:val="734"/>
          <w:rFonts w:ascii="仿宋" w:hAnsi="仿宋" w:eastAsia="仿宋" w:cs="仿宋"/>
          <w:b/>
          <w:color w:val="auto"/>
          <w:highlight w:val="none"/>
        </w:rPr>
        <w:t xml:space="preserve">  </w:t>
      </w:r>
      <w:r>
        <w:rPr>
          <w:rStyle w:val="734"/>
          <w:rFonts w:hint="eastAsia" w:ascii="仿宋" w:hAnsi="仿宋" w:eastAsia="仿宋" w:cs="仿宋"/>
          <w:b/>
          <w:color w:val="auto"/>
          <w:highlight w:val="none"/>
        </w:rPr>
        <w:t xml:space="preserve">投标文件格式</w:t>
      </w:r>
      <w:r>
        <w:rPr>
          <w:rFonts w:hint="eastAsia" w:eastAsia="仿宋"/>
          <w:highlight w:val="none"/>
          <w:lang w:val="en-US" w:eastAsia="zh-CN"/>
        </w:rPr>
        <w:t xml:space="preserve">...................................................</w:t>
      </w:r>
      <w:r>
        <w:rPr>
          <w:rFonts w:hint="eastAsia"/>
          <w:highlight w:val="none"/>
        </w:rPr>
        <w:fldChar w:fldCharType="end"/>
      </w:r>
      <w:r>
        <w:rPr>
          <w:rFonts w:hint="eastAsia"/>
          <w:highlight w:val="none"/>
          <w:lang w:val="en-US" w:eastAsia="zh-CN"/>
        </w:rPr>
        <w:t xml:space="preserve">57</w:t>
      </w:r>
      <w:r/>
    </w:p>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end"/>
      </w:r>
      <w:r/>
    </w:p>
    <w:p>
      <w:pPr>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693"/>
        <w:rPr>
          <w:rFonts w:hint="eastAsia" w:ascii="仿宋" w:hAnsi="仿宋" w:eastAsia="仿宋" w:cs="仿宋"/>
          <w:b/>
          <w:bCs/>
          <w:sz w:val="44"/>
          <w:szCs w:val="44"/>
          <w:highlight w:val="none"/>
        </w:rPr>
        <w:sectPr>
          <w:footerReference w:type="default" r:id="rId10"/>
          <w:footnotePr/>
          <w:endnotePr/>
          <w:type w:val="nextPage"/>
          <w:pgSz w:w="11906" w:h="16838" w:orient="portrait"/>
          <w:pgMar w:top="1191" w:right="1587" w:bottom="1191" w:left="1366" w:header="850" w:footer="907" w:gutter="0"/>
          <w:pgNumType w:start="1"/>
          <w:cols w:num="1" w:sep="0" w:space="0" w:equalWidth="1"/>
          <w:docGrid w:linePitch="360"/>
        </w:sectPr>
      </w:pPr>
      <w:r>
        <w:rPr>
          <w:rFonts w:hint="eastAsia" w:ascii="仿宋" w:hAnsi="仿宋" w:eastAsia="仿宋" w:cs="仿宋"/>
          <w:b/>
          <w:bCs/>
          <w:sz w:val="44"/>
          <w:szCs w:val="44"/>
          <w:highlight w:val="none"/>
        </w:rPr>
      </w:r>
      <w:r/>
    </w:p>
    <w:p>
      <w:pPr>
        <w:pStyle w:val="693"/>
        <w:rPr>
          <w:rFonts w:hint="eastAsia" w:ascii="仿宋" w:hAnsi="仿宋" w:eastAsia="仿宋" w:cs="仿宋"/>
          <w:b/>
          <w:bCs/>
          <w:sz w:val="44"/>
          <w:szCs w:val="44"/>
          <w:highlight w:val="none"/>
        </w:rPr>
      </w:pPr>
      <w:r/>
      <w:bookmarkStart w:id="6" w:name="_Toc186493267"/>
      <w:r>
        <w:rPr>
          <w:rFonts w:hint="eastAsia" w:ascii="仿宋" w:hAnsi="仿宋" w:eastAsia="仿宋" w:cs="仿宋"/>
          <w:b/>
          <w:bCs/>
          <w:sz w:val="44"/>
          <w:szCs w:val="44"/>
          <w:highlight w:val="none"/>
        </w:rPr>
        <w:t xml:space="preserve">第一章  </w:t>
      </w:r>
      <w:bookmarkEnd w:id="0"/>
      <w:r>
        <w:rPr>
          <w:rFonts w:hint="eastAsia" w:ascii="仿宋" w:hAnsi="仿宋" w:eastAsia="仿宋" w:cs="仿宋"/>
          <w:b/>
          <w:bCs/>
          <w:sz w:val="44"/>
          <w:szCs w:val="44"/>
          <w:highlight w:val="none"/>
        </w:rPr>
        <w:t xml:space="preserve">投标邀请</w:t>
      </w:r>
      <w:bookmarkEnd w:id="6"/>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受如东县大豫镇人民政府的委托，就如东县大豫镇环境卫生长效管护服务项目（重新招标）【项目编号：</w:t>
      </w:r>
      <w:r>
        <w:rPr>
          <w:rFonts w:hint="eastAsia" w:ascii="仿宋" w:hAnsi="仿宋" w:eastAsia="仿宋" w:cs="仿宋"/>
          <w:sz w:val="24"/>
          <w:szCs w:val="24"/>
          <w:highlight w:val="none"/>
          <w:lang w:eastAsia="zh-CN"/>
        </w:rPr>
        <w:t xml:space="preserve">JSZC-320623-NTCJ-G2026-0021</w:t>
      </w:r>
      <w:r>
        <w:rPr>
          <w:rFonts w:hint="eastAsia" w:ascii="仿宋" w:hAnsi="仿宋" w:eastAsia="仿宋" w:cs="仿宋"/>
          <w:sz w:val="24"/>
          <w:szCs w:val="24"/>
          <w:highlight w:val="none"/>
        </w:rPr>
        <w:t xml:space="preserve"> 】进行公开招标采购，欢迎符合条件的供应商投标。</w:t>
      </w:r>
      <w:r/>
    </w:p>
    <w:p>
      <w:pPr>
        <w:rPr>
          <w:rFonts w:hint="eastAsia" w:ascii="仿宋" w:hAnsi="仿宋" w:eastAsia="仿宋" w:cs="仿宋"/>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highlight w:val="none"/>
        </w:rPr>
        <w:t xml:space="preserve">项目概况</w:t>
      </w:r>
      <w:r/>
    </w:p>
    <w:p>
      <w:pPr>
        <w:ind w:firstLine="480"/>
        <w:rPr>
          <w:rFonts w:hint="eastAsia" w:ascii="仿宋" w:hAnsi="仿宋" w:eastAsia="仿宋" w:cs="仿宋"/>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highlight w:val="none"/>
        </w:rPr>
        <w:t xml:space="preserve">如东县大豫镇环境卫生长效管护服务项目（重新招标）招标的潜在投标供应商可在</w:t>
      </w:r>
      <w:r>
        <w:rPr>
          <w:rFonts w:hint="eastAsia" w:ascii="仿宋" w:hAnsi="仿宋" w:eastAsia="仿宋" w:cs="仿宋"/>
          <w:sz w:val="24"/>
          <w:szCs w:val="24"/>
          <w:highlight w:val="none"/>
          <w:u w:val="single"/>
        </w:rPr>
        <w:t xml:space="preserve">“江苏政府采购网”自行免费下载</w:t>
      </w:r>
      <w:r>
        <w:rPr>
          <w:rFonts w:hint="eastAsia" w:ascii="仿宋" w:hAnsi="仿宋" w:eastAsia="仿宋" w:cs="仿宋"/>
          <w:sz w:val="24"/>
          <w:szCs w:val="24"/>
          <w:highlight w:val="none"/>
        </w:rPr>
        <w:t xml:space="preserve">招标文件，并于</w:t>
      </w:r>
      <w:r>
        <w:rPr>
          <w:rFonts w:hint="eastAsia" w:ascii="仿宋" w:hAnsi="仿宋" w:eastAsia="仿宋" w:cs="仿宋"/>
          <w:sz w:val="24"/>
          <w:szCs w:val="24"/>
          <w:highlight w:val="none"/>
          <w:u w:val="single"/>
        </w:rPr>
        <w:t xml:space="preserve">2026年</w:t>
      </w:r>
      <w:r>
        <w:rPr>
          <w:rFonts w:hint="eastAsia" w:ascii="仿宋" w:hAnsi="仿宋" w:eastAsia="仿宋" w:cs="仿宋"/>
          <w:sz w:val="24"/>
          <w:szCs w:val="24"/>
          <w:highlight w:val="none"/>
          <w:u w:val="single"/>
          <w:lang w:val="en-US" w:eastAsia="zh-CN"/>
        </w:rPr>
        <w:t xml:space="preserve">10月20日</w:t>
      </w:r>
      <w:r>
        <w:rPr>
          <w:rFonts w:hint="eastAsia" w:ascii="仿宋" w:hAnsi="仿宋" w:eastAsia="仿宋" w:cs="仿宋"/>
          <w:bCs/>
          <w:sz w:val="24"/>
          <w:szCs w:val="24"/>
          <w:highlight w:val="none"/>
          <w:u w:val="single"/>
        </w:rPr>
        <w:t xml:space="preserve">上午9点00分</w:t>
      </w:r>
      <w:r>
        <w:rPr>
          <w:rFonts w:hint="eastAsia" w:ascii="仿宋" w:hAnsi="仿宋" w:eastAsia="仿宋" w:cs="仿宋"/>
          <w:bCs/>
          <w:sz w:val="24"/>
          <w:szCs w:val="24"/>
          <w:highlight w:val="none"/>
        </w:rPr>
        <w:t xml:space="preserve">（北京时间）前递交投标文件</w:t>
      </w:r>
      <w:r>
        <w:rPr>
          <w:rFonts w:hint="eastAsia" w:ascii="仿宋" w:hAnsi="仿宋" w:eastAsia="仿宋" w:cs="仿宋"/>
          <w:sz w:val="24"/>
          <w:szCs w:val="24"/>
          <w:highlight w:val="none"/>
        </w:rPr>
        <w:t xml:space="preserve">。</w:t>
      </w:r>
      <w:r/>
    </w:p>
    <w:p>
      <w:pPr>
        <w:spacing w:line="480" w:lineRule="exact"/>
        <w:rPr>
          <w:rFonts w:hint="eastAsia" w:ascii="仿宋" w:hAnsi="仿宋" w:eastAsia="仿宋" w:cs="仿宋"/>
          <w:b/>
          <w:bCs/>
          <w:sz w:val="32"/>
          <w:szCs w:val="32"/>
          <w:highlight w:val="none"/>
        </w:rPr>
      </w:pPr>
      <w:r/>
      <w:bookmarkStart w:id="7" w:name="_Toc35393790"/>
      <w:r/>
      <w:bookmarkStart w:id="8" w:name="_Toc28359079"/>
      <w:r/>
      <w:bookmarkStart w:id="9" w:name="_Toc35393621"/>
      <w:r/>
      <w:bookmarkStart w:id="10" w:name="_Toc28359002"/>
      <w:r/>
      <w:bookmarkStart w:id="11" w:name="_Toc38985263"/>
      <w:r/>
      <w:bookmarkStart w:id="12" w:name="_Hlk24379207"/>
      <w:r>
        <w:rPr>
          <w:rFonts w:hint="eastAsia" w:ascii="仿宋" w:hAnsi="仿宋" w:eastAsia="仿宋" w:cs="仿宋"/>
          <w:b/>
          <w:bCs/>
          <w:sz w:val="32"/>
          <w:szCs w:val="32"/>
          <w:highlight w:val="none"/>
        </w:rPr>
        <w:t xml:space="preserve">一、项目基本情况</w:t>
      </w:r>
      <w:bookmarkEnd w:id="7"/>
      <w:r/>
      <w:bookmarkEnd w:id="8"/>
      <w:r/>
      <w:bookmarkEnd w:id="9"/>
      <w:r/>
      <w:bookmarkEnd w:id="10"/>
      <w:r/>
      <w:bookmarkEnd w:id="11"/>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1.项目编号：</w:t>
      </w:r>
      <w:r>
        <w:rPr>
          <w:rFonts w:hint="eastAsia" w:ascii="仿宋" w:hAnsi="仿宋" w:eastAsia="仿宋" w:cs="仿宋"/>
          <w:sz w:val="24"/>
          <w:szCs w:val="24"/>
          <w:highlight w:val="none"/>
          <w:lang w:eastAsia="zh-CN"/>
        </w:rPr>
        <w:t xml:space="preserve">JSZC-320623-NTCJ-G2026-0021</w:t>
      </w:r>
      <w:r>
        <w:rPr>
          <w:rFonts w:hint="eastAsia" w:ascii="仿宋" w:hAnsi="仿宋" w:eastAsia="仿宋" w:cs="仿宋"/>
          <w:sz w:val="24"/>
          <w:szCs w:val="24"/>
          <w:highlight w:val="none"/>
        </w:rPr>
        <w:t xml:space="preserve">  </w:t>
      </w:r>
      <w:r>
        <w:rPr>
          <w:rFonts w:hint="eastAsia" w:ascii="Arial" w:hAnsi="Arial" w:cs="Arial"/>
          <w:sz w:val="22"/>
          <w:highlight w:val="none"/>
        </w:rPr>
        <w:t xml:space="preserve"> </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2.项目名称：</w:t>
      </w:r>
      <w:bookmarkEnd w:id="12"/>
      <w:r>
        <w:rPr>
          <w:rFonts w:hint="eastAsia" w:ascii="仿宋" w:hAnsi="仿宋" w:eastAsia="仿宋" w:cs="仿宋"/>
          <w:sz w:val="24"/>
          <w:szCs w:val="24"/>
          <w:highlight w:val="none"/>
        </w:rPr>
        <w:t xml:space="preserve">如东县大豫镇环境卫生长效管护服务项目（重新招标）</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3.采购方式：公开招标</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4.项目类型：服务</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5.所属行业：其他未列明行业</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6.预算金额：</w:t>
      </w:r>
      <w:r/>
    </w:p>
    <w:tbl>
      <w:tblPr>
        <w:tblStyle w:val="70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460"/>
        <w:gridCol w:w="3460"/>
      </w:tblGrid>
      <w:tr>
        <w:trPr/>
        <w:tc>
          <w:tcPr>
            <w:tcW w:w="1148" w:type="dxa"/>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分包号</w:t>
            </w:r>
            <w:r/>
          </w:p>
        </w:tc>
        <w:tc>
          <w:tcPr>
            <w:tcW w:w="3460" w:type="dxa"/>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预算金额（人民币：万元/年）</w:t>
            </w:r>
            <w:r/>
          </w:p>
        </w:tc>
        <w:tc>
          <w:tcPr>
            <w:tcW w:w="3460" w:type="dxa"/>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三年预算金额（万元）</w:t>
            </w:r>
            <w:r/>
          </w:p>
        </w:tc>
      </w:tr>
      <w:tr>
        <w:trPr/>
        <w:tc>
          <w:tcPr>
            <w:tcW w:w="1148" w:type="dxa"/>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460" w:type="dxa"/>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1253.85</w:t>
            </w:r>
            <w:r/>
          </w:p>
        </w:tc>
        <w:tc>
          <w:tcPr>
            <w:tcW w:w="3460" w:type="dxa"/>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3761.55</w:t>
            </w:r>
            <w:r/>
          </w:p>
        </w:tc>
      </w:tr>
    </w:tbl>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最高限价：</w:t>
      </w:r>
      <w:r/>
    </w:p>
    <w:tbl>
      <w:tblPr>
        <w:tblStyle w:val="70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2021"/>
        <w:gridCol w:w="2078"/>
        <w:gridCol w:w="2811"/>
      </w:tblGrid>
      <w:tr>
        <w:trPr/>
        <w:tc>
          <w:tcPr>
            <w:tcW w:w="1176" w:type="dxa"/>
            <w:vAlign w:val="center"/>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分包号</w:t>
            </w:r>
            <w:r/>
          </w:p>
        </w:tc>
        <w:tc>
          <w:tcPr>
            <w:tcW w:w="2021" w:type="dxa"/>
            <w:vAlign w:val="center"/>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是否设定最高限价（是/否）</w:t>
            </w:r>
            <w:r/>
          </w:p>
        </w:tc>
        <w:tc>
          <w:tcPr>
            <w:tcW w:w="2078" w:type="dxa"/>
            <w:vAlign w:val="center"/>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最高限价（人民币：万元/年）</w:t>
            </w:r>
            <w:r/>
          </w:p>
        </w:tc>
        <w:tc>
          <w:tcPr>
            <w:tcW w:w="2811" w:type="dxa"/>
            <w:vAlign w:val="center"/>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三年最高限价（人民币：万元）</w:t>
            </w:r>
            <w:r/>
          </w:p>
        </w:tc>
      </w:tr>
      <w:tr>
        <w:trPr/>
        <w:tc>
          <w:tcPr>
            <w:tcW w:w="1176" w:type="dxa"/>
            <w:vAlign w:val="center"/>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2021" w:type="dxa"/>
            <w:vAlign w:val="center"/>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w:t>
            </w:r>
            <w:r/>
          </w:p>
        </w:tc>
        <w:tc>
          <w:tcPr>
            <w:tcW w:w="2078" w:type="dxa"/>
            <w:vAlign w:val="center"/>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1103.388</w:t>
            </w:r>
            <w:r/>
          </w:p>
        </w:tc>
        <w:tc>
          <w:tcPr>
            <w:tcW w:w="2811" w:type="dxa"/>
            <w:vAlign w:val="center"/>
            <w:textDirection w:val="lrTb"/>
            <w:noWrap w:val="false"/>
          </w:tcPr>
          <w:p>
            <w:pPr>
              <w:jc w:val="cente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3310.164</w:t>
            </w:r>
            <w:r/>
          </w:p>
        </w:tc>
      </w:tr>
    </w:tbl>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7.采购需求（简介）：详细内容见本招标文件第四章。</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8.合同履行期限:三年，自合同签订之日起三年。</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9.本项目（是/否）接受联合体投标：否。</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10.本项目是否接受分包：否。</w:t>
      </w:r>
      <w:r/>
    </w:p>
    <w:p>
      <w:pPr>
        <w:spacing w:line="480" w:lineRule="exact"/>
        <w:rPr>
          <w:rFonts w:hint="eastAsia" w:ascii="仿宋" w:hAnsi="仿宋" w:eastAsia="仿宋" w:cs="仿宋"/>
          <w:b/>
          <w:bCs/>
          <w:sz w:val="32"/>
          <w:szCs w:val="32"/>
          <w:highlight w:val="none"/>
        </w:rPr>
      </w:pPr>
      <w:r/>
      <w:bookmarkStart w:id="13" w:name="_Toc28359080"/>
      <w:r/>
      <w:bookmarkStart w:id="14" w:name="_Toc38985264"/>
      <w:r/>
      <w:bookmarkStart w:id="15" w:name="_Toc35393622"/>
      <w:r/>
      <w:bookmarkStart w:id="16" w:name="_Toc35393791"/>
      <w:r/>
      <w:bookmarkStart w:id="17" w:name="_Toc28359003"/>
      <w:r>
        <w:rPr>
          <w:rFonts w:hint="eastAsia" w:ascii="仿宋" w:hAnsi="仿宋" w:eastAsia="仿宋" w:cs="仿宋"/>
          <w:b/>
          <w:bCs/>
          <w:sz w:val="32"/>
          <w:szCs w:val="32"/>
          <w:highlight w:val="none"/>
        </w:rPr>
        <w:t xml:space="preserve">二、申请人的资格要求：</w:t>
      </w:r>
      <w:bookmarkEnd w:id="13"/>
      <w:r/>
      <w:bookmarkEnd w:id="14"/>
      <w:r/>
      <w:bookmarkEnd w:id="15"/>
      <w:r/>
      <w:bookmarkEnd w:id="16"/>
      <w:r/>
      <w:bookmarkEnd w:id="17"/>
      <w:r/>
      <w:r/>
    </w:p>
    <w:p>
      <w:pPr>
        <w:ind w:firstLine="480"/>
        <w:spacing w:line="480" w:lineRule="exact"/>
        <w:rPr>
          <w:rFonts w:hint="eastAsia" w:ascii="仿宋" w:hAnsi="仿宋" w:eastAsia="仿宋" w:cs="仿宋"/>
          <w:sz w:val="24"/>
          <w:szCs w:val="24"/>
          <w:highlight w:val="none"/>
        </w:rPr>
      </w:pPr>
      <w:r/>
      <w:bookmarkStart w:id="18" w:name="_Toc28359004"/>
      <w:r/>
      <w:bookmarkStart w:id="19" w:name="_Toc35393623"/>
      <w:r/>
      <w:bookmarkStart w:id="20" w:name="_Toc35393792"/>
      <w:r/>
      <w:bookmarkStart w:id="21" w:name="_Toc38985265"/>
      <w:r/>
      <w:bookmarkStart w:id="22" w:name="_Toc28359081"/>
      <w:r>
        <w:rPr>
          <w:rFonts w:hint="eastAsia" w:ascii="仿宋" w:hAnsi="仿宋" w:eastAsia="仿宋" w:cs="仿宋"/>
          <w:sz w:val="24"/>
          <w:szCs w:val="24"/>
          <w:highlight w:val="none"/>
        </w:rPr>
        <w:t xml:space="preserve">（一）通用资格要求</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1.满足《中华人民共和国政府采购法》第二十二条规定；（按附件3格式进行声明，投标文件中无需提供其他证明材料）；</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落实政府采购政策需满足的资格要求：</w:t>
      </w:r>
      <w:r>
        <w:rPr>
          <w:rFonts w:hint="eastAsia" w:ascii="仿宋" w:hAnsi="仿宋" w:eastAsia="仿宋" w:cs="仿宋"/>
          <w:sz w:val="24"/>
          <w:szCs w:val="24"/>
          <w:highlight w:val="none"/>
          <w:lang w:val="en-US" w:eastAsia="zh-CN"/>
        </w:rPr>
        <w:t xml:space="preserve">无</w:t>
      </w:r>
      <w:r>
        <w:rPr>
          <w:rFonts w:hint="eastAsia" w:ascii="仿宋" w:hAnsi="仿宋" w:eastAsia="仿宋" w:cs="仿宋"/>
          <w:sz w:val="24"/>
          <w:szCs w:val="24"/>
          <w:highlight w:val="none"/>
        </w:rPr>
        <w:t xml:space="preserve">。</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（二）本项目的特定资格要求：无。</w:t>
      </w:r>
      <w:r/>
    </w:p>
    <w:p>
      <w:pP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三、获取招标文件</w:t>
      </w:r>
      <w:bookmarkEnd w:id="18"/>
      <w:r/>
      <w:bookmarkEnd w:id="19"/>
      <w:r/>
      <w:bookmarkEnd w:id="20"/>
      <w:r/>
      <w:bookmarkEnd w:id="21"/>
      <w:r/>
      <w:bookmarkEnd w:id="22"/>
      <w:r/>
      <w:r/>
    </w:p>
    <w:p>
      <w:pPr>
        <w:ind w:firstLine="480"/>
        <w:spacing w:line="480" w:lineRule="exact"/>
        <w:rPr>
          <w:rFonts w:hint="eastAsia" w:ascii="仿宋" w:hAnsi="仿宋" w:eastAsia="仿宋" w:cs="仿宋"/>
          <w:sz w:val="24"/>
          <w:szCs w:val="24"/>
          <w:highlight w:val="none"/>
        </w:rPr>
      </w:pPr>
      <w:r/>
      <w:bookmarkStart w:id="23" w:name="_Toc28359082"/>
      <w:r/>
      <w:bookmarkStart w:id="24" w:name="_Toc28359005"/>
      <w:r/>
      <w:bookmarkStart w:id="25" w:name="_Toc35393624"/>
      <w:r/>
      <w:bookmarkStart w:id="26" w:name="_Toc38985266"/>
      <w:r/>
      <w:bookmarkStart w:id="27" w:name="_Toc35393793"/>
      <w:r>
        <w:rPr>
          <w:rFonts w:hint="eastAsia" w:ascii="仿宋" w:hAnsi="仿宋" w:eastAsia="仿宋" w:cs="仿宋"/>
          <w:sz w:val="24"/>
          <w:szCs w:val="24"/>
          <w:highlight w:val="none"/>
        </w:rPr>
        <w:t xml:space="preserve">1.时间：</w:t>
      </w:r>
      <w:r>
        <w:rPr>
          <w:rFonts w:hint="eastAsia" w:ascii="仿宋" w:hAnsi="仿宋" w:eastAsia="仿宋" w:cs="仿宋"/>
          <w:sz w:val="24"/>
          <w:highlight w:val="none"/>
        </w:rPr>
        <w:t xml:space="preserve">自采购公告发布之日</w:t>
      </w:r>
      <w:r>
        <w:rPr>
          <w:rFonts w:hint="eastAsia" w:ascii="仿宋" w:hAnsi="仿宋" w:eastAsia="仿宋" w:cs="仿宋"/>
          <w:sz w:val="24"/>
          <w:szCs w:val="24"/>
          <w:highlight w:val="none"/>
          <w:lang w:val="en-US" w:eastAsia="zh-CN"/>
        </w:rPr>
        <w:t xml:space="preserve">起5个工作日</w:t>
      </w:r>
      <w:r>
        <w:rPr>
          <w:rFonts w:hint="eastAsia" w:ascii="仿宋" w:hAnsi="仿宋" w:eastAsia="仿宋" w:cs="仿宋"/>
          <w:sz w:val="24"/>
          <w:szCs w:val="24"/>
          <w:highlight w:val="none"/>
        </w:rPr>
        <w:t xml:space="preserve">（北京时间）</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2.地点：“江苏政府采购网”</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3.方式：凡有意参与投标的供应商须登录江苏政府采购网首页点击“苏采云”→通过CA锁进行响应确认，并自行在招标文件有效获取期内及时下载获取。</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4.售价：免费</w:t>
      </w:r>
      <w:r/>
    </w:p>
    <w:p>
      <w:pP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四、提交投标文件</w:t>
      </w:r>
      <w:bookmarkEnd w:id="23"/>
      <w:r/>
      <w:bookmarkEnd w:id="24"/>
      <w:r>
        <w:rPr>
          <w:rFonts w:hint="eastAsia" w:ascii="仿宋" w:hAnsi="仿宋" w:eastAsia="仿宋" w:cs="仿宋"/>
          <w:b/>
          <w:bCs/>
          <w:sz w:val="32"/>
          <w:szCs w:val="32"/>
          <w:highlight w:val="none"/>
        </w:rPr>
        <w:t xml:space="preserve">截止时间、开标时间和地点</w:t>
      </w:r>
      <w:bookmarkEnd w:id="25"/>
      <w:r/>
      <w:bookmarkEnd w:id="26"/>
      <w:r/>
      <w:bookmarkEnd w:id="27"/>
      <w:r/>
      <w:r/>
    </w:p>
    <w:p>
      <w:pPr>
        <w:ind w:firstLine="480"/>
        <w:spacing w:line="480" w:lineRule="exact"/>
        <w:rPr>
          <w:rFonts w:hint="eastAsia" w:ascii="仿宋" w:hAnsi="仿宋" w:eastAsia="仿宋" w:cs="仿宋"/>
          <w:sz w:val="24"/>
          <w:szCs w:val="24"/>
          <w:highlight w:val="none"/>
        </w:rPr>
      </w:pPr>
      <w:r/>
      <w:bookmarkStart w:id="28" w:name="_Toc28359084"/>
      <w:r/>
      <w:bookmarkStart w:id="29" w:name="_Toc38985267"/>
      <w:r/>
      <w:bookmarkStart w:id="30" w:name="_Toc28359007"/>
      <w:r/>
      <w:bookmarkStart w:id="31" w:name="_Toc35393625"/>
      <w:r/>
      <w:bookmarkStart w:id="32" w:name="_Toc35393794"/>
      <w:r>
        <w:rPr>
          <w:rFonts w:hint="eastAsia" w:ascii="仿宋" w:hAnsi="仿宋" w:eastAsia="仿宋" w:cs="仿宋"/>
          <w:bCs/>
          <w:sz w:val="24"/>
          <w:szCs w:val="24"/>
          <w:highlight w:val="none"/>
        </w:rPr>
        <w:t xml:space="preserve">1.提交投标文件截止时间、开标时间：</w:t>
      </w:r>
      <w:r>
        <w:rPr>
          <w:rFonts w:hint="eastAsia" w:ascii="仿宋" w:hAnsi="仿宋" w:eastAsia="仿宋" w:cs="仿宋"/>
          <w:sz w:val="24"/>
          <w:szCs w:val="24"/>
          <w:highlight w:val="none"/>
          <w:u w:val="single"/>
        </w:rPr>
        <w:t xml:space="preserve">2026年</w:t>
      </w:r>
      <w:r>
        <w:rPr>
          <w:rFonts w:hint="eastAsia" w:ascii="仿宋" w:hAnsi="仿宋" w:eastAsia="仿宋" w:cs="仿宋"/>
          <w:sz w:val="24"/>
          <w:szCs w:val="24"/>
          <w:highlight w:val="none"/>
          <w:u w:val="single"/>
          <w:lang w:val="en-US" w:eastAsia="zh-CN"/>
        </w:rPr>
        <w:t xml:space="preserve">10月20日</w:t>
      </w:r>
      <w:r>
        <w:rPr>
          <w:rFonts w:hint="eastAsia" w:ascii="仿宋" w:hAnsi="仿宋" w:eastAsia="仿宋" w:cs="仿宋"/>
          <w:bCs/>
          <w:sz w:val="24"/>
          <w:szCs w:val="24"/>
          <w:highlight w:val="none"/>
          <w:u w:val="single"/>
        </w:rPr>
        <w:t xml:space="preserve">上午9点00分</w:t>
      </w:r>
      <w:r>
        <w:rPr>
          <w:rFonts w:hint="eastAsia" w:ascii="仿宋" w:hAnsi="仿宋" w:eastAsia="仿宋" w:cs="仿宋"/>
          <w:sz w:val="24"/>
          <w:szCs w:val="24"/>
          <w:highlight w:val="none"/>
        </w:rPr>
        <w:t xml:space="preserve">（北京时间），逾时，系统将拒绝接受上传投标文件电子文档。</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2.地点：“苏采云”政府采购一体化平台。</w:t>
      </w:r>
      <w:r/>
    </w:p>
    <w:p>
      <w:pP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五、公告期限</w:t>
      </w:r>
      <w:bookmarkEnd w:id="28"/>
      <w:r/>
      <w:bookmarkEnd w:id="29"/>
      <w:r/>
      <w:bookmarkEnd w:id="30"/>
      <w:r/>
      <w:bookmarkEnd w:id="31"/>
      <w:r/>
      <w:bookmarkEnd w:id="32"/>
      <w:r/>
      <w:r/>
    </w:p>
    <w:p>
      <w:pPr>
        <w:ind w:firstLine="480"/>
        <w:spacing w:line="480" w:lineRule="exact"/>
        <w:rPr>
          <w:rFonts w:hint="eastAsia" w:ascii="仿宋" w:hAnsi="仿宋" w:eastAsia="仿宋" w:cs="仿宋"/>
          <w:sz w:val="24"/>
          <w:szCs w:val="24"/>
          <w:highlight w:val="none"/>
        </w:rPr>
      </w:pPr>
      <w:r/>
      <w:bookmarkStart w:id="33" w:name="_Toc38985268"/>
      <w:r/>
      <w:bookmarkStart w:id="34" w:name="_Toc35393795"/>
      <w:r/>
      <w:bookmarkStart w:id="35" w:name="_Toc35393626"/>
      <w:r>
        <w:rPr>
          <w:rFonts w:hint="eastAsia" w:ascii="仿宋" w:hAnsi="仿宋" w:eastAsia="仿宋" w:cs="仿宋"/>
          <w:sz w:val="24"/>
          <w:szCs w:val="24"/>
          <w:highlight w:val="none"/>
        </w:rPr>
        <w:t xml:space="preserve">自本公告发布之日起5个工作日。</w:t>
      </w:r>
      <w:r/>
    </w:p>
    <w:p>
      <w:pP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六、其他补充事宜</w:t>
      </w:r>
      <w:bookmarkEnd w:id="33"/>
      <w:r/>
      <w:bookmarkEnd w:id="34"/>
      <w:r/>
      <w:bookmarkEnd w:id="35"/>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1.项目开标活动模式：不见面远程开标模式</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供应商（含潜在投标供应商）对采购方式、招标文件中项目需求、供应商资格条件、评标方法和评标标准、资格审查部分、合同文本等应当由采购人答复的质疑，请向采购人提出，由采购人负责答复。投标供应商对其他事项的质疑，请向代理机构提出，由代理机构负责答复。对在“苏采云”系统操作阶段的询问请向交易系统软件维护人员提出。</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4.开标当天投标供应商应及时登录“苏采云”政府采购一体化</w:t>
      </w:r>
      <w:r>
        <w:rPr>
          <w:rFonts w:hint="eastAsia" w:ascii="仿宋" w:hAnsi="仿宋" w:eastAsia="仿宋" w:cs="仿宋"/>
          <w:sz w:val="24"/>
          <w:szCs w:val="24"/>
          <w:highlight w:val="none"/>
        </w:rPr>
        <w:t xml:space="preserve">平台，并在规定时间内自行实施远程解密。投标供应商解密时间限定为投标文件解密指令发出后30分钟（投标供应商应当充分考虑网络延时造成的本地网络计时不一致风险，提前完成解密动作）。投标供应商因网络、电源、浏览器不稳定、未按要求配置软硬件环境，解密锁用错或其他物理故障、操作熟练程度等自身原因，导致投标文件在规定时间内未能解密、解密失败或解密超时，相应责任由投标供应商自行承担；因采购人原因或网上招投标平台发生故障，导致无法按时完成投标文件解密或开、评标工作无法进行的，可根据实际情况相应延迟解密时间或调整开、评标时间。</w:t>
      </w:r>
      <w:r/>
    </w:p>
    <w:p>
      <w:pPr>
        <w:spacing w:line="480" w:lineRule="exact"/>
        <w:rPr>
          <w:rFonts w:hint="eastAsia" w:ascii="仿宋" w:hAnsi="仿宋" w:eastAsia="仿宋" w:cs="仿宋"/>
          <w:b/>
          <w:bCs/>
          <w:sz w:val="32"/>
          <w:szCs w:val="32"/>
          <w:highlight w:val="none"/>
        </w:rPr>
      </w:pPr>
      <w:r/>
      <w:bookmarkStart w:id="36" w:name="_Toc35393796"/>
      <w:r/>
      <w:bookmarkStart w:id="37" w:name="_Toc38985269"/>
      <w:r/>
      <w:bookmarkStart w:id="38" w:name="_Toc28359008"/>
      <w:r/>
      <w:bookmarkStart w:id="39" w:name="_Toc35393627"/>
      <w:r/>
      <w:bookmarkStart w:id="40" w:name="_Toc28359085"/>
      <w:r>
        <w:rPr>
          <w:rFonts w:hint="eastAsia" w:ascii="仿宋" w:hAnsi="仿宋" w:eastAsia="仿宋" w:cs="仿宋"/>
          <w:b/>
          <w:bCs/>
          <w:sz w:val="32"/>
          <w:szCs w:val="32"/>
          <w:highlight w:val="none"/>
        </w:rPr>
        <w:t xml:space="preserve">七、</w:t>
      </w:r>
      <w:bookmarkEnd w:id="36"/>
      <w:r/>
      <w:bookmarkEnd w:id="37"/>
      <w:r/>
      <w:bookmarkEnd w:id="38"/>
      <w:r/>
      <w:bookmarkEnd w:id="39"/>
      <w:r/>
      <w:bookmarkEnd w:id="40"/>
      <w:r>
        <w:rPr>
          <w:rFonts w:hint="eastAsia" w:ascii="仿宋" w:hAnsi="仿宋" w:eastAsia="仿宋" w:cs="仿宋"/>
          <w:b/>
          <w:bCs/>
          <w:sz w:val="32"/>
          <w:szCs w:val="32"/>
          <w:highlight w:val="none"/>
        </w:rPr>
        <w:t xml:space="preserve">对本次招标提出询问，请按以下方式联系</w:t>
      </w:r>
      <w:r/>
    </w:p>
    <w:p>
      <w:pPr>
        <w:ind w:firstLine="480"/>
        <w:spacing w:line="480" w:lineRule="exact"/>
        <w:rPr>
          <w:rFonts w:hint="eastAsia" w:ascii="仿宋" w:hAnsi="仿宋" w:eastAsia="仿宋" w:cs="仿宋"/>
          <w:sz w:val="24"/>
          <w:szCs w:val="24"/>
          <w:highlight w:val="none"/>
        </w:rPr>
      </w:pPr>
      <w:r/>
      <w:bookmarkStart w:id="41" w:name="_Toc28359010"/>
      <w:r/>
      <w:bookmarkStart w:id="42" w:name="_Toc28359087"/>
      <w:r>
        <w:rPr>
          <w:rFonts w:hint="eastAsia" w:ascii="仿宋" w:hAnsi="仿宋" w:eastAsia="仿宋" w:cs="仿宋"/>
          <w:sz w:val="24"/>
          <w:szCs w:val="24"/>
          <w:highlight w:val="none"/>
        </w:rPr>
        <w:t xml:space="preserve">1.采购人信息</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名称：如东县大豫镇人民政府</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地址：如东县大豫镇新兴路8号</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联系人：袁灵宁 </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联系方式：13506271595 </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2.采购代理机构信息</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名称：南通城建工程项目管理有限公司</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地址：如东县长江路27号</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联系人：陈工</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联系方式：13404206005</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3.项目联系方式</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项目联系人：袁灵宁 </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联系方式：13506271595  　</w:t>
      </w:r>
      <w:bookmarkEnd w:id="41"/>
      <w:r/>
      <w:bookmarkEnd w:id="42"/>
      <w:r/>
      <w:r/>
    </w:p>
    <w:p>
      <w:pPr>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4.软件维护人员</w:t>
      </w:r>
      <w:r/>
    </w:p>
    <w:p>
      <w:pPr>
        <w:ind w:firstLine="480"/>
        <w:spacing w:line="480" w:lineRule="exact"/>
        <w:rPr>
          <w:rFonts w:hint="eastAsia" w:ascii="仿宋" w:hAnsi="仿宋" w:eastAsia="仿宋" w:cs="仿宋"/>
          <w:b/>
          <w:bCs/>
          <w:sz w:val="32"/>
          <w:szCs w:val="32"/>
          <w:highlight w:val="none"/>
        </w:rPr>
      </w:pPr>
      <w:r>
        <w:rPr>
          <w:rFonts w:hint="eastAsia" w:ascii="仿宋" w:hAnsi="仿宋" w:eastAsia="仿宋" w:cs="仿宋"/>
          <w:color w:val="000000"/>
          <w:sz w:val="24"/>
          <w:szCs w:val="24"/>
          <w:highlight w:val="none"/>
        </w:rPr>
        <w:t xml:space="preserve">联系方式：0519-86722801、0519-86722806  </w:t>
      </w:r>
      <w:r/>
    </w:p>
    <w:p>
      <w:pP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八、其他</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详见《江苏省政府采购管理交易系统(苏采云)供应商操作指南》（以下简称《操作指南》），《操作指南》链接：</w:t>
      </w:r>
      <w:r>
        <w:rPr>
          <w:rFonts w:hint="eastAsia" w:ascii="仿宋" w:hAnsi="仿宋" w:eastAsia="仿宋" w:cs="仿宋"/>
          <w:bCs/>
          <w:sz w:val="24"/>
          <w:szCs w:val="24"/>
          <w:highlight w:val="none"/>
        </w:rPr>
        <w:t xml:space="preserve">http://www.ccgp-jiangsu.gov.cn/jiangsu/zlxz/ee/ee3a4bc5a3454aa2b0d9312230633ce9.html。</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领取CA和办理电子签章请至南通市政务服务中心裙楼四楼CA办理窗口办理，详见《江苏省政府采购数字证书(供应商)CA及电子签章办理指南》），请及时进行注册并按要求制作、上传电子投标文件。</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2.有关本次招标的事项若存在变动或修改，敬请及时关注“江苏政府采购网”发布的更正公告。</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3.本次招标不收取投标保证金。</w:t>
      </w:r>
      <w:r/>
    </w:p>
    <w:p>
      <w:pPr>
        <w:ind w:right="840"/>
        <w:rPr>
          <w:highlight w:val="none"/>
        </w:rPr>
      </w:pPr>
      <w:r/>
      <w:bookmarkStart w:id="43" w:name="_Toc120614211"/>
      <w:r/>
      <w:r/>
    </w:p>
    <w:p>
      <w:pPr>
        <w:rPr>
          <w:rFonts w:hint="eastAsia" w:ascii="仿宋" w:hAnsi="仿宋" w:eastAsia="仿宋" w:cs="仿宋"/>
          <w:b/>
          <w:bCs/>
          <w:sz w:val="44"/>
          <w:szCs w:val="44"/>
          <w:highlight w:val="none"/>
        </w:rPr>
      </w:pPr>
      <w:r/>
      <w:bookmarkStart w:id="44" w:name="_Toc186493268"/>
      <w:r>
        <w:rPr>
          <w:rFonts w:hint="eastAsia" w:ascii="仿宋" w:hAnsi="仿宋" w:eastAsia="仿宋" w:cs="仿宋"/>
          <w:b/>
          <w:bCs/>
          <w:sz w:val="44"/>
          <w:szCs w:val="44"/>
          <w:highlight w:val="none"/>
        </w:rPr>
        <w:br w:type="page" w:clear="all"/>
      </w:r>
      <w:r/>
    </w:p>
    <w:p>
      <w:pPr>
        <w:ind w:right="840"/>
        <w:jc w:val="center"/>
        <w:rPr>
          <w:highlight w:val="none"/>
        </w:rPr>
        <w:outlineLvl w:val="0"/>
      </w:pPr>
      <w:r>
        <w:rPr>
          <w:rFonts w:hint="eastAsia" w:ascii="仿宋" w:hAnsi="仿宋" w:eastAsia="仿宋" w:cs="仿宋"/>
          <w:b/>
          <w:bCs/>
          <w:sz w:val="44"/>
          <w:szCs w:val="44"/>
          <w:highlight w:val="none"/>
        </w:rPr>
        <w:t xml:space="preserve">  第二章  </w:t>
      </w:r>
      <w:bookmarkEnd w:id="1"/>
      <w:r/>
      <w:bookmarkEnd w:id="2"/>
      <w:r/>
      <w:bookmarkEnd w:id="3"/>
      <w:r/>
      <w:bookmarkEnd w:id="4"/>
      <w:r/>
      <w:bookmarkEnd w:id="5"/>
      <w:r/>
      <w:bookmarkEnd w:id="43"/>
      <w:r/>
      <w:bookmarkStart w:id="45" w:name="_Toc20823274"/>
      <w:r/>
      <w:bookmarkStart w:id="46" w:name="_Toc513029202"/>
      <w:r/>
      <w:bookmarkStart w:id="47" w:name="_Toc16938518"/>
      <w:r/>
      <w:bookmarkStart w:id="48" w:name="_Toc120614213"/>
      <w:r>
        <w:rPr>
          <w:rFonts w:hint="eastAsia" w:ascii="仿宋" w:hAnsi="仿宋" w:eastAsia="仿宋" w:cs="仿宋"/>
          <w:b/>
          <w:bCs/>
          <w:sz w:val="44"/>
          <w:szCs w:val="44"/>
          <w:highlight w:val="none"/>
        </w:rPr>
        <w:t xml:space="preserve">投标供应商须知</w:t>
      </w:r>
      <w:bookmarkEnd w:id="44"/>
      <w:r/>
      <w:bookmarkEnd w:id="45"/>
      <w:r/>
      <w:bookmarkEnd w:id="46"/>
      <w:r/>
      <w:bookmarkEnd w:id="47"/>
      <w:r/>
      <w:bookmarkEnd w:id="48"/>
      <w:r/>
      <w:r/>
    </w:p>
    <w:p>
      <w:pPr>
        <w:keepLines/>
        <w:keepNext/>
        <w:spacing w:before="145" w:after="145" w:line="400" w:lineRule="exact"/>
        <w:rPr>
          <w:rFonts w:hint="eastAsia" w:ascii="仿宋" w:hAnsi="仿宋" w:eastAsia="仿宋" w:cs="仿宋"/>
          <w:b/>
          <w:bCs/>
          <w:sz w:val="32"/>
          <w:szCs w:val="32"/>
          <w:highlight w:val="none"/>
        </w:rPr>
        <w:outlineLvl w:val="1"/>
      </w:pPr>
      <w:r/>
      <w:bookmarkStart w:id="49" w:name="_Toc20823275"/>
      <w:r/>
      <w:bookmarkStart w:id="50" w:name="_Toc16938519"/>
      <w:r/>
      <w:bookmarkStart w:id="51" w:name="_Toc513029203"/>
      <w:r/>
      <w:bookmarkStart w:id="52" w:name="_Toc120614214"/>
      <w:r>
        <w:rPr>
          <w:rFonts w:hint="eastAsia" w:ascii="仿宋" w:hAnsi="仿宋" w:eastAsia="仿宋" w:cs="仿宋"/>
          <w:b/>
          <w:bCs/>
          <w:sz w:val="32"/>
          <w:szCs w:val="32"/>
          <w:highlight w:val="none"/>
        </w:rPr>
        <w:t xml:space="preserve">一、总则</w:t>
      </w:r>
      <w:bookmarkEnd w:id="49"/>
      <w:r/>
      <w:bookmarkEnd w:id="50"/>
      <w:r/>
      <w:bookmarkEnd w:id="51"/>
      <w:r/>
      <w:bookmarkEnd w:id="52"/>
      <w:r/>
      <w:r/>
    </w:p>
    <w:p>
      <w:pPr>
        <w:ind w:firstLine="422"/>
        <w:keepLines/>
        <w:keepNext/>
        <w:spacing w:line="400" w:lineRule="exact"/>
        <w:rPr>
          <w:rFonts w:hint="eastAsia" w:ascii="仿宋" w:hAnsi="仿宋" w:eastAsia="仿宋" w:cs="仿宋"/>
          <w:b/>
          <w:bCs/>
          <w:sz w:val="28"/>
          <w:szCs w:val="28"/>
          <w:highlight w:val="none"/>
        </w:rPr>
      </w:pPr>
      <w:r/>
      <w:bookmarkStart w:id="53" w:name="_Hlt16619475"/>
      <w:r/>
      <w:bookmarkEnd w:id="53"/>
      <w:r/>
      <w:bookmarkStart w:id="54" w:name="_Toc458694821"/>
      <w:r/>
      <w:bookmarkStart w:id="55" w:name="_Toc16938520"/>
      <w:r/>
      <w:bookmarkStart w:id="56" w:name="_Toc20823276"/>
      <w:r/>
      <w:bookmarkStart w:id="57" w:name="_Toc513029204"/>
      <w:r>
        <w:rPr>
          <w:rFonts w:hint="eastAsia" w:ascii="仿宋" w:hAnsi="仿宋" w:eastAsia="仿宋" w:cs="仿宋"/>
          <w:b/>
          <w:bCs/>
          <w:sz w:val="28"/>
          <w:szCs w:val="28"/>
          <w:highlight w:val="none"/>
        </w:rPr>
        <w:t xml:space="preserve">1</w:t>
      </w:r>
      <w:bookmarkEnd w:id="54"/>
      <w:r>
        <w:rPr>
          <w:rFonts w:hint="eastAsia" w:ascii="仿宋" w:hAnsi="仿宋" w:eastAsia="仿宋" w:cs="仿宋"/>
          <w:b/>
          <w:bCs/>
          <w:sz w:val="28"/>
          <w:szCs w:val="28"/>
          <w:highlight w:val="none"/>
        </w:rPr>
        <w:t xml:space="preserve">、招标方式</w:t>
      </w:r>
      <w:bookmarkEnd w:id="55"/>
      <w:r/>
      <w:bookmarkEnd w:id="56"/>
      <w:r/>
      <w:bookmarkEnd w:id="57"/>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1.1 本次招标采取公开招标方式，本招标文件仅适用于招标公告中所述项目。</w:t>
      </w:r>
      <w:r/>
    </w:p>
    <w:p>
      <w:pPr>
        <w:ind w:firstLine="422"/>
        <w:keepLines/>
        <w:keepNext/>
        <w:spacing w:line="400" w:lineRule="exact"/>
        <w:rPr>
          <w:rFonts w:hint="eastAsia" w:ascii="仿宋" w:hAnsi="仿宋" w:eastAsia="仿宋" w:cs="仿宋"/>
          <w:b/>
          <w:bCs/>
          <w:sz w:val="28"/>
          <w:szCs w:val="28"/>
          <w:highlight w:val="none"/>
        </w:rPr>
      </w:pPr>
      <w:r/>
      <w:bookmarkStart w:id="58" w:name="_Toc513029205"/>
      <w:r/>
      <w:bookmarkStart w:id="59" w:name="_Toc16938521"/>
      <w:r/>
      <w:bookmarkStart w:id="60" w:name="_Toc20823277"/>
      <w:r>
        <w:rPr>
          <w:rFonts w:hint="eastAsia" w:ascii="仿宋" w:hAnsi="仿宋" w:eastAsia="仿宋" w:cs="仿宋"/>
          <w:b/>
          <w:bCs/>
          <w:sz w:val="28"/>
          <w:szCs w:val="28"/>
          <w:highlight w:val="none"/>
        </w:rPr>
        <w:t xml:space="preserve">2、合格的</w:t>
      </w:r>
      <w:bookmarkEnd w:id="58"/>
      <w:r/>
      <w:bookmarkEnd w:id="59"/>
      <w:r/>
      <w:bookmarkEnd w:id="60"/>
      <w:r>
        <w:rPr>
          <w:rFonts w:hint="eastAsia" w:ascii="仿宋" w:hAnsi="仿宋" w:eastAsia="仿宋" w:cs="仿宋"/>
          <w:b/>
          <w:bCs/>
          <w:sz w:val="28"/>
          <w:szCs w:val="28"/>
          <w:highlight w:val="none"/>
        </w:rPr>
        <w:t xml:space="preserve">投标供应商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2.1满足招标公告中供应商的资格要求的规定。</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2.2 满足本文件实质性要求的规定。</w:t>
      </w:r>
      <w:r/>
    </w:p>
    <w:p>
      <w:pPr>
        <w:ind w:firstLine="422"/>
        <w:keepLines/>
        <w:keepNext/>
        <w:spacing w:line="400" w:lineRule="exact"/>
        <w:rPr>
          <w:rFonts w:hint="eastAsia" w:ascii="仿宋" w:hAnsi="仿宋" w:eastAsia="仿宋" w:cs="仿宋"/>
          <w:b/>
          <w:bCs/>
          <w:sz w:val="28"/>
          <w:szCs w:val="28"/>
          <w:highlight w:val="none"/>
        </w:rPr>
      </w:pPr>
      <w:r/>
      <w:bookmarkStart w:id="61" w:name="_Toc16938522"/>
      <w:r/>
      <w:bookmarkStart w:id="62" w:name="_Toc513029206"/>
      <w:r/>
      <w:bookmarkStart w:id="63" w:name="_Toc20823278"/>
      <w:r>
        <w:rPr>
          <w:rFonts w:hint="eastAsia" w:ascii="仿宋" w:hAnsi="仿宋" w:eastAsia="仿宋" w:cs="仿宋"/>
          <w:b/>
          <w:bCs/>
          <w:sz w:val="28"/>
          <w:szCs w:val="28"/>
          <w:highlight w:val="none"/>
        </w:rPr>
        <w:t xml:space="preserve">3、适用法律</w:t>
      </w:r>
      <w:bookmarkEnd w:id="61"/>
      <w:r/>
      <w:bookmarkEnd w:id="62"/>
      <w:r/>
      <w:bookmarkEnd w:id="63"/>
      <w:r/>
      <w:r/>
    </w:p>
    <w:p>
      <w:pPr>
        <w:ind w:firstLine="42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3.1 本次招标及由此产生的合同受中华人民共和国有关的法律法规制约和保护。</w:t>
      </w:r>
      <w:r/>
    </w:p>
    <w:p>
      <w:pPr>
        <w:ind w:firstLine="422"/>
        <w:keepLines/>
        <w:keepNext/>
        <w:spacing w:line="400" w:lineRule="exact"/>
        <w:rPr>
          <w:rFonts w:hint="eastAsia" w:ascii="仿宋" w:hAnsi="仿宋" w:eastAsia="仿宋" w:cs="仿宋"/>
          <w:b/>
          <w:bCs/>
          <w:color w:val="000000"/>
          <w:sz w:val="28"/>
          <w:szCs w:val="28"/>
          <w:highlight w:val="none"/>
        </w:rPr>
      </w:pPr>
      <w:r/>
      <w:bookmarkStart w:id="64" w:name="_Toc20823279"/>
      <w:r/>
      <w:bookmarkStart w:id="65" w:name="_Toc513029207"/>
      <w:r/>
      <w:bookmarkStart w:id="66" w:name="_Toc16938523"/>
      <w:r/>
      <w:bookmarkStart w:id="67" w:name="_Toc462564067"/>
      <w:r>
        <w:rPr>
          <w:rFonts w:hint="eastAsia" w:ascii="仿宋" w:hAnsi="仿宋" w:eastAsia="仿宋" w:cs="仿宋"/>
          <w:b/>
          <w:bCs/>
          <w:color w:val="000000"/>
          <w:sz w:val="28"/>
          <w:szCs w:val="28"/>
          <w:highlight w:val="none"/>
        </w:rPr>
        <w:t xml:space="preserve">4、投标费用</w:t>
      </w:r>
      <w:bookmarkEnd w:id="64"/>
      <w:r/>
      <w:bookmarkEnd w:id="65"/>
      <w:r/>
      <w:bookmarkEnd w:id="66"/>
      <w:r/>
      <w:bookmarkEnd w:id="67"/>
      <w:r/>
      <w:r/>
    </w:p>
    <w:p>
      <w:pPr>
        <w:ind w:firstLine="480"/>
        <w:spacing w:line="500" w:lineRule="exact"/>
        <w:rPr>
          <w:rFonts w:hint="eastAsia" w:ascii="仿宋" w:hAnsi="仿宋" w:eastAsia="仿宋" w:cs="仿宋"/>
          <w:sz w:val="24"/>
          <w:highlight w:val="none"/>
        </w:rPr>
      </w:pPr>
      <w:r>
        <w:rPr>
          <w:rFonts w:hint="eastAsia" w:ascii="仿宋" w:hAnsi="仿宋" w:eastAsia="仿宋" w:cs="仿宋"/>
          <w:bCs/>
          <w:sz w:val="24"/>
          <w:highlight w:val="none"/>
        </w:rPr>
        <w:t xml:space="preserve">4.1</w:t>
      </w:r>
      <w:r>
        <w:rPr>
          <w:rFonts w:hint="eastAsia" w:ascii="仿宋" w:hAnsi="仿宋" w:eastAsia="仿宋" w:cs="仿宋"/>
          <w:sz w:val="24"/>
          <w:highlight w:val="none"/>
        </w:rPr>
        <w:t xml:space="preserve"> 投标供应商应自行承担所有与参加投标有关的费用，无论投标过程中的做法和结果如何，采购人在任何情况下均无义务和责任承担这些费用。</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4.2本次招标代理服务费由成交供应商支付，收费标准为中标价*2.5‰，请各投标供应商报价时综合考虑。</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color w:val="000000"/>
          <w:sz w:val="28"/>
          <w:szCs w:val="28"/>
          <w:highlight w:val="none"/>
        </w:rPr>
        <w:t xml:space="preserve">5、招标文件的约束力</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5.1</w:t>
      </w:r>
      <w:r>
        <w:rPr>
          <w:rFonts w:hint="eastAsia" w:ascii="仿宋" w:hAnsi="仿宋" w:eastAsia="仿宋" w:cs="仿宋"/>
          <w:sz w:val="24"/>
          <w:szCs w:val="24"/>
          <w:highlight w:val="none"/>
        </w:rPr>
        <w:t xml:space="preserve">投标供应商一旦参加本项目采购活动，即被认为接受了本招标文件的规定和约束。</w:t>
      </w:r>
      <w:r/>
    </w:p>
    <w:p>
      <w:pPr>
        <w:keepLines/>
        <w:keepNext/>
        <w:spacing w:before="145" w:after="145" w:line="400" w:lineRule="exact"/>
        <w:rPr>
          <w:rFonts w:hint="eastAsia" w:ascii="仿宋" w:hAnsi="仿宋" w:eastAsia="仿宋" w:cs="仿宋"/>
          <w:b/>
          <w:bCs/>
          <w:sz w:val="32"/>
          <w:szCs w:val="32"/>
          <w:highlight w:val="none"/>
        </w:rPr>
        <w:outlineLvl w:val="1"/>
      </w:pPr>
      <w:r/>
      <w:bookmarkStart w:id="68" w:name="_Toc120614215"/>
      <w:r/>
      <w:bookmarkStart w:id="69" w:name="_Toc16938525"/>
      <w:r/>
      <w:bookmarkStart w:id="70" w:name="_Toc20823281"/>
      <w:r/>
      <w:bookmarkStart w:id="71" w:name="_Toc513029209"/>
      <w:r>
        <w:rPr>
          <w:rFonts w:hint="eastAsia" w:ascii="仿宋" w:hAnsi="仿宋" w:eastAsia="仿宋" w:cs="仿宋"/>
          <w:b/>
          <w:bCs/>
          <w:sz w:val="32"/>
          <w:szCs w:val="32"/>
          <w:highlight w:val="none"/>
        </w:rPr>
        <w:t xml:space="preserve">二、招标文件</w:t>
      </w:r>
      <w:bookmarkEnd w:id="68"/>
      <w:r/>
      <w:bookmarkEnd w:id="69"/>
      <w:r/>
      <w:bookmarkEnd w:id="70"/>
      <w:r/>
      <w:bookmarkEnd w:id="71"/>
      <w:r/>
      <w:r/>
    </w:p>
    <w:p>
      <w:pPr>
        <w:ind w:firstLine="422"/>
        <w:keepLines/>
        <w:keepNext/>
        <w:spacing w:line="400" w:lineRule="exact"/>
        <w:rPr>
          <w:rFonts w:hint="eastAsia" w:ascii="仿宋" w:hAnsi="仿宋" w:eastAsia="仿宋" w:cs="仿宋"/>
          <w:b/>
          <w:bCs/>
          <w:sz w:val="28"/>
          <w:szCs w:val="28"/>
          <w:highlight w:val="none"/>
        </w:rPr>
      </w:pPr>
      <w:r/>
      <w:bookmarkStart w:id="72" w:name="_Toc513029210"/>
      <w:r/>
      <w:bookmarkStart w:id="73" w:name="_Toc16938526"/>
      <w:r/>
      <w:bookmarkStart w:id="74" w:name="_Toc20823282"/>
      <w:r>
        <w:rPr>
          <w:rFonts w:hint="eastAsia" w:ascii="仿宋" w:hAnsi="仿宋" w:eastAsia="仿宋" w:cs="仿宋"/>
          <w:b/>
          <w:bCs/>
          <w:sz w:val="28"/>
          <w:szCs w:val="28"/>
          <w:highlight w:val="none"/>
        </w:rPr>
        <w:t xml:space="preserve">6、招标文件构成</w:t>
      </w:r>
      <w:bookmarkEnd w:id="72"/>
      <w:r/>
      <w:bookmarkEnd w:id="73"/>
      <w:r/>
      <w:bookmarkEnd w:id="74"/>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6.1 招标文件由以下部分组成：</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（1）投标邀请</w:t>
      </w:r>
      <w:r/>
    </w:p>
    <w:p>
      <w:pPr>
        <w:ind w:firstLine="480"/>
        <w:spacing w:line="500" w:lineRule="exact"/>
        <w:tabs>
          <w:tab w:val="center" w:pos="4476"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（2）投标供应商须知</w:t>
      </w:r>
      <w:r>
        <w:rPr>
          <w:rFonts w:hint="eastAsia" w:ascii="仿宋" w:hAnsi="仿宋" w:eastAsia="仿宋" w:cs="仿宋"/>
          <w:bCs/>
          <w:sz w:val="24"/>
          <w:highlight w:val="none"/>
        </w:rPr>
        <w:tab/>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（3）合同文本</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（4）采购需求</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（5）评标方法与评标标准</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（6）投标文件格式</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请仔细检查招标文件是否齐全，如有缺漏请立即与代理机构联系解决。</w:t>
      </w:r>
      <w:r/>
    </w:p>
    <w:p>
      <w:pPr>
        <w:ind w:firstLine="480"/>
        <w:spacing w:line="500" w:lineRule="exact"/>
        <w:rPr>
          <w:rFonts w:hint="eastAsia" w:ascii="仿宋" w:hAnsi="仿宋" w:eastAsia="仿宋" w:cs="仿宋"/>
          <w:sz w:val="24"/>
          <w:highlight w:val="none"/>
        </w:rPr>
      </w:pPr>
      <w:r>
        <w:rPr>
          <w:rFonts w:hint="eastAsia" w:ascii="仿宋" w:hAnsi="仿宋" w:eastAsia="仿宋" w:cs="仿宋"/>
          <w:bCs/>
          <w:sz w:val="24"/>
          <w:highlight w:val="none"/>
        </w:rPr>
        <w:t xml:space="preserve">6.2</w:t>
      </w:r>
      <w:r>
        <w:rPr>
          <w:rFonts w:hint="eastAsia" w:ascii="仿宋" w:hAnsi="仿宋" w:eastAsia="仿宋" w:cs="仿宋"/>
          <w:sz w:val="24"/>
          <w:highlight w:val="none"/>
        </w:rPr>
        <w:t xml:space="preserve"> 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ind w:firstLine="422"/>
        <w:keepLines/>
        <w:keepNext/>
        <w:spacing w:line="400" w:lineRule="exact"/>
        <w:rPr>
          <w:rFonts w:hint="eastAsia" w:ascii="仿宋" w:hAnsi="仿宋" w:eastAsia="仿宋" w:cs="仿宋"/>
          <w:b/>
          <w:bCs/>
          <w:sz w:val="28"/>
          <w:szCs w:val="28"/>
          <w:highlight w:val="none"/>
        </w:rPr>
      </w:pPr>
      <w:r/>
      <w:bookmarkStart w:id="75" w:name="_Toc513029211"/>
      <w:r/>
      <w:bookmarkStart w:id="76" w:name="_Toc16938527"/>
      <w:r/>
      <w:bookmarkStart w:id="77" w:name="_Toc20823283"/>
      <w:r/>
      <w:bookmarkStart w:id="78" w:name="_Toc462564070"/>
      <w:r>
        <w:rPr>
          <w:rFonts w:hint="eastAsia" w:ascii="仿宋" w:hAnsi="仿宋" w:eastAsia="仿宋" w:cs="仿宋"/>
          <w:b/>
          <w:bCs/>
          <w:sz w:val="28"/>
          <w:szCs w:val="28"/>
          <w:highlight w:val="none"/>
        </w:rPr>
        <w:t xml:space="preserve">7、招标文件的澄清</w:t>
      </w:r>
      <w:bookmarkEnd w:id="75"/>
      <w:r/>
      <w:bookmarkEnd w:id="76"/>
      <w:r/>
      <w:bookmarkEnd w:id="77"/>
      <w:r/>
      <w:bookmarkEnd w:id="78"/>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7.1任何要求对招标文件进行澄清的投标供应商，应在投标截止期十日前按招标公告中的通讯地址，以书面形式通知采购人。采购人有权对发出的招标文件进行必要的澄清或修改。</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7.2采购人视情况组织答疑会。</w:t>
      </w:r>
      <w:r/>
    </w:p>
    <w:p>
      <w:pPr>
        <w:ind w:firstLine="422"/>
        <w:keepLines/>
        <w:keepNext/>
        <w:spacing w:line="400" w:lineRule="exact"/>
        <w:rPr>
          <w:rFonts w:hint="eastAsia" w:ascii="仿宋" w:hAnsi="仿宋" w:eastAsia="仿宋" w:cs="仿宋"/>
          <w:b/>
          <w:bCs/>
          <w:sz w:val="28"/>
          <w:szCs w:val="28"/>
          <w:highlight w:val="none"/>
        </w:rPr>
      </w:pPr>
      <w:r/>
      <w:bookmarkStart w:id="79" w:name="_Toc20823284"/>
      <w:r/>
      <w:bookmarkStart w:id="80" w:name="_Toc462564071"/>
      <w:r/>
      <w:bookmarkStart w:id="81" w:name="_Toc16938528"/>
      <w:r/>
      <w:bookmarkStart w:id="82" w:name="_Toc513029212"/>
      <w:r>
        <w:rPr>
          <w:rFonts w:hint="eastAsia" w:ascii="仿宋" w:hAnsi="仿宋" w:eastAsia="仿宋" w:cs="仿宋"/>
          <w:b/>
          <w:bCs/>
          <w:sz w:val="28"/>
          <w:szCs w:val="28"/>
          <w:highlight w:val="none"/>
        </w:rPr>
        <w:t xml:space="preserve">8、招标文件的修改</w:t>
      </w:r>
      <w:bookmarkEnd w:id="79"/>
      <w:r/>
      <w:bookmarkEnd w:id="80"/>
      <w:r/>
      <w:bookmarkEnd w:id="81"/>
      <w:r/>
      <w:bookmarkEnd w:id="82"/>
      <w:r/>
      <w:r/>
    </w:p>
    <w:p>
      <w:pPr>
        <w:ind w:firstLine="480"/>
        <w:spacing w:line="500" w:lineRule="exact"/>
        <w:rPr>
          <w:rFonts w:hint="eastAsia" w:ascii="仿宋" w:hAnsi="仿宋" w:eastAsia="仿宋" w:cs="仿宋"/>
          <w:sz w:val="24"/>
          <w:highlight w:val="none"/>
        </w:rPr>
      </w:pPr>
      <w:r>
        <w:rPr>
          <w:rFonts w:hint="eastAsia" w:ascii="仿宋" w:hAnsi="仿宋" w:eastAsia="仿宋" w:cs="仿宋"/>
          <w:bCs/>
          <w:sz w:val="24"/>
          <w:highlight w:val="none"/>
        </w:rPr>
        <w:t xml:space="preserve">8.1</w:t>
      </w:r>
      <w:r>
        <w:rPr>
          <w:rFonts w:hint="eastAsia" w:ascii="仿宋" w:hAnsi="仿宋" w:eastAsia="仿宋" w:cs="仿宋"/>
          <w:sz w:val="24"/>
          <w:highlight w:val="none"/>
        </w:rPr>
        <w:t xml:space="preserve"> 在投标截止时间前，代理机构可以对招标文件进行修改。</w:t>
      </w:r>
      <w:r/>
    </w:p>
    <w:p>
      <w:pPr>
        <w:ind w:firstLine="480"/>
        <w:spacing w:line="500" w:lineRule="exact"/>
        <w:rPr>
          <w:rFonts w:hint="eastAsia" w:ascii="仿宋" w:hAnsi="仿宋" w:eastAsia="仿宋" w:cs="仿宋"/>
          <w:sz w:val="28"/>
          <w:highlight w:val="none"/>
        </w:rPr>
      </w:pPr>
      <w:r>
        <w:rPr>
          <w:rFonts w:hint="eastAsia" w:ascii="仿宋" w:hAnsi="仿宋" w:eastAsia="仿宋" w:cs="仿宋"/>
          <w:bCs/>
          <w:sz w:val="24"/>
          <w:highlight w:val="none"/>
        </w:rPr>
        <w:t xml:space="preserve">8.2 </w:t>
      </w:r>
      <w:r>
        <w:rPr>
          <w:rFonts w:hint="eastAsia" w:ascii="仿宋" w:hAnsi="仿宋" w:eastAsia="仿宋" w:cs="仿宋"/>
          <w:sz w:val="24"/>
          <w:highlight w:val="none"/>
        </w:rPr>
        <w:t xml:space="preserve">代理机构</w:t>
      </w:r>
      <w:r>
        <w:rPr>
          <w:rFonts w:hint="eastAsia" w:ascii="仿宋" w:hAnsi="仿宋" w:eastAsia="仿宋" w:cs="仿宋"/>
          <w:sz w:val="24"/>
          <w:szCs w:val="24"/>
          <w:highlight w:val="none"/>
        </w:rPr>
        <w:t xml:space="preserve">有权按照法定的要求</w:t>
      </w:r>
      <w:r>
        <w:rPr>
          <w:rFonts w:hint="eastAsia" w:ascii="仿宋" w:hAnsi="仿宋" w:eastAsia="仿宋" w:cs="仿宋"/>
          <w:sz w:val="24"/>
          <w:highlight w:val="none"/>
        </w:rPr>
        <w:t xml:space="preserve">推迟投标截止日期和开标日期。</w:t>
      </w:r>
      <w:r/>
    </w:p>
    <w:p>
      <w:pPr>
        <w:ind w:firstLine="480"/>
        <w:spacing w:line="500" w:lineRule="exact"/>
        <w:rPr>
          <w:rFonts w:hint="eastAsia" w:ascii="仿宋" w:hAnsi="仿宋" w:eastAsia="仿宋" w:cs="仿宋"/>
          <w:sz w:val="24"/>
          <w:highlight w:val="none"/>
        </w:rPr>
      </w:pPr>
      <w:r>
        <w:rPr>
          <w:rFonts w:hint="eastAsia" w:ascii="仿宋" w:hAnsi="仿宋" w:eastAsia="仿宋" w:cs="仿宋"/>
          <w:bCs/>
          <w:sz w:val="24"/>
          <w:highlight w:val="none"/>
        </w:rPr>
        <w:t xml:space="preserve">8.3 </w:t>
      </w:r>
      <w:r>
        <w:rPr>
          <w:rFonts w:hint="eastAsia" w:ascii="仿宋" w:hAnsi="仿宋" w:eastAsia="仿宋" w:cs="仿宋"/>
          <w:sz w:val="24"/>
          <w:highlight w:val="none"/>
        </w:rPr>
        <w:t xml:space="preserve">招标文件的修改将在江苏政府采购网公布，</w:t>
      </w:r>
      <w:r>
        <w:rPr>
          <w:rFonts w:hint="eastAsia" w:ascii="仿宋" w:hAnsi="仿宋" w:eastAsia="仿宋" w:cs="仿宋"/>
          <w:sz w:val="24"/>
          <w:szCs w:val="24"/>
          <w:highlight w:val="none"/>
        </w:rPr>
        <w:t xml:space="preserve">补充文件将作为招标文件的组成部分，</w:t>
      </w:r>
      <w:r>
        <w:rPr>
          <w:rFonts w:hint="eastAsia" w:ascii="仿宋" w:hAnsi="仿宋" w:eastAsia="仿宋" w:cs="仿宋"/>
          <w:sz w:val="24"/>
          <w:highlight w:val="none"/>
        </w:rPr>
        <w:t xml:space="preserve">并对投标供应商具有约束力。</w:t>
      </w:r>
      <w:r/>
    </w:p>
    <w:p>
      <w:pPr>
        <w:keepLines/>
        <w:keepNext/>
        <w:spacing w:before="145" w:after="145" w:line="400" w:lineRule="exact"/>
        <w:rPr>
          <w:rFonts w:hint="eastAsia" w:ascii="仿宋" w:hAnsi="仿宋" w:eastAsia="仿宋" w:cs="仿宋"/>
          <w:b/>
          <w:bCs/>
          <w:sz w:val="32"/>
          <w:szCs w:val="32"/>
          <w:highlight w:val="none"/>
        </w:rPr>
        <w:outlineLvl w:val="1"/>
      </w:pPr>
      <w:r/>
      <w:bookmarkStart w:id="83" w:name="_Toc16938529"/>
      <w:r/>
      <w:bookmarkStart w:id="84" w:name="_Toc120614216"/>
      <w:r/>
      <w:bookmarkStart w:id="85" w:name="_Toc513029213"/>
      <w:r/>
      <w:bookmarkStart w:id="86" w:name="_Toc20823285"/>
      <w:r/>
      <w:bookmarkStart w:id="87" w:name="_Toc462564072"/>
      <w:r>
        <w:rPr>
          <w:rFonts w:hint="eastAsia" w:ascii="仿宋" w:hAnsi="仿宋" w:eastAsia="仿宋" w:cs="仿宋"/>
          <w:b/>
          <w:bCs/>
          <w:sz w:val="32"/>
          <w:szCs w:val="32"/>
          <w:highlight w:val="none"/>
        </w:rPr>
        <w:t xml:space="preserve">三、投标文件的编制</w:t>
      </w:r>
      <w:bookmarkEnd w:id="83"/>
      <w:r/>
      <w:bookmarkEnd w:id="84"/>
      <w:r/>
      <w:bookmarkEnd w:id="85"/>
      <w:r/>
      <w:bookmarkEnd w:id="86"/>
      <w:r/>
      <w:bookmarkEnd w:id="87"/>
      <w:r/>
      <w:r/>
    </w:p>
    <w:p>
      <w:pPr>
        <w:ind w:firstLine="422"/>
        <w:keepLines/>
        <w:keepNext/>
        <w:spacing w:line="400" w:lineRule="exact"/>
        <w:rPr>
          <w:rFonts w:hint="eastAsia" w:ascii="仿宋" w:hAnsi="仿宋" w:eastAsia="仿宋" w:cs="仿宋"/>
          <w:b/>
          <w:bCs/>
          <w:sz w:val="28"/>
          <w:szCs w:val="28"/>
          <w:highlight w:val="none"/>
        </w:rPr>
      </w:pPr>
      <w:r/>
      <w:bookmarkStart w:id="88" w:name="_Toc20823286"/>
      <w:r/>
      <w:bookmarkStart w:id="89" w:name="_Toc16938530"/>
      <w:r/>
      <w:bookmarkStart w:id="90" w:name="_Toc462564073"/>
      <w:r/>
      <w:bookmarkStart w:id="91" w:name="_Toc513029214"/>
      <w:r>
        <w:rPr>
          <w:rFonts w:hint="eastAsia" w:ascii="仿宋" w:hAnsi="仿宋" w:eastAsia="仿宋" w:cs="仿宋"/>
          <w:b/>
          <w:bCs/>
          <w:sz w:val="28"/>
          <w:szCs w:val="28"/>
          <w:highlight w:val="none"/>
        </w:rPr>
        <w:t xml:space="preserve">9、投标文件的语言及度量衡单位</w:t>
      </w:r>
      <w:bookmarkEnd w:id="88"/>
      <w:r/>
      <w:bookmarkEnd w:id="89"/>
      <w:r/>
      <w:bookmarkEnd w:id="90"/>
      <w:r/>
      <w:bookmarkEnd w:id="91"/>
      <w:r/>
      <w:r/>
    </w:p>
    <w:p>
      <w:pPr>
        <w:ind w:firstLine="480"/>
        <w:spacing w:line="500" w:lineRule="exact"/>
        <w:rPr>
          <w:rFonts w:hint="eastAsia" w:ascii="仿宋" w:hAnsi="仿宋" w:eastAsia="仿宋" w:cs="仿宋"/>
          <w:sz w:val="24"/>
          <w:highlight w:val="none"/>
        </w:rPr>
      </w:pPr>
      <w:r>
        <w:rPr>
          <w:rFonts w:hint="eastAsia" w:ascii="仿宋" w:hAnsi="仿宋" w:eastAsia="仿宋" w:cs="仿宋"/>
          <w:bCs/>
          <w:sz w:val="24"/>
          <w:highlight w:val="none"/>
        </w:rPr>
        <w:t xml:space="preserve">9.1</w:t>
      </w:r>
      <w:r>
        <w:rPr>
          <w:rFonts w:hint="eastAsia" w:ascii="仿宋" w:hAnsi="仿宋" w:eastAsia="仿宋" w:cs="仿宋"/>
          <w:sz w:val="24"/>
          <w:highlight w:val="none"/>
        </w:rPr>
        <w:t xml:space="preserve">投标供应商提交的投标文件以及投标供应商与代理机构就有关投标的所有来往通知、函件和文件均应使用</w:t>
      </w:r>
      <w:r>
        <w:rPr>
          <w:rFonts w:hint="eastAsia" w:ascii="仿宋" w:hAnsi="仿宋" w:eastAsia="仿宋" w:cs="仿宋"/>
          <w:b/>
          <w:bCs/>
          <w:sz w:val="24"/>
          <w:highlight w:val="none"/>
        </w:rPr>
        <w:t xml:space="preserve">简体中文</w:t>
      </w:r>
      <w:r>
        <w:rPr>
          <w:rFonts w:hint="eastAsia" w:ascii="仿宋" w:hAnsi="仿宋" w:eastAsia="仿宋" w:cs="仿宋"/>
          <w:sz w:val="24"/>
          <w:highlight w:val="none"/>
        </w:rPr>
        <w:t xml:space="preserve">。</w:t>
      </w:r>
      <w:r/>
    </w:p>
    <w:p>
      <w:pPr>
        <w:ind w:firstLine="480"/>
        <w:spacing w:line="500" w:lineRule="exact"/>
        <w:rPr>
          <w:rFonts w:hint="eastAsia" w:ascii="仿宋" w:hAnsi="仿宋" w:eastAsia="仿宋" w:cs="仿宋"/>
          <w:sz w:val="24"/>
          <w:highlight w:val="none"/>
        </w:rPr>
      </w:pPr>
      <w:r>
        <w:rPr>
          <w:rFonts w:hint="eastAsia" w:ascii="仿宋" w:hAnsi="仿宋" w:eastAsia="仿宋" w:cs="仿宋"/>
          <w:bCs/>
          <w:sz w:val="24"/>
          <w:highlight w:val="none"/>
        </w:rPr>
        <w:t xml:space="preserve">9.2</w:t>
      </w:r>
      <w:r>
        <w:rPr>
          <w:rFonts w:hint="eastAsia" w:ascii="仿宋" w:hAnsi="仿宋" w:eastAsia="仿宋" w:cs="仿宋"/>
          <w:sz w:val="24"/>
          <w:highlight w:val="none"/>
        </w:rPr>
        <w:t xml:space="preserve"> 除技术性能另有规定外，投标文件所使用的度量衡单位，均须采用国家法定计量单位。</w:t>
      </w:r>
      <w:r/>
    </w:p>
    <w:p>
      <w:pPr>
        <w:ind w:firstLine="422"/>
        <w:keepLines/>
        <w:keepNext/>
        <w:spacing w:line="400" w:lineRule="exact"/>
        <w:rPr>
          <w:rFonts w:hint="eastAsia" w:ascii="仿宋" w:hAnsi="仿宋" w:eastAsia="仿宋" w:cs="仿宋"/>
          <w:b/>
          <w:bCs/>
          <w:sz w:val="28"/>
          <w:szCs w:val="28"/>
          <w:highlight w:val="none"/>
        </w:rPr>
      </w:pPr>
      <w:r/>
      <w:bookmarkStart w:id="92" w:name="_Toc20823287"/>
      <w:r/>
      <w:bookmarkStart w:id="93" w:name="_Toc16938531"/>
      <w:r/>
      <w:bookmarkStart w:id="94" w:name="_Toc462564074"/>
      <w:r/>
      <w:bookmarkStart w:id="95" w:name="_Toc513029215"/>
      <w:r>
        <w:rPr>
          <w:rFonts w:hint="eastAsia" w:ascii="仿宋" w:hAnsi="仿宋" w:eastAsia="仿宋" w:cs="仿宋"/>
          <w:b/>
          <w:bCs/>
          <w:sz w:val="28"/>
          <w:szCs w:val="28"/>
          <w:highlight w:val="none"/>
        </w:rPr>
        <w:t xml:space="preserve">10、投标文件构成</w:t>
      </w:r>
      <w:bookmarkEnd w:id="92"/>
      <w:r/>
      <w:bookmarkEnd w:id="93"/>
      <w:r/>
      <w:bookmarkEnd w:id="94"/>
      <w:r/>
      <w:bookmarkEnd w:id="95"/>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10.1投标供应商编写的投标文件应包括资格证明文件、实质性要求响应及偏离表、投标分项报价表、技术要求响应及偏离表、商务要求响应及偏离表、其他证明文件、投标函、开标一览表等部分。请按“第六章  投标文件格式”要求编写投标文件。</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10.2 如标书制作工具中格式和内容与“江苏政府采购网”发布的招标文件不一致，请以“江苏政府采购网”发布的招标文件为准。</w:t>
      </w:r>
      <w:r/>
    </w:p>
    <w:p>
      <w:pPr>
        <w:ind w:firstLine="422"/>
        <w:keepLines/>
        <w:keepNext/>
        <w:spacing w:line="400" w:lineRule="exact"/>
        <w:rPr>
          <w:rFonts w:hint="eastAsia" w:ascii="仿宋" w:hAnsi="仿宋" w:eastAsia="仿宋" w:cs="仿宋"/>
          <w:b/>
          <w:bCs/>
          <w:sz w:val="28"/>
          <w:szCs w:val="28"/>
          <w:highlight w:val="none"/>
        </w:rPr>
      </w:pPr>
      <w:r/>
      <w:bookmarkStart w:id="96" w:name="_Hlt26670360"/>
      <w:r/>
      <w:bookmarkEnd w:id="96"/>
      <w:r/>
      <w:bookmarkStart w:id="97" w:name="_Hlt26668975"/>
      <w:r/>
      <w:bookmarkEnd w:id="97"/>
      <w:r/>
      <w:bookmarkStart w:id="98" w:name="_Hlt26954838"/>
      <w:r/>
      <w:bookmarkEnd w:id="98"/>
      <w:r/>
      <w:bookmarkStart w:id="99" w:name="_Toc513029216"/>
      <w:r/>
      <w:bookmarkStart w:id="100" w:name="_Toc513029219"/>
      <w:r/>
      <w:bookmarkStart w:id="101" w:name="_Toc14577357"/>
      <w:r/>
      <w:bookmarkStart w:id="102" w:name="_Toc49090507"/>
      <w:r/>
      <w:bookmarkStart w:id="103" w:name="_Toc14577354"/>
      <w:r/>
      <w:bookmarkStart w:id="104" w:name="_Toc49090509"/>
      <w:r>
        <w:rPr>
          <w:rFonts w:hint="eastAsia" w:ascii="仿宋" w:hAnsi="仿宋" w:eastAsia="仿宋" w:cs="仿宋"/>
          <w:b/>
          <w:bCs/>
          <w:sz w:val="28"/>
          <w:szCs w:val="28"/>
          <w:highlight w:val="none"/>
        </w:rPr>
        <w:t xml:space="preserve">11、证明投标供应商及投标标的符合招标文件规定的文件</w:t>
      </w:r>
      <w:bookmarkEnd w:id="99"/>
      <w:r/>
      <w:bookmarkEnd w:id="100"/>
      <w:r/>
      <w:bookmarkEnd w:id="101"/>
      <w:r/>
      <w:bookmarkEnd w:id="102"/>
      <w:r/>
      <w:bookmarkEnd w:id="103"/>
      <w:r/>
      <w:bookmarkEnd w:id="104"/>
      <w:r/>
      <w:r/>
    </w:p>
    <w:p>
      <w:pPr>
        <w:ind w:firstLine="480"/>
        <w:spacing w:line="500" w:lineRule="exact"/>
        <w:rPr>
          <w:rFonts w:hint="eastAsia" w:ascii="仿宋" w:hAnsi="仿宋" w:eastAsia="仿宋" w:cs="仿宋"/>
          <w:sz w:val="24"/>
          <w:highlight w:val="none"/>
        </w:rPr>
      </w:pPr>
      <w:r/>
      <w:bookmarkStart w:id="105" w:name="_Toc14577355"/>
      <w:r/>
      <w:bookmarkStart w:id="106" w:name="_Toc49090508"/>
      <w:r>
        <w:rPr>
          <w:rFonts w:hint="eastAsia" w:ascii="仿宋" w:hAnsi="仿宋" w:eastAsia="仿宋" w:cs="仿宋"/>
          <w:sz w:val="24"/>
          <w:highlight w:val="none"/>
        </w:rPr>
        <w:t xml:space="preserve">11.1投标供应商应按照法律、法规、规章和规范性文件以及招标文件要求提交证明文件，证明其及投标标的符合招标文件规定。</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11.2招标文件对证明文件无明确形式要求的，证明文件可以以文字资料、图纸和数据等形式提交。</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12、投标分项报价</w:t>
      </w:r>
      <w:bookmarkEnd w:id="105"/>
      <w:r/>
      <w:bookmarkStart w:id="107" w:name="_Hlt26670373"/>
      <w:r/>
      <w:bookmarkEnd w:id="107"/>
      <w:r>
        <w:rPr>
          <w:rFonts w:hint="eastAsia" w:ascii="仿宋" w:hAnsi="仿宋" w:eastAsia="仿宋" w:cs="仿宋"/>
          <w:b/>
          <w:bCs/>
          <w:sz w:val="28"/>
          <w:szCs w:val="28"/>
          <w:highlight w:val="none"/>
        </w:rPr>
        <w:t xml:space="preserve">表</w:t>
      </w:r>
      <w:bookmarkEnd w:id="106"/>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12.1 投标供应商按照招标文件规定格式填报投标分项报价表</w:t>
      </w:r>
      <w:bookmarkStart w:id="108" w:name="_Hlt26670399"/>
      <w:r/>
      <w:bookmarkEnd w:id="108"/>
      <w:r>
        <w:rPr>
          <w:rFonts w:hint="eastAsia" w:ascii="仿宋" w:hAnsi="仿宋" w:eastAsia="仿宋" w:cs="仿宋"/>
          <w:sz w:val="24"/>
          <w:highlight w:val="none"/>
        </w:rPr>
        <w:t xml:space="preserve">。</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12.2投标货币。投标文件中的单价和总价无特殊规定的采用人民币报价，以元为单位标注。招标文件中另有规定的按规定执行。</w:t>
      </w:r>
      <w:r/>
    </w:p>
    <w:p>
      <w:pPr>
        <w:ind w:firstLine="422"/>
        <w:keepLines/>
        <w:keepNext/>
        <w:spacing w:line="400" w:lineRule="exact"/>
        <w:rPr>
          <w:rFonts w:hint="eastAsia" w:ascii="仿宋" w:hAnsi="仿宋" w:eastAsia="仿宋" w:cs="仿宋"/>
          <w:b/>
          <w:bCs/>
          <w:sz w:val="28"/>
          <w:szCs w:val="28"/>
          <w:highlight w:val="none"/>
        </w:rPr>
      </w:pPr>
      <w:r/>
      <w:bookmarkStart w:id="109" w:name="_Hlt26954842"/>
      <w:r/>
      <w:bookmarkEnd w:id="109"/>
      <w:r/>
      <w:bookmarkStart w:id="110" w:name="_Hlt26954846"/>
      <w:r/>
      <w:bookmarkEnd w:id="110"/>
      <w:r/>
      <w:bookmarkStart w:id="111" w:name="_Hlt26670486"/>
      <w:r/>
      <w:bookmarkEnd w:id="111"/>
      <w:r/>
      <w:bookmarkStart w:id="112" w:name="_Hlt26954731"/>
      <w:r/>
      <w:bookmarkEnd w:id="112"/>
      <w:r/>
      <w:bookmarkStart w:id="113" w:name="_Hlt26954848"/>
      <w:r/>
      <w:bookmarkEnd w:id="113"/>
      <w:r/>
      <w:bookmarkStart w:id="114" w:name="_Hlt26668983"/>
      <w:r/>
      <w:bookmarkEnd w:id="114"/>
      <w:r/>
      <w:bookmarkStart w:id="115" w:name="_Hlt26670403"/>
      <w:r/>
      <w:bookmarkEnd w:id="115"/>
      <w:r/>
      <w:bookmarkStart w:id="116" w:name="_Hlt26670425"/>
      <w:r/>
      <w:bookmarkEnd w:id="116"/>
      <w:r/>
      <w:bookmarkStart w:id="117" w:name="_Hlt26954844"/>
      <w:r/>
      <w:bookmarkEnd w:id="117"/>
      <w:r/>
      <w:bookmarkStart w:id="118" w:name="_Hlt26670482"/>
      <w:r/>
      <w:bookmarkEnd w:id="118"/>
      <w:r>
        <w:rPr>
          <w:rFonts w:hint="eastAsia" w:ascii="仿宋" w:hAnsi="仿宋" w:eastAsia="仿宋" w:cs="仿宋"/>
          <w:b/>
          <w:bCs/>
          <w:sz w:val="28"/>
          <w:szCs w:val="28"/>
          <w:highlight w:val="none"/>
        </w:rPr>
        <w:t xml:space="preserve">13、技术要求响应及偏离表、商务要求响应及偏离表</w:t>
      </w:r>
      <w:r/>
    </w:p>
    <w:p>
      <w:pPr>
        <w:ind w:firstLine="480"/>
        <w:spacing w:line="500" w:lineRule="exact"/>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13.1投标供应商需对招标文件中的技术要求与商务要求逐项作出响应，如有偏离的，应逐条填列在偏离表中，并说明偏离情况。</w:t>
      </w:r>
      <w:r/>
    </w:p>
    <w:p>
      <w:pPr>
        <w:ind w:firstLine="480"/>
        <w:spacing w:line="500" w:lineRule="exact"/>
        <w:rPr>
          <w:rFonts w:hint="eastAsia" w:ascii="仿宋" w:hAnsi="仿宋" w:eastAsia="仿宋" w:cs="仿宋"/>
          <w:sz w:val="24"/>
          <w:highlight w:val="none"/>
          <w:lang w:val="zh-CN"/>
        </w:rPr>
      </w:pPr>
      <w:r/>
      <w:bookmarkStart w:id="119" w:name="_Toc49090510"/>
      <w:r/>
      <w:bookmarkStart w:id="120" w:name="_Toc14577359"/>
      <w:r>
        <w:rPr>
          <w:rFonts w:hint="eastAsia" w:ascii="仿宋" w:hAnsi="仿宋" w:eastAsia="仿宋" w:cs="仿宋"/>
          <w:sz w:val="24"/>
          <w:highlight w:val="none"/>
          <w:lang w:val="zh-CN"/>
        </w:rPr>
        <w:t xml:space="preserve">13.2投标供应商需按照招标文件要求，在投标文件中提供与技术要求和商务要求相关的证明材料。</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14、投标函和开标一览表</w:t>
      </w:r>
      <w:r/>
    </w:p>
    <w:p>
      <w:pPr>
        <w:ind w:firstLine="480"/>
        <w:spacing w:line="500" w:lineRule="exact"/>
        <w:rPr>
          <w:rFonts w:hint="eastAsia" w:ascii="仿宋" w:hAnsi="仿宋" w:eastAsia="仿宋" w:cs="仿宋"/>
          <w:sz w:val="24"/>
          <w:highlight w:val="none"/>
        </w:rPr>
      </w:pPr>
      <w:r>
        <w:rPr>
          <w:rFonts w:hint="eastAsia" w:ascii="仿宋" w:hAnsi="仿宋" w:eastAsia="仿宋" w:cs="仿宋"/>
          <w:bCs/>
          <w:sz w:val="24"/>
          <w:highlight w:val="none"/>
        </w:rPr>
        <w:t xml:space="preserve">14.1</w:t>
      </w:r>
      <w:r>
        <w:rPr>
          <w:rFonts w:hint="eastAsia" w:ascii="仿宋" w:hAnsi="仿宋" w:eastAsia="仿宋" w:cs="仿宋"/>
          <w:sz w:val="24"/>
          <w:highlight w:val="none"/>
        </w:rPr>
        <w:t xml:space="preserve"> 投标供应商应按照要求提供的格式完整、正确填写投标函、开标一览表。</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14.2对于采用折扣率报价的项目，开标一览表中的投标优惠率应与投标分项报价表中的投标折扣率折算后一致，如不一致，</w:t>
      </w:r>
      <w:r>
        <w:rPr>
          <w:rFonts w:hint="eastAsia" w:ascii="仿宋" w:hAnsi="仿宋" w:eastAsia="仿宋" w:cs="仿宋"/>
          <w:b/>
          <w:bCs/>
          <w:sz w:val="24"/>
          <w:highlight w:val="none"/>
        </w:rPr>
        <w:t xml:space="preserve">作为无效投标处理</w:t>
      </w:r>
      <w:r>
        <w:rPr>
          <w:rFonts w:hint="eastAsia" w:ascii="仿宋" w:hAnsi="仿宋" w:eastAsia="仿宋" w:cs="仿宋"/>
          <w:sz w:val="24"/>
          <w:highlight w:val="none"/>
        </w:rPr>
        <w:t xml:space="preserve">。</w:t>
      </w:r>
      <w:bookmarkEnd w:id="119"/>
      <w:r/>
      <w:bookmarkEnd w:id="120"/>
      <w:r/>
      <w:r/>
    </w:p>
    <w:p>
      <w:pPr>
        <w:ind w:firstLine="422"/>
        <w:keepLines/>
        <w:keepNext/>
        <w:spacing w:line="400" w:lineRule="exact"/>
        <w:rPr>
          <w:rFonts w:hint="eastAsia" w:ascii="仿宋" w:hAnsi="仿宋" w:eastAsia="仿宋" w:cs="仿宋"/>
          <w:b/>
          <w:bCs/>
          <w:sz w:val="28"/>
          <w:szCs w:val="28"/>
          <w:highlight w:val="none"/>
        </w:rPr>
      </w:pPr>
      <w:r/>
      <w:bookmarkStart w:id="121" w:name="_Hlt26954850"/>
      <w:r/>
      <w:bookmarkEnd w:id="121"/>
      <w:r/>
      <w:bookmarkStart w:id="122" w:name="_Hlt26670489"/>
      <w:r/>
      <w:bookmarkEnd w:id="122"/>
      <w:r/>
      <w:bookmarkStart w:id="123" w:name="_Hlt26954734"/>
      <w:r/>
      <w:bookmarkEnd w:id="123"/>
      <w:r/>
      <w:bookmarkStart w:id="124" w:name="_Toc49090511"/>
      <w:r/>
      <w:bookmarkStart w:id="125" w:name="_Toc14577360"/>
      <w:r>
        <w:rPr>
          <w:rFonts w:hint="eastAsia" w:ascii="仿宋" w:hAnsi="仿宋" w:eastAsia="仿宋" w:cs="仿宋"/>
          <w:b/>
          <w:bCs/>
          <w:sz w:val="28"/>
          <w:szCs w:val="28"/>
          <w:highlight w:val="none"/>
        </w:rPr>
        <w:t xml:space="preserve">15、投标有效期</w:t>
      </w:r>
      <w:bookmarkEnd w:id="124"/>
      <w:r/>
      <w:bookmarkEnd w:id="125"/>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15.1</w:t>
      </w:r>
      <w:r>
        <w:rPr>
          <w:rFonts w:hint="eastAsia" w:ascii="仿宋" w:hAnsi="仿宋" w:eastAsia="仿宋" w:cs="仿宋"/>
          <w:bCs/>
          <w:sz w:val="24"/>
          <w:highlight w:val="none"/>
        </w:rPr>
        <w:t xml:space="preserve"> 投标有效期为代理机构规定的开标之日后</w:t>
      </w:r>
      <w:r>
        <w:rPr>
          <w:rFonts w:hint="eastAsia" w:ascii="仿宋" w:hAnsi="仿宋" w:eastAsia="仿宋" w:cs="仿宋"/>
          <w:b/>
          <w:sz w:val="24"/>
          <w:highlight w:val="none"/>
          <w:u w:val="single"/>
        </w:rPr>
        <w:t xml:space="preserve">六十（60）天</w:t>
      </w:r>
      <w:r>
        <w:rPr>
          <w:rFonts w:hint="eastAsia" w:ascii="仿宋" w:hAnsi="仿宋" w:eastAsia="仿宋" w:cs="仿宋"/>
          <w:bCs/>
          <w:sz w:val="24"/>
          <w:highlight w:val="none"/>
        </w:rPr>
        <w:t xml:space="preserve">。投标有效期比规定短的将被视为未实质性响应招标文件而予以拒绝。</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16、投标有效期的延长</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16.1</w:t>
      </w:r>
      <w:r>
        <w:rPr>
          <w:rFonts w:hint="eastAsia" w:ascii="仿宋" w:hAnsi="仿宋" w:eastAsia="仿宋" w:cs="仿宋"/>
          <w:bCs/>
          <w:sz w:val="24"/>
          <w:highlight w:val="none"/>
        </w:rPr>
        <w:t xml:space="preserve">在特殊情况下，代理机构于原投标有效期满之前，可向投标供应商提出延长投标有效期的要求。这种要求与答复均应采用书面形式。投标供应商可以拒绝代理机构的这一要求而放弃投标</w:t>
      </w:r>
      <w:r>
        <w:rPr>
          <w:rFonts w:hint="eastAsia" w:ascii="仿宋" w:hAnsi="仿宋" w:eastAsia="仿宋" w:cs="仿宋"/>
          <w:sz w:val="24"/>
          <w:szCs w:val="24"/>
          <w:highlight w:val="none"/>
        </w:rPr>
        <w:t xml:space="preserve">。</w:t>
      </w:r>
      <w:r>
        <w:rPr>
          <w:rFonts w:hint="eastAsia" w:ascii="仿宋" w:hAnsi="仿宋" w:eastAsia="仿宋" w:cs="仿宋"/>
          <w:bCs/>
          <w:sz w:val="24"/>
          <w:highlight w:val="none"/>
        </w:rPr>
        <w:t xml:space="preserve">同意延长投标有效期的投标供应商既不能要求也不允许修改其投标文件</w:t>
      </w:r>
      <w:r>
        <w:rPr>
          <w:rFonts w:hint="eastAsia" w:ascii="仿宋" w:hAnsi="仿宋" w:eastAsia="仿宋" w:cs="仿宋"/>
          <w:sz w:val="24"/>
          <w:szCs w:val="24"/>
          <w:highlight w:val="none"/>
        </w:rPr>
        <w:t xml:space="preserve">，同时受投标有效期约束的所有权利与义务均延长至新的有效期</w:t>
      </w:r>
      <w:r>
        <w:rPr>
          <w:rFonts w:hint="eastAsia" w:ascii="仿宋" w:hAnsi="仿宋" w:eastAsia="仿宋" w:cs="仿宋"/>
          <w:bCs/>
          <w:sz w:val="24"/>
          <w:highlight w:val="none"/>
        </w:rPr>
        <w:t xml:space="preserve">。</w:t>
      </w:r>
      <w:r/>
    </w:p>
    <w:p>
      <w:pPr>
        <w:keepLines/>
        <w:keepNext/>
        <w:spacing w:before="145" w:after="145" w:line="400" w:lineRule="exact"/>
        <w:rPr>
          <w:rFonts w:hint="eastAsia" w:ascii="仿宋" w:hAnsi="仿宋" w:eastAsia="仿宋" w:cs="仿宋"/>
          <w:b/>
          <w:bCs/>
          <w:sz w:val="32"/>
          <w:szCs w:val="32"/>
          <w:highlight w:val="none"/>
        </w:rPr>
        <w:outlineLvl w:val="1"/>
      </w:pPr>
      <w:r/>
      <w:bookmarkStart w:id="126" w:name="_Hlt26954852"/>
      <w:r/>
      <w:bookmarkEnd w:id="126"/>
      <w:r/>
      <w:bookmarkStart w:id="127" w:name="_Hlt26954739"/>
      <w:r/>
      <w:bookmarkEnd w:id="127"/>
      <w:r/>
      <w:bookmarkStart w:id="128" w:name="_Toc120614217"/>
      <w:r/>
      <w:bookmarkStart w:id="129" w:name="_Toc16938540"/>
      <w:r/>
      <w:bookmarkStart w:id="130" w:name="_Toc513029224"/>
      <w:r/>
      <w:bookmarkStart w:id="131" w:name="_Toc20823296"/>
      <w:r>
        <w:rPr>
          <w:rFonts w:hint="eastAsia" w:ascii="仿宋" w:hAnsi="仿宋" w:eastAsia="仿宋" w:cs="仿宋"/>
          <w:b/>
          <w:bCs/>
          <w:sz w:val="32"/>
          <w:szCs w:val="32"/>
          <w:highlight w:val="none"/>
        </w:rPr>
        <w:t xml:space="preserve">四、投标文件的递交</w:t>
      </w:r>
      <w:bookmarkEnd w:id="128"/>
      <w:r/>
      <w:bookmarkEnd w:id="129"/>
      <w:r/>
      <w:bookmarkEnd w:id="130"/>
      <w:r/>
      <w:bookmarkEnd w:id="131"/>
      <w:r/>
      <w:r/>
    </w:p>
    <w:p>
      <w:pPr>
        <w:ind w:firstLine="422"/>
        <w:keepLines/>
        <w:keepNext/>
        <w:spacing w:line="400" w:lineRule="exact"/>
        <w:rPr>
          <w:rFonts w:hint="eastAsia" w:ascii="仿宋" w:hAnsi="仿宋" w:eastAsia="仿宋" w:cs="仿宋"/>
          <w:b/>
          <w:bCs/>
          <w:sz w:val="28"/>
          <w:szCs w:val="28"/>
          <w:highlight w:val="none"/>
        </w:rPr>
      </w:pPr>
      <w:r/>
      <w:bookmarkStart w:id="132" w:name="_Toc16938541"/>
      <w:r/>
      <w:bookmarkStart w:id="133" w:name="_Toc20823297"/>
      <w:r/>
      <w:bookmarkStart w:id="134" w:name="_Toc462564084"/>
      <w:r/>
      <w:bookmarkStart w:id="135" w:name="_Toc513029225"/>
      <w:r>
        <w:rPr>
          <w:rFonts w:hint="eastAsia" w:ascii="仿宋" w:hAnsi="仿宋" w:eastAsia="仿宋" w:cs="仿宋"/>
          <w:b/>
          <w:bCs/>
          <w:sz w:val="28"/>
          <w:szCs w:val="28"/>
          <w:highlight w:val="none"/>
        </w:rPr>
        <w:t xml:space="preserve">17、投标文件</w:t>
      </w:r>
      <w:bookmarkEnd w:id="132"/>
      <w:r/>
      <w:bookmarkEnd w:id="133"/>
      <w:r/>
      <w:bookmarkEnd w:id="134"/>
      <w:r/>
      <w:bookmarkEnd w:id="135"/>
      <w:r>
        <w:rPr>
          <w:rFonts w:hint="eastAsia" w:ascii="仿宋" w:hAnsi="仿宋" w:eastAsia="仿宋" w:cs="仿宋"/>
          <w:b/>
          <w:bCs/>
          <w:sz w:val="28"/>
          <w:szCs w:val="28"/>
          <w:highlight w:val="none"/>
        </w:rPr>
        <w:t xml:space="preserve">的递交</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17.1</w:t>
      </w:r>
      <w:r>
        <w:rPr>
          <w:rFonts w:hint="eastAsia" w:ascii="仿宋" w:hAnsi="仿宋" w:eastAsia="仿宋" w:cs="仿宋"/>
          <w:bCs/>
          <w:sz w:val="24"/>
          <w:highlight w:val="none"/>
        </w:rPr>
        <w:t xml:space="preserve"> 电子投标文件的递交</w:t>
      </w:r>
      <w:r/>
    </w:p>
    <w:p>
      <w:pPr>
        <w:pStyle w:val="900"/>
        <w:ind w:left="525"/>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投标供应商应当按照《操作手册》规定，在投标截止时间前制作并上传电子投标文件。</w:t>
      </w:r>
      <w:bookmarkStart w:id="136" w:name="_Toc513029226"/>
      <w:r/>
      <w:bookmarkStart w:id="137" w:name="_Toc20823298"/>
      <w:r/>
      <w:bookmarkStart w:id="138" w:name="_Toc16938542"/>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17.2确定成交供应商后，由成交供应商递交系统打印的一套正本、三套副本纸质投标文件。</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18、投标截止</w:t>
      </w:r>
      <w:bookmarkEnd w:id="136"/>
      <w:r/>
      <w:bookmarkEnd w:id="137"/>
      <w:r/>
      <w:bookmarkEnd w:id="138"/>
      <w:r>
        <w:rPr>
          <w:rFonts w:hint="eastAsia" w:ascii="仿宋" w:hAnsi="仿宋" w:eastAsia="仿宋" w:cs="仿宋"/>
          <w:b/>
          <w:bCs/>
          <w:sz w:val="28"/>
          <w:szCs w:val="28"/>
          <w:highlight w:val="none"/>
        </w:rPr>
        <w:t xml:space="preserve">时间</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18.1</w:t>
      </w:r>
      <w:r>
        <w:rPr>
          <w:rFonts w:hint="eastAsia" w:ascii="仿宋" w:hAnsi="仿宋" w:eastAsia="仿宋" w:cs="仿宋"/>
          <w:bCs/>
          <w:sz w:val="24"/>
          <w:highlight w:val="none"/>
        </w:rPr>
        <w:t xml:space="preserve">投标供应商上传电子投标文件的时间不得迟于招标公告中规定的投标截止时间。</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投标供应商应充分考虑到网络环境、网络带宽等风险因素，如因投标供应商自身原因造成的电子投标文件上传不成功的按照本招标文件第二章第26.1.2条规定做无效投标处理。</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18.2</w:t>
      </w:r>
      <w:r>
        <w:rPr>
          <w:rFonts w:hint="eastAsia" w:ascii="仿宋" w:hAnsi="仿宋" w:eastAsia="仿宋" w:cs="仿宋"/>
          <w:bCs/>
          <w:sz w:val="24"/>
          <w:highlight w:val="none"/>
        </w:rPr>
        <w:t xml:space="preserve">代理机构可以按照规定，通过修改招标文件酌情延长投标截止时间，在此情况下，投标供应商的所有权利和义务以及投标供应商受制的截止时间均应以延长后新的截止时间为准。</w:t>
      </w:r>
      <w:r/>
    </w:p>
    <w:p>
      <w:pPr>
        <w:ind w:firstLine="422"/>
        <w:keepLines/>
        <w:keepNext/>
        <w:spacing w:line="400" w:lineRule="exact"/>
        <w:rPr>
          <w:rFonts w:hint="eastAsia" w:ascii="仿宋" w:hAnsi="仿宋" w:eastAsia="仿宋" w:cs="仿宋"/>
          <w:b/>
          <w:bCs/>
          <w:sz w:val="28"/>
          <w:szCs w:val="28"/>
          <w:highlight w:val="none"/>
        </w:rPr>
      </w:pPr>
      <w:r/>
      <w:bookmarkStart w:id="139" w:name="_Toc513029227"/>
      <w:r/>
      <w:bookmarkStart w:id="140" w:name="_Toc20823299"/>
      <w:r/>
      <w:bookmarkStart w:id="141" w:name="_Toc16938543"/>
      <w:r>
        <w:rPr>
          <w:rFonts w:hint="eastAsia" w:ascii="仿宋" w:hAnsi="仿宋" w:eastAsia="仿宋" w:cs="仿宋"/>
          <w:b/>
          <w:bCs/>
          <w:sz w:val="28"/>
          <w:szCs w:val="28"/>
          <w:highlight w:val="none"/>
        </w:rPr>
        <w:t xml:space="preserve">19、投标文件</w:t>
      </w:r>
      <w:bookmarkEnd w:id="139"/>
      <w:r/>
      <w:bookmarkEnd w:id="140"/>
      <w:r/>
      <w:bookmarkEnd w:id="141"/>
      <w:r>
        <w:rPr>
          <w:rFonts w:hint="eastAsia" w:ascii="仿宋" w:hAnsi="仿宋" w:eastAsia="仿宋" w:cs="仿宋"/>
          <w:b/>
          <w:bCs/>
          <w:sz w:val="28"/>
          <w:szCs w:val="28"/>
          <w:highlight w:val="none"/>
        </w:rPr>
        <w:t xml:space="preserve">的拒收</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19.1</w:t>
      </w:r>
      <w:r>
        <w:rPr>
          <w:rFonts w:hint="eastAsia" w:ascii="仿宋" w:hAnsi="仿宋" w:eastAsia="仿宋" w:cs="仿宋"/>
          <w:bCs/>
          <w:sz w:val="24"/>
          <w:highlight w:val="none"/>
        </w:rPr>
        <w:t xml:space="preserve">代理机构拒绝接收在其规定的投标截止时间后上传的任何投标文件。</w:t>
      </w:r>
      <w:r/>
    </w:p>
    <w:p>
      <w:pPr>
        <w:ind w:firstLine="422"/>
        <w:keepLines/>
        <w:keepNext/>
        <w:spacing w:line="400" w:lineRule="exact"/>
        <w:rPr>
          <w:rFonts w:hint="eastAsia" w:ascii="仿宋" w:hAnsi="仿宋" w:eastAsia="仿宋" w:cs="仿宋"/>
          <w:b/>
          <w:bCs/>
          <w:sz w:val="28"/>
          <w:szCs w:val="28"/>
          <w:highlight w:val="none"/>
        </w:rPr>
      </w:pPr>
      <w:r/>
      <w:bookmarkStart w:id="142" w:name="_Toc513029228"/>
      <w:r/>
      <w:bookmarkStart w:id="143" w:name="_Toc16938544"/>
      <w:r/>
      <w:bookmarkStart w:id="144" w:name="_Toc20823300"/>
      <w:r>
        <w:rPr>
          <w:rFonts w:hint="eastAsia" w:ascii="仿宋" w:hAnsi="仿宋" w:eastAsia="仿宋" w:cs="仿宋"/>
          <w:b/>
          <w:bCs/>
          <w:sz w:val="28"/>
          <w:szCs w:val="28"/>
          <w:highlight w:val="none"/>
        </w:rPr>
        <w:t xml:space="preserve">20、投标文件的撤回和修改</w:t>
      </w:r>
      <w:bookmarkEnd w:id="142"/>
      <w:r/>
      <w:bookmarkEnd w:id="143"/>
      <w:r/>
      <w:bookmarkEnd w:id="144"/>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20.1 投标文件的撤回</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20.1.1 电子投标文件的撤回</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投标供应商可在投标截止时间前，撤回其电子投标文件，具体操作方法见《操作手册》。</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20.1.2 投标供应商撤回电子投标文件，则认为其不再参与本项目投标活动。</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 投标文件的修改</w:t>
      </w:r>
      <w:r/>
    </w:p>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20.2.1投标供应商可在投标截止时间前，对其电子投标文件进行修改，具体操作方法见《操作手册》。</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20.2.2</w:t>
      </w:r>
      <w:r>
        <w:rPr>
          <w:rFonts w:hint="eastAsia" w:ascii="仿宋" w:hAnsi="仿宋" w:eastAsia="仿宋" w:cs="仿宋"/>
          <w:bCs/>
          <w:sz w:val="24"/>
          <w:highlight w:val="none"/>
        </w:rPr>
        <w:t xml:space="preserve"> 在投标截止时间之后，投标供应商不得对其电子投标文件作任何修改。</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20.3</w:t>
      </w:r>
      <w:r>
        <w:rPr>
          <w:rFonts w:hint="eastAsia" w:ascii="仿宋" w:hAnsi="仿宋" w:eastAsia="仿宋" w:cs="仿宋"/>
          <w:bCs/>
          <w:sz w:val="24"/>
          <w:highlight w:val="none"/>
        </w:rPr>
        <w:t xml:space="preserve">在投标截止时间至招标文件中规定的投标有效期满之间的这段时间内，投标供应商不得撤回其投标。</w:t>
      </w:r>
      <w:r/>
    </w:p>
    <w:p>
      <w:pPr>
        <w:keepLines/>
        <w:keepNext/>
        <w:spacing w:before="145" w:after="145" w:line="400" w:lineRule="exact"/>
        <w:rPr>
          <w:rFonts w:hint="eastAsia" w:ascii="仿宋" w:hAnsi="仿宋" w:eastAsia="仿宋" w:cs="仿宋"/>
          <w:b/>
          <w:bCs/>
          <w:sz w:val="32"/>
          <w:szCs w:val="32"/>
          <w:highlight w:val="none"/>
        </w:rPr>
        <w:outlineLvl w:val="1"/>
      </w:pPr>
      <w:r/>
      <w:bookmarkStart w:id="145" w:name="_Toc513029229"/>
      <w:r/>
      <w:bookmarkStart w:id="146" w:name="_Toc16938545"/>
      <w:r/>
      <w:bookmarkStart w:id="147" w:name="_Toc120614218"/>
      <w:r/>
      <w:bookmarkStart w:id="148" w:name="_Toc20823301"/>
      <w:r>
        <w:rPr>
          <w:rFonts w:hint="eastAsia" w:ascii="仿宋" w:hAnsi="仿宋" w:eastAsia="仿宋" w:cs="仿宋"/>
          <w:b/>
          <w:bCs/>
          <w:sz w:val="32"/>
          <w:szCs w:val="32"/>
          <w:highlight w:val="none"/>
        </w:rPr>
        <w:t xml:space="preserve">五、开标与评标</w:t>
      </w:r>
      <w:bookmarkEnd w:id="145"/>
      <w:r/>
      <w:bookmarkEnd w:id="146"/>
      <w:r/>
      <w:bookmarkEnd w:id="147"/>
      <w:r/>
      <w:bookmarkEnd w:id="148"/>
      <w:r/>
      <w:r/>
    </w:p>
    <w:p>
      <w:pPr>
        <w:ind w:firstLine="422"/>
        <w:keepLines/>
        <w:keepNext/>
        <w:spacing w:line="400" w:lineRule="exact"/>
        <w:rPr>
          <w:rFonts w:hint="eastAsia" w:ascii="仿宋" w:hAnsi="仿宋" w:eastAsia="仿宋" w:cs="仿宋"/>
          <w:b/>
          <w:bCs/>
          <w:sz w:val="28"/>
          <w:szCs w:val="28"/>
          <w:highlight w:val="none"/>
        </w:rPr>
      </w:pPr>
      <w:r/>
      <w:bookmarkStart w:id="149" w:name="_Toc16938546"/>
      <w:r/>
      <w:bookmarkStart w:id="150" w:name="_Toc513029230"/>
      <w:r/>
      <w:bookmarkStart w:id="151" w:name="_Toc20823302"/>
      <w:r>
        <w:rPr>
          <w:rFonts w:hint="eastAsia" w:ascii="仿宋" w:hAnsi="仿宋" w:eastAsia="仿宋" w:cs="仿宋"/>
          <w:b/>
          <w:bCs/>
          <w:sz w:val="28"/>
          <w:szCs w:val="28"/>
          <w:highlight w:val="none"/>
        </w:rPr>
        <w:t xml:space="preserve">21、开标</w:t>
      </w:r>
      <w:bookmarkEnd w:id="149"/>
      <w:r/>
      <w:bookmarkEnd w:id="150"/>
      <w:r/>
      <w:bookmarkEnd w:id="151"/>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21.1代理机构将在招标公告中规定的时间和地点组织公开开标。投标供应商应当按照《操作手册》规定，参加开标活动和在苏采云系统规定的时间内对投标文件进行解密。</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21.2开标仪式由代理机构组织。苏采云系统将自动对项目进行开标，并宣布各投标供应商名称和投标价格。</w:t>
      </w:r>
      <w:r/>
    </w:p>
    <w:p>
      <w:pPr>
        <w:ind w:firstLine="480"/>
        <w:spacing w:line="500" w:lineRule="exact"/>
        <w:rPr>
          <w:rFonts w:hint="eastAsia" w:ascii="仿宋" w:hAnsi="仿宋" w:eastAsia="仿宋" w:cs="仿宋"/>
          <w:sz w:val="24"/>
          <w:szCs w:val="24"/>
          <w:highlight w:val="none"/>
        </w:rPr>
      </w:pPr>
      <w:r>
        <w:rPr>
          <w:rFonts w:hint="eastAsia" w:ascii="仿宋" w:hAnsi="仿宋" w:eastAsia="仿宋" w:cs="仿宋"/>
          <w:bCs/>
          <w:sz w:val="24"/>
          <w:highlight w:val="none"/>
        </w:rPr>
        <w:t xml:space="preserve">21.3投标供应商在开标过程中涉及到的投标文件解密、开标结果确认等工作，应按照《操作手册》规定执行。</w:t>
      </w:r>
      <w:r/>
    </w:p>
    <w:p>
      <w:pPr>
        <w:ind w:firstLine="48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21.4投标供应商如果对开标过程和开标记录有疑义，应当根据《操作手册》规定提出，如苏采云系统中《开标记录表》宣布后5分钟内未提出的，视同认可开标结果。</w:t>
      </w:r>
      <w:r/>
    </w:p>
    <w:p>
      <w:pPr>
        <w:ind w:firstLine="422"/>
        <w:keepLines/>
        <w:keepNext/>
        <w:spacing w:line="400" w:lineRule="exact"/>
        <w:rPr>
          <w:rFonts w:hint="eastAsia" w:ascii="仿宋" w:hAnsi="仿宋" w:eastAsia="仿宋" w:cs="仿宋"/>
          <w:b/>
          <w:bCs/>
          <w:sz w:val="28"/>
          <w:szCs w:val="28"/>
          <w:highlight w:val="none"/>
        </w:rPr>
      </w:pPr>
      <w:r/>
      <w:bookmarkStart w:id="152" w:name="_Toc513029231"/>
      <w:r/>
      <w:bookmarkStart w:id="153" w:name="_Toc16938547"/>
      <w:r/>
      <w:bookmarkStart w:id="154" w:name="_Toc20823303"/>
      <w:r>
        <w:rPr>
          <w:rFonts w:hint="eastAsia" w:ascii="仿宋" w:hAnsi="仿宋" w:eastAsia="仿宋" w:cs="仿宋"/>
          <w:b/>
          <w:bCs/>
          <w:sz w:val="28"/>
          <w:szCs w:val="28"/>
          <w:highlight w:val="none"/>
        </w:rPr>
        <w:t xml:space="preserve">22、评标委员会</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22.1 开标后，代理机构将立即组织评标委员会（以下简称评委会）进行评标。</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22.2 评委会由采购人代表和有关技术、经济等方面的专家组成，且人员构成符合政府采购有关规定。</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22.3评委会独立工作，负责评审所有投标文件并确定中标候选人。</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23、评标过程的保密与公正</w:t>
      </w:r>
      <w:bookmarkEnd w:id="152"/>
      <w:r/>
      <w:bookmarkEnd w:id="153"/>
      <w:r/>
      <w:bookmarkEnd w:id="154"/>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23.1公开开标后，直至向中标的投标供应商授予合同时止，凡是与审查、澄清、评价和比较投标的有关资料以及授标建议等，采购人、评委、代理机构均不得向投标供应商或与评标无关的其他人员透露。</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23.2在评标过程中，投标供应商不得以任何行为影响评标过程，否则其投标文件将被作为无效投标文件。</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23.3在评标期间，代理机构将设专门人员与投标供应商联系。</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23.4代理机构和评标委员会不向未中标的投标供应商解释未中标原因，也不公布评标过程中的相关细节。</w:t>
      </w:r>
      <w:r/>
    </w:p>
    <w:p>
      <w:pPr>
        <w:ind w:firstLine="480"/>
        <w:spacing w:line="480" w:lineRule="exact"/>
        <w:rPr>
          <w:rFonts w:hint="eastAsia" w:ascii="仿宋" w:hAnsi="仿宋" w:eastAsia="仿宋" w:cs="仿宋"/>
          <w:b/>
          <w:sz w:val="24"/>
          <w:szCs w:val="24"/>
          <w:highlight w:val="none"/>
        </w:rPr>
      </w:pPr>
      <w:r>
        <w:rPr>
          <w:rFonts w:hint="eastAsia" w:ascii="仿宋" w:hAnsi="仿宋" w:eastAsia="仿宋" w:cs="仿宋"/>
          <w:bCs/>
          <w:sz w:val="24"/>
          <w:szCs w:val="24"/>
          <w:highlight w:val="none"/>
        </w:rPr>
        <w:t xml:space="preserve">23.5采用综合评分法的项目，未中标的投标供应商可于中标结果公告期限届满之日起通过苏采云系统查看自己的评审得分及排序情况。</w:t>
      </w:r>
      <w:r/>
    </w:p>
    <w:p>
      <w:pPr>
        <w:ind w:firstLine="422"/>
        <w:keepLines/>
        <w:keepNext/>
        <w:spacing w:line="400" w:lineRule="exact"/>
        <w:rPr>
          <w:rFonts w:hint="eastAsia" w:ascii="仿宋" w:hAnsi="仿宋" w:eastAsia="仿宋" w:cs="仿宋"/>
          <w:b/>
          <w:bCs/>
          <w:sz w:val="28"/>
          <w:szCs w:val="28"/>
          <w:highlight w:val="none"/>
        </w:rPr>
      </w:pPr>
      <w:r/>
      <w:bookmarkStart w:id="155" w:name="_Toc513029232"/>
      <w:r/>
      <w:bookmarkStart w:id="156" w:name="_Toc16938548"/>
      <w:r/>
      <w:bookmarkStart w:id="157" w:name="_Toc20823304"/>
      <w:r>
        <w:rPr>
          <w:rFonts w:hint="eastAsia" w:ascii="仿宋" w:hAnsi="仿宋" w:eastAsia="仿宋" w:cs="仿宋"/>
          <w:b/>
          <w:bCs/>
          <w:sz w:val="28"/>
          <w:szCs w:val="28"/>
          <w:highlight w:val="none"/>
        </w:rPr>
        <w:t xml:space="preserve">24、投标文件的澄清</w:t>
      </w:r>
      <w:bookmarkEnd w:id="155"/>
      <w:r/>
      <w:bookmarkEnd w:id="156"/>
      <w:r/>
      <w:bookmarkEnd w:id="157"/>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24.1评标期间，评委会对投标文件中含义不明确、同类问题表述不一致或者有明显文字和计算错误的内容 ，有权要求投标供应商作出必要的澄清、说明或者补正。</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投标供应商的澄清、说明或者补正不得超出投标文件的范围或者改变投标文件的实质性内容。</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评标委员会并非对每个投标供应商都做澄清要求。</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24.2需要投标供应商进行澄清、说明和补正的，评委会将通过苏采云系统向投标供应商发出“澄清要求函”，接到“澄清要求函”的投标供应商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24.3接到评委会澄清、说明和补正要求的投标供应商如未按规定做出澄清、说明和补正，其风险由投标供应商自行承担。</w:t>
      </w:r>
      <w:r/>
    </w:p>
    <w:p>
      <w:pPr>
        <w:ind w:firstLine="422"/>
        <w:keepLines/>
        <w:keepNext/>
        <w:spacing w:line="400" w:lineRule="exact"/>
        <w:rPr>
          <w:rFonts w:hint="eastAsia" w:ascii="仿宋" w:hAnsi="仿宋" w:eastAsia="仿宋" w:cs="仿宋"/>
          <w:b/>
          <w:bCs/>
          <w:sz w:val="28"/>
          <w:szCs w:val="28"/>
          <w:highlight w:val="none"/>
        </w:rPr>
      </w:pPr>
      <w:r/>
      <w:bookmarkStart w:id="158" w:name="_Toc513029233"/>
      <w:r/>
      <w:bookmarkStart w:id="159" w:name="_Toc16938549"/>
      <w:r/>
      <w:bookmarkStart w:id="160" w:name="_Toc20823305"/>
      <w:r>
        <w:rPr>
          <w:rFonts w:hint="eastAsia" w:ascii="仿宋" w:hAnsi="仿宋" w:eastAsia="仿宋" w:cs="仿宋"/>
          <w:b/>
          <w:bCs/>
          <w:sz w:val="28"/>
          <w:szCs w:val="28"/>
          <w:highlight w:val="none"/>
        </w:rPr>
        <w:t xml:space="preserve">25、对投标文件的初审</w:t>
      </w:r>
      <w:bookmarkEnd w:id="158"/>
      <w:r/>
      <w:bookmarkEnd w:id="159"/>
      <w:r/>
      <w:bookmarkEnd w:id="160"/>
      <w:r/>
      <w:r/>
    </w:p>
    <w:p>
      <w:pPr>
        <w:ind w:firstLine="480"/>
        <w:spacing w:line="4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25.1</w:t>
      </w:r>
      <w:r>
        <w:rPr>
          <w:rFonts w:hint="eastAsia" w:ascii="仿宋" w:hAnsi="仿宋" w:eastAsia="仿宋" w:cs="仿宋"/>
          <w:bCs/>
          <w:sz w:val="24"/>
          <w:highlight w:val="none"/>
        </w:rPr>
        <w:t xml:space="preserve">投标文件初审分为资格审查和符合性审查。</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采购人在进行资格性审查的同时，将在“信用中国”网站（www.creditchina.gov.cn）查询投标供应商的信用记录，以确定投标供应商是否具备投标资格,查询结果留存并归档。</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三个自然人、法人或者其他组织组成一个联合体，以一个供应商的身份共同参加政府采购活动的,联合体成员存在不良信用记录的，视同联合体存在不良应用记录。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25.1.3未通过资格审查或符合性审查的投标供应商，评标委员会将在</w:t>
      </w:r>
      <w:r>
        <w:rPr>
          <w:rFonts w:hint="eastAsia" w:ascii="仿宋" w:hAnsi="仿宋" w:eastAsia="仿宋" w:cs="仿宋"/>
          <w:sz w:val="24"/>
          <w:szCs w:val="24"/>
          <w:highlight w:val="none"/>
        </w:rPr>
        <w:t xml:space="preserve">苏采云系统</w:t>
      </w:r>
      <w:r>
        <w:rPr>
          <w:rFonts w:hint="eastAsia" w:ascii="仿宋" w:hAnsi="仿宋" w:eastAsia="仿宋" w:cs="仿宋"/>
          <w:bCs/>
          <w:sz w:val="24"/>
          <w:highlight w:val="none"/>
        </w:rPr>
        <w:t xml:space="preserve">中告知未通过资格审查或符合性审查的原因，评标结束后，评标委员会将不再告知未通过资格审查和符合性审查的原因。</w:t>
      </w: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所谓重大偏离或保留是指与招标文件规定的实质性要求存在负偏离，或者在实质上与招标文件不一致，而且限制了合同中买方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25.3如果投标文件实质上没有响应招标文件的要求，评委会将予以拒绝，投标供应商不得通过修改或撤销不合要求的偏离或保留而使其投标成为实质性响应的投标。</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25.4</w:t>
      </w:r>
      <w:r>
        <w:rPr>
          <w:rFonts w:hint="eastAsia" w:ascii="仿宋" w:hAnsi="仿宋" w:eastAsia="仿宋" w:cs="仿宋"/>
          <w:bCs/>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（1）大写金额和小写金额不一致的，以大写金额为准。</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（2）单价金额小数点或者百分比有明显错位的，以开标一览表的总价为准，并修改单价。</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（3）总价金额与按单价汇总金额不一致的，以单价金额计算结果为准。</w:t>
      </w:r>
      <w:r/>
    </w:p>
    <w:p>
      <w:pPr>
        <w:ind w:firstLine="720"/>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同时出现两种以上错误的，按照前款规定的顺序修正。</w:t>
      </w:r>
      <w:r/>
    </w:p>
    <w:p>
      <w:pPr>
        <w:ind w:firstLine="480"/>
        <w:spacing w:line="4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25.5</w:t>
      </w:r>
      <w:r>
        <w:rPr>
          <w:rFonts w:hint="eastAsia" w:ascii="仿宋" w:hAnsi="仿宋" w:eastAsia="仿宋" w:cs="仿宋"/>
          <w:bCs/>
          <w:sz w:val="24"/>
          <w:highlight w:val="none"/>
        </w:rPr>
        <w:t xml:space="preserve">评委会将按上述修正错误的方法调整投标文件中的投标报价，并通过</w:t>
      </w:r>
      <w:r>
        <w:rPr>
          <w:rFonts w:hint="eastAsia" w:ascii="仿宋" w:hAnsi="仿宋" w:eastAsia="仿宋" w:cs="仿宋"/>
          <w:sz w:val="24"/>
          <w:szCs w:val="24"/>
          <w:highlight w:val="none"/>
        </w:rPr>
        <w:t xml:space="preserve">苏采云系统</w:t>
      </w:r>
      <w:r>
        <w:rPr>
          <w:rFonts w:hint="eastAsia" w:ascii="仿宋" w:hAnsi="仿宋" w:eastAsia="仿宋" w:cs="仿宋"/>
          <w:bCs/>
          <w:sz w:val="24"/>
          <w:highlight w:val="none"/>
        </w:rPr>
        <w:t xml:space="preserve">告知投标供应商，调整后的价格应对投标供应商具有约束力。如果投标供应商不接受修正后的价格，则其投标将被拒绝。</w:t>
      </w:r>
      <w:r/>
    </w:p>
    <w:p>
      <w:pPr>
        <w:ind w:firstLine="42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25.6评委会将允许修正投标文件中不构成重大偏离的、微小的、非正规的、不一致的或不规则的地方，但这些修改不能影响任何投标供应商相应的名次排列。</w:t>
      </w:r>
      <w:bookmarkStart w:id="161" w:name="_Toc16938550"/>
      <w:r/>
      <w:bookmarkStart w:id="162" w:name="_Toc513029234"/>
      <w:r/>
      <w:bookmarkStart w:id="163" w:name="_Toc20823306"/>
      <w:r/>
      <w:r/>
    </w:p>
    <w:p>
      <w:pPr>
        <w:ind w:firstLine="42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25.7投标供应商在开、评标全过程中应保持通讯畅通，及时登录</w:t>
      </w:r>
      <w:r>
        <w:rPr>
          <w:rFonts w:hint="eastAsia" w:ascii="仿宋" w:hAnsi="仿宋" w:eastAsia="仿宋" w:cs="仿宋"/>
          <w:sz w:val="24"/>
          <w:szCs w:val="24"/>
          <w:highlight w:val="none"/>
        </w:rPr>
        <w:t xml:space="preserve">苏采云系统</w:t>
      </w:r>
      <w:r>
        <w:rPr>
          <w:rFonts w:hint="eastAsia" w:ascii="仿宋" w:hAnsi="仿宋" w:eastAsia="仿宋" w:cs="仿宋"/>
          <w:sz w:val="24"/>
          <w:highlight w:val="none"/>
        </w:rPr>
        <w:t xml:space="preserve">查阅、答复相关信息，并安排专人与代理机构及评标委员会联系。</w:t>
      </w:r>
      <w:r/>
    </w:p>
    <w:p>
      <w:pPr>
        <w:ind w:firstLine="420"/>
        <w:spacing w:line="400" w:lineRule="exact"/>
        <w:rPr>
          <w:rFonts w:hint="eastAsia" w:ascii="仿宋" w:hAnsi="仿宋" w:eastAsia="仿宋" w:cs="仿宋"/>
          <w:b/>
          <w:bCs/>
          <w:color w:val="auto"/>
          <w:sz w:val="24"/>
          <w:szCs w:val="21"/>
          <w:highlight w:val="none"/>
        </w:rPr>
        <w:outlineLvl w:val="9"/>
      </w:pPr>
      <w:r>
        <w:rPr>
          <w:rFonts w:hint="eastAsia" w:ascii="仿宋" w:hAnsi="仿宋" w:eastAsia="仿宋" w:cs="仿宋"/>
          <w:b/>
          <w:bCs/>
          <w:color w:val="auto"/>
          <w:sz w:val="24"/>
          <w:highlight w:val="none"/>
        </w:rPr>
        <w:t xml:space="preserve">25.8.</w:t>
      </w:r>
      <w:r>
        <w:rPr>
          <w:rFonts w:hint="eastAsia" w:ascii="仿宋" w:hAnsi="仿宋" w:eastAsia="仿宋" w:cs="仿宋"/>
          <w:b/>
          <w:bCs/>
          <w:color w:val="auto"/>
          <w:sz w:val="24"/>
          <w:szCs w:val="21"/>
          <w:highlight w:val="none"/>
        </w:rPr>
        <w:t xml:space="preserve">异常低价审查</w:t>
      </w:r>
      <w:r/>
    </w:p>
    <w:p>
      <w:pPr>
        <w:ind w:firstLine="482"/>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25.8.1评标过程中出现下列情形之一的，评标小组应当启动异常低价投标审查程序：</w:t>
      </w:r>
      <w:r/>
    </w:p>
    <w:p>
      <w:pPr>
        <w:ind w:firstLine="482"/>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（3）投标（响应）报价低于采购项目最高限价45%的，即投标（响应）报价&lt;采购项目最高限价×45%；</w:t>
      </w:r>
      <w:r/>
    </w:p>
    <w:p>
      <w:pPr>
        <w:ind w:firstLine="482"/>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（4）评标小组基于专业判断，认为供应商报价过低，有可能影响产品质量或者不能诚信履约的其他情形。</w:t>
      </w:r>
      <w:r/>
    </w:p>
    <w:p>
      <w:pPr>
        <w:ind w:firstLine="482"/>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25.8.2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482"/>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p>
    <w:p>
      <w:pPr>
        <w:ind w:firstLine="482"/>
        <w:pageBreakBefore w:val="0"/>
        <w:spacing w:line="500" w:lineRule="exact"/>
        <w:widowControl w:val="off"/>
        <w:rPr>
          <w:rFonts w:hint="eastAsia" w:ascii="仿宋" w:hAnsi="仿宋" w:eastAsia="仿宋" w:cs="仿宋"/>
          <w:b/>
          <w:bCs/>
          <w:sz w:val="28"/>
          <w:szCs w:val="28"/>
          <w:highlight w:val="none"/>
        </w:rPr>
      </w:pPr>
      <w:r>
        <w:rPr>
          <w:rFonts w:hint="eastAsia" w:ascii="仿宋" w:hAnsi="仿宋" w:eastAsia="仿宋" w:cs="仿宋"/>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26、</w:t>
      </w:r>
      <w:bookmarkEnd w:id="161"/>
      <w:r/>
      <w:bookmarkEnd w:id="162"/>
      <w:r/>
      <w:bookmarkEnd w:id="163"/>
      <w:r>
        <w:rPr>
          <w:rFonts w:hint="eastAsia" w:ascii="仿宋" w:hAnsi="仿宋" w:eastAsia="仿宋" w:cs="仿宋"/>
          <w:b/>
          <w:bCs/>
          <w:sz w:val="28"/>
          <w:szCs w:val="28"/>
          <w:highlight w:val="none"/>
        </w:rPr>
        <w:t xml:space="preserve">无效投标条款和废标条款</w:t>
      </w:r>
      <w:r/>
    </w:p>
    <w:p>
      <w:pPr>
        <w:ind w:left="479"/>
        <w:spacing w:line="440" w:lineRule="exact"/>
        <w:rPr>
          <w:rFonts w:hint="eastAsia" w:ascii="仿宋" w:hAnsi="仿宋" w:eastAsia="仿宋" w:cs="仿宋"/>
          <w:bCs/>
          <w:sz w:val="24"/>
          <w:highlight w:val="none"/>
        </w:rPr>
        <w:outlineLvl w:val="2"/>
      </w:pPr>
      <w:r/>
      <w:bookmarkStart w:id="164" w:name="_Toc16938551"/>
      <w:r/>
      <w:bookmarkStart w:id="165" w:name="_Toc513029235"/>
      <w:r/>
      <w:bookmarkStart w:id="166" w:name="_Toc20823307"/>
      <w:r>
        <w:rPr>
          <w:rFonts w:hint="eastAsia" w:ascii="仿宋" w:hAnsi="仿宋" w:eastAsia="仿宋" w:cs="仿宋"/>
          <w:bCs/>
          <w:sz w:val="24"/>
          <w:highlight w:val="none"/>
        </w:rPr>
        <w:t xml:space="preserve">26.1无效投标条款</w:t>
      </w:r>
      <w:r/>
    </w:p>
    <w:p>
      <w:pPr>
        <w:ind w:firstLine="480"/>
        <w:spacing w:line="440" w:lineRule="exact"/>
        <w:rPr>
          <w:rFonts w:hint="eastAsia" w:ascii="仿宋" w:hAnsi="仿宋" w:eastAsia="仿宋" w:cs="仿宋"/>
          <w:bCs/>
          <w:sz w:val="24"/>
          <w:szCs w:val="24"/>
          <w:highlight w:val="none"/>
        </w:rPr>
      </w:pPr>
      <w:r>
        <w:rPr>
          <w:rFonts w:hint="eastAsia" w:ascii="仿宋" w:hAnsi="仿宋" w:eastAsia="仿宋" w:cs="仿宋"/>
          <w:bCs/>
          <w:sz w:val="24"/>
          <w:highlight w:val="none"/>
        </w:rPr>
        <w:t xml:space="preserve">26</w:t>
      </w:r>
      <w:r>
        <w:rPr>
          <w:rFonts w:hint="eastAsia" w:ascii="仿宋" w:hAnsi="仿宋" w:eastAsia="仿宋" w:cs="仿宋"/>
          <w:bCs/>
          <w:sz w:val="24"/>
          <w:szCs w:val="24"/>
          <w:highlight w:val="none"/>
        </w:rPr>
        <w:t xml:space="preserve">.1.1 投标供应商在</w:t>
      </w:r>
      <w:r>
        <w:rPr>
          <w:rFonts w:hint="eastAsia" w:ascii="仿宋" w:hAnsi="仿宋" w:eastAsia="仿宋" w:cs="仿宋"/>
          <w:sz w:val="24"/>
          <w:szCs w:val="24"/>
          <w:highlight w:val="none"/>
        </w:rPr>
        <w:t xml:space="preserve">苏采云系统</w:t>
      </w:r>
      <w:r>
        <w:rPr>
          <w:rFonts w:hint="eastAsia" w:ascii="仿宋" w:hAnsi="仿宋" w:eastAsia="仿宋" w:cs="仿宋"/>
          <w:bCs/>
          <w:sz w:val="24"/>
          <w:szCs w:val="24"/>
          <w:highlight w:val="none"/>
        </w:rPr>
        <w:t xml:space="preserve">规定的时间内未成功解密电子投标文件的。</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26.1.2 投标供应商未按照招标文件要求上传电子投标文件的。</w:t>
      </w:r>
      <w:r/>
    </w:p>
    <w:p>
      <w:pPr>
        <w:ind w:left="479"/>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26.1.3 投标供应商同一分包提交两个（含两个）以上不同的投标报价的。</w:t>
      </w:r>
      <w:r/>
    </w:p>
    <w:p>
      <w:pPr>
        <w:ind w:left="479"/>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26.1.4投标供应商不具备招标文件中规定资格要求的。</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26.1.5投标供应商的报价超过了采购预算或最高限价的。</w:t>
      </w:r>
      <w:r/>
    </w:p>
    <w:p>
      <w:pPr>
        <w:ind w:firstLine="480"/>
        <w:spacing w:line="440" w:lineRule="exact"/>
        <w:rPr>
          <w:rFonts w:hint="eastAsia" w:ascii="仿宋" w:hAnsi="仿宋" w:eastAsia="仿宋" w:cs="仿宋"/>
          <w:bCs/>
          <w:i/>
          <w:sz w:val="24"/>
          <w:highlight w:val="none"/>
          <w:u w:val="single"/>
        </w:rPr>
      </w:pPr>
      <w:r>
        <w:rPr>
          <w:rFonts w:hint="eastAsia" w:ascii="仿宋" w:hAnsi="仿宋" w:eastAsia="仿宋" w:cs="仿宋"/>
          <w:bCs/>
          <w:sz w:val="24"/>
          <w:highlight w:val="none"/>
        </w:rPr>
        <w:t xml:space="preserve">26.1.6未通过符合性审查的。</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26.1.7不符合招标文件中规定的实质性要求的</w:t>
      </w:r>
      <w:r>
        <w:rPr>
          <w:rFonts w:hint="eastAsia" w:ascii="仿宋" w:hAnsi="仿宋" w:eastAsia="仿宋" w:cs="仿宋"/>
          <w:bCs/>
          <w:sz w:val="24"/>
          <w:highlight w:val="none"/>
          <w:u w:val="single"/>
        </w:rPr>
        <w:t xml:space="preserve">（本招标文件中斜体且有下划线部分为实质性要求）</w:t>
      </w:r>
      <w:r>
        <w:rPr>
          <w:rFonts w:hint="eastAsia" w:ascii="仿宋" w:hAnsi="仿宋" w:eastAsia="仿宋" w:cs="仿宋"/>
          <w:bCs/>
          <w:sz w:val="24"/>
          <w:highlight w:val="none"/>
        </w:rPr>
        <w:t xml:space="preserve">。</w:t>
      </w:r>
      <w:r/>
    </w:p>
    <w:p>
      <w:pPr>
        <w:ind w:firstLine="480"/>
        <w:spacing w:line="500" w:lineRule="exact"/>
        <w:rPr>
          <w:rFonts w:hint="eastAsia" w:ascii="仿宋" w:hAnsi="仿宋" w:eastAsia="仿宋" w:cs="仿宋"/>
          <w:bCs/>
          <w:i/>
          <w:sz w:val="24"/>
          <w:highlight w:val="none"/>
          <w:u w:val="single"/>
        </w:rPr>
      </w:pPr>
      <w:r>
        <w:rPr>
          <w:rFonts w:hint="eastAsia" w:ascii="仿宋" w:hAnsi="仿宋" w:eastAsia="仿宋" w:cs="仿宋"/>
          <w:sz w:val="24"/>
          <w:highlight w:val="none"/>
        </w:rPr>
        <w:t xml:space="preserve">26.1.8对于采用折扣率报价的项目，开标一览表中的投标优惠率与投标分项报价表中的投标折扣率折算后不一致的。</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26.1.9 投标供应商被 “信用中国”网站（www.creditchina.gov.cn）列入失信被执行人或重大税收违法案件当事人名单或政府采购严重失信行为记录名单。或查询“信用中国”网站后发现投标供应商存在其他不符合《中华人民共和国政府采购法》第二十二条规定条件的信用记录。</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26.1.10 投标文件含有采购人不能接受的附加条件的。</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26.1.11评标委员会认为投标供应商的报价明显低于其他通过符合性审查投标供应商的报价，有可能影响产品质量或者不能诚信履约的，将通过</w:t>
      </w:r>
      <w:r>
        <w:rPr>
          <w:rFonts w:hint="eastAsia" w:ascii="仿宋" w:hAnsi="仿宋" w:eastAsia="仿宋" w:cs="仿宋"/>
          <w:sz w:val="24"/>
          <w:szCs w:val="24"/>
          <w:highlight w:val="none"/>
        </w:rPr>
        <w:t xml:space="preserve">苏采云系统</w:t>
      </w:r>
      <w:r>
        <w:rPr>
          <w:rFonts w:hint="eastAsia" w:ascii="仿宋" w:hAnsi="仿宋" w:eastAsia="仿宋" w:cs="仿宋"/>
          <w:bCs/>
          <w:sz w:val="24"/>
          <w:highlight w:val="none"/>
        </w:rPr>
        <w:t xml:space="preserve">要求其在合理的时间内提供说明，必要时提交相关证明材料；投标供应商不能证明其报价合理性的，评标委员会应当将其作为无效投标处理。</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26.1.12投标文件未按照招标文件要求加盖CA电子公章的。</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26.1.13其他法律、法规及本招标文件规定的属无效投标的情形。</w:t>
      </w:r>
      <w:r/>
    </w:p>
    <w:p>
      <w:pPr>
        <w:ind w:left="479"/>
        <w:spacing w:line="440" w:lineRule="exact"/>
        <w:rPr>
          <w:rFonts w:hint="eastAsia" w:ascii="仿宋" w:hAnsi="仿宋" w:eastAsia="仿宋" w:cs="仿宋"/>
          <w:bCs/>
          <w:sz w:val="24"/>
          <w:highlight w:val="none"/>
        </w:rPr>
        <w:outlineLvl w:val="2"/>
      </w:pPr>
      <w:r>
        <w:rPr>
          <w:rFonts w:hint="eastAsia" w:ascii="仿宋" w:hAnsi="仿宋" w:eastAsia="仿宋" w:cs="仿宋"/>
          <w:bCs/>
          <w:sz w:val="24"/>
          <w:highlight w:val="none"/>
        </w:rPr>
        <w:t xml:space="preserve">26.2废标条款</w:t>
      </w:r>
      <w:r/>
    </w:p>
    <w:p>
      <w:pPr>
        <w:ind w:left="479"/>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26.2.1符合专业条件的投标供应商或者对招标文件作实质响应的投标供应商不足三家的。26.2.2出现影响采购公正的违法、违规行为的。</w:t>
      </w:r>
      <w:r/>
    </w:p>
    <w:p>
      <w:pPr>
        <w:ind w:left="479"/>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26.2.3因重大变故，采购任务取消的。</w:t>
      </w:r>
      <w:r/>
    </w:p>
    <w:p>
      <w:pPr>
        <w:ind w:left="479"/>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26.2.4评标委员会认定招标文件存在歧义、重大缺陷导致评审工作无法进行。</w:t>
      </w:r>
      <w:r/>
    </w:p>
    <w:p>
      <w:pPr>
        <w:ind w:left="479"/>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26.2.5 因</w:t>
      </w:r>
      <w:r>
        <w:rPr>
          <w:rFonts w:hint="eastAsia" w:ascii="仿宋" w:hAnsi="仿宋" w:eastAsia="仿宋" w:cs="仿宋"/>
          <w:sz w:val="24"/>
          <w:szCs w:val="24"/>
          <w:highlight w:val="none"/>
        </w:rPr>
        <w:t xml:space="preserve">苏采云</w:t>
      </w:r>
      <w:r>
        <w:rPr>
          <w:rFonts w:hint="eastAsia" w:ascii="仿宋" w:hAnsi="仿宋" w:eastAsia="仿宋" w:cs="仿宋"/>
          <w:bCs/>
          <w:sz w:val="24"/>
          <w:highlight w:val="none"/>
        </w:rPr>
        <w:t xml:space="preserve">系统故障原因造成开标不成功的。</w:t>
      </w:r>
      <w:r/>
    </w:p>
    <w:p>
      <w:pPr>
        <w:ind w:left="479"/>
        <w:spacing w:line="440" w:lineRule="exact"/>
        <w:rPr>
          <w:rFonts w:hint="eastAsia" w:ascii="仿宋" w:hAnsi="仿宋" w:eastAsia="仿宋" w:cs="仿宋"/>
          <w:bCs/>
          <w:sz w:val="24"/>
          <w:highlight w:val="none"/>
        </w:rPr>
        <w:outlineLvl w:val="2"/>
      </w:pPr>
      <w:r>
        <w:rPr>
          <w:rFonts w:hint="eastAsia" w:ascii="仿宋" w:hAnsi="仿宋" w:eastAsia="仿宋" w:cs="仿宋"/>
          <w:bCs/>
          <w:sz w:val="24"/>
          <w:highlight w:val="none"/>
        </w:rPr>
        <w:t xml:space="preserve">26.3 投标截止时间结束后参加投标的供应商不足三家的处理：</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26.3.1如出现投标截止时间结束后参加投标的供应商或者在评标期间对招标文件做出实质响应的供应商不足三家情况，按政府采购相关规定执行。</w:t>
      </w:r>
      <w:r/>
    </w:p>
    <w:p>
      <w:pPr>
        <w:ind w:firstLine="421"/>
        <w:keepLines/>
        <w:keepNext/>
        <w:spacing w:before="145" w:after="145" w:line="400" w:lineRule="exact"/>
        <w:rPr>
          <w:rFonts w:hint="eastAsia" w:ascii="仿宋" w:hAnsi="仿宋" w:eastAsia="仿宋" w:cs="仿宋"/>
          <w:b/>
          <w:bCs/>
          <w:sz w:val="32"/>
          <w:szCs w:val="32"/>
          <w:highlight w:val="none"/>
        </w:rPr>
        <w:outlineLvl w:val="1"/>
      </w:pPr>
      <w:r/>
      <w:bookmarkStart w:id="167" w:name="_Toc120614219"/>
      <w:r>
        <w:rPr>
          <w:rFonts w:hint="eastAsia" w:ascii="仿宋" w:hAnsi="仿宋" w:eastAsia="仿宋" w:cs="仿宋"/>
          <w:b/>
          <w:bCs/>
          <w:sz w:val="32"/>
          <w:szCs w:val="32"/>
          <w:highlight w:val="none"/>
        </w:rPr>
        <w:t xml:space="preserve">六、</w:t>
      </w:r>
      <w:bookmarkEnd w:id="164"/>
      <w:r/>
      <w:bookmarkEnd w:id="165"/>
      <w:r/>
      <w:bookmarkEnd w:id="166"/>
      <w:r>
        <w:rPr>
          <w:rFonts w:hint="eastAsia" w:ascii="仿宋" w:hAnsi="仿宋" w:eastAsia="仿宋" w:cs="仿宋"/>
          <w:b/>
          <w:bCs/>
          <w:sz w:val="32"/>
          <w:szCs w:val="32"/>
          <w:highlight w:val="none"/>
        </w:rPr>
        <w:t xml:space="preserve">定标</w:t>
      </w:r>
      <w:bookmarkEnd w:id="167"/>
      <w:r/>
      <w:r/>
    </w:p>
    <w:p>
      <w:pPr>
        <w:ind w:firstLine="422"/>
        <w:keepLines/>
        <w:keepNext/>
        <w:spacing w:line="400" w:lineRule="exact"/>
        <w:rPr>
          <w:rFonts w:hint="eastAsia" w:ascii="仿宋" w:hAnsi="仿宋" w:eastAsia="仿宋" w:cs="仿宋"/>
          <w:b/>
          <w:bCs/>
          <w:sz w:val="28"/>
          <w:szCs w:val="28"/>
          <w:highlight w:val="none"/>
        </w:rPr>
      </w:pPr>
      <w:r/>
      <w:bookmarkStart w:id="168" w:name="_Toc513029238"/>
      <w:r/>
      <w:bookmarkStart w:id="169" w:name="_Toc20823310"/>
      <w:r/>
      <w:bookmarkStart w:id="170" w:name="_Toc16938554"/>
      <w:r>
        <w:rPr>
          <w:rFonts w:hint="eastAsia" w:ascii="仿宋" w:hAnsi="仿宋" w:eastAsia="仿宋" w:cs="仿宋"/>
          <w:b/>
          <w:bCs/>
          <w:sz w:val="28"/>
          <w:szCs w:val="28"/>
          <w:highlight w:val="none"/>
        </w:rPr>
        <w:t xml:space="preserve">27、</w:t>
      </w:r>
      <w:bookmarkEnd w:id="168"/>
      <w:r>
        <w:rPr>
          <w:rFonts w:hint="eastAsia" w:ascii="仿宋" w:hAnsi="仿宋" w:eastAsia="仿宋" w:cs="仿宋"/>
          <w:b/>
          <w:bCs/>
          <w:sz w:val="28"/>
          <w:szCs w:val="28"/>
          <w:highlight w:val="none"/>
        </w:rPr>
        <w:t xml:space="preserve">确定</w:t>
      </w:r>
      <w:bookmarkEnd w:id="169"/>
      <w:r/>
      <w:bookmarkEnd w:id="170"/>
      <w:r>
        <w:rPr>
          <w:rFonts w:hint="eastAsia" w:ascii="仿宋" w:hAnsi="仿宋" w:eastAsia="仿宋" w:cs="仿宋"/>
          <w:b/>
          <w:bCs/>
          <w:sz w:val="28"/>
          <w:szCs w:val="28"/>
          <w:highlight w:val="none"/>
        </w:rPr>
        <w:t xml:space="preserve">中标单位</w:t>
      </w:r>
      <w:r/>
    </w:p>
    <w:p>
      <w:pPr>
        <w:ind w:firstLine="480"/>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27.1中标候选人的选取原则和数量见招标文件第五章规定。</w:t>
      </w:r>
      <w:r/>
    </w:p>
    <w:p>
      <w:pPr>
        <w:ind w:firstLine="480"/>
        <w:spacing w:line="4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27.2 采购人在评标报告确定的中标候选人名单中按顺序确定中标人。采购人应根据评委会推荐的中标候选人确定中标供应商。</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27.3 </w:t>
      </w:r>
      <w:r>
        <w:rPr>
          <w:rFonts w:hint="eastAsia" w:ascii="仿宋" w:hAnsi="仿宋" w:eastAsia="仿宋" w:cs="仿宋"/>
          <w:sz w:val="24"/>
          <w:szCs w:val="24"/>
          <w:highlight w:val="none"/>
        </w:rPr>
        <w:t xml:space="preserve">代理机构将在“江苏政府采购网”发布中标公告，公告期限为1个工作日。</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27.4若有充分证据证明，中标人出现下列情况之一的，一经查实，将被取消中标资格：</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27.4.1提供虚假材料谋取中标的。</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27.4.2向采购人、代理机构行贿或者提供其他不正当利益的。</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27.4.3 属于本文件规定的无效条件，但在评标过程中又未被评委会发现的。</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27.4.4与采购人或者其他供应商恶意串通的。</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27.4.5采取不正当手段诋毁、排挤其他供应商的。</w:t>
      </w:r>
      <w:r/>
    </w:p>
    <w:p>
      <w:pPr>
        <w:ind w:firstLine="480"/>
        <w:spacing w:line="480" w:lineRule="exact"/>
        <w:rPr>
          <w:rFonts w:hint="eastAsia" w:ascii="仿宋" w:hAnsi="仿宋" w:eastAsia="仿宋" w:cs="仿宋"/>
          <w:sz w:val="24"/>
          <w:szCs w:val="24"/>
          <w:highlight w:val="none"/>
        </w:rPr>
      </w:pPr>
      <w:r/>
      <w:bookmarkStart w:id="171" w:name="_Toc200451960"/>
      <w:r>
        <w:rPr>
          <w:rFonts w:hint="eastAsia" w:ascii="仿宋" w:hAnsi="仿宋" w:eastAsia="仿宋" w:cs="仿宋"/>
          <w:sz w:val="24"/>
          <w:szCs w:val="24"/>
          <w:highlight w:val="none"/>
        </w:rPr>
        <w:t xml:space="preserve">27.5 有下列情形之一的，视为投标供应商串通投标，投标无效：</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27.5.1不同投标供应商的投标文件由同一单位或者个人编制。</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27.5.2不同投标供应商委托同一单位或者个人办理投标事宜。</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27.5.3 不同投标供应商的投标文件载明的项目管理成员或者联系人员为同一人。</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27.5.4不同投标供应商的投标文件异常一致或者投标报价呈规律性差异。</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28、质疑处理</w:t>
      </w:r>
      <w:bookmarkEnd w:id="171"/>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上述应知其权益受到损害之日，是指：</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28.2.1对可以质疑的采购文件提出质疑的，为收到采购文件之日或者采购文件公告期限届满之日；</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28.2.2对采购过程提出质疑的，为各采购程序环节结束之日；</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28.2.3对中标或者成交结果提出质疑的，为中标或者成交结果公告期限届满之日。</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28.3质疑函必须按照本招标文件中《质疑函范本》（附件15）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28.4投标供应商（含潜在投标供应商）对采购方式、招标文件中采购需求、供应商资格条件、评标方法和评标标准、合同文本及资格审查结果的询问、质疑请向采购人提出，由采购人负责答复。投标供应商对除上述事项以外其他事项的询问、质疑请向代理机构提出，由代理机构负责答复。</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采购人及代理机构只接收以纸质原件形式送达的质疑,建议投标供应商尽量通过邮寄方式提交质疑（采购人和代理机构不接受无快递运单号的快递）。</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采购人质疑接收人及联系方式，见本招标文件第一章。</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代理机构质疑受理联系方式，见本招标文件第一章。</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 以下情形的质疑不予受理</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28.5.1 内容不符合《政府采购质疑和投诉办法》第十二条规定的质疑。</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28.5.2 超出政府采购法定期限的质疑。</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28.5.3 以传真、电子邮件等方式递交的非原件形式的质疑。</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28.5.4未参加投标活动的供应商或在投标活动中自身权益未受到损害的供应商所提出的质疑。</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28.5.5供应商组成联合体参加投标，联合体中任何一方或多方未按要求签字、盖章、加盖公章的质疑。</w:t>
      </w:r>
      <w:r/>
    </w:p>
    <w:p>
      <w:pPr>
        <w:ind w:firstLine="468"/>
        <w:spacing w:line="480" w:lineRule="exact"/>
        <w:rPr>
          <w:rFonts w:hint="eastAsia" w:ascii="仿宋" w:hAnsi="仿宋" w:eastAsia="仿宋" w:cs="仿宋"/>
          <w:sz w:val="28"/>
          <w:szCs w:val="28"/>
          <w:highlight w:val="none"/>
        </w:rPr>
      </w:pPr>
      <w:r>
        <w:rPr>
          <w:rFonts w:hint="eastAsia" w:ascii="仿宋" w:hAnsi="仿宋" w:eastAsia="仿宋" w:cs="仿宋"/>
          <w:sz w:val="24"/>
          <w:szCs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29、中标通知书</w:t>
      </w:r>
      <w:r/>
    </w:p>
    <w:p>
      <w:pPr>
        <w:ind w:firstLine="60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5"/>
        <w:ind w:firstLine="480"/>
        <w:spacing w:before="0" w:beforeAutospacing="0" w:after="0" w:afterAutospacing="0" w:line="480" w:lineRule="exact"/>
        <w:rPr>
          <w:rFonts w:hint="eastAsia" w:ascii="仿宋" w:hAnsi="仿宋" w:eastAsia="仿宋" w:cs="仿宋"/>
          <w:highlight w:val="none"/>
        </w:rPr>
      </w:pPr>
      <w:r>
        <w:rPr>
          <w:rFonts w:hint="eastAsia" w:ascii="仿宋" w:hAnsi="仿宋" w:eastAsia="仿宋" w:cs="仿宋"/>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1"/>
        <w:keepLines/>
        <w:keepNext/>
        <w:spacing w:before="145" w:after="145" w:line="400" w:lineRule="exact"/>
        <w:rPr>
          <w:rFonts w:hint="eastAsia" w:ascii="仿宋" w:hAnsi="仿宋" w:eastAsia="仿宋" w:cs="仿宋"/>
          <w:b/>
          <w:bCs/>
          <w:sz w:val="32"/>
          <w:szCs w:val="32"/>
          <w:highlight w:val="none"/>
        </w:rPr>
        <w:outlineLvl w:val="1"/>
      </w:pPr>
      <w:r/>
      <w:bookmarkStart w:id="172" w:name="_Toc20823308"/>
      <w:r/>
      <w:bookmarkStart w:id="173" w:name="_Toc120614220"/>
      <w:r/>
      <w:bookmarkStart w:id="174" w:name="_Toc513029236"/>
      <w:r/>
      <w:bookmarkStart w:id="175" w:name="_Toc16938552"/>
      <w:r>
        <w:rPr>
          <w:rFonts w:hint="eastAsia" w:ascii="仿宋" w:hAnsi="仿宋" w:eastAsia="仿宋" w:cs="仿宋"/>
          <w:b/>
          <w:bCs/>
          <w:sz w:val="32"/>
          <w:szCs w:val="32"/>
          <w:highlight w:val="none"/>
        </w:rPr>
        <w:t xml:space="preserve">七、授予合同</w:t>
      </w:r>
      <w:bookmarkEnd w:id="172"/>
      <w:r/>
      <w:bookmarkEnd w:id="173"/>
      <w:r/>
      <w:bookmarkEnd w:id="174"/>
      <w:r/>
      <w:bookmarkEnd w:id="175"/>
      <w:r/>
      <w:r/>
    </w:p>
    <w:p>
      <w:pPr>
        <w:ind w:firstLine="422"/>
        <w:keepLines/>
        <w:keepNext/>
        <w:spacing w:line="400" w:lineRule="exact"/>
        <w:rPr>
          <w:rFonts w:hint="eastAsia" w:ascii="仿宋" w:hAnsi="仿宋" w:eastAsia="仿宋" w:cs="仿宋"/>
          <w:b/>
          <w:bCs/>
          <w:sz w:val="28"/>
          <w:szCs w:val="28"/>
          <w:highlight w:val="none"/>
        </w:rPr>
      </w:pPr>
      <w:r/>
      <w:bookmarkStart w:id="176" w:name="_Toc20823309"/>
      <w:r/>
      <w:bookmarkStart w:id="177" w:name="_Toc16938553"/>
      <w:r/>
      <w:bookmarkStart w:id="178" w:name="_Toc513029237"/>
      <w:r>
        <w:rPr>
          <w:rFonts w:hint="eastAsia" w:ascii="仿宋" w:hAnsi="仿宋" w:eastAsia="仿宋" w:cs="仿宋"/>
          <w:b/>
          <w:bCs/>
          <w:sz w:val="28"/>
          <w:szCs w:val="28"/>
          <w:highlight w:val="none"/>
        </w:rPr>
        <w:t xml:space="preserve">30、 签订合同</w:t>
      </w:r>
      <w:r/>
    </w:p>
    <w:p>
      <w:pPr>
        <w:ind w:firstLine="600"/>
        <w:spacing w:line="48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30</w:t>
      </w:r>
      <w:r>
        <w:rPr>
          <w:rFonts w:hint="eastAsia" w:ascii="仿宋" w:hAnsi="仿宋" w:eastAsia="仿宋" w:cs="仿宋"/>
          <w:sz w:val="24"/>
          <w:szCs w:val="24"/>
          <w:highlight w:val="none"/>
        </w:rPr>
        <w:t xml:space="preserve">.l中标人应当在中标通知书发出之日起三十日内，按照招标文件确定的事项与采购人签订政府采购合同。</w:t>
      </w:r>
      <w:r>
        <w:rPr>
          <w:rFonts w:hint="eastAsia" w:ascii="仿宋" w:hAnsi="仿宋" w:eastAsia="仿宋" w:cs="仿宋"/>
          <w:b/>
          <w:bCs/>
          <w:sz w:val="24"/>
          <w:szCs w:val="24"/>
          <w:highlight w:val="none"/>
        </w:rPr>
        <w:t xml:space="preserve">中标</w:t>
      </w:r>
      <w:r>
        <w:rPr>
          <w:rFonts w:hint="eastAsia" w:ascii="仿宋" w:hAnsi="仿宋" w:eastAsia="仿宋" w:cs="仿宋"/>
          <w:b/>
          <w:bCs/>
          <w:sz w:val="24"/>
          <w:szCs w:val="24"/>
          <w:highlight w:val="none"/>
          <w:lang w:val="zh-CN"/>
        </w:rPr>
        <w:t xml:space="preserve">人应在中标结果公告</w:t>
      </w:r>
      <w:r>
        <w:rPr>
          <w:rFonts w:hint="eastAsia" w:ascii="仿宋" w:hAnsi="仿宋" w:eastAsia="仿宋" w:cs="仿宋"/>
          <w:b/>
          <w:bCs/>
          <w:sz w:val="24"/>
          <w:szCs w:val="24"/>
          <w:highlight w:val="none"/>
          <w:lang w:val="en-US" w:eastAsia="zh-CN"/>
        </w:rPr>
        <w:t xml:space="preserve">公示后</w:t>
      </w:r>
      <w:r>
        <w:rPr>
          <w:rFonts w:hint="eastAsia" w:ascii="仿宋" w:hAnsi="仿宋" w:eastAsia="仿宋" w:cs="仿宋"/>
          <w:b/>
          <w:bCs/>
          <w:sz w:val="24"/>
          <w:szCs w:val="24"/>
          <w:highlight w:val="none"/>
          <w:lang w:val="zh-CN"/>
        </w:rPr>
        <w:t xml:space="preserve">向</w:t>
      </w:r>
      <w:r>
        <w:rPr>
          <w:rFonts w:hint="eastAsia" w:ascii="仿宋" w:hAnsi="仿宋" w:eastAsia="仿宋" w:cs="仿宋"/>
          <w:b/>
          <w:bCs/>
          <w:sz w:val="24"/>
          <w:szCs w:val="24"/>
          <w:highlight w:val="none"/>
        </w:rPr>
        <w:t xml:space="preserve">代理机构提供三份纸质版投标文件</w:t>
      </w:r>
      <w:r>
        <w:rPr>
          <w:rFonts w:hint="eastAsia" w:ascii="仿宋" w:hAnsi="仿宋" w:eastAsia="仿宋" w:cs="仿宋"/>
          <w:b/>
          <w:bCs/>
          <w:sz w:val="24"/>
          <w:szCs w:val="24"/>
          <w:highlight w:val="none"/>
          <w:lang w:val="zh-CN"/>
        </w:rPr>
        <w:t xml:space="preserve">（须与上传电子档内容一致）</w:t>
      </w:r>
      <w:r>
        <w:rPr>
          <w:rFonts w:hint="eastAsia" w:ascii="仿宋" w:hAnsi="仿宋" w:eastAsia="仿宋" w:cs="仿宋"/>
          <w:b/>
          <w:bCs/>
          <w:sz w:val="24"/>
          <w:szCs w:val="24"/>
          <w:highlight w:val="none"/>
        </w:rPr>
        <w:t xml:space="preserve">。</w:t>
      </w:r>
      <w:r/>
    </w:p>
    <w:p>
      <w:pPr>
        <w:ind w:firstLine="60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30.2招标文件、中标人的投标文件及招标过程中有关澄清、承诺文件均应作为合同附件。</w:t>
      </w:r>
      <w:r/>
    </w:p>
    <w:p>
      <w:pPr>
        <w:ind w:firstLine="60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30.3签订合同后，中标人不得将合同标的进行转包。未经采购人同意，中标人也不得采用分包的形式履行合同，否则采购人有权终止合同。转包造成采购人损失的，中标人应承担相应赔偿责任。</w:t>
      </w:r>
      <w:r/>
    </w:p>
    <w:p>
      <w:pPr>
        <w:ind w:firstLine="422"/>
        <w:keepLines/>
        <w:keepNext/>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31、服务（包含与服务相关的货物）的追加、减少</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00" w:lineRule="exact"/>
        <w:rPr>
          <w:rFonts w:hint="eastAsia" w:ascii="仿宋" w:hAnsi="仿宋" w:eastAsia="仿宋" w:cs="仿宋"/>
          <w:highlight w:val="none"/>
        </w:rPr>
      </w:pPr>
      <w:r>
        <w:rPr>
          <w:rFonts w:hint="eastAsia" w:ascii="仿宋" w:hAnsi="仿宋" w:eastAsia="仿宋" w:cs="仿宋"/>
          <w:sz w:val="24"/>
          <w:szCs w:val="24"/>
          <w:highlight w:val="none"/>
        </w:rPr>
        <w:t xml:space="preserve">31.2采购结束后，采购人若由于各种客观原因，必须对采购项目所牵涉的服务进行适当的减少时，在双方协商一致的前提下，可以按照招标采购时的价格水平做相应的调减，并据此签订补充合同。</w:t>
      </w:r>
      <w:bookmarkEnd w:id="176"/>
      <w:r/>
      <w:bookmarkEnd w:id="177"/>
      <w:r/>
      <w:bookmarkEnd w:id="178"/>
      <w:r/>
      <w:r/>
    </w:p>
    <w:p>
      <w:pPr>
        <w:ind w:firstLine="422"/>
        <w:keepLines/>
        <w:keepNext/>
        <w:spacing w:line="400" w:lineRule="exact"/>
        <w:rPr>
          <w:rFonts w:hint="eastAsia" w:ascii="仿宋" w:hAnsi="仿宋" w:eastAsia="仿宋" w:cs="仿宋"/>
          <w:b/>
          <w:bCs/>
          <w:sz w:val="28"/>
          <w:szCs w:val="28"/>
          <w:highlight w:val="none"/>
        </w:rPr>
      </w:pPr>
      <w:r/>
      <w:bookmarkStart w:id="179" w:name="_Toc513029242"/>
      <w:r/>
      <w:bookmarkStart w:id="180" w:name="_Toc20823314"/>
      <w:r/>
      <w:bookmarkStart w:id="181" w:name="_Toc479757207"/>
      <w:r/>
      <w:bookmarkStart w:id="182" w:name="_Toc16938558"/>
      <w:r/>
      <w:bookmarkStart w:id="183" w:name="_Toc120614221"/>
      <w:r>
        <w:rPr>
          <w:rFonts w:hint="eastAsia" w:ascii="仿宋" w:hAnsi="仿宋" w:eastAsia="仿宋" w:cs="仿宋"/>
          <w:b/>
          <w:bCs/>
          <w:sz w:val="28"/>
          <w:szCs w:val="28"/>
          <w:highlight w:val="none"/>
        </w:rPr>
        <w:t xml:space="preserve">32、政府采购履约资金扶持政策</w:t>
      </w:r>
      <w:r/>
    </w:p>
    <w:p>
      <w:pP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32.1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32.2本项目履约保证金</w:t>
      </w:r>
      <w:r>
        <w:rPr>
          <w:rFonts w:hint="eastAsia" w:ascii="仿宋" w:hAnsi="仿宋" w:eastAsia="仿宋" w:cs="仿宋"/>
          <w:sz w:val="24"/>
          <w:szCs w:val="24"/>
          <w:highlight w:val="none"/>
          <w:u w:val="single"/>
        </w:rPr>
        <w:t xml:space="preserve">伍拾万元</w:t>
      </w:r>
      <w:r>
        <w:rPr>
          <w:rFonts w:hint="eastAsia" w:ascii="仿宋" w:hAnsi="仿宋" w:eastAsia="仿宋" w:cs="仿宋"/>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pStyle w:val="707"/>
        <w:rPr>
          <w:highlight w:val="none"/>
        </w:rPr>
      </w:pPr>
      <w:r>
        <w:rPr>
          <w:highlight w:val="none"/>
        </w:rPr>
      </w:r>
      <w:r/>
    </w:p>
    <w:p>
      <w:pPr>
        <w:rPr>
          <w:highlight w:val="none"/>
        </w:rPr>
      </w:pPr>
      <w:r>
        <w:rPr>
          <w:highlight w:val="none"/>
        </w:rPr>
      </w:r>
      <w:r/>
    </w:p>
    <w:p>
      <w:pPr>
        <w:pStyle w:val="707"/>
        <w:rPr>
          <w:highlight w:val="none"/>
        </w:rPr>
      </w:pPr>
      <w:r>
        <w:rPr>
          <w:highlight w:val="none"/>
        </w:rPr>
      </w:r>
      <w:r/>
    </w:p>
    <w:p>
      <w:pPr>
        <w:rPr>
          <w:highlight w:val="none"/>
        </w:rPr>
      </w:pPr>
      <w:r>
        <w:rPr>
          <w:highlight w:val="none"/>
        </w:rPr>
      </w:r>
      <w:r/>
    </w:p>
    <w:p>
      <w:pPr>
        <w:pStyle w:val="707"/>
        <w:rPr>
          <w:highlight w:val="none"/>
        </w:rPr>
      </w:pPr>
      <w:r>
        <w:rPr>
          <w:highlight w:val="none"/>
        </w:rPr>
      </w:r>
      <w:bookmarkEnd w:id="179"/>
      <w:bookmarkEnd w:id="180"/>
      <w:bookmarkEnd w:id="181"/>
      <w:bookmarkEnd w:id="182"/>
      <w:bookmarkEnd w:id="183"/>
      <w:r/>
    </w:p>
    <w:p>
      <w:pPr>
        <w:rPr>
          <w:rFonts w:hint="eastAsia" w:ascii="仿宋" w:hAnsi="仿宋" w:eastAsia="仿宋" w:cs="仿宋"/>
          <w:b/>
          <w:sz w:val="44"/>
          <w:highlight w:val="none"/>
        </w:rPr>
      </w:pPr>
      <w:r/>
      <w:bookmarkStart w:id="184" w:name="_Toc186493269"/>
      <w:r/>
      <w:bookmarkStart w:id="185" w:name="_Toc16938590"/>
      <w:r/>
      <w:bookmarkStart w:id="186" w:name="_Toc20823346"/>
      <w:r/>
      <w:bookmarkStart w:id="187" w:name="_Toc120614244"/>
      <w:r/>
      <w:bookmarkStart w:id="188" w:name="_Toc462564139"/>
      <w:r/>
      <w:bookmarkStart w:id="189" w:name="_Toc479757211"/>
      <w:r>
        <w:rPr>
          <w:rFonts w:hint="eastAsia" w:ascii="仿宋" w:hAnsi="仿宋" w:eastAsia="仿宋" w:cs="仿宋"/>
          <w:b/>
          <w:sz w:val="44"/>
          <w:highlight w:val="none"/>
        </w:rPr>
        <w:br w:type="page" w:clear="all"/>
      </w:r>
      <w:r/>
    </w:p>
    <w:p>
      <w:pPr>
        <w:pStyle w:val="693"/>
        <w:keepLines w:val="0"/>
        <w:pageBreakBefore w:val="0"/>
        <w:spacing w:line="360" w:lineRule="auto"/>
        <w:widowControl w:val="off"/>
        <w:rPr>
          <w:rFonts w:hint="eastAsia" w:ascii="仿宋" w:hAnsi="仿宋" w:eastAsia="仿宋" w:cs="仿宋"/>
          <w:b/>
          <w:bCs w:val="0"/>
          <w:sz w:val="44"/>
          <w:highlight w:val="none"/>
        </w:rPr>
        <w:outlineLvl w:val="0"/>
      </w:pPr>
      <w:r>
        <w:rPr>
          <w:rFonts w:hint="eastAsia" w:ascii="仿宋" w:hAnsi="仿宋" w:eastAsia="仿宋" w:cs="仿宋"/>
          <w:b/>
          <w:sz w:val="44"/>
          <w:highlight w:val="none"/>
        </w:rPr>
        <w:t xml:space="preserve">第三章 </w:t>
      </w:r>
      <w:r>
        <w:rPr>
          <w:rFonts w:hint="eastAsia" w:ascii="仿宋" w:hAnsi="仿宋" w:eastAsia="仿宋" w:cs="仿宋"/>
          <w:b/>
          <w:bCs w:val="0"/>
          <w:sz w:val="44"/>
          <w:highlight w:val="none"/>
        </w:rPr>
        <w:t xml:space="preserve">合同文本</w:t>
      </w:r>
      <w:r/>
    </w:p>
    <w:p>
      <w:pPr>
        <w:ind w:firstLine="480"/>
        <w:keepLines w:val="0"/>
        <w:pageBreakBefore w:val="0"/>
        <w:spacing w:line="360" w:lineRule="auto"/>
        <w:widowControl w:val="off"/>
        <w:rPr>
          <w:rFonts w:hint="eastAsia" w:ascii="仿宋" w:hAnsi="仿宋" w:eastAsia="仿宋" w:cs="仿宋"/>
          <w:b/>
          <w:sz w:val="30"/>
          <w:highlight w:val="none"/>
        </w:rPr>
        <w:outlineLvl w:val="9"/>
      </w:pPr>
      <w:r/>
      <w:bookmarkStart w:id="190" w:name="_Toc20823315"/>
      <w:r/>
      <w:bookmarkStart w:id="191" w:name="_Toc16938559"/>
      <w:r/>
      <w:bookmarkStart w:id="192" w:name="_Toc513029243"/>
      <w:r>
        <w:rPr>
          <w:rFonts w:hint="eastAsia" w:ascii="仿宋" w:hAnsi="仿宋" w:eastAsia="仿宋" w:cs="仿宋"/>
          <w:bCs/>
          <w:sz w:val="24"/>
          <w:highlight w:val="none"/>
        </w:rPr>
        <w:t xml:space="preserve">以下为中标后签定本项目合同的通用条款，中标人不得提出实质性的修改。</w:t>
      </w:r>
      <w:r/>
    </w:p>
    <w:p>
      <w:pPr>
        <w:jc w:val="center"/>
        <w:keepLines w:val="0"/>
        <w:pageBreakBefore w:val="0"/>
        <w:spacing w:line="360" w:lineRule="auto"/>
        <w:widowControl w:val="off"/>
        <w:rPr>
          <w:rFonts w:hint="eastAsia" w:ascii="仿宋" w:hAnsi="仿宋" w:eastAsia="仿宋" w:cs="仿宋"/>
          <w:b/>
          <w:bCs/>
          <w:sz w:val="30"/>
          <w:szCs w:val="20"/>
          <w:highlight w:val="none"/>
        </w:rPr>
        <w:outlineLvl w:val="9"/>
      </w:pPr>
      <w:r>
        <w:rPr>
          <w:rFonts w:hint="eastAsia" w:ascii="仿宋" w:hAnsi="仿宋" w:eastAsia="仿宋" w:cs="仿宋"/>
          <w:b/>
          <w:sz w:val="30"/>
          <w:highlight w:val="none"/>
        </w:rPr>
        <w:t xml:space="preserve">江苏省政府采购合同（服务）（JSZC-320623-NTCJ-G2026-0021）</w:t>
      </w:r>
      <w:r/>
    </w:p>
    <w:p>
      <w:pPr>
        <w:keepLines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项目名称：</w:t>
      </w:r>
      <w:r>
        <w:rPr>
          <w:rFonts w:hint="eastAsia" w:ascii="仿宋" w:hAnsi="仿宋" w:eastAsia="仿宋" w:cs="仿宋"/>
          <w:sz w:val="24"/>
          <w:szCs w:val="24"/>
          <w:highlight w:val="none"/>
          <w:u w:val="single"/>
        </w:rPr>
        <w:t xml:space="preserve">如东县大豫镇环境卫生长效管护项目</w:t>
      </w:r>
      <w:r>
        <w:rPr>
          <w:rFonts w:hint="eastAsia" w:ascii="仿宋" w:hAnsi="仿宋" w:eastAsia="仿宋" w:cs="仿宋"/>
          <w:color w:val="000000"/>
          <w:sz w:val="24"/>
          <w:szCs w:val="24"/>
          <w:highlight w:val="none"/>
        </w:rPr>
        <w:t xml:space="preserve">                   </w:t>
      </w:r>
      <w:r/>
    </w:p>
    <w:p>
      <w:pPr>
        <w:keepLines w:val="0"/>
        <w:pageBreakBefore w:val="0"/>
        <w:spacing w:line="360" w:lineRule="auto"/>
        <w:widowControl w:val="off"/>
        <w:rPr>
          <w:rFonts w:hint="eastAsia" w:ascii="仿宋" w:hAnsi="仿宋" w:eastAsia="仿宋" w:cs="仿宋"/>
          <w:color w:val="ff0000"/>
          <w:sz w:val="24"/>
          <w:szCs w:val="24"/>
          <w:highlight w:val="none"/>
        </w:rPr>
        <w:outlineLvl w:val="9"/>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rPr>
        <w:t xml:space="preserve">JSZC-320623-NTCJ-G2026-0021</w:t>
      </w:r>
      <w:r>
        <w:rPr>
          <w:rFonts w:hint="eastAsia" w:ascii="仿宋" w:hAnsi="仿宋" w:eastAsia="仿宋" w:cs="仿宋"/>
          <w:color w:val="000000"/>
          <w:sz w:val="24"/>
          <w:szCs w:val="24"/>
          <w:highlight w:val="none"/>
        </w:rPr>
        <w:t xml:space="preserve">           </w:t>
      </w:r>
      <w:r>
        <w:rPr>
          <w:rFonts w:hint="eastAsia" w:ascii="仿宋" w:hAnsi="仿宋" w:eastAsia="仿宋" w:cs="仿宋"/>
          <w:color w:val="ff0000"/>
          <w:sz w:val="24"/>
          <w:szCs w:val="24"/>
          <w:highlight w:val="none"/>
        </w:rPr>
        <w:t xml:space="preserve"> </w:t>
      </w:r>
      <w:r/>
    </w:p>
    <w:p>
      <w:pPr>
        <w:pStyle w:val="712"/>
        <w:keepLines w:val="0"/>
        <w:pageBreakBefore w:val="0"/>
        <w:spacing w:line="360" w:lineRule="auto"/>
        <w:widowControl w:val="off"/>
        <w:rPr>
          <w:rFonts w:hint="eastAsia" w:ascii="仿宋" w:hAnsi="仿宋" w:eastAsia="仿宋" w:cs="仿宋"/>
          <w:sz w:val="24"/>
          <w:szCs w:val="24"/>
          <w:highlight w:val="none"/>
          <w:u w:val="single"/>
        </w:rPr>
        <w:outlineLvl w:val="9"/>
      </w:pPr>
      <w:r>
        <w:rPr>
          <w:rFonts w:hint="eastAsia" w:ascii="仿宋" w:hAnsi="仿宋" w:eastAsia="仿宋" w:cs="仿宋"/>
          <w:sz w:val="24"/>
          <w:szCs w:val="24"/>
          <w:highlight w:val="none"/>
        </w:rPr>
        <w:t xml:space="preserve">甲方：（买方）</w:t>
      </w:r>
      <w:r>
        <w:rPr>
          <w:rFonts w:hint="eastAsia" w:ascii="仿宋" w:hAnsi="仿宋" w:eastAsia="仿宋" w:cs="仿宋"/>
          <w:sz w:val="24"/>
          <w:szCs w:val="24"/>
          <w:highlight w:val="none"/>
          <w:u w:val="single"/>
        </w:rPr>
        <w:t xml:space="preserve">如东县大豫镇人民政府</w:t>
      </w:r>
      <w:r/>
    </w:p>
    <w:p>
      <w:pPr>
        <w:pStyle w:val="712"/>
        <w:keepLines w:val="0"/>
        <w:pageBreakBefore w:val="0"/>
        <w:spacing w:line="360" w:lineRule="auto"/>
        <w:widowControl w:val="off"/>
        <w:rPr>
          <w:rFonts w:hint="eastAsia" w:ascii="仿宋" w:hAnsi="仿宋" w:eastAsia="仿宋" w:cs="仿宋"/>
          <w:color w:val="000000"/>
          <w:sz w:val="24"/>
          <w:szCs w:val="24"/>
          <w:highlight w:val="none"/>
          <w:u w:val="single"/>
          <w:lang w:val="en-US" w:eastAsia="zh-CN"/>
        </w:rPr>
        <w:outlineLvl w:val="9"/>
      </w:pPr>
      <w:r>
        <w:rPr>
          <w:rFonts w:hint="eastAsia" w:ascii="仿宋" w:hAnsi="仿宋" w:eastAsia="仿宋" w:cs="仿宋"/>
          <w:sz w:val="24"/>
          <w:szCs w:val="24"/>
          <w:highlight w:val="none"/>
        </w:rPr>
        <w:t xml:space="preserve">乙方：（卖方）</w:t>
      </w:r>
      <w:r>
        <w:rPr>
          <w:rFonts w:hint="eastAsia" w:ascii="仿宋" w:hAnsi="仿宋" w:eastAsia="仿宋" w:cs="仿宋"/>
          <w:color w:val="000000"/>
          <w:sz w:val="24"/>
          <w:szCs w:val="24"/>
          <w:highlight w:val="none"/>
          <w:u w:val="single"/>
          <w:lang w:val="en-US" w:eastAsia="zh-CN"/>
        </w:rPr>
        <w:t xml:space="preserve">                      </w:t>
      </w:r>
      <w:r/>
    </w:p>
    <w:p>
      <w:pPr>
        <w:pStyle w:val="712"/>
        <w:ind w:firstLine="480"/>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color w:val="000000"/>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一、合同内容</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 标的名称：</w:t>
      </w:r>
      <w:r>
        <w:rPr>
          <w:rFonts w:hint="eastAsia" w:ascii="仿宋" w:hAnsi="仿宋" w:eastAsia="仿宋" w:cs="仿宋"/>
          <w:sz w:val="24"/>
          <w:szCs w:val="24"/>
          <w:highlight w:val="none"/>
          <w:u w:val="single"/>
        </w:rPr>
        <w:t xml:space="preserve">如东县大豫镇环境卫生长效管护项目</w:t>
      </w:r>
      <w:r/>
    </w:p>
    <w:p>
      <w:pPr>
        <w:pStyle w:val="712"/>
        <w:ind w:firstLine="480"/>
        <w:keepLines w:val="0"/>
        <w:keepNext w:val="0"/>
        <w:pageBreakBefore w:val="0"/>
        <w:spacing w:line="360" w:lineRule="auto"/>
        <w:widowControl w:val="off"/>
        <w:rPr>
          <w:rFonts w:hint="eastAsia" w:ascii="仿宋" w:hAnsi="仿宋" w:eastAsia="仿宋" w:cs="仿宋"/>
          <w:sz w:val="24"/>
          <w:szCs w:val="24"/>
          <w:highlight w:val="none"/>
          <w:u w:val="single"/>
          <w:lang w:eastAsia="zh-CN"/>
        </w:rPr>
        <w:outlineLvl w:val="9"/>
      </w:pPr>
      <w:r>
        <w:rPr>
          <w:rFonts w:hint="eastAsia" w:ascii="仿宋" w:hAnsi="仿宋" w:eastAsia="仿宋" w:cs="仿宋"/>
          <w:sz w:val="24"/>
          <w:szCs w:val="24"/>
          <w:highlight w:val="none"/>
        </w:rPr>
        <w:t xml:space="preserve">1.2标的质量：</w:t>
      </w:r>
      <w:r>
        <w:rPr>
          <w:rFonts w:hint="eastAsia" w:ascii="仿宋" w:hAnsi="仿宋" w:eastAsia="仿宋" w:cs="仿宋"/>
          <w:sz w:val="24"/>
          <w:szCs w:val="24"/>
          <w:highlight w:val="none"/>
          <w:u w:val="single"/>
        </w:rPr>
        <w:t xml:space="preserve">详见县农村人居环境长效管护考核要求、县“河长制”实施方案、县“路长制”实施办法、全县水环境整治工作要求和《大豫镇环境卫生长效管护项目考核细则》等规定</w:t>
      </w:r>
      <w:r>
        <w:rPr>
          <w:rFonts w:hint="eastAsia" w:ascii="仿宋" w:hAnsi="仿宋" w:eastAsia="仿宋" w:cs="仿宋"/>
          <w:sz w:val="24"/>
          <w:szCs w:val="24"/>
          <w:highlight w:val="none"/>
          <w:u w:val="single"/>
          <w:lang w:eastAsia="zh-CN"/>
        </w:rPr>
        <w:t xml:space="preserve">。</w:t>
      </w:r>
      <w:r/>
    </w:p>
    <w:p>
      <w:pPr>
        <w:pStyle w:val="712"/>
        <w:ind w:firstLine="480"/>
        <w:keepLines w:val="0"/>
        <w:keepNext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1.3 标的数量（规模）：</w:t>
      </w:r>
      <w:r/>
    </w:p>
    <w:p>
      <w:pPr>
        <w:pStyle w:val="712"/>
        <w:ind w:firstLine="480"/>
        <w:keepLines w:val="0"/>
        <w:keepNext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1.3.1</w:t>
      </w:r>
      <w:r>
        <w:rPr>
          <w:rFonts w:hint="eastAsia" w:ascii="仿宋" w:hAnsi="仿宋" w:eastAsia="仿宋" w:cs="仿宋"/>
          <w:sz w:val="24"/>
          <w:szCs w:val="24"/>
          <w:highlight w:val="none"/>
        </w:rPr>
        <w:t xml:space="preserve">项目范围：</w:t>
      </w:r>
      <w:r>
        <w:rPr>
          <w:rFonts w:hint="eastAsia" w:ascii="仿宋" w:hAnsi="仿宋" w:eastAsia="仿宋" w:cs="仿宋"/>
          <w:sz w:val="24"/>
          <w:szCs w:val="24"/>
          <w:highlight w:val="none"/>
          <w:u w:val="single"/>
        </w:rPr>
        <w:t xml:space="preserve">大豫镇全区域整体环境卫生长效管护项目外包服务，具体包括：（1）18个行政村（含镇属用地范围）；（2）三个镇区（含公厕保洁）及新老S334、S222、S221、G328、X203、X111、X257、大白线等沿线环卫。兵房镇区：保洁全覆盖，约6平方公里，人口4900人，公厕12座;（如泰运河以北四贯河以西：东西三至四贯，向北至</w:t>
      </w:r>
      <w:r>
        <w:rPr>
          <w:rFonts w:hint="eastAsia" w:ascii="仿宋" w:hAnsi="仿宋" w:eastAsia="仿宋" w:cs="仿宋"/>
          <w:sz w:val="24"/>
          <w:szCs w:val="24"/>
          <w:highlight w:val="none"/>
          <w:u w:val="single"/>
        </w:rPr>
        <w:t xml:space="preserve">兵北八横河；如泰运河以北四贯河以东：东西四贯河向东400米，向北至兵北八横河河北东西路；如泰运河以南四贯河以西：东西三至四贯，向南至兵中桥；如泰运河以南四贯河以东：东西四贯河向东600米，向南至兵中桥。）老大豫镇区：以张謇铜像为中心，北至茂青桥，南至立交桥，东至幼儿园（小学门口），西至3贯路。人口1200人，公厕1座;丁家店镇区：以丁家店桥为中心，向南500米，向北800米，东至5贯路，西至幼儿园。人口1200人，公厕2座。（3）东凌工业集中区、兵房工业园区、张謇工业园区。（4）根据上级部署要求的其它区域。</w:t>
      </w:r>
      <w:r/>
    </w:p>
    <w:p>
      <w:pPr>
        <w:ind w:firstLine="480"/>
        <w:keepLines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1.3.2</w:t>
      </w:r>
      <w:r>
        <w:rPr>
          <w:rFonts w:hint="eastAsia" w:ascii="仿宋" w:hAnsi="仿宋" w:eastAsia="仿宋" w:cs="仿宋"/>
          <w:sz w:val="24"/>
          <w:szCs w:val="24"/>
          <w:highlight w:val="none"/>
        </w:rPr>
        <w:t xml:space="preserve">项目内容：</w:t>
      </w:r>
      <w:r>
        <w:rPr>
          <w:rFonts w:hint="eastAsia" w:ascii="仿宋" w:hAnsi="仿宋" w:eastAsia="仿宋" w:cs="仿宋"/>
          <w:sz w:val="24"/>
          <w:szCs w:val="24"/>
          <w:highlight w:val="none"/>
          <w:u w:val="single"/>
        </w:rPr>
        <w:t xml:space="preserve">（1）垃圾〔包括但不限于生活垃圾、农业生产垃圾（秸秆除外）、大件垃圾（含旧马桶、废弃家具等）、一般工业垃圾等。“下同</w:t>
      </w:r>
      <w:r>
        <w:rPr>
          <w:rFonts w:hint="eastAsia" w:ascii="仿宋" w:hAnsi="仿宋" w:eastAsia="仿宋" w:cs="仿宋"/>
          <w:sz w:val="24"/>
          <w:szCs w:val="24"/>
          <w:highlight w:val="none"/>
          <w:u w:val="single"/>
        </w:rPr>
        <w:t xml:space="preserve">”〕的清扫、捡拾、分类、收集、清运等收运处置以及垃圾设施的管护，同时配合村（社区）做好建筑垃圾和修缮装修垃圾的收运处置；（2）道路、桥梁保洁；（3）三、四级河道长效保洁管护（含芦苇和芦竹清理）；（4）道路两侧及镇区绿化的保洁；（5）三个镇区所有公共厕所保洁；（6）环境卫生管理中心、易腐垃圾处理中心及村级中转站的运营、维护和保洁；（7）全力做好各类突发公共事件、突击检查创建、重大活动、重大节日等垃圾量高峰期间的环卫保障，服从相关具体工作安排。（详见《大豫镇环境卫生长效管护项目考核细则》，以下简称《考核细则》）</w:t>
      </w:r>
      <w:r>
        <w:rPr>
          <w:rFonts w:hint="eastAsia" w:ascii="仿宋" w:hAnsi="仿宋" w:eastAsia="仿宋" w:cs="仿宋"/>
          <w:sz w:val="24"/>
          <w:szCs w:val="24"/>
          <w:highlight w:val="none"/>
          <w:u w:val="single"/>
          <w:lang w:eastAsia="zh-CN"/>
        </w:rPr>
        <w:t xml:space="preserve">。</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 履行时间（期限）：</w:t>
      </w:r>
      <w:r>
        <w:rPr>
          <w:rFonts w:hint="eastAsia" w:ascii="仿宋" w:hAnsi="仿宋" w:eastAsia="仿宋" w:cs="仿宋"/>
          <w:sz w:val="24"/>
          <w:szCs w:val="24"/>
          <w:highlight w:val="none"/>
          <w:u w:val="single"/>
        </w:rPr>
        <w:t xml:space="preserve">三年【2026年 月 日-2029年 月 日】</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 履行地点：</w:t>
      </w:r>
      <w:r>
        <w:rPr>
          <w:rFonts w:hint="eastAsia" w:ascii="仿宋" w:hAnsi="仿宋" w:eastAsia="仿宋" w:cs="仿宋"/>
          <w:sz w:val="24"/>
          <w:szCs w:val="24"/>
          <w:highlight w:val="none"/>
          <w:u w:val="single"/>
        </w:rPr>
        <w:t xml:space="preserve">如东县大豫镇</w:t>
      </w:r>
      <w:r/>
    </w:p>
    <w:p>
      <w:pPr>
        <w:pStyle w:val="712"/>
        <w:ind w:firstLine="480"/>
        <w:keepLines w:val="0"/>
        <w:pageBreakBefore w:val="0"/>
        <w:spacing w:line="360" w:lineRule="auto"/>
        <w:widowControl w:val="off"/>
        <w:rPr>
          <w:rFonts w:hint="default" w:ascii="仿宋" w:hAnsi="仿宋" w:eastAsia="仿宋" w:cs="仿宋"/>
          <w:sz w:val="24"/>
          <w:szCs w:val="24"/>
          <w:highlight w:val="none"/>
          <w:lang w:val="en-US"/>
        </w:rPr>
        <w:outlineLvl w:val="9"/>
      </w:pPr>
      <w:r>
        <w:rPr>
          <w:rFonts w:hint="eastAsia" w:ascii="仿宋" w:hAnsi="仿宋" w:eastAsia="仿宋" w:cs="仿宋"/>
          <w:sz w:val="24"/>
          <w:szCs w:val="24"/>
          <w:highlight w:val="none"/>
        </w:rPr>
        <w:t xml:space="preserve">1.6履行方式：</w:t>
      </w:r>
      <w:r>
        <w:rPr>
          <w:rFonts w:hint="eastAsia" w:ascii="仿宋" w:hAnsi="仿宋" w:eastAsia="仿宋" w:cs="仿宋"/>
          <w:sz w:val="24"/>
          <w:szCs w:val="24"/>
          <w:highlight w:val="none"/>
          <w:u w:val="single"/>
          <w:lang w:val="en-US" w:eastAsia="zh-CN"/>
        </w:rPr>
        <w:t xml:space="preserve">                  </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二、合同金额</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2.1 本合同金额为（大写）：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元）人民币或其他币种。</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三、技术资料</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3.1乙方应按招标文件规定的时间向甲方提供服务（包含与服务相关的货物）的有关技术资料。</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2"/>
        <w:ind w:left="412" w:hanging="4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四、知识产权</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12"/>
        <w:keepLines w:val="0"/>
        <w:pageBreakBefore w:val="0"/>
        <w:spacing w:line="360" w:lineRule="auto"/>
        <w:widowControl w:val="off"/>
        <w:rPr>
          <w:rFonts w:hint="eastAsia" w:ascii="仿宋" w:hAnsi="仿宋" w:eastAsia="仿宋" w:cs="仿宋"/>
          <w:sz w:val="24"/>
          <w:szCs w:val="24"/>
          <w:highlight w:val="none"/>
          <w:u w:val="single"/>
        </w:rPr>
        <w:outlineLvl w:val="9"/>
      </w:pPr>
      <w:r>
        <w:rPr>
          <w:rFonts w:hint="eastAsia" w:ascii="仿宋" w:hAnsi="仿宋" w:eastAsia="仿宋" w:cs="仿宋"/>
          <w:b/>
          <w:sz w:val="24"/>
          <w:szCs w:val="24"/>
          <w:highlight w:val="none"/>
        </w:rPr>
        <w:t xml:space="preserve">五、产权担保</w:t>
      </w:r>
      <w:r/>
    </w:p>
    <w:p>
      <w:pPr>
        <w:pStyle w:val="712"/>
        <w:ind w:firstLine="480"/>
        <w:keepLines w:val="0"/>
        <w:pageBreakBefore w:val="0"/>
        <w:spacing w:line="360" w:lineRule="auto"/>
        <w:widowControl w:val="off"/>
        <w:rPr>
          <w:rFonts w:hint="eastAsia" w:ascii="仿宋" w:hAnsi="仿宋" w:eastAsia="仿宋" w:cs="仿宋"/>
          <w:sz w:val="24"/>
          <w:szCs w:val="24"/>
          <w:highlight w:val="none"/>
          <w:u w:val="single"/>
        </w:rPr>
        <w:outlineLvl w:val="9"/>
      </w:pPr>
      <w:r>
        <w:rPr>
          <w:rFonts w:hint="eastAsia" w:ascii="仿宋" w:hAnsi="仿宋" w:eastAsia="仿宋" w:cs="仿宋"/>
          <w:sz w:val="24"/>
          <w:szCs w:val="24"/>
          <w:highlight w:val="none"/>
        </w:rPr>
        <w:t xml:space="preserve">5.1 乙方保证所交付的服务（包含与服务相关的货物）的所有权完全属于乙方且无任何抵押、查封等产权瑕疵。</w:t>
      </w:r>
      <w:r/>
    </w:p>
    <w:p>
      <w:pPr>
        <w:pStyle w:val="712"/>
        <w:ind w:left="410" w:hanging="410"/>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六、履约保证金</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6.1 乙方交纳人民币</w:t>
      </w:r>
      <w:r>
        <w:rPr>
          <w:rFonts w:hint="eastAsia" w:ascii="仿宋" w:hAnsi="仿宋" w:eastAsia="仿宋" w:cs="仿宋"/>
          <w:sz w:val="24"/>
          <w:szCs w:val="24"/>
          <w:highlight w:val="none"/>
          <w:u w:val="single"/>
          <w:lang w:val="en-US" w:eastAsia="zh-CN"/>
        </w:rPr>
        <w:t xml:space="preserve">伍拾万元整</w:t>
      </w:r>
      <w:r>
        <w:rPr>
          <w:rFonts w:hint="eastAsia" w:ascii="仿宋" w:hAnsi="仿宋" w:eastAsia="仿宋" w:cs="仿宋"/>
          <w:sz w:val="24"/>
          <w:szCs w:val="24"/>
          <w:highlight w:val="none"/>
        </w:rPr>
        <w:t xml:space="preserve">作为本合同的履约保证金。</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6.2合同履行结束后，甲方应及时退还交纳的履约保证金。</w:t>
      </w:r>
      <w:r/>
    </w:p>
    <w:p>
      <w:pPr>
        <w:pStyle w:val="712"/>
        <w:ind w:firstLine="480"/>
        <w:keepLines w:val="0"/>
        <w:pageBreakBefore w:val="0"/>
        <w:spacing w:line="360" w:lineRule="auto"/>
        <w:widowControl w:val="off"/>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rPr>
        <w:t xml:space="preserve">6.2.1履约保证金退还方式：</w:t>
      </w:r>
      <w:r>
        <w:rPr>
          <w:rFonts w:hint="eastAsia" w:ascii="仿宋" w:hAnsi="仿宋" w:eastAsia="仿宋" w:cs="仿宋"/>
          <w:sz w:val="24"/>
          <w:szCs w:val="24"/>
          <w:highlight w:val="none"/>
          <w:u w:val="single"/>
          <w:lang w:val="en-US" w:eastAsia="zh-CN"/>
        </w:rPr>
        <w:t xml:space="preserve">原路退还</w:t>
      </w:r>
      <w:r/>
    </w:p>
    <w:p>
      <w:pPr>
        <w:pStyle w:val="712"/>
        <w:ind w:firstLine="480"/>
        <w:keepLines w:val="0"/>
        <w:pageBreakBefore w:val="0"/>
        <w:spacing w:line="360" w:lineRule="auto"/>
        <w:widowControl w:val="off"/>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rPr>
        <w:t xml:space="preserve">6.2.2履约保证金退还时间：</w:t>
      </w:r>
      <w:r>
        <w:rPr>
          <w:rFonts w:hint="eastAsia" w:ascii="仿宋" w:hAnsi="仿宋" w:eastAsia="仿宋" w:cs="仿宋"/>
          <w:sz w:val="24"/>
          <w:szCs w:val="24"/>
          <w:highlight w:val="none"/>
          <w:u w:val="single"/>
        </w:rPr>
        <w:t xml:space="preserve">本合同期满或提前终止后，乙方在完全履行合同义务且未发生本合同第</w:t>
      </w:r>
      <w:r>
        <w:rPr>
          <w:rFonts w:hint="eastAsia" w:ascii="仿宋" w:hAnsi="仿宋" w:eastAsia="仿宋" w:cs="仿宋"/>
          <w:sz w:val="24"/>
          <w:szCs w:val="24"/>
          <w:highlight w:val="none"/>
          <w:u w:val="single"/>
          <w:lang w:val="en-US" w:eastAsia="zh-CN"/>
        </w:rPr>
        <w:t xml:space="preserve">十一</w:t>
      </w:r>
      <w:r>
        <w:rPr>
          <w:rFonts w:hint="eastAsia" w:ascii="仿宋" w:hAnsi="仿宋" w:eastAsia="仿宋" w:cs="仿宋"/>
          <w:sz w:val="24"/>
          <w:szCs w:val="24"/>
          <w:highlight w:val="none"/>
          <w:u w:val="single"/>
        </w:rPr>
        <w:t xml:space="preserve">条约定的甲方有权扣除履约保证金之情形的，甲方在乙方办理完毕全部交接手续后30日内，将履约保证金（不计利息）全额返还给乙方</w:t>
      </w:r>
      <w:r>
        <w:rPr>
          <w:rFonts w:hint="eastAsia" w:ascii="仿宋" w:hAnsi="仿宋" w:eastAsia="仿宋" w:cs="仿宋"/>
          <w:sz w:val="24"/>
          <w:szCs w:val="24"/>
          <w:highlight w:val="none"/>
          <w:u w:val="single"/>
          <w:lang w:eastAsia="zh-CN"/>
        </w:rPr>
        <w:t xml:space="preserve">。</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rPr>
        <w:t xml:space="preserve">6.2.3履约保证金退还条件：</w:t>
      </w:r>
      <w:r>
        <w:rPr>
          <w:rFonts w:hint="eastAsia" w:ascii="仿宋" w:hAnsi="仿宋" w:eastAsia="仿宋" w:cs="仿宋"/>
          <w:color w:val="auto"/>
          <w:sz w:val="24"/>
          <w:szCs w:val="24"/>
          <w:highlight w:val="none"/>
          <w:lang w:val="en-US" w:eastAsia="zh-CN"/>
        </w:rPr>
        <w:t xml:space="preserve">乙方全部履约合同义务，经甲方验收合格无质量、进度等问题的，甲方在验收合格后一次性退还履约保证金，甲方若逾期退还履约保证金的，按照逾期部分的每日0.05%支付违约金。</w:t>
      </w:r>
      <w:r/>
    </w:p>
    <w:p>
      <w:pPr>
        <w:ind w:left="0"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6.2.4发生以下情况的，履约保证金不予退还或部分退还：</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6.2.4.1 签订合同后，乙方不履行合同义务的，甲方有权全额扣除履约保证金，全额不予退还，同时甲方亦有权终止合同，乙方还须承担相应的法律赔偿责任。</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6.2.4.2 乙方在履约过程中发生违约行为，给甲方造成损失的，甲方有权在乙方缴纳的履约保证金中予以扣款，以弥补甲方经济损失，不足的部分乙方另外补齐。</w:t>
      </w:r>
      <w:r/>
    </w:p>
    <w:p>
      <w:pPr>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七、合同转包或分包</w:t>
      </w:r>
      <w:r/>
    </w:p>
    <w:p>
      <w:pPr>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7.1乙方不得将合同标的转包给他人履行。</w:t>
      </w:r>
      <w:r/>
    </w:p>
    <w:p>
      <w:pPr>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7.2乙方不得将合同标的分包给他人履行。</w:t>
      </w:r>
      <w:r/>
    </w:p>
    <w:p>
      <w:pPr>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7.3乙方如有转包或未经甲方同意的分包行为，甲方有权解除合同。</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八、合同款项支付</w:t>
      </w:r>
      <w:r/>
    </w:p>
    <w:p>
      <w:pPr>
        <w:pStyle w:val="712"/>
        <w:ind w:left="479" w:firstLine="0"/>
        <w:keepLines w:val="0"/>
        <w:keepNext w:val="0"/>
        <w:pageBreakBefore w:val="0"/>
        <w:spacing w:line="360" w:lineRule="auto"/>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8.1合同款项的支付方式及进度安排</w:t>
      </w:r>
      <w:r/>
    </w:p>
    <w:p>
      <w:pPr>
        <w:ind w:firstLine="480"/>
        <w:keepLines w:val="0"/>
        <w:keepNext w:val="0"/>
        <w:pageBreakBefore w:val="0"/>
        <w:spacing w:line="360" w:lineRule="auto"/>
        <w:widowControl w:val="off"/>
        <w:rPr>
          <w:rFonts w:hint="eastAsia" w:ascii="仿宋" w:hAnsi="仿宋" w:eastAsia="仿宋" w:cs="仿宋"/>
          <w:sz w:val="24"/>
          <w:szCs w:val="24"/>
          <w:highlight w:val="none"/>
          <w:u w:val="single"/>
        </w:rPr>
        <w:outlineLvl w:val="9"/>
      </w:pPr>
      <w:r>
        <w:rPr>
          <w:rFonts w:hint="eastAsia" w:ascii="仿宋" w:hAnsi="仿宋" w:eastAsia="仿宋" w:cs="仿宋"/>
          <w:sz w:val="24"/>
          <w:szCs w:val="24"/>
          <w:highlight w:val="none"/>
          <w:u w:val="none"/>
        </w:rPr>
        <w:t xml:space="preserve">8.1.1 支付时间：</w:t>
      </w:r>
      <w:r>
        <w:rPr>
          <w:rFonts w:hint="eastAsia" w:ascii="仿宋" w:hAnsi="仿宋" w:eastAsia="仿宋" w:cs="仿宋"/>
          <w:sz w:val="24"/>
          <w:szCs w:val="24"/>
          <w:highlight w:val="none"/>
          <w:u w:val="single"/>
        </w:rPr>
        <w:t xml:space="preserve">甲方按照月度进行考核计算并按季度支付给乙方，每季度结束后次月付款（其中生活垃圾收运服务费用由各村支付其50%，镇按照实际中标价格，测算分割到各村，村级费用由各村年底一次性支付给乙方）。乙方与甲方结算时，乙方均需足额向甲方出具合法票据及该季度乙方向其职员发放工资的发放银行流水账单作为付款的前提。价款除本合同约定和依照《考核细则》扣款外，任何一方不得擅自改变。</w:t>
      </w:r>
      <w:r/>
    </w:p>
    <w:p>
      <w:pPr>
        <w:ind w:firstLine="480"/>
        <w:keepLines w:val="0"/>
        <w:keepNext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u w:val="none"/>
          <w:lang w:val="en-US" w:eastAsia="zh-CN"/>
        </w:rPr>
        <w:t xml:space="preserve">8.1.2</w:t>
      </w:r>
      <w:r>
        <w:rPr>
          <w:rFonts w:hint="eastAsia" w:ascii="仿宋" w:hAnsi="仿宋" w:eastAsia="仿宋" w:cs="仿宋"/>
          <w:sz w:val="24"/>
          <w:szCs w:val="24"/>
          <w:highlight w:val="none"/>
          <w:u w:val="none"/>
        </w:rPr>
        <w:t xml:space="preserve">考核</w:t>
      </w:r>
      <w:r>
        <w:rPr>
          <w:rFonts w:hint="eastAsia" w:ascii="仿宋" w:hAnsi="仿宋" w:eastAsia="仿宋" w:cs="仿宋"/>
          <w:sz w:val="24"/>
          <w:szCs w:val="24"/>
          <w:highlight w:val="none"/>
        </w:rPr>
        <w:t xml:space="preserve">奖惩方式：</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1.绩效考核结果与合同价款相挂钩，按甲方对乙方月度绩效考核来确定，实行百分制，其中甲方考核结果占50%，各村（社区）运行管理考核结果占40%，其他减分项结果占10%。具体操作如下：</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（1）在甲方月度绩效考核中得分为90分（含90分）至100分的，按当月基本价款的100%结算；</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（2）在甲方月度绩效考核中得分为85分（含85分）至90分的，按当月基本价款的95%结算；</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（3）在甲方月度绩效考核中得分为80分（含80分）至85分的，按当月基本价款的90%结算；</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（4）在甲方月度绩效考核中实际得分为80分以下的，每减少n分按当月基本价款（90%-2%*n）结算。注：n=80-实际得分</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2.设村（社区）月度专项考核扣款。根据各村（社区）月度运行管理考核得分，实行分档扣款：考核得分低于90分（含 80分至89.9分），每村扣减资金2000元；考核得分低于80分（含60分至79.9分），每村扣减资金4000元；考核得分低于60分，每村扣减资金6000元。上述考核扣款经汇总核定后，统一计入当月基本价款予以结算。</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环境卫生管理中心单独考核，考核结果与合同款相挂钩，镇五位一体办按环境卫生管理中心月度绩效考核评分组织月度考评，得分在90分（不含90分）以下的，具体得分在80-90（含80分），每减少0.1分，在月度合同款结算价的基础上减少0.2%的基础价款；得分在80分（不含80分）以下的，每减少0.1分，在月度合同款结算价的基础上减少0.5%的基础价款。</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8.1.3</w:t>
      </w:r>
      <w:r>
        <w:rPr>
          <w:rFonts w:hint="eastAsia" w:ascii="仿宋" w:hAnsi="仿宋" w:eastAsia="仿宋" w:cs="仿宋"/>
          <w:sz w:val="24"/>
          <w:szCs w:val="24"/>
          <w:highlight w:val="none"/>
        </w:rPr>
        <w:t xml:space="preserve">结果运用：</w:t>
      </w:r>
      <w:r/>
    </w:p>
    <w:p>
      <w:pPr>
        <w:ind w:firstLine="480"/>
        <w:keepLines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月度结算支付款=每月甲方绩效考核结果-日常巡查考核扣款（含后装式压缩车清运频次专项考核）-管理运行考核扣款（含人员配备、不适岗专项考核）-来信来访考核扣款-村（社区）月度专项考核扣款-环境卫生管理中心运行考核扣款。</w:t>
      </w:r>
      <w:r/>
    </w:p>
    <w:p>
      <w:pPr>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九、税费</w:t>
      </w:r>
      <w:r/>
    </w:p>
    <w:p>
      <w:pPr>
        <w:pStyle w:val="712"/>
        <w:ind w:firstLine="480"/>
        <w:keepLines w:val="0"/>
        <w:pageBreakBefore w:val="0"/>
        <w:spacing w:line="360" w:lineRule="auto"/>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9.1本合同执行中相关的一切税费均由乙方负担。</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十、项目验收</w:t>
      </w:r>
      <w:r/>
    </w:p>
    <w:p>
      <w:pPr>
        <w:pStyle w:val="712"/>
        <w:ind w:left="479" w:firstLine="0"/>
        <w:keepLines w:val="0"/>
        <w:keepNext w:val="0"/>
        <w:pageBreakBefore w:val="0"/>
        <w:spacing w:line="360" w:lineRule="auto"/>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10.1 甲方依法组织履约验收工作。</w:t>
      </w:r>
      <w:r/>
    </w:p>
    <w:p>
      <w:pPr>
        <w:pStyle w:val="712"/>
        <w:ind w:firstLine="480"/>
        <w:keepLines w:val="0"/>
        <w:keepNext w:val="0"/>
        <w:pageBreakBefore w:val="0"/>
        <w:spacing w:line="360" w:lineRule="auto"/>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12"/>
        <w:ind w:firstLine="480"/>
        <w:keepLines w:val="0"/>
        <w:keepNext w:val="0"/>
        <w:pageBreakBefore w:val="0"/>
        <w:spacing w:line="360" w:lineRule="auto"/>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10.3 对于实际使用人和甲方分离的项目，甲方邀请实际使用人参与验收。</w:t>
      </w:r>
      <w:r/>
    </w:p>
    <w:p>
      <w:pPr>
        <w:pStyle w:val="712"/>
        <w:ind w:firstLine="480"/>
        <w:keepLines w:val="0"/>
        <w:keepNext w:val="0"/>
        <w:pageBreakBefore w:val="0"/>
        <w:spacing w:line="360" w:lineRule="auto"/>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10.4 如有必要，甲方邀请参加本项目的其他供应商或第三方专业机构及专家参与验收，相关意见将作为验收书的参考资料。</w:t>
      </w:r>
      <w:r/>
    </w:p>
    <w:p>
      <w:pPr>
        <w:pStyle w:val="712"/>
        <w:ind w:firstLine="480"/>
        <w:keepLines w:val="0"/>
        <w:keepNext w:val="0"/>
        <w:pageBreakBefore w:val="0"/>
        <w:spacing w:line="360" w:lineRule="auto"/>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2"/>
        <w:ind w:firstLine="480"/>
        <w:keepLines w:val="0"/>
        <w:keepNext w:val="0"/>
        <w:pageBreakBefore w:val="0"/>
        <w:spacing w:line="360" w:lineRule="auto"/>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十一、违约责任</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11.1 甲方无正当理由拒绝接受乙方提供服务的，甲方向乙方偿付拒绝接受服务合同价款总值</w:t>
      </w:r>
      <w:r>
        <w:rPr>
          <w:rFonts w:hint="eastAsia" w:ascii="仿宋" w:hAnsi="仿宋" w:eastAsia="仿宋" w:cs="仿宋"/>
          <w:sz w:val="24"/>
          <w:szCs w:val="24"/>
          <w:highlight w:val="none"/>
          <w:u w:val="single"/>
          <w:lang w:val="en-US" w:eastAsia="zh-CN"/>
        </w:rPr>
        <w:t xml:space="preserve">2%</w:t>
      </w:r>
      <w:r>
        <w:rPr>
          <w:rFonts w:hint="eastAsia" w:ascii="仿宋" w:hAnsi="仿宋" w:eastAsia="仿宋" w:cs="仿宋"/>
          <w:sz w:val="24"/>
          <w:szCs w:val="24"/>
          <w:highlight w:val="none"/>
        </w:rPr>
        <w:t xml:space="preserve">的违约金。</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11.2 甲方无故逾期验收和办理合同款项支付手续的,甲方应按逾期付款总额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万分之0.01</w:t>
      </w:r>
      <w:r>
        <w:rPr>
          <w:rFonts w:hint="eastAsia" w:ascii="仿宋" w:hAnsi="仿宋" w:eastAsia="仿宋" w:cs="仿宋"/>
          <w:sz w:val="24"/>
          <w:szCs w:val="24"/>
          <w:highlight w:val="none"/>
        </w:rPr>
        <w:t xml:space="preserve">每日向乙方支付违约金。</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11.3 乙方逾期提供服务的，乙方应按逾期提供服务合同总额每日</w:t>
      </w:r>
      <w:r>
        <w:rPr>
          <w:rFonts w:hint="eastAsia" w:ascii="仿宋" w:hAnsi="仿宋" w:eastAsia="仿宋" w:cs="仿宋"/>
          <w:sz w:val="24"/>
          <w:szCs w:val="24"/>
          <w:highlight w:val="none"/>
          <w:u w:val="single"/>
          <w:lang w:val="en-US" w:eastAsia="zh-CN"/>
        </w:rPr>
        <w:t xml:space="preserve">10000元</w:t>
      </w:r>
      <w:r>
        <w:rPr>
          <w:rFonts w:hint="eastAsia" w:ascii="仿宋" w:hAnsi="仿宋" w:eastAsia="仿宋" w:cs="仿宋"/>
          <w:sz w:val="24"/>
          <w:szCs w:val="24"/>
          <w:highlight w:val="none"/>
        </w:rPr>
        <w:t xml:space="preserve">向甲方支付违约金，由甲方从待付合同款项中扣除。逾期超过约定日期</w:t>
      </w:r>
      <w:r>
        <w:rPr>
          <w:rFonts w:hint="eastAsia" w:ascii="仿宋" w:hAnsi="仿宋" w:eastAsia="仿宋" w:cs="仿宋"/>
          <w:sz w:val="24"/>
          <w:szCs w:val="24"/>
          <w:highlight w:val="none"/>
          <w:u w:val="single"/>
          <w:lang w:val="en-US" w:eastAsia="zh-CN"/>
        </w:rPr>
        <w:t xml:space="preserve">5</w:t>
      </w:r>
      <w:r>
        <w:rPr>
          <w:rFonts w:hint="eastAsia" w:ascii="仿宋" w:hAnsi="仿宋" w:eastAsia="仿宋" w:cs="仿宋"/>
          <w:sz w:val="24"/>
          <w:szCs w:val="24"/>
          <w:highlight w:val="none"/>
          <w:u w:val="none"/>
        </w:rPr>
        <w:t xml:space="preserve">个工作日</w:t>
      </w:r>
      <w:r>
        <w:rPr>
          <w:rFonts w:hint="eastAsia" w:ascii="仿宋" w:hAnsi="仿宋" w:eastAsia="仿宋" w:cs="仿宋"/>
          <w:sz w:val="24"/>
          <w:szCs w:val="24"/>
          <w:highlight w:val="none"/>
        </w:rPr>
        <w:t xml:space="preserve">不能提供服务的，甲方可解除本合同。乙方因逾期提供服务或因其他违约行为导致甲方解除合同的，乙方应向甲方支付合同价款总额</w:t>
      </w:r>
      <w:r>
        <w:rPr>
          <w:rFonts w:hint="eastAsia" w:ascii="仿宋" w:hAnsi="仿宋" w:eastAsia="仿宋" w:cs="仿宋"/>
          <w:sz w:val="24"/>
          <w:szCs w:val="24"/>
          <w:highlight w:val="none"/>
          <w:u w:val="single"/>
          <w:lang w:val="en-US" w:eastAsia="zh-CN"/>
        </w:rPr>
        <w:t xml:space="preserve">10%</w:t>
      </w:r>
      <w:r>
        <w:rPr>
          <w:rFonts w:hint="eastAsia" w:ascii="仿宋" w:hAnsi="仿宋" w:eastAsia="仿宋" w:cs="仿宋"/>
          <w:sz w:val="24"/>
          <w:szCs w:val="24"/>
          <w:highlight w:val="none"/>
        </w:rPr>
        <w:t xml:space="preserve">的违约金，如造成甲方损失超过违约金的，超出部分由乙方继续承担赔偿责任。 </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11.4 乙方所提供服务的标准不符合合同规定及招标文件规定标准的，甲方有权拒绝接受服务，并可单方面解除合同。</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 乙方不得擅自更换项目负责人，否则甲方有权终止合同，并有权将乙方的履约保证金作为违约金处理，且不予以退还。如出现特殊情况确需更换的，应当由乙方提出申请（更换的项目负责人其工作经验、业绩、管理能力等必须满足《考核细则》中的相应要求）并提供必要的证明文件报甲方审核批准后方可更换。</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 乙方不得超过自己履约能力接受该项任务，该工作不允许转包或分包，若发现有转包或分包的行为，甲方有权解除合同，并有权将乙方的履约保证金作为违约金处理，且不予以退还。</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11.7</w:t>
      </w:r>
      <w:r>
        <w:rPr>
          <w:rFonts w:hint="eastAsia" w:ascii="仿宋" w:hAnsi="仿宋" w:eastAsia="仿宋" w:cs="仿宋"/>
          <w:sz w:val="24"/>
          <w:szCs w:val="24"/>
          <w:highlight w:val="none"/>
        </w:rPr>
        <w:t xml:space="preserve">乙方人员配备不能满足甲方《考核细则》中人员配备，片长及以上管理人员每少1人的，每月按月度结算支付款3%扣罚，一般人员每少1人的每月按月度结算支付款1%扣罚。</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11.8</w:t>
      </w:r>
      <w:r>
        <w:rPr>
          <w:rFonts w:hint="eastAsia" w:ascii="仿宋" w:hAnsi="仿宋" w:eastAsia="仿宋" w:cs="仿宋"/>
          <w:sz w:val="24"/>
          <w:szCs w:val="24"/>
          <w:highlight w:val="none"/>
        </w:rPr>
        <w:t xml:space="preserve">合同执行期内，摊销期满设备在期满后一个月内未购置到位，甲方有权要求乙方限期整改，逾期未整改的，每月按月度结算支付款的2%扣罚；本合同签订后一个月内未按照本项目承包范围及内容完成一次全面大清理的按年度合同款的2%扣罚。</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11.9</w:t>
      </w:r>
      <w:r>
        <w:rPr>
          <w:rFonts w:hint="eastAsia" w:ascii="仿宋" w:hAnsi="仿宋" w:eastAsia="仿宋" w:cs="仿宋"/>
          <w:sz w:val="24"/>
          <w:szCs w:val="24"/>
          <w:highlight w:val="none"/>
        </w:rPr>
        <w:t xml:space="preserve">乙方未给所用员工缴纳相关社会保险、商业保险的发现一例扣罚10000元，并及时补交到位；符合职工参保年龄人员工资实际发放不得低于如东县职工工资最低标准。各岗位实际发放工资不得低于投标分项报价中的人工单价，不得拖欠工人工资，以上情况发现一例扣罚10000元，并及时补足相应工资。</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11.10</w:t>
      </w:r>
      <w:r>
        <w:rPr>
          <w:rFonts w:hint="eastAsia" w:ascii="仿宋" w:hAnsi="仿宋" w:eastAsia="仿宋" w:cs="仿宋"/>
          <w:sz w:val="24"/>
          <w:szCs w:val="24"/>
          <w:highlight w:val="none"/>
        </w:rPr>
        <w:t xml:space="preserve">因乙方管理不善或操作不当等原因发生的事故并对甲方、乙方或第三方造成人身、财产等损害的，由乙方负责妥善处理并承担由此产生的一切责任，造成甲方经济损失的，乙方应给予甲方经济赔偿。如若发生人身、财产安全事故的，由乙方妥善处理并承担由此产生的一切责任的，如若乙方不妥善处理，甲方有权解除本合同，并有权将乙方的履约保证金作为违约金处理，且不予以退还。</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11.11</w:t>
      </w:r>
      <w:r>
        <w:rPr>
          <w:rFonts w:hint="eastAsia" w:ascii="仿宋" w:hAnsi="仿宋" w:eastAsia="仿宋" w:cs="仿宋"/>
          <w:sz w:val="24"/>
          <w:szCs w:val="24"/>
          <w:highlight w:val="none"/>
        </w:rPr>
        <w:t xml:space="preserve">因乙方由于管理或劳资纠纷引起赴县及以上单位上访的，有一例扣除当月金额10000元。</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11.12</w:t>
      </w:r>
      <w:r>
        <w:rPr>
          <w:rFonts w:hint="eastAsia" w:ascii="仿宋" w:hAnsi="仿宋" w:eastAsia="仿宋" w:cs="仿宋"/>
          <w:sz w:val="24"/>
          <w:szCs w:val="24"/>
          <w:highlight w:val="none"/>
        </w:rPr>
        <w:t xml:space="preserve">被县及以上部门曝光通报的，对不称职人员不予清退的（乙方对缺岗、工作不到位的保洁人员进行教育，对累计被甲方、村三次处罚的人员予以清退），甲方将在本合同价款中扣除每次每人每月10000元。</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11.13</w:t>
      </w:r>
      <w:r>
        <w:rPr>
          <w:rFonts w:hint="eastAsia" w:ascii="仿宋" w:hAnsi="仿宋" w:eastAsia="仿宋" w:cs="仿宋"/>
          <w:sz w:val="24"/>
          <w:szCs w:val="24"/>
          <w:highlight w:val="none"/>
        </w:rPr>
        <w:t xml:space="preserve">根据相关要求、实际情况,《考核细则》进行相应调整或增加内容的，乙方若不服从的，甲方有权解除本合同，并有权将乙方的履约保证金作为违约金处理，且不予以退还。</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11.14</w:t>
      </w:r>
      <w:r>
        <w:rPr>
          <w:rFonts w:hint="eastAsia" w:ascii="仿宋" w:hAnsi="仿宋" w:eastAsia="仿宋" w:cs="仿宋"/>
          <w:sz w:val="24"/>
          <w:szCs w:val="24"/>
          <w:highlight w:val="none"/>
        </w:rPr>
        <w:t xml:space="preserve">乙方有因保洁作业项目被媒体曝光、上级批评或发生群体事件，造成恶劣影响的；全年在甲方月度考核累计三次低于80分的；对甲方就同一类问题发出书面整改通知三次以上未能整改的；乙方违反劳动法律、法规或规章，不能妥善平息与乙方员工之间劳资争议的；因重大节日或重大活动乙方对甲方交办的突击性工作不能按时完成，造成恶劣影响等上述情形之一的，甲方有权解除合同，并有权将乙方的履约保证金作为违约金处理，且不予以退还。</w:t>
      </w:r>
      <w:r/>
    </w:p>
    <w:p>
      <w:pPr>
        <w:keepLines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十二</w:t>
      </w:r>
      <w:r>
        <w:rPr>
          <w:rFonts w:hint="eastAsia" w:ascii="仿宋" w:hAnsi="仿宋" w:eastAsia="仿宋" w:cs="仿宋"/>
          <w:b/>
          <w:bCs/>
          <w:sz w:val="24"/>
          <w:szCs w:val="24"/>
          <w:highlight w:val="none"/>
        </w:rPr>
        <w:t xml:space="preserve">、无产权瑕疵条款</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乙方保证所提供的服务设施、设备所有权完全属于乙方且无任何抵押、查封等产权瑕疵。如有产权瑕疵，视为乙方主违约。乙方应负担由此产生的相关损失。</w:t>
      </w:r>
      <w:r/>
    </w:p>
    <w:p>
      <w:pPr>
        <w:keepLines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十三</w:t>
      </w:r>
      <w:r>
        <w:rPr>
          <w:rFonts w:hint="eastAsia" w:ascii="仿宋" w:hAnsi="仿宋" w:eastAsia="仿宋" w:cs="仿宋"/>
          <w:b/>
          <w:bCs/>
          <w:sz w:val="24"/>
          <w:szCs w:val="24"/>
          <w:highlight w:val="none"/>
        </w:rPr>
        <w:t xml:space="preserve">、设备的配备和使用</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甲方无偿提供乙方项目服务办公场所，乙方需要按照甲方要求增购（租赁）的车辆、工具等设备。乙方提供所有设备的使用必须证照齐全，安全性能达标，缴纳设备保险，乙方承担设备使用过程中的一切费用和风险。</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塑料垃圾桶（240L）移交给乙方使用，以移交清单为准，仅服务甲方区域内生活垃圾清运，不得挪至甲方以外区域使用或者挪作其他用途，如因挪用产生的相关损失由乙方负担。废弃垃圾桶必须运至甲方指定区域，乙方不得擅自处理。合同执行期内因各种原因导致塑料垃圾桶（240L）数量不足，无法满足服务需求，由乙方负责添购。</w:t>
      </w:r>
      <w:r/>
    </w:p>
    <w:p>
      <w:pPr>
        <w:ind w:firstLine="480"/>
        <w:keepLines w:val="0"/>
        <w:pageBreakBefore w:val="0"/>
        <w:spacing w:line="360" w:lineRule="auto"/>
        <w:widowControl w:val="off"/>
        <w:rPr>
          <w:rFonts w:hint="eastAsia" w:ascii="仿宋" w:hAnsi="仿宋" w:eastAsia="仿宋" w:cs="仿宋"/>
          <w:b/>
          <w:bCs w:val="0"/>
          <w:sz w:val="24"/>
          <w:szCs w:val="24"/>
          <w:highlight w:val="none"/>
          <w:lang w:val="en-US" w:eastAsia="zh-CN"/>
        </w:rPr>
      </w:pPr>
      <w:r>
        <w:rPr>
          <w:rFonts w:hint="eastAsia" w:ascii="仿宋" w:hAnsi="仿宋" w:eastAsia="仿宋" w:cs="仿宋"/>
          <w:sz w:val="24"/>
          <w:szCs w:val="24"/>
          <w:highlight w:val="none"/>
        </w:rPr>
        <w:t xml:space="preserve">3.农户两分类垃圾小桶由乙方按照村（社区）统计的数量在合同签订后一个月内添购到位。乙方应严格按照招标文件约定的产品规格、技术要求组织供货，不得擅自</w:t>
      </w:r>
      <w:r>
        <w:rPr>
          <w:rFonts w:hint="eastAsia" w:ascii="仿宋" w:hAnsi="仿宋" w:eastAsia="仿宋" w:cs="仿宋"/>
          <w:sz w:val="24"/>
          <w:szCs w:val="24"/>
          <w:highlight w:val="none"/>
        </w:rPr>
        <w:t xml:space="preserve">变更。乙方供货时须随货提供产品原厂检测报告、合格证明文件等相关质量证明资料，资料须真实、有效、完整。甲方有权对到货产品进行外观、规格、数量及技术参数验收，必要时可委托第三方机构检测。经检验或检测，产品不符合规格、技术要求、质量标准或与提供的检测报告不一致的，甲方有权无条件退货，乙方须在甲方要求的时限内完成退换货。因产品不合格、退货、换货产生的运输费、装卸费、检测费、工期延误损失等一切费用与责任，均由乙方自行承担。若乙方多次提供不合格产品，或拒不配合退换货，甲方有权中止合同、扣除相应款项，并追究乙方违约责任。</w:t>
      </w:r>
      <w:r/>
    </w:p>
    <w:p>
      <w:pPr>
        <w:pStyle w:val="712"/>
        <w:keepLines w:val="0"/>
        <w:pageBreakBefore w:val="0"/>
        <w:spacing w:line="360" w:lineRule="auto"/>
        <w:widowControl w:val="off"/>
        <w:rPr>
          <w:rFonts w:hint="eastAsia" w:ascii="仿宋" w:hAnsi="仿宋" w:eastAsia="仿宋" w:cs="仿宋"/>
          <w:b/>
          <w:bCs w:val="0"/>
          <w:sz w:val="24"/>
          <w:szCs w:val="24"/>
          <w:highlight w:val="none"/>
        </w:rPr>
        <w:outlineLvl w:val="9"/>
      </w:pPr>
      <w:r>
        <w:rPr>
          <w:rFonts w:hint="eastAsia" w:ascii="仿宋" w:hAnsi="仿宋" w:eastAsia="仿宋" w:cs="仿宋"/>
          <w:b/>
          <w:bCs w:val="0"/>
          <w:sz w:val="24"/>
          <w:szCs w:val="24"/>
          <w:highlight w:val="none"/>
          <w:lang w:val="en-US" w:eastAsia="zh-CN"/>
        </w:rPr>
        <w:t xml:space="preserve">十四</w:t>
      </w:r>
      <w:r>
        <w:rPr>
          <w:rFonts w:hint="eastAsia" w:ascii="仿宋" w:hAnsi="仿宋" w:eastAsia="仿宋" w:cs="仿宋"/>
          <w:b/>
          <w:bCs w:val="0"/>
          <w:sz w:val="24"/>
          <w:szCs w:val="24"/>
          <w:highlight w:val="none"/>
        </w:rPr>
        <w:t xml:space="preserve">、双方权利义务</w:t>
      </w:r>
      <w:r/>
    </w:p>
    <w:p>
      <w:pPr>
        <w:pStyle w:val="712"/>
        <w:ind w:firstLine="24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（一）甲方的权利义务：</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1.建立专业机构，按长效管理要求正常做好督查考核工作；</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2.负责与各村的协调，加强社会宣传，为乙方营造良好的工作环境；</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3.严格按照本合同第三条规定，向乙方支付服务费用；</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4.及时传达、通报上级精神，并按精神要求指导乙方工作。</w:t>
      </w:r>
      <w:r/>
    </w:p>
    <w:p>
      <w:pPr>
        <w:pStyle w:val="712"/>
        <w:ind w:firstLine="24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（二）乙方的权利义务：</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1.具备独立财产，有自己的名称、组织机构和场所，能够独立承担民事责任；</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2.按要求组织实施，按照法律规定享受权利、承担义务；</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3.建立健全安全责任制。建立安全生产管理系统，创建安全生产、文明生产的氛围，定期进行安全教育和检查。所有工作人员必须按规定穿戴防护用品，并持证上岗。本合同履行期间，乙方必须加强安全管理工作，确保不发生任何人身、财产安全事故，如若发生人身、财产安全事故的，由乙方负责妥善处理并承担由此产生的一切责任；</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4.合同签订后一个月内乙方应与从事服务工作的员工签订用工合同（劳动、劳务合同），明确工作职责、范围、时间、标准等内容，明确内部考核奖惩制度按合同附件中承诺的人员、设备按时进场。合同期内所有设备摊销期满需全新购置，摊销期满后一个月内购置到位，原有设备由乙方自行处理。</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5.严格按照《考核细则》确保“用工人数、用工质量、工资标准”三到位。依法用工，及时缴纳相关社会保险、商业保险，按时发放工资；符合职工参保年龄人员工资实际发放不得低于如东县职工工资最低标准。各岗位实际发放工资不得低于投标分项报价中的人工单价。</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6.承担因保洁所需发生的工人工资、福利、保险、交通、设备、办公等经费。承担镇环境卫生管理中心及易腐垃圾处置中心日常维护费用；涉及设备维修和更换的，由乙方提出申请，经甲方批准后方可实施，费用凭票报支。</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7.合同执行期内，无条件接受关于垃圾分类相关工作部署，严格按照上级明确的垃圾分类行业标准、工艺、要求组织人员、设施落实到位，不得提出增加服务费的要求；</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8.服从甲方管理，接受甲方“五位一体”办公室和甲方所辖村（社区）的监督、检查、指导和考核，完成交办的临时性、突击性任务，对甲方提出的意见及时采纳并采取相应整改措施；提供服务过程中与单位或个人产生的矛盾纠纷应及时妥善处理，无法处理的应根据实际情况向甲方“五位一体”办公室或村汇报。</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9.根据相关要求、实际情况《考核细则》进行相应调整或增加内容的，乙方必须服从。</w:t>
      </w:r>
      <w:r/>
    </w:p>
    <w:p>
      <w:pPr>
        <w:pStyle w:val="712"/>
        <w:ind w:firstLine="480"/>
        <w:keepLines w:val="0"/>
        <w:pageBreakBefore w:val="0"/>
        <w:spacing w:line="360" w:lineRule="auto"/>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10.乙方必须在15天内与原服务单位做好交接工作。</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w:t>
      </w:r>
      <w:r>
        <w:rPr>
          <w:rFonts w:hint="eastAsia" w:ascii="仿宋" w:hAnsi="仿宋" w:eastAsia="仿宋" w:cs="仿宋"/>
          <w:b/>
          <w:sz w:val="24"/>
          <w:szCs w:val="24"/>
          <w:highlight w:val="none"/>
          <w:lang w:val="en-US" w:eastAsia="zh-CN"/>
        </w:rPr>
        <w:t xml:space="preserve">五</w:t>
      </w:r>
      <w:r>
        <w:rPr>
          <w:rFonts w:hint="eastAsia" w:ascii="仿宋" w:hAnsi="仿宋" w:eastAsia="仿宋" w:cs="仿宋"/>
          <w:b/>
          <w:sz w:val="24"/>
          <w:szCs w:val="24"/>
          <w:highlight w:val="none"/>
        </w:rPr>
        <w:t xml:space="preserve">、不可抗力事件处理</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.1 在合同有效期内，任何一方因不可抗力事件导致不能履行合同，则合同履行期可延长，其延长期与不可抗力影响 期相同。</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 不可抗力事件发生后，应立即通知对方，并寄送有关权威机构出具的证明。</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.3 不可抗力事件延续</w:t>
      </w:r>
      <w:r>
        <w:rPr>
          <w:rFonts w:hint="eastAsia" w:ascii="仿宋" w:hAnsi="仿宋" w:eastAsia="仿宋" w:cs="仿宋"/>
          <w:sz w:val="24"/>
          <w:szCs w:val="24"/>
          <w:highlight w:val="none"/>
          <w:u w:val="single"/>
          <w:lang w:val="en-US" w:eastAsia="zh-CN"/>
        </w:rPr>
        <w:t xml:space="preserve">30</w:t>
      </w:r>
      <w:r>
        <w:rPr>
          <w:rFonts w:hint="eastAsia" w:ascii="仿宋" w:hAnsi="仿宋" w:eastAsia="仿宋" w:cs="仿宋"/>
          <w:sz w:val="24"/>
          <w:szCs w:val="24"/>
          <w:highlight w:val="none"/>
        </w:rPr>
        <w:t xml:space="preserve">天以上，双方应通过友好协商，确定是否继续履行合同。</w:t>
      </w:r>
      <w:r/>
    </w:p>
    <w:p>
      <w:pPr>
        <w:pStyle w:val="712"/>
        <w:keepLines w:val="0"/>
        <w:pageBreakBefore w:val="0"/>
        <w:spacing w:line="360" w:lineRule="auto"/>
        <w:widowControl w:val="off"/>
        <w:rPr>
          <w:rFonts w:hint="eastAsia" w:ascii="仿宋" w:hAnsi="仿宋" w:eastAsia="仿宋" w:cs="仿宋"/>
          <w:b/>
          <w:bCs/>
          <w:sz w:val="24"/>
          <w:szCs w:val="24"/>
          <w:highlight w:val="none"/>
        </w:rPr>
        <w:outlineLvl w:val="9"/>
      </w:pPr>
      <w:r>
        <w:rPr>
          <w:rFonts w:hint="eastAsia" w:ascii="仿宋" w:hAnsi="仿宋" w:eastAsia="仿宋" w:cs="仿宋"/>
          <w:b/>
          <w:bCs/>
          <w:sz w:val="24"/>
          <w:szCs w:val="24"/>
          <w:highlight w:val="none"/>
          <w:lang w:val="en-US" w:eastAsia="zh-CN"/>
        </w:rPr>
        <w:t xml:space="preserve">十六、</w:t>
      </w:r>
      <w:r>
        <w:rPr>
          <w:rFonts w:hint="eastAsia" w:ascii="仿宋" w:hAnsi="仿宋" w:eastAsia="仿宋" w:cs="仿宋"/>
          <w:b/>
          <w:bCs/>
          <w:sz w:val="24"/>
          <w:szCs w:val="24"/>
          <w:highlight w:val="none"/>
        </w:rPr>
        <w:t xml:space="preserve">其他</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（一）合同价为本合同期内对应服务范围、服务内容的总包干费用，乙方不得以任何理由提出增加服务费用的要求。</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（二）合同执行期间，如遇不可抗力，致使本合同无法履行时，双方应按有关法律规定及时协商处理。</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（三）合同执行期间，所增补的所有项目不再增加任何费用。</w:t>
      </w:r>
      <w:r/>
    </w:p>
    <w:p>
      <w:pPr>
        <w:ind w:firstLine="480"/>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（四）合同执行期间，如遇市、县及甲方各级管理体制改革要求，不再实行外包服务的，甲方有权终止本合同。</w:t>
      </w:r>
      <w:r/>
    </w:p>
    <w:p>
      <w:pPr>
        <w:ind w:firstLine="480"/>
        <w:keepLines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五）甲乙双方共同确认本合同书首部所载明的住所地，为甲乙双方方在履行本合同过程中向对方发出书面函件的有效送达地址，如发生变更应及时书面通知对方，否则按本合同书所约定的住所地向对方发出书面函件无论出现拒收、无法送达、迁移新址不详等均视为已送达，对此甲乙双方均无异议。</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w:t>
      </w:r>
      <w:r>
        <w:rPr>
          <w:rFonts w:hint="eastAsia" w:ascii="仿宋" w:hAnsi="仿宋" w:eastAsia="仿宋" w:cs="仿宋"/>
          <w:b/>
          <w:sz w:val="24"/>
          <w:szCs w:val="24"/>
          <w:highlight w:val="none"/>
          <w:lang w:val="en-US" w:eastAsia="zh-CN"/>
        </w:rPr>
        <w:t xml:space="preserve">七</w:t>
      </w:r>
      <w:r>
        <w:rPr>
          <w:rFonts w:hint="eastAsia" w:ascii="仿宋" w:hAnsi="仿宋" w:eastAsia="仿宋" w:cs="仿宋"/>
          <w:b/>
          <w:sz w:val="24"/>
          <w:szCs w:val="24"/>
          <w:highlight w:val="none"/>
        </w:rPr>
        <w:t xml:space="preserve">、解决争议的方法</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.1双方在签订、履行合同中所发生的一切争议，应通过友好协商解决。如协商不成，由甲方住所地人民法院管辖。</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w:t>
      </w:r>
      <w:r>
        <w:rPr>
          <w:rFonts w:hint="eastAsia" w:ascii="仿宋" w:hAnsi="仿宋" w:eastAsia="仿宋" w:cs="仿宋"/>
          <w:b/>
          <w:sz w:val="24"/>
          <w:szCs w:val="24"/>
          <w:highlight w:val="none"/>
          <w:lang w:val="en-US" w:eastAsia="zh-CN"/>
        </w:rPr>
        <w:t xml:space="preserve">八</w:t>
      </w:r>
      <w:r>
        <w:rPr>
          <w:rFonts w:hint="eastAsia" w:ascii="仿宋" w:hAnsi="仿宋" w:eastAsia="仿宋" w:cs="仿宋"/>
          <w:b/>
          <w:sz w:val="24"/>
          <w:szCs w:val="24"/>
          <w:highlight w:val="none"/>
        </w:rPr>
        <w:t xml:space="preserve">、本合同文件的组成：</w:t>
      </w:r>
      <w:r/>
    </w:p>
    <w:p>
      <w:pPr>
        <w:pStyle w:val="712"/>
        <w:ind w:firstLine="48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1.下列文件应视为构成并作为阅读和理解本合同书的组成部分：</w:t>
      </w:r>
      <w:r/>
    </w:p>
    <w:p>
      <w:pPr>
        <w:pStyle w:val="712"/>
        <w:ind w:firstLine="48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(1) 本合同书</w:t>
      </w:r>
      <w:r/>
    </w:p>
    <w:p>
      <w:pPr>
        <w:pStyle w:val="712"/>
        <w:ind w:firstLine="48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(2) 大豫镇环境卫生长效管护项目考核细则</w:t>
      </w:r>
      <w:r/>
    </w:p>
    <w:p>
      <w:pPr>
        <w:pStyle w:val="712"/>
        <w:ind w:firstLine="48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(3) 大豫镇环境卫生长效管护项目需服务单位投入设备—最低标准明细表</w:t>
      </w:r>
      <w:r/>
    </w:p>
    <w:p>
      <w:pPr>
        <w:pStyle w:val="712"/>
        <w:ind w:firstLine="48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2.上述文件将互为补充，如有歧义或不一致之处，应以主合同条款的规定为准，但附件中对主合同条款的进一步明确和细化除外。</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w:t>
      </w:r>
      <w:r>
        <w:rPr>
          <w:rFonts w:hint="eastAsia" w:ascii="仿宋" w:hAnsi="仿宋" w:eastAsia="仿宋" w:cs="仿宋"/>
          <w:b/>
          <w:sz w:val="24"/>
          <w:szCs w:val="24"/>
          <w:highlight w:val="none"/>
          <w:lang w:val="en-US" w:eastAsia="zh-CN"/>
        </w:rPr>
        <w:t xml:space="preserve">九</w:t>
      </w:r>
      <w:r>
        <w:rPr>
          <w:rFonts w:hint="eastAsia" w:ascii="仿宋" w:hAnsi="仿宋" w:eastAsia="仿宋" w:cs="仿宋"/>
          <w:b/>
          <w:sz w:val="24"/>
          <w:szCs w:val="24"/>
          <w:highlight w:val="none"/>
        </w:rPr>
        <w:t xml:space="preserve">、本合同未尽事宜，经双方协商确认后签订补充合同。</w:t>
      </w:r>
      <w:r/>
    </w:p>
    <w:p>
      <w:pPr>
        <w:pStyle w:val="712"/>
        <w:keepLines w:val="0"/>
        <w:pageBreakBefore w:val="0"/>
        <w:spacing w:line="360" w:lineRule="auto"/>
        <w:widowControl w:val="off"/>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lang w:val="en-US" w:eastAsia="zh-CN"/>
        </w:rPr>
        <w:t xml:space="preserve">二十、</w:t>
      </w:r>
      <w:r>
        <w:rPr>
          <w:rFonts w:hint="eastAsia" w:ascii="仿宋" w:hAnsi="仿宋" w:eastAsia="仿宋" w:cs="仿宋"/>
          <w:b/>
          <w:sz w:val="24"/>
          <w:szCs w:val="24"/>
          <w:highlight w:val="none"/>
        </w:rPr>
        <w:t xml:space="preserve">合同生效及其它</w:t>
      </w:r>
      <w:r/>
    </w:p>
    <w:p>
      <w:pPr>
        <w:pStyle w:val="712"/>
        <w:ind w:firstLine="480"/>
        <w:keepLines w:val="0"/>
        <w:pageBreakBefore w:val="0"/>
        <w:spacing w:line="360" w:lineRule="auto"/>
        <w:widowControl w:val="off"/>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rPr>
        <w:t xml:space="preserve">.1合同自乙方机械设备及人员全部到位，经甲方验收合格后生效</w:t>
      </w:r>
      <w:r>
        <w:rPr>
          <w:rFonts w:hint="eastAsia" w:ascii="仿宋" w:hAnsi="仿宋" w:eastAsia="仿宋" w:cs="仿宋"/>
          <w:sz w:val="24"/>
          <w:szCs w:val="24"/>
          <w:highlight w:val="none"/>
          <w:lang w:eastAsia="zh-CN"/>
        </w:rPr>
        <w:t xml:space="preserve">。</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合同经双方法定代表人或授权委托代表人签字并加盖单位公章后生效。</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本合同未尽事宜，遵照中华人民共和国现行法律法规有关条文执行。</w:t>
      </w:r>
      <w:r/>
    </w:p>
    <w:p>
      <w:pPr>
        <w:pStyle w:val="712"/>
        <w:ind w:firstLine="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 本合同一式玖份，甲、乙双方各贰份，甲方“五位一体”办公室、甲方财政所各执壹份，留档壹份。</w:t>
      </w:r>
      <w:r/>
    </w:p>
    <w:p>
      <w:pPr>
        <w:pStyle w:val="712"/>
        <w:ind w:left="480" w:hanging="480"/>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甲方：                        乙方： </w:t>
      </w:r>
      <w:r/>
    </w:p>
    <w:p>
      <w:pPr>
        <w:pStyle w:val="712"/>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地址：                        地址： </w:t>
      </w:r>
      <w:r/>
    </w:p>
    <w:p>
      <w:pPr>
        <w:pStyle w:val="712"/>
        <w:keepLines w:val="0"/>
        <w:pageBreakBefore w:val="0"/>
        <w:spacing w:line="360" w:lineRule="auto"/>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法定代表人或授权代表：        法定代表人或授权代表：</w:t>
      </w:r>
      <w:r/>
    </w:p>
    <w:p>
      <w:pPr>
        <w:pStyle w:val="712"/>
        <w:ind w:firstLine="240"/>
        <w:keepLines w:val="0"/>
        <w:pageBreakBefore w:val="0"/>
        <w:spacing w:line="360" w:lineRule="auto"/>
        <w:widowControl w:val="off"/>
        <w:rPr>
          <w:rFonts w:hint="eastAsia" w:ascii="仿宋" w:hAnsi="仿宋" w:eastAsia="仿宋" w:cs="仿宋"/>
          <w:highlight w:val="none"/>
        </w:rPr>
        <w:outlineLvl w:val="9"/>
      </w:pPr>
      <w:r>
        <w:rPr>
          <w:rFonts w:hint="eastAsia" w:ascii="仿宋" w:hAnsi="仿宋" w:eastAsia="仿宋" w:cs="仿宋"/>
          <w:sz w:val="24"/>
          <w:szCs w:val="24"/>
          <w:highlight w:val="none"/>
        </w:rPr>
        <w:t xml:space="preserve">联系电话：                    联系电话：          </w:t>
      </w:r>
      <w:r/>
    </w:p>
    <w:p>
      <w:pPr>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highlight w:val="none"/>
        </w:rPr>
        <w:t xml:space="preserve">                                     </w:t>
      </w:r>
      <w:r>
        <w:rPr>
          <w:rFonts w:hint="eastAsia" w:ascii="仿宋" w:hAnsi="仿宋" w:eastAsia="仿宋" w:cs="仿宋"/>
          <w:sz w:val="24"/>
          <w:szCs w:val="24"/>
          <w:highlight w:val="none"/>
        </w:rPr>
        <w:t xml:space="preserve">     </w:t>
      </w:r>
      <w:r/>
    </w:p>
    <w:p>
      <w:pPr>
        <w:ind w:firstLine="3840"/>
        <w:keepLines w:val="0"/>
        <w:pageBreakBefore w:val="0"/>
        <w:spacing w:line="360" w:lineRule="auto"/>
        <w:widowControl w:val="off"/>
        <w:rPr>
          <w:highlight w:val="none"/>
        </w:rPr>
      </w:pPr>
      <w:r>
        <w:rPr>
          <w:rFonts w:hint="eastAsia" w:ascii="仿宋" w:hAnsi="仿宋" w:eastAsia="仿宋" w:cs="仿宋"/>
          <w:sz w:val="24"/>
          <w:szCs w:val="24"/>
          <w:highlight w:val="none"/>
        </w:rPr>
        <w:t xml:space="preserve">签订日期：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日</w:t>
      </w:r>
      <w:bookmarkEnd w:id="190"/>
      <w:r/>
      <w:bookmarkEnd w:id="191"/>
      <w:r/>
      <w:bookmarkEnd w:id="192"/>
      <w:r/>
      <w:r/>
    </w:p>
    <w:p>
      <w:pPr>
        <w:ind w:firstLine="480"/>
        <w:jc w:val="right"/>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12"/>
        <w:ind w:firstLine="2650"/>
        <w:spacing w:before="120" w:after="120" w:line="0" w:lineRule="atLeast"/>
        <w:rPr>
          <w:rFonts w:hint="eastAsia" w:ascii="仿宋" w:hAnsi="仿宋" w:eastAsia="仿宋" w:cs="仿宋"/>
          <w:b/>
          <w:sz w:val="44"/>
          <w:highlight w:val="none"/>
        </w:rPr>
        <w:outlineLvl w:val="0"/>
      </w:pPr>
      <w:r>
        <w:rPr>
          <w:rFonts w:hint="eastAsia" w:ascii="仿宋" w:hAnsi="仿宋" w:eastAsia="仿宋" w:cs="仿宋"/>
          <w:b/>
          <w:sz w:val="44"/>
          <w:highlight w:val="none"/>
        </w:rPr>
      </w:r>
      <w:r/>
    </w:p>
    <w:p>
      <w:pPr>
        <w:rPr>
          <w:rFonts w:hint="eastAsia" w:ascii="仿宋" w:hAnsi="仿宋" w:eastAsia="仿宋" w:cs="仿宋"/>
          <w:b/>
          <w:sz w:val="44"/>
          <w:highlight w:val="none"/>
        </w:rPr>
      </w:pPr>
      <w:r>
        <w:rPr>
          <w:rFonts w:hint="eastAsia" w:ascii="仿宋" w:hAnsi="仿宋" w:eastAsia="仿宋" w:cs="仿宋"/>
          <w:b/>
          <w:sz w:val="44"/>
          <w:highlight w:val="none"/>
        </w:rPr>
        <w:br w:type="page" w:clear="all"/>
      </w:r>
      <w:r/>
    </w:p>
    <w:p>
      <w:pPr>
        <w:pStyle w:val="712"/>
        <w:ind w:firstLine="2650"/>
        <w:spacing w:before="120" w:after="120" w:line="0" w:lineRule="atLeast"/>
        <w:rPr>
          <w:rFonts w:hint="eastAsia" w:ascii="仿宋" w:hAnsi="仿宋" w:eastAsia="仿宋" w:cs="仿宋"/>
          <w:b/>
          <w:sz w:val="44"/>
          <w:highlight w:val="none"/>
        </w:rPr>
        <w:outlineLvl w:val="0"/>
      </w:pPr>
      <w:r>
        <w:rPr>
          <w:rFonts w:hint="eastAsia" w:ascii="仿宋" w:hAnsi="仿宋" w:eastAsia="仿宋" w:cs="仿宋"/>
          <w:b/>
          <w:sz w:val="44"/>
          <w:highlight w:val="none"/>
        </w:rPr>
        <w:t xml:space="preserve">第四章  </w:t>
      </w:r>
      <w:bookmarkEnd w:id="184"/>
      <w:r/>
      <w:bookmarkEnd w:id="185"/>
      <w:r/>
      <w:bookmarkEnd w:id="186"/>
      <w:r/>
      <w:bookmarkEnd w:id="187"/>
      <w:r/>
      <w:bookmarkStart w:id="193" w:name="_Toc26554093"/>
      <w:r/>
      <w:bookmarkStart w:id="194" w:name="_Toc49090575"/>
      <w:r/>
      <w:bookmarkStart w:id="195" w:name="_Toc120614281"/>
      <w:r>
        <w:rPr>
          <w:rFonts w:hint="eastAsia" w:ascii="仿宋" w:hAnsi="仿宋" w:eastAsia="仿宋" w:cs="仿宋"/>
          <w:b/>
          <w:sz w:val="44"/>
          <w:highlight w:val="none"/>
        </w:rPr>
        <w:t xml:space="preserve">采购需求</w:t>
      </w:r>
      <w:r/>
    </w:p>
    <w:p>
      <w:pPr>
        <w:pStyle w:val="695"/>
        <w:ind w:firstLine="480"/>
        <w:jc w:val="left"/>
        <w:keepLines w:val="0"/>
        <w:keepNext w:val="0"/>
        <w:pageBreakBefore w:val="0"/>
        <w:spacing w:before="0" w:after="0"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供应商在制作投标文件时仔细研究项目需求说明。项目需求包括技术要求和商务要求:技术要求是指对采购标的功能和质量要求，包括性能、材料、结构、外观、安全，或者服务内容和标准等,其中必须满足的实质性要求加斜体下划线;</w:t>
      </w:r>
      <w:r/>
    </w:p>
    <w:p>
      <w:pPr>
        <w:pStyle w:val="695"/>
        <w:ind w:firstLine="480"/>
        <w:jc w:val="left"/>
        <w:keepLines w:val="0"/>
        <w:keepNext w:val="0"/>
        <w:pageBreakBefore w:val="0"/>
        <w:spacing w:before="0" w:after="0"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商务要求是指取得采购标的的时间、地点、财务和服务要求，包括交付（实施）的时间（期限）和地点（范围）、付款条件（进度和方法）、包装和运输、售后服务、保险等,其中必须满足的实质性要求加斜体下划线。</w:t>
      </w:r>
      <w:r/>
    </w:p>
    <w:p>
      <w:pPr>
        <w:pStyle w:val="695"/>
        <w:jc w:val="left"/>
        <w:keepLines w:val="0"/>
        <w:keepNext w:val="0"/>
        <w:pageBreakBefore w:val="0"/>
        <w:spacing w:before="0" w:after="0" w:line="360" w:lineRule="auto"/>
        <w:widowControl/>
        <w:rPr>
          <w:rFonts w:hint="eastAsia" w:ascii="华文仿宋" w:hAnsi="华文仿宋" w:eastAsia="华文仿宋" w:cs="华文仿宋"/>
          <w:b/>
          <w:bCs/>
          <w:sz w:val="24"/>
          <w:szCs w:val="24"/>
          <w:highlight w:val="none"/>
          <w:lang w:val="en-US" w:eastAsia="zh-CN" w:bidi="ar-SA"/>
        </w:rPr>
        <w:suppressLineNumbers w:val="0"/>
      </w:pPr>
      <w:r>
        <w:rPr>
          <w:rFonts w:hint="eastAsia" w:ascii="华文仿宋" w:hAnsi="华文仿宋" w:eastAsia="华文仿宋" w:cs="华文仿宋"/>
          <w:b/>
          <w:bCs/>
          <w:sz w:val="24"/>
          <w:szCs w:val="24"/>
          <w:highlight w:val="none"/>
          <w:lang w:val="en-US" w:eastAsia="zh-CN" w:bidi="ar-SA"/>
        </w:rPr>
        <w:t xml:space="preserve">一、采购标的需实现的功能或者目标，以及为落实政府采购政策需满足的要求</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本采购标的为如东县大豫镇环境卫生长效管护服务，服务范围覆盖大豫镇全镇域公共区域。通过开展常态化道路清扫、村居保洁、河道岸线清理、垃圾分类收运、公共设施管护、环境整治及应急保障等全套环卫作业，彻底消除卫生死角、垃圾积存、乱堆乱放等问题，建立常态化、标准化、精细化、长效化镇村环卫管护体系，持续巩固人居环境整治成果，保障全镇环境卫生常态达标，顺利通过各级主管部门日常检查、专项督查、季度及年度考核。</w:t>
      </w:r>
      <w:r/>
    </w:p>
    <w:p>
      <w:pPr>
        <w:pStyle w:val="695"/>
        <w:jc w:val="left"/>
        <w:keepLines w:val="0"/>
        <w:keepNext w:val="0"/>
        <w:pageBreakBefore w:val="0"/>
        <w:spacing w:before="0" w:after="0" w:line="360" w:lineRule="auto"/>
        <w:widowControl/>
        <w:rPr>
          <w:rFonts w:hint="eastAsia" w:ascii="华文仿宋" w:hAnsi="华文仿宋" w:eastAsia="华文仿宋" w:cs="华文仿宋"/>
          <w:b/>
          <w:bCs/>
          <w:sz w:val="24"/>
          <w:szCs w:val="24"/>
          <w:highlight w:val="none"/>
          <w:lang w:val="en-US" w:eastAsia="zh-CN" w:bidi="ar-SA"/>
        </w:rPr>
        <w:suppressLineNumbers w:val="0"/>
      </w:pPr>
      <w:r>
        <w:rPr>
          <w:rFonts w:hint="eastAsia" w:ascii="华文仿宋" w:hAnsi="华文仿宋" w:eastAsia="华文仿宋" w:cs="华文仿宋"/>
          <w:b/>
          <w:bCs/>
          <w:sz w:val="24"/>
          <w:szCs w:val="24"/>
          <w:highlight w:val="none"/>
          <w:lang w:val="en-US" w:eastAsia="zh-CN" w:bidi="ar-SA"/>
        </w:rPr>
        <w:t xml:space="preserve">二、采购标的需执行的国家相关标准、行业标准、地方标准或者其他标准、规范</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本项目所有环卫作业服务全过程严格遵守国家、江苏省、南通市、如东县现行环境卫生管理标准及规范，主要包含但不限于：《城市环境卫生质量标准》（GB/T 28052）、《城市道路清扫保洁质量与评价标准》（CJJ/T126）、《生活垃圾收集运输技术规程》、江苏省农村人居环境整治标准、南通市乡镇环境卫生长效管护管理办法、如东县环卫作业质量考核标准及各级主管部门发布的环卫作业、垃圾分类、垃圾处置、河道保洁相关管理规范与考核文件。</w:t>
      </w:r>
      <w:r/>
    </w:p>
    <w:p>
      <w:pPr>
        <w:pStyle w:val="695"/>
        <w:jc w:val="left"/>
        <w:keepLines w:val="0"/>
        <w:keepNext w:val="0"/>
        <w:pageBreakBefore w:val="0"/>
        <w:spacing w:before="0" w:after="0" w:line="360" w:lineRule="auto"/>
        <w:widowControl/>
        <w:rPr>
          <w:rFonts w:hint="eastAsia" w:ascii="华文仿宋" w:hAnsi="华文仿宋" w:eastAsia="华文仿宋" w:cs="华文仿宋"/>
          <w:b/>
          <w:bCs/>
          <w:sz w:val="24"/>
          <w:szCs w:val="24"/>
          <w:highlight w:val="none"/>
          <w:lang w:val="en-US" w:eastAsia="zh-CN" w:bidi="ar-SA"/>
        </w:rPr>
        <w:suppressLineNumbers w:val="0"/>
      </w:pPr>
      <w:r>
        <w:rPr>
          <w:rFonts w:hint="eastAsia" w:ascii="华文仿宋" w:hAnsi="华文仿宋" w:eastAsia="华文仿宋" w:cs="华文仿宋"/>
          <w:b/>
          <w:bCs/>
          <w:sz w:val="24"/>
          <w:szCs w:val="24"/>
          <w:highlight w:val="none"/>
          <w:lang w:val="en-US" w:eastAsia="zh-CN" w:bidi="ar-SA"/>
        </w:rPr>
        <w:t xml:space="preserve">三、采购标的需满足的质量、安全、技术规格、物理特性等要求</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1. 质量要求：全域保洁质量统一达标且满足采购人要求，具体详见本章第五点。</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2. 安全要求：所有作业人员必须佩戴安全防护用具，规范穿戴工装、反光防护装备；作业车辆合规上牌、定期年检，驾驶员持证上岗；严格落实道路作业安全规范，设置安全警示标识，杜绝作业安全事故、交通安全事故、垃圾违规倾倒污染事故。</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3. 技术规格要求：环卫作业方式、作业频次、作业流程、管护标准严格对标乡镇长效管护技术要求。</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4. 物理特性及设备要求：所有环卫作业车辆、清扫工具、消杀设备、垃圾收集容器完好整洁、功能正常，设备适配乡镇道路、村居、田间作业场景，性能稳定、运行安全、整洁美观。</w:t>
      </w:r>
      <w:r/>
    </w:p>
    <w:p>
      <w:pPr>
        <w:pStyle w:val="695"/>
        <w:jc w:val="left"/>
        <w:keepLines w:val="0"/>
        <w:keepNext w:val="0"/>
        <w:pageBreakBefore w:val="0"/>
        <w:spacing w:before="0" w:after="0" w:line="360" w:lineRule="auto"/>
        <w:widowControl/>
        <w:rPr>
          <w:rFonts w:hint="eastAsia" w:ascii="华文仿宋" w:hAnsi="华文仿宋" w:eastAsia="华文仿宋" w:cs="华文仿宋"/>
          <w:b/>
          <w:bCs/>
          <w:sz w:val="24"/>
          <w:szCs w:val="24"/>
          <w:highlight w:val="none"/>
          <w:lang w:val="en-US" w:eastAsia="zh-CN" w:bidi="ar-SA"/>
        </w:rPr>
        <w:suppressLineNumbers w:val="0"/>
      </w:pPr>
      <w:r>
        <w:rPr>
          <w:rFonts w:hint="eastAsia" w:ascii="华文仿宋" w:hAnsi="华文仿宋" w:eastAsia="华文仿宋" w:cs="华文仿宋"/>
          <w:b/>
          <w:bCs/>
          <w:sz w:val="24"/>
          <w:szCs w:val="24"/>
          <w:highlight w:val="none"/>
          <w:lang w:val="en-US" w:eastAsia="zh-CN" w:bidi="ar-SA"/>
        </w:rPr>
        <w:t xml:space="preserve">四、采购标的的数量、采购项目交付或者实施的时间和地点</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1. 采购标的数量：本次采购为如东县大豫镇全域环境卫生长效管护整体服务，无拆分标段，为单一整体服务项目。项目所用作业设备、保洁机具、垃圾桶具等配套物资，严格落实国家节能、环保产品要求，涉及节能产品全部选用国家最新强制节能清单内合规产品，严禁使用淘汰、超标、高耗能设备。</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2. 服务期限3年，自合同签订之日起。</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3. 实施地点：如东县大豫镇全镇域范围内。</w:t>
      </w:r>
      <w:r/>
    </w:p>
    <w:p>
      <w:pPr>
        <w:pStyle w:val="695"/>
        <w:jc w:val="left"/>
        <w:keepLines w:val="0"/>
        <w:keepNext w:val="0"/>
        <w:pageBreakBefore w:val="0"/>
        <w:spacing w:before="0" w:after="0" w:line="360" w:lineRule="auto"/>
        <w:widowControl/>
        <w:rPr>
          <w:rFonts w:hint="eastAsia" w:ascii="华文仿宋" w:hAnsi="华文仿宋" w:eastAsia="华文仿宋" w:cs="华文仿宋"/>
          <w:b/>
          <w:bCs/>
          <w:sz w:val="24"/>
          <w:szCs w:val="24"/>
          <w:highlight w:val="none"/>
          <w:lang w:val="en-US" w:eastAsia="zh-CN" w:bidi="ar-SA"/>
        </w:rPr>
        <w:suppressLineNumbers w:val="0"/>
      </w:pPr>
      <w:r>
        <w:rPr>
          <w:rFonts w:hint="eastAsia" w:ascii="华文仿宋" w:hAnsi="华文仿宋" w:eastAsia="华文仿宋" w:cs="华文仿宋"/>
          <w:b/>
          <w:bCs/>
          <w:sz w:val="24"/>
          <w:szCs w:val="24"/>
          <w:highlight w:val="none"/>
          <w:lang w:val="en-US" w:eastAsia="zh-CN" w:bidi="ar-SA"/>
        </w:rPr>
        <w:t xml:space="preserve">五、采购标的需满足的服务标准、期限、效率等要求</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（一）具体服务范围</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1、18个行政村及镇属用地；</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2、三个镇区（含公厕保洁）及新老S334、S222、S221、G328、X203、X111、X257、大白线沿线环卫。</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兵房镇区：保洁全覆盖，约6平方公里，人口4900人，公厕12座;（如泰运河以北四贯河以西：东西三至四贯，向北至兵北八横河；如泰运河以北四贯河以东：东西四贯河向东400米，向北至兵北八横河河北东西路；如泰运河以南四贯河以西：东西三至四贯，向南至兵中桥；如泰运河以南四贯河以东：东西四贯河向东600米，向南至兵中桥。）</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老大豫镇区：以张謇铜像为中心，北至茂青桥，南至立交桥，东至幼儿园（小学门口），西至3贯路。人口1300人，公厕1座;</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丁家店镇区：以丁家店桥为中心，向南600米，向北800米，东至5贯路，西至幼儿园。人口1300人，公厕2座。</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3、东凌工业集中区、兵房工业园区、张謇工业园区。</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4、根据上级部署要求的其它区域。</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（二）服务内容</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垃圾〔包括但不限于生活垃圾、农业生产垃圾（含零星废瓜、藤、秸秆等）、大件垃圾（含旧马桶、废弃家具等）、一般工业垃圾等。“下同”〕的清扫、捡拾、分类、收集、清运等收运处置，以及垃圾设施的管护，同时配合村（社区）做好建筑垃圾和修缮装修垃圾的收运处置；</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2、道路、桥梁保洁；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3、三、四级河道长效管护（含芦苇和芦竹清理）；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4、道路两侧及镇区绿化的保洁；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5、三个镇区所有公共厕所保洁；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6、环境卫生管理中心、易腐垃圾处理中心及村级生活垃圾中转房的运营、维护和保洁；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7、全力做好各类突发公共事件、突击检查创建、重大活动、重大节日等垃圾量高峰期间的环卫保障，服从相关具体工作安排。</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lang w:eastAsia="zh-CN"/>
        </w:rPr>
        <w:t xml:space="preserve">（</w:t>
      </w:r>
      <w:r>
        <w:rPr>
          <w:rFonts w:hint="eastAsia" w:ascii="华文仿宋" w:hAnsi="华文仿宋" w:eastAsia="华文仿宋" w:cs="华文仿宋"/>
          <w:b/>
          <w:sz w:val="24"/>
          <w:szCs w:val="24"/>
          <w:highlight w:val="none"/>
          <w:lang w:val="en-US" w:eastAsia="zh-CN"/>
        </w:rPr>
        <w:t xml:space="preserve">三</w:t>
      </w:r>
      <w:r>
        <w:rPr>
          <w:rFonts w:hint="eastAsia" w:ascii="华文仿宋" w:hAnsi="华文仿宋" w:eastAsia="华文仿宋" w:cs="华文仿宋"/>
          <w:b/>
          <w:sz w:val="24"/>
          <w:szCs w:val="24"/>
          <w:highlight w:val="none"/>
          <w:lang w:eastAsia="zh-CN"/>
        </w:rPr>
        <w:t xml:space="preserve">）</w:t>
      </w:r>
      <w:r>
        <w:rPr>
          <w:rFonts w:hint="eastAsia" w:ascii="华文仿宋" w:hAnsi="华文仿宋" w:eastAsia="华文仿宋" w:cs="华文仿宋"/>
          <w:b/>
          <w:sz w:val="24"/>
          <w:szCs w:val="24"/>
          <w:highlight w:val="none"/>
        </w:rPr>
        <w:t xml:space="preserve">全镇整体区域环境卫生长效管护外包服务的项目标准要求</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lang w:val="en-US" w:eastAsia="zh-CN"/>
        </w:rPr>
        <w:t xml:space="preserve">一）</w:t>
      </w:r>
      <w:r>
        <w:rPr>
          <w:rFonts w:hint="eastAsia" w:ascii="华文仿宋" w:hAnsi="华文仿宋" w:eastAsia="华文仿宋" w:cs="华文仿宋"/>
          <w:b/>
          <w:sz w:val="24"/>
          <w:szCs w:val="24"/>
          <w:highlight w:val="none"/>
        </w:rPr>
        <w:t xml:space="preserve">垃圾收运处置</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负责镇域服务范围内垃圾实行常态化、全方位、无死角的清扫、捡拾、分类、收集、清运，确保不发生垃圾散落遍地和堆积积存，若要进行垃圾分类，则根据上级要求执行。</w:t>
      </w:r>
      <w:r/>
    </w:p>
    <w:p>
      <w:pPr>
        <w:ind w:left="643"/>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1、垃圾保洁</w:t>
      </w:r>
      <w:r/>
    </w:p>
    <w:p>
      <w:pPr>
        <w:ind w:firstLine="471"/>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（1）保洁网格：</w:t>
      </w:r>
      <w:r>
        <w:rPr>
          <w:rFonts w:hint="eastAsia" w:ascii="华文仿宋" w:hAnsi="华文仿宋" w:eastAsia="华文仿宋" w:cs="华文仿宋"/>
          <w:sz w:val="24"/>
          <w:szCs w:val="24"/>
          <w:highlight w:val="none"/>
        </w:rPr>
        <w:t xml:space="preserve">全镇18个行政村范围内，按每350户左右划分网格，每个网格配1名保洁人员，负责该网格范围内的所有保洁任务。（附村级保洁人员配备表。）</w:t>
      </w:r>
      <w:r/>
    </w:p>
    <w:p>
      <w:pPr>
        <w:ind w:firstLine="505"/>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（2）保洁任务：</w:t>
      </w:r>
      <w:r>
        <w:rPr>
          <w:rFonts w:hint="eastAsia" w:ascii="华文仿宋" w:hAnsi="华文仿宋" w:eastAsia="华文仿宋" w:cs="华文仿宋"/>
          <w:sz w:val="24"/>
          <w:szCs w:val="24"/>
          <w:highlight w:val="none"/>
        </w:rPr>
        <w:t xml:space="preserve">负责及时将责任区域内的垃圾，清扫捡拾收集到垃圾设施内；负责及时保洁垃圾设施，清扫作业场地，把垃圾设施摆正复位。</w:t>
      </w:r>
      <w:r/>
    </w:p>
    <w:p>
      <w:pPr>
        <w:ind w:firstLine="505"/>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（3）保洁标准：</w:t>
      </w:r>
      <w:r>
        <w:rPr>
          <w:rFonts w:hint="eastAsia" w:ascii="华文仿宋" w:hAnsi="华文仿宋" w:eastAsia="华文仿宋" w:cs="华文仿宋"/>
          <w:sz w:val="24"/>
          <w:szCs w:val="24"/>
          <w:highlight w:val="none"/>
        </w:rPr>
        <w:t xml:space="preserve">责任区域内无散落垃圾堆积；垃圾桶边无飘散外溢垃圾，无积水，无明显恶臭；要保持区域整体环境清洁，垃圾设施及周边保持干净，摆放整齐。</w:t>
      </w:r>
      <w:r/>
    </w:p>
    <w:p>
      <w:pPr>
        <w:ind w:firstLine="505"/>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（4）保洁频次：</w:t>
      </w:r>
      <w:r>
        <w:rPr>
          <w:rFonts w:hint="eastAsia" w:ascii="华文仿宋" w:hAnsi="华文仿宋" w:eastAsia="华文仿宋" w:cs="华文仿宋"/>
          <w:sz w:val="24"/>
          <w:szCs w:val="24"/>
          <w:highlight w:val="none"/>
        </w:rPr>
        <w:t xml:space="preserve">在区域范围内负责每天巡回清扫和重点打扫一次，根据需求增加频次保持环境干净整洁，用每个网格区域的干净整洁，保证全镇总范围的干净整洁。</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2、垃圾清运</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（1）清运体系：</w:t>
      </w:r>
      <w:r>
        <w:rPr>
          <w:rFonts w:hint="eastAsia" w:ascii="华文仿宋" w:hAnsi="华文仿宋" w:eastAsia="华文仿宋" w:cs="华文仿宋"/>
          <w:bCs/>
          <w:sz w:val="24"/>
          <w:szCs w:val="24"/>
          <w:highlight w:val="none"/>
        </w:rPr>
        <w:t xml:space="preserve">根据实际需要构建两级全覆盖的高效清运体系，即由90辆电动三轮车组成的“一级清运”，由6辆压缩车组成“二级清运”。</w:t>
      </w:r>
      <w:r/>
    </w:p>
    <w:p>
      <w:pPr>
        <w:ind w:firstLine="480"/>
        <w:spacing w:line="360" w:lineRule="auto"/>
        <w:rPr>
          <w:rFonts w:hint="eastAsia" w:ascii="华文仿宋" w:hAnsi="华文仿宋" w:eastAsia="华文仿宋" w:cs="华文仿宋"/>
          <w:bCs/>
          <w:sz w:val="24"/>
          <w:szCs w:val="24"/>
          <w:highlight w:val="none"/>
        </w:rPr>
      </w:pPr>
      <w:r>
        <w:rPr>
          <w:rFonts w:hint="eastAsia" w:ascii="华文仿宋" w:hAnsi="华文仿宋" w:eastAsia="华文仿宋" w:cs="华文仿宋"/>
          <w:b/>
          <w:sz w:val="24"/>
          <w:szCs w:val="24"/>
          <w:highlight w:val="none"/>
        </w:rPr>
        <w:t xml:space="preserve">（2）清运网格：</w:t>
      </w:r>
      <w:r>
        <w:rPr>
          <w:rFonts w:hint="eastAsia" w:ascii="华文仿宋" w:hAnsi="华文仿宋" w:eastAsia="华文仿宋" w:cs="华文仿宋"/>
          <w:bCs/>
          <w:sz w:val="24"/>
          <w:szCs w:val="24"/>
          <w:highlight w:val="none"/>
        </w:rPr>
        <w:t xml:space="preserve">全镇范围内，按每350户组成一个清运网络，合计90名清运收集工，实行生活垃圾上门收集模式，分网格进行入户收集。</w:t>
      </w:r>
      <w:r/>
    </w:p>
    <w:p>
      <w:pPr>
        <w:ind w:firstLine="480"/>
        <w:spacing w:line="360" w:lineRule="auto"/>
        <w:rPr>
          <w:rFonts w:hint="eastAsia" w:ascii="华文仿宋" w:hAnsi="华文仿宋" w:eastAsia="华文仿宋" w:cs="华文仿宋"/>
          <w:bCs/>
          <w:sz w:val="24"/>
          <w:szCs w:val="24"/>
          <w:highlight w:val="none"/>
        </w:rPr>
      </w:pPr>
      <w:r>
        <w:rPr>
          <w:rFonts w:hint="eastAsia" w:ascii="华文仿宋" w:hAnsi="华文仿宋" w:eastAsia="华文仿宋" w:cs="华文仿宋"/>
          <w:b/>
          <w:sz w:val="24"/>
          <w:szCs w:val="24"/>
          <w:highlight w:val="none"/>
        </w:rPr>
        <w:t xml:space="preserve">（3）分级清运：</w:t>
      </w:r>
      <w:r>
        <w:rPr>
          <w:rFonts w:hint="eastAsia" w:ascii="华文仿宋" w:hAnsi="华文仿宋" w:eastAsia="华文仿宋" w:cs="华文仿宋"/>
          <w:bCs/>
          <w:sz w:val="24"/>
          <w:szCs w:val="24"/>
          <w:highlight w:val="none"/>
        </w:rPr>
        <w:t xml:space="preserve">分级清运：“一级清运”小车负责对网格内农户每日实行上门收集，将农户两分类垃圾小桶内生活垃圾转运至垃圾中转房，同时做好农户周边垃圾捡拾及抛弃的沙发、家具等杂物收运处置以及对道路沿线的垃圾进行收集。“二级清运”大车负责将垃圾中转房、重点区域垃圾桶垃圾压缩清运至天楹（或镇垃圾中转站）。</w:t>
      </w:r>
      <w:r/>
    </w:p>
    <w:p>
      <w:pPr>
        <w:ind w:firstLine="471"/>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（4）清运管理：</w:t>
      </w:r>
      <w:r>
        <w:rPr>
          <w:rFonts w:hint="eastAsia" w:ascii="华文仿宋" w:hAnsi="华文仿宋" w:eastAsia="华文仿宋" w:cs="华文仿宋"/>
          <w:sz w:val="24"/>
          <w:szCs w:val="24"/>
          <w:highlight w:val="none"/>
        </w:rPr>
        <w:t xml:space="preserve">公司</w:t>
      </w:r>
      <w:r>
        <w:rPr>
          <w:rFonts w:hint="eastAsia" w:ascii="华文仿宋" w:hAnsi="华文仿宋" w:eastAsia="华文仿宋" w:cs="华文仿宋"/>
          <w:sz w:val="24"/>
          <w:szCs w:val="24"/>
          <w:highlight w:val="none"/>
          <w:lang w:eastAsia="zh-CN"/>
        </w:rPr>
        <w:t xml:space="preserve">法定代表人</w:t>
      </w:r>
      <w:r>
        <w:rPr>
          <w:rFonts w:hint="eastAsia" w:ascii="华文仿宋" w:hAnsi="华文仿宋" w:eastAsia="华文仿宋" w:cs="华文仿宋"/>
          <w:sz w:val="24"/>
          <w:szCs w:val="24"/>
          <w:highlight w:val="none"/>
        </w:rPr>
        <w:t xml:space="preserve">（或授权驻镇总经理）要强化管理调度，要明确一名主管牵头负责带领全体片长加强清运体系的管理，按垃圾流向明确分工、落实责任、采取措施，确保清运体系正常运行。</w:t>
      </w:r>
      <w:r/>
    </w:p>
    <w:p>
      <w:pPr>
        <w:ind w:firstLine="471"/>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①“二级清运”。</w:t>
      </w:r>
      <w:r>
        <w:rPr>
          <w:rFonts w:hint="eastAsia" w:ascii="华文仿宋" w:hAnsi="华文仿宋" w:eastAsia="华文仿宋" w:cs="华文仿宋"/>
          <w:sz w:val="24"/>
          <w:szCs w:val="24"/>
          <w:highlight w:val="none"/>
        </w:rPr>
        <w:t xml:space="preserve">对垃圾出镇的管理：牵头主管要重点负责做好每天全镇压缩车辆的清运范围、时间、车次、吨位、效果、安全等工作调度，最大限度地推动垃圾出镇，确保垃圾中转房满载垃圾桶能得到及时清运，不得留置垃圾过夜，确保“一级清运”不受阻。</w:t>
      </w:r>
      <w:r/>
    </w:p>
    <w:p>
      <w:pPr>
        <w:ind w:firstLine="471"/>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②“一级清运”。</w:t>
      </w:r>
      <w:r>
        <w:rPr>
          <w:rFonts w:hint="eastAsia" w:ascii="华文仿宋" w:hAnsi="华文仿宋" w:eastAsia="华文仿宋" w:cs="华文仿宋"/>
          <w:sz w:val="24"/>
          <w:szCs w:val="24"/>
          <w:highlight w:val="none"/>
        </w:rPr>
        <w:t xml:space="preserve">对垃圾入房和垃圾入桶的管理：各片片长要重点负责做好每天各片清运小车的清运范围、时间、效果、安全等工作调度，最大限度的推动垃圾进中转房及时转运。对于群众红白喜事等垃圾高峰期，需提前与农户沟通放置足够数量的垃圾大桶，确保群众投放垃圾不受影响，</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(5)清运频次：</w:t>
      </w:r>
      <w:r>
        <w:rPr>
          <w:rFonts w:hint="eastAsia" w:ascii="华文仿宋" w:hAnsi="华文仿宋" w:eastAsia="华文仿宋" w:cs="华文仿宋"/>
          <w:sz w:val="24"/>
          <w:szCs w:val="24"/>
          <w:highlight w:val="none"/>
        </w:rPr>
        <w:t xml:space="preserve">所有清运车辆要按区域分工负责，确保全镇群众投放垃圾入桶不受影响，确保全镇垃圾尽快清运出镇。</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t xml:space="preserve">①压缩车（5T）。正常情况下，4辆压缩车（5T）每天外运车次不少于16车次（每天固定车次考核，隔日不换算，计量以天楹或镇环境卫生管理中心当天实际记录为准）。强化调度管理，保证垃圾中转房内满载垃圾桶及时清运出镇，不得留置垃圾过夜，满足各片电动三轮的清运要求，不得影响整体垃圾清运效率。</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t xml:space="preserve">②压缩车（3T）。正常情况下，</w:t>
      </w:r>
      <w:r>
        <w:rPr>
          <w:rFonts w:hint="eastAsia" w:ascii="华文仿宋" w:hAnsi="华文仿宋" w:eastAsia="华文仿宋" w:cs="华文仿宋"/>
          <w:b/>
          <w:bCs/>
          <w:sz w:val="24"/>
          <w:szCs w:val="24"/>
          <w:highlight w:val="none"/>
          <w:lang w:val="en-US" w:eastAsia="zh-CN"/>
        </w:rPr>
        <w:t xml:space="preserve">2</w:t>
      </w:r>
      <w:r>
        <w:rPr>
          <w:rFonts w:hint="eastAsia" w:ascii="华文仿宋" w:hAnsi="华文仿宋" w:eastAsia="华文仿宋" w:cs="华文仿宋"/>
          <w:b/>
          <w:bCs/>
          <w:sz w:val="24"/>
          <w:szCs w:val="24"/>
          <w:highlight w:val="none"/>
        </w:rPr>
        <w:t xml:space="preserve">辆压缩车（3T）每天外运车次不少于4车次（每天固定车次考核，隔日不换算，计量以天楹或镇环境卫生管理中心当天实际记录为准）。3个镇区（含公厕保洁）及相关企事业单位、学校、医院等重点区域清运频次做到日产日清。</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t xml:space="preserve">③清运小车。全镇90辆电动三轮车及时入户分类收运生活垃圾清运至各村垃圾中转房，做到日产日清无积存，不得出现信访。</w:t>
      </w:r>
      <w:r/>
    </w:p>
    <w:p>
      <w:pPr>
        <w:ind w:firstLine="504"/>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④频次调整。公司要管理到</w:t>
      </w:r>
      <w:r>
        <w:rPr>
          <w:rFonts w:hint="eastAsia" w:ascii="华文仿宋" w:hAnsi="华文仿宋" w:eastAsia="华文仿宋" w:cs="华文仿宋"/>
          <w:bCs/>
          <w:sz w:val="24"/>
          <w:szCs w:val="24"/>
          <w:highlight w:val="none"/>
        </w:rPr>
        <w:t xml:space="preserve">每辆车每天的路线和运输车次</w:t>
      </w:r>
      <w:r>
        <w:rPr>
          <w:rFonts w:hint="eastAsia" w:ascii="华文仿宋" w:hAnsi="华文仿宋" w:eastAsia="华文仿宋" w:cs="华文仿宋"/>
          <w:b/>
          <w:sz w:val="24"/>
          <w:szCs w:val="24"/>
          <w:highlight w:val="none"/>
        </w:rPr>
        <w:t xml:space="preserve">，</w:t>
      </w:r>
      <w:r>
        <w:rPr>
          <w:rFonts w:hint="eastAsia" w:ascii="华文仿宋" w:hAnsi="华文仿宋" w:eastAsia="华文仿宋" w:cs="华文仿宋"/>
          <w:sz w:val="24"/>
          <w:szCs w:val="24"/>
          <w:highlight w:val="none"/>
        </w:rPr>
        <w:t xml:space="preserve">确保全镇垃圾收运正常不受限制。同时，根据具体情况加以预见预判，尤其是夏季、重大节假日、群众红白喜事等垃圾高峰期，适时增加运输车辆及清运频次，确保垃圾不积压滞留。</w:t>
      </w:r>
      <w:r/>
    </w:p>
    <w:p>
      <w:pPr>
        <w:ind w:firstLine="504"/>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⑤检查考核。镇“五位一体”办公室将检查每辆车每天的清运车次和数量等具体情况，看是否符合清运频次和数量要求并进行专项考核。同时，将根据季节及垃圾量适时增加考核车次（以书面形式通知），确保垃圾不积压。</w:t>
      </w:r>
      <w:r/>
    </w:p>
    <w:p>
      <w:pPr>
        <w:ind w:firstLine="505"/>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(6)其他清运：</w:t>
      </w:r>
      <w:r>
        <w:rPr>
          <w:rFonts w:hint="eastAsia" w:ascii="华文仿宋" w:hAnsi="华文仿宋" w:eastAsia="华文仿宋" w:cs="华文仿宋"/>
          <w:sz w:val="24"/>
          <w:szCs w:val="24"/>
          <w:highlight w:val="none"/>
        </w:rPr>
        <w:t xml:space="preserve">农业生产垃圾、大件垃圾等其他垃圾运至各村（社区）指定堆场。</w:t>
      </w:r>
      <w:r/>
    </w:p>
    <w:p>
      <w:pPr>
        <w:ind w:firstLine="505"/>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3、垃圾设施管护</w:t>
      </w:r>
      <w:r/>
    </w:p>
    <w:p>
      <w:pPr>
        <w:pStyle w:val="707"/>
        <w:ind w:left="601" w:right="6"/>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（1）管护标准：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①收集设施应美观、适用，与周围环境协调，完好率应不低于98%；</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②收集设施置放点及周围应整洁，无蝇、无臭；</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③收集设施内的垃圾应及时清除、无满溢和散落；</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④及时扶正、摆好塑料垃圾桶不跨道；</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fldChar w:fldCharType="begin"/>
      </w:r>
      <w:r>
        <w:rPr>
          <w:rFonts w:hint="eastAsia" w:ascii="华文仿宋" w:hAnsi="华文仿宋" w:eastAsia="华文仿宋" w:cs="华文仿宋"/>
          <w:sz w:val="24"/>
          <w:szCs w:val="24"/>
          <w:highlight w:val="none"/>
        </w:rPr>
        <w:instrText xml:space="preserve"> = 5 \* GB3 </w:instrText>
      </w:r>
      <w:r>
        <w:rPr>
          <w:rFonts w:hint="eastAsia" w:ascii="华文仿宋" w:hAnsi="华文仿宋" w:eastAsia="华文仿宋" w:cs="华文仿宋"/>
          <w:sz w:val="24"/>
          <w:szCs w:val="24"/>
          <w:highlight w:val="none"/>
        </w:rPr>
        <w:fldChar w:fldCharType="separate"/>
      </w:r>
      <w:r>
        <w:rPr>
          <w:rFonts w:hint="eastAsia" w:ascii="华文仿宋" w:hAnsi="华文仿宋" w:eastAsia="华文仿宋" w:cs="华文仿宋"/>
          <w:sz w:val="24"/>
          <w:szCs w:val="24"/>
          <w:highlight w:val="none"/>
        </w:rPr>
        <w:t xml:space="preserve">⑤</w:t>
      </w:r>
      <w:r>
        <w:rPr>
          <w:rFonts w:hint="eastAsia" w:ascii="华文仿宋" w:hAnsi="华文仿宋" w:eastAsia="华文仿宋" w:cs="华文仿宋"/>
          <w:sz w:val="24"/>
          <w:szCs w:val="24"/>
          <w:highlight w:val="none"/>
        </w:rPr>
        <w:fldChar w:fldCharType="end"/>
      </w:r>
      <w:r>
        <w:rPr>
          <w:rFonts w:hint="eastAsia" w:ascii="华文仿宋" w:hAnsi="华文仿宋" w:eastAsia="华文仿宋" w:cs="华文仿宋"/>
          <w:sz w:val="24"/>
          <w:szCs w:val="24"/>
          <w:highlight w:val="none"/>
        </w:rPr>
        <w:t xml:space="preserve">定时清洗箱体，每天清运人员需对垃圾中转房内塑料垃圾桶进行清洗，正常保持其外壁清洁状态。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（2）禁止损坏：</w:t>
      </w:r>
      <w:r>
        <w:rPr>
          <w:rFonts w:hint="eastAsia" w:ascii="华文仿宋" w:hAnsi="华文仿宋" w:eastAsia="华文仿宋" w:cs="华文仿宋"/>
          <w:sz w:val="24"/>
          <w:szCs w:val="24"/>
          <w:highlight w:val="none"/>
        </w:rPr>
        <w:t xml:space="preserve">加强对一线保洁人员教育管理，落实责任，调动工作积极性。禁止一切破坏垃圾设施的行为，发现其他人员损坏、偷拿、移位、他用等情况要及时制止并报告，主管、片长及村保洁队长要及时对接，共同追究当事人损坏赔偿责任。</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4、运输车辆管护</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所有车辆必须持证驾驶、证件齐全、定期年检、保险齐全，必须车容整洁、正常检修、车况良好、密闭运输，运输过程中不得撒落造成二次污染，发生撒落及时清理干净；做好消杀工作，严格做到每天上午10:00左右消杀一次，下午4:00左右消杀一次，视垃圾产量及垃圾成份等具体情况可适当增加消杀次数，严禁苍蝇产生。</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5、清运禁止行为</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不得接收和收运承包区域以外垃圾，禁止不及时收集，禁止任意倾倒、抛洒或堆放垃圾，禁止焚烧垃圾，禁止运输途中丢弃、遗撒垃圾。</w:t>
      </w:r>
      <w:r>
        <w:rPr>
          <w:rFonts w:hint="eastAsia" w:ascii="华文仿宋" w:hAnsi="华文仿宋" w:eastAsia="华文仿宋" w:cs="华文仿宋"/>
          <w:b/>
          <w:sz w:val="24"/>
          <w:szCs w:val="24"/>
          <w:highlight w:val="none"/>
        </w:rPr>
        <w:t xml:space="preserve">个人不得私自签约收运单位废弃物</w:t>
      </w:r>
      <w:r>
        <w:rPr>
          <w:rFonts w:hint="eastAsia" w:ascii="华文仿宋" w:hAnsi="华文仿宋" w:eastAsia="华文仿宋" w:cs="华文仿宋"/>
          <w:sz w:val="24"/>
          <w:szCs w:val="24"/>
          <w:highlight w:val="none"/>
        </w:rPr>
        <w:t xml:space="preserve">。</w:t>
      </w:r>
      <w:r/>
    </w:p>
    <w:p>
      <w:pPr>
        <w:ind w:firstLine="505"/>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6、垃圾有序分类</w:t>
      </w:r>
      <w:r/>
    </w:p>
    <w:p>
      <w:pPr>
        <w:ind w:firstLine="504"/>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积极组织人员参与垃圾分类工作，严格按照分类标准有序分类、规范清运。经分类的可腐垃圾要及时清运到专业处理点，其他生活垃圾必须高效送达天楹电厂，生产垃圾、大件废弃物运至</w:t>
      </w:r>
      <w:r>
        <w:rPr>
          <w:rFonts w:hint="eastAsia" w:ascii="华文仿宋" w:hAnsi="华文仿宋" w:eastAsia="华文仿宋" w:cs="华文仿宋"/>
          <w:sz w:val="24"/>
          <w:szCs w:val="24"/>
          <w:highlight w:val="none"/>
          <w:lang w:eastAsia="zh-CN"/>
        </w:rPr>
        <w:t xml:space="preserve">招标人</w:t>
      </w:r>
      <w:r>
        <w:rPr>
          <w:rFonts w:hint="eastAsia" w:ascii="华文仿宋" w:hAnsi="华文仿宋" w:eastAsia="华文仿宋" w:cs="华文仿宋"/>
          <w:sz w:val="24"/>
          <w:szCs w:val="24"/>
          <w:highlight w:val="none"/>
        </w:rPr>
        <w:t xml:space="preserve">指定地点按要求有序堆放或填埋。</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lang w:val="en-US" w:eastAsia="zh-CN"/>
        </w:rPr>
        <w:t xml:space="preserve">二）</w:t>
      </w:r>
      <w:r>
        <w:rPr>
          <w:rFonts w:hint="eastAsia" w:ascii="华文仿宋" w:hAnsi="华文仿宋" w:eastAsia="华文仿宋" w:cs="华文仿宋"/>
          <w:b/>
          <w:sz w:val="24"/>
          <w:szCs w:val="24"/>
          <w:highlight w:val="none"/>
        </w:rPr>
        <w:t xml:space="preserve">道路、桥梁保洁管护</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Cs/>
          <w:sz w:val="24"/>
          <w:szCs w:val="24"/>
          <w:highlight w:val="none"/>
        </w:rPr>
        <w:t xml:space="preserve">全镇配备25名道路专项管护员，</w:t>
      </w:r>
      <w:r>
        <w:rPr>
          <w:rFonts w:hint="eastAsia" w:ascii="华文仿宋" w:hAnsi="华文仿宋" w:eastAsia="华文仿宋" w:cs="华文仿宋"/>
          <w:b/>
          <w:sz w:val="24"/>
          <w:szCs w:val="24"/>
          <w:highlight w:val="none"/>
        </w:rPr>
        <w:t xml:space="preserve">负责镇域范围道路及其沿线公共区域和桥梁的常态化、全方位、无死角保洁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1、路面路边保洁要求：</w:t>
      </w:r>
      <w:r>
        <w:rPr>
          <w:rFonts w:hint="eastAsia" w:ascii="华文仿宋" w:hAnsi="华文仿宋" w:eastAsia="华文仿宋" w:cs="华文仿宋"/>
          <w:sz w:val="24"/>
          <w:szCs w:val="24"/>
          <w:highlight w:val="none"/>
        </w:rPr>
        <w:t xml:space="preserve">路面（桥面）干净整洁，无散落垃圾、无堆积抛洒物，路边线杆、墙面上无小广告。</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2、路肩保洁要求：</w:t>
      </w:r>
      <w:r>
        <w:rPr>
          <w:rFonts w:hint="eastAsia" w:ascii="华文仿宋" w:hAnsi="华文仿宋" w:eastAsia="华文仿宋" w:cs="华文仿宋"/>
          <w:sz w:val="24"/>
          <w:szCs w:val="24"/>
          <w:highlight w:val="none"/>
        </w:rPr>
        <w:t xml:space="preserve">路肩边坡及沿线公共区域无散落垃圾、无堆放占用，零星农业生产垃圾、大件垃圾要及时清理。保证路肩(坡)无15cm以上高草现象，不得化除。每年4-11月份的5-13日为割草日，四好农路和大小循环线路年割草不低于10次/年，庄排线道路割草不低于8次/年，路坡割至路田分界沟或路田分界处，割草后的路面及时保洁。及时清理路边2米范围内的加拿大一枝黄花（不含农田及居民场所）。</w:t>
      </w:r>
      <w:r/>
    </w:p>
    <w:p>
      <w:pPr>
        <w:ind w:firstLine="480"/>
        <w:spacing w:line="360" w:lineRule="auto"/>
        <w:rPr>
          <w:rFonts w:hint="eastAsia" w:ascii="华文仿宋" w:hAnsi="华文仿宋" w:eastAsia="华文仿宋" w:cs="华文仿宋"/>
          <w:bCs/>
          <w:sz w:val="24"/>
          <w:szCs w:val="24"/>
          <w:highlight w:val="none"/>
        </w:rPr>
      </w:pPr>
      <w:r>
        <w:rPr>
          <w:rFonts w:hint="eastAsia" w:ascii="华文仿宋" w:hAnsi="华文仿宋" w:eastAsia="华文仿宋" w:cs="华文仿宋"/>
          <w:b/>
          <w:sz w:val="24"/>
          <w:szCs w:val="24"/>
          <w:highlight w:val="none"/>
        </w:rPr>
        <w:t xml:space="preserve">3、重点路段保洁：</w:t>
      </w:r>
      <w:r>
        <w:rPr>
          <w:rFonts w:hint="eastAsia" w:ascii="华文仿宋" w:hAnsi="华文仿宋" w:eastAsia="华文仿宋" w:cs="华文仿宋"/>
          <w:bCs/>
          <w:sz w:val="24"/>
          <w:szCs w:val="24"/>
          <w:highlight w:val="none"/>
        </w:rPr>
        <w:t xml:space="preserve">新老S334、S222、S221、G328、X203、X111、X257、大白线等国、省、县道路面人流繁忙，充分体现镇容镇貌，在县级保洁的基础上，服务公司必须每天重点进行巡查清理保洁并正常保持干净清洁。</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三）河道保洁管护</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负责镇域范围内三、四级河道及其沿线边坡公共区域实行常态化、全方位、无死角保洁。三、四级河道一般按3m、2m设定公共区域，特殊情形另定。</w:t>
      </w:r>
      <w:r/>
    </w:p>
    <w:p>
      <w:pPr>
        <w:numPr>
          <w:ilvl w:val="0"/>
          <w:numId w:val="2"/>
        </w:numPr>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明确分工</w:t>
      </w:r>
      <w:r/>
    </w:p>
    <w:p>
      <w:pPr>
        <w:ind w:firstLine="47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所有河道任务分工要明确到人。</w:t>
      </w:r>
      <w:r/>
    </w:p>
    <w:p>
      <w:pPr>
        <w:ind w:firstLine="47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（1）通航的三、四级河河面和河坡的保洁要专人负责，用机动船进行保洁。与如泰运河相通的贯河上选择固定点位设置飘浮物的拦截处和清运点，及时清理清运。</w:t>
      </w:r>
      <w:r/>
    </w:p>
    <w:p>
      <w:pPr>
        <w:ind w:firstLine="47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（2）不通航的三、四级河道、沟塘、渠道的河坡及河面由河道长效保洁队员和区域保洁员负责，用非机动船进行清理。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（3）生态河道的河坡、河面及绿化保洁由河道长效保洁员负责，定期修整河坡草坪，根据河坡绿化的树况及时采取扶正、踏实等措施。</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（4）生态缓冲区内设计、建设和清理过的河道及泯沟参照生态河标准进行保洁。</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2、人员配备。</w:t>
      </w:r>
      <w:r>
        <w:rPr>
          <w:rFonts w:hint="eastAsia" w:ascii="华文仿宋" w:hAnsi="华文仿宋" w:eastAsia="华文仿宋" w:cs="华文仿宋"/>
          <w:bCs/>
          <w:sz w:val="24"/>
          <w:szCs w:val="24"/>
          <w:highlight w:val="none"/>
        </w:rPr>
        <w:t xml:space="preserve">全镇配备40名河道长效保洁员，分四个组，每组十人，每组设一名组长，负责组织现场保洁作业</w:t>
      </w:r>
      <w:r>
        <w:rPr>
          <w:rFonts w:hint="eastAsia" w:ascii="华文仿宋" w:hAnsi="华文仿宋" w:eastAsia="华文仿宋" w:cs="华文仿宋"/>
          <w:b/>
          <w:sz w:val="24"/>
          <w:szCs w:val="24"/>
          <w:highlight w:val="none"/>
        </w:rPr>
        <w:t xml:space="preserve">。</w:t>
      </w:r>
      <w:r>
        <w:rPr>
          <w:rFonts w:hint="eastAsia" w:ascii="华文仿宋" w:hAnsi="华文仿宋" w:eastAsia="华文仿宋" w:cs="华文仿宋"/>
          <w:sz w:val="24"/>
          <w:szCs w:val="24"/>
          <w:highlight w:val="none"/>
        </w:rPr>
        <w:t xml:space="preserve">机动船配一名船长（驾驶员）和两名保洁员，驾驶员要有相应的上岗证书。非机动船在保洁过程中必须两人以上共同参与，不得单人作业。</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3、保洁内容</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河坡：保持河道的坡岸清洁，河坡及公共区域内无散落飘浮垃圾、无堆积丢弃杂物，等级河道蓝线范围内要无垦坡种植、无杂枝倒树，发现要及时清理。生态河河坡绿化修剪要规范、整洁，河坡草坪可视范围内保持无高草，在3月到11月份每20天割草一次，其他时间根据需要清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河面：河道水面保持清洁，河面河边及转角等无漂浮垃圾，无水花生、无水葫芦、无大面积浮萍等恶性水生作物，定期清理河面及河坡芦竹和芦苇。每年年初要对镇域范围内所有三、四级河道及生态河道内芦竹和芦苇清理到位，镇五位一体办将于每年1月中旬组织人员专项督查，清理不到位将严格按照《考核细则》重点扣罚。</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（3）桥头：所有桥头坝梗的周边保持清洁，无垃圾杂物堆积，所有区域无动物尸体。</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（4）泯沟头：泯沟和道路交界处要保持清洁，无垃圾杂物堆积，零星秸秆、破旧家具等要及时清运至各村指定堆场。</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4、保洁频次。</w:t>
      </w:r>
      <w:r>
        <w:rPr>
          <w:rFonts w:hint="eastAsia" w:ascii="华文仿宋" w:hAnsi="华文仿宋" w:eastAsia="华文仿宋" w:cs="华文仿宋"/>
          <w:bCs/>
          <w:sz w:val="24"/>
          <w:szCs w:val="24"/>
          <w:highlight w:val="none"/>
        </w:rPr>
        <w:t xml:space="preserve">河道保洁充分体现镇域环境，服务项目的标准要求相对更高，因此单独列出进行明确。服务</w:t>
      </w:r>
      <w:r>
        <w:rPr>
          <w:rFonts w:hint="eastAsia" w:ascii="华文仿宋" w:hAnsi="华文仿宋" w:eastAsia="华文仿宋" w:cs="华文仿宋"/>
          <w:sz w:val="24"/>
          <w:szCs w:val="24"/>
          <w:highlight w:val="none"/>
        </w:rPr>
        <w:t xml:space="preserve">公司要明确一名主管牵头负责，按河道区域明确分工、落实责任、采取措施，确保河道保洁体系正常运行。</w:t>
      </w:r>
      <w:r>
        <w:rPr>
          <w:rFonts w:hint="eastAsia" w:ascii="华文仿宋" w:hAnsi="华文仿宋" w:eastAsia="华文仿宋" w:cs="华文仿宋"/>
          <w:bCs/>
          <w:sz w:val="24"/>
          <w:szCs w:val="24"/>
          <w:highlight w:val="none"/>
        </w:rPr>
        <w:t xml:space="preserve">河道长效保洁员工作以河道保洁为主，除重大创建活动等不得用于其它项目的保洁。每周一制定本周工作计划交镇五位一体办,镇五位一体办将对工作完成情况进行跟踪督察，无正当理由未及时完成将发出书面整改通知，接通知后规定时间内仍未完成的将严格按照《考核细则》进行重点扣罚。</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四）绿化保洁管护</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1、全面覆盖。</w:t>
      </w:r>
      <w:r>
        <w:rPr>
          <w:rFonts w:hint="eastAsia" w:ascii="华文仿宋" w:hAnsi="华文仿宋" w:eastAsia="华文仿宋" w:cs="华文仿宋"/>
          <w:sz w:val="24"/>
          <w:szCs w:val="24"/>
          <w:highlight w:val="none"/>
        </w:rPr>
        <w:t xml:space="preserve">明确每条道路、河坡边的绿化保洁责任，把每一棵绿化、每一处草坪的保洁任务明确到具体保洁员。</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2、日常保洁。</w:t>
      </w:r>
      <w:r>
        <w:rPr>
          <w:rFonts w:hint="eastAsia" w:ascii="华文仿宋" w:hAnsi="华文仿宋" w:eastAsia="华文仿宋" w:cs="华文仿宋"/>
          <w:sz w:val="24"/>
          <w:szCs w:val="24"/>
          <w:highlight w:val="none"/>
        </w:rPr>
        <w:t xml:space="preserve">道路、河坡两侧绿化、草坪正常健壮生长，所有道路(省、县道除外，三个镇区沿街绿化带列入保洁范围)两侧树木每年采取涂白一次。</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3、地面卫生。</w:t>
      </w:r>
      <w:r>
        <w:rPr>
          <w:rFonts w:hint="eastAsia" w:ascii="华文仿宋" w:hAnsi="华文仿宋" w:eastAsia="华文仿宋" w:cs="华文仿宋"/>
          <w:sz w:val="24"/>
          <w:szCs w:val="24"/>
          <w:highlight w:val="none"/>
        </w:rPr>
        <w:t xml:space="preserve">绿化下无高杆及游藤作物、无散落暴露飘浮垃圾、无乱扔乱丢。</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4、保洁频次。</w:t>
      </w:r>
      <w:r>
        <w:rPr>
          <w:rFonts w:hint="eastAsia" w:ascii="华文仿宋" w:hAnsi="华文仿宋" w:eastAsia="华文仿宋" w:cs="华文仿宋"/>
          <w:sz w:val="24"/>
          <w:szCs w:val="24"/>
          <w:highlight w:val="none"/>
        </w:rPr>
        <w:t xml:space="preserve">整体面上显眼问题每天</w:t>
      </w:r>
      <w:r>
        <w:rPr>
          <w:rFonts w:hint="eastAsia" w:ascii="华文仿宋" w:hAnsi="华文仿宋" w:eastAsia="华文仿宋" w:cs="华文仿宋"/>
          <w:b/>
          <w:sz w:val="24"/>
          <w:szCs w:val="24"/>
          <w:highlight w:val="none"/>
        </w:rPr>
        <w:t xml:space="preserve">巡查重点</w:t>
      </w:r>
      <w:r>
        <w:rPr>
          <w:rFonts w:hint="eastAsia" w:ascii="华文仿宋" w:hAnsi="华文仿宋" w:eastAsia="华文仿宋" w:cs="华文仿宋"/>
          <w:sz w:val="24"/>
          <w:szCs w:val="24"/>
          <w:highlight w:val="none"/>
        </w:rPr>
        <w:t xml:space="preserve">巡查清理保洁一轮，全面保洁按内容要求控制在2天以内，整体彻底清理保洁一轮。</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lang w:eastAsia="zh-CN"/>
        </w:rPr>
        <w:t xml:space="preserve">（</w:t>
      </w:r>
      <w:r>
        <w:rPr>
          <w:rFonts w:hint="eastAsia" w:ascii="华文仿宋" w:hAnsi="华文仿宋" w:eastAsia="华文仿宋" w:cs="华文仿宋"/>
          <w:b/>
          <w:sz w:val="24"/>
          <w:szCs w:val="24"/>
          <w:highlight w:val="none"/>
          <w:lang w:val="en-US" w:eastAsia="zh-CN"/>
        </w:rPr>
        <w:t xml:space="preserve">四</w:t>
      </w:r>
      <w:r>
        <w:rPr>
          <w:rFonts w:hint="eastAsia" w:ascii="华文仿宋" w:hAnsi="华文仿宋" w:eastAsia="华文仿宋" w:cs="华文仿宋"/>
          <w:b/>
          <w:sz w:val="24"/>
          <w:szCs w:val="24"/>
          <w:highlight w:val="none"/>
          <w:lang w:eastAsia="zh-CN"/>
        </w:rPr>
        <w:t xml:space="preserve">）</w:t>
      </w:r>
      <w:r>
        <w:rPr>
          <w:rFonts w:hint="eastAsia" w:ascii="华文仿宋" w:hAnsi="华文仿宋" w:eastAsia="华文仿宋" w:cs="华文仿宋"/>
          <w:b/>
          <w:sz w:val="24"/>
          <w:szCs w:val="24"/>
          <w:highlight w:val="none"/>
        </w:rPr>
        <w:t xml:space="preserve">三个镇区（含公厕保洁）及新老S334、S222、S221、G328、X203、X111、X257、大白线等沿线重点区域“五位一体”外包服务项目的标准要求</w:t>
      </w:r>
      <w:r/>
    </w:p>
    <w:p>
      <w:pPr>
        <w:pStyle w:val="916"/>
        <w:ind w:left="0"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因重点区域人员密度高，充分体现镇容镇貌，服务项目的标准要求相对更高，因此单独列出进行明确。公司要单独组织队伍进行管理运行，推行机械化作业新模式，降低环卫工人劳动强度，提高工作标准，大幅度改善服务效果，推动镇区等重点区域的卫生水平走在全县前列。</w:t>
      </w:r>
      <w:r/>
    </w:p>
    <w:p>
      <w:pPr>
        <w:pStyle w:val="916"/>
        <w:ind w:left="0"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机械化作业新模式，可利用洗扫车、洒水车、高压冲洗车等具备不同功能的机械化作业车辆，与电瓶保洁车、人工清扫保洁结合全方位进</w:t>
      </w:r>
      <w:r>
        <w:rPr>
          <w:rFonts w:hint="eastAsia" w:ascii="华文仿宋" w:hAnsi="华文仿宋" w:eastAsia="华文仿宋" w:cs="华文仿宋"/>
          <w:spacing w:val="-10"/>
          <w:sz w:val="24"/>
          <w:szCs w:val="24"/>
          <w:highlight w:val="none"/>
        </w:rPr>
        <w:t xml:space="preserve">行道路清扫保洁作业，最终实现人机有效结合，即以机械化为主，人工保洁为辅，</w:t>
      </w:r>
      <w:r>
        <w:rPr>
          <w:rFonts w:hint="eastAsia" w:ascii="华文仿宋" w:hAnsi="华文仿宋" w:eastAsia="华文仿宋" w:cs="华文仿宋"/>
          <w:sz w:val="24"/>
          <w:szCs w:val="24"/>
          <w:highlight w:val="none"/>
        </w:rPr>
        <w:t xml:space="preserve">而作业能效超越两者自身的“1+1＞2”的高效作业模式。</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b/>
          <w:sz w:val="24"/>
          <w:szCs w:val="24"/>
          <w:highlight w:val="none"/>
        </w:rPr>
        <w:t xml:space="preserve">一）环卫保洁</w:t>
      </w:r>
      <w:r/>
    </w:p>
    <w:p>
      <w:pPr>
        <w:ind w:firstLine="480"/>
        <w:spacing w:line="360" w:lineRule="auto"/>
        <w:tabs>
          <w:tab w:val="left" w:pos="6435" w:leader="none"/>
        </w:tabs>
        <w:rPr>
          <w:rFonts w:hint="eastAsia" w:ascii="华文仿宋" w:hAnsi="华文仿宋" w:eastAsia="华文仿宋" w:cs="华文仿宋"/>
          <w:b/>
          <w:sz w:val="24"/>
          <w:szCs w:val="24"/>
          <w:highlight w:val="none"/>
        </w:rPr>
      </w:pPr>
      <w:r>
        <w:rPr>
          <w:rFonts w:hint="eastAsia" w:ascii="华文仿宋" w:hAnsi="华文仿宋" w:eastAsia="华文仿宋" w:cs="华文仿宋"/>
          <w:sz w:val="24"/>
          <w:szCs w:val="24"/>
          <w:highlight w:val="none"/>
        </w:rPr>
        <w:t xml:space="preserve">1、</w:t>
      </w:r>
      <w:r>
        <w:rPr>
          <w:rFonts w:hint="eastAsia" w:ascii="华文仿宋" w:hAnsi="华文仿宋" w:eastAsia="华文仿宋" w:cs="华文仿宋"/>
          <w:b/>
          <w:sz w:val="24"/>
          <w:szCs w:val="24"/>
          <w:highlight w:val="none"/>
        </w:rPr>
        <w:t xml:space="preserve">保洁范围</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按区域分工负责做好区域内道路、桥梁、公共广场、公共绿地、公共厕所等公共区域、内街巷等保洁工作。</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2、保洁要求</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①环卫标准：</w:t>
      </w:r>
      <w:r>
        <w:rPr>
          <w:rFonts w:hint="eastAsia" w:ascii="华文仿宋" w:hAnsi="华文仿宋" w:eastAsia="华文仿宋" w:cs="华文仿宋"/>
          <w:sz w:val="24"/>
          <w:szCs w:val="24"/>
          <w:highlight w:val="none"/>
        </w:rPr>
        <w:t xml:space="preserve">桥梁、街道、道路等设施整洁完好，道路和桥梁上设置的隔离墩、防护栏、排水等设施整洁完好。保洁范围内（含路边停放的车辆下方）要达到“六不六净”要求，“六不”指不见积水、不见沉积灰尘、不见纸屑果皮烟头、不漏收垃圾堆、不见牛皮癣、不见杂物；“六净”指路面净、路沿净、人行道净、树桩墙边净、垃圾桶净、雨水斗净。</w:t>
      </w:r>
      <w:r/>
    </w:p>
    <w:p>
      <w:pPr>
        <w:ind w:firstLine="471"/>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②巡管要求：</w:t>
      </w:r>
      <w:r>
        <w:rPr>
          <w:rFonts w:hint="eastAsia" w:ascii="华文仿宋" w:hAnsi="华文仿宋" w:eastAsia="华文仿宋" w:cs="华文仿宋"/>
          <w:sz w:val="24"/>
          <w:szCs w:val="24"/>
          <w:highlight w:val="none"/>
        </w:rPr>
        <w:t xml:space="preserve">发现道路、路牙以及在道路、广场以及其他公共场地设置的交通、电信、邮政、电力、环境卫生、消防、供水、燃气等各类设施出现问题的及时报告。</w:t>
      </w:r>
      <w:r/>
    </w:p>
    <w:p>
      <w:pPr>
        <w:ind w:firstLine="471"/>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3、作业频次及时间</w:t>
      </w:r>
      <w:r/>
    </w:p>
    <w:p>
      <w:pPr>
        <w:ind w:firstLine="471"/>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①机械作业</w:t>
      </w:r>
      <w:r/>
    </w:p>
    <w:tbl>
      <w:tblPr>
        <w:tblStyle w:val="703"/>
        <w:tblW w:w="9679" w:type="dxa"/>
        <w:jc w:val="center"/>
        <w:tblLayout w:type="fixed"/>
        <w:tblCellMar>
          <w:left w:w="0" w:type="dxa"/>
          <w:top w:w="0" w:type="dxa"/>
          <w:right w:w="0" w:type="dxa"/>
          <w:bottom w:w="0" w:type="dxa"/>
        </w:tblCellMar>
        <w:tblLook w:val="04A0" w:firstRow="1" w:lastRow="0" w:firstColumn="1" w:lastColumn="0" w:noHBand="0" w:noVBand="1"/>
      </w:tblPr>
      <w:tblGrid>
        <w:gridCol w:w="1458"/>
        <w:gridCol w:w="1701"/>
        <w:gridCol w:w="1984"/>
        <w:gridCol w:w="1417"/>
        <w:gridCol w:w="1418"/>
        <w:gridCol w:w="1701"/>
      </w:tblGrid>
      <w:tr>
        <w:trPr>
          <w:jc w:val="center"/>
          <w:trHeight w:val="466" w:hRule="exact"/>
        </w:trPr>
        <w:tc>
          <w:tcPr>
            <w:tcBorders>
              <w:top w:val="single" w:color="000000" w:sz="4" w:space="0"/>
              <w:left w:val="single" w:color="000000" w:sz="4" w:space="0"/>
              <w:bottom w:val="single" w:color="auto" w:sz="4" w:space="0"/>
              <w:right w:val="single" w:color="000000" w:sz="4" w:space="0"/>
            </w:tcBorders>
            <w:tcW w:w="1458" w:type="dxa"/>
            <w:textDirection w:val="lrTb"/>
            <w:noWrap w:val="false"/>
          </w:tcPr>
          <w:p>
            <w:pPr>
              <w:pStyle w:val="903"/>
              <w:ind w:left="103"/>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作业类别</w:t>
            </w:r>
            <w:r/>
          </w:p>
        </w:tc>
        <w:tc>
          <w:tcPr>
            <w:tcBorders>
              <w:top w:val="single" w:color="000000" w:sz="4" w:space="0"/>
              <w:left w:val="single" w:color="000000" w:sz="4" w:space="0"/>
              <w:bottom w:val="single" w:color="auto" w:sz="4" w:space="0"/>
              <w:right w:val="single" w:color="000000" w:sz="4" w:space="0"/>
            </w:tcBorders>
            <w:tcW w:w="1701" w:type="dxa"/>
            <w:textDirection w:val="lrTb"/>
            <w:noWrap w:val="false"/>
          </w:tcPr>
          <w:p>
            <w:pPr>
              <w:pStyle w:val="903"/>
              <w:ind w:left="103" w:firstLine="36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车道类型</w:t>
            </w:r>
            <w:r/>
          </w:p>
        </w:tc>
        <w:tc>
          <w:tcPr>
            <w:tcBorders>
              <w:top w:val="single" w:color="000000" w:sz="4" w:space="0"/>
              <w:left w:val="single" w:color="000000" w:sz="4" w:space="0"/>
              <w:bottom w:val="single" w:color="auto" w:sz="4" w:space="0"/>
              <w:right w:val="single" w:color="000000" w:sz="4" w:space="0"/>
            </w:tcBorders>
            <w:tcW w:w="1984" w:type="dxa"/>
            <w:textDirection w:val="lrTb"/>
            <w:noWrap w:val="false"/>
          </w:tcPr>
          <w:p>
            <w:pPr>
              <w:pStyle w:val="903"/>
              <w:ind w:left="103"/>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洗扫</w:t>
            </w:r>
            <w:r/>
          </w:p>
        </w:tc>
        <w:tc>
          <w:tcPr>
            <w:tcBorders>
              <w:top w:val="single" w:color="000000" w:sz="4" w:space="0"/>
              <w:left w:val="single" w:color="000000" w:sz="4" w:space="0"/>
              <w:bottom w:val="single" w:color="auto" w:sz="4" w:space="0"/>
              <w:right w:val="single" w:color="000000" w:sz="4" w:space="0"/>
            </w:tcBorders>
            <w:tcW w:w="1417" w:type="dxa"/>
            <w:textDirection w:val="lrTb"/>
            <w:noWrap w:val="false"/>
          </w:tcPr>
          <w:p>
            <w:pPr>
              <w:pStyle w:val="903"/>
              <w:ind w:left="103"/>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洒水</w:t>
            </w:r>
            <w:r/>
          </w:p>
        </w:tc>
        <w:tc>
          <w:tcPr>
            <w:tcBorders>
              <w:top w:val="single" w:color="000000" w:sz="4" w:space="0"/>
              <w:left w:val="single" w:color="000000" w:sz="4" w:space="0"/>
              <w:bottom w:val="single" w:color="auto" w:sz="4" w:space="0"/>
              <w:right w:val="single" w:color="000000" w:sz="4" w:space="0"/>
            </w:tcBorders>
            <w:tcW w:w="1418" w:type="dxa"/>
            <w:textDirection w:val="lrTb"/>
            <w:noWrap w:val="false"/>
          </w:tcPr>
          <w:p>
            <w:pPr>
              <w:pStyle w:val="903"/>
              <w:ind w:left="103"/>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冲洗</w:t>
            </w:r>
            <w:r/>
          </w:p>
        </w:tc>
        <w:tc>
          <w:tcPr>
            <w:tcBorders>
              <w:top w:val="single" w:color="000000" w:sz="4" w:space="0"/>
              <w:left w:val="single" w:color="000000" w:sz="4" w:space="0"/>
              <w:bottom w:val="single" w:color="auto" w:sz="4" w:space="0"/>
              <w:right w:val="single" w:color="000000" w:sz="4" w:space="0"/>
            </w:tcBorders>
            <w:tcW w:w="1701" w:type="dxa"/>
            <w:textDirection w:val="lrTb"/>
            <w:noWrap w:val="false"/>
          </w:tcPr>
          <w:p>
            <w:pPr>
              <w:pStyle w:val="903"/>
              <w:ind w:left="103"/>
              <w:spacing w:line="360" w:lineRule="auto"/>
              <w:tabs>
                <w:tab w:val="left" w:pos="628" w:leader="none"/>
              </w:tabs>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备</w:t>
            </w:r>
            <w:r>
              <w:rPr>
                <w:rFonts w:hint="eastAsia" w:ascii="华文仿宋" w:hAnsi="华文仿宋" w:eastAsia="华文仿宋" w:cs="华文仿宋"/>
                <w:sz w:val="24"/>
                <w:szCs w:val="24"/>
                <w:highlight w:val="none"/>
              </w:rPr>
              <w:tab/>
            </w:r>
            <w:r>
              <w:rPr>
                <w:rFonts w:hint="eastAsia" w:ascii="华文仿宋" w:hAnsi="华文仿宋" w:eastAsia="华文仿宋" w:cs="华文仿宋"/>
                <w:sz w:val="24"/>
                <w:szCs w:val="24"/>
                <w:highlight w:val="none"/>
              </w:rPr>
              <w:t xml:space="preserve">注</w:t>
            </w:r>
            <w:r/>
          </w:p>
        </w:tc>
      </w:tr>
      <w:tr>
        <w:trPr>
          <w:jc w:val="center"/>
          <w:trHeight w:val="2490" w:hRule="exact"/>
        </w:trPr>
        <w:tc>
          <w:tcPr>
            <w:tcBorders>
              <w:top w:val="single" w:color="auto" w:sz="4" w:space="0"/>
              <w:left w:val="single" w:color="auto" w:sz="4" w:space="0"/>
              <w:right w:val="single" w:color="auto" w:sz="4" w:space="0"/>
            </w:tcBorders>
            <w:tcW w:w="1458" w:type="dxa"/>
            <w:vMerge w:val="restart"/>
            <w:textDirection w:val="tbRlV"/>
            <w:noWrap w:val="false"/>
          </w:tcPr>
          <w:p>
            <w:pPr>
              <w:pStyle w:val="903"/>
              <w:ind w:left="103" w:right="84"/>
              <w:spacing w:line="360" w:lineRule="auto"/>
              <w:rPr>
                <w:rFonts w:hint="eastAsia" w:ascii="华文仿宋" w:hAnsi="华文仿宋" w:eastAsia="华文仿宋" w:cs="华文仿宋"/>
                <w:spacing w:val="13"/>
                <w:sz w:val="24"/>
                <w:szCs w:val="24"/>
                <w:highlight w:val="none"/>
              </w:rPr>
            </w:pPr>
            <w:r>
              <w:rPr>
                <w:rFonts w:hint="eastAsia" w:ascii="华文仿宋" w:hAnsi="华文仿宋" w:eastAsia="华文仿宋" w:cs="华文仿宋"/>
                <w:spacing w:val="13"/>
                <w:sz w:val="24"/>
                <w:szCs w:val="24"/>
                <w:highlight w:val="none"/>
              </w:rPr>
            </w:r>
            <w:r/>
          </w:p>
          <w:p>
            <w:pPr>
              <w:pStyle w:val="903"/>
              <w:ind w:left="103" w:right="84"/>
              <w:jc w:val="center"/>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pacing w:val="13"/>
                <w:sz w:val="24"/>
                <w:szCs w:val="24"/>
                <w:highlight w:val="none"/>
              </w:rPr>
              <w:t xml:space="preserve">机械化作业</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pStyle w:val="903"/>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r>
            <w:r/>
          </w:p>
          <w:p>
            <w:pPr>
              <w:pStyle w:val="903"/>
              <w:spacing w:line="360" w:lineRule="auto"/>
              <w:rPr>
                <w:rFonts w:hint="eastAsia" w:ascii="华文仿宋" w:hAnsi="华文仿宋" w:eastAsia="华文仿宋" w:cs="华文仿宋"/>
                <w:bCs/>
                <w:sz w:val="24"/>
                <w:szCs w:val="24"/>
                <w:highlight w:val="none"/>
              </w:rPr>
            </w:pPr>
            <w:r>
              <w:rPr>
                <w:rFonts w:hint="eastAsia" w:ascii="华文仿宋" w:hAnsi="华文仿宋" w:eastAsia="华文仿宋" w:cs="华文仿宋"/>
                <w:bCs/>
                <w:sz w:val="24"/>
                <w:szCs w:val="24"/>
                <w:highlight w:val="none"/>
              </w:rPr>
              <w:t xml:space="preserve">集镇区主干道</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pStyle w:val="903"/>
              <w:ind w:right="176" w:firstLine="12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2次/日 </w:t>
            </w:r>
            <w:r/>
          </w:p>
          <w:p>
            <w:pPr>
              <w:pStyle w:val="903"/>
              <w:ind w:left="102" w:right="176"/>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分别于6:30前、14:30前完成 重点区域增加一次</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pStyle w:val="903"/>
              <w:ind w:left="102" w:right="176"/>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1次/日   夏季两次 </w:t>
            </w:r>
            <w:r>
              <w:rPr>
                <w:rFonts w:hint="eastAsia" w:ascii="华文仿宋" w:hAnsi="华文仿宋" w:eastAsia="华文仿宋" w:cs="华文仿宋"/>
                <w:spacing w:val="13"/>
                <w:sz w:val="24"/>
                <w:szCs w:val="24"/>
                <w:highlight w:val="none"/>
              </w:rPr>
              <w:t xml:space="preserve">分别于6时、14时前完成</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903"/>
              <w:ind w:firstLine="12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2次/周</w:t>
            </w:r>
            <w:r/>
          </w:p>
          <w:p>
            <w:pPr>
              <w:pStyle w:val="903"/>
              <w:ind w:left="103"/>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22:00-次日早6:00时段，在机扫作业前进行</w:t>
            </w:r>
            <w:r/>
          </w:p>
        </w:tc>
        <w:tc>
          <w:tcPr>
            <w:tcBorders>
              <w:top w:val="single" w:color="auto" w:sz="4" w:space="0"/>
              <w:left w:val="single" w:color="auto" w:sz="4" w:space="0"/>
              <w:bottom w:val="single" w:color="auto" w:sz="4" w:space="0"/>
              <w:right w:val="single" w:color="auto" w:sz="4" w:space="0"/>
            </w:tcBorders>
            <w:tcW w:w="1701" w:type="dxa"/>
            <w:vMerge w:val="restart"/>
            <w:textDirection w:val="lrTb"/>
            <w:noWrap w:val="false"/>
          </w:tcPr>
          <w:p>
            <w:pPr>
              <w:pStyle w:val="903"/>
              <w:numPr>
                <w:ilvl w:val="0"/>
                <w:numId w:val="3"/>
              </w:numPr>
              <w:ind w:left="102" w:right="96"/>
              <w:spacing w:before="74" w:line="300" w:lineRule="exact"/>
              <w:rPr>
                <w:rFonts w:hint="eastAsia" w:ascii="仿宋" w:hAnsi="仿宋" w:eastAsia="仿宋" w:cs="仿宋"/>
                <w:sz w:val="24"/>
                <w:szCs w:val="24"/>
                <w:highlight w:val="none"/>
              </w:rPr>
            </w:pPr>
            <w:r>
              <w:rPr>
                <w:rFonts w:ascii="仿宋" w:hAnsi="仿宋" w:eastAsia="仿宋" w:cs="仿宋"/>
                <w:spacing w:val="9"/>
                <w:sz w:val="24"/>
                <w:szCs w:val="24"/>
                <w:highlight w:val="none"/>
              </w:rPr>
              <w:t xml:space="preserve">普扫时间：</w:t>
            </w:r>
            <w:r>
              <w:rPr>
                <w:rFonts w:hint="eastAsia" w:ascii="仿宋" w:hAnsi="仿宋" w:eastAsia="仿宋" w:cs="仿宋"/>
                <w:spacing w:val="9"/>
                <w:sz w:val="24"/>
                <w:szCs w:val="24"/>
                <w:highlight w:val="none"/>
              </w:rPr>
              <w:t xml:space="preserve">6</w:t>
            </w:r>
            <w:r>
              <w:rPr>
                <w:rFonts w:ascii="仿宋" w:hAnsi="仿宋" w:eastAsia="仿宋" w:cs="仿宋"/>
                <w:spacing w:val="9"/>
                <w:sz w:val="24"/>
                <w:szCs w:val="24"/>
                <w:highlight w:val="none"/>
              </w:rPr>
              <w:t xml:space="preserve">:30</w:t>
            </w:r>
            <w:r>
              <w:rPr>
                <w:rFonts w:ascii="仿宋" w:hAnsi="仿宋" w:eastAsia="仿宋" w:cs="仿宋"/>
                <w:sz w:val="24"/>
                <w:szCs w:val="24"/>
                <w:highlight w:val="none"/>
              </w:rPr>
              <w:t xml:space="preserve">前;</w:t>
            </w:r>
            <w:r/>
          </w:p>
          <w:p>
            <w:pPr>
              <w:pStyle w:val="903"/>
              <w:numPr>
                <w:ilvl w:val="0"/>
                <w:numId w:val="3"/>
              </w:numPr>
              <w:ind w:left="102" w:right="96"/>
              <w:spacing w:before="74" w:line="300" w:lineRule="exact"/>
              <w:rPr>
                <w:rFonts w:hint="eastAsia" w:ascii="仿宋" w:hAnsi="仿宋" w:eastAsia="仿宋" w:cs="仿宋"/>
                <w:sz w:val="24"/>
                <w:szCs w:val="24"/>
                <w:highlight w:val="none"/>
              </w:rPr>
            </w:pPr>
            <w:r>
              <w:rPr>
                <w:rFonts w:ascii="仿宋" w:hAnsi="仿宋" w:eastAsia="仿宋" w:cs="仿宋"/>
                <w:spacing w:val="10"/>
                <w:sz w:val="24"/>
                <w:szCs w:val="24"/>
                <w:highlight w:val="none"/>
              </w:rPr>
              <w:t xml:space="preserve">冬季低于</w:t>
            </w:r>
            <w:r>
              <w:rPr>
                <w:rFonts w:ascii="仿宋" w:hAnsi="仿宋" w:eastAsia="仿宋" w:cs="仿宋"/>
                <w:spacing w:val="13"/>
                <w:sz w:val="24"/>
                <w:szCs w:val="24"/>
                <w:highlight w:val="none"/>
              </w:rPr>
              <w:t xml:space="preserve">2℃冲</w:t>
            </w:r>
            <w:r>
              <w:rPr>
                <w:rFonts w:ascii="仿宋" w:hAnsi="仿宋" w:eastAsia="仿宋" w:cs="仿宋"/>
                <w:sz w:val="24"/>
                <w:szCs w:val="24"/>
                <w:highlight w:val="none"/>
              </w:rPr>
              <w:t xml:space="preserve">洗、洒水进行停止作</w:t>
            </w:r>
            <w:r>
              <w:rPr>
                <w:rFonts w:hint="eastAsia" w:ascii="仿宋" w:hAnsi="仿宋" w:eastAsia="仿宋" w:cs="仿宋"/>
                <w:sz w:val="24"/>
                <w:szCs w:val="24"/>
                <w:highlight w:val="none"/>
              </w:rPr>
              <w:t xml:space="preserve">业；</w:t>
            </w:r>
            <w:r/>
          </w:p>
          <w:p>
            <w:pPr>
              <w:pStyle w:val="903"/>
              <w:ind w:right="98" w:firstLine="120"/>
              <w:spacing w:line="360" w:lineRule="auto"/>
              <w:rPr>
                <w:rFonts w:hint="eastAsia" w:ascii="华文仿宋" w:hAnsi="华文仿宋" w:eastAsia="华文仿宋" w:cs="华文仿宋"/>
                <w:sz w:val="24"/>
                <w:szCs w:val="24"/>
                <w:highlight w:val="none"/>
              </w:rPr>
            </w:pPr>
            <w:r>
              <w:rPr>
                <w:rFonts w:hint="eastAsia" w:ascii="仿宋" w:hAnsi="仿宋" w:eastAsia="仿宋" w:cs="仿宋"/>
                <w:sz w:val="24"/>
                <w:szCs w:val="24"/>
                <w:highlight w:val="none"/>
              </w:rPr>
              <w:t xml:space="preserve">3、如遇特殊情况各作业类别必需增加频次，确保路牙边无积土。</w:t>
            </w:r>
            <w:r/>
          </w:p>
        </w:tc>
      </w:tr>
      <w:tr>
        <w:trPr>
          <w:jc w:val="center"/>
          <w:trHeight w:val="1690" w:hRule="exact"/>
        </w:trPr>
        <w:tc>
          <w:tcPr>
            <w:tcBorders>
              <w:left w:val="single" w:color="auto" w:sz="4" w:space="0"/>
              <w:bottom w:val="single" w:color="auto" w:sz="4" w:space="0"/>
              <w:right w:val="single" w:color="auto" w:sz="4" w:space="0"/>
            </w:tcBorders>
            <w:tcW w:w="1458" w:type="dxa"/>
            <w:vMerge w:val="continue"/>
            <w:textDirection w:val="lrTb"/>
            <w:noWrap w:val="false"/>
          </w:tcPr>
          <w:p>
            <w:pPr>
              <w:pStyle w:val="903"/>
              <w:ind w:left="103" w:right="84"/>
              <w:spacing w:line="360" w:lineRule="auto"/>
              <w:rPr>
                <w:rFonts w:hint="eastAsia" w:ascii="华文仿宋" w:hAnsi="华文仿宋" w:eastAsia="华文仿宋" w:cs="华文仿宋"/>
                <w:spacing w:val="13"/>
                <w:sz w:val="24"/>
                <w:szCs w:val="24"/>
                <w:highlight w:val="none"/>
              </w:rPr>
            </w:pPr>
            <w:r>
              <w:rPr>
                <w:rFonts w:hint="eastAsia" w:ascii="华文仿宋" w:hAnsi="华文仿宋" w:eastAsia="华文仿宋" w:cs="华文仿宋"/>
                <w:spacing w:val="13"/>
                <w:sz w:val="24"/>
                <w:szCs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pStyle w:val="903"/>
              <w:ind w:left="103" w:right="84"/>
              <w:spacing w:line="360" w:lineRule="auto"/>
              <w:rPr>
                <w:rFonts w:hint="eastAsia" w:ascii="华文仿宋" w:hAnsi="华文仿宋" w:eastAsia="华文仿宋" w:cs="华文仿宋"/>
                <w:spacing w:val="13"/>
                <w:sz w:val="24"/>
                <w:szCs w:val="24"/>
                <w:highlight w:val="none"/>
              </w:rPr>
            </w:pPr>
            <w:r>
              <w:rPr>
                <w:rFonts w:hint="eastAsia" w:ascii="华文仿宋" w:hAnsi="华文仿宋" w:eastAsia="华文仿宋" w:cs="华文仿宋"/>
                <w:spacing w:val="13"/>
                <w:sz w:val="24"/>
                <w:szCs w:val="24"/>
                <w:highlight w:val="none"/>
              </w:rPr>
              <w:t xml:space="preserve">县乡道、过境公路</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pStyle w:val="903"/>
              <w:ind w:left="103" w:right="84"/>
              <w:spacing w:line="360" w:lineRule="auto"/>
              <w:rPr>
                <w:rFonts w:hint="eastAsia" w:ascii="华文仿宋" w:hAnsi="华文仿宋" w:eastAsia="华文仿宋" w:cs="华文仿宋"/>
                <w:spacing w:val="13"/>
                <w:sz w:val="24"/>
                <w:szCs w:val="24"/>
                <w:highlight w:val="none"/>
              </w:rPr>
            </w:pPr>
            <w:r>
              <w:rPr>
                <w:rFonts w:hint="eastAsia" w:ascii="华文仿宋" w:hAnsi="华文仿宋" w:eastAsia="华文仿宋" w:cs="华文仿宋"/>
                <w:sz w:val="24"/>
                <w:szCs w:val="24"/>
                <w:highlight w:val="none"/>
              </w:rPr>
              <w:t xml:space="preserve">2次/周</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pStyle w:val="903"/>
              <w:ind w:left="103" w:right="84"/>
              <w:spacing w:line="360" w:lineRule="auto"/>
              <w:rPr>
                <w:rFonts w:hint="eastAsia" w:ascii="华文仿宋" w:hAnsi="华文仿宋" w:eastAsia="华文仿宋" w:cs="华文仿宋"/>
                <w:spacing w:val="13"/>
                <w:sz w:val="24"/>
                <w:szCs w:val="24"/>
                <w:highlight w:val="none"/>
              </w:rPr>
            </w:pPr>
            <w:r>
              <w:rPr>
                <w:rFonts w:hint="eastAsia" w:ascii="华文仿宋" w:hAnsi="华文仿宋" w:eastAsia="华文仿宋" w:cs="华文仿宋"/>
                <w:sz w:val="24"/>
                <w:szCs w:val="24"/>
                <w:highlight w:val="none"/>
              </w:rPr>
              <w:t xml:space="preserve">2次/周</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903"/>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sz w:val="24"/>
                <w:szCs w:val="24"/>
                <w:highlight w:val="none"/>
              </w:rPr>
              <w:t xml:space="preserve">2次/周</w:t>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r>
            <w:r/>
          </w:p>
        </w:tc>
      </w:tr>
    </w:tbl>
    <w:p>
      <w:pPr>
        <w:ind w:firstLine="471"/>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②人工清扫保洁</w:t>
      </w:r>
      <w:r/>
    </w:p>
    <w:p>
      <w:pPr>
        <w:pStyle w:val="916"/>
        <w:ind w:left="0"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镇区人工清扫保洁作业内容包括：路沿石杂草清除、漂浮垃圾捡拾、店铺墙边清扫、公交站台清扫、后街里巷清扫、广场清扫、桥梁清扫等。每天不少于8小时作业。5:00-11:00（7点前完成清扫，7:00-8:00轮流吃早饭，确保道路有人），14:00-17:00，学校、超市等人流量大的地段划为重点区域，需增加一次普扫。巡回、检查保洁作业时间：11:00-14:00,17:00-19:00。</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b/>
          <w:sz w:val="24"/>
          <w:szCs w:val="24"/>
          <w:highlight w:val="none"/>
        </w:rPr>
        <w:t xml:space="preserve">二）垃圾清运</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1、清运频次：每天上午下午各清运一次，确保及时清运到位，不发生垃圾外溢外露情形。</w:t>
      </w:r>
      <w:r/>
    </w:p>
    <w:p>
      <w:pPr>
        <w:pStyle w:val="916"/>
        <w:ind w:left="0"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清运要求：对区域道路两侧的垃圾桶、生活小区门口垃圾集中堆放点的垃圾采用后装压缩车直接运至如东天楹环保能源有限公司或镇环境卫生管理中心；对于有物业小区由物业管理人员将垃圾桶定时定点拖至小区集中点，后街里巷由保洁员负责将垃圾运至主干道垃圾集中点，再由后装压缩车进行收运。</w:t>
      </w:r>
      <w:r/>
    </w:p>
    <w:p>
      <w:pPr>
        <w:pStyle w:val="916"/>
        <w:ind w:firstLine="16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 </w:t>
      </w:r>
      <w:r/>
    </w:p>
    <w:p>
      <w:pPr>
        <w:pStyle w:val="916"/>
        <w:jc w:val="center"/>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r>
      <w:r/>
    </w:p>
    <w:p>
      <w:pPr>
        <w:pStyle w:val="916"/>
        <w:jc w:val="center"/>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垃圾收运时间安排表</w:t>
      </w:r>
      <w:r/>
    </w:p>
    <w:tbl>
      <w:tblPr>
        <w:tblStyle w:val="703"/>
        <w:tblW w:w="6282" w:type="dxa"/>
        <w:tblInd w:w="1268" w:type="dxa"/>
        <w:tblLayout w:type="fixed"/>
        <w:tblCellMar>
          <w:left w:w="0" w:type="dxa"/>
          <w:top w:w="0" w:type="dxa"/>
          <w:right w:w="0" w:type="dxa"/>
          <w:bottom w:w="0" w:type="dxa"/>
        </w:tblCellMar>
        <w:tblLook w:val="04A0" w:firstRow="1" w:lastRow="0" w:firstColumn="1" w:lastColumn="0" w:noHBand="0" w:noVBand="1"/>
      </w:tblPr>
      <w:tblGrid>
        <w:gridCol w:w="1176"/>
        <w:gridCol w:w="2624"/>
        <w:gridCol w:w="2482"/>
      </w:tblGrid>
      <w:tr>
        <w:trPr>
          <w:trHeight w:val="553" w:hRule="exact"/>
        </w:trPr>
        <w:tc>
          <w:tcPr>
            <w:tcBorders>
              <w:top w:val="single" w:color="000000" w:sz="4" w:space="0"/>
              <w:left w:val="single" w:color="000000" w:sz="4" w:space="0"/>
              <w:bottom w:val="single" w:color="000000" w:sz="4" w:space="0"/>
              <w:right w:val="single" w:color="000000" w:sz="4" w:space="0"/>
            </w:tcBorders>
            <w:tcW w:w="1176" w:type="dxa"/>
            <w:textDirection w:val="lrTb"/>
            <w:noWrap w:val="false"/>
          </w:tcPr>
          <w:p>
            <w:pPr>
              <w:pStyle w:val="903"/>
              <w:ind w:left="362"/>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bCs/>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24" w:type="dxa"/>
            <w:textDirection w:val="lrTb"/>
            <w:noWrap w:val="false"/>
          </w:tcPr>
          <w:p>
            <w:pPr>
              <w:pStyle w:val="903"/>
              <w:ind w:left="864"/>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bCs/>
                <w:sz w:val="24"/>
                <w:szCs w:val="24"/>
                <w:highlight w:val="none"/>
              </w:rPr>
              <w:t xml:space="preserve">作业内容</w:t>
            </w:r>
            <w:r/>
          </w:p>
        </w:tc>
        <w:tc>
          <w:tcPr>
            <w:tcBorders>
              <w:top w:val="single" w:color="000000" w:sz="4" w:space="0"/>
              <w:left w:val="single" w:color="000000" w:sz="4" w:space="0"/>
              <w:bottom w:val="single" w:color="000000" w:sz="4" w:space="0"/>
              <w:right w:val="single" w:color="000000" w:sz="4" w:space="0"/>
            </w:tcBorders>
            <w:tcW w:w="2482" w:type="dxa"/>
            <w:textDirection w:val="lrTb"/>
            <w:noWrap w:val="false"/>
          </w:tcPr>
          <w:p>
            <w:pPr>
              <w:pStyle w:val="903"/>
              <w:ind w:left="794"/>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bCs/>
                <w:sz w:val="24"/>
                <w:szCs w:val="24"/>
                <w:highlight w:val="none"/>
              </w:rPr>
              <w:t xml:space="preserve">作业时间</w:t>
            </w:r>
            <w:r/>
          </w:p>
        </w:tc>
      </w:tr>
      <w:tr>
        <w:trPr>
          <w:trHeight w:val="561" w:hRule="exact"/>
        </w:trPr>
        <w:tc>
          <w:tcPr>
            <w:tcBorders>
              <w:top w:val="single" w:color="000000" w:sz="4" w:space="0"/>
              <w:left w:val="single" w:color="000000" w:sz="4" w:space="0"/>
              <w:bottom w:val="single" w:color="000000" w:sz="4" w:space="0"/>
              <w:right w:val="single" w:color="000000" w:sz="4" w:space="0"/>
            </w:tcBorders>
            <w:tcW w:w="1176" w:type="dxa"/>
            <w:textDirection w:val="lrTb"/>
            <w:noWrap w:val="false"/>
          </w:tcPr>
          <w:p>
            <w:pPr>
              <w:pStyle w:val="903"/>
              <w:jc w:val="center"/>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24" w:type="dxa"/>
            <w:textDirection w:val="lrTb"/>
            <w:noWrap w:val="false"/>
          </w:tcPr>
          <w:p>
            <w:pPr>
              <w:pStyle w:val="903"/>
              <w:ind w:left="535"/>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收运（第一次）</w:t>
            </w:r>
            <w:r/>
          </w:p>
        </w:tc>
        <w:tc>
          <w:tcPr>
            <w:tcBorders>
              <w:top w:val="single" w:color="000000" w:sz="4" w:space="0"/>
              <w:left w:val="single" w:color="000000" w:sz="4" w:space="0"/>
              <w:bottom w:val="single" w:color="000000" w:sz="4" w:space="0"/>
              <w:right w:val="single" w:color="000000" w:sz="4" w:space="0"/>
            </w:tcBorders>
            <w:tcW w:w="2482" w:type="dxa"/>
            <w:textDirection w:val="lrTb"/>
            <w:noWrap w:val="false"/>
          </w:tcPr>
          <w:p>
            <w:pPr>
              <w:pStyle w:val="903"/>
              <w:ind w:left="631"/>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04:00-09:00</w:t>
            </w:r>
            <w:r/>
          </w:p>
        </w:tc>
      </w:tr>
      <w:tr>
        <w:trPr>
          <w:trHeight w:val="555" w:hRule="exact"/>
        </w:trPr>
        <w:tc>
          <w:tcPr>
            <w:tcBorders>
              <w:top w:val="single" w:color="000000" w:sz="4" w:space="0"/>
              <w:left w:val="single" w:color="000000" w:sz="4" w:space="0"/>
              <w:bottom w:val="single" w:color="000000" w:sz="4" w:space="0"/>
              <w:right w:val="single" w:color="000000" w:sz="4" w:space="0"/>
            </w:tcBorders>
            <w:tcW w:w="1176" w:type="dxa"/>
            <w:textDirection w:val="lrTb"/>
            <w:noWrap w:val="false"/>
          </w:tcPr>
          <w:p>
            <w:pPr>
              <w:pStyle w:val="903"/>
              <w:jc w:val="center"/>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24" w:type="dxa"/>
            <w:textDirection w:val="lrTb"/>
            <w:noWrap w:val="false"/>
          </w:tcPr>
          <w:p>
            <w:pPr>
              <w:pStyle w:val="903"/>
              <w:ind w:left="535"/>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收运（第二次）</w:t>
            </w:r>
            <w:r/>
          </w:p>
        </w:tc>
        <w:tc>
          <w:tcPr>
            <w:tcBorders>
              <w:top w:val="single" w:color="000000" w:sz="4" w:space="0"/>
              <w:left w:val="single" w:color="000000" w:sz="4" w:space="0"/>
              <w:bottom w:val="single" w:color="000000" w:sz="4" w:space="0"/>
              <w:right w:val="single" w:color="000000" w:sz="4" w:space="0"/>
            </w:tcBorders>
            <w:tcW w:w="2482" w:type="dxa"/>
            <w:textDirection w:val="lrTb"/>
            <w:noWrap w:val="false"/>
          </w:tcPr>
          <w:p>
            <w:pPr>
              <w:pStyle w:val="903"/>
              <w:ind w:left="631"/>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14:00-16:00</w:t>
            </w:r>
            <w:r/>
          </w:p>
        </w:tc>
      </w:tr>
      <w:tr>
        <w:trPr>
          <w:trHeight w:val="437" w:hRule="exact"/>
        </w:trPr>
        <w:tc>
          <w:tcPr>
            <w:tcBorders>
              <w:top w:val="single" w:color="000000" w:sz="4" w:space="0"/>
              <w:left w:val="single" w:color="000000" w:sz="4" w:space="0"/>
              <w:bottom w:val="single" w:color="000000" w:sz="4" w:space="0"/>
              <w:right w:val="single" w:color="000000" w:sz="4" w:space="0"/>
            </w:tcBorders>
            <w:tcW w:w="1176" w:type="dxa"/>
            <w:textDirection w:val="lrTb"/>
            <w:noWrap w:val="false"/>
          </w:tcPr>
          <w:p>
            <w:pPr>
              <w:pStyle w:val="903"/>
              <w:jc w:val="center"/>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624" w:type="dxa"/>
            <w:textDirection w:val="lrTb"/>
            <w:noWrap w:val="false"/>
          </w:tcPr>
          <w:p>
            <w:pPr>
              <w:pStyle w:val="903"/>
              <w:ind w:left="867"/>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巡回收集</w:t>
            </w:r>
            <w:r/>
          </w:p>
        </w:tc>
        <w:tc>
          <w:tcPr>
            <w:tcBorders>
              <w:top w:val="single" w:color="000000" w:sz="4" w:space="0"/>
              <w:left w:val="single" w:color="000000" w:sz="4" w:space="0"/>
              <w:bottom w:val="single" w:color="000000" w:sz="4" w:space="0"/>
              <w:right w:val="single" w:color="000000" w:sz="4" w:space="0"/>
            </w:tcBorders>
            <w:tcW w:w="2482" w:type="dxa"/>
            <w:textDirection w:val="lrTb"/>
            <w:noWrap w:val="false"/>
          </w:tcPr>
          <w:p>
            <w:pPr>
              <w:pStyle w:val="903"/>
              <w:ind w:left="686"/>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8:00-17:00</w:t>
            </w:r>
            <w:r/>
          </w:p>
        </w:tc>
      </w:tr>
    </w:tbl>
    <w:p>
      <w:pPr>
        <w:pStyle w:val="916"/>
        <w:ind w:firstLine="64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分类处置：建筑垃圾、工程渣土、修缮装修垃圾等不得混入生活垃圾堆放到指定的地点；工业固体废、医疗废物以及其他易燃、易爆、剧毒、放射性等有毒有害废弃物，应当按照国家有关规定单独收集、运输、处置，禁止混入城市生活垃圾，发现外来此类废弃物应依法处置。</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b/>
          <w:sz w:val="24"/>
          <w:szCs w:val="24"/>
          <w:highlight w:val="none"/>
        </w:rPr>
        <w:t xml:space="preserve">三）公厕保洁</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sz w:val="24"/>
          <w:szCs w:val="24"/>
          <w:highlight w:val="none"/>
        </w:rPr>
        <w:t xml:space="preserve">必须做到“六无六净”。“六无”即无纸屑、无污迹、无堵塞、无积水、无蛆蝇、无积尘；“六净”即地面净、墙壁净、门窗净、蹲位净、隔板净、周围净。</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1、地面：安排专人全天候保洁，地面上午下午各间隔打扫2次，总的不少于4次，要保持内部清爽无水渍。</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2、墙面：水池、墙面、板面和隐蔽部位每天清理2次，必须做到无污迹、无蜘蛛、无蛆虫、无黄斑、无小广告、无杂物等，保持卫生清洁空气清香。</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3、外部：厕所外部周边无杂物杂草，无垃圾。</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4、清运：负责清掏粪便的应当及时清掏，不得出现外溢情形；应当密闭运输并倾倒指定消纳场所，不得随意倾倒污染环境。</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5、消毒：每天上午对公厕内部空间进行一次有效消毒。</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6、记录：保洁人员每次打扫要求记录，片长每天进行检查要有评价记录。</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b/>
          <w:sz w:val="24"/>
          <w:szCs w:val="24"/>
          <w:highlight w:val="none"/>
        </w:rPr>
        <w:t xml:space="preserve">四）其它方面</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sz w:val="24"/>
          <w:szCs w:val="24"/>
          <w:highlight w:val="none"/>
        </w:rPr>
        <w:t xml:space="preserve">1、里巷保洁：里巷道路及时保洁，做到无垃圾积存，每周一集中巡回清理杂物一次。</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垃圾收集设施：清运后将垃圾桶摆放到位，尤其是四分类垃圾桶要严格按照标识进行归位，垃圾桶每周机械冲洗、擦洗1次，每日人工擦洗一次，做到随脏随擦。每天将四分类垃圾收集亭保洁一次，做到无污渍、无小广告。如发现收集亭有任何损坏问题及时上报公司或镇五位一体办公室。</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3、市政设施保洁：公交站台（牌）、公益宣传栏、护栏等设施每天保洁一次，做到无污渍、无小广告。</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sz w:val="24"/>
          <w:szCs w:val="24"/>
          <w:highlight w:val="none"/>
        </w:rPr>
        <w:t xml:space="preserve">4、绿化保洁：绿化带内无垃圾、周边无杂物，及时清除杂草、治虫、清理爬藤作物等；每年3-4月对树木剥芽一次，夏季、冬季各修剪一次；草坪在4-10月份每20天割草一次，其他时间根据需要清理，对乔木、灌木的修剪要根据其具体高度及形状。</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lang w:eastAsia="zh-CN"/>
        </w:rPr>
        <w:t xml:space="preserve">（</w:t>
      </w:r>
      <w:r>
        <w:rPr>
          <w:rFonts w:hint="eastAsia" w:ascii="华文仿宋" w:hAnsi="华文仿宋" w:eastAsia="华文仿宋" w:cs="华文仿宋"/>
          <w:b/>
          <w:bCs/>
          <w:sz w:val="24"/>
          <w:szCs w:val="24"/>
          <w:highlight w:val="none"/>
          <w:lang w:val="en-US" w:eastAsia="zh-CN"/>
        </w:rPr>
        <w:t xml:space="preserve">五</w:t>
      </w:r>
      <w:r>
        <w:rPr>
          <w:rFonts w:hint="eastAsia" w:ascii="华文仿宋" w:hAnsi="华文仿宋" w:eastAsia="华文仿宋" w:cs="华文仿宋"/>
          <w:b/>
          <w:bCs/>
          <w:sz w:val="24"/>
          <w:szCs w:val="24"/>
          <w:highlight w:val="none"/>
          <w:lang w:eastAsia="zh-CN"/>
        </w:rPr>
        <w:t xml:space="preserve">）</w:t>
      </w:r>
      <w:r>
        <w:rPr>
          <w:rFonts w:hint="eastAsia" w:ascii="华文仿宋" w:hAnsi="华文仿宋" w:eastAsia="华文仿宋" w:cs="华文仿宋"/>
          <w:b/>
          <w:bCs/>
          <w:sz w:val="24"/>
          <w:szCs w:val="24"/>
          <w:highlight w:val="none"/>
        </w:rPr>
        <w:t xml:space="preserve">环境卫生管理中心和易腐垃圾处置中心的运营和维护</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t xml:space="preserve">一）生活垃圾中转</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1、服务公司负责制定垃圾中转实施方案，保证垃圾运至环境卫生管理中心时有序倒放，不拥堵、无乱倒现象。</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2、转运垃圾需全部倒入压缩箱内，不得堆放在地面，倒放过程中出现漏滴时，要第一时间进行处理，确保地面随时干净。</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3、垃圾压缩箱装满后应及时通知驾驶人员运走，不得将装满的箱体压缩后放置于环境卫生管理中心内不处理。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4、垃圾压缩过程中产生的渗滤液要及时排放到收集池内，不得污染地面卫生。</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t xml:space="preserve">二)垃圾运输</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1、垃圾装满后及时清运。</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2、转运车辆驶离环境卫生管理中心时，必须对车辆（包括箱体）进行冲洗干净后，方可离场；要确保车辆干净、整洁。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3、垃圾计量应真实、准确，不得弄虚作假。</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4、垃圾运输车辆停放时应摆放整齐，车身干净、整洁、无臭味，不得影响环境卫生管理中心容貌或周边环境。</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t xml:space="preserve">三）环境卫生管理中心管理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1、环境卫生管理中心必须保持24小时有人值班（安排食宿），严禁脱岗等无人管理现象发生。</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2、中心随时清洗，掉落的垃圾及时清理倒入垃圾压缩箱内，保持站场卫生良好。</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3、做好中心卫生消杀、防虫、防疫等工作。</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4、严格按照操作设备规范进行操作，严禁违规使用，杜绝安全事故发生。</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5、值班室保持规范、整洁、卫生，物品有序堆放。</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6、环境卫生管理中心场内严禁出现拾荒人员，严禁中心内堆放废旧回收杂物。</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t xml:space="preserve">四）污水处理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1、因垃圾压缩过程中会产生大量渗滤液和污水，严禁直接将污水排入附近的河流、水域和土地内。</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2、压缩过程中产生的垃圾渗滤液需及时通知转运部门运送至指定地点处理。</w:t>
      </w:r>
      <w:r/>
    </w:p>
    <w:p>
      <w:pPr>
        <w:ind w:firstLine="480"/>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bCs/>
          <w:sz w:val="24"/>
          <w:szCs w:val="24"/>
          <w:highlight w:val="none"/>
        </w:rPr>
        <w:t xml:space="preserve">五）内部管理要求</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1、建立严格的内部管理制度，包括作业标准、作业流程、安全作业措施及制度、应急工作预案等，中心负责人在服务过程中应当建立相应的工作日志、操作记录等，镇五位一体办定期抽查并提出整改意见。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（2）所有员工统一着装，佩带安全帽，安全作业，操作人员在服务过程中，须合理使用环境卫生管理中心设施设备，定期维护保养，如因工作人员原因造成毁（损）坏的，则由承包方担全部赔偿责任。</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lang w:eastAsia="zh-CN"/>
        </w:rPr>
        <w:t xml:space="preserve">（</w:t>
      </w:r>
      <w:r>
        <w:rPr>
          <w:rFonts w:hint="eastAsia" w:ascii="华文仿宋" w:hAnsi="华文仿宋" w:eastAsia="华文仿宋" w:cs="华文仿宋"/>
          <w:b/>
          <w:sz w:val="24"/>
          <w:szCs w:val="24"/>
          <w:highlight w:val="none"/>
          <w:lang w:val="en-US" w:eastAsia="zh-CN"/>
        </w:rPr>
        <w:t xml:space="preserve">六</w:t>
      </w:r>
      <w:r>
        <w:rPr>
          <w:rFonts w:hint="eastAsia" w:ascii="华文仿宋" w:hAnsi="华文仿宋" w:eastAsia="华文仿宋" w:cs="华文仿宋"/>
          <w:b/>
          <w:sz w:val="24"/>
          <w:szCs w:val="24"/>
          <w:highlight w:val="none"/>
          <w:lang w:eastAsia="zh-CN"/>
        </w:rPr>
        <w:t xml:space="preserve">）</w:t>
      </w:r>
      <w:r>
        <w:rPr>
          <w:rFonts w:hint="eastAsia" w:ascii="华文仿宋" w:hAnsi="华文仿宋" w:eastAsia="华文仿宋" w:cs="华文仿宋"/>
          <w:b/>
          <w:sz w:val="24"/>
          <w:szCs w:val="24"/>
          <w:highlight w:val="none"/>
        </w:rPr>
        <w:t xml:space="preserve">公司管理运行要求</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服务公司是政府购买服务，代表政府为辖区内群众做好环境卫保洁服务的。公司要通过宣传教育强化为民情怀、提升服务意识，推动每名工作人员做好环境卫生服务；通过加强内部管理、深入沟通交流，引导每名工作人员高标准完成任务，赢得群众理解和口碑，形成浓厚的共建、共管、共创、共爱的保洁氛围。镇“五位一体”办对管理运行中具体的问题将以书面交办单形式要求公司落实整改。</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b/>
          <w:sz w:val="24"/>
          <w:szCs w:val="24"/>
          <w:highlight w:val="none"/>
        </w:rPr>
        <w:t xml:space="preserve">一）人员岗位的配备管理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充足的工作人员是高质量完成服务任务的关键前提，公司实际用工人数以镇测算人员数为准，不得比测算标准减少、用工质量不得比要求标准降低，必须按镇测算人数和标准配足配齐，负责管理运行和全域保洁。</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1、岗位配备。</w:t>
      </w:r>
      <w:r/>
    </w:p>
    <w:p>
      <w:pPr>
        <w:ind w:firstLine="480"/>
        <w:spacing w:line="360" w:lineRule="auto"/>
        <w:rPr>
          <w:rFonts w:hint="eastAsia" w:ascii="华文仿宋" w:hAnsi="华文仿宋" w:eastAsia="华文仿宋" w:cs="华文仿宋"/>
          <w:i/>
          <w:iCs/>
          <w:sz w:val="24"/>
          <w:szCs w:val="24"/>
          <w:highlight w:val="none"/>
          <w:u w:val="single"/>
        </w:rPr>
        <w:outlineLvl w:val="0"/>
      </w:pPr>
      <w:r>
        <w:rPr>
          <w:rFonts w:hint="eastAsia" w:ascii="华文仿宋" w:hAnsi="华文仿宋" w:eastAsia="华文仿宋" w:cs="华文仿宋"/>
          <w:i/>
          <w:iCs/>
          <w:sz w:val="24"/>
          <w:szCs w:val="24"/>
          <w:highlight w:val="none"/>
          <w:u w:val="single"/>
        </w:rPr>
        <w:t xml:space="preserve">结合全镇实际，公司必须按要求进行设岗管理，正常在镇范围内从事运行管理岗位具体有：公司</w:t>
      </w:r>
      <w:r>
        <w:rPr>
          <w:rFonts w:hint="eastAsia" w:ascii="华文仿宋" w:hAnsi="华文仿宋" w:eastAsia="华文仿宋" w:cs="华文仿宋"/>
          <w:i/>
          <w:iCs/>
          <w:sz w:val="24"/>
          <w:szCs w:val="24"/>
          <w:highlight w:val="none"/>
          <w:u w:val="single"/>
          <w:lang w:eastAsia="zh-CN"/>
        </w:rPr>
        <w:t xml:space="preserve">法定代表人</w:t>
      </w:r>
      <w:r>
        <w:rPr>
          <w:rFonts w:hint="eastAsia" w:ascii="华文仿宋" w:hAnsi="华文仿宋" w:eastAsia="华文仿宋" w:cs="华文仿宋"/>
          <w:i/>
          <w:iCs/>
          <w:sz w:val="24"/>
          <w:szCs w:val="24"/>
          <w:highlight w:val="none"/>
          <w:u w:val="single"/>
        </w:rPr>
        <w:t xml:space="preserve">（或授权驻镇总经理）1名，项目正主管1名，项目副主管1名，财务人员1名，分片片长5名（镇区1名，农村4名），农村保洁清运人员115名（其中90名为上门收集人员，25名为保洁人员道路专项保洁员），镇区保洁员19名，东凌工业集中区保洁员2名，兵房工业园区保洁员1名，张謇工业园区保洁员1名，河道长效保洁员40名，大型车辆驾驶员8名、辅助工1名、倒桶工12名。环境卫生管理中心设站长1名，统计员1名，操作工2名，辅助工4名。除</w:t>
      </w:r>
      <w:r>
        <w:rPr>
          <w:rFonts w:hint="eastAsia" w:ascii="华文仿宋" w:hAnsi="华文仿宋" w:eastAsia="华文仿宋" w:cs="华文仿宋"/>
          <w:i/>
          <w:iCs/>
          <w:sz w:val="24"/>
          <w:szCs w:val="24"/>
          <w:highlight w:val="none"/>
          <w:u w:val="single"/>
          <w:lang w:eastAsia="zh-CN"/>
        </w:rPr>
        <w:t xml:space="preserve">法定代表人</w:t>
      </w:r>
      <w:r>
        <w:rPr>
          <w:rFonts w:hint="eastAsia" w:ascii="华文仿宋" w:hAnsi="华文仿宋" w:eastAsia="华文仿宋" w:cs="华文仿宋"/>
          <w:i/>
          <w:iCs/>
          <w:sz w:val="24"/>
          <w:szCs w:val="24"/>
          <w:highlight w:val="none"/>
          <w:u w:val="single"/>
        </w:rPr>
        <w:t xml:space="preserve">（或授权驻镇总经理）外，其余工作人员应尽可能在本镇范围内选聘，在现有人员中择优录用，除现有人员外，本镇退役军人、残疾人优先考虑。</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2、人员要求</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w:t>
      </w:r>
      <w:r>
        <w:rPr>
          <w:rFonts w:hint="eastAsia" w:ascii="华文仿宋" w:hAnsi="华文仿宋" w:eastAsia="华文仿宋" w:cs="华文仿宋"/>
          <w:sz w:val="24"/>
          <w:szCs w:val="24"/>
          <w:highlight w:val="none"/>
          <w:lang w:eastAsia="zh-CN"/>
        </w:rPr>
        <w:t xml:space="preserve">法定代表人</w:t>
      </w:r>
      <w:r>
        <w:rPr>
          <w:rFonts w:hint="eastAsia" w:ascii="华文仿宋" w:hAnsi="华文仿宋" w:eastAsia="华文仿宋" w:cs="华文仿宋"/>
          <w:sz w:val="24"/>
          <w:szCs w:val="24"/>
          <w:highlight w:val="none"/>
        </w:rPr>
        <w:t xml:space="preserve">（或授权驻镇总经理）：要能够深刻理解“生态振兴和人居环境”工作的要求，要充分认识满足人民群众对美好生活的向往，要配足岗位人员、强化物资保障、科学合理调度、注重运行管理、加强安全生产，不断提升公司运行效率保洁水平。</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2）正、副主管、会计：3名管理人员都要有一定环卫管理经历经验，或农村工作经验、相关企业车间班组长以上的管理经验，要具有较强管理和服务意识，要具有较强沟通和协调能力，能够有效加强人员管理，能够有效推动工作落实，其中主管必须有一名55周岁以下男性。以我镇测算人员数量为准，若管理人员每少1人的，每月按月度结算支付款3%扣罚。</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3）片长：片长的人员安排公司以发包方推荐为主。镇区1名片长，公司应当选择一名理念先进，能积极学习并运用县级以上城区环卫管理经验的管理人员，专职负责镇的管理。农村片4名片长，男性,应具有丰富的农村工作经验，较强的现场管理和协调能力，责任心强，能够坚持原则。以我镇测算人员数量为准，若片长每少1人的，每月按月度结算支付款3%扣罚。</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保洁清运员和河道长效保洁队：不少于178人，保洁员男性不大于65周岁、女性不大于60周岁年龄（若工作责任心强、能吃苦耐劳、群众认可度高可适当放宽），清运人员和河道长效保洁队须为男性，尽可能在本镇范围内对应的各村选择录用责任心强、能吃苦耐劳、群众认可度高、家庭形象好、年纪轻、身体健康的人员。以我镇测算人员数量为准，若保洁员、道路专项管护员、河道长效保洁队和清运人员每少1人的，每月按月度结算支付款1%扣罚。</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保洁清运工作强度大，对体力耐力有一定的要求，年龄较大的员工可能在体力上难以长时间维持高强度的工作状态，影响工作效率和质量。要建有到龄退岗机制，原则上男性不大于68周岁，女性不大于65周岁，若工作职责心强，能吃苦耐劳、群众认可度高可适当放宽，严禁男性超过70周岁，女性超过67周岁。</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（5）五位一体专干：镇每村安排一名村干任村五位一体专干，负责参与公司在该村范围内的卫生管理和人员调度，加强对本村范围内的清运员和保洁员的管理与考核。</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sz w:val="24"/>
          <w:szCs w:val="24"/>
          <w:highlight w:val="none"/>
        </w:rPr>
        <w:t xml:space="preserve">（6）人员管理：公司要制定人员工作考评管理制度，对每个人的工作绩效进行考核。正副主管、会计、片长、村五位一体专干等管理人员都要熟悉相应管理区域的每个保洁员、清运员等一线工作人员的基本情况。对考核评价</w:t>
      </w:r>
      <w:r>
        <w:rPr>
          <w:rFonts w:hint="eastAsia" w:ascii="华文仿宋" w:hAnsi="华文仿宋" w:eastAsia="华文仿宋" w:cs="华文仿宋"/>
          <w:b/>
          <w:sz w:val="24"/>
          <w:szCs w:val="24"/>
          <w:highlight w:val="none"/>
        </w:rPr>
        <w:t xml:space="preserve">适岗性差的工作人员，经教育后仍无法满足工作要求的要及时解聘更换。</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3、考勤管理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（1）公司必须在镇区有固定的办公场所，</w:t>
      </w:r>
      <w:r>
        <w:rPr>
          <w:rFonts w:hint="eastAsia" w:ascii="华文仿宋" w:hAnsi="华文仿宋" w:eastAsia="华文仿宋" w:cs="华文仿宋"/>
          <w:sz w:val="24"/>
          <w:szCs w:val="24"/>
          <w:highlight w:val="none"/>
          <w:lang w:eastAsia="zh-CN"/>
        </w:rPr>
        <w:t xml:space="preserve">法定代表人</w:t>
      </w:r>
      <w:r>
        <w:rPr>
          <w:rFonts w:hint="eastAsia" w:ascii="华文仿宋" w:hAnsi="华文仿宋" w:eastAsia="华文仿宋" w:cs="华文仿宋"/>
          <w:sz w:val="24"/>
          <w:szCs w:val="24"/>
          <w:highlight w:val="none"/>
        </w:rPr>
        <w:t xml:space="preserve">（或授权驻镇总经理）、正副主管和会计每天到其办公场所指纹签到，镇“五位一体”办公室负责管理，其他人员到岗到位情况由公司负责考勤，镇随时组织抽查。</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（2）公司</w:t>
      </w:r>
      <w:r>
        <w:rPr>
          <w:rFonts w:hint="eastAsia" w:ascii="华文仿宋" w:hAnsi="华文仿宋" w:eastAsia="华文仿宋" w:cs="华文仿宋"/>
          <w:b/>
          <w:sz w:val="24"/>
          <w:szCs w:val="24"/>
          <w:highlight w:val="none"/>
          <w:lang w:eastAsia="zh-CN"/>
        </w:rPr>
        <w:t xml:space="preserve">法定代表人</w:t>
      </w:r>
      <w:r>
        <w:rPr>
          <w:rFonts w:hint="eastAsia" w:ascii="华文仿宋" w:hAnsi="华文仿宋" w:eastAsia="华文仿宋" w:cs="华文仿宋"/>
          <w:b/>
          <w:sz w:val="24"/>
          <w:szCs w:val="24"/>
          <w:highlight w:val="none"/>
        </w:rPr>
        <w:t xml:space="preserve">（或授权驻镇总经理）必须在镇总体牵头，亲自参与管理，负责生产调度，每月出勤不少于22个工作日。</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（3）正副主管每人每月出勤不少于25个工作日，会计每月出勤不少于22个工作日。</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（4）片长每月出勤不少于28天。</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（5）在清明、五一、国庆、元旦、春节等节日期间，片长以上管理人员必须每天在镇亲自指挥管理应对各种情况，确保保洁全域整体干净整洁，确保垃圾高峰期清运顺畅，确保不发生社会垃圾滞压乱象。</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b/>
          <w:sz w:val="24"/>
          <w:szCs w:val="24"/>
          <w:highlight w:val="none"/>
        </w:rPr>
        <w:t xml:space="preserve">二）工作运行机制及制度</w:t>
      </w:r>
      <w:r/>
    </w:p>
    <w:p>
      <w:pPr>
        <w:ind w:firstLine="480"/>
        <w:spacing w:line="360" w:lineRule="auto"/>
        <w:rPr>
          <w:rFonts w:hint="eastAsia" w:ascii="华文仿宋" w:hAnsi="华文仿宋" w:eastAsia="华文仿宋" w:cs="华文仿宋"/>
          <w:sz w:val="24"/>
          <w:szCs w:val="24"/>
          <w:highlight w:val="none"/>
          <w:u w:val="single"/>
        </w:rPr>
      </w:pPr>
      <w:r>
        <w:rPr>
          <w:rFonts w:hint="eastAsia" w:ascii="华文仿宋" w:hAnsi="华文仿宋" w:eastAsia="华文仿宋" w:cs="华文仿宋"/>
          <w:b/>
          <w:sz w:val="24"/>
          <w:szCs w:val="24"/>
          <w:highlight w:val="none"/>
        </w:rPr>
        <w:t xml:space="preserve">1、组织机制：</w:t>
      </w:r>
      <w:r>
        <w:rPr>
          <w:rFonts w:hint="eastAsia" w:ascii="华文仿宋" w:hAnsi="华文仿宋" w:eastAsia="华文仿宋" w:cs="华文仿宋"/>
          <w:sz w:val="24"/>
          <w:szCs w:val="24"/>
          <w:highlight w:val="none"/>
        </w:rPr>
        <w:t xml:space="preserve">在足额配全人员的基础上，建立层级分明的管理架构，</w:t>
      </w:r>
      <w:r>
        <w:rPr>
          <w:rFonts w:hint="eastAsia" w:ascii="华文仿宋" w:hAnsi="华文仿宋" w:eastAsia="华文仿宋" w:cs="华文仿宋"/>
          <w:sz w:val="24"/>
          <w:szCs w:val="24"/>
          <w:highlight w:val="none"/>
          <w:lang w:eastAsia="zh-CN"/>
        </w:rPr>
        <w:t xml:space="preserve">法定代表人</w:t>
      </w:r>
      <w:r>
        <w:rPr>
          <w:rFonts w:hint="eastAsia" w:ascii="华文仿宋" w:hAnsi="华文仿宋" w:eastAsia="华文仿宋" w:cs="华文仿宋"/>
          <w:sz w:val="24"/>
          <w:szCs w:val="24"/>
          <w:highlight w:val="none"/>
        </w:rPr>
        <w:t xml:space="preserve">（或授权驻镇总经理）总负责，项目正副主管包片负责同时负责河道长效保洁队工作规划和调度，片长包村负责。</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2、环卫闭环监管机制：</w:t>
      </w:r>
      <w:r>
        <w:rPr>
          <w:rFonts w:hint="eastAsia" w:ascii="华文仿宋" w:hAnsi="华文仿宋" w:eastAsia="华文仿宋" w:cs="华文仿宋"/>
          <w:sz w:val="24"/>
          <w:szCs w:val="24"/>
          <w:highlight w:val="none"/>
        </w:rPr>
        <w:t xml:space="preserve">公司必须根据大豫镇实际情况建立满足大豫镇“五位一体”现实需要的环卫智能管理平台，对人员、车辆作业路线、作业次数、作业时间实时监控，具备作业里程统计、历史作业轨迹回放、人员违规事件点查询预警、作业规划、考核评价等功能，能够彻底解决人员作业合理规划、作业过程实时监控、作业结果公平考核等管理难题。</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3、奖惩机制：</w:t>
      </w:r>
      <w:r>
        <w:rPr>
          <w:rFonts w:hint="eastAsia" w:ascii="华文仿宋" w:hAnsi="华文仿宋" w:eastAsia="华文仿宋" w:cs="华文仿宋"/>
          <w:sz w:val="24"/>
          <w:szCs w:val="24"/>
          <w:highlight w:val="none"/>
        </w:rPr>
        <w:t xml:space="preserve">奖惩机制：</w:t>
      </w:r>
      <w:r>
        <w:rPr>
          <w:rFonts w:hint="eastAsia" w:ascii="华文仿宋" w:hAnsi="华文仿宋" w:eastAsia="华文仿宋" w:cs="华文仿宋"/>
          <w:sz w:val="24"/>
          <w:szCs w:val="24"/>
          <w:highlight w:val="none"/>
        </w:rPr>
        <w:fldChar w:fldCharType="begin"/>
      </w:r>
      <w:r>
        <w:rPr>
          <w:rFonts w:hint="eastAsia" w:ascii="华文仿宋" w:hAnsi="华文仿宋" w:eastAsia="华文仿宋" w:cs="华文仿宋"/>
          <w:sz w:val="24"/>
          <w:szCs w:val="24"/>
          <w:highlight w:val="none"/>
        </w:rPr>
        <w:instrText xml:space="preserve"> = 1 \* GB3 </w:instrText>
      </w:r>
      <w:r>
        <w:rPr>
          <w:rFonts w:hint="eastAsia" w:ascii="华文仿宋" w:hAnsi="华文仿宋" w:eastAsia="华文仿宋" w:cs="华文仿宋"/>
          <w:sz w:val="24"/>
          <w:szCs w:val="24"/>
          <w:highlight w:val="none"/>
        </w:rPr>
        <w:fldChar w:fldCharType="separate"/>
      </w:r>
      <w:r>
        <w:rPr>
          <w:rFonts w:hint="eastAsia" w:ascii="华文仿宋" w:hAnsi="华文仿宋" w:eastAsia="华文仿宋" w:cs="华文仿宋"/>
          <w:sz w:val="24"/>
          <w:szCs w:val="24"/>
          <w:highlight w:val="none"/>
        </w:rPr>
        <w:t xml:space="preserve">①</w:t>
      </w:r>
      <w:r>
        <w:rPr>
          <w:rFonts w:hint="eastAsia" w:ascii="华文仿宋" w:hAnsi="华文仿宋" w:eastAsia="华文仿宋" w:cs="华文仿宋"/>
          <w:sz w:val="24"/>
          <w:szCs w:val="24"/>
          <w:highlight w:val="none"/>
        </w:rPr>
        <w:fldChar w:fldCharType="end"/>
      </w:r>
      <w:r>
        <w:rPr>
          <w:rFonts w:hint="eastAsia" w:ascii="华文仿宋" w:hAnsi="华文仿宋" w:eastAsia="华文仿宋" w:cs="华文仿宋"/>
          <w:sz w:val="24"/>
          <w:szCs w:val="24"/>
          <w:highlight w:val="none"/>
        </w:rPr>
        <w:t xml:space="preserve">公司必须制定一套完善的人员考核奖惩机制，考核到级、到岗、到人，与工资发放挂钩，并做好相应台账记录。镇五位一体办公室将随机进行抽查落实情况，并组织考核。</w:t>
      </w:r>
      <w:r>
        <w:rPr>
          <w:rFonts w:hint="eastAsia" w:ascii="华文仿宋" w:hAnsi="华文仿宋" w:eastAsia="华文仿宋" w:cs="华文仿宋"/>
          <w:sz w:val="24"/>
          <w:szCs w:val="24"/>
          <w:highlight w:val="none"/>
        </w:rPr>
        <w:fldChar w:fldCharType="begin"/>
      </w:r>
      <w:r>
        <w:rPr>
          <w:rFonts w:hint="eastAsia" w:ascii="华文仿宋" w:hAnsi="华文仿宋" w:eastAsia="华文仿宋" w:cs="华文仿宋"/>
          <w:sz w:val="24"/>
          <w:szCs w:val="24"/>
          <w:highlight w:val="none"/>
        </w:rPr>
        <w:instrText xml:space="preserve"> = 2 \* GB3 </w:instrText>
      </w:r>
      <w:r>
        <w:rPr>
          <w:rFonts w:hint="eastAsia" w:ascii="华文仿宋" w:hAnsi="华文仿宋" w:eastAsia="华文仿宋" w:cs="华文仿宋"/>
          <w:sz w:val="24"/>
          <w:szCs w:val="24"/>
          <w:highlight w:val="none"/>
        </w:rPr>
        <w:fldChar w:fldCharType="separate"/>
      </w:r>
      <w:r>
        <w:rPr>
          <w:rFonts w:hint="eastAsia" w:ascii="华文仿宋" w:hAnsi="华文仿宋" w:eastAsia="华文仿宋" w:cs="华文仿宋"/>
          <w:sz w:val="24"/>
          <w:szCs w:val="24"/>
          <w:highlight w:val="none"/>
        </w:rPr>
        <w:t xml:space="preserve">②</w:t>
      </w:r>
      <w:r>
        <w:rPr>
          <w:rFonts w:hint="eastAsia" w:ascii="华文仿宋" w:hAnsi="华文仿宋" w:eastAsia="华文仿宋" w:cs="华文仿宋"/>
          <w:sz w:val="24"/>
          <w:szCs w:val="24"/>
          <w:highlight w:val="none"/>
        </w:rPr>
        <w:fldChar w:fldCharType="end"/>
      </w:r>
      <w:r>
        <w:rPr>
          <w:rFonts w:hint="eastAsia" w:ascii="华文仿宋" w:hAnsi="华文仿宋" w:eastAsia="华文仿宋" w:cs="华文仿宋"/>
          <w:sz w:val="24"/>
          <w:szCs w:val="24"/>
          <w:highlight w:val="none"/>
        </w:rPr>
        <w:t xml:space="preserve">各村每月对保洁人员进行评价，当月得分最低的保洁人员将予以警告教育，连续两个月评价得分最低的保洁人员责令承包单位予以辞退，不辞退的由镇在承包款中扣除每人每月10000元。</w:t>
      </w:r>
      <w:r>
        <w:rPr>
          <w:rFonts w:hint="eastAsia" w:ascii="华文仿宋" w:hAnsi="华文仿宋" w:eastAsia="华文仿宋" w:cs="华文仿宋"/>
          <w:sz w:val="24"/>
          <w:szCs w:val="24"/>
          <w:highlight w:val="none"/>
        </w:rPr>
        <w:fldChar w:fldCharType="begin"/>
      </w:r>
      <w:r>
        <w:rPr>
          <w:rFonts w:hint="eastAsia" w:ascii="华文仿宋" w:hAnsi="华文仿宋" w:eastAsia="华文仿宋" w:cs="华文仿宋"/>
          <w:sz w:val="24"/>
          <w:szCs w:val="24"/>
          <w:highlight w:val="none"/>
        </w:rPr>
        <w:instrText xml:space="preserve"> = 3 \* GB3 </w:instrText>
      </w:r>
      <w:r>
        <w:rPr>
          <w:rFonts w:hint="eastAsia" w:ascii="华文仿宋" w:hAnsi="华文仿宋" w:eastAsia="华文仿宋" w:cs="华文仿宋"/>
          <w:sz w:val="24"/>
          <w:szCs w:val="24"/>
          <w:highlight w:val="none"/>
        </w:rPr>
        <w:fldChar w:fldCharType="separate"/>
      </w:r>
      <w:r>
        <w:rPr>
          <w:rFonts w:hint="eastAsia" w:ascii="华文仿宋" w:hAnsi="华文仿宋" w:eastAsia="华文仿宋" w:cs="华文仿宋"/>
          <w:sz w:val="24"/>
          <w:szCs w:val="24"/>
          <w:highlight w:val="none"/>
        </w:rPr>
        <w:t xml:space="preserve">③</w:t>
      </w:r>
      <w:r>
        <w:rPr>
          <w:rFonts w:hint="eastAsia" w:ascii="华文仿宋" w:hAnsi="华文仿宋" w:eastAsia="华文仿宋" w:cs="华文仿宋"/>
          <w:sz w:val="24"/>
          <w:szCs w:val="24"/>
          <w:highlight w:val="none"/>
        </w:rPr>
        <w:fldChar w:fldCharType="end"/>
      </w:r>
      <w:r>
        <w:rPr>
          <w:rFonts w:hint="eastAsia" w:ascii="华文仿宋" w:hAnsi="华文仿宋" w:eastAsia="华文仿宋" w:cs="华文仿宋"/>
          <w:sz w:val="24"/>
          <w:szCs w:val="24"/>
          <w:highlight w:val="none"/>
        </w:rPr>
        <w:t xml:space="preserve">镇五位一体办每月对河道长效保洁队人员进行评价，当月得分最低的保洁员将予以警告教育，连续两个月得分最低的保洁人员责令承包单位予以辞退，不辞退的由镇在承包款中扣除每个每月10000元。</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4、例会制度：</w:t>
      </w:r>
      <w:r>
        <w:rPr>
          <w:rFonts w:hint="eastAsia" w:ascii="华文仿宋" w:hAnsi="华文仿宋" w:eastAsia="华文仿宋" w:cs="华文仿宋"/>
          <w:sz w:val="24"/>
          <w:szCs w:val="24"/>
          <w:highlight w:val="none"/>
        </w:rPr>
        <w:t xml:space="preserve">公司必须建立健全各层级例会制度，做好相应台账记录。①全体人员会议：每年召开全体保洁员大会（含以片为单位会议）不少于2批次。②全体管理人员会议：镇“五位一体”办公室人员参加的片长以上管理人员的会议每周不少于一次。③村全体保洁队会议：片长主持、包片主管和村五位一体专干参加的全体队员会议每周每村至少召开一次。</w:t>
      </w:r>
      <w:r>
        <w:rPr>
          <w:rFonts w:hint="eastAsia" w:ascii="华文仿宋" w:hAnsi="华文仿宋" w:eastAsia="华文仿宋" w:cs="华文仿宋"/>
          <w:sz w:val="24"/>
          <w:szCs w:val="24"/>
          <w:highlight w:val="none"/>
        </w:rPr>
        <w:fldChar w:fldCharType="begin"/>
      </w:r>
      <w:r>
        <w:rPr>
          <w:rFonts w:hint="eastAsia" w:ascii="华文仿宋" w:hAnsi="华文仿宋" w:eastAsia="华文仿宋" w:cs="华文仿宋"/>
          <w:sz w:val="24"/>
          <w:szCs w:val="24"/>
          <w:highlight w:val="none"/>
        </w:rPr>
        <w:instrText xml:space="preserve"> = 4 \* GB3 </w:instrText>
      </w:r>
      <w:r>
        <w:rPr>
          <w:rFonts w:hint="eastAsia" w:ascii="华文仿宋" w:hAnsi="华文仿宋" w:eastAsia="华文仿宋" w:cs="华文仿宋"/>
          <w:sz w:val="24"/>
          <w:szCs w:val="24"/>
          <w:highlight w:val="none"/>
        </w:rPr>
        <w:fldChar w:fldCharType="separate"/>
      </w:r>
      <w:r>
        <w:rPr>
          <w:rFonts w:hint="eastAsia" w:ascii="华文仿宋" w:hAnsi="华文仿宋" w:eastAsia="华文仿宋" w:cs="华文仿宋"/>
          <w:sz w:val="24"/>
          <w:szCs w:val="24"/>
          <w:highlight w:val="none"/>
        </w:rPr>
        <w:t xml:space="preserve">④</w:t>
      </w:r>
      <w:r>
        <w:rPr>
          <w:rFonts w:hint="eastAsia" w:ascii="华文仿宋" w:hAnsi="华文仿宋" w:eastAsia="华文仿宋" w:cs="华文仿宋"/>
          <w:sz w:val="24"/>
          <w:szCs w:val="24"/>
          <w:highlight w:val="none"/>
        </w:rPr>
        <w:fldChar w:fldCharType="end"/>
      </w:r>
      <w:r>
        <w:rPr>
          <w:rFonts w:hint="eastAsia" w:ascii="华文仿宋" w:hAnsi="华文仿宋" w:eastAsia="华文仿宋" w:cs="华文仿宋"/>
          <w:sz w:val="24"/>
          <w:szCs w:val="24"/>
          <w:highlight w:val="none"/>
        </w:rPr>
        <w:t xml:space="preserve">河道长效保洁队会议：项目主管主持、各片片长参加的全体队员会议每周至少召开一次。（必须集中开会，集中点评问题，集中部署工作，形式可灵活机动）。</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5、考勤制度：</w:t>
      </w:r>
      <w:r>
        <w:rPr>
          <w:rFonts w:hint="eastAsia" w:ascii="华文仿宋" w:hAnsi="华文仿宋" w:eastAsia="华文仿宋" w:cs="华文仿宋"/>
          <w:sz w:val="24"/>
          <w:szCs w:val="24"/>
          <w:highlight w:val="none"/>
        </w:rPr>
        <w:t xml:space="preserve">公司必须按考勤管理要求建立完善考勤制度。</w:t>
      </w:r>
      <w:r/>
    </w:p>
    <w:p>
      <w:pPr>
        <w:ind w:firstLine="480"/>
        <w:spacing w:line="360" w:lineRule="auto"/>
        <w:rPr>
          <w:rFonts w:hint="eastAsia" w:ascii="华文仿宋" w:hAnsi="华文仿宋" w:eastAsia="华文仿宋" w:cs="华文仿宋"/>
          <w:b/>
          <w:sz w:val="24"/>
          <w:szCs w:val="24"/>
          <w:highlight w:val="none"/>
        </w:rPr>
      </w:pPr>
      <w:r>
        <w:rPr>
          <w:rFonts w:hint="eastAsia" w:ascii="华文仿宋" w:hAnsi="华文仿宋" w:eastAsia="华文仿宋" w:cs="华文仿宋"/>
          <w:b/>
          <w:sz w:val="24"/>
          <w:szCs w:val="24"/>
          <w:highlight w:val="none"/>
        </w:rPr>
        <w:t xml:space="preserve">6、保险与工资：</w:t>
      </w:r>
      <w:r>
        <w:rPr>
          <w:rFonts w:hint="eastAsia" w:ascii="华文仿宋" w:hAnsi="华文仿宋" w:eastAsia="华文仿宋" w:cs="华文仿宋"/>
          <w:sz w:val="24"/>
          <w:szCs w:val="24"/>
          <w:highlight w:val="none"/>
        </w:rPr>
        <w:t xml:space="preserve">公司要及时缴纳相关保险，按时足额发放工人工资，养老保险缴纳适龄人员工资发放不得低于如东县职工工资最低标准。各岗位实际发放工资不得低于投标分项报价中的人工单价。</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b/>
          <w:sz w:val="24"/>
          <w:szCs w:val="24"/>
          <w:highlight w:val="none"/>
        </w:rPr>
        <w:t xml:space="preserve">三）安全生产责任及管理</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服务公司对“五位一体”服务安全生产承担主体责任，负责所有安全生产事故的一切责任，负责处理事故所有相关事宜。</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1、落实责任：</w:t>
      </w:r>
      <w:r>
        <w:rPr>
          <w:rFonts w:hint="eastAsia" w:ascii="华文仿宋" w:hAnsi="华文仿宋" w:eastAsia="华文仿宋" w:cs="华文仿宋"/>
          <w:sz w:val="24"/>
          <w:szCs w:val="24"/>
          <w:highlight w:val="none"/>
        </w:rPr>
        <w:t xml:space="preserve">公司要明确专人任安全员，负责公司的安全生产管理，严格执行安全生产相关规定，把安全生产责任落实到每一个责任人，开展安全培训，组织安全检查，记录安全台账。</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2、排查整改：</w:t>
      </w:r>
      <w:r>
        <w:rPr>
          <w:rFonts w:hint="eastAsia" w:ascii="华文仿宋" w:hAnsi="华文仿宋" w:eastAsia="华文仿宋" w:cs="华文仿宋"/>
          <w:sz w:val="24"/>
          <w:szCs w:val="24"/>
          <w:highlight w:val="none"/>
        </w:rPr>
        <w:t xml:space="preserve">要</w:t>
      </w:r>
      <w:r>
        <w:rPr>
          <w:rFonts w:hint="eastAsia" w:ascii="华文仿宋" w:hAnsi="华文仿宋" w:eastAsia="华文仿宋" w:cs="华文仿宋"/>
          <w:b/>
          <w:sz w:val="24"/>
          <w:szCs w:val="24"/>
          <w:highlight w:val="none"/>
        </w:rPr>
        <w:t xml:space="preserve">“</w:t>
      </w:r>
      <w:r>
        <w:rPr>
          <w:rFonts w:hint="eastAsia" w:ascii="华文仿宋" w:hAnsi="华文仿宋" w:eastAsia="华文仿宋" w:cs="华文仿宋"/>
          <w:sz w:val="24"/>
          <w:szCs w:val="24"/>
          <w:highlight w:val="none"/>
        </w:rPr>
        <w:t xml:space="preserve">敬畏生命”，正常组织安全生产检查，开展安全隐患排查，实行安全生产闭环管理，积极开展各项安全生产专项整治行动，高效完成整治任务，杜绝发生安全事故。</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3、车辆安全：</w:t>
      </w:r>
      <w:r>
        <w:rPr>
          <w:rFonts w:hint="eastAsia" w:ascii="华文仿宋" w:hAnsi="华文仿宋" w:eastAsia="华文仿宋" w:cs="华文仿宋"/>
          <w:sz w:val="24"/>
          <w:szCs w:val="24"/>
          <w:highlight w:val="none"/>
        </w:rPr>
        <w:t xml:space="preserve">所有运输车辆及驾驶人员必须证照齐全，年检保险齐全，一旦出现相关证件不全，年检保险不到位的，立即停止该车辆使用。加强专项检查，不得出现驾驶人员疲劳驾驶情况。</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4、人员安全：</w:t>
      </w:r>
      <w:r>
        <w:rPr>
          <w:rFonts w:hint="eastAsia" w:ascii="华文仿宋" w:hAnsi="华文仿宋" w:eastAsia="华文仿宋" w:cs="华文仿宋"/>
          <w:sz w:val="24"/>
          <w:szCs w:val="24"/>
          <w:highlight w:val="none"/>
        </w:rPr>
        <w:t xml:space="preserve">所有人员必须持有健康体检报告，所有保洁人员必须穿着保洁服、保洁帽、救生衣等装备上岗，不得饮酒上岗，注意交通生产安全。</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5、安全培训：</w:t>
      </w:r>
      <w:r>
        <w:rPr>
          <w:rFonts w:hint="eastAsia" w:ascii="华文仿宋" w:hAnsi="华文仿宋" w:eastAsia="华文仿宋" w:cs="华文仿宋"/>
          <w:sz w:val="24"/>
          <w:szCs w:val="24"/>
          <w:highlight w:val="none"/>
        </w:rPr>
        <w:t xml:space="preserve">每月做好安全保洁培训，加强对保洁人员的安全生产教育，警钟常鸣，提高人身防护安全意识，做好安全记录，完善安全台账，确保不发生人身财产安全责任事故。</w:t>
      </w:r>
      <w:r/>
    </w:p>
    <w:p>
      <w:pPr>
        <w:ind w:firstLine="480"/>
        <w:spacing w:line="360" w:lineRule="auto"/>
        <w:rPr>
          <w:rFonts w:hint="eastAsia" w:ascii="华文仿宋" w:hAnsi="华文仿宋" w:eastAsia="华文仿宋" w:cs="华文仿宋"/>
          <w:b/>
          <w:sz w:val="24"/>
          <w:szCs w:val="24"/>
          <w:highlight w:val="none"/>
        </w:rPr>
        <w:outlineLvl w:val="0"/>
      </w:pPr>
      <w:r>
        <w:rPr>
          <w:rFonts w:hint="eastAsia" w:ascii="华文仿宋" w:hAnsi="华文仿宋" w:eastAsia="华文仿宋" w:cs="华文仿宋"/>
          <w:b/>
          <w:sz w:val="24"/>
          <w:szCs w:val="24"/>
          <w:highlight w:val="none"/>
        </w:rPr>
        <w:t xml:space="preserve">四）应急预案</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 xml:space="preserve">服务公司要针对自然灾害，各类突发公共事件，各类所有创建、所有重大活动，春节、国庆、中秋、端午等所有节日，秋季落叶处置等做好环卫作业应急保障方案。</w:t>
      </w:r>
      <w:r/>
    </w:p>
    <w:p>
      <w:pPr>
        <w:ind w:firstLine="480"/>
        <w:spacing w:line="360" w:lineRule="auto"/>
        <w:rPr>
          <w:rFonts w:hint="eastAsia" w:ascii="华文仿宋" w:hAnsi="华文仿宋" w:eastAsia="华文仿宋" w:cs="华文仿宋"/>
          <w:sz w:val="24"/>
          <w:szCs w:val="24"/>
          <w:highlight w:val="none"/>
        </w:rPr>
      </w:pPr>
      <w:r>
        <w:rPr>
          <w:rFonts w:hint="eastAsia" w:ascii="华文仿宋" w:hAnsi="华文仿宋" w:eastAsia="华文仿宋" w:cs="华文仿宋"/>
          <w:b/>
          <w:sz w:val="24"/>
          <w:szCs w:val="24"/>
          <w:highlight w:val="none"/>
        </w:rPr>
        <w:t xml:space="preserve">1、成立应急小组：</w:t>
      </w:r>
      <w:r>
        <w:rPr>
          <w:rFonts w:hint="eastAsia" w:ascii="华文仿宋" w:hAnsi="华文仿宋" w:eastAsia="华文仿宋" w:cs="华文仿宋"/>
          <w:sz w:val="24"/>
          <w:szCs w:val="24"/>
          <w:highlight w:val="none"/>
        </w:rPr>
        <w:t xml:space="preserve">为确保应急保障服务的及时性，服务公司项目经理统筹，担任本项目的应急保障小组组长；正、副主管担任本项目的应急保障小组副组长；安排3名片区管理员、10名一线骨干保洁员为本项目应急小组组员。</w:t>
      </w:r>
      <w:r/>
    </w:p>
    <w:p>
      <w:pPr>
        <w:ind w:firstLine="480"/>
        <w:spacing w:line="360" w:lineRule="auto"/>
        <w:rPr>
          <w:rFonts w:hint="eastAsia" w:ascii="仿宋" w:hAnsi="仿宋" w:eastAsia="仿宋" w:cs="仿宋"/>
          <w:sz w:val="24"/>
          <w:szCs w:val="24"/>
          <w:highlight w:val="none"/>
        </w:rPr>
      </w:pPr>
      <w:r>
        <w:rPr>
          <w:rFonts w:hint="eastAsia" w:ascii="华文仿宋" w:hAnsi="华文仿宋" w:eastAsia="华文仿宋" w:cs="华文仿宋"/>
          <w:b/>
          <w:sz w:val="24"/>
          <w:szCs w:val="24"/>
          <w:highlight w:val="none"/>
        </w:rPr>
        <w:t xml:space="preserve">2、配备应急保障物资：</w:t>
      </w:r>
      <w:r>
        <w:rPr>
          <w:rFonts w:hint="eastAsia" w:ascii="华文仿宋" w:hAnsi="华文仿宋" w:eastAsia="华文仿宋" w:cs="华文仿宋"/>
          <w:sz w:val="24"/>
          <w:szCs w:val="24"/>
          <w:highlight w:val="none"/>
        </w:rPr>
        <w:t xml:space="preserve">服务公司要做好人员、车辆、设备、材料防护设施的保障，包括小型垃圾收集车、后装垃圾压缩车、高压冲洗车、警示牌、医药箱等。</w:t>
      </w:r>
      <w:r/>
    </w:p>
    <w:p>
      <w:pPr>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五）管护设备配备</w:t>
      </w:r>
      <w:r/>
    </w:p>
    <w:p>
      <w:pPr>
        <w:ind w:firstLine="482"/>
        <w:spacing w:line="360" w:lineRule="auto"/>
        <w:rPr>
          <w:rFonts w:hint="eastAsia" w:ascii="仿宋" w:hAnsi="仿宋" w:eastAsia="仿宋" w:cs="仿宋"/>
          <w:b/>
          <w:bCs/>
          <w:i/>
          <w:iCs/>
          <w:sz w:val="24"/>
          <w:szCs w:val="24"/>
          <w:highlight w:val="none"/>
          <w:u w:val="single"/>
        </w:rPr>
      </w:pPr>
      <w:r>
        <w:rPr>
          <w:rFonts w:hint="eastAsia" w:ascii="仿宋" w:hAnsi="仿宋" w:eastAsia="仿宋" w:cs="仿宋"/>
          <w:b/>
          <w:bCs/>
          <w:i/>
          <w:iCs/>
          <w:sz w:val="24"/>
          <w:szCs w:val="24"/>
          <w:highlight w:val="none"/>
          <w:u w:val="single"/>
        </w:rPr>
        <w:t xml:space="preserve">1.</w:t>
      </w:r>
      <w:r>
        <w:rPr>
          <w:rFonts w:hint="eastAsia" w:ascii="仿宋" w:hAnsi="仿宋" w:eastAsia="仿宋" w:cs="仿宋"/>
          <w:b/>
          <w:bCs/>
          <w:i/>
          <w:iCs/>
          <w:sz w:val="24"/>
          <w:szCs w:val="24"/>
          <w:highlight w:val="none"/>
          <w:u w:val="single"/>
          <w:lang w:eastAsia="zh-CN"/>
        </w:rPr>
        <w:t xml:space="preserve">投标供应商</w:t>
      </w:r>
      <w:r>
        <w:rPr>
          <w:rFonts w:hint="eastAsia" w:ascii="仿宋" w:hAnsi="仿宋" w:eastAsia="仿宋" w:cs="仿宋"/>
          <w:b/>
          <w:bCs/>
          <w:i/>
          <w:iCs/>
          <w:sz w:val="24"/>
          <w:szCs w:val="24"/>
          <w:highlight w:val="none"/>
          <w:u w:val="single"/>
        </w:rPr>
        <w:t xml:space="preserve">须配备5吨及以上压缩式提桶垃圾车不得少于4辆，3吨及以上压缩式提桶垃圾车不得少于2辆，入户收集六桶电动车不少于90辆，两桶电动保洁车不少于23辆，农用轻型卡车不少于1辆，易腐垃圾平板车不少于1辆，5T以上（含5T）洗扫车不少于1辆，10吨高压冲洗车不少于1辆，1吨高压冲洗车不少于1辆，两分类垃圾小桶（50L/个）不少于28000组（2个/组），机动割草保洁船不少于3艘，电动保洁船不少于6艘，随车吊不少于1辆，小型机具器具（含割草机50台、鼓风机</w:t>
      </w:r>
      <w:r>
        <w:rPr>
          <w:rFonts w:hint="eastAsia" w:ascii="仿宋" w:hAnsi="仿宋" w:eastAsia="仿宋" w:cs="仿宋"/>
          <w:b/>
          <w:bCs/>
          <w:i/>
          <w:iCs/>
          <w:sz w:val="24"/>
          <w:szCs w:val="24"/>
          <w:highlight w:val="none"/>
          <w:u w:val="single"/>
        </w:rPr>
        <w:tab/>
      </w:r>
      <w:r>
        <w:rPr>
          <w:rFonts w:hint="eastAsia" w:ascii="仿宋" w:hAnsi="仿宋" w:eastAsia="仿宋" w:cs="仿宋"/>
          <w:b/>
          <w:bCs/>
          <w:i/>
          <w:iCs/>
          <w:sz w:val="24"/>
          <w:szCs w:val="24"/>
          <w:highlight w:val="none"/>
          <w:u w:val="single"/>
        </w:rPr>
        <w:t xml:space="preserve">6台、绿篱剪6把、高枝剪6把）、辅材等满足项目需求，环卫智能管理平台运行及维护。</w:t>
      </w:r>
      <w:r/>
    </w:p>
    <w:p>
      <w:pPr>
        <w:ind w:firstLine="482"/>
        <w:spacing w:line="360" w:lineRule="auto"/>
        <w:rPr>
          <w:rFonts w:hint="eastAsia" w:ascii="仿宋" w:hAnsi="仿宋" w:eastAsia="仿宋" w:cs="仿宋"/>
          <w:b/>
          <w:bCs/>
          <w:i/>
          <w:iCs/>
          <w:sz w:val="24"/>
          <w:szCs w:val="24"/>
          <w:highlight w:val="none"/>
          <w:u w:val="single"/>
        </w:rPr>
      </w:pPr>
      <w:r>
        <w:rPr>
          <w:rFonts w:hint="eastAsia" w:ascii="仿宋" w:hAnsi="仿宋" w:eastAsia="仿宋" w:cs="仿宋"/>
          <w:b/>
          <w:bCs/>
          <w:i/>
          <w:iCs/>
          <w:sz w:val="24"/>
          <w:szCs w:val="24"/>
          <w:highlight w:val="none"/>
        </w:rPr>
        <w:t xml:space="preserve">备注：</w:t>
      </w:r>
      <w:r>
        <w:rPr>
          <w:rFonts w:hint="eastAsia" w:ascii="仿宋" w:hAnsi="仿宋" w:eastAsia="仿宋" w:cs="仿宋"/>
          <w:b/>
          <w:bCs/>
          <w:i/>
          <w:iCs/>
          <w:sz w:val="24"/>
          <w:szCs w:val="24"/>
          <w:highlight w:val="none"/>
          <w:u w:val="single"/>
        </w:rPr>
        <w:t xml:space="preserve">两分类垃圾桶必须为全新购置，每组2个(含架子)，颜色均为绿黑配，桶体及桶盖（除配料）采用除必要的颜料和色素外，采用100%高密度聚乙烯全新料一次性注模成型，不得使用回料。单个桶容量≥50L，总重量≥2.4kg，数量最终以各村统计为准，确保每户1组。</w:t>
      </w:r>
      <w:r/>
    </w:p>
    <w:p>
      <w:pPr>
        <w:ind w:firstLine="482"/>
        <w:spacing w:line="360" w:lineRule="auto"/>
        <w:rPr>
          <w:rFonts w:hint="eastAsia" w:ascii="仿宋" w:hAnsi="仿宋" w:eastAsia="仿宋" w:cs="仿宋"/>
          <w:i/>
          <w:iCs/>
          <w:sz w:val="24"/>
          <w:szCs w:val="24"/>
          <w:highlight w:val="none"/>
          <w:u w:val="single"/>
        </w:rPr>
      </w:pPr>
      <w:r>
        <w:rPr>
          <w:rFonts w:hint="eastAsia" w:ascii="仿宋" w:hAnsi="仿宋" w:eastAsia="仿宋" w:cs="仿宋"/>
          <w:b/>
          <w:bCs/>
          <w:i/>
          <w:iCs/>
          <w:sz w:val="24"/>
          <w:szCs w:val="24"/>
          <w:highlight w:val="none"/>
          <w:u w:val="single"/>
        </w:rPr>
        <w:t xml:space="preserve">应急保障设备要求：3吨以上后装压缩车2辆，雾炮车1辆，铲车1辆（可调用，无需定点）。</w:t>
      </w:r>
      <w:r/>
    </w:p>
    <w:p>
      <w:pPr>
        <w:ind w:firstLine="482"/>
        <w:spacing w:line="360" w:lineRule="auto"/>
        <w:rPr>
          <w:rFonts w:hint="eastAsia" w:ascii="仿宋" w:hAnsi="仿宋" w:eastAsia="仿宋" w:cs="仿宋"/>
          <w:b/>
          <w:bCs/>
          <w:i/>
          <w:iCs/>
          <w:sz w:val="24"/>
          <w:szCs w:val="24"/>
          <w:highlight w:val="none"/>
          <w:u w:val="single"/>
        </w:rPr>
      </w:pPr>
      <w:r>
        <w:rPr>
          <w:rFonts w:hint="eastAsia" w:ascii="仿宋" w:hAnsi="仿宋" w:eastAsia="仿宋" w:cs="仿宋"/>
          <w:b/>
          <w:bCs/>
          <w:i/>
          <w:iCs/>
          <w:sz w:val="24"/>
          <w:szCs w:val="24"/>
          <w:highlight w:val="none"/>
          <w:u w:val="single"/>
        </w:rPr>
        <w:t xml:space="preserve">2.投标供应商在中标后1个月内配齐以上车辆、船等设备（提供发票</w:t>
      </w:r>
      <w:r>
        <w:rPr>
          <w:rFonts w:hint="eastAsia" w:ascii="仿宋" w:hAnsi="仿宋" w:eastAsia="仿宋" w:cs="仿宋"/>
          <w:b/>
          <w:bCs/>
          <w:i/>
          <w:iCs/>
          <w:sz w:val="24"/>
          <w:szCs w:val="24"/>
          <w:highlight w:val="none"/>
          <w:u w:val="single"/>
          <w:lang w:eastAsia="zh-CN"/>
        </w:rPr>
        <w:t xml:space="preserve">，</w:t>
      </w:r>
      <w:r>
        <w:rPr>
          <w:rFonts w:hint="eastAsia" w:ascii="仿宋" w:hAnsi="仿宋" w:eastAsia="仿宋" w:cs="仿宋"/>
          <w:b/>
          <w:bCs/>
          <w:i/>
          <w:iCs/>
          <w:sz w:val="24"/>
          <w:szCs w:val="24"/>
          <w:highlight w:val="none"/>
          <w:u w:val="single"/>
          <w:lang w:val="en-US" w:eastAsia="zh-CN"/>
        </w:rPr>
        <w:t xml:space="preserve">若租赁的提供租赁合同和发票</w:t>
      </w:r>
      <w:r>
        <w:rPr>
          <w:rFonts w:hint="eastAsia" w:ascii="仿宋" w:hAnsi="仿宋" w:eastAsia="仿宋" w:cs="仿宋"/>
          <w:b/>
          <w:bCs/>
          <w:i/>
          <w:iCs/>
          <w:sz w:val="24"/>
          <w:szCs w:val="24"/>
          <w:highlight w:val="none"/>
          <w:u w:val="single"/>
        </w:rPr>
        <w:t xml:space="preserve">），如配备不到位，</w:t>
      </w:r>
      <w:r>
        <w:rPr>
          <w:rFonts w:hint="eastAsia" w:ascii="仿宋" w:hAnsi="仿宋" w:eastAsia="仿宋" w:cs="仿宋"/>
          <w:b/>
          <w:bCs/>
          <w:i/>
          <w:iCs/>
          <w:sz w:val="24"/>
          <w:szCs w:val="24"/>
          <w:highlight w:val="none"/>
          <w:u w:val="single"/>
          <w:lang w:eastAsia="zh-CN"/>
        </w:rPr>
        <w:t xml:space="preserve">招标人</w:t>
      </w:r>
      <w:r>
        <w:rPr>
          <w:rFonts w:hint="eastAsia" w:ascii="仿宋" w:hAnsi="仿宋" w:eastAsia="仿宋" w:cs="仿宋"/>
          <w:b/>
          <w:bCs/>
          <w:i/>
          <w:iCs/>
          <w:sz w:val="24"/>
          <w:szCs w:val="24"/>
          <w:highlight w:val="none"/>
          <w:u w:val="single"/>
        </w:rPr>
        <w:t xml:space="preserve">有权解除合同，不退还履约保证金。</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七</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考核管理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详见县农村人居环境长效管护考核要求、县“河长制”实施方案、县“路长制”实施办法、全县水环境整治工作要求和《大豫镇环境卫生长效管护项目考核细则》等规定。</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八</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付款方式</w:t>
      </w:r>
      <w:r/>
    </w:p>
    <w:p>
      <w:pPr>
        <w:ind w:firstLine="48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一）</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按照月度进行考核计算并按季度支付给</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，每季度次月上旬付款（其中生活垃圾收运服务费用由各村支付其50%，镇按照实际中标价格，测算分割到各村，村级费用由各村年底一次性支付给</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与</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结</w:t>
      </w:r>
      <w:r>
        <w:rPr>
          <w:rFonts w:hint="eastAsia" w:ascii="仿宋" w:hAnsi="仿宋" w:eastAsia="仿宋" w:cs="仿宋"/>
          <w:sz w:val="24"/>
          <w:highlight w:val="none"/>
        </w:rPr>
        <w:t xml:space="preserve">算时，</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均需足额向</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出具合法票据及该季度</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向其职员发放工资的发放银行流水账单作为付款的前提。价款除本合同约定和依照《考核细则》扣款外，任何一方不得擅自改变。</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二）考核奖惩方式：</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绩效考核结果与合同价款相挂钩，按</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对</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月度绩效考核来确定，实行百分制，其中</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考核结果占50%，各村（社区）运行管理考核结果占40%，其他减分项结果占10%。具体操作如下：</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（1）在</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月度绩效考核中得分为90分（含90分）至100分的，按当月基本价款的100%结算；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（2）在</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月度绩效考核中得分为85分（含85分）至90分的，按当月基本价款的95%结算；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（3）在</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月度绩效考核中得分为80分（含80分）至85分的，按当月基本价款的90%结算；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（4）在</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月度绩效考核中实际得分为80分以下的，每减少n分按当月基本价款（90%-2%*n）结算。注：n=80-实际得分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设村（社区）月度专项考核扣款。根据各村（社区）月度运行管理考核得分，实行分档扣款：考核得分低于90分（含 80分至89.9分），每村扣减资金2000元；考核得分低于80分（含60分至79.9分），每村扣减资金4000元；考核得分低于60分，每村扣减资金6000元。上述考核扣款经汇总核定后，统一计入当月基本价款予以结算。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环境卫生管理中心单独考核，考核结果与合同款相挂钩，镇五位一体办按环境卫生管理中心月度绩效考核评分组织月度考评，得分在90分（不含90分）以下的，具体得分在80-90（含80分），每减少0.1分，在月度合同款结算价的基础上减少0.2%的基础价款；得分在80分（不含80分）以下的，每减少0.1分，在月度合同款结算价的基础上减少0.5%的基础价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结果运用：</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月度结算支付款=每月</w:t>
      </w:r>
      <w:r>
        <w:rPr>
          <w:rFonts w:hint="eastAsia" w:ascii="仿宋" w:hAnsi="仿宋" w:eastAsia="仿宋" w:cs="仿宋"/>
          <w:sz w:val="24"/>
          <w:highlight w:val="none"/>
          <w:lang w:eastAsia="zh-CN"/>
        </w:rPr>
        <w:t xml:space="preserve">招标人</w:t>
      </w:r>
      <w:r>
        <w:rPr>
          <w:rFonts w:hint="eastAsia" w:ascii="仿宋" w:hAnsi="仿宋" w:eastAsia="仿宋" w:cs="仿宋"/>
          <w:sz w:val="24"/>
          <w:highlight w:val="none"/>
        </w:rPr>
        <w:t xml:space="preserve">绩效考核结果-日常巡查考核扣款（含后装式压缩车清运频次专项考核）-管理运行考核扣款（含人员配备、不适岗专项考核）-来信来访考核扣款-村（社区）月度专项考核扣款-环境卫生管理中心运行考核扣款。</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九</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违约责任</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不得擅自更换项目负责人，否则</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有权终止合同，并有权将</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的履约保证金作为违约金处理，且不予以退还。如出现特殊情况确需更换的，应当由</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提出申请（更换的项目负责人其工作经验、业绩、管理能力等必须满足《考核细则》中的相应要求）并提供必要的证明文件报</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审核批准后方可更换。</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不得超过自己履约能力接受该项任务，该工作不允许转包或分包，若发现有转包或分包的行为，</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有权解除合同，并有权将</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的履约保证金作为违约金处理，且不予以退还。</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人员配备不能满足</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《考核细则》中人员配备，片长及以上管理人员每少1人的，每月按月度结算支付款3%扣罚，一般人员每少1人的每月按月度结算支付款1%扣罚。</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合同执行期内，摊销期满设备在期满后一个月内未购置</w:t>
      </w:r>
      <w:r>
        <w:rPr>
          <w:rFonts w:hint="eastAsia" w:ascii="仿宋" w:hAnsi="仿宋" w:eastAsia="仿宋" w:cs="仿宋"/>
          <w:sz w:val="24"/>
          <w:szCs w:val="24"/>
          <w:highlight w:val="none"/>
          <w:lang w:val="en-US" w:eastAsia="zh-CN"/>
        </w:rPr>
        <w:t xml:space="preserve">或租赁</w:t>
      </w:r>
      <w:r>
        <w:rPr>
          <w:rFonts w:hint="eastAsia" w:ascii="仿宋" w:hAnsi="仿宋" w:eastAsia="仿宋" w:cs="仿宋"/>
          <w:sz w:val="24"/>
          <w:szCs w:val="24"/>
          <w:highlight w:val="none"/>
        </w:rPr>
        <w:t xml:space="preserve">到位，</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有权要求</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限期整改，逾期未整改的，每月按月度结算支付款的2%扣罚；本合同签订后一个月内未按照本项目承包范围及内容完成一次全面大清理的按年度合同款的2%扣罚。</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未给所用员工缴纳相关社会保险、商业保险的发现一例扣罚10000元，并及时补交到位；符合职工参保年龄人员工资实际发放不得低于如东县职工工资最低标准。各岗位实际发放工资不得低于投标分项报价中的人工单价，不得拖欠工人工资，以上情况发现一例扣罚10000元，并及时补足相应工资。</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因</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管理不善或操作不当等原因发生的事故并对</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或第三方造成人身、财产等损害的，由</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负责妥善处理并承担由此产生的一切责任，造成</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经济损失的，</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应给予</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经济赔偿。如若发生人身、财产安全事故的，由</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妥善处理并承担由此产生的一切责任的，如若</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不妥善处理，</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有权解除本合同，并有权将</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的履约保证金作为违约金处理，且不予以退还。</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因</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由于管理或劳资纠纷引起赴县及以上单位上访的，有一例扣除当月金额10000元。</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被县及以上部门曝光通报的，对不称职人员不予清退的（</w:t>
      </w:r>
      <w:r>
        <w:rPr>
          <w:rFonts w:hint="eastAsia" w:ascii="仿宋" w:hAnsi="仿宋" w:eastAsia="仿宋" w:cs="仿宋"/>
          <w:sz w:val="24"/>
          <w:szCs w:val="24"/>
          <w:highlight w:val="none"/>
          <w:lang w:eastAsia="zh-CN"/>
        </w:rPr>
        <w:t xml:space="preserve">投标供应商</w:t>
      </w:r>
      <w:r>
        <w:rPr>
          <w:rFonts w:hint="eastAsia" w:ascii="仿宋" w:hAnsi="仿宋" w:eastAsia="仿宋" w:cs="仿宋"/>
          <w:sz w:val="24"/>
          <w:szCs w:val="24"/>
          <w:highlight w:val="none"/>
        </w:rPr>
        <w:t xml:space="preserve">对缺岗、工作不到位的保洁人员进行教育，对累计被</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、村三次处罚的人员予以清退），</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将在本合同价款中扣除每次每人每月10000元。</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根据相关要求、实际情况,《考核细则》进行相应调整或增加内容的，</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若不服从的，</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有权解除本合同，并有权将</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的履约保证金作为违约金处理，且不予以退还。</w:t>
      </w:r>
      <w:r/>
    </w:p>
    <w:p>
      <w:pPr>
        <w:ind w:firstLine="480"/>
        <w:spacing w:line="360" w:lineRule="auto"/>
        <w:rPr>
          <w:rFonts w:hint="eastAsia" w:ascii="仿宋" w:hAnsi="仿宋" w:eastAsia="仿宋" w:cs="仿宋"/>
          <w:i/>
          <w:iCs/>
          <w:strike/>
          <w:sz w:val="24"/>
          <w:szCs w:val="24"/>
          <w:highlight w:val="none"/>
          <w:u w:val="single"/>
        </w:rPr>
      </w:pP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有因保洁作业项目被媒体曝光、上级批评或发生群体事件，造成恶劣影响的；全年在</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月度考核累计三次低于80分的；对</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就同一类问题发出书面整改通知三次以上未能整改的；</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违反劳动法律、法规或规章，不能妥善平息与</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员工之间劳资争议的；因重大节日或重大活动</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对</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交办的突击性工作不能按时完成，造成恶劣影响等上述情形之一的，</w:t>
      </w:r>
      <w:r>
        <w:rPr>
          <w:rFonts w:hint="eastAsia" w:ascii="仿宋" w:hAnsi="仿宋" w:eastAsia="仿宋" w:cs="仿宋"/>
          <w:sz w:val="24"/>
          <w:szCs w:val="24"/>
          <w:highlight w:val="none"/>
          <w:lang w:eastAsia="zh-CN"/>
        </w:rPr>
        <w:t xml:space="preserve">招标人</w:t>
      </w:r>
      <w:r>
        <w:rPr>
          <w:rFonts w:hint="eastAsia" w:ascii="仿宋" w:hAnsi="仿宋" w:eastAsia="仿宋" w:cs="仿宋"/>
          <w:sz w:val="24"/>
          <w:szCs w:val="24"/>
          <w:highlight w:val="none"/>
        </w:rPr>
        <w:t xml:space="preserve">有权解除合同，并有权将</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lang w:eastAsia="zh-CN"/>
        </w:rPr>
        <w:t xml:space="preserve">供应商</w:t>
      </w:r>
      <w:r>
        <w:rPr>
          <w:rFonts w:hint="eastAsia" w:ascii="仿宋" w:hAnsi="仿宋" w:eastAsia="仿宋" w:cs="仿宋"/>
          <w:sz w:val="24"/>
          <w:szCs w:val="24"/>
          <w:highlight w:val="none"/>
        </w:rPr>
        <w:t xml:space="preserve">的履约保证金作为违约金处理，且不予以退还。</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十</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注意事项</w:t>
      </w:r>
      <w:r/>
    </w:p>
    <w:p>
      <w:pPr>
        <w:pStyle w:val="707"/>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本项目招标人不统一组织集中现场踏勘，由</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自行安排时间赴全部管护区域开展实地尽调，踏勘产生的交通、人员等一切费用由</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自行承担，踏勘期间安全责任由</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自负。中标单位不得以不了解现场情况为由而要求另行增加费用。</w:t>
      </w:r>
      <w:r/>
    </w:p>
    <w:p>
      <w:pPr>
        <w:pStyle w:val="707"/>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须实地核查管护范围内道路、河道、绿化、公共区域、背街小巷、村居、工业园区、环境卫生管理中心、垃圾收集点、垃圾产生规模、作业难度、通行条件、季节垃圾波动、周边客观制约条件等全部现实状况。招标文件提供的管护面积、点位清单、范围示意图等资料仅作参考，不作为现场实际依据，一切以实地现状为准。</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应结合现场实际编制管护实施方案、测算投标报价。</w:t>
      </w:r>
      <w:r/>
    </w:p>
    <w:p>
      <w:pPr>
        <w:pStyle w:val="707"/>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提交投标文件，即视作已完成充分现场实地尽调；无论</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是否实际赴现场，均视为已完全知晓、认可全部管护现场现状，对人居环境长效管护各类作业风险已充分预判。</w:t>
      </w:r>
      <w:r/>
    </w:p>
    <w:p>
      <w:pPr>
        <w:pStyle w:val="707"/>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4</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风险责任划分：履约期间，凡因</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现场尽调疏漏、现场情况研判失误、对管护现状理解偏差，导致报价漏项、人员设备配置不足、管护方案与现场不匹配、成本超支、服务考核不达标等全部后果，由此产生的经济损失与履约风险，均由中标人自行承担。采购人不因此调整合同价款，不给予任何补偿，</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不得以此为由提出调价、索赔、变更合同等诉求。</w:t>
      </w: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5</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本项目为乡镇农村人居环境长效管护服务，人工成本为项目主要成本。</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报价须充分结合当地管护、环卫行业人员平均薪酬水平、当地最低工资标准、社保缴纳、高温津贴、意外伤害保险、加班工资、劳保福利等全部用工成本进行测算。</w:t>
      </w: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6</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须按招标文件要求提供分项报价表，清晰列明本项目拟投入各岗位人员工资、社保、各类津贴福利等价格组成。</w:t>
      </w:r>
      <w:r>
        <w:rPr>
          <w:rFonts w:ascii="仿宋" w:hAnsi="仿宋" w:eastAsia="仿宋" w:cs="仿宋"/>
          <w:b/>
          <w:bCs/>
          <w:sz w:val="24"/>
          <w:szCs w:val="24"/>
          <w:highlight w:val="none"/>
        </w:rPr>
        <w:t xml:space="preserve">招标文件附件提供的采购人近五年行业各</w:t>
      </w:r>
      <w:r>
        <w:rPr>
          <w:rFonts w:hint="eastAsia" w:ascii="仿宋" w:hAnsi="仿宋" w:eastAsia="仿宋" w:cs="仿宋"/>
          <w:b/>
          <w:bCs/>
          <w:sz w:val="24"/>
          <w:szCs w:val="24"/>
          <w:highlight w:val="none"/>
        </w:rPr>
        <w:t xml:space="preserve">岗位</w:t>
      </w:r>
      <w:r>
        <w:rPr>
          <w:rFonts w:ascii="仿宋" w:hAnsi="仿宋" w:eastAsia="仿宋" w:cs="仿宋"/>
          <w:b/>
          <w:bCs/>
          <w:sz w:val="24"/>
          <w:szCs w:val="24"/>
          <w:highlight w:val="none"/>
        </w:rPr>
        <w:t xml:space="preserve">薪资水平仅供</w:t>
      </w:r>
      <w:r>
        <w:rPr>
          <w:rFonts w:hint="eastAsia" w:ascii="仿宋" w:hAnsi="仿宋" w:eastAsia="仿宋" w:cs="仿宋"/>
          <w:b/>
          <w:bCs/>
          <w:sz w:val="24"/>
          <w:szCs w:val="24"/>
          <w:highlight w:val="none"/>
          <w:lang w:eastAsia="zh-CN"/>
        </w:rPr>
        <w:t xml:space="preserve">投标供应商</w:t>
      </w:r>
      <w:r>
        <w:rPr>
          <w:rFonts w:ascii="仿宋" w:hAnsi="仿宋" w:eastAsia="仿宋" w:cs="仿宋"/>
          <w:b/>
          <w:bCs/>
          <w:sz w:val="24"/>
          <w:szCs w:val="24"/>
          <w:highlight w:val="none"/>
        </w:rPr>
        <w:t xml:space="preserve">参考，不对</w:t>
      </w:r>
      <w:r>
        <w:rPr>
          <w:rFonts w:hint="eastAsia" w:ascii="仿宋" w:hAnsi="仿宋" w:eastAsia="仿宋" w:cs="仿宋"/>
          <w:b/>
          <w:bCs/>
          <w:sz w:val="24"/>
          <w:szCs w:val="24"/>
          <w:highlight w:val="none"/>
          <w:lang w:eastAsia="zh-CN"/>
        </w:rPr>
        <w:t xml:space="preserve">投标供应商</w:t>
      </w:r>
      <w:r>
        <w:rPr>
          <w:rFonts w:ascii="仿宋" w:hAnsi="仿宋" w:eastAsia="仿宋" w:cs="仿宋"/>
          <w:b/>
          <w:bCs/>
          <w:sz w:val="24"/>
          <w:szCs w:val="24"/>
          <w:highlight w:val="none"/>
        </w:rPr>
        <w:t xml:space="preserve">构成任何约束。</w:t>
      </w:r>
      <w:r>
        <w:rPr>
          <w:rFonts w:hint="eastAsia" w:ascii="仿宋" w:hAnsi="仿宋" w:eastAsia="仿宋" w:cs="仿宋"/>
          <w:b/>
          <w:bCs/>
          <w:sz w:val="24"/>
          <w:szCs w:val="24"/>
          <w:highlight w:val="none"/>
          <w:lang w:eastAsia="zh-CN"/>
        </w:rPr>
        <w:t xml:space="preserve">投标供应商</w:t>
      </w:r>
      <w:r>
        <w:rPr>
          <w:rFonts w:ascii="仿宋" w:hAnsi="仿宋" w:eastAsia="仿宋" w:cs="仿宋"/>
          <w:b/>
          <w:bCs/>
          <w:sz w:val="24"/>
          <w:szCs w:val="24"/>
          <w:highlight w:val="none"/>
        </w:rPr>
        <w:t xml:space="preserve">应自行开展市场调研，结合自身经营管理能力，自主测算本项目全部报价。</w:t>
      </w: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7</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若投标文件测算的人员成本显著低于当地同行业正常平均水平，评标委员会有权按照异常低价审查程序，要求</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作出书面解释并提供成本测算依据。</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无法合理解释、无法提供有效证明材料的，评标委员会可认定其投标无效。</w:t>
      </w: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8</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递交投标文件，即视为已充分评估本项目全部用工成本风险。因</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自身对当地用工薪酬研判不足、人员成本测算过低，造成中标后人员配置不足、工资社保无法足额落实、人员流失、管护服务不达标等全部后果，全部经济损失、履约风险由中标</w:t>
      </w:r>
      <w:r>
        <w:rPr>
          <w:rFonts w:hint="eastAsia" w:ascii="仿宋" w:hAnsi="仿宋" w:eastAsia="仿宋" w:cs="仿宋"/>
          <w:b/>
          <w:bCs/>
          <w:sz w:val="24"/>
          <w:szCs w:val="24"/>
          <w:highlight w:val="none"/>
          <w:lang w:eastAsia="zh-CN"/>
        </w:rPr>
        <w:t xml:space="preserve">投标供应商</w:t>
      </w:r>
      <w:r>
        <w:rPr>
          <w:rFonts w:hint="eastAsia" w:ascii="仿宋" w:hAnsi="仿宋" w:eastAsia="仿宋" w:cs="仿宋"/>
          <w:b/>
          <w:bCs/>
          <w:sz w:val="24"/>
          <w:szCs w:val="24"/>
          <w:highlight w:val="none"/>
        </w:rPr>
        <w:t xml:space="preserve">自行承担，采购人不予调价、不予补偿。</w:t>
      </w: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9</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中标后，中标人必须依法足额发放人员工资、缴纳社保及落实法定津贴。若实际发放薪酬显著低于投标测算成本、低于法定标准，采购人有权按合同约定扣罚违约金、暂停付款，情节严重的有权解除合同。</w:t>
      </w:r>
      <w:r/>
    </w:p>
    <w:p>
      <w:pPr>
        <w:ind w:firstLine="480"/>
        <w:spacing w:line="360" w:lineRule="auto"/>
        <w:rPr>
          <w:rFonts w:hint="eastAsia" w:ascii="华文仿宋" w:hAnsi="华文仿宋" w:eastAsia="华文仿宋" w:cs="华文仿宋"/>
          <w:b/>
          <w:bCs/>
          <w:sz w:val="24"/>
          <w:szCs w:val="24"/>
          <w:highlight w:val="none"/>
          <w:lang w:val="en-US" w:eastAsia="zh-CN" w:bidi="ar-SA"/>
        </w:rPr>
      </w:pPr>
      <w:r>
        <w:rPr>
          <w:rFonts w:hint="eastAsia" w:ascii="仿宋" w:hAnsi="仿宋" w:eastAsia="仿宋" w:cs="仿宋"/>
          <w:b/>
          <w:bCs/>
          <w:sz w:val="24"/>
          <w:szCs w:val="24"/>
          <w:highlight w:val="none"/>
        </w:rPr>
        <w:t xml:space="preserve">10</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中标单位必须在15天内与原服务单位做好交接工作。</w:t>
      </w:r>
      <w:r/>
    </w:p>
    <w:p>
      <w:pPr>
        <w:pStyle w:val="695"/>
        <w:jc w:val="left"/>
        <w:keepLines w:val="0"/>
        <w:keepNext w:val="0"/>
        <w:pageBreakBefore w:val="0"/>
        <w:spacing w:before="0" w:after="0" w:line="360" w:lineRule="auto"/>
        <w:widowControl/>
        <w:rPr>
          <w:rFonts w:hint="eastAsia" w:ascii="华文仿宋" w:hAnsi="华文仿宋" w:eastAsia="华文仿宋" w:cs="华文仿宋"/>
          <w:b/>
          <w:bCs/>
          <w:sz w:val="24"/>
          <w:szCs w:val="24"/>
          <w:highlight w:val="none"/>
          <w:lang w:val="en-US" w:eastAsia="zh-CN" w:bidi="ar-SA"/>
        </w:rPr>
        <w:suppressLineNumbers w:val="0"/>
      </w:pPr>
      <w:r>
        <w:rPr>
          <w:rFonts w:hint="eastAsia" w:ascii="华文仿宋" w:hAnsi="华文仿宋" w:eastAsia="华文仿宋" w:cs="华文仿宋"/>
          <w:b/>
          <w:bCs/>
          <w:sz w:val="24"/>
          <w:szCs w:val="24"/>
          <w:highlight w:val="none"/>
          <w:lang w:val="en-US" w:eastAsia="zh-CN" w:bidi="ar-SA"/>
        </w:rPr>
        <w:t xml:space="preserve">六、采购标的的验收标准、方法、时间</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1. 验收标准：以本项目采购文件、投标文件、合同约定及国家、地方环卫作业质量标准为验收依据，全域环境卫生达标、作业规范、台账齐全、无重大卫生问题、无违规履约行为，即为服务达标、验收合格。</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2. 验收方法：采用日常考核、月度考评、季度综合验收、年度总体验收相结合的方式，通过现场实地核查、台账资料审核、问题整改复核、各级督查结果汇总等方式综合评定。</w:t>
      </w:r>
      <w:r/>
    </w:p>
    <w:p>
      <w:pPr>
        <w:ind w:firstLine="480"/>
        <w:jc w:val="left"/>
        <w:keepLines w:val="0"/>
        <w:keepNext w:val="0"/>
        <w:pageBreakBefore w:val="0"/>
        <w:spacing w:line="360" w:lineRule="auto"/>
        <w:widowControl/>
        <w:rPr>
          <w:rFonts w:hint="eastAsia" w:ascii="华文仿宋" w:hAnsi="华文仿宋" w:eastAsia="华文仿宋" w:cs="华文仿宋"/>
          <w:sz w:val="24"/>
          <w:szCs w:val="24"/>
          <w:highlight w:val="none"/>
          <w:lang w:val="en-US" w:eastAsia="zh-CN" w:bidi="ar-SA"/>
        </w:rPr>
        <w:suppressLineNumbers w:val="0"/>
      </w:pPr>
      <w:r>
        <w:rPr>
          <w:rFonts w:hint="eastAsia" w:ascii="华文仿宋" w:hAnsi="华文仿宋" w:eastAsia="华文仿宋" w:cs="华文仿宋"/>
          <w:sz w:val="24"/>
          <w:szCs w:val="24"/>
          <w:highlight w:val="none"/>
          <w:lang w:val="en-US" w:eastAsia="zh-CN" w:bidi="ar-SA"/>
        </w:rPr>
        <w:t xml:space="preserve">3. 验收时间：供应商提交完整验收申请及全套履约资料后，采购人在7个工作日内组织完成验收工作。</w:t>
      </w:r>
      <w:r/>
    </w:p>
    <w:p>
      <w:pPr>
        <w:pStyle w:val="695"/>
        <w:jc w:val="left"/>
        <w:keepLines w:val="0"/>
        <w:keepNext w:val="0"/>
        <w:pageBreakBefore w:val="0"/>
        <w:spacing w:before="0" w:after="0" w:line="360" w:lineRule="auto"/>
        <w:widowControl/>
        <w:rPr>
          <w:rFonts w:hint="eastAsia" w:ascii="华文仿宋" w:hAnsi="华文仿宋" w:eastAsia="华文仿宋" w:cs="华文仿宋"/>
          <w:b/>
          <w:bCs/>
          <w:sz w:val="24"/>
          <w:szCs w:val="24"/>
          <w:highlight w:val="none"/>
          <w:lang w:val="en-US" w:eastAsia="zh-CN" w:bidi="ar-SA"/>
        </w:rPr>
        <w:suppressLineNumbers w:val="0"/>
      </w:pPr>
      <w:r>
        <w:rPr>
          <w:rFonts w:hint="eastAsia" w:ascii="华文仿宋" w:hAnsi="华文仿宋" w:eastAsia="华文仿宋" w:cs="华文仿宋"/>
          <w:b/>
          <w:bCs/>
          <w:sz w:val="24"/>
          <w:szCs w:val="24"/>
          <w:highlight w:val="none"/>
          <w:lang w:val="en-US" w:eastAsia="zh-CN" w:bidi="ar-SA"/>
        </w:rPr>
        <w:t xml:space="preserve">七、采购标的的其他技术、服务等要求</w:t>
      </w:r>
      <w:r>
        <w:rPr>
          <w:rFonts w:hint="eastAsia" w:ascii="仿宋" w:hAnsi="仿宋" w:eastAsia="仿宋" w:cs="仿宋"/>
          <w:b/>
          <w:bCs/>
          <w:color w:val="auto"/>
          <w:sz w:val="24"/>
          <w:szCs w:val="24"/>
          <w:highlight w:val="none"/>
        </w:rPr>
        <w:t xml:space="preserve">（增加商品包装、快递包装的相关要求）</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1.商品包装环保要求：</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（1）商品包装层数不得超过 3 层，空隙率不大于 40%；</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（2）商品包装尽可能使用单一材质的包装材料，如因功能需求必需使用不同材质，不同材质间应便于分离；</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（3）商品包装中铅、汞、镉、六价铬的总含量应不大于100mg/kg；</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（4）商品包装印刷使用的油墨中挥发性有机化合物(VOCs)含量应不大于 5%（以重量计）；</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（5）塑料材质商品包装上呈现的印刷颜色不得超过 6 色；</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（6）纸质商品包装应使用 75%以上的可再生纤维原料生产；</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（7）木质商品包装的原料应来源于可持续性森林。</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2.快递包装环保要求：</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（1）快递包装中重金属（铅、汞、镉、六价铬）总量应不大于 100mg/kg；</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（2）快递包装印刷使用的油墨中不应添加邻苯二甲酸酯，其挥发性有机化合物(VOCs)含量应不大于5%（以重量计）；</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（3）快递包装中使用纸基材的包装材料，纸基材中的有机氯的含量应不大于 150 mg/kg；</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（5）快递中使用的塑料包装袋不得使用聚氯乙烯作为原料，且原料应为单一材质制成，生物分解率大于60%；</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（6）快递中使用的充气类填充物不得使用聚氯乙烯作为 原料，且原料为单一材质制成，生物分解率大于60%；</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（7）快递中使用的集装袋应为单一材质制成，其重复使用次数应不小于 80 次；</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（8）快递中应使用幅宽不大于45mm 的生物降解胶带；</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（9）快递包装中不得使用溶剂型胶粘剂；</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（10）快递应使用电子面单；</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（11）直接使用商品包装作为快递包装的商品，其商品包装满足《商品包装政府采购需求标准（试行）》即可；</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（12）快递包装产品质量和封装方式应符合相关国家或行业标准技术指标要求。</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3.绿色数据中心</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widowControl/>
        <w:rPr>
          <w:rFonts w:hint="eastAsia" w:ascii="仿宋" w:hAnsi="仿宋" w:eastAsia="仿宋" w:cs="仿宋"/>
          <w:b w:val="0"/>
          <w:bCs w:val="0"/>
          <w:sz w:val="24"/>
          <w:szCs w:val="24"/>
          <w:highlight w:val="none"/>
        </w:rPr>
        <w:suppressLineNumbers w:val="0"/>
      </w:pPr>
      <w:r>
        <w:rPr>
          <w:rFonts w:hint="eastAsia" w:ascii="仿宋" w:hAnsi="仿宋" w:eastAsia="仿宋" w:cs="仿宋"/>
          <w:b w:val="0"/>
          <w:bCs w:val="0"/>
          <w:sz w:val="24"/>
          <w:szCs w:val="24"/>
          <w:highlight w:val="none"/>
        </w:rPr>
        <w:t xml:space="preserve">6.绿色低碳管理目标和服务要求：在物业、合同能源管理等服务类采购项目需求中，要强化绿色低碳管理目标和服务要求，促进绿色产品和服务推广应用。</w:t>
      </w:r>
      <w:r/>
    </w:p>
    <w:p>
      <w:pPr>
        <w:ind w:firstLine="480"/>
        <w:jc w:val="left"/>
        <w:keepLines w:val="0"/>
        <w:keepNext w:val="0"/>
        <w:pageBreakBefore w:val="0"/>
        <w:spacing w:line="360" w:lineRule="auto"/>
        <w:widowControl/>
        <w:rPr>
          <w:rFonts w:hint="eastAsia" w:ascii="仿宋" w:hAnsi="仿宋" w:eastAsia="仿宋" w:cs="仿宋"/>
          <w:b/>
          <w:bCs/>
          <w:sz w:val="24"/>
          <w:szCs w:val="24"/>
          <w:highlight w:val="none"/>
        </w:rPr>
        <w:suppressLineNumbers w:val="0"/>
      </w:pPr>
      <w:r>
        <w:rPr>
          <w:rFonts w:hint="eastAsia" w:ascii="仿宋" w:hAnsi="仿宋" w:eastAsia="仿宋" w:cs="仿宋"/>
          <w:b w:val="0"/>
          <w:bCs w:val="0"/>
          <w:sz w:val="24"/>
          <w:szCs w:val="24"/>
          <w:highlight w:val="none"/>
        </w:rPr>
        <w:t xml:space="preserve">7.采购的货物或者服务属信创产品目录内容内的，须遵照信创产品要求提供货物或服务。</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28"/>
        <w:rPr>
          <w:rFonts w:hint="eastAsia" w:cs="Arial"/>
          <w:bCs/>
          <w:sz w:val="24"/>
          <w:szCs w:val="24"/>
          <w:highlight w:val="none"/>
        </w:rPr>
      </w:pPr>
      <w:r>
        <w:rPr>
          <w:rFonts w:hint="eastAsia" w:cs="Arial"/>
          <w:bCs/>
          <w:sz w:val="24"/>
          <w:szCs w:val="24"/>
          <w:highlight w:val="none"/>
        </w:rPr>
      </w:r>
      <w:r/>
    </w:p>
    <w:p>
      <w:pPr>
        <w:rPr>
          <w:rFonts w:hint="eastAsia" w:ascii="仿宋" w:hAnsi="仿宋" w:eastAsia="仿宋" w:cs="仿宋"/>
          <w:b/>
          <w:sz w:val="44"/>
          <w:highlight w:val="none"/>
        </w:rPr>
      </w:pPr>
      <w:r/>
      <w:bookmarkStart w:id="196" w:name="_Toc186493270"/>
      <w:r>
        <w:rPr>
          <w:rFonts w:hint="eastAsia" w:ascii="仿宋" w:hAnsi="仿宋" w:eastAsia="仿宋" w:cs="仿宋"/>
          <w:b/>
          <w:sz w:val="44"/>
          <w:highlight w:val="none"/>
        </w:rPr>
        <w:br w:type="page" w:clear="all"/>
      </w:r>
      <w:r/>
    </w:p>
    <w:p>
      <w:pPr>
        <w:jc w:val="center"/>
        <w:spacing w:line="360" w:lineRule="auto"/>
        <w:rPr>
          <w:rFonts w:hint="eastAsia" w:ascii="仿宋" w:hAnsi="仿宋" w:eastAsia="仿宋" w:cs="仿宋"/>
          <w:bCs/>
          <w:sz w:val="44"/>
          <w:highlight w:val="none"/>
        </w:rPr>
        <w:outlineLvl w:val="0"/>
      </w:pPr>
      <w:r>
        <w:rPr>
          <w:rFonts w:hint="eastAsia" w:ascii="仿宋" w:hAnsi="仿宋" w:eastAsia="仿宋" w:cs="仿宋"/>
          <w:b/>
          <w:sz w:val="44"/>
          <w:highlight w:val="none"/>
        </w:rPr>
        <w:t xml:space="preserve">第五章  评标方</w:t>
      </w:r>
      <w:r>
        <w:rPr>
          <w:rFonts w:hint="eastAsia" w:ascii="仿宋" w:hAnsi="仿宋" w:eastAsia="仿宋" w:cs="仿宋"/>
          <w:b/>
          <w:bCs/>
          <w:sz w:val="44"/>
          <w:highlight w:val="none"/>
        </w:rPr>
        <w:t xml:space="preserve">法与评标标准</w:t>
      </w:r>
      <w:bookmarkEnd w:id="196"/>
      <w:r/>
      <w:r/>
    </w:p>
    <w:p>
      <w:pPr>
        <w:rPr>
          <w:rFonts w:hint="eastAsia" w:ascii="仿宋" w:hAnsi="仿宋" w:eastAsia="仿宋" w:cs="仿宋"/>
          <w:b/>
          <w:bCs/>
          <w:sz w:val="24"/>
          <w:szCs w:val="24"/>
          <w:highlight w:val="none"/>
        </w:rPr>
        <w:outlineLvl w:val="1"/>
      </w:pPr>
      <w:r>
        <w:rPr>
          <w:rFonts w:hint="eastAsia" w:ascii="仿宋" w:hAnsi="仿宋" w:eastAsia="仿宋" w:cs="仿宋"/>
          <w:b/>
          <w:bCs/>
          <w:sz w:val="24"/>
          <w:szCs w:val="24"/>
          <w:highlight w:val="none"/>
        </w:rPr>
        <w:t xml:space="preserve">一、评审方法：</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用综合评分法，由评标委员会对投标供应商资格进行审查，然后对符合资格的投标供应商的投标文件进行符合性审查，最后评标委员会对符合性审查合格的投标文件商务、技术部分进行评估，综合比较与评价。投标供应商商务技术分和价格分的合计分值，为该投标供应商的评标总得分。</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评标结果按评审后得分由高到低顺序排列，确定中标候选人名单并按顺序确定中标人。得分相同的，按投标报价由低到高顺序排列。得分且投标报价相同的并列,按照技术指标优劣顺序推荐。</w:t>
      </w:r>
      <w:r/>
    </w:p>
    <w:tbl>
      <w:tblPr>
        <w:tblStyle w:val="703"/>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2461"/>
        <w:gridCol w:w="5390"/>
      </w:tblGrid>
      <w:tr>
        <w:trPr/>
        <w:tc>
          <w:tcPr>
            <w:tcW w:w="1196" w:type="dxa"/>
            <w:vAlign w:val="center"/>
            <w:textDirection w:val="lrTb"/>
            <w:noWrap w:val="false"/>
          </w:tcPr>
          <w:p>
            <w:pPr>
              <w:ind w:firstLine="24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分包号</w:t>
            </w:r>
            <w:r/>
          </w:p>
        </w:tc>
        <w:tc>
          <w:tcPr>
            <w:tcW w:w="2461" w:type="dxa"/>
            <w:vAlign w:val="center"/>
            <w:textDirection w:val="lrTb"/>
            <w:noWrap w:val="false"/>
          </w:tcPr>
          <w:p>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选取中标候选人数量</w:t>
            </w:r>
            <w:r/>
          </w:p>
        </w:tc>
        <w:tc>
          <w:tcPr>
            <w:tcW w:w="5390" w:type="dxa"/>
            <w:vAlign w:val="center"/>
            <w:textDirection w:val="lrTb"/>
            <w:noWrap w:val="false"/>
          </w:tcPr>
          <w:p>
            <w:pPr>
              <w:ind w:firstLine="1351"/>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选取中标候选人的原则</w:t>
            </w:r>
            <w:r/>
          </w:p>
        </w:tc>
      </w:tr>
      <w:tr>
        <w:trPr/>
        <w:tc>
          <w:tcPr>
            <w:tcW w:w="1196" w:type="dxa"/>
            <w:vAlign w:val="center"/>
            <w:textDirection w:val="lrTb"/>
            <w:noWrap w:val="false"/>
          </w:tcPr>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2461" w:type="dxa"/>
            <w:vAlign w:val="center"/>
            <w:textDirection w:val="lrTb"/>
            <w:noWrap w:val="false"/>
          </w:tcPr>
          <w:p>
            <w:pPr>
              <w:ind w:firstLine="873"/>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5390" w:type="dxa"/>
            <w:vAlign w:val="center"/>
            <w:textDirection w:val="lrTb"/>
            <w:noWrap w:val="false"/>
          </w:tcPr>
          <w:p>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满足招标文件全部实质性要求，且按照评审因素的量化指标评审得分最高的投标供应商为中标候选人。</w:t>
            </w:r>
            <w:r/>
          </w:p>
        </w:tc>
      </w:tr>
    </w:tbl>
    <w:p>
      <w:pPr>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二、政府采购政策功能落实：</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1、小微型企业价格扣除</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（1）本项目对小型和微型企业产品给予10%的扣除价格，用扣除后的价格参与评审。</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（2）供应商需按照《政府采购促进中小企业发展管理办法》（财库﹝2020﹞46 号）的规定提供相应的《中小企业声明函》。</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（3）企业标准请参照《关于印发中小企业划型标准规定的通知》（工信部联企业[2011]300号）文件规定自行填写。</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2、残疾人福利单位价格扣除</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（1）本项目对残疾人福利性单位，给予10%的价格扣除，用扣除后的价格参与评审。</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（2）残疾人福利单位需按照招标文件的要求提供《残疾人福利性单位声明函》。</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（3）残疾人福利单位标准请参照《关于促进残疾人就业政府采购政策的通知》（财库〔2017〕141号）。</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3、监狱和戒毒企业价格扣除</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（1）本项目对监狱和戒毒企业（简称监狱企业）给予10%的价格扣除，用扣除后的价格参与评审。</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（3）监狱企业标准请参照《关于政府采购支持监狱企业发展有关问题的通知》（财库[2014]68号）。</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4、残疾人福利单位、监狱企业属于小型、微型企业的，不重复享受政策。</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如本项目同意联合体参加投标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6、联合体各方均为小型、微型企业（残疾人福利单位、监狱企业）的，联合体享受10%价格扣除，用扣除后的价格参与评审。</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7、专门面向中小企业采购的项目或者采购包，不再执行价格评审优惠的扶持政策。</w:t>
      </w:r>
      <w:r/>
    </w:p>
    <w:p>
      <w:pPr>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三、评标方法与评标标准：</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本项目采用综合评分法。评委会将按下列评审因素与评审标准进行评分，总分值为100分。</w:t>
      </w:r>
      <w:r/>
    </w:p>
    <w:p>
      <w:pPr>
        <w:ind w:firstLine="241"/>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3.1价格分（20分）：</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分统一采用低价优先法计算，即满足招标文件要求且投标价格最低的投标报价为评标基准价，其价格分为满分。其他投标供应商的价格分统一按照下列公式计算（注：计算过程和最后得分均四舍五入保留小数点后两位数）：</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投标报价得分=（评标基准价/投标报价）×价格权值×100</w:t>
      </w:r>
      <w:r/>
    </w:p>
    <w:p>
      <w:pPr>
        <w:ind w:firstLine="241"/>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3.2商务技术分（80分）：</w:t>
      </w:r>
      <w:r/>
    </w:p>
    <w:p>
      <w:pPr>
        <w:ind w:firstLine="555"/>
        <w:spacing w:line="500" w:lineRule="exact"/>
        <w:rPr>
          <w:rFonts w:hint="eastAsia" w:ascii="仿宋" w:hAnsi="仿宋" w:eastAsia="仿宋" w:cs="仿宋"/>
          <w:highlight w:val="none"/>
        </w:rPr>
      </w:pPr>
      <w:r>
        <w:rPr>
          <w:rFonts w:hint="eastAsia" w:ascii="仿宋" w:hAnsi="仿宋" w:eastAsia="仿宋" w:cs="仿宋"/>
          <w:sz w:val="24"/>
          <w:szCs w:val="24"/>
          <w:highlight w:val="none"/>
        </w:rPr>
        <w:t xml:space="preserve">各供应商得分为评标小组成员评分的算术平均分，分值保留小数点后两位。</w:t>
      </w:r>
      <w:r/>
    </w:p>
    <w:tbl>
      <w:tblPr>
        <w:tblStyle w:val="703"/>
        <w:tblW w:w="924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69"/>
        <w:gridCol w:w="1487"/>
        <w:gridCol w:w="5919"/>
        <w:gridCol w:w="1068"/>
      </w:tblGrid>
      <w:tr>
        <w:trPr>
          <w:jc w:val="center"/>
          <w:trHeight w:val="450"/>
        </w:trPr>
        <w:tc>
          <w:tcPr>
            <w:tcW w:w="769" w:type="dxa"/>
            <w:vAlign w:val="center"/>
            <w:textDirection w:val="lrTb"/>
            <w:noWrap w:val="false"/>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bidi="ar"/>
              </w:rPr>
              <w:t xml:space="preserve">序号</w:t>
            </w:r>
            <w:r/>
          </w:p>
        </w:tc>
        <w:tc>
          <w:tcPr>
            <w:tcW w:w="1487" w:type="dxa"/>
            <w:vAlign w:val="center"/>
            <w:textDirection w:val="lrTb"/>
            <w:noWrap w:val="false"/>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bidi="ar"/>
              </w:rPr>
              <w:t xml:space="preserve">评分点名称</w:t>
            </w:r>
            <w:r/>
          </w:p>
        </w:tc>
        <w:tc>
          <w:tcPr>
            <w:tcW w:w="5919" w:type="dxa"/>
            <w:vAlign w:val="center"/>
            <w:textDirection w:val="lrTb"/>
            <w:noWrap w:val="false"/>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bidi="ar"/>
              </w:rPr>
              <w:t xml:space="preserve">评审标准</w:t>
            </w:r>
            <w:r/>
          </w:p>
        </w:tc>
        <w:tc>
          <w:tcPr>
            <w:tcW w:w="1068" w:type="dxa"/>
            <w:vAlign w:val="center"/>
            <w:textDirection w:val="lrTb"/>
            <w:noWrap w:val="false"/>
          </w:tcPr>
          <w:p>
            <w:pPr>
              <w:jc w:val="cente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bidi="ar"/>
              </w:rPr>
              <w:t xml:space="preserve">分值（分）</w:t>
            </w:r>
            <w:r/>
          </w:p>
        </w:tc>
      </w:tr>
      <w:tr>
        <w:trPr>
          <w:jc w:val="center"/>
          <w:trHeight w:val="2163"/>
        </w:trPr>
        <w:tc>
          <w:tcPr>
            <w:tcW w:w="769"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w:t>
            </w:r>
            <w:r/>
          </w:p>
        </w:tc>
        <w:tc>
          <w:tcPr>
            <w:tcW w:w="1487" w:type="dxa"/>
            <w:vAlign w:val="center"/>
            <w:textDirection w:val="lrTb"/>
            <w:noWrap w:val="false"/>
          </w:tcPr>
          <w:p>
            <w:pP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企业经营业绩（10分）</w:t>
            </w:r>
            <w:r/>
          </w:p>
        </w:tc>
        <w:tc>
          <w:tcPr>
            <w:tcW w:w="591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投标供应商自2022年1月1日以来（以合同签订时间为准）承担过年度类似本项目业绩的，有一个业绩得2分，本项最多得10分。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（注：同一</w:t>
            </w:r>
            <w:r>
              <w:rPr>
                <w:rFonts w:hint="eastAsia" w:ascii="仿宋" w:hAnsi="仿宋" w:eastAsia="仿宋" w:cs="仿宋"/>
                <w:sz w:val="24"/>
                <w:szCs w:val="24"/>
                <w:highlight w:val="none"/>
                <w:lang w:val="en-US" w:eastAsia="zh-CN"/>
              </w:rPr>
              <w:t xml:space="preserve">招标人</w:t>
            </w:r>
            <w:r>
              <w:rPr>
                <w:rFonts w:hint="eastAsia" w:ascii="仿宋" w:hAnsi="仿宋" w:eastAsia="仿宋" w:cs="仿宋"/>
                <w:sz w:val="24"/>
                <w:szCs w:val="24"/>
                <w:highlight w:val="none"/>
              </w:rPr>
              <w:t xml:space="preserve">的只计一次得分，提供合同扫描件并加盖投标供应商红色实物公章或电子签章。）</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10</w:t>
            </w:r>
            <w:r/>
          </w:p>
        </w:tc>
      </w:tr>
      <w:tr>
        <w:trPr>
          <w:jc w:val="center"/>
          <w:trHeight w:val="90"/>
        </w:trPr>
        <w:tc>
          <w:tcPr>
            <w:tcW w:w="769" w:type="dxa"/>
            <w:vAlign w:val="center"/>
            <w:textDirection w:val="lrTb"/>
            <w:noWrap w:val="false"/>
          </w:tcPr>
          <w:p>
            <w:pPr>
              <w:jc w:val="cente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w:t>
            </w:r>
            <w:r/>
          </w:p>
        </w:tc>
        <w:tc>
          <w:tcPr>
            <w:tcW w:w="1487" w:type="dxa"/>
            <w:vAlign w:val="center"/>
            <w:textDirection w:val="lrTb"/>
            <w:noWrap w:val="false"/>
          </w:tcPr>
          <w:p>
            <w:pP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企业实力（</w:t>
            </w: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rPr>
              <w:t xml:space="preserve">分）</w:t>
            </w:r>
            <w:r/>
          </w:p>
        </w:tc>
        <w:tc>
          <w:tcPr>
            <w:tcW w:w="591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（投标供应商具有质量管理体系认证证书、环境管理体系认证证书、</w:t>
            </w:r>
            <w:r>
              <w:rPr>
                <w:rFonts w:hint="eastAsia" w:ascii="仿宋" w:hAnsi="仿宋" w:eastAsia="仿宋" w:cs="仿宋"/>
                <w:sz w:val="24"/>
                <w:szCs w:val="24"/>
                <w:highlight w:val="none"/>
              </w:rPr>
              <w:t xml:space="preserve">职业健康与安全管理体系认证</w:t>
            </w:r>
            <w:r>
              <w:rPr>
                <w:rFonts w:hint="eastAsia" w:ascii="仿宋" w:hAnsi="仿宋" w:eastAsia="仿宋" w:cs="仿宋"/>
                <w:sz w:val="24"/>
                <w:szCs w:val="24"/>
                <w:highlight w:val="none"/>
              </w:rPr>
              <w:t xml:space="preserve">证书，有1个得2分，最多得6分。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注：①提供认证证书原件扫描件。②体系认证证书在有效期内，认证证书需同时提供全国认证信息公共服务平台查询截图。</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val="en-US" w:eastAsia="zh-CN" w:bidi="ar"/>
              </w:rPr>
              <w:t xml:space="preserve">6</w:t>
            </w:r>
            <w:r/>
          </w:p>
        </w:tc>
      </w:tr>
      <w:tr>
        <w:trPr>
          <w:jc w:val="center"/>
          <w:trHeight w:val="90"/>
        </w:trPr>
        <w:tc>
          <w:tcPr>
            <w:tcW w:w="769" w:type="dxa"/>
            <w:vAlign w:val="center"/>
            <w:textDirection w:val="lrTb"/>
            <w:noWrap w:val="false"/>
          </w:tcPr>
          <w:p>
            <w:pPr>
              <w:jc w:val="cente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3</w:t>
            </w:r>
            <w:r/>
          </w:p>
        </w:tc>
        <w:tc>
          <w:tcPr>
            <w:tcW w:w="1487" w:type="dxa"/>
            <w:vAlign w:val="center"/>
            <w:textDirection w:val="lrTb"/>
            <w:noWrap w:val="false"/>
          </w:tcPr>
          <w:p>
            <w:pP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人员配备（6分）</w:t>
            </w:r>
            <w:r/>
          </w:p>
        </w:tc>
        <w:tc>
          <w:tcPr>
            <w:tcW w:w="5919" w:type="dxa"/>
            <w:vAlign w:val="center"/>
            <w:textDirection w:val="lrTb"/>
            <w:noWrap w:val="false"/>
          </w:tcPr>
          <w:p>
            <w:pPr>
              <w:pStyle w:val="7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拟派项目组正、副主管，具有安全管理员培训合格证书的，有一个得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分，本项最高得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（注：上述人员不得兼任，须提供证书原件扫描件，且须提供本单位为其缴纳的2026年6月份—2026年8月份中至少一个月的社保证明扫描件。）</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6</w:t>
            </w:r>
            <w:r/>
          </w:p>
        </w:tc>
      </w:tr>
      <w:tr>
        <w:trPr>
          <w:jc w:val="center"/>
          <w:trHeight w:val="90"/>
        </w:trPr>
        <w:tc>
          <w:tcPr>
            <w:tcW w:w="769" w:type="dxa"/>
            <w:vAlign w:val="center"/>
            <w:textDirection w:val="lrTb"/>
            <w:noWrap w:val="false"/>
          </w:tcPr>
          <w:p>
            <w:pPr>
              <w:jc w:val="cente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4</w:t>
            </w:r>
            <w:r/>
          </w:p>
        </w:tc>
        <w:tc>
          <w:tcPr>
            <w:tcW w:w="1487" w:type="dxa"/>
            <w:vAlign w:val="center"/>
            <w:textDirection w:val="lrTb"/>
            <w:noWrap w:val="false"/>
          </w:tcPr>
          <w:p>
            <w:pPr>
              <w:spacing w:line="360" w:lineRule="auto"/>
              <w:widowControl/>
              <w:rPr>
                <w:rFonts w:hint="eastAsia" w:ascii="仿宋" w:hAnsi="仿宋" w:eastAsia="仿宋" w:cs="仿宋"/>
                <w:b/>
                <w:bCs/>
                <w:sz w:val="24"/>
                <w:szCs w:val="24"/>
                <w:highlight w:val="none"/>
                <w:lang w:bidi="ar"/>
              </w:rPr>
            </w:pPr>
            <w:r>
              <w:rPr>
                <w:rFonts w:hint="eastAsia" w:ascii="仿宋" w:hAnsi="仿宋" w:eastAsia="仿宋" w:cs="仿宋"/>
                <w:b/>
                <w:bCs/>
                <w:sz w:val="24"/>
                <w:szCs w:val="24"/>
                <w:highlight w:val="none"/>
                <w:lang w:bidi="ar"/>
              </w:rPr>
              <w:t xml:space="preserve">荣誉情况（1</w:t>
            </w:r>
            <w:r>
              <w:rPr>
                <w:rFonts w:hint="eastAsia" w:ascii="仿宋" w:hAnsi="仿宋" w:eastAsia="仿宋" w:cs="仿宋"/>
                <w:b/>
                <w:bCs/>
                <w:sz w:val="24"/>
                <w:szCs w:val="24"/>
                <w:highlight w:val="none"/>
                <w:lang w:val="en-US" w:eastAsia="zh-CN" w:bidi="ar"/>
              </w:rPr>
              <w:t xml:space="preserve">8</w:t>
            </w:r>
            <w:r>
              <w:rPr>
                <w:rFonts w:hint="eastAsia" w:ascii="仿宋" w:hAnsi="仿宋" w:eastAsia="仿宋" w:cs="仿宋"/>
                <w:b/>
                <w:bCs/>
                <w:sz w:val="24"/>
                <w:szCs w:val="24"/>
                <w:highlight w:val="none"/>
                <w:lang w:bidi="ar"/>
              </w:rPr>
              <w:t xml:space="preserve">分）</w:t>
            </w:r>
            <w:r/>
          </w:p>
        </w:tc>
        <w:tc>
          <w:tcPr>
            <w:tcW w:w="591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1.投标供应商自2022年1月1日以来（时间以荣誉证书时间为准）获得过机关单位或者行政部门颁发的相关荣誉的，有一个得2分，最多得1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2.投标供应商拟投入的在职环卫工作人员中获得过机关单位或者行政主管部门颁发的相关个人荣誉的，有一个得2分，最多得4分。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提供荣誉证书或获奖证书扫描件并加盖投标供应商红色实物公章或电子签章，个人除提供证书外还须提供本单位为其缴纳的2026年6月份—2026年8月份中至少一个月的社保证明扫描件并加盖投标供应商红色实物公章或电子签章。</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lang w:eastAsia="zh-CN" w:bidi="ar"/>
              </w:rPr>
            </w:pPr>
            <w:r>
              <w:rPr>
                <w:rFonts w:hint="eastAsia" w:ascii="仿宋" w:hAnsi="仿宋" w:eastAsia="仿宋" w:cs="仿宋"/>
                <w:sz w:val="24"/>
                <w:szCs w:val="24"/>
                <w:highlight w:val="none"/>
                <w:lang w:bidi="ar"/>
              </w:rPr>
              <w:t xml:space="preserve">1</w:t>
            </w:r>
            <w:r>
              <w:rPr>
                <w:rFonts w:hint="eastAsia" w:ascii="仿宋" w:hAnsi="仿宋" w:eastAsia="仿宋" w:cs="仿宋"/>
                <w:sz w:val="24"/>
                <w:szCs w:val="24"/>
                <w:highlight w:val="none"/>
                <w:lang w:val="en-US" w:eastAsia="zh-CN" w:bidi="ar"/>
              </w:rPr>
              <w:t xml:space="preserve">8</w:t>
            </w:r>
            <w:r/>
          </w:p>
        </w:tc>
      </w:tr>
      <w:tr>
        <w:trPr>
          <w:jc w:val="center"/>
          <w:trHeight w:val="430"/>
        </w:trPr>
        <w:tc>
          <w:tcPr>
            <w:tcW w:w="769"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1487" w:type="dxa"/>
            <w:vAlign w:val="center"/>
            <w:textDirection w:val="lrTb"/>
            <w:noWrap w:val="false"/>
          </w:tcPr>
          <w:p>
            <w:pPr>
              <w:spacing w:line="360" w:lineRule="auto"/>
              <w:widowControl/>
              <w:rPr>
                <w:rFonts w:hint="eastAsia" w:ascii="仿宋" w:hAnsi="仿宋" w:eastAsia="仿宋" w:cs="仿宋"/>
                <w:b/>
                <w:bCs/>
                <w:sz w:val="24"/>
                <w:szCs w:val="24"/>
                <w:highlight w:val="none"/>
                <w:lang w:bidi="ar"/>
              </w:rPr>
            </w:pPr>
            <w:r>
              <w:rPr>
                <w:rFonts w:hint="eastAsia" w:ascii="仿宋" w:hAnsi="仿宋" w:eastAsia="仿宋" w:cs="仿宋"/>
                <w:b/>
                <w:bCs/>
                <w:sz w:val="24"/>
                <w:szCs w:val="24"/>
                <w:highlight w:val="none"/>
                <w:lang w:bidi="ar"/>
              </w:rPr>
              <w:t xml:space="preserve">拟投入机械设备</w:t>
            </w:r>
            <w:r/>
          </w:p>
          <w:p>
            <w:pPr>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bidi="ar"/>
              </w:rPr>
              <w:t xml:space="preserve">（15分）</w:t>
            </w:r>
            <w:r/>
          </w:p>
        </w:tc>
        <w:tc>
          <w:tcPr>
            <w:tcW w:w="5919" w:type="dxa"/>
            <w:vAlign w:val="center"/>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根据投标方案、保洁范围提高机械化率，投标供应商有</w:t>
            </w:r>
            <w:r>
              <w:rPr>
                <w:rFonts w:hint="eastAsia" w:ascii="仿宋" w:hAnsi="仿宋" w:eastAsia="仿宋" w:cs="仿宋"/>
                <w:sz w:val="24"/>
                <w:szCs w:val="24"/>
                <w:highlight w:val="none"/>
                <w:lang w:val="en-US" w:eastAsia="zh-CN"/>
              </w:rPr>
              <w:t xml:space="preserve">专业设备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包含压缩式垃圾车、扫洗车、高压冲洗车、雾炮车、铲车、机动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电动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保洁船等</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。以上车辆、保洁船等设备可为投标供应商自有财产或者租赁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各投标供应商按以下要求配备：</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具有压缩式垃圾车</w:t>
            </w:r>
            <w:r>
              <w:rPr>
                <w:rFonts w:hint="eastAsia" w:ascii="仿宋" w:hAnsi="仿宋" w:eastAsia="仿宋" w:cs="仿宋"/>
                <w:sz w:val="24"/>
                <w:szCs w:val="24"/>
                <w:highlight w:val="none"/>
                <w:lang w:val="en-US" w:eastAsia="zh-CN"/>
              </w:rPr>
              <w:t xml:space="preserve">≥6辆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洗扫车≥1辆</w:t>
            </w:r>
            <w:r>
              <w:rPr>
                <w:rFonts w:hint="eastAsia" w:ascii="仿宋" w:hAnsi="仿宋" w:eastAsia="仿宋" w:cs="仿宋"/>
                <w:sz w:val="24"/>
                <w:szCs w:val="24"/>
                <w:highlight w:val="none"/>
              </w:rPr>
              <w:t xml:space="preserve">、高压冲洗车</w:t>
            </w:r>
            <w:r>
              <w:rPr>
                <w:rFonts w:hint="eastAsia" w:ascii="仿宋" w:hAnsi="仿宋" w:eastAsia="仿宋" w:cs="仿宋"/>
                <w:sz w:val="24"/>
                <w:szCs w:val="24"/>
                <w:highlight w:val="none"/>
                <w:lang w:val="en-US" w:eastAsia="zh-CN"/>
              </w:rPr>
              <w:t xml:space="preserve">≥2辆</w:t>
            </w:r>
            <w:r>
              <w:rPr>
                <w:rFonts w:hint="eastAsia" w:ascii="仿宋" w:hAnsi="仿宋" w:eastAsia="仿宋" w:cs="仿宋"/>
                <w:sz w:val="24"/>
                <w:szCs w:val="24"/>
                <w:highlight w:val="none"/>
              </w:rPr>
              <w:t xml:space="preserve">、雾炮车</w:t>
            </w:r>
            <w:r>
              <w:rPr>
                <w:rFonts w:hint="eastAsia" w:ascii="仿宋" w:hAnsi="仿宋" w:eastAsia="仿宋" w:cs="仿宋"/>
                <w:sz w:val="24"/>
                <w:szCs w:val="24"/>
                <w:highlight w:val="none"/>
                <w:lang w:val="en-US" w:eastAsia="zh-CN"/>
              </w:rPr>
              <w:t xml:space="preserve">≥1辆</w:t>
            </w:r>
            <w:r>
              <w:rPr>
                <w:rFonts w:hint="eastAsia" w:ascii="仿宋" w:hAnsi="仿宋" w:eastAsia="仿宋" w:cs="仿宋"/>
                <w:sz w:val="24"/>
                <w:szCs w:val="24"/>
                <w:highlight w:val="none"/>
              </w:rPr>
              <w:t xml:space="preserve">、铲车</w:t>
            </w:r>
            <w:r>
              <w:rPr>
                <w:rFonts w:hint="eastAsia" w:ascii="仿宋" w:hAnsi="仿宋" w:eastAsia="仿宋" w:cs="仿宋"/>
                <w:sz w:val="24"/>
                <w:szCs w:val="24"/>
                <w:highlight w:val="none"/>
                <w:lang w:val="en-US" w:eastAsia="zh-CN"/>
              </w:rPr>
              <w:t xml:space="preserve">≥1辆</w:t>
            </w:r>
            <w:r>
              <w:rPr>
                <w:rFonts w:hint="eastAsia" w:ascii="仿宋" w:hAnsi="仿宋" w:eastAsia="仿宋" w:cs="仿宋"/>
                <w:sz w:val="24"/>
                <w:szCs w:val="24"/>
                <w:highlight w:val="none"/>
              </w:rPr>
              <w:t xml:space="preserve">、机动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电动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保洁船</w:t>
            </w:r>
            <w:r>
              <w:rPr>
                <w:rFonts w:hint="eastAsia" w:ascii="仿宋" w:hAnsi="仿宋" w:eastAsia="仿宋" w:cs="仿宋"/>
                <w:sz w:val="24"/>
                <w:szCs w:val="24"/>
                <w:highlight w:val="none"/>
                <w:lang w:val="en-US" w:eastAsia="zh-CN"/>
              </w:rPr>
              <w:t xml:space="preserve">≥9艘</w:t>
            </w:r>
            <w:r>
              <w:rPr>
                <w:rFonts w:hint="eastAsia" w:ascii="仿宋" w:hAnsi="仿宋" w:eastAsia="仿宋" w:cs="仿宋"/>
                <w:sz w:val="24"/>
                <w:szCs w:val="24"/>
                <w:highlight w:val="none"/>
              </w:rPr>
              <w:t xml:space="preserve">等，以上设备</w:t>
            </w:r>
            <w:r>
              <w:rPr>
                <w:rFonts w:hint="eastAsia" w:ascii="仿宋" w:hAnsi="仿宋" w:eastAsia="仿宋" w:cs="仿宋"/>
                <w:sz w:val="24"/>
                <w:szCs w:val="24"/>
                <w:highlight w:val="none"/>
                <w:lang w:val="en-US" w:eastAsia="zh-CN"/>
              </w:rPr>
              <w:t xml:space="preserve">数量为最低配备数量，在满足最低数量要求的前提下</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各投标供应商</w:t>
            </w:r>
            <w:r>
              <w:rPr>
                <w:rFonts w:hint="eastAsia" w:ascii="仿宋" w:hAnsi="仿宋" w:eastAsia="仿宋" w:cs="仿宋"/>
                <w:sz w:val="24"/>
                <w:szCs w:val="24"/>
                <w:highlight w:val="none"/>
              </w:rPr>
              <w:t xml:space="preserve">任意搭配，每</w:t>
            </w:r>
            <w:r>
              <w:rPr>
                <w:rFonts w:hint="eastAsia" w:ascii="仿宋" w:hAnsi="仿宋" w:eastAsia="仿宋" w:cs="仿宋"/>
                <w:sz w:val="24"/>
                <w:szCs w:val="24"/>
                <w:highlight w:val="none"/>
                <w:lang w:val="en-US" w:eastAsia="zh-CN"/>
              </w:rPr>
              <w:t xml:space="preserve">增加</w:t>
            </w:r>
            <w:r>
              <w:rPr>
                <w:rFonts w:hint="eastAsia" w:ascii="仿宋" w:hAnsi="仿宋" w:eastAsia="仿宋" w:cs="仿宋"/>
                <w:sz w:val="24"/>
                <w:szCs w:val="24"/>
                <w:highlight w:val="none"/>
              </w:rPr>
              <w:t xml:space="preserve">一辆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艘</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得0.5分，最多得15分；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1.如以上设备为自有财产的，车辆须提供行驶证、购置发票扫描件并加盖投标供应商红色实物公章或电子签章，行驶证上所有人须是投标供应商。保洁船提供购置发票扫描件并加盖投标供应商红色实物公章或电子签章；</w:t>
            </w:r>
            <w:r/>
          </w:p>
          <w:p>
            <w:pPr>
              <w:spacing w:line="360" w:lineRule="auto"/>
              <w:rPr>
                <w:rFonts w:eastAsia="仿宋"/>
                <w:highlight w:val="none"/>
              </w:rPr>
            </w:pPr>
            <w:r>
              <w:rPr>
                <w:rFonts w:hint="eastAsia" w:ascii="仿宋" w:hAnsi="仿宋" w:eastAsia="仿宋" w:cs="仿宋"/>
                <w:sz w:val="24"/>
                <w:szCs w:val="24"/>
                <w:highlight w:val="none"/>
              </w:rPr>
              <w:t xml:space="preserve">2.如以上设备为租赁的，车辆须提供租赁合同、行驶证、购置发票扫描件并加盖投标供应商红色实物公章或电子签章，行驶证上所有人须和租赁合同上的出租人一致。保洁船提供租赁合同、购置发票扫描件并加盖投标供应商红色实物公章或电子签章。</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15</w:t>
            </w:r>
            <w:r/>
          </w:p>
        </w:tc>
      </w:tr>
      <w:tr>
        <w:trPr>
          <w:jc w:val="center"/>
          <w:trHeight w:val="1376"/>
        </w:trPr>
        <w:tc>
          <w:tcPr>
            <w:tcW w:w="769" w:type="dxa"/>
            <w:vAlign w:val="center"/>
            <w:vMerge w:val="restart"/>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5</w:t>
            </w:r>
            <w:r/>
          </w:p>
        </w:tc>
        <w:tc>
          <w:tcPr>
            <w:tcW w:w="1487" w:type="dxa"/>
            <w:vAlign w:val="center"/>
            <w:vMerge w:val="restart"/>
            <w:textDirection w:val="lrTb"/>
            <w:noWrap w:val="false"/>
          </w:tcPr>
          <w:p>
            <w:pP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全域保洁整体运作方案（25分）</w:t>
            </w:r>
            <w:r/>
          </w:p>
        </w:tc>
        <w:tc>
          <w:tcPr>
            <w:tcW w:w="5919" w:type="dxa"/>
            <w:vAlign w:val="center"/>
            <w:textDirection w:val="lrTb"/>
            <w:noWrap w:val="false"/>
          </w:tcPr>
          <w:p>
            <w:pPr>
              <w:spacing w:line="360" w:lineRule="auto"/>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一、管理机制与各项制度方案（6分）</w:t>
            </w:r>
            <w:r/>
          </w:p>
          <w:p>
            <w:pPr>
              <w:spacing w:line="360" w:lineRule="auto"/>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投标供应商须结合本乡镇人居环境长效管护项目实际情况，针对性编制项目管理机制与配套管理制度方案，方案需贴合行业规范、具备落地性与实操性，严禁模板化套用、空洞化表述。本方案内容须完整包含以下六项核心内容：</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w:t>
            </w:r>
            <w:r>
              <w:rPr>
                <w:rFonts w:ascii="仿宋" w:hAnsi="仿宋" w:eastAsia="仿宋" w:cs="仿宋"/>
                <w:sz w:val="24"/>
                <w:szCs w:val="24"/>
                <w:highlight w:val="none"/>
                <w:lang w:bidi="ar"/>
              </w:rPr>
              <w:t xml:space="preserve">日常考核机制方案</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w:t>
            </w:r>
            <w:r>
              <w:rPr>
                <w:rFonts w:ascii="仿宋" w:hAnsi="仿宋" w:eastAsia="仿宋" w:cs="仿宋"/>
                <w:sz w:val="24"/>
                <w:szCs w:val="24"/>
                <w:highlight w:val="none"/>
                <w:lang w:bidi="ar"/>
              </w:rPr>
              <w:t xml:space="preserve">激励考核机制方案</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3.</w:t>
            </w:r>
            <w:r>
              <w:rPr>
                <w:rFonts w:ascii="仿宋" w:hAnsi="仿宋" w:eastAsia="仿宋" w:cs="仿宋"/>
                <w:sz w:val="24"/>
                <w:szCs w:val="24"/>
                <w:highlight w:val="none"/>
                <w:lang w:bidi="ar"/>
              </w:rPr>
              <w:t xml:space="preserve">监督机制方案</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4.</w:t>
            </w:r>
            <w:r>
              <w:rPr>
                <w:rFonts w:ascii="仿宋" w:hAnsi="仿宋" w:eastAsia="仿宋" w:cs="仿宋"/>
                <w:sz w:val="24"/>
                <w:szCs w:val="24"/>
                <w:highlight w:val="none"/>
                <w:lang w:bidi="ar"/>
              </w:rPr>
              <w:t xml:space="preserve">自我约束机制方案</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5.</w:t>
            </w:r>
            <w:r>
              <w:rPr>
                <w:rFonts w:ascii="仿宋" w:hAnsi="仿宋" w:eastAsia="仿宋" w:cs="仿宋"/>
                <w:sz w:val="24"/>
                <w:szCs w:val="24"/>
                <w:highlight w:val="none"/>
                <w:lang w:bidi="ar"/>
              </w:rPr>
              <w:t xml:space="preserve">信息反馈及处理机制方案</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6.</w:t>
            </w:r>
            <w:r>
              <w:rPr>
                <w:rFonts w:ascii="仿宋" w:hAnsi="仿宋" w:eastAsia="仿宋" w:cs="仿宋"/>
                <w:sz w:val="24"/>
                <w:szCs w:val="24"/>
                <w:highlight w:val="none"/>
                <w:lang w:bidi="ar"/>
              </w:rPr>
              <w:t xml:space="preserve">人员的使用、考核、淘汰机制等其他相应管理制度方案</w:t>
            </w:r>
            <w:r/>
          </w:p>
          <w:p>
            <w:pPr>
              <w:spacing w:line="360" w:lineRule="auto"/>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评分规则：</w:t>
            </w:r>
            <w:r>
              <w:rPr>
                <w:rFonts w:ascii="仿宋" w:hAnsi="仿宋" w:eastAsia="仿宋" w:cs="仿宋"/>
                <w:sz w:val="24"/>
                <w:szCs w:val="24"/>
                <w:highlight w:val="none"/>
                <w:lang w:bidi="ar"/>
              </w:rPr>
              <w:t xml:space="preserve">上述六项内容，每缺少一项扣1分；方案编制内容每存在一处缺陷或不足扣0.5分，本项分值扣完为止，最高得6分。</w:t>
            </w:r>
            <w:r/>
          </w:p>
          <w:p>
            <w:pPr>
              <w:spacing w:line="360" w:lineRule="auto"/>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缺陷与不足认定标准（满足任意一条即判定扣分）</w:t>
            </w:r>
            <w:r>
              <w:rPr>
                <w:rFonts w:ascii="仿宋" w:hAnsi="仿宋" w:eastAsia="仿宋" w:cs="仿宋"/>
                <w:sz w:val="24"/>
                <w:szCs w:val="24"/>
                <w:highlight w:val="none"/>
                <w:lang w:bidi="ar"/>
              </w:rPr>
              <w:t xml:space="preserve">：方案内容不切合行业实际、不符合国家法规政策；内容生搬硬造，与项目实际情况不符、存在明显偏差；内容过于简略，无具体落地措施；存在大量与本项目管护工作无关的冗余文字；内容不适用于本项目实际情况，不具备可操作性；内容存在逻辑漏洞或专业原理错误。</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6</w:t>
            </w:r>
            <w:r/>
          </w:p>
        </w:tc>
      </w:tr>
      <w:tr>
        <w:trPr>
          <w:jc w:val="center"/>
          <w:trHeight w:val="778"/>
        </w:trPr>
        <w:tc>
          <w:tcPr>
            <w:tcW w:w="769" w:type="dxa"/>
            <w:vAlign w:val="center"/>
            <w:vMerge w:val="continue"/>
            <w:textDirection w:val="lrTb"/>
            <w:noWrap w:val="false"/>
          </w:tcPr>
          <w:p>
            <w:pPr>
              <w:spacing w:line="360" w:lineRule="auto"/>
              <w:rPr>
                <w:rFonts w:hint="eastAsia" w:ascii="仿宋" w:hAnsi="仿宋" w:eastAsia="仿宋" w:cs="仿宋"/>
                <w:sz w:val="24"/>
                <w:szCs w:val="24"/>
                <w:highlight w:val="none"/>
              </w:rPr>
            </w:pPr>
            <w:r/>
            <w:bookmarkStart w:id="197" w:name="_Hlk238629523"/>
            <w:r/>
            <w:r/>
          </w:p>
        </w:tc>
        <w:tc>
          <w:tcPr>
            <w:tcW w:w="1487" w:type="dxa"/>
            <w:vAlign w:val="center"/>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919" w:type="dxa"/>
            <w:vAlign w:val="center"/>
            <w:textDirection w:val="lrTb"/>
            <w:noWrap w:val="false"/>
          </w:tcPr>
          <w:p>
            <w:pPr>
              <w:spacing w:line="360" w:lineRule="auto"/>
              <w:widowControl/>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二、作业方案（12分）</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投标供应商须针对本项目管护服务全域开展全面、充分的现场实地尽调，结合项目现场实际现状、服务范围、作业特点编制专属作业方案，方案需贴合现场实际、针对性强、具备可操作性，不得脱离项目实际、套用通用模板。本方案内容须完整包含以下十项核心内容：</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w:t>
            </w:r>
            <w:r>
              <w:rPr>
                <w:rFonts w:ascii="仿宋" w:hAnsi="仿宋" w:eastAsia="仿宋" w:cs="仿宋"/>
                <w:sz w:val="24"/>
                <w:szCs w:val="24"/>
                <w:highlight w:val="none"/>
                <w:lang w:bidi="ar"/>
              </w:rPr>
              <w:t xml:space="preserve">项目负责人、管理人员、作业人员配备方案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w:t>
            </w:r>
            <w:r>
              <w:rPr>
                <w:rFonts w:ascii="仿宋" w:hAnsi="仿宋" w:eastAsia="仿宋" w:cs="仿宋"/>
                <w:sz w:val="24"/>
                <w:szCs w:val="24"/>
                <w:highlight w:val="none"/>
                <w:lang w:bidi="ar"/>
              </w:rPr>
              <w:t xml:space="preserve">作业设备投入方案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3.</w:t>
            </w:r>
            <w:r>
              <w:rPr>
                <w:rFonts w:ascii="仿宋" w:hAnsi="仿宋" w:eastAsia="仿宋" w:cs="仿宋"/>
                <w:sz w:val="24"/>
                <w:szCs w:val="24"/>
                <w:highlight w:val="none"/>
                <w:lang w:bidi="ar"/>
              </w:rPr>
              <w:t xml:space="preserve">镇区综合管护方案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4.</w:t>
            </w:r>
            <w:r>
              <w:rPr>
                <w:rFonts w:ascii="仿宋" w:hAnsi="仿宋" w:eastAsia="仿宋" w:cs="仿宋"/>
                <w:sz w:val="24"/>
                <w:szCs w:val="24"/>
                <w:highlight w:val="none"/>
                <w:lang w:bidi="ar"/>
              </w:rPr>
              <w:t xml:space="preserve">工业园区管护方案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5.</w:t>
            </w:r>
            <w:r>
              <w:rPr>
                <w:rFonts w:ascii="仿宋" w:hAnsi="仿宋" w:eastAsia="仿宋" w:cs="仿宋"/>
                <w:sz w:val="24"/>
                <w:szCs w:val="24"/>
                <w:highlight w:val="none"/>
                <w:lang w:bidi="ar"/>
              </w:rPr>
              <w:t xml:space="preserve">垃圾日产日清方案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6.</w:t>
            </w:r>
            <w:r>
              <w:rPr>
                <w:rFonts w:ascii="仿宋" w:hAnsi="仿宋" w:eastAsia="仿宋" w:cs="仿宋"/>
                <w:sz w:val="24"/>
                <w:szCs w:val="24"/>
                <w:highlight w:val="none"/>
                <w:lang w:bidi="ar"/>
              </w:rPr>
              <w:t xml:space="preserve">垃圾分类控制方案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7.</w:t>
            </w:r>
            <w:r>
              <w:rPr>
                <w:rFonts w:ascii="仿宋" w:hAnsi="仿宋" w:eastAsia="仿宋" w:cs="仿宋"/>
                <w:sz w:val="24"/>
                <w:szCs w:val="24"/>
                <w:highlight w:val="none"/>
                <w:lang w:bidi="ar"/>
              </w:rPr>
              <w:t xml:space="preserve">河道管护控制方案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8.</w:t>
            </w:r>
            <w:r>
              <w:rPr>
                <w:rFonts w:ascii="仿宋" w:hAnsi="仿宋" w:eastAsia="仿宋" w:cs="仿宋"/>
                <w:sz w:val="24"/>
                <w:szCs w:val="24"/>
                <w:highlight w:val="none"/>
                <w:lang w:bidi="ar"/>
              </w:rPr>
              <w:t xml:space="preserve">绿化管护控制方案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9.</w:t>
            </w:r>
            <w:r>
              <w:rPr>
                <w:rFonts w:ascii="仿宋" w:hAnsi="仿宋" w:eastAsia="仿宋" w:cs="仿宋"/>
                <w:sz w:val="24"/>
                <w:szCs w:val="24"/>
                <w:highlight w:val="none"/>
                <w:lang w:bidi="ar"/>
              </w:rPr>
              <w:t xml:space="preserve">生活垃圾中转站工作方案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10.</w:t>
            </w:r>
            <w:r>
              <w:rPr>
                <w:rFonts w:ascii="仿宋" w:hAnsi="仿宋" w:eastAsia="仿宋" w:cs="仿宋"/>
                <w:sz w:val="24"/>
                <w:szCs w:val="24"/>
                <w:highlight w:val="none"/>
                <w:lang w:bidi="ar"/>
              </w:rPr>
              <w:t xml:space="preserve">成本控制和服务人员基本待遇保障方案</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评分规则：</w:t>
            </w:r>
            <w:r>
              <w:rPr>
                <w:rFonts w:ascii="仿宋" w:hAnsi="仿宋" w:eastAsia="仿宋" w:cs="仿宋"/>
                <w:sz w:val="24"/>
                <w:szCs w:val="24"/>
                <w:highlight w:val="none"/>
                <w:lang w:bidi="ar"/>
              </w:rPr>
              <w:t xml:space="preserve">上述十项内容，每缺少一项扣1.2分；方案编制内容每存在一处缺陷或不足扣0.</w:t>
            </w:r>
            <w:r>
              <w:rPr>
                <w:rFonts w:hint="eastAsia" w:ascii="仿宋" w:hAnsi="仿宋" w:eastAsia="仿宋" w:cs="仿宋"/>
                <w:sz w:val="24"/>
                <w:szCs w:val="24"/>
                <w:highlight w:val="none"/>
                <w:lang w:bidi="ar"/>
              </w:rPr>
              <w:t xml:space="preserve">5</w:t>
            </w:r>
            <w:r>
              <w:rPr>
                <w:rFonts w:ascii="仿宋" w:hAnsi="仿宋" w:eastAsia="仿宋" w:cs="仿宋"/>
                <w:sz w:val="24"/>
                <w:szCs w:val="24"/>
                <w:highlight w:val="none"/>
                <w:lang w:bidi="ar"/>
              </w:rPr>
              <w:t xml:space="preserve">分，本项分值扣完为止，最高得12分。</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缺陷与不足认定标准（满足任意一条即判定扣分）：</w:t>
            </w:r>
            <w:r>
              <w:rPr>
                <w:rFonts w:ascii="仿宋" w:hAnsi="仿宋" w:eastAsia="仿宋" w:cs="仿宋"/>
                <w:sz w:val="24"/>
                <w:szCs w:val="24"/>
                <w:highlight w:val="none"/>
                <w:lang w:bidi="ar"/>
              </w:rPr>
              <w:t xml:space="preserve">方案内容不切合行业实际、不符合国家法规政策；内容生搬硬造，与项目实际情况不符、存在明显偏差；内容过于简略，无具体作业流程、管控措施；存在大量与本项目管护工作无关的冗余文字；内容不适用于本项目实际作业场景，不具备可操作性；内容存在逻辑漏洞或专业原理错误。</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特别说明：</w:t>
            </w:r>
            <w:r>
              <w:rPr>
                <w:rFonts w:ascii="仿宋" w:hAnsi="仿宋" w:eastAsia="仿宋" w:cs="仿宋"/>
                <w:sz w:val="24"/>
                <w:szCs w:val="24"/>
                <w:highlight w:val="none"/>
                <w:lang w:bidi="ar"/>
              </w:rPr>
              <w:t xml:space="preserve">供应商投标即视为已完成本项目全域现场实地尽调，充分知悉本项目镇区、工业园区、河道、绿化、垃圾中转站及全域人居环境管护实际现状。评标委员会依据投标方案的针对性、真实性、完整性、可操作性、贴合现场程度独立评审打分，不接受供应商以踏勘不充分、现场情况预判偏差、认知不足等为由的事后申辩、补正及分值调整申请。</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12</w:t>
            </w:r>
            <w:bookmarkEnd w:id="197"/>
            <w:r/>
          </w:p>
        </w:tc>
      </w:tr>
      <w:tr>
        <w:trPr>
          <w:jc w:val="center"/>
          <w:trHeight w:val="970"/>
        </w:trPr>
        <w:tc>
          <w:tcPr>
            <w:tcW w:w="769" w:type="dxa"/>
            <w:vAlign w:val="center"/>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87" w:type="dxa"/>
            <w:vAlign w:val="center"/>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919" w:type="dxa"/>
            <w:vAlign w:val="center"/>
            <w:textDirection w:val="lrTb"/>
            <w:noWrap w:val="false"/>
          </w:tcPr>
          <w:p>
            <w:pPr>
              <w:spacing w:line="360" w:lineRule="auto"/>
              <w:widowControl/>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三、安全措施（3分）</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投标供应商须结合本项目户外作业、全域管护的工作特性，针对性编制安全保障措施方案，全面覆盖项目作业全流程安全管控要求。本方案内容须完整包含以下三项核心内容：</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w:t>
            </w:r>
            <w:r>
              <w:rPr>
                <w:rFonts w:ascii="仿宋" w:hAnsi="仿宋" w:eastAsia="仿宋" w:cs="仿宋"/>
                <w:sz w:val="24"/>
                <w:szCs w:val="24"/>
                <w:highlight w:val="none"/>
                <w:lang w:bidi="ar"/>
              </w:rPr>
              <w:t xml:space="preserve">安全制度方案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w:t>
            </w:r>
            <w:r>
              <w:rPr>
                <w:rFonts w:ascii="仿宋" w:hAnsi="仿宋" w:eastAsia="仿宋" w:cs="仿宋"/>
                <w:sz w:val="24"/>
                <w:szCs w:val="24"/>
                <w:highlight w:val="none"/>
                <w:lang w:bidi="ar"/>
              </w:rPr>
              <w:t xml:space="preserve">安全实施器材配备、规范用工及安全文明作业保障措施方案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3.</w:t>
            </w:r>
            <w:r>
              <w:rPr>
                <w:rFonts w:ascii="仿宋" w:hAnsi="仿宋" w:eastAsia="仿宋" w:cs="仿宋"/>
                <w:sz w:val="24"/>
                <w:szCs w:val="24"/>
                <w:highlight w:val="none"/>
                <w:lang w:bidi="ar"/>
              </w:rPr>
              <w:t xml:space="preserve">劳动保护、安全事故处理措施方案</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评分规则：</w:t>
            </w:r>
            <w:r>
              <w:rPr>
                <w:rFonts w:ascii="仿宋" w:hAnsi="仿宋" w:eastAsia="仿宋" w:cs="仿宋"/>
                <w:sz w:val="24"/>
                <w:szCs w:val="24"/>
                <w:highlight w:val="none"/>
                <w:lang w:bidi="ar"/>
              </w:rPr>
              <w:t xml:space="preserve">上述三项内容，每缺少一项扣1分；方案编制内容每存在一处缺陷或不足扣0.5分，本项分值扣完为止，最高得3分。</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缺陷与不足认定标准（满足任意一条即判定扣分）：</w:t>
            </w:r>
            <w:r>
              <w:rPr>
                <w:rFonts w:ascii="仿宋" w:hAnsi="仿宋" w:eastAsia="仿宋" w:cs="仿宋"/>
                <w:sz w:val="24"/>
                <w:szCs w:val="24"/>
                <w:highlight w:val="none"/>
                <w:lang w:bidi="ar"/>
              </w:rPr>
              <w:t xml:space="preserve">方案内容不切合行业实际、不符合国家法规政策；内容生搬硬造，与项目实际情况不符、存在明显偏差；内容过于简略，无具体安全管控举措；存在大量与本项目安全管理无关的冗余文字；内容不适用于本项目实际情况，不具备可操作性；内容存在逻辑漏洞或专业原理错误。</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r>
      <w:tr>
        <w:trPr>
          <w:jc w:val="center"/>
          <w:trHeight w:val="990"/>
        </w:trPr>
        <w:tc>
          <w:tcPr>
            <w:tcW w:w="769" w:type="dxa"/>
            <w:vAlign w:val="center"/>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87" w:type="dxa"/>
            <w:vAlign w:val="center"/>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919" w:type="dxa"/>
            <w:vAlign w:val="center"/>
            <w:textDirection w:val="lrTb"/>
            <w:noWrap w:val="false"/>
          </w:tcPr>
          <w:p>
            <w:pPr>
              <w:spacing w:line="360" w:lineRule="auto"/>
              <w:widowControl/>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四、应急措施（3分）</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投标供应商须针对项目日常管护、重大保障、突发状况等场景，编制全面、可行的应急处置方案，有效应对各类突发及特殊作业场景。本方案内容须完整包含以下三项核心内容：</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w:t>
            </w:r>
            <w:r>
              <w:rPr>
                <w:rFonts w:ascii="仿宋" w:hAnsi="仿宋" w:eastAsia="仿宋" w:cs="仿宋"/>
                <w:sz w:val="24"/>
                <w:szCs w:val="24"/>
                <w:highlight w:val="none"/>
                <w:lang w:bidi="ar"/>
              </w:rPr>
              <w:t xml:space="preserve">节假日预案方案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w:t>
            </w:r>
            <w:r>
              <w:rPr>
                <w:rFonts w:ascii="仿宋" w:hAnsi="仿宋" w:eastAsia="仿宋" w:cs="仿宋"/>
                <w:sz w:val="24"/>
                <w:szCs w:val="24"/>
                <w:highlight w:val="none"/>
                <w:lang w:bidi="ar"/>
              </w:rPr>
              <w:t xml:space="preserve">迎接重大活动及检查评比的保障措施方案</w:t>
            </w:r>
            <w:r/>
          </w:p>
          <w:p>
            <w:pPr>
              <w:spacing w:line="360" w:lineRule="auto"/>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3.</w:t>
            </w:r>
            <w:r>
              <w:rPr>
                <w:rFonts w:ascii="仿宋" w:hAnsi="仿宋" w:eastAsia="仿宋" w:cs="仿宋"/>
                <w:sz w:val="24"/>
                <w:szCs w:val="24"/>
                <w:highlight w:val="none"/>
                <w:lang w:bidi="ar"/>
              </w:rPr>
              <w:t xml:space="preserve">人员临时调动及突发事件的处理措施方案</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评分规则：</w:t>
            </w:r>
            <w:r>
              <w:rPr>
                <w:rFonts w:ascii="仿宋" w:hAnsi="仿宋" w:eastAsia="仿宋" w:cs="仿宋"/>
                <w:sz w:val="24"/>
                <w:szCs w:val="24"/>
                <w:highlight w:val="none"/>
                <w:lang w:bidi="ar"/>
              </w:rPr>
              <w:t xml:space="preserve">上述三项内容，每缺少一项扣1分；方案编制内容每存在一处缺陷或不足扣0.5分，本项分值扣完为止，最高得3分。</w:t>
            </w:r>
            <w:r/>
          </w:p>
          <w:p>
            <w:pPr>
              <w:spacing w:line="360" w:lineRule="auto"/>
              <w:widowControl/>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缺陷与不足认定标准（满足任意一条即判定扣分）：</w:t>
            </w:r>
            <w:r>
              <w:rPr>
                <w:rFonts w:ascii="仿宋" w:hAnsi="仿宋" w:eastAsia="仿宋" w:cs="仿宋"/>
                <w:sz w:val="24"/>
                <w:szCs w:val="24"/>
                <w:highlight w:val="none"/>
                <w:lang w:bidi="ar"/>
              </w:rPr>
              <w:t xml:space="preserve">方案内容不切合行业实际、不符合国家法规政策；内容生搬硬造，与项目实际情况不符、存在明显偏差；内容过于简略，无具体应急处置流程；存在大量与本项目应急保障无关的冗余文字；内容不适用于本项目实际情况，不具备可操作性；内容存在逻辑漏洞或专业原理错误。</w:t>
            </w:r>
            <w:r/>
          </w:p>
        </w:tc>
        <w:tc>
          <w:tcPr>
            <w:tcW w:w="1068" w:type="dxa"/>
            <w:vAlign w:val="center"/>
            <w:textDirection w:val="lrTb"/>
            <w:noWrap w:val="false"/>
          </w:tcPr>
          <w:p>
            <w:pPr>
              <w:jc w:val="center"/>
              <w:spacing w:line="360" w:lineRule="auto"/>
              <w:widowControl/>
              <w:rPr>
                <w:rStyle w:val="914"/>
                <w:rFonts w:hint="default" w:ascii="仿宋" w:hAnsi="仿宋" w:eastAsia="仿宋" w:cs="仿宋"/>
                <w:color w:val="auto"/>
                <w:highlight w:val="none"/>
                <w:lang w:bidi="ar"/>
              </w:rPr>
            </w:pPr>
            <w:r>
              <w:rPr>
                <w:rStyle w:val="914"/>
                <w:rFonts w:hint="default" w:ascii="仿宋" w:hAnsi="仿宋" w:eastAsia="仿宋" w:cs="仿宋"/>
                <w:color w:val="auto"/>
                <w:highlight w:val="none"/>
                <w:lang w:bidi="ar"/>
              </w:rPr>
              <w:t xml:space="preserve">3</w:t>
            </w:r>
            <w:r/>
          </w:p>
        </w:tc>
      </w:tr>
      <w:tr>
        <w:trPr>
          <w:jc w:val="center"/>
          <w:trHeight w:val="532"/>
        </w:trPr>
        <w:tc>
          <w:tcPr>
            <w:tcW w:w="769" w:type="dxa"/>
            <w:vAlign w:val="center"/>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87" w:type="dxa"/>
            <w:vAlign w:val="center"/>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919" w:type="dxa"/>
            <w:vAlign w:val="center"/>
            <w:textDirection w:val="lrTb"/>
            <w:noWrap w:val="false"/>
          </w:tcPr>
          <w:p>
            <w:pPr>
              <w:spacing w:line="360" w:lineRule="auto"/>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五、各项承诺（1分）</w:t>
            </w:r>
            <w:r/>
          </w:p>
          <w:p>
            <w:pPr>
              <w:spacing w:line="360" w:lineRule="auto"/>
              <w:rPr>
                <w:rFonts w:hint="eastAsia" w:ascii="仿宋" w:hAnsi="仿宋" w:eastAsia="仿宋" w:cs="仿宋"/>
                <w:sz w:val="24"/>
                <w:szCs w:val="24"/>
                <w:highlight w:val="none"/>
                <w:lang w:bidi="ar"/>
              </w:rPr>
            </w:pPr>
            <w:r>
              <w:rPr>
                <w:rFonts w:ascii="仿宋" w:hAnsi="仿宋" w:eastAsia="仿宋" w:cs="仿宋"/>
                <w:sz w:val="24"/>
                <w:szCs w:val="24"/>
                <w:highlight w:val="none"/>
                <w:lang w:bidi="ar"/>
              </w:rPr>
              <w:t xml:space="preserve">投标供应商须自行拟定承诺书，承诺内容需包含但不限于质量承诺、各类安全事故善后处理承诺、依法规范用工承诺、履约期各类风险应对承诺、不可抗力事件及时处理承诺等核心内容。</w:t>
            </w:r>
            <w:r/>
          </w:p>
          <w:p>
            <w:pPr>
              <w:spacing w:line="360" w:lineRule="auto"/>
              <w:rPr>
                <w:rFonts w:hint="eastAsia" w:ascii="仿宋" w:hAnsi="仿宋" w:eastAsia="仿宋" w:cs="仿宋"/>
                <w:sz w:val="24"/>
                <w:szCs w:val="24"/>
                <w:highlight w:val="none"/>
                <w:lang w:bidi="ar"/>
              </w:rPr>
            </w:pPr>
            <w:r>
              <w:rPr>
                <w:rFonts w:ascii="仿宋" w:hAnsi="仿宋" w:eastAsia="仿宋" w:cs="仿宋"/>
                <w:b/>
                <w:bCs/>
                <w:sz w:val="24"/>
                <w:szCs w:val="24"/>
                <w:highlight w:val="none"/>
                <w:lang w:bidi="ar"/>
              </w:rPr>
              <w:t xml:space="preserve">评分规则：</w:t>
            </w:r>
            <w:r>
              <w:rPr>
                <w:rFonts w:ascii="仿宋" w:hAnsi="仿宋" w:eastAsia="仿宋" w:cs="仿宋"/>
                <w:sz w:val="24"/>
                <w:szCs w:val="24"/>
                <w:highlight w:val="none"/>
                <w:lang w:bidi="ar"/>
              </w:rPr>
              <w:t xml:space="preserve">完整提供包含全部核心承诺内容的承诺书得1分，内容缺失、未按要求提供承诺书的不得分。</w:t>
            </w:r>
            <w:r/>
          </w:p>
        </w:tc>
        <w:tc>
          <w:tcPr>
            <w:tcW w:w="1068" w:type="dxa"/>
            <w:vAlign w:val="center"/>
            <w:textDirection w:val="lrTb"/>
            <w:noWrap w:val="false"/>
          </w:tcPr>
          <w:p>
            <w:pPr>
              <w:jc w:val="center"/>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1</w:t>
            </w:r>
            <w:r/>
          </w:p>
        </w:tc>
      </w:tr>
    </w:tbl>
    <w:p>
      <w:pPr>
        <w:rPr>
          <w:highlight w:val="none"/>
        </w:rPr>
      </w:pPr>
      <w:r>
        <w:rPr>
          <w:highlight w:val="none"/>
        </w:rPr>
      </w:r>
      <w:r/>
    </w:p>
    <w:p>
      <w:pPr>
        <w:pStyle w:val="728"/>
        <w:ind w:firstLine="0"/>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ind w:firstLine="480"/>
        <w:jc w:val="right"/>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93"/>
        <w:ind w:firstLine="2209"/>
        <w:jc w:val="left"/>
        <w:rPr>
          <w:rFonts w:hint="eastAsia" w:ascii="仿宋" w:hAnsi="仿宋" w:eastAsia="仿宋" w:cs="仿宋"/>
          <w:b/>
          <w:sz w:val="44"/>
          <w:highlight w:val="none"/>
        </w:rPr>
      </w:pPr>
      <w:r/>
      <w:bookmarkStart w:id="198" w:name="_Toc186493271"/>
      <w:r>
        <w:rPr>
          <w:rFonts w:hint="eastAsia" w:ascii="仿宋" w:hAnsi="仿宋" w:eastAsia="仿宋" w:cs="仿宋"/>
          <w:b/>
          <w:sz w:val="44"/>
          <w:highlight w:val="none"/>
        </w:rPr>
        <w:t xml:space="preserve">第六章  投标</w:t>
      </w:r>
      <w:bookmarkEnd w:id="193"/>
      <w:r/>
      <w:bookmarkEnd w:id="194"/>
      <w:r/>
      <w:bookmarkEnd w:id="195"/>
      <w:r>
        <w:rPr>
          <w:rFonts w:hint="eastAsia" w:ascii="仿宋" w:hAnsi="仿宋" w:eastAsia="仿宋" w:cs="仿宋"/>
          <w:b/>
          <w:sz w:val="44"/>
          <w:highlight w:val="none"/>
        </w:rPr>
        <w:t xml:space="preserve">文件格式</w:t>
      </w:r>
      <w:bookmarkEnd w:id="198"/>
      <w:r/>
      <w:r/>
    </w:p>
    <w:p>
      <w:pPr>
        <w:jc w:val="center"/>
        <w:rPr>
          <w:rFonts w:hint="eastAsia" w:ascii="仿宋" w:hAnsi="仿宋" w:eastAsia="仿宋" w:cs="仿宋"/>
          <w:b/>
          <w:sz w:val="72"/>
          <w:highlight w:val="none"/>
        </w:rPr>
      </w:pPr>
      <w:r/>
      <w:bookmarkStart w:id="199" w:name="_Hlt26955039"/>
      <w:r/>
      <w:bookmarkEnd w:id="199"/>
      <w:r/>
      <w:bookmarkStart w:id="200" w:name="_Hlt26671244"/>
      <w:r/>
      <w:bookmarkEnd w:id="200"/>
      <w:r/>
      <w:bookmarkStart w:id="201" w:name="_Toc49090576"/>
      <w:r/>
      <w:bookmarkStart w:id="202" w:name="_Toc26554094"/>
      <w:r/>
      <w:bookmarkStart w:id="203" w:name="_Toc120614282"/>
      <w:r/>
      <w:r/>
    </w:p>
    <w:p>
      <w:pPr>
        <w:jc w:val="center"/>
        <w:rPr>
          <w:rFonts w:hint="eastAsia" w:ascii="仿宋" w:hAnsi="仿宋" w:eastAsia="仿宋" w:cs="仿宋"/>
          <w:b/>
          <w:sz w:val="72"/>
          <w:highlight w:val="none"/>
        </w:rPr>
        <w:outlineLvl w:val="0"/>
      </w:pPr>
      <w:r/>
      <w:bookmarkStart w:id="204" w:name="_Toc186493272"/>
      <w:r>
        <w:rPr>
          <w:rFonts w:hint="eastAsia" w:ascii="仿宋" w:hAnsi="仿宋" w:eastAsia="仿宋" w:cs="仿宋"/>
          <w:b/>
          <w:sz w:val="72"/>
          <w:highlight w:val="none"/>
        </w:rPr>
        <w:t xml:space="preserve">投  标  文  件</w:t>
      </w:r>
      <w:bookmarkEnd w:id="204"/>
      <w:r/>
      <w:r/>
    </w:p>
    <w:p>
      <w:pPr>
        <w:jc w:val="center"/>
        <w:rPr>
          <w:rFonts w:hint="eastAsia" w:ascii="仿宋" w:hAnsi="仿宋" w:eastAsia="仿宋" w:cs="仿宋"/>
          <w:b/>
          <w:sz w:val="72"/>
          <w:highlight w:val="none"/>
        </w:rPr>
      </w:pPr>
      <w:r>
        <w:rPr>
          <w:rFonts w:hint="eastAsia" w:ascii="仿宋" w:hAnsi="仿宋" w:eastAsia="仿宋" w:cs="仿宋"/>
          <w:b/>
          <w:sz w:val="72"/>
          <w:highlight w:val="none"/>
        </w:rPr>
      </w:r>
      <w:r/>
    </w:p>
    <w:p>
      <w:pPr>
        <w:jc w:val="center"/>
        <w:rPr>
          <w:rFonts w:hint="eastAsia" w:ascii="仿宋" w:hAnsi="仿宋" w:eastAsia="仿宋" w:cs="仿宋"/>
          <w:b/>
          <w:sz w:val="72"/>
          <w:highlight w:val="none"/>
        </w:rPr>
      </w:pPr>
      <w:r>
        <w:rPr>
          <w:rFonts w:hint="eastAsia" w:ascii="仿宋" w:hAnsi="仿宋" w:eastAsia="仿宋" w:cs="仿宋"/>
          <w:b/>
          <w:sz w:val="72"/>
          <w:highlight w:val="none"/>
        </w:rPr>
      </w: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p>
    <w:p>
      <w:pPr>
        <w:pStyle w:val="707"/>
        <w:rPr>
          <w:highlight w:val="none"/>
        </w:rPr>
      </w:pPr>
      <w:r>
        <w:rPr>
          <w:highlight w:val="none"/>
        </w:rPr>
      </w: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rPr>
          <w:rFonts w:hint="eastAsia" w:ascii="仿宋" w:hAnsi="仿宋" w:eastAsia="仿宋" w:cs="仿宋"/>
          <w:b/>
          <w:sz w:val="36"/>
          <w:highlight w:val="none"/>
        </w:rPr>
        <w:outlineLvl w:val="0"/>
      </w:pPr>
      <w:r/>
      <w:bookmarkStart w:id="205" w:name="_Toc186493273"/>
      <w:r>
        <w:rPr>
          <w:rFonts w:hint="eastAsia" w:ascii="仿宋" w:hAnsi="仿宋" w:eastAsia="仿宋" w:cs="仿宋"/>
          <w:b/>
          <w:sz w:val="36"/>
          <w:highlight w:val="none"/>
        </w:rPr>
        <w:t xml:space="preserve">项 目 名 称：</w:t>
      </w:r>
      <w:bookmarkEnd w:id="205"/>
      <w:r/>
      <w:r/>
    </w:p>
    <w:p>
      <w:pPr>
        <w:ind w:firstLine="1084"/>
        <w:rPr>
          <w:rFonts w:hint="eastAsia" w:ascii="仿宋" w:hAnsi="仿宋" w:eastAsia="仿宋" w:cs="仿宋"/>
          <w:b/>
          <w:sz w:val="36"/>
          <w:highlight w:val="none"/>
          <w:u w:val="single"/>
        </w:rPr>
        <w:outlineLvl w:val="0"/>
      </w:pPr>
      <w:r/>
      <w:bookmarkStart w:id="206" w:name="_Toc186493274"/>
      <w:r>
        <w:rPr>
          <w:rFonts w:hint="eastAsia" w:ascii="仿宋" w:hAnsi="仿宋" w:eastAsia="仿宋" w:cs="仿宋"/>
          <w:b/>
          <w:sz w:val="36"/>
          <w:highlight w:val="none"/>
        </w:rPr>
        <w:t xml:space="preserve">项 目 编 号：</w:t>
      </w:r>
      <w:bookmarkEnd w:id="206"/>
      <w:r/>
      <w:r/>
    </w:p>
    <w:p>
      <w:pPr>
        <w:rPr>
          <w:rFonts w:hint="eastAsia" w:ascii="仿宋" w:hAnsi="仿宋" w:eastAsia="仿宋" w:cs="仿宋"/>
          <w:b/>
          <w:sz w:val="36"/>
          <w:highlight w:val="none"/>
          <w:u w:val="single"/>
        </w:rPr>
        <w:outlineLvl w:val="0"/>
      </w:pPr>
      <w:r>
        <w:rPr>
          <w:rFonts w:hint="eastAsia" w:ascii="仿宋" w:hAnsi="仿宋" w:eastAsia="仿宋" w:cs="仿宋"/>
          <w:b/>
          <w:sz w:val="36"/>
          <w:highlight w:val="none"/>
        </w:rPr>
        <w:t xml:space="preserve">      </w:t>
      </w:r>
      <w:bookmarkStart w:id="207" w:name="_Toc186493275"/>
      <w:r>
        <w:rPr>
          <w:rFonts w:hint="eastAsia" w:ascii="仿宋" w:hAnsi="仿宋" w:eastAsia="仿宋" w:cs="仿宋"/>
          <w:b/>
          <w:sz w:val="36"/>
          <w:highlight w:val="none"/>
        </w:rPr>
        <w:t xml:space="preserve">投标供应商名称 ：</w:t>
      </w:r>
      <w:r>
        <w:rPr>
          <w:rFonts w:hint="eastAsia" w:ascii="仿宋" w:hAnsi="仿宋" w:eastAsia="仿宋" w:cs="仿宋"/>
          <w:b/>
          <w:sz w:val="36"/>
          <w:highlight w:val="none"/>
          <w:u w:val="single"/>
        </w:rPr>
        <w:t xml:space="preserve">（加盖CA电子公章）</w:t>
      </w:r>
      <w:bookmarkEnd w:id="207"/>
      <w:r/>
      <w:r/>
    </w:p>
    <w:p>
      <w:pPr>
        <w:rPr>
          <w:rFonts w:hint="eastAsia" w:ascii="仿宋" w:hAnsi="仿宋" w:eastAsia="仿宋" w:cs="仿宋"/>
          <w:b/>
          <w:sz w:val="36"/>
          <w:highlight w:val="none"/>
          <w:u w:val="single"/>
        </w:rPr>
        <w:outlineLvl w:val="0"/>
      </w:pPr>
      <w:r>
        <w:rPr>
          <w:rFonts w:hint="eastAsia" w:ascii="仿宋" w:hAnsi="仿宋" w:eastAsia="仿宋" w:cs="仿宋"/>
          <w:b/>
          <w:sz w:val="36"/>
          <w:highlight w:val="none"/>
        </w:rPr>
        <w:t xml:space="preserve">      </w:t>
      </w:r>
      <w:bookmarkStart w:id="208" w:name="_Toc186493276"/>
      <w:r>
        <w:rPr>
          <w:rFonts w:hint="eastAsia" w:ascii="仿宋" w:hAnsi="仿宋" w:eastAsia="仿宋" w:cs="仿宋"/>
          <w:b/>
          <w:sz w:val="36"/>
          <w:highlight w:val="none"/>
        </w:rPr>
        <w:t xml:space="preserve">日      期 ：</w:t>
      </w:r>
      <w:bookmarkEnd w:id="208"/>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line="440" w:lineRule="exact"/>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pStyle w:val="770"/>
        <w:ind w:firstLine="643"/>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70"/>
        <w:ind w:firstLine="643"/>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70"/>
        <w:ind w:firstLine="643"/>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bookmarkStart w:id="209" w:name="_Toc186493277"/>
      <w:r>
        <w:rPr>
          <w:rFonts w:hint="eastAsia" w:ascii="仿宋" w:hAnsi="仿宋" w:eastAsia="仿宋" w:cs="仿宋"/>
          <w:b/>
          <w:bCs/>
          <w:sz w:val="32"/>
          <w:szCs w:val="32"/>
          <w:highlight w:val="none"/>
        </w:rPr>
        <w:t xml:space="preserve">投标文件的组成</w:t>
      </w:r>
      <w:bookmarkEnd w:id="209"/>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left="480"/>
        <w:spacing w:line="360" w:lineRule="auto"/>
        <w:rPr>
          <w:rFonts w:hint="eastAsia" w:ascii="仿宋" w:hAnsi="仿宋" w:eastAsia="仿宋" w:cs="仿宋"/>
          <w:b/>
          <w:sz w:val="24"/>
          <w:highlight w:val="none"/>
        </w:rPr>
        <w:outlineLvl w:val="0"/>
      </w:pPr>
      <w:r/>
      <w:bookmarkStart w:id="210" w:name="_Toc186493278"/>
      <w:r>
        <w:rPr>
          <w:rFonts w:hint="eastAsia" w:ascii="仿宋" w:hAnsi="仿宋" w:eastAsia="仿宋" w:cs="仿宋"/>
          <w:b/>
          <w:sz w:val="24"/>
          <w:highlight w:val="none"/>
        </w:rPr>
        <w:t xml:space="preserve">一、基本目录</w:t>
      </w:r>
      <w:bookmarkEnd w:id="210"/>
      <w:r/>
      <w:r/>
    </w:p>
    <w:p>
      <w:pPr>
        <w:ind w:left="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1.开标一览表（格式见附件1）</w:t>
      </w:r>
      <w:r/>
    </w:p>
    <w:p>
      <w:pPr>
        <w:ind w:left="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2.投标分项报价表（格式见附件2）</w:t>
      </w:r>
      <w:r/>
    </w:p>
    <w:p>
      <w:pPr>
        <w:ind w:left="480"/>
        <w:spacing w:line="360" w:lineRule="auto"/>
        <w:rPr>
          <w:rFonts w:hint="eastAsia" w:ascii="仿宋" w:hAnsi="仿宋" w:eastAsia="仿宋" w:cs="仿宋"/>
          <w:b/>
          <w:sz w:val="24"/>
          <w:highlight w:val="none"/>
        </w:rPr>
        <w:outlineLvl w:val="0"/>
      </w:pPr>
      <w:r/>
      <w:bookmarkStart w:id="211" w:name="_Toc186493279"/>
      <w:r>
        <w:rPr>
          <w:rFonts w:hint="eastAsia" w:ascii="仿宋" w:hAnsi="仿宋" w:eastAsia="仿宋" w:cs="仿宋"/>
          <w:b/>
          <w:sz w:val="24"/>
          <w:highlight w:val="none"/>
        </w:rPr>
        <w:t xml:space="preserve">二、资格审查内容</w:t>
      </w:r>
      <w:bookmarkEnd w:id="211"/>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1.投标供应商符合《政府采购法》第二十二条规定条件的声明函（</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3）</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2.法定代表人身份证明、</w:t>
      </w:r>
      <w:r>
        <w:rPr>
          <w:rFonts w:hint="eastAsia" w:ascii="仿宋" w:hAnsi="仿宋" w:eastAsia="仿宋" w:cs="仿宋"/>
          <w:sz w:val="24"/>
          <w:highlight w:val="none"/>
          <w:lang w:val="zh-CN"/>
        </w:rPr>
        <w:t xml:space="preserve">法定代表人的身份证</w:t>
      </w:r>
      <w:r>
        <w:rPr>
          <w:rFonts w:hint="eastAsia" w:ascii="仿宋" w:hAnsi="仿宋" w:eastAsia="仿宋" w:cs="仿宋"/>
          <w:sz w:val="24"/>
          <w:highlight w:val="none"/>
        </w:rPr>
        <w:t xml:space="preserve">扫描件（</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4）</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3.法定代表人授权书、被授权</w:t>
      </w:r>
      <w:r>
        <w:rPr>
          <w:rFonts w:hint="eastAsia" w:ascii="仿宋" w:hAnsi="仿宋" w:eastAsia="仿宋" w:cs="仿宋"/>
          <w:sz w:val="24"/>
          <w:highlight w:val="none"/>
          <w:lang w:val="zh-CN"/>
        </w:rPr>
        <w:t xml:space="preserve">人身份证</w:t>
      </w:r>
      <w:r>
        <w:rPr>
          <w:rFonts w:hint="eastAsia" w:ascii="仿宋" w:hAnsi="仿宋" w:eastAsia="仿宋" w:cs="仿宋"/>
          <w:sz w:val="24"/>
          <w:highlight w:val="none"/>
        </w:rPr>
        <w:t xml:space="preserve">扫描件（如有授权，</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4.投标函（</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6）</w:t>
      </w:r>
      <w:r/>
    </w:p>
    <w:p>
      <w:pPr>
        <w:ind w:firstLine="480"/>
        <w:spacing w:line="360" w:lineRule="auto"/>
        <w:rPr>
          <w:highlight w:val="none"/>
        </w:rPr>
      </w:pPr>
      <w:r>
        <w:rPr>
          <w:rFonts w:hint="eastAsia" w:ascii="仿宋" w:hAnsi="仿宋" w:eastAsia="仿宋" w:cs="仿宋"/>
          <w:sz w:val="24"/>
          <w:highlight w:val="none"/>
        </w:rPr>
        <w:t xml:space="preserve">5</w:t>
      </w:r>
      <w:r>
        <w:rPr>
          <w:rFonts w:hint="eastAsia" w:ascii="仿宋" w:hAnsi="仿宋" w:eastAsia="仿宋" w:cs="仿宋"/>
          <w:sz w:val="24"/>
          <w:highlight w:val="none"/>
          <w:lang w:val="zh-CN"/>
        </w:rPr>
        <w:t xml:space="preserve">.其它需要提交的资格审查证明材料。</w:t>
      </w:r>
      <w:r/>
    </w:p>
    <w:p>
      <w:pPr>
        <w:ind w:left="480"/>
        <w:spacing w:line="360" w:lineRule="auto"/>
        <w:rPr>
          <w:rFonts w:hint="eastAsia" w:ascii="仿宋" w:hAnsi="仿宋" w:eastAsia="仿宋" w:cs="仿宋"/>
          <w:b/>
          <w:sz w:val="24"/>
          <w:highlight w:val="none"/>
        </w:rPr>
        <w:outlineLvl w:val="0"/>
      </w:pPr>
      <w:r/>
      <w:bookmarkStart w:id="212" w:name="_Toc186493280"/>
      <w:r>
        <w:rPr>
          <w:rFonts w:hint="eastAsia" w:ascii="仿宋" w:hAnsi="仿宋" w:eastAsia="仿宋" w:cs="仿宋"/>
          <w:b/>
          <w:sz w:val="24"/>
          <w:highlight w:val="none"/>
        </w:rPr>
        <w:t xml:space="preserve">三、符合性审查内容</w:t>
      </w:r>
      <w:bookmarkEnd w:id="212"/>
      <w:r/>
      <w:r/>
    </w:p>
    <w:p>
      <w:pPr>
        <w:ind w:left="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1.技术要求响应及偏离表（</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10）</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2.商务要求响应及偏离表（</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11）</w:t>
      </w:r>
      <w:r/>
    </w:p>
    <w:p>
      <w:pPr>
        <w:ind w:firstLine="480"/>
        <w:spacing w:line="360" w:lineRule="auto"/>
        <w:rPr>
          <w:rFonts w:eastAsia="仿宋"/>
          <w:highlight w:val="none"/>
        </w:rPr>
      </w:pPr>
      <w:r>
        <w:rPr>
          <w:rFonts w:hint="eastAsia" w:ascii="仿宋" w:hAnsi="仿宋" w:eastAsia="仿宋" w:cs="仿宋"/>
          <w:sz w:val="24"/>
          <w:highlight w:val="none"/>
        </w:rPr>
        <w:t xml:space="preserve">3.实质性要求响应及偏离表，投标供应商必须对技术要求和商务要求中</w:t>
      </w:r>
      <w:r>
        <w:rPr>
          <w:rFonts w:hint="eastAsia" w:ascii="仿宋" w:hAnsi="仿宋" w:eastAsia="仿宋" w:cs="仿宋"/>
          <w:b/>
          <w:bCs/>
          <w:sz w:val="24"/>
          <w:highlight w:val="none"/>
        </w:rPr>
        <w:t xml:space="preserve">加斜体下划线的实质性要求做出响应，</w:t>
      </w:r>
      <w:r>
        <w:rPr>
          <w:rFonts w:hint="eastAsia" w:ascii="仿宋" w:hAnsi="仿宋" w:eastAsia="仿宋" w:cs="仿宋"/>
          <w:sz w:val="24"/>
          <w:highlight w:val="none"/>
        </w:rPr>
        <w:t xml:space="preserve">否则做无效响应处理。</w:t>
      </w:r>
      <w:r/>
    </w:p>
    <w:p>
      <w:pPr>
        <w:ind w:firstLine="480"/>
        <w:spacing w:line="360" w:lineRule="auto"/>
        <w:rPr>
          <w:rFonts w:hint="eastAsia" w:ascii="仿宋" w:hAnsi="仿宋" w:eastAsia="仿宋" w:cs="仿宋"/>
          <w:b/>
          <w:sz w:val="24"/>
          <w:szCs w:val="24"/>
          <w:highlight w:val="none"/>
        </w:rPr>
        <w:outlineLvl w:val="0"/>
      </w:pPr>
      <w:r/>
      <w:bookmarkStart w:id="213" w:name="_Toc186493281"/>
      <w:r>
        <w:rPr>
          <w:rFonts w:hint="eastAsia" w:ascii="仿宋" w:hAnsi="仿宋" w:eastAsia="仿宋" w:cs="仿宋"/>
          <w:b/>
          <w:sz w:val="24"/>
          <w:szCs w:val="24"/>
          <w:highlight w:val="none"/>
        </w:rPr>
        <w:t xml:space="preserve">四、</w:t>
      </w:r>
      <w:r>
        <w:rPr>
          <w:rFonts w:hint="eastAsia" w:ascii="仿宋" w:hAnsi="仿宋" w:eastAsia="仿宋" w:cs="仿宋"/>
          <w:b/>
          <w:sz w:val="24"/>
          <w:szCs w:val="24"/>
          <w:highlight w:val="none"/>
          <w:lang w:val="zh-CN"/>
        </w:rPr>
        <w:t xml:space="preserve">商务技术</w:t>
      </w:r>
      <w:r>
        <w:rPr>
          <w:rFonts w:hint="eastAsia" w:ascii="仿宋" w:hAnsi="仿宋" w:eastAsia="仿宋" w:cs="仿宋"/>
          <w:b/>
          <w:sz w:val="24"/>
          <w:szCs w:val="24"/>
          <w:highlight w:val="none"/>
        </w:rPr>
        <w:t xml:space="preserve">内容</w:t>
      </w:r>
      <w:bookmarkEnd w:id="213"/>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zh-CN"/>
        </w:rPr>
        <w:t xml:space="preserve">商务技术评分标准中须提供的相关得分佐证材料</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zh-CN"/>
        </w:rPr>
        <w:t xml:space="preserve">投标供应商认为需要提交的其他材料。</w:t>
      </w:r>
      <w:r/>
    </w:p>
    <w:p>
      <w:pPr>
        <w:ind w:firstLine="480"/>
        <w:spacing w:line="360" w:lineRule="auto"/>
        <w:rPr>
          <w:rFonts w:hint="eastAsia" w:ascii="仿宋" w:hAnsi="仿宋" w:eastAsia="仿宋" w:cs="仿宋"/>
          <w:b/>
          <w:sz w:val="24"/>
          <w:szCs w:val="24"/>
          <w:highlight w:val="none"/>
        </w:rPr>
        <w:outlineLvl w:val="0"/>
      </w:pPr>
      <w:r/>
      <w:bookmarkStart w:id="214" w:name="_Toc186493282"/>
      <w:r>
        <w:rPr>
          <w:rFonts w:hint="eastAsia" w:ascii="仿宋" w:hAnsi="仿宋" w:eastAsia="仿宋" w:cs="仿宋"/>
          <w:b/>
          <w:sz w:val="24"/>
          <w:szCs w:val="24"/>
          <w:highlight w:val="none"/>
        </w:rPr>
        <w:t xml:space="preserve">五、价格扣除证明文件</w:t>
      </w:r>
      <w:bookmarkEnd w:id="214"/>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1.中小企业声明函（格式见附件7）</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2.残疾人福利性单位声明函（格式见附件8）</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3.监狱和戒毒企业证明材料（格式见附件9）</w:t>
      </w:r>
      <w:r/>
    </w:p>
    <w:p>
      <w:pPr>
        <w:rPr>
          <w:rFonts w:hint="eastAsia" w:ascii="仿宋" w:hAnsi="仿宋" w:eastAsia="仿宋" w:cs="仿宋"/>
          <w:b/>
          <w:sz w:val="24"/>
          <w:szCs w:val="24"/>
          <w:highlight w:val="none"/>
        </w:rPr>
        <w:outlineLvl w:val="0"/>
      </w:pPr>
      <w:r>
        <w:rPr>
          <w:rFonts w:hint="eastAsia" w:ascii="仿宋" w:hAnsi="仿宋" w:eastAsia="仿宋" w:cs="仿宋"/>
          <w:sz w:val="24"/>
          <w:szCs w:val="24"/>
          <w:highlight w:val="none"/>
          <w:lang w:val="zh-CN"/>
        </w:rPr>
        <w:br w:type="page" w:clear="all"/>
      </w:r>
      <w:bookmarkStart w:id="215" w:name="_Toc186493283"/>
      <w:r>
        <w:rPr>
          <w:rFonts w:hint="eastAsia" w:ascii="仿宋" w:hAnsi="仿宋" w:eastAsia="仿宋" w:cs="仿宋"/>
          <w:b/>
          <w:sz w:val="24"/>
          <w:szCs w:val="24"/>
          <w:highlight w:val="none"/>
        </w:rPr>
        <w:t xml:space="preserve">附件1</w:t>
      </w:r>
      <w:bookmarkEnd w:id="215"/>
      <w:r>
        <w:rPr>
          <w:rFonts w:hint="eastAsia" w:ascii="仿宋" w:hAnsi="仿宋" w:eastAsia="仿宋" w:cs="仿宋"/>
          <w:b/>
          <w:sz w:val="24"/>
          <w:szCs w:val="24"/>
          <w:highlight w:val="none"/>
        </w:rPr>
        <w:t xml:space="preserve"> </w:t>
      </w:r>
      <w:r/>
    </w:p>
    <w:p>
      <w:pPr>
        <w:jc w:val="center"/>
        <w:rPr>
          <w:rFonts w:hint="eastAsia" w:ascii="宋体" w:hAnsi="宋体"/>
          <w:b/>
          <w:sz w:val="30"/>
          <w:szCs w:val="30"/>
          <w:highlight w:val="none"/>
        </w:rPr>
      </w:pPr>
      <w:r>
        <w:rPr>
          <w:rFonts w:hint="eastAsia" w:ascii="仿宋" w:hAnsi="仿宋" w:eastAsia="仿宋" w:cs="仿宋"/>
          <w:b/>
          <w:sz w:val="30"/>
          <w:szCs w:val="30"/>
          <w:highlight w:val="none"/>
        </w:rPr>
        <w:t xml:space="preserve">开标一览表</w:t>
      </w:r>
      <w:r/>
    </w:p>
    <w:p>
      <w:pPr>
        <w:pStyle w:val="707"/>
        <w:rPr>
          <w:highlight w:val="none"/>
        </w:rPr>
      </w:pPr>
      <w:r>
        <w:rPr>
          <w:highlight w:val="none"/>
        </w:rPr>
      </w: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投标供应商全称：</w:t>
      </w: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p>
      <w:pP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                                   </w:t>
      </w:r>
      <w:r/>
    </w:p>
    <w:tbl>
      <w:tblPr>
        <w:tblStyle w:val="703"/>
        <w:tblW w:w="0" w:type="auto"/>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4"/>
      </w:tblGrid>
      <w:tr>
        <w:trPr>
          <w:cantSplit/>
          <w:trHeight w:val="725"/>
        </w:trPr>
        <w:tc>
          <w:tcPr>
            <w:tcW w:w="9064"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一年投标报价：小写：       元/年</w:t>
            </w:r>
            <w:r/>
          </w:p>
        </w:tc>
      </w:tr>
      <w:tr>
        <w:trPr>
          <w:cantSplit/>
          <w:trHeight w:val="612"/>
        </w:trPr>
        <w:tc>
          <w:tcPr>
            <w:tcW w:w="9064" w:type="dxa"/>
            <w:vAlign w:val="center"/>
            <w:textDirection w:val="lrTb"/>
            <w:noWrap w:val="false"/>
          </w:tcPr>
          <w:p>
            <w:pPr>
              <w:pStyle w:val="899"/>
              <w:ind w:firstLine="0"/>
              <w:jc w:val="both"/>
              <w:spacing w:before="0" w:after="0" w:line="50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三年</w:t>
            </w:r>
            <w:r>
              <w:rPr>
                <w:rFonts w:hint="eastAsia" w:ascii="仿宋" w:hAnsi="仿宋" w:eastAsia="仿宋" w:cs="仿宋"/>
                <w:highlight w:val="none"/>
              </w:rPr>
              <w:t xml:space="preserve">投标报价：小写：         元</w:t>
            </w:r>
            <w:r/>
          </w:p>
        </w:tc>
      </w:tr>
    </w:tbl>
    <w:p>
      <w:pP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r>
      <w:r/>
    </w:p>
    <w:p>
      <w:pPr>
        <w:spacing w:line="400" w:lineRule="exact"/>
        <w:rPr>
          <w:rFonts w:hint="eastAsia" w:ascii="仿宋" w:hAnsi="仿宋" w:eastAsia="仿宋" w:cs="仿宋"/>
          <w:sz w:val="24"/>
          <w:highlight w:val="none"/>
        </w:rPr>
      </w:pPr>
      <w:r>
        <w:rPr>
          <w:rFonts w:hint="eastAsia" w:ascii="仿宋" w:hAnsi="仿宋" w:eastAsia="仿宋" w:cs="仿宋"/>
          <w:b/>
          <w:bCs/>
          <w:sz w:val="24"/>
          <w:highlight w:val="none"/>
        </w:rPr>
        <w:t xml:space="preserve">注：1、本附件格式仅作参考，投标供应商以苏采云平台实际情况进行填报。</w:t>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firstLine="240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投标供应商（</w:t>
      </w:r>
      <w:r>
        <w:rPr>
          <w:rFonts w:hint="eastAsia" w:ascii="仿宋" w:hAnsi="仿宋" w:eastAsia="仿宋" w:cs="仿宋"/>
          <w:sz w:val="24"/>
          <w:szCs w:val="24"/>
          <w:highlight w:val="none"/>
        </w:rPr>
        <w:t xml:space="preserve">加盖CA电子签章</w:t>
      </w:r>
      <w:r>
        <w:rPr>
          <w:rFonts w:hint="eastAsia" w:ascii="仿宋" w:hAnsi="仿宋" w:eastAsia="仿宋" w:cs="仿宋"/>
          <w:sz w:val="24"/>
          <w:highlight w:val="none"/>
        </w:rPr>
        <w:t xml:space="preserve">）：</w:t>
      </w:r>
      <w:r/>
    </w:p>
    <w:p>
      <w:pPr>
        <w:pStyle w:val="707"/>
        <w:rPr>
          <w:highlight w:val="none"/>
        </w:rPr>
      </w:pPr>
      <w:r>
        <w:rPr>
          <w:highlight w:val="none"/>
        </w:rPr>
      </w:r>
      <w:r/>
    </w:p>
    <w:p>
      <w:pPr>
        <w:ind w:firstLine="192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法定代表人或委托代理人（签章）：</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4320"/>
        <w:rPr>
          <w:rFonts w:hint="eastAsia" w:ascii="仿宋" w:hAnsi="仿宋" w:eastAsia="仿宋" w:cs="仿宋"/>
          <w:sz w:val="24"/>
          <w:highlight w:val="none"/>
        </w:rPr>
      </w:pPr>
      <w:r>
        <w:rPr>
          <w:rFonts w:hint="eastAsia" w:ascii="仿宋" w:hAnsi="仿宋" w:eastAsia="仿宋" w:cs="仿宋"/>
          <w:sz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tabs>
          <w:tab w:val="left" w:pos="606" w:leader="none"/>
        </w:tabs>
        <w:rPr>
          <w:highlight w:val="none"/>
        </w:rPr>
        <w:sectPr>
          <w:footerReference w:type="default" r:id="rId11"/>
          <w:footnotePr/>
          <w:endnotePr/>
          <w:type w:val="nextPage"/>
          <w:pgSz w:w="11906" w:h="16838" w:orient="portrait"/>
          <w:pgMar w:top="1191" w:right="1587" w:bottom="1191" w:left="1366" w:header="850" w:footer="907" w:gutter="0"/>
          <w:cols w:num="1" w:sep="0" w:space="0" w:equalWidth="1"/>
          <w:docGrid w:linePitch="360"/>
        </w:sectPr>
      </w:pPr>
      <w:r>
        <w:rPr>
          <w:rFonts w:hint="eastAsia"/>
          <w:highlight w:val="none"/>
        </w:rPr>
        <w:tab/>
      </w:r>
      <w:r/>
    </w:p>
    <w:p>
      <w:pPr>
        <w:rPr>
          <w:rFonts w:hint="eastAsia" w:ascii="仿宋" w:hAnsi="仿宋" w:eastAsia="仿宋" w:cs="仿宋"/>
          <w:b/>
          <w:bCs/>
          <w:sz w:val="30"/>
          <w:szCs w:val="30"/>
          <w:highlight w:val="none"/>
        </w:rPr>
      </w:pPr>
      <w:r/>
      <w:bookmarkStart w:id="216" w:name="_Toc186493284"/>
      <w:r>
        <w:rPr>
          <w:rFonts w:hint="eastAsia" w:ascii="仿宋" w:hAnsi="仿宋" w:eastAsia="仿宋" w:cs="仿宋"/>
          <w:b/>
          <w:sz w:val="24"/>
          <w:szCs w:val="24"/>
          <w:highlight w:val="none"/>
        </w:rPr>
        <w:t xml:space="preserve">附件2</w:t>
      </w:r>
      <w:bookmarkEnd w:id="216"/>
      <w:r>
        <w:rPr>
          <w:rFonts w:hint="eastAsia" w:ascii="仿宋" w:hAnsi="仿宋" w:eastAsia="仿宋" w:cs="仿宋"/>
          <w:b/>
          <w:sz w:val="24"/>
          <w:szCs w:val="24"/>
          <w:highlight w:val="none"/>
        </w:rPr>
        <w:t xml:space="preserve">                                             </w:t>
      </w:r>
      <w:r/>
    </w:p>
    <w:p>
      <w:pPr>
        <w:pStyle w:val="921"/>
        <w:jc w:val="center"/>
        <w:spacing w:line="360" w:lineRule="auto"/>
        <w:rPr>
          <w:rFonts w:ascii="仿宋" w:hAnsi="仿宋" w:eastAsia="仿宋" w:cs="仿宋"/>
          <w:b/>
          <w:bCs/>
          <w:sz w:val="24"/>
          <w:szCs w:val="24"/>
          <w:highlight w:val="none"/>
        </w:rPr>
      </w:pPr>
      <w:r>
        <w:rPr>
          <w:rFonts w:ascii="仿宋" w:hAnsi="仿宋" w:eastAsia="仿宋" w:cs="仿宋"/>
          <w:b/>
          <w:bCs/>
          <w:sz w:val="30"/>
          <w:szCs w:val="30"/>
          <w:highlight w:val="none"/>
        </w:rPr>
        <w:t xml:space="preserve">投标分项报价表</w:t>
      </w:r>
      <w:r/>
    </w:p>
    <w:p>
      <w:pPr>
        <w:pStyle w:val="921"/>
        <w:jc w:val="left"/>
        <w:spacing w:line="360" w:lineRule="auto"/>
        <w:rPr>
          <w:rFonts w:ascii="仿宋" w:hAnsi="仿宋" w:eastAsia="仿宋" w:cs="仿宋"/>
          <w:b/>
          <w:bCs/>
          <w:sz w:val="24"/>
          <w:szCs w:val="24"/>
          <w:highlight w:val="none"/>
        </w:rPr>
      </w:pPr>
      <w:r>
        <w:rPr>
          <w:rFonts w:ascii="仿宋" w:hAnsi="仿宋" w:eastAsia="仿宋" w:cs="仿宋"/>
          <w:b/>
          <w:bCs/>
          <w:sz w:val="24"/>
          <w:szCs w:val="24"/>
          <w:highlight w:val="none"/>
        </w:rPr>
        <w:t xml:space="preserve">项目名称：</w:t>
      </w:r>
      <w:r>
        <w:rPr>
          <w:rFonts w:ascii="仿宋" w:hAnsi="仿宋" w:eastAsia="仿宋" w:cs="仿宋"/>
          <w:b/>
          <w:bCs/>
          <w:sz w:val="24"/>
          <w:szCs w:val="24"/>
          <w:highlight w:val="none"/>
          <w:u w:val="single"/>
        </w:rPr>
        <w:t xml:space="preserve">如东县大豫镇环境卫生长效管护服务项目（重新招标）</w:t>
      </w:r>
      <w:r/>
    </w:p>
    <w:tbl>
      <w:tblPr>
        <w:tblStyle w:val="703"/>
        <w:tblW w:w="10431" w:type="dxa"/>
        <w:jc w:val="center"/>
        <w:tblLayout w:type="autofit"/>
        <w:tblCellMar>
          <w:left w:w="108" w:type="dxa"/>
          <w:top w:w="0" w:type="dxa"/>
          <w:right w:w="108" w:type="dxa"/>
          <w:bottom w:w="0" w:type="dxa"/>
        </w:tblCellMar>
        <w:tblLook w:val="04A0" w:firstRow="1" w:lastRow="0" w:firstColumn="1" w:lastColumn="0" w:noHBand="0" w:noVBand="1"/>
      </w:tblPr>
      <w:tblGrid>
        <w:gridCol w:w="893"/>
        <w:gridCol w:w="2959"/>
        <w:gridCol w:w="1066"/>
        <w:gridCol w:w="1825"/>
        <w:gridCol w:w="1599"/>
        <w:gridCol w:w="2089"/>
      </w:tblGrid>
      <w:tr>
        <w:trPr>
          <w:jc w:val="center"/>
          <w:trHeight w:val="519"/>
        </w:trPr>
        <w:tc>
          <w:tcPr>
            <w:gridSpan w:val="6"/>
            <w:tcBorders>
              <w:top w:val="none" w:color="000000" w:sz="4" w:space="0"/>
              <w:left w:val="none" w:color="000000" w:sz="4" w:space="0"/>
              <w:bottom w:val="none" w:color="000000" w:sz="4" w:space="0"/>
              <w:right w:val="none" w:color="000000" w:sz="4" w:space="0"/>
            </w:tcBorders>
            <w:tcW w:w="1043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如东县大豫镇环境卫生长效管护招标项目报价清单</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vMerge w:val="restart"/>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序号</w:t>
            </w:r>
            <w:r/>
          </w:p>
        </w:tc>
        <w:tc>
          <w:tcPr>
            <w:gridSpan w:val="5"/>
            <w:tcBorders>
              <w:top w:val="single" w:color="000000" w:sz="4" w:space="0"/>
              <w:left w:val="single" w:color="000000" w:sz="4" w:space="0"/>
              <w:bottom w:val="single" w:color="000000" w:sz="4" w:space="0"/>
              <w:right w:val="single" w:color="000000" w:sz="4" w:space="0"/>
            </w:tcBorders>
            <w:tcW w:w="9538"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一年报价</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vMerge w:val="continue"/>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标准（元/月）</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小计（元）</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备注</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农村清运工工资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restart"/>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1-18项小计价格为12个月的工资，投标供应商自行将月标准工资*数量*12计入小计</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镇区保洁员工资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道路专项管护员工资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东凌工业区保洁员工资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兵房、张謇工业区保洁工资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河道长效管护队长工资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河道长效管护队员工资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压缩车驾驶员工资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机械化驾驶员工资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轻卡驾驶员工资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辅助工工资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倒桶工工资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片长工资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管理人员工资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36"/>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环境卫生管理中心站长工资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36"/>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环境卫生管理中心统计员工资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48"/>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环境卫生管理中心操作工工资 </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环境卫生管理中心辅助工工资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职工保险</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208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此项人员合计,数量由投标供应商自行填入</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意外伤害险</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215</w:t>
            </w:r>
            <w:r/>
          </w:p>
        </w:tc>
        <w:tc>
          <w:tcPr>
            <w:tcBorders>
              <w:top w:val="single" w:color="auto" w:sz="4" w:space="0"/>
              <w:left w:val="single" w:color="000000" w:sz="4" w:space="0"/>
              <w:bottom w:val="single" w:color="auto"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000000" w:sz="4" w:space="0"/>
              <w:bottom w:val="single" w:color="auto"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000000" w:sz="4" w:space="0"/>
              <w:bottom w:val="single" w:color="auto" w:sz="4" w:space="0"/>
              <w:right w:val="single" w:color="000000" w:sz="4" w:space="0"/>
            </w:tcBorders>
            <w:tcW w:w="2089" w:type="dxa"/>
            <w:vAlign w:val="center"/>
            <w:vMerge w:val="restart"/>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福利费及高温补贴</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215</w:t>
            </w:r>
            <w:r/>
          </w:p>
        </w:tc>
        <w:tc>
          <w:tcPr>
            <w:tcBorders>
              <w:top w:val="single" w:color="auto"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720"/>
        </w:trPr>
        <w:tc>
          <w:tcPr>
            <w:gridSpan w:val="4"/>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center"/>
              <w:widowControl/>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lang w:bidi="ar"/>
              </w:rPr>
              <w:t xml:space="preserve">人员经费合计（元）=以上1-21项小计之和</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保洁人员工具费</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办公经费</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636"/>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环境卫生管理中心伙食费、值班费</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732"/>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车辆、船、设备投入分摊（含财务成本）</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车辆维护（修)费</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车辆油费（含割草机）</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684"/>
        </w:trPr>
        <w:tc>
          <w:tcPr>
            <w:gridSpan w:val="4"/>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center"/>
              <w:widowControl/>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lang w:bidi="ar"/>
              </w:rPr>
              <w:t xml:space="preserve">辅材经费合计（元）=以上22-27项小计之和</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1248"/>
        </w:trPr>
        <w:tc>
          <w:tcPr>
            <w:tcBorders>
              <w:top w:val="single" w:color="000000" w:sz="4" w:space="0"/>
              <w:left w:val="single" w:color="000000" w:sz="4" w:space="0"/>
              <w:bottom w:val="single" w:color="000000" w:sz="4" w:space="0"/>
              <w:right w:val="non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两分类垃圾小桶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28000组</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垃圾小桶总费用按三年分期摊销，本栏报价为一年摊销费用</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其他费用</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利税</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732"/>
        </w:trPr>
        <w:tc>
          <w:tcPr>
            <w:gridSpan w:val="4"/>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center"/>
              <w:widowControl/>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lang w:bidi="ar"/>
              </w:rPr>
              <w:t xml:space="preserve">一年全费用总价（元）=人员经费合计+辅材经费合计+两分类垃圾小桶+其他费用+利税</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r>
      <w:tr>
        <w:trPr>
          <w:jc w:val="center"/>
          <w:trHeight w:val="732"/>
        </w:trPr>
        <w:tc>
          <w:tcPr>
            <w:gridSpan w:val="4"/>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center"/>
              <w:widowControl/>
              <w:rPr>
                <w:rFonts w:hint="eastAsia" w:ascii="仿宋" w:hAnsi="仿宋" w:eastAsia="仿宋" w:cs="仿宋"/>
                <w:color w:val="ff0000"/>
                <w:sz w:val="24"/>
                <w:szCs w:val="24"/>
                <w:highlight w:val="none"/>
                <w:lang w:bidi="ar"/>
              </w:rPr>
            </w:pPr>
            <w:r>
              <w:rPr>
                <w:rFonts w:hint="eastAsia" w:ascii="仿宋" w:hAnsi="仿宋" w:eastAsia="仿宋" w:cs="仿宋"/>
                <w:color w:val="ff0000"/>
                <w:sz w:val="24"/>
                <w:szCs w:val="24"/>
                <w:highlight w:val="none"/>
                <w:lang w:bidi="ar"/>
              </w:rPr>
              <w:t xml:space="preserve">三年总报价（元）=一年全费用总价*3年</w:t>
            </w:r>
            <w:r/>
          </w:p>
        </w:tc>
        <w:tc>
          <w:tcPr>
            <w:gridSpan w:val="2"/>
            <w:tcBorders>
              <w:top w:val="single" w:color="000000" w:sz="4" w:space="0"/>
              <w:left w:val="single" w:color="000000" w:sz="4" w:space="0"/>
              <w:bottom w:val="single" w:color="000000" w:sz="4" w:space="0"/>
              <w:right w:val="single" w:color="000000" w:sz="4" w:space="0"/>
            </w:tcBorders>
            <w:tcW w:w="368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479"/>
        </w:trPr>
        <w:tc>
          <w:tcPr>
            <w:gridSpan w:val="6"/>
            <w:tcBorders>
              <w:top w:val="single" w:color="000000" w:sz="4" w:space="0"/>
              <w:left w:val="none" w:color="000000" w:sz="4" w:space="0"/>
              <w:bottom w:val="none" w:color="000000" w:sz="4" w:space="0"/>
              <w:right w:val="none" w:color="000000" w:sz="4" w:space="0"/>
            </w:tcBorders>
            <w:tcW w:w="10431" w:type="dxa"/>
            <w:vAlign w:val="center"/>
            <w:textDirection w:val="lrTb"/>
            <w:noWrap w:val="false"/>
          </w:tcPr>
          <w:p>
            <w:pPr>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1.以上报价清单中数量*月标准工资*12不等于小计的作无效标处理；</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2.各小计之和不等于合计的作无效标处理；</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3.各合计之和（包含两分类垃圾桶、其他费用及利税）不等于一年全费用总价的作无效标处理；</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4.一年全费用总价和三年总报价与投标函中的投标报价不一致的作无效标处理；</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5.两分类垃圾小桶产品规格和技术要求符合下列标准：50L分类垃圾桶约（每组2个，含架子，颜色均为绿黑配）桶体及桶盖（除配料）采用除必要的颜料和色素外，采用100%高密度聚乙烯全新料一次性注模成型，不得使用回料。单个桶容量≥50L，总重量≥2.4kg，中标方供货时需提供产品检测报告。</w:t>
            </w:r>
            <w:r/>
          </w:p>
          <w:p>
            <w:pPr>
              <w:pStyle w:val="707"/>
              <w:spacing w:line="360" w:lineRule="auto"/>
              <w:rPr>
                <w:rFonts w:hint="eastAsia" w:ascii="仿宋" w:hAnsi="仿宋" w:eastAsia="仿宋" w:cs="仿宋"/>
                <w:b/>
                <w:bCs/>
                <w:color w:val="000000"/>
                <w:sz w:val="24"/>
                <w:szCs w:val="24"/>
                <w:highlight w:val="none"/>
                <w:lang w:bidi="ar"/>
              </w:rPr>
            </w:pPr>
            <w:r>
              <w:rPr>
                <w:rFonts w:hint="eastAsia" w:ascii="仿宋" w:hAnsi="仿宋" w:eastAsia="仿宋" w:cs="仿宋"/>
                <w:sz w:val="24"/>
                <w:szCs w:val="24"/>
                <w:highlight w:val="none"/>
              </w:rPr>
              <w:t xml:space="preserve">6.投标总价包含但不限于设备、车辆、船、机具、辅材、油费、保险费、保养维修费、人员工资、保险、福利、不可预见费用、管理费、招标代理服务费、利润、税等完成本项目所需的一切费用。同时，报价也应包含合同履行过程中可能发生的一切风险。</w:t>
            </w:r>
            <w:r/>
          </w:p>
        </w:tc>
      </w:tr>
    </w:tbl>
    <w:p>
      <w:pPr>
        <w:jc w:val="center"/>
        <w:spacing w:line="3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w:t>
      </w:r>
      <w:r/>
    </w:p>
    <w:p>
      <w:pPr>
        <w:spacing w:line="360" w:lineRule="exact"/>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提醒：清单报价表均须加盖CA电子公章。</w:t>
      </w:r>
      <w:r/>
    </w:p>
    <w:p>
      <w:pPr>
        <w:jc w:val="center"/>
        <w:spacing w:line="3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w:t>
      </w:r>
      <w:r/>
    </w:p>
    <w:p>
      <w:pPr>
        <w:jc w:val="center"/>
        <w:spacing w:line="36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投标供应商（加盖CA电子公章）：</w:t>
      </w:r>
      <w:r/>
    </w:p>
    <w:p>
      <w:pPr>
        <w:ind w:firstLine="3600"/>
        <w:spacing w:line="36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法定代表人(签章)：</w:t>
      </w:r>
      <w:r>
        <w:rPr>
          <w:rFonts w:hint="eastAsia" w:ascii="仿宋" w:hAnsi="仿宋" w:eastAsia="仿宋" w:cs="仿宋"/>
          <w:bCs/>
          <w:sz w:val="24"/>
          <w:szCs w:val="24"/>
          <w:highlight w:val="none"/>
          <w:u w:val="single"/>
        </w:rPr>
        <w:t xml:space="preserve">                      </w:t>
      </w:r>
      <w:r/>
    </w:p>
    <w:p>
      <w:pPr>
        <w:jc w:val="righ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right"/>
        <w:spacing w:line="400" w:lineRule="exact"/>
        <w:rPr>
          <w:rFonts w:hint="eastAsia" w:ascii="仿宋" w:hAnsi="仿宋" w:eastAsia="仿宋" w:cs="仿宋"/>
          <w:sz w:val="24"/>
          <w:szCs w:val="24"/>
          <w:highlight w:val="none"/>
        </w:rPr>
        <w:sectPr>
          <w:footnotePr/>
          <w:endnotePr/>
          <w:type w:val="nextPage"/>
          <w:pgSz w:w="11906" w:h="16838" w:orient="portrait"/>
          <w:pgMar w:top="1191" w:right="1587" w:bottom="1191" w:left="1366" w:header="850" w:footer="907" w:gutter="0"/>
          <w:cols w:num="1" w:sep="0" w:space="0" w:equalWidth="1"/>
          <w:docGrid w:linePitch="360"/>
        </w:sectPr>
      </w:pPr>
      <w:r>
        <w:rPr>
          <w:rFonts w:hint="eastAsia" w:ascii="仿宋" w:hAnsi="仿宋" w:eastAsia="仿宋" w:cs="仿宋"/>
          <w:sz w:val="24"/>
          <w:szCs w:val="24"/>
          <w:highlight w:val="none"/>
        </w:rPr>
        <w:t xml:space="preserve">年     月     日</w:t>
      </w:r>
      <w:r/>
    </w:p>
    <w:p>
      <w:pPr>
        <w:jc w:val="lef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t xml:space="preserve">附件3</w:t>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投标供应商符合《政府采购法》第二十二条规定条件的声明函</w:t>
      </w:r>
      <w:r/>
    </w:p>
    <w:p>
      <w:pPr>
        <w:spacing w:line="46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ind w:firstLine="480"/>
        <w:spacing w:line="520" w:lineRule="exact"/>
        <w:rPr>
          <w:rFonts w:hint="eastAsia" w:ascii="仿宋" w:hAnsi="仿宋" w:eastAsia="仿宋" w:cs="仿宋"/>
          <w:b/>
          <w:bCs/>
          <w:sz w:val="24"/>
          <w:highlight w:val="none"/>
        </w:rPr>
      </w:pPr>
      <w:r>
        <w:rPr>
          <w:rFonts w:hint="eastAsia" w:ascii="仿宋" w:hAnsi="仿宋" w:eastAsia="仿宋" w:cs="仿宋"/>
          <w:bCs/>
          <w:sz w:val="24"/>
          <w:highlight w:val="none"/>
        </w:rPr>
        <w:t xml:space="preserve">我单位参加（项目名称），（项目编号）投标活动。针对《中华人民共和国政府采购法》第二十二条规定做出如下声明：</w:t>
      </w:r>
      <w:r/>
    </w:p>
    <w:p>
      <w:pPr>
        <w:ind w:firstLine="482"/>
        <w:spacing w:line="520" w:lineRule="exact"/>
        <w:rPr>
          <w:rFonts w:hint="eastAsia" w:ascii="仿宋" w:hAnsi="仿宋" w:eastAsia="仿宋" w:cs="仿宋"/>
          <w:sz w:val="24"/>
          <w:highlight w:val="none"/>
        </w:rPr>
      </w:pPr>
      <w:r>
        <w:rPr>
          <w:rFonts w:hint="eastAsia" w:ascii="仿宋" w:hAnsi="仿宋" w:eastAsia="仿宋" w:cs="仿宋"/>
          <w:bCs/>
          <w:sz w:val="24"/>
          <w:highlight w:val="none"/>
        </w:rPr>
        <w:t xml:space="preserve">1.我单位具有独立承担民事责任的能力；</w:t>
      </w:r>
      <w:r/>
    </w:p>
    <w:p>
      <w:pPr>
        <w:ind w:firstLine="482"/>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2.我单位具有良好的商业信誉和健全的财务会计制度；</w:t>
      </w:r>
      <w:r/>
    </w:p>
    <w:p>
      <w:pPr>
        <w:ind w:firstLine="482"/>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3.我单位具有履行合同所必需的设备和专业技术能力；</w:t>
      </w:r>
      <w:r/>
    </w:p>
    <w:p>
      <w:pPr>
        <w:ind w:firstLine="482"/>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4.我单位有依法缴纳税收和社会保障资金的良好记录；</w:t>
      </w:r>
      <w:r/>
    </w:p>
    <w:p>
      <w:pPr>
        <w:ind w:firstLine="482"/>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6.我单位满足法律、行政法规规定的其他条件。</w:t>
      </w:r>
      <w:r/>
    </w:p>
    <w:p>
      <w:pPr>
        <w:ind w:firstLine="482"/>
        <w:spacing w:line="500" w:lineRule="exact"/>
        <w:rPr>
          <w:rFonts w:hint="eastAsia" w:ascii="仿宋" w:hAnsi="仿宋" w:eastAsia="仿宋" w:cs="仿宋"/>
          <w:sz w:val="24"/>
          <w:highlight w:val="none"/>
        </w:rPr>
      </w:pPr>
      <w:r>
        <w:rPr>
          <w:rFonts w:hint="eastAsia" w:ascii="仿宋" w:hAnsi="仿宋" w:eastAsia="仿宋" w:cs="仿宋"/>
          <w:sz w:val="24"/>
          <w:highlight w:val="none"/>
        </w:rPr>
      </w:r>
      <w:r/>
    </w:p>
    <w:p>
      <w:pPr>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jc w:val="center"/>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             承诺人名称（加盖CA电子公章）：</w:t>
      </w:r>
      <w:r/>
    </w:p>
    <w:p>
      <w:pPr>
        <w:jc w:val="right"/>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jc w:val="right"/>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                                 日期：年月日</w:t>
      </w:r>
      <w:r/>
    </w:p>
    <w:p>
      <w:pPr>
        <w:spacing w:line="560" w:lineRule="exac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br w:type="page" w:clear="all"/>
      </w:r>
      <w:bookmarkStart w:id="217" w:name="_Toc186493285"/>
      <w:r>
        <w:rPr>
          <w:rFonts w:hint="eastAsia" w:ascii="仿宋" w:hAnsi="仿宋" w:eastAsia="仿宋" w:cs="仿宋"/>
          <w:b/>
          <w:sz w:val="24"/>
          <w:szCs w:val="24"/>
          <w:highlight w:val="none"/>
        </w:rPr>
        <w:t xml:space="preserve">附件</w:t>
      </w:r>
      <w:bookmarkEnd w:id="217"/>
      <w:r>
        <w:rPr>
          <w:rFonts w:hint="eastAsia" w:ascii="仿宋" w:hAnsi="仿宋" w:eastAsia="仿宋" w:cs="仿宋"/>
          <w:b/>
          <w:sz w:val="24"/>
          <w:szCs w:val="24"/>
          <w:highlight w:val="none"/>
        </w:rPr>
        <w:t xml:space="preserve">4     </w:t>
      </w:r>
      <w:r/>
    </w:p>
    <w:p>
      <w:pPr>
        <w:jc w:val="center"/>
        <w:spacing w:line="56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先生/女士： 现任我单位职务，为法定代表人，特此证明。</w:t>
      </w:r>
      <w:r/>
    </w:p>
    <w:p>
      <w:pPr>
        <w:ind w:firstLine="480"/>
        <w:spacing w:line="48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身份证号码：</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460" w:lineRule="exact"/>
        <w:rPr>
          <w:rFonts w:hint="eastAsia" w:ascii="仿宋" w:hAnsi="仿宋" w:eastAsia="仿宋" w:cs="仿宋"/>
          <w:b/>
          <w:sz w:val="24"/>
          <w:highlight w:val="none"/>
        </w:rPr>
      </w:pPr>
      <w:r>
        <w:rPr>
          <w:rFonts w:hint="eastAsia" w:ascii="仿宋" w:hAnsi="仿宋" w:eastAsia="仿宋" w:cs="仿宋"/>
          <w:b/>
          <w:sz w:val="24"/>
          <w:szCs w:val="24"/>
          <w:highlight w:val="none"/>
        </w:rPr>
        <w:t xml:space="preserve">注：提供法定代表人的身份证扫描件</w:t>
      </w:r>
      <w:r>
        <w:rPr>
          <w:rFonts w:hint="eastAsia" w:ascii="仿宋" w:hAnsi="仿宋" w:eastAsia="仿宋" w:cs="仿宋"/>
          <w:bCs/>
          <w:sz w:val="24"/>
          <w:highlight w:val="none"/>
        </w:rPr>
        <w:t xml:space="preserve">（加盖CA电子公章）</w:t>
      </w:r>
      <w:r>
        <w:rPr>
          <w:rFonts w:hint="eastAsia" w:ascii="仿宋" w:hAnsi="仿宋" w:eastAsia="仿宋" w:cs="仿宋"/>
          <w:b/>
          <w:sz w:val="24"/>
          <w:szCs w:val="24"/>
          <w:highlight w:val="none"/>
        </w:rPr>
        <w:br w:type="page" w:clear="all"/>
      </w:r>
      <w:r>
        <w:rPr>
          <w:rFonts w:hint="eastAsia" w:ascii="仿宋" w:hAnsi="仿宋" w:eastAsia="仿宋" w:cs="仿宋"/>
          <w:b/>
          <w:sz w:val="24"/>
          <w:highlight w:val="none"/>
        </w:rPr>
        <w:t xml:space="preserve">附件5            </w:t>
      </w:r>
      <w:r/>
    </w:p>
    <w:p>
      <w:pPr>
        <w:ind w:firstLine="480"/>
        <w:jc w:val="center"/>
        <w:spacing w:line="460" w:lineRule="exact"/>
        <w:rPr>
          <w:rFonts w:hint="eastAsia" w:ascii="仿宋" w:hAnsi="仿宋" w:eastAsia="仿宋" w:cs="仿宋"/>
          <w:bCs/>
          <w:sz w:val="30"/>
          <w:szCs w:val="30"/>
          <w:highlight w:val="none"/>
        </w:rPr>
      </w:pPr>
      <w:r>
        <w:rPr>
          <w:rFonts w:hint="eastAsia" w:ascii="仿宋" w:hAnsi="仿宋" w:eastAsia="仿宋" w:cs="仿宋"/>
          <w:b/>
          <w:sz w:val="30"/>
          <w:szCs w:val="30"/>
          <w:highlight w:val="none"/>
        </w:rPr>
        <w:t xml:space="preserve">法人授权书</w:t>
      </w: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本授权书声明：（投标供应商名称）授权（被授权人的姓名）为我方就项目采购活动的合法代理人，以本单位名义全权处理一切与该项目采购有关的事务。</w:t>
      </w: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本授权书于______年____月____日起生效，特此声明。</w:t>
      </w:r>
      <w:r/>
    </w:p>
    <w:p>
      <w:pPr>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被授权人身份证号码：</w:t>
      </w:r>
      <w:r/>
    </w:p>
    <w:p>
      <w:pPr>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被授权人联系电话（手机）：</w:t>
      </w: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授权单位名称</w:t>
      </w:r>
      <w:r>
        <w:rPr>
          <w:rFonts w:hint="eastAsia" w:ascii="仿宋" w:hAnsi="仿宋" w:eastAsia="仿宋" w:cs="仿宋"/>
          <w:sz w:val="24"/>
          <w:szCs w:val="24"/>
          <w:highlight w:val="none"/>
          <w:u w:val="single"/>
        </w:rPr>
        <w:t xml:space="preserve">（加盖CA电子公章）：                   </w:t>
      </w: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单位地址：</w:t>
      </w: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bookmarkStart w:id="218" w:name="_Hlt26955070"/>
      <w:r/>
      <w:bookmarkEnd w:id="218"/>
      <w:r/>
      <w:bookmarkStart w:id="219" w:name="_格式3__银行出具的资信证明"/>
      <w:r/>
      <w:bookmarkEnd w:id="219"/>
      <w:r/>
      <w:bookmarkStart w:id="220" w:name="_Hlt26671380"/>
      <w:r/>
      <w:bookmarkEnd w:id="220"/>
      <w:r/>
      <w:r/>
    </w:p>
    <w:p>
      <w:pPr>
        <w:keepLines/>
        <w:keepNext/>
        <w:spacing w:before="260" w:after="260" w:line="416" w:lineRule="auto"/>
        <w:rPr>
          <w:rFonts w:hint="eastAsia" w:ascii="仿宋" w:hAnsi="仿宋" w:eastAsia="仿宋" w:cs="仿宋"/>
          <w:b/>
          <w:sz w:val="24"/>
          <w:szCs w:val="44"/>
          <w:highlight w:val="none"/>
        </w:rPr>
      </w:pPr>
      <w:r>
        <w:rPr>
          <w:rFonts w:hint="eastAsia" w:ascii="仿宋" w:hAnsi="仿宋" w:eastAsia="仿宋" w:cs="仿宋"/>
          <w:b/>
          <w:sz w:val="24"/>
          <w:szCs w:val="44"/>
          <w:highlight w:val="none"/>
        </w:rPr>
      </w:r>
      <w:r/>
    </w:p>
    <w:p>
      <w:pPr>
        <w:ind w:firstLine="480"/>
        <w:jc w:val="left"/>
        <w:spacing w:line="460" w:lineRule="exact"/>
        <w:rPr>
          <w:rFonts w:hint="eastAsia" w:ascii="仿宋" w:hAnsi="仿宋" w:eastAsia="仿宋" w:cs="仿宋"/>
          <w:b/>
          <w:sz w:val="24"/>
          <w:highlight w:val="none"/>
        </w:rPr>
      </w:pPr>
      <w:r>
        <w:rPr>
          <w:rFonts w:hint="eastAsia" w:ascii="仿宋" w:hAnsi="仿宋" w:eastAsia="仿宋" w:cs="仿宋"/>
          <w:bCs/>
          <w:sz w:val="24"/>
          <w:szCs w:val="44"/>
          <w:highlight w:val="none"/>
        </w:rPr>
        <w:t xml:space="preserve">注：提供被授权人身份证扫描件（加盖CA电子公章）</w:t>
      </w:r>
      <w:r>
        <w:rPr>
          <w:rFonts w:hint="eastAsia" w:ascii="仿宋" w:hAnsi="仿宋" w:eastAsia="仿宋" w:cs="仿宋"/>
          <w:bCs/>
          <w:sz w:val="24"/>
          <w:szCs w:val="44"/>
          <w:highlight w:val="none"/>
        </w:rPr>
        <w:br w:type="page" w:clear="all"/>
      </w:r>
      <w:r>
        <w:rPr>
          <w:rFonts w:hint="eastAsia" w:ascii="仿宋" w:hAnsi="仿宋" w:eastAsia="仿宋" w:cs="仿宋"/>
          <w:b/>
          <w:sz w:val="24"/>
          <w:highlight w:val="none"/>
        </w:rPr>
        <w:t xml:space="preserve">附件6                            </w:t>
      </w:r>
      <w:r/>
    </w:p>
    <w:p>
      <w:pPr>
        <w:ind w:firstLine="480"/>
        <w:jc w:val="center"/>
        <w:spacing w:line="46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投标函</w:t>
      </w:r>
      <w:r/>
    </w:p>
    <w:p>
      <w:pPr>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致：如东县大豫镇人民政府</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根据贵方的（项目名称）的招标文件，正式授权下述被授权人_____(姓名)代表我方（投标供应商的名称），全权处理本次项目投标的有关事宜。</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据此函，被授权人_____(姓名)兹宣布同意如下：</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1.按招标文件规定的各项要求，向买方提供所需货物（包含与货物相关的服务）。</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2.我们完全理解贵方不一定将合同授予最低报价的投标供应商。</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7.与本投标有关的正式通讯地址为：</w:t>
      </w:r>
      <w:r/>
    </w:p>
    <w:p>
      <w:pPr>
        <w:ind w:left="420"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地          址：</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邮          编：</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电          话：</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传          真：</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投标供应商开户行：</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账          号：</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日          期：_____年____月____日</w:t>
      </w:r>
      <w:r/>
    </w:p>
    <w:p>
      <w:pPr>
        <w:ind w:firstLine="240"/>
        <w:jc w:val="center"/>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jc w:val="left"/>
        <w:rPr>
          <w:rFonts w:hint="eastAsia" w:ascii="仿宋" w:hAnsi="仿宋" w:eastAsia="仿宋" w:cs="仿宋"/>
          <w:b/>
          <w:sz w:val="24"/>
          <w:highlight w:val="none"/>
        </w:rPr>
        <w:outlineLvl w:val="0"/>
      </w:pPr>
      <w:r>
        <w:rPr>
          <w:rFonts w:hint="eastAsia" w:ascii="仿宋" w:hAnsi="仿宋" w:eastAsia="仿宋" w:cs="仿宋"/>
          <w:bCs/>
          <w:sz w:val="24"/>
          <w:highlight w:val="none"/>
        </w:rPr>
        <w:br w:type="page" w:clear="all"/>
      </w:r>
      <w:bookmarkStart w:id="221" w:name="_Toc186493286"/>
      <w:r>
        <w:rPr>
          <w:rFonts w:hint="eastAsia" w:ascii="仿宋" w:hAnsi="仿宋" w:eastAsia="仿宋" w:cs="仿宋"/>
          <w:b/>
          <w:sz w:val="24"/>
          <w:highlight w:val="none"/>
        </w:rPr>
        <w:t xml:space="preserve">附件</w:t>
      </w:r>
      <w:bookmarkEnd w:id="221"/>
      <w:r>
        <w:rPr>
          <w:rFonts w:hint="eastAsia" w:ascii="仿宋" w:hAnsi="仿宋" w:eastAsia="仿宋" w:cs="仿宋"/>
          <w:b/>
          <w:sz w:val="24"/>
          <w:highlight w:val="none"/>
        </w:rPr>
        <w:t xml:space="preserve">7</w:t>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中小企业声明函（服务）</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本公司（联合体）郑重声明，根据《政府采购促进中小企业发展管理办法》（财库﹝2020﹞46 号）的规定，本公司（联合体）参加</w:t>
      </w:r>
      <w:r>
        <w:rPr>
          <w:rFonts w:hint="eastAsia" w:ascii="仿宋" w:hAnsi="仿宋" w:eastAsia="仿宋" w:cs="仿宋"/>
          <w:sz w:val="24"/>
          <w:szCs w:val="24"/>
          <w:highlight w:val="none"/>
          <w:u w:val="single"/>
        </w:rPr>
        <w:t xml:space="preserve">（单位名称）</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（项目名称）</w:t>
      </w:r>
      <w:r>
        <w:rPr>
          <w:rFonts w:hint="eastAsia" w:ascii="仿宋" w:hAnsi="仿宋" w:eastAsia="仿宋" w:cs="仿宋"/>
          <w:sz w:val="24"/>
          <w:szCs w:val="24"/>
          <w:highlight w:val="none"/>
        </w:rPr>
        <w:t xml:space="preserve">采购活动，服务全部由符合政策要求的中小企业承接。相关企业（含联合体中的中小企业、签订分包意向协议的中小企业）的具体情况如下：</w:t>
      </w:r>
      <w:r/>
    </w:p>
    <w:p>
      <w:pPr>
        <w:ind w:firstLine="360"/>
        <w:spacing w:line="400" w:lineRule="exact"/>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single"/>
        </w:rPr>
        <w:t xml:space="preserve">（标的名称）</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 （采购文件中明确的所属行业） </w:t>
      </w:r>
      <w:r>
        <w:rPr>
          <w:rFonts w:hint="eastAsia" w:ascii="仿宋" w:hAnsi="仿宋" w:eastAsia="仿宋" w:cs="仿宋"/>
          <w:sz w:val="24"/>
          <w:szCs w:val="24"/>
          <w:highlight w:val="none"/>
        </w:rPr>
        <w:t xml:space="preserve">行业；承建（承接）企业为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，从业人员人，营业收入为万元，资产总额为万元，属于</w:t>
      </w:r>
      <w:r>
        <w:rPr>
          <w:rFonts w:hint="eastAsia" w:ascii="仿宋" w:hAnsi="仿宋" w:eastAsia="仿宋" w:cs="仿宋"/>
          <w:sz w:val="24"/>
          <w:szCs w:val="24"/>
          <w:highlight w:val="none"/>
          <w:u w:val="single"/>
        </w:rPr>
        <w:t xml:space="preserve">（□中型企业 □小型企业 □微型企业）；</w:t>
      </w:r>
      <w:r/>
    </w:p>
    <w:p>
      <w:pPr>
        <w:ind w:firstLine="360"/>
        <w:spacing w:line="400" w:lineRule="exact"/>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u w:val="single"/>
        </w:rPr>
        <w:t xml:space="preserve">（标的名称）</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 （采购文件中明确的所属行业） </w:t>
      </w:r>
      <w:r>
        <w:rPr>
          <w:rFonts w:hint="eastAsia" w:ascii="仿宋" w:hAnsi="仿宋" w:eastAsia="仿宋" w:cs="仿宋"/>
          <w:sz w:val="24"/>
          <w:szCs w:val="24"/>
          <w:highlight w:val="none"/>
        </w:rPr>
        <w:t xml:space="preserve">行业；承建（承接）企业为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，从业人员人，营业收入为万元，资产总额为万元，属于</w:t>
      </w:r>
      <w:r>
        <w:rPr>
          <w:rFonts w:hint="eastAsia" w:ascii="仿宋" w:hAnsi="仿宋" w:eastAsia="仿宋" w:cs="仿宋"/>
          <w:sz w:val="24"/>
          <w:szCs w:val="24"/>
          <w:highlight w:val="none"/>
          <w:u w:val="single"/>
        </w:rPr>
        <w:t xml:space="preserve">（□中型企业 □小型企业 □微型企业）；</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ind w:right="7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180" w:firstLine="36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供应商全称（加盖CA电子公章）：</w:t>
      </w:r>
      <w:r/>
    </w:p>
    <w:p>
      <w:pPr>
        <w:ind w:right="480" w:firstLine="55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480" w:firstLine="55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w:t>
      </w:r>
      <w:r/>
    </w:p>
    <w:p>
      <w:pPr>
        <w:ind w:firstLine="24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1、如项目类型为“服务”，请按照此格式填写。</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2、从业人员、营业收入、资产总额填报上一年度数据，无上一年度数据的新成立企业可不填报。</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3、专门面向中小微型企业采购的项目，投标供应商如不提供此声明函，则不能通过资格审查；非专门面向中小微型企业采购的项目，投标供应商如不提供此声明函，价格将不做相应扣除。</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4、投标供应商自行勾选承接企业的企业规模类型。</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中标人的《中小企业声明函》将随中标结果同时公告。投标供应商按照本办法规定提供声明函内容不实的，属于提供虚假材料谋取中标、成交，依照《中华人民共和国政府采购法》等国家有关规定追究相应责任。</w:t>
      </w:r>
      <w:r/>
    </w:p>
    <w:p>
      <w:pPr>
        <w:ind w:firstLine="482"/>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left"/>
        <w:spacing w:line="588" w:lineRule="exac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br w:type="page" w:clear="all"/>
      </w:r>
      <w:bookmarkStart w:id="222" w:name="_Toc186493287"/>
      <w:r>
        <w:rPr>
          <w:rFonts w:hint="eastAsia" w:ascii="仿宋" w:hAnsi="仿宋" w:eastAsia="仿宋" w:cs="仿宋"/>
          <w:b/>
          <w:sz w:val="24"/>
          <w:szCs w:val="24"/>
          <w:highlight w:val="none"/>
        </w:rPr>
        <w:t xml:space="preserve">附件</w:t>
      </w:r>
      <w:bookmarkEnd w:id="222"/>
      <w:r>
        <w:rPr>
          <w:rFonts w:hint="eastAsia" w:ascii="仿宋" w:hAnsi="仿宋" w:eastAsia="仿宋" w:cs="仿宋"/>
          <w:b/>
          <w:sz w:val="24"/>
          <w:szCs w:val="24"/>
          <w:highlight w:val="none"/>
        </w:rPr>
        <w:t xml:space="preserve">8</w:t>
      </w:r>
      <w:r/>
    </w:p>
    <w:p>
      <w:pPr>
        <w:jc w:val="center"/>
        <w:spacing w:line="588"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残疾人福利性单位声明函（服务）</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141号）的规定，本单位为符合条件的残疾人福利性单位，且本单位参加单位的采购文件项目编号为的项目采购活动由本单位提供服务。</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ind w:firstLine="480"/>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1、如项目类型为“服务”，请按照此格式填写。</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2、专门面向中小微型企业采购的项目，投标供应商为残疾人福利性单位并提供服务的必须提供此声明函，否则将不能通过资格审查。</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3、非专门面向中小微型企业采购的项目，投标供应商如不提供此声明函，价格将不做相应扣除。</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4、中标人为残疾人福利性单位的，此声明函将随中标结果同时公告，接受社会监督。</w:t>
      </w:r>
      <w:r/>
    </w:p>
    <w:p>
      <w:pPr>
        <w:ind w:firstLine="624"/>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日  期：</w:t>
      </w:r>
      <w:r/>
    </w:p>
    <w:p>
      <w:pPr>
        <w:jc w:val="center"/>
        <w:spacing w:line="4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outlineLvl w:val="0"/>
      </w:pPr>
      <w:r/>
      <w:bookmarkStart w:id="223" w:name="_Toc186493288"/>
      <w:r/>
      <w:r/>
    </w:p>
    <w:p>
      <w:pPr>
        <w:spacing w:line="420" w:lineRule="exac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t xml:space="preserve">附件</w:t>
      </w:r>
      <w:bookmarkEnd w:id="223"/>
      <w:r>
        <w:rPr>
          <w:rFonts w:hint="eastAsia" w:ascii="仿宋" w:hAnsi="仿宋" w:eastAsia="仿宋" w:cs="仿宋"/>
          <w:b/>
          <w:sz w:val="24"/>
          <w:szCs w:val="24"/>
          <w:highlight w:val="none"/>
        </w:rPr>
        <w:t xml:space="preserve">9</w:t>
      </w:r>
      <w:r/>
    </w:p>
    <w:p>
      <w:pPr>
        <w:jc w:val="center"/>
        <w:spacing w:line="420" w:lineRule="exact"/>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监狱和戒毒企业证明材料</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4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（格式自拟）</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1、专门面向中小微型企业采购的项目，投标供应商如不提供此证明材料，则不能通过资格审查；非专门面向中小微型企业采购的项目，投标供应商如不提供此证明材料，价格将不做相应扣除。</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中标人为监狱和戒毒企业的，此证明材料将随中标结果同时公告，接受社会监督。投标供应商按照本办法规定提供证明材料内容不实的，属于提供虚假材料谋取中标、成交，依照《中华人民共和国政府采购法》等国家有关规定追究相应责任。</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624"/>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日  期：</w:t>
      </w:r>
      <w:r/>
    </w:p>
    <w:p>
      <w:pP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br w:type="page" w:clear="all"/>
      </w:r>
      <w:bookmarkEnd w:id="201"/>
      <w:r/>
      <w:bookmarkEnd w:id="202"/>
      <w:r/>
      <w:bookmarkEnd w:id="203"/>
      <w:r/>
      <w:bookmarkStart w:id="224" w:name="_Toc186493289"/>
      <w:r/>
      <w:bookmarkStart w:id="225" w:name="_Toc120614284"/>
      <w:r>
        <w:rPr>
          <w:rFonts w:hint="eastAsia" w:ascii="仿宋" w:hAnsi="仿宋" w:eastAsia="仿宋" w:cs="仿宋"/>
          <w:b/>
          <w:sz w:val="24"/>
          <w:szCs w:val="24"/>
          <w:highlight w:val="none"/>
        </w:rPr>
        <w:t xml:space="preserve">附件</w:t>
      </w:r>
      <w:bookmarkEnd w:id="224"/>
      <w:r>
        <w:rPr>
          <w:rFonts w:hint="eastAsia" w:ascii="仿宋" w:hAnsi="仿宋" w:eastAsia="仿宋" w:cs="仿宋"/>
          <w:b/>
          <w:sz w:val="24"/>
          <w:szCs w:val="24"/>
          <w:highlight w:val="none"/>
        </w:rPr>
        <w:t xml:space="preserve">10</w:t>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技术要求响应及偏离表</w:t>
      </w:r>
      <w:r/>
    </w:p>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（由投标供应商据实填写，表格不够自行添加）</w:t>
      </w:r>
      <w:r/>
    </w:p>
    <w:tbl>
      <w:tblPr>
        <w:tblStyle w:val="70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numPr>
          <w:ilvl w:val="0"/>
          <w:numId w:val="4"/>
        </w:numPr>
        <w:contextualSpacing/>
        <w:spacing w:line="30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投标供应商提交的投标文件中与招标文件第四章“采购需求”中的技术要求如有偏离的，应逐条填列在偏离表中。</w:t>
      </w:r>
      <w:r/>
    </w:p>
    <w:p>
      <w:pPr>
        <w:contextualSpacing/>
        <w:spacing w:line="300" w:lineRule="auto"/>
        <w:rPr>
          <w:rFonts w:hint="eastAsia" w:ascii="仿宋" w:hAnsi="仿宋" w:eastAsia="仿宋" w:cs="仿宋"/>
          <w:sz w:val="24"/>
          <w:highlight w:val="none"/>
        </w:rPr>
      </w:pPr>
      <w:r>
        <w:rPr>
          <w:rFonts w:hint="eastAsia" w:ascii="仿宋" w:hAnsi="仿宋" w:eastAsia="仿宋" w:cs="仿宋"/>
          <w:sz w:val="24"/>
          <w:highlight w:val="none"/>
        </w:rPr>
        <w:t xml:space="preserve">2.“偏离说明”一栏选择“正偏离”、“无偏离”、“负偏离”进行填写。未填写的内容视为完全响应本招标文件要求。正偏离、无偏离的确认和负偏离是否响应招标文件，由评委会认定。</w:t>
      </w:r>
      <w:r/>
    </w:p>
    <w:p>
      <w:pPr>
        <w:pStyle w:val="728"/>
        <w:rPr>
          <w:rFonts w:hint="eastAsia" w:ascii="仿宋" w:hAnsi="仿宋" w:eastAsia="仿宋" w:cs="仿宋"/>
          <w:highlight w:val="none"/>
        </w:rPr>
      </w:pPr>
      <w:r>
        <w:rPr>
          <w:rFonts w:hint="eastAsia" w:ascii="仿宋" w:hAnsi="仿宋" w:eastAsia="仿宋" w:cs="仿宋"/>
          <w:highlight w:val="none"/>
        </w:rPr>
      </w:r>
      <w:r/>
    </w:p>
    <w:p>
      <w:pPr>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日  期：</w:t>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br w:type="page" w:clear="all"/>
      </w:r>
      <w:bookmarkStart w:id="226" w:name="_Toc186493290"/>
      <w:r>
        <w:rPr>
          <w:rFonts w:hint="eastAsia" w:ascii="仿宋" w:hAnsi="仿宋" w:eastAsia="仿宋" w:cs="仿宋"/>
          <w:b/>
          <w:sz w:val="24"/>
          <w:szCs w:val="24"/>
          <w:highlight w:val="none"/>
        </w:rPr>
        <w:t xml:space="preserve">附件1</w:t>
      </w:r>
      <w:bookmarkEnd w:id="226"/>
      <w:r>
        <w:rPr>
          <w:rFonts w:hint="eastAsia" w:ascii="仿宋" w:hAnsi="仿宋" w:eastAsia="仿宋" w:cs="仿宋"/>
          <w:b/>
          <w:sz w:val="24"/>
          <w:szCs w:val="24"/>
          <w:highlight w:val="none"/>
        </w:rPr>
        <w:t xml:space="preserve">1</w:t>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商务要求响应及偏离表</w:t>
      </w:r>
      <w:r/>
    </w:p>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（由投标供应商据实填写，表格不够自行添加）</w:t>
      </w:r>
      <w:r/>
    </w:p>
    <w:tbl>
      <w:tblPr>
        <w:tblStyle w:val="70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偏离说明</w:t>
            </w:r>
            <w:r/>
          </w:p>
        </w:tc>
      </w:tr>
      <w:tr>
        <w:trPr>
          <w:trHeight w:val="46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numPr>
          <w:ilvl w:val="0"/>
          <w:numId w:val="5"/>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投标供应商提交的投标文件中与招标文件第四章“采购需求”中的商务要求如有偏离的，应逐条填列在偏离表中。 </w:t>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2.“偏离说明”一栏选择“正偏离”、“无偏离”、“负偏离”进行填写。未填写的内容视为完全响应本招标文件要求。正偏离、无偏离的确认和负偏离是否响应招标文件，由评委会认定。</w:t>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highlight w:val="none"/>
        </w:rPr>
      </w:pPr>
      <w:r>
        <w:rPr>
          <w:rFonts w:hint="eastAsia" w:ascii="仿宋" w:hAnsi="仿宋" w:eastAsia="仿宋" w:cs="仿宋"/>
          <w:highlight w:val="none"/>
        </w:rPr>
      </w:r>
      <w:r/>
    </w:p>
    <w:p>
      <w:pPr>
        <w:ind w:firstLine="624"/>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日  期：</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lef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707"/>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bookmarkStart w:id="227" w:name="_Toc186493291"/>
      <w:r>
        <w:rPr>
          <w:rFonts w:hint="eastAsia" w:ascii="仿宋" w:hAnsi="仿宋" w:eastAsia="仿宋" w:cs="仿宋"/>
          <w:b/>
          <w:sz w:val="24"/>
          <w:szCs w:val="24"/>
          <w:highlight w:val="none"/>
        </w:rPr>
        <w:br w:type="page" w:clear="all"/>
      </w:r>
      <w:r/>
    </w:p>
    <w:p>
      <w:pPr>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t xml:space="preserve">附件1</w:t>
      </w:r>
      <w:bookmarkEnd w:id="227"/>
      <w:r>
        <w:rPr>
          <w:rFonts w:hint="eastAsia" w:ascii="仿宋" w:hAnsi="仿宋" w:eastAsia="仿宋" w:cs="仿宋"/>
          <w:b/>
          <w:sz w:val="24"/>
          <w:szCs w:val="24"/>
          <w:highlight w:val="none"/>
        </w:rPr>
        <w:t xml:space="preserve">2      </w:t>
      </w:r>
      <w:r/>
    </w:p>
    <w:p>
      <w:pP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 实质性要求响应及偏离表 </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047"/>
        <w:gridCol w:w="1796"/>
      </w:tblGrid>
      <w:tr>
        <w:trPr>
          <w:cantSplit/>
        </w:trPr>
        <w:tc>
          <w:tcPr>
            <w:tcW w:w="545"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3609"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招标文件技术要求和商务要求中的实质性要求</w:t>
            </w:r>
            <w:r>
              <w:rPr>
                <w:rFonts w:hint="eastAsia" w:ascii="仿宋" w:hAnsi="仿宋" w:eastAsia="仿宋" w:cs="仿宋"/>
                <w:i/>
                <w:sz w:val="24"/>
                <w:szCs w:val="24"/>
                <w:highlight w:val="none"/>
                <w:u w:val="single"/>
              </w:rPr>
              <w:t xml:space="preserve">（加斜体下划线内容）</w:t>
            </w:r>
            <w:r/>
          </w:p>
        </w:tc>
        <w:tc>
          <w:tcPr>
            <w:tcW w:w="3047"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投标响应情况</w:t>
            </w:r>
            <w:r/>
          </w:p>
        </w:tc>
        <w:tc>
          <w:tcPr>
            <w:tcW w:w="1796"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正偏离、无偏离、负偏离</w:t>
            </w:r>
            <w:r/>
          </w:p>
        </w:tc>
      </w:tr>
      <w:tr>
        <w:trPr>
          <w:cantSplit/>
          <w:trHeight w:val="640"/>
        </w:trPr>
        <w:tc>
          <w:tcPr>
            <w:tcW w:w="545"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609"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047"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96"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3609"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047"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96"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3609"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3047"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96"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00" w:lineRule="exact"/>
        <w:rPr>
          <w:rFonts w:hint="eastAsia" w:ascii="仿宋" w:hAnsi="仿宋" w:eastAsia="仿宋" w:cs="仿宋"/>
          <w:sz w:val="24"/>
          <w:highlight w:val="none"/>
        </w:rPr>
      </w:pPr>
      <w:r>
        <w:rPr>
          <w:rFonts w:hint="eastAsia" w:ascii="仿宋" w:hAnsi="仿宋" w:eastAsia="仿宋" w:cs="仿宋"/>
          <w:sz w:val="24"/>
          <w:szCs w:val="24"/>
          <w:highlight w:val="none"/>
        </w:rPr>
        <w:t xml:space="preserve">备注：</w:t>
      </w:r>
      <w:r>
        <w:rPr>
          <w:rFonts w:hint="eastAsia" w:ascii="仿宋" w:hAnsi="仿宋" w:eastAsia="仿宋" w:cs="仿宋"/>
          <w:sz w:val="24"/>
          <w:highlight w:val="none"/>
        </w:rPr>
        <w:t xml:space="preserve">供应商必须对技术要求和商务要求中的实质性要求（加斜体下划线内容）做出明确响应，未填写的内容视为完全响应本采购文件实质性要求。</w:t>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624"/>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日  期：</w:t>
      </w:r>
      <w:r/>
    </w:p>
    <w:p>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left"/>
        <w:spacing w:line="5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728"/>
        <w:ind w:firstLine="482"/>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728"/>
        <w:ind w:firstLine="482"/>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highlight w:val="none"/>
        </w:rPr>
      </w:pPr>
      <w:r>
        <w:rPr>
          <w:highlight w:val="none"/>
        </w:rPr>
      </w:r>
      <w:r/>
    </w:p>
    <w:p>
      <w:pPr>
        <w:spacing w:line="5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904"/>
        <w:rPr>
          <w:rFonts w:eastAsia="仿宋"/>
          <w:color w:val="auto"/>
          <w:highlight w:val="none"/>
        </w:rPr>
      </w:pPr>
      <w:r>
        <w:rPr>
          <w:rFonts w:eastAsia="仿宋"/>
          <w:color w:val="auto"/>
          <w:highlight w:val="none"/>
        </w:rPr>
      </w:r>
      <w:r/>
    </w:p>
    <w:p>
      <w:pPr>
        <w:rPr>
          <w:rFonts w:eastAsia="仿宋"/>
          <w:highlight w:val="none"/>
        </w:rPr>
      </w:pPr>
      <w:r>
        <w:rPr>
          <w:rFonts w:hint="eastAsia" w:eastAsia="仿宋"/>
          <w:highlight w:val="none"/>
        </w:rPr>
        <w:br w:type="page" w:clear="all"/>
      </w:r>
      <w:r/>
    </w:p>
    <w:p>
      <w:pPr>
        <w:pStyle w:val="904"/>
        <w:rPr>
          <w:rFonts w:eastAsia="仿宋"/>
          <w:color w:val="auto"/>
          <w:highlight w:val="none"/>
        </w:rPr>
      </w:pPr>
      <w:r>
        <w:rPr>
          <w:rFonts w:hint="eastAsia" w:eastAsia="仿宋"/>
          <w:color w:val="auto"/>
          <w:highlight w:val="none"/>
        </w:rPr>
        <w:t xml:space="preserve">附件1</w:t>
      </w:r>
      <w:bookmarkEnd w:id="188"/>
      <w:r/>
      <w:bookmarkEnd w:id="189"/>
      <w:r/>
      <w:bookmarkEnd w:id="225"/>
      <w:r>
        <w:rPr>
          <w:rFonts w:hint="eastAsia" w:eastAsia="仿宋"/>
          <w:color w:val="auto"/>
          <w:highlight w:val="none"/>
        </w:rPr>
        <w:t xml:space="preserve">3</w:t>
      </w:r>
      <w:r/>
    </w:p>
    <w:p>
      <w:pPr>
        <w:jc w:val="center"/>
        <w:rPr>
          <w:rFonts w:hint="eastAsia" w:ascii="仿宋" w:hAnsi="仿宋" w:eastAsia="仿宋" w:cs="仿宋"/>
          <w:b/>
          <w:bCs/>
          <w:sz w:val="32"/>
          <w:szCs w:val="32"/>
          <w:highlight w:val="none"/>
        </w:rPr>
        <w:outlineLvl w:val="0"/>
      </w:pPr>
      <w:r/>
      <w:bookmarkStart w:id="228" w:name="_Toc186493292"/>
      <w:r>
        <w:rPr>
          <w:rFonts w:hint="eastAsia" w:ascii="仿宋" w:hAnsi="仿宋" w:eastAsia="仿宋" w:cs="仿宋"/>
          <w:b/>
          <w:bCs/>
          <w:sz w:val="32"/>
          <w:szCs w:val="32"/>
          <w:highlight w:val="none"/>
        </w:rPr>
        <w:t xml:space="preserve">质疑函范本</w:t>
      </w:r>
      <w:bookmarkEnd w:id="228"/>
      <w:r/>
      <w:r/>
    </w:p>
    <w:p>
      <w:pPr>
        <w:spacing w:before="290" w:line="360" w:lineRule="auto"/>
        <w:rPr>
          <w:rFonts w:hint="eastAsia" w:ascii="仿宋" w:hAnsi="仿宋" w:eastAsia="仿宋" w:cs="仿宋"/>
          <w:bCs/>
          <w:sz w:val="24"/>
          <w:szCs w:val="24"/>
          <w:highlight w:val="none"/>
        </w:rPr>
        <w:outlineLvl w:val="0"/>
      </w:pPr>
      <w:r/>
      <w:bookmarkStart w:id="229" w:name="_Toc186493293"/>
      <w:r>
        <w:rPr>
          <w:rFonts w:hint="eastAsia" w:ascii="仿宋" w:hAnsi="仿宋" w:eastAsia="仿宋" w:cs="仿宋"/>
          <w:bCs/>
          <w:sz w:val="24"/>
          <w:szCs w:val="24"/>
          <w:highlight w:val="none"/>
        </w:rPr>
        <w:t xml:space="preserve">一、质疑供应商基本信息</w:t>
      </w:r>
      <w:bookmarkEnd w:id="229"/>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质疑供应商：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地址：邮编：</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联系人：联系电话：</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授权代表：</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 邮编：</w:t>
      </w:r>
      <w:r/>
    </w:p>
    <w:p>
      <w:pPr>
        <w:spacing w:line="360" w:lineRule="auto"/>
        <w:rPr>
          <w:rFonts w:hint="eastAsia" w:ascii="仿宋" w:hAnsi="仿宋" w:eastAsia="仿宋" w:cs="仿宋"/>
          <w:bCs/>
          <w:sz w:val="24"/>
          <w:szCs w:val="24"/>
          <w:highlight w:val="none"/>
        </w:rPr>
        <w:outlineLvl w:val="0"/>
      </w:pPr>
      <w:r/>
      <w:bookmarkStart w:id="230" w:name="_Toc186493294"/>
      <w:r>
        <w:rPr>
          <w:rFonts w:hint="eastAsia" w:ascii="仿宋" w:hAnsi="仿宋" w:eastAsia="仿宋" w:cs="仿宋"/>
          <w:bCs/>
          <w:sz w:val="24"/>
          <w:szCs w:val="24"/>
          <w:highlight w:val="none"/>
        </w:rPr>
        <w:t xml:space="preserve">二、质疑项目基本情况</w:t>
      </w:r>
      <w:bookmarkEnd w:id="230"/>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质疑项目的名称：</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质疑项目的编号：包号：</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采购人名称：</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采购文件获取日期：</w:t>
      </w:r>
      <w:r/>
    </w:p>
    <w:p>
      <w:pPr>
        <w:spacing w:line="360" w:lineRule="auto"/>
        <w:rPr>
          <w:rFonts w:hint="eastAsia" w:ascii="仿宋" w:hAnsi="仿宋" w:eastAsia="仿宋" w:cs="仿宋"/>
          <w:bCs/>
          <w:sz w:val="24"/>
          <w:szCs w:val="24"/>
          <w:highlight w:val="none"/>
        </w:rPr>
        <w:outlineLvl w:val="0"/>
      </w:pPr>
      <w:r/>
      <w:bookmarkStart w:id="231" w:name="_Toc186493295"/>
      <w:r>
        <w:rPr>
          <w:rFonts w:hint="eastAsia" w:ascii="仿宋" w:hAnsi="仿宋" w:eastAsia="仿宋" w:cs="仿宋"/>
          <w:bCs/>
          <w:sz w:val="24"/>
          <w:szCs w:val="24"/>
          <w:highlight w:val="none"/>
        </w:rPr>
        <w:t xml:space="preserve">三、质疑事项具体内容</w:t>
      </w:r>
      <w:bookmarkEnd w:id="231"/>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质疑事项1：</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事实依据：</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法律依据：</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质疑事项2</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spacing w:line="360" w:lineRule="auto"/>
        <w:rPr>
          <w:rFonts w:hint="eastAsia" w:ascii="仿宋" w:hAnsi="仿宋" w:eastAsia="仿宋" w:cs="仿宋"/>
          <w:bCs/>
          <w:sz w:val="24"/>
          <w:szCs w:val="24"/>
          <w:highlight w:val="none"/>
        </w:rPr>
        <w:outlineLvl w:val="0"/>
      </w:pPr>
      <w:r/>
      <w:bookmarkStart w:id="232" w:name="_Toc186493296"/>
      <w:r>
        <w:rPr>
          <w:rFonts w:hint="eastAsia" w:ascii="仿宋" w:hAnsi="仿宋" w:eastAsia="仿宋" w:cs="仿宋"/>
          <w:bCs/>
          <w:sz w:val="24"/>
          <w:szCs w:val="24"/>
          <w:highlight w:val="none"/>
        </w:rPr>
        <w:t xml:space="preserve">四、与质疑事项相关的质疑请求</w:t>
      </w:r>
      <w:bookmarkEnd w:id="232"/>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请求：</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签字(签章)：                   公章：                      </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r/>
    </w:p>
    <w:p>
      <w:pP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质疑函制作说明：</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1.供应商提出质疑时，应提交质疑函和必要的证明材料。</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05"/>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05"/>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7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highlight w:val="none"/>
        </w:rPr>
      </w:pPr>
      <w:r>
        <w:rPr>
          <w:highlight w:val="none"/>
        </w:rPr>
      </w:r>
      <w:r/>
    </w:p>
    <w:p>
      <w:pPr>
        <w:rPr>
          <w:highlight w:val="none"/>
        </w:rPr>
      </w:pPr>
      <w:r>
        <w:rPr>
          <w:highlight w:val="none"/>
        </w:rPr>
      </w:r>
      <w:r/>
    </w:p>
    <w:sectPr>
      <w:footnotePr/>
      <w:endnotePr/>
      <w:type w:val="nextPage"/>
      <w:pgSz w:w="11906" w:h="16838" w:orient="portrait"/>
      <w:pgMar w:top="1191" w:right="1587" w:bottom="1191" w:left="1366" w:header="850" w:footer="90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5"/>
                            <w:jc w:val="center"/>
                          </w:pPr>
                          <w:r>
                            <w:fldChar w:fldCharType="begin"/>
                          </w:r>
                          <w:r>
                            <w:instrText xml:space="preserve"> PAGE   \* MERGEFORMAT </w:instrText>
                          </w:r>
                          <w:r>
                            <w:fldChar w:fldCharType="separate"/>
                          </w:r>
                          <w:r>
                            <w:rPr>
                              <w:lang w:val="zh-CN"/>
                            </w:rPr>
                            <w:t xml:space="preserve">19</w:t>
                          </w:r>
                          <w:r>
                            <w:rPr>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5"/>
                      <w:jc w:val="center"/>
                    </w:pPr>
                    <w:r>
                      <w:fldChar w:fldCharType="begin"/>
                    </w:r>
                    <w:r>
                      <w:instrText xml:space="preserve"> PAGE   \* MERGEFORMAT </w:instrText>
                    </w:r>
                    <w:r>
                      <w:fldChar w:fldCharType="separate"/>
                    </w:r>
                    <w:r>
                      <w:rPr>
                        <w:lang w:val="zh-CN"/>
                      </w:rPr>
                      <w:t xml:space="preserve">19</w:t>
                    </w:r>
                    <w:r>
                      <w:rPr>
                        <w:lang w:val="zh-CN"/>
                      </w:rPr>
                      <w:fldChar w:fldCharType="end"/>
                    </w:r>
                    <w:r/>
                  </w:p>
                </w:txbxContent>
              </v:textbox>
            </v:shape>
          </w:pict>
        </mc:Fallback>
      </mc:AlternateContent>
    </w:r>
    <w:r/>
  </w:p>
  <w:p>
    <w:pPr>
      <w:pStyle w:val="715"/>
      <w:jc w:val="center"/>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2007" w:hanging="360"/>
      </w:pPr>
      <w:rPr>
        <w:rFonts w:hint="default" w:ascii="Courier New" w:hAnsi="Courier New" w:eastAsia="Courier New" w:cs="Courier New"/>
      </w:rPr>
    </w:lvl>
    <w:lvl w:ilvl="2">
      <w:start w:val="1"/>
      <w:numFmt w:val="bullet"/>
      <w:isLgl w:val="false"/>
      <w:suff w:val="tab"/>
      <w:lvlText w:val="§"/>
      <w:lvlJc w:val="left"/>
      <w:pPr>
        <w:ind w:left="2727" w:hanging="360"/>
      </w:pPr>
      <w:rPr>
        <w:rFonts w:hint="default" w:ascii="Wingdings" w:hAnsi="Wingdings" w:eastAsia="Wingdings" w:cs="Wingdings"/>
      </w:rPr>
    </w:lvl>
    <w:lvl w:ilvl="3">
      <w:start w:val="1"/>
      <w:numFmt w:val="bullet"/>
      <w:isLgl w:val="false"/>
      <w:suff w:val="tab"/>
      <w:lvlText w:val="·"/>
      <w:lvlJc w:val="left"/>
      <w:pPr>
        <w:ind w:left="3447" w:hanging="360"/>
      </w:pPr>
      <w:rPr>
        <w:rFonts w:hint="default" w:ascii="Symbol" w:hAnsi="Symbol" w:eastAsia="Symbol" w:cs="Symbol"/>
      </w:rPr>
    </w:lvl>
    <w:lvl w:ilvl="4">
      <w:start w:val="1"/>
      <w:numFmt w:val="bullet"/>
      <w:isLgl w:val="false"/>
      <w:suff w:val="tab"/>
      <w:lvlText w:val="o"/>
      <w:lvlJc w:val="left"/>
      <w:pPr>
        <w:ind w:left="4167" w:hanging="360"/>
      </w:pPr>
      <w:rPr>
        <w:rFonts w:hint="default" w:ascii="Courier New" w:hAnsi="Courier New" w:eastAsia="Courier New" w:cs="Courier New"/>
      </w:rPr>
    </w:lvl>
    <w:lvl w:ilvl="5">
      <w:start w:val="1"/>
      <w:numFmt w:val="bullet"/>
      <w:isLgl w:val="false"/>
      <w:suff w:val="tab"/>
      <w:lvlText w:val="§"/>
      <w:lvlJc w:val="left"/>
      <w:pPr>
        <w:ind w:left="4887" w:hanging="360"/>
      </w:pPr>
      <w:rPr>
        <w:rFonts w:hint="default" w:ascii="Wingdings" w:hAnsi="Wingdings" w:eastAsia="Wingdings" w:cs="Wingdings"/>
      </w:rPr>
    </w:lvl>
    <w:lvl w:ilvl="6">
      <w:start w:val="1"/>
      <w:numFmt w:val="bullet"/>
      <w:isLgl w:val="false"/>
      <w:suff w:val="tab"/>
      <w:lvlText w:val="·"/>
      <w:lvlJc w:val="left"/>
      <w:pPr>
        <w:ind w:left="5607" w:hanging="360"/>
      </w:pPr>
      <w:rPr>
        <w:rFonts w:hint="default" w:ascii="Symbol" w:hAnsi="Symbol" w:eastAsia="Symbol" w:cs="Symbol"/>
      </w:rPr>
    </w:lvl>
    <w:lvl w:ilvl="7">
      <w:start w:val="1"/>
      <w:numFmt w:val="bullet"/>
      <w:isLgl w:val="false"/>
      <w:suff w:val="tab"/>
      <w:lvlText w:val="o"/>
      <w:lvlJc w:val="left"/>
      <w:pPr>
        <w:ind w:left="6327" w:hanging="360"/>
      </w:pPr>
      <w:rPr>
        <w:rFonts w:hint="default" w:ascii="Courier New" w:hAnsi="Courier New" w:eastAsia="Courier New" w:cs="Courier New"/>
      </w:rPr>
    </w:lvl>
    <w:lvl w:ilvl="8">
      <w:start w:val="1"/>
      <w:numFmt w:val="bullet"/>
      <w:isLgl w:val="false"/>
      <w:suff w:val="tab"/>
      <w:lvlText w:val="§"/>
      <w:lvlJc w:val="left"/>
      <w:pPr>
        <w:ind w:left="7047"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0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363" w:hanging="720"/>
      </w:pPr>
      <w:rPr>
        <w:rFonts w:hint="default"/>
      </w:rPr>
    </w:lvl>
    <w:lvl w:ilvl="1">
      <w:start w:val="1"/>
      <w:numFmt w:val="lowerLetter"/>
      <w:isLgl w:val="false"/>
      <w:suff w:val="tab"/>
      <w:lvlText w:val="%2)"/>
      <w:lvlJc w:val="left"/>
      <w:pPr>
        <w:ind w:left="1483" w:hanging="420"/>
      </w:pPr>
    </w:lvl>
    <w:lvl w:ilvl="2">
      <w:start w:val="1"/>
      <w:numFmt w:val="lowerRoman"/>
      <w:isLgl w:val="false"/>
      <w:suff w:val="tab"/>
      <w:lvlText w:val="%3."/>
      <w:lvlJc w:val="right"/>
      <w:pPr>
        <w:ind w:left="1903" w:hanging="420"/>
      </w:pPr>
    </w:lvl>
    <w:lvl w:ilvl="3">
      <w:start w:val="1"/>
      <w:numFmt w:val="decimal"/>
      <w:isLgl w:val="false"/>
      <w:suff w:val="tab"/>
      <w:lvlText w:val="%4."/>
      <w:lvlJc w:val="left"/>
      <w:pPr>
        <w:ind w:left="2323" w:hanging="420"/>
      </w:pPr>
    </w:lvl>
    <w:lvl w:ilvl="4">
      <w:start w:val="1"/>
      <w:numFmt w:val="lowerLetter"/>
      <w:isLgl w:val="false"/>
      <w:suff w:val="tab"/>
      <w:lvlText w:val="%5)"/>
      <w:lvlJc w:val="left"/>
      <w:pPr>
        <w:ind w:left="2743" w:hanging="420"/>
      </w:pPr>
    </w:lvl>
    <w:lvl w:ilvl="5">
      <w:start w:val="1"/>
      <w:numFmt w:val="lowerRoman"/>
      <w:isLgl w:val="false"/>
      <w:suff w:val="tab"/>
      <w:lvlText w:val="%6."/>
      <w:lvlJc w:val="right"/>
      <w:pPr>
        <w:ind w:left="3163" w:hanging="420"/>
      </w:pPr>
    </w:lvl>
    <w:lvl w:ilvl="6">
      <w:start w:val="1"/>
      <w:numFmt w:val="decimal"/>
      <w:isLgl w:val="false"/>
      <w:suff w:val="tab"/>
      <w:lvlText w:val="%7."/>
      <w:lvlJc w:val="left"/>
      <w:pPr>
        <w:ind w:left="3583" w:hanging="420"/>
      </w:pPr>
    </w:lvl>
    <w:lvl w:ilvl="7">
      <w:start w:val="1"/>
      <w:numFmt w:val="lowerLetter"/>
      <w:isLgl w:val="false"/>
      <w:suff w:val="tab"/>
      <w:lvlText w:val="%8)"/>
      <w:lvlJc w:val="left"/>
      <w:pPr>
        <w:ind w:left="4003" w:hanging="420"/>
      </w:pPr>
    </w:lvl>
    <w:lvl w:ilvl="8">
      <w:start w:val="1"/>
      <w:numFmt w:val="lowerRoman"/>
      <w:isLgl w:val="false"/>
      <w:suff w:val="tab"/>
      <w:lvlText w:val="%9."/>
      <w:lvlJc w:val="right"/>
      <w:pPr>
        <w:ind w:left="4423" w:hanging="42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93">
    <w:name w:val="Heading 1"/>
    <w:basedOn w:val="692"/>
    <w:next w:val="692"/>
    <w:uiPriority w:val="0"/>
    <w:qFormat/>
    <w:pPr>
      <w:jc w:val="center"/>
      <w:keepNext/>
      <w:outlineLvl w:val="0"/>
    </w:pPr>
    <w:rPr>
      <w:rFonts w:ascii="楷体_GB2312" w:eastAsia="楷体_GB2312"/>
      <w:sz w:val="28"/>
      <w:szCs w:val="28"/>
    </w:rPr>
  </w:style>
  <w:style w:type="paragraph" w:styleId="694">
    <w:name w:val="Heading 2"/>
    <w:basedOn w:val="692"/>
    <w:next w:val="692"/>
    <w:link w:val="772"/>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73"/>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74"/>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75"/>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76"/>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78"/>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79"/>
    <w:uiPriority w:val="9"/>
    <w:unhideWhenUsed/>
    <w:qFormat/>
    <w:pPr>
      <w:keepLines/>
      <w:keepNext/>
      <w:spacing w:before="320" w:after="200"/>
      <w:outlineLvl w:val="8"/>
    </w:pPr>
    <w:rPr>
      <w:rFonts w:ascii="Arial" w:hAnsi="Arial" w:eastAsia="Arial" w:cs="Arial"/>
      <w:i/>
      <w:iCs/>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spacing w:after="57"/>
    </w:pPr>
  </w:style>
  <w:style w:type="paragraph" w:styleId="705">
    <w:name w:val="Normal Indent"/>
    <w:basedOn w:val="692"/>
    <w:uiPriority w:val="0"/>
    <w:qFormat/>
    <w:pPr>
      <w:ind w:firstLine="420"/>
    </w:pPr>
  </w:style>
  <w:style w:type="paragraph" w:styleId="706">
    <w:name w:val="Caption"/>
    <w:basedOn w:val="692"/>
    <w:next w:val="69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7">
    <w:name w:val="Body Text"/>
    <w:basedOn w:val="692"/>
    <w:uiPriority w:val="0"/>
    <w:qFormat/>
    <w:rPr>
      <w:rFonts w:ascii="楷体_GB2312" w:hAnsi="Arial" w:eastAsia="楷体_GB2312"/>
      <w:sz w:val="28"/>
      <w:szCs w:val="28"/>
    </w:rPr>
  </w:style>
  <w:style w:type="paragraph" w:styleId="708">
    <w:name w:val="Body Text Indent"/>
    <w:basedOn w:val="692"/>
    <w:next w:val="709"/>
    <w:uiPriority w:val="0"/>
    <w:qFormat/>
    <w:pPr>
      <w:ind w:firstLine="645"/>
    </w:pPr>
    <w:rPr>
      <w:rFonts w:ascii="楷体_GB2312" w:eastAsia="楷体_GB2312"/>
      <w:sz w:val="32"/>
      <w:szCs w:val="32"/>
    </w:rPr>
  </w:style>
  <w:style w:type="paragraph" w:styleId="709">
    <w:name w:val="envelope return"/>
    <w:basedOn w:val="692"/>
    <w:uiPriority w:val="99"/>
    <w:unhideWhenUsed/>
    <w:qFormat/>
    <w:rPr>
      <w:rFonts w:ascii="Arial" w:hAnsi="Arial"/>
    </w:rPr>
  </w:style>
  <w:style w:type="paragraph" w:styleId="710">
    <w:name w:val="toc 5"/>
    <w:basedOn w:val="692"/>
    <w:next w:val="692"/>
    <w:uiPriority w:val="39"/>
    <w:unhideWhenUsed/>
    <w:qFormat/>
    <w:pPr>
      <w:ind w:left="1134"/>
      <w:spacing w:after="57"/>
    </w:pPr>
  </w:style>
  <w:style w:type="paragraph" w:styleId="711">
    <w:name w:val="toc 3"/>
    <w:basedOn w:val="692"/>
    <w:next w:val="692"/>
    <w:uiPriority w:val="39"/>
    <w:unhideWhenUsed/>
    <w:qFormat/>
    <w:pPr>
      <w:ind w:left="567"/>
      <w:spacing w:after="57"/>
    </w:pPr>
  </w:style>
  <w:style w:type="paragraph" w:styleId="712">
    <w:name w:val="Plain Text"/>
    <w:basedOn w:val="692"/>
    <w:uiPriority w:val="0"/>
    <w:qFormat/>
    <w:rPr>
      <w:rFonts w:ascii="宋体" w:hAnsi="Courier New" w:cs="Courier New"/>
    </w:rPr>
  </w:style>
  <w:style w:type="paragraph" w:styleId="713">
    <w:name w:val="toc 8"/>
    <w:basedOn w:val="692"/>
    <w:next w:val="692"/>
    <w:uiPriority w:val="39"/>
    <w:unhideWhenUsed/>
    <w:qFormat/>
    <w:pPr>
      <w:ind w:left="1984"/>
      <w:spacing w:after="57"/>
    </w:pPr>
  </w:style>
  <w:style w:type="paragraph" w:styleId="714">
    <w:name w:val="endnote text"/>
    <w:basedOn w:val="692"/>
    <w:link w:val="897"/>
    <w:uiPriority w:val="99"/>
    <w:semiHidden/>
    <w:unhideWhenUsed/>
    <w:qFormat/>
    <w:rPr>
      <w:sz w:val="20"/>
    </w:rPr>
  </w:style>
  <w:style w:type="paragraph" w:styleId="715">
    <w:name w:val="Footer"/>
    <w:basedOn w:val="692"/>
    <w:link w:val="913"/>
    <w:uiPriority w:val="99"/>
    <w:qFormat/>
    <w:pPr>
      <w:jc w:val="left"/>
      <w:tabs>
        <w:tab w:val="center" w:pos="4153" w:leader="none"/>
        <w:tab w:val="right" w:pos="8306" w:leader="none"/>
      </w:tabs>
    </w:pPr>
    <w:rPr>
      <w:sz w:val="18"/>
      <w:szCs w:val="18"/>
    </w:rPr>
  </w:style>
  <w:style w:type="paragraph" w:styleId="716">
    <w:name w:val="Header"/>
    <w:basedOn w:val="692"/>
    <w:uiPriority w:val="0"/>
    <w:qFormat/>
    <w:pPr>
      <w:jc w:val="center"/>
      <w:tabs>
        <w:tab w:val="center" w:pos="4153" w:leader="none"/>
        <w:tab w:val="right" w:pos="8306" w:leader="none"/>
      </w:tabs>
    </w:pPr>
    <w:rPr>
      <w:sz w:val="18"/>
      <w:szCs w:val="18"/>
    </w:rPr>
  </w:style>
  <w:style w:type="paragraph" w:styleId="717">
    <w:name w:val="toc 1"/>
    <w:basedOn w:val="692"/>
    <w:next w:val="692"/>
    <w:uiPriority w:val="39"/>
    <w:qFormat/>
    <w:pPr>
      <w:jc w:val="left"/>
      <w:spacing w:before="120" w:after="120" w:line="400" w:lineRule="exact"/>
      <w:tabs>
        <w:tab w:val="right" w:pos="8720" w:leader="dot"/>
      </w:tabs>
    </w:pPr>
    <w:rPr>
      <w:rFonts w:ascii="宋体" w:hAnsi="宋体"/>
      <w:caps/>
      <w:sz w:val="24"/>
      <w:szCs w:val="24"/>
    </w:rPr>
  </w:style>
  <w:style w:type="paragraph" w:styleId="718">
    <w:name w:val="toc 4"/>
    <w:basedOn w:val="692"/>
    <w:next w:val="692"/>
    <w:uiPriority w:val="39"/>
    <w:unhideWhenUsed/>
    <w:qFormat/>
    <w:pPr>
      <w:ind w:left="850"/>
      <w:spacing w:after="57"/>
    </w:pPr>
  </w:style>
  <w:style w:type="paragraph" w:styleId="719">
    <w:name w:val="Subtitle"/>
    <w:basedOn w:val="692"/>
    <w:next w:val="692"/>
    <w:link w:val="782"/>
    <w:uiPriority w:val="11"/>
    <w:qFormat/>
    <w:pPr>
      <w:spacing w:before="200" w:after="200"/>
    </w:pPr>
    <w:rPr>
      <w:sz w:val="24"/>
      <w:szCs w:val="24"/>
    </w:rPr>
  </w:style>
  <w:style w:type="paragraph" w:styleId="720">
    <w:name w:val="footnote text"/>
    <w:basedOn w:val="692"/>
    <w:link w:val="896"/>
    <w:uiPriority w:val="99"/>
    <w:semiHidden/>
    <w:unhideWhenUsed/>
    <w:qFormat/>
    <w:pPr>
      <w:spacing w:after="40"/>
    </w:pPr>
    <w:rPr>
      <w:sz w:val="18"/>
    </w:rPr>
  </w:style>
  <w:style w:type="paragraph" w:styleId="721">
    <w:name w:val="toc 6"/>
    <w:basedOn w:val="692"/>
    <w:next w:val="692"/>
    <w:uiPriority w:val="39"/>
    <w:unhideWhenUsed/>
    <w:qFormat/>
    <w:pPr>
      <w:ind w:left="1417"/>
      <w:spacing w:after="57"/>
    </w:pPr>
  </w:style>
  <w:style w:type="paragraph" w:styleId="722">
    <w:name w:val="table of figures"/>
    <w:basedOn w:val="692"/>
    <w:next w:val="692"/>
    <w:uiPriority w:val="99"/>
    <w:unhideWhenUsed/>
    <w:qFormat/>
  </w:style>
  <w:style w:type="paragraph" w:styleId="723">
    <w:name w:val="toc 2"/>
    <w:basedOn w:val="692"/>
    <w:next w:val="692"/>
    <w:uiPriority w:val="39"/>
    <w:unhideWhenUsed/>
    <w:qFormat/>
    <w:pPr>
      <w:ind w:left="283"/>
      <w:spacing w:after="57"/>
    </w:pPr>
  </w:style>
  <w:style w:type="paragraph" w:styleId="724">
    <w:name w:val="toc 9"/>
    <w:basedOn w:val="692"/>
    <w:next w:val="692"/>
    <w:uiPriority w:val="39"/>
    <w:unhideWhenUsed/>
    <w:qFormat/>
    <w:pPr>
      <w:ind w:left="2268"/>
      <w:spacing w:after="57"/>
    </w:pPr>
  </w:style>
  <w:style w:type="paragraph" w:styleId="725">
    <w:name w:val="Normal (Web)"/>
    <w:basedOn w:val="692"/>
    <w:uiPriority w:val="99"/>
    <w:qFormat/>
    <w:pPr>
      <w:jc w:val="left"/>
      <w:spacing w:before="100" w:beforeAutospacing="1" w:after="100" w:afterAutospacing="1"/>
      <w:widowControl/>
    </w:pPr>
    <w:rPr>
      <w:rFonts w:ascii="宋体" w:hAnsi="宋体" w:cs="宋体"/>
      <w:sz w:val="24"/>
      <w:szCs w:val="24"/>
    </w:rPr>
  </w:style>
  <w:style w:type="paragraph" w:styleId="726">
    <w:name w:val="Title"/>
    <w:basedOn w:val="692"/>
    <w:next w:val="692"/>
    <w:link w:val="781"/>
    <w:uiPriority w:val="10"/>
    <w:qFormat/>
    <w:pPr>
      <w:contextualSpacing/>
      <w:spacing w:before="300" w:after="200"/>
    </w:pPr>
    <w:rPr>
      <w:sz w:val="48"/>
      <w:szCs w:val="48"/>
    </w:rPr>
  </w:style>
  <w:style w:type="paragraph" w:styleId="727">
    <w:name w:val="Body Text First Indent"/>
    <w:basedOn w:val="707"/>
    <w:uiPriority w:val="0"/>
    <w:qFormat/>
    <w:pPr>
      <w:ind w:firstLine="200"/>
      <w:spacing w:line="360" w:lineRule="auto"/>
    </w:pPr>
    <w:rPr>
      <w:rFonts w:ascii="仿宋_GB2312" w:eastAsia="仿宋_GB2312"/>
      <w:sz w:val="30"/>
      <w:szCs w:val="30"/>
    </w:rPr>
  </w:style>
  <w:style w:type="paragraph" w:styleId="728">
    <w:name w:val="Body Text First Indent 2"/>
    <w:basedOn w:val="708"/>
    <w:next w:val="692"/>
    <w:uiPriority w:val="0"/>
    <w:qFormat/>
    <w:pPr>
      <w:ind w:firstLine="420"/>
      <w:spacing w:line="360" w:lineRule="auto"/>
    </w:pPr>
    <w:rPr>
      <w:rFonts w:ascii="宋体" w:hAnsi="宋体" w:eastAsia="宋体"/>
      <w:sz w:val="21"/>
      <w:szCs w:val="20"/>
    </w:rPr>
  </w:style>
  <w:style w:type="table" w:styleId="729">
    <w:name w:val="Table Grid"/>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0">
    <w:name w:val="Strong"/>
    <w:basedOn w:val="702"/>
    <w:uiPriority w:val="22"/>
    <w:qFormat/>
    <w:rPr>
      <w:b/>
    </w:rPr>
  </w:style>
  <w:style w:type="character" w:styleId="731">
    <w:name w:val="endnote reference"/>
    <w:basedOn w:val="702"/>
    <w:uiPriority w:val="99"/>
    <w:semiHidden/>
    <w:unhideWhenUsed/>
    <w:qFormat/>
    <w:rPr>
      <w:vertAlign w:val="superscript"/>
    </w:rPr>
  </w:style>
  <w:style w:type="character" w:styleId="732">
    <w:name w:val="page number"/>
    <w:basedOn w:val="702"/>
    <w:uiPriority w:val="0"/>
    <w:qFormat/>
  </w:style>
  <w:style w:type="character" w:styleId="733">
    <w:name w:val="FollowedHyperlink"/>
    <w:basedOn w:val="702"/>
    <w:uiPriority w:val="99"/>
    <w:semiHidden/>
    <w:unhideWhenUsed/>
    <w:qFormat/>
    <w:rPr>
      <w:color w:val="333333"/>
      <w:u w:val="none"/>
    </w:rPr>
  </w:style>
  <w:style w:type="character" w:styleId="734">
    <w:name w:val="Hyperlink"/>
    <w:uiPriority w:val="99"/>
    <w:unhideWhenUsed/>
    <w:qFormat/>
    <w:rPr>
      <w:color w:val="0026e5" w:themeColor="hyperlink"/>
      <w:u w:val="single"/>
      <w14:textFill>
        <w14:solidFill>
          <w14:schemeClr w14:val="hlink"/>
        </w14:solidFill>
      </w14:textFill>
    </w:rPr>
  </w:style>
  <w:style w:type="character" w:styleId="735">
    <w:name w:val="footnote reference"/>
    <w:basedOn w:val="702"/>
    <w:uiPriority w:val="99"/>
    <w:unhideWhenUsed/>
    <w:qFormat/>
    <w:rPr>
      <w:vertAlign w:val="superscript"/>
    </w:rPr>
  </w:style>
  <w:style w:type="character" w:styleId="736" w:customStyle="1">
    <w:name w:val="Heading 2 Char"/>
    <w:basedOn w:val="702"/>
    <w:uiPriority w:val="9"/>
    <w:qFormat/>
    <w:rPr>
      <w:rFonts w:ascii="Arial" w:hAnsi="Arial" w:eastAsia="Arial" w:cs="Arial"/>
      <w:sz w:val="34"/>
    </w:rPr>
  </w:style>
  <w:style w:type="character" w:styleId="737" w:customStyle="1">
    <w:name w:val="Heading 3 Char"/>
    <w:basedOn w:val="702"/>
    <w:uiPriority w:val="9"/>
    <w:qFormat/>
    <w:rPr>
      <w:rFonts w:ascii="Arial" w:hAnsi="Arial" w:eastAsia="Arial" w:cs="Arial"/>
      <w:sz w:val="30"/>
      <w:szCs w:val="30"/>
    </w:rPr>
  </w:style>
  <w:style w:type="character" w:styleId="738" w:customStyle="1">
    <w:name w:val="Heading 4 Char"/>
    <w:basedOn w:val="702"/>
    <w:uiPriority w:val="9"/>
    <w:qFormat/>
    <w:rPr>
      <w:rFonts w:ascii="Arial" w:hAnsi="Arial" w:eastAsia="Arial" w:cs="Arial"/>
      <w:b/>
      <w:bCs/>
      <w:sz w:val="26"/>
      <w:szCs w:val="26"/>
    </w:rPr>
  </w:style>
  <w:style w:type="character" w:styleId="739" w:customStyle="1">
    <w:name w:val="Heading 5 Char"/>
    <w:basedOn w:val="702"/>
    <w:uiPriority w:val="9"/>
    <w:qFormat/>
    <w:rPr>
      <w:rFonts w:ascii="Arial" w:hAnsi="Arial" w:eastAsia="Arial" w:cs="Arial"/>
      <w:b/>
      <w:bCs/>
      <w:sz w:val="24"/>
      <w:szCs w:val="24"/>
    </w:rPr>
  </w:style>
  <w:style w:type="character" w:styleId="740" w:customStyle="1">
    <w:name w:val="Heading 6 Char"/>
    <w:basedOn w:val="702"/>
    <w:uiPriority w:val="9"/>
    <w:qFormat/>
    <w:rPr>
      <w:rFonts w:ascii="Arial" w:hAnsi="Arial" w:eastAsia="Arial" w:cs="Arial"/>
      <w:b/>
      <w:bCs/>
      <w:sz w:val="22"/>
      <w:szCs w:val="22"/>
    </w:rPr>
  </w:style>
  <w:style w:type="character" w:styleId="741" w:customStyle="1">
    <w:name w:val="Heading 7 Char"/>
    <w:basedOn w:val="702"/>
    <w:uiPriority w:val="9"/>
    <w:qFormat/>
    <w:rPr>
      <w:rFonts w:ascii="Arial" w:hAnsi="Arial" w:eastAsia="Arial" w:cs="Arial"/>
      <w:b/>
      <w:bCs/>
      <w:i/>
      <w:iCs/>
      <w:sz w:val="22"/>
      <w:szCs w:val="22"/>
    </w:rPr>
  </w:style>
  <w:style w:type="character" w:styleId="742" w:customStyle="1">
    <w:name w:val="Heading 8 Char"/>
    <w:basedOn w:val="702"/>
    <w:uiPriority w:val="9"/>
    <w:qFormat/>
    <w:rPr>
      <w:rFonts w:ascii="Arial" w:hAnsi="Arial" w:eastAsia="Arial" w:cs="Arial"/>
      <w:i/>
      <w:iCs/>
      <w:sz w:val="22"/>
      <w:szCs w:val="22"/>
    </w:rPr>
  </w:style>
  <w:style w:type="character" w:styleId="743" w:customStyle="1">
    <w:name w:val="Heading 9 Char"/>
    <w:basedOn w:val="702"/>
    <w:uiPriority w:val="9"/>
    <w:qFormat/>
    <w:rPr>
      <w:rFonts w:ascii="Arial" w:hAnsi="Arial" w:eastAsia="Arial" w:cs="Arial"/>
      <w:i/>
      <w:iCs/>
      <w:sz w:val="21"/>
      <w:szCs w:val="21"/>
    </w:rPr>
  </w:style>
  <w:style w:type="character" w:styleId="744" w:customStyle="1">
    <w:name w:val="Title Char"/>
    <w:basedOn w:val="702"/>
    <w:uiPriority w:val="10"/>
    <w:qFormat/>
    <w:rPr>
      <w:sz w:val="48"/>
      <w:szCs w:val="48"/>
    </w:rPr>
  </w:style>
  <w:style w:type="character" w:styleId="745" w:customStyle="1">
    <w:name w:val="Subtitle Char"/>
    <w:basedOn w:val="702"/>
    <w:uiPriority w:val="11"/>
    <w:qFormat/>
    <w:rPr>
      <w:sz w:val="24"/>
      <w:szCs w:val="24"/>
    </w:rPr>
  </w:style>
  <w:style w:type="character" w:styleId="746" w:customStyle="1">
    <w:name w:val="Quote Char"/>
    <w:uiPriority w:val="29"/>
    <w:qFormat/>
    <w:rPr>
      <w:i/>
    </w:rPr>
  </w:style>
  <w:style w:type="character" w:styleId="747" w:customStyle="1">
    <w:name w:val="Intense Quote Char"/>
    <w:uiPriority w:val="30"/>
    <w:qFormat/>
    <w:rPr>
      <w:i/>
    </w:rPr>
  </w:style>
  <w:style w:type="table" w:styleId="748" w:customStyle="1">
    <w:name w:val="无格式表格 11"/>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21"/>
    <w:basedOn w:val="7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3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无格式表格 4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无格式表格 5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网格表 1 浅色1"/>
    <w:basedOn w:val="7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网格表 2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网格表 3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网格表 41"/>
    <w:basedOn w:val="7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网格表 5 深色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网格表 6 彩色1"/>
    <w:basedOn w:val="7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网格表 7 彩色1"/>
    <w:basedOn w:val="7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清单表 1 浅色1"/>
    <w:basedOn w:val="70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清单表 21"/>
    <w:basedOn w:val="7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清单表 3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清单表 4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清单表 5 深色1"/>
    <w:basedOn w:val="7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清单表 6 彩色1"/>
    <w:basedOn w:val="70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清单表 7 彩色1"/>
    <w:basedOn w:val="70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7" w:customStyle="1">
    <w:name w:val="Footnote Text Char"/>
    <w:uiPriority w:val="99"/>
    <w:qFormat/>
    <w:rPr>
      <w:sz w:val="18"/>
    </w:rPr>
  </w:style>
  <w:style w:type="character" w:styleId="768" w:customStyle="1">
    <w:name w:val="Endnote Text Char"/>
    <w:uiPriority w:val="99"/>
    <w:qFormat/>
    <w:rPr>
      <w:sz w:val="20"/>
    </w:rPr>
  </w:style>
  <w:style w:type="paragraph" w:styleId="769" w:customStyle="1">
    <w:name w:val="TOC 标题1"/>
    <w:uiPriority w:val="39"/>
    <w:unhideWhenUsed/>
    <w:qFormat/>
    <w:rPr>
      <w:rFonts w:asciiTheme="minorHAnsi" w:hAnsiTheme="minorHAnsi" w:eastAsiaTheme="minorEastAsia" w:cstheme="minorBidi"/>
      <w:lang w:val="en-US" w:eastAsia="zh-CN" w:bidi="ar-SA"/>
    </w:rPr>
  </w:style>
  <w:style w:type="paragraph" w:styleId="770" w:customStyle="1">
    <w:name w:val="报告正文"/>
    <w:basedOn w:val="692"/>
    <w:uiPriority w:val="0"/>
    <w:qFormat/>
    <w:pPr>
      <w:ind w:firstLine="560"/>
    </w:pPr>
    <w:rPr>
      <w:szCs w:val="20"/>
      <w:lang w:val="zh-CN"/>
    </w:rPr>
  </w:style>
  <w:style w:type="character" w:styleId="771" w:customStyle="1">
    <w:name w:val="Heading 1 Char"/>
    <w:basedOn w:val="702"/>
    <w:uiPriority w:val="9"/>
    <w:qFormat/>
    <w:rPr>
      <w:rFonts w:ascii="Arial" w:hAnsi="Arial" w:eastAsia="Arial" w:cs="Arial"/>
      <w:sz w:val="40"/>
      <w:szCs w:val="40"/>
    </w:rPr>
  </w:style>
  <w:style w:type="character" w:styleId="772" w:customStyle="1">
    <w:name w:val="标题 2 字符"/>
    <w:basedOn w:val="702"/>
    <w:link w:val="694"/>
    <w:uiPriority w:val="9"/>
    <w:qFormat/>
    <w:rPr>
      <w:rFonts w:ascii="Arial" w:hAnsi="Arial" w:eastAsia="Arial" w:cs="Arial"/>
      <w:sz w:val="34"/>
    </w:rPr>
  </w:style>
  <w:style w:type="character" w:styleId="773" w:customStyle="1">
    <w:name w:val="标题 3 字符"/>
    <w:basedOn w:val="702"/>
    <w:link w:val="695"/>
    <w:uiPriority w:val="9"/>
    <w:qFormat/>
    <w:rPr>
      <w:rFonts w:ascii="Arial" w:hAnsi="Arial" w:eastAsia="Arial" w:cs="Arial"/>
      <w:sz w:val="30"/>
      <w:szCs w:val="30"/>
    </w:rPr>
  </w:style>
  <w:style w:type="character" w:styleId="774" w:customStyle="1">
    <w:name w:val="标题 4 字符"/>
    <w:basedOn w:val="702"/>
    <w:link w:val="696"/>
    <w:uiPriority w:val="9"/>
    <w:qFormat/>
    <w:rPr>
      <w:rFonts w:ascii="Arial" w:hAnsi="Arial" w:eastAsia="Arial" w:cs="Arial"/>
      <w:b/>
      <w:bCs/>
      <w:sz w:val="26"/>
      <w:szCs w:val="26"/>
    </w:rPr>
  </w:style>
  <w:style w:type="character" w:styleId="775" w:customStyle="1">
    <w:name w:val="标题 5 字符"/>
    <w:basedOn w:val="702"/>
    <w:link w:val="697"/>
    <w:uiPriority w:val="9"/>
    <w:qFormat/>
    <w:rPr>
      <w:rFonts w:ascii="Arial" w:hAnsi="Arial" w:eastAsia="Arial" w:cs="Arial"/>
      <w:b/>
      <w:bCs/>
      <w:sz w:val="24"/>
      <w:szCs w:val="24"/>
    </w:rPr>
  </w:style>
  <w:style w:type="character" w:styleId="776" w:customStyle="1">
    <w:name w:val="标题 6 字符"/>
    <w:basedOn w:val="702"/>
    <w:link w:val="698"/>
    <w:uiPriority w:val="9"/>
    <w:qFormat/>
    <w:rPr>
      <w:rFonts w:ascii="Arial" w:hAnsi="Arial" w:eastAsia="Arial" w:cs="Arial"/>
      <w:b/>
      <w:bCs/>
      <w:sz w:val="22"/>
      <w:szCs w:val="22"/>
    </w:rPr>
  </w:style>
  <w:style w:type="character" w:styleId="777" w:customStyle="1">
    <w:name w:val="标题 7 字符"/>
    <w:basedOn w:val="702"/>
    <w:link w:val="699"/>
    <w:uiPriority w:val="9"/>
    <w:qFormat/>
    <w:rPr>
      <w:rFonts w:ascii="Arial" w:hAnsi="Arial" w:eastAsia="Arial" w:cs="Arial"/>
      <w:b/>
      <w:bCs/>
      <w:i/>
      <w:iCs/>
      <w:sz w:val="22"/>
      <w:szCs w:val="22"/>
    </w:rPr>
  </w:style>
  <w:style w:type="character" w:styleId="778" w:customStyle="1">
    <w:name w:val="标题 8 字符"/>
    <w:basedOn w:val="702"/>
    <w:link w:val="700"/>
    <w:uiPriority w:val="9"/>
    <w:qFormat/>
    <w:rPr>
      <w:rFonts w:ascii="Arial" w:hAnsi="Arial" w:eastAsia="Arial" w:cs="Arial"/>
      <w:i/>
      <w:iCs/>
      <w:sz w:val="22"/>
      <w:szCs w:val="22"/>
    </w:rPr>
  </w:style>
  <w:style w:type="character" w:styleId="779" w:customStyle="1">
    <w:name w:val="标题 9 字符"/>
    <w:basedOn w:val="702"/>
    <w:link w:val="701"/>
    <w:uiPriority w:val="9"/>
    <w:qFormat/>
    <w:rPr>
      <w:rFonts w:ascii="Arial" w:hAnsi="Arial" w:eastAsia="Arial" w:cs="Arial"/>
      <w:i/>
      <w:iCs/>
      <w:sz w:val="21"/>
      <w:szCs w:val="21"/>
    </w:rPr>
  </w:style>
  <w:style w:type="paragraph" w:styleId="780">
    <w:name w:val="List Paragraph"/>
    <w:basedOn w:val="692"/>
    <w:uiPriority w:val="34"/>
    <w:qFormat/>
    <w:pPr>
      <w:contextualSpacing/>
      <w:ind w:left="720"/>
    </w:pPr>
  </w:style>
  <w:style w:type="character" w:styleId="781" w:customStyle="1">
    <w:name w:val="标题 字符"/>
    <w:basedOn w:val="702"/>
    <w:link w:val="726"/>
    <w:uiPriority w:val="10"/>
    <w:qFormat/>
    <w:rPr>
      <w:sz w:val="48"/>
      <w:szCs w:val="48"/>
    </w:rPr>
  </w:style>
  <w:style w:type="character" w:styleId="782" w:customStyle="1">
    <w:name w:val="副标题 字符"/>
    <w:basedOn w:val="702"/>
    <w:link w:val="719"/>
    <w:uiPriority w:val="11"/>
    <w:qFormat/>
    <w:rPr>
      <w:sz w:val="24"/>
      <w:szCs w:val="24"/>
    </w:rPr>
  </w:style>
  <w:style w:type="paragraph" w:styleId="783">
    <w:name w:val="Quote"/>
    <w:basedOn w:val="692"/>
    <w:next w:val="692"/>
    <w:link w:val="784"/>
    <w:uiPriority w:val="29"/>
    <w:qFormat/>
    <w:pPr>
      <w:ind w:left="720" w:right="720"/>
    </w:pPr>
    <w:rPr>
      <w:i/>
    </w:rPr>
  </w:style>
  <w:style w:type="character" w:styleId="784" w:customStyle="1">
    <w:name w:val="引用 字符"/>
    <w:link w:val="783"/>
    <w:uiPriority w:val="29"/>
    <w:qFormat/>
    <w:rPr>
      <w:i/>
    </w:rPr>
  </w:style>
  <w:style w:type="paragraph" w:styleId="785">
    <w:name w:val="Intense Quote"/>
    <w:basedOn w:val="692"/>
    <w:next w:val="692"/>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字符"/>
    <w:link w:val="785"/>
    <w:uiPriority w:val="30"/>
    <w:qFormat/>
    <w:rPr>
      <w:i/>
    </w:rPr>
  </w:style>
  <w:style w:type="character" w:styleId="787" w:customStyle="1">
    <w:name w:val="Header Char"/>
    <w:basedOn w:val="702"/>
    <w:uiPriority w:val="99"/>
    <w:qFormat/>
  </w:style>
  <w:style w:type="character" w:styleId="788" w:customStyle="1">
    <w:name w:val="Footer Char"/>
    <w:basedOn w:val="702"/>
    <w:uiPriority w:val="99"/>
    <w:qFormat/>
  </w:style>
  <w:style w:type="character" w:styleId="789" w:customStyle="1">
    <w:name w:val="Caption Char"/>
    <w:uiPriority w:val="99"/>
    <w:qFormat/>
  </w:style>
  <w:style w:type="table" w:styleId="790" w:customStyle="1">
    <w:name w:val="Table Grid Light"/>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1" w:customStyle="1">
    <w:name w:val="Grid Table 1 Light - Accent 1"/>
    <w:basedOn w:val="70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0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0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0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0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0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 Accent 1"/>
    <w:basedOn w:val="70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0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0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0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0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0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3" w:customStyle="1">
    <w:name w:val="Grid Table 3 - Accent 1"/>
    <w:basedOn w:val="70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70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70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70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70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70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 Accent 1"/>
    <w:basedOn w:val="703"/>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0" w:customStyle="1">
    <w:name w:val="Grid Table 4 - Accent 2"/>
    <w:basedOn w:val="703"/>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1" w:customStyle="1">
    <w:name w:val="Grid Table 4 - Accent 3"/>
    <w:basedOn w:val="703"/>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2" w:customStyle="1">
    <w:name w:val="Grid Table 4 - Accent 4"/>
    <w:basedOn w:val="703"/>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3" w:customStyle="1">
    <w:name w:val="Grid Table 4 - Accent 5"/>
    <w:basedOn w:val="703"/>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4" w:customStyle="1">
    <w:name w:val="Grid Table 4 - Accent 6"/>
    <w:basedOn w:val="703"/>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5" w:customStyle="1">
    <w:name w:val="Grid Table 5 Dark- Accent 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6" w:customStyle="1">
    <w:name w:val="Grid Table 5 Dark - Accent 2"/>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7" w:customStyle="1">
    <w:name w:val="Grid Table 5 Dark - Accent 3"/>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8" w:customStyle="1">
    <w:name w:val="Grid Table 5 Dark- Accent 4"/>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9" w:customStyle="1">
    <w:name w:val="Grid Table 5 Dark - Accent 5"/>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0" w:customStyle="1">
    <w:name w:val="Grid Table 5 Dark - Accent 6"/>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1" w:customStyle="1">
    <w:name w:val="Grid Table 6 Colorful - Accent 1"/>
    <w:basedOn w:val="703"/>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2" w:customStyle="1">
    <w:name w:val="Grid Table 6 Colorful - Accent 2"/>
    <w:basedOn w:val="70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3" w:customStyle="1">
    <w:name w:val="Grid Table 6 Colorful - Accent 3"/>
    <w:basedOn w:val="703"/>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24" w:customStyle="1">
    <w:name w:val="Grid Table 6 Colorful - Accent 4"/>
    <w:basedOn w:val="70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5" w:customStyle="1">
    <w:name w:val="Grid Table 6 Colorful - Accent 5"/>
    <w:basedOn w:val="703"/>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6" w:customStyle="1">
    <w:name w:val="Grid Table 6 Colorful - Accent 6"/>
    <w:basedOn w:val="703"/>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7" w:customStyle="1">
    <w:name w:val="Grid Table 7 Colorful - Accent 1"/>
    <w:basedOn w:val="703"/>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703"/>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703"/>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703"/>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703"/>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703"/>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 Accent 1"/>
    <w:basedOn w:val="703"/>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703"/>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703"/>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703"/>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703"/>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703"/>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9" w:customStyle="1">
    <w:name w:val="List Table 2 - Accent 1"/>
    <w:basedOn w:val="703"/>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0" w:customStyle="1">
    <w:name w:val="List Table 2 - Accent 2"/>
    <w:basedOn w:val="703"/>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1" w:customStyle="1">
    <w:name w:val="List Table 2 - Accent 3"/>
    <w:basedOn w:val="703"/>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2" w:customStyle="1">
    <w:name w:val="List Table 2 - Accent 4"/>
    <w:basedOn w:val="703"/>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3" w:customStyle="1">
    <w:name w:val="List Table 2 - Accent 5"/>
    <w:basedOn w:val="703"/>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4" w:customStyle="1">
    <w:name w:val="List Table 2 - Accent 6"/>
    <w:basedOn w:val="703"/>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5" w:customStyle="1">
    <w:name w:val="List Table 3 - Accent 1"/>
    <w:basedOn w:val="703"/>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6" w:customStyle="1">
    <w:name w:val="List Table 3 - Accent 2"/>
    <w:basedOn w:val="70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703"/>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70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703"/>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703"/>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1" w:customStyle="1">
    <w:name w:val="List Table 4 - Accent 1"/>
    <w:basedOn w:val="703"/>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2" w:customStyle="1">
    <w:name w:val="List Table 4 - Accent 2"/>
    <w:basedOn w:val="703"/>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3" w:customStyle="1">
    <w:name w:val="List Table 4 - Accent 3"/>
    <w:basedOn w:val="703"/>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4" w:customStyle="1">
    <w:name w:val="List Table 4 - Accent 4"/>
    <w:basedOn w:val="703"/>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5" w:customStyle="1">
    <w:name w:val="List Table 4 - Accent 5"/>
    <w:basedOn w:val="703"/>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6" w:customStyle="1">
    <w:name w:val="List Table 4 - Accent 6"/>
    <w:basedOn w:val="703"/>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7" w:customStyle="1">
    <w:name w:val="List Table 5 Dark - Accent 1"/>
    <w:basedOn w:val="703"/>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basedOn w:val="703"/>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basedOn w:val="703"/>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basedOn w:val="703"/>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basedOn w:val="703"/>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basedOn w:val="703"/>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 Accent 1"/>
    <w:basedOn w:val="703"/>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4" w:customStyle="1">
    <w:name w:val="List Table 6 Colorful - Accent 2"/>
    <w:basedOn w:val="703"/>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5" w:customStyle="1">
    <w:name w:val="List Table 6 Colorful - Accent 3"/>
    <w:basedOn w:val="703"/>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66" w:customStyle="1">
    <w:name w:val="List Table 6 Colorful - Accent 4"/>
    <w:basedOn w:val="703"/>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67" w:customStyle="1">
    <w:name w:val="List Table 6 Colorful - Accent 5"/>
    <w:basedOn w:val="703"/>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68" w:customStyle="1">
    <w:name w:val="List Table 6 Colorful - Accent 6"/>
    <w:basedOn w:val="703"/>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69" w:customStyle="1">
    <w:name w:val="List Table 7 Colorful - Accent 1"/>
    <w:basedOn w:val="703"/>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basedOn w:val="703"/>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basedOn w:val="703"/>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basedOn w:val="703"/>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basedOn w:val="703"/>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basedOn w:val="703"/>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75" w:customStyle="1">
    <w:name w:val="Lined - Accent"/>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7" w:customStyle="1">
    <w:name w:val="Lined - Accent 2"/>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8" w:customStyle="1">
    <w:name w:val="Lined - Accent 3"/>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9" w:customStyle="1">
    <w:name w:val="Lined - Accent 4"/>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0" w:customStyle="1">
    <w:name w:val="Lined - Accent 5"/>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1" w:customStyle="1">
    <w:name w:val="Lined - Accent 6"/>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2" w:customStyle="1">
    <w:name w:val="Bordered &amp; Lined - Accent"/>
    <w:basedOn w:val="70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basedOn w:val="703"/>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4" w:customStyle="1">
    <w:name w:val="Bordered &amp; Lined - Accent 2"/>
    <w:basedOn w:val="703"/>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5" w:customStyle="1">
    <w:name w:val="Bordered &amp; Lined - Accent 3"/>
    <w:basedOn w:val="703"/>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6" w:customStyle="1">
    <w:name w:val="Bordered &amp; Lined - Accent 4"/>
    <w:basedOn w:val="703"/>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7" w:customStyle="1">
    <w:name w:val="Bordered &amp; Lined - Accent 5"/>
    <w:basedOn w:val="703"/>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8" w:customStyle="1">
    <w:name w:val="Bordered &amp; Lined - Accent 6"/>
    <w:basedOn w:val="703"/>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9" w:customStyle="1">
    <w:name w:val="Bordered"/>
    <w:basedOn w:val="70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basedOn w:val="70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1" w:customStyle="1">
    <w:name w:val="Bordered - Accent 2"/>
    <w:basedOn w:val="70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2" w:customStyle="1">
    <w:name w:val="Bordered - Accent 3"/>
    <w:basedOn w:val="70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3" w:customStyle="1">
    <w:name w:val="Bordered - Accent 4"/>
    <w:basedOn w:val="70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4" w:customStyle="1">
    <w:name w:val="Bordered - Accent 5"/>
    <w:basedOn w:val="70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95" w:customStyle="1">
    <w:name w:val="Bordered - Accent 6"/>
    <w:basedOn w:val="70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96" w:customStyle="1">
    <w:name w:val="脚注文本 字符"/>
    <w:link w:val="720"/>
    <w:uiPriority w:val="99"/>
    <w:qFormat/>
    <w:rPr>
      <w:sz w:val="18"/>
    </w:rPr>
  </w:style>
  <w:style w:type="character" w:styleId="897" w:customStyle="1">
    <w:name w:val="尾注文本 字符"/>
    <w:link w:val="714"/>
    <w:uiPriority w:val="99"/>
    <w:qFormat/>
    <w:rPr>
      <w:sz w:val="20"/>
    </w:rPr>
  </w:style>
  <w:style w:type="paragraph" w:styleId="898" w:customStyle="1">
    <w:name w:val="TOC 标题11"/>
    <w:uiPriority w:val="39"/>
    <w:unhideWhenUsed/>
    <w:qFormat/>
    <w:rPr>
      <w:rFonts w:asciiTheme="minorHAnsi" w:hAnsiTheme="minorHAnsi" w:eastAsiaTheme="minorEastAsia" w:cstheme="minorBidi"/>
      <w:lang w:val="en-US" w:eastAsia="zh-CN" w:bidi="ar-SA"/>
    </w:rPr>
  </w:style>
  <w:style w:type="paragraph" w:styleId="899" w:customStyle="1">
    <w:name w:val="普通正文"/>
    <w:basedOn w:val="692"/>
    <w:uiPriority w:val="0"/>
    <w:qFormat/>
    <w:pPr>
      <w:ind w:firstLine="480"/>
      <w:jc w:val="left"/>
      <w:spacing w:before="120" w:after="120" w:line="360" w:lineRule="auto"/>
    </w:pPr>
    <w:rPr>
      <w:rFonts w:ascii="Arial" w:hAnsi="Arial"/>
      <w:sz w:val="24"/>
      <w:szCs w:val="24"/>
    </w:rPr>
  </w:style>
  <w:style w:type="paragraph" w:styleId="90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01" w:customStyle="1">
    <w:name w:val="一级目录"/>
    <w:next w:val="692"/>
    <w:uiPriority w:val="0"/>
    <w:qFormat/>
    <w:pPr>
      <w:jc w:val="center"/>
      <w:outlineLvl w:val="0"/>
    </w:pPr>
    <w:rPr>
      <w:rFonts w:ascii="黑体" w:hAnsi="Times New Roman" w:eastAsia="黑体" w:cs="Times New Roman"/>
      <w:b/>
      <w:sz w:val="44"/>
      <w:szCs w:val="44"/>
      <w:lang w:val="en-US" w:eastAsia="zh-CN" w:bidi="ar-SA"/>
    </w:rPr>
  </w:style>
  <w:style w:type="paragraph" w:styleId="902" w:customStyle="1">
    <w:name w:val="二级目录"/>
    <w:next w:val="692"/>
    <w:uiPriority w:val="0"/>
    <w:qFormat/>
    <w:pPr>
      <w:numPr>
        <w:ilvl w:val="0"/>
        <w:numId w:val="1"/>
      </w:numPr>
      <w:tabs>
        <w:tab w:val="left" w:pos="1145" w:leader="none"/>
      </w:tabs>
      <w:outlineLvl w:val="1"/>
    </w:pPr>
    <w:rPr>
      <w:rFonts w:ascii="Times New Roman" w:hAnsi="Times New Roman" w:eastAsia="宋体" w:cs="Times New Roman"/>
      <w:b/>
      <w:sz w:val="30"/>
      <w:szCs w:val="28"/>
      <w:lang w:val="en-US" w:eastAsia="zh-CN" w:bidi="ar-SA"/>
    </w:rPr>
  </w:style>
  <w:style w:type="paragraph" w:styleId="903" w:customStyle="1">
    <w:name w:val="Table Paragraph"/>
    <w:basedOn w:val="692"/>
    <w:uiPriority w:val="1"/>
    <w:qFormat/>
    <w:rPr>
      <w:rFonts w:ascii="宋体" w:hAnsi="宋体" w:cs="宋体"/>
      <w:lang w:val="zh-CN" w:bidi="zh-CN"/>
    </w:rPr>
  </w:style>
  <w:style w:type="paragraph" w:styleId="904"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905" w:customStyle="1">
    <w:name w:val="正文文本11"/>
    <w:basedOn w:val="692"/>
    <w:next w:val="906"/>
    <w:uiPriority w:val="0"/>
    <w:qFormat/>
    <w:rPr>
      <w:rFonts w:ascii="楷体_GB2312" w:hAnsi="Arial" w:eastAsia="楷体_GB2312"/>
      <w:sz w:val="28"/>
      <w:szCs w:val="28"/>
    </w:rPr>
  </w:style>
  <w:style w:type="paragraph" w:styleId="906" w:customStyle="1">
    <w:name w:val="一级条标题"/>
    <w:basedOn w:val="907"/>
    <w:next w:val="9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7" w:customStyle="1">
    <w:name w:val="章标题"/>
    <w:next w:val="692"/>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08" w:customStyle="1">
    <w:name w:val="段"/>
    <w:next w:val="692"/>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909" w:customStyle="1">
    <w:name w:val="font51"/>
    <w:basedOn w:val="702"/>
    <w:uiPriority w:val="0"/>
    <w:qFormat/>
    <w:rPr>
      <w:rFonts w:hint="eastAsia" w:ascii="宋体" w:hAnsi="宋体" w:eastAsia="宋体" w:cs="宋体"/>
      <w:b/>
      <w:bCs/>
      <w:color w:val="000000"/>
      <w:sz w:val="40"/>
      <w:szCs w:val="40"/>
      <w:u w:val="none"/>
    </w:rPr>
  </w:style>
  <w:style w:type="paragraph" w:styleId="910" w:customStyle="1">
    <w:name w:val="正文缩进1"/>
    <w:basedOn w:val="692"/>
    <w:uiPriority w:val="99"/>
    <w:qFormat/>
    <w:pPr>
      <w:jc w:val="left"/>
    </w:pPr>
    <w:rPr>
      <w:sz w:val="24"/>
    </w:rPr>
  </w:style>
  <w:style w:type="paragraph" w:styleId="911" w:customStyle="1">
    <w:name w:val="BodyText"/>
    <w:basedOn w:val="692"/>
    <w:uiPriority w:val="0"/>
    <w:qFormat/>
    <w:pPr>
      <w:ind w:left="72" w:right="30"/>
      <w:jc w:val="center"/>
      <w:spacing w:after="60" w:line="360" w:lineRule="atLeast"/>
    </w:pPr>
  </w:style>
  <w:style w:type="table" w:styleId="912" w:customStyle="1">
    <w:name w:val="网格型1"/>
    <w:basedOn w:val="70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customStyle="1">
    <w:name w:val="页脚 字符"/>
    <w:basedOn w:val="702"/>
    <w:link w:val="715"/>
    <w:uiPriority w:val="99"/>
    <w:qFormat/>
    <w:rPr>
      <w:rFonts w:ascii="Times New Roman" w:hAnsi="Times New Roman" w:eastAsia="宋体" w:cs="Times New Roman"/>
      <w:sz w:val="18"/>
      <w:szCs w:val="18"/>
    </w:rPr>
  </w:style>
  <w:style w:type="character" w:styleId="914" w:customStyle="1">
    <w:name w:val="font21"/>
    <w:basedOn w:val="702"/>
    <w:uiPriority w:val="0"/>
    <w:qFormat/>
    <w:rPr>
      <w:rFonts w:hint="eastAsia" w:ascii="宋体" w:hAnsi="宋体" w:eastAsia="宋体" w:cs="宋体"/>
      <w:color w:val="000000"/>
      <w:sz w:val="24"/>
      <w:szCs w:val="24"/>
      <w:u w:val="none"/>
    </w:rPr>
  </w:style>
  <w:style w:type="character" w:styleId="915" w:customStyle="1">
    <w:name w:val="active16"/>
    <w:basedOn w:val="702"/>
    <w:uiPriority w:val="0"/>
    <w:qFormat/>
    <w:rPr>
      <w:color w:val="ffffff"/>
      <w:shd w:val="clear" w:color="auto" w:fill="0f5bb9"/>
    </w:rPr>
  </w:style>
  <w:style w:type="paragraph" w:styleId="916" w:customStyle="1">
    <w:name w:val="正文1"/>
    <w:uiPriority w:val="0"/>
    <w:qFormat/>
    <w:pPr>
      <w:ind w:left="425" w:hanging="425"/>
      <w:spacing w:line="360" w:lineRule="atLeast"/>
      <w:widowControl w:val="off"/>
    </w:pPr>
    <w:rPr>
      <w:rFonts w:ascii="宋体" w:hAnsi="Times New Roman" w:eastAsia="宋体" w:cs="Times New Roman"/>
      <w:position w:val="-6"/>
      <w:sz w:val="32"/>
      <w:lang w:val="en-US" w:eastAsia="zh-CN" w:bidi="ar-SA"/>
    </w:rPr>
  </w:style>
  <w:style w:type="paragraph" w:styleId="917" w:customStyle="1">
    <w:name w:val="正文文本1"/>
    <w:basedOn w:val="692"/>
    <w:next w:val="906"/>
    <w:uiPriority w:val="0"/>
    <w:qFormat/>
    <w:rPr>
      <w:sz w:val="24"/>
      <w:szCs w:val="24"/>
    </w:rPr>
  </w:style>
  <w:style w:type="character" w:styleId="918" w:customStyle="1">
    <w:name w:val="font41"/>
    <w:basedOn w:val="702"/>
    <w:uiPriority w:val="0"/>
    <w:qFormat/>
    <w:rPr>
      <w:rFonts w:hint="eastAsia" w:ascii="宋体" w:hAnsi="宋体" w:eastAsia="宋体" w:cs="宋体"/>
      <w:color w:val="000000"/>
      <w:sz w:val="18"/>
      <w:szCs w:val="18"/>
      <w:u w:val="none"/>
    </w:rPr>
  </w:style>
  <w:style w:type="character" w:styleId="919" w:customStyle="1">
    <w:name w:val="font61"/>
    <w:basedOn w:val="702"/>
    <w:uiPriority w:val="0"/>
    <w:qFormat/>
    <w:rPr>
      <w:rFonts w:ascii="宋体" w:hAnsi="宋体" w:eastAsia="宋体" w:cs="宋体"/>
      <w:color w:val="000000"/>
      <w:sz w:val="18"/>
      <w:szCs w:val="18"/>
      <w:u w:val="none"/>
    </w:rPr>
  </w:style>
  <w:style w:type="character" w:styleId="920" w:customStyle="1">
    <w:name w:val="font71"/>
    <w:basedOn w:val="702"/>
    <w:uiPriority w:val="0"/>
    <w:qFormat/>
    <w:rPr>
      <w:rFonts w:hint="eastAsia" w:ascii="宋体" w:hAnsi="宋体" w:eastAsia="宋体" w:cs="宋体"/>
      <w:color w:val="ff0000"/>
      <w:sz w:val="18"/>
      <w:szCs w:val="18"/>
      <w:u w:val="none"/>
    </w:rPr>
  </w:style>
  <w:style w:type="paragraph" w:styleId="921" w:customStyle="1">
    <w:name w:val="纯文本11"/>
    <w:uiPriority w:val="0"/>
    <w:qFormat/>
    <w:pPr>
      <w:jc w:val="both"/>
      <w:widowControl w:val="off"/>
    </w:pPr>
    <w:rPr>
      <w:rFonts w:hint="eastAsia" w:ascii="宋体" w:hAnsi="宋体" w:eastAsia="楷体_GB2312" w:cs="Times New Roman"/>
      <w:sz w:val="28"/>
      <w:lang w:val="en-US" w:eastAsia="zh-CN" w:bidi="ar-SA"/>
    </w:rPr>
  </w:style>
  <w:style w:type="character" w:styleId="922" w:customStyle="1">
    <w:name w:val="font11"/>
    <w:basedOn w:val="702"/>
    <w:uiPriority w:val="0"/>
    <w:qFormat/>
    <w:rPr>
      <w:rFonts w:hint="eastAsia" w:ascii="宋体" w:hAnsi="宋体" w:eastAsia="宋体" w:cs="宋体"/>
      <w:color w:val="000000"/>
      <w:sz w:val="20"/>
      <w:szCs w:val="20"/>
      <w:u w:val="none"/>
    </w:rPr>
  </w:style>
  <w:style w:type="character" w:styleId="923" w:customStyle="1">
    <w:name w:val="font81"/>
    <w:basedOn w:val="702"/>
    <w:uiPriority w:val="0"/>
    <w:qFormat/>
    <w:rPr>
      <w:rFonts w:hint="eastAsia" w:ascii="宋体" w:hAnsi="宋体" w:eastAsia="宋体" w:cs="宋体"/>
      <w:b/>
      <w:bCs/>
      <w:color w:val="000000"/>
      <w:sz w:val="20"/>
      <w:szCs w:val="20"/>
      <w:u w:val="none"/>
    </w:rPr>
  </w:style>
  <w:style w:type="character" w:styleId="924" w:customStyle="1">
    <w:name w:val="font91"/>
    <w:basedOn w:val="702"/>
    <w:uiPriority w:val="0"/>
    <w:qFormat/>
    <w:rPr>
      <w:rFonts w:hint="eastAsia" w:ascii="宋体" w:hAnsi="宋体" w:eastAsia="宋体" w:cs="宋体"/>
      <w:color w:val="ff0000"/>
      <w:sz w:val="18"/>
      <w:szCs w:val="18"/>
      <w:u w:val="none"/>
    </w:rPr>
  </w:style>
  <w:style w:type="character" w:styleId="925" w:customStyle="1">
    <w:name w:val="font31"/>
    <w:basedOn w:val="702"/>
    <w:uiPriority w:val="0"/>
    <w:qFormat/>
    <w:rPr>
      <w:rFonts w:hint="eastAsia" w:ascii="宋体" w:hAnsi="宋体" w:eastAsia="宋体" w:cs="宋体"/>
      <w:color w:val="ff0000"/>
      <w:sz w:val="18"/>
      <w:szCs w:val="18"/>
      <w:u w:val="none"/>
    </w:rPr>
  </w:style>
  <w:style w:type="numbering" w:styleId="108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陈华</cp:lastModifiedBy>
  <cp:revision>46</cp:revision>
  <dcterms:created xsi:type="dcterms:W3CDTF">2014-10-30T04:08:00Z</dcterms:created>
  <dcterms:modified xsi:type="dcterms:W3CDTF">2026-09-24T08:29:44Z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D238252C7BDA4429AB222DF05F787082_13</vt:lpwstr>
  </property>
  <property fmtid="{D5CDD505-2E9C-101B-9397-08002B2CF9AE}" pid="4" name="KSOTemplateDocerSaveRecord">
    <vt:lpwstr>eyJoZGlkIjoiYWFlYTE5ODU3MGE0Y2Y4ZmQ0NWUyZTlmNWYwNTNlOWQiLCJ1c2VySWQiOiI0ODEyMDkyMTMifQ==</vt:lpwstr>
  </property>
</Properties>
</file>