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1285"/>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项目名称：</w:t>
      </w:r>
      <w:r>
        <w:rPr>
          <w:rFonts w:hint="eastAsia" w:ascii="宋体" w:hAnsi="宋体" w:cs="宋体"/>
          <w:b/>
          <w:color w:val="000000"/>
          <w:sz w:val="32"/>
        </w:rPr>
        <w:t xml:space="preserve">扬州城大遗址保护中心</w:t>
      </w:r>
      <w:r>
        <w:rPr>
          <w:rFonts w:hint="eastAsia" w:ascii="宋体" w:hAnsi="宋体" w:cs="宋体"/>
          <w:b/>
          <w:color w:val="auto"/>
          <w:sz w:val="32"/>
        </w:rPr>
        <w:t xml:space="preserve">（隋炀帝墓遗址博物馆）隋炀帝墓遗址公园物业管理服务项目</w:t>
      </w:r>
      <w:r/>
    </w:p>
    <w:p>
      <w:pPr>
        <w:ind w:firstLine="1285"/>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项目编号：</w:t>
      </w:r>
      <w:r>
        <w:rPr>
          <w:rFonts w:hint="eastAsia" w:ascii="宋体" w:hAnsi="宋体" w:cs="宋体"/>
          <w:b/>
          <w:color w:val="000000"/>
          <w:sz w:val="32"/>
          <w:highlight w:val="none"/>
        </w:rPr>
        <w:t xml:space="preserve">JSZC-321000-JZCG-G2026-0</w:t>
      </w:r>
      <w:r>
        <w:rPr>
          <w:rFonts w:hint="eastAsia" w:ascii="宋体" w:hAnsi="宋体" w:cs="宋体"/>
          <w:b/>
          <w:color w:val="000000"/>
          <w:sz w:val="32"/>
          <w:highlight w:val="none"/>
          <w:lang w:val="en-US" w:eastAsia="zh-CN"/>
        </w:rPr>
        <w:t xml:space="preserve">102</w:t>
      </w:r>
      <w:r/>
    </w:p>
    <w:p>
      <w:pPr>
        <w:ind w:firstLine="128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128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宋体" w:hAnsi="宋体" w:cs="宋体"/>
          <w:b/>
          <w:color w:val="000000"/>
          <w:sz w:val="30"/>
        </w:rPr>
        <w:t xml:space="preserve">   </w:t>
      </w:r>
      <w:r>
        <w:rPr>
          <w:rFonts w:eastAsia="Times New Roman"/>
          <w:color w:val="000000"/>
        </w:rPr>
        <w:t xml:space="preserve">  </w:t>
      </w:r>
      <w:r>
        <w:rPr>
          <w:rFonts w:eastAsia="Times New Roman"/>
          <w:b/>
          <w:color w:val="000000"/>
          <w:sz w:val="3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tabs>
          <w:tab w:val="left" w:pos="5803"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tab/>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扬州市公共资源交易中心</w:t>
      </w:r>
      <w:r/>
    </w:p>
    <w:p>
      <w:pPr>
        <w:jc w:val="center"/>
        <w:spacing w:before="240" w:after="240"/>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highlight w:val="none"/>
        </w:rPr>
        <w:t xml:space="preserve">2026</w:t>
      </w:r>
      <w:r>
        <w:rPr>
          <w:rFonts w:ascii="宋体" w:hAnsi="宋体" w:cs="宋体"/>
          <w:b/>
          <w:color w:val="000000"/>
          <w:sz w:val="32"/>
          <w:highlight w:val="none"/>
        </w:rPr>
        <w:t xml:space="preserve">年</w:t>
      </w:r>
      <w:r>
        <w:rPr>
          <w:rFonts w:hint="eastAsia" w:ascii="宋体" w:hAnsi="宋体" w:cs="宋体"/>
          <w:b/>
          <w:color w:val="000000"/>
          <w:sz w:val="32"/>
          <w:highlight w:val="none"/>
          <w:lang w:val="en-US" w:eastAsia="zh-CN"/>
        </w:rPr>
        <w:t xml:space="preserve">9</w:t>
      </w:r>
      <w:r>
        <w:rPr>
          <w:rFonts w:ascii="宋体" w:hAnsi="宋体" w:cs="宋体"/>
          <w:b/>
          <w:color w:val="000000"/>
          <w:sz w:val="32"/>
          <w:highlight w:val="none"/>
        </w:rPr>
        <w:t xml:space="preserve">月</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sectPr>
          <w:headerReference w:type="default" r:id="rId9"/>
          <w:footerReference w:type="even" r:id="rId10"/>
          <w:footnotePr/>
          <w:endnotePr/>
          <w:type w:val="nextPage"/>
          <w:pgSz w:w="11906" w:h="16838" w:orient="portrait"/>
          <w:pgMar w:top="1418" w:right="1588" w:bottom="1418" w:left="1365" w:header="851" w:footer="907" w:gutter="0"/>
          <w:cols w:num="1" w:sep="0" w:space="1701" w:equalWidth="1"/>
          <w:docGrid w:linePitch="360"/>
          <w:titlePg/>
        </w:sectPr>
      </w:pPr>
      <w:r>
        <w:rPr>
          <w:rFonts w:ascii="黑体" w:hAnsi="黑体" w:eastAsia="黑体" w:cs="黑体"/>
          <w:b/>
          <w:color w:val="000000"/>
          <w:sz w:val="44"/>
        </w:rPr>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rPr>
          <w:highlight w:val="magenta"/>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4"/>
        </w:numP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投标邀请……………………………………</w:t>
      </w:r>
      <w:r>
        <w:rPr>
          <w:rFonts w:hint="eastAsia" w:ascii="黑体" w:hAnsi="黑体" w:eastAsia="黑体" w:cs="黑体"/>
          <w:color w:val="000000"/>
          <w:sz w:val="36"/>
          <w:highlight w:val="none"/>
        </w:rPr>
        <w:t xml:space="preserve">2</w:t>
      </w:r>
      <w:r/>
    </w:p>
    <w:p>
      <w:pPr>
        <w:numPr>
          <w:ilvl w:val="0"/>
          <w:numId w:val="4"/>
        </w:numP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投标人须知…………………………………</w:t>
      </w:r>
      <w:r>
        <w:rPr>
          <w:rFonts w:hint="eastAsia" w:ascii="黑体" w:hAnsi="黑体" w:eastAsia="黑体" w:cs="黑体"/>
          <w:color w:val="000000"/>
          <w:sz w:val="36"/>
          <w:highlight w:val="none"/>
        </w:rPr>
        <w:t xml:space="preserve">5</w:t>
      </w:r>
      <w:r/>
    </w:p>
    <w:p>
      <w:pPr>
        <w:numPr>
          <w:ilvl w:val="0"/>
          <w:numId w:val="4"/>
        </w:numP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合同文本……………………………………1</w:t>
      </w:r>
      <w:r>
        <w:rPr>
          <w:rFonts w:hint="eastAsia" w:ascii="黑体" w:hAnsi="黑体" w:eastAsia="黑体" w:cs="黑体"/>
          <w:color w:val="000000"/>
          <w:sz w:val="36"/>
          <w:highlight w:val="none"/>
        </w:rPr>
        <w:t xml:space="preserve">4</w:t>
      </w:r>
      <w:r/>
    </w:p>
    <w:p>
      <w:pPr>
        <w:numPr>
          <w:ilvl w:val="0"/>
          <w:numId w:val="4"/>
        </w:numP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采购需求……………………………………</w:t>
      </w:r>
      <w:r>
        <w:rPr>
          <w:rFonts w:hint="eastAsia" w:ascii="黑体" w:hAnsi="黑体" w:eastAsia="黑体" w:cs="黑体"/>
          <w:color w:val="000000"/>
          <w:sz w:val="36"/>
          <w:highlight w:val="none"/>
        </w:rPr>
        <w:t xml:space="preserve">17</w:t>
      </w:r>
      <w:r/>
    </w:p>
    <w:p>
      <w:pPr>
        <w:numPr>
          <w:ilvl w:val="0"/>
          <w:numId w:val="4"/>
        </w:numP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评标方法与评标标准………………………</w:t>
      </w:r>
      <w:r>
        <w:rPr>
          <w:rFonts w:hint="eastAsia" w:ascii="黑体" w:hAnsi="黑体" w:eastAsia="黑体" w:cs="黑体"/>
          <w:color w:val="000000"/>
          <w:sz w:val="36"/>
          <w:highlight w:val="none"/>
        </w:rPr>
        <w:t xml:space="preserve">42</w:t>
      </w:r>
      <w:r/>
    </w:p>
    <w:p>
      <w:pPr>
        <w:numPr>
          <w:ilvl w:val="0"/>
          <w:numId w:val="4"/>
        </w:numP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投标文件格式………………………………</w:t>
      </w:r>
      <w:r>
        <w:rPr>
          <w:rFonts w:hint="eastAsia" w:ascii="黑体" w:hAnsi="黑体" w:eastAsia="黑体" w:cs="黑体"/>
          <w:color w:val="000000"/>
          <w:sz w:val="36"/>
          <w:highlight w:val="none"/>
        </w:rPr>
        <w:t xml:space="preserve">44</w:t>
      </w:r>
      <w:r/>
    </w:p>
    <w:p>
      <w:pPr>
        <w:spacing w:before="210" w:after="57"/>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spacing w:before="240" w:after="240"/>
        <w:tabs>
          <w:tab w:val="center" w:pos="4476" w:leader="none"/>
        </w:tabs>
        <w:pBdr>
          <w:top w:val="none" w:color="000000" w:sz="0" w:space="0"/>
          <w:left w:val="none" w:color="000000" w:sz="0" w:space="0"/>
          <w:bottom w:val="none" w:color="000000" w:sz="0" w:space="0"/>
          <w:right w:val="none" w:color="000000" w:sz="0" w:space="0"/>
        </w:pBdr>
      </w:pPr>
      <w:r>
        <w:rPr>
          <w:rFonts w:eastAsia="Times New Roman"/>
          <w:color w:val="000000"/>
        </w:rPr>
        <w:t xml:space="preserve"> </w:t>
      </w:r>
      <w:r>
        <w:tab/>
      </w:r>
      <w:r/>
    </w:p>
    <w:p>
      <w:pP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pStyle w:val="938"/>
      </w:pPr>
      <w:r>
        <w:rPr>
          <w:rStyle w:val="973"/>
          <w:rFonts w:ascii="黑体" w:hAnsi="黑体" w:cs="黑体"/>
        </w:rPr>
        <w:t xml:space="preserve">第一章 投标邀请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受[</w:t>
      </w:r>
      <w:r>
        <w:rPr>
          <w:rFonts w:hint="eastAsia" w:ascii="宋体" w:hAnsi="宋体" w:cs="宋体"/>
          <w:color w:val="000000"/>
          <w:sz w:val="24"/>
        </w:rPr>
        <w:t xml:space="preserve">扬州城大遗址保护中心（隋炀帝墓遗址博物馆）</w:t>
      </w:r>
      <w:r>
        <w:rPr>
          <w:rFonts w:ascii="宋体" w:hAnsi="宋体" w:cs="宋体"/>
          <w:color w:val="000000"/>
          <w:sz w:val="24"/>
        </w:rPr>
        <w:t xml:space="preserve">]的委托，扬州市公共资源交易中心就[</w:t>
      </w:r>
      <w:r>
        <w:rPr>
          <w:rFonts w:hint="eastAsia" w:ascii="宋体" w:hAnsi="宋体" w:cs="宋体"/>
          <w:color w:val="000000"/>
          <w:sz w:val="24"/>
        </w:rPr>
        <w:t xml:space="preserve">扬州城大遗址保护中心（隋炀帝墓遗址博物馆）隋炀帝墓遗址公园物业管理服务项目</w:t>
      </w:r>
      <w:r>
        <w:rPr>
          <w:rFonts w:ascii="宋体" w:hAnsi="宋体" w:cs="宋体"/>
          <w:color w:val="000000"/>
          <w:sz w:val="24"/>
        </w:rPr>
        <w:t xml:space="preserve">](项目编号</w:t>
      </w:r>
      <w:r>
        <w:rPr>
          <w:rFonts w:hint="eastAsia" w:ascii="宋体" w:hAnsi="宋体" w:cs="宋体"/>
          <w:color w:val="000000"/>
          <w:sz w:val="24"/>
        </w:rPr>
        <w:t xml:space="preserve">：JSZC-321000-JZCG-G2026-</w:t>
      </w:r>
      <w:r>
        <w:rPr>
          <w:rFonts w:hint="eastAsia" w:ascii="宋体" w:hAnsi="宋体" w:cs="宋体"/>
          <w:color w:val="000000"/>
          <w:sz w:val="24"/>
          <w:highlight w:val="none"/>
          <w:lang w:eastAsia="zh-CN"/>
        </w:rPr>
        <w:t xml:space="preserve">0102</w:t>
      </w:r>
      <w:r>
        <w:rPr>
          <w:rFonts w:ascii="宋体" w:hAnsi="宋体" w:cs="宋体"/>
          <w:color w:val="000000"/>
          <w:sz w:val="24"/>
          <w:highlight w:val="none"/>
        </w:rPr>
        <w:t xml:space="preserve">)项目</w:t>
      </w:r>
      <w:r>
        <w:rPr>
          <w:rFonts w:ascii="宋体" w:hAnsi="宋体" w:cs="宋体"/>
          <w:color w:val="000000"/>
          <w:sz w:val="24"/>
        </w:rPr>
        <w:t xml:space="preserve">进行公开招标采购，欢迎符合条件的供应商投标。</w:t>
      </w:r>
      <w:r/>
    </w:p>
    <w:p>
      <w:pPr>
        <w:ind w:firstLine="480"/>
        <w:spacing w:line="400" w:lineRule="atLeast"/>
        <w:pBdr>
          <w:top w:val="single" w:color="000000" w:sz="4" w:space="0"/>
          <w:left w:val="single" w:color="000000" w:sz="4" w:space="0"/>
          <w:bottom w:val="single" w:color="000000" w:sz="4" w:space="0"/>
          <w:right w:val="single" w:color="000000" w:sz="4" w:space="0"/>
        </w:pBdr>
      </w:pPr>
      <w:r>
        <w:rPr>
          <w:rFonts w:ascii="宋体" w:hAnsi="宋体" w:cs="宋体"/>
          <w:color w:val="000000"/>
          <w:sz w:val="24"/>
        </w:rPr>
        <w:t xml:space="preserve">项目概况</w:t>
      </w:r>
      <w:r/>
    </w:p>
    <w:p>
      <w:pPr>
        <w:ind w:firstLine="480"/>
        <w:spacing w:line="400" w:lineRule="atLeast"/>
        <w:pBdr>
          <w:top w:val="single" w:color="000000" w:sz="4" w:space="0"/>
          <w:left w:val="single" w:color="000000" w:sz="4" w:space="0"/>
          <w:bottom w:val="single" w:color="000000" w:sz="4" w:space="0"/>
          <w:right w:val="single" w:color="000000" w:sz="4" w:space="0"/>
        </w:pBdr>
      </w:pPr>
      <w:r>
        <w:rPr>
          <w:rFonts w:ascii="宋体" w:hAnsi="宋体" w:cs="宋体"/>
          <w:color w:val="000000"/>
          <w:sz w:val="24"/>
          <w:u w:val="single"/>
        </w:rPr>
        <w:t xml:space="preserve">（</w:t>
      </w:r>
      <w:r>
        <w:rPr>
          <w:rFonts w:hint="eastAsia" w:ascii="宋体" w:hAnsi="宋体" w:cs="宋体"/>
          <w:color w:val="000000"/>
          <w:sz w:val="24"/>
          <w:u w:val="single"/>
        </w:rPr>
        <w:t xml:space="preserve">扬州城大遗址保护中心（隋炀帝墓遗址博物馆）隋炀帝墓遗址公园物业管理服务项目</w:t>
      </w:r>
      <w:r>
        <w:rPr>
          <w:rFonts w:ascii="宋体" w:hAnsi="宋体" w:cs="宋体"/>
          <w:color w:val="000000"/>
          <w:sz w:val="24"/>
          <w:u w:val="single"/>
        </w:rPr>
        <w:t xml:space="preserve">）</w:t>
      </w:r>
      <w:r>
        <w:rPr>
          <w:rFonts w:ascii="宋体" w:hAnsi="宋体" w:cs="宋体"/>
          <w:color w:val="000000"/>
          <w:sz w:val="24"/>
        </w:rPr>
        <w:t xml:space="preserve">招标项目的潜在投标人可在</w:t>
      </w:r>
      <w:r>
        <w:rPr>
          <w:rFonts w:ascii="宋体" w:hAnsi="宋体" w:cs="宋体"/>
          <w:color w:val="000000"/>
          <w:sz w:val="24"/>
          <w:u w:val="single"/>
        </w:rPr>
        <w:t xml:space="preserve">“江苏政府采购网”“扬州市政府采购网”</w:t>
      </w:r>
      <w:r>
        <w:rPr>
          <w:rFonts w:ascii="宋体" w:hAnsi="宋体" w:cs="宋体"/>
          <w:color w:val="000000"/>
          <w:sz w:val="24"/>
        </w:rPr>
        <w:t xml:space="preserve">自行免费下载招标文件，并于</w:t>
      </w:r>
      <w:r>
        <w:rPr>
          <w:rFonts w:hint="eastAsia" w:ascii="宋体" w:hAnsi="宋体" w:cs="宋体"/>
          <w:color w:val="ff0000"/>
          <w:sz w:val="24"/>
          <w:highlight w:val="none"/>
          <w:u w:val="single"/>
        </w:rPr>
        <w:t xml:space="preserve">2026</w:t>
      </w:r>
      <w:r>
        <w:rPr>
          <w:rFonts w:ascii="宋体" w:hAnsi="宋体" w:cs="宋体"/>
          <w:color w:val="ff0000"/>
          <w:sz w:val="24"/>
          <w:highlight w:val="none"/>
          <w:u w:val="single"/>
        </w:rPr>
        <w:t xml:space="preserve">年</w:t>
      </w:r>
      <w:r>
        <w:rPr>
          <w:rFonts w:hint="eastAsia" w:ascii="宋体" w:hAnsi="宋体" w:cs="宋体"/>
          <w:color w:val="ff0000"/>
          <w:sz w:val="24"/>
          <w:highlight w:val="none"/>
          <w:u w:val="single"/>
          <w:lang w:val="en-US" w:eastAsia="zh-CN"/>
        </w:rPr>
        <w:t xml:space="preserve">9</w:t>
      </w:r>
      <w:r>
        <w:rPr>
          <w:rFonts w:ascii="宋体" w:hAnsi="宋体" w:cs="宋体"/>
          <w:color w:val="ff0000"/>
          <w:sz w:val="24"/>
          <w:highlight w:val="none"/>
          <w:u w:val="single"/>
        </w:rPr>
        <w:t xml:space="preserve">月</w:t>
      </w:r>
      <w:r>
        <w:rPr>
          <w:rFonts w:hint="eastAsia" w:ascii="宋体" w:hAnsi="宋体" w:cs="宋体"/>
          <w:color w:val="ff0000"/>
          <w:sz w:val="24"/>
          <w:highlight w:val="none"/>
          <w:u w:val="single"/>
          <w:lang w:val="en-US" w:eastAsia="zh-CN"/>
        </w:rPr>
        <w:t xml:space="preserve">29</w:t>
      </w:r>
      <w:r>
        <w:rPr>
          <w:rFonts w:ascii="宋体" w:hAnsi="宋体" w:cs="宋体"/>
          <w:color w:val="ff0000"/>
          <w:sz w:val="24"/>
          <w:highlight w:val="none"/>
          <w:u w:val="single"/>
        </w:rPr>
        <w:t xml:space="preserve">日9点30分</w:t>
      </w:r>
      <w:r>
        <w:rPr>
          <w:rFonts w:ascii="宋体" w:hAnsi="宋体" w:cs="宋体"/>
          <w:color w:val="000000"/>
          <w:sz w:val="24"/>
          <w:highlight w:val="none"/>
          <w:u w:val="single"/>
        </w:rPr>
        <w:t xml:space="preserve">（</w:t>
      </w:r>
      <w:r>
        <w:rPr>
          <w:rFonts w:ascii="宋体" w:hAnsi="宋体" w:cs="宋体"/>
          <w:color w:val="000000"/>
          <w:sz w:val="24"/>
        </w:rPr>
        <w:t xml:space="preserve">北京时间）前递交投标文件。</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一、项目基本情况</w:t>
      </w:r>
      <w:r/>
    </w:p>
    <w:p>
      <w:pPr>
        <w:ind w:firstLine="480"/>
        <w:spacing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1.项目编号：</w:t>
      </w:r>
      <w:r>
        <w:rPr>
          <w:rFonts w:hint="eastAsia" w:ascii="宋体" w:hAnsi="宋体" w:cs="宋体"/>
          <w:color w:val="000000"/>
          <w:sz w:val="24"/>
        </w:rPr>
        <w:t xml:space="preserve">JSZC-321000-JZCG-G2026-</w:t>
      </w:r>
      <w:r>
        <w:rPr>
          <w:rFonts w:hint="eastAsia" w:ascii="宋体" w:hAnsi="宋体" w:cs="宋体"/>
          <w:color w:val="000000"/>
          <w:sz w:val="24"/>
          <w:lang w:eastAsia="zh-CN"/>
        </w:rPr>
        <w:t xml:space="preserve">0102</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2.项目名称：</w:t>
      </w:r>
      <w:r>
        <w:rPr>
          <w:rFonts w:hint="eastAsia" w:ascii="宋体" w:hAnsi="宋体" w:cs="宋体"/>
          <w:color w:val="000000"/>
          <w:sz w:val="24"/>
        </w:rPr>
        <w:t xml:space="preserve">扬州城大遗址保护中心（隋炀帝墓遗址博物馆）隋炀帝墓遗址公园物业管理服务项目</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3.预算金额：</w:t>
      </w:r>
      <w:r/>
    </w:p>
    <w:tbl>
      <w:tblPr>
        <w:tblStyle w:val="74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50"/>
        <w:gridCol w:w="618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0"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8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预算金额（人民币：万元）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280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4.最高限价：</w:t>
      </w:r>
      <w:r/>
    </w:p>
    <w:tbl>
      <w:tblPr>
        <w:tblStyle w:val="74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6"/>
        <w:gridCol w:w="2791"/>
        <w:gridCol w:w="315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6"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9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是否设定最高限价（是/否）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5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最高限价（人民币：万元）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280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5.采购需求（简介）：</w:t>
      </w:r>
      <w:r>
        <w:rPr>
          <w:rFonts w:hint="eastAsia" w:ascii="宋体" w:hAnsi="宋体" w:cs="宋体"/>
          <w:color w:val="000000"/>
          <w:sz w:val="24"/>
        </w:rPr>
        <w:t xml:space="preserve">隋炀帝墓遗址公园位于扬州市邗江区西湖街道蜀霞路1号，占地约11公顷。本次招标的物业管理内容为：（一）环境卫生管理；（二）治安防范、秩序维护管理；（三）公共停车场管理；（四）消防、监控室值班、日常巡检；（五）供配电机房值班、日常巡检；（六）公共配套设施设备的日常运行管理、巡检；（七）建筑物、公共区、停车场地、水电等综合巡检管理；（八）接待、参观保障服务和其他采购人交办的其他工作（如重大接待参观保障、文明城市创建、应急事件处理、活动服务等）。</w:t>
      </w:r>
      <w:r>
        <w:rPr>
          <w:rFonts w:ascii="宋体" w:hAnsi="宋体" w:cs="宋体"/>
          <w:color w:val="000000"/>
          <w:sz w:val="24"/>
        </w:rPr>
        <w:t xml:space="preserve">（详细内容见本招标文件第四章）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6.合同履行期限：</w:t>
      </w:r>
      <w:r>
        <w:rPr>
          <w:rFonts w:hint="eastAsia" w:ascii="宋体" w:hAnsi="宋体"/>
          <w:sz w:val="24"/>
          <w:szCs w:val="24"/>
        </w:rPr>
        <w:t xml:space="preserve">本项目服务期壹年（自合同签订之日起计）</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二、申请人的资格要求：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（一）通用资格要求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1.满足《中华人民共和国政府采购法》第二十二条规定，并提供下列材料：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 法人或者其他组织的营业执照等证明文件，自然人的身份证明；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w:t>
      </w:r>
      <w:r>
        <w:rPr>
          <w:rFonts w:hint="eastAsia" w:ascii="宋体" w:hAnsi="宋体" w:cs="宋体"/>
          <w:color w:val="000000"/>
          <w:sz w:val="24"/>
        </w:rPr>
        <w:t xml:space="preserve"> </w:t>
      </w:r>
      <w:r>
        <w:rPr>
          <w:rFonts w:ascii="宋体" w:hAnsi="宋体" w:cs="宋体"/>
          <w:color w:val="000000"/>
          <w:sz w:val="24"/>
        </w:rPr>
        <w:t xml:space="preserve">上一年度的财务状况报告（成立不满一年无需提供）；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1.4具备履行合同所必需的设备和专业技术能力的书面声明；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1.5参加政府采购活动前3年内在经营活动中没有重大违法记录的书面声明。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 供应商信用承诺函。</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3.落实政府采购政策需满足的资格要求：</w:t>
      </w:r>
      <w:r>
        <w:rPr>
          <w:rFonts w:ascii="宋体" w:hAnsi="宋体" w:cs="宋体"/>
          <w:b/>
          <w:bCs/>
          <w:color w:val="ff0000"/>
          <w:sz w:val="24"/>
        </w:rPr>
        <w:t xml:space="preserve">本项目专门面向中小企业采购。</w:t>
      </w:r>
      <w:r>
        <w:rPr>
          <w:rFonts w:ascii="宋体" w:hAnsi="宋体" w:cs="宋体"/>
          <w:color w:val="000000"/>
          <w:sz w:val="24"/>
        </w:rPr>
        <w:t xml:space="preserve">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4.联合体投标</w:t>
      </w:r>
      <w:r/>
    </w:p>
    <w:tbl>
      <w:tblPr>
        <w:tblStyle w:val="74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6"/>
        <w:gridCol w:w="3828"/>
        <w:gridCol w:w="417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6"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2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是否接受联合体投标（是/否）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7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2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7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2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7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5.进口产品投标</w:t>
      </w:r>
      <w:r/>
    </w:p>
    <w:tbl>
      <w:tblPr>
        <w:tblStyle w:val="74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0"/>
        <w:gridCol w:w="4947"/>
      </w:tblGrid>
      <w:tr>
        <w:trPr>
          <w:trHeight w:val="3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4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是否接受进口产品投标（是/否）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ind w:firstLine="2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（二）本项目的特定资格要求</w:t>
      </w:r>
      <w:r/>
    </w:p>
    <w:tbl>
      <w:tblPr>
        <w:tblStyle w:val="74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498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83"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83"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val="false"/>
          </w:tcPr>
          <w:p>
            <w:pPr>
              <w:ind w:firstLine="2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83" w:type="dxa"/>
            <w:textDirection w:val="lrTb"/>
            <w:noWrap w:val="false"/>
          </w:tcPr>
          <w:p>
            <w:pPr>
              <w:spacing w:line="400" w:lineRule="atLeast"/>
              <w:pBdr>
                <w:top w:val="none" w:color="000000" w:sz="0" w:space="0"/>
                <w:left w:val="none" w:color="000000" w:sz="0" w:space="0"/>
                <w:bottom w:val="none" w:color="000000" w:sz="0" w:space="0"/>
                <w:right w:val="none" w:color="000000" w:sz="0" w:space="0"/>
              </w:pBdr>
            </w:pPr>
            <w:r/>
            <w:r/>
          </w:p>
        </w:tc>
      </w:tr>
    </w:tbl>
    <w:p>
      <w:pPr>
        <w:ind w:firstLine="498"/>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三、获取招标文件</w:t>
      </w:r>
      <w:r/>
    </w:p>
    <w:p>
      <w:pPr>
        <w:ind w:firstLine="5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1.时间：自招标文件公告发布之日起5个工作日。</w:t>
      </w:r>
      <w:r/>
    </w:p>
    <w:p>
      <w:pPr>
        <w:ind w:firstLine="5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2.方式：在“江苏政府采购网、扬州市政府采购网”自行免费下载招标文件。</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四、提交投标文件截止时间、开标时间和地点</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ascii="宋体" w:hAnsi="宋体" w:cs="宋体"/>
          <w:color w:val="ff0000"/>
          <w:sz w:val="24"/>
          <w:highlight w:val="none"/>
          <w:u w:val="single"/>
        </w:rPr>
        <w:t xml:space="preserve">2026年</w:t>
      </w:r>
      <w:r>
        <w:rPr>
          <w:rFonts w:hint="eastAsia" w:ascii="宋体" w:hAnsi="宋体" w:cs="宋体"/>
          <w:color w:val="ff0000"/>
          <w:sz w:val="24"/>
          <w:highlight w:val="none"/>
          <w:u w:val="single"/>
          <w:lang w:val="en-US" w:eastAsia="zh-CN"/>
        </w:rPr>
        <w:t xml:space="preserve">9</w:t>
      </w:r>
      <w:r>
        <w:rPr>
          <w:rFonts w:ascii="宋体" w:hAnsi="宋体" w:cs="宋体"/>
          <w:color w:val="ff0000"/>
          <w:sz w:val="24"/>
          <w:highlight w:val="none"/>
          <w:u w:val="single"/>
        </w:rPr>
        <w:t xml:space="preserve">月</w:t>
      </w:r>
      <w:r>
        <w:rPr>
          <w:rFonts w:hint="eastAsia" w:ascii="宋体" w:hAnsi="宋体" w:cs="宋体"/>
          <w:color w:val="ff0000"/>
          <w:sz w:val="24"/>
          <w:highlight w:val="none"/>
          <w:u w:val="single"/>
          <w:lang w:val="en-US" w:eastAsia="zh-CN"/>
        </w:rPr>
        <w:t xml:space="preserve">29</w:t>
      </w:r>
      <w:r>
        <w:rPr>
          <w:rFonts w:ascii="宋体" w:hAnsi="宋体" w:cs="宋体"/>
          <w:color w:val="ff0000"/>
          <w:sz w:val="24"/>
          <w:highlight w:val="none"/>
          <w:u w:val="single"/>
        </w:rPr>
        <w:t xml:space="preserve">日</w:t>
      </w:r>
      <w:r>
        <w:rPr>
          <w:rFonts w:hint="eastAsia" w:ascii="宋体" w:hAnsi="宋体" w:cs="宋体"/>
          <w:color w:val="ff0000"/>
          <w:sz w:val="24"/>
          <w:highlight w:val="none"/>
          <w:u w:val="single"/>
        </w:rPr>
        <w:t xml:space="preserve">09</w:t>
      </w:r>
      <w:r>
        <w:rPr>
          <w:rFonts w:ascii="宋体" w:hAnsi="宋体" w:cs="宋体"/>
          <w:color w:val="ff0000"/>
          <w:sz w:val="24"/>
          <w:highlight w:val="none"/>
          <w:u w:val="single"/>
        </w:rPr>
        <w:t xml:space="preserve">点</w:t>
      </w:r>
      <w:r>
        <w:rPr>
          <w:rFonts w:hint="eastAsia" w:ascii="宋体" w:hAnsi="宋体" w:cs="宋体"/>
          <w:color w:val="ff0000"/>
          <w:sz w:val="24"/>
          <w:highlight w:val="none"/>
          <w:u w:val="single"/>
        </w:rPr>
        <w:t xml:space="preserve">30</w:t>
      </w:r>
      <w:r>
        <w:rPr>
          <w:rFonts w:ascii="宋体" w:hAnsi="宋体" w:cs="宋体"/>
          <w:color w:val="ff0000"/>
          <w:sz w:val="24"/>
          <w:highlight w:val="none"/>
          <w:u w:val="single"/>
        </w:rPr>
        <w:t xml:space="preserve">分</w:t>
      </w:r>
      <w:r>
        <w:rPr>
          <w:rFonts w:ascii="宋体" w:hAnsi="宋体" w:cs="宋体"/>
          <w:color w:val="000000"/>
          <w:sz w:val="24"/>
        </w:rPr>
        <w:t xml:space="preserve">（北京时间）</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2.地点：“苏采云”政府采购交易系统。</w:t>
      </w:r>
      <w:r/>
    </w:p>
    <w:p>
      <w:pPr>
        <w:ind w:firstLine="498"/>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五、公告期限</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自本公告发布之日起5个工作日。</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六、其他补充事宜</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无</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七、本次招标联系方式</w:t>
      </w:r>
      <w:r/>
    </w:p>
    <w:p>
      <w:pP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hint="eastAsia" w:ascii="宋体" w:hAnsi="宋体" w:cs="宋体"/>
          <w:color w:val="000000"/>
          <w:sz w:val="24"/>
        </w:rPr>
        <w:t xml:space="preserve">1.采购人信息</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名 称：扬州城大遗址保护中心（隋炀帝墓遗址博物馆）</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地 址：</w:t>
      </w:r>
      <w:r>
        <w:rPr>
          <w:rFonts w:hint="eastAsia" w:ascii="宋体" w:hAnsi="宋体" w:cs="宋体"/>
          <w:sz w:val="24"/>
        </w:rPr>
        <w:t xml:space="preserve">扬州市邗江区西湖街道蜀霞路1号</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联系人：</w:t>
      </w:r>
      <w:r>
        <w:rPr>
          <w:rFonts w:hint="eastAsia" w:ascii="宋体" w:hAnsi="宋体" w:cs="宋体"/>
          <w:sz w:val="24"/>
        </w:rPr>
        <w:t xml:space="preserve">张沛</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联系方式：</w:t>
      </w:r>
      <w:r>
        <w:rPr>
          <w:rFonts w:hint="eastAsia" w:ascii="宋体" w:hAnsi="宋体" w:cs="宋体"/>
          <w:sz w:val="24"/>
        </w:rPr>
        <w:t xml:space="preserve">18136555875</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2.扬州市公共资源交易中心</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地　址：扬州市文昌东路9号广陵新城市民中心1号楼5楼1529室</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联系人：舒畅             </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联系方式：0514-82087195　</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八、其他</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cs="宋体"/>
          <w:b/>
          <w:color w:val="000000"/>
          <w:sz w:val="24"/>
        </w:rPr>
        <w:t xml:space="preserve">具体办理指南和操作手册见链接：http://zfcg.yangzhou.gov.cn/xzzx/art/2023/art_4d7de1f7865f4a2894fc22bc452f94d8.html，请按《操作手册》要求制作、上传电子投标文件。</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领取CA和办理电子签章（请至扬州市文昌东路9号广陵新城市民中心1号楼5楼办理，具体联系方式：18952716110）。</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 有关本次招标的事项若存在变动或修改，敬请及时关注扬州市公共资源交易中心在“江苏政府采购网”、“扬州市政府采购网”发布的更正公告。</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 本次招标不收取投标保证金。</w:t>
      </w:r>
      <w:r>
        <w:br w:type="page" w:clear="all"/>
      </w:r>
      <w:r/>
    </w:p>
    <w:p>
      <w:pPr>
        <w:pStyle w:val="713"/>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第二章 投标人须知</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一、总则</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1、招标方式</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1.1本次招标采取公开招标方式，本招标文件仅适用于招标公告中所述项目。</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2、合格的投标人</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2.1满足招标公告中供应商的资格要求的规定。</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2.2满足本文件实质性要求的规定。</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3、适用法律</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3.1本次招标及由此产生的合同受中华人民共和国有关的法律法规制约和保护。</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4、投标费用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4.1投标人应自行承担所有与参加投标有关的费用，无论投标过程中的做法和结果如何，扬州市公共资源交易中心（以下简称交易中心）在任何情况下均无义务和责任承担这些费用。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4.2本次招标交易中心和采购人不收取标书工本费与中标服务费。</w:t>
      </w:r>
      <w:r/>
    </w:p>
    <w:p>
      <w:pPr>
        <w:ind w:firstLine="602"/>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5、</w:t>
      </w:r>
      <w:r>
        <w:rPr>
          <w:rFonts w:ascii="黑体" w:hAnsi="黑体" w:eastAsia="黑体" w:cs="黑体"/>
          <w:color w:val="000000"/>
          <w:sz w:val="28"/>
        </w:rPr>
        <w:t xml:space="preserve">招标文件的约束力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5.1投标人一旦参加本项目采购活动，即被认为接受了本招标文件的规定和约束。</w:t>
      </w:r>
      <w:r/>
    </w:p>
    <w:p>
      <w:pPr>
        <w:ind w:firstLine="321"/>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二、招标文件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6、招标文件构成</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6.1 招标文件由以下部分组成：</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（1）投标邀请</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（2）投标人须知</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（3）合同文本</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（4）采购需求</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（5）评标方法与评标标准</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（6）投标文件格式</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请仔细检查招标文件是否齐全，如有缺漏请立即与交易中心联系解决。</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、招标文件的修改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7.1在投标截止时间前，交易中心可以对招标文件进行修改。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7.2交易中心有权按照法定的要求推迟投标截止日期和开标日期。</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7.3招标文件的修改将在江苏政府采购网、扬州市政府采购网公布，补充文件将作为招标文件的组成部分，并对投标人具有约束力。</w:t>
      </w:r>
      <w:r/>
    </w:p>
    <w:p>
      <w:pPr>
        <w:ind w:firstLine="482"/>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三、投标文件的编制</w:t>
      </w:r>
      <w:r/>
    </w:p>
    <w:p>
      <w:pPr>
        <w:ind w:firstLine="56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、投标文件的语言及度量衡单位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8.1投标人提交的投标文件以及投标人与交易中心就有关投标的所有来往通知、函件和文件均应使用</w:t>
      </w:r>
      <w:r>
        <w:rPr>
          <w:rFonts w:ascii="宋体" w:hAnsi="宋体" w:cs="宋体"/>
          <w:b/>
          <w:color w:val="000000"/>
          <w:sz w:val="24"/>
        </w:rPr>
        <w:t xml:space="preserve">简体中文</w:t>
      </w:r>
      <w:r>
        <w:rPr>
          <w:rFonts w:ascii="宋体" w:hAnsi="宋体" w:cs="宋体"/>
          <w:color w:val="000000"/>
          <w:sz w:val="24"/>
        </w:rPr>
        <w:t xml:space="preserve">。</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8.2除技术性能另有规定外，投标文件所使用的度量衡单位，均须采用国家法定计量单位。</w:t>
      </w:r>
      <w:r/>
    </w:p>
    <w:p>
      <w:pPr>
        <w:ind w:firstLine="42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、投标文件构成</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9.1投标人编写的投标文件应包括基本目录、资格审查内容、符合性审查内容、价格扣除证明文件等部分。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9.2如标书制作工具中格式和内容与“江苏政府采购网、扬州市政府采购网”发布的招标文件不一致，请以“江苏政府采购网、扬州市政府采购网”发布的招标文件为准。</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0</w:t>
      </w:r>
      <w:r>
        <w:rPr>
          <w:rFonts w:ascii="黑体" w:hAnsi="黑体" w:eastAsia="黑体" w:cs="黑体"/>
          <w:color w:val="000000"/>
          <w:sz w:val="28"/>
        </w:rPr>
        <w:t xml:space="preserve">、证明投标人及投标标的符合招标文件规定的文件</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10.1投标人应按照招标文件要求提交证明文件，证明其投标标的符合招标文件规定。</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10.2招标文件对证明文件无明确形式要求的，证明文件可以以文字资料、图纸和数据等形式提交。</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1</w:t>
      </w:r>
      <w:r>
        <w:rPr>
          <w:rFonts w:ascii="黑体" w:hAnsi="黑体" w:eastAsia="黑体" w:cs="黑体"/>
          <w:color w:val="000000"/>
          <w:sz w:val="28"/>
        </w:rPr>
        <w:t xml:space="preserve">、投标分项报价表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11.1投标人按照招标文件规定格式填报投标分项报价表。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11.2投标货币。投标文件中的单价和总价无特殊规定的采用人民币报价，以元为单位标注。招标文件中另有规定的按规定执行。</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2</w:t>
      </w:r>
      <w:r>
        <w:rPr>
          <w:rFonts w:ascii="黑体" w:hAnsi="黑体" w:eastAsia="黑体" w:cs="黑体"/>
          <w:color w:val="000000"/>
          <w:sz w:val="28"/>
        </w:rPr>
        <w:t xml:space="preserve">、技术要求响应及偏离表、商务要求响应及偏离表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12.1投标人需对招标文件中的技术要求与商务要求逐项作出响应或偏离，并说明原因。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12.2投标人需按照招标文件要求，在投标文件中提供与技术要求和商务要求相关的证明材料。</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3</w:t>
      </w:r>
      <w:r>
        <w:rPr>
          <w:rFonts w:ascii="黑体" w:hAnsi="黑体" w:eastAsia="黑体" w:cs="黑体"/>
          <w:color w:val="000000"/>
          <w:sz w:val="28"/>
        </w:rPr>
        <w:t xml:space="preserve">、投标函和开标一览表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13.1投标人应按照招标文件中提供的格式完整、正确填写投标函、开标一览表。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13.2对于采用货币报价的项目，开标一览表中的投标总报价应与投标分项报价表中的投标总报价一致，如不一致，不作为无效投标处理，但评标时按开标一览表中价格为准</w:t>
      </w:r>
      <w:r>
        <w:rPr>
          <w:rFonts w:ascii="宋体" w:hAnsi="宋体" w:cs="宋体"/>
          <w:b/>
          <w:color w:val="000000"/>
          <w:sz w:val="24"/>
        </w:rPr>
        <w:t xml:space="preserve">。</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4</w:t>
      </w:r>
      <w:r>
        <w:rPr>
          <w:rFonts w:ascii="黑体" w:hAnsi="黑体" w:eastAsia="黑体" w:cs="黑体"/>
          <w:color w:val="000000"/>
          <w:sz w:val="28"/>
        </w:rPr>
        <w:t xml:space="preserve">、投标有效期</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14.1投标有效期为交易中心规定的开标之日后</w:t>
      </w:r>
      <w:r>
        <w:rPr>
          <w:rFonts w:ascii="宋体" w:hAnsi="宋体" w:cs="宋体"/>
          <w:b/>
          <w:color w:val="000000"/>
          <w:sz w:val="24"/>
          <w:u w:val="single"/>
        </w:rPr>
        <w:t xml:space="preserve">六十（60）天</w:t>
      </w:r>
      <w:r>
        <w:rPr>
          <w:rFonts w:ascii="宋体" w:hAnsi="宋体" w:cs="宋体"/>
          <w:color w:val="000000"/>
          <w:sz w:val="24"/>
        </w:rPr>
        <w:t xml:space="preserve">。投标有效期比规定短的将被视为未实质性响应招标文件而予以拒绝。</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5</w:t>
      </w:r>
      <w:r>
        <w:rPr>
          <w:rFonts w:ascii="黑体" w:hAnsi="黑体" w:eastAsia="黑体" w:cs="黑体"/>
          <w:color w:val="000000"/>
          <w:sz w:val="28"/>
        </w:rPr>
        <w:t xml:space="preserve">、投标有效期的延长</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firstLine="482"/>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四、投标文件的递交</w:t>
      </w:r>
      <w:r/>
    </w:p>
    <w:p>
      <w:pPr>
        <w:ind w:firstLine="56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6</w:t>
      </w:r>
      <w:r>
        <w:rPr>
          <w:rFonts w:ascii="黑体" w:hAnsi="黑体" w:eastAsia="黑体" w:cs="黑体"/>
          <w:color w:val="000000"/>
          <w:sz w:val="28"/>
        </w:rPr>
        <w:t xml:space="preserve">、电子投标文件的递交</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16.1投标人应当按照《操作手册》规定，在投标截止时间前制作并上传电子投标文件。</w:t>
      </w:r>
      <w:r/>
    </w:p>
    <w:p>
      <w:pPr>
        <w:ind w:firstLine="420"/>
        <w:spacing w:before="240" w:after="24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7</w:t>
      </w:r>
      <w:r>
        <w:rPr>
          <w:rFonts w:ascii="黑体" w:hAnsi="黑体" w:eastAsia="黑体" w:cs="黑体"/>
          <w:color w:val="000000"/>
          <w:sz w:val="28"/>
        </w:rPr>
        <w:t xml:space="preserve">、投标截止时间</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17.1投标人上传电子投标文件的时间不得迟于招标公告中规定的投标截止时间。</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17.2交易中心可以按照规定，通过修改招标文件酌情延长投标截止时间，在此情况下，投标人的所有权利和义务以及投标人受制的截止时间均应以延长后新的截止时间为准。</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8</w:t>
      </w:r>
      <w:r>
        <w:rPr>
          <w:rFonts w:ascii="黑体" w:hAnsi="黑体" w:eastAsia="黑体" w:cs="黑体"/>
          <w:color w:val="000000"/>
          <w:sz w:val="28"/>
        </w:rPr>
        <w:t xml:space="preserve">、投标文件的拒收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18.1交易中心拒绝接收在其规定的投标截止时间后上传的任何投标文件。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、投标文件的撤回和修改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19.1投标文件的撤回</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19.1.1电子投标文件的撤回</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投标人可在投标截止时间前，撤回其电子投标文件，具体操作方法见《操作手册》。</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19.1.2投标人撤回电子投标文件，则认为其不再参与本项目投标活动。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19.2投标文件的修改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19.2.1投标人可在投标截止时间前，对其电子投标文件进行修改，具体操作方法见《操作手册》。</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19.2.2在投标截止时间之后，投标人不得对其电子投标文件作任何修改。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19.3在投标截止时间至招标文件中规定的投标有效期满之间的这段时间内，投标人不得撤回其投标。</w:t>
      </w:r>
      <w:r/>
    </w:p>
    <w:p>
      <w:pPr>
        <w:ind w:firstLine="482"/>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五、开标与评标</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0</w:t>
      </w:r>
      <w:r>
        <w:rPr>
          <w:rFonts w:ascii="黑体" w:hAnsi="黑体" w:eastAsia="黑体" w:cs="黑体"/>
          <w:color w:val="000000"/>
          <w:sz w:val="28"/>
        </w:rPr>
        <w:t xml:space="preserve">、开标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20.1交易中心将在招标公告中规定的时间和地点组织公开开标。投标人应当按照《操作手册》规定，参加开标活动和在苏采云系统规定的时间内对投标文件进行解密。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20.2开标仪式由交易中心组织。苏采云系统将自动对项目进行开标，并展示各投标人名称和投标价格。</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20.3投标人在开标过程中涉及到的投标文件解密、开标结果确认等工作，应按照《操作手册》规定执行。</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20.4投标人如果对开标过程和开标记录有疑义，应当根据《操作手册》规定提出，如苏采云系统中《开标记录表》宣布后5分钟内未提出的，视同认可开标结果。</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1</w:t>
      </w:r>
      <w:r>
        <w:rPr>
          <w:rFonts w:ascii="黑体" w:hAnsi="黑体" w:eastAsia="黑体" w:cs="黑体"/>
          <w:color w:val="000000"/>
          <w:sz w:val="28"/>
        </w:rPr>
        <w:t xml:space="preserve">、评标委员会</w:t>
      </w:r>
      <w:r/>
    </w:p>
    <w:p>
      <w:pPr>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21.1开标后，交易中心将立即组织评标委员会（以下简称评委会）进行评标。</w:t>
      </w:r>
      <w:r/>
    </w:p>
    <w:p>
      <w:pPr>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21.2评委会由采购人代表和有关技术、经济等方面的专家组成，且人员构成符合政府采购有关规定。</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21.3评委会独立工作，负责评审所有投标文件并确定中标候选人。</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22、评标过程的保密与公正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22.1凡是与审查、澄清、评价和比较投标的有关资料以及授标建议等，采购人、评委、交易中心均不得向投标人或与评标无关的其他人员透露。</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22.2在评标过程中，投标人不得以任何行为影响评标过程，否则其投标文件将被作为无效投标文件。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22.3交易中心和评委会不向未中标的投标人解释未中标原因，也不公布评标过程中的相关细节。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22.4采用综合评分法的项目，未中标的投标人可于中标结果公告期限届满之日起通过苏采云系统查看自己的评审得分及排序情况。</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3</w:t>
      </w:r>
      <w:r>
        <w:rPr>
          <w:rFonts w:ascii="黑体" w:hAnsi="黑体" w:eastAsia="黑体" w:cs="黑体"/>
          <w:color w:val="000000"/>
          <w:sz w:val="28"/>
        </w:rPr>
        <w:t xml:space="preserve">、投标文件的澄清</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23.1评标期间，评委会对投标文件中含义不明确、同类问题表述不一致或者有明显文字和计算错误的内容，有权要求投标人作出必要的澄清、说明或者补正。</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投标人的澄清、说明或者补正不得超出投标文件的范围或者改变投标文件的实质性内容。</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评委会并非对每个投标人都做澄清要求。</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23.3接到评委会澄清、说明和补正要求的投标人如未按规定做出澄清、说明和补正，其风险由投标人自行承担。</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4</w:t>
      </w:r>
      <w:r>
        <w:rPr>
          <w:rFonts w:ascii="黑体" w:hAnsi="黑体" w:eastAsia="黑体" w:cs="黑体"/>
          <w:color w:val="000000"/>
          <w:sz w:val="28"/>
        </w:rPr>
        <w:t xml:space="preserve">、对投标文件的初审</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24.1投标文件初审分为资格审查和符合性审查。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24.1.1资格审查：依据法律法规和招标文件的规定，由采购人对投标文件中的资格证明文件进行审查。资格审查的结论，采购人以书面形式向评委会进行反馈。</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24.1.2符合性审查：依据招标文件的规定，由评委会从投标文件的有效性、完整性和对招标文件的响应程度进行审查，以确定是否对招标文件的实质性要求作出响应。</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24.1.3未通过资格审查或符合性审查的投标人，交易中心将在苏采云系统中告知未通过资格审查或符合性审查的原因，评审结束后，交易中心将不再告知未通过资格审查或符合性审查的原因。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24.4评委会将对确定为实质性响应的投标进行进一步审核，是否有计算上或累加上的算术错误，修正错误的原则如下：</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（1）投标文件中开标一览表内容与投标文件中相应内容不一致的，以开标一览表为准。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（2）大写金额和小写金额不一致的，以大写金额为准。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（3）单价金额小数点或者百分比有明显错位的，以开标一览表的总价为准，并修改单价。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（4）总价金额与按单价汇总金额不一致的，以单价金额计算结果为准。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同时出现两种以上错误的，按照前款规定的顺序修正。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24.5评委会将按上述修正错误的方法调整投标文件中的投标报价，并通过苏采云系统告知投标人，调整后的价格应对投标人具有约束力。如果投标人不接受修正后的价格，则其投标将被拒绝。</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24.6投标人在开、评标全过程中应保持通讯畅通，及时登录苏采云系统查阅、答复相关信息，并安排专人与交易中心及评委会联系。</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5</w:t>
      </w:r>
      <w:r>
        <w:rPr>
          <w:rFonts w:ascii="黑体" w:hAnsi="黑体" w:eastAsia="黑体" w:cs="黑体"/>
          <w:color w:val="000000"/>
          <w:sz w:val="28"/>
        </w:rPr>
        <w:t xml:space="preserve">、无效投标条款和废标条款</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25.1无效投标条款</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 投标人在苏采云系统规定的时间内未成功解密电子投标文件的。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25.1.2 投标人未按照招标文件要求上传电子投标文件的。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25.1.3 投标人同一采购包提交两个（含两个）以上不同的投标报价的。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25.1.4投标人不具备招标文件中规定资格要求的。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25.1.5投标人的报价超过了采购预算或最高限价的。</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25.1.6未通过符合性审查的。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25.1.7不符合招标文件中规定的实质性要求的（本招标文件中斜体且有下划线部分为实质性要求）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25.1.8 投标人被 “信用中国”网站（www.creditchina.gov.cn）列入失信被执行人或重大税收违法案件当事人名单或政府采购严重失信行为记录名单，“中国政府采购网"(www.ccgp.gov.cn)列入政府采购严重失信行为记录名单，或查询“信用中国”网站后发现投标人存在其他不符合《中华人民共和国政府采购法》第二十二条规定条件的信用记录。</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25.1.9 投标文件含有采购人不能接受的附加条件的。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25.1.10异常低价投标（响应）</w:t>
      </w:r>
      <w:r/>
    </w:p>
    <w:p>
      <w:pPr>
        <w:ind w:firstLine="480"/>
        <w:spacing w:line="47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25.1.10.1</w:t>
      </w:r>
      <w:r>
        <w:rPr>
          <w:rFonts w:ascii="宋体" w:hAnsi="宋体" w:cs="宋体"/>
          <w:color w:val="383838"/>
          <w:sz w:val="24"/>
        </w:rPr>
        <w:t xml:space="preserve">投标（响应）报价低于全部通过符合性审查供应商投标（响应）报价平均值</w:t>
      </w:r>
      <w:r>
        <w:rPr>
          <w:rFonts w:hint="eastAsia" w:ascii="宋体" w:hAnsi="宋体" w:cs="宋体"/>
          <w:b/>
          <w:bCs/>
          <w:color w:val="ff0000"/>
          <w:sz w:val="24"/>
        </w:rPr>
        <w:t xml:space="preserve">65</w:t>
      </w:r>
      <w:r>
        <w:rPr>
          <w:rFonts w:ascii="宋体" w:hAnsi="宋体" w:cs="宋体"/>
          <w:color w:val="ff0000"/>
          <w:sz w:val="24"/>
        </w:rPr>
        <w:t xml:space="preserve">%</w:t>
      </w:r>
      <w:r>
        <w:rPr>
          <w:rFonts w:ascii="宋体" w:hAnsi="宋体" w:cs="宋体"/>
          <w:color w:val="383838"/>
          <w:sz w:val="24"/>
        </w:rPr>
        <w:t xml:space="preserve">的，即投标（响应）报价&lt;全部通过符合性审查供应商投标（响应）报价平均值×</w:t>
      </w:r>
      <w:r>
        <w:rPr>
          <w:rFonts w:hint="eastAsia" w:ascii="宋体" w:hAnsi="宋体" w:cs="宋体"/>
          <w:b/>
          <w:bCs/>
          <w:color w:val="ff0000"/>
          <w:sz w:val="24"/>
        </w:rPr>
        <w:t xml:space="preserve">65%</w:t>
      </w:r>
      <w:r>
        <w:rPr>
          <w:rFonts w:ascii="宋体" w:hAnsi="宋体" w:cs="宋体"/>
          <w:color w:val="383838"/>
          <w:sz w:val="24"/>
        </w:rPr>
        <w:t xml:space="preserve">；</w:t>
      </w:r>
      <w:r/>
    </w:p>
    <w:p>
      <w:pPr>
        <w:ind w:firstLine="480"/>
        <w:spacing w:line="47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25.1.10.2</w:t>
      </w:r>
      <w:r>
        <w:rPr>
          <w:rFonts w:ascii="宋体" w:hAnsi="宋体" w:cs="宋体"/>
          <w:color w:val="383838"/>
          <w:sz w:val="24"/>
        </w:rPr>
        <w:t xml:space="preserve">投标（响应）报价低于通过符合性审查的次低报价供应商投标（响应）报价</w:t>
      </w:r>
      <w:r>
        <w:rPr>
          <w:rFonts w:hint="eastAsia" w:ascii="宋体" w:hAnsi="宋体" w:cs="宋体"/>
          <w:b/>
          <w:bCs/>
          <w:color w:val="ff0000"/>
          <w:sz w:val="24"/>
        </w:rPr>
        <w:t xml:space="preserve">65%</w:t>
      </w:r>
      <w:r>
        <w:rPr>
          <w:rFonts w:ascii="宋体" w:hAnsi="宋体" w:cs="宋体"/>
          <w:color w:val="383838"/>
          <w:sz w:val="24"/>
        </w:rPr>
        <w:t xml:space="preserve">的，即投标（响应）报价&lt;通过符合性审查的次低报价供应商投标（响应）报价×</w:t>
      </w:r>
      <w:r>
        <w:rPr>
          <w:rFonts w:hint="eastAsia" w:ascii="宋体" w:hAnsi="宋体" w:cs="宋体"/>
          <w:b/>
          <w:bCs/>
          <w:color w:val="ff0000"/>
          <w:sz w:val="24"/>
        </w:rPr>
        <w:t xml:space="preserve">65%</w:t>
      </w:r>
      <w:r>
        <w:rPr>
          <w:rFonts w:ascii="宋体" w:hAnsi="宋体" w:cs="宋体"/>
          <w:color w:val="383838"/>
          <w:sz w:val="24"/>
        </w:rPr>
        <w:t xml:space="preserve">；</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25.1.10.3投标（响应）报价低于采购项目最高限价</w:t>
      </w:r>
      <w:r>
        <w:rPr>
          <w:rFonts w:hint="eastAsia" w:ascii="宋体" w:hAnsi="宋体" w:cs="宋体"/>
          <w:b/>
          <w:bCs/>
          <w:color w:val="ff0000"/>
          <w:sz w:val="24"/>
        </w:rPr>
        <w:t xml:space="preserve">65%</w:t>
      </w:r>
      <w:r>
        <w:rPr>
          <w:rFonts w:ascii="宋体" w:hAnsi="宋体" w:cs="宋体"/>
          <w:color w:val="000000"/>
          <w:sz w:val="24"/>
        </w:rPr>
        <w:t xml:space="preserve"> 的，即投标（响应）报价&lt;采购项目最高限价×</w:t>
      </w:r>
      <w:r>
        <w:rPr>
          <w:rFonts w:hint="eastAsia" w:ascii="宋体" w:hAnsi="宋体" w:cs="宋体"/>
          <w:b/>
          <w:bCs/>
          <w:color w:val="ff0000"/>
          <w:sz w:val="24"/>
        </w:rPr>
        <w:t xml:space="preserve">65% </w:t>
      </w:r>
      <w:r>
        <w:rPr>
          <w:rFonts w:ascii="宋体" w:hAnsi="宋体" w:cs="宋体"/>
          <w:color w:val="000000"/>
          <w:sz w:val="24"/>
        </w:rPr>
        <w:t xml:space="preserve">；</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25.1.10.4评审委员会认定的供应商报价过低、有可能影响产品质量或者不能诚信履约的其他情形。</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25.1.10.5</w:t>
      </w:r>
      <w:r>
        <w:rPr>
          <w:rFonts w:ascii="宋体" w:hAnsi="宋体" w:cs="宋体"/>
          <w:color w:val="383838"/>
          <w:sz w:val="24"/>
        </w:rPr>
        <w:t xml:space="preserve">评审委员会启动异常低</w:t>
      </w:r>
      <w:r>
        <w:rPr>
          <w:rFonts w:ascii="宋体" w:hAnsi="宋体" w:cs="宋体"/>
          <w:color w:val="383838"/>
          <w:sz w:val="24"/>
          <w:highlight w:val="white"/>
        </w:rPr>
        <w:t xml:space="preserve">价投标（响应）审查后，属于前述第1项至第4项情形的，应当要求相关供应商在评审现场合理的时间内</w:t>
      </w:r>
      <w:r>
        <w:rPr>
          <w:rFonts w:ascii="宋体" w:hAnsi="宋体" w:cs="宋体"/>
          <w:color w:val="ff0000"/>
          <w:sz w:val="24"/>
          <w:highlight w:val="white"/>
        </w:rPr>
        <w:t xml:space="preserve">对投标（响应）价格作出解释，提供项目具体成本测算等与报价合理性相关的书面说明及必要的证明材料，包括但不限于原材料成本、人工成本、制造费用等，</w:t>
      </w:r>
      <w:r>
        <w:rPr>
          <w:rFonts w:ascii="宋体" w:hAnsi="宋体" w:cs="宋体"/>
          <w:color w:val="383838"/>
          <w:sz w:val="24"/>
          <w:highlight w:val="white"/>
        </w:rPr>
        <w:t xml:space="preserve">给予相关供应商的合理时间一般</w:t>
      </w:r>
      <w:r>
        <w:rPr>
          <w:rFonts w:ascii="宋体" w:hAnsi="宋体" w:cs="宋体"/>
          <w:color w:val="ff0000"/>
          <w:sz w:val="24"/>
          <w:highlight w:val="white"/>
        </w:rPr>
        <w:t xml:space="preserve">不少于30分钟</w:t>
      </w:r>
      <w:r>
        <w:rPr>
          <w:rFonts w:ascii="宋体" w:hAnsi="宋体" w:cs="宋体"/>
          <w:color w:val="383838"/>
          <w:sz w:val="24"/>
          <w:highlight w:val="white"/>
        </w:rPr>
        <w:t xml:space="preserve">。其中，属于第3项情形，供应商已随投标（响应）文件一并提交相关书面说明及必要的证明材料的，在评审现场可不再重复提交。</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383838"/>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highlight w:val="whit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25.1.11 投标文件未按照招标文件要求加盖CA电子公章的。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25.1.12其他法律、法规及本招标文件规定的属无效投标的情形。</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25.2废标条款</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25.2.1符合专业条件的供应商或者对招标文件作实质响应的供应商不足三家的。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25.2.2出现影响采购公正的违法、违规行为的。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25.2.3因重大变故，采购任务取消的。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25.2.4评委会认定招标文件存在歧义、重大缺陷导致评审工作无法进行。</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25.2.5 因苏采云系统系统故障原因造成开标不成功的。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25.3 投标截止时间结束后参加投标的供应商不足三家的处理：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25.3.1如出现投标截止时间结束后参加投标的供应商或者在评标期间对招标文件做出实质响应的供应商不足三家情况，按政府采购相关规定执行。</w:t>
      </w:r>
      <w:r/>
    </w:p>
    <w:p>
      <w:pPr>
        <w:ind w:firstLine="482"/>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六、定标</w:t>
      </w:r>
      <w:r/>
    </w:p>
    <w:p>
      <w:pPr>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w:t>
      </w:r>
      <w:r>
        <w:rPr>
          <w:rFonts w:hint="eastAsia" w:ascii="黑体" w:hAnsi="黑体" w:eastAsia="黑体" w:cs="黑体"/>
          <w:color w:val="000000"/>
          <w:sz w:val="30"/>
          <w:lang w:val="en-US" w:eastAsia="zh-CN"/>
        </w:rPr>
        <w:t xml:space="preserve"> </w:t>
      </w:r>
      <w:r>
        <w:rPr>
          <w:rFonts w:ascii="黑体" w:hAnsi="黑体" w:eastAsia="黑体" w:cs="黑体"/>
          <w:color w:val="000000"/>
          <w:sz w:val="30"/>
        </w:rPr>
        <w:t xml:space="preserve">26、确定中标单位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26.1中标候选人的选取原则和数量见招标文件第五章规定。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 采购人应根据评委会推荐的中标候选人确定中标供应商。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26.3交易中心将在“江苏政府采购网、扬州市政府采购网”发布中标公告，公告期限为1个工作日。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26.4若有充分证据证明，中标供应商出现下列情况之一的，一经查实，将被取消中标资格：</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26.4.1提供虚假材料谋取中标的。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26.4.2向采购人、交易中心行贿或者提供其他不正当利益的。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26.4.3属于本文件规定的无效条件，但在评标过程中又未被评委会发现的。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26.4.4与采购人或者其他供应商恶意串通的。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26.4.5采取不正当手段诋毁、排挤其他供应商的。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 有下列情形之一的，视为投标人串通投标，投标无效：</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26.5.1不同投标人的投标文件由同一单位或者个人编制。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26.5.2不同投标人委托同一单位或者个人办理投标事宜。</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26.5.3 不同投标人的投标文件载明的项目管理成员或者联系人员为同一人。</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26.5.4不同投标人的投标文件异常一致或者投标报价呈规律性差异。</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bookmarkStart w:id="4" w:name="_GoBack"/>
      <w:r/>
      <w:bookmarkEnd w:id="4"/>
      <w:r/>
      <w:r/>
    </w:p>
    <w:p>
      <w:pPr>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27、质疑处理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27.1提出质疑的供应商应当是参与所质疑项目采购活动的供应商。潜在供应商依法获取其可质疑的采购文件的，可以对采购文件提出质疑。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27.2.1对可以质疑的采购文件提出质疑的，为收到采购文件之日或者采购文件公告期限届满之日；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27.2.2对采购过程提出质疑的，为各采购程序环节结束之日；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27.2.3对中标或者成交结果提出质疑的，为中标或者成交结果公告期限届满之日。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采购人及交易中心只接收以纸质原件形式送达的质疑,建议供应商尽量通过邮寄方式提交质疑（采购人和交易中心不接受无快递运单号的快递）。</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质疑接收人及联系方式见招标文件第一章。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 以下情形的质疑不予受理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27.5.1 内容不符合《政府采购质疑和投诉办法》第十二条规定的质疑。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27.5.2 超出政府采购法定期限的质疑。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27.5.3 以传真、电子邮件等方式递交的非原件形式的质疑。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27.5.4未参加投标活动的供应商或在投标活动中自身权益未受到损害的供应商所提出的质疑。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27.5.5供应商组成联合体参加投标，联合体中任何一方或多方未按要求签字、盖章、加盖公章的质疑。</w:t>
      </w:r>
      <w:r/>
    </w:p>
    <w:p>
      <w:pPr>
        <w:ind w:firstLine="468"/>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60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28、中标通知书</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l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七、授予合同</w:t>
      </w:r>
      <w:r/>
    </w:p>
    <w:p>
      <w:pPr>
        <w:ind w:firstLine="60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29、签订合同</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29.l中标供应商应当在中标通知书发出之日起三十日内，按照招标文件确定的事项与采购人签订政府采购合同。</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29.2招标文件、中标供应商的投标文件及招标过程中有关澄清、承诺文件均应作为合同附件。</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29.3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spacing w:line="400" w:lineRule="atLeast"/>
        <w:rPr>
          <w:rFonts w:ascii="黑体" w:hAnsi="黑体" w:eastAsia="黑体" w:cs="黑体"/>
          <w:color w:val="000000"/>
          <w:sz w:val="30"/>
          <w:szCs w:val="30"/>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30、政府采购履约资金扶持政策</w:t>
      </w:r>
      <w:r/>
    </w:p>
    <w:p>
      <w:pPr>
        <w:ind w:firstLine="600"/>
        <w:spacing w:line="400" w:lineRule="atLeast"/>
        <w:rPr>
          <w:rFonts w:eastAsia="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中标供应商可凭政府采购合同办理融资贷款，详情请见江苏政府采购网“政采贷”专栏。</w:t>
      </w:r>
      <w:r/>
    </w:p>
    <w:p>
      <w:pPr>
        <w:pStyle w:val="713"/>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第三章 合同文本</w:t>
      </w:r>
      <w:r/>
    </w:p>
    <w:p>
      <w:pPr>
        <w:jc w:val="center"/>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30"/>
        </w:rPr>
        <w:t xml:space="preserve"> </w:t>
      </w:r>
      <w:r/>
    </w:p>
    <w:p>
      <w:pPr>
        <w:jc w:val="center"/>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30"/>
        </w:rPr>
        <w:t xml:space="preserve">江苏省政府采购合同（服务）（合同编号）</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                   </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项目编号：*****             </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甲方：（买方/采购人）_________</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乙方：（卖方/中标供应商）_________</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rPr>
          <w:rFonts w:ascii="宋体" w:hAnsi="宋体" w:cs="宋体"/>
          <w:color w:val="000000"/>
          <w:sz w:val="24"/>
        </w:rPr>
        <w:t xml:space="preserve">甲、乙双方根据扬州市公共资源交易中心</w:t>
      </w:r>
      <w:r>
        <w:rPr>
          <w:rFonts w:ascii="宋体" w:hAnsi="宋体" w:cs="宋体"/>
          <w:color w:val="000000"/>
          <w:sz w:val="24"/>
          <w:u w:val="single"/>
        </w:rPr>
        <w:t xml:space="preserve">         </w:t>
      </w:r>
      <w:r>
        <w:rPr>
          <w:rFonts w:ascii="宋体" w:hAnsi="宋体" w:cs="宋体"/>
          <w:color w:val="000000"/>
          <w:sz w:val="24"/>
        </w:rPr>
        <w:t xml:space="preserve">项目公开招标的结果，签署本合同。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一、合同内容</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 标的名称：</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1.2标的质量：</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 标的数量（规模）：</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 履行时间（期限）：</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 履行地点：</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 履行方式：</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二、合同金额</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 本合同金额为（大写）：________圆（________元）人民币或其他币种。</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三、技术资料</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3.1乙方应按招标文件规定的时间向甲方提供服务（包含与服务相关的货物）的有关技术资料。</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四、知识产权</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五、产权担保</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5.1乙方保证所交付的服务（包含与服务相关的货物）的所有权完全属于乙方且无任何抵押、查封等产权瑕疵。</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六、履约保证金</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6.1乙方交纳人民币___</w:t>
      </w:r>
      <w:r>
        <w:rPr>
          <w:rFonts w:ascii="宋体" w:hAnsi="宋体" w:cs="宋体"/>
          <w:color w:val="0000ff"/>
          <w:sz w:val="24"/>
          <w:u w:val="single"/>
        </w:rPr>
        <w:t xml:space="preserve">零</w:t>
      </w:r>
      <w:r>
        <w:rPr>
          <w:rFonts w:ascii="宋体" w:hAnsi="宋体" w:cs="宋体"/>
          <w:color w:val="000000"/>
          <w:sz w:val="24"/>
        </w:rPr>
        <w:t xml:space="preserve">______元作为本合同的履约保证金。（不得超过合同金额的10%）</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6.2合同履行结束后，甲方应及时退还交纳的履约保证金。</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6.2.1履约保证金退还方式：</w:t>
      </w:r>
      <w:r>
        <w:rPr>
          <w:rFonts w:ascii="宋体" w:hAnsi="宋体" w:cs="宋体"/>
          <w:color w:val="0000ff"/>
          <w:sz w:val="24"/>
        </w:rPr>
        <w:t xml:space="preserve">无</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6.2.2履约保证金退还时间：</w:t>
      </w:r>
      <w:r>
        <w:rPr>
          <w:rFonts w:ascii="宋体" w:hAnsi="宋体" w:cs="宋体"/>
          <w:color w:val="0000ff"/>
          <w:sz w:val="24"/>
        </w:rPr>
        <w:t xml:space="preserve">无</w:t>
      </w:r>
      <w:r/>
    </w:p>
    <w:p>
      <w:pPr>
        <w:ind w:left="408" w:hanging="408"/>
        <w:spacing w:before="120" w:after="120"/>
        <w:rPr>
          <w:rFonts w:ascii="宋体" w:hAnsi="宋体" w:cs="宋体"/>
          <w:color w:val="0000ff"/>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6.2.3履约保证金退还条件：</w:t>
      </w:r>
      <w:r>
        <w:rPr>
          <w:rFonts w:ascii="宋体" w:hAnsi="宋体" w:cs="宋体"/>
          <w:color w:val="0000ff"/>
          <w:sz w:val="24"/>
        </w:rPr>
        <w:t xml:space="preserve">无</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6.2.4履约保证金不予退还的情形：</w:t>
      </w:r>
      <w:r>
        <w:rPr>
          <w:rFonts w:ascii="宋体" w:hAnsi="宋体" w:cs="宋体"/>
          <w:color w:val="0000ff"/>
          <w:sz w:val="24"/>
        </w:rPr>
        <w:t xml:space="preserve">无</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6.2.5履约保证金逾期退还的违约责任：</w:t>
      </w:r>
      <w:r>
        <w:rPr>
          <w:rFonts w:ascii="宋体" w:hAnsi="宋体" w:cs="宋体"/>
          <w:color w:val="0000ff"/>
          <w:sz w:val="24"/>
        </w:rPr>
        <w:t xml:space="preserve">无</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七、合同转包或分包</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7.1乙方不得将合同标的转包给他人履行。</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7.2乙方不得将合同标的分包给他人履行。</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7.3乙方如有转包或未经甲方同意的分包行为，甲方有权解除合同。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八、合同款项支付</w:t>
      </w:r>
      <w:r/>
    </w:p>
    <w:p>
      <w:pPr>
        <w:ind w:firstLine="480"/>
        <w:spacing w:before="145" w:after="145"/>
        <w:rPr>
          <w:rFonts w:ascii="宋体" w:hAnsi="宋体" w:cs="宋体"/>
          <w:b/>
          <w:color w:val="ff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ff0000"/>
          <w:sz w:val="24"/>
        </w:rPr>
        <w:t xml:space="preserve">合同签订后，每月进行考核，甲乙双方按两个月为一个周期结算服务费用，甲乙双方按考核结果确定实际支付费用。甲方自收到发票之日起10个工作日内支付。</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九、税费</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9.1本合同执行中相关的一切税费均由乙方负担。</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十、项目验收</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10.1甲方依法组织履约验收工作。</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10.3对于实际使用人和甲方分离的项目，甲方邀请实际使用人参与验收。</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10.4如有必要，甲方邀请参加本项目的其他供应商或第三方专业机构及专家参与验收，相关意见将作为验收书的参考资料。</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十一、违约责任</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11.1甲方无正当理由拒绝接受乙方提供服务的，甲方向乙方偿付拒绝接受服务合同价款总值</w:t>
      </w:r>
      <w:r>
        <w:rPr>
          <w:rFonts w:ascii="宋体" w:hAnsi="宋体" w:cs="宋体"/>
          <w:color w:val="000000"/>
          <w:sz w:val="24"/>
          <w:u w:val="single"/>
        </w:rPr>
        <w:t xml:space="preserve">    </w:t>
      </w:r>
      <w:r>
        <w:rPr>
          <w:rFonts w:ascii="宋体" w:hAnsi="宋体" w:cs="宋体"/>
          <w:color w:val="000000"/>
          <w:sz w:val="24"/>
        </w:rPr>
        <w:t xml:space="preserve">的违约金。</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11.2甲方无故逾期验收和办理合同款项支付手续的,甲方应按逾期付款总额</w:t>
      </w:r>
      <w:r>
        <w:rPr>
          <w:rFonts w:ascii="宋体" w:hAnsi="宋体" w:cs="宋体"/>
          <w:color w:val="000000"/>
          <w:sz w:val="24"/>
          <w:u w:val="single"/>
        </w:rPr>
        <w:t xml:space="preserve">    </w:t>
      </w:r>
      <w:r>
        <w:rPr>
          <w:rFonts w:ascii="宋体" w:hAnsi="宋体" w:cs="宋体"/>
          <w:color w:val="000000"/>
          <w:sz w:val="24"/>
        </w:rPr>
        <w:t xml:space="preserve">每日向乙方支付违约金。</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宋体" w:hAnsi="宋体" w:cs="宋体"/>
          <w:color w:val="000000"/>
          <w:sz w:val="24"/>
          <w:u w:val="single"/>
        </w:rPr>
        <w:t xml:space="preserve">     </w:t>
      </w:r>
      <w:r>
        <w:rPr>
          <w:rFonts w:ascii="宋体" w:hAnsi="宋体" w:cs="宋体"/>
          <w:color w:val="000000"/>
          <w:sz w:val="24"/>
        </w:rPr>
        <w:t xml:space="preserve">的违约金，如造成甲方损失超过违约金的，超出部分由乙方继续承担赔偿责任。 </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11.4乙方所提供服务的标准不符合合同规定及招标文件规定标准的，甲方有权拒绝接受服务，并可单方面解除合同。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十二、不可抗力事件处理</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12.1在合同有效期内，任何一方因不可抗力事件导致不能履行合同，则合同履行期可延长，其延长期与不可抗力影响期相同。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12.2不可抗力事件发生后，应立即通知对方，并寄送有关权威机构出具的证明。</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12.3不可抗力事件延续120天以上，双方应通过友好协商，确定是否继续履行合同。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十三、解决争议的方法</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13.1双方在签订、履行合同中所发生的一切争议，应通过友好协商解决。如协商不成，由甲方住所地人民法院管辖。</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十四、合同生效及其它</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14.1合同经双方法定代表人或授权委托代表人签字并加盖单位公章后生效。</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14.2本合同未尽事宜，遵照中华人民共和国现行法律法规有关条文执行。</w:t>
      </w:r>
      <w:r/>
    </w:p>
    <w:p>
      <w:pPr>
        <w:ind w:left="480" w:hanging="480"/>
        <w:spacing w:before="120" w:after="120"/>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14.3本合同正本一式两份，具有同等法律效力，甲方、乙方各执一份。</w:t>
      </w:r>
      <w:r/>
    </w:p>
    <w:tbl>
      <w:tblPr>
        <w:tblStyle w:val="74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84"/>
        <w:gridCol w:w="4584"/>
      </w:tblGrid>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甲方：</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乙方：</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地址：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地址：</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法定代表人或授权代表：</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法定代表人或授权代表：</w:t>
            </w:r>
            <w:r/>
          </w:p>
        </w:tc>
      </w:tr>
      <w:tr>
        <w:trPr>
          <w:jc w:val="center"/>
          <w:trHeight w:val="507"/>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联系电话：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联系电话：</w:t>
            </w:r>
            <w:r/>
          </w:p>
        </w:tc>
      </w:tr>
    </w:tbl>
    <w:p>
      <w:pPr>
        <w:jc w:val="cente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jc w:val="right"/>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签订日期：</w:t>
      </w:r>
      <w:r>
        <w:rPr>
          <w:rFonts w:hint="eastAsia" w:ascii="宋体" w:hAnsi="宋体" w:cs="宋体"/>
          <w:color w:val="000000"/>
          <w:sz w:val="24"/>
          <w:lang w:val="en-US" w:eastAsia="zh-CN"/>
        </w:rPr>
        <w:t xml:space="preserve">      </w:t>
      </w:r>
      <w:r>
        <w:rPr>
          <w:rFonts w:ascii="宋体" w:hAnsi="宋体" w:cs="宋体"/>
          <w:color w:val="000000"/>
          <w:sz w:val="24"/>
        </w:rPr>
        <w:t xml:space="preserve">年  月 </w:t>
      </w:r>
      <w:r>
        <w:rPr>
          <w:rFonts w:hint="eastAsia" w:ascii="宋体" w:hAnsi="宋体" w:cs="宋体"/>
          <w:color w:val="000000"/>
          <w:sz w:val="24"/>
          <w:lang w:val="en-US" w:eastAsia="zh-CN"/>
        </w:rPr>
        <w:t xml:space="preserve">    </w:t>
      </w:r>
      <w:r>
        <w:rPr>
          <w:rFonts w:ascii="宋体" w:hAnsi="宋体" w:cs="宋体"/>
          <w:color w:val="000000"/>
          <w:sz w:val="24"/>
        </w:rPr>
        <w:t xml:space="preserve">日</w:t>
      </w:r>
      <w:r>
        <w:rPr>
          <w:rFonts w:ascii="宋体" w:hAnsi="宋体" w:cs="宋体"/>
          <w:color w:val="000000"/>
          <w:sz w:val="24"/>
        </w:rPr>
        <w:br w:type="page" w:clear="all"/>
      </w:r>
      <w:r/>
    </w:p>
    <w:p>
      <w:pPr>
        <w:pStyle w:val="713"/>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第四章 采购需求</w:t>
      </w:r>
      <w:r/>
    </w:p>
    <w:p>
      <w:pPr>
        <w:ind w:left="495" w:hanging="49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一、项目属性:服务类项目</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eastAsia="Times New Roman"/>
          <w:color w:val="000000"/>
          <w:sz w:val="24"/>
        </w:rPr>
        <w:t xml:space="preserve">.</w:t>
      </w:r>
      <w:r>
        <w:rPr>
          <w:rFonts w:ascii="宋体" w:hAnsi="宋体" w:cs="宋体"/>
          <w:color w:val="000000"/>
          <w:sz w:val="24"/>
        </w:rPr>
        <w:t xml:space="preserve">如本项目采购产品被财政部、国家发改委、生态环境部等列入“节能产品政府采购品目清单”强制采购范围，投标文件中必须提供国家确定的认证机构出具的、处于有效期之内的该节能产品认证证书。本项目强制节能产品有：</w:t>
      </w:r>
      <w:r>
        <w:rPr>
          <w:rFonts w:hint="eastAsia" w:ascii="宋体" w:hAnsi="宋体" w:cs="宋体"/>
          <w:color w:val="000000"/>
          <w:sz w:val="24"/>
        </w:rPr>
        <w:t xml:space="preserve">无</w:t>
      </w:r>
      <w:r>
        <w:rPr>
          <w:rFonts w:ascii="宋体" w:hAnsi="宋体" w:cs="宋体"/>
          <w:color w:val="000000"/>
          <w:sz w:val="24"/>
        </w:rPr>
        <w:t xml:space="preserve">。</w:t>
      </w:r>
      <w:r/>
    </w:p>
    <w:p>
      <w:pPr>
        <w:ind w:firstLine="480"/>
        <w:pBdr>
          <w:top w:val="none" w:color="000000" w:sz="0" w:space="0"/>
          <w:left w:val="none" w:color="000000" w:sz="0" w:space="0"/>
          <w:bottom w:val="none" w:color="000000" w:sz="0" w:space="0"/>
          <w:right w:val="none" w:color="000000" w:sz="0" w:space="0"/>
        </w:pBdr>
      </w:pPr>
      <w:r>
        <w:rPr>
          <w:rFonts w:eastAsia="Times New Roman"/>
          <w:color w:val="000000"/>
          <w:sz w:val="24"/>
        </w:rPr>
        <w:t xml:space="preserve">2.</w:t>
      </w:r>
      <w:r>
        <w:rPr>
          <w:rFonts w:ascii="宋体" w:hAnsi="宋体" w:cs="宋体"/>
          <w:color w:val="000000"/>
          <w:sz w:val="24"/>
        </w:rPr>
        <w:t xml:space="preserve">供应商对于投标产品的包装应按照“财办库〔</w:t>
      </w:r>
      <w:r>
        <w:rPr>
          <w:rFonts w:eastAsia="Times New Roman"/>
          <w:color w:val="000000"/>
          <w:sz w:val="24"/>
        </w:rPr>
        <w:t xml:space="preserve">2020</w:t>
      </w:r>
      <w:r>
        <w:rPr>
          <w:rFonts w:ascii="宋体" w:hAnsi="宋体" w:cs="宋体"/>
          <w:color w:val="000000"/>
          <w:sz w:val="24"/>
        </w:rPr>
        <w:t xml:space="preserve">〕</w:t>
      </w:r>
      <w:r>
        <w:rPr>
          <w:rFonts w:eastAsia="Times New Roman"/>
          <w:color w:val="000000"/>
          <w:sz w:val="24"/>
        </w:rPr>
        <w:t xml:space="preserve">123</w:t>
      </w:r>
      <w:r>
        <w:rPr>
          <w:rFonts w:ascii="宋体" w:hAnsi="宋体" w:cs="宋体"/>
          <w:color w:val="000000"/>
          <w:sz w:val="24"/>
        </w:rPr>
        <w:t xml:space="preserve">号《关于印发《商品包装政府采购需求标准（试行）》、《快递包装政府采购需求标准（试行）》的通知》”执行。</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3.采购标的清单</w:t>
      </w:r>
      <w:r/>
    </w:p>
    <w:tbl>
      <w:tblPr>
        <w:tblStyle w:val="74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9"/>
        <w:gridCol w:w="4855"/>
        <w:gridCol w:w="279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5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9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扬州城大遗址保护中心（隋炀帝墓遗址博物馆）隋炀帝墓遗址公园物业管理服务项目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物业管理 </w:t>
            </w:r>
            <w:r>
              <w:rPr>
                <w:rFonts w:ascii="宋体" w:hAnsi="宋体" w:cs="宋体"/>
                <w:color w:val="000000"/>
                <w:sz w:val="24"/>
              </w:rPr>
              <w:t xml:space="preserve"> </w:t>
            </w:r>
            <w:r/>
          </w:p>
        </w:tc>
      </w:tr>
      <w:tr>
        <w:trPr>
          <w:trHeight w:val="2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tc>
      </w:tr>
    </w:tbl>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line="500" w:lineRule="exact"/>
        <w:rPr>
          <w:rFonts w:cs="宋体" w:asciiTheme="minorEastAsia" w:hAnsiTheme="minorEastAsia" w:eastAsiaTheme="minorEastAsia"/>
          <w:b/>
          <w:color w:val="000000" w:themeColor="text1"/>
          <w:sz w:val="24"/>
          <w:szCs w:val="24"/>
          <w14:textFill>
            <w14:solidFill>
              <w14:schemeClr w14:val="tx1"/>
            </w14:solidFill>
          </w14:textFill>
        </w:rPr>
      </w:pPr>
      <w:r>
        <w:rPr>
          <w:rFonts w:hint="eastAsia" w:cs="宋体" w:asciiTheme="minorEastAsia" w:hAnsiTheme="minorEastAsia" w:eastAsiaTheme="minorEastAsia"/>
          <w:b/>
          <w:color w:val="000000" w:themeColor="text1"/>
          <w:sz w:val="24"/>
          <w:szCs w:val="24"/>
          <w14:textFill>
            <w14:solidFill>
              <w14:schemeClr w14:val="tx1"/>
            </w14:solidFill>
          </w14:textFill>
        </w:rPr>
        <w:t xml:space="preserve">一、项目概况</w:t>
      </w:r>
      <w:r/>
    </w:p>
    <w:p>
      <w:pPr>
        <w:ind w:firstLine="480"/>
        <w:jc w:val="left"/>
        <w:spacing w:line="50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隋炀帝墓遗址公园位于扬州市邗江区西湖街道蜀霞路1号，占地约11公顷。本次招标的物业管理内容为：</w:t>
      </w:r>
      <w:r>
        <w:rPr>
          <w:rFonts w:hint="eastAsia" w:ascii="宋体" w:hAnsi="宋体" w:cs="宋体"/>
          <w:color w:val="auto"/>
          <w:sz w:val="24"/>
        </w:rPr>
        <w:t xml:space="preserve">（一）环境卫生管理；（二）治安防范、秩序维护管理；（三）公共停车场管理；（四）消防、监控室值班、日常巡检；（五）供配电机房值班、日常巡检；（六）公共配套设施设备的日常运行管理、巡检；（七）建筑物、公共区、停车场地、水电等综合巡检管理；（八）接待、参观保障服务和其他采购人交办的其他工作（如重大接待参观保障、文明城市创建、应急事件处理、活动服务等）。</w:t>
      </w:r>
      <w:r/>
    </w:p>
    <w:p>
      <w:pPr>
        <w:pStyle w:val="731"/>
        <w:ind w:firstLine="542"/>
        <w:spacing w:line="500" w:lineRule="exact"/>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1、机构组织要求</w:t>
      </w:r>
      <w:r/>
    </w:p>
    <w:p>
      <w:pPr>
        <w:pStyle w:val="731"/>
        <w:ind w:firstLine="480"/>
        <w:spacing w:line="500" w:lineRule="exac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(1)中标人在隋炀帝墓遗址公园设置一个物业管理中心，组建统一的管理团队，配置服务人员，人员相对固定；</w:t>
      </w:r>
      <w:r/>
    </w:p>
    <w:p>
      <w:pPr>
        <w:ind w:firstLine="480"/>
        <w:spacing w:line="500" w:lineRule="exac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(2)物业管理中心由综合管理、安全保卫、环境维护、工程维护等部门组成，每个部门设一个部门负责人，负责本部门的服务工作。</w:t>
      </w:r>
      <w:r/>
    </w:p>
    <w:p>
      <w:pPr>
        <w:pStyle w:val="731"/>
        <w:ind w:firstLine="542"/>
        <w:spacing w:line="500" w:lineRule="exact"/>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2、物业管理用房</w:t>
      </w:r>
      <w:r/>
    </w:p>
    <w:p>
      <w:pPr>
        <w:pStyle w:val="731"/>
        <w:ind w:firstLine="480"/>
        <w:spacing w:line="500" w:lineRule="exac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物业管理用房由采购人无偿提供，产权归采购人所有，地点为游客服务中心。</w:t>
      </w:r>
      <w:r/>
    </w:p>
    <w:p>
      <w:pPr>
        <w:pStyle w:val="731"/>
        <w:ind w:firstLine="482"/>
        <w:spacing w:line="500" w:lineRule="exac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特别说明：</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物业管理用房、物业管理用房的水、电、网络通信由采购人提供。中标人不得利用采购人提供的房产、水电、物业等资源从事经营活动，不能改变其使用性质。</w:t>
      </w:r>
      <w:r/>
    </w:p>
    <w:p>
      <w:pPr>
        <w:pStyle w:val="731"/>
        <w:ind w:firstLine="482"/>
        <w:spacing w:line="500" w:lineRule="exact"/>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3、物业管理服务主要内容</w:t>
      </w:r>
      <w:r/>
    </w:p>
    <w:p>
      <w:pPr>
        <w:pStyle w:val="731"/>
        <w:ind w:firstLine="480"/>
        <w:spacing w:line="500" w:lineRule="exac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(1)物业管理区域内环境卫生管理（含垃圾处理及相关物业耗材）；</w:t>
      </w:r>
      <w:r/>
    </w:p>
    <w:p>
      <w:pPr>
        <w:pStyle w:val="731"/>
        <w:ind w:firstLine="480"/>
        <w:spacing w:line="500" w:lineRule="exac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(2)物业管理区域内治安防范、日常安全巡查（含夜间巡查）、公共秩序维护管理；</w:t>
      </w:r>
      <w:r/>
    </w:p>
    <w:p>
      <w:pPr>
        <w:pStyle w:val="731"/>
        <w:ind w:firstLine="480"/>
        <w:spacing w:line="500" w:lineRule="exac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(3)物业管理区域内消防监控室24小时双人持证值班、消防监控设施设备日常巡检管理，填写各类记录表格；</w:t>
      </w:r>
      <w:r/>
    </w:p>
    <w:p>
      <w:pPr>
        <w:pStyle w:val="731"/>
        <w:ind w:firstLine="480"/>
        <w:spacing w:line="500" w:lineRule="exac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(4)物业管理区域内各类公共设施、设备的使用维护管理；</w:t>
      </w:r>
      <w:r/>
    </w:p>
    <w:p>
      <w:pPr>
        <w:pStyle w:val="731"/>
        <w:ind w:firstLine="480"/>
        <w:spacing w:line="500" w:lineRule="exac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(5)物业管理区域内交通秩序、车辆停放引导、机动车停车场及非机动车停车管理；</w:t>
      </w:r>
      <w:r/>
    </w:p>
    <w:p>
      <w:pPr>
        <w:pStyle w:val="731"/>
        <w:ind w:firstLine="480"/>
        <w:spacing w:line="500" w:lineRule="exac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(6)物业管理区域内总配电房24小时双人持证值班，供配电系统日常巡检、应急故障处置管理，填写各类电量统计表及设备运行记录；</w:t>
      </w:r>
      <w:r/>
    </w:p>
    <w:p>
      <w:pPr>
        <w:pStyle w:val="731"/>
        <w:ind w:firstLine="480"/>
        <w:spacing w:line="500" w:lineRule="exac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(7)物业管理区域内建（构）筑物、公共区、水电管网等日常综合管理；</w:t>
      </w:r>
      <w:r/>
    </w:p>
    <w:p>
      <w:pPr>
        <w:pStyle w:val="731"/>
        <w:ind w:firstLine="480"/>
        <w:spacing w:line="500" w:lineRule="exac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(8)物业管理区域内大型活动、重大参观、接待等活动的服务保障以及采购人委托的其他物业管理服务事项；</w:t>
      </w:r>
      <w:r/>
    </w:p>
    <w:p>
      <w:pPr>
        <w:pStyle w:val="731"/>
        <w:ind w:firstLine="480"/>
        <w:spacing w:line="500" w:lineRule="exac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(9)物业管理区域内各类服务应急预案的制定与落实（包括但不限于：</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火灾应急预案；意外事故应急预案；地面防滑（雨雪天）应急预案；电梯困人应急预案、</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停电、停水应急预案；公共突发事件的保障、消防、防灾减灾、生产安全、特殊事件、应急事件、恶劣天气等突发事件的处理</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等</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，方案全面、合理、科学、可行性强。</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并培训相关人员达到相关要求，按照预案实施。统一调度安排人力、物力，服从采购人安排完成突击任务；</w:t>
      </w:r>
      <w:r/>
    </w:p>
    <w:p>
      <w:pPr>
        <w:pStyle w:val="731"/>
        <w:ind w:firstLine="480"/>
        <w:spacing w:line="500" w:lineRule="exac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(10)物业管理区域内安保、保洁日常管理、消防安全管理、设施设备日常管理、供配电设施、设备日常管理、物业综合管理等档案资料的建立、归档、统计及管理；</w:t>
      </w:r>
      <w:r/>
    </w:p>
    <w:p>
      <w:pPr>
        <w:pStyle w:val="731"/>
        <w:ind w:firstLine="480"/>
        <w:spacing w:line="500" w:lineRule="exac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(11)供水、供电、通信等其他专业技术（包含绿化、消防、空调、弱电、电梯、建构筑物等施工），施工单位在物业管理区域内对相关管线、设施维护时，进行必要的协调和管理。</w:t>
      </w:r>
      <w:r/>
    </w:p>
    <w:p>
      <w:pPr>
        <w:ind w:firstLine="482"/>
        <w:spacing w:line="500" w:lineRule="exact"/>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 二、物业服务内容和质量标准</w:t>
      </w:r>
      <w:r/>
    </w:p>
    <w:p>
      <w:pPr>
        <w:pStyle w:val="731"/>
        <w:ind w:firstLine="482"/>
        <w:spacing w:line="500" w:lineRule="exact"/>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（一）安全保卫管理</w:t>
      </w:r>
      <w:r/>
    </w:p>
    <w:p>
      <w:pPr>
        <w:pStyle w:val="731"/>
        <w:ind w:firstLine="482"/>
        <w:spacing w:line="500" w:lineRule="exact"/>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1、内容及要求（以下工作为包含但不限于）</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(1)全面负责隋炀帝墓遗址公园出入口管理、车辆管理和防火、防盗、治安巡逻，维持隋炀帝墓遗址公园秩序，维护隋炀帝墓遗址公园安全稳定，及时发现和消除安全隐患；制定消防安全制度和紧急疏散方案；</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在采购人的组织和领导下，做好公园内治安综合治理工作。配合隋炀帝墓遗址公园，及时受理公园内各类纠纷和治安案件，及时、正确处理各类突发事件。做好安全防范，提供安全力量支援，全力配合隋炀帝墓遗址公园做好应急突发情况防控工作。进行巡查、游客劝离，做好清场工作；</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(3)随时出员并提供紧急救助服务；抽调临时保安力量，做好重大活动安全保卫工作；</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(4)保持道路通畅，车辆停放有序；必要时根据采购人要求对出入隋炀帝墓遗址公园的物品、人员、车辆进行询问、登记、检查；有意外情况发生时，要求安保人员在3分钟内到达现场处理，及时排除意外情况；</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(5)全体安保人员均应持保安员证上岗，并且在上岗前需在属地公安机关进行人员备案，全体安保人员上岗前提供无违法犯罪记录证明；</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对新进保安人员（持证上岗）保证不少于5日的岗前培训，培训应从主管开始，在主管培训合格后，对隋炀帝墓遗址公园环境的全面熟悉，安排岗位，并交代岗位工作要求、岗位职责。对已入职安保人员，需要定期对其进行培训。特别要加强夜间保安的培训，夜间保安对消防技能、消防设施设备要熟悉，对馆区的保安岗位制度要定期培训掌握。对保安不但要定期培训，还要进行定期考核，通过每月或者季度考核来了解保安对于岗位技能的了解情况。对于新领班的更换需要提前和隋炀帝墓遗址公园商议；</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保安要熟悉周边的环境，能处理和应对公共秩序维护工作，能正确使用各类消防、物防、技防器械和设备，能够熟悉、掌握各类刑事、治安案件和各类灾害事故的应急预案；来人来访的通报、证件检验、登记等，并按规范记录接收信息；</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(8)保安要进行门卫、守护、巡逻、服务的职责，维护公共秩序；处理治安及其他突发事件；负责室外道路、消防通道交通管理、机动车和非机动车停放管理；</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(9)巡逻岗负责按规定巡逻路线和规定时间巡查，留意治安消防情况，并做好记录。负责物业管理范围内消防通道的</w:t>
      </w:r>
      <w:r>
        <w:rPr>
          <w:rFonts w:hint="eastAsia" w:cs="宋体" w:asciiTheme="minorEastAsia" w:hAnsiTheme="minorEastAsia" w:eastAsiaTheme="minorEastAsia"/>
          <w:sz w:val="24"/>
          <w:szCs w:val="24"/>
        </w:rPr>
        <w:t xml:space="preserve">日常检查工作，确保消防通道畅通无阻无杂物。如场馆有工程施工项目，闭馆期间巡逻保安要巡视馆内的施工人员是否佩带施工证，如发现馆内有无带施工证的人员，应加以盘查并上报安保部。负责巡查物业管理区内设备房、公共设备设施运行情况，发现问题，及时上报管理办公室及公园办公室。负责顶替需要短时离开岗位的保安员。临时或紧急情况，听从采购人或物业管理中心指挥，支援现场做好秩序维护、人员疏散等工作。定期对安全设施进行检查，及时发现安全隐患并上报采购人，按安保管理规范安保部及时处理。不定期对值勤保安岗位查岗，及时纠正保安违规行为；</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(10)完成上级单位或主管部门及采购人交办的其他事情。</w:t>
      </w:r>
      <w:r/>
    </w:p>
    <w:p>
      <w:pPr>
        <w:ind w:firstLine="480"/>
        <w:spacing w:line="500" w:lineRule="exact"/>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2、服务质量标准</w:t>
      </w:r>
      <w:r/>
    </w:p>
    <w:p>
      <w:pPr>
        <w:ind w:firstLine="466"/>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岗位要求。上岗时佩戴统一标志，按需求穿戴统一制服，装备佩戴规范，仪容仪表规范整齐，当值时坐姿挺直，站岗时不倚不靠。文明执勤，训练有素，言语规范，认真负责；每个岗位配备对讲装置和其他必备的安全护卫器械。门卫形象良好，安排24小时值勤、传达、保安、车辆、道路及公共秩序管理等制度。用语规范，礼貌待客，文明工作。严格验证、登记制度，杜绝闲杂人员进入遗址公园，维护遗址公园安全、正常的工作环境；</w:t>
      </w:r>
      <w:r/>
    </w:p>
    <w:p>
      <w:pPr>
        <w:ind w:firstLine="466"/>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对物品进出实施分类管理，实行物品进出审验制度，杜绝危险物品进入遗址公园。场馆巡逻保安按要求管理消防安全，提示人员安全，熟练掌握各类应急预案处理方法，做好团队进场前的安全教育，配合隋炀帝墓遗址公园内各项活动举办，及时主动的为采购人提供服务；</w:t>
      </w:r>
      <w:r/>
    </w:p>
    <w:p>
      <w:pPr>
        <w:ind w:firstLine="466"/>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巡查要求。物业管理范围以内安排24小时巡查。明确巡查工作职责，规范巡视工作流程，制定相对固定的巡视路线，对重要区域、部位、设备机房进行重点巡视并记录巡视情况，及时发现和处理各种安全和事故隐患。巡视时必须使用巡更设备（夜班巡更时间为19:00、20:00、21:00、22:00、23:00、次日0:00、次日1:00、次日2:00、次日3:00、次日4:00、次日5:00）；</w:t>
      </w:r>
      <w:r/>
    </w:p>
    <w:p>
      <w:pPr>
        <w:ind w:firstLine="466"/>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物业管理中心应保存巡更记录电子档及纸质记录。在接到监控室发出的指令后，巡视人员应及时到达事发现场，采取相应措施妥善处理；如巡视时发现异常情况，应立即通知物业经理和安保主管，并根据相关应急预案，在现场采取必要措施，随时准备启动并执行相应的应急预案。遇到夜间防盗报警，进入场馆巡查需至少2人同时进入，必须使用橡胶棍、电筒等用具；</w:t>
      </w:r>
      <w:r/>
    </w:p>
    <w:p>
      <w:pPr>
        <w:ind w:firstLine="466"/>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(5)突发事件处理。按照要求制订各类突发事件应急预案，并将预案内容在中标人监控室、机房等处张榜悬挂。在各楼层固定位置悬挂疏散示意图及引路标志，每年组织不少于2次的突发事件应急演习；</w:t>
      </w:r>
      <w:r/>
    </w:p>
    <w:p>
      <w:pPr>
        <w:ind w:firstLine="466"/>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当发生台风、暴雨等灾害性天气及其他危害公共突发事件时，应根据对应的应急预案，采取应急措施，对露天设施进行检查和加固等工作。各岗位人员必须按规定实行岗位警戒，根据不同突发事件的现场情况进行应变处理，在有关部门到达现场前，确保人身安全，减少财产损失，并全力协助处理相关事宜。</w:t>
      </w:r>
      <w:r/>
    </w:p>
    <w:p>
      <w:pPr>
        <w:pStyle w:val="731"/>
        <w:ind w:firstLine="482"/>
        <w:spacing w:line="500" w:lineRule="exact"/>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（二）消防安全管理</w:t>
      </w:r>
      <w:r/>
    </w:p>
    <w:p>
      <w:pPr>
        <w:ind w:firstLine="482"/>
        <w:spacing w:line="500" w:lineRule="exact"/>
        <w:widowControl/>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1、内容及要求（以下工作为包含但不限于）</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(1)由中标人派进场的保安人员组成义务消防队，明确消防管理责任人，对义务消防员定期进行培训，全力配合相关部门做好防火工作；</w:t>
      </w:r>
      <w:bookmarkStart w:id="0" w:name="_Hlk116313974"/>
      <w:r>
        <w:rPr>
          <w:rFonts w:hint="eastAsia" w:cs="宋体" w:asciiTheme="minorEastAsia" w:hAnsiTheme="minorEastAsia" w:eastAsiaTheme="minorEastAsia"/>
          <w:sz w:val="24"/>
          <w:szCs w:val="24"/>
        </w:rPr>
        <w:t xml:space="preserve">做好消防安全巡逻工作</w:t>
      </w:r>
      <w:bookmarkEnd w:id="0"/>
      <w:r>
        <w:rPr>
          <w:rFonts w:hint="eastAsia" w:cs="宋体" w:asciiTheme="minorEastAsia" w:hAnsiTheme="minorEastAsia" w:eastAsiaTheme="minorEastAsia"/>
          <w:sz w:val="24"/>
          <w:szCs w:val="24"/>
        </w:rPr>
        <w:t xml:space="preserve">，认真落实消防管理规定，确保隋炀帝墓遗址公园内工作的正常开展；</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(2)每半年必须进行1次消防安全应急演练。中标人配备必要的消防应急物资。</w:t>
      </w:r>
      <w:bookmarkStart w:id="1" w:name="_Hlk116314052"/>
      <w:r>
        <w:rPr>
          <w:rFonts w:hint="eastAsia" w:cs="宋体" w:asciiTheme="minorEastAsia" w:hAnsiTheme="minorEastAsia" w:eastAsiaTheme="minorEastAsia"/>
          <w:sz w:val="24"/>
          <w:szCs w:val="24"/>
        </w:rPr>
        <w:t xml:space="preserve">每月组织1次综合巡查</w:t>
      </w:r>
      <w:bookmarkEnd w:id="1"/>
      <w:r>
        <w:rPr>
          <w:rFonts w:hint="eastAsia" w:cs="宋体" w:asciiTheme="minorEastAsia" w:hAnsiTheme="minorEastAsia" w:eastAsiaTheme="minorEastAsia"/>
          <w:sz w:val="24"/>
          <w:szCs w:val="24"/>
        </w:rPr>
        <w:t xml:space="preserve">，并做好节前检查、大型活动检查，检查必须有中标人项目经理与物业管理中心各部门主管参加；</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(3)制订火灾等灾害应急方案，对物业管理范围24小时进行巡查，定期巡检消防设施设备，配合消防维保单位进行消防检测，避免消防事故发生；</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(4)消控室值班人员要负责防盗、防火报警监控设备运行管理。积极主动的配合、服从对口管理部门的临时应急调度；</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建立完善的消防制度和消防工作计划，物管人员应定期接受消防培训并掌握现有基础消防设施设备的使用方法，并能及时处理突发火灾隐患。明确物业管理中心防火责任人，按照突发火灾的应急方案，设立消防疏散示意图，照明设施及疏散指示标志完好，紧急疏散通道畅通。义务消防队负责对公园区域内的消防喷淋灭火系统、气体灭火系统、火灾报警系统、消防排烟机组、消防泵房等消控设备按安保条例进行监管和操作使用；</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消控中心（24小时有双人值班）按消防规范持消防设施操作员证或建（构）筑物消防员证上岗，并且在合同期间消防监控室人员要求是固定的专职人员，不得随意更换（特殊情况除外），并需报经采购人、安全负责人同意；</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(7)消控中心工作人员需熟练掌握消监控设备的性能和使用方</w:t>
      </w:r>
      <w:r>
        <w:rPr>
          <w:rFonts w:hint="eastAsia" w:cs="宋体" w:asciiTheme="minorEastAsia" w:hAnsiTheme="minorEastAsia" w:eastAsiaTheme="minorEastAsia"/>
          <w:sz w:val="24"/>
          <w:szCs w:val="24"/>
        </w:rPr>
        <w:t xml:space="preserve">式，爱护设备，规范操作，保证设备完好运行；全面了解消监控系统设备和消监控设备的使用及配置方法；负责监控中心电视屏幕的监视工作，并密切监视消防控制屏和电脑显示系统。全面观察和掌握各个区域的治安动态，发现问题正确分析，果断决定，及时报告隋炀帝墓遗址公园安全负责人，并与有关岗哨取得联系，准确及时采取措施，做好情况记录。如遇火灾事故，必须立即组织指挥义务消防队员（保安员）赶赴现场扑救，同时拨打119火警电话，准确及时操作联动设备，向有关领导报告，并详细做好记录。做好交接班记录，认真填写值班记录及系统运行情况等记录；</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做好资料保管和保密工作，无关人员不准进入监控室，不准向无关人员谈及监控室的运作情况和值班情况。对必须进入消控室的人员需做好进入登记记录，详细记录人员信息。不得传播与工作无关、涉及个人隐私的监控信息。所有值班人员必须签订保密协议并经采购人书面认可后才可上岗。</w:t>
      </w:r>
      <w:r/>
    </w:p>
    <w:p>
      <w:pPr>
        <w:ind w:firstLine="482"/>
        <w:spacing w:line="500" w:lineRule="exact"/>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2、服务质量标准</w:t>
      </w:r>
      <w:r/>
    </w:p>
    <w:p>
      <w:pPr>
        <w:ind w:firstLine="466"/>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(1)消控、监控室值班要求。消控、监控设施应保持24小时开通，并保持完整的监控记录，保证对各出入口、内部重点区域的安全监控、录像及场馆布防；</w:t>
      </w:r>
      <w:r/>
    </w:p>
    <w:p>
      <w:pPr>
        <w:ind w:firstLine="466"/>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(2)监控室收到火情、险情及其他异常情况报警信号后，应按照应急预案要求进行处理，并根据操作规范现场进行前期处理。同时，确保治安值班电话畅通，接听及时(在铃响3声内应接听)；</w:t>
      </w:r>
      <w:r/>
    </w:p>
    <w:p>
      <w:pPr>
        <w:ind w:firstLine="466"/>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做好进出入人员登记，熟练掌握监控回放，做好回放的查询登记，做好消防和安防的值班记录的登记，做好交接班的登记等相关登记备案，做好钥匙管理和登记工作；夜间做好报岗记录工作。及时和现场领班和各岗位进行互动，提示现场发生情况，实时对遗址公园各区域进行监控；</w:t>
      </w:r>
      <w:r/>
    </w:p>
    <w:p>
      <w:pPr>
        <w:ind w:firstLine="466"/>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(4)消防、监控设施管理。定期对消防、监控主机及各消防、监控点的设备进行巡查，确保运行无故障；定期对室外的消防栓、消防水带、消防泵等设备进行检查，是否有埋压、损坏及失效等情况；</w:t>
      </w:r>
      <w:r/>
    </w:p>
    <w:p>
      <w:pPr>
        <w:ind w:firstLine="466"/>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定期对各楼层消防栓进行检查，设施是否齐全；定期对各楼层的喷淋头、感烟探测器、感温探测器、手动报警按钮及其他形式的消防设施、设备进行检查，是否有遮挡或损坏等情况，是否有压力不足或缺少等情况；</w:t>
      </w:r>
      <w:r/>
    </w:p>
    <w:p>
      <w:pPr>
        <w:ind w:firstLine="466"/>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每周对各楼层的灭火器进行检查并且记录相关检查记录；定期对各楼层的排烟通风口、消防通道进行检查，是否有遮挡或堵塞，各楼层的疏散指示标志是否有损坏或缺少等情况；定期对各楼层应急电源的主、备电情况进行检查，发现故障及时上报隋炀帝墓遗址公园安全负责人；</w:t>
      </w:r>
      <w:r/>
    </w:p>
    <w:p>
      <w:pPr>
        <w:ind w:firstLine="466"/>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消防泵：启动检查每月1次并记录，运行正常，设施完好、无渗漏；消防栓：每周巡查1次，消防栓箱内各种配件完好，保持卫生整洁，每月保养1次，表面无生锈现象，颜色一致；启动灵活运行正常，每半年末端放水检查。火警、报警、探测器功能：功能正常。消防水带：每半年检查1次，完好无缺，无霉变。灭火器：检查及时，发现问题及时上报并做好编号登记记录。同时，负责及时记录上述消防设施、设备检查情况及后续恢复整改情况。</w:t>
      </w:r>
      <w:r/>
    </w:p>
    <w:p>
      <w:pPr>
        <w:pStyle w:val="731"/>
        <w:ind w:firstLine="482"/>
        <w:spacing w:line="5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（三）环境卫生管理</w:t>
      </w:r>
      <w:r/>
    </w:p>
    <w:p>
      <w:pPr>
        <w:ind w:firstLine="482"/>
        <w:spacing w:line="500" w:lineRule="exact"/>
        <w:widowControl/>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1、保洁内容（以下工作为包含但不限于）</w:t>
      </w:r>
      <w:r/>
    </w:p>
    <w:p>
      <w:pPr>
        <w:ind w:firstLine="480"/>
        <w:jc w:val="left"/>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公园室内公共区域及办公区域：展柜、扶栏、幕布、室内的台（地）面、墙面、门、窗等所有公共部位设施；物业管理范围内的游客服务中心、公共卫生间等所有公共场地及设施和日常保洁保养以及垃圾、废弃物清理和灭“四害”等环境卫生保洁工作；</w:t>
      </w:r>
      <w:r/>
    </w:p>
    <w:p>
      <w:pPr>
        <w:ind w:firstLine="480"/>
        <w:jc w:val="left"/>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(2)其他室外公共区域：公园道路、公共绿地、地上和露天停车场、建筑立面（玻璃及幕墙3米以下清洗）及围墙内部管理区域内的环境卫生保洁，垃圾、废弃物清理及各类活动开展前外部环境的循环保洁工作。</w:t>
      </w:r>
      <w:r/>
    </w:p>
    <w:p>
      <w:pPr>
        <w:ind w:firstLine="482"/>
        <w:spacing w:line="500" w:lineRule="exact"/>
        <w:widowControl/>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2、保洁面积</w:t>
      </w:r>
      <w:r/>
    </w:p>
    <w:p>
      <w:pPr>
        <w:ind w:firstLine="480"/>
        <w:jc w:val="left"/>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(1)隋炀帝墓遗址公园室外区域保洁服务面积：15000平方米，室外公共道路、广场、通道、绿化等区域；</w:t>
      </w:r>
      <w:r/>
    </w:p>
    <w:p>
      <w:pPr>
        <w:ind w:firstLine="480"/>
        <w:jc w:val="left"/>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(2)遗址本体保护设施保洁服务面积：3200平方米；</w:t>
      </w:r>
      <w:r/>
    </w:p>
    <w:p>
      <w:pPr>
        <w:ind w:firstLine="480"/>
        <w:jc w:val="left"/>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(3)博物馆保洁服务面积：5500平方米；</w:t>
      </w:r>
      <w:r/>
    </w:p>
    <w:p>
      <w:pPr>
        <w:ind w:firstLine="480"/>
        <w:spacing w:line="500" w:lineRule="exact"/>
        <w:rPr>
          <w:rFonts w:cs="宋体" w:asciiTheme="minorEastAsia" w:hAnsiTheme="minorEastAsia" w:eastAsiaTheme="minorEastAsia"/>
          <w:color w:val="ff0000"/>
          <w:sz w:val="24"/>
          <w:szCs w:val="24"/>
        </w:rPr>
      </w:pPr>
      <w:r>
        <w:rPr>
          <w:rFonts w:hint="eastAsia" w:cs="宋体" w:asciiTheme="minorEastAsia" w:hAnsiTheme="minorEastAsia" w:eastAsiaTheme="minorEastAsia"/>
          <w:sz w:val="24"/>
          <w:szCs w:val="24"/>
        </w:rPr>
        <w:t xml:space="preserve">(4)游客中心保洁服务面积：900平方米。</w:t>
      </w:r>
      <w:r>
        <w:rPr>
          <w:rFonts w:hint="eastAsia" w:cs="宋体" w:asciiTheme="minorEastAsia" w:hAnsiTheme="minorEastAsia" w:eastAsiaTheme="minorEastAsia"/>
          <w:color w:val="ff0000"/>
          <w:sz w:val="24"/>
          <w:szCs w:val="24"/>
        </w:rPr>
        <w:t xml:space="preserve">  </w:t>
      </w:r>
      <w:r/>
    </w:p>
    <w:p>
      <w:pPr>
        <w:ind w:firstLine="480"/>
        <w:spacing w:line="5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3、保洁要求</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公共场所日常服务要求：地面、扶手、门窗玻璃、石材墙面、门及门窗框、玻璃幕墙及有关附体，桌子、各类宣传牌、橱窗及有关附体，天花板、栏杆、消防楼梯区域等，及时清除各种垃圾等杂物，无积灰、印迹、污渍；</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门厅、办公区域等特定区域保洁服务要求：地面、石材墙面、门窗玻璃、门及门窗框、墙壁附体，灯具、垃圾桶等公用设施表面，电梯及卫生间，办公室内地面和桌椅表面等严格按要求做好清洁、清运及日常消杀工作，无积灰、印迹、污渍。桌面简单整理等，随时保持清洁。石材、灯具每季度进行1次清洁。白色墙面及顶面如有污渍等应及时清除；</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(3)建筑屋顶屋面、沟槽、地面、户外雨篷及边角区域，各种附体的表面清洁，屋面平台公共区域范围内垃圾清扫；</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(4)水电和设备等设施类服务要求：一般机器表面清洁（有特殊规定的设备除外），消防设施每周清洁1次，空调风机百叶、外壳每月洗尘与保洁1次；</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(5)电梯服务要求：保持电梯轿厢内外无果壳、纸屑等杂物，无污渍、无灰尘、手印、鞋印，表面光亮可映出人影。每天对轿厢内外用油布擦拭2次，每周用不锈钢油对轿厢内外进行轻抹保养1次；</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(6)不锈钢保洁服务要求：包括所有不锈钢制品、设施、设备（除有明确规定的保洁要求外），至少每2个月用不锈钢油保养1次。哑光不锈钢表面无污渍、无灰尘；镜面不锈钢表面光亮；</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7)垃圾清运服务要求：垃圾箱、筒的垃圾存量不超过上缘，垃圾不在筒箱内过夜。垃圾中转站工具摆放整齐，垃圾存量不超过2/3且做到日产日清，定期清洗，每周消毒1次，无明显积水，无蚊蝇飞舞。垃圾清运工具应保持清洁无破损，清运过程中不得产生二次污染。各类垃圾运到规定的地方，再将垃圾运到垃圾转运站，其中公共区域、卫生间无堆积垃圾。节假日等人员流量较大时，应提高垃圾清扫和清运频率，垃圾如果超过箱体的1/3以上就要安排保洁人员进行清理清洁。如遇隋炀帝墓遗址公园安排的工程施工、装修改造等产生的大件垃圾进行集中清理堆放，由采购</w:t>
      </w:r>
      <w:r>
        <w:rPr>
          <w:rFonts w:hint="eastAsia" w:cs="宋体" w:asciiTheme="minorEastAsia" w:hAnsiTheme="minorEastAsia"/>
          <w:sz w:val="24"/>
          <w:szCs w:val="24"/>
        </w:rPr>
        <w:t xml:space="preserve">人</w:t>
      </w:r>
      <w:r>
        <w:rPr>
          <w:rFonts w:hint="eastAsia" w:cs="宋体" w:asciiTheme="minorEastAsia" w:hAnsiTheme="minorEastAsia" w:eastAsiaTheme="minorEastAsia"/>
          <w:sz w:val="24"/>
          <w:szCs w:val="24"/>
        </w:rPr>
        <w:t xml:space="preserve">自行安排垃圾清运；</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(8)会议室、接待室、研学空间等要每周清洁2次，每次清洁要有间隔（如周一打扫过1次，下一次打扫就应放在周三或周四），每次会议活动结束后及时进行清洁；</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(9)定期杀灭四害（蚊、蝇、蟑、鼠），定期检查和报告物业管理范围内白蚁虫害情况，并做到无孳生源。建立“四害”消杀工作管理制度，根据实际情况定期开展消杀工作，有效控制鼠、蟑、蝇、蚊等害虫孳生，定期对各类病虫害进行预防控制，适时投放消杀药物和设施；不得低于扬州市爱卫办“除四害”相关规定标准要求，并视特殊情况增加次数，相关材料及药品等计入招标费用，由中标人承担。</w:t>
      </w:r>
      <w:r/>
    </w:p>
    <w:p>
      <w:pPr>
        <w:pStyle w:val="731"/>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b/>
          <w:bCs/>
          <w:sz w:val="24"/>
          <w:szCs w:val="24"/>
        </w:rPr>
        <w:t xml:space="preserve">特别说明：</w:t>
      </w:r>
      <w:r>
        <w:rPr>
          <w:rFonts w:hint="eastAsia" w:cs="宋体" w:asciiTheme="minorEastAsia" w:hAnsiTheme="minorEastAsia" w:eastAsiaTheme="minorEastAsia"/>
          <w:sz w:val="24"/>
          <w:szCs w:val="24"/>
        </w:rPr>
        <w:t xml:space="preserve">保洁工作不仅限于以上服务内容，其他未列入的且为正常保洁工作以及突发性事件造成的保洁工作的项目、部位均包括在本次采购范围内，中标人不得因此拒绝提供保洁服务。</w:t>
      </w:r>
      <w:r/>
    </w:p>
    <w:p>
      <w:pPr>
        <w:pStyle w:val="731"/>
        <w:ind w:firstLine="482"/>
        <w:spacing w:line="5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4、其他要求</w:t>
      </w:r>
      <w:r/>
    </w:p>
    <w:p>
      <w:pPr>
        <w:pStyle w:val="731"/>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(1)保洁工作时间须在不影响场馆正常秩序的情况下进行；</w:t>
      </w:r>
      <w:r/>
    </w:p>
    <w:p>
      <w:pPr>
        <w:pStyle w:val="731"/>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(2)在以下节假日期间和活动内，应积极按照采购人要求做好卫生保洁工作：</w:t>
      </w:r>
      <w:r/>
    </w:p>
    <w:p>
      <w:pPr>
        <w:pStyle w:val="731"/>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①国家法定节假日：元旦、春节、清明节、劳动节、端午节、中秋节、国庆节；</w:t>
      </w:r>
      <w:r/>
    </w:p>
    <w:p>
      <w:pPr>
        <w:pStyle w:val="731"/>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②重大活动及采购人安排的其它活动的前期、中期、后期，做好接待室、会议室、活动场地等的清扫保洁工作；</w:t>
      </w:r>
      <w:r/>
    </w:p>
    <w:p>
      <w:pPr>
        <w:pStyle w:val="731"/>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③上级领导视察、其他单位（组织）来隋炀帝墓遗址公园参观考察、创建文明城市、创建卫生城市、各主管单位抽查考核、创优争先活动等，要求加强卫生保洁工作； </w:t>
      </w:r>
      <w:r/>
    </w:p>
    <w:p>
      <w:pPr>
        <w:pStyle w:val="731"/>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④遇游客量高峰时段或发生突发事件，应及时加派人员，确保各区域环境整洁卫生。</w:t>
      </w:r>
      <w:r/>
    </w:p>
    <w:p>
      <w:pPr>
        <w:pStyle w:val="731"/>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雨天、台风、雨雪季节要加强公共部位的排水、排污疏通工作，及时清理公共部位的污垢和地面积水。特别是寒冷和下雪季节，广场、大厅、通道，冰迹、水迹、雪迹要随时清除，保证人身安全，做好防滑防冻工作；</w:t>
      </w:r>
      <w:r/>
    </w:p>
    <w:p>
      <w:pPr>
        <w:pStyle w:val="731"/>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(4)卫生保洁用具、设备等应及时清洁整理，按各保洁岗位指定区域堆放；</w:t>
      </w:r>
      <w:r/>
    </w:p>
    <w:p>
      <w:pPr>
        <w:pStyle w:val="731"/>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(5)保洁人员必须衣冠整洁，穿戴统一工作服装上岗，胸佩工作卡；</w:t>
      </w:r>
      <w:r/>
    </w:p>
    <w:p>
      <w:pPr>
        <w:pStyle w:val="731"/>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(6)保洁人员应遵守国家法律法规和采购人的规章制度，违者依法追究；</w:t>
      </w:r>
      <w:r/>
    </w:p>
    <w:p>
      <w:pPr>
        <w:pStyle w:val="731"/>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保洁人员须经过专业培训并接受采购人的专业指导，服从采购人管理部门的管理。若不服从，采购人有权要求中标人在5天内调换相关人员。特别是有明确保护规定的设备和物品，保洁工作应在采购人管理人员指导下进行（如陈列馆、文物库房等区域和展柜等设施）；</w:t>
      </w:r>
      <w:r/>
    </w:p>
    <w:p>
      <w:pPr>
        <w:pStyle w:val="731"/>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(8)采购人委派专人负责对中标人日常卫生保洁工作的监管、协调、考核。中标人应固定项目经理与采购人保持联系。项目经理应每周向采购人进行口头或书面情况汇报，对采购人提出的整改建议及时响应并整改到位。</w:t>
      </w:r>
      <w:r/>
    </w:p>
    <w:p>
      <w:pPr>
        <w:pStyle w:val="731"/>
        <w:ind w:firstLine="482"/>
        <w:spacing w:line="5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5、其它说明</w:t>
      </w:r>
      <w:r/>
    </w:p>
    <w:p>
      <w:pPr>
        <w:pStyle w:val="731"/>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(1)采购人负责提供保洁用房，以便保洁员换装、存放保洁工具等；</w:t>
      </w:r>
      <w:r/>
    </w:p>
    <w:p>
      <w:pPr>
        <w:pStyle w:val="731"/>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(2)中标人保洁相关设备、保洁员所用保洁耗材工具以及相关保洁低值易耗品（如垃圾袋、清洁剂、洗衣粉、洁厕液、空气清新剂、熏香）等一切保洁耗材、工具均由投标人负责，费用含在投标报价范围中；    </w:t>
      </w:r>
      <w:r/>
    </w:p>
    <w:p>
      <w:pPr>
        <w:pStyle w:val="731"/>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中标人派驻的保洁员因事、因病或其它原因缺勤的，由中标人负责调配补充，并提前汇报（如因工伤等特殊原因缺勤的，经采购人管理部门同意后，中标人可调配其他岗位保洁完成缺勤岗位工作量并在相应限期内及时调整补充服务人员），同时采购人不再承担此费用。</w:t>
      </w:r>
      <w:r/>
    </w:p>
    <w:p>
      <w:pPr>
        <w:pStyle w:val="714"/>
        <w:ind w:firstLine="482"/>
        <w:jc w:val="left"/>
        <w:spacing w:before="0" w:after="0" w:line="500" w:lineRule="exact"/>
        <w:tabs>
          <w:tab w:val="left" w:pos="432"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（四）高（低）压线路、照明及供电设备管理维护</w:t>
      </w:r>
      <w:r/>
    </w:p>
    <w:p>
      <w:pPr>
        <w:pStyle w:val="1049"/>
        <w:ind w:firstLine="482"/>
        <w:spacing w:before="0" w:line="500" w:lineRule="exact"/>
        <w:rPr>
          <w:rFonts w:cs="宋体" w:asciiTheme="minorEastAsia" w:hAnsiTheme="minorEastAsia" w:eastAsiaTheme="minorEastAsia"/>
          <w:b/>
          <w:bCs/>
          <w:szCs w:val="24"/>
        </w:rPr>
      </w:pPr>
      <w:r>
        <w:rPr>
          <w:rFonts w:hint="eastAsia" w:cs="宋体" w:asciiTheme="minorEastAsia" w:hAnsiTheme="minorEastAsia" w:eastAsiaTheme="minorEastAsia"/>
          <w:b/>
          <w:bCs/>
          <w:szCs w:val="24"/>
        </w:rPr>
        <w:t xml:space="preserve">1．服务内容</w:t>
      </w:r>
      <w:r/>
    </w:p>
    <w:p>
      <w:pPr>
        <w:pStyle w:val="1049"/>
        <w:ind w:firstLine="482"/>
        <w:spacing w:before="0" w:line="500" w:lineRule="exact"/>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对物业管理区域内的变压器、高低压配电柜、能源监控管理系统、楼层配电间低压配电柜、设备机房电气控制柜、电气管线、电线电缆、电源开关、动力插座、水泵、排污泵等低压用电设施进行日常运行管理和检查，保持设施正常运行。</w:t>
      </w:r>
      <w:r/>
    </w:p>
    <w:p>
      <w:pPr>
        <w:pStyle w:val="1049"/>
        <w:ind w:firstLine="482"/>
        <w:spacing w:before="0" w:line="500" w:lineRule="exact"/>
        <w:rPr>
          <w:rFonts w:cs="宋体" w:asciiTheme="minorEastAsia" w:hAnsiTheme="minorEastAsia" w:eastAsiaTheme="minorEastAsia"/>
          <w:b/>
          <w:bCs/>
          <w:szCs w:val="24"/>
        </w:rPr>
      </w:pPr>
      <w:r>
        <w:rPr>
          <w:rFonts w:hint="eastAsia" w:cs="宋体" w:asciiTheme="minorEastAsia" w:hAnsiTheme="minorEastAsia" w:eastAsiaTheme="minorEastAsia"/>
          <w:b/>
          <w:bCs/>
          <w:szCs w:val="24"/>
        </w:rPr>
        <w:t xml:space="preserve">2．服务质量标准</w:t>
      </w:r>
      <w:r/>
    </w:p>
    <w:p>
      <w:pPr>
        <w:pStyle w:val="1049"/>
        <w:ind w:firstLine="480"/>
        <w:spacing w:before="0" w:line="500" w:lineRule="exact"/>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(1)建立严格的高配室供电岗位责任制，高低配交接班制度、高低配室操作规程制度、高配倒闸操作制度、高低配及维修巡回检查等制度；</w:t>
      </w:r>
      <w:r/>
    </w:p>
    <w:p>
      <w:pPr>
        <w:pStyle w:val="1049"/>
        <w:ind w:firstLine="480"/>
        <w:spacing w:before="0" w:line="500" w:lineRule="exact"/>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(2)高配变电房24小时双人双岗持证值班，夜间能应急维修，保证整个隋炀帝墓遗址公园的供电安全；</w:t>
      </w:r>
      <w:r/>
    </w:p>
    <w:p>
      <w:pPr>
        <w:pStyle w:val="1049"/>
        <w:ind w:firstLine="480"/>
        <w:spacing w:before="0" w:line="500" w:lineRule="exact"/>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(3)按照规定周期对变配电设备设施进行检查、维护、清洁，并做好记录，确保高（低）压变（配）电柜操作运行正常，各类表计显示正常；</w:t>
      </w:r>
      <w:r/>
    </w:p>
    <w:p>
      <w:pPr>
        <w:pStyle w:val="1049"/>
        <w:ind w:firstLine="480"/>
        <w:spacing w:before="0" w:line="500" w:lineRule="exact"/>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(4)变（配）电柜、低压配电柜运行正常，符合工作要求，各类表计显示正常；</w:t>
      </w:r>
      <w:r/>
    </w:p>
    <w:p>
      <w:pPr>
        <w:pStyle w:val="1049"/>
        <w:ind w:firstLine="480"/>
        <w:spacing w:before="0" w:line="500" w:lineRule="exact"/>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(5)功率因素自动补偿电容器（组）、有源滤波系统等运行正常，自动切换准确可靠；</w:t>
      </w:r>
      <w:r/>
    </w:p>
    <w:p>
      <w:pPr>
        <w:pStyle w:val="1049"/>
        <w:ind w:firstLine="480"/>
        <w:spacing w:before="0" w:line="500" w:lineRule="exact"/>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(6)变(配)电系统联络切换正常；</w:t>
      </w:r>
      <w:r/>
    </w:p>
    <w:p>
      <w:pPr>
        <w:pStyle w:val="1049"/>
        <w:ind w:firstLine="480"/>
        <w:spacing w:before="0" w:line="500" w:lineRule="exact"/>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(7)负责各类照明灯具、泛光照明系统、供用电设备设施（包括配电箱柜、桥架、井道、分电箱、开关、插座等）的日常运行管理和维护检查；</w:t>
      </w:r>
      <w:r/>
    </w:p>
    <w:p>
      <w:pPr>
        <w:pStyle w:val="1049"/>
        <w:ind w:firstLine="480"/>
        <w:spacing w:before="0" w:line="500" w:lineRule="exact"/>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(8)通过有效的管理措施及技术措施，积极开展节能管理工作，按照季节性气温变化及时合理控制中央空调的开放时间及室外亮化照明系统的开放时间，主动做好能源节电工作。</w:t>
      </w:r>
      <w:r/>
    </w:p>
    <w:p>
      <w:pPr>
        <w:pStyle w:val="1049"/>
        <w:ind w:firstLine="482"/>
        <w:spacing w:before="0" w:line="500" w:lineRule="exact"/>
        <w:rPr>
          <w:rFonts w:cs="宋体" w:asciiTheme="minorEastAsia" w:hAnsiTheme="minorEastAsia" w:eastAsiaTheme="minorEastAsia"/>
          <w:b/>
          <w:bCs/>
          <w:szCs w:val="24"/>
        </w:rPr>
      </w:pPr>
      <w:r>
        <w:rPr>
          <w:rFonts w:hint="eastAsia" w:cs="宋体" w:asciiTheme="minorEastAsia" w:hAnsiTheme="minorEastAsia" w:eastAsiaTheme="minorEastAsia"/>
          <w:b/>
          <w:bCs/>
          <w:szCs w:val="24"/>
        </w:rPr>
        <w:t xml:space="preserve">（五）弱电系统巡查管理</w:t>
      </w:r>
      <w:r/>
    </w:p>
    <w:p>
      <w:pPr>
        <w:pStyle w:val="1049"/>
        <w:ind w:firstLine="482"/>
        <w:jc w:val="left"/>
        <w:spacing w:before="0" w:line="500" w:lineRule="exact"/>
        <w:rPr>
          <w:rFonts w:cs="宋体" w:asciiTheme="minorEastAsia" w:hAnsiTheme="minorEastAsia" w:eastAsiaTheme="minorEastAsia"/>
          <w:b/>
          <w:bCs/>
          <w:szCs w:val="24"/>
        </w:rPr>
      </w:pPr>
      <w:r>
        <w:rPr>
          <w:rFonts w:hint="eastAsia" w:cs="宋体" w:asciiTheme="minorEastAsia" w:hAnsiTheme="minorEastAsia" w:eastAsiaTheme="minorEastAsia"/>
          <w:b/>
          <w:bCs/>
          <w:szCs w:val="24"/>
        </w:rPr>
        <w:t xml:space="preserve">1．服务内容</w:t>
      </w:r>
      <w:r/>
    </w:p>
    <w:p>
      <w:pPr>
        <w:pStyle w:val="1049"/>
        <w:ind w:firstLine="480"/>
        <w:jc w:val="left"/>
        <w:spacing w:before="0" w:line="500" w:lineRule="exact"/>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协助做好公园内部施工综合布线、楼宇设备自控系统、安全防范系统、内部显示屏系统、弱电井道（涉密除外）等日常巡查管理，确保各系统正常运行。</w:t>
      </w:r>
      <w:r/>
    </w:p>
    <w:p>
      <w:pPr>
        <w:pStyle w:val="1049"/>
        <w:ind w:firstLine="482"/>
        <w:spacing w:before="0" w:line="500" w:lineRule="exact"/>
        <w:rPr>
          <w:rFonts w:cs="宋体" w:asciiTheme="minorEastAsia" w:hAnsiTheme="minorEastAsia" w:eastAsiaTheme="minorEastAsia"/>
          <w:b/>
          <w:bCs/>
          <w:szCs w:val="24"/>
        </w:rPr>
      </w:pPr>
      <w:r>
        <w:rPr>
          <w:rFonts w:hint="eastAsia" w:cs="宋体" w:asciiTheme="minorEastAsia" w:hAnsiTheme="minorEastAsia" w:eastAsiaTheme="minorEastAsia"/>
          <w:b/>
          <w:bCs/>
          <w:szCs w:val="24"/>
        </w:rPr>
        <w:t xml:space="preserve">2．服务质量标准</w:t>
      </w:r>
      <w:r/>
    </w:p>
    <w:p>
      <w:pPr>
        <w:pStyle w:val="1049"/>
        <w:ind w:firstLine="480"/>
        <w:jc w:val="left"/>
        <w:spacing w:before="0" w:line="500" w:lineRule="exact"/>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(1)配合各弱电系统管理责任主体及各弱电维保单位，按照规定标准协助维保单位排除故障，保证各弱电系统正常工作；</w:t>
      </w:r>
      <w:r/>
    </w:p>
    <w:p>
      <w:pPr>
        <w:pStyle w:val="1049"/>
        <w:ind w:firstLine="480"/>
        <w:jc w:val="left"/>
        <w:spacing w:before="0" w:line="500" w:lineRule="exact"/>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(2)严格执行用电安全规范，确保用电安全；</w:t>
      </w:r>
      <w:r/>
    </w:p>
    <w:p>
      <w:pPr>
        <w:pStyle w:val="1049"/>
        <w:ind w:firstLine="480"/>
        <w:jc w:val="left"/>
        <w:spacing w:before="0" w:line="500" w:lineRule="exact"/>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(3)保证避雷设备完好、有效、安全，定期巡查公园屋面避雷带、避雷监测点完好情况。协助第三方防雷检测公司做好公园避雷带、防雷监测点的定期检测工作。</w:t>
      </w:r>
      <w:r/>
    </w:p>
    <w:p>
      <w:pPr>
        <w:pStyle w:val="1049"/>
        <w:ind w:firstLine="482"/>
        <w:spacing w:before="0" w:line="500" w:lineRule="exact"/>
        <w:rPr>
          <w:rFonts w:cs="宋体" w:asciiTheme="minorEastAsia" w:hAnsiTheme="minorEastAsia" w:eastAsiaTheme="minorEastAsia"/>
          <w:b/>
          <w:bCs/>
          <w:szCs w:val="24"/>
        </w:rPr>
      </w:pPr>
      <w:r>
        <w:rPr>
          <w:rFonts w:hint="eastAsia" w:cs="宋体" w:asciiTheme="minorEastAsia" w:hAnsiTheme="minorEastAsia" w:eastAsiaTheme="minorEastAsia"/>
          <w:b/>
          <w:bCs/>
          <w:szCs w:val="24"/>
        </w:rPr>
        <w:t xml:space="preserve">（六）中央空调系统日常巡检及运行管理</w:t>
      </w:r>
      <w:r/>
    </w:p>
    <w:p>
      <w:pPr>
        <w:pStyle w:val="731"/>
        <w:ind w:firstLine="482"/>
        <w:spacing w:line="5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1、服务内容</w:t>
      </w:r>
      <w:r/>
    </w:p>
    <w:p>
      <w:pPr>
        <w:pStyle w:val="731"/>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除专业水源热泵中央空调维保服务外的日常巡视检查及维护维修，设备有：水源热泵中央空调系统、普通空调的运行管理和维护。具体内容为空调箱、空调柜、送排风机组、新风机组、风机盘管、热交换器、管道系统、各种阀类、采气装置、各类风口内外置滤网、自动控制系统等设备的日常安全巡查、卫生清洁。</w:t>
      </w:r>
      <w:r/>
    </w:p>
    <w:p>
      <w:pPr>
        <w:pStyle w:val="731"/>
        <w:ind w:firstLine="482"/>
        <w:spacing w:line="5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2、服务质量标准</w:t>
      </w:r>
      <w:r/>
    </w:p>
    <w:p>
      <w:pPr>
        <w:pStyle w:val="731"/>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(1)有完善的各空调系统的管理检查记录和规范操作流程；</w:t>
      </w:r>
      <w:r/>
    </w:p>
    <w:p>
      <w:pPr>
        <w:pStyle w:val="731"/>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有健全的各空调系统巡检规章制度、计划并严格落实执行，使空调系统安全、正常运行。设备及环境整洁,无异常噪声及滴漏水现象，及时巡查各风机房设备运行情况。保证设备运行完好，发现异常情况及时上报采购人，配合专业空调主机及管道维保单位做好相关设备维修维护工作；</w:t>
      </w:r>
      <w:r/>
    </w:p>
    <w:p>
      <w:pPr>
        <w:pStyle w:val="731"/>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(3)在中央空调工作期间，每天对机组进行巡视检查，检查机组工作及功能是否正常，检查要有记录；空调停止运行周期，定期对系统设备间进行卫生保洁；</w:t>
      </w:r>
      <w:r/>
    </w:p>
    <w:p>
      <w:pPr>
        <w:pStyle w:val="731"/>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(4)定期进行循环泵、空调主机、冷却风机电柜主电路螺栓紧固情况巡查；</w:t>
      </w:r>
      <w:r/>
    </w:p>
    <w:p>
      <w:pPr>
        <w:pStyle w:val="731"/>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(5)中央空调开放期间，定时检查温湿度传感设备，通过有效的管理措施及技术措施，合理调整中央空调开放时间，同时积极开展节约能源的管理工作；</w:t>
      </w:r>
      <w:r/>
    </w:p>
    <w:p>
      <w:pPr>
        <w:pStyle w:val="731"/>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(6)每月定期做好各空调机房和空调机组的清洁工作；</w:t>
      </w:r>
      <w:r/>
    </w:p>
    <w:p>
      <w:pPr>
        <w:pStyle w:val="731"/>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(7)保证各空调系统工作正常。设备出现故障后,应立即上报采购人安排维保单位及时进行检修。</w:t>
      </w:r>
      <w:r/>
    </w:p>
    <w:p>
      <w:pPr>
        <w:pStyle w:val="1049"/>
        <w:ind w:firstLine="482"/>
        <w:spacing w:before="0" w:line="500" w:lineRule="exact"/>
        <w:rPr>
          <w:rFonts w:cs="宋体" w:asciiTheme="minorEastAsia" w:hAnsiTheme="minorEastAsia" w:eastAsiaTheme="minorEastAsia"/>
          <w:b/>
          <w:bCs/>
          <w:szCs w:val="24"/>
        </w:rPr>
      </w:pPr>
      <w:r>
        <w:rPr>
          <w:rFonts w:hint="eastAsia" w:cs="宋体" w:asciiTheme="minorEastAsia" w:hAnsiTheme="minorEastAsia" w:eastAsiaTheme="minorEastAsia"/>
          <w:b/>
          <w:bCs/>
          <w:szCs w:val="24"/>
        </w:rPr>
        <w:t xml:space="preserve">（七）日常房屋、场地、设备设施等公共部位的综合巡查及管理</w:t>
      </w:r>
      <w:r/>
    </w:p>
    <w:p>
      <w:pPr>
        <w:pStyle w:val="731"/>
        <w:ind w:firstLine="482"/>
        <w:spacing w:line="5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1、服务内容</w:t>
      </w:r>
      <w:r/>
    </w:p>
    <w:p>
      <w:pPr>
        <w:pStyle w:val="731"/>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(1)房屋共用部位（地面、墙、台面及吊顶、门窗、楼梯、通风道等）及公共广场相关设施等日常巡查；</w:t>
      </w:r>
      <w:r/>
    </w:p>
    <w:p>
      <w:pPr>
        <w:pStyle w:val="731"/>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(2)公园设施设备做到安全运行和节能操作，发现故障立即上报并协助采购人安排的维修单位及时排除隐患；</w:t>
      </w:r>
      <w:r/>
    </w:p>
    <w:p>
      <w:pPr>
        <w:pStyle w:val="731"/>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(3)遇电路、水龙头、门锁、门窗故障等突发情况，要随叫随到，紧急进行处理；</w:t>
      </w:r>
      <w:r/>
    </w:p>
    <w:p>
      <w:pPr>
        <w:pStyle w:val="731"/>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(4)排水管、排污管要保持畅通，配置卫生间管道疏通工具，公共大管网专业设备机械疏通除外，厕所堵塞应当天疏通（需换厕盆的除外）；</w:t>
      </w:r>
      <w:r/>
    </w:p>
    <w:p>
      <w:pPr>
        <w:pStyle w:val="731"/>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(5)公共照明、水电设施每天进行检查。</w:t>
      </w:r>
      <w:r/>
    </w:p>
    <w:p>
      <w:pPr>
        <w:pStyle w:val="731"/>
        <w:ind w:firstLine="482"/>
        <w:spacing w:line="5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2、服务质量标准</w:t>
      </w:r>
      <w:r/>
    </w:p>
    <w:p>
      <w:pPr>
        <w:pStyle w:val="731"/>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(1)确保房屋公用设施的完好和正常使用；</w:t>
      </w:r>
      <w:r/>
    </w:p>
    <w:p>
      <w:pPr>
        <w:pStyle w:val="731"/>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巡查公园内部及公共区域：玻璃无破裂，五金配件完好，门窗开闭灵活、密封性好、无异常声响。出现损坏或故障应及时修复或申请更换（公共区域维修由物业管理中心负责，公园内部区域维修由采购人负责）。不能立即修复的涉及安全性的，应采取措施消除安全隐患；</w:t>
      </w:r>
      <w:r/>
    </w:p>
    <w:p>
      <w:pPr>
        <w:pStyle w:val="731"/>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(3)公共区域内日常检查中发现的粉刷无明显剥落开裂，墙面砖、地坪、地砖、地板平整不起壳、无遗缺，吊顶无污（水）渍、开缝和破损。如遇以上检查发现的特殊情况应及时上报采购人申请维修；</w:t>
      </w:r>
      <w:r/>
    </w:p>
    <w:p>
      <w:pPr>
        <w:pStyle w:val="731"/>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(4)屋面排水沟、天沟、雨水口、室内室外排水管等要保障畅通；及时巡查，排除隐患。巡查发现过滤网及管道破损及时上报采购人申请维修；</w:t>
      </w:r>
      <w:r/>
    </w:p>
    <w:p>
      <w:pPr>
        <w:pStyle w:val="731"/>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(5)发现屋面或其他防水层有气鼓、破裂，隔热板有断裂、缺损的，屋面、墙面有渗漏的，应立即汇报采购人，并协助配合采购人安排的施工单位进行维修；</w:t>
      </w:r>
      <w:r/>
    </w:p>
    <w:p>
      <w:pPr>
        <w:pStyle w:val="731"/>
        <w:ind w:firstLine="36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(6)日常维修接到报修信息后，必须15分钟内赶到现场进行处理。若无能力修复，立即报告采购人管理部门的有关人员及领导；</w:t>
      </w:r>
      <w:r/>
    </w:p>
    <w:p>
      <w:pPr>
        <w:pStyle w:val="731"/>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(7)协助配合采购人及采购人安排的专业维保公司进行的各类保养及维修工作；</w:t>
      </w:r>
      <w:r/>
    </w:p>
    <w:p>
      <w:pPr>
        <w:pStyle w:val="731"/>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(8)室外公共设施每周重点巡查一次，包括扶梯、卫生间、停车场、消防栓等。特殊情况按需进行处理；</w:t>
      </w:r>
      <w:r/>
    </w:p>
    <w:p>
      <w:pPr>
        <w:pStyle w:val="731"/>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(9)电工人员日常工作除特定工作外，实行定期巡查检查制；</w:t>
      </w:r>
      <w:r/>
    </w:p>
    <w:p>
      <w:pPr>
        <w:pStyle w:val="731"/>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(10)每天定人现场巡视检查，内容包括配电设施、照明、插座、空调用电设施、通风设施、给排水设施、电梯、房屋及装修设施、室外构筑设施、其他公用设施，巡视检查要有记录并统一归档管理,资料完整；</w:t>
      </w:r>
      <w:r/>
    </w:p>
    <w:p>
      <w:pPr>
        <w:pStyle w:val="1049"/>
        <w:ind w:firstLine="480"/>
        <w:spacing w:before="0" w:line="500" w:lineRule="exact"/>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(11)每天对所有管理区域设备间巡查，并随时做好记录和异常情况处理结果。</w:t>
      </w:r>
      <w:r/>
    </w:p>
    <w:p>
      <w:pPr>
        <w:pStyle w:val="1049"/>
        <w:ind w:firstLine="482"/>
        <w:spacing w:before="0" w:line="500" w:lineRule="exact"/>
        <w:rPr>
          <w:rFonts w:cs="宋体" w:asciiTheme="minorEastAsia" w:hAnsiTheme="minorEastAsia" w:eastAsiaTheme="minorEastAsia"/>
          <w:b/>
          <w:bCs/>
          <w:szCs w:val="24"/>
        </w:rPr>
      </w:pPr>
      <w:r>
        <w:rPr>
          <w:rFonts w:hint="eastAsia" w:cs="宋体" w:asciiTheme="minorEastAsia" w:hAnsiTheme="minorEastAsia" w:eastAsiaTheme="minorEastAsia"/>
          <w:b/>
          <w:bCs/>
          <w:szCs w:val="24"/>
        </w:rPr>
        <w:t xml:space="preserve">（八）给排水设备日常巡检、维护管理</w:t>
      </w:r>
      <w:r/>
    </w:p>
    <w:p>
      <w:pPr>
        <w:pStyle w:val="731"/>
        <w:ind w:firstLine="482"/>
        <w:spacing w:line="5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1、服务内容</w:t>
      </w:r>
      <w:r/>
    </w:p>
    <w:p>
      <w:pPr>
        <w:pStyle w:val="731"/>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对隋炀帝墓遗址公园内外及室外公共区给排水系统的设备、设施，如水泵、水箱、气压给水装置、水处理设备、消火栓、管道、管件、阀门、水嘴、卫生洁具、排水管、透气管、水封设备、室外排水管及附属构筑物等进行日常巡视检查，发现问题及时处置并上报，保持正常运行。</w:t>
      </w:r>
      <w:r/>
    </w:p>
    <w:p>
      <w:pPr>
        <w:pStyle w:val="731"/>
        <w:ind w:firstLine="482"/>
        <w:spacing w:line="5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2、服务质量标准</w:t>
      </w:r>
      <w:r/>
    </w:p>
    <w:p>
      <w:pPr>
        <w:pStyle w:val="731"/>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(1)制定给排水系统日常巡查工作计划；</w:t>
      </w:r>
      <w:r/>
    </w:p>
    <w:p>
      <w:pPr>
        <w:pStyle w:val="731"/>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(2)每天检查一次污水泵、提升泵、排水泵、阀门等，确保风机、排水系统通畅，各种管道阀门设备正常，仪表显示正常，无跑、冒、滴、漏现象；</w:t>
      </w:r>
      <w:r/>
    </w:p>
    <w:p>
      <w:pPr>
        <w:pStyle w:val="731"/>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(3)末端的水压及流量满足使用要求；</w:t>
      </w:r>
      <w:r/>
    </w:p>
    <w:p>
      <w:pPr>
        <w:pStyle w:val="731"/>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(4)每月对公园公共区域屋面及排水管网进行检查，检查有相应的图片档案记录。</w:t>
      </w:r>
      <w:r/>
    </w:p>
    <w:p>
      <w:pPr>
        <w:pStyle w:val="1049"/>
        <w:ind w:firstLine="482"/>
        <w:spacing w:before="0" w:line="500" w:lineRule="exact"/>
        <w:rPr>
          <w:rFonts w:cs="宋体" w:asciiTheme="minorEastAsia" w:hAnsiTheme="minorEastAsia" w:eastAsiaTheme="minorEastAsia"/>
          <w:b/>
          <w:bCs/>
          <w:szCs w:val="24"/>
        </w:rPr>
      </w:pPr>
      <w:r>
        <w:rPr>
          <w:rFonts w:hint="eastAsia" w:cs="宋体" w:asciiTheme="minorEastAsia" w:hAnsiTheme="minorEastAsia" w:eastAsiaTheme="minorEastAsia"/>
          <w:b/>
          <w:bCs/>
          <w:szCs w:val="24"/>
        </w:rPr>
        <w:t xml:space="preserve">（九）建立健全物业管理制度</w:t>
      </w:r>
      <w:r/>
    </w:p>
    <w:p>
      <w:pPr>
        <w:ind w:firstLine="435"/>
        <w:spacing w:line="500" w:lineRule="exact"/>
        <w:rPr>
          <w:rFonts w:cs="宋体" w:asciiTheme="minorEastAsia" w:hAnsiTheme="minorEastAsia" w:eastAsiaTheme="minorEastAsia"/>
          <w:sz w:val="24"/>
          <w:szCs w:val="24"/>
          <w:u w:val="single"/>
        </w:rPr>
      </w:pPr>
      <w:r>
        <w:rPr>
          <w:rFonts w:hint="eastAsia" w:cs="宋体" w:asciiTheme="minorEastAsia" w:hAnsiTheme="minorEastAsia" w:eastAsiaTheme="minorEastAsia"/>
          <w:sz w:val="24"/>
          <w:szCs w:val="24"/>
        </w:rPr>
        <w:t xml:space="preserve">根据隋炀帝墓遗址公园办公区、展厅及室内外公共区域具体情况，制定内部管理、日常服务运作等管理各项服务记录台账</w:t>
      </w:r>
      <w:r>
        <w:rPr>
          <w:rFonts w:hint="eastAsia" w:cs="宋体" w:asciiTheme="minorEastAsia" w:hAnsiTheme="minorEastAsia" w:eastAsiaTheme="minorEastAsia"/>
          <w:b/>
          <w:bCs/>
          <w:sz w:val="24"/>
          <w:szCs w:val="24"/>
        </w:rPr>
        <w:t xml:space="preserve">（以下制度为包含但不限于）：</w:t>
      </w:r>
      <w:r/>
    </w:p>
    <w:p>
      <w:pPr>
        <w:ind w:firstLine="435"/>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1、物业管理员工行为规范；</w:t>
      </w:r>
      <w:r/>
    </w:p>
    <w:p>
      <w:pPr>
        <w:ind w:firstLine="435"/>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2、物业管理中心和各部门工作职责；</w:t>
      </w:r>
      <w:r/>
    </w:p>
    <w:p>
      <w:pPr>
        <w:ind w:firstLine="435"/>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3、本项目各管理区域内工作人员岗位职责；</w:t>
      </w:r>
      <w:r/>
    </w:p>
    <w:p>
      <w:pPr>
        <w:ind w:firstLine="435"/>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4、各物业服务人员培训计划、岗位考核办法和考核奖惩制度；</w:t>
      </w:r>
      <w:r/>
    </w:p>
    <w:p>
      <w:pPr>
        <w:ind w:firstLine="435"/>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5、各类设备运行管理制度、设备维修管理制度；</w:t>
      </w:r>
      <w:r/>
    </w:p>
    <w:p>
      <w:pPr>
        <w:ind w:firstLine="435"/>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6、消防安全管理制度；</w:t>
      </w:r>
      <w:r/>
    </w:p>
    <w:p>
      <w:pPr>
        <w:ind w:firstLine="435"/>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7、安全保卫制度；</w:t>
      </w:r>
      <w:r/>
    </w:p>
    <w:p>
      <w:pPr>
        <w:ind w:firstLine="435"/>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8、会议服务制度；</w:t>
      </w:r>
      <w:r/>
    </w:p>
    <w:p>
      <w:pPr>
        <w:ind w:firstLine="435"/>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9、其他管理服务制度。</w:t>
      </w:r>
      <w:r/>
    </w:p>
    <w:p>
      <w:pPr>
        <w:ind w:firstLine="435"/>
        <w:spacing w:line="5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（十）建立物业管理资料档案</w:t>
      </w:r>
      <w:r/>
    </w:p>
    <w:p>
      <w:pPr>
        <w:ind w:firstLine="435"/>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中标人需加强物业管理区域内有关物业管理服务的档案和资料的管理。档案和资料的管理包括但不限于：场馆基本信息档案、设备设施巡检维护档案、场馆投诉和意见档案、安全管理记录档案、清洁卫生管理档案、设施设备故障维修档案、消防安全管理档案、人事管理及人员培训档案、各类突发应急预案演练档案以及具体的运行管理方案、工作计划等资料档案，所有资料档案做到保存完整，管理完善，交接手续完备，检索方便准确，符合有关标准。</w:t>
      </w:r>
      <w:r/>
    </w:p>
    <w:p>
      <w:pPr>
        <w:rPr>
          <w:rFonts w:cs="宋体" w:asciiTheme="minorEastAsia" w:hAnsiTheme="minorEastAsia" w:eastAsiaTheme="minorEastAsia"/>
          <w:b/>
          <w:bCs/>
          <w:sz w:val="24"/>
          <w:szCs w:val="24"/>
        </w:rPr>
      </w:pPr>
      <w:r>
        <w:rPr>
          <w:rFonts w:cs="宋体" w:asciiTheme="minorEastAsia" w:hAnsiTheme="minorEastAsia" w:eastAsiaTheme="minorEastAsia"/>
          <w:b/>
          <w:bCs/>
          <w:sz w:val="24"/>
          <w:szCs w:val="24"/>
        </w:rPr>
      </w:r>
      <w:r/>
    </w:p>
    <w:p>
      <w:pPr>
        <w:ind w:firstLine="482"/>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（十一）安检员要求</w:t>
      </w:r>
      <w:r/>
    </w:p>
    <w:p>
      <w:pPr>
        <w:ind w:firstLine="480"/>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1、熟练掌握隋炀帝墓遗址公园各场馆内部各种安检设备的操作及识别方法。</w:t>
      </w:r>
      <w:r/>
    </w:p>
    <w:p>
      <w:pPr>
        <w:ind w:firstLine="480"/>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2、对所有进馆人员按照“逢包必检”的安检要求，负责宣传引导人员进入安检区域。</w:t>
      </w:r>
      <w:r/>
    </w:p>
    <w:p>
      <w:pPr>
        <w:ind w:firstLine="435"/>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3、对可疑物品进行针对性探测，确定可疑物品性质，及时报公园管理部门，并做好登记记录。</w:t>
      </w:r>
      <w:r/>
    </w:p>
    <w:p>
      <w:pPr>
        <w:ind w:firstLine="435"/>
        <w:spacing w:line="5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（十二）客服人员要求</w:t>
      </w:r>
      <w:r/>
    </w:p>
    <w:p>
      <w:pPr>
        <w:ind w:firstLine="435"/>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1、能够熟练使用英语对话，配合采购人为外国游客做好导览工作。</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2、配合采购人熟练接听游客热线，并对咨询意见进行解答。</w:t>
      </w:r>
      <w:r/>
    </w:p>
    <w:p>
      <w:pPr>
        <w:ind w:firstLine="435"/>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3、配合采购人做好前台及展厅相关工作。</w:t>
      </w:r>
      <w:r/>
    </w:p>
    <w:p>
      <w:pPr>
        <w:rPr>
          <w:rFonts w:cs="宋体" w:asciiTheme="minorEastAsia" w:hAnsiTheme="minorEastAsia" w:eastAsiaTheme="minorEastAsia"/>
          <w:sz w:val="24"/>
          <w:szCs w:val="24"/>
          <w:highlight w:val="cyan"/>
        </w:rPr>
      </w:pPr>
      <w:r>
        <w:rPr>
          <w:rFonts w:cs="宋体" w:asciiTheme="minorEastAsia" w:hAnsiTheme="minorEastAsia" w:eastAsiaTheme="minorEastAsia"/>
          <w:sz w:val="24"/>
          <w:szCs w:val="24"/>
          <w:highlight w:val="cyan"/>
        </w:rPr>
      </w:r>
      <w:r/>
    </w:p>
    <w:p>
      <w:pPr>
        <w:ind w:firstLine="435"/>
        <w:spacing w:line="500" w:lineRule="exact"/>
        <w:rPr>
          <w:rFonts w:cs="宋体" w:asciiTheme="minorEastAsia" w:hAnsiTheme="minorEastAsia" w:eastAsiaTheme="minorEastAsia"/>
          <w:b/>
          <w:bCs/>
          <w:sz w:val="24"/>
          <w:szCs w:val="24"/>
        </w:rPr>
      </w:pPr>
      <w:r>
        <w:rPr>
          <w:rFonts w:cs="宋体" w:asciiTheme="minorEastAsia" w:hAnsiTheme="minorEastAsia" w:eastAsiaTheme="minorEastAsia"/>
          <w:b/>
          <w:bCs/>
          <w:sz w:val="24"/>
          <w:szCs w:val="24"/>
        </w:rPr>
        <w:t xml:space="preserve">管理服务人员配置具体要求</w:t>
      </w:r>
      <w:r/>
    </w:p>
    <w:p>
      <w:pPr>
        <w:pStyle w:val="1049"/>
        <w:ind w:firstLine="482"/>
        <w:spacing w:before="0" w:line="500" w:lineRule="exact"/>
        <w:rPr>
          <w:rFonts w:cs="宋体" w:asciiTheme="minorEastAsia" w:hAnsiTheme="minorEastAsia" w:eastAsiaTheme="minorEastAsia"/>
          <w:b/>
          <w:bCs/>
          <w:szCs w:val="24"/>
        </w:rPr>
      </w:pPr>
      <w:r>
        <w:rPr>
          <w:rFonts w:hint="eastAsia" w:cs="宋体" w:asciiTheme="minorEastAsia" w:hAnsiTheme="minorEastAsia" w:eastAsiaTheme="minorEastAsia"/>
          <w:b/>
          <w:bCs/>
          <w:szCs w:val="24"/>
        </w:rPr>
        <w:t xml:space="preserve">（一）人员配置</w:t>
      </w:r>
      <w:r/>
    </w:p>
    <w:p>
      <w:pPr>
        <w:pStyle w:val="1049"/>
        <w:ind w:firstLine="480"/>
        <w:spacing w:before="0" w:line="500" w:lineRule="exact"/>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1、根据现场服务需求，须设立现场运行管理机构，人员配置根据本项目服务需求由投标人拟定方案并在投标文件中明确，岗位总人数不得低于42人，其中项目管理岗1人，安保服务岗11人，保洁服务岗11人，电工岗6人,消监控室岗6人，安检员5人，客服2人。</w:t>
      </w:r>
      <w:r/>
    </w:p>
    <w:p>
      <w:pPr>
        <w:pStyle w:val="1049"/>
        <w:ind w:firstLine="480"/>
        <w:spacing w:before="0" w:line="500" w:lineRule="exact"/>
        <w:rPr>
          <w:rFonts w:asciiTheme="minorEastAsia" w:hAnsiTheme="minorEastAsia" w:eastAsiaTheme="minorEastAsia"/>
          <w:i/>
          <w:iCs/>
          <w:szCs w:val="24"/>
          <w:u w:val="single"/>
          <w:shd w:val="clear" w:color="auto" w:fill="ffffff"/>
        </w:rPr>
      </w:pPr>
      <w:r>
        <w:rPr>
          <w:rFonts w:hint="eastAsia" w:cs="宋体" w:asciiTheme="minorEastAsia" w:hAnsiTheme="minorEastAsia" w:eastAsiaTheme="minorEastAsia"/>
          <w:szCs w:val="24"/>
        </w:rPr>
        <w:t xml:space="preserve">2、</w:t>
      </w:r>
      <w:r>
        <w:rPr>
          <w:rFonts w:hint="eastAsia" w:asciiTheme="minorEastAsia" w:hAnsiTheme="minorEastAsia" w:eastAsiaTheme="minorEastAsia"/>
          <w:b/>
          <w:bCs/>
          <w:i/>
          <w:iCs/>
          <w:szCs w:val="24"/>
          <w:u w:val="single"/>
          <w:shd w:val="clear" w:color="auto" w:fill="ffffff"/>
        </w:rPr>
        <w:t xml:space="preserve">所有人员不得在其他单位兼职；承诺配备的全体员工从合同生效之日起到岗</w:t>
      </w:r>
      <w:r>
        <w:rPr>
          <w:rFonts w:hint="eastAsia" w:asciiTheme="minorEastAsia" w:hAnsiTheme="minorEastAsia" w:eastAsiaTheme="minorEastAsia"/>
          <w:b/>
          <w:bCs/>
          <w:i/>
          <w:iCs/>
          <w:szCs w:val="24"/>
          <w:u w:val="single"/>
          <w:shd w:val="clear" w:color="auto" w:fill="ffffff"/>
          <w:lang w:eastAsia="zh-CN"/>
        </w:rPr>
        <w:t xml:space="preserve">。（</w:t>
      </w:r>
      <w:r>
        <w:rPr>
          <w:rFonts w:hint="eastAsia" w:asciiTheme="minorEastAsia" w:hAnsiTheme="minorEastAsia" w:eastAsiaTheme="minorEastAsia"/>
          <w:b/>
          <w:bCs/>
          <w:i/>
          <w:iCs/>
          <w:szCs w:val="24"/>
          <w:u w:val="single"/>
          <w:shd w:val="clear" w:color="auto" w:fill="ffffff"/>
        </w:rPr>
        <w:t xml:space="preserve">提供承诺，格式自拟</w:t>
      </w:r>
      <w:r>
        <w:rPr>
          <w:rFonts w:hint="eastAsia" w:asciiTheme="minorEastAsia" w:hAnsiTheme="minorEastAsia" w:eastAsiaTheme="minorEastAsia"/>
          <w:b/>
          <w:bCs/>
          <w:i/>
          <w:iCs/>
          <w:szCs w:val="24"/>
          <w:u w:val="single"/>
          <w:shd w:val="clear" w:color="auto" w:fill="ffffff"/>
          <w:lang w:eastAsia="zh-CN"/>
        </w:rPr>
        <w:t xml:space="preserve">，</w:t>
      </w:r>
      <w:r>
        <w:rPr>
          <w:rFonts w:hint="eastAsia" w:asciiTheme="minorEastAsia" w:hAnsiTheme="minorEastAsia" w:eastAsiaTheme="minorEastAsia"/>
          <w:b/>
          <w:bCs/>
          <w:i/>
          <w:iCs/>
          <w:szCs w:val="24"/>
          <w:u w:val="single"/>
          <w:shd w:val="clear" w:color="auto" w:fill="ffffff"/>
        </w:rPr>
        <w:t xml:space="preserve">扫描上传</w:t>
      </w:r>
      <w:r>
        <w:rPr>
          <w:rFonts w:hint="eastAsia" w:asciiTheme="minorEastAsia" w:hAnsiTheme="minorEastAsia" w:eastAsiaTheme="minorEastAsia"/>
          <w:b/>
          <w:bCs/>
          <w:i/>
          <w:iCs/>
          <w:szCs w:val="24"/>
          <w:u w:val="single"/>
          <w:shd w:val="clear" w:color="auto" w:fill="ffffff"/>
          <w:lang w:eastAsia="zh-CN"/>
        </w:rPr>
        <w:t xml:space="preserve">）</w:t>
      </w:r>
      <w:r/>
    </w:p>
    <w:p>
      <w:pPr>
        <w:pStyle w:val="1049"/>
        <w:ind w:firstLine="482"/>
        <w:spacing w:before="0" w:line="500" w:lineRule="exact"/>
        <w:rPr>
          <w:rFonts w:cs="宋体" w:asciiTheme="minorEastAsia" w:hAnsiTheme="minorEastAsia" w:eastAsiaTheme="minorEastAsia"/>
          <w:b/>
          <w:bCs/>
          <w:szCs w:val="24"/>
        </w:rPr>
      </w:pPr>
      <w:r>
        <w:rPr>
          <w:rFonts w:hint="eastAsia" w:cs="宋体" w:asciiTheme="minorEastAsia" w:hAnsiTheme="minorEastAsia" w:eastAsiaTheme="minorEastAsia"/>
          <w:b/>
          <w:bCs/>
          <w:szCs w:val="24"/>
        </w:rPr>
        <w:t xml:space="preserve">岗位需求</w:t>
      </w:r>
      <w:r/>
    </w:p>
    <w:tbl>
      <w:tblPr>
        <w:tblStyle w:val="723"/>
        <w:tblW w:w="9036" w:type="dxa"/>
        <w:jc w:val="center"/>
        <w:tblLayout w:type="fixed"/>
        <w:tblCellMar>
          <w:left w:w="108" w:type="dxa"/>
          <w:top w:w="0" w:type="dxa"/>
          <w:right w:w="108" w:type="dxa"/>
          <w:bottom w:w="0" w:type="dxa"/>
        </w:tblCellMar>
        <w:tblLook w:val="04A0" w:firstRow="1" w:lastRow="0" w:firstColumn="1" w:lastColumn="0" w:noHBand="0" w:noVBand="1"/>
      </w:tblPr>
      <w:tblGrid>
        <w:gridCol w:w="783"/>
        <w:gridCol w:w="1333"/>
        <w:gridCol w:w="726"/>
        <w:gridCol w:w="6194"/>
      </w:tblGrid>
      <w:tr>
        <w:trPr>
          <w:jc w:val="center"/>
          <w:trHeight w:val="446"/>
        </w:trPr>
        <w:tc>
          <w:tcPr>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序号</w:t>
            </w:r>
            <w:r/>
          </w:p>
        </w:tc>
        <w:tc>
          <w:tcPr>
            <w:tcBorders>
              <w:top w:val="single" w:color="auto" w:sz="4" w:space="0"/>
              <w:left w:val="none" w:color="000000" w:sz="4" w:space="0"/>
              <w:bottom w:val="single" w:color="auto" w:sz="4" w:space="0"/>
              <w:right w:val="single" w:color="auto" w:sz="4" w:space="0"/>
            </w:tcBorders>
            <w:tcW w:w="1333"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岗位</w:t>
            </w:r>
            <w:r/>
          </w:p>
        </w:tc>
        <w:tc>
          <w:tcPr>
            <w:tcBorders>
              <w:top w:val="single" w:color="auto" w:sz="4" w:space="0"/>
              <w:left w:val="none" w:color="000000" w:sz="4" w:space="0"/>
              <w:bottom w:val="single" w:color="auto" w:sz="4" w:space="0"/>
              <w:right w:val="single" w:color="auto" w:sz="4" w:space="0"/>
            </w:tcBorders>
            <w:tcW w:w="726"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人数</w:t>
            </w:r>
            <w:r/>
          </w:p>
        </w:tc>
        <w:tc>
          <w:tcPr>
            <w:tcBorders>
              <w:top w:val="single" w:color="auto" w:sz="4" w:space="0"/>
              <w:left w:val="none" w:color="000000" w:sz="4" w:space="0"/>
              <w:bottom w:val="single" w:color="auto" w:sz="4" w:space="0"/>
              <w:right w:val="single" w:color="auto" w:sz="4" w:space="0"/>
            </w:tcBorders>
            <w:tcW w:w="6194"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岗位职责</w:t>
            </w:r>
            <w:r/>
          </w:p>
        </w:tc>
      </w:tr>
      <w:tr>
        <w:trPr>
          <w:jc w:val="center"/>
          <w:trHeight w:val="446"/>
        </w:trPr>
        <w:tc>
          <w:tcPr>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p>
        </w:tc>
        <w:tc>
          <w:tcPr>
            <w:tcBorders>
              <w:top w:val="single" w:color="auto" w:sz="4" w:space="0"/>
              <w:left w:val="none" w:color="000000" w:sz="4" w:space="0"/>
              <w:bottom w:val="single" w:color="auto" w:sz="4" w:space="0"/>
              <w:right w:val="single" w:color="auto" w:sz="4" w:space="0"/>
            </w:tcBorders>
            <w:tcW w:w="1333"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项目经理</w:t>
            </w:r>
            <w:r/>
          </w:p>
        </w:tc>
        <w:tc>
          <w:tcPr>
            <w:tcBorders>
              <w:top w:val="single" w:color="auto" w:sz="4" w:space="0"/>
              <w:left w:val="none" w:color="000000" w:sz="4" w:space="0"/>
              <w:bottom w:val="single" w:color="auto" w:sz="4" w:space="0"/>
              <w:right w:val="single" w:color="auto" w:sz="4" w:space="0"/>
            </w:tcBorders>
            <w:tcW w:w="726" w:type="dxa"/>
            <w:vAlign w:val="center"/>
            <w:textDirection w:val="lrTb"/>
            <w:noWrap w:val="false"/>
          </w:tcPr>
          <w:p>
            <w:pPr>
              <w:jc w:val="center"/>
              <w:spacing w:line="4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p>
        </w:tc>
        <w:tc>
          <w:tcPr>
            <w:tcBorders>
              <w:top w:val="single" w:color="auto" w:sz="4" w:space="0"/>
              <w:left w:val="none" w:color="000000" w:sz="4" w:space="0"/>
              <w:bottom w:val="single" w:color="auto" w:sz="4" w:space="0"/>
              <w:right w:val="single" w:color="auto" w:sz="4" w:space="0"/>
            </w:tcBorders>
            <w:tcW w:w="6194" w:type="dxa"/>
            <w:vAlign w:val="center"/>
            <w:textDirection w:val="lrTb"/>
            <w:noWrap w:val="false"/>
          </w:tcPr>
          <w:p>
            <w:pPr>
              <w:jc w:val="left"/>
              <w:spacing w:line="480" w:lineRule="exact"/>
              <w:widowControl/>
              <w:tabs>
                <w:tab w:val="left" w:pos="42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1.全面负责所有物业管理及服务的各项工作，负责整体服务运作工作及安全生产工作，对本项目的物业管理及服务的品质负责，确保公园服务满意度达标。</w:t>
            </w:r>
            <w:r/>
          </w:p>
          <w:p>
            <w:pPr>
              <w:jc w:val="left"/>
              <w:spacing w:line="480" w:lineRule="exact"/>
              <w:widowControl/>
              <w:tabs>
                <w:tab w:val="left" w:pos="42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2.统筹安排及落实采购人的各项工作要求及任务。</w:t>
            </w:r>
            <w:r/>
          </w:p>
          <w:p>
            <w:pPr>
              <w:jc w:val="left"/>
              <w:spacing w:line="480" w:lineRule="exact"/>
              <w:widowControl/>
              <w:tabs>
                <w:tab w:val="left" w:pos="42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3.制定各类安全管理制度、岗位职责、服务规范。</w:t>
            </w:r>
            <w:r/>
          </w:p>
          <w:p>
            <w:pPr>
              <w:jc w:val="left"/>
              <w:spacing w:line="480" w:lineRule="exact"/>
              <w:widowControl/>
              <w:tabs>
                <w:tab w:val="left" w:pos="42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4.及时与采购人管理部门对接联系，及时处理应急突发事项。</w:t>
            </w:r>
            <w:r/>
          </w:p>
          <w:p>
            <w:pPr>
              <w:jc w:val="left"/>
              <w:spacing w:line="480" w:lineRule="exact"/>
              <w:widowControl/>
              <w:tabs>
                <w:tab w:val="left" w:pos="42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5.协助采购人做好接待创建等各类活动的准备工作。</w:t>
            </w:r>
            <w:r/>
          </w:p>
        </w:tc>
      </w:tr>
      <w:tr>
        <w:trPr>
          <w:jc w:val="center"/>
          <w:trHeight w:val="446"/>
        </w:trPr>
        <w:tc>
          <w:tcPr>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p>
        </w:tc>
        <w:tc>
          <w:tcPr>
            <w:tcBorders>
              <w:top w:val="single" w:color="auto" w:sz="4" w:space="0"/>
              <w:left w:val="single" w:color="auto" w:sz="4" w:space="0"/>
              <w:bottom w:val="single" w:color="auto" w:sz="4" w:space="0"/>
              <w:right w:val="single" w:color="auto" w:sz="4" w:space="0"/>
            </w:tcBorders>
            <w:tcW w:w="1333"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保安主管</w:t>
            </w:r>
            <w:r/>
          </w:p>
        </w:tc>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jc w:val="center"/>
              <w:spacing w:line="4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p>
        </w:tc>
        <w:tc>
          <w:tcPr>
            <w:tcBorders>
              <w:top w:val="single" w:color="auto" w:sz="4" w:space="0"/>
              <w:left w:val="single" w:color="auto" w:sz="4" w:space="0"/>
              <w:bottom w:val="single" w:color="auto" w:sz="4" w:space="0"/>
              <w:right w:val="single" w:color="auto" w:sz="4" w:space="0"/>
            </w:tcBorders>
            <w:tcW w:w="6194" w:type="dxa"/>
            <w:vAlign w:val="center"/>
            <w:textDirection w:val="lrTb"/>
            <w:noWrap w:val="false"/>
          </w:tcPr>
          <w:p>
            <w:pPr>
              <w:jc w:val="left"/>
              <w:spacing w:line="480" w:lineRule="exact"/>
              <w:widowControl/>
              <w:tabs>
                <w:tab w:val="left" w:pos="42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1.负责秩序维护工作。</w:t>
            </w:r>
            <w:r/>
          </w:p>
          <w:p>
            <w:pPr>
              <w:jc w:val="left"/>
              <w:spacing w:line="480" w:lineRule="exact"/>
              <w:widowControl/>
              <w:tabs>
                <w:tab w:val="left" w:pos="42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2.负责消防、监控技防设施操作员值班在岗管理，日常安全管理工作，对安保工作及保安人员进行日常检查管理。</w:t>
            </w:r>
            <w:r/>
          </w:p>
          <w:p>
            <w:pPr>
              <w:jc w:val="left"/>
              <w:spacing w:line="480" w:lineRule="exact"/>
              <w:widowControl/>
              <w:tabs>
                <w:tab w:val="left" w:pos="42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3.合理安排各岗位保安人员，每日对部门各岗位工作完成情况进行抽查。</w:t>
            </w:r>
            <w:r/>
          </w:p>
          <w:p>
            <w:pPr>
              <w:jc w:val="left"/>
              <w:spacing w:line="480" w:lineRule="exact"/>
              <w:widowControl/>
              <w:tabs>
                <w:tab w:val="left" w:pos="42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4.对公共区域共设备进行全面检查，全面负责隋炀帝墓遗址公园安全保卫工作。</w:t>
            </w:r>
            <w:r/>
          </w:p>
          <w:p>
            <w:pPr>
              <w:pStyle w:val="728"/>
              <w:ind w:firstLine="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5.协调各岗位保安人员完成公园安排的各类服务保障工作。</w:t>
            </w:r>
            <w:r/>
          </w:p>
        </w:tc>
      </w:tr>
      <w:tr>
        <w:trPr>
          <w:jc w:val="center"/>
          <w:trHeight w:val="446"/>
        </w:trPr>
        <w:tc>
          <w:tcPr>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w:t>
            </w:r>
            <w:r/>
          </w:p>
        </w:tc>
        <w:tc>
          <w:tcPr>
            <w:tcBorders>
              <w:top w:val="single" w:color="auto" w:sz="4" w:space="0"/>
              <w:left w:val="single" w:color="auto" w:sz="4" w:space="0"/>
              <w:bottom w:val="single" w:color="auto" w:sz="4" w:space="0"/>
              <w:right w:val="single" w:color="auto" w:sz="4" w:space="0"/>
            </w:tcBorders>
            <w:tcW w:w="1333"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保洁主管</w:t>
            </w:r>
            <w:r/>
          </w:p>
        </w:tc>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jc w:val="center"/>
              <w:spacing w:line="4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p>
        </w:tc>
        <w:tc>
          <w:tcPr>
            <w:tcBorders>
              <w:top w:val="single" w:color="auto" w:sz="4" w:space="0"/>
              <w:left w:val="single" w:color="auto" w:sz="4" w:space="0"/>
              <w:bottom w:val="single" w:color="auto" w:sz="4" w:space="0"/>
              <w:right w:val="single" w:color="auto" w:sz="4" w:space="0"/>
            </w:tcBorders>
            <w:tcW w:w="6194" w:type="dxa"/>
            <w:vAlign w:val="center"/>
            <w:textDirection w:val="lrTb"/>
            <w:noWrap w:val="false"/>
          </w:tcPr>
          <w:p>
            <w:pPr>
              <w:jc w:val="left"/>
              <w:spacing w:line="480" w:lineRule="exact"/>
              <w:widowControl/>
              <w:tabs>
                <w:tab w:val="left" w:pos="144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1.全面负责统筹项目内保洁、环境消杀以及清洁人员的日常管理工作。</w:t>
            </w:r>
            <w:r/>
          </w:p>
          <w:p>
            <w:pPr>
              <w:jc w:val="left"/>
              <w:spacing w:line="480" w:lineRule="exact"/>
              <w:widowControl/>
              <w:tabs>
                <w:tab w:val="left" w:pos="144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2.制定保洁工作计划，检查和监督各项工作的实施情况，保证工作的及时完成和工作效率的提高。</w:t>
            </w:r>
            <w:r/>
          </w:p>
          <w:p>
            <w:pPr>
              <w:jc w:val="left"/>
              <w:spacing w:line="480" w:lineRule="exact"/>
              <w:widowControl/>
              <w:tabs>
                <w:tab w:val="left" w:pos="144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3.组织做好公园重要活动、接待的会务工作。</w:t>
            </w:r>
            <w:r/>
          </w:p>
        </w:tc>
      </w:tr>
      <w:tr>
        <w:trPr>
          <w:jc w:val="center"/>
          <w:trHeight w:val="446"/>
        </w:trPr>
        <w:tc>
          <w:tcPr>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w:t>
            </w:r>
            <w:r/>
          </w:p>
        </w:tc>
        <w:tc>
          <w:tcPr>
            <w:tcBorders>
              <w:top w:val="single" w:color="auto" w:sz="4" w:space="0"/>
              <w:left w:val="single" w:color="auto" w:sz="4" w:space="0"/>
              <w:bottom w:val="single" w:color="auto" w:sz="4" w:space="0"/>
              <w:right w:val="single" w:color="auto" w:sz="4" w:space="0"/>
            </w:tcBorders>
            <w:tcW w:w="1333"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消控主管</w:t>
            </w:r>
            <w:r/>
          </w:p>
        </w:tc>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jc w:val="center"/>
              <w:spacing w:line="4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p>
        </w:tc>
        <w:tc>
          <w:tcPr>
            <w:tcBorders>
              <w:top w:val="single" w:color="auto" w:sz="4" w:space="0"/>
              <w:left w:val="single" w:color="auto" w:sz="4" w:space="0"/>
              <w:bottom w:val="single" w:color="auto" w:sz="4" w:space="0"/>
              <w:right w:val="single" w:color="auto" w:sz="4" w:space="0"/>
            </w:tcBorders>
            <w:tcW w:w="6194" w:type="dxa"/>
            <w:vAlign w:val="center"/>
            <w:textDirection w:val="lrTb"/>
            <w:noWrap w:val="false"/>
          </w:tcPr>
          <w:p>
            <w:pPr>
              <w:numPr>
                <w:ilvl w:val="0"/>
                <w:numId w:val="5"/>
              </w:numPr>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全面负责消防安全管理工作。</w:t>
            </w:r>
            <w:r/>
          </w:p>
          <w:p>
            <w:pPr>
              <w:numPr>
                <w:ilvl w:val="0"/>
                <w:numId w:val="5"/>
              </w:numPr>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负责消防、监控技防设施操作员值班在岗管理，日常安全管理工作。</w:t>
            </w:r>
            <w:r/>
          </w:p>
          <w:p>
            <w:pPr>
              <w:numPr>
                <w:ilvl w:val="0"/>
                <w:numId w:val="5"/>
              </w:numPr>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协调各岗位完成公园安排的各类消防安全保障工作。</w:t>
            </w:r>
            <w:r/>
          </w:p>
        </w:tc>
      </w:tr>
      <w:tr>
        <w:trPr>
          <w:jc w:val="center"/>
          <w:trHeight w:val="446"/>
        </w:trPr>
        <w:tc>
          <w:tcPr>
            <w:tcBorders>
              <w:top w:val="none" w:color="000000" w:sz="4" w:space="0"/>
              <w:left w:val="single" w:color="auto" w:sz="4" w:space="0"/>
              <w:bottom w:val="single" w:color="auto" w:sz="4" w:space="0"/>
              <w:right w:val="single" w:color="auto" w:sz="4" w:space="0"/>
            </w:tcBorders>
            <w:tcW w:w="783"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w:t>
            </w:r>
            <w:r/>
          </w:p>
        </w:tc>
        <w:tc>
          <w:tcPr>
            <w:tcBorders>
              <w:top w:val="none" w:color="000000" w:sz="4" w:space="0"/>
              <w:left w:val="none" w:color="000000" w:sz="4" w:space="0"/>
              <w:bottom w:val="single" w:color="auto" w:sz="4" w:space="0"/>
              <w:right w:val="single" w:color="auto" w:sz="4" w:space="0"/>
            </w:tcBorders>
            <w:tcW w:w="1333"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保安员</w:t>
            </w:r>
            <w:r/>
          </w:p>
        </w:tc>
        <w:tc>
          <w:tcPr>
            <w:tcBorders>
              <w:top w:val="none" w:color="000000" w:sz="4" w:space="0"/>
              <w:left w:val="none" w:color="000000" w:sz="4" w:space="0"/>
              <w:bottom w:val="single" w:color="auto" w:sz="4" w:space="0"/>
              <w:right w:val="single" w:color="auto" w:sz="4" w:space="0"/>
            </w:tcBorders>
            <w:tcW w:w="726" w:type="dxa"/>
            <w:vAlign w:val="center"/>
            <w:textDirection w:val="lrTb"/>
            <w:noWrap w:val="false"/>
          </w:tcPr>
          <w:p>
            <w:pPr>
              <w:jc w:val="center"/>
              <w:spacing w:line="4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10</w:t>
            </w:r>
            <w:r/>
          </w:p>
        </w:tc>
        <w:tc>
          <w:tcPr>
            <w:tcBorders>
              <w:top w:val="none" w:color="000000" w:sz="4" w:space="0"/>
              <w:left w:val="none" w:color="000000" w:sz="4" w:space="0"/>
              <w:bottom w:val="single" w:color="auto" w:sz="4" w:space="0"/>
              <w:right w:val="single" w:color="auto" w:sz="4" w:space="0"/>
            </w:tcBorders>
            <w:tcW w:w="6194" w:type="dxa"/>
            <w:vAlign w:val="center"/>
            <w:textDirection w:val="lrTb"/>
            <w:noWrap w:val="false"/>
          </w:tcPr>
          <w:p>
            <w:pPr>
              <w:numPr>
                <w:ilvl w:val="0"/>
                <w:numId w:val="6"/>
              </w:numPr>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对进入公园内的可疑人员进行询问，对无理取闹、寻衅滋事者交相关部门处理。</w:t>
            </w:r>
            <w:r/>
          </w:p>
          <w:p>
            <w:pPr>
              <w:numPr>
                <w:ilvl w:val="0"/>
                <w:numId w:val="6"/>
              </w:numPr>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对公园和场馆进行安全巡查、检查，保障安全。</w:t>
            </w:r>
            <w:r/>
          </w:p>
          <w:p>
            <w:pPr>
              <w:numPr>
                <w:ilvl w:val="0"/>
                <w:numId w:val="6"/>
              </w:numPr>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对来往进出车辆，主动疏导，合理安排临时泊车。</w:t>
            </w:r>
            <w:r/>
          </w:p>
        </w:tc>
      </w:tr>
      <w:tr>
        <w:trPr>
          <w:jc w:val="center"/>
          <w:trHeight w:val="446"/>
        </w:trPr>
        <w:tc>
          <w:tcPr>
            <w:tcBorders>
              <w:top w:val="none" w:color="000000" w:sz="4" w:space="0"/>
              <w:left w:val="single" w:color="auto" w:sz="4" w:space="0"/>
              <w:bottom w:val="single" w:color="auto" w:sz="4" w:space="0"/>
              <w:right w:val="single" w:color="auto" w:sz="4" w:space="0"/>
            </w:tcBorders>
            <w:tcW w:w="783"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w:t>
            </w:r>
            <w:r/>
          </w:p>
        </w:tc>
        <w:tc>
          <w:tcPr>
            <w:tcBorders>
              <w:top w:val="none" w:color="000000" w:sz="4" w:space="0"/>
              <w:left w:val="none" w:color="000000" w:sz="4" w:space="0"/>
              <w:bottom w:val="single" w:color="auto" w:sz="4" w:space="0"/>
              <w:right w:val="single" w:color="auto" w:sz="4" w:space="0"/>
            </w:tcBorders>
            <w:tcW w:w="1333"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保洁员</w:t>
            </w:r>
            <w:r/>
          </w:p>
        </w:tc>
        <w:tc>
          <w:tcPr>
            <w:tcBorders>
              <w:top w:val="none" w:color="000000" w:sz="4" w:space="0"/>
              <w:left w:val="none" w:color="000000" w:sz="4" w:space="0"/>
              <w:bottom w:val="single" w:color="auto" w:sz="4" w:space="0"/>
              <w:right w:val="single" w:color="auto" w:sz="4" w:space="0"/>
            </w:tcBorders>
            <w:tcW w:w="726" w:type="dxa"/>
            <w:vAlign w:val="center"/>
            <w:textDirection w:val="lrTb"/>
            <w:noWrap w:val="false"/>
          </w:tcPr>
          <w:p>
            <w:pPr>
              <w:jc w:val="center"/>
              <w:spacing w:line="4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10</w:t>
            </w:r>
            <w:r/>
          </w:p>
        </w:tc>
        <w:tc>
          <w:tcPr>
            <w:tcBorders>
              <w:top w:val="none" w:color="000000" w:sz="4" w:space="0"/>
              <w:left w:val="none" w:color="000000" w:sz="4" w:space="0"/>
              <w:bottom w:val="single" w:color="auto" w:sz="4" w:space="0"/>
              <w:right w:val="single" w:color="auto" w:sz="4" w:space="0"/>
            </w:tcBorders>
            <w:tcW w:w="6194" w:type="dxa"/>
            <w:vAlign w:val="center"/>
            <w:textDirection w:val="lrTb"/>
            <w:noWrap w:val="false"/>
          </w:tcPr>
          <w:p>
            <w:pPr>
              <w:numPr>
                <w:ilvl w:val="0"/>
                <w:numId w:val="7"/>
              </w:numPr>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场馆内各通道、公共部位、卫生间、扶手、设施设备的日常保洁。</w:t>
            </w:r>
            <w:r/>
          </w:p>
          <w:p>
            <w:pPr>
              <w:numPr>
                <w:ilvl w:val="0"/>
                <w:numId w:val="7"/>
              </w:numPr>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外场保洁及室外道路、绿化的垃圾清运，保洁。</w:t>
            </w:r>
            <w:r/>
          </w:p>
          <w:p>
            <w:pPr>
              <w:numPr>
                <w:ilvl w:val="0"/>
                <w:numId w:val="7"/>
              </w:numPr>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公共部位保洁和垃圾清运。</w:t>
            </w:r>
            <w:r/>
          </w:p>
        </w:tc>
      </w:tr>
      <w:tr>
        <w:trPr>
          <w:jc w:val="center"/>
          <w:trHeight w:val="446"/>
        </w:trPr>
        <w:tc>
          <w:tcPr>
            <w:tcBorders>
              <w:top w:val="none" w:color="000000" w:sz="4" w:space="0"/>
              <w:left w:val="single" w:color="auto" w:sz="4" w:space="0"/>
              <w:bottom w:val="single" w:color="auto" w:sz="4" w:space="0"/>
              <w:right w:val="single" w:color="auto" w:sz="4" w:space="0"/>
            </w:tcBorders>
            <w:tcW w:w="783"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w:t>
            </w:r>
            <w:r/>
          </w:p>
        </w:tc>
        <w:tc>
          <w:tcPr>
            <w:tcBorders>
              <w:top w:val="none" w:color="000000" w:sz="4" w:space="0"/>
              <w:left w:val="none" w:color="000000" w:sz="4" w:space="0"/>
              <w:bottom w:val="single" w:color="auto" w:sz="4" w:space="0"/>
              <w:right w:val="single" w:color="auto" w:sz="4" w:space="0"/>
            </w:tcBorders>
            <w:tcW w:w="1333"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电房工作人员</w:t>
            </w:r>
            <w:r/>
          </w:p>
        </w:tc>
        <w:tc>
          <w:tcPr>
            <w:tcBorders>
              <w:top w:val="none" w:color="000000" w:sz="4" w:space="0"/>
              <w:left w:val="none" w:color="000000" w:sz="4" w:space="0"/>
              <w:bottom w:val="single" w:color="auto" w:sz="4" w:space="0"/>
              <w:right w:val="single" w:color="auto" w:sz="4" w:space="0"/>
            </w:tcBorders>
            <w:tcW w:w="726" w:type="dxa"/>
            <w:vAlign w:val="center"/>
            <w:textDirection w:val="lrTb"/>
            <w:noWrap w:val="false"/>
          </w:tcPr>
          <w:p>
            <w:pPr>
              <w:jc w:val="center"/>
              <w:spacing w:line="4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w:t>
            </w:r>
            <w:r/>
          </w:p>
        </w:tc>
        <w:tc>
          <w:tcPr>
            <w:tcBorders>
              <w:top w:val="none" w:color="000000" w:sz="4" w:space="0"/>
              <w:left w:val="none" w:color="000000" w:sz="4" w:space="0"/>
              <w:bottom w:val="single" w:color="auto" w:sz="4" w:space="0"/>
              <w:right w:val="single" w:color="auto" w:sz="4" w:space="0"/>
            </w:tcBorders>
            <w:tcW w:w="6194" w:type="dxa"/>
            <w:vAlign w:val="center"/>
            <w:textDirection w:val="lrTb"/>
            <w:noWrap w:val="false"/>
          </w:tcPr>
          <w:p>
            <w:pPr>
              <w:numPr>
                <w:ilvl w:val="0"/>
                <w:numId w:val="8"/>
              </w:numPr>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每日对公共区域现场的巡查及维修、强电弱电设施设备的运行情况巡查及管理。</w:t>
            </w:r>
            <w:r/>
          </w:p>
          <w:p>
            <w:pPr>
              <w:numPr>
                <w:ilvl w:val="0"/>
                <w:numId w:val="8"/>
              </w:numPr>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公共设施设备的维修保养及现场应急处理。</w:t>
            </w:r>
            <w:r/>
          </w:p>
          <w:p>
            <w:pPr>
              <w:numPr>
                <w:ilvl w:val="0"/>
                <w:numId w:val="8"/>
              </w:numPr>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负责总配电房各项管理、值班。每日巡检各电力设施、设备运行情况，检查照明系统、电力供配电系统、机房、动力系统、中央空调系统运行情况，记录当日低压电柜运行数据。</w:t>
            </w:r>
            <w:r/>
          </w:p>
        </w:tc>
      </w:tr>
      <w:tr>
        <w:trPr>
          <w:jc w:val="center"/>
          <w:trHeight w:val="446"/>
        </w:trPr>
        <w:tc>
          <w:tcPr>
            <w:tcBorders>
              <w:top w:val="none" w:color="000000" w:sz="4" w:space="0"/>
              <w:left w:val="single" w:color="auto" w:sz="4" w:space="0"/>
              <w:bottom w:val="single" w:color="auto" w:sz="4" w:space="0"/>
              <w:right w:val="single" w:color="auto" w:sz="4" w:space="0"/>
            </w:tcBorders>
            <w:tcW w:w="783"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w:t>
            </w:r>
            <w:r/>
          </w:p>
        </w:tc>
        <w:tc>
          <w:tcPr>
            <w:tcBorders>
              <w:top w:val="none" w:color="000000" w:sz="4" w:space="0"/>
              <w:left w:val="none" w:color="000000" w:sz="4" w:space="0"/>
              <w:bottom w:val="single" w:color="auto" w:sz="4" w:space="0"/>
              <w:right w:val="single" w:color="auto" w:sz="4" w:space="0"/>
            </w:tcBorders>
            <w:tcW w:w="1333"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消防控制室工作人员</w:t>
            </w:r>
            <w:r/>
          </w:p>
        </w:tc>
        <w:tc>
          <w:tcPr>
            <w:tcBorders>
              <w:top w:val="none" w:color="000000" w:sz="4" w:space="0"/>
              <w:left w:val="none" w:color="000000" w:sz="4" w:space="0"/>
              <w:bottom w:val="single" w:color="auto" w:sz="4" w:space="0"/>
              <w:right w:val="single" w:color="auto" w:sz="4" w:space="0"/>
            </w:tcBorders>
            <w:tcW w:w="726" w:type="dxa"/>
            <w:vAlign w:val="center"/>
            <w:textDirection w:val="lrTb"/>
            <w:noWrap w:val="false"/>
          </w:tcPr>
          <w:p>
            <w:pPr>
              <w:jc w:val="center"/>
              <w:spacing w:line="4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w:t>
            </w:r>
            <w:r/>
          </w:p>
        </w:tc>
        <w:tc>
          <w:tcPr>
            <w:tcBorders>
              <w:top w:val="none" w:color="000000" w:sz="4" w:space="0"/>
              <w:left w:val="none" w:color="000000" w:sz="4" w:space="0"/>
              <w:bottom w:val="single" w:color="auto" w:sz="4" w:space="0"/>
              <w:right w:val="single" w:color="auto" w:sz="4" w:space="0"/>
            </w:tcBorders>
            <w:tcW w:w="6194" w:type="dxa"/>
            <w:vAlign w:val="center"/>
            <w:textDirection w:val="lrTb"/>
            <w:noWrap w:val="false"/>
          </w:tcPr>
          <w:p>
            <w:pPr>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1、负责消防、监控技防设施操作管理。</w:t>
            </w:r>
            <w:r/>
          </w:p>
          <w:p>
            <w:pPr>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2、负责消控室24小时持证管理、值班。</w:t>
            </w:r>
            <w:r/>
          </w:p>
          <w:p>
            <w:pPr>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3、每日巡检公共区域各消防设施、设备运行情况，处理各类消防主机故障、报警，配合消防专业维保公司进行专项维保，做好各消防主管部门检查管理保障。</w:t>
            </w:r>
            <w:r/>
          </w:p>
        </w:tc>
      </w:tr>
      <w:tr>
        <w:trPr>
          <w:jc w:val="center"/>
          <w:trHeight w:val="446"/>
        </w:trPr>
        <w:tc>
          <w:tcPr>
            <w:tcBorders>
              <w:top w:val="none" w:color="000000" w:sz="4" w:space="0"/>
              <w:left w:val="single" w:color="auto" w:sz="4" w:space="0"/>
              <w:bottom w:val="single" w:color="auto" w:sz="4" w:space="0"/>
              <w:right w:val="single" w:color="auto" w:sz="4" w:space="0"/>
            </w:tcBorders>
            <w:tcW w:w="783"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9</w:t>
            </w:r>
            <w:r/>
          </w:p>
        </w:tc>
        <w:tc>
          <w:tcPr>
            <w:tcBorders>
              <w:top w:val="none" w:color="000000" w:sz="4" w:space="0"/>
              <w:left w:val="none" w:color="000000" w:sz="4" w:space="0"/>
              <w:bottom w:val="single" w:color="auto" w:sz="4" w:space="0"/>
              <w:right w:val="single" w:color="auto" w:sz="4" w:space="0"/>
            </w:tcBorders>
            <w:tcW w:w="1333"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安检员</w:t>
            </w:r>
            <w:r/>
          </w:p>
        </w:tc>
        <w:tc>
          <w:tcPr>
            <w:tcBorders>
              <w:top w:val="none" w:color="000000" w:sz="4" w:space="0"/>
              <w:left w:val="none" w:color="000000" w:sz="4" w:space="0"/>
              <w:bottom w:val="single" w:color="auto" w:sz="4" w:space="0"/>
              <w:right w:val="single" w:color="auto" w:sz="4" w:space="0"/>
            </w:tcBorders>
            <w:tcW w:w="726" w:type="dxa"/>
            <w:vAlign w:val="center"/>
            <w:textDirection w:val="lrTb"/>
            <w:noWrap w:val="false"/>
          </w:tcPr>
          <w:p>
            <w:pPr>
              <w:jc w:val="center"/>
              <w:spacing w:line="4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w:t>
            </w:r>
            <w:r/>
          </w:p>
        </w:tc>
        <w:tc>
          <w:tcPr>
            <w:tcBorders>
              <w:top w:val="none" w:color="000000" w:sz="4" w:space="0"/>
              <w:left w:val="none" w:color="000000" w:sz="4" w:space="0"/>
              <w:bottom w:val="single" w:color="auto" w:sz="4" w:space="0"/>
              <w:right w:val="single" w:color="auto" w:sz="4" w:space="0"/>
            </w:tcBorders>
            <w:tcW w:w="6194" w:type="dxa"/>
            <w:vAlign w:val="center"/>
            <w:textDirection w:val="lrTb"/>
            <w:noWrap w:val="false"/>
          </w:tcPr>
          <w:p>
            <w:pPr>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1、熟练掌握隋炀帝墓遗址公园各场馆内部各种安检设备的操作及识别方法。</w:t>
            </w:r>
            <w:r/>
          </w:p>
          <w:p>
            <w:pPr>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2、对所有进馆人员按照“逢包必检”的安检要求，负责宣传引导人员进入安检区域。</w:t>
            </w:r>
            <w:r/>
          </w:p>
          <w:p>
            <w:pPr>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3、对可疑物品进行针对性探测，确定可疑物品性质，及时报公园管理部门，并做好登记记录。</w:t>
            </w:r>
            <w:r/>
          </w:p>
        </w:tc>
      </w:tr>
      <w:tr>
        <w:trPr>
          <w:jc w:val="center"/>
          <w:trHeight w:val="446"/>
        </w:trPr>
        <w:tc>
          <w:tcPr>
            <w:tcBorders>
              <w:top w:val="none" w:color="000000" w:sz="4" w:space="0"/>
              <w:left w:val="single" w:color="auto" w:sz="4" w:space="0"/>
              <w:bottom w:val="single" w:color="auto" w:sz="4" w:space="0"/>
              <w:right w:val="single" w:color="auto" w:sz="4" w:space="0"/>
            </w:tcBorders>
            <w:tcW w:w="783"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10</w:t>
            </w:r>
            <w:r/>
          </w:p>
        </w:tc>
        <w:tc>
          <w:tcPr>
            <w:tcBorders>
              <w:top w:val="none" w:color="000000" w:sz="4" w:space="0"/>
              <w:left w:val="none" w:color="000000" w:sz="4" w:space="0"/>
              <w:bottom w:val="single" w:color="auto" w:sz="4" w:space="0"/>
              <w:right w:val="single" w:color="auto" w:sz="4" w:space="0"/>
            </w:tcBorders>
            <w:tcW w:w="1333"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客服人员</w:t>
            </w:r>
            <w:r/>
          </w:p>
        </w:tc>
        <w:tc>
          <w:tcPr>
            <w:tcBorders>
              <w:top w:val="none" w:color="000000" w:sz="4" w:space="0"/>
              <w:left w:val="none" w:color="000000" w:sz="4" w:space="0"/>
              <w:bottom w:val="single" w:color="auto" w:sz="4" w:space="0"/>
              <w:right w:val="single" w:color="auto" w:sz="4" w:space="0"/>
            </w:tcBorders>
            <w:tcW w:w="726" w:type="dxa"/>
            <w:vAlign w:val="center"/>
            <w:textDirection w:val="lrTb"/>
            <w:noWrap w:val="false"/>
          </w:tcPr>
          <w:p>
            <w:pPr>
              <w:jc w:val="center"/>
              <w:spacing w:line="4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p>
        </w:tc>
        <w:tc>
          <w:tcPr>
            <w:tcBorders>
              <w:top w:val="none" w:color="000000" w:sz="4" w:space="0"/>
              <w:left w:val="none" w:color="000000" w:sz="4" w:space="0"/>
              <w:bottom w:val="single" w:color="auto" w:sz="4" w:space="0"/>
              <w:right w:val="single" w:color="auto" w:sz="4" w:space="0"/>
            </w:tcBorders>
            <w:tcW w:w="6194" w:type="dxa"/>
            <w:vAlign w:val="center"/>
            <w:textDirection w:val="lrTb"/>
            <w:noWrap w:val="false"/>
          </w:tcPr>
          <w:p>
            <w:pPr>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1、能够熟练使用英语对话，配合采购人为外国游客做好导览工作。</w:t>
            </w:r>
            <w:r/>
          </w:p>
          <w:p>
            <w:pPr>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2、配合采购人熟练接听游客热线，并对咨询意见进行解答。</w:t>
            </w:r>
            <w:r/>
          </w:p>
          <w:p>
            <w:pPr>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3、配合采购人做好前台及展厅相关工作。</w:t>
            </w:r>
            <w:r/>
          </w:p>
        </w:tc>
      </w:tr>
    </w:tbl>
    <w:p>
      <w:pPr>
        <w:pStyle w:val="1049"/>
        <w:ind w:firstLine="241"/>
        <w:spacing w:before="0" w:line="480" w:lineRule="exact"/>
        <w:rPr>
          <w:rFonts w:cs="宋体" w:asciiTheme="minorEastAsia" w:hAnsiTheme="minorEastAsia" w:eastAsiaTheme="minorEastAsia"/>
          <w:b/>
          <w:bCs/>
          <w:szCs w:val="24"/>
        </w:rPr>
      </w:pPr>
      <w:r>
        <w:rPr>
          <w:rFonts w:cs="宋体" w:asciiTheme="minorEastAsia" w:hAnsiTheme="minorEastAsia" w:eastAsiaTheme="minorEastAsia"/>
          <w:b/>
          <w:bCs/>
          <w:szCs w:val="24"/>
        </w:rPr>
        <w:t xml:space="preserve">（二）</w:t>
      </w:r>
      <w:r>
        <w:rPr>
          <w:rFonts w:hint="eastAsia" w:cs="宋体" w:asciiTheme="minorEastAsia" w:hAnsiTheme="minorEastAsia" w:eastAsiaTheme="minorEastAsia"/>
          <w:b/>
          <w:bCs/>
          <w:szCs w:val="24"/>
        </w:rPr>
        <w:t xml:space="preserve">人员素质</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1、项目经理：1名，</w:t>
      </w:r>
      <w:r>
        <w:rPr>
          <w:rFonts w:hint="eastAsia" w:cs="宋体" w:asciiTheme="minorEastAsia" w:hAnsiTheme="minorEastAsia" w:eastAsiaTheme="minorEastAsia"/>
          <w:bCs/>
          <w:sz w:val="24"/>
          <w:szCs w:val="24"/>
        </w:rPr>
        <w:t xml:space="preserve">男女不限，</w:t>
      </w:r>
      <w:r>
        <w:rPr>
          <w:rFonts w:hint="eastAsia" w:cs="宋体" w:asciiTheme="minorEastAsia" w:hAnsiTheme="minorEastAsia" w:eastAsiaTheme="minorEastAsia"/>
          <w:b/>
          <w:i/>
          <w:sz w:val="24"/>
          <w:szCs w:val="24"/>
          <w:u w:val="single"/>
        </w:rPr>
        <w:t xml:space="preserve">年龄45周岁及以下，本科及以上学历，近三年担任过场馆类建筑物业管理项目负责人经验（毕业证书及学信网查询截图，附服务单位联系方式的任职证明、投标人近</w:t>
      </w:r>
      <w:r>
        <w:rPr>
          <w:rFonts w:hint="eastAsia" w:cs="宋体" w:asciiTheme="minorEastAsia" w:hAnsiTheme="minorEastAsia" w:eastAsiaTheme="minorEastAsia"/>
          <w:b/>
          <w:i/>
          <w:sz w:val="24"/>
          <w:szCs w:val="24"/>
          <w:u w:val="single"/>
          <w:lang w:val="en-US" w:eastAsia="zh-CN"/>
        </w:rPr>
        <w:t xml:space="preserve">3</w:t>
      </w:r>
      <w:r>
        <w:rPr>
          <w:rFonts w:hint="eastAsia" w:cs="宋体" w:asciiTheme="minorEastAsia" w:hAnsiTheme="minorEastAsia" w:eastAsiaTheme="minorEastAsia"/>
          <w:b/>
          <w:i/>
          <w:sz w:val="24"/>
          <w:szCs w:val="24"/>
          <w:u w:val="single"/>
        </w:rPr>
        <w:t xml:space="preserve">个月内任意</w:t>
      </w:r>
      <w:r>
        <w:rPr>
          <w:rFonts w:hint="eastAsia" w:cs="宋体" w:asciiTheme="minorEastAsia" w:hAnsiTheme="minorEastAsia" w:eastAsiaTheme="minorEastAsia"/>
          <w:b/>
          <w:i/>
          <w:sz w:val="24"/>
          <w:szCs w:val="24"/>
          <w:u w:val="single"/>
          <w:lang w:val="en-US" w:eastAsia="zh-CN"/>
        </w:rPr>
        <w:t xml:space="preserve">1</w:t>
      </w:r>
      <w:r>
        <w:rPr>
          <w:rFonts w:hint="eastAsia" w:cs="宋体" w:asciiTheme="minorEastAsia" w:hAnsiTheme="minorEastAsia" w:eastAsiaTheme="minorEastAsia"/>
          <w:b/>
          <w:i/>
          <w:sz w:val="24"/>
          <w:szCs w:val="24"/>
          <w:u w:val="single"/>
        </w:rPr>
        <w:t xml:space="preserve">个月为其缴纳的带二维码核验的社保缴纳证明，原件扫描上传）。</w:t>
      </w:r>
      <w:r>
        <w:rPr>
          <w:rFonts w:hint="eastAsia" w:cs="宋体" w:asciiTheme="minorEastAsia" w:hAnsiTheme="minorEastAsia" w:eastAsiaTheme="minorEastAsia"/>
          <w:bCs/>
          <w:sz w:val="24"/>
          <w:szCs w:val="24"/>
        </w:rPr>
        <w:t xml:space="preserve">知识面宽，专业职能熟练，有较强的组织管理能力、协调能力；身体健康，体检合格。</w:t>
      </w:r>
      <w:r/>
    </w:p>
    <w:p>
      <w:pPr>
        <w:pStyle w:val="1049"/>
        <w:ind w:firstLine="480"/>
        <w:spacing w:before="0" w:line="500" w:lineRule="exact"/>
        <w:rPr>
          <w:rFonts w:cs="宋体" w:asciiTheme="minorEastAsia" w:hAnsiTheme="minorEastAsia" w:eastAsiaTheme="minorEastAsia"/>
          <w:b/>
          <w:bCs/>
          <w:szCs w:val="24"/>
        </w:rPr>
      </w:pPr>
      <w:r>
        <w:rPr>
          <w:rFonts w:hint="eastAsia" w:cs="宋体" w:asciiTheme="minorEastAsia" w:hAnsiTheme="minorEastAsia" w:eastAsiaTheme="minorEastAsia"/>
          <w:szCs w:val="24"/>
        </w:rPr>
        <w:t xml:space="preserve">2、保安主管：1名，</w:t>
      </w:r>
      <w:r>
        <w:rPr>
          <w:rFonts w:hint="eastAsia" w:cs="宋体" w:asciiTheme="minorEastAsia" w:hAnsiTheme="minorEastAsia" w:eastAsiaTheme="minorEastAsia"/>
          <w:bCs/>
          <w:szCs w:val="24"/>
        </w:rPr>
        <w:t xml:space="preserve">男女不限,</w:t>
      </w:r>
      <w:r>
        <w:rPr>
          <w:rFonts w:hint="eastAsia" w:cs="宋体" w:asciiTheme="minorEastAsia" w:hAnsiTheme="minorEastAsia" w:eastAsiaTheme="minorEastAsia"/>
          <w:b/>
          <w:i/>
          <w:szCs w:val="24"/>
          <w:u w:val="single"/>
        </w:rPr>
        <w:t xml:space="preserve">年龄45周岁及以下，</w:t>
      </w:r>
      <w:r>
        <w:rPr>
          <w:rFonts w:hint="eastAsia" w:ascii="宋体" w:hAnsi="宋体" w:cs="宋体"/>
          <w:b/>
          <w:i/>
          <w:szCs w:val="24"/>
          <w:u w:val="single"/>
        </w:rPr>
        <w:t xml:space="preserve">持有高级保安员证</w:t>
      </w:r>
      <w:r>
        <w:rPr>
          <w:rFonts w:hint="eastAsia" w:ascii="宋体" w:hAnsi="宋体" w:cs="宋体"/>
          <w:b/>
          <w:i/>
          <w:iCs/>
          <w:color w:val="000000"/>
          <w:szCs w:val="24"/>
          <w:u w:val="single"/>
          <w:shd w:val="clear" w:color="auto" w:fill="ffffff"/>
        </w:rPr>
        <w:t xml:space="preserve">（三级）</w:t>
      </w:r>
      <w:r>
        <w:rPr>
          <w:rFonts w:hint="eastAsia" w:cs="宋体" w:asciiTheme="minorEastAsia" w:hAnsiTheme="minorEastAsia" w:eastAsiaTheme="minorEastAsia"/>
          <w:b/>
          <w:i/>
          <w:szCs w:val="24"/>
          <w:u w:val="single"/>
        </w:rPr>
        <w:t xml:space="preserve">，近三年担任过场馆类建筑物业保安主管任职经历。（须提供</w:t>
      </w:r>
      <w:r>
        <w:rPr>
          <w:rFonts w:hint="eastAsia" w:ascii="宋体" w:hAnsi="宋体" w:cs="宋体"/>
          <w:b/>
          <w:i/>
          <w:szCs w:val="24"/>
          <w:u w:val="single"/>
        </w:rPr>
        <w:t xml:space="preserve">高级保安员证</w:t>
      </w:r>
      <w:r>
        <w:rPr>
          <w:rFonts w:hint="eastAsia" w:ascii="宋体" w:hAnsi="宋体" w:cs="宋体"/>
          <w:b/>
          <w:i/>
          <w:iCs/>
          <w:color w:val="000000"/>
          <w:szCs w:val="24"/>
          <w:u w:val="single"/>
          <w:shd w:val="clear" w:color="auto" w:fill="ffffff"/>
        </w:rPr>
        <w:t xml:space="preserve">（三级）</w:t>
      </w:r>
      <w:r>
        <w:rPr>
          <w:rFonts w:hint="eastAsia" w:cs="宋体" w:asciiTheme="minorEastAsia" w:hAnsiTheme="minorEastAsia" w:eastAsiaTheme="minorEastAsia"/>
          <w:b/>
          <w:i/>
          <w:szCs w:val="24"/>
          <w:u w:val="single"/>
        </w:rPr>
        <w:t xml:space="preserve">，附服务单位联系方式的任职证明、投标人近</w:t>
      </w:r>
      <w:r>
        <w:rPr>
          <w:rFonts w:hint="eastAsia" w:cs="宋体" w:asciiTheme="minorEastAsia" w:hAnsiTheme="minorEastAsia" w:eastAsiaTheme="minorEastAsia"/>
          <w:b/>
          <w:i/>
          <w:szCs w:val="24"/>
          <w:u w:val="single"/>
          <w:lang w:val="en-US" w:eastAsia="zh-CN"/>
        </w:rPr>
        <w:t xml:space="preserve">3</w:t>
      </w:r>
      <w:r>
        <w:rPr>
          <w:rFonts w:hint="eastAsia" w:cs="宋体" w:asciiTheme="minorEastAsia" w:hAnsiTheme="minorEastAsia" w:eastAsiaTheme="minorEastAsia"/>
          <w:b/>
          <w:i/>
          <w:szCs w:val="24"/>
          <w:u w:val="single"/>
        </w:rPr>
        <w:t xml:space="preserve">个月内任意</w:t>
      </w:r>
      <w:r>
        <w:rPr>
          <w:rFonts w:hint="eastAsia" w:cs="宋体" w:asciiTheme="minorEastAsia" w:hAnsiTheme="minorEastAsia" w:eastAsiaTheme="minorEastAsia"/>
          <w:b/>
          <w:i/>
          <w:szCs w:val="24"/>
          <w:u w:val="single"/>
          <w:lang w:val="en-US" w:eastAsia="zh-CN"/>
        </w:rPr>
        <w:t xml:space="preserve">1</w:t>
      </w:r>
      <w:r>
        <w:rPr>
          <w:rFonts w:hint="eastAsia" w:cs="宋体" w:asciiTheme="minorEastAsia" w:hAnsiTheme="minorEastAsia" w:eastAsiaTheme="minorEastAsia"/>
          <w:b/>
          <w:i/>
          <w:szCs w:val="24"/>
          <w:u w:val="single"/>
        </w:rPr>
        <w:t xml:space="preserve">个月为其缴纳的带二维码核验的社保缴纳证明，原件扫描上传)。</w:t>
      </w:r>
      <w:r>
        <w:rPr>
          <w:rFonts w:hint="eastAsia" w:cs="宋体" w:asciiTheme="minorEastAsia" w:hAnsiTheme="minorEastAsia" w:eastAsiaTheme="minorEastAsia"/>
          <w:b/>
          <w:bCs/>
          <w:szCs w:val="24"/>
        </w:rPr>
        <w:t xml:space="preserve"> </w:t>
      </w:r>
      <w:r>
        <w:rPr>
          <w:rFonts w:hint="eastAsia" w:cs="宋体" w:asciiTheme="minorEastAsia" w:hAnsiTheme="minorEastAsia" w:eastAsiaTheme="minorEastAsia"/>
          <w:bCs/>
          <w:szCs w:val="24"/>
        </w:rPr>
        <w:t xml:space="preserve">专业职能熟练，有较强的组织管理能力、协调能力；身体健康，体检合格。</w:t>
      </w:r>
      <w:r/>
    </w:p>
    <w:p>
      <w:pPr>
        <w:pStyle w:val="1049"/>
        <w:ind w:firstLine="480"/>
        <w:spacing w:before="0" w:line="500" w:lineRule="exact"/>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3、保洁主管：1名，女性，</w:t>
      </w:r>
      <w:r>
        <w:rPr>
          <w:rFonts w:hint="eastAsia" w:cs="宋体" w:asciiTheme="minorEastAsia" w:hAnsiTheme="minorEastAsia" w:eastAsiaTheme="minorEastAsia"/>
          <w:b/>
          <w:i/>
          <w:szCs w:val="24"/>
          <w:u w:val="single"/>
        </w:rPr>
        <w:t xml:space="preserve">年龄35周岁及以下，本科及</w:t>
      </w:r>
      <w:r>
        <w:rPr>
          <w:rFonts w:hint="eastAsia" w:cs="宋体" w:asciiTheme="minorEastAsia" w:hAnsiTheme="minorEastAsia" w:eastAsiaTheme="minorEastAsia"/>
          <w:b/>
          <w:i/>
          <w:szCs w:val="24"/>
          <w:u w:val="single"/>
          <w:lang w:val="zh-CN"/>
        </w:rPr>
        <w:t xml:space="preserve">以上学历，</w:t>
      </w:r>
      <w:r>
        <w:rPr>
          <w:rFonts w:hint="eastAsia" w:cs="宋体" w:asciiTheme="minorEastAsia" w:hAnsiTheme="minorEastAsia" w:eastAsiaTheme="minorEastAsia"/>
          <w:b/>
          <w:i/>
          <w:szCs w:val="24"/>
          <w:u w:val="single"/>
        </w:rPr>
        <w:t xml:space="preserve">近三年担任过场馆类建筑物业保洁主管工作经历。（须提供学历证书及学信网查询截图，附服务单位联系方式的任职证明、投标人近</w:t>
      </w:r>
      <w:r>
        <w:rPr>
          <w:rFonts w:hint="eastAsia" w:cs="宋体" w:asciiTheme="minorEastAsia" w:hAnsiTheme="minorEastAsia" w:eastAsiaTheme="minorEastAsia"/>
          <w:b/>
          <w:i/>
          <w:szCs w:val="24"/>
          <w:u w:val="single"/>
          <w:lang w:val="en-US" w:eastAsia="zh-CN"/>
        </w:rPr>
        <w:t xml:space="preserve">3</w:t>
      </w:r>
      <w:r>
        <w:rPr>
          <w:rFonts w:hint="eastAsia" w:cs="宋体" w:asciiTheme="minorEastAsia" w:hAnsiTheme="minorEastAsia" w:eastAsiaTheme="minorEastAsia"/>
          <w:b/>
          <w:i/>
          <w:szCs w:val="24"/>
          <w:u w:val="single"/>
        </w:rPr>
        <w:t xml:space="preserve">个月内任意</w:t>
      </w:r>
      <w:r>
        <w:rPr>
          <w:rFonts w:hint="eastAsia" w:cs="宋体" w:asciiTheme="minorEastAsia" w:hAnsiTheme="minorEastAsia" w:eastAsiaTheme="minorEastAsia"/>
          <w:b/>
          <w:i/>
          <w:szCs w:val="24"/>
          <w:u w:val="single"/>
          <w:lang w:val="en-US" w:eastAsia="zh-CN"/>
        </w:rPr>
        <w:t xml:space="preserve">1</w:t>
      </w:r>
      <w:r>
        <w:rPr>
          <w:rFonts w:hint="eastAsia" w:cs="宋体" w:asciiTheme="minorEastAsia" w:hAnsiTheme="minorEastAsia" w:eastAsiaTheme="minorEastAsia"/>
          <w:b/>
          <w:i/>
          <w:szCs w:val="24"/>
          <w:u w:val="single"/>
        </w:rPr>
        <w:t xml:space="preserve">个月为其缴纳的带二维码核验的社保缴纳证明，原件扫描上传)。</w:t>
      </w:r>
      <w:r>
        <w:rPr>
          <w:rFonts w:hint="eastAsia" w:cs="宋体" w:asciiTheme="minorEastAsia" w:hAnsiTheme="minorEastAsia" w:eastAsiaTheme="minorEastAsia"/>
          <w:szCs w:val="24"/>
        </w:rPr>
        <w:t xml:space="preserve">服务意识和责任心强，业务能力熟练，具有较高的组织服务水平，</w:t>
      </w:r>
      <w:r>
        <w:rPr>
          <w:rFonts w:hint="eastAsia" w:cs="宋体" w:asciiTheme="minorEastAsia" w:hAnsiTheme="minorEastAsia" w:eastAsiaTheme="minorEastAsia"/>
          <w:bCs/>
          <w:szCs w:val="24"/>
        </w:rPr>
        <w:t xml:space="preserve">身体健康，体检合格</w:t>
      </w:r>
      <w:r>
        <w:rPr>
          <w:rFonts w:hint="eastAsia" w:cs="宋体" w:asciiTheme="minorEastAsia" w:hAnsiTheme="minorEastAsia" w:eastAsiaTheme="minorEastAsia"/>
          <w:szCs w:val="24"/>
        </w:rPr>
        <w:t xml:space="preserve">。</w:t>
      </w:r>
      <w:r/>
    </w:p>
    <w:p>
      <w:pPr>
        <w:pStyle w:val="1049"/>
        <w:ind w:firstLine="480"/>
        <w:spacing w:before="0" w:line="500" w:lineRule="exact"/>
        <w:rPr>
          <w:rFonts w:cs="宋体" w:asciiTheme="minorEastAsia" w:hAnsiTheme="minorEastAsia" w:eastAsiaTheme="minorEastAsia"/>
          <w:bCs/>
          <w:szCs w:val="24"/>
        </w:rPr>
      </w:pPr>
      <w:r>
        <w:rPr>
          <w:rFonts w:hint="eastAsia" w:cs="宋体" w:asciiTheme="minorEastAsia" w:hAnsiTheme="minorEastAsia" w:eastAsiaTheme="minorEastAsia"/>
          <w:szCs w:val="24"/>
        </w:rPr>
        <w:t xml:space="preserve">4、消控主管：1名，男性，</w:t>
      </w:r>
      <w:r>
        <w:rPr>
          <w:rFonts w:hint="eastAsia" w:cs="宋体" w:asciiTheme="minorEastAsia" w:hAnsiTheme="minorEastAsia" w:eastAsiaTheme="minorEastAsia"/>
          <w:b/>
          <w:i/>
          <w:szCs w:val="24"/>
          <w:u w:val="single"/>
        </w:rPr>
        <w:t xml:space="preserve">年龄45周岁及以下，具备行政主管部门颁发消防设施操作员证或建（构）筑物消防员证（四级）。近三年担任过场馆类建筑物业消控主管任职经历。（须提供消防设施操作员证或建（构）筑物消防员证（四级），附服务单位联系方式的任职证明、投标人近</w:t>
      </w:r>
      <w:r>
        <w:rPr>
          <w:rFonts w:hint="eastAsia" w:cs="宋体" w:asciiTheme="minorEastAsia" w:hAnsiTheme="minorEastAsia" w:eastAsiaTheme="minorEastAsia"/>
          <w:b/>
          <w:i/>
          <w:szCs w:val="24"/>
          <w:u w:val="single"/>
          <w:lang w:val="en-US" w:eastAsia="zh-CN"/>
        </w:rPr>
        <w:t xml:space="preserve">3</w:t>
      </w:r>
      <w:r>
        <w:rPr>
          <w:rFonts w:hint="eastAsia" w:cs="宋体" w:asciiTheme="minorEastAsia" w:hAnsiTheme="minorEastAsia" w:eastAsiaTheme="minorEastAsia"/>
          <w:b/>
          <w:i/>
          <w:szCs w:val="24"/>
          <w:u w:val="single"/>
        </w:rPr>
        <w:t xml:space="preserve">个月内任意</w:t>
      </w:r>
      <w:r>
        <w:rPr>
          <w:rFonts w:hint="eastAsia" w:cs="宋体" w:asciiTheme="minorEastAsia" w:hAnsiTheme="minorEastAsia" w:eastAsiaTheme="minorEastAsia"/>
          <w:b/>
          <w:i/>
          <w:szCs w:val="24"/>
          <w:u w:val="single"/>
          <w:lang w:val="en-US" w:eastAsia="zh-CN"/>
        </w:rPr>
        <w:t xml:space="preserve">1</w:t>
      </w:r>
      <w:r>
        <w:rPr>
          <w:rFonts w:hint="eastAsia" w:cs="宋体" w:asciiTheme="minorEastAsia" w:hAnsiTheme="minorEastAsia" w:eastAsiaTheme="minorEastAsia"/>
          <w:b/>
          <w:i/>
          <w:szCs w:val="24"/>
          <w:u w:val="single"/>
        </w:rPr>
        <w:t xml:space="preserve">个月为其缴纳的带二维码核验的社保缴纳证明，原件扫描上传)</w:t>
      </w:r>
      <w:r>
        <w:rPr>
          <w:rFonts w:hint="eastAsia" w:cs="宋体" w:asciiTheme="minorEastAsia" w:hAnsiTheme="minorEastAsia" w:eastAsiaTheme="minorEastAsia"/>
          <w:b/>
          <w:bCs/>
          <w:szCs w:val="24"/>
        </w:rPr>
        <w:t xml:space="preserve"> 。</w:t>
      </w:r>
      <w:r>
        <w:rPr>
          <w:rFonts w:hint="eastAsia" w:cs="宋体" w:asciiTheme="minorEastAsia" w:hAnsiTheme="minorEastAsia" w:eastAsiaTheme="minorEastAsia"/>
          <w:bCs/>
          <w:szCs w:val="24"/>
        </w:rPr>
        <w:t xml:space="preserve">专业职能熟练，有较强的组织管理能力、协调能力；身体健康，体检合格。</w:t>
      </w:r>
      <w:r/>
    </w:p>
    <w:p>
      <w:pPr>
        <w:pStyle w:val="1049"/>
        <w:ind w:firstLine="480"/>
        <w:spacing w:before="0" w:line="500" w:lineRule="exact"/>
        <w:rPr>
          <w:rFonts w:hint="eastAsia" w:cs="宋体" w:asciiTheme="minorEastAsia" w:hAnsiTheme="minorEastAsia" w:eastAsiaTheme="minorEastAsia"/>
          <w:szCs w:val="24"/>
          <w:highlight w:val="none"/>
          <w:lang w:eastAsia="zh-CN"/>
        </w:rPr>
      </w:pPr>
      <w:r>
        <w:rPr>
          <w:rFonts w:hint="eastAsia" w:cs="宋体" w:asciiTheme="minorEastAsia" w:hAnsiTheme="minorEastAsia" w:eastAsiaTheme="minorEastAsia"/>
          <w:szCs w:val="24"/>
        </w:rPr>
        <w:t xml:space="preserve">5、</w:t>
      </w:r>
      <w:r>
        <w:rPr>
          <w:rFonts w:hint="eastAsia" w:cs="宋体" w:asciiTheme="minorEastAsia" w:hAnsiTheme="minorEastAsia" w:eastAsiaTheme="minorEastAsia"/>
          <w:iCs/>
          <w:szCs w:val="24"/>
        </w:rPr>
        <w:t xml:space="preserve">保安员：10名，男性，</w:t>
      </w:r>
      <w:r>
        <w:rPr>
          <w:rFonts w:hint="eastAsia" w:cs="宋体" w:asciiTheme="minorEastAsia" w:hAnsiTheme="minorEastAsia" w:eastAsiaTheme="minorEastAsia"/>
          <w:b/>
          <w:i/>
          <w:szCs w:val="24"/>
          <w:u w:val="single"/>
        </w:rPr>
        <w:t xml:space="preserve">年龄55周岁及以下，</w:t>
      </w:r>
      <w:r>
        <w:rPr>
          <w:rFonts w:hint="eastAsia" w:cs="宋体" w:asciiTheme="minorEastAsia" w:hAnsiTheme="minorEastAsia" w:eastAsiaTheme="minorEastAsia"/>
          <w:iCs/>
          <w:szCs w:val="24"/>
        </w:rPr>
        <w:t xml:space="preserve">具有一年以上保安工作经验，责任心强，身体健康，体检合格，具有初中及以上文化，能吃苦耐劳，持有保安员证。</w:t>
      </w:r>
      <w:r>
        <w:rPr>
          <w:rFonts w:hint="eastAsia" w:cs="宋体" w:asciiTheme="minorEastAsia" w:hAnsiTheme="minorEastAsia" w:eastAsiaTheme="minorEastAsia"/>
          <w:iCs/>
          <w:color w:val="auto"/>
          <w:szCs w:val="24"/>
          <w:highlight w:val="none"/>
          <w:lang w:eastAsia="zh-CN"/>
        </w:rPr>
        <w:t xml:space="preserve">（</w:t>
      </w:r>
      <w:r>
        <w:rPr>
          <w:rFonts w:hint="eastAsia" w:cs="宋体" w:asciiTheme="minorEastAsia" w:hAnsiTheme="minorEastAsia" w:eastAsiaTheme="minorEastAsia"/>
          <w:iCs/>
          <w:color w:val="auto"/>
          <w:szCs w:val="24"/>
          <w:highlight w:val="none"/>
          <w:lang w:val="en-US" w:eastAsia="zh-CN"/>
        </w:rPr>
        <w:t xml:space="preserve">上岗时人员应符合以上要求，投标时无需提供人员名单</w:t>
      </w:r>
      <w:r>
        <w:rPr>
          <w:rFonts w:hint="eastAsia" w:cs="宋体" w:asciiTheme="minorEastAsia" w:hAnsiTheme="minorEastAsia" w:eastAsiaTheme="minorEastAsia"/>
          <w:iCs/>
          <w:color w:val="auto"/>
          <w:szCs w:val="24"/>
          <w:highlight w:val="none"/>
          <w:lang w:eastAsia="zh-CN"/>
        </w:rPr>
        <w:t xml:space="preserve">）</w:t>
      </w:r>
      <w:r/>
    </w:p>
    <w:p>
      <w:pPr>
        <w:pStyle w:val="1049"/>
        <w:ind w:firstLine="480"/>
        <w:spacing w:before="0" w:line="500" w:lineRule="exact"/>
        <w:rPr>
          <w:rFonts w:cs="宋体" w:asciiTheme="minorEastAsia" w:hAnsiTheme="minorEastAsia" w:eastAsiaTheme="minorEastAsia"/>
          <w:szCs w:val="24"/>
          <w:highlight w:val="none"/>
        </w:rPr>
      </w:pPr>
      <w:r>
        <w:rPr>
          <w:rFonts w:hint="eastAsia" w:cs="宋体" w:asciiTheme="minorEastAsia" w:hAnsiTheme="minorEastAsia" w:eastAsiaTheme="minorEastAsia"/>
          <w:iCs/>
          <w:szCs w:val="24"/>
          <w:highlight w:val="none"/>
        </w:rPr>
        <w:t xml:space="preserve">6、</w:t>
      </w:r>
      <w:r>
        <w:rPr>
          <w:rFonts w:hint="eastAsia" w:cs="宋体" w:asciiTheme="minorEastAsia" w:hAnsiTheme="minorEastAsia" w:eastAsiaTheme="minorEastAsia"/>
          <w:szCs w:val="24"/>
          <w:highlight w:val="none"/>
        </w:rPr>
        <w:t xml:space="preserve">保洁员：10名，</w:t>
      </w:r>
      <w:r>
        <w:rPr>
          <w:rFonts w:hint="eastAsia" w:cs="宋体" w:asciiTheme="minorEastAsia" w:hAnsiTheme="minorEastAsia" w:eastAsiaTheme="minorEastAsia"/>
          <w:bCs/>
          <w:szCs w:val="24"/>
          <w:highlight w:val="none"/>
        </w:rPr>
        <w:t xml:space="preserve">女性，</w:t>
      </w:r>
      <w:r>
        <w:rPr>
          <w:rFonts w:hint="eastAsia" w:cs="宋体" w:asciiTheme="minorEastAsia" w:hAnsiTheme="minorEastAsia" w:eastAsiaTheme="minorEastAsia"/>
          <w:b/>
          <w:i/>
          <w:szCs w:val="24"/>
          <w:highlight w:val="none"/>
          <w:u w:val="single"/>
        </w:rPr>
        <w:t xml:space="preserve">年龄45周岁及以下3名，</w:t>
      </w:r>
      <w:r>
        <w:rPr>
          <w:rFonts w:hint="eastAsia" w:cs="宋体" w:asciiTheme="minorEastAsia" w:hAnsiTheme="minorEastAsia" w:eastAsiaTheme="minorEastAsia"/>
          <w:b/>
          <w:bCs w:val="0"/>
          <w:i w:val="0"/>
          <w:iCs/>
          <w:szCs w:val="24"/>
          <w:highlight w:val="none"/>
          <w:u w:val="none"/>
          <w:lang w:val="en-US" w:eastAsia="zh-CN"/>
        </w:rPr>
        <w:t xml:space="preserve">使用退休人员</w:t>
      </w:r>
      <w:r>
        <w:rPr>
          <w:rFonts w:hint="eastAsia" w:cs="宋体" w:asciiTheme="minorEastAsia" w:hAnsiTheme="minorEastAsia" w:eastAsiaTheme="minorEastAsia"/>
          <w:b/>
          <w:bCs w:val="0"/>
          <w:szCs w:val="24"/>
          <w:highlight w:val="none"/>
        </w:rPr>
        <w:t xml:space="preserve">7名</w:t>
      </w:r>
      <w:r>
        <w:rPr>
          <w:rFonts w:hint="eastAsia"/>
          <w:b/>
          <w:bCs w:val="0"/>
          <w:highlight w:val="none"/>
          <w:lang w:eastAsia="zh-CN"/>
        </w:rPr>
        <w:t xml:space="preserve">（</w:t>
      </w:r>
      <w:r>
        <w:rPr>
          <w:rFonts w:hint="eastAsia" w:cs="宋体" w:asciiTheme="minorEastAsia" w:hAnsiTheme="minorEastAsia" w:eastAsiaTheme="minorEastAsia"/>
          <w:b/>
          <w:bCs w:val="0"/>
          <w:szCs w:val="24"/>
          <w:highlight w:val="none"/>
        </w:rPr>
        <w:t xml:space="preserve">年龄</w:t>
      </w:r>
      <w:r>
        <w:rPr>
          <w:rFonts w:hint="eastAsia" w:cs="宋体" w:asciiTheme="minorEastAsia" w:hAnsiTheme="minorEastAsia" w:eastAsiaTheme="minorEastAsia"/>
          <w:b/>
          <w:bCs w:val="0"/>
          <w:szCs w:val="24"/>
          <w:highlight w:val="none"/>
          <w:lang w:val="en-US" w:eastAsia="zh-CN"/>
        </w:rPr>
        <w:t xml:space="preserve">62</w:t>
      </w:r>
      <w:r>
        <w:rPr>
          <w:rFonts w:hint="eastAsia" w:cs="宋体" w:asciiTheme="minorEastAsia" w:hAnsiTheme="minorEastAsia" w:eastAsiaTheme="minorEastAsia"/>
          <w:b/>
          <w:bCs w:val="0"/>
          <w:szCs w:val="24"/>
          <w:highlight w:val="none"/>
        </w:rPr>
        <w:t xml:space="preserve">周岁以下</w:t>
      </w:r>
      <w:r>
        <w:rPr>
          <w:rFonts w:hint="eastAsia"/>
          <w:b/>
          <w:bCs w:val="0"/>
          <w:highlight w:val="none"/>
          <w:lang w:eastAsia="zh-CN"/>
        </w:rPr>
        <w:t xml:space="preserve">）</w:t>
      </w:r>
      <w:r>
        <w:rPr>
          <w:rFonts w:hint="eastAsia" w:cs="宋体" w:asciiTheme="minorEastAsia" w:hAnsiTheme="minorEastAsia" w:eastAsiaTheme="minorEastAsia"/>
          <w:bCs/>
          <w:szCs w:val="24"/>
          <w:highlight w:val="none"/>
        </w:rPr>
        <w:t xml:space="preserve">，具有一年以上办公楼宇保洁工作经验，责任心强，身体健康，体检合格，能吃苦耐劳，</w:t>
      </w:r>
      <w:r>
        <w:rPr>
          <w:rFonts w:hint="eastAsia" w:cs="宋体" w:asciiTheme="minorEastAsia" w:hAnsiTheme="minorEastAsia" w:eastAsiaTheme="minorEastAsia"/>
          <w:iCs/>
          <w:szCs w:val="24"/>
          <w:highlight w:val="none"/>
        </w:rPr>
        <w:t xml:space="preserve">具有初中及以上文化</w:t>
      </w:r>
      <w:r>
        <w:rPr>
          <w:rFonts w:hint="eastAsia" w:cs="宋体" w:asciiTheme="minorEastAsia" w:hAnsiTheme="minorEastAsia" w:eastAsiaTheme="minorEastAsia"/>
          <w:bCs/>
          <w:szCs w:val="24"/>
          <w:highlight w:val="none"/>
        </w:rPr>
        <w:t xml:space="preserve">。</w:t>
      </w:r>
      <w:r>
        <w:rPr>
          <w:rFonts w:hint="eastAsia" w:cs="宋体" w:asciiTheme="minorEastAsia" w:hAnsiTheme="minorEastAsia" w:eastAsiaTheme="minorEastAsia"/>
          <w:iCs/>
          <w:szCs w:val="24"/>
          <w:highlight w:val="none"/>
          <w:lang w:eastAsia="zh-CN"/>
        </w:rPr>
        <w:t xml:space="preserve">（</w:t>
      </w:r>
      <w:r>
        <w:rPr>
          <w:rFonts w:hint="eastAsia" w:cs="宋体" w:asciiTheme="minorEastAsia" w:hAnsiTheme="minorEastAsia" w:eastAsiaTheme="minorEastAsia"/>
          <w:iCs/>
          <w:szCs w:val="24"/>
          <w:highlight w:val="none"/>
          <w:lang w:val="en-US" w:eastAsia="zh-CN"/>
        </w:rPr>
        <w:t xml:space="preserve">上岗时人员应符合以上要求，投标时无需提供人员名单</w:t>
      </w:r>
      <w:r>
        <w:rPr>
          <w:rFonts w:hint="eastAsia" w:cs="宋体" w:asciiTheme="minorEastAsia" w:hAnsiTheme="minorEastAsia" w:eastAsiaTheme="minorEastAsia"/>
          <w:iCs/>
          <w:szCs w:val="24"/>
          <w:highlight w:val="none"/>
          <w:lang w:eastAsia="zh-CN"/>
        </w:rPr>
        <w:t xml:space="preserve">）</w:t>
      </w:r>
      <w:r/>
    </w:p>
    <w:p>
      <w:pPr>
        <w:pStyle w:val="1049"/>
        <w:ind w:firstLine="480"/>
        <w:spacing w:before="0" w:line="500" w:lineRule="exact"/>
        <w:rPr>
          <w:rFonts w:cs="宋体" w:asciiTheme="minorEastAsia" w:hAnsiTheme="minorEastAsia" w:eastAsiaTheme="minorEastAsia"/>
          <w:szCs w:val="24"/>
        </w:rPr>
      </w:pPr>
      <w:r>
        <w:rPr>
          <w:rFonts w:hint="eastAsia" w:cs="宋体" w:asciiTheme="minorEastAsia" w:hAnsiTheme="minorEastAsia" w:eastAsiaTheme="minorEastAsia"/>
          <w:iCs/>
          <w:szCs w:val="24"/>
        </w:rPr>
        <w:t xml:space="preserve">7、电房工作人员：6</w:t>
      </w:r>
      <w:r>
        <w:rPr>
          <w:rFonts w:hint="eastAsia" w:cs="宋体" w:asciiTheme="minorEastAsia" w:hAnsiTheme="minorEastAsia" w:eastAsiaTheme="minorEastAsia"/>
          <w:szCs w:val="24"/>
        </w:rPr>
        <w:t xml:space="preserve">名，男性，</w:t>
      </w:r>
      <w:r>
        <w:rPr>
          <w:rFonts w:hint="eastAsia" w:cs="宋体" w:asciiTheme="minorEastAsia" w:hAnsiTheme="minorEastAsia" w:eastAsiaTheme="minorEastAsia"/>
          <w:b/>
          <w:i/>
          <w:szCs w:val="24"/>
          <w:u w:val="single"/>
        </w:rPr>
        <w:t xml:space="preserve">60周岁以下</w:t>
      </w:r>
      <w:r>
        <w:rPr>
          <w:rFonts w:hint="eastAsia" w:cs="宋体" w:asciiTheme="minorEastAsia" w:hAnsiTheme="minorEastAsia" w:eastAsiaTheme="minorEastAsia"/>
          <w:b/>
          <w:i/>
          <w:szCs w:val="24"/>
          <w:highlight w:val="none"/>
          <w:u w:val="single"/>
          <w:lang w:eastAsia="zh-CN"/>
        </w:rPr>
        <w:t xml:space="preserve">（</w:t>
      </w:r>
      <w:r>
        <w:rPr>
          <w:rFonts w:hint="eastAsia" w:cs="宋体" w:asciiTheme="minorEastAsia" w:hAnsiTheme="minorEastAsia" w:eastAsiaTheme="minorEastAsia"/>
          <w:b/>
          <w:i/>
          <w:szCs w:val="24"/>
          <w:highlight w:val="none"/>
          <w:u w:val="single"/>
          <w:lang w:val="en-US" w:eastAsia="zh-CN"/>
        </w:rPr>
        <w:t xml:space="preserve">履约期间未退休</w:t>
      </w:r>
      <w:r>
        <w:rPr>
          <w:rFonts w:hint="eastAsia" w:cs="宋体" w:asciiTheme="minorEastAsia" w:hAnsiTheme="minorEastAsia" w:eastAsiaTheme="minorEastAsia"/>
          <w:b/>
          <w:i/>
          <w:szCs w:val="24"/>
          <w:highlight w:val="none"/>
          <w:u w:val="single"/>
          <w:lang w:eastAsia="zh-CN"/>
        </w:rPr>
        <w:t xml:space="preserve">）</w:t>
      </w:r>
      <w:r>
        <w:rPr>
          <w:rFonts w:hint="eastAsia" w:cs="宋体" w:asciiTheme="minorEastAsia" w:hAnsiTheme="minorEastAsia" w:eastAsiaTheme="minorEastAsia"/>
          <w:b/>
          <w:i/>
          <w:szCs w:val="24"/>
          <w:highlight w:val="none"/>
          <w:u w:val="single"/>
        </w:rPr>
        <w:t xml:space="preserve">，</w:t>
      </w:r>
      <w:r>
        <w:rPr>
          <w:rFonts w:hint="eastAsia" w:cs="宋体" w:asciiTheme="minorEastAsia" w:hAnsiTheme="minorEastAsia" w:eastAsiaTheme="minorEastAsia"/>
          <w:szCs w:val="24"/>
        </w:rPr>
        <w:t xml:space="preserve">负责本项目高压电房、空调系统管理工作以及日常水电维修工作，两年内具有高压电房工作经验，</w:t>
      </w:r>
      <w:r>
        <w:rPr>
          <w:rFonts w:hint="eastAsia" w:cs="宋体" w:asciiTheme="minorEastAsia" w:hAnsiTheme="minorEastAsia" w:eastAsiaTheme="minorEastAsia"/>
          <w:b/>
          <w:i/>
          <w:szCs w:val="24"/>
          <w:u w:val="single"/>
        </w:rPr>
        <w:t xml:space="preserve">均需具备高压电工证。（须提供高压电工证、投标人近</w:t>
      </w:r>
      <w:r>
        <w:rPr>
          <w:rFonts w:hint="eastAsia" w:cs="宋体" w:asciiTheme="minorEastAsia" w:hAnsiTheme="minorEastAsia" w:eastAsiaTheme="minorEastAsia"/>
          <w:b/>
          <w:i/>
          <w:szCs w:val="24"/>
          <w:u w:val="single"/>
          <w:lang w:val="en-US" w:eastAsia="zh-CN"/>
        </w:rPr>
        <w:t xml:space="preserve">3</w:t>
      </w:r>
      <w:r>
        <w:rPr>
          <w:rFonts w:hint="eastAsia" w:cs="宋体" w:asciiTheme="minorEastAsia" w:hAnsiTheme="minorEastAsia" w:eastAsiaTheme="minorEastAsia"/>
          <w:b/>
          <w:i/>
          <w:szCs w:val="24"/>
          <w:u w:val="single"/>
        </w:rPr>
        <w:t xml:space="preserve">个月内任意</w:t>
      </w:r>
      <w:r>
        <w:rPr>
          <w:rFonts w:hint="eastAsia" w:cs="宋体" w:asciiTheme="minorEastAsia" w:hAnsiTheme="minorEastAsia" w:eastAsiaTheme="minorEastAsia"/>
          <w:b/>
          <w:i/>
          <w:szCs w:val="24"/>
          <w:u w:val="single"/>
          <w:lang w:val="en-US" w:eastAsia="zh-CN"/>
        </w:rPr>
        <w:t xml:space="preserve">1</w:t>
      </w:r>
      <w:r>
        <w:rPr>
          <w:rFonts w:hint="eastAsia" w:cs="宋体" w:asciiTheme="minorEastAsia" w:hAnsiTheme="minorEastAsia" w:eastAsiaTheme="minorEastAsia"/>
          <w:b/>
          <w:i/>
          <w:szCs w:val="24"/>
          <w:u w:val="single"/>
        </w:rPr>
        <w:t xml:space="preserve">个月为其缴纳的带二维码核验的社保缴纳证明，原件扫描上传)。</w:t>
      </w:r>
      <w:r/>
    </w:p>
    <w:p>
      <w:pPr>
        <w:pStyle w:val="1049"/>
        <w:ind w:firstLine="480"/>
        <w:spacing w:before="0" w:line="500" w:lineRule="exact"/>
        <w:rPr>
          <w:rFonts w:cs="宋体" w:asciiTheme="minorEastAsia" w:hAnsiTheme="minorEastAsia" w:eastAsiaTheme="minorEastAsia"/>
          <w:b/>
          <w:szCs w:val="24"/>
        </w:rPr>
      </w:pPr>
      <w:r>
        <w:rPr>
          <w:rFonts w:hint="eastAsia" w:cs="宋体" w:asciiTheme="minorEastAsia" w:hAnsiTheme="minorEastAsia" w:eastAsiaTheme="minorEastAsia"/>
          <w:szCs w:val="24"/>
        </w:rPr>
        <w:t xml:space="preserve">8、消防控制室工作人员：5名，男性，</w:t>
      </w:r>
      <w:r>
        <w:rPr>
          <w:rFonts w:hint="eastAsia" w:cs="宋体" w:asciiTheme="minorEastAsia" w:hAnsiTheme="minorEastAsia" w:eastAsiaTheme="minorEastAsia"/>
          <w:b/>
          <w:i/>
          <w:szCs w:val="24"/>
          <w:u w:val="single"/>
        </w:rPr>
        <w:t xml:space="preserve">年龄55周岁及以下，</w:t>
      </w:r>
      <w:r>
        <w:rPr>
          <w:rFonts w:hint="eastAsia" w:cs="宋体" w:asciiTheme="minorEastAsia" w:hAnsiTheme="minorEastAsia" w:eastAsiaTheme="minorEastAsia"/>
          <w:szCs w:val="24"/>
        </w:rPr>
        <w:t xml:space="preserve">身体健康、体检合格，工作责任心强，两年内具有消控室工作经验，</w:t>
      </w:r>
      <w:r>
        <w:rPr>
          <w:rFonts w:hint="eastAsia" w:cs="宋体" w:asciiTheme="minorEastAsia" w:hAnsiTheme="minorEastAsia" w:eastAsiaTheme="minorEastAsia"/>
          <w:b/>
          <w:i/>
          <w:szCs w:val="24"/>
          <w:u w:val="single"/>
        </w:rPr>
        <w:t xml:space="preserve">均需具备行政主管部门颁发消防设施操作员证或建（构）筑物消防员证（四级）。（须提供消防设施操作员证或建（构）筑物消防员证（四级）、投标人近</w:t>
      </w:r>
      <w:r>
        <w:rPr>
          <w:rFonts w:hint="eastAsia" w:cs="宋体" w:asciiTheme="minorEastAsia" w:hAnsiTheme="minorEastAsia" w:eastAsiaTheme="minorEastAsia"/>
          <w:b/>
          <w:i/>
          <w:szCs w:val="24"/>
          <w:u w:val="single"/>
          <w:lang w:val="en-US" w:eastAsia="zh-CN"/>
        </w:rPr>
        <w:t xml:space="preserve">3</w:t>
      </w:r>
      <w:r>
        <w:rPr>
          <w:rFonts w:hint="eastAsia" w:cs="宋体" w:asciiTheme="minorEastAsia" w:hAnsiTheme="minorEastAsia" w:eastAsiaTheme="minorEastAsia"/>
          <w:b/>
          <w:i/>
          <w:szCs w:val="24"/>
          <w:u w:val="single"/>
        </w:rPr>
        <w:t xml:space="preserve">个月内任意</w:t>
      </w:r>
      <w:r>
        <w:rPr>
          <w:rFonts w:hint="eastAsia" w:cs="宋体" w:asciiTheme="minorEastAsia" w:hAnsiTheme="minorEastAsia" w:eastAsiaTheme="minorEastAsia"/>
          <w:b/>
          <w:i/>
          <w:szCs w:val="24"/>
          <w:u w:val="single"/>
          <w:lang w:val="en-US" w:eastAsia="zh-CN"/>
        </w:rPr>
        <w:t xml:space="preserve">1</w:t>
      </w:r>
      <w:r>
        <w:rPr>
          <w:rFonts w:hint="eastAsia" w:cs="宋体" w:asciiTheme="minorEastAsia" w:hAnsiTheme="minorEastAsia" w:eastAsiaTheme="minorEastAsia"/>
          <w:b/>
          <w:i/>
          <w:szCs w:val="24"/>
          <w:u w:val="single"/>
        </w:rPr>
        <w:t xml:space="preserve">个月为其缴纳的带二维码核验的社保缴纳证明，原件扫描上传)。</w:t>
      </w:r>
      <w:r/>
    </w:p>
    <w:p>
      <w:pPr>
        <w:pStyle w:val="1049"/>
        <w:ind w:firstLine="480"/>
        <w:spacing w:before="0" w:line="500" w:lineRule="exact"/>
        <w:rPr>
          <w:rFonts w:cs="宋体" w:asciiTheme="minorEastAsia" w:hAnsiTheme="minorEastAsia" w:eastAsiaTheme="minorEastAsia"/>
          <w:i/>
          <w:szCs w:val="24"/>
          <w:u w:val="single"/>
        </w:rPr>
      </w:pPr>
      <w:r>
        <w:rPr>
          <w:rFonts w:hint="eastAsia" w:cs="宋体" w:asciiTheme="minorEastAsia" w:hAnsiTheme="minorEastAsia" w:eastAsiaTheme="minorEastAsia"/>
          <w:szCs w:val="24"/>
        </w:rPr>
        <w:t xml:space="preserve">9、安检员：5名</w:t>
      </w:r>
      <w:r>
        <w:rPr>
          <w:rFonts w:hint="eastAsia" w:cs="宋体" w:asciiTheme="minorEastAsia" w:hAnsiTheme="minorEastAsia" w:eastAsiaTheme="minorEastAsia"/>
          <w:bCs/>
          <w:szCs w:val="24"/>
        </w:rPr>
        <w:t xml:space="preserve">，男女不限，</w:t>
      </w:r>
      <w:r>
        <w:rPr>
          <w:rFonts w:hint="eastAsia" w:cs="宋体" w:asciiTheme="minorEastAsia" w:hAnsiTheme="minorEastAsia" w:eastAsiaTheme="minorEastAsia"/>
          <w:b/>
          <w:i/>
          <w:szCs w:val="24"/>
          <w:u w:val="single"/>
        </w:rPr>
        <w:t xml:space="preserve">年龄45周岁及以下，</w:t>
      </w:r>
      <w:r>
        <w:rPr>
          <w:rFonts w:hint="eastAsia" w:cs="宋体" w:asciiTheme="minorEastAsia" w:hAnsiTheme="minorEastAsia" w:eastAsiaTheme="minorEastAsia"/>
          <w:bCs/>
          <w:szCs w:val="24"/>
        </w:rPr>
        <w:t xml:space="preserve">具有一年以上安检工作经验，责任心强，身体健康，体检合格，具有高中及以上文化，能吃苦耐劳，</w:t>
      </w:r>
      <w:r>
        <w:rPr>
          <w:rFonts w:hint="eastAsia" w:cs="宋体" w:asciiTheme="minorEastAsia" w:hAnsiTheme="minorEastAsia" w:eastAsiaTheme="minorEastAsia"/>
          <w:b/>
          <w:i/>
          <w:szCs w:val="24"/>
          <w:u w:val="single"/>
        </w:rPr>
        <w:t xml:space="preserve">至少3名需具备安检员证。（须提供安检员证，投标人近</w:t>
      </w:r>
      <w:r>
        <w:rPr>
          <w:rFonts w:hint="eastAsia" w:cs="宋体" w:asciiTheme="minorEastAsia" w:hAnsiTheme="minorEastAsia" w:eastAsiaTheme="minorEastAsia"/>
          <w:b/>
          <w:i/>
          <w:szCs w:val="24"/>
          <w:u w:val="single"/>
          <w:lang w:val="en-US" w:eastAsia="zh-CN"/>
        </w:rPr>
        <w:t xml:space="preserve">3</w:t>
      </w:r>
      <w:r>
        <w:rPr>
          <w:rFonts w:hint="eastAsia" w:cs="宋体" w:asciiTheme="minorEastAsia" w:hAnsiTheme="minorEastAsia" w:eastAsiaTheme="minorEastAsia"/>
          <w:b/>
          <w:i/>
          <w:szCs w:val="24"/>
          <w:u w:val="single"/>
        </w:rPr>
        <w:t xml:space="preserve">个月内任意</w:t>
      </w:r>
      <w:r>
        <w:rPr>
          <w:rFonts w:hint="eastAsia" w:cs="宋体" w:asciiTheme="minorEastAsia" w:hAnsiTheme="minorEastAsia" w:eastAsiaTheme="minorEastAsia"/>
          <w:b/>
          <w:i/>
          <w:szCs w:val="24"/>
          <w:u w:val="single"/>
          <w:lang w:val="en-US" w:eastAsia="zh-CN"/>
        </w:rPr>
        <w:t xml:space="preserve">1</w:t>
      </w:r>
      <w:r>
        <w:rPr>
          <w:rFonts w:hint="eastAsia" w:cs="宋体" w:asciiTheme="minorEastAsia" w:hAnsiTheme="minorEastAsia" w:eastAsiaTheme="minorEastAsia"/>
          <w:b/>
          <w:i/>
          <w:szCs w:val="24"/>
          <w:u w:val="single"/>
        </w:rPr>
        <w:t xml:space="preserve">个月为其缴纳的带二维码核验的社保缴纳证明，原件扫描上传)。</w:t>
      </w:r>
      <w:r/>
    </w:p>
    <w:p>
      <w:pPr>
        <w:pStyle w:val="1049"/>
        <w:ind w:firstLine="480"/>
        <w:spacing w:before="0" w:line="500" w:lineRule="exact"/>
        <w:rPr>
          <w:rFonts w:hint="eastAsia" w:cs="宋体" w:asciiTheme="minorEastAsia" w:hAnsiTheme="minorEastAsia" w:eastAsiaTheme="minorEastAsia"/>
          <w:b/>
          <w:i/>
          <w:szCs w:val="24"/>
          <w:u w:val="single"/>
        </w:rPr>
      </w:pPr>
      <w:r>
        <w:rPr>
          <w:rFonts w:hint="eastAsia" w:cs="宋体" w:asciiTheme="minorEastAsia" w:hAnsiTheme="minorEastAsia" w:eastAsiaTheme="minorEastAsia"/>
          <w:szCs w:val="24"/>
        </w:rPr>
        <w:t xml:space="preserve">10、客服人员：2名，</w:t>
      </w:r>
      <w:r>
        <w:rPr>
          <w:rFonts w:hint="eastAsia" w:cs="宋体" w:asciiTheme="minorEastAsia" w:hAnsiTheme="minorEastAsia" w:eastAsiaTheme="minorEastAsia"/>
          <w:b/>
          <w:i/>
          <w:szCs w:val="24"/>
          <w:u w:val="single"/>
        </w:rPr>
        <w:t xml:space="preserve">年龄40周岁及以下，</w:t>
      </w:r>
      <w:r>
        <w:rPr>
          <w:rFonts w:hint="eastAsia" w:cs="宋体" w:asciiTheme="minorEastAsia" w:hAnsiTheme="minorEastAsia" w:eastAsiaTheme="minorEastAsia"/>
          <w:bCs/>
          <w:szCs w:val="24"/>
        </w:rPr>
        <w:t xml:space="preserve">身体健康，体检合格，</w:t>
      </w:r>
      <w:r>
        <w:rPr>
          <w:rFonts w:hint="eastAsia" w:cs="宋体" w:asciiTheme="minorEastAsia" w:hAnsiTheme="minorEastAsia" w:eastAsiaTheme="minorEastAsia"/>
          <w:b/>
          <w:i/>
          <w:szCs w:val="24"/>
          <w:u w:val="single"/>
        </w:rPr>
        <w:t xml:space="preserve">至少1名均需具备本科及以上学历，英语四级以上（含四级）证书。（须提供学历证书及学信网查询截图，英语四级以上证书或证明材料，投标人近</w:t>
      </w:r>
      <w:r>
        <w:rPr>
          <w:rFonts w:hint="eastAsia" w:cs="宋体" w:asciiTheme="minorEastAsia" w:hAnsiTheme="minorEastAsia" w:eastAsiaTheme="minorEastAsia"/>
          <w:b/>
          <w:i/>
          <w:szCs w:val="24"/>
          <w:u w:val="single"/>
          <w:lang w:val="en-US" w:eastAsia="zh-CN"/>
        </w:rPr>
        <w:t xml:space="preserve">3</w:t>
      </w:r>
      <w:r>
        <w:rPr>
          <w:rFonts w:hint="eastAsia" w:cs="宋体" w:asciiTheme="minorEastAsia" w:hAnsiTheme="minorEastAsia" w:eastAsiaTheme="minorEastAsia"/>
          <w:b/>
          <w:i/>
          <w:szCs w:val="24"/>
          <w:u w:val="single"/>
        </w:rPr>
        <w:t xml:space="preserve">个月内任意</w:t>
      </w:r>
      <w:r>
        <w:rPr>
          <w:rFonts w:hint="eastAsia" w:cs="宋体" w:asciiTheme="minorEastAsia" w:hAnsiTheme="minorEastAsia" w:eastAsiaTheme="minorEastAsia"/>
          <w:b/>
          <w:i/>
          <w:szCs w:val="24"/>
          <w:u w:val="single"/>
          <w:lang w:val="en-US" w:eastAsia="zh-CN"/>
        </w:rPr>
        <w:t xml:space="preserve">1</w:t>
      </w:r>
      <w:r>
        <w:rPr>
          <w:rFonts w:hint="eastAsia" w:cs="宋体" w:asciiTheme="minorEastAsia" w:hAnsiTheme="minorEastAsia" w:eastAsiaTheme="minorEastAsia"/>
          <w:b/>
          <w:i/>
          <w:szCs w:val="24"/>
          <w:u w:val="single"/>
        </w:rPr>
        <w:t xml:space="preserve">个月为其缴纳的带二维码核验的社保缴纳证明，原件扫描上传)。</w:t>
      </w:r>
      <w:r/>
    </w:p>
    <w:p>
      <w:pPr>
        <w:pStyle w:val="1049"/>
        <w:ind w:firstLine="480"/>
        <w:spacing w:before="0" w:line="500" w:lineRule="exact"/>
        <w:rPr>
          <w:rFonts w:hint="eastAsia" w:cs="宋体" w:asciiTheme="minorEastAsia" w:hAnsiTheme="minorEastAsia" w:eastAsiaTheme="minorEastAsia"/>
          <w:b/>
          <w:i/>
          <w:color w:val="ff0000"/>
          <w:szCs w:val="24"/>
          <w:u w:val="single"/>
        </w:rPr>
      </w:pPr>
      <w:r>
        <w:rPr>
          <w:rFonts w:hint="eastAsia" w:cs="宋体" w:asciiTheme="minorEastAsia" w:hAnsiTheme="minorEastAsia" w:eastAsiaTheme="minorEastAsia"/>
          <w:b/>
          <w:i/>
          <w:color w:val="ff0000"/>
          <w:szCs w:val="24"/>
          <w:u w:val="single"/>
        </w:rPr>
        <w:t xml:space="preserve">注：以上所有人员要求身体健康、无传染性疾病、不接受病退或领取病残津贴人员。</w:t>
      </w:r>
      <w:r/>
    </w:p>
    <w:p>
      <w:pPr>
        <w:pStyle w:val="1049"/>
        <w:ind w:firstLine="480"/>
        <w:spacing w:before="0" w:line="500" w:lineRule="exact"/>
        <w:rPr>
          <w:rFonts w:hint="eastAsia" w:cs="宋体" w:asciiTheme="minorEastAsia" w:hAnsiTheme="minorEastAsia" w:eastAsiaTheme="minorEastAsia"/>
          <w:b w:val="0"/>
          <w:bCs/>
          <w:i w:val="0"/>
          <w:iCs/>
          <w:szCs w:val="24"/>
          <w:u w:val="none"/>
        </w:rPr>
      </w:pPr>
      <w:r>
        <w:rPr>
          <w:rFonts w:hint="eastAsia" w:cs="宋体" w:asciiTheme="minorEastAsia" w:hAnsiTheme="minorEastAsia" w:eastAsiaTheme="minorEastAsia"/>
          <w:b w:val="0"/>
          <w:bCs/>
          <w:i w:val="0"/>
          <w:iCs/>
          <w:szCs w:val="24"/>
          <w:u w:val="none"/>
        </w:rPr>
        <w:t xml:space="preserve">（三）物业服务人员要求</w:t>
      </w:r>
      <w:r/>
    </w:p>
    <w:p>
      <w:pPr>
        <w:ind w:firstLine="480"/>
        <w:spacing w:line="50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1、以上所有人员无重大疾病和传染病，诚实守信，责任心强，持有健康体检证明。上岗前须将人员情况报采购人审核，审核通过后方可上岗；</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2、以上所有人员均需提供无违法犯罪等不良记录证明；</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物业服务人员应遵守国家法律法规及隋炀帝墓遗址公园制定的管理规章制度，违者依法必究，同时追究物业管理企业的责任。物业服务人员在工作中不负责任，玩忽职守，发生重大责任事故的，依法追究法律责任。发生一般责任事故的，视事故责任大小和影响程度处以辞退当事人、罚款、终止物业管理合同等措施；</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4、物业服务人员应接受公园专业技术人员的指导和管理，特别是有明确保护规定和规范要求的文物、建筑物，保洁工作应在采购</w:t>
      </w:r>
      <w:r>
        <w:rPr>
          <w:rFonts w:hint="eastAsia" w:cs="宋体" w:asciiTheme="minorEastAsia" w:hAnsiTheme="minorEastAsia"/>
          <w:sz w:val="24"/>
          <w:szCs w:val="24"/>
        </w:rPr>
        <w:t xml:space="preserve">人</w:t>
      </w:r>
      <w:r>
        <w:rPr>
          <w:rFonts w:hint="eastAsia" w:cs="宋体" w:asciiTheme="minorEastAsia" w:hAnsiTheme="minorEastAsia" w:eastAsiaTheme="minorEastAsia"/>
          <w:sz w:val="24"/>
          <w:szCs w:val="24"/>
        </w:rPr>
        <w:t xml:space="preserve">管理人员指导下进行；</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5、中标人项目部员工在项目服务时应服从采购人的管理和指导，若不服从，采购人有权责令中标人在三个工作日内调换服务人员；</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6、中标人须与所有为本项目服务的物业服务人员签订正式的劳动合同并缴纳相关社会保险，加强对物业服务人员的安全教育、为之配备工作所须安全装备，确保物业服务人员的安全；</w:t>
      </w:r>
      <w:r/>
    </w:p>
    <w:p>
      <w:pPr>
        <w:pStyle w:val="1050"/>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本项目物业服务人员须遵守采购人的保密规定。安保人员离开采购人及隋炀帝墓遗址公园后对采购人重点防范部位及措施不得对外透露，否则，对采购人安全造成重大影响的，将追究责任人和中标人的法律责任；</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8、本项目不提供中标人服务人员的住宿和交通，物业从业人员必须是全职人员；</w:t>
      </w:r>
      <w:r/>
    </w:p>
    <w:p>
      <w:pPr>
        <w:ind w:firstLine="480"/>
        <w:jc w:val="left"/>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9、采购人负责物业管理服务管理和考核，并有权要求中标人更换不满意的物业人员。对于更换的物业人员须符合本次采购项目的人员要求，并在五个工作日内更换完成；</w:t>
      </w:r>
      <w:r/>
    </w:p>
    <w:p>
      <w:pPr>
        <w:pStyle w:val="1051"/>
        <w:ind w:firstLine="420"/>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rPr>
          <w:rFonts w:hint="eastAsia" w:asciiTheme="minorEastAsia" w:hAnsiTheme="minorEastAsia" w:eastAsiaTheme="minorEastAsia"/>
          <w:sz w:val="24"/>
          <w:szCs w:val="24"/>
          <w:lang w:val="en-US"/>
        </w:rPr>
        <w:t xml:space="preserve">0</w:t>
      </w:r>
      <w:r>
        <w:rPr>
          <w:rFonts w:hint="eastAsia" w:asciiTheme="minorEastAsia" w:hAnsiTheme="minorEastAsia" w:eastAsiaTheme="minorEastAsia"/>
          <w:sz w:val="24"/>
          <w:szCs w:val="24"/>
        </w:rPr>
        <w:t xml:space="preserve">、中标人应加强对本项目夜班人员在岗</w:t>
      </w:r>
      <w:r>
        <w:rPr>
          <w:rFonts w:hint="eastAsia" w:asciiTheme="minorEastAsia" w:hAnsiTheme="minorEastAsia" w:eastAsiaTheme="minorEastAsia"/>
          <w:sz w:val="24"/>
          <w:szCs w:val="24"/>
          <w:lang w:val="en-US"/>
        </w:rPr>
        <w:t xml:space="preserve">履职</w:t>
      </w:r>
      <w:r>
        <w:rPr>
          <w:rFonts w:hint="eastAsia" w:asciiTheme="minorEastAsia" w:hAnsiTheme="minorEastAsia" w:eastAsiaTheme="minorEastAsia"/>
          <w:sz w:val="24"/>
          <w:szCs w:val="24"/>
        </w:rPr>
        <w:t xml:space="preserve">情况、夜间场馆安全情况的检查。每周不少于两次夜查，并有文本记录。每周提交采购人处备案。</w:t>
      </w:r>
      <w:r/>
    </w:p>
    <w:p>
      <w:pPr>
        <w:pStyle w:val="1051"/>
        <w:ind w:firstLine="422"/>
        <w:spacing w:line="500" w:lineRule="exact"/>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四、特别说明   </w:t>
      </w:r>
      <w:r/>
    </w:p>
    <w:p>
      <w:pPr>
        <w:ind w:right="-10"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1、下列项目费用由采购人承担，不包含在此次采购的报价中：</w:t>
      </w:r>
      <w:r/>
    </w:p>
    <w:p>
      <w:pPr>
        <w:ind w:right="-10"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(1)安保监控系统、消防系统、弱电系统、空调系统、配电房、室外管网疏通、污水处理及电梯系统的年度大型维保维修及更换零部件材料费用；</w:t>
      </w:r>
      <w:r/>
    </w:p>
    <w:p>
      <w:pPr>
        <w:ind w:right="-10"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(2)报警器具、监控器、应急疏散灯、应急照明灯的更换费用及消防设施、设备的维修更换费用；</w:t>
      </w:r>
      <w:r/>
    </w:p>
    <w:p>
      <w:pPr>
        <w:ind w:right="-10"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(3)用于物业管理服务的现场服务操作实施时所产生的用水、用电等费用；</w:t>
      </w:r>
      <w:r/>
    </w:p>
    <w:p>
      <w:pPr>
        <w:ind w:right="-10"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(4)建筑物大楼三米以上的外墙、玻璃幕墙清等清洗费用；</w:t>
      </w:r>
      <w:r/>
    </w:p>
    <w:p>
      <w:pPr>
        <w:ind w:right="-10"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(5)公共设备设施的维保、检测费、大中修更新改造费；</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(6)垃圾清运费等政府性收费。</w:t>
      </w:r>
      <w:r/>
    </w:p>
    <w:p>
      <w:pPr>
        <w:ind w:firstLine="47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highlight w:val="none"/>
        </w:rPr>
        <w:t xml:space="preserve">、</w:t>
      </w:r>
      <w:bookmarkStart w:id="2" w:name="OLE_LINK2"/>
      <w:r/>
      <w:bookmarkStart w:id="3" w:name="OLE_LINK1"/>
      <w:r>
        <w:rPr>
          <w:rFonts w:hint="eastAsia" w:cs="宋体" w:asciiTheme="minorEastAsia" w:hAnsiTheme="minorEastAsia" w:eastAsiaTheme="minorEastAsia"/>
          <w:sz w:val="24"/>
          <w:szCs w:val="24"/>
          <w:highlight w:val="none"/>
        </w:rPr>
        <w:t xml:space="preserve">投标人应充分考虑所有可能影响报价的因素，</w:t>
      </w:r>
      <w:bookmarkEnd w:id="2"/>
      <w:r/>
      <w:bookmarkEnd w:id="3"/>
      <w:r>
        <w:rPr>
          <w:rFonts w:hint="eastAsia" w:cs="宋体" w:asciiTheme="minorEastAsia" w:hAnsiTheme="minorEastAsia" w:eastAsiaTheme="minorEastAsia"/>
          <w:sz w:val="24"/>
          <w:szCs w:val="24"/>
          <w:highlight w:val="none"/>
        </w:rPr>
        <w:t xml:space="preserve">一旦中标，总价将包定</w:t>
      </w:r>
      <w:r>
        <w:rPr>
          <w:rFonts w:hint="eastAsia" w:cs="宋体" w:asciiTheme="minorEastAsia" w:hAnsiTheme="minorEastAsia" w:eastAsiaTheme="minorEastAsia"/>
          <w:color w:val="auto"/>
          <w:sz w:val="24"/>
          <w:szCs w:val="24"/>
          <w:highlight w:val="none"/>
        </w:rPr>
        <w:t xml:space="preserve">，除遇政策</w:t>
      </w:r>
      <w:r>
        <w:rPr>
          <w:rFonts w:hint="eastAsia" w:cs="宋体" w:asciiTheme="minorEastAsia" w:hAnsiTheme="minorEastAsia" w:eastAsiaTheme="minorEastAsia"/>
          <w:color w:val="auto"/>
          <w:sz w:val="24"/>
          <w:szCs w:val="24"/>
          <w:highlight w:val="none"/>
          <w:lang w:val="en-US" w:eastAsia="zh-CN"/>
        </w:rPr>
        <w:t xml:space="preserve">变化</w:t>
      </w:r>
      <w:r>
        <w:rPr>
          <w:rFonts w:hint="eastAsia" w:cs="宋体" w:asciiTheme="minorEastAsia" w:hAnsiTheme="minorEastAsia" w:eastAsiaTheme="minorEastAsia"/>
          <w:color w:val="auto"/>
          <w:sz w:val="24"/>
          <w:szCs w:val="24"/>
          <w:highlight w:val="none"/>
        </w:rPr>
        <w:t xml:space="preserve">，</w:t>
      </w:r>
      <w:r>
        <w:rPr>
          <w:rFonts w:hint="eastAsia" w:cs="宋体" w:asciiTheme="minorEastAsia" w:hAnsiTheme="minorEastAsia" w:eastAsiaTheme="minorEastAsia"/>
          <w:sz w:val="24"/>
          <w:szCs w:val="24"/>
          <w:highlight w:val="none"/>
        </w:rPr>
        <w:t xml:space="preserve">合同期</w:t>
      </w:r>
      <w:r>
        <w:rPr>
          <w:rFonts w:hint="eastAsia" w:cs="宋体" w:asciiTheme="minorEastAsia" w:hAnsiTheme="minorEastAsia" w:eastAsiaTheme="minorEastAsia"/>
          <w:sz w:val="24"/>
          <w:szCs w:val="24"/>
        </w:rPr>
        <w:t xml:space="preserve">内一律不予调整。投标人报价除包含采购文件中列明的项目外，还应包括保障该物业服务正常运行应当具有的物资和服务，对物业服务正常运行应当具有的物资和服务理解不一致的，以采购人理解为准。投标人的任何错漏、优惠、竞争性报价不得作为减轻责任、减少服务、增加收费、降低质量的理由。</w:t>
      </w:r>
      <w:r/>
    </w:p>
    <w:p>
      <w:pPr>
        <w:ind w:firstLine="47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3、承担风险</w:t>
      </w:r>
      <w:r/>
    </w:p>
    <w:p>
      <w:pPr>
        <w:ind w:firstLine="480"/>
        <w:jc w:val="left"/>
        <w:spacing w:line="50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(1)采购人将对服务质量进行全过程监控，服务人员日常工作不到位、不达标或有违约现象，将依据合同约定，做出相应的违约处理与处罚；</w:t>
      </w:r>
      <w:r/>
    </w:p>
    <w:p>
      <w:pPr>
        <w:ind w:firstLine="480"/>
        <w:jc w:val="left"/>
        <w:spacing w:line="50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(2)服务人员在岗履行工作职责期间，发生自身的人身伤害、伤亡，均由中标人负责处理并承担经济和道义上的责任，采购人不承担任何责任；</w:t>
      </w:r>
      <w:r/>
    </w:p>
    <w:p>
      <w:pPr>
        <w:jc w:val="left"/>
        <w:spacing w:line="50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(3)</w:t>
      </w:r>
      <w:r>
        <w:rPr>
          <w:rFonts w:hint="eastAsia" w:asciiTheme="minorEastAsia" w:hAnsiTheme="minorEastAsia" w:eastAsiaTheme="minorEastAsia"/>
          <w:sz w:val="24"/>
          <w:szCs w:val="24"/>
        </w:rPr>
        <w:t xml:space="preserve"> </w:t>
      </w:r>
      <w:r>
        <w:rPr>
          <w:rFonts w:hint="eastAsia" w:cs="宋体" w:asciiTheme="minorEastAsia" w:hAnsiTheme="minorEastAsia" w:eastAsiaTheme="minorEastAsia"/>
          <w:sz w:val="24"/>
          <w:szCs w:val="24"/>
        </w:rPr>
        <w:t xml:space="preserve">中标人违反国家相关法规，与聘用人员发生纠纷，均由中标人负责调解与处理，采购人不承担责任；</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(4)隋炀帝墓遗址公园服务地点发生安全事故（如人身伤害、火灾、盗情），要追究中标人责任，中标人应协助采购人追究当班人员责任，并承担相应的赔偿责任。</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4、新老中标人的交接约定</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新中标人应在合同签</w:t>
      </w:r>
      <w:r>
        <w:rPr>
          <w:rFonts w:hint="eastAsia" w:cs="宋体" w:asciiTheme="minorEastAsia" w:hAnsiTheme="minorEastAsia" w:eastAsiaTheme="minorEastAsia"/>
          <w:sz w:val="24"/>
          <w:szCs w:val="24"/>
        </w:rPr>
        <w:t xml:space="preserve">订日前10个工作日派人进驻，做好前期的接手准备工作，协助采购人做好各方面的检查并制定物业移交清单，相关移交内容要详细可行、清晰罗列。原中标人应把原合同期内的各类台账资料（如安全、消防、设备维护修理资料等）、相关的图纸资料及各类设备设施完好移交采购人和新中标人，其它移交项目根据移交清单移交新中标人，在交接期内所有的服务及维修费用仍由原中标人完成。新合同起始日的前一天为交接日，交接时间为上午10点，地点：隋炀帝墓遗址公园。采购人、新老中标人各派代表清点移交物品，移交清单上签字确认，移交单一式三份，三方各执一份。</w:t>
      </w:r>
      <w:r/>
    </w:p>
    <w:p>
      <w:pPr>
        <w:ind w:firstLine="480"/>
        <w:spacing w:line="500" w:lineRule="exact"/>
        <w:rPr>
          <w:rFonts w:cs="宋体" w:asciiTheme="minorEastAsia" w:hAnsiTheme="minorEastAsia" w:eastAsiaTheme="minorEastAsia"/>
          <w:b/>
          <w:i/>
          <w:sz w:val="24"/>
          <w:szCs w:val="24"/>
          <w:u w:val="single"/>
        </w:rPr>
      </w:pPr>
      <w:r>
        <w:rPr>
          <w:rFonts w:hint="eastAsia" w:cs="宋体" w:asciiTheme="minorEastAsia" w:hAnsiTheme="minorEastAsia" w:eastAsiaTheme="minorEastAsia"/>
          <w:b/>
          <w:i/>
          <w:sz w:val="24"/>
          <w:szCs w:val="24"/>
          <w:u w:val="single"/>
        </w:rPr>
        <w:t xml:space="preserve">5、采购人与中标人员工不发生任何劳动和雇佣关系，派驻本项目服务人员由中标人自行管理，中标人及派驻本项目服务人员应遵守安全操作规章制度，中标人员工在本项目履约过程中若发生一切意外、人身伤害、工伤等事故，均由中标人自行负责，采购人不承担任何责任。如中标人人员在上班期间（包括上下班途中）发生任何安全责任事故，均由中标人负责。（提供承诺，</w:t>
      </w:r>
      <w:r>
        <w:rPr>
          <w:rFonts w:hint="eastAsia" w:cs="宋体" w:asciiTheme="minorEastAsia" w:hAnsiTheme="minorEastAsia" w:eastAsiaTheme="minorEastAsia"/>
          <w:b/>
          <w:i/>
          <w:sz w:val="24"/>
          <w:szCs w:val="24"/>
          <w:u w:val="single"/>
          <w:lang w:val="en-US" w:eastAsia="zh-CN"/>
        </w:rPr>
        <w:t xml:space="preserve">格式自拟，</w:t>
      </w:r>
      <w:r>
        <w:rPr>
          <w:rFonts w:hint="eastAsia" w:cs="宋体" w:asciiTheme="minorEastAsia" w:hAnsiTheme="minorEastAsia" w:eastAsiaTheme="minorEastAsia"/>
          <w:b/>
          <w:i/>
          <w:sz w:val="24"/>
          <w:szCs w:val="24"/>
          <w:u w:val="single"/>
        </w:rPr>
        <w:t xml:space="preserve">扫描上传）</w:t>
      </w:r>
      <w:r/>
    </w:p>
    <w:p>
      <w:pPr>
        <w:ind w:firstLine="482"/>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b/>
          <w:i/>
          <w:sz w:val="24"/>
          <w:szCs w:val="24"/>
          <w:u w:val="single"/>
        </w:rPr>
        <w:t xml:space="preserve">6、由于中标人方面的原因，给国家、采购人或第三方造成的损失与伤害，所涉及的行政的、法律的、民事的责任由中标人全部承担。（提供承诺，</w:t>
      </w:r>
      <w:r>
        <w:rPr>
          <w:rFonts w:hint="eastAsia" w:cs="宋体" w:asciiTheme="minorEastAsia" w:hAnsiTheme="minorEastAsia" w:eastAsiaTheme="minorEastAsia"/>
          <w:b/>
          <w:i/>
          <w:sz w:val="24"/>
          <w:szCs w:val="24"/>
          <w:u w:val="single"/>
          <w:lang w:val="en-US" w:eastAsia="zh-CN"/>
        </w:rPr>
        <w:t xml:space="preserve">格式自拟，</w:t>
      </w:r>
      <w:r>
        <w:rPr>
          <w:rFonts w:hint="eastAsia" w:cs="宋体" w:asciiTheme="minorEastAsia" w:hAnsiTheme="minorEastAsia" w:eastAsiaTheme="minorEastAsia"/>
          <w:b/>
          <w:i/>
          <w:sz w:val="24"/>
          <w:szCs w:val="24"/>
          <w:u w:val="single"/>
        </w:rPr>
        <w:t xml:space="preserve">扫描上传）</w:t>
      </w:r>
      <w:r/>
    </w:p>
    <w:p>
      <w:pPr>
        <w:pStyle w:val="1051"/>
        <w:ind w:left="422" w:firstLine="0"/>
        <w:spacing w:line="500" w:lineRule="exact"/>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五、其他事项</w:t>
      </w:r>
      <w:r/>
    </w:p>
    <w:p>
      <w:pPr>
        <w:ind w:firstLine="480"/>
        <w:spacing w:line="500" w:lineRule="exact"/>
        <w:rPr>
          <w:rFonts w:cs="宋体" w:asciiTheme="minorEastAsia" w:hAnsiTheme="minorEastAsia" w:eastAsiaTheme="minorEastAsia"/>
          <w:b/>
          <w:i/>
          <w:color w:val="auto"/>
          <w:sz w:val="24"/>
          <w:szCs w:val="24"/>
          <w:u w:val="single"/>
        </w:rPr>
      </w:pPr>
      <w:r>
        <w:rPr>
          <w:rFonts w:hint="eastAsia" w:cs="宋体" w:asciiTheme="minorEastAsia" w:hAnsiTheme="minorEastAsia" w:eastAsiaTheme="minorEastAsia"/>
          <w:b/>
          <w:i/>
          <w:color w:val="auto"/>
          <w:sz w:val="24"/>
          <w:szCs w:val="24"/>
          <w:u w:val="single"/>
        </w:rPr>
        <w:t xml:space="preserve">1、</w:t>
      </w:r>
      <w:r>
        <w:rPr>
          <w:rFonts w:hint="eastAsia" w:cs="宋体" w:asciiTheme="minorEastAsia" w:hAnsiTheme="minorEastAsia" w:eastAsiaTheme="minorEastAsia"/>
          <w:b/>
          <w:i/>
          <w:color w:val="auto"/>
          <w:sz w:val="24"/>
          <w:szCs w:val="24"/>
          <w:highlight w:val="white"/>
          <w:u w:val="single"/>
        </w:rPr>
        <w:t xml:space="preserve">投标报价应包括所有的费用（含为完成招标文件规定的服务工作所涉及到的一切相关费用）</w:t>
      </w:r>
      <w:r>
        <w:rPr>
          <w:rFonts w:hint="eastAsia" w:cs="宋体" w:asciiTheme="minorEastAsia" w:hAnsiTheme="minorEastAsia" w:eastAsiaTheme="minorEastAsia"/>
          <w:b/>
          <w:i/>
          <w:color w:val="auto"/>
          <w:sz w:val="24"/>
          <w:szCs w:val="24"/>
          <w:u w:val="single"/>
        </w:rPr>
        <w:t xml:space="preserve">：人员工资、社会保险（养老、工伤、失业）、医疗保险（医疗、大病救助）、住房公积金、</w:t>
      </w:r>
      <w:r>
        <w:rPr>
          <w:rFonts w:hint="eastAsia" w:ascii="宋体" w:hAnsi="宋体"/>
          <w:b/>
          <w:bCs/>
          <w:i/>
          <w:iCs/>
          <w:color w:val="auto"/>
          <w:sz w:val="24"/>
          <w:szCs w:val="24"/>
          <w:u w:val="single"/>
        </w:rPr>
        <w:t xml:space="preserve">退休人员工伤保险</w:t>
      </w:r>
      <w:r>
        <w:rPr>
          <w:rFonts w:hint="eastAsia" w:ascii="宋体" w:hAnsi="宋体"/>
          <w:b/>
          <w:bCs/>
          <w:i/>
          <w:iCs/>
          <w:color w:val="auto"/>
          <w:sz w:val="24"/>
          <w:szCs w:val="24"/>
          <w:u w:val="single"/>
          <w:lang w:eastAsia="zh-CN"/>
        </w:rPr>
        <w:t xml:space="preserve">、</w:t>
      </w:r>
      <w:r>
        <w:rPr>
          <w:rFonts w:hint="eastAsia" w:cs="宋体" w:asciiTheme="minorEastAsia" w:hAnsiTheme="minorEastAsia" w:eastAsiaTheme="minorEastAsia"/>
          <w:b/>
          <w:i/>
          <w:color w:val="auto"/>
          <w:sz w:val="24"/>
          <w:szCs w:val="24"/>
          <w:u w:val="single"/>
        </w:rPr>
        <w:t xml:space="preserve">法定节假日加班费、周末加班费、高温补贴、节假日福利费、服装费、保洁工具耗材费、保安工具耗材费、管理费、税费</w:t>
      </w:r>
      <w:r>
        <w:rPr>
          <w:rFonts w:hint="eastAsia" w:cs="宋体" w:asciiTheme="minorEastAsia" w:hAnsiTheme="minorEastAsia" w:eastAsiaTheme="minorEastAsia"/>
          <w:b/>
          <w:i/>
          <w:color w:val="auto"/>
          <w:sz w:val="24"/>
          <w:szCs w:val="24"/>
          <w:highlight w:val="white"/>
          <w:u w:val="single"/>
        </w:rPr>
        <w:t xml:space="preserve">及投标人自行考虑的其他费用</w:t>
      </w:r>
      <w:r>
        <w:rPr>
          <w:rFonts w:hint="eastAsia" w:cs="宋体" w:asciiTheme="minorEastAsia" w:hAnsiTheme="minorEastAsia" w:eastAsiaTheme="minorEastAsia"/>
          <w:b/>
          <w:bCs/>
          <w:i/>
          <w:color w:val="auto"/>
          <w:sz w:val="24"/>
          <w:szCs w:val="24"/>
        </w:rPr>
        <w:t xml:space="preserve">。</w:t>
      </w:r>
      <w:r>
        <w:rPr>
          <w:rFonts w:ascii="宋体" w:hAnsi="宋体" w:eastAsia="宋体" w:cs="宋体"/>
          <w:b/>
          <w:color w:val="ff0000"/>
          <w:sz w:val="24"/>
        </w:rPr>
        <w:t xml:space="preserve">退休人员工伤保险若在履约期间无法缴纳，该费用自动转为意外伤害险，具体保额和缴纳费用与采购人商定后按实结算。</w:t>
      </w:r>
      <w:r/>
    </w:p>
    <w:p>
      <w:pPr>
        <w:ind w:firstLine="480"/>
        <w:spacing w:line="500" w:lineRule="exact"/>
        <w:rPr>
          <w:rFonts w:hint="default" w:eastAsia="宋体"/>
          <w:color w:val="auto"/>
          <w:lang w:val="en-US" w:eastAsia="zh-CN"/>
        </w:rPr>
      </w:pPr>
      <w:r>
        <w:rPr>
          <w:rFonts w:hint="eastAsia" w:cs="宋体" w:asciiTheme="minorEastAsia" w:hAnsiTheme="minorEastAsia" w:eastAsiaTheme="minorEastAsia"/>
          <w:b/>
          <w:i/>
          <w:color w:val="auto"/>
          <w:sz w:val="24"/>
          <w:szCs w:val="24"/>
          <w:u w:val="single"/>
        </w:rPr>
        <w:t xml:space="preserve">2、报价时，</w:t>
      </w:r>
      <w:r>
        <w:rPr>
          <w:rFonts w:hint="eastAsia" w:ascii="宋体" w:hAnsi="宋体"/>
          <w:b/>
          <w:bCs/>
          <w:i/>
          <w:iCs/>
          <w:color w:val="auto"/>
          <w:sz w:val="24"/>
          <w:szCs w:val="24"/>
          <w:u w:val="single"/>
        </w:rPr>
        <w:t xml:space="preserve">人员工资低于</w:t>
      </w:r>
      <w:r>
        <w:rPr>
          <w:rFonts w:hint="eastAsia" w:ascii="宋体" w:hAnsi="宋体"/>
          <w:b/>
          <w:bCs/>
          <w:i/>
          <w:iCs/>
          <w:color w:val="ff0000"/>
          <w:sz w:val="24"/>
          <w:szCs w:val="24"/>
          <w:u w:val="single"/>
        </w:rPr>
        <w:t xml:space="preserve">扬州市最低工资标准</w:t>
      </w:r>
      <w:r>
        <w:rPr>
          <w:rFonts w:hint="eastAsia" w:ascii="宋体" w:hAnsi="宋体"/>
          <w:b/>
          <w:bCs/>
          <w:i/>
          <w:iCs/>
          <w:color w:val="auto"/>
          <w:sz w:val="24"/>
          <w:szCs w:val="24"/>
          <w:u w:val="single"/>
        </w:rPr>
        <w:t xml:space="preserve">及社会保险、医疗保险、住房公积金</w:t>
      </w:r>
      <w:r>
        <w:rPr>
          <w:rFonts w:hint="eastAsia" w:ascii="宋体" w:hAnsi="宋体"/>
          <w:b/>
          <w:bCs/>
          <w:i/>
          <w:iCs/>
          <w:color w:val="auto"/>
          <w:sz w:val="24"/>
          <w:szCs w:val="24"/>
          <w:u w:val="single"/>
          <w:lang w:eastAsia="zh-CN"/>
        </w:rPr>
        <w:t xml:space="preserve">、</w:t>
      </w:r>
      <w:r>
        <w:rPr>
          <w:rFonts w:hint="eastAsia" w:ascii="宋体" w:hAnsi="宋体"/>
          <w:b/>
          <w:bCs/>
          <w:i/>
          <w:iCs/>
          <w:color w:val="auto"/>
          <w:sz w:val="24"/>
          <w:szCs w:val="24"/>
          <w:u w:val="single"/>
        </w:rPr>
        <w:t xml:space="preserve">退休人员工伤保险</w:t>
      </w:r>
      <w:r>
        <w:rPr>
          <w:rFonts w:hint="eastAsia" w:ascii="宋体" w:hAnsi="宋体"/>
          <w:b/>
          <w:bCs/>
          <w:i/>
          <w:iCs/>
          <w:color w:val="auto"/>
          <w:sz w:val="24"/>
          <w:szCs w:val="24"/>
          <w:u w:val="single"/>
          <w:lang w:val="en-US" w:eastAsia="zh-CN"/>
        </w:rPr>
        <w:t xml:space="preserve">的低于</w:t>
      </w:r>
      <w:r>
        <w:rPr>
          <w:rFonts w:hint="eastAsia" w:ascii="宋体" w:hAnsi="宋体"/>
          <w:b/>
          <w:bCs/>
          <w:i/>
          <w:iCs/>
          <w:color w:val="ff0000"/>
          <w:sz w:val="24"/>
          <w:szCs w:val="24"/>
          <w:u w:val="single"/>
          <w:lang w:val="en-US" w:eastAsia="zh-CN"/>
        </w:rPr>
        <w:t xml:space="preserve">扬州市现行缴费基数</w:t>
      </w:r>
      <w:r>
        <w:rPr>
          <w:rFonts w:hint="eastAsia" w:ascii="宋体" w:hAnsi="宋体"/>
          <w:b/>
          <w:bCs/>
          <w:i/>
          <w:iCs/>
          <w:color w:val="auto"/>
          <w:sz w:val="24"/>
          <w:szCs w:val="24"/>
          <w:u w:val="single"/>
          <w:lang w:val="en-US" w:eastAsia="zh-CN"/>
        </w:rPr>
        <w:t xml:space="preserve">进行测算的</w:t>
      </w:r>
      <w:r>
        <w:rPr>
          <w:rFonts w:hint="eastAsia" w:ascii="宋体" w:hAnsi="宋体"/>
          <w:b/>
          <w:bCs/>
          <w:i/>
          <w:iCs/>
          <w:color w:val="auto"/>
          <w:sz w:val="24"/>
          <w:szCs w:val="24"/>
          <w:u w:val="single"/>
        </w:rPr>
        <w:t xml:space="preserve">作无效报价处理。</w:t>
      </w:r>
      <w:r/>
    </w:p>
    <w:p>
      <w:pPr>
        <w:ind w:firstLine="482"/>
        <w:jc w:val="left"/>
        <w:spacing w:line="460" w:lineRule="exact"/>
        <w:rPr>
          <w:rFonts w:ascii="宋体" w:hAnsi="宋体"/>
          <w:b/>
          <w:bCs/>
          <w:i/>
          <w:iCs/>
          <w:sz w:val="24"/>
          <w:szCs w:val="24"/>
          <w:u w:val="single"/>
        </w:rPr>
      </w:pPr>
      <w:r>
        <w:rPr>
          <w:rFonts w:hint="eastAsia" w:ascii="宋体" w:hAnsi="宋体"/>
          <w:sz w:val="24"/>
          <w:szCs w:val="24"/>
        </w:rPr>
        <w:t xml:space="preserve">合同期限内，如遇政策变化，相关费用由采购人承担。</w:t>
      </w:r>
      <w:r/>
    </w:p>
    <w:p>
      <w:pPr>
        <w:ind w:firstLine="480"/>
        <w:spacing w:line="500" w:lineRule="exact"/>
        <w:rPr>
          <w:rFonts w:cs="宋体" w:asciiTheme="minorEastAsia" w:hAnsiTheme="minorEastAsia" w:eastAsiaTheme="minorEastAsia"/>
          <w:b/>
          <w:i/>
          <w:sz w:val="24"/>
          <w:szCs w:val="24"/>
          <w:highlight w:val="cyan"/>
          <w:u w:val="single"/>
        </w:rPr>
      </w:pPr>
      <w:r>
        <w:rPr>
          <w:rFonts w:hint="eastAsia" w:ascii="宋体" w:hAnsi="宋体"/>
          <w:b/>
          <w:bCs/>
          <w:i/>
          <w:iCs/>
          <w:sz w:val="24"/>
          <w:szCs w:val="24"/>
          <w:u w:val="single"/>
        </w:rPr>
        <w:t xml:space="preserve">3、本</w:t>
      </w:r>
      <w:r>
        <w:rPr>
          <w:rFonts w:hint="eastAsia" w:ascii="宋体" w:hAnsi="宋体"/>
          <w:b/>
          <w:bCs/>
          <w:i/>
          <w:iCs/>
          <w:sz w:val="24"/>
          <w:szCs w:val="24"/>
          <w:highlight w:val="none"/>
          <w:u w:val="single"/>
        </w:rPr>
        <w:t xml:space="preserve">项目不接受退伍军人税收补助优惠政策。依法缴纳社保、医保、住房公积金的人数</w:t>
      </w:r>
      <w:r>
        <w:rPr>
          <w:rFonts w:ascii="宋体" w:hAnsi="宋体"/>
          <w:b/>
          <w:bCs/>
          <w:i/>
          <w:iCs/>
          <w:color w:val="ff0000"/>
          <w:sz w:val="24"/>
          <w:szCs w:val="24"/>
          <w:highlight w:val="none"/>
          <w:u w:val="single"/>
        </w:rPr>
        <w:t xml:space="preserve">35</w:t>
      </w:r>
      <w:r>
        <w:rPr>
          <w:rFonts w:hint="eastAsia" w:ascii="宋体" w:hAnsi="宋体"/>
          <w:b/>
          <w:bCs/>
          <w:i/>
          <w:iCs/>
          <w:sz w:val="24"/>
          <w:szCs w:val="24"/>
          <w:highlight w:val="none"/>
          <w:u w:val="single"/>
        </w:rPr>
        <w:t xml:space="preserve">人（不考虑扣除国家补贴、优惠、减免等相关政策费用）</w:t>
      </w:r>
      <w:r>
        <w:rPr>
          <w:rFonts w:hint="eastAsia" w:ascii="宋体" w:hAnsi="宋体"/>
          <w:b/>
          <w:bCs/>
          <w:i/>
          <w:iCs/>
          <w:sz w:val="24"/>
          <w:szCs w:val="24"/>
          <w:highlight w:val="none"/>
          <w:u w:val="single"/>
          <w:lang w:eastAsia="zh-CN"/>
        </w:rPr>
        <w:t xml:space="preserve">，</w:t>
      </w:r>
      <w:r>
        <w:rPr>
          <w:rFonts w:hint="eastAsia" w:ascii="宋体" w:hAnsi="宋体"/>
          <w:b/>
          <w:bCs/>
          <w:i/>
          <w:iCs/>
          <w:sz w:val="24"/>
          <w:szCs w:val="24"/>
          <w:highlight w:val="none"/>
          <w:u w:val="single"/>
        </w:rPr>
        <w:t xml:space="preserve">依法缴纳退休人员工伤保险的人数</w:t>
      </w:r>
      <w:r>
        <w:rPr>
          <w:rFonts w:hint="eastAsia" w:ascii="宋体" w:hAnsi="宋体"/>
          <w:b/>
          <w:bCs/>
          <w:i/>
          <w:iCs/>
          <w:color w:val="ff0000"/>
          <w:sz w:val="24"/>
          <w:szCs w:val="24"/>
          <w:highlight w:val="none"/>
          <w:u w:val="single"/>
          <w:lang w:val="en-US" w:eastAsia="zh-CN"/>
        </w:rPr>
        <w:t xml:space="preserve">7</w:t>
      </w:r>
      <w:r>
        <w:rPr>
          <w:rFonts w:hint="eastAsia" w:ascii="宋体" w:hAnsi="宋体"/>
          <w:b/>
          <w:bCs/>
          <w:i/>
          <w:iCs/>
          <w:sz w:val="24"/>
          <w:szCs w:val="24"/>
          <w:highlight w:val="none"/>
          <w:u w:val="single"/>
        </w:rPr>
        <w:t xml:space="preserve">人。</w:t>
      </w:r>
      <w:r/>
    </w:p>
    <w:p>
      <w:pPr>
        <w:ind w:firstLine="480"/>
        <w:spacing w:line="500" w:lineRule="exact"/>
        <w:rPr>
          <w:rFonts w:hint="eastAsia" w:cs="宋体" w:asciiTheme="minorEastAsia" w:hAnsiTheme="minorEastAsia" w:eastAsiaTheme="minorEastAsia"/>
          <w:b/>
          <w:i/>
          <w:sz w:val="24"/>
          <w:szCs w:val="24"/>
          <w:u w:val="single"/>
        </w:rPr>
      </w:pPr>
      <w:r>
        <w:rPr>
          <w:rFonts w:cs="宋体" w:asciiTheme="minorEastAsia" w:hAnsiTheme="minorEastAsia" w:eastAsiaTheme="minorEastAsia"/>
          <w:b/>
          <w:i/>
          <w:sz w:val="24"/>
          <w:szCs w:val="24"/>
          <w:u w:val="single"/>
        </w:rPr>
        <w:t xml:space="preserve">4</w:t>
      </w:r>
      <w:r>
        <w:rPr>
          <w:rFonts w:hint="eastAsia" w:cs="宋体" w:asciiTheme="minorEastAsia" w:hAnsiTheme="minorEastAsia" w:eastAsiaTheme="minorEastAsia"/>
          <w:b/>
          <w:i/>
          <w:sz w:val="24"/>
          <w:szCs w:val="24"/>
          <w:u w:val="single"/>
        </w:rPr>
        <w:t xml:space="preserve">、中标</w:t>
      </w:r>
      <w:r>
        <w:rPr>
          <w:rFonts w:hint="eastAsia" w:cs="宋体" w:asciiTheme="minorEastAsia" w:hAnsiTheme="minorEastAsia"/>
          <w:b/>
          <w:i/>
          <w:sz w:val="24"/>
          <w:szCs w:val="24"/>
          <w:u w:val="single"/>
        </w:rPr>
        <w:t xml:space="preserve">人</w:t>
      </w:r>
      <w:r>
        <w:rPr>
          <w:rFonts w:hint="eastAsia" w:cs="宋体" w:asciiTheme="minorEastAsia" w:hAnsiTheme="minorEastAsia" w:eastAsiaTheme="minorEastAsia"/>
          <w:b/>
          <w:i/>
          <w:sz w:val="24"/>
          <w:szCs w:val="24"/>
          <w:u w:val="single"/>
        </w:rPr>
        <w:t xml:space="preserve">承诺实施服务前，应将保安员资料送公安局治安警察支队备案。（提供承诺，</w:t>
      </w:r>
      <w:r>
        <w:rPr>
          <w:rFonts w:hint="eastAsia" w:cs="宋体" w:asciiTheme="minorEastAsia" w:hAnsiTheme="minorEastAsia" w:eastAsiaTheme="minorEastAsia"/>
          <w:b/>
          <w:i/>
          <w:sz w:val="24"/>
          <w:szCs w:val="24"/>
          <w:u w:val="single"/>
          <w:lang w:val="en-US" w:eastAsia="zh-CN"/>
        </w:rPr>
        <w:t xml:space="preserve">格式自拟，</w:t>
      </w:r>
      <w:r>
        <w:rPr>
          <w:rFonts w:hint="eastAsia" w:cs="宋体" w:asciiTheme="minorEastAsia" w:hAnsiTheme="minorEastAsia" w:eastAsiaTheme="minorEastAsia"/>
          <w:b/>
          <w:i/>
          <w:sz w:val="24"/>
          <w:szCs w:val="24"/>
          <w:u w:val="single"/>
        </w:rPr>
        <w:t xml:space="preserve">扫描上传）</w:t>
      </w:r>
      <w:r/>
    </w:p>
    <w:p>
      <w:pPr>
        <w:ind w:firstLine="480"/>
        <w:spacing w:line="500" w:lineRule="exact"/>
        <w:rPr>
          <w:rFonts w:hint="eastAsia" w:cs="宋体" w:asciiTheme="minorEastAsia" w:hAnsiTheme="minorEastAsia" w:eastAsiaTheme="minorEastAsia"/>
          <w:b/>
          <w:i/>
          <w:sz w:val="24"/>
          <w:szCs w:val="24"/>
          <w:u w:val="single"/>
        </w:rPr>
      </w:pPr>
      <w:r>
        <w:rPr>
          <w:rFonts w:cs="宋体" w:asciiTheme="minorEastAsia" w:hAnsiTheme="minorEastAsia" w:eastAsiaTheme="minorEastAsia"/>
          <w:b/>
          <w:i/>
          <w:sz w:val="24"/>
          <w:szCs w:val="24"/>
          <w:u w:val="single"/>
        </w:rPr>
        <w:t xml:space="preserve">5</w:t>
      </w:r>
      <w:r>
        <w:rPr>
          <w:rFonts w:hint="eastAsia" w:cs="宋体" w:asciiTheme="minorEastAsia" w:hAnsiTheme="minorEastAsia" w:eastAsiaTheme="minorEastAsia"/>
          <w:b/>
          <w:i/>
          <w:sz w:val="24"/>
          <w:szCs w:val="24"/>
          <w:u w:val="single"/>
        </w:rPr>
        <w:t xml:space="preserve">、投标人须承诺合同签订后实施服务前，必须向采购人提供到岗人员花名册，投标文件中配备的项目经理等人必须为项目开展实际投入人员，</w:t>
      </w:r>
      <w:r>
        <w:rPr>
          <w:rFonts w:hint="eastAsia" w:cs="宋体" w:asciiTheme="minorEastAsia" w:hAnsiTheme="minorEastAsia" w:eastAsiaTheme="minorEastAsia"/>
          <w:b/>
          <w:i/>
          <w:sz w:val="24"/>
          <w:szCs w:val="24"/>
          <w:u w:val="single"/>
          <w:lang w:val="en-US" w:eastAsia="zh-CN"/>
        </w:rPr>
        <w:t xml:space="preserve">投标文件</w:t>
      </w:r>
      <w:r>
        <w:rPr>
          <w:rFonts w:hint="eastAsia" w:cs="宋体" w:asciiTheme="minorEastAsia" w:hAnsiTheme="minorEastAsia" w:eastAsiaTheme="minorEastAsia"/>
          <w:b/>
          <w:i/>
          <w:sz w:val="24"/>
          <w:szCs w:val="24"/>
          <w:u w:val="single"/>
        </w:rPr>
        <w:t xml:space="preserve">中涉及的证书及证件材料原件，由采购人对信息核查，核查无误后备案存档。（提供承诺，</w:t>
      </w:r>
      <w:r>
        <w:rPr>
          <w:rFonts w:hint="eastAsia" w:cs="宋体" w:asciiTheme="minorEastAsia" w:hAnsiTheme="minorEastAsia" w:eastAsiaTheme="minorEastAsia"/>
          <w:b/>
          <w:i/>
          <w:sz w:val="24"/>
          <w:szCs w:val="24"/>
          <w:u w:val="single"/>
          <w:lang w:val="en-US" w:eastAsia="zh-CN"/>
        </w:rPr>
        <w:t xml:space="preserve">格式自拟，</w:t>
      </w:r>
      <w:r>
        <w:rPr>
          <w:rFonts w:hint="eastAsia" w:cs="宋体" w:asciiTheme="minorEastAsia" w:hAnsiTheme="minorEastAsia" w:eastAsiaTheme="minorEastAsia"/>
          <w:b/>
          <w:i/>
          <w:sz w:val="24"/>
          <w:szCs w:val="24"/>
          <w:u w:val="single"/>
        </w:rPr>
        <w:t xml:space="preserve">扫描上传）</w:t>
      </w:r>
      <w:r/>
    </w:p>
    <w:p>
      <w:pPr>
        <w:ind w:firstLine="480"/>
        <w:spacing w:line="500" w:lineRule="exact"/>
        <w:rPr>
          <w:rFonts w:cs="宋体" w:asciiTheme="minorEastAsia" w:hAnsiTheme="minorEastAsia" w:eastAsiaTheme="minorEastAsia"/>
          <w:b/>
          <w:i/>
          <w:sz w:val="24"/>
          <w:szCs w:val="24"/>
          <w:u w:val="single"/>
        </w:rPr>
      </w:pPr>
      <w:r>
        <w:rPr>
          <w:rFonts w:cs="宋体" w:asciiTheme="minorEastAsia" w:hAnsiTheme="minorEastAsia" w:eastAsiaTheme="minorEastAsia"/>
          <w:b/>
          <w:i/>
          <w:sz w:val="24"/>
          <w:szCs w:val="24"/>
          <w:u w:val="single"/>
        </w:rPr>
        <w:t xml:space="preserve">6</w:t>
      </w:r>
      <w:r>
        <w:rPr>
          <w:rFonts w:hint="eastAsia" w:cs="宋体" w:asciiTheme="minorEastAsia" w:hAnsiTheme="minorEastAsia" w:eastAsiaTheme="minorEastAsia"/>
          <w:b/>
          <w:i/>
          <w:sz w:val="24"/>
          <w:szCs w:val="24"/>
          <w:u w:val="single"/>
        </w:rPr>
        <w:t xml:space="preserve">、拟派的人员</w:t>
      </w:r>
      <w:r>
        <w:rPr>
          <w:rFonts w:hint="eastAsia" w:cs="宋体" w:asciiTheme="minorEastAsia" w:hAnsiTheme="minorEastAsia" w:eastAsiaTheme="minorEastAsia"/>
          <w:b/>
          <w:i/>
          <w:sz w:val="24"/>
          <w:szCs w:val="24"/>
          <w:u w:val="single"/>
          <w:lang w:val="en-US" w:eastAsia="zh-CN"/>
        </w:rPr>
        <w:t xml:space="preserve">履约期间内</w:t>
      </w:r>
      <w:r>
        <w:rPr>
          <w:rFonts w:hint="eastAsia" w:cs="宋体" w:asciiTheme="minorEastAsia" w:hAnsiTheme="minorEastAsia" w:eastAsiaTheme="minorEastAsia"/>
          <w:b/>
          <w:i/>
          <w:sz w:val="24"/>
          <w:szCs w:val="24"/>
          <w:u w:val="single"/>
        </w:rPr>
        <w:t xml:space="preserve">，不得随意调整，如需调整须经采购人同意和备案。（提供承诺，格式自拟</w:t>
      </w:r>
      <w:r>
        <w:rPr>
          <w:rFonts w:hint="eastAsia" w:cs="宋体" w:asciiTheme="minorEastAsia" w:hAnsiTheme="minorEastAsia" w:eastAsiaTheme="minorEastAsia"/>
          <w:b/>
          <w:i/>
          <w:sz w:val="24"/>
          <w:szCs w:val="24"/>
          <w:u w:val="single"/>
          <w:lang w:eastAsia="zh-CN"/>
        </w:rPr>
        <w:t xml:space="preserve">，</w:t>
      </w:r>
      <w:r>
        <w:rPr>
          <w:rFonts w:hint="eastAsia" w:cs="宋体" w:asciiTheme="minorEastAsia" w:hAnsiTheme="minorEastAsia" w:eastAsiaTheme="minorEastAsia"/>
          <w:b/>
          <w:i/>
          <w:sz w:val="24"/>
          <w:szCs w:val="24"/>
          <w:u w:val="single"/>
        </w:rPr>
        <w:t xml:space="preserve">扫描上传）</w:t>
      </w:r>
      <w:r/>
    </w:p>
    <w:p>
      <w:pPr>
        <w:ind w:firstLine="435"/>
        <w:spacing w:line="50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7</w:t>
      </w:r>
      <w:r>
        <w:rPr>
          <w:rFonts w:hint="eastAsia" w:cs="宋体" w:asciiTheme="minorEastAsia" w:hAnsiTheme="minorEastAsia" w:eastAsiaTheme="minorEastAsia"/>
          <w:sz w:val="24"/>
          <w:szCs w:val="24"/>
        </w:rPr>
        <w:t xml:space="preserve">、中标人应配合采购人开展各类创建活动，协助配合属地社区开展的各项活动。</w:t>
      </w:r>
      <w:r/>
    </w:p>
    <w:p>
      <w:pPr>
        <w:ind w:firstLine="435"/>
        <w:spacing w:line="50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8</w:t>
      </w:r>
      <w:r>
        <w:rPr>
          <w:rFonts w:hint="eastAsia" w:cs="宋体" w:asciiTheme="minorEastAsia" w:hAnsiTheme="minorEastAsia" w:eastAsiaTheme="minorEastAsia"/>
          <w:sz w:val="24"/>
          <w:szCs w:val="24"/>
        </w:rPr>
        <w:t xml:space="preserve">、采购人不负责中标人所有工作人员的衣食住行等非合同约定事项。</w:t>
      </w:r>
      <w:r/>
    </w:p>
    <w:p>
      <w:pPr>
        <w:ind w:firstLine="435"/>
        <w:spacing w:line="50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9</w:t>
      </w:r>
      <w:r>
        <w:rPr>
          <w:rFonts w:hint="eastAsia" w:cs="宋体" w:asciiTheme="minorEastAsia" w:hAnsiTheme="minorEastAsia" w:eastAsiaTheme="minorEastAsia"/>
          <w:sz w:val="24"/>
          <w:szCs w:val="24"/>
        </w:rPr>
        <w:t xml:space="preserve">、中标人的服务人员须服从采购人的工作安排以及统一调配的要求。</w:t>
      </w:r>
      <w:r/>
    </w:p>
    <w:p>
      <w:pPr>
        <w:ind w:firstLine="435"/>
        <w:spacing w:line="50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10</w:t>
      </w:r>
      <w:r>
        <w:rPr>
          <w:rFonts w:hint="eastAsia" w:cs="宋体" w:asciiTheme="minorEastAsia" w:hAnsiTheme="minorEastAsia" w:eastAsiaTheme="minorEastAsia"/>
          <w:sz w:val="24"/>
          <w:szCs w:val="24"/>
        </w:rPr>
        <w:t xml:space="preserve">、服务人员须报采购人处备案；在工作时间须全员全时在岗，接受采购人的检查和考核。</w:t>
      </w:r>
      <w:r/>
    </w:p>
    <w:p>
      <w:pPr>
        <w:pStyle w:val="1051"/>
        <w:ind w:firstLine="420"/>
        <w:spacing w:line="50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1</w:t>
      </w:r>
      <w:r>
        <w:rPr>
          <w:rFonts w:asciiTheme="minorEastAsia" w:hAnsiTheme="minorEastAsia" w:eastAsiaTheme="minorEastAsia"/>
          <w:color w:val="000000" w:themeColor="text1"/>
          <w:sz w:val="24"/>
          <w:szCs w:val="24"/>
          <w14:textFill>
            <w14:solidFill>
              <w14:schemeClr w14:val="tx1"/>
            </w14:solidFill>
          </w14:textFill>
        </w:rPr>
        <w:t xml:space="preserve">1</w:t>
      </w:r>
      <w:r>
        <w:rPr>
          <w:rFonts w:hint="eastAsia" w:asciiTheme="minorEastAsia" w:hAnsiTheme="minorEastAsia" w:eastAsiaTheme="minorEastAsia"/>
          <w:color w:val="000000" w:themeColor="text1"/>
          <w:sz w:val="24"/>
          <w:szCs w:val="24"/>
          <w14:textFill>
            <w14:solidFill>
              <w14:schemeClr w14:val="tx1"/>
            </w14:solidFill>
          </w14:textFill>
        </w:rPr>
        <w:t xml:space="preserve">、中标人必须遵守国家的法律、法规，依法按时足额缴纳本项目员工的社会统筹保险及医疗保险。所有中标人的工作人员应具有良好素养和上岗资质，政治清白，无不良记录及嗜好，爱岗敬业、工作勤快，礼貌待人、和蔼处事，相貌端正、着装统一，身材适中、身体健康（无传染性疾病）。</w:t>
      </w:r>
      <w:r>
        <w:rPr>
          <w:rFonts w:hint="eastAsia" w:asciiTheme="minorEastAsia" w:hAnsiTheme="minorEastAsia" w:eastAsiaTheme="minorEastAsia"/>
          <w:color w:val="000000" w:themeColor="text1"/>
          <w:sz w:val="24"/>
          <w:szCs w:val="24"/>
          <w14:textFill>
            <w14:solidFill>
              <w14:schemeClr w14:val="tx1"/>
            </w14:solidFill>
          </w14:textFill>
        </w:rPr>
        <w:br w:type="page" w:clear="all"/>
      </w:r>
      <w:r/>
    </w:p>
    <w:p>
      <w:pPr>
        <w:ind w:firstLine="482"/>
        <w:jc w:val="center"/>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物业考核细则</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考核评定由扬州城大遗址保护中心（隋炀帝墓遗址博物馆）组成的考核小组具体负责，凡属扣分项目，需由物业管理公司有关人员现场认可。</w:t>
      </w:r>
      <w:r/>
    </w:p>
    <w:p>
      <w:pPr>
        <w:ind w:firstLine="482"/>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第一章  物业管理公司从业人员考评</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1、物业管理公司招聘人员，必须符合隋炀帝墓遗址公园的管理需求，思想素质高，具有一定的文化水平和相应专业技能。招聘人员必须到物业管理公司备案，如出现未备案者，每发现一次扣１分。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2、严格执行登记制度，凡进入公园的外来人员应询问来访目的，查验有效证件，并进行登记。每发现一次未执行扣1分。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3、值班保安一定要坚守岗位，严禁脱岗。擅自离开岗位或睡觉，每发现一次扣２分。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4、保安值班时不准嬉笑打闹，不准看书、看报或进行其他与值班无关的事。每发现一次扣1分。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5、保安要积极贯彻落实安全保卫工作的管理制度、决定、决议，加强安全保卫管理工作的有关措施，发现一次落实不到位扣2分。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工作人员要履行职责，遵守管理制度，统一着装，精神饱满，仪表整洁，不蓬头散发等。工作责任心强，服务文明规范，管理人员和工作人员服务态度端正，佩带明显标志（工作牌），穿工服，工作认真负责，有较强的奉献精神，文明服务，礼貌待人，讲文明礼貌用语，服从和接受管理人员的检查，每发现一次不合格者扣1分。</w:t>
      </w:r>
      <w:r/>
    </w:p>
    <w:p>
      <w:pPr>
        <w:ind w:firstLine="482"/>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第二章  治安、消防管理考评</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1、公园附近严禁打架、斗殴、寻衅滋事的事件发生，确保安全；严禁盗窃和人为破坏行为。每发现一次扣5分。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2、对进入公园进行施工、装修、整改、维修的人员未进行有效管理，造成严重影响的每次扣5分；未登记或未跟踪管理每发现一次扣1分。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3、严格检查进出物品，严禁易燃、易爆、有毒等危险物品进入公园，严格按照出入门卫管理制度进行管理，每发现一次未检查扣２分。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4、保卫力量必须通力合作，协调配合，不能因自身原因影响团结。发现一次不合格者扣1分。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5、消防设施设备齐全，无丢失；消火栓无私自动用。每发现一次不合格扣1分。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6、楼梯过道无违规占用、无杂物堆放等现象。每发现一次不合格扣1分。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7、消防设备、器材和消防安全标志到位，状态良好，发现破损应及时告知，进行维修更换。每发现一次不合格的扣1分。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8、防止跳楼、爆炸、火灾等恶性事故的发生，因工作失职而发生此类事故的实行一票否决。</w:t>
      </w:r>
      <w:r/>
    </w:p>
    <w:p>
      <w:pPr>
        <w:ind w:firstLine="482"/>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第三章  保洁卫生考评</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1、按时到岗，做好展厅室内保洁工作，保持地面干净，无明显污渍，天花板、灯罩、指示灯无灰尘，无污迹，每发现一次不合格扣1分。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2、卫生间玻璃镜面、洗手台和地面无积水、无明显污渍、无杂物，地面无明显脚印；大、小便池内无污物，干净整洁无异味，按时进行清洁（上午2次，下午2次）。每发现一次不合格扣1分。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3、卫生间设施完好，便池感应阀、洗手笼头电磁阀能正常工作，出水流畅。出现损坏的在2日内恢复。每发现一次不合格扣1分。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4、公共地区无瓜果皮壳、烟头、纸屑、痰迹等杂物，地面无积水、无污渍。如发现应在30分钟内清扫。每发现一次不合格扣1分。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5、公共部位绿化摆放形态正常，出现伤残枝等不正常现象时及时予以处置或更换。每发现一次不合格扣1分。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6、车棚无瓜果皮壳、纸屑，无垃圾杂物、无泥沙、无积水、无污渍。公共门窗、消防栓、标牌、栏杆、扶手门（窗）框，目视无污渍、灰尘，玻璃门窗无污迹（内）。每发现一次不合格扣1分。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7、确保果皮箱、垃圾箱等环卫设备内部垃圾及时清理。果皮箱、垃圾箱外表无污迹、黏合物，垃圾箱周围无散落垃圾，无污水、污迹。每发现一次不合格扣1分。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8、按消、杀操作规程及服务标准要求定期进行及时消毒灭杀，无蚊蝇孳生现象，并有相应记录。发现一次不合格扣1分。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9、出现紧急情况，必须及时处理并汇报。造成严重影响的，发现一次扣3分。</w:t>
      </w:r>
      <w:r/>
    </w:p>
    <w:p>
      <w:pPr>
        <w:ind w:firstLine="482"/>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第四章  问责（处罚）</w:t>
      </w:r>
      <w:r/>
    </w:p>
    <w:p>
      <w:pPr>
        <w:ind w:firstLine="480"/>
        <w:spacing w:line="360" w:lineRule="auto"/>
        <w:rPr>
          <w:rFonts w:cs="宋体" w:asciiTheme="minorEastAsia" w:hAnsiTheme="minorEastAsia" w:eastAsiaTheme="minorEastAsia"/>
          <w:color w:val="000000"/>
          <w:sz w:val="24"/>
          <w:szCs w:val="24"/>
          <w:shd w:val="clear" w:color="auto" w:fill="ffffff"/>
        </w:rPr>
      </w:pPr>
      <w:r>
        <w:rPr>
          <w:rFonts w:hint="eastAsia" w:cs="宋体" w:asciiTheme="minorEastAsia" w:hAnsiTheme="minorEastAsia" w:eastAsiaTheme="minorEastAsia"/>
          <w:color w:val="000000"/>
          <w:sz w:val="24"/>
          <w:szCs w:val="24"/>
          <w:shd w:val="clear" w:color="auto" w:fill="ffffff"/>
        </w:rPr>
        <w:t xml:space="preserve">1、实行百分制考核。每月考核分数由定期考核得分与巡查考核得分综合组成，定期考核得分占综合得分70%，巡查考核得分占总综合得分30%。</w:t>
      </w:r>
      <w:r/>
    </w:p>
    <w:p>
      <w:pPr>
        <w:ind w:firstLine="480"/>
        <w:spacing w:line="360" w:lineRule="auto"/>
        <w:rPr>
          <w:rFonts w:cs="宋体" w:asciiTheme="minorEastAsia" w:hAnsiTheme="minorEastAsia" w:eastAsiaTheme="minorEastAsia"/>
          <w:color w:val="000000"/>
          <w:sz w:val="24"/>
          <w:szCs w:val="24"/>
          <w:shd w:val="clear" w:color="auto" w:fill="ffffff"/>
        </w:rPr>
      </w:pPr>
      <w:r>
        <w:rPr>
          <w:rFonts w:hint="eastAsia" w:cs="宋体" w:asciiTheme="minorEastAsia" w:hAnsiTheme="minorEastAsia" w:eastAsiaTheme="minorEastAsia"/>
          <w:color w:val="000000"/>
          <w:sz w:val="24"/>
          <w:szCs w:val="24"/>
          <w:shd w:val="clear" w:color="auto" w:fill="ffffff"/>
        </w:rPr>
        <w:t xml:space="preserve">2、因管理不当出现以下情况的，每次扣3分：受到领导点名批评，情节严重的；严重消极怠工，效果特别差的；因管理不善，职工打架斗殴闹事造成不良影响的；工作失误经媒体曝光查实的；上班期间喝酒、抽烟、无事串岗闲聊，发生2次及以上的；其他造成严重不良影响情况。</w:t>
      </w:r>
      <w:r/>
    </w:p>
    <w:p>
      <w:pPr>
        <w:ind w:firstLine="480"/>
        <w:spacing w:line="360" w:lineRule="auto"/>
        <w:rPr>
          <w:rFonts w:cs="宋体" w:asciiTheme="minorEastAsia" w:hAnsiTheme="minorEastAsia" w:eastAsiaTheme="minorEastAsia"/>
          <w:color w:val="000000"/>
          <w:sz w:val="24"/>
          <w:szCs w:val="24"/>
          <w:shd w:val="clear" w:color="auto" w:fill="ffffff"/>
        </w:rPr>
      </w:pPr>
      <w:r>
        <w:rPr>
          <w:rFonts w:hint="eastAsia" w:cs="宋体" w:asciiTheme="minorEastAsia" w:hAnsiTheme="minorEastAsia" w:eastAsiaTheme="minorEastAsia"/>
          <w:color w:val="000000"/>
          <w:sz w:val="24"/>
          <w:szCs w:val="24"/>
          <w:shd w:val="clear" w:color="auto" w:fill="ffffff"/>
        </w:rPr>
        <w:t xml:space="preserve">3、考核分以90分为基础分，每低于基础分1分，扣减当月物业服务费（物业年服务合同价除以12个月即为月物业服务费）1个百分点，以此类推。</w:t>
      </w:r>
      <w:r/>
    </w:p>
    <w:p>
      <w:pPr>
        <w:ind w:firstLine="480"/>
        <w:spacing w:line="360" w:lineRule="auto"/>
        <w:rPr>
          <w:rFonts w:cs="宋体" w:asciiTheme="minorEastAsia" w:hAnsiTheme="minorEastAsia" w:eastAsiaTheme="minorEastAsia"/>
          <w:color w:val="000000"/>
          <w:sz w:val="24"/>
          <w:szCs w:val="24"/>
          <w:shd w:val="clear" w:color="auto" w:fill="ffffff"/>
        </w:rPr>
      </w:pPr>
      <w:r>
        <w:rPr>
          <w:rFonts w:hint="eastAsia" w:cs="宋体" w:asciiTheme="minorEastAsia" w:hAnsiTheme="minorEastAsia" w:eastAsiaTheme="minorEastAsia"/>
          <w:color w:val="000000"/>
          <w:sz w:val="24"/>
          <w:szCs w:val="24"/>
          <w:shd w:val="clear" w:color="auto" w:fill="ffffff"/>
        </w:rPr>
        <w:t xml:space="preserve">4、年度考核中有三次分值低于88分或有两次分值低于85分或有一次分值低于80分的，采购人有权中止合同。</w:t>
      </w:r>
      <w:r/>
    </w:p>
    <w:p>
      <w:pPr>
        <w:ind w:firstLine="480"/>
        <w:spacing w:line="360" w:lineRule="auto"/>
        <w:rPr>
          <w:rFonts w:cs="宋体" w:asciiTheme="minorEastAsia" w:hAnsiTheme="minorEastAsia" w:eastAsiaTheme="minorEastAsia"/>
          <w:color w:val="000000"/>
          <w:sz w:val="24"/>
          <w:szCs w:val="24"/>
          <w:shd w:val="clear" w:color="auto" w:fill="ffffff"/>
        </w:rPr>
      </w:pPr>
      <w:r>
        <w:rPr>
          <w:rFonts w:hint="eastAsia" w:cs="宋体" w:asciiTheme="minorEastAsia" w:hAnsiTheme="minorEastAsia" w:eastAsiaTheme="minorEastAsia"/>
          <w:color w:val="000000"/>
          <w:sz w:val="24"/>
          <w:szCs w:val="24"/>
          <w:shd w:val="clear" w:color="auto" w:fill="ffffff"/>
        </w:rPr>
        <w:t xml:space="preserve">5、如因物业管理公司履行合同约定的某一项物业管理管理服务内容不到位，采购人有权按100元/项标准处以罚款，从当月物业管理费中直接扣除；如因投标人不能履行合同约定的某一项物业管理管理服务内容，采购人有权按500元/项标准处以罚款，从当月物业管理费中直接扣除(以上两项罚款，物业公司不得转扣员工工资)；如某一岗位缺岗超过7天的，采购人有权扣除一定比例的物业管理费；如签订合同后，本项目所配人员与招标文件不相符，采购人有权扣除一定比例的物业管理费，并限期换人；如因投标人管理服务满意率低于80%的，采购人有权终止合同。</w:t>
      </w:r>
      <w:r/>
    </w:p>
    <w:p>
      <w:pPr>
        <w:ind w:firstLine="480"/>
        <w:spacing w:line="360" w:lineRule="auto"/>
        <w:rPr>
          <w:rFonts w:cs="宋体" w:asciiTheme="minorEastAsia" w:hAnsiTheme="minorEastAsia" w:eastAsiaTheme="minorEastAsia"/>
          <w:color w:val="000000"/>
          <w:sz w:val="24"/>
          <w:szCs w:val="24"/>
          <w:shd w:val="clear" w:color="auto" w:fill="ffffff"/>
        </w:rPr>
      </w:pPr>
      <w:r>
        <w:rPr>
          <w:rFonts w:hint="eastAsia" w:cs="宋体" w:asciiTheme="minorEastAsia" w:hAnsiTheme="minorEastAsia" w:eastAsiaTheme="minorEastAsia"/>
          <w:color w:val="000000"/>
          <w:sz w:val="24"/>
          <w:szCs w:val="24"/>
          <w:shd w:val="clear" w:color="auto" w:fill="ffffff"/>
        </w:rPr>
        <w:t xml:space="preserve">6、考核中发现的问题，物业管理公司必须及时整改。整改到位后方可核发物业费用。</w:t>
      </w:r>
      <w:r/>
    </w:p>
    <w:p>
      <w:pPr>
        <w:ind w:firstLine="482"/>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 </w:t>
      </w:r>
      <w:r/>
    </w:p>
    <w:p>
      <w:pPr>
        <w:rPr>
          <w:rFonts w:eastAsia="Times New Roman"/>
          <w:color w:val="000000"/>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sz w:val="24"/>
          <w:szCs w:val="24"/>
          <w:shd w:val="clear" w:color="auto" w:fill="ffffff"/>
        </w:rPr>
        <w:t xml:space="preserve">注：本考核办法解释权归扬州城大遗址保护中心（隋炀帝墓遗址博物馆）。</w:t>
      </w:r>
      <w:r/>
    </w:p>
    <w:p>
      <w:pPr>
        <w:spacing w:before="240" w:after="240"/>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spacing w:before="240" w:after="240"/>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spacing w:before="240" w:after="240"/>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spacing w:before="240" w:after="240"/>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spacing w:before="240" w:after="240"/>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spacing w:before="240" w:after="240"/>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spacing w:before="240" w:after="240"/>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spacing w:before="240" w:after="240"/>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spacing w:before="240" w:after="240"/>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spacing w:before="240" w:after="240"/>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rPr>
          <w:rFonts w:eastAsia="Times New Roman"/>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rPr>
          <w:rFonts w:eastAsia="Times New Roman"/>
          <w:color w:val="000000"/>
          <w:sz w:val="24"/>
        </w:rPr>
        <w:t xml:space="preserve"> </w:t>
      </w:r>
      <w:r/>
    </w:p>
    <w:p>
      <w:pPr>
        <w:rPr>
          <w:rFonts w:eastAsia="Times New Roman"/>
          <w:color w:val="000000"/>
          <w:sz w:val="24"/>
        </w:rPr>
        <w:pBdr>
          <w:top w:val="none" w:color="000000" w:sz="0" w:space="0"/>
          <w:left w:val="none" w:color="000000" w:sz="0" w:space="0"/>
          <w:bottom w:val="none" w:color="000000" w:sz="0" w:space="0"/>
          <w:right w:val="none" w:color="000000" w:sz="0" w:space="0"/>
        </w:pBdr>
      </w:pPr>
      <w:r>
        <w:rPr>
          <w:rFonts w:eastAsia="Times New Roman"/>
          <w:color w:val="000000"/>
          <w:sz w:val="24"/>
        </w:rPr>
      </w:r>
      <w:r/>
    </w:p>
    <w:p>
      <w:pPr>
        <w:pBdr>
          <w:top w:val="none" w:color="000000" w:sz="0" w:space="0"/>
          <w:left w:val="none" w:color="000000" w:sz="0" w:space="0"/>
          <w:bottom w:val="none" w:color="000000" w:sz="0" w:space="0"/>
          <w:right w:val="none" w:color="000000" w:sz="0" w:space="0"/>
        </w:pBdr>
      </w:pPr>
      <w:r/>
      <w:r/>
    </w:p>
    <w:p>
      <w:pPr>
        <w:spacing w:before="240" w:after="240"/>
        <w:pBdr>
          <w:top w:val="none" w:color="000000" w:sz="0" w:space="0"/>
          <w:left w:val="none" w:color="000000" w:sz="0" w:space="0"/>
          <w:bottom w:val="none" w:color="000000" w:sz="0" w:space="0"/>
          <w:right w:val="none" w:color="000000" w:sz="0" w:space="0"/>
        </w:pBdr>
      </w:pPr>
      <w:r/>
      <w:r/>
    </w:p>
    <w:p>
      <w:pPr>
        <w:pStyle w:val="938"/>
      </w:pPr>
      <w:r>
        <w:rPr>
          <w:rFonts w:ascii="黑体" w:hAnsi="黑体" w:cs="黑体"/>
          <w:color w:val="000000"/>
        </w:rPr>
        <w:t xml:space="preserve"> 第五章</w:t>
      </w:r>
      <w:r>
        <w:rPr>
          <w:rFonts w:hint="eastAsia" w:ascii="黑体" w:hAnsi="黑体" w:cs="黑体"/>
          <w:color w:val="000000"/>
        </w:rPr>
        <w:t xml:space="preserve"> </w:t>
      </w:r>
      <w:r>
        <w:rPr>
          <w:rFonts w:ascii="黑体" w:hAnsi="黑体" w:cs="黑体"/>
          <w:color w:val="000000"/>
        </w:rPr>
        <w:t xml:space="preserve">评标方法与评标标准</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ind w:firstLine="439"/>
        <w:spacing w:before="240" w:after="240"/>
        <w:rPr>
          <w:rFonts w:ascii="宋体" w:hAnsi="宋体" w:cs="宋体"/>
          <w:color w:val="auto"/>
          <w:szCs w:val="24"/>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rPr>
        <w:t xml:space="preserve">本项目采用</w:t>
      </w:r>
      <w:r>
        <w:rPr>
          <w:rFonts w:ascii="宋体" w:hAnsi="宋体" w:cs="宋体"/>
          <w:color w:val="ff0000"/>
          <w:sz w:val="24"/>
          <w:szCs w:val="24"/>
        </w:rPr>
        <w:t xml:space="preserve">最低评标价法</w:t>
      </w:r>
      <w:r>
        <w:rPr>
          <w:rFonts w:ascii="宋体" w:hAnsi="宋体" w:cs="宋体"/>
          <w:color w:val="auto"/>
          <w:sz w:val="24"/>
          <w:szCs w:val="24"/>
        </w:rPr>
        <w:t xml:space="preserve">，投标文件满足招标文件全部实质性要求，且投标报价最低的投标人为中标候选人。</w:t>
      </w:r>
      <w:r/>
    </w:p>
    <w:p>
      <w:pPr>
        <w:ind w:firstLine="439"/>
        <w:spacing w:before="240" w:after="240"/>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rPr>
        <w:t xml:space="preserve">采用最低评标价法评标时，除了算术修正和落实政府采购政策需进行的价格扣除外，不能对投标人的投标价格进行任何调整。</w:t>
      </w:r>
      <w:r/>
    </w:p>
    <w:tbl>
      <w:tblPr>
        <w:tblStyle w:val="74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2081"/>
        <w:gridCol w:w="426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8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69"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69" w:type="dxa"/>
            <w:textDirection w:val="lrTb"/>
            <w:noWrap w:val="false"/>
          </w:tcPr>
          <w:p>
            <w:pPr>
              <w:jc w:val="center"/>
              <w:rPr>
                <w:color w:val="0070c0"/>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rPr>
              <w:t xml:space="preserve">满足招标文件全部实质性要求，且投标报价最低的投标人为中标候选人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69"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ind w:firstLine="441"/>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政府采购政策功能落实</w:t>
      </w:r>
      <w:r/>
    </w:p>
    <w:p>
      <w:pPr>
        <w:ind w:firstLine="441"/>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ff0000"/>
          <w:sz w:val="24"/>
        </w:rPr>
        <w:t xml:space="preserve">本项目专门面向中小企业：是</w:t>
      </w:r>
      <w:r/>
    </w:p>
    <w:tbl>
      <w:tblPr>
        <w:tblStyle w:val="74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83"/>
        <w:gridCol w:w="331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8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1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ind w:firstLine="480"/>
        <w:jc w:val="left"/>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1、小微型企业价格扣除</w:t>
      </w:r>
      <w:r/>
    </w:p>
    <w:p>
      <w:pPr>
        <w:ind w:firstLine="360"/>
        <w:jc w:val="left"/>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（1）本项目对小型和微型企业产品给予</w:t>
      </w:r>
      <w:r>
        <w:rPr>
          <w:rFonts w:ascii="宋体" w:hAnsi="宋体" w:cs="宋体"/>
          <w:color w:val="000000"/>
          <w:sz w:val="24"/>
          <w:u w:val="single"/>
        </w:rPr>
        <w:t xml:space="preserve">/</w:t>
      </w:r>
      <w:r>
        <w:rPr>
          <w:rFonts w:ascii="宋体" w:hAnsi="宋体" w:cs="宋体"/>
          <w:color w:val="000000"/>
          <w:sz w:val="24"/>
        </w:rPr>
        <w:t xml:space="preserve">的扣除价格，用扣除后的价格参与评审。</w:t>
      </w:r>
      <w:r/>
    </w:p>
    <w:p>
      <w:pPr>
        <w:ind w:firstLine="360"/>
        <w:jc w:val="left"/>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（2）供应商需按照采购文件的要求提供相应的《中小企业声明函》。</w:t>
      </w:r>
      <w:r/>
    </w:p>
    <w:p>
      <w:pPr>
        <w:ind w:firstLine="360"/>
        <w:jc w:val="left"/>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（3）企业标准请参照《关于印发中小企业划型标准规定的通知》（工信部联企业[2011]300号）文件规定自行填写。</w:t>
      </w:r>
      <w:r/>
    </w:p>
    <w:p>
      <w:pPr>
        <w:ind w:firstLine="480"/>
        <w:jc w:val="left"/>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2、残疾人福利单位价格扣除</w:t>
      </w:r>
      <w:r/>
    </w:p>
    <w:p>
      <w:pPr>
        <w:ind w:left="120" w:firstLine="360"/>
        <w:jc w:val="left"/>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（1）本项目对残疾人福利性单位视同小型、微型企业，给予</w:t>
      </w:r>
      <w:r>
        <w:rPr>
          <w:rFonts w:ascii="宋体" w:hAnsi="宋体" w:cs="宋体"/>
          <w:color w:val="000000"/>
          <w:sz w:val="24"/>
          <w:u w:val="single"/>
        </w:rPr>
        <w:t xml:space="preserve">/</w:t>
      </w:r>
      <w:r>
        <w:rPr>
          <w:rFonts w:ascii="宋体" w:hAnsi="宋体" w:cs="宋体"/>
          <w:color w:val="000000"/>
          <w:sz w:val="24"/>
        </w:rPr>
        <w:t xml:space="preserve">（的价格扣除，用扣除后的价格参与评审。</w:t>
      </w:r>
      <w:r/>
    </w:p>
    <w:p>
      <w:pPr>
        <w:ind w:left="120" w:firstLine="360"/>
        <w:jc w:val="left"/>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（2）残疾人福利单位需按照采购文件的要求提供《残疾人福利性单位声明函》。</w:t>
      </w:r>
      <w:r/>
    </w:p>
    <w:p>
      <w:pPr>
        <w:ind w:left="120" w:firstLine="360"/>
        <w:jc w:val="left"/>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（3）残疾人福利单位标准请参照《关于促进残疾人就业政府采购政策的通知》（财库〔2017〕141号）。</w:t>
      </w:r>
      <w:r/>
    </w:p>
    <w:p>
      <w:pPr>
        <w:ind w:firstLine="480"/>
        <w:jc w:val="left"/>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3、监狱和戒毒企业价格扣除</w:t>
      </w:r>
      <w:r/>
    </w:p>
    <w:p>
      <w:pPr>
        <w:ind w:firstLine="480"/>
        <w:jc w:val="left"/>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（1）本项目对监狱和戒毒企业（简称监狱企业）视同小型、微型企业，给予</w:t>
      </w:r>
      <w:r>
        <w:rPr>
          <w:rFonts w:ascii="宋体" w:hAnsi="宋体" w:cs="宋体"/>
          <w:color w:val="000000"/>
          <w:sz w:val="24"/>
          <w:u w:val="single"/>
        </w:rPr>
        <w:t xml:space="preserve">/</w:t>
      </w:r>
      <w:r>
        <w:rPr>
          <w:rFonts w:ascii="宋体" w:hAnsi="宋体" w:cs="宋体"/>
          <w:color w:val="000000"/>
          <w:sz w:val="24"/>
        </w:rPr>
        <w:t xml:space="preserve">的价格扣除，用扣除后的价格参与评审。</w:t>
      </w:r>
      <w:r/>
    </w:p>
    <w:p>
      <w:pPr>
        <w:ind w:firstLine="480"/>
        <w:jc w:val="left"/>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（3）监狱企业标准请参照《关于政府采购支持监狱企业发展有关问题的通知》（财库〔2014〕68号）。</w:t>
      </w:r>
      <w:r/>
    </w:p>
    <w:p>
      <w:pPr>
        <w:ind w:firstLine="480"/>
        <w:jc w:val="left"/>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4、残疾人福利单位、监狱企业属于小型、微型企业的，不重复享受政策。</w:t>
      </w:r>
      <w:r/>
    </w:p>
    <w:p>
      <w:pPr>
        <w:ind w:firstLine="480"/>
        <w:jc w:val="left"/>
        <w:spacing w:before="120" w:after="120"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s="宋体"/>
          <w:color w:val="000000"/>
          <w:sz w:val="24"/>
          <w:u w:val="single"/>
        </w:rPr>
        <w:t xml:space="preserve">/</w:t>
      </w:r>
      <w:r>
        <w:rPr>
          <w:rFonts w:ascii="宋体" w:hAnsi="宋体" w:cs="宋体"/>
          <w:color w:val="000000"/>
          <w:sz w:val="24"/>
        </w:rPr>
        <w:t xml:space="preserve">的价格扣除，用扣除后的价格参与评审。</w:t>
      </w:r>
      <w:r/>
    </w:p>
    <w:p>
      <w:pPr>
        <w:jc w:val="left"/>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6、联合体各方均为小型、微型企业（残疾人福利单位、监狱企业）的，联合体享受</w:t>
      </w:r>
      <w:r>
        <w:rPr>
          <w:rFonts w:ascii="宋体" w:hAnsi="宋体" w:cs="宋体"/>
          <w:color w:val="000000"/>
          <w:sz w:val="24"/>
          <w:u w:val="single"/>
        </w:rPr>
        <w:t xml:space="preserve">/</w:t>
      </w:r>
      <w:r>
        <w:rPr>
          <w:rFonts w:ascii="宋体" w:hAnsi="宋体" w:cs="宋体"/>
          <w:color w:val="000000"/>
          <w:sz w:val="24"/>
        </w:rPr>
        <w:t xml:space="preserve">价格扣除，用扣除后的价格参与评审。</w:t>
      </w:r>
      <w:r/>
    </w:p>
    <w:p>
      <w:pPr>
        <w:jc w:val="left"/>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pStyle w:val="938"/>
        <w:rPr>
          <w:rStyle w:val="973"/>
          <w:rFonts w:ascii="黑体" w:hAnsi="黑体" w:cs="黑体"/>
        </w:rPr>
      </w:pPr>
      <w:r>
        <w:rPr>
          <w:rFonts w:ascii="黑体" w:hAnsi="黑体" w:cs="黑体"/>
        </w:rPr>
      </w:r>
      <w:r/>
    </w:p>
    <w:p>
      <w:pPr>
        <w:rPr>
          <w:rStyle w:val="973"/>
          <w:rFonts w:ascii="黑体" w:hAnsi="黑体" w:cs="黑体"/>
        </w:rPr>
      </w:pPr>
      <w:r>
        <w:rPr>
          <w:rFonts w:ascii="黑体" w:hAnsi="黑体" w:cs="黑体"/>
        </w:rPr>
      </w:r>
      <w:r/>
    </w:p>
    <w:p>
      <w:pPr>
        <w:rPr>
          <w:rStyle w:val="973"/>
          <w:rFonts w:ascii="黑体" w:hAnsi="黑体" w:cs="黑体"/>
        </w:rPr>
      </w:pPr>
      <w:r>
        <w:rPr>
          <w:rFonts w:ascii="黑体" w:hAnsi="黑体" w:cs="黑体"/>
        </w:rPr>
      </w:r>
      <w:r/>
    </w:p>
    <w:p>
      <w:pPr>
        <w:rPr>
          <w:rStyle w:val="973"/>
          <w:rFonts w:ascii="黑体" w:hAnsi="黑体" w:cs="黑体"/>
        </w:rPr>
      </w:pPr>
      <w:r>
        <w:rPr>
          <w:rFonts w:ascii="黑体" w:hAnsi="黑体" w:cs="黑体"/>
        </w:rPr>
      </w:r>
      <w:r/>
    </w:p>
    <w:p>
      <w:pPr>
        <w:rPr>
          <w:rStyle w:val="973"/>
          <w:rFonts w:ascii="黑体" w:hAnsi="黑体" w:cs="黑体"/>
        </w:rPr>
      </w:pPr>
      <w:r>
        <w:rPr>
          <w:rFonts w:ascii="黑体" w:hAnsi="黑体" w:cs="黑体"/>
        </w:rPr>
      </w:r>
      <w:r/>
    </w:p>
    <w:p>
      <w:pPr>
        <w:rPr>
          <w:rStyle w:val="973"/>
          <w:rFonts w:ascii="黑体" w:hAnsi="黑体" w:cs="黑体"/>
        </w:rPr>
      </w:pPr>
      <w:r>
        <w:rPr>
          <w:rFonts w:ascii="黑体" w:hAnsi="黑体" w:cs="黑体"/>
        </w:rPr>
      </w:r>
      <w:r/>
    </w:p>
    <w:p>
      <w:pPr>
        <w:rPr>
          <w:rStyle w:val="973"/>
          <w:rFonts w:ascii="黑体" w:hAnsi="黑体" w:cs="黑体"/>
        </w:rPr>
      </w:pPr>
      <w:r>
        <w:rPr>
          <w:rFonts w:ascii="黑体" w:hAnsi="黑体" w:cs="黑体"/>
        </w:rPr>
      </w:r>
      <w:r/>
    </w:p>
    <w:p>
      <w:pPr>
        <w:pStyle w:val="938"/>
        <w:rPr>
          <w:rStyle w:val="973"/>
          <w:rFonts w:ascii="黑体" w:hAnsi="黑体" w:cs="黑体"/>
        </w:rPr>
      </w:pPr>
      <w:r>
        <w:rPr>
          <w:rFonts w:ascii="黑体" w:hAnsi="黑体" w:cs="黑体"/>
        </w:rPr>
      </w:r>
      <w:r/>
    </w:p>
    <w:p>
      <w:pPr>
        <w:pStyle w:val="938"/>
        <w:jc w:val="both"/>
        <w:rPr>
          <w:rStyle w:val="973"/>
          <w:rFonts w:ascii="黑体" w:hAnsi="黑体" w:cs="黑体"/>
        </w:rPr>
      </w:pPr>
      <w:r>
        <w:rPr>
          <w:rFonts w:ascii="黑体" w:hAnsi="黑体" w:cs="黑体"/>
        </w:rPr>
      </w:r>
      <w:r/>
    </w:p>
    <w:p>
      <w:pPr>
        <w:pStyle w:val="938"/>
        <w:jc w:val="both"/>
        <w:rPr>
          <w:rStyle w:val="973"/>
          <w:rFonts w:ascii="黑体" w:hAnsi="黑体" w:cs="黑体"/>
        </w:rPr>
      </w:pPr>
      <w:r>
        <w:rPr>
          <w:rFonts w:ascii="黑体" w:hAnsi="黑体" w:cs="黑体"/>
        </w:rPr>
      </w:r>
      <w:r/>
    </w:p>
    <w:p>
      <w:r/>
      <w:r/>
    </w:p>
    <w:p>
      <w:pPr>
        <w:pStyle w:val="938"/>
        <w:jc w:val="both"/>
        <w:rPr>
          <w:rStyle w:val="973"/>
          <w:rFonts w:ascii="黑体" w:hAnsi="黑体" w:cs="黑体"/>
        </w:rPr>
      </w:pPr>
      <w:r>
        <w:rPr>
          <w:rFonts w:ascii="黑体" w:hAnsi="黑体" w:cs="黑体"/>
        </w:rPr>
      </w:r>
      <w:r/>
    </w:p>
    <w:p>
      <w:pPr>
        <w:rPr>
          <w:rFonts w:eastAsia="黑体"/>
        </w:rPr>
      </w:pPr>
      <w:r>
        <w:rPr>
          <w:rStyle w:val="973"/>
          <w:rFonts w:hint="eastAsia" w:ascii="黑体" w:hAnsi="黑体" w:cs="黑体"/>
        </w:rPr>
        <w:t xml:space="preserve">   </w:t>
      </w:r>
      <w:r/>
    </w:p>
    <w:p>
      <w:pPr>
        <w:pStyle w:val="938"/>
        <w:ind w:firstLine="2640"/>
        <w:jc w:val="both"/>
        <w:rPr>
          <w:rStyle w:val="973"/>
          <w:rFonts w:ascii="黑体" w:hAnsi="黑体" w:cs="黑体"/>
        </w:rPr>
      </w:pPr>
      <w:r>
        <w:rPr>
          <w:rFonts w:ascii="黑体" w:hAnsi="黑体" w:cs="黑体"/>
        </w:rPr>
      </w:r>
      <w:r/>
    </w:p>
    <w:p>
      <w:pPr>
        <w:pStyle w:val="938"/>
        <w:ind w:firstLine="2640"/>
        <w:jc w:val="both"/>
        <w:rPr>
          <w:rFonts w:ascii="黑体" w:hAnsi="黑体" w:cs="黑体"/>
          <w:color w:val="000000"/>
          <w:szCs w:val="44"/>
        </w:rPr>
      </w:pPr>
      <w:r>
        <w:rPr>
          <w:rStyle w:val="973"/>
          <w:rFonts w:ascii="黑体" w:hAnsi="黑体" w:cs="黑体"/>
        </w:rPr>
        <w:t xml:space="preserve">第六章投标文件格式</w:t>
      </w:r>
      <w:r>
        <w:rPr>
          <w:rFonts w:ascii="黑体" w:hAnsi="黑体" w:cs="黑体"/>
          <w:color w:val="000000"/>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rPr>
          <w:rFonts w:ascii="宋体" w:hAnsi="宋体" w:cs="宋体"/>
          <w:b/>
          <w:color w:val="000000"/>
          <w:sz w:val="72"/>
        </w:rPr>
        <w:pBdr>
          <w:top w:val="none" w:color="000000" w:sz="0" w:space="0"/>
          <w:left w:val="none" w:color="000000" w:sz="0" w:space="0"/>
          <w:bottom w:val="none" w:color="000000" w:sz="0" w:space="0"/>
          <w:right w:val="none" w:color="000000" w:sz="0" w:space="0"/>
        </w:pBdr>
      </w:pPr>
      <w:r>
        <w:rPr>
          <w:rFonts w:ascii="宋体" w:hAnsi="宋体" w:cs="宋体"/>
          <w:b/>
          <w:color w:val="000000"/>
          <w:sz w:val="72"/>
        </w:rPr>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投标文件</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ind w:firstLine="1084"/>
        <w:jc w:val="left"/>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项 目 名 称：</w:t>
      </w:r>
      <w:r>
        <w:rPr>
          <w:rFonts w:ascii="宋体" w:hAnsi="宋体" w:cs="宋体"/>
          <w:b/>
          <w:color w:val="000000"/>
          <w:sz w:val="36"/>
          <w:u w:val="single"/>
        </w:rPr>
        <w:t xml:space="preserve">               </w:t>
      </w:r>
      <w:r/>
    </w:p>
    <w:p>
      <w:pPr>
        <w:ind w:firstLine="1084"/>
        <w:jc w:val="left"/>
        <w:rPr>
          <w:rFonts w:ascii="宋体" w:hAnsi="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项 目 编 号：</w:t>
      </w:r>
      <w:r>
        <w:rPr>
          <w:rFonts w:ascii="宋体" w:hAnsi="宋体" w:cs="宋体"/>
          <w:b/>
          <w:color w:val="000000"/>
          <w:sz w:val="36"/>
          <w:u w:val="single"/>
        </w:rPr>
        <w:t xml:space="preserve">              </w:t>
      </w:r>
      <w:r/>
    </w:p>
    <w:p>
      <w:pPr>
        <w:ind w:firstLine="1084"/>
        <w:jc w:val="left"/>
        <w:rPr>
          <w:rFonts w:ascii="宋体" w:hAnsi="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投标人名称 ：</w:t>
      </w:r>
      <w:r>
        <w:rPr>
          <w:rFonts w:ascii="宋体" w:hAnsi="宋体" w:cs="宋体"/>
          <w:b/>
          <w:color w:val="000000"/>
          <w:sz w:val="36"/>
          <w:u w:val="single"/>
        </w:rPr>
        <w:t xml:space="preserve">（加盖CA电子公章）</w:t>
      </w:r>
      <w:r/>
    </w:p>
    <w:p>
      <w:pPr>
        <w:ind w:firstLine="1084"/>
        <w:jc w:val="left"/>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日期 ：</w:t>
      </w:r>
      <w:r>
        <w:rPr>
          <w:rFonts w:ascii="宋体" w:hAnsi="宋体" w:cs="宋体"/>
          <w:b/>
          <w:color w:val="000000"/>
          <w:sz w:val="36"/>
          <w:u w:val="single"/>
        </w:rPr>
        <w:t xml:space="preserve">               </w:t>
      </w:r>
      <w:r/>
    </w:p>
    <w:p>
      <w:pPr>
        <w:jc w:val="center"/>
        <w:spacing w:line="438"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ind w:firstLine="1084"/>
        <w:pBdr>
          <w:top w:val="none" w:color="000000" w:sz="0" w:space="0"/>
          <w:left w:val="none" w:color="000000" w:sz="0" w:space="0"/>
          <w:bottom w:val="none" w:color="000000" w:sz="0" w:space="0"/>
          <w:right w:val="none" w:color="000000" w:sz="0" w:space="0"/>
        </w:pBdr>
      </w:pPr>
      <w:r>
        <w:br w:type="page" w:clear="all"/>
      </w:r>
      <w:r/>
    </w:p>
    <w:p>
      <w:pPr>
        <w:jc w:val="center"/>
        <w:spacing w:line="438"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投标文件的组成</w:t>
      </w:r>
      <w:r/>
    </w:p>
    <w:p>
      <w:pPr>
        <w:jc w:val="center"/>
        <w:spacing w:line="438"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一、基本目录</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1.开标一览表（格式见附件1）</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2.投标分项报价表（格式见附件2）</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3.技术要求响应及偏离表（格式见附件3）</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4.商务要求响应及偏离表（格式见附件4）</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5.法人授权书（格式见附件5）</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6.投标函（格式见附件6）</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7.主要标的信息（格式见附件7）</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8.其他</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二、资格审查内容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1.法人或者其他组织的营业执照等证明文件，自然人的身份证明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2.上一年度的财务状况报告（成立不满一年无需提供）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4.具备履行合同所必需的设备和专业技术能力的书面声明（格式见附件8）</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5.参加政府采购活动前 3 年内在经营活动中没有重大违法记录的书面声明（格式见附件9）</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6.供应商信用承诺函（格式见附件10）</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7.企业报价折扣证明文件：</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中小企业声明函（格式见附件11）。</w:t>
      </w:r>
      <w:r>
        <w:rPr>
          <w:rFonts w:ascii="宋体" w:hAnsi="宋体" w:cs="宋体"/>
          <w:color w:val="ff0000"/>
          <w:sz w:val="24"/>
        </w:rPr>
        <w:t xml:space="preserve">如果本项目专门面向中小企业采购，则必须提供。</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残疾人福利性单位声明函（格式见附件12）。</w:t>
      </w:r>
      <w:r>
        <w:rPr>
          <w:rFonts w:ascii="宋体" w:hAnsi="宋体" w:cs="宋体"/>
          <w:color w:val="ff0000"/>
          <w:sz w:val="24"/>
        </w:rPr>
        <w:t xml:space="preserve">如果本项目专门面向中小企业采购，供应商为残疾人福利性单位并提供本单位制造的货物，或者提供其他残疾人福利性单位制造的货物，则必须提供。</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监狱企业的证明文件。</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8.联合体协议（格式见附件13）。</w:t>
      </w:r>
      <w:r>
        <w:rPr>
          <w:rFonts w:ascii="宋体" w:hAnsi="宋体" w:cs="宋体"/>
          <w:color w:val="ff0000"/>
          <w:sz w:val="24"/>
        </w:rPr>
        <w:t xml:space="preserve">如果本项目接受联合体投标，投标人是联合体的，则必须提供。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9.特定资格要求的证明文件。</w:t>
      </w:r>
      <w:r>
        <w:rPr>
          <w:rFonts w:ascii="宋体" w:hAnsi="宋体" w:cs="宋体"/>
          <w:color w:val="ff0000"/>
          <w:sz w:val="24"/>
        </w:rPr>
        <w:t xml:space="preserve">如果本项目对投标人做出特定资格要求的，则必须提供。</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三、符合性审查内容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投标人必须对技术要求和商务要求中加斜体下划线的实质性要求逐条做出响应，并按照招标文件要求提供证明材料，否则做无效投标处理。（格式见附件14）</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四、价格扣除证明文件</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1.中小企业声明函（格式见附件11）</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2.残疾人福利性单位声明函（格式见附件12）</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w:t>
      </w:r>
      <w:r>
        <w:rPr>
          <w:rFonts w:hint="eastAsia" w:ascii="宋体" w:hAnsi="宋体" w:cs="宋体"/>
          <w:b/>
          <w:color w:val="000000"/>
          <w:sz w:val="24"/>
        </w:rPr>
        <w:t xml:space="preserve">                    </w:t>
      </w:r>
      <w:r>
        <w:rPr>
          <w:rFonts w:ascii="宋体" w:hAnsi="宋体" w:cs="宋体"/>
          <w:b/>
          <w:color w:val="000000"/>
          <w:sz w:val="24"/>
        </w:rPr>
        <w:t xml:space="preserve"> 开标一览表</w:t>
      </w:r>
      <w:r/>
    </w:p>
    <w:p>
      <w:pPr>
        <w:ind w:firstLine="48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投标人全称（加盖CA电子签章）：</w:t>
      </w:r>
      <w:r/>
    </w:p>
    <w:p>
      <w:pPr>
        <w:ind w:firstLine="48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项目编号：</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采购包号：</w:t>
      </w:r>
      <w:r/>
    </w:p>
    <w:tbl>
      <w:tblPr>
        <w:tblStyle w:val="74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14"/>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大写：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jc w:val="center"/>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小写：                   （人民币：元）</w:t>
            </w:r>
            <w:r/>
          </w:p>
        </w:tc>
      </w:tr>
    </w:tbl>
    <w:p>
      <w:pPr>
        <w:ind w:firstLine="48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rPr>
          <w:b/>
          <w:i/>
          <w:iCs/>
          <w:color w:val="ff0000"/>
          <w:highlight w:val="none"/>
          <w:u w:val="single"/>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附件2      </w:t>
      </w:r>
      <w:r>
        <w:rPr>
          <w:rFonts w:hint="eastAsia" w:ascii="宋体" w:hAnsi="宋体" w:cs="宋体"/>
          <w:b/>
          <w:color w:val="000000"/>
          <w:sz w:val="24"/>
        </w:rPr>
        <w:t xml:space="preserve">    </w:t>
      </w:r>
      <w:r>
        <w:rPr>
          <w:rFonts w:hint="eastAsia" w:ascii="宋体" w:hAnsi="宋体" w:cs="宋体"/>
          <w:b/>
          <w:color w:val="000000"/>
          <w:sz w:val="24"/>
          <w:highlight w:val="none"/>
        </w:rPr>
        <w:t xml:space="preserve">   </w:t>
      </w:r>
      <w:r>
        <w:rPr>
          <w:rFonts w:ascii="宋体" w:hAnsi="宋体" w:cs="宋体"/>
          <w:b/>
          <w:color w:val="000000"/>
          <w:sz w:val="24"/>
          <w:highlight w:val="none"/>
        </w:rPr>
        <w:t xml:space="preserve">  </w:t>
      </w:r>
      <w:r>
        <w:rPr>
          <w:rFonts w:ascii="宋体" w:hAnsi="宋体" w:cs="宋体"/>
          <w:b/>
          <w:i/>
          <w:iCs/>
          <w:color w:val="ff0000"/>
          <w:sz w:val="24"/>
          <w:highlight w:val="none"/>
          <w:u w:val="single"/>
        </w:rPr>
        <w:t xml:space="preserve">投标分项报价表</w:t>
      </w:r>
      <w:r/>
    </w:p>
    <w:p>
      <w:pPr>
        <w:jc w:val="center"/>
        <w:rPr>
          <w:rFonts w:ascii="黑体" w:hAnsi="黑体" w:eastAsia="黑体"/>
          <w:b/>
          <w:i/>
          <w:iCs/>
          <w:sz w:val="32"/>
          <w:szCs w:val="32"/>
          <w:highlight w:val="none"/>
          <w:u w:val="single"/>
        </w:rPr>
      </w:pPr>
      <w:r>
        <w:rPr>
          <w:rFonts w:ascii="黑体" w:hAnsi="黑体" w:eastAsia="黑体"/>
          <w:b/>
          <w:i/>
          <w:iCs/>
          <w:sz w:val="32"/>
          <w:szCs w:val="32"/>
          <w:highlight w:val="none"/>
          <w:u w:val="single"/>
        </w:rPr>
      </w:r>
      <w:r/>
    </w:p>
    <w:tbl>
      <w:tblPr>
        <w:tblStyle w:val="723"/>
        <w:tblW w:w="9672" w:type="dxa"/>
        <w:jc w:val="center"/>
        <w:tblLayout w:type="fixed"/>
        <w:tblCellMar>
          <w:left w:w="108" w:type="dxa"/>
          <w:top w:w="0" w:type="dxa"/>
          <w:right w:w="108" w:type="dxa"/>
          <w:bottom w:w="0" w:type="dxa"/>
        </w:tblCellMar>
        <w:tblLook w:val="04A0" w:firstRow="1" w:lastRow="0" w:firstColumn="1" w:lastColumn="0" w:noHBand="0" w:noVBand="1"/>
      </w:tblPr>
      <w:tblGrid>
        <w:gridCol w:w="608"/>
        <w:gridCol w:w="742"/>
        <w:gridCol w:w="2226"/>
        <w:gridCol w:w="612"/>
        <w:gridCol w:w="992"/>
        <w:gridCol w:w="992"/>
        <w:gridCol w:w="3500"/>
      </w:tblGrid>
      <w:tr>
        <w:trPr>
          <w:jc w:val="center"/>
          <w:trHeight w:val="280"/>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序号</w:t>
            </w:r>
            <w:r/>
          </w:p>
        </w:tc>
        <w:tc>
          <w:tcPr>
            <w:gridSpan w:val="2"/>
            <w:tcBorders>
              <w:top w:val="single" w:color="000000" w:sz="4" w:space="0"/>
              <w:left w:val="single" w:color="000000" w:sz="4" w:space="0"/>
              <w:bottom w:val="single" w:color="000000" w:sz="4" w:space="0"/>
              <w:right w:val="single" w:color="000000" w:sz="4" w:space="0"/>
            </w:tcBorders>
            <w:tcW w:w="2968"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单价（月）</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总价（年）</w:t>
            </w:r>
            <w:r/>
          </w:p>
        </w:tc>
        <w:tc>
          <w:tcPr>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测算依据</w:t>
            </w:r>
            <w:r/>
          </w:p>
        </w:tc>
      </w:tr>
      <w:tr>
        <w:trPr>
          <w:jc w:val="center"/>
          <w:trHeight w:val="187"/>
        </w:trPr>
        <w:tc>
          <w:tcPr>
            <w:tcBorders>
              <w:top w:val="single" w:color="000000" w:sz="4" w:space="0"/>
              <w:left w:val="single" w:color="000000" w:sz="4" w:space="0"/>
              <w:bottom w:val="none" w:color="000000" w:sz="4" w:space="0"/>
              <w:right w:val="single" w:color="000000" w:sz="4" w:space="0"/>
            </w:tcBorders>
            <w:tcW w:w="608" w:type="dxa"/>
            <w:vAlign w:val="center"/>
            <w:vMerge w:val="restart"/>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1</w:t>
            </w:r>
            <w:r/>
          </w:p>
        </w:tc>
        <w:tc>
          <w:tcPr>
            <w:tcBorders>
              <w:top w:val="single" w:color="000000" w:sz="4" w:space="0"/>
              <w:left w:val="single" w:color="000000" w:sz="4" w:space="0"/>
              <w:bottom w:val="none" w:color="000000" w:sz="4" w:space="0"/>
              <w:right w:val="single" w:color="000000" w:sz="4" w:space="0"/>
            </w:tcBorders>
            <w:tcW w:w="742" w:type="dxa"/>
            <w:vAlign w:val="center"/>
            <w:vMerge w:val="restart"/>
            <w:textDirection w:val="lrTb"/>
            <w:noWrap w:val="false"/>
          </w:tcPr>
          <w:p>
            <w:pPr>
              <w:jc w:val="center"/>
              <w:widowControl/>
              <w:rPr>
                <w:rFonts w:hint="eastAsia" w:ascii="宋体" w:hAnsi="宋体" w:eastAsia="宋体" w:cs="宋体"/>
                <w:color w:val="000000"/>
                <w:sz w:val="22"/>
                <w:highlight w:val="none"/>
                <w:lang w:eastAsia="zh-CN"/>
              </w:rPr>
            </w:pPr>
            <w:r>
              <w:rPr>
                <w:rFonts w:hint="eastAsia" w:ascii="宋体" w:hAnsi="宋体" w:cs="宋体"/>
                <w:color w:val="000000"/>
                <w:sz w:val="22"/>
                <w:highlight w:val="none"/>
              </w:rPr>
              <w:t xml:space="preserve">人员工资</w:t>
            </w:r>
            <w:r>
              <w:rPr>
                <w:rFonts w:hint="eastAsia" w:ascii="宋体" w:hAnsi="宋体" w:cs="宋体"/>
                <w:color w:val="000000"/>
                <w:sz w:val="22"/>
                <w:highlight w:val="none"/>
                <w:lang w:eastAsia="zh-CN"/>
              </w:rPr>
              <w:t xml:space="preserve">（</w:t>
            </w:r>
            <w:r>
              <w:rPr>
                <w:rFonts w:hint="eastAsia" w:ascii="宋体" w:hAnsi="宋体" w:cs="宋体"/>
                <w:color w:val="000000"/>
                <w:sz w:val="22"/>
                <w:highlight w:val="none"/>
                <w:lang w:val="en-US" w:eastAsia="zh-CN"/>
              </w:rPr>
              <w:t xml:space="preserve">共42人</w:t>
            </w:r>
            <w:r>
              <w:rPr>
                <w:rFonts w:hint="eastAsia" w:ascii="宋体" w:hAnsi="宋体" w:cs="宋体"/>
                <w:color w:val="000000"/>
                <w:sz w:val="22"/>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2226"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项目经理</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1</w:t>
            </w:r>
            <w:r/>
          </w:p>
        </w:tc>
        <w:tc>
          <w:tcPr>
            <w:tcBorders>
              <w:top w:val="single" w:color="000000" w:sz="4" w:space="0"/>
              <w:left w:val="single" w:color="000000" w:sz="4" w:space="0"/>
              <w:bottom w:val="single" w:color="auto"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auto"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none" w:color="000000" w:sz="4" w:space="0"/>
              <w:right w:val="single" w:color="000000" w:sz="4" w:space="0"/>
            </w:tcBorders>
            <w:tcW w:w="3500" w:type="dxa"/>
            <w:vAlign w:val="center"/>
            <w:vMerge w:val="restart"/>
            <w:textDirection w:val="lrTb"/>
            <w:noWrap w:val="false"/>
          </w:tcPr>
          <w:p>
            <w:pPr>
              <w:jc w:val="left"/>
              <w:widowControl/>
              <w:rPr>
                <w:rFonts w:ascii="宋体" w:hAnsi="宋体" w:cs="宋体"/>
                <w:color w:val="000000"/>
                <w:sz w:val="22"/>
                <w:highlight w:val="none"/>
              </w:rPr>
            </w:pPr>
            <w:r>
              <w:rPr>
                <w:rFonts w:ascii="宋体" w:hAnsi="宋体" w:cs="宋体"/>
                <w:color w:val="000000"/>
                <w:sz w:val="22"/>
                <w:highlight w:val="none"/>
              </w:rPr>
            </w:r>
            <w:r/>
          </w:p>
        </w:tc>
      </w:tr>
      <w:tr>
        <w:trPr>
          <w:jc w:val="center"/>
          <w:trHeight w:val="187"/>
        </w:trPr>
        <w:tc>
          <w:tcPr>
            <w:tcBorders>
              <w:top w:val="single" w:color="000000" w:sz="4" w:space="0"/>
              <w:left w:val="single" w:color="000000" w:sz="4" w:space="0"/>
              <w:bottom w:val="none" w:color="000000" w:sz="4" w:space="0"/>
              <w:right w:val="single" w:color="000000" w:sz="4" w:space="0"/>
            </w:tcBorders>
            <w:tcW w:w="608" w:type="dxa"/>
            <w:vAlign w:val="center"/>
            <w:vMerge w:val="continue"/>
            <w:textDirection w:val="lrTb"/>
            <w:noWrap w:val="false"/>
          </w:tcPr>
          <w:p>
            <w:pPr>
              <w:jc w:val="left"/>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left"/>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6"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保安主管</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1</w:t>
            </w:r>
            <w:r/>
          </w:p>
        </w:tc>
        <w:tc>
          <w:tcPr>
            <w:tcBorders>
              <w:top w:val="single" w:color="auto" w:sz="4" w:space="0"/>
              <w:left w:val="single" w:color="000000" w:sz="4" w:space="0"/>
              <w:bottom w:val="single" w:color="auto"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auto" w:sz="4" w:space="0"/>
              <w:left w:val="single" w:color="000000" w:sz="4" w:space="0"/>
              <w:bottom w:val="single" w:color="auto"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none" w:color="000000" w:sz="4" w:space="0"/>
              <w:right w:val="single" w:color="000000" w:sz="4" w:space="0"/>
            </w:tcBorders>
            <w:tcW w:w="3500" w:type="dxa"/>
            <w:vAlign w:val="center"/>
            <w:vMerge w:val="continue"/>
            <w:textDirection w:val="lrTb"/>
            <w:noWrap w:val="false"/>
          </w:tcPr>
          <w:p>
            <w:pPr>
              <w:jc w:val="left"/>
              <w:widowControl/>
              <w:rPr>
                <w:rFonts w:ascii="宋体" w:hAnsi="宋体" w:cs="宋体"/>
                <w:color w:val="000000"/>
                <w:sz w:val="22"/>
                <w:highlight w:val="none"/>
              </w:rPr>
            </w:pPr>
            <w:r>
              <w:rPr>
                <w:rFonts w:ascii="宋体" w:hAnsi="宋体" w:cs="宋体"/>
                <w:color w:val="000000"/>
                <w:sz w:val="22"/>
                <w:highlight w:val="none"/>
              </w:rPr>
            </w:r>
            <w:r/>
          </w:p>
        </w:tc>
      </w:tr>
      <w:tr>
        <w:trPr>
          <w:jc w:val="center"/>
          <w:trHeight w:val="187"/>
        </w:trPr>
        <w:tc>
          <w:tcPr>
            <w:tcBorders>
              <w:top w:val="single" w:color="000000" w:sz="4" w:space="0"/>
              <w:left w:val="single" w:color="000000" w:sz="4" w:space="0"/>
              <w:bottom w:val="none" w:color="000000" w:sz="4" w:space="0"/>
              <w:right w:val="single" w:color="000000" w:sz="4" w:space="0"/>
            </w:tcBorders>
            <w:tcW w:w="608" w:type="dxa"/>
            <w:vAlign w:val="center"/>
            <w:vMerge w:val="continue"/>
            <w:textDirection w:val="lrTb"/>
            <w:noWrap w:val="false"/>
          </w:tcPr>
          <w:p>
            <w:pPr>
              <w:jc w:val="left"/>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left"/>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6"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保洁主管</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1</w:t>
            </w:r>
            <w:r/>
          </w:p>
        </w:tc>
        <w:tc>
          <w:tcPr>
            <w:tcBorders>
              <w:top w:val="single" w:color="auto" w:sz="4" w:space="0"/>
              <w:left w:val="single" w:color="000000" w:sz="4" w:space="0"/>
              <w:bottom w:val="single" w:color="auto"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auto" w:sz="4" w:space="0"/>
              <w:left w:val="single" w:color="000000" w:sz="4" w:space="0"/>
              <w:bottom w:val="single" w:color="auto"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none" w:color="000000" w:sz="4" w:space="0"/>
              <w:right w:val="single" w:color="000000" w:sz="4" w:space="0"/>
            </w:tcBorders>
            <w:tcW w:w="3500" w:type="dxa"/>
            <w:vAlign w:val="center"/>
            <w:vMerge w:val="continue"/>
            <w:textDirection w:val="lrTb"/>
            <w:noWrap w:val="false"/>
          </w:tcPr>
          <w:p>
            <w:pPr>
              <w:jc w:val="left"/>
              <w:widowControl/>
              <w:rPr>
                <w:rFonts w:ascii="宋体" w:hAnsi="宋体" w:cs="宋体"/>
                <w:color w:val="000000"/>
                <w:sz w:val="22"/>
                <w:highlight w:val="none"/>
              </w:rPr>
            </w:pPr>
            <w:r>
              <w:rPr>
                <w:rFonts w:ascii="宋体" w:hAnsi="宋体" w:cs="宋体"/>
                <w:color w:val="000000"/>
                <w:sz w:val="22"/>
                <w:highlight w:val="none"/>
              </w:rPr>
            </w:r>
            <w:r/>
          </w:p>
        </w:tc>
      </w:tr>
      <w:tr>
        <w:trPr>
          <w:jc w:val="center"/>
          <w:trHeight w:val="187"/>
        </w:trPr>
        <w:tc>
          <w:tcPr>
            <w:tcBorders>
              <w:top w:val="single" w:color="000000" w:sz="4" w:space="0"/>
              <w:left w:val="single" w:color="000000" w:sz="4" w:space="0"/>
              <w:bottom w:val="none" w:color="000000" w:sz="4" w:space="0"/>
              <w:right w:val="single" w:color="000000" w:sz="4" w:space="0"/>
            </w:tcBorders>
            <w:tcW w:w="608" w:type="dxa"/>
            <w:vAlign w:val="center"/>
            <w:vMerge w:val="continue"/>
            <w:textDirection w:val="lrTb"/>
            <w:noWrap w:val="false"/>
          </w:tcPr>
          <w:p>
            <w:pPr>
              <w:jc w:val="left"/>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left"/>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6"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消控主管</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ascii="宋体" w:hAnsi="宋体" w:cs="宋体" w:eastAsiaTheme="minorEastAsia"/>
                <w:color w:val="000000"/>
                <w:sz w:val="22"/>
                <w:szCs w:val="22"/>
                <w:highlight w:val="none"/>
              </w:rPr>
            </w:pPr>
            <w:r>
              <w:rPr>
                <w:rFonts w:hint="eastAsia" w:ascii="宋体" w:hAnsi="宋体" w:cs="宋体"/>
                <w:color w:val="000000"/>
                <w:sz w:val="22"/>
                <w:highlight w:val="none"/>
              </w:rPr>
              <w:t xml:space="preserve">1</w:t>
            </w:r>
            <w:r/>
          </w:p>
        </w:tc>
        <w:tc>
          <w:tcPr>
            <w:tcBorders>
              <w:top w:val="single" w:color="auto" w:sz="4" w:space="0"/>
              <w:left w:val="single" w:color="000000" w:sz="4" w:space="0"/>
              <w:bottom w:val="single" w:color="auto"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auto" w:sz="4" w:space="0"/>
              <w:left w:val="single" w:color="000000" w:sz="4" w:space="0"/>
              <w:bottom w:val="single" w:color="auto"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none" w:color="000000" w:sz="4" w:space="0"/>
              <w:right w:val="single" w:color="000000" w:sz="4" w:space="0"/>
            </w:tcBorders>
            <w:tcW w:w="3500" w:type="dxa"/>
            <w:vAlign w:val="center"/>
            <w:vMerge w:val="continue"/>
            <w:textDirection w:val="lrTb"/>
            <w:noWrap w:val="false"/>
          </w:tcPr>
          <w:p>
            <w:pPr>
              <w:jc w:val="left"/>
              <w:widowControl/>
              <w:rPr>
                <w:rFonts w:ascii="宋体" w:hAnsi="宋体" w:cs="宋体"/>
                <w:color w:val="000000"/>
                <w:sz w:val="22"/>
                <w:highlight w:val="none"/>
              </w:rPr>
            </w:pPr>
            <w:r>
              <w:rPr>
                <w:rFonts w:ascii="宋体" w:hAnsi="宋体" w:cs="宋体"/>
                <w:color w:val="000000"/>
                <w:sz w:val="22"/>
                <w:highlight w:val="none"/>
              </w:rPr>
            </w:r>
            <w:r/>
          </w:p>
        </w:tc>
      </w:tr>
      <w:tr>
        <w:trPr>
          <w:jc w:val="center"/>
          <w:trHeight w:val="187"/>
        </w:trPr>
        <w:tc>
          <w:tcPr>
            <w:tcBorders>
              <w:top w:val="single" w:color="000000" w:sz="4" w:space="0"/>
              <w:left w:val="single" w:color="000000" w:sz="4" w:space="0"/>
              <w:bottom w:val="none" w:color="000000" w:sz="4" w:space="0"/>
              <w:right w:val="single" w:color="000000" w:sz="4" w:space="0"/>
            </w:tcBorders>
            <w:tcW w:w="608" w:type="dxa"/>
            <w:vAlign w:val="center"/>
            <w:vMerge w:val="continue"/>
            <w:textDirection w:val="lrTb"/>
            <w:noWrap w:val="false"/>
          </w:tcPr>
          <w:p>
            <w:pPr>
              <w:jc w:val="left"/>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left"/>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6" w:type="dxa"/>
            <w:vAlign w:val="center"/>
            <w:textDirection w:val="lrTb"/>
            <w:noWrap w:val="false"/>
          </w:tcPr>
          <w:p>
            <w:pPr>
              <w:jc w:val="center"/>
              <w:widowControl/>
              <w:rPr>
                <w:rFonts w:ascii="宋体" w:hAnsi="宋体" w:cs="宋体" w:eastAsiaTheme="minorEastAsia"/>
                <w:color w:val="000000"/>
                <w:sz w:val="22"/>
                <w:szCs w:val="22"/>
                <w:highlight w:val="none"/>
              </w:rPr>
            </w:pPr>
            <w:r>
              <w:rPr>
                <w:rFonts w:hint="eastAsia" w:ascii="宋体" w:hAnsi="宋体" w:cs="宋体"/>
                <w:color w:val="000000"/>
                <w:sz w:val="22"/>
                <w:highlight w:val="none"/>
              </w:rPr>
              <w:t xml:space="preserve">保安员</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ascii="宋体" w:hAnsi="宋体" w:cs="宋体" w:eastAsiaTheme="minorEastAsia"/>
                <w:color w:val="000000"/>
                <w:sz w:val="22"/>
                <w:szCs w:val="22"/>
                <w:highlight w:val="none"/>
              </w:rPr>
            </w:pPr>
            <w:r>
              <w:rPr>
                <w:rFonts w:hint="eastAsia" w:ascii="宋体" w:hAnsi="宋体" w:cs="宋体"/>
                <w:color w:val="000000"/>
                <w:sz w:val="22"/>
                <w:highlight w:val="none"/>
              </w:rPr>
              <w:t xml:space="preserve">10</w:t>
            </w:r>
            <w:r/>
          </w:p>
        </w:tc>
        <w:tc>
          <w:tcPr>
            <w:tcBorders>
              <w:top w:val="single" w:color="auto" w:sz="4" w:space="0"/>
              <w:left w:val="single" w:color="000000" w:sz="4" w:space="0"/>
              <w:bottom w:val="single" w:color="auto"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auto" w:sz="4" w:space="0"/>
              <w:left w:val="single" w:color="000000" w:sz="4" w:space="0"/>
              <w:bottom w:val="single" w:color="auto"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none" w:color="000000" w:sz="4" w:space="0"/>
              <w:right w:val="single" w:color="000000" w:sz="4" w:space="0"/>
            </w:tcBorders>
            <w:tcW w:w="3500" w:type="dxa"/>
            <w:vAlign w:val="center"/>
            <w:vMerge w:val="continue"/>
            <w:textDirection w:val="lrTb"/>
            <w:noWrap w:val="false"/>
          </w:tcPr>
          <w:p>
            <w:pPr>
              <w:jc w:val="left"/>
              <w:widowControl/>
              <w:rPr>
                <w:rFonts w:ascii="宋体" w:hAnsi="宋体" w:cs="宋体"/>
                <w:color w:val="000000"/>
                <w:sz w:val="22"/>
                <w:highlight w:val="none"/>
              </w:rPr>
            </w:pPr>
            <w:r>
              <w:rPr>
                <w:rFonts w:ascii="宋体" w:hAnsi="宋体" w:cs="宋体"/>
                <w:color w:val="000000"/>
                <w:sz w:val="22"/>
                <w:highlight w:val="none"/>
              </w:rPr>
            </w:r>
            <w:r/>
          </w:p>
        </w:tc>
      </w:tr>
      <w:tr>
        <w:trPr>
          <w:jc w:val="center"/>
          <w:trHeight w:val="187"/>
        </w:trPr>
        <w:tc>
          <w:tcPr>
            <w:tcBorders>
              <w:top w:val="single" w:color="000000" w:sz="4" w:space="0"/>
              <w:left w:val="single" w:color="000000" w:sz="4" w:space="0"/>
              <w:bottom w:val="none" w:color="000000" w:sz="4" w:space="0"/>
              <w:right w:val="single" w:color="000000" w:sz="4" w:space="0"/>
            </w:tcBorders>
            <w:tcW w:w="608" w:type="dxa"/>
            <w:vAlign w:val="center"/>
            <w:vMerge w:val="continue"/>
            <w:textDirection w:val="lrTb"/>
            <w:noWrap w:val="false"/>
          </w:tcPr>
          <w:p>
            <w:pPr>
              <w:jc w:val="left"/>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left"/>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6" w:type="dxa"/>
            <w:vAlign w:val="center"/>
            <w:textDirection w:val="lrTb"/>
            <w:noWrap w:val="false"/>
          </w:tcPr>
          <w:p>
            <w:pPr>
              <w:jc w:val="center"/>
              <w:widowControl/>
              <w:rPr>
                <w:rFonts w:ascii="宋体" w:hAnsi="宋体" w:cs="宋体" w:eastAsiaTheme="minorEastAsia"/>
                <w:color w:val="000000"/>
                <w:sz w:val="22"/>
                <w:szCs w:val="22"/>
                <w:highlight w:val="none"/>
              </w:rPr>
            </w:pPr>
            <w:r>
              <w:rPr>
                <w:rFonts w:hint="eastAsia" w:ascii="宋体" w:hAnsi="宋体" w:cs="宋体"/>
                <w:color w:val="000000"/>
                <w:sz w:val="22"/>
                <w:highlight w:val="none"/>
              </w:rPr>
              <w:t xml:space="preserve">保洁员</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ascii="宋体" w:hAnsi="宋体" w:cs="宋体" w:eastAsiaTheme="minorEastAsia"/>
                <w:color w:val="000000"/>
                <w:sz w:val="22"/>
                <w:szCs w:val="22"/>
                <w:highlight w:val="none"/>
              </w:rPr>
            </w:pPr>
            <w:r>
              <w:rPr>
                <w:rFonts w:hint="eastAsia" w:ascii="宋体" w:hAnsi="宋体" w:cs="宋体"/>
                <w:color w:val="000000"/>
                <w:sz w:val="22"/>
                <w:highlight w:val="none"/>
              </w:rPr>
              <w:t xml:space="preserve">10</w:t>
            </w:r>
            <w:r/>
          </w:p>
        </w:tc>
        <w:tc>
          <w:tcPr>
            <w:tcBorders>
              <w:top w:val="single" w:color="auto" w:sz="4" w:space="0"/>
              <w:left w:val="single" w:color="000000" w:sz="4" w:space="0"/>
              <w:bottom w:val="single" w:color="auto"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auto" w:sz="4" w:space="0"/>
              <w:left w:val="single" w:color="000000" w:sz="4" w:space="0"/>
              <w:bottom w:val="single" w:color="auto"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none" w:color="000000" w:sz="4" w:space="0"/>
              <w:right w:val="single" w:color="000000" w:sz="4" w:space="0"/>
            </w:tcBorders>
            <w:tcW w:w="3500" w:type="dxa"/>
            <w:vAlign w:val="center"/>
            <w:vMerge w:val="continue"/>
            <w:textDirection w:val="lrTb"/>
            <w:noWrap w:val="false"/>
          </w:tcPr>
          <w:p>
            <w:pPr>
              <w:jc w:val="left"/>
              <w:widowControl/>
              <w:rPr>
                <w:rFonts w:ascii="宋体" w:hAnsi="宋体" w:cs="宋体"/>
                <w:color w:val="000000"/>
                <w:sz w:val="22"/>
                <w:highlight w:val="none"/>
              </w:rPr>
            </w:pPr>
            <w:r>
              <w:rPr>
                <w:rFonts w:ascii="宋体" w:hAnsi="宋体" w:cs="宋体"/>
                <w:color w:val="000000"/>
                <w:sz w:val="22"/>
                <w:highlight w:val="none"/>
              </w:rPr>
            </w:r>
            <w:r/>
          </w:p>
        </w:tc>
      </w:tr>
      <w:tr>
        <w:trPr>
          <w:jc w:val="center"/>
          <w:trHeight w:val="187"/>
        </w:trPr>
        <w:tc>
          <w:tcPr>
            <w:tcBorders>
              <w:top w:val="single" w:color="000000" w:sz="4" w:space="0"/>
              <w:left w:val="single" w:color="000000" w:sz="4" w:space="0"/>
              <w:bottom w:val="none" w:color="000000" w:sz="4" w:space="0"/>
              <w:right w:val="single" w:color="000000" w:sz="4" w:space="0"/>
            </w:tcBorders>
            <w:tcW w:w="608" w:type="dxa"/>
            <w:vAlign w:val="center"/>
            <w:vMerge w:val="continue"/>
            <w:textDirection w:val="lrTb"/>
            <w:noWrap w:val="false"/>
          </w:tcPr>
          <w:p>
            <w:pPr>
              <w:jc w:val="left"/>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left"/>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6" w:type="dxa"/>
            <w:vAlign w:val="center"/>
            <w:textDirection w:val="lrTb"/>
            <w:noWrap w:val="false"/>
          </w:tcPr>
          <w:p>
            <w:pPr>
              <w:jc w:val="center"/>
              <w:widowControl/>
              <w:rPr>
                <w:rFonts w:ascii="宋体" w:hAnsi="宋体" w:cs="宋体" w:eastAsiaTheme="minorEastAsia"/>
                <w:color w:val="000000"/>
                <w:sz w:val="22"/>
                <w:szCs w:val="22"/>
                <w:highlight w:val="none"/>
              </w:rPr>
            </w:pPr>
            <w:r>
              <w:rPr>
                <w:rFonts w:hint="eastAsia" w:ascii="宋体" w:hAnsi="宋体" w:cs="宋体"/>
                <w:color w:val="000000"/>
                <w:sz w:val="22"/>
                <w:highlight w:val="none"/>
              </w:rPr>
              <w:t xml:space="preserve">电房工作人员</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ascii="宋体" w:hAnsi="宋体" w:cs="宋体" w:eastAsiaTheme="minorEastAsia"/>
                <w:color w:val="000000"/>
                <w:sz w:val="22"/>
                <w:szCs w:val="22"/>
                <w:highlight w:val="none"/>
              </w:rPr>
            </w:pPr>
            <w:r>
              <w:rPr>
                <w:rFonts w:hint="eastAsia" w:ascii="宋体" w:hAnsi="宋体" w:cs="宋体"/>
                <w:color w:val="000000"/>
                <w:sz w:val="22"/>
                <w:highlight w:val="none"/>
              </w:rPr>
              <w:t xml:space="preserve">6</w:t>
            </w:r>
            <w:r/>
          </w:p>
        </w:tc>
        <w:tc>
          <w:tcPr>
            <w:tcBorders>
              <w:top w:val="single" w:color="auto" w:sz="4" w:space="0"/>
              <w:left w:val="single" w:color="000000" w:sz="4" w:space="0"/>
              <w:bottom w:val="single" w:color="auto"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auto" w:sz="4" w:space="0"/>
              <w:left w:val="single" w:color="000000" w:sz="4" w:space="0"/>
              <w:bottom w:val="single" w:color="auto"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none" w:color="000000" w:sz="4" w:space="0"/>
              <w:right w:val="single" w:color="000000" w:sz="4" w:space="0"/>
            </w:tcBorders>
            <w:tcW w:w="3500" w:type="dxa"/>
            <w:vAlign w:val="center"/>
            <w:vMerge w:val="continue"/>
            <w:textDirection w:val="lrTb"/>
            <w:noWrap w:val="false"/>
          </w:tcPr>
          <w:p>
            <w:pPr>
              <w:jc w:val="left"/>
              <w:widowControl/>
              <w:rPr>
                <w:rFonts w:ascii="宋体" w:hAnsi="宋体" w:cs="宋体"/>
                <w:color w:val="000000"/>
                <w:sz w:val="22"/>
                <w:highlight w:val="none"/>
              </w:rPr>
            </w:pPr>
            <w:r>
              <w:rPr>
                <w:rFonts w:ascii="宋体" w:hAnsi="宋体" w:cs="宋体"/>
                <w:color w:val="000000"/>
                <w:sz w:val="22"/>
                <w:highlight w:val="none"/>
              </w:rPr>
            </w:r>
            <w:r/>
          </w:p>
        </w:tc>
      </w:tr>
      <w:tr>
        <w:trPr>
          <w:jc w:val="center"/>
          <w:trHeight w:val="187"/>
        </w:trPr>
        <w:tc>
          <w:tcPr>
            <w:tcBorders>
              <w:top w:val="single" w:color="000000" w:sz="4" w:space="0"/>
              <w:left w:val="single" w:color="000000" w:sz="4" w:space="0"/>
              <w:bottom w:val="none" w:color="000000" w:sz="4" w:space="0"/>
              <w:right w:val="single" w:color="000000" w:sz="4" w:space="0"/>
            </w:tcBorders>
            <w:tcW w:w="608" w:type="dxa"/>
            <w:vAlign w:val="center"/>
            <w:vMerge w:val="continue"/>
            <w:textDirection w:val="lrTb"/>
            <w:noWrap w:val="false"/>
          </w:tcPr>
          <w:p>
            <w:pPr>
              <w:jc w:val="left"/>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left"/>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6" w:type="dxa"/>
            <w:vAlign w:val="center"/>
            <w:textDirection w:val="lrTb"/>
            <w:noWrap w:val="false"/>
          </w:tcPr>
          <w:p>
            <w:pPr>
              <w:jc w:val="center"/>
              <w:widowControl/>
              <w:rPr>
                <w:rFonts w:ascii="宋体" w:hAnsi="宋体" w:cs="宋体"/>
                <w:color w:val="000000"/>
                <w:sz w:val="22"/>
                <w:highlight w:val="none"/>
              </w:rPr>
            </w:pPr>
            <w:r>
              <w:rPr>
                <w:rFonts w:hint="eastAsia" w:cs="宋体" w:asciiTheme="minorEastAsia" w:hAnsiTheme="minorEastAsia" w:eastAsiaTheme="minorEastAsia"/>
                <w:szCs w:val="24"/>
                <w:highlight w:val="none"/>
              </w:rPr>
              <w:t xml:space="preserve">消防控制室工作人员</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5</w:t>
            </w:r>
            <w:r/>
          </w:p>
        </w:tc>
        <w:tc>
          <w:tcPr>
            <w:tcBorders>
              <w:top w:val="single" w:color="auto" w:sz="4" w:space="0"/>
              <w:left w:val="single" w:color="000000" w:sz="4" w:space="0"/>
              <w:bottom w:val="single" w:color="auto"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auto" w:sz="4" w:space="0"/>
              <w:left w:val="single" w:color="000000" w:sz="4" w:space="0"/>
              <w:bottom w:val="single" w:color="auto"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none" w:color="000000" w:sz="4" w:space="0"/>
              <w:right w:val="single" w:color="000000" w:sz="4" w:space="0"/>
            </w:tcBorders>
            <w:tcW w:w="3500" w:type="dxa"/>
            <w:vAlign w:val="center"/>
            <w:vMerge w:val="continue"/>
            <w:textDirection w:val="lrTb"/>
            <w:noWrap w:val="false"/>
          </w:tcPr>
          <w:p>
            <w:pPr>
              <w:jc w:val="left"/>
              <w:widowControl/>
              <w:rPr>
                <w:rFonts w:ascii="宋体" w:hAnsi="宋体" w:cs="宋体"/>
                <w:color w:val="000000"/>
                <w:sz w:val="22"/>
                <w:highlight w:val="none"/>
              </w:rPr>
            </w:pPr>
            <w:r>
              <w:rPr>
                <w:rFonts w:ascii="宋体" w:hAnsi="宋体" w:cs="宋体"/>
                <w:color w:val="000000"/>
                <w:sz w:val="22"/>
                <w:highlight w:val="none"/>
              </w:rPr>
            </w:r>
            <w:r/>
          </w:p>
        </w:tc>
      </w:tr>
      <w:tr>
        <w:trPr>
          <w:jc w:val="center"/>
          <w:trHeight w:val="187"/>
        </w:trPr>
        <w:tc>
          <w:tcPr>
            <w:tcBorders>
              <w:top w:val="single" w:color="000000" w:sz="4" w:space="0"/>
              <w:left w:val="single" w:color="000000" w:sz="4" w:space="0"/>
              <w:bottom w:val="none" w:color="000000" w:sz="4" w:space="0"/>
              <w:right w:val="single" w:color="000000" w:sz="4" w:space="0"/>
            </w:tcBorders>
            <w:tcW w:w="608" w:type="dxa"/>
            <w:vAlign w:val="center"/>
            <w:vMerge w:val="continue"/>
            <w:textDirection w:val="lrTb"/>
            <w:noWrap w:val="false"/>
          </w:tcPr>
          <w:p>
            <w:pPr>
              <w:jc w:val="left"/>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left"/>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6" w:type="dxa"/>
            <w:vAlign w:val="center"/>
            <w:textDirection w:val="lrTb"/>
            <w:noWrap w:val="false"/>
          </w:tcPr>
          <w:p>
            <w:pPr>
              <w:jc w:val="center"/>
              <w:widowControl/>
              <w:rPr>
                <w:rFonts w:ascii="宋体" w:hAnsi="宋体" w:cs="宋体" w:eastAsiaTheme="minorEastAsia"/>
                <w:color w:val="000000"/>
                <w:sz w:val="22"/>
                <w:szCs w:val="22"/>
                <w:highlight w:val="none"/>
              </w:rPr>
            </w:pPr>
            <w:r>
              <w:rPr>
                <w:rFonts w:hint="eastAsia" w:ascii="宋体" w:hAnsi="宋体" w:cs="宋体"/>
                <w:color w:val="000000"/>
                <w:sz w:val="22"/>
                <w:highlight w:val="none"/>
              </w:rPr>
              <w:t xml:space="preserve">安检员</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ascii="宋体" w:hAnsi="宋体" w:cs="宋体" w:eastAsiaTheme="minorEastAsia"/>
                <w:color w:val="000000"/>
                <w:sz w:val="22"/>
                <w:szCs w:val="22"/>
                <w:highlight w:val="none"/>
              </w:rPr>
            </w:pPr>
            <w:r>
              <w:rPr>
                <w:rFonts w:hint="eastAsia" w:ascii="宋体" w:hAnsi="宋体" w:cs="宋体"/>
                <w:color w:val="000000"/>
                <w:sz w:val="22"/>
                <w:highlight w:val="none"/>
              </w:rPr>
              <w:t xml:space="preserve">5</w:t>
            </w:r>
            <w:r/>
          </w:p>
        </w:tc>
        <w:tc>
          <w:tcPr>
            <w:tcBorders>
              <w:top w:val="single" w:color="auto" w:sz="4" w:space="0"/>
              <w:left w:val="single" w:color="000000" w:sz="4" w:space="0"/>
              <w:bottom w:val="single" w:color="auto"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auto" w:sz="4" w:space="0"/>
              <w:left w:val="single" w:color="000000" w:sz="4" w:space="0"/>
              <w:bottom w:val="single" w:color="auto"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none" w:color="000000" w:sz="4" w:space="0"/>
              <w:right w:val="single" w:color="000000" w:sz="4" w:space="0"/>
            </w:tcBorders>
            <w:tcW w:w="3500" w:type="dxa"/>
            <w:vAlign w:val="center"/>
            <w:vMerge w:val="continue"/>
            <w:textDirection w:val="lrTb"/>
            <w:noWrap w:val="false"/>
          </w:tcPr>
          <w:p>
            <w:pPr>
              <w:jc w:val="left"/>
              <w:widowControl/>
              <w:rPr>
                <w:rFonts w:ascii="宋体" w:hAnsi="宋体" w:cs="宋体"/>
                <w:color w:val="000000"/>
                <w:sz w:val="22"/>
                <w:highlight w:val="none"/>
              </w:rPr>
            </w:pPr>
            <w:r>
              <w:rPr>
                <w:rFonts w:ascii="宋体" w:hAnsi="宋体" w:cs="宋体"/>
                <w:color w:val="000000"/>
                <w:sz w:val="22"/>
                <w:highlight w:val="none"/>
              </w:rPr>
            </w:r>
            <w:r/>
          </w:p>
        </w:tc>
      </w:tr>
      <w:tr>
        <w:trPr>
          <w:jc w:val="center"/>
          <w:trHeight w:val="187"/>
        </w:trPr>
        <w:tc>
          <w:tcPr>
            <w:tcBorders>
              <w:top w:val="single" w:color="000000" w:sz="4" w:space="0"/>
              <w:left w:val="single" w:color="000000" w:sz="4" w:space="0"/>
              <w:bottom w:val="none" w:color="000000" w:sz="4" w:space="0"/>
              <w:right w:val="single" w:color="000000" w:sz="4" w:space="0"/>
            </w:tcBorders>
            <w:tcW w:w="608" w:type="dxa"/>
            <w:vAlign w:val="center"/>
            <w:vMerge w:val="continue"/>
            <w:textDirection w:val="lrTb"/>
            <w:noWrap w:val="false"/>
          </w:tcPr>
          <w:p>
            <w:pPr>
              <w:jc w:val="left"/>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left"/>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6"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客服人员</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2</w:t>
            </w:r>
            <w:r/>
          </w:p>
        </w:tc>
        <w:tc>
          <w:tcPr>
            <w:tcBorders>
              <w:top w:val="single" w:color="auto" w:sz="4" w:space="0"/>
              <w:left w:val="single" w:color="000000" w:sz="4" w:space="0"/>
              <w:bottom w:val="single" w:color="auto"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auto" w:sz="4" w:space="0"/>
              <w:left w:val="single" w:color="000000" w:sz="4" w:space="0"/>
              <w:bottom w:val="single" w:color="auto"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none" w:color="000000" w:sz="4" w:space="0"/>
              <w:right w:val="single" w:color="000000" w:sz="4" w:space="0"/>
            </w:tcBorders>
            <w:tcW w:w="3500" w:type="dxa"/>
            <w:vAlign w:val="center"/>
            <w:vMerge w:val="continue"/>
            <w:textDirection w:val="lrTb"/>
            <w:noWrap w:val="false"/>
          </w:tcPr>
          <w:p>
            <w:pPr>
              <w:jc w:val="left"/>
              <w:widowControl/>
              <w:rPr>
                <w:rFonts w:ascii="宋体" w:hAnsi="宋体" w:cs="宋体"/>
                <w:color w:val="000000"/>
                <w:sz w:val="22"/>
                <w:highlight w:val="none"/>
              </w:rPr>
            </w:pPr>
            <w:r>
              <w:rPr>
                <w:rFonts w:ascii="宋体" w:hAnsi="宋体" w:cs="宋体"/>
                <w:color w:val="000000"/>
                <w:sz w:val="22"/>
                <w:highlight w:val="none"/>
              </w:rPr>
            </w:r>
            <w:r/>
          </w:p>
        </w:tc>
      </w:tr>
      <w:tr>
        <w:trPr>
          <w:jc w:val="center"/>
          <w:trHeight w:val="644"/>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2</w:t>
            </w:r>
            <w:r/>
          </w:p>
        </w:tc>
        <w:tc>
          <w:tcPr>
            <w:gridSpan w:val="2"/>
            <w:tcBorders>
              <w:top w:val="single" w:color="000000" w:sz="4" w:space="0"/>
              <w:left w:val="single" w:color="000000" w:sz="4" w:space="0"/>
              <w:bottom w:val="single" w:color="000000" w:sz="4" w:space="0"/>
              <w:right w:val="single" w:color="000000" w:sz="4" w:space="0"/>
            </w:tcBorders>
            <w:tcW w:w="2968"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社会保险</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hint="default" w:ascii="宋体" w:hAnsi="宋体" w:eastAsia="宋体" w:cs="宋体"/>
                <w:color w:val="000000"/>
                <w:sz w:val="22"/>
                <w:highlight w:val="none"/>
                <w:lang w:val="en-US" w:eastAsia="zh-CN"/>
              </w:rPr>
            </w:pPr>
            <w:r>
              <w:rPr>
                <w:rFonts w:hint="eastAsia"/>
                <w:highlight w:val="none"/>
                <w:lang w:val="en-US" w:eastAsia="zh-CN"/>
              </w:rPr>
              <w:t xml:space="preserve">35</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按扬州市最新政策执行</w:t>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3</w:t>
            </w:r>
            <w:r/>
          </w:p>
        </w:tc>
        <w:tc>
          <w:tcPr>
            <w:gridSpan w:val="2"/>
            <w:tcBorders>
              <w:top w:val="single" w:color="000000" w:sz="4" w:space="0"/>
              <w:left w:val="single" w:color="000000" w:sz="4" w:space="0"/>
              <w:bottom w:val="single" w:color="000000" w:sz="4" w:space="0"/>
              <w:right w:val="single" w:color="000000" w:sz="4" w:space="0"/>
            </w:tcBorders>
            <w:tcW w:w="2968"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医疗保险</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hint="default" w:ascii="宋体" w:hAnsi="宋体" w:eastAsia="宋体" w:cs="宋体"/>
                <w:color w:val="000000"/>
                <w:sz w:val="22"/>
                <w:highlight w:val="none"/>
                <w:lang w:val="en-US" w:eastAsia="zh-CN"/>
              </w:rPr>
            </w:pPr>
            <w:r>
              <w:rPr>
                <w:rFonts w:hint="eastAsia"/>
                <w:highlight w:val="none"/>
                <w:lang w:val="en-US" w:eastAsia="zh-CN"/>
              </w:rPr>
              <w:t xml:space="preserve">35</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按扬州市最新政策执行</w:t>
            </w:r>
            <w:r/>
          </w:p>
        </w:tc>
      </w:tr>
      <w:tr>
        <w:trPr>
          <w:jc w:val="center"/>
          <w:trHeight w:val="1520"/>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4</w:t>
            </w:r>
            <w:r/>
          </w:p>
        </w:tc>
        <w:tc>
          <w:tcPr>
            <w:gridSpan w:val="2"/>
            <w:tcBorders>
              <w:top w:val="single" w:color="000000" w:sz="4" w:space="0"/>
              <w:left w:val="single" w:color="000000" w:sz="4" w:space="0"/>
              <w:bottom w:val="single" w:color="000000" w:sz="4" w:space="0"/>
              <w:right w:val="single" w:color="000000" w:sz="4" w:space="0"/>
            </w:tcBorders>
            <w:tcW w:w="2968"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住房公积金（5%-12%）</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hint="default" w:ascii="宋体" w:hAnsi="宋体" w:eastAsia="宋体" w:cs="宋体"/>
                <w:color w:val="000000"/>
                <w:sz w:val="22"/>
                <w:highlight w:val="none"/>
                <w:lang w:val="en-US" w:eastAsia="zh-CN"/>
              </w:rPr>
            </w:pPr>
            <w:r>
              <w:rPr>
                <w:rFonts w:hint="eastAsia"/>
                <w:highlight w:val="none"/>
                <w:lang w:val="en-US" w:eastAsia="zh-CN"/>
              </w:rPr>
              <w:t xml:space="preserve">35</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widowControl/>
              <w:rPr>
                <w:rFonts w:ascii="宋体" w:hAnsi="宋体" w:cs="宋体"/>
                <w:color w:val="000000"/>
                <w:sz w:val="22"/>
                <w:highlight w:val="none"/>
              </w:rPr>
            </w:pPr>
            <w:r>
              <w:rPr>
                <w:rFonts w:hint="eastAsia" w:ascii="宋体" w:hAnsi="宋体" w:cs="宋体"/>
                <w:highlight w:val="none"/>
              </w:rPr>
              <w:t xml:space="preserve">按人社局要求，当项目人员工资报价-项目人员按下限自行缴存的住房公积金≤扬州市最低工资标准，测算的住房公积金应为企业缴纳和个人缴纳之和。</w:t>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5</w:t>
            </w:r>
            <w:r/>
          </w:p>
        </w:tc>
        <w:tc>
          <w:tcPr>
            <w:gridSpan w:val="2"/>
            <w:tcBorders>
              <w:top w:val="single" w:color="000000" w:sz="4" w:space="0"/>
              <w:left w:val="single" w:color="000000" w:sz="4" w:space="0"/>
              <w:bottom w:val="none" w:color="000000" w:sz="4" w:space="0"/>
              <w:right w:val="single" w:color="000000" w:sz="4" w:space="0"/>
            </w:tcBorders>
            <w:tcW w:w="2968"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highlight w:val="none"/>
              </w:rPr>
              <w:t xml:space="preserve">退休人员工伤保险</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ind w:left="0" w:right="0" w:firstLine="0"/>
              <w:jc w:val="lef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1"/>
              </w:rPr>
              <w:t xml:space="preserve">扬州市现行社保缴费基数*0.4%。</w:t>
            </w:r>
            <w:r/>
          </w:p>
          <w:p>
            <w:pPr>
              <w:jc w:val="left"/>
              <w:widowControl/>
              <w:rPr>
                <w:rFonts w:hint="eastAsia" w:ascii="宋体" w:hAnsi="宋体" w:cs="宋体"/>
                <w:color w:val="000000"/>
                <w:sz w:val="22"/>
                <w:highlight w:val="none"/>
              </w:rPr>
            </w:pPr>
            <w:r>
              <w:rPr>
                <w:rFonts w:ascii="宋体" w:hAnsi="宋体" w:eastAsia="宋体" w:cs="宋体"/>
                <w:color w:val="ff0000"/>
                <w:sz w:val="21"/>
              </w:rPr>
              <w:t xml:space="preserve">退休人员工伤保险若在履约期间无法缴纳，该费用自动转为意外伤害险，具体保额和缴纳费用与采购人商定后按实结算。</w:t>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6</w:t>
            </w:r>
            <w:r/>
          </w:p>
        </w:tc>
        <w:tc>
          <w:tcPr>
            <w:gridSpan w:val="2"/>
            <w:tcBorders>
              <w:top w:val="single" w:color="000000" w:sz="4" w:space="0"/>
              <w:left w:val="single" w:color="000000" w:sz="4" w:space="0"/>
              <w:bottom w:val="none" w:color="000000" w:sz="4" w:space="0"/>
              <w:right w:val="single" w:color="000000" w:sz="4" w:space="0"/>
            </w:tcBorders>
            <w:tcW w:w="2968"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法定节假日加班费</w:t>
            </w:r>
            <w:r/>
          </w:p>
          <w:p>
            <w:pPr>
              <w:jc w:val="center"/>
              <w:rPr>
                <w:rFonts w:ascii="宋体" w:hAnsi="宋体" w:cs="宋体"/>
                <w:color w:val="000000"/>
                <w:sz w:val="22"/>
                <w:highlight w:val="none"/>
              </w:rPr>
            </w:pPr>
            <w:r>
              <w:rPr>
                <w:rFonts w:hint="eastAsia" w:ascii="宋体" w:hAnsi="宋体" w:cs="宋体"/>
                <w:color w:val="000000"/>
                <w:sz w:val="22"/>
                <w:highlight w:val="none"/>
              </w:rPr>
              <w:t xml:space="preserve">（按13天计算）</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42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基本工资/21.75*13天*3倍</w:t>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7</w:t>
            </w:r>
            <w:r/>
          </w:p>
        </w:tc>
        <w:tc>
          <w:tcPr>
            <w:gridSpan w:val="2"/>
            <w:tcBorders>
              <w:top w:val="single" w:color="000000" w:sz="4" w:space="0"/>
              <w:left w:val="single" w:color="000000" w:sz="4" w:space="0"/>
              <w:bottom w:val="none" w:color="000000" w:sz="4" w:space="0"/>
              <w:right w:val="single" w:color="000000" w:sz="4" w:space="0"/>
            </w:tcBorders>
            <w:tcW w:w="2968"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周末加班费</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hint="default" w:ascii="宋体" w:hAnsi="宋体" w:eastAsia="宋体" w:cs="宋体"/>
                <w:color w:val="000000"/>
                <w:sz w:val="22"/>
                <w:highlight w:val="none"/>
                <w:lang w:val="en-US" w:eastAsia="zh-CN"/>
              </w:rPr>
            </w:pPr>
            <w:r>
              <w:rPr>
                <w:rFonts w:hint="eastAsia" w:ascii="宋体" w:hAnsi="宋体" w:cs="宋体"/>
                <w:color w:val="000000"/>
                <w:sz w:val="22"/>
                <w:highlight w:val="none"/>
                <w:lang w:val="en-US" w:eastAsia="zh-CN"/>
              </w:rPr>
              <w:t xml:space="preserve">28</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基本工资/21.75*52天*2倍</w:t>
            </w:r>
            <w:r/>
          </w:p>
        </w:tc>
      </w:tr>
      <w:tr>
        <w:trPr>
          <w:jc w:val="center"/>
          <w:trHeight w:val="760"/>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8</w:t>
            </w:r>
            <w:r/>
          </w:p>
        </w:tc>
        <w:tc>
          <w:tcPr>
            <w:gridSpan w:val="2"/>
            <w:tcBorders>
              <w:top w:val="single" w:color="000000" w:sz="4" w:space="0"/>
              <w:left w:val="single" w:color="000000" w:sz="4" w:space="0"/>
              <w:bottom w:val="single" w:color="000000" w:sz="4" w:space="0"/>
              <w:right w:val="single" w:color="000000" w:sz="4" w:space="0"/>
            </w:tcBorders>
            <w:tcW w:w="2968"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高温补贴</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42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highlight w:val="none"/>
              </w:rPr>
              <w:t xml:space="preserve">高温补贴不低于国家相关规定标准300元/月，计4月/年/人。</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9</w:t>
            </w:r>
            <w:r/>
          </w:p>
        </w:tc>
        <w:tc>
          <w:tcPr>
            <w:gridSpan w:val="2"/>
            <w:tcBorders>
              <w:top w:val="single" w:color="000000" w:sz="4" w:space="0"/>
              <w:left w:val="single" w:color="000000" w:sz="4" w:space="0"/>
              <w:bottom w:val="single" w:color="000000" w:sz="4" w:space="0"/>
              <w:right w:val="single" w:color="000000" w:sz="4" w:space="0"/>
            </w:tcBorders>
            <w:tcW w:w="2968"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节假日福利费</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42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按本项目所需进行测算。</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10</w:t>
            </w:r>
            <w:r/>
          </w:p>
        </w:tc>
        <w:tc>
          <w:tcPr>
            <w:gridSpan w:val="2"/>
            <w:tcBorders>
              <w:top w:val="single" w:color="000000" w:sz="4" w:space="0"/>
              <w:left w:val="single" w:color="000000" w:sz="4" w:space="0"/>
              <w:bottom w:val="single" w:color="000000" w:sz="4" w:space="0"/>
              <w:right w:val="single" w:color="000000" w:sz="4" w:space="0"/>
            </w:tcBorders>
            <w:tcW w:w="2968"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服装费</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42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按本项目所需进行测算。</w:t>
            </w:r>
            <w:r/>
          </w:p>
        </w:tc>
      </w:tr>
      <w:tr>
        <w:trPr>
          <w:jc w:val="center"/>
          <w:trHeight w:val="350"/>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11</w:t>
            </w:r>
            <w:r/>
          </w:p>
        </w:tc>
        <w:tc>
          <w:tcPr>
            <w:gridSpan w:val="2"/>
            <w:tcBorders>
              <w:top w:val="single" w:color="000000" w:sz="4" w:space="0"/>
              <w:left w:val="single" w:color="000000" w:sz="4" w:space="0"/>
              <w:bottom w:val="single" w:color="000000" w:sz="4" w:space="0"/>
              <w:right w:val="single" w:color="000000" w:sz="4" w:space="0"/>
            </w:tcBorders>
            <w:tcW w:w="2968"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保洁工具耗材</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1项</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按本项目所需进行测算。</w:t>
            </w:r>
            <w:r/>
          </w:p>
        </w:tc>
      </w:tr>
      <w:tr>
        <w:trPr>
          <w:jc w:val="center"/>
          <w:trHeight w:val="350"/>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12</w:t>
            </w:r>
            <w:r/>
          </w:p>
        </w:tc>
        <w:tc>
          <w:tcPr>
            <w:gridSpan w:val="2"/>
            <w:tcBorders>
              <w:top w:val="single" w:color="000000" w:sz="4" w:space="0"/>
              <w:left w:val="single" w:color="000000" w:sz="4" w:space="0"/>
              <w:bottom w:val="single" w:color="000000" w:sz="4" w:space="0"/>
              <w:right w:val="single" w:color="000000" w:sz="4" w:space="0"/>
            </w:tcBorders>
            <w:tcW w:w="2968"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保安工具耗材</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1项</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按本项目所需进行测算。</w:t>
            </w:r>
            <w:r/>
          </w:p>
        </w:tc>
      </w:tr>
      <w:tr>
        <w:trPr>
          <w:jc w:val="center"/>
          <w:trHeight w:val="175"/>
        </w:trPr>
        <w:tc>
          <w:tcPr>
            <w:tcBorders>
              <w:top w:val="single" w:color="000000" w:sz="4" w:space="0"/>
              <w:left w:val="single" w:color="000000" w:sz="4" w:space="0"/>
              <w:bottom w:val="single" w:color="auto" w:sz="4" w:space="0"/>
              <w:right w:val="single" w:color="000000" w:sz="4" w:space="0"/>
            </w:tcBorders>
            <w:tcW w:w="608"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13</w:t>
            </w:r>
            <w:r/>
          </w:p>
        </w:tc>
        <w:tc>
          <w:tcPr>
            <w:gridSpan w:val="2"/>
            <w:tcBorders>
              <w:top w:val="single" w:color="000000" w:sz="4" w:space="0"/>
              <w:left w:val="single" w:color="000000" w:sz="4" w:space="0"/>
              <w:bottom w:val="single" w:color="auto" w:sz="4" w:space="0"/>
              <w:right w:val="single" w:color="000000" w:sz="4" w:space="0"/>
            </w:tcBorders>
            <w:tcW w:w="2968"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管理费</w:t>
            </w:r>
            <w:r/>
          </w:p>
        </w:tc>
        <w:tc>
          <w:tcPr>
            <w:tcBorders>
              <w:top w:val="single" w:color="000000" w:sz="4" w:space="0"/>
              <w:left w:val="single" w:color="000000" w:sz="4" w:space="0"/>
              <w:bottom w:val="single" w:color="auto" w:sz="4" w:space="0"/>
              <w:right w:val="single" w:color="000000" w:sz="4" w:space="0"/>
            </w:tcBorders>
            <w:tcW w:w="612" w:type="dxa"/>
            <w:vAlign w:val="center"/>
            <w:textDirection w:val="lrTb"/>
            <w:noWrap w:val="false"/>
          </w:tcPr>
          <w:p>
            <w:pPr>
              <w:jc w:val="center"/>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auto"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auto"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auto" w:sz="4" w:space="0"/>
              <w:right w:val="single" w:color="000000" w:sz="4" w:space="0"/>
            </w:tcBorders>
            <w:tcW w:w="3500"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按本项目所需进行测算。</w:t>
            </w:r>
            <w:r/>
          </w:p>
        </w:tc>
      </w:tr>
      <w:tr>
        <w:trPr>
          <w:jc w:val="center"/>
          <w:trHeight w:val="360"/>
        </w:trPr>
        <w:tc>
          <w:tcPr>
            <w:tcBorders>
              <w:top w:val="single" w:color="auto" w:sz="4" w:space="0"/>
              <w:left w:val="single" w:color="auto" w:sz="4" w:space="0"/>
              <w:bottom w:val="single" w:color="auto" w:sz="4" w:space="0"/>
              <w:right w:val="single" w:color="auto" w:sz="4" w:space="0"/>
            </w:tcBorders>
            <w:tcW w:w="608"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14</w:t>
            </w:r>
            <w:r/>
          </w:p>
        </w:tc>
        <w:tc>
          <w:tcPr>
            <w:gridSpan w:val="2"/>
            <w:tcBorders>
              <w:top w:val="single" w:color="auto" w:sz="4" w:space="0"/>
              <w:left w:val="single" w:color="auto" w:sz="4" w:space="0"/>
              <w:bottom w:val="single" w:color="auto" w:sz="4" w:space="0"/>
              <w:right w:val="single" w:color="auto" w:sz="4" w:space="0"/>
            </w:tcBorders>
            <w:tcW w:w="2968"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税费</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jc w:val="center"/>
              <w:rPr>
                <w:rFonts w:ascii="宋体" w:hAnsi="宋体" w:cs="宋体"/>
                <w:color w:val="000000"/>
                <w:sz w:val="22"/>
                <w:highlight w:val="none"/>
              </w:rPr>
            </w:pPr>
            <w:r>
              <w:rPr>
                <w:rFonts w:ascii="宋体" w:hAnsi="宋体" w:cs="宋体"/>
                <w:color w:val="000000"/>
                <w:sz w:val="22"/>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s="宋体"/>
                <w:color w:val="000000"/>
                <w:sz w:val="22"/>
                <w:highlight w:val="none"/>
              </w:rPr>
            </w:pPr>
            <w:r>
              <w:rPr>
                <w:rFonts w:ascii="宋体" w:hAnsi="宋体" w:cs="宋体"/>
                <w:color w:val="000000"/>
                <w:sz w:val="22"/>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auto" w:sz="4" w:space="0"/>
              <w:left w:val="single" w:color="auto" w:sz="4" w:space="0"/>
              <w:bottom w:val="single" w:color="auto" w:sz="4" w:space="0"/>
              <w:right w:val="single" w:color="auto" w:sz="4" w:space="0"/>
            </w:tcBorders>
            <w:tcW w:w="3500" w:type="dxa"/>
            <w:vAlign w:val="center"/>
            <w:textDirection w:val="lrTb"/>
            <w:noWrap w:val="false"/>
          </w:tcPr>
          <w:p>
            <w:pPr>
              <w:jc w:val="center"/>
              <w:widowControl/>
              <w:rPr>
                <w:rFonts w:hint="eastAsia" w:ascii="宋体" w:hAnsi="宋体" w:eastAsia="宋体" w:cs="宋体"/>
                <w:color w:val="000000"/>
                <w:sz w:val="22"/>
                <w:highlight w:val="none"/>
                <w:lang w:eastAsia="zh-CN"/>
              </w:rPr>
            </w:pPr>
            <w:r>
              <w:rPr>
                <w:rFonts w:hint="eastAsia" w:ascii="宋体" w:hAnsi="宋体" w:cs="宋体"/>
                <w:highlight w:val="none"/>
              </w:rPr>
              <w:t xml:space="preserve">按国家</w:t>
            </w:r>
            <w:r>
              <w:rPr>
                <w:rFonts w:hint="eastAsia" w:ascii="宋体" w:hAnsi="宋体" w:cs="宋体"/>
                <w:highlight w:val="none"/>
                <w:lang w:val="en-US" w:eastAsia="zh-CN"/>
              </w:rPr>
              <w:t xml:space="preserve">现行</w:t>
            </w:r>
            <w:r>
              <w:rPr>
                <w:rFonts w:hint="eastAsia" w:ascii="宋体" w:hAnsi="宋体" w:cs="宋体"/>
                <w:highlight w:val="none"/>
              </w:rPr>
              <w:t xml:space="preserve">相关政策</w:t>
            </w:r>
            <w:r>
              <w:rPr>
                <w:rFonts w:hint="eastAsia" w:ascii="宋体" w:hAnsi="宋体" w:cs="宋体"/>
                <w:highlight w:val="none"/>
                <w:lang w:eastAsia="zh-CN"/>
              </w:rPr>
              <w:t xml:space="preserve">。</w:t>
            </w:r>
            <w:r/>
          </w:p>
        </w:tc>
      </w:tr>
      <w:tr>
        <w:trPr>
          <w:jc w:val="center"/>
          <w:trHeight w:val="440"/>
        </w:trPr>
        <w:tc>
          <w:tcPr>
            <w:tcBorders>
              <w:top w:val="single" w:color="auto" w:sz="4" w:space="0"/>
              <w:left w:val="single" w:color="auto" w:sz="4" w:space="0"/>
              <w:bottom w:val="single" w:color="auto" w:sz="4" w:space="0"/>
              <w:right w:val="single" w:color="auto" w:sz="4" w:space="0"/>
            </w:tcBorders>
            <w:tcW w:w="608"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15</w:t>
            </w:r>
            <w:r/>
          </w:p>
        </w:tc>
        <w:tc>
          <w:tcPr>
            <w:gridSpan w:val="2"/>
            <w:tcBorders>
              <w:top w:val="single" w:color="auto" w:sz="4" w:space="0"/>
              <w:left w:val="single" w:color="auto" w:sz="4" w:space="0"/>
              <w:bottom w:val="single" w:color="auto" w:sz="4" w:space="0"/>
              <w:right w:val="single" w:color="auto" w:sz="4" w:space="0"/>
            </w:tcBorders>
            <w:tcW w:w="2968"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其他费用</w:t>
            </w:r>
            <w:r/>
          </w:p>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（投标人可自行添加）</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jc w:val="center"/>
              <w:rPr>
                <w:rFonts w:ascii="宋体" w:hAnsi="宋体" w:cs="宋体"/>
                <w:color w:val="ff0000"/>
                <w:sz w:val="22"/>
                <w:highlight w:val="none"/>
              </w:rPr>
            </w:pPr>
            <w:r>
              <w:rPr>
                <w:rFonts w:ascii="宋体" w:hAnsi="宋体" w:cs="宋体"/>
                <w:color w:val="ff0000"/>
                <w:sz w:val="22"/>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s="宋体"/>
                <w:color w:val="ff0000"/>
                <w:sz w:val="22"/>
                <w:highlight w:val="none"/>
              </w:rPr>
            </w:pPr>
            <w:r>
              <w:rPr>
                <w:rFonts w:ascii="宋体" w:hAnsi="宋体" w:cs="宋体"/>
                <w:color w:val="ff0000"/>
                <w:sz w:val="22"/>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s="宋体"/>
                <w:color w:val="ff0000"/>
                <w:sz w:val="22"/>
                <w:highlight w:val="none"/>
              </w:rPr>
            </w:pPr>
            <w:r>
              <w:rPr>
                <w:rFonts w:ascii="宋体" w:hAnsi="宋体" w:cs="宋体"/>
                <w:color w:val="ff0000"/>
                <w:sz w:val="22"/>
                <w:highlight w:val="none"/>
              </w:rPr>
            </w:r>
            <w:r/>
          </w:p>
        </w:tc>
        <w:tc>
          <w:tcPr>
            <w:tcBorders>
              <w:top w:val="single" w:color="auto" w:sz="4" w:space="0"/>
              <w:left w:val="single" w:color="auto" w:sz="4" w:space="0"/>
              <w:bottom w:val="single" w:color="auto" w:sz="4" w:space="0"/>
              <w:right w:val="single" w:color="auto" w:sz="4" w:space="0"/>
            </w:tcBorders>
            <w:tcW w:w="3500" w:type="dxa"/>
            <w:vAlign w:val="center"/>
            <w:textDirection w:val="lrTb"/>
            <w:noWrap w:val="false"/>
          </w:tcPr>
          <w:p>
            <w:pPr>
              <w:jc w:val="center"/>
              <w:rPr>
                <w:rFonts w:ascii="宋体" w:hAnsi="宋体" w:cs="宋体"/>
                <w:color w:val="ff0000"/>
                <w:sz w:val="22"/>
                <w:highlight w:val="none"/>
              </w:rPr>
            </w:pPr>
            <w:r>
              <w:rPr>
                <w:rFonts w:hint="eastAsia" w:ascii="宋体" w:hAnsi="宋体" w:cs="宋体"/>
                <w:color w:val="000000"/>
                <w:sz w:val="22"/>
                <w:highlight w:val="none"/>
              </w:rPr>
              <w:t xml:space="preserve">按本项目所需进行测算。</w:t>
            </w:r>
            <w:r/>
          </w:p>
        </w:tc>
      </w:tr>
      <w:tr>
        <w:trPr>
          <w:jc w:val="center"/>
          <w:trHeight w:val="215"/>
        </w:trPr>
        <w:tc>
          <w:tcPr>
            <w:tcBorders>
              <w:top w:val="single" w:color="auto" w:sz="4" w:space="0"/>
              <w:left w:val="single" w:color="auto" w:sz="4" w:space="0"/>
              <w:bottom w:val="single" w:color="auto" w:sz="4" w:space="0"/>
              <w:right w:val="single" w:color="auto" w:sz="4" w:space="0"/>
            </w:tcBorders>
            <w:tcW w:w="608"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gridSpan w:val="2"/>
            <w:tcBorders>
              <w:top w:val="single" w:color="auto" w:sz="4" w:space="0"/>
              <w:left w:val="single" w:color="auto" w:sz="4" w:space="0"/>
              <w:bottom w:val="single" w:color="auto" w:sz="4" w:space="0"/>
              <w:right w:val="single" w:color="auto" w:sz="4" w:space="0"/>
            </w:tcBorders>
            <w:tcW w:w="2968"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合计</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jc w:val="center"/>
              <w:rPr>
                <w:rFonts w:ascii="宋体" w:hAnsi="宋体" w:cs="宋体"/>
                <w:color w:val="000000"/>
                <w:sz w:val="22"/>
                <w:highlight w:val="none"/>
              </w:rPr>
            </w:pPr>
            <w:r>
              <w:rPr>
                <w:rFonts w:ascii="宋体" w:hAnsi="宋体" w:cs="宋体"/>
                <w:color w:val="000000"/>
                <w:sz w:val="22"/>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s="宋体"/>
                <w:color w:val="000000"/>
                <w:sz w:val="22"/>
                <w:highlight w:val="none"/>
              </w:rPr>
            </w:pPr>
            <w:r>
              <w:rPr>
                <w:rFonts w:ascii="宋体" w:hAnsi="宋体" w:cs="宋体"/>
                <w:color w:val="000000"/>
                <w:sz w:val="22"/>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auto" w:sz="4" w:space="0"/>
              <w:left w:val="single" w:color="auto" w:sz="4" w:space="0"/>
              <w:bottom w:val="single" w:color="auto" w:sz="4" w:space="0"/>
              <w:right w:val="single" w:color="auto" w:sz="4" w:space="0"/>
            </w:tcBorders>
            <w:tcW w:w="3500" w:type="dxa"/>
            <w:vAlign w:val="center"/>
            <w:textDirection w:val="lrTb"/>
            <w:noWrap w:val="false"/>
          </w:tcPr>
          <w:p>
            <w:pPr>
              <w:jc w:val="center"/>
              <w:rPr>
                <w:rFonts w:ascii="宋体" w:hAnsi="宋体" w:cs="宋体"/>
                <w:color w:val="000000"/>
                <w:sz w:val="22"/>
                <w:highlight w:val="none"/>
              </w:rPr>
            </w:pPr>
            <w:r>
              <w:rPr>
                <w:rFonts w:ascii="宋体" w:hAnsi="宋体" w:cs="宋体"/>
                <w:color w:val="000000"/>
                <w:sz w:val="22"/>
                <w:highlight w:val="none"/>
              </w:rPr>
            </w:r>
            <w:r/>
          </w:p>
        </w:tc>
      </w:tr>
      <w:tr>
        <w:trPr>
          <w:jc w:val="center"/>
          <w:trHeight w:val="90"/>
        </w:trPr>
        <w:tc>
          <w:tcPr>
            <w:gridSpan w:val="7"/>
            <w:tcBorders>
              <w:top w:val="single" w:color="auto" w:sz="4" w:space="0"/>
              <w:left w:val="none" w:color="000000" w:sz="4" w:space="0"/>
              <w:bottom w:val="none" w:color="000000" w:sz="4" w:space="0"/>
              <w:right w:val="none" w:color="000000" w:sz="4" w:space="0"/>
            </w:tcBorders>
            <w:tcW w:w="9672" w:type="dxa"/>
            <w:vAlign w:val="center"/>
            <w:textDirection w:val="lrTb"/>
            <w:noWrap w:val="false"/>
          </w:tcPr>
          <w:p>
            <w:pPr>
              <w:jc w:val="left"/>
              <w:rPr>
                <w:rFonts w:ascii="宋体" w:hAnsi="宋体" w:cs="宋体"/>
                <w:b/>
                <w:bCs/>
                <w:i/>
                <w:iCs/>
                <w:color w:val="000000"/>
                <w:sz w:val="22"/>
                <w:highlight w:val="none"/>
                <w:u w:val="single"/>
              </w:rPr>
            </w:pPr>
            <w:r>
              <w:rPr>
                <w:rFonts w:ascii="宋体" w:hAnsi="宋体" w:cs="宋体"/>
                <w:b/>
                <w:bCs/>
                <w:i/>
                <w:iCs/>
                <w:color w:val="000000"/>
                <w:sz w:val="22"/>
                <w:highlight w:val="none"/>
                <w:u w:val="single"/>
              </w:rPr>
            </w:r>
            <w:r/>
          </w:p>
        </w:tc>
      </w:tr>
      <w:tr>
        <w:trPr>
          <w:jc w:val="center"/>
          <w:trHeight w:val="840"/>
        </w:trPr>
        <w:tc>
          <w:tcPr>
            <w:gridSpan w:val="7"/>
            <w:tcW w:w="9672" w:type="dxa"/>
            <w:vAlign w:val="center"/>
            <w:textDirection w:val="lrTb"/>
            <w:noWrap w:val="false"/>
          </w:tcPr>
          <w:p>
            <w:pPr>
              <w:rPr>
                <w:rFonts w:ascii="宋体" w:hAnsi="宋体" w:cs="Calibri"/>
                <w:i/>
                <w:iCs/>
                <w:sz w:val="24"/>
                <w:szCs w:val="24"/>
                <w:highlight w:val="none"/>
                <w:u w:val="single"/>
              </w:rPr>
            </w:pPr>
            <w:r>
              <w:rPr>
                <w:rFonts w:hint="eastAsia" w:ascii="宋体" w:hAnsi="宋体" w:cs="Calibri"/>
                <w:i/>
                <w:iCs/>
                <w:sz w:val="24"/>
                <w:szCs w:val="24"/>
                <w:highlight w:val="none"/>
                <w:u w:val="single"/>
              </w:rPr>
              <w:t xml:space="preserve">1、分项报价表中已注明的“数量”这一列的具体数字只可适当增加但不可减少。</w:t>
            </w:r>
            <w:r/>
          </w:p>
          <w:p>
            <w:pPr>
              <w:rPr>
                <w:rFonts w:ascii="宋体" w:hAnsi="宋体" w:cs="Calibri"/>
                <w:i/>
                <w:iCs/>
                <w:sz w:val="24"/>
                <w:szCs w:val="24"/>
                <w:highlight w:val="none"/>
                <w:u w:val="single"/>
              </w:rPr>
            </w:pPr>
            <w:r>
              <w:rPr>
                <w:rFonts w:hint="eastAsia" w:ascii="宋体" w:hAnsi="宋体" w:cs="Calibri"/>
                <w:i/>
                <w:iCs/>
                <w:sz w:val="24"/>
                <w:szCs w:val="24"/>
                <w:highlight w:val="none"/>
                <w:u w:val="single"/>
              </w:rPr>
              <w:t xml:space="preserve">2、分项报价表中（除其他费用可自行添加外）列明的项目不可修改。</w:t>
            </w:r>
            <w:r/>
          </w:p>
          <w:p>
            <w:pPr>
              <w:rPr>
                <w:rFonts w:ascii="宋体" w:hAnsi="宋体" w:cs="Calibri"/>
                <w:i/>
                <w:iCs/>
                <w:sz w:val="24"/>
                <w:szCs w:val="24"/>
                <w:highlight w:val="none"/>
                <w:u w:val="single"/>
              </w:rPr>
            </w:pPr>
            <w:r>
              <w:rPr>
                <w:rFonts w:hint="eastAsia" w:ascii="宋体" w:hAnsi="宋体" w:cs="Calibri"/>
                <w:i/>
                <w:iCs/>
                <w:sz w:val="24"/>
                <w:szCs w:val="24"/>
                <w:highlight w:val="none"/>
                <w:u w:val="single"/>
              </w:rPr>
              <w:t xml:space="preserve">3、分项报价表严禁总价让利。</w:t>
            </w:r>
            <w:r/>
          </w:p>
          <w:p>
            <w:pPr>
              <w:rPr>
                <w:rFonts w:ascii="宋体" w:hAnsi="宋体" w:cs="Calibri"/>
                <w:i/>
                <w:iCs/>
                <w:sz w:val="24"/>
                <w:szCs w:val="24"/>
                <w:highlight w:val="none"/>
                <w:u w:val="single"/>
              </w:rPr>
            </w:pPr>
            <w:r>
              <w:rPr>
                <w:rFonts w:hint="eastAsia" w:ascii="宋体" w:hAnsi="宋体" w:cs="Calibri"/>
                <w:i/>
                <w:iCs/>
                <w:sz w:val="24"/>
                <w:szCs w:val="24"/>
                <w:highlight w:val="none"/>
                <w:u w:val="single"/>
              </w:rPr>
              <w:t xml:space="preserve">4、分项报价表中所列明的项目不接受赠送。</w:t>
            </w:r>
            <w:r/>
          </w:p>
          <w:p>
            <w:pPr>
              <w:rPr>
                <w:rFonts w:ascii="宋体" w:hAnsi="宋体" w:cs="Calibri"/>
                <w:i/>
                <w:iCs/>
                <w:sz w:val="24"/>
                <w:szCs w:val="24"/>
                <w:highlight w:val="none"/>
                <w:u w:val="single"/>
              </w:rPr>
            </w:pPr>
            <w:r>
              <w:rPr>
                <w:rFonts w:hint="eastAsia" w:ascii="宋体" w:hAnsi="宋体" w:cs="Calibri"/>
                <w:i/>
                <w:iCs/>
                <w:sz w:val="24"/>
                <w:szCs w:val="24"/>
                <w:highlight w:val="none"/>
                <w:u w:val="single"/>
              </w:rPr>
              <w:t xml:space="preserve">5、保洁工具及耗材、保安工具耗材，不接受赠送。</w:t>
            </w:r>
            <w:r/>
          </w:p>
          <w:p>
            <w:pPr>
              <w:rPr>
                <w:rFonts w:ascii="宋体" w:hAnsi="宋体" w:cs="Calibri"/>
                <w:i/>
                <w:iCs/>
                <w:sz w:val="24"/>
                <w:szCs w:val="24"/>
                <w:highlight w:val="none"/>
                <w:u w:val="single"/>
              </w:rPr>
            </w:pPr>
            <w:r>
              <w:rPr>
                <w:rFonts w:hint="eastAsia" w:ascii="宋体" w:hAnsi="宋体" w:cs="Calibri"/>
                <w:i/>
                <w:iCs/>
                <w:sz w:val="24"/>
                <w:szCs w:val="24"/>
                <w:highlight w:val="none"/>
                <w:u w:val="single"/>
              </w:rPr>
              <w:t xml:space="preserve">6、本项目不接受退伍军人税收补助优惠政策。依法缴纳社保、医保、住房公积金的人数</w:t>
            </w:r>
            <w:r>
              <w:rPr>
                <w:rFonts w:hint="eastAsia" w:ascii="宋体" w:hAnsi="宋体" w:cs="Calibri"/>
                <w:i/>
                <w:iCs/>
                <w:color w:val="ff0000"/>
                <w:sz w:val="24"/>
                <w:szCs w:val="24"/>
                <w:highlight w:val="none"/>
                <w:u w:val="single"/>
                <w:lang w:val="en-US" w:eastAsia="zh-CN"/>
              </w:rPr>
              <w:t xml:space="preserve">35</w:t>
            </w:r>
            <w:r>
              <w:rPr>
                <w:rFonts w:hint="eastAsia" w:ascii="宋体" w:hAnsi="宋体" w:cs="Calibri"/>
                <w:i/>
                <w:iCs/>
                <w:sz w:val="24"/>
                <w:szCs w:val="24"/>
                <w:highlight w:val="none"/>
                <w:u w:val="single"/>
              </w:rPr>
              <w:t xml:space="preserve">人（不考虑扣除国家补贴、优惠、减免等相关政策费用），依法缴纳退休人员工伤保险的人数</w:t>
            </w:r>
            <w:r>
              <w:rPr>
                <w:rFonts w:hint="eastAsia" w:ascii="宋体" w:hAnsi="宋体" w:cs="Calibri"/>
                <w:i/>
                <w:iCs/>
                <w:color w:val="ff0000"/>
                <w:sz w:val="24"/>
                <w:szCs w:val="24"/>
                <w:highlight w:val="none"/>
                <w:u w:val="single"/>
                <w:lang w:val="en-US" w:eastAsia="zh-CN"/>
              </w:rPr>
              <w:t xml:space="preserve">7</w:t>
            </w:r>
            <w:r>
              <w:rPr>
                <w:rFonts w:hint="eastAsia" w:ascii="宋体" w:hAnsi="宋体" w:cs="Calibri"/>
                <w:i/>
                <w:iCs/>
                <w:sz w:val="24"/>
                <w:szCs w:val="24"/>
                <w:highlight w:val="none"/>
                <w:u w:val="single"/>
              </w:rPr>
              <w:t xml:space="preserve">人。</w:t>
            </w:r>
            <w:r/>
          </w:p>
          <w:p>
            <w:pPr>
              <w:jc w:val="left"/>
              <w:widowControl/>
              <w:rPr>
                <w:rFonts w:ascii="宋体" w:hAnsi="宋体" w:cs="宋体"/>
                <w:b/>
                <w:bCs/>
                <w:iCs/>
                <w:color w:val="000000"/>
                <w:sz w:val="22"/>
                <w:highlight w:val="none"/>
              </w:rPr>
            </w:pPr>
            <w:r>
              <w:rPr>
                <w:rFonts w:ascii="宋体" w:hAnsi="宋体" w:cs="宋体"/>
                <w:b/>
                <w:bCs/>
                <w:iCs/>
                <w:color w:val="000000"/>
                <w:sz w:val="22"/>
                <w:highlight w:val="none"/>
              </w:rPr>
            </w:r>
            <w:r/>
          </w:p>
          <w:tbl>
            <w:tblPr>
              <w:tblStyle w:val="723"/>
              <w:tblW w:w="8205" w:type="dxa"/>
              <w:tblInd w:w="0" w:type="dxa"/>
              <w:tblLayout w:type="fixed"/>
              <w:tblCellMar>
                <w:left w:w="108" w:type="dxa"/>
                <w:top w:w="0" w:type="dxa"/>
                <w:right w:w="108" w:type="dxa"/>
                <w:bottom w:w="0" w:type="dxa"/>
              </w:tblCellMar>
              <w:tblLook w:val="04A0" w:firstRow="1" w:lastRow="0" w:firstColumn="1" w:lastColumn="0" w:noHBand="0" w:noVBand="1"/>
            </w:tblPr>
            <w:tblGrid>
              <w:gridCol w:w="1080"/>
              <w:gridCol w:w="2201"/>
              <w:gridCol w:w="1081"/>
              <w:gridCol w:w="1081"/>
              <w:gridCol w:w="1341"/>
              <w:gridCol w:w="1421"/>
            </w:tblGrid>
            <w:tr>
              <w:trPr>
                <w:trHeight w:val="795"/>
              </w:trPr>
              <w:tc>
                <w:tcPr>
                  <w:gridSpan w:val="6"/>
                  <w:tcBorders>
                    <w:top w:val="single" w:color="auto" w:sz="4" w:space="0"/>
                    <w:left w:val="single" w:color="auto" w:sz="4" w:space="0"/>
                    <w:bottom w:val="single" w:color="auto" w:sz="4" w:space="0"/>
                    <w:right w:val="single" w:color="auto" w:sz="4" w:space="0"/>
                  </w:tcBorders>
                  <w:tcW w:w="8205" w:type="dxa"/>
                  <w:vAlign w:val="center"/>
                  <w:textDirection w:val="lrTb"/>
                  <w:noWrap w:val="false"/>
                </w:tcPr>
                <w:p>
                  <w:pPr>
                    <w:jc w:val="center"/>
                    <w:rPr>
                      <w:rFonts w:ascii="宋体" w:hAnsi="宋体" w:cs="宋体" w:eastAsiaTheme="minorEastAsia"/>
                      <w:szCs w:val="22"/>
                      <w:highlight w:val="none"/>
                    </w:rPr>
                  </w:pPr>
                  <w:r>
                    <w:rPr>
                      <w:rFonts w:hint="eastAsia" w:ascii="宋体" w:hAnsi="宋体" w:cs="宋体"/>
                      <w:b/>
                      <w:bCs/>
                      <w:i/>
                      <w:iCs/>
                      <w:color w:val="ff0000"/>
                      <w:highlight w:val="none"/>
                      <w:u w:val="single"/>
                    </w:rPr>
                    <w:t xml:space="preserve">保洁工具耗材明细表（1年）</w:t>
                  </w:r>
                  <w:r/>
                </w:p>
              </w:tc>
            </w:tr>
            <w:tr>
              <w:trPr>
                <w:trHeight w:val="312"/>
              </w:trPr>
              <w:tc>
                <w:tcPr>
                  <w:tcBorders>
                    <w:top w:val="none" w:color="000000" w:sz="4" w:space="0"/>
                    <w:left w:val="single" w:color="auto" w:sz="4" w:space="0"/>
                    <w:bottom w:val="single" w:color="auto" w:sz="4" w:space="0"/>
                    <w:right w:val="single" w:color="auto" w:sz="4" w:space="0"/>
                  </w:tcBorders>
                  <w:tcW w:w="1080" w:type="dxa"/>
                  <w:vAlign w:val="center"/>
                  <w:vMerge w:val="restart"/>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序号</w:t>
                  </w:r>
                  <w:r/>
                </w:p>
              </w:tc>
              <w:tc>
                <w:tcPr>
                  <w:tcBorders>
                    <w:top w:val="none" w:color="000000" w:sz="4" w:space="0"/>
                    <w:left w:val="single" w:color="auto" w:sz="4" w:space="0"/>
                    <w:bottom w:val="single" w:color="auto" w:sz="4" w:space="0"/>
                    <w:right w:val="single" w:color="auto" w:sz="4" w:space="0"/>
                  </w:tcBorders>
                  <w:tcW w:w="2201" w:type="dxa"/>
                  <w:vAlign w:val="center"/>
                  <w:vMerge w:val="restart"/>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名  称</w:t>
                  </w:r>
                  <w:r/>
                </w:p>
              </w:tc>
              <w:tc>
                <w:tcPr>
                  <w:tcBorders>
                    <w:top w:val="none" w:color="000000" w:sz="4" w:space="0"/>
                    <w:left w:val="single" w:color="auto" w:sz="4" w:space="0"/>
                    <w:bottom w:val="single" w:color="auto" w:sz="4" w:space="0"/>
                    <w:right w:val="single" w:color="auto" w:sz="4" w:space="0"/>
                  </w:tcBorders>
                  <w:tcW w:w="1081" w:type="dxa"/>
                  <w:vAlign w:val="center"/>
                  <w:vMerge w:val="restart"/>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数量</w:t>
                  </w:r>
                  <w:r/>
                </w:p>
              </w:tc>
              <w:tc>
                <w:tcPr>
                  <w:tcBorders>
                    <w:top w:val="none" w:color="000000" w:sz="4" w:space="0"/>
                    <w:left w:val="single" w:color="auto" w:sz="4" w:space="0"/>
                    <w:bottom w:val="single" w:color="000000" w:sz="4" w:space="0"/>
                    <w:right w:val="single" w:color="auto" w:sz="4" w:space="0"/>
                  </w:tcBorders>
                  <w:tcW w:w="1081" w:type="dxa"/>
                  <w:vAlign w:val="center"/>
                  <w:vMerge w:val="restart"/>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单位</w:t>
                  </w:r>
                  <w:r/>
                </w:p>
              </w:tc>
              <w:tc>
                <w:tcPr>
                  <w:tcBorders>
                    <w:top w:val="none" w:color="000000" w:sz="4" w:space="0"/>
                    <w:left w:val="single" w:color="auto" w:sz="4" w:space="0"/>
                    <w:bottom w:val="single" w:color="auto" w:sz="4" w:space="0"/>
                    <w:right w:val="single" w:color="auto" w:sz="4" w:space="0"/>
                  </w:tcBorders>
                  <w:tcW w:w="1341" w:type="dxa"/>
                  <w:vAlign w:val="center"/>
                  <w:vMerge w:val="restart"/>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单价</w:t>
                  </w:r>
                  <w:r/>
                </w:p>
              </w:tc>
              <w:tc>
                <w:tcPr>
                  <w:tcBorders>
                    <w:top w:val="none" w:color="000000" w:sz="4" w:space="0"/>
                    <w:left w:val="single" w:color="auto" w:sz="4" w:space="0"/>
                    <w:bottom w:val="single" w:color="auto" w:sz="4" w:space="0"/>
                    <w:right w:val="single" w:color="auto" w:sz="4" w:space="0"/>
                  </w:tcBorders>
                  <w:tcW w:w="1421" w:type="dxa"/>
                  <w:vAlign w:val="center"/>
                  <w:vMerge w:val="restart"/>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年总价（元）</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保洁篮</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8</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个</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2</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小喷壶      </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8</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只</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3</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尘推架</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8</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只</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4</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尘推布</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16</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条</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5</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毛  头</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8</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个</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6</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刮  子</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8</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只</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7</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纤维掸</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5</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个</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8</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伸缩玻璃刮杆</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2</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个</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9</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水 桶</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3</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只</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10</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大型垃圾桶</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5</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只</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11</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塑料水盆</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3</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只</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12</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榨水车</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3</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辆</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13</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卫生间垃圾桶</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70</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只</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37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14</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温馨提示牌</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4</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个</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15</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塑料簸箕扫帚</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48</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把</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16</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抹  布</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192</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条</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17</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橡胶手套</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192</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双</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18</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洁厕刷（软）</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18</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把</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19</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洁厕刷（硬）</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18</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把</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20</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面盆刷</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12</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把</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21</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长柄地刷</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6</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把</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22</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拖  把</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72</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把</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23</w:t>
                  </w:r>
                  <w:r/>
                </w:p>
              </w:tc>
              <w:tc>
                <w:tcPr>
                  <w:tcBorders>
                    <w:top w:val="none" w:color="000000" w:sz="4" w:space="0"/>
                    <w:left w:val="none" w:color="000000" w:sz="4" w:space="0"/>
                    <w:bottom w:val="none" w:color="000000"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胶棉拖把</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18</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把</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24</w:t>
                  </w:r>
                  <w:r/>
                </w:p>
              </w:tc>
              <w:tc>
                <w:tcPr>
                  <w:tcBorders>
                    <w:top w:val="single" w:color="auto"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牙刷牙膏</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36</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套</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default"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25</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洁厕剂</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36</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瓶</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default"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26</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空气清新剂</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12</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瓶</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43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default"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27</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不锈钢清洁剂</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2</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瓶</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36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default"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28</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84消毒液（5kg）     </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36</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瓶</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default"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29</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洗衣粉（260g）</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6</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包</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default"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30</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香精球</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500</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袋</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37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default"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31</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大扫把</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48</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把</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37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default"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32</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塑料簸箕扫把</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24</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套</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37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default"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33</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垃圾袋（大）</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36</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包</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37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default"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34</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垃圾袋（中）</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480</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卷</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37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default"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35</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垃圾袋（小）</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1152</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卷</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37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default"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36</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雨衣</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4</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套</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37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default"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37</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雨鞋</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4</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套</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default"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38</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草帽</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4</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套</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420"/>
              </w:trPr>
              <w:tc>
                <w:tcPr>
                  <w:gridSpan w:val="2"/>
                  <w:tcBorders>
                    <w:top w:val="single" w:color="auto" w:sz="4" w:space="0"/>
                    <w:left w:val="single" w:color="auto" w:sz="4" w:space="0"/>
                    <w:bottom w:val="single" w:color="auto" w:sz="4" w:space="0"/>
                    <w:right w:val="single" w:color="000000" w:sz="4" w:space="0"/>
                  </w:tcBorders>
                  <w:tcW w:w="32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合计：</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bl>
          <w:p>
            <w:pPr>
              <w:jc w:val="left"/>
              <w:widowControl/>
              <w:rPr>
                <w:rFonts w:asciiTheme="minorHAnsi" w:hAnsiTheme="minorHAnsi"/>
                <w:szCs w:val="22"/>
                <w:highlight w:val="none"/>
              </w:rPr>
            </w:pPr>
            <w:r>
              <w:rPr>
                <w:rFonts w:asciiTheme="minorHAnsi" w:hAnsiTheme="minorHAnsi"/>
                <w:szCs w:val="22"/>
                <w:highlight w:val="none"/>
              </w:rPr>
            </w:r>
            <w:r/>
          </w:p>
        </w:tc>
      </w:tr>
    </w:tbl>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（1）表中已注明的“数量”这一列的具体数字只可适当增加但不可减少。</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（2）表中已列明的项目不可删减。</w:t>
      </w:r>
      <w:r/>
    </w:p>
    <w:p>
      <w:pP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（3）投标人可根据服务需要自行增加相关耗材。</w:t>
      </w:r>
      <w:r/>
    </w:p>
    <w:p>
      <w:pPr>
        <w:rPr>
          <w:rFonts w:cs="宋体" w:asciiTheme="minorEastAsia" w:hAnsiTheme="minorEastAsia" w:eastAsiaTheme="minorEastAsia"/>
          <w:sz w:val="24"/>
          <w:szCs w:val="24"/>
        </w:rPr>
      </w:pPr>
      <w:r>
        <w:rPr>
          <w:rFonts w:hint="eastAsia" w:cs="宋体" w:asciiTheme="minorEastAsia" w:hAnsiTheme="minorEastAsia" w:eastAsiaTheme="minorEastAsia"/>
          <w:i/>
          <w:sz w:val="24"/>
          <w:szCs w:val="24"/>
          <w:u w:val="single"/>
        </w:rPr>
        <w:t xml:space="preserve">（4）耗材费用，不接受赠送，</w:t>
      </w:r>
      <w:r>
        <w:rPr>
          <w:rFonts w:ascii="宋体" w:hAnsi="宋体" w:eastAsia="宋体" w:cs="宋体"/>
          <w:i/>
          <w:color w:val="000000"/>
          <w:sz w:val="24"/>
          <w:u w:val="single"/>
        </w:rPr>
        <w:t xml:space="preserve">不明显低于市场价。</w:t>
      </w:r>
      <w:r/>
    </w:p>
    <w:p>
      <w:pPr>
        <w:spacing w:line="360" w:lineRule="auto"/>
        <w:tabs>
          <w:tab w:val="left" w:pos="0" w:leader="none"/>
        </w:tabs>
        <w:rPr>
          <w:rFonts w:ascii="宋体" w:hAnsi="宋体" w:cs="宋体"/>
          <w:color w:val="000000"/>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w:t>
      </w:r>
      <w:r>
        <w:rPr>
          <w:rFonts w:hint="eastAsia" w:ascii="宋体" w:hAnsi="宋体" w:cs="宋体"/>
          <w:color w:val="000000"/>
          <w:sz w:val="24"/>
          <w:szCs w:val="24"/>
        </w:rPr>
        <w:t xml:space="preserve">本表数量为年采购量。</w:t>
      </w:r>
      <w:r/>
    </w:p>
    <w:p>
      <w:pPr>
        <w:jc w:val="center"/>
        <w:rPr>
          <w:rFonts w:cs="宋体"/>
          <w:b/>
          <w:i/>
          <w:color w:val="000000"/>
          <w:sz w:val="24"/>
          <w:szCs w:val="24"/>
          <w:u w:val="single"/>
        </w:rPr>
      </w:pPr>
      <w:r>
        <w:rPr>
          <w:rFonts w:cs="宋体"/>
          <w:b/>
          <w:i/>
          <w:color w:val="000000"/>
          <w:sz w:val="24"/>
          <w:szCs w:val="24"/>
          <w:u w:val="single"/>
        </w:rPr>
      </w:r>
      <w:r/>
    </w:p>
    <w:p>
      <w:pPr>
        <w:pStyle w:val="747"/>
        <w:ind w:firstLine="0"/>
        <w:rPr>
          <w:rFonts w:cs="宋体"/>
          <w:b/>
          <w:i/>
          <w:color w:val="000000"/>
          <w:sz w:val="24"/>
          <w:szCs w:val="24"/>
          <w:u w:val="single"/>
        </w:rPr>
      </w:pPr>
      <w:r>
        <w:rPr>
          <w:rFonts w:cs="宋体"/>
          <w:b/>
          <w:i/>
          <w:color w:val="000000"/>
          <w:sz w:val="24"/>
          <w:szCs w:val="24"/>
          <w:u w:val="single"/>
        </w:rPr>
      </w:r>
      <w:r/>
    </w:p>
    <w:p>
      <w:pPr>
        <w:pStyle w:val="747"/>
        <w:ind w:firstLine="0"/>
        <w:rPr>
          <w:rFonts w:cs="宋体"/>
          <w:b/>
          <w:i/>
          <w:color w:val="000000"/>
          <w:sz w:val="24"/>
          <w:szCs w:val="24"/>
          <w:u w:val="single"/>
        </w:rPr>
      </w:pPr>
      <w:r>
        <w:rPr>
          <w:rFonts w:cs="宋体"/>
          <w:b/>
          <w:i/>
          <w:color w:val="000000"/>
          <w:sz w:val="24"/>
          <w:szCs w:val="24"/>
          <w:u w:val="single"/>
        </w:rPr>
      </w:r>
      <w:r/>
    </w:p>
    <w:p>
      <w:pPr>
        <w:jc w:val="center"/>
        <w:rPr>
          <w:rFonts w:ascii="宋体" w:hAnsi="宋体" w:cs="宋体"/>
          <w:b/>
          <w:bCs/>
          <w:i/>
          <w:iCs/>
          <w:color w:val="ff0000"/>
          <w:u w:val="single"/>
        </w:rPr>
      </w:pPr>
      <w:r>
        <w:rPr>
          <w:rFonts w:hint="eastAsia" w:ascii="宋体" w:hAnsi="宋体" w:cs="宋体"/>
          <w:b/>
          <w:bCs/>
          <w:i/>
          <w:iCs/>
          <w:color w:val="ff0000"/>
          <w:u w:val="single"/>
        </w:rPr>
        <w:t xml:space="preserve">保安工具耗材明细表（1年）</w:t>
      </w:r>
      <w:r/>
    </w:p>
    <w:p>
      <w:pPr>
        <w:jc w:val="center"/>
        <w:rPr>
          <w:rFonts w:ascii="宋体" w:hAnsi="宋体" w:cs="宋体"/>
          <w:b/>
          <w:bCs/>
          <w:i/>
          <w:iCs/>
          <w:color w:val="ff0000"/>
          <w:u w:val="single"/>
        </w:rPr>
      </w:pPr>
      <w:r>
        <w:rPr>
          <w:rFonts w:ascii="宋体" w:hAnsi="宋体" w:cs="宋体"/>
          <w:b/>
          <w:bCs/>
          <w:i/>
          <w:iCs/>
          <w:color w:val="ff0000"/>
          <w:u w:val="single"/>
        </w:rPr>
      </w:r>
      <w:r/>
    </w:p>
    <w:tbl>
      <w:tblPr>
        <w:tblStyle w:val="723"/>
        <w:tblW w:w="7725" w:type="dxa"/>
        <w:jc w:val="center"/>
        <w:tblLayout w:type="fixed"/>
        <w:tblCellMar>
          <w:left w:w="108" w:type="dxa"/>
          <w:top w:w="0" w:type="dxa"/>
          <w:right w:w="108" w:type="dxa"/>
          <w:bottom w:w="0" w:type="dxa"/>
        </w:tblCellMar>
        <w:tblLook w:val="04A0" w:firstRow="1" w:lastRow="0" w:firstColumn="1" w:lastColumn="0" w:noHBand="0" w:noVBand="1"/>
      </w:tblPr>
      <w:tblGrid>
        <w:gridCol w:w="1080"/>
        <w:gridCol w:w="1590"/>
        <w:gridCol w:w="1080"/>
        <w:gridCol w:w="1080"/>
        <w:gridCol w:w="1235"/>
        <w:gridCol w:w="1660"/>
      </w:tblGrid>
      <w:tr>
        <w:trPr>
          <w:jc w:val="center"/>
          <w:trHeight w:val="585"/>
        </w:trPr>
        <w:tc>
          <w:tcPr>
            <w:tcBorders>
              <w:top w:val="single" w:color="000000" w:sz="8" w:space="0"/>
              <w:left w:val="single" w:color="000000" w:sz="8"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序号</w:t>
            </w:r>
            <w:r/>
          </w:p>
        </w:tc>
        <w:tc>
          <w:tcPr>
            <w:tcBorders>
              <w:top w:val="single" w:color="000000" w:sz="8" w:space="0"/>
              <w:left w:val="none" w:color="000000" w:sz="4" w:space="0"/>
              <w:bottom w:val="single" w:color="000000" w:sz="8" w:space="0"/>
              <w:right w:val="single" w:color="000000" w:sz="8" w:space="0"/>
            </w:tcBorders>
            <w:tcW w:w="159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保安装备</w:t>
            </w:r>
            <w:r/>
          </w:p>
        </w:tc>
        <w:tc>
          <w:tcPr>
            <w:tcBorders>
              <w:top w:val="single" w:color="000000" w:sz="8" w:space="0"/>
              <w:left w:val="none" w:color="000000" w:sz="4"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数量</w:t>
            </w:r>
            <w:r/>
          </w:p>
        </w:tc>
        <w:tc>
          <w:tcPr>
            <w:tcBorders>
              <w:top w:val="single" w:color="000000" w:sz="8" w:space="0"/>
              <w:left w:val="none" w:color="000000" w:sz="4"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单位</w:t>
            </w:r>
            <w:r/>
          </w:p>
        </w:tc>
        <w:tc>
          <w:tcPr>
            <w:tcBorders>
              <w:top w:val="single" w:color="000000" w:sz="8" w:space="0"/>
              <w:left w:val="none" w:color="000000" w:sz="4" w:space="0"/>
              <w:bottom w:val="single" w:color="000000" w:sz="8" w:space="0"/>
              <w:right w:val="single" w:color="000000" w:sz="8" w:space="0"/>
            </w:tcBorders>
            <w:tcW w:w="1235"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单价（元）</w:t>
            </w:r>
            <w:r/>
          </w:p>
        </w:tc>
        <w:tc>
          <w:tcPr>
            <w:tcBorders>
              <w:top w:val="single" w:color="000000" w:sz="8" w:space="0"/>
              <w:left w:val="none" w:color="000000" w:sz="4" w:space="0"/>
              <w:bottom w:val="single" w:color="000000" w:sz="8" w:space="0"/>
              <w:right w:val="single" w:color="000000" w:sz="8" w:space="0"/>
            </w:tcBorders>
            <w:tcW w:w="166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年总价（元）</w:t>
            </w:r>
            <w:r/>
          </w:p>
        </w:tc>
      </w:tr>
      <w:tr>
        <w:trPr>
          <w:jc w:val="center"/>
          <w:trHeight w:val="400"/>
        </w:trPr>
        <w:tc>
          <w:tcPr>
            <w:tcBorders>
              <w:top w:val="single" w:color="000000" w:sz="8" w:space="0"/>
              <w:left w:val="single" w:color="000000" w:sz="8"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1</w:t>
            </w:r>
            <w:r/>
          </w:p>
        </w:tc>
        <w:tc>
          <w:tcPr>
            <w:tcBorders>
              <w:top w:val="single" w:color="000000" w:sz="8" w:space="0"/>
              <w:left w:val="none" w:color="000000" w:sz="4" w:space="0"/>
              <w:bottom w:val="single" w:color="000000" w:sz="8" w:space="0"/>
              <w:right w:val="single" w:color="000000" w:sz="8" w:space="0"/>
            </w:tcBorders>
            <w:tcW w:w="159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橡皮棍</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8</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根</w:t>
            </w:r>
            <w:r/>
          </w:p>
        </w:tc>
        <w:tc>
          <w:tcPr>
            <w:tcBorders>
              <w:top w:val="none" w:color="000000" w:sz="4" w:space="0"/>
              <w:left w:val="none" w:color="000000" w:sz="4" w:space="0"/>
              <w:bottom w:val="single" w:color="000000" w:sz="8" w:space="0"/>
              <w:right w:val="single" w:color="000000" w:sz="8" w:space="0"/>
            </w:tcBorders>
            <w:tcW w:w="1235" w:type="dxa"/>
            <w:vAlign w:val="center"/>
            <w:textDirection w:val="lrTb"/>
            <w:noWrap w:val="false"/>
          </w:tcPr>
          <w:p>
            <w:pPr>
              <w:jc w:val="center"/>
              <w:spacing w:line="360" w:lineRule="auto"/>
              <w:widowControl/>
              <w:rPr>
                <w:rFonts w:ascii="宋体" w:hAnsi="宋体" w:cs="宋体"/>
                <w:color w:val="000000"/>
              </w:rPr>
            </w:pPr>
            <w:r>
              <w:rPr>
                <w:rFonts w:ascii="宋体" w:hAnsi="宋体" w:cs="宋体"/>
                <w:color w:val="000000"/>
              </w:rPr>
            </w:r>
            <w:r/>
          </w:p>
        </w:tc>
        <w:tc>
          <w:tcPr>
            <w:tcBorders>
              <w:top w:val="single" w:color="000000" w:sz="8" w:space="0"/>
              <w:left w:val="none" w:color="000000" w:sz="4" w:space="0"/>
              <w:bottom w:val="single" w:color="000000" w:sz="8" w:space="0"/>
              <w:right w:val="single" w:color="000000" w:sz="8" w:space="0"/>
            </w:tcBorders>
            <w:tcW w:w="1660" w:type="dxa"/>
            <w:vAlign w:val="center"/>
            <w:textDirection w:val="lrTb"/>
            <w:noWrap w:val="false"/>
          </w:tcPr>
          <w:p>
            <w:pPr>
              <w:jc w:val="center"/>
              <w:spacing w:line="360" w:lineRule="auto"/>
              <w:widowControl/>
              <w:rPr>
                <w:rFonts w:ascii="宋体" w:hAnsi="宋体" w:cs="宋体"/>
                <w:color w:val="000000"/>
              </w:rPr>
            </w:pPr>
            <w:r>
              <w:rPr>
                <w:rFonts w:ascii="宋体" w:hAnsi="宋体" w:cs="宋体"/>
                <w:color w:val="000000"/>
              </w:rPr>
            </w:r>
            <w:r/>
          </w:p>
        </w:tc>
      </w:tr>
      <w:tr>
        <w:trPr>
          <w:jc w:val="center"/>
          <w:trHeight w:val="400"/>
        </w:trPr>
        <w:tc>
          <w:tcPr>
            <w:tcBorders>
              <w:top w:val="single" w:color="000000" w:sz="8" w:space="0"/>
              <w:left w:val="single" w:color="000000" w:sz="8"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2</w:t>
            </w:r>
            <w:r/>
          </w:p>
        </w:tc>
        <w:tc>
          <w:tcPr>
            <w:tcBorders>
              <w:top w:val="single" w:color="000000" w:sz="8" w:space="0"/>
              <w:left w:val="none" w:color="000000" w:sz="4" w:space="0"/>
              <w:bottom w:val="single" w:color="000000" w:sz="8" w:space="0"/>
              <w:right w:val="single" w:color="000000" w:sz="8" w:space="0"/>
            </w:tcBorders>
            <w:tcW w:w="159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雨具</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8</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套</w:t>
            </w:r>
            <w:r/>
          </w:p>
        </w:tc>
        <w:tc>
          <w:tcPr>
            <w:tcBorders>
              <w:top w:val="none" w:color="000000" w:sz="4" w:space="0"/>
              <w:left w:val="none" w:color="000000" w:sz="4" w:space="0"/>
              <w:bottom w:val="single" w:color="000000" w:sz="8" w:space="0"/>
              <w:right w:val="single" w:color="000000" w:sz="8" w:space="0"/>
            </w:tcBorders>
            <w:tcW w:w="1235" w:type="dxa"/>
            <w:vAlign w:val="center"/>
            <w:textDirection w:val="lrTb"/>
            <w:noWrap w:val="false"/>
          </w:tcPr>
          <w:p>
            <w:pPr>
              <w:jc w:val="center"/>
              <w:spacing w:line="360" w:lineRule="auto"/>
              <w:widowControl/>
              <w:rPr>
                <w:rFonts w:ascii="宋体" w:hAnsi="宋体" w:cs="宋体"/>
                <w:color w:val="000000"/>
              </w:rPr>
            </w:pPr>
            <w:r>
              <w:rPr>
                <w:rFonts w:ascii="宋体" w:hAnsi="宋体" w:cs="宋体"/>
                <w:color w:val="000000"/>
              </w:rPr>
            </w:r>
            <w:r/>
          </w:p>
        </w:tc>
        <w:tc>
          <w:tcPr>
            <w:tcBorders>
              <w:top w:val="single" w:color="000000" w:sz="8" w:space="0"/>
              <w:left w:val="none" w:color="000000" w:sz="4" w:space="0"/>
              <w:bottom w:val="single" w:color="000000" w:sz="8" w:space="0"/>
              <w:right w:val="single" w:color="000000" w:sz="8" w:space="0"/>
            </w:tcBorders>
            <w:tcW w:w="1660" w:type="dxa"/>
            <w:vAlign w:val="center"/>
            <w:textDirection w:val="lrTb"/>
            <w:noWrap w:val="false"/>
          </w:tcPr>
          <w:p>
            <w:pPr>
              <w:jc w:val="center"/>
              <w:spacing w:line="360" w:lineRule="auto"/>
              <w:widowControl/>
              <w:rPr>
                <w:rFonts w:ascii="宋体" w:hAnsi="宋体" w:cs="宋体"/>
                <w:color w:val="000000"/>
              </w:rPr>
            </w:pPr>
            <w:r>
              <w:rPr>
                <w:rFonts w:ascii="宋体" w:hAnsi="宋体" w:cs="宋体"/>
                <w:color w:val="000000"/>
              </w:rPr>
            </w:r>
            <w:r/>
          </w:p>
        </w:tc>
      </w:tr>
      <w:tr>
        <w:trPr>
          <w:jc w:val="center"/>
          <w:trHeight w:val="400"/>
        </w:trPr>
        <w:tc>
          <w:tcPr>
            <w:tcBorders>
              <w:top w:val="single" w:color="000000" w:sz="8" w:space="0"/>
              <w:left w:val="single" w:color="000000" w:sz="8"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3</w:t>
            </w:r>
            <w:r/>
          </w:p>
        </w:tc>
        <w:tc>
          <w:tcPr>
            <w:tcBorders>
              <w:top w:val="single" w:color="000000" w:sz="8" w:space="0"/>
              <w:left w:val="none" w:color="000000" w:sz="4" w:space="0"/>
              <w:bottom w:val="single" w:color="000000" w:sz="8" w:space="0"/>
              <w:right w:val="single" w:color="000000" w:sz="8" w:space="0"/>
            </w:tcBorders>
            <w:tcW w:w="159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手套</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8</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付</w:t>
            </w:r>
            <w:r/>
          </w:p>
        </w:tc>
        <w:tc>
          <w:tcPr>
            <w:tcBorders>
              <w:top w:val="none" w:color="000000" w:sz="4" w:space="0"/>
              <w:left w:val="none" w:color="000000" w:sz="4" w:space="0"/>
              <w:bottom w:val="single" w:color="000000" w:sz="8" w:space="0"/>
              <w:right w:val="single" w:color="000000" w:sz="8" w:space="0"/>
            </w:tcBorders>
            <w:tcW w:w="1235" w:type="dxa"/>
            <w:vAlign w:val="center"/>
            <w:textDirection w:val="lrTb"/>
            <w:noWrap w:val="false"/>
          </w:tcPr>
          <w:p>
            <w:pPr>
              <w:jc w:val="center"/>
              <w:spacing w:line="360" w:lineRule="auto"/>
              <w:widowControl/>
              <w:rPr>
                <w:rFonts w:ascii="宋体" w:hAnsi="宋体" w:cs="宋体"/>
                <w:color w:val="000000"/>
              </w:rPr>
            </w:pPr>
            <w:r>
              <w:rPr>
                <w:rFonts w:ascii="宋体" w:hAnsi="宋体" w:cs="宋体"/>
                <w:color w:val="000000"/>
              </w:rPr>
            </w:r>
            <w:r/>
          </w:p>
        </w:tc>
        <w:tc>
          <w:tcPr>
            <w:tcBorders>
              <w:top w:val="single" w:color="000000" w:sz="8" w:space="0"/>
              <w:left w:val="none" w:color="000000" w:sz="4" w:space="0"/>
              <w:bottom w:val="single" w:color="000000" w:sz="8" w:space="0"/>
              <w:right w:val="single" w:color="000000" w:sz="8" w:space="0"/>
            </w:tcBorders>
            <w:tcW w:w="1660" w:type="dxa"/>
            <w:vAlign w:val="center"/>
            <w:textDirection w:val="lrTb"/>
            <w:noWrap w:val="false"/>
          </w:tcPr>
          <w:p>
            <w:pPr>
              <w:jc w:val="center"/>
              <w:spacing w:line="360" w:lineRule="auto"/>
              <w:widowControl/>
              <w:rPr>
                <w:rFonts w:ascii="宋体" w:hAnsi="宋体" w:cs="宋体"/>
                <w:color w:val="000000"/>
              </w:rPr>
            </w:pPr>
            <w:r>
              <w:rPr>
                <w:rFonts w:ascii="宋体" w:hAnsi="宋体" w:cs="宋体"/>
                <w:color w:val="000000"/>
              </w:rPr>
            </w:r>
            <w:r/>
          </w:p>
        </w:tc>
      </w:tr>
      <w:tr>
        <w:trPr>
          <w:jc w:val="center"/>
          <w:trHeight w:val="400"/>
        </w:trPr>
        <w:tc>
          <w:tcPr>
            <w:tcBorders>
              <w:top w:val="single" w:color="000000" w:sz="8" w:space="0"/>
              <w:left w:val="single" w:color="000000" w:sz="8"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4</w:t>
            </w:r>
            <w:r/>
          </w:p>
        </w:tc>
        <w:tc>
          <w:tcPr>
            <w:tcBorders>
              <w:top w:val="single" w:color="000000" w:sz="8" w:space="0"/>
              <w:left w:val="none" w:color="000000" w:sz="4" w:space="0"/>
              <w:bottom w:val="single" w:color="000000" w:sz="8" w:space="0"/>
              <w:right w:val="single" w:color="000000" w:sz="8" w:space="0"/>
            </w:tcBorders>
            <w:tcW w:w="159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应急灯</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4</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只</w:t>
            </w:r>
            <w:r/>
          </w:p>
        </w:tc>
        <w:tc>
          <w:tcPr>
            <w:tcBorders>
              <w:top w:val="none" w:color="000000" w:sz="4" w:space="0"/>
              <w:left w:val="none" w:color="000000" w:sz="4" w:space="0"/>
              <w:bottom w:val="single" w:color="000000" w:sz="8" w:space="0"/>
              <w:right w:val="single" w:color="000000" w:sz="8" w:space="0"/>
            </w:tcBorders>
            <w:tcW w:w="1235" w:type="dxa"/>
            <w:vAlign w:val="center"/>
            <w:textDirection w:val="lrTb"/>
            <w:noWrap w:val="false"/>
          </w:tcPr>
          <w:p>
            <w:pPr>
              <w:jc w:val="center"/>
              <w:spacing w:line="360" w:lineRule="auto"/>
              <w:widowControl/>
              <w:rPr>
                <w:rFonts w:ascii="宋体" w:hAnsi="宋体" w:cs="宋体"/>
                <w:color w:val="000000"/>
              </w:rPr>
            </w:pPr>
            <w:r>
              <w:rPr>
                <w:rFonts w:ascii="宋体" w:hAnsi="宋体" w:cs="宋体"/>
                <w:color w:val="000000"/>
              </w:rPr>
            </w:r>
            <w:r/>
          </w:p>
        </w:tc>
        <w:tc>
          <w:tcPr>
            <w:tcBorders>
              <w:top w:val="single" w:color="000000" w:sz="8" w:space="0"/>
              <w:left w:val="none" w:color="000000" w:sz="4" w:space="0"/>
              <w:bottom w:val="single" w:color="000000" w:sz="8" w:space="0"/>
              <w:right w:val="single" w:color="000000" w:sz="8" w:space="0"/>
            </w:tcBorders>
            <w:tcW w:w="1660" w:type="dxa"/>
            <w:vAlign w:val="center"/>
            <w:textDirection w:val="lrTb"/>
            <w:noWrap w:val="false"/>
          </w:tcPr>
          <w:p>
            <w:pPr>
              <w:jc w:val="center"/>
              <w:spacing w:line="360" w:lineRule="auto"/>
              <w:widowControl/>
              <w:rPr>
                <w:rFonts w:ascii="宋体" w:hAnsi="宋体" w:cs="宋体"/>
                <w:color w:val="000000"/>
              </w:rPr>
            </w:pPr>
            <w:r>
              <w:rPr>
                <w:rFonts w:ascii="宋体" w:hAnsi="宋体" w:cs="宋体"/>
                <w:color w:val="000000"/>
              </w:rPr>
            </w:r>
            <w:r/>
          </w:p>
        </w:tc>
      </w:tr>
      <w:tr>
        <w:trPr>
          <w:jc w:val="center"/>
          <w:trHeight w:val="400"/>
        </w:trPr>
        <w:tc>
          <w:tcPr>
            <w:tcBorders>
              <w:top w:val="single" w:color="000000" w:sz="8" w:space="0"/>
              <w:left w:val="single" w:color="000000" w:sz="8"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5</w:t>
            </w:r>
            <w:r/>
          </w:p>
        </w:tc>
        <w:tc>
          <w:tcPr>
            <w:tcBorders>
              <w:top w:val="single" w:color="000000" w:sz="8" w:space="0"/>
              <w:left w:val="none" w:color="000000" w:sz="4" w:space="0"/>
              <w:bottom w:val="single" w:color="000000" w:sz="8" w:space="0"/>
              <w:right w:val="single" w:color="000000" w:sz="8" w:space="0"/>
            </w:tcBorders>
            <w:tcW w:w="159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钢盔</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8</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只</w:t>
            </w:r>
            <w:r/>
          </w:p>
        </w:tc>
        <w:tc>
          <w:tcPr>
            <w:tcBorders>
              <w:top w:val="none" w:color="000000" w:sz="4" w:space="0"/>
              <w:left w:val="none" w:color="000000" w:sz="4" w:space="0"/>
              <w:bottom w:val="single" w:color="000000" w:sz="8" w:space="0"/>
              <w:right w:val="single" w:color="000000" w:sz="8" w:space="0"/>
            </w:tcBorders>
            <w:tcW w:w="1235" w:type="dxa"/>
            <w:vAlign w:val="center"/>
            <w:textDirection w:val="lrTb"/>
            <w:noWrap w:val="false"/>
          </w:tcPr>
          <w:p>
            <w:pPr>
              <w:jc w:val="center"/>
              <w:spacing w:line="360" w:lineRule="auto"/>
              <w:widowControl/>
              <w:rPr>
                <w:rFonts w:ascii="宋体" w:hAnsi="宋体" w:cs="宋体"/>
                <w:color w:val="000000"/>
              </w:rPr>
            </w:pPr>
            <w:r>
              <w:rPr>
                <w:rFonts w:ascii="宋体" w:hAnsi="宋体" w:cs="宋体"/>
                <w:color w:val="000000"/>
              </w:rPr>
            </w:r>
            <w:r/>
          </w:p>
        </w:tc>
        <w:tc>
          <w:tcPr>
            <w:tcBorders>
              <w:top w:val="single" w:color="000000" w:sz="8" w:space="0"/>
              <w:left w:val="none" w:color="000000" w:sz="4" w:space="0"/>
              <w:bottom w:val="single" w:color="000000" w:sz="8" w:space="0"/>
              <w:right w:val="single" w:color="000000" w:sz="8" w:space="0"/>
            </w:tcBorders>
            <w:tcW w:w="1660" w:type="dxa"/>
            <w:vAlign w:val="center"/>
            <w:textDirection w:val="lrTb"/>
            <w:noWrap w:val="false"/>
          </w:tcPr>
          <w:p>
            <w:pPr>
              <w:jc w:val="center"/>
              <w:spacing w:line="360" w:lineRule="auto"/>
              <w:widowControl/>
              <w:rPr>
                <w:rFonts w:ascii="宋体" w:hAnsi="宋体" w:cs="宋体"/>
                <w:color w:val="000000"/>
              </w:rPr>
            </w:pPr>
            <w:r>
              <w:rPr>
                <w:rFonts w:ascii="宋体" w:hAnsi="宋体" w:cs="宋体"/>
                <w:color w:val="000000"/>
              </w:rPr>
            </w:r>
            <w:r/>
          </w:p>
        </w:tc>
      </w:tr>
      <w:tr>
        <w:trPr>
          <w:jc w:val="center"/>
          <w:trHeight w:val="400"/>
        </w:trPr>
        <w:tc>
          <w:tcPr>
            <w:tcBorders>
              <w:top w:val="single" w:color="000000" w:sz="8" w:space="0"/>
              <w:left w:val="single" w:color="000000" w:sz="8"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6</w:t>
            </w:r>
            <w:r/>
          </w:p>
        </w:tc>
        <w:tc>
          <w:tcPr>
            <w:tcBorders>
              <w:top w:val="single" w:color="000000" w:sz="8" w:space="0"/>
              <w:left w:val="none" w:color="000000" w:sz="4" w:space="0"/>
              <w:bottom w:val="single" w:color="000000" w:sz="8" w:space="0"/>
              <w:right w:val="single" w:color="000000" w:sz="8" w:space="0"/>
            </w:tcBorders>
            <w:tcW w:w="159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强光手电筒</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8</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只</w:t>
            </w:r>
            <w:r/>
          </w:p>
        </w:tc>
        <w:tc>
          <w:tcPr>
            <w:tcBorders>
              <w:top w:val="none" w:color="000000" w:sz="4" w:space="0"/>
              <w:left w:val="none" w:color="000000" w:sz="4" w:space="0"/>
              <w:bottom w:val="single" w:color="000000" w:sz="8" w:space="0"/>
              <w:right w:val="single" w:color="000000" w:sz="8" w:space="0"/>
            </w:tcBorders>
            <w:tcW w:w="1235" w:type="dxa"/>
            <w:vAlign w:val="center"/>
            <w:textDirection w:val="lrTb"/>
            <w:noWrap w:val="false"/>
          </w:tcPr>
          <w:p>
            <w:pPr>
              <w:jc w:val="center"/>
              <w:spacing w:line="360" w:lineRule="auto"/>
              <w:widowControl/>
              <w:rPr>
                <w:rFonts w:ascii="宋体" w:hAnsi="宋体" w:cs="宋体"/>
                <w:color w:val="000000"/>
              </w:rPr>
            </w:pPr>
            <w:r>
              <w:rPr>
                <w:rFonts w:ascii="宋体" w:hAnsi="宋体" w:cs="宋体"/>
                <w:color w:val="000000"/>
              </w:rPr>
            </w:r>
            <w:r/>
          </w:p>
        </w:tc>
        <w:tc>
          <w:tcPr>
            <w:tcBorders>
              <w:top w:val="single" w:color="000000" w:sz="8" w:space="0"/>
              <w:left w:val="none" w:color="000000" w:sz="4" w:space="0"/>
              <w:bottom w:val="single" w:color="000000" w:sz="8" w:space="0"/>
              <w:right w:val="single" w:color="000000" w:sz="8" w:space="0"/>
            </w:tcBorders>
            <w:tcW w:w="1660" w:type="dxa"/>
            <w:vAlign w:val="center"/>
            <w:textDirection w:val="lrTb"/>
            <w:noWrap w:val="false"/>
          </w:tcPr>
          <w:p>
            <w:pPr>
              <w:jc w:val="center"/>
              <w:spacing w:line="360" w:lineRule="auto"/>
              <w:widowControl/>
              <w:rPr>
                <w:rFonts w:ascii="宋体" w:hAnsi="宋体" w:cs="宋体"/>
                <w:color w:val="000000"/>
              </w:rPr>
            </w:pPr>
            <w:r>
              <w:rPr>
                <w:rFonts w:ascii="宋体" w:hAnsi="宋体" w:cs="宋体"/>
                <w:color w:val="000000"/>
              </w:rPr>
            </w:r>
            <w:r/>
          </w:p>
        </w:tc>
      </w:tr>
      <w:tr>
        <w:trPr>
          <w:jc w:val="center"/>
          <w:trHeight w:val="483"/>
        </w:trPr>
        <w:tc>
          <w:tcPr>
            <w:tcBorders>
              <w:top w:val="single" w:color="000000" w:sz="8" w:space="0"/>
              <w:left w:val="single" w:color="000000" w:sz="8"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7</w:t>
            </w:r>
            <w:r/>
          </w:p>
        </w:tc>
        <w:tc>
          <w:tcPr>
            <w:tcBorders>
              <w:top w:val="single" w:color="000000" w:sz="8" w:space="0"/>
              <w:left w:val="none" w:color="000000" w:sz="4" w:space="0"/>
              <w:bottom w:val="single" w:color="000000" w:sz="8" w:space="0"/>
              <w:right w:val="single" w:color="000000" w:sz="8" w:space="0"/>
            </w:tcBorders>
            <w:tcW w:w="159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防护盾牌</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8</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个</w:t>
            </w:r>
            <w:r/>
          </w:p>
        </w:tc>
        <w:tc>
          <w:tcPr>
            <w:tcBorders>
              <w:top w:val="none" w:color="000000" w:sz="4" w:space="0"/>
              <w:left w:val="none" w:color="000000" w:sz="4" w:space="0"/>
              <w:bottom w:val="single" w:color="000000" w:sz="8" w:space="0"/>
              <w:right w:val="single" w:color="000000" w:sz="8" w:space="0"/>
            </w:tcBorders>
            <w:tcW w:w="1235" w:type="dxa"/>
            <w:vAlign w:val="center"/>
            <w:textDirection w:val="lrTb"/>
            <w:noWrap w:val="false"/>
          </w:tcPr>
          <w:p>
            <w:pPr>
              <w:jc w:val="center"/>
              <w:spacing w:line="360" w:lineRule="auto"/>
              <w:widowControl/>
              <w:rPr>
                <w:rFonts w:ascii="宋体" w:hAnsi="宋体" w:cs="宋体"/>
                <w:color w:val="000000"/>
              </w:rPr>
            </w:pPr>
            <w:r>
              <w:rPr>
                <w:rFonts w:ascii="宋体" w:hAnsi="宋体" w:cs="宋体"/>
                <w:color w:val="000000"/>
              </w:rPr>
            </w:r>
            <w:r/>
          </w:p>
        </w:tc>
        <w:tc>
          <w:tcPr>
            <w:tcBorders>
              <w:top w:val="single" w:color="000000" w:sz="8" w:space="0"/>
              <w:left w:val="none" w:color="000000" w:sz="4" w:space="0"/>
              <w:bottom w:val="single" w:color="000000" w:sz="8" w:space="0"/>
              <w:right w:val="single" w:color="000000" w:sz="8" w:space="0"/>
            </w:tcBorders>
            <w:tcW w:w="1660" w:type="dxa"/>
            <w:vAlign w:val="center"/>
            <w:textDirection w:val="lrTb"/>
            <w:noWrap w:val="false"/>
          </w:tcPr>
          <w:p>
            <w:pPr>
              <w:jc w:val="center"/>
              <w:spacing w:line="360" w:lineRule="auto"/>
              <w:widowControl/>
              <w:rPr>
                <w:rFonts w:ascii="宋体" w:hAnsi="宋体" w:cs="宋体"/>
                <w:color w:val="000000"/>
              </w:rPr>
            </w:pPr>
            <w:r>
              <w:rPr>
                <w:rFonts w:ascii="宋体" w:hAnsi="宋体" w:cs="宋体"/>
                <w:color w:val="000000"/>
              </w:rPr>
            </w:r>
            <w:r/>
          </w:p>
        </w:tc>
      </w:tr>
      <w:tr>
        <w:trPr>
          <w:jc w:val="center"/>
          <w:trHeight w:val="400"/>
        </w:trPr>
        <w:tc>
          <w:tcPr>
            <w:tcBorders>
              <w:top w:val="single" w:color="000000" w:sz="8" w:space="0"/>
              <w:left w:val="single" w:color="000000" w:sz="8"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8</w:t>
            </w:r>
            <w:r/>
          </w:p>
        </w:tc>
        <w:tc>
          <w:tcPr>
            <w:tcBorders>
              <w:top w:val="single" w:color="000000" w:sz="8" w:space="0"/>
              <w:left w:val="none" w:color="000000" w:sz="4" w:space="0"/>
              <w:bottom w:val="single" w:color="000000" w:sz="8" w:space="0"/>
              <w:right w:val="single" w:color="000000" w:sz="8" w:space="0"/>
            </w:tcBorders>
            <w:tcW w:w="159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防割手套</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8</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付</w:t>
            </w:r>
            <w:r/>
          </w:p>
        </w:tc>
        <w:tc>
          <w:tcPr>
            <w:tcBorders>
              <w:top w:val="none" w:color="000000" w:sz="4" w:space="0"/>
              <w:left w:val="none" w:color="000000" w:sz="4" w:space="0"/>
              <w:bottom w:val="single" w:color="000000" w:sz="8" w:space="0"/>
              <w:right w:val="single" w:color="000000" w:sz="8" w:space="0"/>
            </w:tcBorders>
            <w:tcW w:w="1235" w:type="dxa"/>
            <w:vAlign w:val="center"/>
            <w:textDirection w:val="lrTb"/>
            <w:noWrap w:val="false"/>
          </w:tcPr>
          <w:p>
            <w:pPr>
              <w:jc w:val="center"/>
              <w:spacing w:line="360" w:lineRule="auto"/>
              <w:widowControl/>
              <w:rPr>
                <w:rFonts w:ascii="宋体" w:hAnsi="宋体" w:cs="宋体"/>
                <w:color w:val="000000"/>
              </w:rPr>
            </w:pPr>
            <w:r>
              <w:rPr>
                <w:rFonts w:ascii="宋体" w:hAnsi="宋体" w:cs="宋体"/>
                <w:color w:val="000000"/>
              </w:rPr>
            </w:r>
            <w:r/>
          </w:p>
        </w:tc>
        <w:tc>
          <w:tcPr>
            <w:tcBorders>
              <w:top w:val="single" w:color="000000" w:sz="8" w:space="0"/>
              <w:left w:val="none" w:color="000000" w:sz="4" w:space="0"/>
              <w:bottom w:val="single" w:color="000000" w:sz="8" w:space="0"/>
              <w:right w:val="single" w:color="000000" w:sz="8" w:space="0"/>
            </w:tcBorders>
            <w:tcW w:w="1660" w:type="dxa"/>
            <w:vAlign w:val="center"/>
            <w:textDirection w:val="lrTb"/>
            <w:noWrap w:val="false"/>
          </w:tcPr>
          <w:p>
            <w:pPr>
              <w:jc w:val="center"/>
              <w:spacing w:line="360" w:lineRule="auto"/>
              <w:widowControl/>
              <w:rPr>
                <w:rFonts w:ascii="宋体" w:hAnsi="宋体" w:cs="宋体"/>
                <w:color w:val="000000"/>
              </w:rPr>
            </w:pPr>
            <w:r>
              <w:rPr>
                <w:rFonts w:ascii="宋体" w:hAnsi="宋体" w:cs="宋体"/>
                <w:color w:val="000000"/>
              </w:rPr>
            </w:r>
            <w:r/>
          </w:p>
        </w:tc>
      </w:tr>
      <w:tr>
        <w:trPr>
          <w:jc w:val="center"/>
          <w:trHeight w:val="400"/>
        </w:trPr>
        <w:tc>
          <w:tcPr>
            <w:gridSpan w:val="2"/>
            <w:tcBorders>
              <w:top w:val="single" w:color="000000" w:sz="8" w:space="0"/>
              <w:left w:val="single" w:color="000000" w:sz="8" w:space="0"/>
              <w:bottom w:val="single" w:color="000000" w:sz="8" w:space="0"/>
              <w:right w:val="single" w:color="000000" w:sz="8" w:space="0"/>
            </w:tcBorders>
            <w:tcW w:w="267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合  计</w:t>
            </w:r>
            <w:r/>
          </w:p>
        </w:tc>
        <w:tc>
          <w:tcPr>
            <w:gridSpan w:val="4"/>
            <w:tcBorders>
              <w:top w:val="none" w:color="000000" w:sz="4" w:space="0"/>
              <w:left w:val="none" w:color="000000" w:sz="4" w:space="0"/>
              <w:bottom w:val="single" w:color="000000" w:sz="8" w:space="0"/>
              <w:right w:val="single" w:color="000000" w:sz="8" w:space="0"/>
            </w:tcBorders>
            <w:tcW w:w="5055" w:type="dxa"/>
            <w:vAlign w:val="center"/>
            <w:textDirection w:val="lrTb"/>
            <w:noWrap w:val="false"/>
          </w:tcPr>
          <w:p>
            <w:pPr>
              <w:jc w:val="center"/>
              <w:spacing w:line="360" w:lineRule="auto"/>
              <w:widowControl/>
              <w:rPr>
                <w:rFonts w:ascii="宋体" w:hAnsi="宋体" w:cs="宋体"/>
                <w:color w:val="000000"/>
              </w:rPr>
            </w:pPr>
            <w:r>
              <w:rPr>
                <w:rFonts w:ascii="宋体" w:hAnsi="宋体" w:cs="宋体"/>
                <w:color w:val="000000"/>
              </w:rPr>
            </w:r>
            <w:r/>
          </w:p>
        </w:tc>
      </w:tr>
    </w:tbl>
    <w:p>
      <w:pPr>
        <w:rPr>
          <w:rFonts w:ascii="宋体" w:hAnsi="宋体" w:cs="宋体" w:eastAsiaTheme="minorEastAsia"/>
        </w:rPr>
      </w:pPr>
      <w:r>
        <w:rPr>
          <w:rFonts w:ascii="宋体" w:hAnsi="宋体" w:cs="宋体" w:eastAsiaTheme="minorEastAsia"/>
        </w:rPr>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（1）表中已注明的“数量”这一列的具体数字只可适当增加但不可减少。</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（2）表中已列明的项目不可删减。</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（3）投标人可根据服务需要自行增加相关耗材。</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（4）耗材费用，不接受赠送，</w:t>
      </w:r>
      <w:r>
        <w:rPr>
          <w:rFonts w:ascii="宋体" w:hAnsi="宋体" w:eastAsia="宋体" w:cs="宋体"/>
          <w:i/>
          <w:color w:val="000000"/>
          <w:sz w:val="24"/>
          <w:u w:val="single"/>
        </w:rPr>
        <w:t xml:space="preserve">不明显低于市场价。</w:t>
      </w:r>
      <w:r/>
    </w:p>
    <w:p>
      <w:pPr>
        <w:spacing w:line="360" w:lineRule="auto"/>
        <w:tabs>
          <w:tab w:val="left" w:pos="0" w:leader="none"/>
        </w:tabs>
        <w:rPr>
          <w:rFonts w:ascii="宋体" w:hAnsi="宋体" w:cs="宋体"/>
          <w:color w:val="000000"/>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w:t>
      </w:r>
      <w:r>
        <w:rPr>
          <w:rFonts w:hint="eastAsia" w:ascii="宋体" w:hAnsi="宋体" w:cs="宋体"/>
          <w:color w:val="000000"/>
          <w:sz w:val="24"/>
          <w:szCs w:val="24"/>
        </w:rPr>
        <w:t xml:space="preserve">本表数量为年采购量。</w:t>
      </w:r>
      <w:r/>
    </w:p>
    <w:p>
      <w:pPr>
        <w:pBdr>
          <w:top w:val="none" w:color="000000" w:sz="0" w:space="0"/>
          <w:left w:val="none" w:color="000000" w:sz="0" w:space="0"/>
          <w:bottom w:val="none" w:color="000000" w:sz="0" w:space="0"/>
          <w:right w:val="none" w:color="000000" w:sz="0" w:space="0"/>
        </w:pBdr>
      </w:pPr>
      <w:r/>
      <w:r/>
    </w:p>
    <w:p>
      <w:pPr>
        <w:rPr>
          <w:rFonts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bCs/>
          <w:color w:val="000000"/>
          <w:sz w:val="24"/>
          <w:szCs w:val="24"/>
        </w:rPr>
      </w:r>
      <w:r/>
    </w:p>
    <w:p>
      <w:pPr>
        <w:rPr>
          <w:rFonts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bCs/>
          <w:color w:val="000000"/>
          <w:sz w:val="24"/>
          <w:szCs w:val="24"/>
        </w:rPr>
      </w:r>
      <w:r/>
    </w:p>
    <w:p>
      <w:pPr>
        <w:rPr>
          <w:rFonts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bCs/>
          <w:color w:val="000000"/>
          <w:sz w:val="24"/>
          <w:szCs w:val="24"/>
        </w:rPr>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附件3       技术要求响应及偏离表（采购包号：**）</w:t>
      </w:r>
      <w:r/>
    </w:p>
    <w:tbl>
      <w:tblPr>
        <w:tblStyle w:val="748"/>
        <w:tblW w:w="0" w:type="auto"/>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7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附件3-1  证明材料1，证明材料2，……</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1.投标人需对技术要求（未加斜体下划线的非实质性要求）逐条做出明确响应。</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2.如果招标文件要求提供证明材料，投标人需将证明材料列于该表之下。</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附件4          商务要求响应及偏离表（采购包号：**）</w:t>
      </w:r>
      <w:r/>
    </w:p>
    <w:tbl>
      <w:tblPr>
        <w:tblStyle w:val="748"/>
        <w:tblW w:w="0" w:type="auto"/>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1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附件4-1  证明材料1，证明材料2，……</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1.投标人需对商务要求（未加斜体下划线的非实质性要求）逐条做出明确响应。</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2.如果招标文件要求提供证明材料，投标人需将证明材料列于该表之下。</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rPr>
          <w:rFonts w:ascii="仿宋" w:hAnsi="仿宋" w:eastAsia="仿宋" w:cs="仿宋"/>
          <w:b/>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rPr>
          <w:rFonts w:ascii="仿宋" w:hAnsi="仿宋" w:eastAsia="仿宋" w:cs="仿宋"/>
          <w:b/>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附件5                  法人授权书</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本授权书声明：____________（投标人名称）授权</w:t>
      </w:r>
      <w:r>
        <w:rPr>
          <w:rFonts w:eastAsia="Times New Roman"/>
          <w:color w:val="000000"/>
          <w:sz w:val="24"/>
        </w:rPr>
        <w:t xml:space="preserve">________________</w:t>
      </w:r>
      <w:r>
        <w:rPr>
          <w:rFonts w:ascii="宋体" w:hAnsi="宋体" w:cs="宋体"/>
          <w:color w:val="000000"/>
          <w:sz w:val="24"/>
        </w:rPr>
        <w:t xml:space="preserve">（被授权人的姓名）为我方就</w:t>
      </w:r>
      <w:r>
        <w:rPr>
          <w:rFonts w:eastAsia="Times New Roman"/>
          <w:color w:val="000000"/>
          <w:sz w:val="24"/>
          <w:u w:val="single"/>
        </w:rPr>
        <w:t xml:space="preserve">***</w:t>
      </w:r>
      <w:r>
        <w:rPr>
          <w:rFonts w:ascii="宋体" w:hAnsi="宋体" w:cs="宋体"/>
          <w:color w:val="000000"/>
          <w:sz w:val="24"/>
        </w:rPr>
        <w:t xml:space="preserve">号项目采购活动的合法代理人，以本单位名义全权处理一切与该项目采购有关的事务。</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本授权书于______年</w:t>
      </w:r>
      <w:r>
        <w:rPr>
          <w:rFonts w:eastAsia="Times New Roman"/>
          <w:color w:val="000000"/>
          <w:sz w:val="24"/>
        </w:rPr>
        <w:t xml:space="preserve">____</w:t>
      </w:r>
      <w:r>
        <w:rPr>
          <w:rFonts w:ascii="宋体" w:hAnsi="宋体" w:cs="宋体"/>
          <w:color w:val="000000"/>
          <w:sz w:val="24"/>
        </w:rPr>
        <w:t xml:space="preserve">月</w:t>
      </w:r>
      <w:r>
        <w:rPr>
          <w:rFonts w:eastAsia="Times New Roman"/>
          <w:color w:val="000000"/>
          <w:sz w:val="24"/>
        </w:rPr>
        <w:t xml:space="preserve">____</w:t>
      </w:r>
      <w:r>
        <w:rPr>
          <w:rFonts w:ascii="宋体" w:hAnsi="宋体" w:cs="宋体"/>
          <w:color w:val="000000"/>
          <w:sz w:val="24"/>
        </w:rPr>
        <w:t xml:space="preserve">日起生效，特此声明。</w:t>
      </w:r>
      <w:r/>
    </w:p>
    <w:p>
      <w:pPr>
        <w:ind w:firstLine="120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被授权人身份证号码：           </w:t>
      </w:r>
      <w:r/>
    </w:p>
    <w:p>
      <w:pPr>
        <w:ind w:firstLine="120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被授权人联系电话：（手机）           </w:t>
      </w:r>
      <w:r/>
    </w:p>
    <w:p>
      <w:pPr>
        <w:ind w:firstLine="1200"/>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被授权人电子邮箱：</w:t>
      </w:r>
      <w:r>
        <w:rPr>
          <w:rFonts w:ascii="宋体" w:hAnsi="宋体" w:cs="宋体"/>
          <w:color w:val="auto"/>
          <w:sz w:val="24"/>
          <w:u w:val="single"/>
        </w:rPr>
        <w:t xml:space="preserve">           </w:t>
      </w:r>
      <w:r/>
    </w:p>
    <w:p>
      <w:pPr>
        <w:ind w:firstLine="12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授权单位名称：</w:t>
      </w:r>
      <w:r>
        <w:rPr>
          <w:rFonts w:ascii="宋体" w:hAnsi="宋体" w:cs="宋体"/>
          <w:color w:val="000000"/>
          <w:sz w:val="24"/>
          <w:u w:val="single"/>
        </w:rPr>
        <w:t xml:space="preserve">（加盖CA电子公章）</w:t>
      </w:r>
      <w:r/>
    </w:p>
    <w:p>
      <w:pPr>
        <w:ind w:firstLine="120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单位地址：           </w:t>
      </w:r>
      <w:r/>
    </w:p>
    <w:p>
      <w:pPr>
        <w:ind w:firstLine="120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日期：           </w:t>
      </w:r>
      <w:r/>
    </w:p>
    <w:p>
      <w:pPr>
        <w:spacing w:before="260" w:after="260"/>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before="260" w:after="260"/>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before="260" w:after="260"/>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before="260" w:after="260"/>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before="260" w:after="260"/>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before="260" w:after="260"/>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before="260" w:after="260"/>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before="260" w:after="260"/>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before="260" w:after="260"/>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before="260" w:after="260"/>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before="260" w:after="260"/>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before="260" w:after="260"/>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before="260" w:after="260"/>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before="260" w:after="260"/>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before="260" w:after="260"/>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before="260" w:after="260"/>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before="260" w:after="26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附件6                  </w:t>
      </w:r>
      <w:r>
        <w:rPr>
          <w:rFonts w:hint="eastAsia" w:ascii="宋体" w:hAnsi="宋体" w:cs="宋体"/>
          <w:b/>
          <w:color w:val="000000"/>
          <w:sz w:val="24"/>
        </w:rPr>
        <w:t xml:space="preserve">  </w:t>
      </w:r>
      <w:r>
        <w:rPr>
          <w:rFonts w:ascii="宋体" w:hAnsi="宋体" w:cs="宋体"/>
          <w:b/>
          <w:color w:val="000000"/>
          <w:sz w:val="24"/>
        </w:rPr>
        <w:t xml:space="preserve">投标函</w:t>
      </w:r>
      <w:r/>
    </w:p>
    <w:p>
      <w:pPr>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致：扬州市公共资源交易中心：</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根据贵方的</w:t>
      </w:r>
      <w:r>
        <w:rPr>
          <w:rFonts w:ascii="宋体" w:hAnsi="宋体" w:cs="宋体"/>
          <w:color w:val="000000"/>
          <w:sz w:val="24"/>
          <w:u w:val="single"/>
        </w:rPr>
        <w:t xml:space="preserve">****</w:t>
      </w:r>
      <w:r>
        <w:rPr>
          <w:rFonts w:ascii="宋体" w:hAnsi="宋体" w:cs="宋体"/>
          <w:color w:val="000000"/>
          <w:sz w:val="24"/>
        </w:rPr>
        <w:t xml:space="preserve">号招标文件，正式授权下述签字人_____(姓名)代表我方_______（投标人的名称），全权处理本次项目投标的有关事宜。</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据此函，__________签字人兹宣布同意如下：</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1.按招标文件规定的各项要求，向买方提供所需货物（包含与货物相关的服务）。</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2.我们完全理解贵方不一定将合同授予最低报价的投标人。</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3.我们已详细审核全部招标文件及其有效补充文件，我们知道必须放弃提出含糊不清或误解问题的权利。</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4.我们同意从规定的开标日期起遵循本投标文件，并在规定的投标有效期期满之前均具有约束力。</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5.同意向贵方提供贵方可能另外要求的与投标有关的任何证据或资料，并保证我方已提供和将要提供的文件是真实的、准确的。</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6.一旦我方中标,我方将根据招标文件的规定，严格履行合同的责任和义务,并保证在招标文件规定的时间完成项目，交付买方验收、使用。</w:t>
      </w:r>
      <w:r/>
    </w:p>
    <w:p>
      <w:pPr>
        <w:ind w:left="425"/>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7.与本投标有关的正式通讯地址为：</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邮编：</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电话：</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传真：</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投标人开户行：</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账号： </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日期：______年____月____日</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ind w:firstLine="200"/>
        <w:spacing w:line="45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附件7           主要标的信息（中标后将公示）</w:t>
      </w:r>
      <w:r/>
    </w:p>
    <w:p>
      <w:pPr>
        <w:spacing w:after="31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投标人全称：</w:t>
      </w:r>
      <w:r/>
    </w:p>
    <w:tbl>
      <w:tblPr>
        <w:tblStyle w:val="748"/>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433"/>
        <w:gridCol w:w="329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3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6"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名称：</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品牌（如有）：</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规格型号：</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数量：</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名称：</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服务范围：</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服务要求：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服务时间：</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服务标准：</w:t>
            </w:r>
            <w:r/>
          </w:p>
        </w:tc>
      </w:tr>
    </w:tbl>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rPr>
          <w:rFonts w:ascii="仿宋" w:hAnsi="仿宋" w:eastAsia="仿宋" w:cs="仿宋"/>
          <w:b/>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rPr>
          <w:rFonts w:ascii="仿宋" w:hAnsi="仿宋" w:eastAsia="仿宋" w:cs="仿宋"/>
          <w:b/>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附件8</w:t>
      </w:r>
      <w:r/>
    </w:p>
    <w:p>
      <w:pPr>
        <w:ind w:firstLine="120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具备履行合同所必需的设备和专业技术能力的书面声明</w:t>
      </w:r>
      <w:r/>
    </w:p>
    <w:p>
      <w:pPr>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主要设备有：</w:t>
      </w:r>
      <w:r>
        <w:rPr>
          <w:rFonts w:ascii="宋体" w:hAnsi="宋体" w:cs="宋体"/>
          <w:color w:val="000000"/>
          <w:sz w:val="24"/>
          <w:u w:val="single"/>
        </w:rPr>
        <w:t xml:space="preserve">           </w:t>
      </w:r>
      <w:r>
        <w:rPr>
          <w:rFonts w:ascii="宋体" w:hAnsi="宋体" w:cs="宋体"/>
          <w:color w:val="000000"/>
          <w:sz w:val="24"/>
        </w:rPr>
        <w:t xml:space="preserve">。</w:t>
      </w:r>
      <w:r/>
    </w:p>
    <w:p>
      <w:pPr>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主要专业技术能力有：</w:t>
      </w:r>
      <w:r>
        <w:rPr>
          <w:rFonts w:ascii="宋体" w:hAnsi="宋体" w:cs="宋体"/>
          <w:color w:val="000000"/>
          <w:sz w:val="24"/>
          <w:u w:val="single"/>
        </w:rPr>
        <w:t xml:space="preserve">           </w:t>
      </w:r>
      <w:r>
        <w:rPr>
          <w:rFonts w:ascii="宋体" w:hAnsi="宋体" w:cs="宋体"/>
          <w:color w:val="000000"/>
          <w:sz w:val="24"/>
        </w:rPr>
        <w:t xml:space="preserve">。</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附件9</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left="48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参加政府采购活动前 3 年内在经营活动中没有重大违法记录的书面声明</w:t>
      </w:r>
      <w:r/>
    </w:p>
    <w:p>
      <w:pPr>
        <w:jc w:val="center"/>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9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附件10            供应商信用承诺函</w:t>
      </w:r>
      <w:r/>
    </w:p>
    <w:p>
      <w:pPr>
        <w:spacing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承诺主体名称：</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统一社会信用代码：</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一、对提供给注册登记部门、行业管理部门、司法部门、行业组织以及在政府采购活动中提交的所有资料的合法性、真实性、准确性和有效性负责；</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三、严格依法开展生产经营活动，主动接受行业监管，自愿接受依法开展的日常检查；违法失信经营后将自愿接受约束和惩戒，并依法承担相应责任；</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四、自觉接受行政管理部门、行业组织、社会公众、新闻舆论的监督；</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五、自觉做到自我约束、自我管理，不制假售假、商标侵权、虚假宣传、违约毁约、恶意逃债、偷税漏税、垄断和不正当竞争，维护经营者、消费者的合法权益；</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六、提出政府采购质疑和投诉坚持依法依规、诚实信用原则，在全国范围12个月内没有三次以上查无实据的政府采购投诉；</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七、严格遵守信用信息公示相关规定，向社会公示信用信息；</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八、在“信用中国”和“中国政府采购网”网站中无严重失信记录；</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十、本承诺书自签订之日起生效。</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（注：法定代表人或负责人、主体名称发生变更的应当重新做出承诺。）</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承诺单位（加盖CA电子公章）：    </w:t>
      </w:r>
      <w:r/>
    </w:p>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年  月  日</w:t>
      </w:r>
      <w:r/>
    </w:p>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361"/>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after="361"/>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附件11        中小企业声明函（服务类项目）（采购包号：**）</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本公司（联合体）郑重声明，根据《政府采购促进中小企业发展管理办法》(财库[2020]46号)的规定，本公司（联合体）参加扬州市公共资源交易中心组织的</w:t>
      </w:r>
      <w:r>
        <w:rPr>
          <w:rFonts w:ascii="宋体" w:hAnsi="宋体" w:cs="宋体"/>
          <w:color w:val="000000"/>
          <w:sz w:val="24"/>
          <w:u w:val="single"/>
        </w:rPr>
        <w:t xml:space="preserve">（项目名称）（采购包号：**）</w:t>
      </w:r>
      <w:r>
        <w:rPr>
          <w:rFonts w:ascii="宋体" w:hAnsi="宋体" w:cs="宋体"/>
          <w:color w:val="000000"/>
          <w:sz w:val="24"/>
        </w:rPr>
        <w:t xml:space="preserve">的采购活动，服务全部由符合政策的中小企业承接。相关企业（含联合体中的中小企业、签订采购包意向协议的中小企业）的具体情况如下：</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ascii="宋体" w:hAnsi="宋体" w:cs="宋体"/>
          <w:color w:val="000000"/>
          <w:sz w:val="24"/>
          <w:u w:val="single"/>
        </w:rPr>
        <w:t xml:space="preserve">（标的名称）</w:t>
      </w:r>
      <w:r>
        <w:rPr>
          <w:rFonts w:ascii="宋体" w:hAnsi="宋体" w:cs="宋体"/>
          <w:i/>
          <w:color w:val="000000"/>
          <w:sz w:val="24"/>
        </w:rPr>
        <w:t xml:space="preserve">，</w:t>
      </w:r>
      <w:r>
        <w:rPr>
          <w:rFonts w:ascii="宋体" w:hAnsi="宋体" w:cs="宋体"/>
          <w:color w:val="000000"/>
          <w:sz w:val="24"/>
        </w:rPr>
        <w:t xml:space="preserve">属于</w:t>
      </w:r>
      <w:r>
        <w:rPr>
          <w:rFonts w:ascii="宋体" w:hAnsi="宋体" w:cs="宋体"/>
          <w:color w:val="ff0000"/>
          <w:sz w:val="24"/>
          <w:u w:val="single"/>
        </w:rPr>
        <w:t xml:space="preserve">（</w:t>
      </w:r>
      <w:r>
        <w:rPr>
          <w:rFonts w:hint="eastAsia" w:ascii="宋体" w:hAnsi="宋体" w:cs="宋体"/>
          <w:color w:val="ff0000"/>
          <w:sz w:val="24"/>
          <w:u w:val="single"/>
        </w:rPr>
        <w:t xml:space="preserve">物业管理</w:t>
      </w:r>
      <w:r>
        <w:rPr>
          <w:rFonts w:ascii="宋体" w:hAnsi="宋体" w:cs="宋体"/>
          <w:color w:val="ff0000"/>
          <w:sz w:val="24"/>
          <w:u w:val="single"/>
        </w:rPr>
        <w:t xml:space="preserve">）</w:t>
      </w:r>
      <w:r>
        <w:rPr>
          <w:rFonts w:ascii="宋体" w:hAnsi="宋体" w:cs="宋体"/>
          <w:color w:val="000000"/>
          <w:sz w:val="24"/>
        </w:rPr>
        <w:t xml:space="preserve">行业；承接企业为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w:t>
      </w:r>
      <w:r>
        <w:rPr>
          <w:rFonts w:ascii="宋体" w:hAnsi="宋体" w:cs="宋体"/>
          <w:color w:val="000000"/>
          <w:sz w:val="24"/>
          <w:vertAlign w:val="superscript"/>
        </w:rPr>
        <w:t xml:space="preserve">1</w:t>
      </w:r>
      <w:r>
        <w:rPr>
          <w:rFonts w:ascii="宋体" w:hAnsi="宋体" w:cs="宋体"/>
          <w:color w:val="000000"/>
          <w:sz w:val="24"/>
        </w:rPr>
        <w:t xml:space="preserve">，属于</w:t>
      </w:r>
      <w:r>
        <w:rPr>
          <w:rFonts w:ascii="宋体" w:hAnsi="宋体" w:cs="宋体"/>
          <w:color w:val="000000"/>
          <w:sz w:val="24"/>
          <w:u w:val="single"/>
        </w:rPr>
        <w:t xml:space="preserve">（□中型企业 □小型企业 □微型企业）；</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ascii="宋体" w:hAnsi="宋体" w:cs="宋体"/>
          <w:color w:val="000000"/>
          <w:sz w:val="24"/>
          <w:u w:val="single"/>
        </w:rPr>
        <w:t xml:space="preserve">（标的名称）</w:t>
      </w:r>
      <w:r>
        <w:rPr>
          <w:rFonts w:ascii="宋体" w:hAnsi="宋体" w:cs="宋体"/>
          <w:i/>
          <w:color w:val="000000"/>
          <w:sz w:val="24"/>
        </w:rPr>
        <w:t xml:space="preserve">，</w:t>
      </w:r>
      <w:r>
        <w:rPr>
          <w:rFonts w:ascii="宋体" w:hAnsi="宋体" w:cs="宋体"/>
          <w:color w:val="000000"/>
          <w:sz w:val="24"/>
        </w:rPr>
        <w:t xml:space="preserve">属于</w:t>
      </w:r>
      <w:r>
        <w:rPr>
          <w:rFonts w:ascii="宋体" w:hAnsi="宋体" w:cs="宋体"/>
          <w:color w:val="ff0000"/>
          <w:sz w:val="24"/>
          <w:u w:val="single"/>
        </w:rPr>
        <w:t xml:space="preserve">（</w:t>
      </w:r>
      <w:r>
        <w:rPr>
          <w:rFonts w:hint="eastAsia" w:ascii="宋体" w:hAnsi="宋体" w:cs="宋体"/>
          <w:color w:val="ff0000"/>
          <w:sz w:val="24"/>
          <w:u w:val="single"/>
        </w:rPr>
        <w:t xml:space="preserve">物业管理</w:t>
      </w:r>
      <w:r>
        <w:rPr>
          <w:rFonts w:ascii="宋体" w:hAnsi="宋体" w:cs="宋体"/>
          <w:color w:val="ff0000"/>
          <w:sz w:val="24"/>
          <w:u w:val="single"/>
        </w:rPr>
        <w:t xml:space="preserve">）</w:t>
      </w:r>
      <w:r>
        <w:rPr>
          <w:rFonts w:ascii="宋体" w:hAnsi="宋体" w:cs="宋体"/>
          <w:color w:val="000000"/>
          <w:sz w:val="24"/>
        </w:rPr>
        <w:t xml:space="preserve">行业；承接企业为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w:t>
      </w:r>
      <w:r>
        <w:rPr>
          <w:rFonts w:ascii="宋体" w:hAnsi="宋体" w:cs="宋体"/>
          <w:color w:val="000000"/>
          <w:sz w:val="24"/>
          <w:vertAlign w:val="superscript"/>
        </w:rPr>
        <w:t xml:space="preserve">1</w:t>
      </w:r>
      <w:r>
        <w:rPr>
          <w:rFonts w:ascii="宋体" w:hAnsi="宋体" w:cs="宋体"/>
          <w:color w:val="000000"/>
          <w:sz w:val="24"/>
        </w:rPr>
        <w:t xml:space="preserve">，属于</w:t>
      </w:r>
      <w:r>
        <w:rPr>
          <w:rFonts w:ascii="宋体" w:hAnsi="宋体" w:cs="宋体"/>
          <w:color w:val="000000"/>
          <w:sz w:val="24"/>
          <w:u w:val="single"/>
        </w:rPr>
        <w:t xml:space="preserve">（□中型企业 □小型企业 □微型企业）；</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以上企业，不属于大企业的分支机构，不存在控股股东为大企业的情形，也不存在与大企业的负责人为同一人的情形。</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本企业对上述声明内容的真实性负责。如有虚假，将依法承担相应责任</w:t>
      </w:r>
      <w:r/>
    </w:p>
    <w:p>
      <w:pPr>
        <w:ind w:right="7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ind w:right="180" w:firstLine="360"/>
        <w:jc w:val="righ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企业名称（加盖CA电子公章）：</w:t>
      </w:r>
      <w:r/>
    </w:p>
    <w:p>
      <w:pPr>
        <w:ind w:right="480" w:firstLine="54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  期：</w:t>
      </w:r>
      <w:r/>
    </w:p>
    <w:p>
      <w:pPr>
        <w:ind w:firstLine="24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1.从业人员、营业收入、资产总额填报上一年度数据，无上一年度数据的新成立企业可不填报。</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3.供应商应对照《工业和信息化部、国家统计局、国家发展和改革委员会、财政</w:t>
      </w:r>
      <w:r/>
    </w:p>
    <w:p>
      <w:pPr>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 </w:t>
      </w:r>
      <w:r/>
    </w:p>
    <w:p>
      <w:pPr>
        <w:jc w:val="center"/>
        <w:pBdr>
          <w:top w:val="none" w:color="000000" w:sz="0" w:space="0"/>
          <w:left w:val="none" w:color="000000" w:sz="0" w:space="0"/>
          <w:bottom w:val="none" w:color="000000" w:sz="0" w:space="0"/>
          <w:right w:val="none" w:color="000000" w:sz="0" w:space="0"/>
        </w:pBdr>
      </w:pPr>
      <w:r>
        <w:rPr>
          <w:rFonts w:eastAsia="Times New Roman"/>
          <w:b/>
          <w:color w:val="0070c0"/>
        </w:rPr>
        <w:t xml:space="preserve"> </w:t>
      </w:r>
      <w:r/>
    </w:p>
    <w:p>
      <w:pPr>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中小微企业划型标准如下：</w:t>
      </w:r>
      <w:r/>
    </w:p>
    <w:tbl>
      <w:tblPr>
        <w:tblStyle w:val="74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16"/>
        <w:gridCol w:w="1417"/>
        <w:gridCol w:w="1276"/>
        <w:gridCol w:w="1134"/>
        <w:gridCol w:w="1701"/>
        <w:gridCol w:w="1559"/>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6000≤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300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资产总额（</w:t>
            </w:r>
            <w:r>
              <w:rPr>
                <w:rFonts w:ascii="宋体" w:hAnsi="宋体" w:cs="宋体"/>
                <w:b/>
                <w:color w:val="666666"/>
              </w:rPr>
              <w:t xml:space="preserve">Z</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Z＜</w:t>
            </w:r>
            <w:r>
              <w:rPr>
                <w:rFonts w:ascii="宋体" w:hAnsi="宋体" w:cs="宋体"/>
                <w:b/>
                <w:color w:val="666666"/>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5</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firstLine="420"/>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资产总额（</w:t>
            </w:r>
            <w:r>
              <w:rPr>
                <w:rFonts w:ascii="宋体" w:hAnsi="宋体" w:cs="宋体"/>
                <w:b/>
                <w:color w:val="666666"/>
              </w:rPr>
              <w:t xml:space="preserve">Z</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资产总额（</w:t>
            </w:r>
            <w:r>
              <w:rPr>
                <w:rFonts w:ascii="宋体" w:hAnsi="宋体" w:cs="宋体"/>
                <w:b/>
                <w:color w:val="666666"/>
              </w:rPr>
              <w:t xml:space="preserve">Z</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8000≤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bl>
    <w:p>
      <w:pPr>
        <w:ind w:firstLine="810"/>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附件12     残疾人福利性单位声明函（服务类项目）（采购包号：**）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本单位对上述声明的真实性负责。如有虚假，将依法承担相应责任。</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1.专门面向中小微型企业采购的项目，供应商为残疾人福利性单位并提供服务的必须提供此声明函，否则将不能通过资格审查。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2.非专门面向中小微型企业采购的项目，供应商如不提供此声明函，价格将不做相应扣除。</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3.中标/成交供应商为残疾人福利性单位的，此声明函将随中标/成交结果同时公告，接受社会监督</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供应商全称（加盖CA电子公章）：</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日期：</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rPr>
          <w:rFonts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附件13          联合体协议（参考格式）（采购包号：**）</w:t>
      </w:r>
      <w:r/>
    </w:p>
    <w:p>
      <w:pPr>
        <w:spacing w:line="400" w:lineRule="atLeast"/>
        <w:pBdr>
          <w:top w:val="none" w:color="000000" w:sz="0" w:space="0"/>
          <w:left w:val="none" w:color="000000" w:sz="0" w:space="0"/>
          <w:bottom w:val="none" w:color="000000" w:sz="0" w:space="0"/>
          <w:right w:val="none" w:color="000000" w:sz="0" w:space="0"/>
        </w:pBdr>
      </w:pPr>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（联合体中各供应商全称）在此达成以下协议：</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1、我们</w:t>
      </w:r>
      <w:r>
        <w:rPr>
          <w:rFonts w:ascii="宋体" w:hAnsi="宋体" w:cs="宋体"/>
          <w:color w:val="000000"/>
          <w:sz w:val="24"/>
          <w:u w:val="single"/>
        </w:rPr>
        <w:t xml:space="preserve"> （供应商1），（供应商2） ，……</w:t>
      </w:r>
      <w:r>
        <w:rPr>
          <w:rFonts w:ascii="宋体" w:hAnsi="宋体" w:cs="宋体"/>
          <w:color w:val="000000"/>
          <w:sz w:val="24"/>
        </w:rPr>
        <w:t xml:space="preserve">自愿组成联合体，参加扬州市公共资源交易中心组织的采购编号为</w:t>
      </w:r>
      <w:r>
        <w:rPr>
          <w:rFonts w:ascii="宋体" w:hAnsi="宋体" w:cs="宋体"/>
          <w:color w:val="000000"/>
          <w:sz w:val="24"/>
          <w:u w:val="single"/>
        </w:rPr>
        <w:t xml:space="preserve">（编号全称），（项目全称）</w:t>
      </w:r>
      <w:r>
        <w:rPr>
          <w:rFonts w:ascii="宋体" w:hAnsi="宋体" w:cs="宋体"/>
          <w:color w:val="000000"/>
          <w:sz w:val="24"/>
        </w:rPr>
        <w:t xml:space="preserve">项目（采购包号：**）的政府采购活动，我联合体指定</w:t>
      </w:r>
      <w:r>
        <w:rPr>
          <w:rFonts w:ascii="宋体" w:hAnsi="宋体" w:cs="宋体"/>
          <w:color w:val="000000"/>
          <w:sz w:val="24"/>
          <w:u w:val="single"/>
        </w:rPr>
        <w:t xml:space="preserve">（供应商*）</w:t>
      </w:r>
      <w:r>
        <w:rPr>
          <w:rFonts w:ascii="宋体" w:hAnsi="宋体" w:cs="宋体"/>
          <w:color w:val="000000"/>
          <w:sz w:val="24"/>
        </w:rPr>
        <w:t xml:space="preserve">为牵头单位（牵头单位必须为联合体成员）。</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3、其中</w:t>
      </w:r>
      <w:r>
        <w:rPr>
          <w:rFonts w:ascii="宋体" w:hAnsi="宋体" w:cs="宋体"/>
          <w:color w:val="000000"/>
          <w:sz w:val="24"/>
          <w:u w:val="single"/>
        </w:rPr>
        <w:t xml:space="preserve">      </w:t>
      </w:r>
      <w:r>
        <w:rPr>
          <w:rFonts w:ascii="宋体" w:hAnsi="宋体" w:cs="宋体"/>
          <w:color w:val="000000"/>
          <w:sz w:val="24"/>
        </w:rPr>
        <w:t xml:space="preserve">（小型、微型企业/残疾人福利性单位/监狱企业全称）为</w:t>
      </w:r>
      <w:r>
        <w:rPr>
          <w:rFonts w:ascii="宋体" w:hAnsi="宋体" w:cs="宋体"/>
          <w:color w:val="000000"/>
          <w:sz w:val="24"/>
          <w:u w:val="single"/>
        </w:rPr>
        <w:t xml:space="preserve">    </w:t>
      </w:r>
      <w:r>
        <w:rPr>
          <w:rFonts w:ascii="宋体" w:hAnsi="宋体" w:cs="宋体"/>
          <w:color w:val="000000"/>
          <w:sz w:val="24"/>
        </w:rPr>
        <w:t xml:space="preserve">（小型、微型企业/残疾人福利性单位/监狱企业）企业，且我们约定该公司/单位所承担的合同金额将占本项目合同总金额的</w:t>
      </w:r>
      <w:r>
        <w:rPr>
          <w:rFonts w:ascii="宋体" w:hAnsi="宋体" w:cs="宋体"/>
          <w:color w:val="000000"/>
          <w:sz w:val="24"/>
          <w:u w:val="single"/>
        </w:rPr>
        <w:t xml:space="preserve">  </w:t>
      </w:r>
      <w:r>
        <w:rPr>
          <w:rFonts w:ascii="宋体" w:hAnsi="宋体" w:cs="宋体"/>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6"/>
        <w:jc w:val="right"/>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联合体中各供应商全称（公章）：     </w:t>
      </w:r>
      <w:r/>
    </w:p>
    <w:p>
      <w:pPr>
        <w:ind w:firstLine="64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hint="eastAsia" w:ascii="宋体" w:hAnsi="宋体" w:cs="宋体"/>
          <w:color w:val="000000"/>
          <w:sz w:val="24"/>
          <w:lang w:val="en-US" w:eastAsia="zh-CN"/>
        </w:rPr>
        <w:t xml:space="preserve">                                 </w:t>
      </w:r>
      <w:r>
        <w:rPr>
          <w:rFonts w:ascii="宋体" w:hAnsi="宋体" w:cs="宋体"/>
          <w:color w:val="000000"/>
          <w:sz w:val="24"/>
        </w:rPr>
        <w:t xml:space="preserve"> 日期：</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备注：本招标文件中要求加盖CA电子签章的地方，仅需加盖牵头单位的CA电子签章。</w:t>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spacing w:after="361"/>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附件14          实质性要求响应及偏离表（采购包号：**）</w:t>
      </w:r>
      <w:r/>
    </w:p>
    <w:tbl>
      <w:tblPr>
        <w:tblStyle w:val="74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9"/>
        <w:gridCol w:w="2837"/>
        <w:gridCol w:w="2551"/>
        <w:gridCol w:w="126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37"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技术要求和商务要求中的实质性要求</w:t>
            </w:r>
            <w:r>
              <w:rPr>
                <w:rFonts w:ascii="宋体" w:hAnsi="宋体" w:cs="宋体"/>
                <w:b/>
                <w:color w:val="ff0000"/>
                <w:sz w:val="24"/>
              </w:rPr>
              <w:t xml:space="preserve">（</w:t>
            </w:r>
            <w:r>
              <w:rPr>
                <w:rFonts w:ascii="宋体" w:hAnsi="宋体" w:cs="宋体"/>
                <w:b/>
                <w:i/>
                <w:color w:val="ff0000"/>
                <w:sz w:val="24"/>
                <w:u w:val="single"/>
              </w:rPr>
              <w:t xml:space="preserve">斜体且有下划线部分</w:t>
            </w:r>
            <w:r>
              <w:rPr>
                <w:rFonts w:ascii="宋体" w:hAnsi="宋体" w:cs="宋体"/>
                <w:b/>
                <w:color w:val="ff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附件14-1 证明材料1，证明材料2，……</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1.投标人必须对技术要求和商务要求中的实质性要求</w:t>
      </w:r>
      <w:r>
        <w:rPr>
          <w:rFonts w:ascii="宋体" w:hAnsi="宋体" w:cs="宋体"/>
          <w:b/>
          <w:color w:val="ff0000"/>
          <w:sz w:val="24"/>
        </w:rPr>
        <w:t xml:space="preserve">（</w:t>
      </w:r>
      <w:r>
        <w:rPr>
          <w:rFonts w:ascii="宋体" w:hAnsi="宋体" w:cs="宋体"/>
          <w:b/>
          <w:i/>
          <w:color w:val="ff0000"/>
          <w:sz w:val="24"/>
          <w:u w:val="single"/>
        </w:rPr>
        <w:t xml:space="preserve">斜体且有下划线部分</w:t>
      </w:r>
      <w:r>
        <w:rPr>
          <w:rFonts w:ascii="宋体" w:hAnsi="宋体" w:cs="宋体"/>
          <w:b/>
          <w:color w:val="ff0000"/>
          <w:sz w:val="24"/>
        </w:rPr>
        <w:t xml:space="preserve">）</w:t>
      </w:r>
      <w:r>
        <w:rPr>
          <w:rFonts w:ascii="宋体" w:hAnsi="宋体" w:cs="宋体"/>
          <w:color w:val="000000"/>
          <w:sz w:val="24"/>
        </w:rPr>
        <w:t xml:space="preserve">逐条做出明确响应。</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2.如果招标文件要求提供证明材料，投标人必须将证明材料列于该表之下。</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3.投标人未对实质性要求逐条作出明确响应的，或未按招标文件要求提供证明材料的，该采购包作无效投标处理。</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rPr>
          <w:rFonts w:ascii="宋体" w:hAnsi="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cs="宋体"/>
          <w:b/>
          <w:color w:val="000000"/>
          <w:sz w:val="32"/>
        </w:rPr>
      </w:r>
      <w:r/>
    </w:p>
    <w:p>
      <w:pPr>
        <w:jc w:val="center"/>
        <w:rPr>
          <w:rFonts w:ascii="宋体" w:hAnsi="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cs="宋体"/>
          <w:b/>
          <w:color w:val="000000"/>
          <w:sz w:val="32"/>
        </w:rPr>
      </w:r>
      <w:r/>
    </w:p>
    <w:p>
      <w:pPr>
        <w:jc w:val="center"/>
        <w:rPr>
          <w:rFonts w:ascii="宋体" w:hAnsi="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cs="宋体"/>
          <w:b/>
          <w:color w:val="000000"/>
          <w:sz w:val="32"/>
        </w:rPr>
      </w:r>
      <w:r/>
    </w:p>
    <w:p>
      <w:pPr>
        <w:jc w:val="center"/>
        <w:rPr>
          <w:rFonts w:ascii="宋体" w:hAnsi="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cs="宋体"/>
          <w:b/>
          <w:color w:val="000000"/>
          <w:sz w:val="32"/>
        </w:rPr>
      </w:r>
      <w:r/>
    </w:p>
    <w:p>
      <w:pPr>
        <w:jc w:val="center"/>
        <w:rPr>
          <w:rFonts w:ascii="宋体" w:hAnsi="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cs="宋体"/>
          <w:b/>
          <w:color w:val="000000"/>
          <w:sz w:val="32"/>
        </w:rPr>
      </w:r>
      <w:r/>
    </w:p>
    <w:p>
      <w:pPr>
        <w:jc w:val="center"/>
        <w:rPr>
          <w:rFonts w:ascii="宋体" w:hAnsi="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cs="宋体"/>
          <w:b/>
          <w:color w:val="000000"/>
          <w:sz w:val="32"/>
        </w:rPr>
      </w:r>
      <w:r/>
    </w:p>
    <w:p>
      <w:pPr>
        <w:jc w:val="center"/>
        <w:rPr>
          <w:rFonts w:ascii="宋体" w:hAnsi="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cs="宋体"/>
          <w:b/>
          <w:color w:val="000000"/>
          <w:sz w:val="32"/>
        </w:rPr>
      </w:r>
      <w:r/>
    </w:p>
    <w:p>
      <w:pPr>
        <w:jc w:val="center"/>
        <w:rPr>
          <w:rFonts w:ascii="宋体" w:hAnsi="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cs="宋体"/>
          <w:b/>
          <w:color w:val="000000"/>
          <w:sz w:val="32"/>
        </w:rPr>
      </w:r>
      <w:r/>
    </w:p>
    <w:p>
      <w:pPr>
        <w:jc w:val="center"/>
        <w:rPr>
          <w:rFonts w:ascii="宋体" w:hAnsi="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cs="宋体"/>
          <w:b/>
          <w:color w:val="000000"/>
          <w:sz w:val="32"/>
        </w:rPr>
      </w:r>
      <w:r/>
    </w:p>
    <w:p>
      <w:pPr>
        <w:jc w:val="left"/>
        <w:rPr>
          <w:rFonts w:ascii="宋体" w:hAnsi="宋体" w:cs="宋体"/>
          <w:b/>
          <w:bCs/>
          <w:color w:val="000000"/>
          <w:sz w:val="32"/>
          <w:szCs w:val="32"/>
        </w:rPr>
        <w:pBdr>
          <w:top w:val="none" w:color="000000" w:sz="0" w:space="0"/>
          <w:left w:val="none" w:color="000000" w:sz="0" w:space="0"/>
          <w:bottom w:val="none" w:color="000000" w:sz="0" w:space="0"/>
          <w:right w:val="none" w:color="000000" w:sz="0" w:space="0"/>
        </w:pBdr>
      </w:pPr>
      <w:r>
        <w:rPr>
          <w:rFonts w:ascii="宋体" w:hAnsi="宋体" w:cs="宋体"/>
          <w:b/>
          <w:bCs/>
          <w:color w:val="000000"/>
          <w:sz w:val="32"/>
          <w:szCs w:val="32"/>
        </w:rPr>
      </w:r>
      <w:r/>
    </w:p>
    <w:p>
      <w:pPr>
        <w:jc w:val="left"/>
        <w:rPr>
          <w:rFonts w:ascii="宋体" w:hAnsi="宋体" w:cs="宋体"/>
          <w:b/>
          <w:bCs/>
          <w:color w:val="000000"/>
          <w:sz w:val="32"/>
          <w:szCs w:val="32"/>
        </w:rPr>
        <w:pBdr>
          <w:top w:val="none" w:color="000000" w:sz="0" w:space="0"/>
          <w:left w:val="none" w:color="000000" w:sz="0" w:space="0"/>
          <w:bottom w:val="none" w:color="000000" w:sz="0" w:space="0"/>
          <w:right w:val="none" w:color="000000" w:sz="0" w:space="0"/>
        </w:pBdr>
      </w:pPr>
      <w:r>
        <w:rPr>
          <w:rFonts w:ascii="宋体" w:hAnsi="宋体" w:cs="宋体"/>
          <w:b/>
          <w:bCs/>
          <w:color w:val="000000"/>
          <w:sz w:val="32"/>
          <w:szCs w:val="32"/>
        </w:rPr>
      </w:r>
      <w:r/>
    </w:p>
    <w:p>
      <w:pPr>
        <w:jc w:val="center"/>
        <w:rPr>
          <w:rFonts w:ascii="宋体" w:hAnsi="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cs="宋体"/>
          <w:b/>
          <w:color w:val="000000"/>
          <w:sz w:val="32"/>
        </w:rPr>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质疑函范本</w:t>
      </w:r>
      <w:r/>
    </w:p>
    <w:p>
      <w:pPr>
        <w:spacing w:before="31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一、质疑供应商基本信息</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质疑供应商：</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rPr>
          <w:rFonts w:ascii="宋体" w:hAnsi="宋体" w:cs="宋体"/>
          <w:color w:val="000000"/>
          <w:sz w:val="24"/>
          <w:u w:val="single"/>
        </w:rPr>
        <w:t xml:space="preserve">           </w:t>
      </w:r>
      <w:r>
        <w:rPr>
          <w:rFonts w:ascii="宋体" w:hAnsi="宋体" w:cs="宋体"/>
          <w:color w:val="000000"/>
          <w:sz w:val="24"/>
        </w:rPr>
        <w:t xml:space="preserve">邮编：</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联系人：</w:t>
      </w:r>
      <w:r>
        <w:rPr>
          <w:rFonts w:ascii="宋体" w:hAnsi="宋体" w:cs="宋体"/>
          <w:color w:val="000000"/>
          <w:sz w:val="24"/>
          <w:u w:val="single"/>
        </w:rPr>
        <w:t xml:space="preserve">           </w:t>
      </w:r>
      <w:r>
        <w:rPr>
          <w:rFonts w:ascii="宋体" w:hAnsi="宋体" w:cs="宋体"/>
          <w:color w:val="000000"/>
          <w:sz w:val="24"/>
        </w:rPr>
        <w:t xml:space="preserve">联系电话</w:t>
      </w:r>
      <w:r>
        <w:rPr>
          <w:rFonts w:ascii="宋体" w:hAnsi="宋体" w:cs="宋体"/>
          <w:color w:val="000000"/>
        </w:rPr>
        <w:t xml:space="preserve">：</w:t>
      </w:r>
      <w:r>
        <w:rPr>
          <w:rFonts w:ascii="宋体" w:hAnsi="宋体" w:cs="宋体"/>
          <w:color w:val="000000"/>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授权代表：</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联系电话：</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rPr>
          <w:rFonts w:ascii="宋体" w:hAnsi="宋体" w:cs="宋体"/>
          <w:color w:val="000000"/>
          <w:sz w:val="24"/>
          <w:u w:val="single"/>
        </w:rPr>
        <w:t xml:space="preserve">           </w:t>
      </w:r>
      <w:r>
        <w:rPr>
          <w:rFonts w:ascii="宋体" w:hAnsi="宋体" w:cs="宋体"/>
          <w:color w:val="000000"/>
          <w:sz w:val="24"/>
        </w:rPr>
        <w:t xml:space="preserve">邮编：</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二、质疑项目基本情况</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质疑项目的名称：</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质疑项目的编号：</w:t>
      </w:r>
      <w:r>
        <w:rPr>
          <w:rFonts w:ascii="宋体" w:hAnsi="宋体" w:cs="宋体"/>
          <w:color w:val="000000"/>
          <w:sz w:val="24"/>
          <w:u w:val="single"/>
        </w:rPr>
        <w:t xml:space="preserve">           </w:t>
      </w:r>
      <w:r>
        <w:rPr>
          <w:rFonts w:ascii="宋体" w:hAnsi="宋体" w:cs="宋体"/>
          <w:color w:val="000000"/>
          <w:sz w:val="24"/>
        </w:rPr>
        <w:t xml:space="preserve">包号：</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采购人名称：</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采购文件获取日期：</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三、质疑事项具体内容</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质疑事项1：</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事实依据：</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法律依据：</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质疑事项2</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四、与质疑事项相关的质疑请求</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请求：</w:t>
      </w:r>
      <w:r>
        <w:rPr>
          <w:rFonts w:ascii="宋体" w:hAnsi="宋体" w:cs="宋体"/>
          <w:color w:val="000000"/>
          <w:sz w:val="24"/>
          <w:u w:val="single"/>
        </w:rPr>
        <w:t xml:space="preserve">           </w:t>
      </w:r>
      <w:r/>
    </w:p>
    <w:p>
      <w:pPr>
        <w:rPr>
          <w:rFonts w:hint="eastAsia"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签字(签章)：                  </w:t>
      </w:r>
      <w:r>
        <w:rPr>
          <w:rFonts w:hint="eastAsia" w:ascii="宋体" w:hAnsi="宋体" w:cs="宋体"/>
          <w:color w:val="000000"/>
          <w:sz w:val="24"/>
          <w:lang w:val="en-US" w:eastAsia="zh-CN"/>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公章：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质疑函制作说明：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1.供应商提出质疑时，应提交质疑函和必要的证明材料。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3.质疑供应商若对项目的某一采购包进行质疑，质疑函中应列明具体采购包号。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4.质疑函的质疑事项应具体、明确，并有必要的事实依据和法律依据。</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5.质疑函的质疑请求应与质疑事项相关。</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firstLine="480"/>
        <w:spacing w:line="40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sectPr>
      <w:footerReference w:type="default"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仿宋_GB2312">
    <w:panose1 w:val="02010609060101010101"/>
  </w:font>
  <w:font w:name="Verdana">
    <w:panose1 w:val="020B0604030504040204"/>
  </w:font>
  <w:font w:name="黑体">
    <w:panose1 w:val="02010609060101010101"/>
  </w:font>
  <w:font w:name="幼圆">
    <w:panose1 w:val="02010509060101010101"/>
  </w:font>
  <w:font w:name="Courier New">
    <w:panose1 w:val="02070309020205020404"/>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rPr>
        <w:rStyle w:val="980"/>
      </w:rPr>
      <w:framePr w:wrap="around" w:vAnchor="text" w:hAnchor="margin" w:xAlign="center" w:y="1"/>
    </w:pPr>
    <w:r>
      <w:fldChar w:fldCharType="begin"/>
    </w:r>
    <w:r>
      <w:rPr>
        <w:rStyle w:val="980"/>
      </w:rPr>
      <w:instrText xml:space="preserve">PAGE  </w:instrText>
    </w:r>
    <w:r>
      <w:fldChar w:fldCharType="separate"/>
    </w:r>
    <w:r>
      <w:rPr>
        <w:rStyle w:val="980"/>
      </w:rPr>
      <w:t xml:space="preserve">1</w:t>
    </w:r>
    <w:r>
      <w:fldChar w:fldCharType="end"/>
    </w:r>
    <w:r/>
  </w:p>
  <w:p>
    <w:pPr>
      <w:pStyle w:val="95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2808605</wp:posOffset>
              </wp:positionH>
              <wp:positionV relativeFrom="paragraph">
                <wp:posOffset>-17145</wp:posOffset>
              </wp:positionV>
              <wp:extent cx="460375" cy="153035"/>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460251"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5"/>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argin-left:221.1pt;mso-position-horizontal:absolute;mso-position-vertical-relative:text;margin-top:-1.3pt;mso-position-vertical:absolute;width:36.2pt;height:12.0pt;mso-wrap-distance-left:9.0pt;mso-wrap-distance-top:0.0pt;mso-wrap-distance-right:9.0pt;mso-wrap-distance-bottom:0.0pt;v-text-anchor:top;visibility:visible;" filled="f" stroked="f" strokeweight="0.50pt">
              <v:textbox inset="0,0,0,0">
                <w:txbxContent>
                  <w:p>
                    <w:pPr>
                      <w:pStyle w:val="735"/>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quot;&quot;&quot;&quot;o&quot;&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quot;&quot;"/>
      <w:lvlJc w:val="left"/>
      <w:pPr>
        <w:ind w:left="2880" w:hanging="360"/>
      </w:pPr>
      <w:rPr>
        <w:rFonts w:hint="default" w:ascii="Symbol" w:hAnsi="Symbol" w:eastAsia="Symbol" w:cs="Symbol"/>
      </w:rPr>
    </w:lvl>
    <w:lvl w:ilvl="4">
      <w:start w:val="1"/>
      <w:numFmt w:val="bullet"/>
      <w:isLgl w:val="false"/>
      <w:suff w:val="tab"/>
      <w:lvlText w:val="&quot;&quot;&quot;&quot;&quot;o&quot;&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quot;&quot;"/>
      <w:lvlJc w:val="left"/>
      <w:pPr>
        <w:ind w:left="5040" w:hanging="360"/>
      </w:pPr>
      <w:rPr>
        <w:rFonts w:hint="default" w:ascii="Symbol" w:hAnsi="Symbol" w:eastAsia="Symbol" w:cs="Symbol"/>
      </w:rPr>
    </w:lvl>
    <w:lvl w:ilvl="7">
      <w:start w:val="1"/>
      <w:numFmt w:val="bullet"/>
      <w:isLgl w:val="false"/>
      <w:suff w:val="tab"/>
      <w:lvlText w:val="&quot;&quot;&quot;&quot;&quot;o&quot;&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quot;&quot;"/>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2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44"/>
      <w:isLgl w:val="false"/>
      <w:suff w:val="nothing"/>
      <w:lvlText w:val=""/>
      <w:lvlJc w:val="left"/>
      <w:pPr>
        <w:ind w:left="0" w:firstLine="0"/>
      </w:pPr>
      <w:rPr>
        <w:rFonts w:hint="eastAsia"/>
      </w:rPr>
    </w:lvl>
    <w:lvl w:ilvl="6">
      <w:start w:val="1"/>
      <w:numFmt w:val="decimal"/>
      <w:pStyle w:val="945"/>
      <w:isLgl w:val="false"/>
      <w:suff w:val="nothing"/>
      <w:lvlText w:val=""/>
      <w:lvlJc w:val="left"/>
      <w:pPr>
        <w:ind w:left="0" w:firstLine="0"/>
      </w:pPr>
      <w:rPr>
        <w:rFonts w:hint="eastAsia"/>
      </w:rPr>
    </w:lvl>
    <w:lvl w:ilvl="7">
      <w:start w:val="1"/>
      <w:numFmt w:val="decimal"/>
      <w:pStyle w:val="946"/>
      <w:isLgl w:val="false"/>
      <w:suff w:val="nothing"/>
      <w:lvlText w:val=""/>
      <w:lvlJc w:val="left"/>
      <w:pPr>
        <w:ind w:left="0" w:firstLine="0"/>
      </w:pPr>
      <w:rPr>
        <w:rFonts w:hint="eastAsia"/>
      </w:rPr>
    </w:lvl>
    <w:lvl w:ilvl="8">
      <w:start w:val="1"/>
      <w:numFmt w:val="decimal"/>
      <w:pStyle w:val="947"/>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4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7"/>
  </w:num>
  <w:num w:numId="4">
    <w:abstractNumId w:val="1"/>
  </w:num>
  <w:num w:numId="5">
    <w:abstractNumId w:val="0"/>
    <w:lvlOverride w:ilvl="0">
      <w:startOverride w:val="1"/>
    </w:lvlOverride>
  </w:num>
  <w:num w:numId="6">
    <w:abstractNumId w:val="5"/>
    <w:lvlOverride w:ilvl="0">
      <w:startOverride w:val="1"/>
    </w:lvlOverride>
  </w:num>
  <w:num w:numId="7">
    <w:abstractNumId w:val="4"/>
    <w:lvlOverride w:ilvl="0">
      <w:startOverride w:val="1"/>
    </w:lvlOverride>
  </w:num>
  <w:num w:numId="8">
    <w:abstractNumId w:val="6"/>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2"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13">
    <w:name w:val="Heading 1"/>
    <w:basedOn w:val="712"/>
    <w:next w:val="712"/>
    <w:link w:val="790"/>
    <w:uiPriority w:val="9"/>
    <w:qFormat/>
    <w:pPr>
      <w:keepLines/>
      <w:keepNext/>
      <w:spacing w:before="480" w:after="200"/>
      <w:outlineLvl w:val="0"/>
    </w:pPr>
    <w:rPr>
      <w:rFonts w:ascii="Arial" w:hAnsi="Arial" w:eastAsia="Arial" w:cs="Arial"/>
      <w:sz w:val="40"/>
      <w:szCs w:val="40"/>
    </w:rPr>
  </w:style>
  <w:style w:type="paragraph" w:styleId="714">
    <w:name w:val="Heading 2"/>
    <w:basedOn w:val="712"/>
    <w:next w:val="724"/>
    <w:link w:val="791"/>
    <w:uiPriority w:val="9"/>
    <w:unhideWhenUsed/>
    <w:qFormat/>
    <w:pPr>
      <w:keepLines/>
      <w:keepNext/>
      <w:spacing w:before="360" w:after="200"/>
      <w:outlineLvl w:val="1"/>
    </w:pPr>
    <w:rPr>
      <w:rFonts w:ascii="Arial" w:hAnsi="Arial" w:eastAsia="Arial" w:cs="Arial"/>
      <w:sz w:val="34"/>
    </w:rPr>
  </w:style>
  <w:style w:type="paragraph" w:styleId="715">
    <w:name w:val="Heading 3"/>
    <w:basedOn w:val="712"/>
    <w:next w:val="712"/>
    <w:link w:val="792"/>
    <w:uiPriority w:val="9"/>
    <w:unhideWhenUsed/>
    <w:qFormat/>
    <w:pPr>
      <w:keepLines/>
      <w:keepNext/>
      <w:spacing w:before="320" w:after="200"/>
      <w:outlineLvl w:val="2"/>
    </w:pPr>
    <w:rPr>
      <w:rFonts w:ascii="Arial" w:hAnsi="Arial" w:eastAsia="Arial" w:cs="Arial"/>
      <w:sz w:val="30"/>
      <w:szCs w:val="30"/>
    </w:rPr>
  </w:style>
  <w:style w:type="paragraph" w:styleId="716">
    <w:name w:val="Heading 4"/>
    <w:basedOn w:val="712"/>
    <w:next w:val="712"/>
    <w:link w:val="793"/>
    <w:uiPriority w:val="9"/>
    <w:unhideWhenUsed/>
    <w:qFormat/>
    <w:pPr>
      <w:keepLines/>
      <w:keepNext/>
      <w:spacing w:before="320" w:after="200"/>
      <w:outlineLvl w:val="3"/>
    </w:pPr>
    <w:rPr>
      <w:rFonts w:ascii="Arial" w:hAnsi="Arial" w:eastAsia="Arial" w:cs="Arial"/>
      <w:b/>
      <w:bCs/>
      <w:sz w:val="26"/>
      <w:szCs w:val="26"/>
    </w:rPr>
  </w:style>
  <w:style w:type="paragraph" w:styleId="717">
    <w:name w:val="Heading 5"/>
    <w:basedOn w:val="712"/>
    <w:next w:val="712"/>
    <w:link w:val="794"/>
    <w:uiPriority w:val="9"/>
    <w:unhideWhenUsed/>
    <w:qFormat/>
    <w:pPr>
      <w:keepLines/>
      <w:keepNext/>
      <w:spacing w:before="320" w:after="200"/>
      <w:outlineLvl w:val="4"/>
    </w:pPr>
    <w:rPr>
      <w:rFonts w:ascii="Arial" w:hAnsi="Arial" w:eastAsia="Arial" w:cs="Arial"/>
      <w:b/>
      <w:bCs/>
      <w:sz w:val="24"/>
      <w:szCs w:val="24"/>
    </w:rPr>
  </w:style>
  <w:style w:type="paragraph" w:styleId="718">
    <w:name w:val="Heading 6"/>
    <w:basedOn w:val="712"/>
    <w:next w:val="712"/>
    <w:link w:val="795"/>
    <w:uiPriority w:val="9"/>
    <w:unhideWhenUsed/>
    <w:qFormat/>
    <w:pPr>
      <w:keepLines/>
      <w:keepNext/>
      <w:spacing w:before="320" w:after="200"/>
      <w:outlineLvl w:val="5"/>
    </w:pPr>
    <w:rPr>
      <w:rFonts w:ascii="Arial" w:hAnsi="Arial" w:eastAsia="Arial" w:cs="Arial"/>
      <w:b/>
      <w:bCs/>
      <w:sz w:val="22"/>
      <w:szCs w:val="22"/>
    </w:rPr>
  </w:style>
  <w:style w:type="paragraph" w:styleId="719">
    <w:name w:val="Heading 7"/>
    <w:basedOn w:val="712"/>
    <w:next w:val="712"/>
    <w:link w:val="796"/>
    <w:uiPriority w:val="9"/>
    <w:unhideWhenUsed/>
    <w:qFormat/>
    <w:pPr>
      <w:keepLines/>
      <w:keepNext/>
      <w:spacing w:before="320" w:after="200"/>
      <w:outlineLvl w:val="6"/>
    </w:pPr>
    <w:rPr>
      <w:rFonts w:ascii="Arial" w:hAnsi="Arial" w:eastAsia="Arial" w:cs="Arial"/>
      <w:b/>
      <w:bCs/>
      <w:i/>
      <w:iCs/>
      <w:sz w:val="22"/>
      <w:szCs w:val="22"/>
    </w:rPr>
  </w:style>
  <w:style w:type="paragraph" w:styleId="720">
    <w:name w:val="Heading 8"/>
    <w:basedOn w:val="712"/>
    <w:next w:val="712"/>
    <w:link w:val="797"/>
    <w:uiPriority w:val="9"/>
    <w:unhideWhenUsed/>
    <w:qFormat/>
    <w:pPr>
      <w:keepLines/>
      <w:keepNext/>
      <w:spacing w:before="320" w:after="200"/>
      <w:outlineLvl w:val="7"/>
    </w:pPr>
    <w:rPr>
      <w:rFonts w:ascii="Arial" w:hAnsi="Arial" w:eastAsia="Arial" w:cs="Arial"/>
      <w:i/>
      <w:iCs/>
      <w:sz w:val="22"/>
      <w:szCs w:val="22"/>
    </w:rPr>
  </w:style>
  <w:style w:type="paragraph" w:styleId="721">
    <w:name w:val="Heading 9"/>
    <w:basedOn w:val="712"/>
    <w:next w:val="712"/>
    <w:link w:val="798"/>
    <w:uiPriority w:val="9"/>
    <w:unhideWhenUsed/>
    <w:qFormat/>
    <w:pPr>
      <w:keepLines/>
      <w:keepNext/>
      <w:spacing w:before="320" w:after="200"/>
      <w:outlineLvl w:val="8"/>
    </w:pPr>
    <w:rPr>
      <w:rFonts w:ascii="Arial" w:hAnsi="Arial" w:eastAsia="Arial" w:cs="Arial"/>
      <w:i/>
      <w:iCs/>
    </w:rPr>
  </w:style>
  <w:style w:type="character" w:styleId="722" w:default="1">
    <w:name w:val="Default Paragraph Font"/>
    <w:uiPriority w:val="1"/>
    <w:semiHidden/>
    <w:unhideWhenUsed/>
    <w:qFormat/>
  </w:style>
  <w:style w:type="table" w:styleId="723" w:default="1">
    <w:name w:val="Normal Table"/>
    <w:uiPriority w:val="99"/>
    <w:semiHidden/>
    <w:unhideWhenUsed/>
    <w:qFormat/>
    <w:tblPr>
      <w:tblCellMar>
        <w:left w:w="108" w:type="dxa"/>
        <w:top w:w="0" w:type="dxa"/>
        <w:right w:w="108" w:type="dxa"/>
        <w:bottom w:w="0" w:type="dxa"/>
      </w:tblCellMar>
    </w:tblPr>
  </w:style>
  <w:style w:type="paragraph" w:styleId="724">
    <w:name w:val="Normal Indent"/>
    <w:basedOn w:val="712"/>
    <w:uiPriority w:val="0"/>
    <w:qFormat/>
    <w:pPr>
      <w:ind w:firstLine="420"/>
    </w:pPr>
  </w:style>
  <w:style w:type="paragraph" w:styleId="725">
    <w:name w:val="toc 7"/>
    <w:basedOn w:val="712"/>
    <w:next w:val="712"/>
    <w:uiPriority w:val="39"/>
    <w:unhideWhenUsed/>
    <w:qFormat/>
    <w:pPr>
      <w:ind w:left="1701"/>
      <w:spacing w:after="57"/>
    </w:pPr>
  </w:style>
  <w:style w:type="paragraph" w:styleId="726">
    <w:name w:val="Caption"/>
    <w:basedOn w:val="712"/>
    <w:next w:val="71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7">
    <w:name w:val="annotation text"/>
    <w:basedOn w:val="712"/>
    <w:link w:val="1053"/>
    <w:uiPriority w:val="99"/>
    <w:semiHidden/>
    <w:unhideWhenUsed/>
    <w:qFormat/>
    <w:pPr>
      <w:jc w:val="left"/>
    </w:pPr>
  </w:style>
  <w:style w:type="paragraph" w:styleId="728">
    <w:name w:val="Body Text Indent"/>
    <w:basedOn w:val="712"/>
    <w:uiPriority w:val="0"/>
    <w:qFormat/>
    <w:pPr>
      <w:ind w:firstLine="645"/>
    </w:pPr>
    <w:rPr>
      <w:rFonts w:ascii="楷体_GB2312" w:eastAsia="楷体_GB2312"/>
      <w:sz w:val="32"/>
      <w:szCs w:val="32"/>
    </w:rPr>
  </w:style>
  <w:style w:type="paragraph" w:styleId="729">
    <w:name w:val="toc 5"/>
    <w:basedOn w:val="712"/>
    <w:next w:val="712"/>
    <w:uiPriority w:val="39"/>
    <w:unhideWhenUsed/>
    <w:qFormat/>
    <w:pPr>
      <w:ind w:left="1134"/>
      <w:spacing w:after="57"/>
    </w:pPr>
  </w:style>
  <w:style w:type="paragraph" w:styleId="730">
    <w:name w:val="toc 3"/>
    <w:basedOn w:val="712"/>
    <w:next w:val="712"/>
    <w:uiPriority w:val="39"/>
    <w:unhideWhenUsed/>
    <w:qFormat/>
    <w:pPr>
      <w:ind w:left="567"/>
      <w:spacing w:after="57"/>
    </w:pPr>
  </w:style>
  <w:style w:type="paragraph" w:styleId="731">
    <w:name w:val="Plain Text"/>
    <w:basedOn w:val="712"/>
    <w:uiPriority w:val="99"/>
    <w:qFormat/>
    <w:rPr>
      <w:rFonts w:ascii="宋体" w:hAnsi="Courier New" w:cs="Courier New"/>
    </w:rPr>
  </w:style>
  <w:style w:type="paragraph" w:styleId="732">
    <w:name w:val="toc 8"/>
    <w:basedOn w:val="712"/>
    <w:next w:val="712"/>
    <w:uiPriority w:val="39"/>
    <w:unhideWhenUsed/>
    <w:qFormat/>
    <w:pPr>
      <w:ind w:left="1984"/>
      <w:spacing w:after="57"/>
    </w:pPr>
  </w:style>
  <w:style w:type="paragraph" w:styleId="733">
    <w:name w:val="endnote text"/>
    <w:basedOn w:val="712"/>
    <w:link w:val="936"/>
    <w:uiPriority w:val="99"/>
    <w:semiHidden/>
    <w:unhideWhenUsed/>
    <w:qFormat/>
    <w:rPr>
      <w:sz w:val="20"/>
    </w:rPr>
  </w:style>
  <w:style w:type="paragraph" w:styleId="734">
    <w:name w:val="Balloon Text"/>
    <w:basedOn w:val="712"/>
    <w:link w:val="1052"/>
    <w:uiPriority w:val="99"/>
    <w:semiHidden/>
    <w:unhideWhenUsed/>
    <w:qFormat/>
    <w:rPr>
      <w:sz w:val="18"/>
      <w:szCs w:val="18"/>
    </w:rPr>
  </w:style>
  <w:style w:type="paragraph" w:styleId="735">
    <w:name w:val="Footer"/>
    <w:basedOn w:val="712"/>
    <w:link w:val="809"/>
    <w:uiPriority w:val="99"/>
    <w:unhideWhenUsed/>
    <w:qFormat/>
    <w:pPr>
      <w:tabs>
        <w:tab w:val="center" w:pos="7143" w:leader="none"/>
        <w:tab w:val="right" w:pos="14287" w:leader="none"/>
      </w:tabs>
    </w:pPr>
  </w:style>
  <w:style w:type="paragraph" w:styleId="736">
    <w:name w:val="Header"/>
    <w:basedOn w:val="712"/>
    <w:link w:val="807"/>
    <w:uiPriority w:val="99"/>
    <w:unhideWhenUsed/>
    <w:qFormat/>
    <w:pPr>
      <w:tabs>
        <w:tab w:val="center" w:pos="7143" w:leader="none"/>
        <w:tab w:val="right" w:pos="14287" w:leader="none"/>
      </w:tabs>
    </w:pPr>
  </w:style>
  <w:style w:type="paragraph" w:styleId="737">
    <w:name w:val="toc 1"/>
    <w:basedOn w:val="712"/>
    <w:next w:val="712"/>
    <w:uiPriority w:val="39"/>
    <w:unhideWhenUsed/>
    <w:pPr>
      <w:spacing w:after="57"/>
    </w:pPr>
  </w:style>
  <w:style w:type="paragraph" w:styleId="738">
    <w:name w:val="toc 4"/>
    <w:basedOn w:val="712"/>
    <w:next w:val="712"/>
    <w:uiPriority w:val="39"/>
    <w:unhideWhenUsed/>
    <w:pPr>
      <w:ind w:left="850"/>
      <w:spacing w:after="57"/>
    </w:pPr>
  </w:style>
  <w:style w:type="paragraph" w:styleId="739">
    <w:name w:val="Subtitle"/>
    <w:basedOn w:val="712"/>
    <w:next w:val="712"/>
    <w:link w:val="802"/>
    <w:uiPriority w:val="11"/>
    <w:qFormat/>
    <w:pPr>
      <w:spacing w:before="200" w:after="200"/>
    </w:pPr>
    <w:rPr>
      <w:sz w:val="24"/>
      <w:szCs w:val="24"/>
    </w:rPr>
  </w:style>
  <w:style w:type="paragraph" w:styleId="740">
    <w:name w:val="footnote text"/>
    <w:basedOn w:val="712"/>
    <w:link w:val="935"/>
    <w:uiPriority w:val="99"/>
    <w:semiHidden/>
    <w:unhideWhenUsed/>
    <w:qFormat/>
    <w:pPr>
      <w:spacing w:after="40"/>
    </w:pPr>
    <w:rPr>
      <w:sz w:val="18"/>
    </w:rPr>
  </w:style>
  <w:style w:type="paragraph" w:styleId="741">
    <w:name w:val="toc 6"/>
    <w:basedOn w:val="712"/>
    <w:next w:val="712"/>
    <w:uiPriority w:val="39"/>
    <w:unhideWhenUsed/>
    <w:qFormat/>
    <w:pPr>
      <w:ind w:left="1417"/>
      <w:spacing w:after="57"/>
    </w:pPr>
  </w:style>
  <w:style w:type="paragraph" w:styleId="742">
    <w:name w:val="table of figures"/>
    <w:basedOn w:val="712"/>
    <w:next w:val="712"/>
    <w:uiPriority w:val="99"/>
    <w:unhideWhenUsed/>
    <w:qFormat/>
  </w:style>
  <w:style w:type="paragraph" w:styleId="743">
    <w:name w:val="toc 2"/>
    <w:basedOn w:val="712"/>
    <w:next w:val="712"/>
    <w:uiPriority w:val="39"/>
    <w:unhideWhenUsed/>
    <w:qFormat/>
    <w:pPr>
      <w:ind w:left="283"/>
      <w:spacing w:after="57"/>
    </w:pPr>
  </w:style>
  <w:style w:type="paragraph" w:styleId="744">
    <w:name w:val="toc 9"/>
    <w:basedOn w:val="712"/>
    <w:next w:val="712"/>
    <w:uiPriority w:val="39"/>
    <w:unhideWhenUsed/>
    <w:qFormat/>
    <w:pPr>
      <w:ind w:left="2268"/>
      <w:spacing w:after="57"/>
    </w:pPr>
  </w:style>
  <w:style w:type="paragraph" w:styleId="745">
    <w:name w:val="Title"/>
    <w:basedOn w:val="712"/>
    <w:next w:val="712"/>
    <w:link w:val="801"/>
    <w:uiPriority w:val="10"/>
    <w:qFormat/>
    <w:pPr>
      <w:contextualSpacing/>
      <w:spacing w:before="300" w:after="200"/>
    </w:pPr>
    <w:rPr>
      <w:sz w:val="48"/>
      <w:szCs w:val="48"/>
    </w:rPr>
  </w:style>
  <w:style w:type="paragraph" w:styleId="746">
    <w:name w:val="annotation subject"/>
    <w:basedOn w:val="727"/>
    <w:next w:val="727"/>
    <w:link w:val="1054"/>
    <w:uiPriority w:val="99"/>
    <w:semiHidden/>
    <w:unhideWhenUsed/>
    <w:rPr>
      <w:b/>
      <w:bCs/>
    </w:rPr>
  </w:style>
  <w:style w:type="paragraph" w:styleId="747">
    <w:name w:val="Body Text First Indent 2"/>
    <w:basedOn w:val="728"/>
    <w:uiPriority w:val="0"/>
    <w:qFormat/>
    <w:pPr>
      <w:ind w:firstLine="420"/>
      <w:spacing w:line="360" w:lineRule="auto"/>
    </w:pPr>
    <w:rPr>
      <w:rFonts w:ascii="宋体" w:hAnsi="宋体" w:eastAsia="宋体"/>
      <w:sz w:val="21"/>
      <w:szCs w:val="20"/>
    </w:rPr>
  </w:style>
  <w:style w:type="table" w:styleId="74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9">
    <w:name w:val="endnote reference"/>
    <w:uiPriority w:val="99"/>
    <w:semiHidden/>
    <w:unhideWhenUsed/>
    <w:qFormat/>
    <w:rPr>
      <w:vertAlign w:val="superscript"/>
    </w:rPr>
  </w:style>
  <w:style w:type="character" w:styleId="750">
    <w:name w:val="Hyperlink"/>
    <w:uiPriority w:val="99"/>
    <w:unhideWhenUsed/>
    <w:qFormat/>
    <w:rPr>
      <w:color w:val="0000ff" w:themeColor="hyperlink"/>
      <w:u w:val="single"/>
      <w14:textFill>
        <w14:solidFill>
          <w14:schemeClr w14:val="hlink"/>
        </w14:solidFill>
      </w14:textFill>
    </w:rPr>
  </w:style>
  <w:style w:type="character" w:styleId="751">
    <w:name w:val="annotation reference"/>
    <w:basedOn w:val="722"/>
    <w:uiPriority w:val="99"/>
    <w:semiHidden/>
    <w:unhideWhenUsed/>
    <w:qFormat/>
    <w:rPr>
      <w:sz w:val="21"/>
      <w:szCs w:val="21"/>
    </w:rPr>
  </w:style>
  <w:style w:type="character" w:styleId="752">
    <w:name w:val="footnote reference"/>
    <w:uiPriority w:val="99"/>
    <w:unhideWhenUsed/>
    <w:qFormat/>
    <w:rPr>
      <w:vertAlign w:val="superscript"/>
    </w:rPr>
  </w:style>
  <w:style w:type="character" w:styleId="753" w:customStyle="1">
    <w:name w:val="Heading 1 Char"/>
    <w:basedOn w:val="722"/>
    <w:uiPriority w:val="9"/>
    <w:qFormat/>
    <w:rPr>
      <w:rFonts w:ascii="Arial" w:hAnsi="Arial" w:eastAsia="Arial" w:cs="Arial"/>
      <w:sz w:val="40"/>
      <w:szCs w:val="40"/>
    </w:rPr>
  </w:style>
  <w:style w:type="character" w:styleId="754" w:customStyle="1">
    <w:name w:val="Heading 2 Char"/>
    <w:basedOn w:val="722"/>
    <w:uiPriority w:val="9"/>
    <w:qFormat/>
    <w:rPr>
      <w:rFonts w:ascii="Arial" w:hAnsi="Arial" w:eastAsia="Arial" w:cs="Arial"/>
      <w:sz w:val="34"/>
    </w:rPr>
  </w:style>
  <w:style w:type="character" w:styleId="755" w:customStyle="1">
    <w:name w:val="Heading 3 Char"/>
    <w:basedOn w:val="722"/>
    <w:uiPriority w:val="9"/>
    <w:rPr>
      <w:rFonts w:ascii="Arial" w:hAnsi="Arial" w:eastAsia="Arial" w:cs="Arial"/>
      <w:sz w:val="30"/>
      <w:szCs w:val="30"/>
    </w:rPr>
  </w:style>
  <w:style w:type="character" w:styleId="756" w:customStyle="1">
    <w:name w:val="Heading 4 Char"/>
    <w:basedOn w:val="722"/>
    <w:uiPriority w:val="9"/>
    <w:rPr>
      <w:rFonts w:ascii="Arial" w:hAnsi="Arial" w:eastAsia="Arial" w:cs="Arial"/>
      <w:b/>
      <w:bCs/>
      <w:sz w:val="26"/>
      <w:szCs w:val="26"/>
    </w:rPr>
  </w:style>
  <w:style w:type="character" w:styleId="757" w:customStyle="1">
    <w:name w:val="Heading 5 Char"/>
    <w:basedOn w:val="722"/>
    <w:uiPriority w:val="9"/>
    <w:qFormat/>
    <w:rPr>
      <w:rFonts w:ascii="Arial" w:hAnsi="Arial" w:eastAsia="Arial" w:cs="Arial"/>
      <w:b/>
      <w:bCs/>
      <w:sz w:val="24"/>
      <w:szCs w:val="24"/>
    </w:rPr>
  </w:style>
  <w:style w:type="character" w:styleId="758" w:customStyle="1">
    <w:name w:val="Heading 6 Char"/>
    <w:basedOn w:val="722"/>
    <w:uiPriority w:val="9"/>
    <w:qFormat/>
    <w:rPr>
      <w:rFonts w:ascii="Arial" w:hAnsi="Arial" w:eastAsia="Arial" w:cs="Arial"/>
      <w:b/>
      <w:bCs/>
      <w:sz w:val="22"/>
      <w:szCs w:val="22"/>
    </w:rPr>
  </w:style>
  <w:style w:type="character" w:styleId="759" w:customStyle="1">
    <w:name w:val="Heading 7 Char"/>
    <w:basedOn w:val="722"/>
    <w:uiPriority w:val="9"/>
    <w:rPr>
      <w:rFonts w:ascii="Arial" w:hAnsi="Arial" w:eastAsia="Arial" w:cs="Arial"/>
      <w:b/>
      <w:bCs/>
      <w:i/>
      <w:iCs/>
      <w:sz w:val="22"/>
      <w:szCs w:val="22"/>
    </w:rPr>
  </w:style>
  <w:style w:type="character" w:styleId="760" w:customStyle="1">
    <w:name w:val="Heading 8 Char"/>
    <w:basedOn w:val="722"/>
    <w:uiPriority w:val="9"/>
    <w:qFormat/>
    <w:rPr>
      <w:rFonts w:ascii="Arial" w:hAnsi="Arial" w:eastAsia="Arial" w:cs="Arial"/>
      <w:i/>
      <w:iCs/>
      <w:sz w:val="22"/>
      <w:szCs w:val="22"/>
    </w:rPr>
  </w:style>
  <w:style w:type="character" w:styleId="761" w:customStyle="1">
    <w:name w:val="Heading 9 Char"/>
    <w:basedOn w:val="722"/>
    <w:uiPriority w:val="9"/>
    <w:qFormat/>
    <w:rPr>
      <w:rFonts w:ascii="Arial" w:hAnsi="Arial" w:eastAsia="Arial" w:cs="Arial"/>
      <w:i/>
      <w:iCs/>
      <w:sz w:val="21"/>
      <w:szCs w:val="21"/>
    </w:rPr>
  </w:style>
  <w:style w:type="character" w:styleId="762" w:customStyle="1">
    <w:name w:val="Title Char"/>
    <w:basedOn w:val="722"/>
    <w:uiPriority w:val="10"/>
    <w:qFormat/>
    <w:rPr>
      <w:sz w:val="48"/>
      <w:szCs w:val="48"/>
    </w:rPr>
  </w:style>
  <w:style w:type="character" w:styleId="763" w:customStyle="1">
    <w:name w:val="Subtitle Char"/>
    <w:basedOn w:val="722"/>
    <w:uiPriority w:val="11"/>
    <w:qFormat/>
    <w:rPr>
      <w:sz w:val="24"/>
      <w:szCs w:val="24"/>
    </w:rPr>
  </w:style>
  <w:style w:type="character" w:styleId="764" w:customStyle="1">
    <w:name w:val="Quote Char"/>
    <w:uiPriority w:val="29"/>
    <w:qFormat/>
    <w:rPr>
      <w:i/>
    </w:rPr>
  </w:style>
  <w:style w:type="character" w:styleId="765" w:customStyle="1">
    <w:name w:val="Intense Quote Char"/>
    <w:uiPriority w:val="30"/>
    <w:qFormat/>
    <w:rPr>
      <w:i/>
    </w:rPr>
  </w:style>
  <w:style w:type="character" w:styleId="766" w:customStyle="1">
    <w:name w:val="Header Char"/>
    <w:basedOn w:val="722"/>
    <w:uiPriority w:val="99"/>
    <w:qFormat/>
  </w:style>
  <w:style w:type="character" w:styleId="767" w:customStyle="1">
    <w:name w:val="Caption Char"/>
    <w:uiPriority w:val="99"/>
    <w:qFormat/>
  </w:style>
  <w:style w:type="table" w:styleId="768" w:customStyle="1">
    <w:name w:val="Plain Table 1"/>
    <w:basedOn w:val="723"/>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2"/>
    <w:basedOn w:val="723"/>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3"/>
    <w:basedOn w:val="7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customStyle="1">
    <w:name w:val="Plain Table 4"/>
    <w:basedOn w:val="7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customStyle="1">
    <w:name w:val="Plain Table 5"/>
    <w:basedOn w:val="7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3" w:customStyle="1">
    <w:name w:val="Grid Table 1 Light"/>
    <w:basedOn w:val="72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4" w:customStyle="1">
    <w:name w:val="Grid Table 2"/>
    <w:basedOn w:val="7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5" w:customStyle="1">
    <w:name w:val="Grid Table 3"/>
    <w:basedOn w:val="72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4"/>
    <w:basedOn w:val="723"/>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customStyle="1">
    <w:name w:val="Grid Table 5 Dark"/>
    <w:basedOn w:val="72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8" w:customStyle="1">
    <w:name w:val="Grid Table 6 Colorful"/>
    <w:basedOn w:val="723"/>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9" w:customStyle="1">
    <w:name w:val="Grid Table 7 Colorful"/>
    <w:basedOn w:val="723"/>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0" w:customStyle="1">
    <w:name w:val="List Table 1 Light"/>
    <w:basedOn w:val="723"/>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customStyle="1">
    <w:name w:val="List Table 2"/>
    <w:basedOn w:val="723"/>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2" w:customStyle="1">
    <w:name w:val="List Table 3"/>
    <w:basedOn w:val="72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3" w:customStyle="1">
    <w:name w:val="List Table 4"/>
    <w:basedOn w:val="72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4" w:customStyle="1">
    <w:name w:val="List Table 5 Dark"/>
    <w:basedOn w:val="723"/>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List Table 6 Colorful"/>
    <w:basedOn w:val="723"/>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6" w:customStyle="1">
    <w:name w:val="List Table 7 Colorful"/>
    <w:basedOn w:val="723"/>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7" w:customStyle="1">
    <w:name w:val="Footnote Text Char"/>
    <w:uiPriority w:val="99"/>
    <w:rPr>
      <w:sz w:val="18"/>
    </w:rPr>
  </w:style>
  <w:style w:type="character" w:styleId="788" w:customStyle="1">
    <w:name w:val="Endnote Text Char"/>
    <w:uiPriority w:val="99"/>
    <w:rPr>
      <w:sz w:val="20"/>
    </w:rPr>
  </w:style>
  <w:style w:type="paragraph" w:styleId="789" w:customStyle="1">
    <w:name w:val="TOC Heading"/>
    <w:uiPriority w:val="39"/>
    <w:unhideWhenUsed/>
    <w:rPr>
      <w:rFonts w:hint="default" w:ascii="Times New Roman" w:hAnsi="Times New Roman" w:eastAsia="宋体" w:cs="Times New Roman"/>
    </w:rPr>
  </w:style>
  <w:style w:type="character" w:styleId="790" w:customStyle="1">
    <w:name w:val="标题 1 字符"/>
    <w:link w:val="713"/>
    <w:uiPriority w:val="9"/>
    <w:rPr>
      <w:rFonts w:ascii="Arial" w:hAnsi="Arial" w:eastAsia="Arial" w:cs="Arial"/>
      <w:sz w:val="40"/>
      <w:szCs w:val="40"/>
    </w:rPr>
  </w:style>
  <w:style w:type="character" w:styleId="791" w:customStyle="1">
    <w:name w:val="标题 2 字符"/>
    <w:link w:val="714"/>
    <w:uiPriority w:val="9"/>
    <w:rPr>
      <w:rFonts w:ascii="Arial" w:hAnsi="Arial" w:eastAsia="Arial" w:cs="Arial"/>
      <w:sz w:val="34"/>
    </w:rPr>
  </w:style>
  <w:style w:type="character" w:styleId="792" w:customStyle="1">
    <w:name w:val="标题 3 字符"/>
    <w:link w:val="715"/>
    <w:uiPriority w:val="9"/>
    <w:rPr>
      <w:rFonts w:ascii="Arial" w:hAnsi="Arial" w:eastAsia="Arial" w:cs="Arial"/>
      <w:sz w:val="30"/>
      <w:szCs w:val="30"/>
    </w:rPr>
  </w:style>
  <w:style w:type="character" w:styleId="793" w:customStyle="1">
    <w:name w:val="标题 4 字符"/>
    <w:link w:val="716"/>
    <w:uiPriority w:val="9"/>
    <w:qFormat/>
    <w:rPr>
      <w:rFonts w:ascii="Arial" w:hAnsi="Arial" w:eastAsia="Arial" w:cs="Arial"/>
      <w:b/>
      <w:bCs/>
      <w:sz w:val="26"/>
      <w:szCs w:val="26"/>
    </w:rPr>
  </w:style>
  <w:style w:type="character" w:styleId="794" w:customStyle="1">
    <w:name w:val="标题 5 字符"/>
    <w:link w:val="717"/>
    <w:uiPriority w:val="9"/>
    <w:rPr>
      <w:rFonts w:ascii="Arial" w:hAnsi="Arial" w:eastAsia="Arial" w:cs="Arial"/>
      <w:b/>
      <w:bCs/>
      <w:sz w:val="24"/>
      <w:szCs w:val="24"/>
    </w:rPr>
  </w:style>
  <w:style w:type="character" w:styleId="795" w:customStyle="1">
    <w:name w:val="标题 6 字符"/>
    <w:link w:val="718"/>
    <w:uiPriority w:val="9"/>
    <w:qFormat/>
    <w:rPr>
      <w:rFonts w:ascii="Arial" w:hAnsi="Arial" w:eastAsia="Arial" w:cs="Arial"/>
      <w:b/>
      <w:bCs/>
      <w:sz w:val="22"/>
      <w:szCs w:val="22"/>
    </w:rPr>
  </w:style>
  <w:style w:type="character" w:styleId="796" w:customStyle="1">
    <w:name w:val="标题 7 字符"/>
    <w:link w:val="719"/>
    <w:uiPriority w:val="9"/>
    <w:qFormat/>
    <w:rPr>
      <w:rFonts w:ascii="Arial" w:hAnsi="Arial" w:eastAsia="Arial" w:cs="Arial"/>
      <w:b/>
      <w:bCs/>
      <w:i/>
      <w:iCs/>
      <w:sz w:val="22"/>
      <w:szCs w:val="22"/>
    </w:rPr>
  </w:style>
  <w:style w:type="character" w:styleId="797" w:customStyle="1">
    <w:name w:val="标题 8 字符"/>
    <w:link w:val="720"/>
    <w:uiPriority w:val="9"/>
    <w:qFormat/>
    <w:rPr>
      <w:rFonts w:ascii="Arial" w:hAnsi="Arial" w:eastAsia="Arial" w:cs="Arial"/>
      <w:i/>
      <w:iCs/>
      <w:sz w:val="22"/>
      <w:szCs w:val="22"/>
    </w:rPr>
  </w:style>
  <w:style w:type="character" w:styleId="798" w:customStyle="1">
    <w:name w:val="标题 9 字符"/>
    <w:link w:val="721"/>
    <w:uiPriority w:val="9"/>
    <w:rPr>
      <w:rFonts w:ascii="Arial" w:hAnsi="Arial" w:eastAsia="Arial" w:cs="Arial"/>
      <w:i/>
      <w:iCs/>
      <w:sz w:val="21"/>
      <w:szCs w:val="21"/>
    </w:rPr>
  </w:style>
  <w:style w:type="paragraph" w:styleId="799">
    <w:name w:val="List Paragraph"/>
    <w:basedOn w:val="712"/>
    <w:uiPriority w:val="34"/>
    <w:qFormat/>
    <w:pPr>
      <w:contextualSpacing/>
      <w:ind w:left="720"/>
    </w:pPr>
  </w:style>
  <w:style w:type="paragraph" w:styleId="800">
    <w:name w:val="No Spacing"/>
    <w:uiPriority w:val="1"/>
    <w:qFormat/>
    <w:rPr>
      <w:rFonts w:hint="default" w:ascii="Times New Roman" w:hAnsi="Times New Roman" w:eastAsia="宋体" w:cs="Times New Roman"/>
      <w:lang w:val="en-US" w:eastAsia="zh-CN" w:bidi="ar-SA"/>
    </w:rPr>
  </w:style>
  <w:style w:type="character" w:styleId="801" w:customStyle="1">
    <w:name w:val="标题 字符"/>
    <w:link w:val="745"/>
    <w:uiPriority w:val="10"/>
    <w:rPr>
      <w:sz w:val="48"/>
      <w:szCs w:val="48"/>
    </w:rPr>
  </w:style>
  <w:style w:type="character" w:styleId="802" w:customStyle="1">
    <w:name w:val="副标题 字符"/>
    <w:link w:val="739"/>
    <w:uiPriority w:val="11"/>
    <w:qFormat/>
    <w:rPr>
      <w:sz w:val="24"/>
      <w:szCs w:val="24"/>
    </w:rPr>
  </w:style>
  <w:style w:type="paragraph" w:styleId="803">
    <w:name w:val="Quote"/>
    <w:basedOn w:val="712"/>
    <w:next w:val="712"/>
    <w:link w:val="804"/>
    <w:uiPriority w:val="29"/>
    <w:qFormat/>
    <w:pPr>
      <w:ind w:left="720" w:right="720"/>
    </w:pPr>
    <w:rPr>
      <w:i/>
    </w:rPr>
  </w:style>
  <w:style w:type="character" w:styleId="804" w:customStyle="1">
    <w:name w:val="引用 字符"/>
    <w:link w:val="803"/>
    <w:uiPriority w:val="29"/>
    <w:rPr>
      <w:i/>
    </w:rPr>
  </w:style>
  <w:style w:type="paragraph" w:styleId="805">
    <w:name w:val="Intense Quote"/>
    <w:basedOn w:val="712"/>
    <w:next w:val="712"/>
    <w:link w:val="80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6" w:customStyle="1">
    <w:name w:val="明显引用 字符"/>
    <w:link w:val="805"/>
    <w:uiPriority w:val="30"/>
    <w:qFormat/>
    <w:rPr>
      <w:i/>
    </w:rPr>
  </w:style>
  <w:style w:type="character" w:styleId="807" w:customStyle="1">
    <w:name w:val="页眉 字符"/>
    <w:link w:val="736"/>
    <w:uiPriority w:val="99"/>
    <w:qFormat/>
  </w:style>
  <w:style w:type="character" w:styleId="808" w:customStyle="1">
    <w:name w:val="Footer Char"/>
    <w:uiPriority w:val="99"/>
    <w:qFormat/>
  </w:style>
  <w:style w:type="character" w:styleId="809" w:customStyle="1">
    <w:name w:val="页脚 字符"/>
    <w:link w:val="735"/>
    <w:uiPriority w:val="99"/>
    <w:qFormat/>
  </w:style>
  <w:style w:type="table" w:styleId="81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8" w:customStyle="1">
    <w:name w:val="List Table 2 - Accent 6"/>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4"/>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6"/>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7"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5" w:customStyle="1">
    <w:name w:val="脚注文本 字符"/>
    <w:link w:val="740"/>
    <w:uiPriority w:val="99"/>
    <w:qFormat/>
    <w:rPr>
      <w:sz w:val="18"/>
    </w:rPr>
  </w:style>
  <w:style w:type="character" w:styleId="936" w:customStyle="1">
    <w:name w:val="尾注文本 字符"/>
    <w:link w:val="733"/>
    <w:uiPriority w:val="99"/>
    <w:qFormat/>
    <w:rPr>
      <w:sz w:val="20"/>
    </w:rPr>
  </w:style>
  <w:style w:type="paragraph" w:styleId="937" w:customStyle="1">
    <w:name w:val="TOC 标题1"/>
    <w:uiPriority w:val="39"/>
    <w:unhideWhenUsed/>
    <w:qFormat/>
    <w:rPr>
      <w:rFonts w:hint="default" w:ascii="Times New Roman" w:hAnsi="Times New Roman" w:eastAsia="宋体" w:cs="Times New Roman"/>
      <w:lang w:val="en-US" w:eastAsia="zh-CN" w:bidi="ar-SA"/>
    </w:rPr>
  </w:style>
  <w:style w:type="paragraph" w:styleId="938" w:customStyle="1">
    <w:name w:val="标题 11"/>
    <w:basedOn w:val="712"/>
    <w:next w:val="712"/>
    <w:link w:val="973"/>
    <w:uiPriority w:val="0"/>
    <w:qFormat/>
    <w:pPr>
      <w:jc w:val="center"/>
      <w:keepNext/>
      <w:outlineLvl w:val="0"/>
    </w:pPr>
    <w:rPr>
      <w:rFonts w:ascii="楷体_GB2312" w:hAnsi="楷体_GB2312" w:eastAsia="黑体"/>
      <w:sz w:val="44"/>
      <w:szCs w:val="28"/>
    </w:rPr>
  </w:style>
  <w:style w:type="paragraph" w:styleId="939" w:customStyle="1">
    <w:name w:val="标题 21"/>
    <w:basedOn w:val="712"/>
    <w:next w:val="940"/>
    <w:link w:val="95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40" w:customStyle="1">
    <w:name w:val="正文缩进1"/>
    <w:basedOn w:val="712"/>
    <w:link w:val="979"/>
    <w:uiPriority w:val="0"/>
    <w:qFormat/>
    <w:pPr>
      <w:ind w:firstLine="420"/>
    </w:pPr>
  </w:style>
  <w:style w:type="paragraph" w:styleId="941" w:customStyle="1">
    <w:name w:val="标题 31"/>
    <w:basedOn w:val="712"/>
    <w:next w:val="940"/>
    <w:link w:val="950"/>
    <w:uiPriority w:val="0"/>
    <w:qFormat/>
    <w:pPr>
      <w:keepLines/>
      <w:keepNext/>
      <w:spacing w:before="260" w:after="260" w:line="416" w:lineRule="auto"/>
      <w:outlineLvl w:val="2"/>
    </w:pPr>
    <w:rPr>
      <w:b/>
      <w:bCs/>
      <w:sz w:val="32"/>
      <w:szCs w:val="32"/>
    </w:rPr>
  </w:style>
  <w:style w:type="paragraph" w:styleId="942" w:customStyle="1">
    <w:name w:val="标题 41"/>
    <w:basedOn w:val="712"/>
    <w:next w:val="940"/>
    <w:link w:val="993"/>
    <w:uiPriority w:val="0"/>
    <w:qFormat/>
    <w:pPr>
      <w:keepLines/>
      <w:keepNext/>
      <w:spacing w:before="280" w:after="290" w:line="376" w:lineRule="auto"/>
      <w:outlineLvl w:val="3"/>
    </w:pPr>
    <w:rPr>
      <w:rFonts w:ascii="Arial" w:hAnsi="Arial" w:eastAsia="黑体" w:cs="Arial"/>
      <w:b/>
      <w:bCs/>
      <w:sz w:val="28"/>
      <w:szCs w:val="28"/>
    </w:rPr>
  </w:style>
  <w:style w:type="paragraph" w:styleId="943" w:customStyle="1">
    <w:name w:val="标题 51"/>
    <w:basedOn w:val="712"/>
    <w:next w:val="940"/>
    <w:link w:val="985"/>
    <w:uiPriority w:val="0"/>
    <w:qFormat/>
    <w:pPr>
      <w:keepNext/>
      <w:outlineLvl w:val="4"/>
    </w:pPr>
    <w:rPr>
      <w:rFonts w:ascii="宋体"/>
      <w:color w:val="000000"/>
      <w:sz w:val="28"/>
      <w:szCs w:val="28"/>
    </w:rPr>
  </w:style>
  <w:style w:type="paragraph" w:styleId="944" w:customStyle="1">
    <w:name w:val="标题 61"/>
    <w:basedOn w:val="712"/>
    <w:next w:val="712"/>
    <w:link w:val="962"/>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45" w:customStyle="1">
    <w:name w:val="标题 71"/>
    <w:basedOn w:val="712"/>
    <w:next w:val="712"/>
    <w:link w:val="981"/>
    <w:uiPriority w:val="0"/>
    <w:qFormat/>
    <w:pPr>
      <w:numPr>
        <w:ilvl w:val="6"/>
        <w:numId w:val="1"/>
      </w:numPr>
      <w:keepLines/>
      <w:keepNext/>
      <w:spacing w:before="240" w:after="64" w:line="320" w:lineRule="auto"/>
      <w:outlineLvl w:val="6"/>
    </w:pPr>
    <w:rPr>
      <w:b/>
      <w:bCs/>
      <w:sz w:val="24"/>
      <w:szCs w:val="24"/>
    </w:rPr>
  </w:style>
  <w:style w:type="paragraph" w:styleId="946" w:customStyle="1">
    <w:name w:val="标题 81"/>
    <w:basedOn w:val="712"/>
    <w:next w:val="712"/>
    <w:link w:val="1001"/>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47" w:customStyle="1">
    <w:name w:val="标题 91"/>
    <w:basedOn w:val="712"/>
    <w:next w:val="712"/>
    <w:link w:val="983"/>
    <w:uiPriority w:val="0"/>
    <w:qFormat/>
    <w:pPr>
      <w:numPr>
        <w:ilvl w:val="8"/>
        <w:numId w:val="1"/>
      </w:numPr>
      <w:keepLines/>
      <w:keepNext/>
      <w:spacing w:before="240" w:after="64" w:line="320" w:lineRule="auto"/>
      <w:outlineLvl w:val="8"/>
    </w:pPr>
    <w:rPr>
      <w:rFonts w:ascii="Arial" w:hAnsi="Arial" w:eastAsia="黑体"/>
    </w:rPr>
  </w:style>
  <w:style w:type="character" w:styleId="948" w:customStyle="1">
    <w:name w:val="默认段落字体1"/>
    <w:uiPriority w:val="1"/>
    <w:unhideWhenUsed/>
    <w:qFormat/>
  </w:style>
  <w:style w:type="table" w:styleId="949" w:customStyle="1">
    <w:name w:val="普通表格1"/>
    <w:uiPriority w:val="99"/>
    <w:unhideWhenUsed/>
    <w:qFormat/>
    <w:tblPr>
      <w:tblCellMar>
        <w:left w:w="0" w:type="dxa"/>
        <w:top w:w="0" w:type="dxa"/>
        <w:right w:w="0" w:type="dxa"/>
        <w:bottom w:w="0" w:type="dxa"/>
      </w:tblCellMar>
    </w:tblPr>
  </w:style>
  <w:style w:type="character" w:styleId="950" w:customStyle="1">
    <w:name w:val="标题 3 Char"/>
    <w:link w:val="941"/>
    <w:uiPriority w:val="0"/>
    <w:qFormat/>
    <w:rPr>
      <w:rFonts w:ascii="Times New Roman" w:hAnsi="Times New Roman" w:eastAsia="宋体" w:cs="Times New Roman"/>
      <w:b/>
      <w:bCs/>
      <w:sz w:val="32"/>
      <w:szCs w:val="32"/>
    </w:rPr>
  </w:style>
  <w:style w:type="character" w:styleId="951" w:customStyle="1">
    <w:name w:val="标题 2 Char"/>
    <w:link w:val="939"/>
    <w:uiPriority w:val="0"/>
    <w:qFormat/>
    <w:rPr>
      <w:rFonts w:ascii="Arial" w:hAnsi="Arial" w:eastAsia="幼圆" w:cs="Arial"/>
      <w:b/>
      <w:bCs/>
      <w:sz w:val="44"/>
      <w:szCs w:val="44"/>
    </w:rPr>
  </w:style>
  <w:style w:type="character" w:styleId="952" w:customStyle="1">
    <w:name w:val="批注引用1"/>
    <w:uiPriority w:val="0"/>
    <w:semiHidden/>
    <w:rPr>
      <w:sz w:val="21"/>
      <w:szCs w:val="21"/>
    </w:rPr>
  </w:style>
  <w:style w:type="character" w:styleId="953" w:customStyle="1">
    <w:name w:val="纯文本 Char"/>
    <w:link w:val="954"/>
    <w:uiPriority w:val="0"/>
    <w:qFormat/>
    <w:rPr>
      <w:rFonts w:ascii="宋体" w:hAnsi="Courier New" w:eastAsia="宋体" w:cs="Courier New"/>
      <w:szCs w:val="21"/>
    </w:rPr>
  </w:style>
  <w:style w:type="paragraph" w:styleId="954" w:customStyle="1">
    <w:name w:val="纯文本1"/>
    <w:basedOn w:val="712"/>
    <w:link w:val="953"/>
    <w:uiPriority w:val="0"/>
    <w:qFormat/>
    <w:rPr>
      <w:rFonts w:ascii="宋体" w:hAnsi="Courier New" w:cs="Courier New"/>
    </w:rPr>
  </w:style>
  <w:style w:type="character" w:styleId="955" w:customStyle="1">
    <w:name w:val="文档结构图 Char"/>
    <w:link w:val="956"/>
    <w:uiPriority w:val="0"/>
    <w:semiHidden/>
    <w:qFormat/>
    <w:rPr>
      <w:rFonts w:ascii="Times New Roman" w:hAnsi="Times New Roman" w:eastAsia="宋体" w:cs="Times New Roman"/>
      <w:szCs w:val="21"/>
      <w:shd w:val="clear" w:color="auto" w:fill="000080"/>
    </w:rPr>
  </w:style>
  <w:style w:type="paragraph" w:styleId="956" w:customStyle="1">
    <w:name w:val="文档结构图1"/>
    <w:basedOn w:val="712"/>
    <w:link w:val="955"/>
    <w:uiPriority w:val="0"/>
    <w:semiHidden/>
    <w:qFormat/>
    <w:pPr>
      <w:shd w:val="clear" w:color="auto" w:fill="000080"/>
    </w:pPr>
  </w:style>
  <w:style w:type="character" w:styleId="957" w:customStyle="1">
    <w:name w:val="要点1"/>
    <w:uiPriority w:val="0"/>
    <w:qFormat/>
    <w:rPr>
      <w:b/>
      <w:bCs/>
    </w:rPr>
  </w:style>
  <w:style w:type="character" w:styleId="958" w:customStyle="1">
    <w:name w:val="页脚 Char"/>
    <w:link w:val="959"/>
    <w:uiPriority w:val="0"/>
    <w:qFormat/>
    <w:rPr>
      <w:rFonts w:ascii="Times New Roman" w:hAnsi="Times New Roman" w:eastAsia="宋体" w:cs="Times New Roman"/>
      <w:sz w:val="18"/>
      <w:szCs w:val="18"/>
    </w:rPr>
  </w:style>
  <w:style w:type="paragraph" w:styleId="959" w:customStyle="1">
    <w:name w:val="页脚1"/>
    <w:basedOn w:val="712"/>
    <w:link w:val="958"/>
    <w:uiPriority w:val="0"/>
    <w:qFormat/>
    <w:pPr>
      <w:jc w:val="left"/>
      <w:tabs>
        <w:tab w:val="center" w:pos="4153" w:leader="none"/>
        <w:tab w:val="right" w:pos="8306" w:leader="none"/>
      </w:tabs>
    </w:pPr>
    <w:rPr>
      <w:sz w:val="18"/>
      <w:szCs w:val="18"/>
    </w:rPr>
  </w:style>
  <w:style w:type="character" w:styleId="960" w:customStyle="1">
    <w:name w:val="列出段落 Char"/>
    <w:link w:val="961"/>
    <w:uiPriority w:val="0"/>
    <w:qFormat/>
    <w:rPr>
      <w:rFonts w:ascii="Calibri" w:hAnsi="Calibri"/>
      <w:sz w:val="24"/>
      <w:szCs w:val="24"/>
      <w:lang w:eastAsia="en-US" w:bidi="en-US"/>
    </w:rPr>
  </w:style>
  <w:style w:type="paragraph" w:styleId="961" w:customStyle="1">
    <w:name w:val="列出段落1"/>
    <w:basedOn w:val="712"/>
    <w:link w:val="960"/>
    <w:uiPriority w:val="0"/>
    <w:qFormat/>
    <w:pPr>
      <w:contextualSpacing/>
      <w:ind w:left="720"/>
      <w:jc w:val="left"/>
      <w:widowControl/>
    </w:pPr>
    <w:rPr>
      <w:rFonts w:ascii="Calibri" w:hAnsi="Calibri"/>
      <w:sz w:val="24"/>
      <w:szCs w:val="24"/>
      <w:lang w:eastAsia="en-US" w:bidi="en-US"/>
    </w:rPr>
  </w:style>
  <w:style w:type="character" w:styleId="962" w:customStyle="1">
    <w:name w:val="标题 6 Char"/>
    <w:link w:val="944"/>
    <w:uiPriority w:val="0"/>
    <w:qFormat/>
    <w:rPr>
      <w:rFonts w:ascii="Arial" w:hAnsi="Arial" w:eastAsia="黑体" w:cs="Times New Roman"/>
      <w:b/>
      <w:bCs/>
      <w:sz w:val="24"/>
      <w:szCs w:val="24"/>
    </w:rPr>
  </w:style>
  <w:style w:type="character" w:styleId="963" w:customStyle="1">
    <w:name w:val="批注主题 Char"/>
    <w:link w:val="964"/>
    <w:uiPriority w:val="0"/>
    <w:semiHidden/>
    <w:qFormat/>
    <w:rPr>
      <w:rFonts w:ascii="Times New Roman" w:hAnsi="Times New Roman" w:eastAsia="宋体" w:cs="Times New Roman"/>
      <w:b/>
      <w:bCs/>
      <w:szCs w:val="21"/>
    </w:rPr>
  </w:style>
  <w:style w:type="paragraph" w:styleId="964" w:customStyle="1">
    <w:name w:val="批注主题1"/>
    <w:basedOn w:val="965"/>
    <w:next w:val="965"/>
    <w:link w:val="963"/>
    <w:uiPriority w:val="0"/>
    <w:semiHidden/>
    <w:qFormat/>
    <w:rPr>
      <w:b/>
      <w:bCs/>
    </w:rPr>
  </w:style>
  <w:style w:type="paragraph" w:styleId="965" w:customStyle="1">
    <w:name w:val="批注文字1"/>
    <w:basedOn w:val="712"/>
    <w:link w:val="984"/>
    <w:uiPriority w:val="0"/>
    <w:semiHidden/>
    <w:qFormat/>
    <w:pPr>
      <w:jc w:val="left"/>
    </w:pPr>
  </w:style>
  <w:style w:type="character" w:styleId="966" w:customStyle="1">
    <w:name w:val="正文文本 2 Char"/>
    <w:link w:val="967"/>
    <w:uiPriority w:val="0"/>
    <w:qFormat/>
    <w:rPr>
      <w:rFonts w:ascii="楷体_GB2312" w:hAnsi="Times New Roman" w:eastAsia="楷体_GB2312" w:cs="Times New Roman"/>
      <w:sz w:val="28"/>
      <w:szCs w:val="28"/>
    </w:rPr>
  </w:style>
  <w:style w:type="paragraph" w:styleId="967" w:customStyle="1">
    <w:name w:val="正文文本 21"/>
    <w:basedOn w:val="712"/>
    <w:link w:val="966"/>
    <w:uiPriority w:val="0"/>
    <w:qFormat/>
    <w:pPr>
      <w:jc w:val="center"/>
      <w:widowControl/>
    </w:pPr>
    <w:rPr>
      <w:rFonts w:ascii="楷体_GB2312" w:eastAsia="楷体_GB2312"/>
      <w:sz w:val="28"/>
      <w:szCs w:val="28"/>
    </w:rPr>
  </w:style>
  <w:style w:type="character" w:styleId="968" w:customStyle="1">
    <w:name w:val="正文首行缩进 Char"/>
    <w:link w:val="969"/>
    <w:uiPriority w:val="0"/>
    <w:qFormat/>
    <w:rPr>
      <w:rFonts w:ascii="仿宋_GB2312" w:hAnsi="Times New Roman" w:eastAsia="仿宋_GB2312" w:cs="Times New Roman"/>
      <w:sz w:val="30"/>
      <w:szCs w:val="30"/>
    </w:rPr>
  </w:style>
  <w:style w:type="paragraph" w:styleId="969" w:customStyle="1">
    <w:name w:val="正文首行缩进1"/>
    <w:basedOn w:val="712"/>
    <w:link w:val="968"/>
    <w:uiPriority w:val="0"/>
    <w:qFormat/>
    <w:pPr>
      <w:ind w:firstLine="200"/>
      <w:spacing w:line="360" w:lineRule="auto"/>
    </w:pPr>
    <w:rPr>
      <w:rFonts w:ascii="仿宋_GB2312" w:eastAsia="仿宋_GB2312"/>
      <w:sz w:val="30"/>
      <w:szCs w:val="30"/>
    </w:rPr>
  </w:style>
  <w:style w:type="character" w:styleId="970" w:customStyle="1">
    <w:name w:val="正文首行缩进 2 Char"/>
    <w:link w:val="971"/>
    <w:uiPriority w:val="0"/>
    <w:qFormat/>
    <w:rPr>
      <w:rFonts w:ascii="宋体" w:hAnsi="宋体" w:eastAsia="宋体" w:cs="Times New Roman"/>
      <w:sz w:val="32"/>
      <w:szCs w:val="20"/>
    </w:rPr>
  </w:style>
  <w:style w:type="paragraph" w:styleId="971" w:customStyle="1">
    <w:name w:val="正文首行缩进 21"/>
    <w:basedOn w:val="972"/>
    <w:link w:val="970"/>
    <w:uiPriority w:val="0"/>
    <w:qFormat/>
    <w:pPr>
      <w:ind w:firstLine="420"/>
      <w:spacing w:line="360" w:lineRule="auto"/>
    </w:pPr>
    <w:rPr>
      <w:rFonts w:ascii="宋体" w:hAnsi="宋体" w:eastAsia="宋体"/>
      <w:sz w:val="21"/>
      <w:szCs w:val="20"/>
    </w:rPr>
  </w:style>
  <w:style w:type="paragraph" w:styleId="972" w:customStyle="1">
    <w:name w:val="正文文本缩进1"/>
    <w:basedOn w:val="712"/>
    <w:link w:val="982"/>
    <w:uiPriority w:val="0"/>
    <w:qFormat/>
    <w:pPr>
      <w:ind w:firstLine="645"/>
    </w:pPr>
    <w:rPr>
      <w:rFonts w:ascii="楷体_GB2312" w:eastAsia="楷体_GB2312"/>
      <w:sz w:val="32"/>
      <w:szCs w:val="32"/>
    </w:rPr>
  </w:style>
  <w:style w:type="character" w:styleId="973" w:customStyle="1">
    <w:name w:val="标题 1 Char"/>
    <w:link w:val="938"/>
    <w:uiPriority w:val="0"/>
    <w:qFormat/>
    <w:rPr>
      <w:rFonts w:ascii="楷体_GB2312" w:hAnsi="楷体_GB2312" w:eastAsia="黑体" w:cs="Times New Roman"/>
      <w:sz w:val="44"/>
      <w:szCs w:val="28"/>
    </w:rPr>
  </w:style>
  <w:style w:type="character" w:styleId="974" w:customStyle="1">
    <w:name w:val="已访问的超链接1"/>
    <w:uiPriority w:val="0"/>
    <w:qFormat/>
    <w:rPr>
      <w:color w:val="800080"/>
      <w:u w:val="single"/>
    </w:rPr>
  </w:style>
  <w:style w:type="character" w:styleId="975" w:customStyle="1">
    <w:name w:val="正文文本 3 Char"/>
    <w:link w:val="976"/>
    <w:uiPriority w:val="0"/>
    <w:qFormat/>
    <w:rPr>
      <w:rFonts w:ascii="仿宋_GB2312" w:hAnsi="Arial" w:eastAsia="仿宋_GB2312" w:cs="Times New Roman"/>
      <w:sz w:val="32"/>
      <w:szCs w:val="32"/>
    </w:rPr>
  </w:style>
  <w:style w:type="paragraph" w:styleId="976" w:customStyle="1">
    <w:name w:val="正文文本 31"/>
    <w:basedOn w:val="712"/>
    <w:link w:val="975"/>
    <w:uiPriority w:val="0"/>
    <w:qFormat/>
    <w:rPr>
      <w:rFonts w:ascii="仿宋_GB2312" w:hAnsi="Arial" w:eastAsia="仿宋_GB2312"/>
      <w:sz w:val="32"/>
      <w:szCs w:val="32"/>
    </w:rPr>
  </w:style>
  <w:style w:type="character" w:styleId="977" w:customStyle="1">
    <w:name w:val="二级目录 Char"/>
    <w:link w:val="978"/>
    <w:uiPriority w:val="0"/>
    <w:qFormat/>
    <w:rPr>
      <w:b/>
      <w:sz w:val="30"/>
      <w:szCs w:val="28"/>
    </w:rPr>
  </w:style>
  <w:style w:type="paragraph" w:styleId="978" w:customStyle="1">
    <w:name w:val="二级目录"/>
    <w:next w:val="712"/>
    <w:link w:val="977"/>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979" w:customStyle="1">
    <w:name w:val="正文缩进 Char"/>
    <w:link w:val="940"/>
    <w:uiPriority w:val="0"/>
    <w:qFormat/>
    <w:rPr>
      <w:rFonts w:ascii="Times New Roman" w:hAnsi="Times New Roman" w:eastAsia="宋体" w:cs="Times New Roman"/>
      <w:szCs w:val="21"/>
    </w:rPr>
  </w:style>
  <w:style w:type="character" w:styleId="980" w:customStyle="1">
    <w:name w:val="页码1"/>
    <w:uiPriority w:val="0"/>
    <w:qFormat/>
  </w:style>
  <w:style w:type="character" w:styleId="981" w:customStyle="1">
    <w:name w:val="标题 7 Char"/>
    <w:link w:val="945"/>
    <w:uiPriority w:val="0"/>
    <w:qFormat/>
    <w:rPr>
      <w:rFonts w:ascii="Times New Roman" w:hAnsi="Times New Roman" w:eastAsia="宋体" w:cs="Times New Roman"/>
      <w:b/>
      <w:bCs/>
      <w:sz w:val="24"/>
      <w:szCs w:val="24"/>
    </w:rPr>
  </w:style>
  <w:style w:type="character" w:styleId="982" w:customStyle="1">
    <w:name w:val="正文文本缩进 Char"/>
    <w:link w:val="972"/>
    <w:uiPriority w:val="0"/>
    <w:qFormat/>
    <w:rPr>
      <w:rFonts w:ascii="楷体_GB2312" w:hAnsi="Times New Roman" w:eastAsia="楷体_GB2312" w:cs="Times New Roman"/>
      <w:sz w:val="32"/>
      <w:szCs w:val="32"/>
    </w:rPr>
  </w:style>
  <w:style w:type="character" w:styleId="983" w:customStyle="1">
    <w:name w:val="标题 9 Char"/>
    <w:link w:val="947"/>
    <w:uiPriority w:val="0"/>
    <w:qFormat/>
    <w:rPr>
      <w:rFonts w:ascii="Arial" w:hAnsi="Arial" w:eastAsia="黑体" w:cs="Times New Roman"/>
      <w:szCs w:val="21"/>
    </w:rPr>
  </w:style>
  <w:style w:type="character" w:styleId="984" w:customStyle="1">
    <w:name w:val="批注文字 Char"/>
    <w:link w:val="965"/>
    <w:uiPriority w:val="0"/>
    <w:semiHidden/>
    <w:qFormat/>
    <w:rPr>
      <w:rFonts w:ascii="Times New Roman" w:hAnsi="Times New Roman" w:eastAsia="宋体" w:cs="Times New Roman"/>
      <w:szCs w:val="21"/>
    </w:rPr>
  </w:style>
  <w:style w:type="character" w:styleId="985" w:customStyle="1">
    <w:name w:val="标题 5 Char"/>
    <w:link w:val="943"/>
    <w:uiPriority w:val="0"/>
    <w:qFormat/>
    <w:rPr>
      <w:rFonts w:ascii="宋体" w:hAnsi="Times New Roman" w:eastAsia="宋体" w:cs="Times New Roman"/>
      <w:color w:val="000000"/>
      <w:sz w:val="28"/>
      <w:szCs w:val="28"/>
    </w:rPr>
  </w:style>
  <w:style w:type="character" w:styleId="986" w:customStyle="1">
    <w:name w:val="正文文本缩进 2 Char"/>
    <w:link w:val="987"/>
    <w:uiPriority w:val="0"/>
    <w:qFormat/>
    <w:rPr>
      <w:rFonts w:ascii="Arial" w:hAnsi="Arial" w:eastAsia="仿宋_GB2312" w:cs="Arial"/>
      <w:sz w:val="32"/>
      <w:szCs w:val="32"/>
    </w:rPr>
  </w:style>
  <w:style w:type="paragraph" w:styleId="987" w:customStyle="1">
    <w:name w:val="正文文本缩进 21"/>
    <w:basedOn w:val="712"/>
    <w:link w:val="986"/>
    <w:uiPriority w:val="0"/>
    <w:qFormat/>
    <w:pPr>
      <w:ind w:left="630" w:firstLine="645"/>
    </w:pPr>
    <w:rPr>
      <w:rFonts w:ascii="Arial" w:hAnsi="Arial" w:eastAsia="仿宋_GB2312" w:cs="Arial"/>
      <w:sz w:val="32"/>
      <w:szCs w:val="32"/>
    </w:rPr>
  </w:style>
  <w:style w:type="character" w:styleId="988" w:customStyle="1">
    <w:name w:val="日期 Char"/>
    <w:link w:val="989"/>
    <w:uiPriority w:val="0"/>
    <w:qFormat/>
    <w:rPr>
      <w:rFonts w:ascii="Times New Roman" w:hAnsi="Times New Roman" w:eastAsia="宋体" w:cs="Times New Roman"/>
      <w:sz w:val="24"/>
      <w:szCs w:val="24"/>
    </w:rPr>
  </w:style>
  <w:style w:type="paragraph" w:styleId="989" w:customStyle="1">
    <w:name w:val="日期1"/>
    <w:basedOn w:val="712"/>
    <w:next w:val="712"/>
    <w:link w:val="988"/>
    <w:uiPriority w:val="0"/>
    <w:qFormat/>
    <w:rPr>
      <w:sz w:val="24"/>
      <w:szCs w:val="24"/>
    </w:rPr>
  </w:style>
  <w:style w:type="character" w:styleId="990" w:customStyle="1">
    <w:name w:val="超链接1"/>
    <w:uiPriority w:val="0"/>
    <w:qFormat/>
    <w:rPr>
      <w:color w:val="0000ff"/>
      <w:u w:val="single"/>
    </w:rPr>
  </w:style>
  <w:style w:type="character" w:styleId="991" w:customStyle="1">
    <w:name w:val="批注框文本 Char"/>
    <w:link w:val="992"/>
    <w:uiPriority w:val="0"/>
    <w:semiHidden/>
    <w:qFormat/>
    <w:rPr>
      <w:rFonts w:ascii="Times New Roman" w:hAnsi="Times New Roman" w:eastAsia="宋体" w:cs="Times New Roman"/>
      <w:sz w:val="18"/>
      <w:szCs w:val="18"/>
    </w:rPr>
  </w:style>
  <w:style w:type="paragraph" w:styleId="992" w:customStyle="1">
    <w:name w:val="批注框文本1"/>
    <w:basedOn w:val="712"/>
    <w:link w:val="991"/>
    <w:uiPriority w:val="0"/>
    <w:semiHidden/>
    <w:qFormat/>
    <w:rPr>
      <w:sz w:val="18"/>
      <w:szCs w:val="18"/>
    </w:rPr>
  </w:style>
  <w:style w:type="character" w:styleId="993" w:customStyle="1">
    <w:name w:val="标题 4 Char"/>
    <w:link w:val="942"/>
    <w:uiPriority w:val="0"/>
    <w:qFormat/>
    <w:rPr>
      <w:rFonts w:ascii="Arial" w:hAnsi="Arial" w:eastAsia="黑体" w:cs="Arial"/>
      <w:b/>
      <w:bCs/>
      <w:sz w:val="28"/>
      <w:szCs w:val="28"/>
    </w:rPr>
  </w:style>
  <w:style w:type="character" w:styleId="994" w:customStyle="1">
    <w:name w:val="font5 Char"/>
    <w:uiPriority w:val="0"/>
    <w:qFormat/>
    <w:rPr>
      <w:rFonts w:ascii="宋体" w:hAnsi="宋体" w:eastAsia="宋体"/>
      <w:sz w:val="28"/>
      <w:szCs w:val="28"/>
      <w:lang w:val="en-US" w:eastAsia="zh-CN" w:bidi="ar-SA"/>
    </w:rPr>
  </w:style>
  <w:style w:type="character" w:styleId="995" w:customStyle="1">
    <w:name w:val="页眉 Char"/>
    <w:link w:val="996"/>
    <w:uiPriority w:val="0"/>
    <w:qFormat/>
    <w:rPr>
      <w:rFonts w:ascii="Times New Roman" w:hAnsi="Times New Roman" w:eastAsia="宋体" w:cs="Times New Roman"/>
      <w:sz w:val="18"/>
      <w:szCs w:val="18"/>
    </w:rPr>
  </w:style>
  <w:style w:type="paragraph" w:styleId="996" w:customStyle="1">
    <w:name w:val="页眉1"/>
    <w:basedOn w:val="712"/>
    <w:link w:val="995"/>
    <w:uiPriority w:val="0"/>
    <w:qFormat/>
    <w:pPr>
      <w:jc w:val="center"/>
      <w:tabs>
        <w:tab w:val="center" w:pos="4153" w:leader="none"/>
        <w:tab w:val="right" w:pos="8306" w:leader="none"/>
      </w:tabs>
      <w:pBdr>
        <w:bottom w:val="single" w:color="000000" w:sz="6" w:space="1"/>
      </w:pBdr>
    </w:pPr>
    <w:rPr>
      <w:sz w:val="18"/>
      <w:szCs w:val="18"/>
    </w:rPr>
  </w:style>
  <w:style w:type="character" w:styleId="997" w:customStyle="1">
    <w:name w:val="正文文本 Char"/>
    <w:link w:val="998"/>
    <w:uiPriority w:val="0"/>
    <w:qFormat/>
    <w:rPr>
      <w:rFonts w:ascii="楷体_GB2312" w:hAnsi="Arial" w:eastAsia="楷体_GB2312" w:cs="Times New Roman"/>
      <w:sz w:val="28"/>
      <w:szCs w:val="28"/>
    </w:rPr>
  </w:style>
  <w:style w:type="paragraph" w:styleId="998" w:customStyle="1">
    <w:name w:val="正文文本1"/>
    <w:basedOn w:val="712"/>
    <w:link w:val="997"/>
    <w:uiPriority w:val="0"/>
    <w:qFormat/>
    <w:rPr>
      <w:rFonts w:ascii="楷体_GB2312" w:hAnsi="Arial" w:eastAsia="楷体_GB2312"/>
      <w:sz w:val="28"/>
      <w:szCs w:val="28"/>
    </w:rPr>
  </w:style>
  <w:style w:type="character" w:styleId="999" w:customStyle="1">
    <w:name w:val="正文文本缩进 3 Char"/>
    <w:link w:val="1000"/>
    <w:uiPriority w:val="0"/>
    <w:qFormat/>
    <w:rPr>
      <w:rFonts w:ascii="Arial" w:hAnsi="Arial" w:eastAsia="仿宋_GB2312" w:cs="Arial"/>
      <w:color w:val="ffff00"/>
      <w:sz w:val="32"/>
      <w:szCs w:val="32"/>
    </w:rPr>
  </w:style>
  <w:style w:type="paragraph" w:styleId="1000" w:customStyle="1">
    <w:name w:val="正文文本缩进 31"/>
    <w:basedOn w:val="712"/>
    <w:link w:val="999"/>
    <w:uiPriority w:val="0"/>
    <w:qFormat/>
    <w:pPr>
      <w:ind w:left="645" w:firstLine="645"/>
    </w:pPr>
    <w:rPr>
      <w:rFonts w:ascii="Arial" w:hAnsi="Arial" w:eastAsia="仿宋_GB2312" w:cs="Arial"/>
      <w:color w:val="ffff00"/>
      <w:sz w:val="32"/>
      <w:szCs w:val="32"/>
    </w:rPr>
  </w:style>
  <w:style w:type="character" w:styleId="1001" w:customStyle="1">
    <w:name w:val="标题 8 Char"/>
    <w:link w:val="946"/>
    <w:uiPriority w:val="0"/>
    <w:qFormat/>
    <w:rPr>
      <w:rFonts w:ascii="Arial" w:hAnsi="Arial" w:eastAsia="黑体" w:cs="Times New Roman"/>
      <w:sz w:val="24"/>
      <w:szCs w:val="24"/>
    </w:rPr>
  </w:style>
  <w:style w:type="paragraph" w:styleId="1002" w:customStyle="1">
    <w:name w:val="xl25"/>
    <w:basedOn w:val="71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3" w:customStyle="1">
    <w:name w:val="xl27"/>
    <w:basedOn w:val="71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4" w:customStyle="1">
    <w:name w:val="标题1"/>
    <w:basedOn w:val="712"/>
    <w:next w:val="71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5" w:customStyle="1">
    <w:name w:val="目录 31"/>
    <w:basedOn w:val="712"/>
    <w:next w:val="712"/>
    <w:uiPriority w:val="0"/>
    <w:semiHidden/>
    <w:qFormat/>
    <w:pPr>
      <w:ind w:left="420"/>
      <w:jc w:val="left"/>
    </w:pPr>
    <w:rPr>
      <w:i/>
      <w:iCs/>
      <w:szCs w:val="24"/>
    </w:rPr>
  </w:style>
  <w:style w:type="paragraph" w:styleId="1006" w:customStyle="1">
    <w:name w:val="font6"/>
    <w:basedOn w:val="712"/>
    <w:uiPriority w:val="0"/>
    <w:qFormat/>
    <w:pPr>
      <w:jc w:val="left"/>
      <w:spacing w:before="100" w:beforeAutospacing="1" w:after="100" w:afterAutospacing="1"/>
      <w:widowControl/>
    </w:pPr>
    <w:rPr>
      <w:rFonts w:hint="eastAsia" w:ascii="宋体" w:hAnsi="宋体"/>
      <w:sz w:val="28"/>
      <w:szCs w:val="28"/>
      <w:u w:val="single"/>
    </w:rPr>
  </w:style>
  <w:style w:type="paragraph" w:styleId="1007" w:customStyle="1">
    <w:name w:val="xl30"/>
    <w:basedOn w:val="712"/>
    <w:uiPriority w:val="0"/>
    <w:qFormat/>
    <w:pPr>
      <w:jc w:val="center"/>
      <w:spacing w:before="100" w:beforeAutospacing="1" w:after="100" w:afterAutospacing="1"/>
      <w:widowControl/>
    </w:pPr>
    <w:rPr>
      <w:rFonts w:ascii="宋体" w:hAnsi="宋体"/>
      <w:b/>
      <w:bCs/>
      <w:sz w:val="36"/>
      <w:szCs w:val="36"/>
    </w:rPr>
  </w:style>
  <w:style w:type="paragraph" w:styleId="1008" w:customStyle="1">
    <w:name w:val="font5"/>
    <w:basedOn w:val="712"/>
    <w:uiPriority w:val="0"/>
    <w:qFormat/>
    <w:pPr>
      <w:jc w:val="left"/>
      <w:spacing w:before="100" w:beforeAutospacing="1" w:after="100" w:afterAutospacing="1"/>
      <w:widowControl/>
    </w:pPr>
    <w:rPr>
      <w:rFonts w:hint="eastAsia" w:ascii="宋体" w:hAnsi="宋体"/>
      <w:sz w:val="28"/>
      <w:szCs w:val="28"/>
    </w:rPr>
  </w:style>
  <w:style w:type="paragraph" w:styleId="1009" w:customStyle="1">
    <w:name w:val="图标"/>
    <w:basedOn w:val="712"/>
    <w:next w:val="71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0" w:customStyle="1">
    <w:name w:val="列表 31"/>
    <w:basedOn w:val="712"/>
    <w:uiPriority w:val="0"/>
    <w:qFormat/>
    <w:pPr>
      <w:ind w:left="100" w:hanging="200"/>
    </w:pPr>
  </w:style>
  <w:style w:type="paragraph" w:styleId="1011" w:customStyle="1">
    <w:name w:val="列表1"/>
    <w:basedOn w:val="712"/>
    <w:uiPriority w:val="0"/>
    <w:qFormat/>
    <w:pPr>
      <w:ind w:left="200" w:hanging="200"/>
    </w:pPr>
  </w:style>
  <w:style w:type="paragraph" w:styleId="1012" w:customStyle="1">
    <w:name w:val="Char Char Char Char"/>
    <w:basedOn w:val="956"/>
    <w:uiPriority w:val="0"/>
    <w:qFormat/>
    <w:pPr>
      <w:spacing w:line="360" w:lineRule="auto"/>
    </w:pPr>
    <w:rPr>
      <w:rFonts w:ascii="Tahoma" w:hAnsi="Tahoma"/>
      <w:sz w:val="24"/>
      <w:szCs w:val="24"/>
    </w:rPr>
  </w:style>
  <w:style w:type="paragraph" w:styleId="1013" w:customStyle="1">
    <w:name w:val="目录 81"/>
    <w:basedOn w:val="712"/>
    <w:next w:val="712"/>
    <w:uiPriority w:val="0"/>
    <w:semiHidden/>
    <w:qFormat/>
    <w:pPr>
      <w:ind w:left="1470"/>
      <w:jc w:val="left"/>
    </w:pPr>
  </w:style>
  <w:style w:type="paragraph" w:styleId="1014"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15" w:customStyle="1">
    <w:name w:val="列表 21"/>
    <w:basedOn w:val="712"/>
    <w:uiPriority w:val="0"/>
    <w:qFormat/>
    <w:pPr>
      <w:ind w:left="100" w:hanging="200"/>
    </w:pPr>
  </w:style>
  <w:style w:type="paragraph" w:styleId="1016" w:customStyle="1">
    <w:name w:val="xl24"/>
    <w:basedOn w:val="71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7" w:customStyle="1">
    <w:name w:val="目录 51"/>
    <w:basedOn w:val="712"/>
    <w:next w:val="712"/>
    <w:uiPriority w:val="0"/>
    <w:semiHidden/>
    <w:qFormat/>
    <w:pPr>
      <w:ind w:left="840"/>
      <w:jc w:val="left"/>
    </w:pPr>
  </w:style>
  <w:style w:type="paragraph" w:styleId="1018" w:customStyle="1">
    <w:name w:val="普通(网站)1"/>
    <w:basedOn w:val="712"/>
    <w:uiPriority w:val="99"/>
    <w:qFormat/>
    <w:pPr>
      <w:jc w:val="left"/>
      <w:spacing w:before="100" w:beforeAutospacing="1" w:after="100" w:afterAutospacing="1"/>
      <w:widowControl/>
    </w:pPr>
    <w:rPr>
      <w:rFonts w:ascii="宋体" w:hAnsi="宋体" w:cs="宋体"/>
      <w:sz w:val="24"/>
      <w:szCs w:val="24"/>
    </w:rPr>
  </w:style>
  <w:style w:type="paragraph" w:styleId="1019" w:customStyle="1">
    <w:name w:val="Char Char Char Char Char Char Char Char"/>
    <w:basedOn w:val="712"/>
    <w:uiPriority w:val="0"/>
    <w:qFormat/>
    <w:pPr>
      <w:jc w:val="left"/>
      <w:spacing w:after="160" w:line="240" w:lineRule="exact"/>
      <w:widowControl/>
    </w:pPr>
    <w:rPr>
      <w:rFonts w:ascii="Verdana" w:hAnsi="Verdana"/>
      <w:sz w:val="20"/>
      <w:szCs w:val="20"/>
      <w:lang w:eastAsia="en-US"/>
    </w:rPr>
  </w:style>
  <w:style w:type="paragraph" w:styleId="1020" w:customStyle="1">
    <w:name w:val="font7"/>
    <w:basedOn w:val="712"/>
    <w:uiPriority w:val="0"/>
    <w:qFormat/>
    <w:pPr>
      <w:jc w:val="left"/>
      <w:spacing w:before="100" w:beforeAutospacing="1" w:after="100" w:afterAutospacing="1"/>
      <w:widowControl/>
    </w:pPr>
    <w:rPr>
      <w:rFonts w:hint="eastAsia" w:ascii="宋体" w:hAnsi="宋体"/>
      <w:sz w:val="18"/>
      <w:szCs w:val="18"/>
    </w:rPr>
  </w:style>
  <w:style w:type="paragraph" w:styleId="1021" w:customStyle="1">
    <w:name w:val="索引 11"/>
    <w:basedOn w:val="712"/>
    <w:next w:val="712"/>
    <w:uiPriority w:val="0"/>
    <w:semiHidden/>
    <w:qFormat/>
    <w:pPr>
      <w:spacing w:line="240" w:lineRule="atLeast"/>
    </w:pPr>
    <w:rPr>
      <w:b/>
      <w:bCs/>
    </w:rPr>
  </w:style>
  <w:style w:type="paragraph" w:styleId="1022" w:customStyle="1">
    <w:name w:val="目录 61"/>
    <w:basedOn w:val="712"/>
    <w:next w:val="712"/>
    <w:uiPriority w:val="0"/>
    <w:semiHidden/>
    <w:qFormat/>
    <w:pPr>
      <w:ind w:left="1050"/>
      <w:jc w:val="left"/>
    </w:pPr>
  </w:style>
  <w:style w:type="paragraph" w:styleId="1023" w:customStyle="1">
    <w:name w:val="Char Char Char Char Char Char Char Char1"/>
    <w:basedOn w:val="712"/>
    <w:uiPriority w:val="0"/>
    <w:qFormat/>
    <w:pPr>
      <w:jc w:val="left"/>
      <w:spacing w:after="160" w:line="240" w:lineRule="exact"/>
      <w:widowControl/>
    </w:pPr>
    <w:rPr>
      <w:rFonts w:ascii="Verdana" w:hAnsi="Verdana"/>
      <w:sz w:val="20"/>
      <w:szCs w:val="20"/>
      <w:lang w:eastAsia="en-US"/>
    </w:rPr>
  </w:style>
  <w:style w:type="paragraph" w:styleId="1024" w:customStyle="1">
    <w:name w:val="table_lines"/>
    <w:basedOn w:val="712"/>
    <w:uiPriority w:val="0"/>
    <w:qFormat/>
    <w:pPr>
      <w:jc w:val="left"/>
      <w:widowControl/>
    </w:pPr>
    <w:rPr>
      <w:sz w:val="20"/>
      <w:szCs w:val="20"/>
      <w:lang w:val="de-DE" w:eastAsia="de-DE"/>
    </w:rPr>
  </w:style>
  <w:style w:type="paragraph" w:styleId="1025" w:customStyle="1">
    <w:name w:val="Char"/>
    <w:basedOn w:val="956"/>
    <w:uiPriority w:val="0"/>
    <w:qFormat/>
    <w:rPr>
      <w:rFonts w:ascii="Tahoma" w:hAnsi="Tahoma"/>
      <w:sz w:val="24"/>
      <w:szCs w:val="24"/>
    </w:rPr>
  </w:style>
  <w:style w:type="paragraph" w:styleId="1026"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27"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28" w:customStyle="1">
    <w:name w:val="图表目录1"/>
    <w:basedOn w:val="712"/>
    <w:next w:val="712"/>
    <w:uiPriority w:val="0"/>
    <w:semiHidden/>
    <w:qFormat/>
    <w:pPr>
      <w:ind w:left="840" w:hanging="420"/>
    </w:pPr>
  </w:style>
  <w:style w:type="paragraph" w:styleId="1029" w:customStyle="1">
    <w:name w:val="Body Text(ch)"/>
    <w:basedOn w:val="712"/>
    <w:next w:val="998"/>
    <w:uiPriority w:val="0"/>
    <w:qFormat/>
    <w:pPr>
      <w:spacing w:after="120"/>
    </w:pPr>
    <w:rPr>
      <w:rFonts w:ascii="宋体" w:hAnsi="Arial"/>
      <w:bCs/>
      <w:iCs/>
      <w:szCs w:val="24"/>
    </w:rPr>
  </w:style>
  <w:style w:type="paragraph" w:styleId="1030" w:customStyle="1">
    <w:name w:val="目录 91"/>
    <w:basedOn w:val="712"/>
    <w:next w:val="712"/>
    <w:uiPriority w:val="0"/>
    <w:semiHidden/>
    <w:qFormat/>
    <w:pPr>
      <w:ind w:left="1680"/>
      <w:jc w:val="left"/>
    </w:pPr>
  </w:style>
  <w:style w:type="paragraph" w:styleId="1031" w:customStyle="1">
    <w:name w:val="目录 11"/>
    <w:basedOn w:val="712"/>
    <w:next w:val="712"/>
    <w:uiPriority w:val="0"/>
    <w:semiHidden/>
    <w:qFormat/>
    <w:pPr>
      <w:jc w:val="left"/>
      <w:spacing w:before="120" w:after="120" w:line="400" w:lineRule="exact"/>
      <w:tabs>
        <w:tab w:val="right" w:pos="8720" w:leader="dot"/>
      </w:tabs>
    </w:pPr>
    <w:rPr>
      <w:rFonts w:ascii="宋体" w:hAnsi="宋体"/>
      <w:caps/>
      <w:sz w:val="24"/>
      <w:szCs w:val="24"/>
    </w:rPr>
  </w:style>
  <w:style w:type="paragraph" w:styleId="1032" w:customStyle="1">
    <w:name w:val="xl28"/>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3" w:customStyle="1">
    <w:name w:val="目录 21"/>
    <w:basedOn w:val="712"/>
    <w:next w:val="712"/>
    <w:uiPriority w:val="0"/>
    <w:semiHidden/>
    <w:qFormat/>
    <w:pPr>
      <w:ind w:left="210"/>
      <w:jc w:val="left"/>
    </w:pPr>
    <w:rPr>
      <w:smallCaps/>
      <w:szCs w:val="24"/>
    </w:rPr>
  </w:style>
  <w:style w:type="paragraph" w:styleId="1034" w:customStyle="1">
    <w:name w:val="普通 (Web)"/>
    <w:basedOn w:val="712"/>
    <w:uiPriority w:val="0"/>
    <w:qFormat/>
    <w:pPr>
      <w:jc w:val="left"/>
      <w:spacing w:before="100" w:beforeAutospacing="1" w:after="100" w:afterAutospacing="1"/>
      <w:widowControl/>
    </w:pPr>
    <w:rPr>
      <w:rFonts w:ascii="宋体" w:hAnsi="宋体"/>
      <w:sz w:val="24"/>
      <w:szCs w:val="24"/>
    </w:rPr>
  </w:style>
  <w:style w:type="paragraph" w:styleId="1035" w:customStyle="1">
    <w:name w:val="列出段落"/>
    <w:basedOn w:val="712"/>
    <w:uiPriority w:val="0"/>
    <w:qFormat/>
    <w:pPr>
      <w:contextualSpacing/>
      <w:ind w:left="720"/>
      <w:jc w:val="left"/>
      <w:widowControl/>
    </w:pPr>
    <w:rPr>
      <w:rFonts w:ascii="Calibri" w:hAnsi="Calibri"/>
      <w:sz w:val="24"/>
      <w:szCs w:val="24"/>
      <w:lang w:eastAsia="en-US" w:bidi="en-US"/>
    </w:rPr>
  </w:style>
  <w:style w:type="paragraph" w:styleId="1036" w:customStyle="1">
    <w:name w:val="普通正文"/>
    <w:basedOn w:val="712"/>
    <w:uiPriority w:val="0"/>
    <w:qFormat/>
    <w:pPr>
      <w:ind w:firstLine="480"/>
      <w:jc w:val="left"/>
      <w:spacing w:before="120" w:after="120" w:line="360" w:lineRule="auto"/>
    </w:pPr>
    <w:rPr>
      <w:rFonts w:ascii="Arial" w:hAnsi="Arial"/>
      <w:sz w:val="24"/>
      <w:szCs w:val="24"/>
    </w:rPr>
  </w:style>
  <w:style w:type="paragraph" w:styleId="1037" w:customStyle="1">
    <w:name w:val="目录 71"/>
    <w:basedOn w:val="712"/>
    <w:next w:val="712"/>
    <w:uiPriority w:val="0"/>
    <w:semiHidden/>
    <w:qFormat/>
    <w:pPr>
      <w:ind w:left="1260"/>
      <w:jc w:val="left"/>
    </w:pPr>
  </w:style>
  <w:style w:type="paragraph" w:styleId="1038" w:customStyle="1">
    <w:name w:val="目录 41"/>
    <w:basedOn w:val="712"/>
    <w:next w:val="712"/>
    <w:uiPriority w:val="0"/>
    <w:semiHidden/>
    <w:qFormat/>
    <w:pPr>
      <w:ind w:left="630"/>
      <w:jc w:val="left"/>
    </w:pPr>
  </w:style>
  <w:style w:type="paragraph" w:styleId="1039" w:customStyle="1">
    <w:name w:val="xl26"/>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40" w:customStyle="1">
    <w:name w:val="xl29"/>
    <w:basedOn w:val="71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1" w:customStyle="1">
    <w:name w:val="Char1"/>
    <w:basedOn w:val="712"/>
    <w:uiPriority w:val="0"/>
    <w:qFormat/>
    <w:pPr>
      <w:ind w:firstLine="200"/>
      <w:tabs>
        <w:tab w:val="left" w:pos="360" w:leader="none"/>
      </w:tabs>
    </w:pPr>
    <w:rPr>
      <w:sz w:val="28"/>
      <w:szCs w:val="30"/>
    </w:rPr>
  </w:style>
  <w:style w:type="paragraph" w:styleId="1042" w:customStyle="1">
    <w:name w:val="4"/>
    <w:basedOn w:val="712"/>
    <w:next w:val="1000"/>
    <w:uiPriority w:val="0"/>
    <w:qFormat/>
    <w:pPr>
      <w:ind w:firstLine="420"/>
      <w:spacing w:line="360" w:lineRule="auto"/>
    </w:pPr>
    <w:rPr>
      <w:color w:val="ff0000"/>
      <w:sz w:val="24"/>
      <w:szCs w:val="24"/>
    </w:rPr>
  </w:style>
  <w:style w:type="paragraph" w:styleId="1043" w:customStyle="1">
    <w:name w:val="Char Char Char Char Char Char Char Char Char Char"/>
    <w:basedOn w:val="712"/>
    <w:uiPriority w:val="0"/>
    <w:qFormat/>
    <w:pPr>
      <w:spacing w:line="360" w:lineRule="auto"/>
    </w:pPr>
    <w:rPr>
      <w:sz w:val="24"/>
      <w:szCs w:val="20"/>
    </w:rPr>
  </w:style>
  <w:style w:type="paragraph" w:styleId="1044" w:customStyle="1">
    <w:name w:val="样式1"/>
    <w:basedOn w:val="712"/>
    <w:uiPriority w:val="0"/>
    <w:qFormat/>
    <w:pPr>
      <w:numPr>
        <w:ilvl w:val="0"/>
        <w:numId w:val="3"/>
      </w:numPr>
    </w:pPr>
    <w:rPr>
      <w:rFonts w:ascii="宋体" w:hAnsi="宋体"/>
    </w:rPr>
  </w:style>
  <w:style w:type="paragraph" w:styleId="1045" w:customStyle="1">
    <w:name w:val="标题3"/>
    <w:basedOn w:val="712"/>
    <w:next w:val="712"/>
    <w:uiPriority w:val="0"/>
    <w:qFormat/>
    <w:pPr>
      <w:ind w:firstLine="624"/>
      <w:spacing w:line="590" w:lineRule="atLeast"/>
    </w:pPr>
    <w:rPr>
      <w:rFonts w:ascii="方正黑体_GBK" w:eastAsia="方正黑体_GBK"/>
      <w:sz w:val="32"/>
      <w:szCs w:val="32"/>
    </w:rPr>
  </w:style>
  <w:style w:type="paragraph" w:styleId="1046" w:customStyle="1">
    <w:name w:val="Char Char Char Char1"/>
    <w:basedOn w:val="956"/>
    <w:uiPriority w:val="0"/>
    <w:qFormat/>
    <w:pPr>
      <w:spacing w:line="360" w:lineRule="auto"/>
    </w:pPr>
    <w:rPr>
      <w:rFonts w:ascii="Tahoma" w:hAnsi="Tahoma"/>
      <w:sz w:val="24"/>
      <w:szCs w:val="24"/>
    </w:rPr>
  </w:style>
  <w:style w:type="paragraph" w:styleId="1047" w:customStyle="1">
    <w:name w:val="table_1stline"/>
    <w:basedOn w:val="712"/>
    <w:uiPriority w:val="0"/>
    <w:qFormat/>
    <w:pPr>
      <w:jc w:val="left"/>
      <w:spacing w:before="120"/>
      <w:widowControl/>
    </w:pPr>
    <w:rPr>
      <w:bCs/>
      <w:sz w:val="20"/>
      <w:szCs w:val="20"/>
      <w:lang w:val="de-DE" w:eastAsia="de-DE"/>
    </w:rPr>
  </w:style>
  <w:style w:type="table" w:styleId="1048" w:customStyle="1">
    <w:name w:val="网格型1"/>
    <w:basedOn w:val="949"/>
    <w:uiPriority w:val="0"/>
    <w:qFormat/>
    <w:pPr>
      <w:jc w:val="both"/>
      <w:widowControl w:val="off"/>
    </w:pPr>
    <w:tblPr/>
  </w:style>
  <w:style w:type="paragraph" w:styleId="1049" w:customStyle="1">
    <w:name w:val="正文2"/>
    <w:basedOn w:val="712"/>
    <w:uiPriority w:val="0"/>
    <w:qFormat/>
    <w:pPr>
      <w:ind w:firstLine="510"/>
      <w:spacing w:before="156" w:line="360" w:lineRule="auto"/>
    </w:pPr>
    <w:rPr>
      <w:rFonts w:ascii="Calibri" w:hAnsi="Calibri"/>
      <w:sz w:val="24"/>
      <w:szCs w:val="20"/>
    </w:rPr>
  </w:style>
  <w:style w:type="paragraph" w:styleId="1050" w:customStyle="1">
    <w:name w:val="_Style 2"/>
    <w:basedOn w:val="712"/>
    <w:uiPriority w:val="0"/>
    <w:qFormat/>
    <w:pPr>
      <w:jc w:val="left"/>
      <w:widowControl/>
    </w:pPr>
    <w:rPr>
      <w:rFonts w:ascii="Calibri" w:hAnsi="Calibri"/>
      <w:sz w:val="22"/>
      <w:szCs w:val="22"/>
    </w:rPr>
  </w:style>
  <w:style w:type="paragraph" w:styleId="1051" w:customStyle="1">
    <w:name w:val="首行缩进"/>
    <w:basedOn w:val="712"/>
    <w:uiPriority w:val="0"/>
    <w:qFormat/>
    <w:pPr>
      <w:ind w:firstLine="480"/>
    </w:pPr>
    <w:rPr>
      <w:lang w:val="zh-CN"/>
    </w:rPr>
  </w:style>
  <w:style w:type="character" w:styleId="1052" w:customStyle="1">
    <w:name w:val="批注框文本 字符"/>
    <w:basedOn w:val="722"/>
    <w:link w:val="734"/>
    <w:uiPriority w:val="99"/>
    <w:semiHidden/>
    <w:qFormat/>
    <w:rPr>
      <w:sz w:val="18"/>
      <w:szCs w:val="18"/>
    </w:rPr>
  </w:style>
  <w:style w:type="character" w:styleId="1053" w:customStyle="1">
    <w:name w:val="批注文字 字符"/>
    <w:basedOn w:val="722"/>
    <w:link w:val="727"/>
    <w:uiPriority w:val="99"/>
    <w:semiHidden/>
    <w:qFormat/>
    <w:rPr>
      <w:sz w:val="21"/>
      <w:szCs w:val="21"/>
    </w:rPr>
  </w:style>
  <w:style w:type="character" w:styleId="1054" w:customStyle="1">
    <w:name w:val="批注主题 字符"/>
    <w:basedOn w:val="1053"/>
    <w:link w:val="746"/>
    <w:uiPriority w:val="99"/>
    <w:semiHidden/>
    <w:qFormat/>
    <w:rPr>
      <w:b/>
      <w:bCs/>
      <w:sz w:val="21"/>
      <w:szCs w:val="21"/>
    </w:rPr>
  </w:style>
  <w:style w:type="numbering" w:styleId="146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舒畅</cp:lastModifiedBy>
  <cp:revision>15</cp:revision>
  <dcterms:created xsi:type="dcterms:W3CDTF">2026-07-14T01:26:00Z</dcterms:created>
  <dcterms:modified xsi:type="dcterms:W3CDTF">2026-09-04T01:42:23Z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2475E12FF86A4559A0F603283A225096_13</vt:lpwstr>
  </property>
  <property fmtid="{D5CDD505-2E9C-101B-9397-08002B2CF9AE}" pid="4" name="KSOTemplateDocerSaveRecord">
    <vt:lpwstr>eyJoZGlkIjoiZWM1OGUwNGQzNTE2MWE1ZTFhMmE2Y2U2NzkwZmQwNDYiLCJ1c2VySWQiOiIyMzE3MzYwNzAifQ==</vt:lpwstr>
  </property>
</Properties>
</file>