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996AB">
      <w:pPr>
        <w:pStyle w:val="3"/>
        <w:snapToGrid w:val="0"/>
        <w:spacing w:line="440" w:lineRule="exact"/>
        <w:ind w:firstLine="562" w:firstLineChars="200"/>
        <w:jc w:val="center"/>
        <w:rPr>
          <w:rFonts w:hAnsi="宋体" w:cs="宋体"/>
          <w:b/>
          <w:bCs/>
          <w:color w:val="auto"/>
          <w:sz w:val="28"/>
          <w:szCs w:val="28"/>
          <w:highlight w:val="none"/>
        </w:rPr>
      </w:pPr>
      <w:bookmarkStart w:id="0" w:name="_GoBack"/>
      <w:bookmarkEnd w:id="0"/>
      <w:r>
        <w:rPr>
          <w:rFonts w:hint="eastAsia" w:hAnsi="宋体" w:cs="宋体"/>
          <w:b/>
          <w:bCs/>
          <w:color w:val="auto"/>
          <w:sz w:val="28"/>
          <w:szCs w:val="28"/>
          <w:highlight w:val="none"/>
        </w:rPr>
        <w:t>政府采购合同（货物)</w:t>
      </w:r>
    </w:p>
    <w:p w14:paraId="6F91F52D">
      <w:pPr>
        <w:pStyle w:val="2"/>
        <w:spacing w:line="440" w:lineRule="exact"/>
        <w:rPr>
          <w:rFonts w:ascii="宋体" w:hAnsi="宋体" w:cs="宋体"/>
          <w:color w:val="auto"/>
          <w:szCs w:val="21"/>
          <w:highlight w:val="none"/>
        </w:rPr>
      </w:pPr>
    </w:p>
    <w:p w14:paraId="0DDAB9E7">
      <w:pPr>
        <w:pStyle w:val="14"/>
        <w:spacing w:line="360" w:lineRule="auto"/>
        <w:ind w:firstLine="420"/>
        <w:rPr>
          <w:rFonts w:hint="eastAsia" w:hAnsi="宋体" w:eastAsia="宋体" w:cs="宋体"/>
          <w:color w:val="auto"/>
          <w:sz w:val="21"/>
          <w:szCs w:val="21"/>
          <w:highlight w:val="none"/>
          <w:lang w:eastAsia="zh-CN"/>
        </w:rPr>
      </w:pPr>
      <w:r>
        <w:rPr>
          <w:rFonts w:hint="eastAsia" w:hAnsi="宋体" w:eastAsia="宋体" w:cs="宋体"/>
          <w:color w:val="auto"/>
          <w:sz w:val="21"/>
          <w:szCs w:val="21"/>
          <w:highlight w:val="none"/>
        </w:rPr>
        <w:t>项目名称：扬州大学附属医院固体饮料及复配食品添加剂采购项目</w:t>
      </w: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二次</w:t>
      </w:r>
      <w:r>
        <w:rPr>
          <w:rFonts w:hint="eastAsia" w:hAnsi="宋体" w:eastAsia="宋体" w:cs="宋体"/>
          <w:color w:val="auto"/>
          <w:sz w:val="21"/>
          <w:szCs w:val="21"/>
          <w:highlight w:val="none"/>
          <w:lang w:eastAsia="zh-CN"/>
        </w:rPr>
        <w:t>）</w:t>
      </w:r>
    </w:p>
    <w:p w14:paraId="04C058AB">
      <w:pPr>
        <w:pStyle w:val="14"/>
        <w:spacing w:line="360" w:lineRule="auto"/>
        <w:ind w:firstLine="420"/>
        <w:rPr>
          <w:rFonts w:hint="eastAsia" w:hAnsi="宋体" w:eastAsia="宋体" w:cs="宋体"/>
          <w:color w:val="auto"/>
          <w:sz w:val="21"/>
          <w:szCs w:val="21"/>
          <w:highlight w:val="none"/>
          <w:lang w:val="en-US" w:eastAsia="zh-CN"/>
        </w:rPr>
      </w:pPr>
      <w:r>
        <w:rPr>
          <w:rFonts w:hint="eastAsia" w:hAnsi="宋体" w:eastAsia="宋体" w:cs="宋体"/>
          <w:color w:val="auto"/>
          <w:sz w:val="21"/>
          <w:szCs w:val="21"/>
          <w:highlight w:val="none"/>
        </w:rPr>
        <w:t>项目编号：JSZC-320000-YZDC-G2026-0004</w:t>
      </w:r>
      <w:r>
        <w:rPr>
          <w:rFonts w:hint="eastAsia" w:hAnsi="宋体" w:eastAsia="宋体" w:cs="宋体"/>
          <w:color w:val="auto"/>
          <w:sz w:val="21"/>
          <w:szCs w:val="21"/>
          <w:highlight w:val="none"/>
          <w:lang w:val="en-US" w:eastAsia="zh-CN"/>
        </w:rPr>
        <w:t>号</w:t>
      </w:r>
    </w:p>
    <w:p w14:paraId="79367A2E">
      <w:pPr>
        <w:pStyle w:val="14"/>
        <w:spacing w:line="360" w:lineRule="auto"/>
        <w:ind w:firstLine="420"/>
        <w:rPr>
          <w:rFonts w:hint="default" w:hAnsi="宋体" w:eastAsia="宋体" w:cs="宋体"/>
          <w:color w:val="auto"/>
          <w:sz w:val="21"/>
          <w:szCs w:val="21"/>
          <w:highlight w:val="none"/>
          <w:lang w:val="en-US" w:eastAsia="zh-CN"/>
        </w:rPr>
      </w:pPr>
      <w:r>
        <w:rPr>
          <w:rFonts w:hint="eastAsia" w:hAnsi="宋体" w:eastAsia="宋体" w:cs="宋体"/>
          <w:color w:val="auto"/>
          <w:sz w:val="21"/>
          <w:szCs w:val="21"/>
          <w:highlight w:val="none"/>
          <w:lang w:val="en-US" w:eastAsia="zh-CN"/>
        </w:rPr>
        <w:t>审计编号：YDFYCGZX-后勤物资2026025</w:t>
      </w:r>
    </w:p>
    <w:p w14:paraId="622BABBE">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甲方：（买方）扬州大学附属医院</w:t>
      </w:r>
    </w:p>
    <w:p w14:paraId="72E17F67">
      <w:pPr>
        <w:pStyle w:val="14"/>
        <w:spacing w:line="360" w:lineRule="auto"/>
        <w:ind w:firstLine="420"/>
        <w:rPr>
          <w:rFonts w:hint="default" w:hAnsi="宋体" w:eastAsia="宋体" w:cs="宋体"/>
          <w:color w:val="auto"/>
          <w:sz w:val="21"/>
          <w:szCs w:val="21"/>
          <w:highlight w:val="none"/>
          <w:u w:val="single"/>
          <w:lang w:val="en-US" w:eastAsia="zh-CN"/>
        </w:rPr>
      </w:pPr>
      <w:r>
        <w:rPr>
          <w:rFonts w:hint="eastAsia" w:hAnsi="宋体" w:eastAsia="宋体" w:cs="宋体"/>
          <w:color w:val="auto"/>
          <w:sz w:val="21"/>
          <w:szCs w:val="21"/>
          <w:highlight w:val="none"/>
        </w:rPr>
        <w:t>乙方：（卖方）</w:t>
      </w:r>
      <w:r>
        <w:rPr>
          <w:rFonts w:hint="eastAsia" w:hAnsi="宋体" w:eastAsia="宋体" w:cs="宋体"/>
          <w:color w:val="auto"/>
          <w:sz w:val="21"/>
          <w:szCs w:val="21"/>
          <w:highlight w:val="none"/>
          <w:u w:val="single"/>
          <w:lang w:val="en-US" w:eastAsia="zh-CN"/>
        </w:rPr>
        <w:t>江苏医特食品有限公司</w:t>
      </w:r>
    </w:p>
    <w:p w14:paraId="2543F697">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甲、乙双方根据</w:t>
      </w:r>
      <w:r>
        <w:rPr>
          <w:rFonts w:hint="eastAsia" w:hAnsi="宋体" w:eastAsia="宋体" w:cs="宋体"/>
          <w:color w:val="auto"/>
          <w:sz w:val="21"/>
          <w:szCs w:val="21"/>
          <w:highlight w:val="none"/>
          <w:lang w:eastAsia="zh-CN"/>
        </w:rPr>
        <w:t>江苏省鼎诚建设工程顾问有限公司</w:t>
      </w:r>
      <w:r>
        <w:rPr>
          <w:rFonts w:hint="eastAsia" w:hAnsi="宋体" w:eastAsia="宋体" w:cs="宋体"/>
          <w:color w:val="auto"/>
          <w:sz w:val="21"/>
          <w:szCs w:val="21"/>
          <w:highlight w:val="none"/>
        </w:rPr>
        <w:t>公开招标的结果，签署本合同。</w:t>
      </w:r>
    </w:p>
    <w:p w14:paraId="39F6DB2C">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一、货物及伴随服务</w:t>
      </w:r>
    </w:p>
    <w:p w14:paraId="24485677">
      <w:pPr>
        <w:pStyle w:val="14"/>
        <w:spacing w:line="360" w:lineRule="auto"/>
        <w:ind w:firstLine="420"/>
        <w:rPr>
          <w:rFonts w:hint="eastAsia" w:hAnsi="宋体" w:eastAsia="宋体" w:cs="宋体"/>
          <w:color w:val="auto"/>
          <w:sz w:val="21"/>
          <w:szCs w:val="21"/>
          <w:highlight w:val="none"/>
          <w:lang w:eastAsia="zh-CN"/>
        </w:rPr>
      </w:pPr>
      <w:r>
        <w:rPr>
          <w:rFonts w:hint="eastAsia" w:hAnsi="宋体" w:eastAsia="宋体" w:cs="宋体"/>
          <w:color w:val="auto"/>
          <w:sz w:val="21"/>
          <w:szCs w:val="21"/>
          <w:highlight w:val="none"/>
        </w:rPr>
        <w:t>1.1 货物及服务名称：固体饮料及复配食品添加剂</w:t>
      </w: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采购包1：肠内营养配制固体饮料包</w:t>
      </w:r>
      <w:r>
        <w:rPr>
          <w:rFonts w:hint="eastAsia" w:hAnsi="宋体" w:eastAsia="宋体" w:cs="宋体"/>
          <w:color w:val="auto"/>
          <w:sz w:val="21"/>
          <w:szCs w:val="21"/>
          <w:highlight w:val="none"/>
          <w:lang w:eastAsia="zh-CN"/>
        </w:rPr>
        <w:t>）</w:t>
      </w:r>
    </w:p>
    <w:p w14:paraId="1A405C4D">
      <w:pPr>
        <w:pStyle w:val="14"/>
        <w:spacing w:line="360" w:lineRule="auto"/>
        <w:ind w:firstLine="420"/>
        <w:rPr>
          <w:rFonts w:hint="default" w:hAnsi="宋体" w:eastAsia="宋体" w:cs="宋体"/>
          <w:color w:val="auto"/>
          <w:sz w:val="21"/>
          <w:szCs w:val="21"/>
          <w:highlight w:val="none"/>
          <w:lang w:val="en-US" w:eastAsia="zh-CN"/>
        </w:rPr>
      </w:pPr>
      <w:r>
        <w:rPr>
          <w:rFonts w:hint="eastAsia" w:hAnsi="宋体" w:eastAsia="宋体" w:cs="宋体"/>
          <w:color w:val="auto"/>
          <w:sz w:val="21"/>
          <w:szCs w:val="21"/>
          <w:highlight w:val="none"/>
        </w:rPr>
        <w:t>1.2 型号规格：</w:t>
      </w:r>
      <w:r>
        <w:rPr>
          <w:rFonts w:hint="eastAsia" w:hAnsi="宋体" w:eastAsia="宋体" w:cs="宋体"/>
          <w:color w:val="auto"/>
          <w:sz w:val="21"/>
          <w:szCs w:val="21"/>
          <w:highlight w:val="none"/>
          <w:lang w:val="en-US" w:eastAsia="zh-CN"/>
        </w:rPr>
        <w:t>详见投标文件</w:t>
      </w:r>
    </w:p>
    <w:p w14:paraId="7CE618F3">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 数量（单位）</w:t>
      </w:r>
    </w:p>
    <w:p w14:paraId="28680289">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二、合同金额</w:t>
      </w:r>
    </w:p>
    <w:p w14:paraId="03CAC8DF">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2.1 本合同金额为（大写）：</w:t>
      </w:r>
      <w:r>
        <w:rPr>
          <w:rFonts w:hint="eastAsia" w:hAnsi="宋体" w:eastAsia="宋体" w:cs="宋体"/>
          <w:color w:val="auto"/>
          <w:sz w:val="21"/>
          <w:szCs w:val="21"/>
          <w:highlight w:val="none"/>
          <w:lang w:val="en-US" w:eastAsia="zh-CN"/>
        </w:rPr>
        <w:t>人民币</w:t>
      </w:r>
      <w:r>
        <w:rPr>
          <w:rFonts w:hint="eastAsia" w:hAnsi="宋体" w:eastAsia="宋体" w:cs="宋体"/>
          <w:color w:val="auto"/>
          <w:sz w:val="21"/>
          <w:szCs w:val="21"/>
          <w:highlight w:val="none"/>
          <w:u w:val="single"/>
          <w:lang w:val="en-US" w:eastAsia="zh-CN"/>
        </w:rPr>
        <w:t>贰佰叁拾捌万壹仟壹佰玖拾元叁角玖分</w:t>
      </w:r>
      <w:r>
        <w:rPr>
          <w:rFonts w:hint="eastAsia" w:hAnsi="宋体" w:eastAsia="宋体" w:cs="宋体"/>
          <w:color w:val="auto"/>
          <w:sz w:val="21"/>
          <w:szCs w:val="21"/>
          <w:highlight w:val="none"/>
        </w:rPr>
        <w:t>_（</w:t>
      </w:r>
      <w:r>
        <w:rPr>
          <w:rFonts w:hint="default" w:ascii="Arial" w:hAnsi="Arial" w:eastAsia="宋体" w:cs="Arial"/>
          <w:color w:val="auto"/>
          <w:sz w:val="21"/>
          <w:szCs w:val="21"/>
          <w:highlight w:val="none"/>
        </w:rPr>
        <w:t>¥</w:t>
      </w:r>
      <w:r>
        <w:rPr>
          <w:rFonts w:hint="eastAsia" w:hAnsi="宋体" w:eastAsia="宋体" w:cs="宋体"/>
          <w:color w:val="auto"/>
          <w:sz w:val="21"/>
          <w:szCs w:val="21"/>
          <w:highlight w:val="none"/>
          <w:u w:val="single"/>
          <w:lang w:val="en-US" w:eastAsia="zh-CN"/>
        </w:rPr>
        <w:t>2381190.39</w:t>
      </w:r>
      <w:r>
        <w:rPr>
          <w:rFonts w:hint="eastAsia" w:hAnsi="宋体" w:eastAsia="宋体" w:cs="宋体"/>
          <w:color w:val="auto"/>
          <w:sz w:val="21"/>
          <w:szCs w:val="21"/>
          <w:highlight w:val="none"/>
        </w:rPr>
        <w:t>）。</w:t>
      </w:r>
    </w:p>
    <w:p w14:paraId="23CF2AD7">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三、技术资料</w:t>
      </w:r>
    </w:p>
    <w:p w14:paraId="250ADD5F">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3.1乙方应按招标文件规定的时间向甲方提供使用货物及服务的有关技术资料。</w:t>
      </w:r>
    </w:p>
    <w:p w14:paraId="61402DD8">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37D4883">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四、知识产权</w:t>
      </w:r>
    </w:p>
    <w:p w14:paraId="5B9DCC5A">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4.1乙方应保证甲方在使用、接受本合同货物及服务或其任何一部分时不受第三方提出侵犯其专利权、版权、商标权和工业设计权等知识产权的起诉。一旦出现侵权，由乙方负全部责任。</w:t>
      </w:r>
    </w:p>
    <w:p w14:paraId="2E5F9596">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五、产权担保</w:t>
      </w:r>
    </w:p>
    <w:p w14:paraId="3930AE46">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5.1 乙方保证所交付的货物及服务的所有权完全属于乙方且无任何抵押、查封等产权瑕疵。</w:t>
      </w:r>
    </w:p>
    <w:p w14:paraId="267598E4">
      <w:pPr>
        <w:pStyle w:val="14"/>
        <w:spacing w:line="360" w:lineRule="auto"/>
        <w:ind w:firstLine="422"/>
        <w:rPr>
          <w:rFonts w:hAnsi="宋体" w:eastAsia="宋体" w:cs="宋体"/>
          <w:color w:val="auto"/>
          <w:sz w:val="21"/>
          <w:szCs w:val="21"/>
          <w:highlight w:val="none"/>
        </w:rPr>
      </w:pPr>
      <w:r>
        <w:rPr>
          <w:rFonts w:hint="eastAsia" w:hAnsi="宋体" w:eastAsia="宋体" w:cs="宋体"/>
          <w:b/>
          <w:bCs/>
          <w:color w:val="auto"/>
          <w:sz w:val="21"/>
          <w:szCs w:val="21"/>
          <w:highlight w:val="none"/>
        </w:rPr>
        <w:t>六、履约保证金</w:t>
      </w:r>
    </w:p>
    <w:p w14:paraId="383505C9">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6.1乙方在签订合同前须缴纳合同款</w:t>
      </w:r>
      <w:r>
        <w:rPr>
          <w:rFonts w:hint="eastAsia" w:hAnsi="宋体" w:eastAsia="宋体" w:cs="宋体"/>
          <w:color w:val="auto"/>
          <w:sz w:val="21"/>
          <w:szCs w:val="21"/>
          <w:highlight w:val="none"/>
          <w:lang w:val="en-US" w:eastAsia="zh-CN"/>
        </w:rPr>
        <w:t>10</w:t>
      </w:r>
      <w:r>
        <w:rPr>
          <w:rFonts w:hint="eastAsia" w:hAnsi="宋体" w:eastAsia="宋体" w:cs="宋体"/>
          <w:color w:val="auto"/>
          <w:sz w:val="21"/>
          <w:szCs w:val="21"/>
          <w:highlight w:val="none"/>
        </w:rPr>
        <w:t>%作为履约保证金至甲方指定账户。履约保证金用以约束乙方在合同履行中的行为，弥补合同执行中由于自身行为可能给甲方带来的各种损失。如果乙方不同意按照规定去做，甲方有权取消本次采购中标决定。</w:t>
      </w:r>
    </w:p>
    <w:p w14:paraId="7DBA19F5">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6.2履约保证金的退还：履约保证金在合作期满后7个工作日内退还，不计利息。乙方凭甲方人签署的项目验收单或项目验收报告、履约保证金收据原件，前往甲方处办理保证金退还手续。</w:t>
      </w:r>
    </w:p>
    <w:p w14:paraId="15BE8693">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6.3有下列情形之一的，履约保证金不予退还:</w:t>
      </w:r>
    </w:p>
    <w:p w14:paraId="05EDFE68">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（1）签订合同后甲方发现乙方在响应文件中提供虚假材料的；</w:t>
      </w:r>
    </w:p>
    <w:p w14:paraId="1610B1EC">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（2）乙方与甲方、其他供应商或者采购代理机构恶意串通的；</w:t>
      </w:r>
    </w:p>
    <w:p w14:paraId="3F9D6511">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（3）将成交项目转让给他人，或者在投标文件中未说明，且未经甲方同意，将成交项目分包给他人的；</w:t>
      </w:r>
    </w:p>
    <w:p w14:paraId="31F72E7E">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（4）除因不可抗力或招标文件认可的情形以外，中标供应商不与采购人签订合同的；</w:t>
      </w:r>
    </w:p>
    <w:p w14:paraId="6CC423D5">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（5）签订合同后因乙方原因无法履行合同或者拒绝履行合同义务的。</w:t>
      </w:r>
    </w:p>
    <w:p w14:paraId="662C700D">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七、转包或分包</w:t>
      </w:r>
    </w:p>
    <w:p w14:paraId="4B65DA0A">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7.1本合同范围的货物及服务，应由乙方直接供应，不得转让他人供应；</w:t>
      </w:r>
    </w:p>
    <w:p w14:paraId="5801E64D">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7.2 除非得到甲方的书面同意，乙方不得部分分包给他人供应。</w:t>
      </w:r>
    </w:p>
    <w:p w14:paraId="55ACCDBB">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7.3如有转让和未经甲方同意的分包行为，甲方有权给予终止合同。</w:t>
      </w:r>
    </w:p>
    <w:p w14:paraId="5CEFAB77">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八、质保期</w:t>
      </w:r>
    </w:p>
    <w:p w14:paraId="092BC1AC">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8.1 质保期</w:t>
      </w:r>
      <w:r>
        <w:rPr>
          <w:rFonts w:hint="eastAsia" w:hAnsi="宋体" w:eastAsia="宋体" w:cs="宋体"/>
          <w:color w:val="auto"/>
          <w:sz w:val="21"/>
          <w:szCs w:val="21"/>
          <w:highlight w:val="none"/>
          <w:lang w:val="en-US" w:eastAsia="zh-CN"/>
        </w:rPr>
        <w:t>至少</w:t>
      </w:r>
      <w:r>
        <w:rPr>
          <w:rFonts w:hint="eastAsia" w:hAnsi="宋体" w:eastAsia="宋体" w:cs="宋体"/>
          <w:color w:val="auto"/>
          <w:sz w:val="21"/>
          <w:szCs w:val="21"/>
          <w:highlight w:val="none"/>
        </w:rPr>
        <w:t>1年。（自交货验收合格之日起计）</w:t>
      </w:r>
    </w:p>
    <w:p w14:paraId="645A020F">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九、交付期、交付方式及交付地点</w:t>
      </w:r>
    </w:p>
    <w:p w14:paraId="7CA21713">
      <w:pPr>
        <w:pStyle w:val="14"/>
        <w:spacing w:line="360" w:lineRule="auto"/>
        <w:ind w:firstLine="420"/>
        <w:rPr>
          <w:rFonts w:hAnsi="宋体" w:eastAsia="宋体" w:cs="宋体"/>
          <w:color w:val="auto"/>
          <w:sz w:val="21"/>
          <w:szCs w:val="21"/>
          <w:highlight w:val="none"/>
          <w:u w:val="single"/>
        </w:rPr>
      </w:pPr>
      <w:r>
        <w:rPr>
          <w:rFonts w:hint="eastAsia" w:hAnsi="宋体" w:eastAsia="宋体" w:cs="宋体"/>
          <w:color w:val="auto"/>
          <w:sz w:val="21"/>
          <w:szCs w:val="21"/>
          <w:highlight w:val="none"/>
        </w:rPr>
        <w:t xml:space="preserve">9.1 </w:t>
      </w:r>
      <w:r>
        <w:rPr>
          <w:rFonts w:hint="eastAsia" w:hAnsi="宋体" w:eastAsia="宋体" w:cs="宋体"/>
          <w:color w:val="auto"/>
          <w:sz w:val="21"/>
          <w:szCs w:val="21"/>
          <w:highlight w:val="none"/>
          <w:lang w:eastAsia="zh-CN"/>
        </w:rPr>
        <w:t>合同履行期限：</w:t>
      </w:r>
      <w:r>
        <w:rPr>
          <w:rFonts w:hint="eastAsia" w:hAnsi="宋体" w:eastAsia="宋体" w:cs="宋体"/>
          <w:color w:val="auto"/>
          <w:sz w:val="21"/>
          <w:szCs w:val="21"/>
          <w:highlight w:val="none"/>
          <w:u w:val="single"/>
          <w:lang w:eastAsia="zh-CN"/>
        </w:rPr>
        <w:t>自合同签订之日起至2026年12月31日</w:t>
      </w:r>
    </w:p>
    <w:p w14:paraId="5100C1A8">
      <w:pPr>
        <w:pStyle w:val="14"/>
        <w:spacing w:line="360" w:lineRule="auto"/>
        <w:ind w:firstLine="420"/>
        <w:rPr>
          <w:rFonts w:hint="default" w:hAnsi="宋体" w:eastAsia="宋体" w:cs="宋体"/>
          <w:color w:val="auto"/>
          <w:sz w:val="21"/>
          <w:szCs w:val="21"/>
          <w:highlight w:val="none"/>
          <w:lang w:val="en-US" w:eastAsia="zh-CN"/>
        </w:rPr>
      </w:pPr>
      <w:r>
        <w:rPr>
          <w:rFonts w:hint="eastAsia" w:hAnsi="宋体" w:eastAsia="宋体" w:cs="宋体"/>
          <w:color w:val="auto"/>
          <w:sz w:val="21"/>
          <w:szCs w:val="21"/>
          <w:highlight w:val="none"/>
          <w:lang w:val="en-US" w:eastAsia="zh-CN"/>
        </w:rPr>
        <w:t>9.2交货时间：</w:t>
      </w:r>
      <w:r>
        <w:rPr>
          <w:rFonts w:hint="eastAsia" w:hAnsi="宋体" w:eastAsia="宋体" w:cs="宋体"/>
          <w:color w:val="auto"/>
          <w:sz w:val="21"/>
          <w:szCs w:val="21"/>
          <w:highlight w:val="none"/>
          <w:u w:val="single"/>
          <w:lang w:val="en-US" w:eastAsia="zh-CN"/>
        </w:rPr>
        <w:t>医院采购中心发出订货通知5天内。</w:t>
      </w:r>
    </w:p>
    <w:p w14:paraId="2242E6A1">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9.</w:t>
      </w:r>
      <w:r>
        <w:rPr>
          <w:rFonts w:hint="eastAsia" w:hAnsi="宋体" w:eastAsia="宋体" w:cs="宋体"/>
          <w:color w:val="auto"/>
          <w:sz w:val="21"/>
          <w:szCs w:val="21"/>
          <w:highlight w:val="none"/>
          <w:lang w:val="en-US" w:eastAsia="zh-CN"/>
        </w:rPr>
        <w:t>3</w:t>
      </w:r>
      <w:r>
        <w:rPr>
          <w:rFonts w:hint="eastAsia" w:hAnsi="宋体" w:eastAsia="宋体" w:cs="宋体"/>
          <w:color w:val="auto"/>
          <w:sz w:val="21"/>
          <w:szCs w:val="21"/>
          <w:highlight w:val="none"/>
        </w:rPr>
        <w:t xml:space="preserve"> 交付方式：</w:t>
      </w:r>
      <w:r>
        <w:rPr>
          <w:rFonts w:hint="eastAsia" w:hAnsi="宋体" w:eastAsia="宋体" w:cs="宋体"/>
          <w:color w:val="auto"/>
          <w:sz w:val="21"/>
          <w:szCs w:val="21"/>
          <w:highlight w:val="none"/>
          <w:u w:val="single"/>
        </w:rPr>
        <w:t>甲方指定方式</w:t>
      </w:r>
    </w:p>
    <w:p w14:paraId="348AC03C">
      <w:pPr>
        <w:pStyle w:val="14"/>
        <w:spacing w:line="360" w:lineRule="auto"/>
        <w:ind w:firstLine="420"/>
        <w:rPr>
          <w:rFonts w:hAnsi="宋体" w:eastAsia="宋体" w:cs="宋体"/>
          <w:color w:val="auto"/>
          <w:sz w:val="21"/>
          <w:szCs w:val="21"/>
          <w:highlight w:val="none"/>
          <w:u w:val="single"/>
        </w:rPr>
      </w:pPr>
      <w:r>
        <w:rPr>
          <w:rFonts w:hint="eastAsia" w:hAnsi="宋体" w:eastAsia="宋体" w:cs="宋体"/>
          <w:color w:val="auto"/>
          <w:sz w:val="21"/>
          <w:szCs w:val="21"/>
          <w:highlight w:val="none"/>
        </w:rPr>
        <w:t>9.</w:t>
      </w:r>
      <w:r>
        <w:rPr>
          <w:rFonts w:hint="eastAsia" w:hAnsi="宋体" w:eastAsia="宋体" w:cs="宋体"/>
          <w:color w:val="auto"/>
          <w:sz w:val="21"/>
          <w:szCs w:val="21"/>
          <w:highlight w:val="none"/>
          <w:lang w:val="en-US" w:eastAsia="zh-CN"/>
        </w:rPr>
        <w:t>4</w:t>
      </w:r>
      <w:r>
        <w:rPr>
          <w:rFonts w:hint="eastAsia" w:hAnsi="宋体" w:eastAsia="宋体" w:cs="宋体"/>
          <w:color w:val="auto"/>
          <w:sz w:val="21"/>
          <w:szCs w:val="21"/>
          <w:highlight w:val="none"/>
        </w:rPr>
        <w:t xml:space="preserve"> 交付地点：</w:t>
      </w:r>
      <w:r>
        <w:rPr>
          <w:rFonts w:hint="eastAsia" w:hAnsi="宋体" w:eastAsia="宋体" w:cs="宋体"/>
          <w:color w:val="auto"/>
          <w:sz w:val="21"/>
          <w:szCs w:val="21"/>
          <w:highlight w:val="none"/>
          <w:u w:val="single"/>
        </w:rPr>
        <w:t>甲方指定地点</w:t>
      </w:r>
    </w:p>
    <w:p w14:paraId="2C393B5B">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十、货款支付</w:t>
      </w:r>
    </w:p>
    <w:p w14:paraId="1FEB7CE8">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 xml:space="preserve">10.1 本合同项下所有款项均以人民币支付。 </w:t>
      </w:r>
    </w:p>
    <w:p w14:paraId="401EF9D2">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10.2 本合同项下的采购资金由甲方支付，付款前乙方向甲方开具发票。</w:t>
      </w:r>
    </w:p>
    <w:p w14:paraId="14C61DCC">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10.3 甲方付款方式：</w:t>
      </w:r>
    </w:p>
    <w:p w14:paraId="42C9E895">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合同生效后，乙方按甲方需求即时配送，并将商品送到甲方指定地点，经甲方指定人员验收，验收合格的可在一个月内结算费用。每次结算金额以甲方签收入库的供应数量*合同单价计算，乙方必须提供甲方的验收单及开具的正规增值税发票等材料交甲方办理付款手续，甲方凭手续齐全的单据支付该批次货款。</w:t>
      </w:r>
    </w:p>
    <w:p w14:paraId="6D073E09">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十一、税费</w:t>
      </w:r>
    </w:p>
    <w:p w14:paraId="6C11F18C">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11.1本合同执行中相关的一切税费均由乙方负担。</w:t>
      </w:r>
    </w:p>
    <w:p w14:paraId="04532F58">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十二、质量保证及售后服务</w:t>
      </w:r>
    </w:p>
    <w:p w14:paraId="18031570">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12.1 乙方应按招标文件规定的货物及服务性能、技术要求、质量标准向甲方提供。</w:t>
      </w:r>
    </w:p>
    <w:p w14:paraId="6C19C942">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12.2 乙方提供的货物及服务在质量期内因服务及产品本身的质量问题发生故障，乙方应负责免费更换。对达不到技术要求者，根据实际情况，经双方协商，可按以下办法处理：</w:t>
      </w:r>
    </w:p>
    <w:p w14:paraId="5BD4D9F8">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⑴更换：由乙方承担所发生的全部费用。</w:t>
      </w:r>
    </w:p>
    <w:p w14:paraId="2451FCDC">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⑵贬值处理：由甲乙双方合议定价。</w:t>
      </w:r>
    </w:p>
    <w:p w14:paraId="19760E24">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⑶退还处理：乙方应退还甲方支付的合同款，同时应承担该货物及服务的直接费用（运输、保险、检验、款项利息及银行手续费等）。</w:t>
      </w:r>
    </w:p>
    <w:p w14:paraId="548A3952">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12.3 如在使用过程中发生质量问题，乙方在接到甲方通知后在</w:t>
      </w:r>
      <w:r>
        <w:rPr>
          <w:rFonts w:hint="eastAsia" w:hAnsi="宋体" w:eastAsia="宋体" w:cs="宋体"/>
          <w:color w:val="auto"/>
          <w:sz w:val="21"/>
          <w:szCs w:val="21"/>
          <w:highlight w:val="none"/>
          <w:lang w:val="en-US" w:eastAsia="zh-CN"/>
        </w:rPr>
        <w:t>24</w:t>
      </w:r>
      <w:r>
        <w:rPr>
          <w:rFonts w:hint="eastAsia" w:hAnsi="宋体" w:eastAsia="宋体" w:cs="宋体"/>
          <w:color w:val="auto"/>
          <w:sz w:val="21"/>
          <w:szCs w:val="21"/>
          <w:highlight w:val="none"/>
        </w:rPr>
        <w:t>小时内到达甲方现场。</w:t>
      </w:r>
    </w:p>
    <w:p w14:paraId="4578557C">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12.4 在质保期内，乙方应对货物及服务出现的质量及安全问题负责处理解决并承担一切费用。</w:t>
      </w:r>
    </w:p>
    <w:p w14:paraId="23F9A580">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12.5上述的货物及服务免费保修期为</w:t>
      </w:r>
      <w:r>
        <w:rPr>
          <w:rFonts w:hint="eastAsia" w:hAnsi="宋体" w:eastAsia="宋体" w:cs="宋体"/>
          <w:color w:val="auto"/>
          <w:sz w:val="21"/>
          <w:szCs w:val="21"/>
          <w:highlight w:val="none"/>
          <w:lang w:val="en-US" w:eastAsia="zh-CN"/>
        </w:rPr>
        <w:t>2</w:t>
      </w:r>
      <w:r>
        <w:rPr>
          <w:rFonts w:hint="eastAsia" w:hAnsi="宋体" w:eastAsia="宋体" w:cs="宋体"/>
          <w:color w:val="auto"/>
          <w:sz w:val="21"/>
          <w:szCs w:val="21"/>
          <w:highlight w:val="none"/>
        </w:rPr>
        <w:t>年，因人为因素出现的故障不在免费保修范围内。超过保修期的机器设备，终生维修，维修时只收部件成本费。</w:t>
      </w:r>
    </w:p>
    <w:p w14:paraId="3541654E">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十三、调试和验收</w:t>
      </w:r>
    </w:p>
    <w:p w14:paraId="2133282F">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13.1 甲方对乙方提交的货物及服务依据招标文件上的技术规格要求和国家有关质量标准进行现场初步验收，外观、说明书符合招标文件技术要求的，给予签收，初步验收不合格的不予签收。交付后，甲方需在五个工作日内验收。</w:t>
      </w:r>
    </w:p>
    <w:p w14:paraId="4FEAC4B2">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13.2 乙方交付前应对货物及服务作出全面检查和对验收文件进行整理，并列出清单，作为甲方交付验收和使用的技术条件依据，检验的结果应随货物及服务交甲方。</w:t>
      </w:r>
    </w:p>
    <w:p w14:paraId="5BBB5142">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13.3 甲方对乙方提供的货物及服务在使用前进行调试时，乙方需负责安装并培训甲方的使用操作人员，并协助甲方一起调试，直到符合技术要求，甲方才做最终验收。</w:t>
      </w:r>
    </w:p>
    <w:p w14:paraId="1B692994">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13.4 对技术复杂的货物及服务，甲方可请国家认可的专业检测机构参与初步验收及最终验收，并由其出具质量检测报告。</w:t>
      </w:r>
    </w:p>
    <w:p w14:paraId="77E15B18">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13.5 验收时乙方必须在现场，验收完毕后作出验收结果报告；验收费用由甲乙双方协商解决。</w:t>
      </w:r>
    </w:p>
    <w:p w14:paraId="6A0EFC0A">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十四、货物及服务包装、发运及运输</w:t>
      </w:r>
    </w:p>
    <w:p w14:paraId="32A9BFC5">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14.1 乙方应在货物及服务发运前对其进行满足运输距离、防潮、防震、防锈和防破损装卸等要求包装，以保证货物及服务安全运达甲方指定地点。</w:t>
      </w:r>
    </w:p>
    <w:p w14:paraId="24797CCA">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14.2 使用说明书、质量检验证明书、随配附件和工具以及清单一并交付甲方。</w:t>
      </w:r>
    </w:p>
    <w:p w14:paraId="3E8D1728">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14.3 乙方在货物及服务发运手续办理完毕后24小时内或交付到甲方48小时前通知甲方，以准备接受交付。</w:t>
      </w:r>
    </w:p>
    <w:p w14:paraId="1BFD6A41">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14.4 货物在交付甲方前发生的风险均由乙方负责。</w:t>
      </w:r>
    </w:p>
    <w:p w14:paraId="3ED6D429">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14.5 货物及服务在规定的交付期限内由乙方送达甲方指定的地点视为交付，乙方同时需通知甲方货物及服务已送达。</w:t>
      </w:r>
    </w:p>
    <w:p w14:paraId="2EA5F65C">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十五、违约责任</w:t>
      </w:r>
    </w:p>
    <w:p w14:paraId="047A4F0E">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15.1 甲方无正当理由拒收货物及服务的，甲方向乙方偿付拒收款项总值的百分之五违约金。</w:t>
      </w:r>
    </w:p>
    <w:p w14:paraId="31695E0C">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15.2 甲方无故逾期验收和办理款项支付手续的,甲方应按逾期付款总额每日万分之五向乙方支付违约金。</w:t>
      </w:r>
    </w:p>
    <w:p w14:paraId="37D18FBA">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 xml:space="preserve">15.3 乙方逾期交付货物及服务的，乙方应按逾期交付总额每日千分之六向甲方支付违约金，由甲方从待付款项中扣除。逾期超过约定日期10个工作日不能交付的，甲方可解除本合同。乙方因逾期交付或因其他违约行为导致甲方解除合同的，乙方应向甲方支付合同总值5%的违约金，如造成甲方损失超过违约金的，超出部分由乙方继续承担赔偿责任。 </w:t>
      </w:r>
    </w:p>
    <w:p w14:paraId="34EE27B1">
      <w:pPr>
        <w:pStyle w:val="14"/>
        <w:spacing w:line="360" w:lineRule="auto"/>
        <w:ind w:firstLine="420"/>
        <w:rPr>
          <w:rFonts w:hint="eastAsia" w:hAnsi="宋体" w:eastAsia="宋体" w:cs="宋体"/>
          <w:color w:val="auto"/>
          <w:sz w:val="21"/>
          <w:szCs w:val="21"/>
          <w:highlight w:val="none"/>
        </w:rPr>
      </w:pPr>
      <w:r>
        <w:rPr>
          <w:rFonts w:hint="eastAsia" w:hAnsi="宋体" w:eastAsia="宋体" w:cs="宋体"/>
          <w:color w:val="auto"/>
          <w:sz w:val="21"/>
          <w:szCs w:val="21"/>
          <w:highlight w:val="none"/>
        </w:rPr>
        <w:t>15.4 乙方所交的货物及服务数量、质量不符合合同规定及招标文件规定标准的，甲方有权拒收该货物及服务，乙方愿意更换货物及服务但逾期交付的，按乙方逾期交付处理。乙方拒绝更换货物及服务的，甲方可单方面解除合同。</w:t>
      </w:r>
    </w:p>
    <w:p w14:paraId="1C3D2996">
      <w:pPr>
        <w:pStyle w:val="14"/>
        <w:spacing w:line="360" w:lineRule="auto"/>
        <w:ind w:firstLine="420"/>
        <w:rPr>
          <w:rFonts w:hint="eastAsia" w:hAnsi="宋体" w:eastAsia="宋体" w:cs="宋体"/>
          <w:color w:val="auto"/>
          <w:sz w:val="21"/>
          <w:szCs w:val="21"/>
          <w:highlight w:val="none"/>
        </w:rPr>
      </w:pPr>
      <w:r>
        <w:rPr>
          <w:rFonts w:hint="eastAsia" w:hAnsi="宋体" w:eastAsia="宋体" w:cs="宋体"/>
          <w:color w:val="auto"/>
          <w:sz w:val="21"/>
          <w:szCs w:val="21"/>
          <w:highlight w:val="none"/>
          <w:lang w:val="en-US" w:eastAsia="zh-CN"/>
        </w:rPr>
        <w:t>15.5 乙方应加强工作人员的管理，禁止乙方以各种手段腐蚀、贿赂甲方单位工作人员，并将诚信档案记录的工作人员违规不良行为纳入违约行为,如有违反，甲方将停止履行合同，并追究乙方违约责任。</w:t>
      </w:r>
    </w:p>
    <w:p w14:paraId="31954BD3">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十六、不可抗力事件处理</w:t>
      </w:r>
    </w:p>
    <w:p w14:paraId="5638798E">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16.1 在合同有效期内，任何一方因不可抗力事件导致不能履行合同，则合同履行期可延长，其延长期与不可抗力影响期相同。</w:t>
      </w:r>
    </w:p>
    <w:p w14:paraId="27F5B80F">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16.2 不可抗力事件发生后，应立即通知对方，并寄送有关权威机构出具的证明。</w:t>
      </w:r>
    </w:p>
    <w:p w14:paraId="050190CB">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16.3 不可抗力事件延续120天以上，双方应通过友好协商，确定是否继续履行合同。</w:t>
      </w:r>
    </w:p>
    <w:p w14:paraId="53525086">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十七、诉讼</w:t>
      </w:r>
    </w:p>
    <w:p w14:paraId="72005AF5">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17.1 双方在执行合同中所发生的一切争议，应通过协商解决。如协商不成，可向合同签订地法院起诉，合同签订地在此约定为扬州市。</w:t>
      </w:r>
    </w:p>
    <w:p w14:paraId="3A088E11">
      <w:pPr>
        <w:spacing w:line="360" w:lineRule="auto"/>
        <w:ind w:firstLine="422"/>
        <w:rPr>
          <w:rFonts w:ascii="宋体" w:hAnsi="宋体" w:cs="宋体"/>
          <w:color w:val="auto"/>
          <w:szCs w:val="21"/>
          <w:highlight w:val="none"/>
        </w:rPr>
      </w:pPr>
      <w:r>
        <w:rPr>
          <w:rFonts w:hint="eastAsia" w:ascii="宋体" w:hAnsi="宋体" w:cs="宋体"/>
          <w:b/>
          <w:bCs/>
          <w:color w:val="auto"/>
          <w:szCs w:val="21"/>
          <w:highlight w:val="none"/>
        </w:rPr>
        <w:t>十八、</w:t>
      </w:r>
      <w:r>
        <w:rPr>
          <w:rFonts w:hint="eastAsia" w:ascii="宋体" w:hAnsi="宋体" w:cs="宋体"/>
          <w:bCs/>
          <w:color w:val="auto"/>
          <w:szCs w:val="21"/>
          <w:highlight w:val="none"/>
        </w:rPr>
        <w:t>为落实好政府采购履约资金扶持政策，乙方可凭政府采购合同办理融资贷款，详见江苏政府采购网“政采贷”专栏</w:t>
      </w:r>
      <w:r>
        <w:rPr>
          <w:rFonts w:hint="eastAsia" w:ascii="宋体" w:hAnsi="宋体" w:cs="宋体"/>
          <w:color w:val="auto"/>
          <w:szCs w:val="21"/>
          <w:highlight w:val="none"/>
        </w:rPr>
        <w:t>。</w:t>
      </w:r>
    </w:p>
    <w:p w14:paraId="6C128D08">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十九、合同生效及其它</w:t>
      </w:r>
    </w:p>
    <w:p w14:paraId="20E786F5">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19.1 合同经双方法定代表人或授权委托代表人签字并加盖单位公章或合同专用章后生效。</w:t>
      </w:r>
    </w:p>
    <w:p w14:paraId="1BA33D92">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19.2本合同未尽事宜，遵照《</w:t>
      </w:r>
      <w:r>
        <w:rPr>
          <w:rFonts w:hint="eastAsia" w:hAnsi="宋体" w:eastAsia="宋体" w:cs="宋体"/>
          <w:color w:val="auto"/>
          <w:sz w:val="21"/>
          <w:szCs w:val="21"/>
          <w:highlight w:val="none"/>
          <w:lang w:val="en-US" w:eastAsia="zh-CN"/>
        </w:rPr>
        <w:t>中华人民共和国</w:t>
      </w:r>
      <w:r>
        <w:rPr>
          <w:rFonts w:hint="eastAsia" w:hAnsi="宋体" w:eastAsia="宋体" w:cs="宋体"/>
          <w:color w:val="auto"/>
          <w:sz w:val="21"/>
          <w:szCs w:val="21"/>
          <w:highlight w:val="none"/>
        </w:rPr>
        <w:t>民法典》有关条文执行。</w:t>
      </w:r>
    </w:p>
    <w:p w14:paraId="616D6D48">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 xml:space="preserve">19.3 本合同正本一式四份，具有同等法律效力，甲方、乙方各执贰份。 </w:t>
      </w:r>
    </w:p>
    <w:p w14:paraId="73946B85">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 xml:space="preserve"> </w:t>
      </w:r>
    </w:p>
    <w:tbl>
      <w:tblPr>
        <w:tblStyle w:val="8"/>
        <w:tblW w:w="8379" w:type="dxa"/>
        <w:tblInd w:w="27" w:type="dxa"/>
        <w:tblLayout w:type="fixed"/>
        <w:tblCellMar>
          <w:top w:w="0" w:type="dxa"/>
          <w:left w:w="108" w:type="dxa"/>
          <w:bottom w:w="0" w:type="dxa"/>
          <w:right w:w="108" w:type="dxa"/>
        </w:tblCellMar>
      </w:tblPr>
      <w:tblGrid>
        <w:gridCol w:w="4212"/>
        <w:gridCol w:w="4167"/>
      </w:tblGrid>
      <w:tr w14:paraId="78BD3B71">
        <w:tblPrEx>
          <w:tblCellMar>
            <w:top w:w="0" w:type="dxa"/>
            <w:left w:w="108" w:type="dxa"/>
            <w:bottom w:w="0" w:type="dxa"/>
            <w:right w:w="108" w:type="dxa"/>
          </w:tblCellMar>
        </w:tblPrEx>
        <w:trPr>
          <w:trHeight w:val="160" w:hRule="atLeast"/>
        </w:trPr>
        <w:tc>
          <w:tcPr>
            <w:tcW w:w="4212" w:type="dxa"/>
            <w:tcBorders>
              <w:top w:val="nil"/>
              <w:left w:val="nil"/>
              <w:bottom w:val="nil"/>
              <w:right w:val="nil"/>
            </w:tcBorders>
          </w:tcPr>
          <w:p w14:paraId="6DBDF55C">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甲方：扬州大学附属医院</w:t>
            </w:r>
          </w:p>
        </w:tc>
        <w:tc>
          <w:tcPr>
            <w:tcW w:w="4167" w:type="dxa"/>
            <w:tcBorders>
              <w:top w:val="nil"/>
              <w:left w:val="nil"/>
              <w:bottom w:val="nil"/>
              <w:right w:val="nil"/>
            </w:tcBorders>
          </w:tcPr>
          <w:p w14:paraId="3CABA50F">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 xml:space="preserve">乙方： </w:t>
            </w:r>
            <w:r>
              <w:rPr>
                <w:rFonts w:hint="eastAsia" w:hAnsi="宋体" w:eastAsia="宋体" w:cs="宋体"/>
                <w:color w:val="auto"/>
                <w:sz w:val="21"/>
                <w:szCs w:val="21"/>
                <w:highlight w:val="none"/>
                <w:lang w:val="en-US" w:eastAsia="zh-CN"/>
              </w:rPr>
              <w:t>江苏医特食品有限公司</w:t>
            </w:r>
          </w:p>
        </w:tc>
      </w:tr>
      <w:tr w14:paraId="515B20B6">
        <w:tblPrEx>
          <w:tblCellMar>
            <w:top w:w="0" w:type="dxa"/>
            <w:left w:w="108" w:type="dxa"/>
            <w:bottom w:w="0" w:type="dxa"/>
            <w:right w:w="108" w:type="dxa"/>
          </w:tblCellMar>
        </w:tblPrEx>
        <w:trPr>
          <w:trHeight w:val="90" w:hRule="atLeast"/>
        </w:trPr>
        <w:tc>
          <w:tcPr>
            <w:tcW w:w="4212" w:type="dxa"/>
            <w:tcBorders>
              <w:top w:val="nil"/>
              <w:left w:val="nil"/>
              <w:bottom w:val="nil"/>
              <w:right w:val="nil"/>
            </w:tcBorders>
          </w:tcPr>
          <w:p w14:paraId="4C87D3FC">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地址：扬州市邗江中路368号</w:t>
            </w:r>
          </w:p>
        </w:tc>
        <w:tc>
          <w:tcPr>
            <w:tcW w:w="4167" w:type="dxa"/>
            <w:tcBorders>
              <w:top w:val="nil"/>
              <w:left w:val="nil"/>
              <w:bottom w:val="nil"/>
              <w:right w:val="nil"/>
            </w:tcBorders>
          </w:tcPr>
          <w:p w14:paraId="4AA77574">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地址：</w:t>
            </w:r>
            <w:r>
              <w:rPr>
                <w:rFonts w:hint="eastAsia" w:hAnsi="宋体" w:eastAsia="宋体" w:cs="宋体"/>
                <w:color w:val="auto"/>
                <w:sz w:val="21"/>
                <w:szCs w:val="21"/>
                <w:highlight w:val="none"/>
                <w:lang w:val="en-US" w:eastAsia="zh-CN"/>
              </w:rPr>
              <w:t>无锡市滨湖区华润悦府13号3060室</w:t>
            </w:r>
          </w:p>
        </w:tc>
      </w:tr>
      <w:tr w14:paraId="2AB9E6D9">
        <w:tblPrEx>
          <w:tblCellMar>
            <w:top w:w="0" w:type="dxa"/>
            <w:left w:w="108" w:type="dxa"/>
            <w:bottom w:w="0" w:type="dxa"/>
            <w:right w:w="108" w:type="dxa"/>
          </w:tblCellMar>
        </w:tblPrEx>
        <w:trPr>
          <w:trHeight w:val="90" w:hRule="atLeast"/>
        </w:trPr>
        <w:tc>
          <w:tcPr>
            <w:tcW w:w="4212" w:type="dxa"/>
            <w:tcBorders>
              <w:top w:val="nil"/>
              <w:left w:val="nil"/>
              <w:bottom w:val="nil"/>
              <w:right w:val="nil"/>
            </w:tcBorders>
          </w:tcPr>
          <w:p w14:paraId="209BBE9E">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法定代表人或授权代表：</w:t>
            </w:r>
          </w:p>
        </w:tc>
        <w:tc>
          <w:tcPr>
            <w:tcW w:w="4167" w:type="dxa"/>
            <w:tcBorders>
              <w:top w:val="nil"/>
              <w:left w:val="nil"/>
              <w:bottom w:val="nil"/>
              <w:right w:val="nil"/>
            </w:tcBorders>
          </w:tcPr>
          <w:p w14:paraId="2447C907">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法定代表人或授权代表：</w:t>
            </w:r>
          </w:p>
        </w:tc>
      </w:tr>
      <w:tr w14:paraId="43705015">
        <w:tblPrEx>
          <w:tblCellMar>
            <w:top w:w="0" w:type="dxa"/>
            <w:left w:w="108" w:type="dxa"/>
            <w:bottom w:w="0" w:type="dxa"/>
            <w:right w:w="108" w:type="dxa"/>
          </w:tblCellMar>
        </w:tblPrEx>
        <w:trPr>
          <w:trHeight w:val="90" w:hRule="atLeast"/>
        </w:trPr>
        <w:tc>
          <w:tcPr>
            <w:tcW w:w="4212" w:type="dxa"/>
            <w:tcBorders>
              <w:top w:val="nil"/>
              <w:left w:val="nil"/>
              <w:bottom w:val="nil"/>
              <w:right w:val="nil"/>
            </w:tcBorders>
          </w:tcPr>
          <w:p w14:paraId="181A3AD6">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联系电话：</w:t>
            </w:r>
          </w:p>
        </w:tc>
        <w:tc>
          <w:tcPr>
            <w:tcW w:w="4167" w:type="dxa"/>
            <w:tcBorders>
              <w:top w:val="nil"/>
              <w:left w:val="nil"/>
              <w:bottom w:val="nil"/>
              <w:right w:val="nil"/>
            </w:tcBorders>
          </w:tcPr>
          <w:p w14:paraId="627649FA">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联系电话：</w:t>
            </w:r>
          </w:p>
        </w:tc>
      </w:tr>
      <w:tr w14:paraId="09F746A4">
        <w:tblPrEx>
          <w:tblCellMar>
            <w:top w:w="0" w:type="dxa"/>
            <w:left w:w="108" w:type="dxa"/>
            <w:bottom w:w="0" w:type="dxa"/>
            <w:right w:w="108" w:type="dxa"/>
          </w:tblCellMar>
        </w:tblPrEx>
        <w:trPr>
          <w:trHeight w:val="90" w:hRule="atLeast"/>
        </w:trPr>
        <w:tc>
          <w:tcPr>
            <w:tcW w:w="4212" w:type="dxa"/>
            <w:tcBorders>
              <w:top w:val="nil"/>
              <w:left w:val="nil"/>
              <w:bottom w:val="nil"/>
              <w:right w:val="nil"/>
            </w:tcBorders>
          </w:tcPr>
          <w:p w14:paraId="57CA87F3">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日期：</w:t>
            </w:r>
            <w:r>
              <w:rPr>
                <w:rFonts w:hint="eastAsia" w:hAnsi="宋体" w:eastAsia="宋体" w:cs="宋体"/>
                <w:color w:val="auto"/>
                <w:sz w:val="21"/>
                <w:szCs w:val="21"/>
                <w:highlight w:val="none"/>
                <w:lang w:val="en-US" w:eastAsia="zh-CN"/>
              </w:rPr>
              <w:t>2026</w:t>
            </w:r>
            <w:r>
              <w:rPr>
                <w:rFonts w:hint="eastAsia" w:hAnsi="宋体" w:eastAsia="宋体" w:cs="宋体"/>
                <w:color w:val="auto"/>
                <w:sz w:val="21"/>
                <w:szCs w:val="21"/>
                <w:highlight w:val="none"/>
              </w:rPr>
              <w:t>年</w:t>
            </w:r>
            <w:r>
              <w:rPr>
                <w:rFonts w:hint="eastAsia" w:hAnsi="宋体" w:eastAsia="宋体" w:cs="宋体"/>
                <w:color w:val="auto"/>
                <w:sz w:val="21"/>
                <w:szCs w:val="21"/>
                <w:highlight w:val="none"/>
                <w:lang w:val="en-US" w:eastAsia="zh-CN"/>
              </w:rPr>
              <w:t xml:space="preserve">   </w:t>
            </w:r>
            <w:r>
              <w:rPr>
                <w:rFonts w:hint="eastAsia" w:hAnsi="宋体" w:eastAsia="宋体" w:cs="宋体"/>
                <w:color w:val="auto"/>
                <w:sz w:val="21"/>
                <w:szCs w:val="21"/>
                <w:highlight w:val="none"/>
              </w:rPr>
              <w:t xml:space="preserve">月    日  </w:t>
            </w:r>
          </w:p>
        </w:tc>
        <w:tc>
          <w:tcPr>
            <w:tcW w:w="4167" w:type="dxa"/>
            <w:tcBorders>
              <w:top w:val="nil"/>
              <w:left w:val="nil"/>
              <w:bottom w:val="nil"/>
              <w:right w:val="nil"/>
            </w:tcBorders>
          </w:tcPr>
          <w:p w14:paraId="11DDC811">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日期：</w:t>
            </w:r>
            <w:r>
              <w:rPr>
                <w:rFonts w:hint="eastAsia" w:hAnsi="宋体" w:eastAsia="宋体" w:cs="宋体"/>
                <w:color w:val="auto"/>
                <w:sz w:val="21"/>
                <w:szCs w:val="21"/>
                <w:highlight w:val="none"/>
                <w:lang w:val="en-US" w:eastAsia="zh-CN"/>
              </w:rPr>
              <w:t>2026</w:t>
            </w:r>
            <w:r>
              <w:rPr>
                <w:rFonts w:hint="eastAsia" w:hAnsi="宋体" w:eastAsia="宋体" w:cs="宋体"/>
                <w:color w:val="auto"/>
                <w:sz w:val="21"/>
                <w:szCs w:val="21"/>
                <w:highlight w:val="none"/>
              </w:rPr>
              <w:t>年</w:t>
            </w:r>
            <w:r>
              <w:rPr>
                <w:rFonts w:hint="eastAsia" w:hAnsi="宋体" w:eastAsia="宋体" w:cs="宋体"/>
                <w:color w:val="auto"/>
                <w:sz w:val="21"/>
                <w:szCs w:val="21"/>
                <w:highlight w:val="none"/>
                <w:lang w:val="en-US" w:eastAsia="zh-CN"/>
              </w:rPr>
              <w:t xml:space="preserve">    </w:t>
            </w:r>
            <w:r>
              <w:rPr>
                <w:rFonts w:hint="eastAsia" w:hAnsi="宋体" w:eastAsia="宋体" w:cs="宋体"/>
                <w:color w:val="auto"/>
                <w:sz w:val="21"/>
                <w:szCs w:val="21"/>
                <w:highlight w:val="none"/>
              </w:rPr>
              <w:t>月    日</w:t>
            </w:r>
          </w:p>
        </w:tc>
      </w:tr>
    </w:tbl>
    <w:p w14:paraId="407A2129">
      <w:pPr>
        <w:jc w:val="center"/>
      </w:pPr>
    </w:p>
    <w:p w14:paraId="7063A2B3"/>
    <w:p w14:paraId="67D73149"/>
    <w:p w14:paraId="1F23F885"/>
    <w:p w14:paraId="39A2E90D"/>
    <w:p w14:paraId="188284CE"/>
    <w:p w14:paraId="65CB74FD"/>
    <w:p w14:paraId="07C4A41A"/>
    <w:p w14:paraId="63F89E22"/>
    <w:p w14:paraId="2601F53D"/>
    <w:p w14:paraId="6EF01166"/>
    <w:p w14:paraId="3BD9D90E"/>
    <w:p w14:paraId="3439CF35"/>
    <w:p w14:paraId="7337D20F"/>
    <w:p w14:paraId="1909F174"/>
    <w:p w14:paraId="61314209"/>
    <w:p w14:paraId="6BAA57A7"/>
    <w:p w14:paraId="13FD1C03"/>
    <w:p w14:paraId="5E58C138"/>
    <w:p w14:paraId="1887C5F1"/>
    <w:p w14:paraId="51783775"/>
    <w:p w14:paraId="4C5AE911"/>
    <w:p w14:paraId="55163098"/>
    <w:p w14:paraId="59C1EB34"/>
    <w:p w14:paraId="48202E94"/>
    <w:p w14:paraId="13D2C7F1">
      <w:pPr>
        <w:rPr>
          <w:rFonts w:hint="eastAsia"/>
          <w:lang w:val="en-US" w:eastAsia="zh-CN"/>
        </w:rPr>
      </w:pPr>
      <w:r>
        <w:rPr>
          <w:rFonts w:hint="eastAsia"/>
          <w:lang w:val="en-US" w:eastAsia="zh-CN"/>
        </w:rPr>
        <w:t>附件：</w:t>
      </w:r>
    </w:p>
    <w:p w14:paraId="0665F102">
      <w:pPr>
        <w:rPr>
          <w:rFonts w:hint="eastAsia"/>
          <w:lang w:val="en-US" w:eastAsia="zh-CN"/>
        </w:rPr>
      </w:pPr>
    </w:p>
    <w:p w14:paraId="6E27A944">
      <w:pPr>
        <w:rPr>
          <w:rFonts w:hint="eastAsia" w:eastAsia="宋体"/>
          <w:lang w:eastAsia="zh-CN"/>
        </w:rPr>
      </w:pPr>
      <w:r>
        <w:rPr>
          <w:rFonts w:hint="eastAsia" w:eastAsia="宋体"/>
          <w:lang w:eastAsia="zh-CN"/>
        </w:rPr>
        <w:drawing>
          <wp:inline distT="0" distB="0" distL="114300" distR="114300">
            <wp:extent cx="5263515" cy="7441565"/>
            <wp:effectExtent l="0" t="0" r="9525" b="10795"/>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10"/>
                    <a:stretch>
                      <a:fillRect/>
                    </a:stretch>
                  </pic:blipFill>
                  <pic:spPr>
                    <a:xfrm>
                      <a:off x="0" y="0"/>
                      <a:ext cx="5263515" cy="7441565"/>
                    </a:xfrm>
                    <a:prstGeom prst="rect">
                      <a:avLst/>
                    </a:prstGeom>
                  </pic:spPr>
                </pic:pic>
              </a:graphicData>
            </a:graphic>
          </wp:inline>
        </w:drawing>
      </w:r>
    </w:p>
    <w:p w14:paraId="2BD5F7CD"/>
    <w:p w14:paraId="7922C63D">
      <w:pPr>
        <w:rPr>
          <w:rFonts w:hint="eastAsia" w:eastAsia="宋体"/>
          <w:lang w:eastAsia="zh-CN"/>
        </w:rPr>
      </w:pPr>
      <w:r>
        <w:rPr>
          <w:rFonts w:hint="eastAsia" w:eastAsia="宋体"/>
          <w:lang w:eastAsia="zh-CN"/>
        </w:rPr>
        <w:drawing>
          <wp:inline distT="0" distB="0" distL="114300" distR="114300">
            <wp:extent cx="5263515" cy="7441565"/>
            <wp:effectExtent l="0" t="0" r="9525" b="10795"/>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11"/>
                    <a:stretch>
                      <a:fillRect/>
                    </a:stretch>
                  </pic:blipFill>
                  <pic:spPr>
                    <a:xfrm>
                      <a:off x="0" y="0"/>
                      <a:ext cx="5263515" cy="7441565"/>
                    </a:xfrm>
                    <a:prstGeom prst="rect">
                      <a:avLst/>
                    </a:prstGeom>
                  </pic:spPr>
                </pic:pic>
              </a:graphicData>
            </a:graphic>
          </wp:inline>
        </w:drawing>
      </w:r>
    </w:p>
    <w:p w14:paraId="171AAF67"/>
    <w:p w14:paraId="18D596A2"/>
    <w:p w14:paraId="6B1F6787"/>
    <w:p w14:paraId="6B641BBD"/>
    <w:p w14:paraId="72D82426"/>
    <w:p w14:paraId="6303C6BE"/>
    <w:p w14:paraId="46FC9E95">
      <w:pPr>
        <w:rPr>
          <w:rFonts w:hint="eastAsia" w:eastAsia="宋体"/>
          <w:lang w:eastAsia="zh-CN"/>
        </w:rPr>
      </w:pPr>
      <w:r>
        <w:rPr>
          <w:rFonts w:hint="eastAsia" w:eastAsia="宋体"/>
          <w:lang w:eastAsia="zh-CN"/>
        </w:rPr>
        <w:drawing>
          <wp:inline distT="0" distB="0" distL="114300" distR="114300">
            <wp:extent cx="5263515" cy="7441565"/>
            <wp:effectExtent l="0" t="0" r="9525" b="10795"/>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12"/>
                    <a:stretch>
                      <a:fillRect/>
                    </a:stretch>
                  </pic:blipFill>
                  <pic:spPr>
                    <a:xfrm>
                      <a:off x="0" y="0"/>
                      <a:ext cx="5263515" cy="7441565"/>
                    </a:xfrm>
                    <a:prstGeom prst="rect">
                      <a:avLst/>
                    </a:prstGeom>
                  </pic:spPr>
                </pic:pic>
              </a:graphicData>
            </a:graphic>
          </wp:inline>
        </w:drawing>
      </w:r>
    </w:p>
    <w:p w14:paraId="4DF187AB">
      <w:pPr>
        <w:rPr>
          <w:rFonts w:hint="eastAsia" w:eastAsia="宋体"/>
          <w:lang w:eastAsia="zh-CN"/>
        </w:rPr>
      </w:pPr>
    </w:p>
    <w:p w14:paraId="44353A4C">
      <w:pPr>
        <w:rPr>
          <w:rFonts w:hint="eastAsia" w:eastAsia="宋体"/>
          <w:lang w:eastAsia="zh-CN"/>
        </w:rPr>
      </w:pPr>
    </w:p>
    <w:p w14:paraId="5217D0B1">
      <w:pPr>
        <w:rPr>
          <w:rFonts w:hint="eastAsia" w:eastAsia="宋体"/>
          <w:lang w:eastAsia="zh-CN"/>
        </w:rPr>
      </w:pPr>
    </w:p>
    <w:p w14:paraId="78BE3E08">
      <w:pPr>
        <w:rPr>
          <w:rFonts w:hint="eastAsia" w:eastAsia="宋体"/>
          <w:lang w:eastAsia="zh-CN"/>
        </w:rPr>
      </w:pPr>
    </w:p>
    <w:p w14:paraId="45CC1A6A">
      <w:pPr>
        <w:rPr>
          <w:rFonts w:hint="eastAsia" w:eastAsia="宋体"/>
          <w:lang w:eastAsia="zh-CN"/>
        </w:rPr>
      </w:pPr>
    </w:p>
    <w:p w14:paraId="72A5A685">
      <w:pPr>
        <w:rPr>
          <w:rFonts w:hint="eastAsia" w:eastAsia="宋体"/>
          <w:lang w:eastAsia="zh-CN"/>
        </w:rPr>
      </w:pPr>
    </w:p>
    <w:p w14:paraId="6D4E7194">
      <w:pPr>
        <w:rPr>
          <w:rFonts w:hint="eastAsia" w:eastAsia="宋体"/>
          <w:lang w:eastAsia="zh-CN"/>
        </w:rPr>
      </w:pPr>
      <w:r>
        <w:rPr>
          <w:rFonts w:hint="eastAsia" w:eastAsia="宋体"/>
          <w:lang w:eastAsia="zh-CN"/>
        </w:rPr>
        <w:drawing>
          <wp:inline distT="0" distB="0" distL="114300" distR="114300">
            <wp:extent cx="5263515" cy="7438390"/>
            <wp:effectExtent l="0" t="0" r="9525" b="13970"/>
            <wp:docPr id="4" name="图片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
                    <pic:cNvPicPr>
                      <a:picLocks noChangeAspect="1"/>
                    </pic:cNvPicPr>
                  </pic:nvPicPr>
                  <pic:blipFill>
                    <a:blip r:embed="rId13"/>
                    <a:stretch>
                      <a:fillRect/>
                    </a:stretch>
                  </pic:blipFill>
                  <pic:spPr>
                    <a:xfrm>
                      <a:off x="0" y="0"/>
                      <a:ext cx="5263515" cy="7438390"/>
                    </a:xfrm>
                    <a:prstGeom prst="rect">
                      <a:avLst/>
                    </a:prstGeom>
                  </pic:spPr>
                </pic:pic>
              </a:graphicData>
            </a:graphic>
          </wp:inline>
        </w:drawing>
      </w:r>
    </w:p>
    <w:p w14:paraId="342296E1">
      <w:pPr>
        <w:rPr>
          <w:rFonts w:hint="eastAsia" w:eastAsia="宋体"/>
          <w:lang w:eastAsia="zh-CN"/>
        </w:rPr>
      </w:pPr>
    </w:p>
    <w:p w14:paraId="3DFE3667">
      <w:pPr>
        <w:rPr>
          <w:rFonts w:hint="eastAsia" w:eastAsia="宋体"/>
          <w:lang w:eastAsia="zh-CN"/>
        </w:rPr>
      </w:pPr>
    </w:p>
    <w:p w14:paraId="567D36C4">
      <w:pPr>
        <w:rPr>
          <w:rFonts w:hint="eastAsia" w:eastAsia="宋体"/>
          <w:lang w:eastAsia="zh-CN"/>
        </w:rPr>
      </w:pPr>
    </w:p>
    <w:p w14:paraId="380728E5">
      <w:pPr>
        <w:rPr>
          <w:rFonts w:hint="eastAsia" w:eastAsia="宋体"/>
          <w:lang w:eastAsia="zh-CN"/>
        </w:rPr>
      </w:pPr>
    </w:p>
    <w:p w14:paraId="54573585">
      <w:pPr>
        <w:rPr>
          <w:rFonts w:hint="eastAsia" w:eastAsia="宋体"/>
          <w:lang w:eastAsia="zh-CN"/>
        </w:rPr>
      </w:pPr>
    </w:p>
    <w:p w14:paraId="5126B3DF">
      <w:pPr>
        <w:rPr>
          <w:rFonts w:hint="eastAsia" w:eastAsia="宋体"/>
          <w:lang w:eastAsia="zh-CN"/>
        </w:rPr>
      </w:pPr>
    </w:p>
    <w:p w14:paraId="45D9DE30">
      <w:pPr>
        <w:rPr>
          <w:rFonts w:hint="eastAsia" w:eastAsia="宋体"/>
          <w:lang w:eastAsia="zh-CN"/>
        </w:rPr>
      </w:pPr>
      <w:r>
        <w:rPr>
          <w:rFonts w:hint="eastAsia" w:eastAsia="宋体"/>
          <w:lang w:eastAsia="zh-CN"/>
        </w:rPr>
        <w:drawing>
          <wp:inline distT="0" distB="0" distL="114300" distR="114300">
            <wp:extent cx="5263515" cy="7438390"/>
            <wp:effectExtent l="0" t="0" r="9525" b="13970"/>
            <wp:docPr id="6" name="图片 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
                    <pic:cNvPicPr>
                      <a:picLocks noChangeAspect="1"/>
                    </pic:cNvPicPr>
                  </pic:nvPicPr>
                  <pic:blipFill>
                    <a:blip r:embed="rId14"/>
                    <a:stretch>
                      <a:fillRect/>
                    </a:stretch>
                  </pic:blipFill>
                  <pic:spPr>
                    <a:xfrm>
                      <a:off x="0" y="0"/>
                      <a:ext cx="5263515" cy="7438390"/>
                    </a:xfrm>
                    <a:prstGeom prst="rect">
                      <a:avLst/>
                    </a:prstGeom>
                  </pic:spPr>
                </pic:pic>
              </a:graphicData>
            </a:graphic>
          </wp:inline>
        </w:drawing>
      </w:r>
    </w:p>
    <w:p w14:paraId="6DB7B1E7">
      <w:pPr>
        <w:pStyle w:val="3"/>
        <w:jc w:val="center"/>
        <w:rPr>
          <w:rFonts w:hint="eastAsia"/>
          <w:b/>
          <w:bCs/>
          <w:sz w:val="44"/>
          <w:szCs w:val="44"/>
        </w:rPr>
      </w:pPr>
    </w:p>
    <w:p w14:paraId="6CB1CAAE">
      <w:pPr>
        <w:pStyle w:val="3"/>
        <w:jc w:val="center"/>
        <w:rPr>
          <w:rFonts w:hint="eastAsia"/>
          <w:b/>
          <w:bCs/>
          <w:sz w:val="44"/>
          <w:szCs w:val="44"/>
        </w:rPr>
      </w:pPr>
    </w:p>
    <w:p w14:paraId="535CA429">
      <w:pPr>
        <w:pStyle w:val="3"/>
        <w:jc w:val="center"/>
        <w:rPr>
          <w:rFonts w:hint="eastAsia"/>
          <w:b/>
          <w:bCs/>
          <w:sz w:val="44"/>
          <w:szCs w:val="44"/>
        </w:rPr>
      </w:pPr>
    </w:p>
    <w:p w14:paraId="5D3E31DC">
      <w:pPr>
        <w:pStyle w:val="3"/>
        <w:jc w:val="center"/>
        <w:rPr>
          <w:rFonts w:hint="eastAsia"/>
          <w:b/>
          <w:bCs/>
          <w:sz w:val="44"/>
          <w:szCs w:val="44"/>
        </w:rPr>
      </w:pPr>
      <w:r>
        <w:rPr>
          <w:rFonts w:hint="eastAsia"/>
          <w:b/>
          <w:bCs/>
          <w:sz w:val="44"/>
          <w:szCs w:val="44"/>
        </w:rPr>
        <w:t>廉洁合作协议</w:t>
      </w:r>
    </w:p>
    <w:p w14:paraId="66865C52">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甲方名称：</w:t>
      </w:r>
      <w:r>
        <w:rPr>
          <w:rFonts w:hint="eastAsia" w:hAnsi="宋体" w:eastAsia="宋体" w:cs="宋体"/>
          <w:color w:val="auto"/>
          <w:sz w:val="21"/>
          <w:szCs w:val="21"/>
          <w:highlight w:val="none"/>
        </w:rPr>
        <w:t>扬州大学附属医院</w:t>
      </w:r>
      <w:r>
        <w:rPr>
          <w:rFonts w:hint="eastAsia"/>
          <w:sz w:val="24"/>
          <w:szCs w:val="24"/>
          <w:lang w:val="en-US" w:eastAsia="zh-CN"/>
        </w:rPr>
        <w:t xml:space="preserve"> </w:t>
      </w:r>
    </w:p>
    <w:p w14:paraId="0E90AD37">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乙方名称：</w:t>
      </w:r>
      <w:r>
        <w:rPr>
          <w:rFonts w:hint="eastAsia" w:hAnsi="宋体" w:eastAsia="宋体" w:cs="宋体"/>
          <w:color w:val="auto"/>
          <w:sz w:val="21"/>
          <w:szCs w:val="21"/>
          <w:highlight w:val="none"/>
          <w:lang w:val="en-US" w:eastAsia="zh-CN"/>
        </w:rPr>
        <w:t>江苏医特食品有限公司</w:t>
      </w:r>
      <w:r>
        <w:rPr>
          <w:rFonts w:hint="eastAsia"/>
          <w:sz w:val="24"/>
          <w:szCs w:val="24"/>
          <w:lang w:val="en-US" w:eastAsia="zh-CN"/>
        </w:rPr>
        <w:t xml:space="preserve"> </w:t>
      </w:r>
    </w:p>
    <w:p w14:paraId="0742D388">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在甲乙双方订立、履行合同过程中，为保持廉洁自律的工作作风，防止各种不正当行为的发生，甲乙双方订立协议如下：</w:t>
      </w:r>
    </w:p>
    <w:p w14:paraId="7808AB21">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一、甲乙双方应当自觉遵守国家、地方法律法规以及本合同的约定，在合同的订立、履行过程中廉洁自律。</w:t>
      </w:r>
    </w:p>
    <w:p w14:paraId="0A5CFFEB">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二、甲乙双</w:t>
      </w:r>
      <w:r>
        <w:rPr>
          <w:rFonts w:hint="eastAsia"/>
          <w:sz w:val="24"/>
          <w:szCs w:val="24"/>
          <w:lang w:val="en-US" w:eastAsia="zh-CN"/>
        </w:rPr>
        <w:t>方</w:t>
      </w:r>
      <w:r>
        <w:rPr>
          <w:rFonts w:hint="eastAsia"/>
          <w:sz w:val="24"/>
          <w:szCs w:val="24"/>
        </w:rPr>
        <w:t>工作人员严禁进行商业目的的统方</w:t>
      </w:r>
      <w:r>
        <w:rPr>
          <w:rFonts w:hint="eastAsia"/>
          <w:sz w:val="24"/>
          <w:szCs w:val="24"/>
          <w:lang w:eastAsia="zh-CN"/>
        </w:rPr>
        <w:t>，</w:t>
      </w:r>
      <w:r>
        <w:rPr>
          <w:rFonts w:hint="eastAsia"/>
          <w:sz w:val="24"/>
          <w:szCs w:val="24"/>
          <w:lang w:val="en-US" w:eastAsia="zh-CN"/>
        </w:rPr>
        <w:t>不得对外泄露涉及业务或个人的隐私数据</w:t>
      </w:r>
      <w:r>
        <w:rPr>
          <w:rFonts w:hint="eastAsia"/>
          <w:sz w:val="24"/>
          <w:szCs w:val="24"/>
        </w:rPr>
        <w:t>，</w:t>
      </w:r>
      <w:r>
        <w:rPr>
          <w:rFonts w:hint="eastAsia"/>
          <w:sz w:val="24"/>
          <w:szCs w:val="24"/>
          <w:lang w:val="en-US" w:eastAsia="zh-CN"/>
        </w:rPr>
        <w:t>不得违规规提供医疗机构内未公开的数据、患者用药化验检查诊疗等信息</w:t>
      </w:r>
      <w:r>
        <w:rPr>
          <w:rFonts w:hint="eastAsia"/>
          <w:sz w:val="24"/>
          <w:szCs w:val="24"/>
        </w:rPr>
        <w:t>。</w:t>
      </w:r>
    </w:p>
    <w:p w14:paraId="3DD197BF">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三、甲乙双</w:t>
      </w:r>
      <w:r>
        <w:rPr>
          <w:rFonts w:hint="eastAsia"/>
          <w:sz w:val="24"/>
          <w:szCs w:val="24"/>
          <w:lang w:val="en-US" w:eastAsia="zh-CN"/>
        </w:rPr>
        <w:t>方</w:t>
      </w:r>
      <w:r>
        <w:rPr>
          <w:rFonts w:hint="eastAsia"/>
          <w:sz w:val="24"/>
          <w:szCs w:val="24"/>
        </w:rPr>
        <w:t>工作人员应当保持与</w:t>
      </w:r>
      <w:r>
        <w:rPr>
          <w:rFonts w:hint="eastAsia"/>
          <w:sz w:val="24"/>
          <w:szCs w:val="24"/>
          <w:lang w:val="en-US" w:eastAsia="zh-CN"/>
        </w:rPr>
        <w:t>合作</w:t>
      </w:r>
      <w:r>
        <w:rPr>
          <w:rFonts w:hint="eastAsia"/>
          <w:sz w:val="24"/>
          <w:szCs w:val="24"/>
        </w:rPr>
        <w:t>方的正常业务交往，不得以任何形式向</w:t>
      </w:r>
      <w:r>
        <w:rPr>
          <w:rFonts w:hint="eastAsia"/>
          <w:sz w:val="24"/>
          <w:szCs w:val="24"/>
          <w:lang w:val="en-US" w:eastAsia="zh-CN"/>
        </w:rPr>
        <w:t>合作</w:t>
      </w:r>
      <w:r>
        <w:rPr>
          <w:rFonts w:hint="eastAsia"/>
          <w:sz w:val="24"/>
          <w:szCs w:val="24"/>
        </w:rPr>
        <w:t>方索要和收受个人回扣等好处费</w:t>
      </w:r>
      <w:r>
        <w:rPr>
          <w:rFonts w:hint="eastAsia"/>
          <w:sz w:val="24"/>
          <w:szCs w:val="24"/>
          <w:lang w:eastAsia="zh-CN"/>
        </w:rPr>
        <w:t>，</w:t>
      </w:r>
      <w:r>
        <w:rPr>
          <w:rFonts w:hint="eastAsia"/>
          <w:sz w:val="24"/>
          <w:szCs w:val="24"/>
        </w:rPr>
        <w:t>不得接受</w:t>
      </w:r>
      <w:r>
        <w:rPr>
          <w:rFonts w:hint="eastAsia"/>
          <w:sz w:val="24"/>
          <w:szCs w:val="24"/>
          <w:lang w:val="en-US" w:eastAsia="zh-CN"/>
        </w:rPr>
        <w:t>合作</w:t>
      </w:r>
      <w:r>
        <w:rPr>
          <w:rFonts w:hint="eastAsia"/>
          <w:sz w:val="24"/>
          <w:szCs w:val="24"/>
        </w:rPr>
        <w:t>方</w:t>
      </w:r>
      <w:r>
        <w:rPr>
          <w:rFonts w:hint="eastAsia"/>
          <w:sz w:val="24"/>
          <w:szCs w:val="24"/>
          <w:lang w:val="en-US" w:eastAsia="zh-CN"/>
        </w:rPr>
        <w:t>或其关联机构</w:t>
      </w:r>
      <w:r>
        <w:rPr>
          <w:rFonts w:hint="eastAsia"/>
          <w:sz w:val="24"/>
          <w:szCs w:val="24"/>
        </w:rPr>
        <w:t>的礼金、有价证券和贵重物品。</w:t>
      </w:r>
    </w:p>
    <w:p w14:paraId="60AF79BA">
      <w:pPr>
        <w:keepNext w:val="0"/>
        <w:keepLines w:val="0"/>
        <w:widowControl/>
        <w:suppressLineNumbers w:val="0"/>
        <w:ind w:firstLine="480" w:firstLineChars="200"/>
        <w:jc w:val="left"/>
        <w:rPr>
          <w:rFonts w:hint="eastAsia"/>
          <w:sz w:val="24"/>
          <w:szCs w:val="24"/>
          <w:lang w:val="en-US" w:eastAsia="zh-CN"/>
        </w:rPr>
      </w:pPr>
      <w:r>
        <w:rPr>
          <w:rFonts w:hint="eastAsia"/>
          <w:sz w:val="24"/>
          <w:szCs w:val="24"/>
        </w:rPr>
        <w:t>四、甲乙双</w:t>
      </w:r>
      <w:r>
        <w:rPr>
          <w:rFonts w:hint="eastAsia"/>
          <w:sz w:val="24"/>
          <w:szCs w:val="24"/>
          <w:lang w:val="en-US" w:eastAsia="zh-CN"/>
        </w:rPr>
        <w:t>方</w:t>
      </w:r>
      <w:r>
        <w:rPr>
          <w:rFonts w:hint="eastAsia"/>
          <w:sz w:val="24"/>
          <w:szCs w:val="24"/>
        </w:rPr>
        <w:t>工作人员不得参加可能对公正开展业务有影响的</w:t>
      </w:r>
      <w:r>
        <w:rPr>
          <w:rFonts w:hint="eastAsia"/>
          <w:sz w:val="24"/>
          <w:szCs w:val="24"/>
          <w:lang w:val="en-US" w:eastAsia="zh-CN"/>
        </w:rPr>
        <w:t>宴请、旅游、学习、考察、健身、娱乐活动等，不以讲课费、顾问费、咨询费、课题费等名义牟取高额利益，不违规在对方机构等兼（任）职并取酬，不利用职权为本人及特定关系人经商办企业提供便利条件。</w:t>
      </w:r>
    </w:p>
    <w:p w14:paraId="3176816C">
      <w:pPr>
        <w:keepNext w:val="0"/>
        <w:keepLines w:val="0"/>
        <w:widowControl/>
        <w:suppressLineNumbers w:val="0"/>
        <w:ind w:firstLine="480" w:firstLineChars="200"/>
        <w:jc w:val="left"/>
        <w:rPr>
          <w:rFonts w:hint="eastAsia"/>
          <w:sz w:val="24"/>
          <w:szCs w:val="24"/>
        </w:rPr>
      </w:pPr>
      <w:r>
        <w:rPr>
          <w:rFonts w:hint="eastAsia"/>
          <w:sz w:val="24"/>
          <w:szCs w:val="24"/>
        </w:rPr>
        <w:t>五、甲乙双</w:t>
      </w:r>
      <w:r>
        <w:rPr>
          <w:rFonts w:hint="eastAsia"/>
          <w:sz w:val="24"/>
          <w:szCs w:val="24"/>
          <w:lang w:val="en-US" w:eastAsia="zh-CN"/>
        </w:rPr>
        <w:t>方</w:t>
      </w:r>
      <w:r>
        <w:rPr>
          <w:rFonts w:hint="eastAsia"/>
          <w:sz w:val="24"/>
          <w:szCs w:val="24"/>
        </w:rPr>
        <w:t>工作人员不得要求或者接受</w:t>
      </w:r>
      <w:r>
        <w:rPr>
          <w:rFonts w:hint="eastAsia"/>
          <w:sz w:val="24"/>
          <w:szCs w:val="24"/>
          <w:lang w:val="en-US" w:eastAsia="zh-CN"/>
        </w:rPr>
        <w:t>合作</w:t>
      </w:r>
      <w:r>
        <w:rPr>
          <w:rFonts w:hint="eastAsia"/>
          <w:sz w:val="24"/>
          <w:szCs w:val="24"/>
        </w:rPr>
        <w:t>方为其住房装修、婚丧嫁娶、家属和子女的工作安排以及出国等提供方便。不得接受</w:t>
      </w:r>
      <w:r>
        <w:rPr>
          <w:rFonts w:hint="eastAsia"/>
          <w:sz w:val="24"/>
          <w:szCs w:val="24"/>
          <w:lang w:val="en-US" w:eastAsia="zh-CN"/>
        </w:rPr>
        <w:t>合作方</w:t>
      </w:r>
      <w:r>
        <w:rPr>
          <w:rFonts w:hint="eastAsia"/>
          <w:sz w:val="24"/>
          <w:szCs w:val="24"/>
        </w:rPr>
        <w:t>工作人员介绍的家属</w:t>
      </w:r>
      <w:r>
        <w:rPr>
          <w:rFonts w:hint="eastAsia"/>
          <w:sz w:val="24"/>
          <w:szCs w:val="24"/>
          <w:lang w:eastAsia="zh-CN"/>
        </w:rPr>
        <w:t>、</w:t>
      </w:r>
      <w:r>
        <w:rPr>
          <w:rFonts w:hint="eastAsia"/>
          <w:sz w:val="24"/>
          <w:szCs w:val="24"/>
        </w:rPr>
        <w:t>亲友</w:t>
      </w:r>
      <w:r>
        <w:rPr>
          <w:rFonts w:hint="eastAsia"/>
          <w:sz w:val="24"/>
          <w:szCs w:val="24"/>
          <w:lang w:val="en-US" w:eastAsia="zh-CN"/>
        </w:rPr>
        <w:t>等关系人</w:t>
      </w:r>
      <w:r>
        <w:rPr>
          <w:rFonts w:hint="eastAsia"/>
          <w:sz w:val="24"/>
          <w:szCs w:val="24"/>
        </w:rPr>
        <w:t>从事与合同相关的业务。</w:t>
      </w:r>
    </w:p>
    <w:p w14:paraId="7B873C4F">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六、甲乙双</w:t>
      </w:r>
      <w:r>
        <w:rPr>
          <w:rFonts w:hint="eastAsia"/>
          <w:sz w:val="24"/>
          <w:szCs w:val="24"/>
          <w:lang w:val="en-US" w:eastAsia="zh-CN"/>
        </w:rPr>
        <w:t>方工作人员不在交往中发生违背公序良俗行为，不通过合作方机构或关联机构支付或报销应当由本人支付的费用，不接受合作方提供的学术论文发表、个人关系疏通、工作生活照护等便利，不在医药产品院内推荐、采购、使用、管理等环节中接受不当利益，不通过编造学术讲课虚假理由等方式收受利益、收取超标准报酬、接受超规格接待等。</w:t>
      </w:r>
    </w:p>
    <w:p w14:paraId="2CE0C6CE">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七、甲乙双</w:t>
      </w:r>
      <w:r>
        <w:rPr>
          <w:rFonts w:hint="eastAsia"/>
          <w:sz w:val="24"/>
          <w:szCs w:val="24"/>
          <w:lang w:val="en-US" w:eastAsia="zh-CN"/>
        </w:rPr>
        <w:t>方</w:t>
      </w:r>
      <w:r>
        <w:rPr>
          <w:rFonts w:hint="eastAsia"/>
          <w:sz w:val="24"/>
          <w:szCs w:val="24"/>
        </w:rPr>
        <w:t>不得</w:t>
      </w:r>
      <w:r>
        <w:rPr>
          <w:rFonts w:hint="eastAsia"/>
          <w:sz w:val="24"/>
          <w:szCs w:val="24"/>
          <w:lang w:val="en-US" w:eastAsia="zh-CN"/>
        </w:rPr>
        <w:t>采用任何方式向对方索要、摊派或者变相摊派捐赠，不违规接受与医院采购、知识产权、科研成果、行业数据及信息等权利和主张相关的捐赠。</w:t>
      </w:r>
    </w:p>
    <w:p w14:paraId="5441C9D7">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八、如发现工作人员有违反</w:t>
      </w:r>
      <w:r>
        <w:rPr>
          <w:rFonts w:hint="eastAsia"/>
          <w:sz w:val="24"/>
          <w:szCs w:val="24"/>
          <w:lang w:val="en-US" w:eastAsia="zh-CN"/>
        </w:rPr>
        <w:t>上</w:t>
      </w:r>
      <w:r>
        <w:rPr>
          <w:rFonts w:hint="eastAsia"/>
          <w:sz w:val="24"/>
          <w:szCs w:val="24"/>
        </w:rPr>
        <w:t>述合同者，应向</w:t>
      </w:r>
      <w:r>
        <w:rPr>
          <w:rFonts w:hint="eastAsia"/>
          <w:sz w:val="24"/>
          <w:szCs w:val="24"/>
          <w:lang w:val="en-US" w:eastAsia="zh-CN"/>
        </w:rPr>
        <w:t>医院纪检部门举报（医院</w:t>
      </w:r>
      <w:r>
        <w:rPr>
          <w:rFonts w:hint="eastAsia"/>
          <w:sz w:val="24"/>
          <w:szCs w:val="24"/>
        </w:rPr>
        <w:t>举报接待部门：纪委办公室：举报电话：87907263</w:t>
      </w:r>
      <w:r>
        <w:rPr>
          <w:rFonts w:hint="eastAsia"/>
          <w:sz w:val="24"/>
          <w:szCs w:val="24"/>
          <w:lang w:eastAsia="zh-CN"/>
        </w:rPr>
        <w:t>，</w:t>
      </w:r>
      <w:r>
        <w:rPr>
          <w:rFonts w:hint="eastAsia"/>
          <w:sz w:val="24"/>
          <w:szCs w:val="24"/>
          <w:lang w:val="en-US" w:eastAsia="zh-CN"/>
        </w:rPr>
        <w:t>电子邮箱：</w:t>
      </w:r>
      <w:r>
        <w:rPr>
          <w:rFonts w:hint="eastAsia"/>
          <w:sz w:val="24"/>
          <w:szCs w:val="24"/>
        </w:rPr>
        <w:fldChar w:fldCharType="begin"/>
      </w:r>
      <w:r>
        <w:rPr>
          <w:rFonts w:hint="eastAsia"/>
          <w:sz w:val="24"/>
          <w:szCs w:val="24"/>
        </w:rPr>
        <w:instrText xml:space="preserve"> HYPERLINK "https://yangzhouyiyuan.com/infoSon/17/19/26" </w:instrText>
      </w:r>
      <w:r>
        <w:rPr>
          <w:rFonts w:hint="eastAsia"/>
          <w:sz w:val="24"/>
          <w:szCs w:val="24"/>
        </w:rPr>
        <w:fldChar w:fldCharType="separate"/>
      </w:r>
      <w:r>
        <w:rPr>
          <w:rFonts w:hint="eastAsia"/>
          <w:sz w:val="24"/>
          <w:szCs w:val="24"/>
        </w:rPr>
        <w:t>yyyjcs@126.com</w:t>
      </w:r>
      <w:r>
        <w:rPr>
          <w:rFonts w:hint="eastAsia"/>
          <w:sz w:val="24"/>
          <w:szCs w:val="24"/>
        </w:rPr>
        <w:fldChar w:fldCharType="end"/>
      </w:r>
      <w:r>
        <w:rPr>
          <w:rFonts w:hint="eastAsia"/>
          <w:sz w:val="24"/>
          <w:szCs w:val="24"/>
          <w:lang w:eastAsia="zh-CN"/>
        </w:rPr>
        <w:t>）</w:t>
      </w:r>
      <w:r>
        <w:rPr>
          <w:rFonts w:hint="eastAsia"/>
          <w:sz w:val="24"/>
          <w:szCs w:val="24"/>
        </w:rPr>
        <w:t>。</w:t>
      </w:r>
      <w:r>
        <w:rPr>
          <w:rFonts w:hint="eastAsia"/>
          <w:sz w:val="24"/>
          <w:szCs w:val="24"/>
          <w:lang w:val="en-US" w:eastAsia="zh-CN"/>
        </w:rPr>
        <w:t>被投诉</w:t>
      </w:r>
      <w:r>
        <w:rPr>
          <w:rFonts w:hint="eastAsia"/>
          <w:sz w:val="24"/>
          <w:szCs w:val="24"/>
        </w:rPr>
        <w:t>方不得找任何借口对</w:t>
      </w:r>
      <w:r>
        <w:rPr>
          <w:rFonts w:hint="eastAsia"/>
          <w:sz w:val="24"/>
          <w:szCs w:val="24"/>
          <w:lang w:val="en-US" w:eastAsia="zh-CN"/>
        </w:rPr>
        <w:t>投诉人进行</w:t>
      </w:r>
      <w:r>
        <w:rPr>
          <w:rFonts w:hint="eastAsia"/>
          <w:sz w:val="24"/>
          <w:szCs w:val="24"/>
        </w:rPr>
        <w:t>报复。</w:t>
      </w:r>
    </w:p>
    <w:p w14:paraId="4E9DC825">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九、</w:t>
      </w:r>
      <w:r>
        <w:rPr>
          <w:rFonts w:hint="eastAsia"/>
          <w:sz w:val="24"/>
          <w:szCs w:val="24"/>
          <w:lang w:val="en-US" w:eastAsia="zh-CN"/>
        </w:rPr>
        <w:t>任何一方发现对方</w:t>
      </w:r>
      <w:r>
        <w:rPr>
          <w:rFonts w:hint="eastAsia"/>
          <w:sz w:val="24"/>
          <w:szCs w:val="24"/>
        </w:rPr>
        <w:t>有违反本合同或者采用不正当的手段行贿</w:t>
      </w:r>
      <w:r>
        <w:rPr>
          <w:rFonts w:hint="eastAsia"/>
          <w:sz w:val="24"/>
          <w:szCs w:val="24"/>
          <w:lang w:val="en-US" w:eastAsia="zh-CN"/>
        </w:rPr>
        <w:t>合作方</w:t>
      </w:r>
      <w:r>
        <w:rPr>
          <w:rFonts w:hint="eastAsia"/>
          <w:sz w:val="24"/>
          <w:szCs w:val="24"/>
        </w:rPr>
        <w:t>工作人员等不正当竞争行为的，有权解除合同。</w:t>
      </w:r>
    </w:p>
    <w:p w14:paraId="61B02310">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十、本廉洁协议作为合同的附件，与合同具有同等法律效力。经合同双方签署后立即生效。</w:t>
      </w:r>
    </w:p>
    <w:p w14:paraId="2557C44B">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十一、本协议一式肆份，甲、乙双方各执贰份，从签订之日起生效。</w:t>
      </w:r>
    </w:p>
    <w:p w14:paraId="202CA637">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14:paraId="3C75C252">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hAnsi="宋体" w:eastAsia="宋体" w:cs="宋体"/>
          <w:color w:val="auto"/>
          <w:sz w:val="21"/>
          <w:szCs w:val="21"/>
          <w:highlight w:val="none"/>
          <w:lang w:val="en-US" w:eastAsia="zh-CN"/>
        </w:rPr>
      </w:pPr>
      <w:r>
        <w:rPr>
          <w:rFonts w:hint="eastAsia"/>
          <w:sz w:val="24"/>
          <w:szCs w:val="24"/>
        </w:rPr>
        <w:t>甲方：(</w:t>
      </w:r>
      <w:r>
        <w:rPr>
          <w:rFonts w:hint="eastAsia"/>
          <w:sz w:val="24"/>
          <w:szCs w:val="24"/>
          <w:lang w:val="en-US" w:eastAsia="zh-CN"/>
        </w:rPr>
        <w:t>盖</w:t>
      </w:r>
      <w:r>
        <w:rPr>
          <w:rFonts w:hint="eastAsia"/>
          <w:sz w:val="24"/>
          <w:szCs w:val="24"/>
        </w:rPr>
        <w:t>章)</w:t>
      </w:r>
      <w:r>
        <w:rPr>
          <w:rFonts w:hint="eastAsia" w:hAnsi="宋体" w:eastAsia="宋体" w:cs="宋体"/>
          <w:color w:val="auto"/>
          <w:sz w:val="21"/>
          <w:szCs w:val="21"/>
          <w:highlight w:val="none"/>
        </w:rPr>
        <w:t>扬州大学附属医院</w:t>
      </w:r>
      <w:r>
        <w:rPr>
          <w:rFonts w:hint="eastAsia"/>
          <w:sz w:val="24"/>
          <w:szCs w:val="24"/>
          <w:lang w:val="en-US" w:eastAsia="zh-CN"/>
        </w:rPr>
        <w:t xml:space="preserve">              </w:t>
      </w:r>
      <w:r>
        <w:rPr>
          <w:rFonts w:hint="eastAsia"/>
          <w:sz w:val="24"/>
          <w:szCs w:val="24"/>
        </w:rPr>
        <w:t>乙方：(盖章)</w:t>
      </w:r>
      <w:r>
        <w:rPr>
          <w:rFonts w:hint="eastAsia" w:hAnsi="宋体" w:eastAsia="宋体" w:cs="宋体"/>
          <w:color w:val="auto"/>
          <w:sz w:val="21"/>
          <w:szCs w:val="21"/>
          <w:highlight w:val="none"/>
          <w:lang w:val="en-US" w:eastAsia="zh-CN"/>
        </w:rPr>
        <w:t>江苏医特食品有限公司</w:t>
      </w:r>
    </w:p>
    <w:p w14:paraId="4F15CBBC">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hAnsi="宋体" w:eastAsia="宋体" w:cs="宋体"/>
          <w:color w:val="auto"/>
          <w:sz w:val="21"/>
          <w:szCs w:val="21"/>
          <w:highlight w:val="none"/>
          <w:lang w:val="en-US" w:eastAsia="zh-CN"/>
        </w:rPr>
      </w:pPr>
    </w:p>
    <w:p w14:paraId="2ACBCAD9">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sz w:val="24"/>
          <w:szCs w:val="24"/>
          <w:lang w:val="en-US" w:eastAsia="zh-CN"/>
        </w:rPr>
      </w:pPr>
      <w:r>
        <w:rPr>
          <w:rFonts w:hint="eastAsia"/>
          <w:sz w:val="24"/>
          <w:szCs w:val="24"/>
        </w:rPr>
        <w:t>法定代表人(或授权签约人)：</w:t>
      </w:r>
      <w:r>
        <w:rPr>
          <w:rFonts w:hint="eastAsia"/>
          <w:sz w:val="24"/>
          <w:szCs w:val="24"/>
          <w:lang w:val="en-US" w:eastAsia="zh-CN"/>
        </w:rPr>
        <w:t xml:space="preserve">              </w:t>
      </w:r>
      <w:r>
        <w:rPr>
          <w:rFonts w:hint="eastAsia"/>
          <w:sz w:val="24"/>
          <w:szCs w:val="24"/>
        </w:rPr>
        <w:t>法定代表人(或授权签约人)：</w:t>
      </w:r>
    </w:p>
    <w:p w14:paraId="43F903D1">
      <w:pPr>
        <w:pStyle w:val="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14:paraId="0D8A1B1C">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rPr>
          <w:sz w:val="21"/>
        </w:rPr>
      </w:pPr>
      <w:r>
        <w:rPr>
          <w:rFonts w:hint="eastAsia"/>
          <w:sz w:val="24"/>
          <w:szCs w:val="24"/>
        </w:rPr>
        <w:t>日期：</w:t>
      </w:r>
      <w:r>
        <w:rPr>
          <w:rFonts w:hint="eastAsia"/>
          <w:sz w:val="24"/>
          <w:szCs w:val="24"/>
          <w:lang w:val="en-US" w:eastAsia="zh-CN"/>
        </w:rPr>
        <w:t xml:space="preserve">2026年  月  日                   </w:t>
      </w:r>
      <w:r>
        <w:rPr>
          <w:rFonts w:hint="eastAsia"/>
          <w:sz w:val="24"/>
          <w:szCs w:val="24"/>
        </w:rPr>
        <w:t>日期：</w:t>
      </w:r>
      <w:r>
        <w:rPr>
          <w:rFonts w:hint="eastAsia"/>
          <w:sz w:val="24"/>
          <w:szCs w:val="24"/>
          <w:lang w:val="en-US" w:eastAsia="zh-CN"/>
        </w:rPr>
        <w:t>2026年  月  日</w:t>
      </w:r>
    </w:p>
    <w:p w14:paraId="67F75165">
      <w:pPr>
        <w:rPr>
          <w:szCs w:val="21"/>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swiss"/>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A3C7B">
    <w:pPr>
      <w:pStyle w:val="6"/>
    </w:pPr>
    <w:r>
      <w:rPr>
        <w:sz w:val="18"/>
      </w:rPr>
      <w:pict>
        <v:shape id="_x0000_s4100" o:spid="_x0000_s4100"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3ABA7486">
                <w:pPr>
                  <w:pStyle w:val="6"/>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w:r>
    <w:r>
      <w:pict>
        <v:shape id="WordPictureWatermark4600752" o:spid="_x0000_s4101" o:spt="75" type="#_x0000_t75" style="position:absolute;left:0pt;margin-left:-36.25pt;margin-top:374.9pt;height:79.6pt;width:251.15pt;mso-position-horizontal-relative:margin;mso-position-vertical-relative:margin;rotation:-1680064f;z-index:-251655168;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r>
      <w:pict>
        <v:shape id="_x0000_s4102" o:spid="_x0000_s4102" o:spt="75" type="#_x0000_t75" style="position:absolute;left:0pt;margin-left:174.15pt;margin-top:458.4pt;height:79.4pt;width:250.65pt;mso-position-horizontal-relative:margin;mso-position-vertical-relative:margin;rotation:-1822309f;z-index:-251653120;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2CCB5">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A5D1B">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46286">
    <w:r>
      <w:pict>
        <v:shape id="_x0000_s4098" o:spid="_x0000_s4098" o:spt="75" type="#_x0000_t75" style="position:absolute;left:0pt;margin-left:177.9pt;margin-top:151.9pt;height:78.1pt;width:246.5pt;mso-position-horizontal-relative:margin;mso-position-vertical-relative:margin;rotation:-1600287f;z-index:-251652096;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r>
      <w:pict>
        <v:shape id="_x0000_s4099" o:spid="_x0000_s4099" o:spt="75" type="#_x0000_t75" style="position:absolute;left:0pt;margin-left:-59.3pt;margin-top:86.1pt;height:81.1pt;width:256pt;mso-position-horizontal-relative:margin;mso-position-vertical-relative:margin;rotation:-1600287f;z-index:-251654144;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50EF9">
    <w:pPr>
      <w:pStyle w:val="7"/>
    </w:pPr>
    <w:r>
      <w:pict>
        <v:shape id="WordPictureWatermark4600751" o:spid="_x0000_s4103" o:spt="75" type="#_x0000_t75" style="position:absolute;left:0pt;height:131.55pt;width:415.2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14E32">
    <w:pPr>
      <w:pStyle w:val="7"/>
    </w:pPr>
    <w:r>
      <w:pict>
        <v:shape id="WordPictureWatermark4600750" o:spid="_x0000_s4097" o:spt="75" type="#_x0000_t75" style="position:absolute;left:0pt;height:131.55pt;width:415.2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forms" w:formatting="1" w:enforcement="1" w:cryptProviderType="rsaFull" w:cryptAlgorithmClass="hash" w:cryptAlgorithmType="typeAny" w:cryptAlgorithmSid="4" w:cryptSpinCount="0" w:hash="CUruWWEOdTMPQRAAR3O45a5lhvo=" w:salt="cwNpLMbUWYs1cNrbkpTIIA=="/>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74331D"/>
    <w:rsid w:val="001A4880"/>
    <w:rsid w:val="00203713"/>
    <w:rsid w:val="002945AD"/>
    <w:rsid w:val="00380A8D"/>
    <w:rsid w:val="003B452A"/>
    <w:rsid w:val="00427B06"/>
    <w:rsid w:val="00481F12"/>
    <w:rsid w:val="00602052"/>
    <w:rsid w:val="0061740C"/>
    <w:rsid w:val="006F6438"/>
    <w:rsid w:val="0074331D"/>
    <w:rsid w:val="008E3F32"/>
    <w:rsid w:val="00953859"/>
    <w:rsid w:val="00963A20"/>
    <w:rsid w:val="00D14833"/>
    <w:rsid w:val="00DB451E"/>
    <w:rsid w:val="00E56DCE"/>
    <w:rsid w:val="00F31AC4"/>
    <w:rsid w:val="1B6D677B"/>
    <w:rsid w:val="3CB81C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unhideWhenUsed/>
    <w:qFormat/>
    <w:uiPriority w:val="0"/>
    <w:pPr>
      <w:ind w:firstLine="420" w:firstLineChars="200"/>
    </w:pPr>
  </w:style>
  <w:style w:type="paragraph" w:styleId="3">
    <w:name w:val="Plain Text"/>
    <w:basedOn w:val="1"/>
    <w:qFormat/>
    <w:uiPriority w:val="99"/>
    <w:rPr>
      <w:rFonts w:ascii="宋体" w:hAnsi="Courier New"/>
      <w:kern w:val="0"/>
      <w:sz w:val="20"/>
      <w:szCs w:val="21"/>
    </w:rPr>
  </w:style>
  <w:style w:type="paragraph" w:styleId="4">
    <w:name w:val="Body Text Indent 2"/>
    <w:basedOn w:val="1"/>
    <w:link w:val="12"/>
    <w:qFormat/>
    <w:uiPriority w:val="0"/>
    <w:pPr>
      <w:autoSpaceDE w:val="0"/>
      <w:autoSpaceDN w:val="0"/>
      <w:snapToGrid w:val="0"/>
      <w:spacing w:line="590" w:lineRule="atLeast"/>
      <w:ind w:firstLine="630" w:firstLineChars="200"/>
    </w:pPr>
    <w:rPr>
      <w:rFonts w:ascii="Times New Roman" w:hAnsi="Calibri" w:eastAsia="仿宋_GB2312" w:cs="Times New Roman"/>
      <w:kern w:val="0"/>
      <w:sz w:val="32"/>
      <w:szCs w:val="32"/>
    </w:rPr>
  </w:style>
  <w:style w:type="paragraph" w:styleId="5">
    <w:name w:val="Balloon Text"/>
    <w:basedOn w:val="1"/>
    <w:link w:val="13"/>
    <w:semiHidden/>
    <w:unhideWhenUsed/>
    <w:qFormat/>
    <w:uiPriority w:val="99"/>
    <w:rPr>
      <w:sz w:val="18"/>
      <w:szCs w:val="18"/>
    </w:rPr>
  </w:style>
  <w:style w:type="paragraph" w:styleId="6">
    <w:name w:val="footer"/>
    <w:basedOn w:val="1"/>
    <w:link w:val="11"/>
    <w:unhideWhenUsed/>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character" w:customStyle="1" w:styleId="12">
    <w:name w:val="正文文本缩进 2 Char"/>
    <w:basedOn w:val="9"/>
    <w:link w:val="4"/>
    <w:qFormat/>
    <w:uiPriority w:val="0"/>
    <w:rPr>
      <w:rFonts w:ascii="Times New Roman" w:hAnsi="Calibri" w:eastAsia="仿宋_GB2312" w:cs="Times New Roman"/>
      <w:kern w:val="0"/>
      <w:sz w:val="32"/>
      <w:szCs w:val="32"/>
    </w:rPr>
  </w:style>
  <w:style w:type="character" w:customStyle="1" w:styleId="13">
    <w:name w:val="批注框文本 Char"/>
    <w:basedOn w:val="9"/>
    <w:link w:val="5"/>
    <w:semiHidden/>
    <w:uiPriority w:val="99"/>
    <w:rPr>
      <w:sz w:val="18"/>
      <w:szCs w:val="18"/>
    </w:rPr>
  </w:style>
  <w:style w:type="paragraph" w:customStyle="1" w:styleId="14">
    <w:name w:val="纯文本1"/>
    <w:basedOn w:val="1"/>
    <w:qFormat/>
    <w:uiPriority w:val="0"/>
    <w:pPr>
      <w:adjustRightInd w:val="0"/>
      <w:textAlignment w:val="baseline"/>
    </w:pPr>
    <w:rPr>
      <w:rFonts w:ascii="宋体" w:hAnsi="Courier New" w:eastAsia="楷体_GB2312"/>
      <w:sz w:val="28"/>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8"/>
    <customShpInfo spid="_x0000_s4099"/>
    <customShpInfo spid="_x0000_s4103"/>
    <customShpInfo spid="_x0000_s4097"/>
    <customShpInfo spid="_x0000_s4100" textRotate="1"/>
    <customShpInfo spid="_x0000_s4101"/>
    <customShpInfo spid="_x0000_s410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0</Words>
  <Characters>0</Characters>
  <Lines>1</Lines>
  <Paragraphs>1</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2018-01-08T02:06:00Z</dcterms:created>
  <dc:creator>野丫头</dc:creator>
  <cp:lastModifiedBy>Administrator</cp:lastModifiedBy>
  <dcterms:modified xsi:type="dcterms:W3CDTF">2026-03-05T08:22:44Z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eyJoZGlkIjoiNzIwOTdlODFhOWQ4YmJlMzU2ZTdkMjQ1NzBmNzk3N2EifQ==</vt:lpwstr>
  </property>
  <property fmtid="{D5CDD505-2E9C-101B-9397-08002B2CF9AE}" pid="4" name="ICV">
    <vt:lpwstr>5EFF38D599C742CF9217338BD955BE3E_12</vt:lpwstr>
  </property>
</Properties>
</file>