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52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520" w:lineRule="atLeas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89"/>
        <w:ind w:firstLine="1446"/>
        <w:rPr>
          <w:rFonts w:hint="eastAsia" w:hAnsi="宋体" w:cs="宋体"/>
          <w:b/>
          <w:bCs/>
          <w:sz w:val="72"/>
          <w:szCs w:val="72"/>
          <w14:textFill>
            <w14:solidFill>
              <w14:schemeClr w14:val="tx1"/>
            </w14:solidFill>
          </w14:textFill>
        </w:rPr>
      </w:pPr>
      <w:r>
        <w:rPr>
          <w:rFonts w:hint="eastAsia" w:hAnsi="宋体" w:cs="宋体"/>
          <w:b/>
          <w:color w:val="000000" w:themeColor="text1"/>
          <w:sz w:val="72"/>
          <w:szCs w:val="72"/>
          <w14:textFill>
            <w14:solidFill>
              <w14:schemeClr w14:val="tx1"/>
            </w14:solidFill>
          </w14:textFill>
        </w:rPr>
        <w:t xml:space="preserve">南京</w:t>
      </w:r>
      <w:r>
        <w:rPr>
          <w:rFonts w:hint="eastAsia" w:hAnsi="宋体" w:cs="宋体"/>
          <w:b/>
          <w:color w:val="000000" w:themeColor="text1"/>
          <w:sz w:val="72"/>
          <w:szCs w:val="72"/>
          <w14:textFill>
            <w14:solidFill>
              <w14:schemeClr w14:val="tx1"/>
            </w14:solidFill>
          </w14:textFill>
        </w:rPr>
        <w:t xml:space="preserve">中医药</w:t>
      </w:r>
      <w:r>
        <w:rPr>
          <w:rFonts w:hint="eastAsia" w:hAnsi="宋体" w:cs="宋体"/>
          <w:b/>
          <w:color w:val="000000" w:themeColor="text1"/>
          <w:sz w:val="72"/>
          <w:szCs w:val="72"/>
          <w14:textFill>
            <w14:solidFill>
              <w14:schemeClr w14:val="tx1"/>
            </w14:solidFill>
          </w14:textFill>
        </w:rPr>
        <w:t xml:space="preserve">大学</w:t>
      </w:r>
      <w:r>
        <w:rPr>
          <w:rFonts w:hint="eastAsia" w:hAnsi="宋体" w:cs="宋体"/>
          <w:b/>
          <w:color w:val="000000" w:themeColor="text1"/>
          <w:sz w:val="72"/>
          <w:szCs w:val="72"/>
          <w14:textFill>
            <w14:solidFill>
              <w14:schemeClr w14:val="tx1"/>
            </w14:solidFill>
          </w14:textFill>
        </w:rPr>
      </w:r>
    </w:p>
    <w:p>
      <w:pPr>
        <w:pStyle w:val="889"/>
        <w:ind w:firstLine="1446"/>
        <w:rPr>
          <w:rFonts w:hint="eastAsia" w:hAnsi="宋体" w:cs="宋体"/>
          <w:b/>
          <w:bCs/>
          <w:sz w:val="72"/>
          <w:szCs w:val="72"/>
          <w14:textFill>
            <w14:solidFill>
              <w14:schemeClr w14:val="tx1"/>
            </w14:solidFill>
          </w14:textFill>
        </w:rPr>
      </w:pPr>
      <w:r>
        <w:rPr>
          <w:rFonts w:hint="eastAsia" w:hAnsi="宋体" w:cs="宋体"/>
          <w:b/>
          <w:color w:val="000000" w:themeColor="text1"/>
          <w:sz w:val="72"/>
          <w:szCs w:val="72"/>
          <w14:textFill>
            <w14:solidFill>
              <w14:schemeClr w14:val="tx1"/>
            </w14:solidFill>
          </w14:textFill>
        </w:rPr>
      </w:r>
      <w:r>
        <w:rPr>
          <w:rFonts w:hint="eastAsia" w:hAnsi="宋体" w:cs="宋体"/>
          <w:b/>
          <w:color w:val="000000" w:themeColor="text1"/>
          <w:sz w:val="72"/>
          <w:szCs w:val="72"/>
          <w14:textFill>
            <w14:solidFill>
              <w14:schemeClr w14:val="tx1"/>
            </w14:solidFill>
          </w14:textFill>
        </w:rPr>
        <w:t xml:space="preserve">活体CT影像系统</w:t>
      </w:r>
      <w:r/>
      <w:r/>
    </w:p>
    <w:p>
      <w:pPr>
        <w:pStyle w:val="889"/>
        <w:ind w:firstLine="1493"/>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pStyle w:val="889"/>
        <w:ind w:firstLine="1493"/>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pStyle w:val="889"/>
        <w:ind w:firstLine="1687"/>
        <w:rPr>
          <w:rFonts w:hint="eastAsia" w:hAnsi="宋体" w:cs="宋体"/>
          <w:b/>
          <w:color w:val="000000" w:themeColor="text1"/>
          <w:sz w:val="84"/>
          <w:szCs w:val="84"/>
          <w14:textFill>
            <w14:solidFill>
              <w14:schemeClr w14:val="tx1"/>
            </w14:solidFill>
          </w14:textFill>
        </w:rPr>
      </w:pPr>
      <w:r>
        <w:rPr>
          <w:rFonts w:hint="eastAsia" w:hAnsi="宋体" w:cs="宋体"/>
          <w:b/>
          <w:color w:val="000000" w:themeColor="text1"/>
          <w:sz w:val="84"/>
          <w:szCs w:val="84"/>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14:textFill>
            <w14:solidFill>
              <w14:schemeClr w14:val="tx1"/>
            </w14:solidFill>
          </w14:textFill>
        </w:rPr>
      </w:pPr>
      <w:r>
        <w:rPr>
          <w:rFonts w:hint="eastAsia" w:ascii="宋体" w:hAnsi="宋体" w:cs="宋体"/>
          <w:b/>
          <w:color w:val="000000" w:themeColor="text1"/>
          <w:sz w:val="96"/>
          <w14:textFill>
            <w14:solidFill>
              <w14:schemeClr w14:val="tx1"/>
            </w14:solidFill>
          </w14:textFill>
        </w:rPr>
      </w:r>
      <w:r/>
    </w:p>
    <w:p>
      <w:pPr>
        <w:ind w:right="640" w:firstLine="569"/>
        <w:jc w:val="center"/>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项目编号：JSZC-320000-JITC-G2026-0272</w:t>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firstLine="2149"/>
        <w:spacing w:line="360" w:lineRule="auto"/>
        <w:tabs>
          <w:tab w:val="left" w:pos="360" w:leader="none"/>
        </w:tabs>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采购人：南京中医药大学</w:t>
      </w:r>
      <w:r/>
    </w:p>
    <w:p>
      <w:pPr>
        <w:ind w:firstLine="1507"/>
        <w:spacing w:line="360" w:lineRule="auto"/>
        <w:tabs>
          <w:tab w:val="left" w:pos="360" w:leader="none"/>
        </w:tabs>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采购代理机构：江苏省招标中心有限公司</w:t>
      </w:r>
      <w:r/>
    </w:p>
    <w:p>
      <w:pPr>
        <w:ind w:firstLine="2792"/>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二〇二六年</w:t>
      </w:r>
      <w:r>
        <w:rPr>
          <w:rFonts w:hint="eastAsia" w:ascii="宋体" w:hAnsi="宋体" w:cs="宋体"/>
          <w:b/>
          <w:color w:val="000000" w:themeColor="text1"/>
          <w:sz w:val="32"/>
          <w:lang w:val="en-US" w:eastAsia="zh-CN"/>
          <w14:textFill>
            <w14:solidFill>
              <w14:schemeClr w14:val="tx1"/>
            </w14:solidFill>
          </w14:textFill>
        </w:rPr>
        <w:t xml:space="preserve">八</w:t>
      </w:r>
      <w:r>
        <w:rPr>
          <w:rFonts w:hint="eastAsia" w:ascii="宋体" w:hAnsi="宋体" w:cs="宋体"/>
          <w:b/>
          <w:color w:val="000000" w:themeColor="text1"/>
          <w:sz w:val="32"/>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目   录</w:t>
      </w:r>
      <w:r/>
    </w:p>
    <w:p>
      <w:pPr>
        <w:pStyle w:val="1100"/>
        <w:ind w:firstLine="426"/>
        <w:spacing w:line="360" w:lineRule="auto"/>
        <w:tabs>
          <w:tab w:val="right" w:pos="8834" w:leader="dot"/>
        </w:tabs>
        <w:rPr>
          <w:rFonts w:hint="eastAsia" w:ascii="宋体" w:hAnsi="宋体" w:eastAsia="宋体" w:cs="宋体"/>
          <w:b/>
          <w:color w:val="000000" w:themeColor="text1"/>
          <w:sz w:val="21"/>
          <w:szCs w:val="22"/>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TOC \o "1-3" \h \z \u </w:instrText>
      </w:r>
      <w:r>
        <w:rPr>
          <w:rFonts w:hint="eastAsia" w:ascii="宋体" w:hAnsi="宋体" w:eastAsia="宋体" w:cs="宋体"/>
          <w:b/>
          <w:color w:val="000000" w:themeColor="text1"/>
          <w14:textFill>
            <w14:solidFill>
              <w14:schemeClr w14:val="tx1"/>
            </w14:solidFill>
          </w14:textFill>
        </w:rPr>
        <w:fldChar w:fldCharType="separate"/>
      </w:r>
      <w:r/>
    </w:p>
    <w:p>
      <w:pPr>
        <w:pStyle w:val="1100"/>
        <w:spacing w:line="360" w:lineRule="auto"/>
        <w:tabs>
          <w:tab w:val="left" w:pos="780" w:leader="none"/>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"_Toc107246211" \o "#_Toc107246211"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第一章</w:t>
      </w:r>
      <w:r>
        <w:rPr>
          <w:rFonts w:hint="eastAsia" w:ascii="宋体" w:hAnsi="宋体" w:eastAsia="宋体" w:cs="宋体"/>
          <w:b/>
          <w:color w:val="000000" w:themeColor="text1"/>
          <w14:textFill>
            <w14:solidFill>
              <w14:schemeClr w14:val="tx1"/>
            </w14:solidFill>
          </w14:textFill>
        </w:rPr>
        <w:tab/>
      </w:r>
      <w:r>
        <w:rPr>
          <w:rStyle w:val="915"/>
          <w:rFonts w:hint="eastAsia" w:ascii="宋体" w:hAnsi="宋体" w:eastAsia="宋体" w:cs="宋体"/>
          <w:b/>
          <w:color w:val="000000" w:themeColor="text1"/>
          <w14:textFill>
            <w14:solidFill>
              <w14:schemeClr w14:val="tx1"/>
            </w14:solidFill>
          </w14:textFill>
        </w:rPr>
        <w:t xml:space="preserve">招标公告</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_Toc107246211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left" w:pos="780" w:leader="none"/>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"_Toc107246212" \o "#_Toc107246212"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第二章</w:t>
      </w:r>
      <w:r>
        <w:rPr>
          <w:rFonts w:hint="eastAsia" w:ascii="宋体" w:hAnsi="宋体" w:eastAsia="宋体" w:cs="宋体"/>
          <w:b/>
          <w:color w:val="000000" w:themeColor="text1"/>
          <w14:textFill>
            <w14:solidFill>
              <w14:schemeClr w14:val="tx1"/>
            </w14:solidFill>
          </w14:textFill>
        </w:rPr>
        <w:tab/>
      </w:r>
      <w:r>
        <w:rPr>
          <w:rStyle w:val="915"/>
          <w:rFonts w:hint="eastAsia" w:ascii="宋体" w:hAnsi="宋体" w:eastAsia="宋体" w:cs="宋体"/>
          <w:b/>
          <w:color w:val="000000" w:themeColor="text1"/>
          <w14:textFill>
            <w14:solidFill>
              <w14:schemeClr w14:val="tx1"/>
            </w14:solidFill>
          </w14:textFill>
        </w:rPr>
        <w:t xml:space="preserve">投标人须知</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_Toc107246212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5</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"_Toc107246214" \o "#_Toc107246214"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一．总则</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_Toc107246214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12</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"_Toc107246230" \o "#_Toc107246230"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二．招标文件</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_Toc107246230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16</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"_Toc107246233" \o "#_Toc107246233"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三．投标文件</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_Toc107246233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"_Toc107246240" \o "#_Toc107246240"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四．投标文件的递交</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_Toc107246240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20</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"_Toc107246245" \o "#_Toc107246245"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五．开标和评标</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_Toc107246245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21</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"_Toc107246257" \o "#_Toc107246257"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六．确定中标</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_Toc107246257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24</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"_Toc107246263" \o "#_Toc107246263"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七．询问与质疑</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_Toc107246263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25</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"_Toc107246266" \o "#_Toc107246266"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八．其他</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_Toc107246266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26</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"_Toc107246270" \o "#_Toc107246270"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第三章 政府采购合同条款及格式</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"_Toc107246271" \o "#_Toc107246271"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第四章 采购需求</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_Toc107246271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41</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"_Toc107246272" \o "#_Toc107246272"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第五章 评标方法与评标标准</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_Toc107246272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45</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100"/>
        <w:spacing w:line="360" w:lineRule="auto"/>
        <w:tabs>
          <w:tab w:val="right" w:pos="8834" w:leader="dot"/>
        </w:tabs>
        <w:rPr>
          <w:rFonts w:hint="eastAsia" w:ascii="宋体" w:hAnsi="宋体" w:eastAsia="宋体" w:cs="宋体"/>
          <w:b/>
          <w:color w:val="000000" w:themeColor="text1"/>
          <w:sz w:val="21"/>
          <w:szCs w:val="22"/>
          <w14:textFill>
            <w14:solidFill>
              <w14:schemeClr w14:val="tx1"/>
            </w14:solidFill>
          </w14:textFill>
        </w:rPr>
      </w:pPr>
      <w:r>
        <w:fldChar w:fldCharType="begin"/>
      </w:r>
      <w:r>
        <w:instrText xml:space="preserve"> HYPERLINK \l "_Toc107246273" \o "#_Toc107246273" </w:instrText>
      </w:r>
      <w:r>
        <w:fldChar w:fldCharType="separate"/>
      </w:r>
      <w:r>
        <w:rPr>
          <w:rStyle w:val="915"/>
          <w:rFonts w:hint="eastAsia" w:ascii="宋体" w:hAnsi="宋体" w:eastAsia="宋体" w:cs="宋体"/>
          <w:b/>
          <w:color w:val="000000" w:themeColor="text1"/>
          <w14:textFill>
            <w14:solidFill>
              <w14:schemeClr w14:val="tx1"/>
            </w14:solidFill>
          </w14:textFill>
        </w:rPr>
        <w:t xml:space="preserve">第六章 投标文件格式</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48</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bookmarkEnd w:id="0"/>
      <w:r/>
      <w:bookmarkEnd w:id="1"/>
      <w:r/>
      <w:r/>
    </w:p>
    <w:p>
      <w:pPr>
        <w:pStyle w:val="907"/>
        <w:ind w:firstLine="3213"/>
        <w:jc w:val="both"/>
        <w:rPr>
          <w:rFonts w:hint="eastAsia" w:ascii="宋体" w:hAnsi="宋体" w:cs="宋体"/>
          <w:color w:val="000000" w:themeColor="text1"/>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07"/>
        <w:ind w:firstLine="3213"/>
        <w:jc w:val="both"/>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u w:val="single"/>
          <w14:textFill>
            <w14:solidFill>
              <w14:schemeClr w14:val="tx1"/>
            </w14:solidFill>
          </w14:textFill>
        </w:rPr>
        <w:t xml:space="preserve">南京</w:t>
      </w:r>
      <w:r>
        <w:rPr>
          <w:rFonts w:hint="eastAsia" w:ascii="宋体" w:hAnsi="宋体" w:cs="宋体"/>
          <w:bCs/>
          <w:color w:val="000000" w:themeColor="text1"/>
          <w:szCs w:val="21"/>
          <w:u w:val="single"/>
          <w14:textFill>
            <w14:solidFill>
              <w14:schemeClr w14:val="tx1"/>
            </w14:solidFill>
          </w14:textFill>
        </w:rPr>
        <w:t xml:space="preserve">中医药</w:t>
      </w:r>
      <w:r>
        <w:rPr>
          <w:rFonts w:hint="eastAsia" w:ascii="宋体" w:hAnsi="宋体" w:cs="宋体"/>
          <w:bCs/>
          <w:color w:val="000000" w:themeColor="text1"/>
          <w:szCs w:val="21"/>
          <w:u w:val="single"/>
          <w14:textFill>
            <w14:solidFill>
              <w14:schemeClr w14:val="tx1"/>
            </w14:solidFill>
          </w14:textFill>
        </w:rPr>
        <w:t xml:space="preserve">大学</w:t>
      </w:r>
      <w:r>
        <w:rPr>
          <w:rFonts w:ascii="SimSun" w:hAnsi="SimSun" w:eastAsia="SimSun" w:cs="SimSun"/>
          <w:color w:val="000000"/>
          <w:sz w:val="21"/>
          <w:u w:val="single"/>
        </w:rPr>
        <w:t xml:space="preserve">活体CT影像系统JSZC-320000-JITC-G2026-0272招标项目</w:t>
      </w:r>
      <w:r>
        <w:rPr>
          <w:rFonts w:hint="eastAsia" w:ascii="宋体" w:hAnsi="宋体" w:cs="宋体"/>
          <w:bCs/>
          <w:color w:val="000000" w:themeColor="text1"/>
          <w:szCs w:val="21"/>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u w:val="single"/>
          <w14:textFill>
            <w14:solidFill>
              <w14:schemeClr w14:val="tx1"/>
            </w14:solidFill>
          </w14:textFill>
        </w:rPr>
        <w:t xml:space="preserve">江苏政府采购网</w:t>
      </w:r>
      <w:r>
        <w:rPr>
          <w:rFonts w:hint="eastAsia" w:ascii="宋体" w:hAnsi="宋体" w:cs="宋体"/>
          <w:bCs/>
          <w:color w:val="000000" w:themeColor="text1"/>
          <w:szCs w:val="21"/>
          <w14:textFill>
            <w14:solidFill>
              <w14:schemeClr w14:val="tx1"/>
            </w14:solidFill>
          </w14:textFill>
        </w:rPr>
        <w:t xml:space="preserve">获取招标文件，并于</w:t>
      </w:r>
      <w:r>
        <w:rPr>
          <w:rFonts w:hint="eastAsia" w:ascii="宋体" w:hAnsi="宋体" w:cs="宋体"/>
          <w:bCs/>
          <w:color w:val="000000" w:themeColor="text1"/>
          <w:szCs w:val="21"/>
          <w:u w:val="single"/>
          <w14:textFill>
            <w14:solidFill>
              <w14:schemeClr w14:val="tx1"/>
            </w14:solidFill>
          </w14:textFill>
        </w:rPr>
        <w:t xml:space="preserve">2026年</w:t>
      </w:r>
      <w:r>
        <w:rPr>
          <w:rFonts w:hint="eastAsia" w:ascii="宋体" w:hAnsi="宋体" w:cs="宋体"/>
          <w:bCs/>
          <w:color w:val="000000" w:themeColor="text1"/>
          <w:szCs w:val="21"/>
          <w:u w:val="single"/>
          <w:lang w:val="en-US" w:eastAsia="zh-CN"/>
          <w14:textFill>
            <w14:solidFill>
              <w14:schemeClr w14:val="tx1"/>
            </w14:solidFill>
          </w14:textFill>
        </w:rPr>
        <w:t xml:space="preserve">8</w:t>
      </w:r>
      <w:r>
        <w:rPr>
          <w:rFonts w:hint="eastAsia" w:ascii="宋体" w:hAnsi="宋体" w:cs="宋体"/>
          <w:bCs/>
          <w:color w:val="000000" w:themeColor="text1"/>
          <w:szCs w:val="21"/>
          <w:u w:val="single"/>
          <w14:textFill>
            <w14:solidFill>
              <w14:schemeClr w14:val="tx1"/>
            </w14:solidFill>
          </w14:textFill>
        </w:rPr>
        <w:t xml:space="preserve">月</w:t>
      </w:r>
      <w:r>
        <w:rPr>
          <w:rFonts w:hint="eastAsia" w:ascii="宋体" w:hAnsi="宋体" w:cs="宋体"/>
          <w:bCs/>
          <w:color w:val="000000" w:themeColor="text1"/>
          <w:szCs w:val="21"/>
          <w:u w:val="single"/>
          <w:lang w:val="en-US" w:eastAsia="zh-CN"/>
          <w14:textFill>
            <w14:solidFill>
              <w14:schemeClr w14:val="tx1"/>
            </w14:solidFill>
          </w14:textFill>
        </w:rPr>
        <w:t xml:space="preserve">31</w:t>
      </w:r>
      <w:r>
        <w:rPr>
          <w:rFonts w:hint="eastAsia" w:ascii="宋体" w:hAnsi="宋体" w:cs="宋体"/>
          <w:bCs/>
          <w:color w:val="000000" w:themeColor="text1"/>
          <w:szCs w:val="21"/>
          <w:u w:val="single"/>
          <w14:textFill>
            <w14:solidFill>
              <w14:schemeClr w14:val="tx1"/>
            </w14:solidFill>
          </w14:textFill>
        </w:rPr>
        <w:t xml:space="preserve">日14:30（北京时间</w:t>
      </w:r>
      <w:r>
        <w:rPr>
          <w:rFonts w:hint="eastAsia" w:ascii="宋体" w:hAnsi="宋体" w:cs="宋体"/>
          <w:bCs/>
          <w:color w:val="000000" w:themeColor="text1"/>
          <w:szCs w:val="21"/>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14:textFill>
            <w14:solidFill>
              <w14:schemeClr w14:val="tx1"/>
            </w14:solidFill>
          </w14:textFill>
        </w:rPr>
        <w:t xml:space="preserve">一、项目</w:t>
      </w:r>
      <w:bookmarkEnd w:id="3"/>
      <w:r>
        <w:rPr>
          <w:rFonts w:hint="eastAsia" w:ascii="宋体" w:hAnsi="宋体" w:cs="宋体"/>
          <w:b/>
          <w:bCs/>
          <w:color w:val="000000" w:themeColor="text1"/>
          <w:szCs w:val="44"/>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1.1项目编号：JSZC-320000-JITC-G2026-0272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Cs/>
          <w:color w:val="000000" w:themeColor="text1"/>
          <w:szCs w:val="21"/>
          <w14:textFill>
            <w14:solidFill>
              <w14:schemeClr w14:val="tx1"/>
            </w14:solidFill>
          </w14:textFill>
        </w:rPr>
        <w:t xml:space="preserve">1.2项目名称：</w:t>
      </w:r>
      <w:r>
        <w:rPr>
          <w:rFonts w:ascii="SimSun" w:hAnsi="SimSun" w:eastAsia="SimSun" w:cs="SimSun"/>
          <w:color w:val="000000"/>
          <w:sz w:val="21"/>
        </w:rPr>
        <w:t xml:space="preserve">南京中医药大学活体CT影像系统</w:t>
      </w:r>
      <w:r>
        <w:rPr>
          <w:sz w:val="21"/>
        </w:rPr>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1.3预算金额：本项目预算400万元。</w:t>
      </w:r>
      <w:r/>
    </w:p>
    <w:p>
      <w:pPr>
        <w:ind w:firstLine="422"/>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1.4最高限价：本项目投标总价不得高于人民币400万元，投标人投标报价不得超过上述限价金额，否则将作无效标处理。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14:textFill>
            <w14:solidFill>
              <w14:schemeClr w14:val="tx1"/>
            </w14:solidFill>
          </w14:textFill>
        </w:rPr>
        <w:t xml:space="preserve">1.5采购需求：采购一台活体CT影像系统，具体要求详见招标文件第四章《采购需求》。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000000" w:themeColor="text1"/>
          <w:szCs w:val="21"/>
          <w14:textFill>
            <w14:solidFill>
              <w14:schemeClr w14:val="tx1"/>
            </w14:solidFill>
          </w14:textFill>
        </w:rPr>
        <w:t xml:space="preserve">1.6标段划分：本项目共划分1个标段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rPr>
        <w:t xml:space="preserve">合同</w:t>
      </w:r>
      <w:r>
        <w:rPr>
          <w:rFonts w:hint="eastAsia" w:ascii="宋体" w:hAnsi="宋体" w:cs="宋体"/>
          <w:b/>
          <w:color w:val="auto"/>
          <w:szCs w:val="21"/>
          <w:highlight w:val="none"/>
        </w:rPr>
        <w:t xml:space="preserve">履行</w:t>
      </w:r>
      <w:r>
        <w:rPr>
          <w:rFonts w:hint="eastAsia" w:ascii="宋体" w:hAnsi="宋体" w:cs="宋体"/>
          <w:b/>
          <w:color w:val="auto"/>
          <w:szCs w:val="21"/>
          <w:highlight w:val="none"/>
        </w:rPr>
        <w:t xml:space="preserve">期限</w:t>
      </w:r>
      <w:r>
        <w:rPr>
          <w:rFonts w:hint="eastAsia" w:ascii="宋体" w:hAnsi="宋体" w:cs="宋体"/>
          <w:b/>
          <w:color w:val="auto"/>
          <w:szCs w:val="21"/>
          <w:highlight w:val="none"/>
        </w:rPr>
        <w:t xml:space="preserve">：应在本合同签订生效后90个日历日内向采购</w:t>
      </w:r>
      <w:r>
        <w:rPr>
          <w:rFonts w:hint="eastAsia" w:ascii="宋体" w:hAnsi="宋体" w:cs="宋体"/>
          <w:b/>
          <w:color w:val="000000" w:themeColor="text1"/>
          <w:szCs w:val="21"/>
          <w14:textFill>
            <w14:solidFill>
              <w14:schemeClr w14:val="tx1"/>
            </w14:solidFill>
          </w14:textFill>
        </w:rPr>
        <w:t xml:space="preserve">人交付全部货物（具体时间以采购人通知为准）。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1.8本项目是否接受联合体投标：不接受</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二、</w:t>
      </w:r>
      <w:bookmarkEnd w:id="9"/>
      <w:r>
        <w:rPr>
          <w:rFonts w:hint="eastAsia" w:ascii="宋体" w:hAnsi="宋体" w:cs="宋体"/>
          <w:b/>
          <w:bCs/>
          <w:color w:val="000000" w:themeColor="text1"/>
          <w:szCs w:val="44"/>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3" w:name="_Toc96347853"/>
      <w:r/>
      <w:bookmarkStart w:id="14" w:name="_Toc93909067"/>
      <w:r/>
      <w:bookmarkStart w:id="15" w:name="_Toc80792690"/>
      <w:r/>
      <w:bookmarkStart w:id="16" w:name="_Toc80264699"/>
      <w:r>
        <w:rPr>
          <w:rFonts w:hint="eastAsia" w:ascii="宋体" w:hAnsi="宋体" w:cs="宋体"/>
          <w:bCs/>
          <w:color w:val="000000" w:themeColor="text1"/>
          <w:szCs w:val="21"/>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2.1.1具有独立承担民事责任的能力（提供法人或者其他组织的营业执照或自然人的身份证明扫描件加盖电子公章）；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2.1.4有依法缴纳税收和社会保障资金的良好记录，投标人提供递交投标文件截止时间前六个月内（即2026年2月（含）以来）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2.1.6</w:t>
      </w:r>
      <w:bookmarkStart w:id="17" w:name="OLE_LINK11"/>
      <w:r>
        <w:rPr>
          <w:rFonts w:hint="eastAsia" w:ascii="宋体" w:hAnsi="宋体" w:cs="宋体"/>
          <w:bCs/>
          <w:color w:val="000000" w:themeColor="text1"/>
          <w:szCs w:val="21"/>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2.3.3其他资格要求：</w:t>
      </w:r>
      <w:r>
        <w:rPr>
          <w:rFonts w:hint="eastAsia" w:ascii="宋体" w:hAnsi="宋体" w:cs="宋体"/>
          <w:bCs/>
          <w:color w:val="000000" w:themeColor="text1"/>
          <w:szCs w:val="21"/>
          <w:highlight w:val="none"/>
          <w14:textFill>
            <w14:solidFill>
              <w14:schemeClr w14:val="tx1"/>
            </w14:solidFill>
          </w14:textFill>
        </w:rPr>
        <w:t xml:space="preserve">（1）本项目接受进口产品投标（注：本文件所称进口产品是指通过中国海关报关验放进入中国境内且产自关境外的产品）。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（2）供应商必须是所投产品的制造商或代理商，代理商投标须提供制造商的专项授权（本条适用于进口产品）。</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18" w:name="_Toc80264700"/>
      <w:r>
        <w:rPr>
          <w:rFonts w:hint="eastAsia" w:ascii="Microsoft New Tai Lue" w:hAnsi="Microsoft New Tai Lue" w:cs="Microsoft New Tai Lue"/>
          <w:bCs/>
          <w:color w:val="000000" w:themeColor="text1"/>
          <w:szCs w:val="21"/>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14:textFill>
            <w14:solidFill>
              <w14:schemeClr w14:val="tx1"/>
            </w14:solidFill>
          </w14:textFill>
        </w:rPr>
        <w:t xml:space="preserve">获取地点：“苏采云”系统内免费下载（投标人必须在苏采云系统中获取采购文件，方能参与本次政府采购项目）</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获取方式：苏采云系统注册登记成功后系统内免费下载。</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四、</w:t>
      </w:r>
      <w:bookmarkEnd w:id="18"/>
      <w:r/>
      <w:bookmarkEnd w:id="19"/>
      <w:r>
        <w:rPr>
          <w:rFonts w:hint="eastAsia" w:ascii="宋体" w:hAnsi="宋体" w:cs="宋体"/>
          <w:b/>
          <w:bCs/>
          <w:color w:val="000000" w:themeColor="text1"/>
          <w:szCs w:val="44"/>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提交投标文件截止时间、开标时间：2026年8月</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31</w:t>
      </w:r>
      <w:r>
        <w:rPr>
          <w:rFonts w:hint="eastAsia" w:ascii="Microsoft New Tai Lue" w:hAnsi="Microsoft New Tai Lue" w:cs="Microsoft New Tai Lue"/>
          <w:bCs/>
          <w:color w:val="000000" w:themeColor="text1"/>
          <w:szCs w:val="21"/>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五、</w:t>
      </w:r>
      <w:bookmarkEnd w:id="22"/>
      <w:r>
        <w:rPr>
          <w:rFonts w:hint="eastAsia" w:ascii="宋体" w:hAnsi="宋体" w:cs="宋体"/>
          <w:b/>
          <w:bCs/>
          <w:color w:val="000000" w:themeColor="text1"/>
          <w:szCs w:val="44"/>
          <w14:textFill>
            <w14:solidFill>
              <w14:schemeClr w14:val="tx1"/>
            </w14:solidFill>
          </w14:textFill>
        </w:rPr>
        <w:t xml:space="preserve">公告期</w:t>
      </w:r>
      <w:bookmarkEnd w:id="23"/>
      <w:r/>
      <w:bookmarkEnd w:id="24"/>
      <w:r>
        <w:rPr>
          <w:rFonts w:hint="eastAsia" w:ascii="宋体" w:hAnsi="宋体" w:cs="宋体"/>
          <w:b/>
          <w:bCs/>
          <w:color w:val="000000" w:themeColor="text1"/>
          <w:szCs w:val="44"/>
          <w14:textFill>
            <w14:solidFill>
              <w14:schemeClr w14:val="tx1"/>
            </w14:solidFill>
          </w14:textFill>
        </w:rPr>
        <w:t xml:space="preserve">限</w:t>
      </w:r>
      <w:r/>
    </w:p>
    <w:p>
      <w:pPr>
        <w:ind w:firstLine="525"/>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27" w:name="_Toc80792694"/>
      <w:r/>
      <w:bookmarkStart w:id="28" w:name="_Toc80264702"/>
      <w:r/>
      <w:bookmarkStart w:id="29" w:name="_Toc96347857"/>
      <w:r/>
      <w:bookmarkStart w:id="30" w:name="_Toc93909071"/>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2、</w:t>
      </w:r>
      <w:r>
        <w:rPr>
          <w:rFonts w:hint="eastAsia" w:ascii="宋体" w:hAnsi="宋体" w:cs="宋体"/>
          <w:b/>
          <w:color w:val="000000" w:themeColor="text1"/>
          <w:szCs w:val="21"/>
          <w14:textFill>
            <w14:solidFill>
              <w14:schemeClr w14:val="tx1"/>
            </w14:solidFill>
          </w14:textFill>
        </w:rPr>
        <w:t xml:space="preserve">潜在供应商访问政府采购管理交易系统（苏采云）的网络地址和方法：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420"/>
        <w:spacing w:line="360" w:lineRule="auto"/>
        <w:rPr>
          <w:rFonts w:hint="eastAsia" w:ascii="宋体" w:hAnsi="宋体" w:cs="宋体"/>
          <w:highlight w:val="non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有关本次采购的事项若存在变动或修改，敬请及时关注“江苏政府采购网”发布的信息。</w:t>
      </w:r>
      <w:r/>
    </w:p>
    <w:p>
      <w:pPr>
        <w:ind w:firstLine="420"/>
        <w:spacing w:line="360" w:lineRule="auto"/>
        <w:rPr>
          <w:rFonts w:hint="eastAsia" w:ascii="宋体" w:hAnsi="宋体" w:cs="宋体"/>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本项目</w:t>
      </w:r>
      <w:r>
        <w:rPr>
          <w:rFonts w:hint="eastAsia" w:ascii="宋体" w:hAnsi="宋体" w:cs="宋体"/>
          <w:bCs/>
          <w:color w:val="000000" w:themeColor="text1"/>
          <w:szCs w:val="21"/>
          <w:highlight w:val="none"/>
          <w14:textFill>
            <w14:solidFill>
              <w14:schemeClr w14:val="tx1"/>
            </w14:solidFill>
          </w14:textFill>
        </w:rPr>
        <w:t xml:space="preserve">接受</w:t>
      </w:r>
      <w:r>
        <w:rPr>
          <w:rFonts w:hint="eastAsia" w:ascii="宋体" w:hAnsi="宋体" w:cs="宋体"/>
          <w:bCs/>
          <w:color w:val="000000" w:themeColor="text1"/>
          <w:szCs w:val="21"/>
          <w:highlight w:val="none"/>
          <w14:textFill>
            <w14:solidFill>
              <w14:schemeClr w14:val="tx1"/>
            </w14:solidFill>
          </w14:textFill>
        </w:rPr>
        <w:t xml:space="preserve">进口</w:t>
      </w:r>
      <w:r>
        <w:rPr>
          <w:rFonts w:hint="eastAsia" w:ascii="宋体" w:hAnsi="宋体" w:cs="宋体"/>
          <w:bCs/>
          <w:color w:val="000000" w:themeColor="text1"/>
          <w:szCs w:val="21"/>
          <w:highlight w:val="none"/>
          <w14:textFill>
            <w14:solidFill>
              <w14:schemeClr w14:val="tx1"/>
            </w14:solidFill>
          </w14:textFill>
        </w:rPr>
        <w:t xml:space="preserve">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七、</w:t>
      </w:r>
      <w:bookmarkEnd w:id="27"/>
      <w:r/>
      <w:bookmarkEnd w:id="28"/>
      <w:r>
        <w:rPr>
          <w:rFonts w:hint="eastAsia" w:ascii="宋体" w:hAnsi="宋体" w:cs="宋体"/>
          <w:b/>
          <w:bCs/>
          <w:color w:val="000000" w:themeColor="text1"/>
          <w:szCs w:val="44"/>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14:textFill>
            <w14:solidFill>
              <w14:schemeClr w14:val="tx1"/>
            </w14:solidFill>
          </w14:textFill>
        </w:rPr>
      </w:pPr>
      <w:r/>
      <w:bookmarkStart w:id="31" w:name="_Toc28359085"/>
      <w:r>
        <w:rPr>
          <w:rFonts w:hint="eastAsia" w:ascii="宋体" w:hAnsi="宋体" w:cs="宋体"/>
          <w:color w:val="000000" w:themeColor="text1"/>
          <w:szCs w:val="21"/>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称：南京中医药大学</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址：南京仙林大学城仙林大道138号</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联系人：毛老师</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联系方式：025-85811693</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址：南京市鼓楼区郑和中路118号长江国际航运中心D座</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联系人：赵芸辉、尹若凡、高宇翔</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联系方式：13851601859</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项目联系人：赵芸辉、尹若凡、高宇翔</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话：13851601859</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End w:id="5"/>
      <w:r/>
      <w:bookmarkEnd w:id="31"/>
      <w:r/>
      <w:r/>
    </w:p>
    <w:p>
      <w:pPr>
        <w:pStyle w:val="884"/>
        <w:rPr>
          <w:color w:val="000000" w:themeColor="text1"/>
          <w14:textFill>
            <w14:solidFill>
              <w14:schemeClr w14:val="tx1"/>
            </w14:solidFill>
          </w14:textFill>
        </w:rPr>
      </w:pPr>
      <w:r>
        <w:rPr>
          <w:color w:val="000000" w:themeColor="text1"/>
          <w14:textFill>
            <w14:solidFill>
              <w14:schemeClr w14:val="tx1"/>
            </w14:solidFill>
          </w14:textFill>
        </w:rPr>
      </w:r>
      <w:r/>
    </w:p>
    <w:p>
      <w:pPr>
        <w:pStyle w:val="907"/>
        <w:rPr>
          <w:rFonts w:hint="eastAsia" w:ascii="宋体" w:hAnsi="宋体" w:cs="宋体"/>
          <w:color w:val="000000" w:themeColor="text1"/>
          <w14:textFill>
            <w14:solidFill>
              <w14:schemeClr w14:val="tx1"/>
            </w14:solidFill>
          </w14:textFill>
        </w:rPr>
      </w:pPr>
      <w:r/>
      <w:bookmarkStart w:id="32" w:name="_Toc107246212"/>
      <w:r>
        <w:rPr>
          <w:rFonts w:hint="eastAsia" w:ascii="宋体" w:hAnsi="宋体" w:cs="宋体"/>
          <w:color w:val="000000" w:themeColor="text1"/>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投标人须知前附表</w:t>
      </w:r>
      <w:r/>
    </w:p>
    <w:p>
      <w:pPr>
        <w:ind w:firstLine="372"/>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标记“</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”的选项意为适用于本项目，标记“□”的选项意为不适用于本项目。</w:t>
      </w:r>
      <w:r/>
    </w:p>
    <w:tbl>
      <w:tblPr>
        <w:tblStyle w:val="87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22"/>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序号</w:t>
            </w:r>
            <w:r/>
          </w:p>
        </w:tc>
        <w:tc>
          <w:tcPr>
            <w:tcW w:w="850" w:type="dxa"/>
            <w:vAlign w:val="center"/>
            <w:textDirection w:val="lrTb"/>
            <w:noWrap w:val="false"/>
          </w:tcPr>
          <w:p>
            <w:pPr>
              <w:pStyle w:val="1122"/>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条款号</w:t>
            </w:r>
            <w:r/>
          </w:p>
        </w:tc>
        <w:tc>
          <w:tcPr>
            <w:tcW w:w="2835" w:type="dxa"/>
            <w:vAlign w:val="center"/>
            <w:textDirection w:val="lrTb"/>
            <w:noWrap w:val="false"/>
          </w:tcPr>
          <w:p>
            <w:pPr>
              <w:pStyle w:val="1122"/>
              <w:ind w:firstLine="373"/>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条款名称</w:t>
            </w:r>
            <w:r/>
          </w:p>
        </w:tc>
        <w:tc>
          <w:tcPr>
            <w:tcW w:w="4982" w:type="dxa"/>
            <w:vAlign w:val="center"/>
            <w:textDirection w:val="lrTb"/>
            <w:noWrap w:val="false"/>
          </w:tcPr>
          <w:p>
            <w:pPr>
              <w:pStyle w:val="1122"/>
              <w:ind w:firstLine="373"/>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采购人</w:t>
            </w:r>
            <w:r/>
          </w:p>
        </w:tc>
        <w:tc>
          <w:tcPr>
            <w:tcW w:w="4982"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称：南京中医药大学</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址：南京仙林大学城仙林大道138号</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联系人：毛老师</w:t>
            </w:r>
            <w:r/>
          </w:p>
          <w:p>
            <w:pPr>
              <w:jc w:val="left"/>
              <w:spacing w:line="360" w:lineRule="auto"/>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联系方式：025-85811693</w:t>
            </w:r>
            <w:r/>
          </w:p>
        </w:tc>
      </w:tr>
      <w:tr>
        <w:trPr>
          <w:jc w:val="center"/>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采购代理机构</w:t>
            </w:r>
            <w:r/>
          </w:p>
        </w:tc>
        <w:tc>
          <w:tcPr>
            <w:tcW w:w="498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称：江苏省招标中心有限公司</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址：南京市鼓楼区郑和中路118号长江国际航运中心D座</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联系人：赵芸辉、尹若凡、高宇翔</w:t>
            </w:r>
            <w:r/>
          </w:p>
          <w:p>
            <w:pPr>
              <w:spacing w:line="360" w:lineRule="auto"/>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联系方式：13851601859</w:t>
            </w:r>
            <w:r/>
          </w:p>
        </w:tc>
      </w:tr>
      <w:tr>
        <w:trPr>
          <w:jc w:val="center"/>
          <w:trHeight w:val="510"/>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4</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4</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5</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9.1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6</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10.1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7</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11.1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8</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12.1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样品</w:t>
            </w:r>
            <w:r/>
          </w:p>
        </w:tc>
        <w:tc>
          <w:tcPr>
            <w:tcW w:w="4982" w:type="dxa"/>
            <w:vAlign w:val="center"/>
            <w:textDirection w:val="lrTb"/>
            <w:noWrap w:val="false"/>
          </w:tcPr>
          <w:p>
            <w:pPr>
              <w:pStyle w:val="884"/>
              <w:rPr>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9</w:t>
            </w:r>
            <w:r/>
          </w:p>
        </w:tc>
        <w:tc>
          <w:tcPr>
            <w:tcW w:w="850"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13.1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10</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14.1</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11</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14.2</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12</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13</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20.5</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133"/>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p>
          <w:p>
            <w:pPr>
              <w:pStyle w:val="1133"/>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评标价不得超出预算。超预算的评标价视为实质性偏离，作无效投标处理。</w:t>
            </w:r>
            <w:r/>
          </w:p>
          <w:p>
            <w:pPr>
              <w:pStyle w:val="1133"/>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注：供应商报价为最终报价，如因国家政策调整，增加的税费由供应商自行承担。</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投标有效期</w:t>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15</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16</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23.1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投标文件份数</w:t>
            </w:r>
            <w:r/>
          </w:p>
        </w:tc>
        <w:tc>
          <w:tcPr>
            <w:tcW w:w="4982" w:type="dxa"/>
            <w:vAlign w:val="center"/>
            <w:textDirection w:val="lrTb"/>
            <w:noWrap w:val="false"/>
          </w:tcPr>
          <w:p>
            <w:pPr>
              <w:pStyle w:val="1122"/>
              <w:spacing w:line="360" w:lineRule="auto"/>
              <w:rPr>
                <w:rFonts w:hint="eastAsia" w:hAnsi="宋体" w:cs="宋体"/>
                <w:b/>
                <w:bCs/>
                <w:color w:val="000000" w:themeColor="text1"/>
                <w:sz w:val="21"/>
                <w14:textFill>
                  <w14:solidFill>
                    <w14:schemeClr w14:val="tx1"/>
                  </w14:solidFill>
                </w14:textFill>
              </w:rPr>
            </w:pPr>
            <w:r>
              <w:rPr>
                <w:rFonts w:hint="eastAsia" w:hAnsi="宋体" w:cs="宋体"/>
                <w:bCs/>
                <w:color w:val="000000" w:themeColor="text1"/>
                <w14:textFill>
                  <w14:solidFill>
                    <w14:schemeClr w14:val="tx1"/>
                  </w14:solidFill>
                </w14:textFill>
              </w:rPr>
              <w:t xml:space="preserve">■</w:t>
            </w:r>
            <w:r>
              <w:rPr>
                <w:rFonts w:hint="eastAsia" w:hAnsi="宋体" w:cs="宋体"/>
                <w:bCs/>
                <w:color w:val="000000" w:themeColor="text1"/>
                <w:sz w:val="21"/>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17</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24.1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中标人</w:t>
            </w:r>
            <w:r>
              <w:rPr>
                <w:rFonts w:hint="eastAsia" w:ascii="宋体" w:hAnsi="宋体" w:cs="宋体"/>
                <w:color w:val="000000" w:themeColor="text1"/>
                <w:szCs w:val="21"/>
                <w14:textFill>
                  <w14:solidFill>
                    <w14:schemeClr w14:val="tx1"/>
                  </w14:solidFill>
                </w14:textFill>
              </w:rPr>
              <w:t xml:space="preserve">需要</w:t>
            </w:r>
            <w:r>
              <w:rPr>
                <w:rFonts w:hint="eastAsia" w:ascii="宋体" w:hAnsi="宋体" w:cs="宋体"/>
                <w:color w:val="000000" w:themeColor="text1"/>
                <w:szCs w:val="21"/>
                <w:lang w:val="en-US" w:eastAsia="zh-CN"/>
                <w14:textFill>
                  <w14:solidFill>
                    <w14:schemeClr w14:val="tx1"/>
                  </w14:solidFill>
                </w14:textFill>
              </w:rPr>
              <w:t xml:space="preserve">在评审结束后，邮寄</w:t>
            </w:r>
            <w:r>
              <w:rPr>
                <w:rFonts w:hint="eastAsia" w:ascii="宋体" w:hAnsi="宋体" w:cs="宋体"/>
                <w:color w:val="000000" w:themeColor="text1"/>
                <w:szCs w:val="21"/>
                <w14:textFill>
                  <w14:solidFill>
                    <w14:schemeClr w14:val="tx1"/>
                  </w14:solidFill>
                </w14:textFill>
              </w:rPr>
              <w:t xml:space="preserve">密封完好的纸质版投标文件（一正</w:t>
            </w:r>
            <w:r>
              <w:rPr>
                <w:rFonts w:hint="eastAsia" w:ascii="宋体" w:hAnsi="宋体" w:cs="宋体"/>
                <w:color w:val="000000" w:themeColor="text1"/>
                <w:szCs w:val="21"/>
                <w:lang w:val="en-US" w:eastAsia="zh-CN"/>
                <w14:textFill>
                  <w14:solidFill>
                    <w14:schemeClr w14:val="tx1"/>
                  </w14:solidFill>
                </w14:textFill>
              </w:rPr>
              <w:t xml:space="preserve">两</w:t>
            </w:r>
            <w:r>
              <w:rPr>
                <w:rFonts w:hint="eastAsia" w:ascii="宋体" w:hAnsi="宋体" w:cs="宋体"/>
                <w:color w:val="000000" w:themeColor="text1"/>
                <w:szCs w:val="21"/>
                <w14:textFill>
                  <w14:solidFill>
                    <w14:schemeClr w14:val="tx1"/>
                  </w14:solidFill>
                </w14:textFill>
              </w:rPr>
              <w:t xml:space="preserve">副），纸质文件仅用于归档</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纸质文件邮寄（递交）地址：南京市鼓楼区郑和中路118号长江国际航运中心D座1601室 赵芸辉（收）13851601859。</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18</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25.1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提交投标文件的截止时间、地点</w:t>
            </w:r>
            <w:r/>
          </w:p>
        </w:tc>
        <w:tc>
          <w:tcPr>
            <w:tcW w:w="4982"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19</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28.1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开标时间、地点</w:t>
            </w:r>
            <w:r/>
          </w:p>
        </w:tc>
        <w:tc>
          <w:tcPr>
            <w:tcW w:w="4982"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20</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29.2.1</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信用查询</w:t>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30.1.1</w:t>
            </w:r>
            <w:r/>
          </w:p>
        </w:tc>
        <w:tc>
          <w:tcPr>
            <w:tcW w:w="2835" w:type="dxa"/>
            <w:vAlign w:val="center"/>
            <w:textDirection w:val="lrTb"/>
            <w:noWrap w:val="false"/>
          </w:tcPr>
          <w:p>
            <w:pPr>
              <w:pStyle w:val="1122"/>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评标委员会</w:t>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30.5.3</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核心产品</w:t>
            </w:r>
            <w:r>
              <w:rPr>
                <w:rFonts w:hint="eastAsia" w:hAnsi="宋体" w:cs="宋体"/>
                <w:color w:val="000000" w:themeColor="text1"/>
                <w:sz w:val="21"/>
                <w14:textFill>
                  <w14:solidFill>
                    <w14:schemeClr w14:val="tx1"/>
                  </w14:solidFill>
                </w14:textFill>
              </w:rPr>
              <w:tab/>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■单一产品采购。</w:t>
            </w:r>
            <w:r/>
          </w:p>
        </w:tc>
      </w:tr>
      <w:tr>
        <w:trPr>
          <w:jc w:val="center"/>
          <w:trHeight w:val="922"/>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23</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31.3</w:t>
            </w:r>
            <w:r/>
          </w:p>
        </w:tc>
        <w:tc>
          <w:tcPr>
            <w:tcW w:w="2835" w:type="dxa"/>
            <w:vAlign w:val="center"/>
            <w:textDirection w:val="lrTb"/>
            <w:noWrap w:val="false"/>
          </w:tcPr>
          <w:p>
            <w:pPr>
              <w:pStyle w:val="1122"/>
              <w:jc w:val="left"/>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24</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31.4</w:t>
            </w:r>
            <w:r/>
          </w:p>
        </w:tc>
        <w:tc>
          <w:tcPr>
            <w:tcW w:w="2835" w:type="dxa"/>
            <w:vAlign w:val="center"/>
            <w:textDirection w:val="lrTb"/>
            <w:noWrap w:val="false"/>
          </w:tcPr>
          <w:p>
            <w:pPr>
              <w:pStyle w:val="1122"/>
              <w:jc w:val="left"/>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公告媒体</w:t>
            </w:r>
            <w:r/>
          </w:p>
        </w:tc>
        <w:tc>
          <w:tcPr>
            <w:tcW w:w="4982" w:type="dxa"/>
            <w:vAlign w:val="center"/>
            <w:textDirection w:val="lrTb"/>
            <w:noWrap w:val="false"/>
          </w:tcPr>
          <w:p>
            <w:pPr>
              <w:pStyle w:val="1122"/>
              <w:jc w:val="left"/>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25</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35.1</w:t>
            </w:r>
            <w:r/>
          </w:p>
        </w:tc>
        <w:tc>
          <w:tcPr>
            <w:tcW w:w="283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履约保证金</w:t>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■中标人于本合同签订前向采购人交纳合同价的【5】%作为本合同的履约保证金。</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r/>
          </w:p>
        </w:tc>
      </w:tr>
      <w:tr>
        <w:trPr>
          <w:jc w:val="center"/>
          <w:trHeight w:val="656"/>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26</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供应商对采购文件的</w:t>
            </w:r>
            <w:r>
              <w:rPr>
                <w:rFonts w:hint="eastAsia" w:hAnsi="宋体" w:cs="宋体"/>
                <w:color w:val="000000" w:themeColor="text1"/>
                <w14:textFill>
                  <w14:solidFill>
                    <w14:schemeClr w14:val="tx1"/>
                  </w14:solidFill>
                </w14:textFill>
              </w:rPr>
              <w:t xml:space="preserve">询问</w:t>
            </w:r>
            <w:r/>
          </w:p>
        </w:tc>
        <w:tc>
          <w:tcPr>
            <w:tcW w:w="4982" w:type="dxa"/>
            <w:vAlign w:val="center"/>
            <w:textDirection w:val="lrTb"/>
            <w:noWrap w:val="false"/>
          </w:tcPr>
          <w:p>
            <w:pPr>
              <w:pStyle w:val="889"/>
              <w:spacing w:line="360" w:lineRule="auto"/>
              <w:rPr>
                <w:rFonts w:hint="eastAsia" w:hAnsi="宋体" w:cs="宋体"/>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时间：</w:t>
            </w:r>
            <w:r>
              <w:rPr>
                <w:rFonts w:hint="eastAsia" w:hAnsi="宋体" w:cs="宋体"/>
                <w:color w:val="000000" w:themeColor="text1"/>
                <w14:textFill>
                  <w14:solidFill>
                    <w14:schemeClr w14:val="tx1"/>
                  </w14:solidFill>
                </w14:textFill>
              </w:rPr>
              <w:t xml:space="preserve">递交投标文件截止时间前15日。</w:t>
            </w:r>
            <w:r/>
          </w:p>
          <w:p>
            <w:pPr>
              <w:pStyle w:val="889"/>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形式：以书面形式（盖章扫描件及WPS兼容格式文件发至</w:t>
            </w:r>
            <w:r>
              <w:rPr>
                <w:rFonts w:hint="eastAsia" w:hAnsi="宋体" w:cs="宋体"/>
                <w:bCs/>
                <w:color w:val="000000" w:themeColor="text1"/>
                <w:u w:val="single"/>
                <w14:textFill>
                  <w14:solidFill>
                    <w14:schemeClr w14:val="tx1"/>
                  </w14:solidFill>
                </w14:textFill>
              </w:rPr>
              <w:t xml:space="preserve">13851601859@163.com</w:t>
            </w:r>
            <w:r>
              <w:rPr>
                <w:rFonts w:hint="eastAsia" w:hAnsi="宋体" w:cs="宋体"/>
                <w:bCs/>
                <w:color w:val="000000" w:themeColor="text1"/>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27</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w:t>
            </w:r>
            <w:r/>
          </w:p>
        </w:tc>
        <w:tc>
          <w:tcPr>
            <w:tcW w:w="4982" w:type="dxa"/>
            <w:vAlign w:val="center"/>
            <w:textDirection w:val="lrTb"/>
            <w:noWrap w:val="false"/>
          </w:tcPr>
          <w:p>
            <w:pPr>
              <w:pStyle w:val="889"/>
              <w:spacing w:line="360" w:lineRule="auto"/>
              <w:rPr>
                <w:rFonts w:hint="eastAsia" w:hAnsi="宋体" w:cs="宋体"/>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形式：以书面形式通知采购代理机构。如采用邮件形式（盖章扫描件及WPS兼容格式文件发至13851601859@163.com邮箱）通知，采购代理机构将以邮件形式进行答复。</w:t>
            </w:r>
            <w:r/>
          </w:p>
        </w:tc>
      </w:tr>
      <w:tr>
        <w:trPr>
          <w:jc w:val="center"/>
          <w:trHeight w:val="1327"/>
        </w:trPr>
        <w:tc>
          <w:tcPr>
            <w:tcW w:w="675"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28</w:t>
            </w:r>
            <w:r/>
          </w:p>
        </w:tc>
        <w:tc>
          <w:tcPr>
            <w:tcW w:w="850" w:type="dxa"/>
            <w:vAlign w:val="center"/>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38.1</w:t>
            </w:r>
            <w:r/>
          </w:p>
        </w:tc>
        <w:tc>
          <w:tcPr>
            <w:tcW w:w="2835" w:type="dxa"/>
            <w:vAlign w:val="center"/>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1.支付主体和报价要求:本项目采购代理服务费由中标供应商支付，供应商在报价时应将代理服务费全额包含在投标总价中，采购人不再另行支付。</w:t>
            </w:r>
            <w:r/>
          </w:p>
          <w:p>
            <w:pPr>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2.为优化采购资金使用效率，依据《政府采购代理机构管理暂行办法》(财库(2018)2号)第十五条规定，本项目代理服务费由中标供应商支付。</w:t>
            </w:r>
            <w:r/>
          </w:p>
          <w:p>
            <w:pPr>
              <w:jc w:val="left"/>
              <w:spacing w:line="360" w:lineRule="auto"/>
              <w:rPr>
                <w:rFonts w:hint="eastAsia" w:hAnsi="宋体" w:cs="宋体"/>
                <w:bCs/>
                <w:color w:val="000000" w:themeColor="text1"/>
                <w:highlight w:val="yellow"/>
                <w14:textFill>
                  <w14:solidFill>
                    <w14:schemeClr w14:val="tx1"/>
                  </w14:solidFill>
                </w14:textFill>
              </w:rPr>
            </w:pPr>
            <w:r>
              <w:rPr>
                <w:rFonts w:hint="eastAsia" w:hAnsi="宋体" w:cs="宋体"/>
                <w:bCs/>
                <w:color w:val="000000" w:themeColor="text1"/>
                <w14:textFill>
                  <w14:solidFill>
                    <w14:schemeClr w14:val="tx1"/>
                  </w14:solidFill>
                </w14:textFill>
              </w:rPr>
              <w:t xml:space="preserve">3.</w:t>
            </w:r>
            <w:r>
              <w:rPr>
                <w:rFonts w:hint="eastAsia" w:hAnsi="宋体" w:cs="宋体"/>
                <w:bCs/>
                <w:color w:val="000000" w:themeColor="text1"/>
                <w:highlight w:val="none"/>
                <w14:textFill>
                  <w14:solidFill>
                    <w14:schemeClr w14:val="tx1"/>
                  </w14:solidFill>
                </w14:textFill>
              </w:rPr>
              <w:t xml:space="preserve">收取标准及方式:</w:t>
            </w:r>
            <w:r>
              <w:rPr>
                <w:rFonts w:hint="eastAsia" w:hAnsi="宋体" w:cs="宋体"/>
                <w:bCs/>
                <w:color w:val="000000" w:themeColor="text1"/>
                <w:lang w:val="en-US" w:eastAsia="zh-CN"/>
                <w14:textFill>
                  <w14:solidFill>
                    <w14:schemeClr w14:val="tx1"/>
                  </w14:solidFill>
                </w14:textFill>
              </w:rPr>
              <w:t xml:space="preserve">中标</w:t>
            </w:r>
            <w:r>
              <w:rPr>
                <w:rFonts w:hint="eastAsia" w:hAnsi="宋体" w:cs="宋体"/>
                <w:bCs/>
                <w:color w:val="000000" w:themeColor="text1"/>
                <w14:textFill>
                  <w14:solidFill>
                    <w14:schemeClr w14:val="tx1"/>
                  </w14:solidFill>
                </w14:textFill>
              </w:rPr>
              <w:t xml:space="preserve">供应商在领取</w:t>
            </w:r>
            <w:r>
              <w:rPr>
                <w:rFonts w:hint="eastAsia" w:hAnsi="宋体" w:cs="宋体"/>
                <w:bCs/>
                <w:color w:val="000000" w:themeColor="text1"/>
                <w:lang w:val="en-US" w:eastAsia="zh-CN"/>
                <w14:textFill>
                  <w14:solidFill>
                    <w14:schemeClr w14:val="tx1"/>
                  </w14:solidFill>
                </w14:textFill>
              </w:rPr>
              <w:t xml:space="preserve">中标</w:t>
            </w:r>
            <w:r>
              <w:rPr>
                <w:rFonts w:hint="eastAsia" w:hAnsi="宋体" w:cs="宋体"/>
                <w:bCs/>
                <w:color w:val="000000" w:themeColor="text1"/>
                <w14:textFill>
                  <w14:solidFill>
                    <w14:schemeClr w14:val="tx1"/>
                  </w14:solidFill>
                </w14:textFill>
              </w:rPr>
              <w:t xml:space="preserve">通知书前按下表中货物类型标准的65%</w:t>
            </w:r>
            <w:r>
              <w:rPr>
                <w:rFonts w:hint="eastAsia" w:hAnsi="宋体" w:cs="宋体"/>
                <w:bCs/>
                <w:color w:val="000000" w:themeColor="text1"/>
                <w:lang w:val="en-US" w:eastAsia="zh-CN"/>
                <w14:textFill>
                  <w14:solidFill>
                    <w14:schemeClr w14:val="tx1"/>
                  </w14:solidFill>
                </w14:textFill>
              </w:rPr>
              <w:t xml:space="preserve">核减</w:t>
            </w:r>
            <w:r>
              <w:rPr>
                <w:rFonts w:hint="eastAsia" w:hAnsi="宋体" w:cs="宋体"/>
                <w:bCs/>
                <w:color w:val="000000" w:themeColor="text1"/>
                <w14:textFill>
                  <w14:solidFill>
                    <w14:schemeClr w14:val="tx1"/>
                  </w14:solidFill>
                </w14:textFill>
              </w:rPr>
              <w:t xml:space="preserve">专家评审费</w:t>
            </w:r>
            <w:r>
              <w:rPr>
                <w:rFonts w:hint="eastAsia" w:hAnsi="宋体" w:cs="宋体"/>
                <w:bCs/>
                <w:color w:val="000000" w:themeColor="text1"/>
                <w:lang w:val="en-US" w:eastAsia="zh-CN"/>
                <w14:textFill>
                  <w14:solidFill>
                    <w14:schemeClr w14:val="tx1"/>
                  </w14:solidFill>
                </w14:textFill>
              </w:rPr>
              <w:t xml:space="preserve">后</w:t>
            </w:r>
            <w:r>
              <w:rPr>
                <w:rFonts w:hint="eastAsia" w:hAnsi="宋体" w:cs="宋体"/>
                <w:bCs/>
                <w:color w:val="000000" w:themeColor="text1"/>
                <w14:textFill>
                  <w14:solidFill>
                    <w14:schemeClr w14:val="tx1"/>
                  </w14:solidFill>
                </w14:textFill>
              </w:rPr>
              <w:t xml:space="preserve">一次性足额向采购代理机构缴纳采购代理服务费用，金额不足3000元，按3000元计取。</w:t>
            </w:r>
            <w:r/>
          </w:p>
          <w:tbl>
            <w:tblPr>
              <w:tblStyle w:val="8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14:textFill>
                  <w14:solidFill>
                    <w14:schemeClr w14:val="tx1"/>
                  </w14:solidFill>
                </w14:textFill>
              </w:rPr>
            </w:pPr>
            <w:r>
              <w:rPr>
                <w:rFonts w:hAnsi="宋体" w:cs="宋体"/>
                <w:bCs/>
                <w:color w:val="000000" w:themeColor="text1"/>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14:textFill>
                  <w14:solidFill>
                    <w14:schemeClr w14:val="tx1"/>
                  </w14:solidFill>
                </w14:textFill>
              </w:rPr>
            </w:pPr>
            <w:r>
              <w:rPr>
                <w:rFonts w:hAnsi="宋体" w:cs="宋体"/>
                <w:bCs/>
                <w:color w:val="000000" w:themeColor="text1"/>
                <w14:textFill>
                  <w14:solidFill>
                    <w14:schemeClr w14:val="tx1"/>
                  </w14:solidFill>
                </w14:textFill>
              </w:rPr>
              <w:t xml:space="preserve">人民币</w:t>
            </w:r>
            <w:r>
              <w:rPr>
                <w:rFonts w:hint="eastAsia" w:hAnsi="宋体" w:cs="宋体"/>
                <w:bCs/>
                <w:color w:val="000000" w:themeColor="text1"/>
                <w:lang w:eastAsia="zh-CN"/>
                <w14:textFill>
                  <w14:solidFill>
                    <w14:schemeClr w14:val="tx1"/>
                  </w14:solidFill>
                </w14:textFill>
              </w:rPr>
              <w:t xml:space="preserve">账号</w:t>
            </w:r>
            <w:r>
              <w:rPr>
                <w:rFonts w:hAnsi="宋体" w:cs="宋体"/>
                <w:bCs/>
                <w:color w:val="000000" w:themeColor="text1"/>
                <w14:textFill>
                  <w14:solidFill>
                    <w14:schemeClr w14:val="tx1"/>
                  </w14:solidFill>
                </w14:textFill>
              </w:rPr>
              <w:t xml:space="preserve">为：7321810182600023404</w:t>
            </w:r>
            <w:r/>
          </w:p>
          <w:p>
            <w:pPr>
              <w:pStyle w:val="889"/>
              <w:spacing w:line="360" w:lineRule="auto"/>
              <w:rPr>
                <w:rFonts w:hint="eastAsia" w:hAnsi="宋体" w:cs="宋体"/>
                <w:bCs/>
                <w:color w:val="000000" w:themeColor="text1"/>
                <w14:textFill>
                  <w14:solidFill>
                    <w14:schemeClr w14:val="tx1"/>
                  </w14:solidFill>
                </w14:textFill>
              </w:rPr>
            </w:pPr>
            <w:r>
              <w:rPr>
                <w:rFonts w:ascii="Times New Roman" w:hAnsi="宋体" w:cs="宋体"/>
                <w:bCs/>
                <w:color w:val="000000" w:themeColor="text1"/>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29</w:t>
            </w:r>
            <w:r/>
          </w:p>
        </w:tc>
        <w:tc>
          <w:tcPr>
            <w:tcW w:w="850" w:type="dxa"/>
            <w:vAlign w:val="center"/>
            <w:vMerge w:val="restart"/>
            <w:textDirection w:val="lrTb"/>
            <w:noWrap w:val="false"/>
          </w:tcPr>
          <w:p>
            <w:pPr>
              <w:pStyle w:val="1122"/>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39.1</w:t>
            </w:r>
            <w:r/>
          </w:p>
        </w:tc>
        <w:tc>
          <w:tcPr>
            <w:tcW w:w="2835" w:type="dxa"/>
            <w:vAlign w:val="center"/>
            <w:vMerge w:val="restart"/>
            <w:textDirection w:val="lrTb"/>
            <w:noWrap w:val="false"/>
          </w:tcPr>
          <w:p>
            <w:pPr>
              <w:pStyle w:val="112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其他规定</w:t>
            </w:r>
            <w:r/>
          </w:p>
        </w:tc>
        <w:tc>
          <w:tcPr>
            <w:tcW w:w="4982" w:type="dxa"/>
            <w:vAlign w:val="center"/>
            <w:textDirection w:val="lrTb"/>
            <w:noWrap w:val="false"/>
          </w:tcPr>
          <w:p>
            <w:pPr>
              <w:pStyle w:val="889"/>
              <w:spacing w:line="360" w:lineRule="auto"/>
              <w:rPr>
                <w:rFonts w:hint="eastAsia" w:hAnsi="宋体" w:cs="宋体"/>
                <w:bCs/>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850"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2835" w:type="dxa"/>
            <w:vAlign w:val="center"/>
            <w:vMerge w:val="continue"/>
            <w:textDirection w:val="lrTb"/>
            <w:noWrap w:val="false"/>
          </w:tcPr>
          <w:p>
            <w:pPr>
              <w:pStyle w:val="1122"/>
              <w:ind w:firstLine="37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4982" w:type="dxa"/>
            <w:vAlign w:val="center"/>
            <w:textDirection w:val="lrTb"/>
            <w:noWrap w:val="false"/>
          </w:tcPr>
          <w:p>
            <w:pPr>
              <w:pStyle w:val="889"/>
              <w:spacing w:line="360" w:lineRule="auto"/>
              <w:rPr>
                <w:rFonts w:hint="eastAsia" w:hAnsi="宋体" w:cs="宋体"/>
                <w:bCs/>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850"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2835" w:type="dxa"/>
            <w:vAlign w:val="center"/>
            <w:vMerge w:val="continue"/>
            <w:textDirection w:val="lrTb"/>
            <w:noWrap w:val="false"/>
          </w:tcPr>
          <w:p>
            <w:pPr>
              <w:pStyle w:val="1122"/>
              <w:ind w:firstLine="37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其他规定：</w:t>
            </w:r>
            <w:r>
              <w:rPr>
                <w:rFonts w:hint="eastAsia" w:hAnsi="宋体" w:cs="宋体"/>
                <w:color w:val="000000" w:themeColor="text1"/>
                <w:sz w:val="21"/>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1660"/>
        </w:trPr>
        <w:tc>
          <w:tcPr>
            <w:tcW w:w="675"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850"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2835" w:type="dxa"/>
            <w:vAlign w:val="center"/>
            <w:vMerge w:val="continue"/>
            <w:textDirection w:val="lrTb"/>
            <w:noWrap w:val="false"/>
          </w:tcPr>
          <w:p>
            <w:pPr>
              <w:pStyle w:val="1122"/>
              <w:ind w:firstLine="37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4982" w:type="dxa"/>
            <w:vAlign w:val="center"/>
            <w:textDirection w:val="lrTb"/>
            <w:noWrap w:val="false"/>
          </w:tcPr>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对本国产品的支持政策：</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22"/>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注：</w:t>
            </w:r>
            <w:r/>
          </w:p>
          <w:p>
            <w:pPr>
              <w:pStyle w:val="1122"/>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850" w:type="dxa"/>
            <w:vAlign w:val="center"/>
            <w:vMerge w:val="continue"/>
            <w:textDirection w:val="lrTb"/>
            <w:noWrap w:val="false"/>
          </w:tcPr>
          <w:p>
            <w:pPr>
              <w:pStyle w:val="1122"/>
              <w:ind w:firstLine="372"/>
              <w:jc w:val="center"/>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2835" w:type="dxa"/>
            <w:vAlign w:val="center"/>
            <w:vMerge w:val="continue"/>
            <w:textDirection w:val="lrTb"/>
            <w:noWrap w:val="false"/>
          </w:tcPr>
          <w:p>
            <w:pPr>
              <w:pStyle w:val="1122"/>
              <w:ind w:firstLine="372"/>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tc>
        <w:tc>
          <w:tcPr>
            <w:tcW w:w="4982" w:type="dxa"/>
            <w:vAlign w:val="center"/>
            <w:textDirection w:val="lrTb"/>
            <w:noWrap w:val="false"/>
          </w:tcPr>
          <w:p>
            <w:pPr>
              <w:pStyle w:val="889"/>
              <w:spacing w:line="360" w:lineRule="auto"/>
              <w:rPr>
                <w:rFonts w:hint="eastAsia"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异常低价审查：</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（一）政府采购评审中出现下列情形之一的，评审委员会应当启动异常低价投标（响应）审查程序：</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3.投标（响应）报价低于采购项目最高限价45%的，即投标（响应）报价&lt;采购项目最高限价×45%；</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4.评审委员会基于专业判断，认为供应商报价过低，有可能影响产品质量或者不能诚信履约的其他情形。</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2"/>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2"/>
              <w:spacing w:line="360" w:lineRule="auto"/>
              <w:rPr>
                <w:rFonts w:hint="eastAsia" w:hAnsi="宋体" w:cs="宋体"/>
                <w:b/>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9"/>
        <w:ind w:firstLine="1633"/>
        <w:spacing w:line="360" w:lineRule="auto"/>
        <w:rPr>
          <w:rFonts w:hint="eastAsia" w:hAnsi="宋体" w:cs="宋体"/>
          <w:b/>
          <w:bCs/>
          <w:color w:val="000000" w:themeColor="text1"/>
          <w:spacing w:val="100"/>
          <w:sz w:val="72"/>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14:textFill>
            <w14:solidFill>
              <w14:schemeClr w14:val="tx1"/>
            </w14:solidFill>
          </w14:textFill>
        </w:rPr>
      </w:r>
      <w:r/>
    </w:p>
    <w:p>
      <w:pPr>
        <w:pStyle w:val="907"/>
        <w:ind w:firstLine="569"/>
        <w:rPr>
          <w:rFonts w:hint="eastAsia" w:ascii="宋体" w:hAnsi="宋体" w:cs="宋体"/>
          <w:color w:val="000000" w:themeColor="text1"/>
          <w14:textFill>
            <w14:solidFill>
              <w14:schemeClr w14:val="tx1"/>
            </w14:solidFill>
          </w14:textFill>
        </w:rPr>
      </w:pPr>
      <w:r/>
      <w:bookmarkStart w:id="33" w:name="_Toc100905199"/>
      <w:r/>
      <w:bookmarkStart w:id="34" w:name="_Toc104560837"/>
      <w:r/>
      <w:bookmarkStart w:id="35" w:name="_Toc103848526"/>
      <w:r/>
      <w:bookmarkStart w:id="36" w:name="_Toc107246213"/>
      <w:r>
        <w:rPr>
          <w:rFonts w:hint="eastAsia" w:ascii="宋体" w:hAnsi="宋体" w:cs="宋体"/>
          <w:color w:val="000000" w:themeColor="text1"/>
          <w14:textFill>
            <w14:solidFill>
              <w14:schemeClr w14:val="tx1"/>
            </w14:solidFill>
          </w14:textFill>
        </w:rPr>
        <w:t xml:space="preserve">投标人须知</w:t>
      </w:r>
      <w:bookmarkEnd w:id="33"/>
      <w:r/>
      <w:bookmarkEnd w:id="34"/>
      <w:r/>
      <w:bookmarkEnd w:id="35"/>
      <w:r/>
      <w:bookmarkEnd w:id="36"/>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37" w:name="_Toc80264706"/>
      <w:r/>
      <w:bookmarkStart w:id="38" w:name="_Toc107246214"/>
      <w:r>
        <w:rPr>
          <w:rFonts w:hint="eastAsia" w:ascii="宋体" w:hAnsi="宋体" w:cs="宋体"/>
          <w:color w:val="000000" w:themeColor="text1"/>
          <w14:textFill>
            <w14:solidFill>
              <w14:schemeClr w14:val="tx1"/>
            </w14:solidFill>
          </w14:textFill>
        </w:rPr>
        <w:t xml:space="preserve">一．</w:t>
      </w:r>
      <w:bookmarkEnd w:id="37"/>
      <w:r>
        <w:rPr>
          <w:rFonts w:hint="eastAsia" w:ascii="宋体" w:hAnsi="宋体" w:cs="宋体"/>
          <w:color w:val="000000" w:themeColor="text1"/>
          <w14:textFill>
            <w14:solidFill>
              <w14:schemeClr w14:val="tx1"/>
            </w14:solidFill>
          </w14:textFill>
        </w:rPr>
        <w:t xml:space="preserve">总则</w:t>
      </w:r>
      <w:bookmarkEnd w:id="38"/>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39" w:name="_Toc100905201"/>
      <w:r/>
      <w:bookmarkStart w:id="40" w:name="_Toc103848528"/>
      <w:r/>
      <w:bookmarkStart w:id="41" w:name="_Toc96347862"/>
      <w:r/>
      <w:bookmarkStart w:id="42" w:name="_Toc107246215"/>
      <w:r/>
      <w:bookmarkStart w:id="43" w:name="_Toc104560839"/>
      <w:r>
        <w:rPr>
          <w:rFonts w:hint="eastAsia" w:ascii="宋体" w:hAnsi="宋体" w:cs="宋体"/>
          <w:color w:val="000000" w:themeColor="text1"/>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1.1本次招标采取公开招标方式，本招标文件仅适用于招标公告中所述项目。</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44" w:name="_Toc104560840"/>
      <w:r/>
      <w:bookmarkStart w:id="45" w:name="_Toc96347863"/>
      <w:r/>
      <w:bookmarkStart w:id="46" w:name="_Toc107246216"/>
      <w:r/>
      <w:bookmarkStart w:id="47" w:name="_Toc103848529"/>
      <w:r/>
      <w:bookmarkStart w:id="48" w:name="_Toc100905202"/>
      <w:r>
        <w:rPr>
          <w:rFonts w:hint="eastAsia" w:ascii="宋体" w:hAnsi="宋体" w:cs="宋体"/>
          <w:color w:val="000000" w:themeColor="text1"/>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采购代理机构</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2.3“采购方”是指采购人和</w:t>
      </w:r>
      <w:r>
        <w:rPr>
          <w:rFonts w:hint="eastAsia" w:ascii="宋体" w:hAnsi="宋体" w:cs="宋体"/>
          <w:color w:val="000000" w:themeColor="text1"/>
          <w:szCs w:val="21"/>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中标供应商</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评标委员会</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货物</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工程</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2.9</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2.10</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节能产品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或者</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环保产品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进口产品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是指通过中国海关报关验放进入中国境内且产自关境外的产品。</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49" w:name="_Toc96347864"/>
      <w:r/>
      <w:bookmarkStart w:id="50" w:name="_Toc104560841"/>
      <w:r/>
      <w:bookmarkStart w:id="51" w:name="_Toc100905203"/>
      <w:r/>
      <w:bookmarkStart w:id="52" w:name="_Toc107246217"/>
      <w:r/>
      <w:bookmarkStart w:id="53" w:name="_Toc103848530"/>
      <w:r>
        <w:rPr>
          <w:rFonts w:hint="eastAsia" w:ascii="宋体" w:hAnsi="宋体" w:cs="宋体"/>
          <w:color w:val="000000" w:themeColor="text1"/>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54" w:name="_Toc100905204"/>
      <w:r>
        <w:rPr>
          <w:rFonts w:hint="eastAsia" w:ascii="宋体" w:hAnsi="宋体" w:cs="宋体"/>
          <w:color w:val="000000" w:themeColor="text1"/>
          <w:szCs w:val="21"/>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55" w:name="_Toc103848531"/>
      <w:r/>
      <w:bookmarkStart w:id="56" w:name="_Toc107246218"/>
      <w:r/>
      <w:bookmarkStart w:id="57" w:name="_Toc104560842"/>
      <w:r>
        <w:rPr>
          <w:rFonts w:hint="eastAsia" w:ascii="宋体" w:hAnsi="宋体" w:cs="宋体"/>
          <w:color w:val="000000" w:themeColor="text1"/>
          <w14:textFill>
            <w14:solidFill>
              <w14:schemeClr w14:val="tx1"/>
            </w14:solidFill>
          </w14:textFill>
        </w:rPr>
        <w:t xml:space="preserve">4.</w:t>
      </w:r>
      <w:bookmarkEnd w:id="55"/>
      <w:r>
        <w:rPr>
          <w:rFonts w:hint="eastAsia" w:ascii="宋体" w:hAnsi="宋体" w:cs="宋体"/>
          <w:color w:val="000000" w:themeColor="text1"/>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4.1.1.1中小企业是</w:t>
      </w:r>
      <w:r>
        <w:rPr>
          <w:rFonts w:hint="eastAsia" w:ascii="宋体" w:hAnsi="宋体" w:cs="宋体"/>
          <w:color w:val="000000" w:themeColor="text1"/>
          <w:szCs w:val="21"/>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4.4未按要求提供相关材料的，不享受相关政策。</w:t>
      </w:r>
      <w:bookmarkEnd w:id="54"/>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58" w:name="_Toc104560843"/>
      <w:r/>
      <w:bookmarkStart w:id="59" w:name="_Toc103848532"/>
      <w:r/>
      <w:bookmarkStart w:id="60" w:name="_Toc100905205"/>
      <w:r/>
      <w:bookmarkStart w:id="61" w:name="_Toc107246219"/>
      <w:r/>
      <w:bookmarkStart w:id="62" w:name="_Toc96347865"/>
      <w:r>
        <w:rPr>
          <w:rFonts w:hint="eastAsia" w:ascii="宋体" w:hAnsi="宋体" w:cs="宋体"/>
          <w:color w:val="000000" w:themeColor="text1"/>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w:t>
      </w:r>
      <w:bookmarkStart w:id="63" w:name="_Toc80264707"/>
      <w:r>
        <w:rPr>
          <w:rFonts w:hint="eastAsia" w:ascii="宋体" w:hAnsi="宋体" w:cs="宋体"/>
          <w:color w:val="000000" w:themeColor="text1"/>
          <w:szCs w:val="21"/>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64" w:name="_Toc107246220"/>
      <w:r/>
      <w:bookmarkStart w:id="65" w:name="_Toc103848533"/>
      <w:r/>
      <w:bookmarkStart w:id="66" w:name="_Toc104560844"/>
      <w:r/>
      <w:bookmarkStart w:id="67" w:name="_Toc96347866"/>
      <w:r/>
      <w:bookmarkStart w:id="68" w:name="_Toc100905206"/>
      <w:r>
        <w:rPr>
          <w:rFonts w:hint="eastAsia" w:ascii="宋体" w:hAnsi="宋体" w:cs="宋体"/>
          <w:color w:val="000000" w:themeColor="text1"/>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71" w:name="_Toc107246221"/>
      <w:r/>
      <w:bookmarkStart w:id="72" w:name="_Toc104560845"/>
      <w:r/>
      <w:bookmarkStart w:id="73" w:name="_Toc103848534"/>
      <w:r>
        <w:rPr>
          <w:rFonts w:hint="eastAsia" w:ascii="宋体" w:hAnsi="宋体" w:cs="宋体"/>
          <w:color w:val="000000" w:themeColor="text1"/>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7.2所有文件中的计量单位，除招标文件有特殊要求外，应采用国家法定计量单位。</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74" w:name="_Toc104560846"/>
      <w:r/>
      <w:bookmarkStart w:id="75" w:name="_Toc100905208"/>
      <w:r/>
      <w:bookmarkStart w:id="76" w:name="_Toc103848535"/>
      <w:r/>
      <w:bookmarkStart w:id="77" w:name="_Toc107246222"/>
      <w:r/>
      <w:bookmarkStart w:id="78" w:name="_Toc96347868"/>
      <w:r>
        <w:rPr>
          <w:rFonts w:hint="eastAsia" w:ascii="宋体" w:hAnsi="宋体" w:cs="宋体"/>
          <w:color w:val="000000" w:themeColor="text1"/>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规定现场考察的，供应商须按照</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8.2供应商不按照</w:t>
      </w:r>
      <w:r>
        <w:rPr>
          <w:rFonts w:hint="eastAsia" w:ascii="宋体" w:hAnsi="宋体" w:cs="宋体"/>
          <w:bCs/>
          <w:color w:val="000000" w:themeColor="text1"/>
          <w:szCs w:val="21"/>
          <w14:textFill>
            <w14:solidFill>
              <w14:schemeClr w14:val="tx1"/>
            </w14:solidFill>
          </w14:textFill>
        </w:rPr>
        <w:t xml:space="preserve">本须知的规定</w:t>
      </w:r>
      <w:r>
        <w:rPr>
          <w:rFonts w:hint="eastAsia" w:ascii="宋体" w:hAnsi="宋体" w:cs="宋体"/>
          <w:color w:val="000000" w:themeColor="text1"/>
          <w:szCs w:val="21"/>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79" w:name="_Toc107246223"/>
      <w:r/>
      <w:bookmarkStart w:id="80" w:name="_Toc102117275"/>
      <w:r>
        <w:rPr>
          <w:rFonts w:hint="eastAsia" w:ascii="宋体" w:hAnsi="宋体" w:cs="宋体"/>
          <w:color w:val="000000" w:themeColor="text1"/>
          <w14:textFill>
            <w14:solidFill>
              <w14:schemeClr w14:val="tx1"/>
            </w14:solidFill>
          </w14:textFill>
        </w:rPr>
        <w:t xml:space="preserve">9.开标前答疑会</w:t>
      </w:r>
      <w:bookmarkEnd w:id="79"/>
      <w:r/>
      <w:bookmarkEnd w:id="80"/>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规定召开开标前答疑会的，采购方按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9.2供应商应按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规定的时间和形式将提出的询问送达采购方，以便采购方在会议期间澄清，逾期的询问将不被接受。</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81" w:name="_Toc103848536"/>
      <w:r/>
      <w:bookmarkStart w:id="82" w:name="_Toc107246224"/>
      <w:r/>
      <w:bookmarkStart w:id="83" w:name="_Toc100905210"/>
      <w:r/>
      <w:bookmarkStart w:id="84" w:name="_Toc104560847"/>
      <w:r/>
      <w:bookmarkStart w:id="85" w:name="_Toc96347869"/>
      <w:r>
        <w:rPr>
          <w:rFonts w:hint="eastAsia" w:ascii="宋体" w:hAnsi="宋体" w:cs="宋体"/>
          <w:color w:val="000000" w:themeColor="text1"/>
          <w:szCs w:val="21"/>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10.1本项目是否接受联合体形式参与详见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86" w:name="_Toc103848537"/>
      <w:r/>
      <w:bookmarkStart w:id="87" w:name="_Toc107246225"/>
      <w:r/>
      <w:bookmarkStart w:id="88" w:name="_Toc104560848"/>
      <w:r/>
      <w:bookmarkStart w:id="89" w:name="_Toc100905213"/>
      <w:r/>
      <w:bookmarkStart w:id="90" w:name="_Toc100905211"/>
      <w:r>
        <w:rPr>
          <w:rFonts w:hint="eastAsia" w:ascii="宋体" w:hAnsi="宋体" w:cs="宋体"/>
          <w:color w:val="000000" w:themeColor="text1"/>
          <w14:textFill>
            <w14:solidFill>
              <w14:schemeClr w14:val="tx1"/>
            </w14:solidFill>
          </w14:textFill>
        </w:rPr>
        <w:t xml:space="preserve">11.分包</w:t>
      </w:r>
      <w:bookmarkEnd w:id="86"/>
      <w:r/>
      <w:bookmarkEnd w:id="87"/>
      <w:r/>
      <w:bookmarkEnd w:id="88"/>
      <w:r/>
      <w:bookmarkEnd w:id="89"/>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91" w:name="_Toc107246226"/>
      <w:r/>
      <w:bookmarkStart w:id="92" w:name="_Toc104560849"/>
      <w:r>
        <w:rPr>
          <w:rFonts w:hint="eastAsia" w:ascii="宋体" w:hAnsi="宋体" w:cs="宋体"/>
          <w:color w:val="000000" w:themeColor="text1"/>
          <w14:textFill>
            <w14:solidFill>
              <w14:schemeClr w14:val="tx1"/>
            </w14:solidFill>
          </w14:textFill>
        </w:rPr>
        <w:t xml:space="preserve">12.样品</w:t>
      </w:r>
      <w:bookmarkEnd w:id="91"/>
      <w:r/>
      <w:bookmarkEnd w:id="92"/>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12.2样品的评审方法以及评审标准等内容见第五章《评标方法与评标标准》。</w:t>
      </w:r>
      <w:bookmarkEnd w:id="85"/>
      <w:r/>
      <w:bookmarkEnd w:id="90"/>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93" w:name="_Toc107246227"/>
      <w:r/>
      <w:bookmarkStart w:id="94" w:name="_Toc104560850"/>
      <w:r/>
      <w:bookmarkStart w:id="95" w:name="_Toc103848538"/>
      <w:r/>
      <w:bookmarkStart w:id="96" w:name="_Toc100905214"/>
      <w:r>
        <w:rPr>
          <w:rFonts w:hint="eastAsia" w:ascii="宋体" w:hAnsi="宋体" w:cs="宋体"/>
          <w:color w:val="000000" w:themeColor="text1"/>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13.1本项目是否采购进口产品及相关要求见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97" w:name="_Toc104560851"/>
      <w:r/>
      <w:bookmarkStart w:id="98" w:name="_Toc107246228"/>
      <w:r>
        <w:rPr>
          <w:rFonts w:hint="eastAsia" w:ascii="宋体" w:hAnsi="宋体" w:cs="宋体"/>
          <w:color w:val="000000" w:themeColor="text1"/>
          <w14:textFill>
            <w14:solidFill>
              <w14:schemeClr w14:val="tx1"/>
            </w14:solidFill>
          </w14:textFill>
        </w:rPr>
        <w:t xml:space="preserve">14.采购项目预算及最高限价</w:t>
      </w:r>
      <w:bookmarkEnd w:id="97"/>
      <w:r/>
      <w:bookmarkEnd w:id="98"/>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14.2本项目最高限价要求见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99" w:name="_Toc104560852"/>
      <w:r/>
      <w:bookmarkStart w:id="100" w:name="_Toc107246229"/>
      <w:r>
        <w:rPr>
          <w:rFonts w:hint="eastAsia" w:ascii="宋体" w:hAnsi="宋体" w:cs="宋体"/>
          <w:color w:val="000000" w:themeColor="text1"/>
          <w14:textFill>
            <w14:solidFill>
              <w14:schemeClr w14:val="tx1"/>
            </w14:solidFill>
          </w14:textFill>
        </w:rPr>
        <w:t xml:space="preserve">15.</w:t>
      </w:r>
      <w:r>
        <w:rPr>
          <w:rFonts w:hint="eastAsia" w:ascii="宋体" w:hAnsi="宋体" w:cs="宋体"/>
          <w:bCs w:val="0"/>
          <w:color w:val="000000" w:themeColor="text1"/>
          <w:szCs w:val="21"/>
          <w14:textFill>
            <w14:solidFill>
              <w14:schemeClr w14:val="tx1"/>
            </w14:solidFill>
          </w14:textFill>
        </w:rPr>
        <w:t xml:space="preserve"> 供应商</w:t>
      </w:r>
      <w:r>
        <w:rPr>
          <w:rFonts w:hint="eastAsia" w:ascii="宋体" w:hAnsi="宋体" w:cs="宋体"/>
          <w:color w:val="000000" w:themeColor="text1"/>
          <w14:textFill>
            <w14:solidFill>
              <w14:schemeClr w14:val="tx1"/>
            </w14:solidFill>
          </w14:textFill>
        </w:rPr>
        <w:t xml:space="preserve">资格条件</w:t>
      </w:r>
      <w:bookmarkEnd w:id="99"/>
      <w:r/>
      <w:bookmarkEnd w:id="100"/>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15.1</w:t>
      </w:r>
      <w:r>
        <w:rPr>
          <w:rFonts w:hint="eastAsia" w:ascii="宋体" w:hAnsi="宋体" w:cs="宋体"/>
          <w:bCs/>
          <w:color w:val="000000" w:themeColor="text1"/>
          <w:szCs w:val="2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资格条件见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01" w:name="_Toc107246230"/>
      <w:r>
        <w:rPr>
          <w:rFonts w:hint="eastAsia" w:ascii="宋体" w:hAnsi="宋体" w:cs="宋体"/>
          <w:color w:val="000000" w:themeColor="text1"/>
          <w14:textFill>
            <w14:solidFill>
              <w14:schemeClr w14:val="tx1"/>
            </w14:solidFill>
          </w14:textFill>
        </w:rPr>
        <w:t xml:space="preserve">二．招标文件</w:t>
      </w:r>
      <w:bookmarkEnd w:id="63"/>
      <w:r/>
      <w:bookmarkEnd w:id="101"/>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02" w:name="_Toc96347871"/>
      <w:r/>
      <w:bookmarkStart w:id="103" w:name="_Toc104560854"/>
      <w:r/>
      <w:bookmarkStart w:id="104" w:name="_Toc100905217"/>
      <w:r/>
      <w:bookmarkStart w:id="105" w:name="_Toc107246231"/>
      <w:r/>
      <w:bookmarkStart w:id="106" w:name="_Toc103848540"/>
      <w:r>
        <w:rPr>
          <w:rFonts w:hint="eastAsia" w:ascii="宋体" w:hAnsi="宋体" w:cs="宋体"/>
          <w:color w:val="000000" w:themeColor="text1"/>
          <w14:textFill>
            <w14:solidFill>
              <w14:schemeClr w14:val="tx1"/>
            </w14:solidFill>
          </w14:textFill>
        </w:rPr>
        <w:t xml:space="preserve">16.招标文件的构成</w:t>
      </w:r>
      <w:bookmarkEnd w:id="102"/>
      <w:r/>
      <w:bookmarkEnd w:id="103"/>
      <w:r/>
      <w:bookmarkEnd w:id="104"/>
      <w:r/>
      <w:bookmarkEnd w:id="105"/>
      <w:r/>
      <w:bookmarkEnd w:id="106"/>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第六章：</w:t>
      </w:r>
      <w:bookmarkStart w:id="107" w:name="_Toc96347872"/>
      <w:r>
        <w:rPr>
          <w:rFonts w:hint="eastAsia" w:ascii="宋体" w:hAnsi="宋体" w:cs="宋体"/>
          <w:color w:val="000000" w:themeColor="text1"/>
          <w:szCs w:val="21"/>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中国政府采购网”发布的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文件不一致</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lang w:val="zh-CN"/>
          <w14:textFill>
            <w14:solidFill>
              <w14:schemeClr w14:val="tx1"/>
            </w14:solidFill>
          </w14:textFill>
        </w:rPr>
        <w:t xml:space="preserve">，以</w:t>
      </w:r>
      <w:r>
        <w:rPr>
          <w:rFonts w:hint="eastAsia" w:ascii="宋体" w:hAnsi="宋体" w:cs="宋体"/>
          <w:color w:val="000000" w:themeColor="text1"/>
          <w:szCs w:val="21"/>
          <w14:textFill>
            <w14:solidFill>
              <w14:schemeClr w14:val="tx1"/>
            </w14:solidFill>
          </w14:textFill>
        </w:rPr>
        <w:t xml:space="preserve">上述网站</w:t>
      </w:r>
      <w:r>
        <w:rPr>
          <w:rFonts w:hint="eastAsia" w:ascii="宋体" w:hAnsi="宋体" w:cs="宋体"/>
          <w:color w:val="000000" w:themeColor="text1"/>
          <w:szCs w:val="21"/>
          <w:lang w:val="zh-CN"/>
          <w14:textFill>
            <w14:solidFill>
              <w14:schemeClr w14:val="tx1"/>
            </w14:solidFill>
          </w14:textFill>
        </w:rPr>
        <w:t xml:space="preserve">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★招标文件中标注</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16.3</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16.4本项目招标文件如包括多个分包，则除非特别说明，招标文件所列各项要求均为各分包通用要求。</w:t>
      </w:r>
      <w:bookmarkEnd w:id="107"/>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08" w:name="_Toc100905218"/>
      <w:r/>
      <w:bookmarkStart w:id="109" w:name="_Toc103848541"/>
      <w:r/>
      <w:bookmarkStart w:id="110" w:name="_Toc96347873"/>
      <w:r/>
      <w:bookmarkStart w:id="111" w:name="_Toc107246232"/>
      <w:r/>
      <w:bookmarkStart w:id="112" w:name="_Toc104560855"/>
      <w:r>
        <w:rPr>
          <w:rFonts w:hint="eastAsia" w:ascii="宋体" w:hAnsi="宋体" w:cs="宋体"/>
          <w:color w:val="000000" w:themeColor="text1"/>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113" w:name="_Toc100905219"/>
      <w:r>
        <w:rPr>
          <w:rFonts w:hint="eastAsia" w:ascii="宋体" w:hAnsi="宋体" w:cs="宋体"/>
          <w:color w:val="000000" w:themeColor="text1"/>
          <w:szCs w:val="21"/>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3"/>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14" w:name="_Toc104560856"/>
      <w:r/>
      <w:bookmarkStart w:id="115" w:name="_Toc91836558"/>
      <w:r/>
      <w:bookmarkStart w:id="116" w:name="_Toc107246233"/>
      <w:r/>
      <w:bookmarkStart w:id="117" w:name="_Toc80264708"/>
      <w:r>
        <w:rPr>
          <w:rFonts w:hint="eastAsia" w:ascii="宋体" w:hAnsi="宋体" w:cs="宋体"/>
          <w:color w:val="000000" w:themeColor="text1"/>
          <w14:textFill>
            <w14:solidFill>
              <w14:schemeClr w14:val="tx1"/>
            </w14:solidFill>
          </w14:textFill>
        </w:rPr>
        <w:t xml:space="preserve">三．投标文件</w:t>
      </w:r>
      <w:bookmarkEnd w:id="114"/>
      <w:r/>
      <w:bookmarkEnd w:id="115"/>
      <w:r/>
      <w:bookmarkEnd w:id="116"/>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18" w:name="_Toc103848543"/>
      <w:r/>
      <w:bookmarkStart w:id="119" w:name="_Toc104560857"/>
      <w:r/>
      <w:bookmarkStart w:id="120" w:name="_Toc107246234"/>
      <w:r/>
      <w:bookmarkStart w:id="121" w:name="_Toc96347875"/>
      <w:r/>
      <w:bookmarkStart w:id="122" w:name="_Toc100905221"/>
      <w:r>
        <w:rPr>
          <w:rFonts w:hint="eastAsia" w:ascii="宋体" w:hAnsi="宋体" w:cs="宋体"/>
          <w:color w:val="000000" w:themeColor="text1"/>
          <w14:textFill>
            <w14:solidFill>
              <w14:schemeClr w14:val="tx1"/>
            </w14:solidFill>
          </w14:textFill>
        </w:rPr>
        <w:t xml:space="preserve">18.投标文件的组成</w:t>
      </w:r>
      <w:bookmarkEnd w:id="118"/>
      <w:r/>
      <w:bookmarkEnd w:id="119"/>
      <w:r/>
      <w:bookmarkEnd w:id="120"/>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18.2</w:t>
      </w:r>
      <w:r>
        <w:rPr>
          <w:rFonts w:hint="eastAsia" w:ascii="宋体" w:hAnsi="宋体" w:cs="宋体"/>
          <w:b/>
          <w:color w:val="000000" w:themeColor="text1"/>
          <w:sz w:val="22"/>
          <w:szCs w:val="22"/>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（7）投标人具备投标资格的证明文件（</w:t>
      </w:r>
      <w:r>
        <w:rPr>
          <w:rFonts w:hint="eastAsia" w:ascii="宋体" w:hAnsi="宋体" w:cs="宋体"/>
          <w:color w:val="000000" w:themeColor="text1"/>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18.3</w:t>
      </w:r>
      <w:r>
        <w:rPr>
          <w:rFonts w:hint="eastAsia" w:ascii="宋体" w:hAnsi="宋体" w:cs="宋体"/>
          <w:b/>
          <w:color w:val="000000" w:themeColor="text1"/>
          <w:sz w:val="22"/>
          <w:szCs w:val="22"/>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18.4.1投标文件的其他部分由投标人根据编制投标文件需要提供的其他相关文件组成。</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123" w:name="_Toc107246235"/>
      <w:r/>
      <w:bookmarkStart w:id="124" w:name="_Toc104560858"/>
      <w:r>
        <w:rPr>
          <w:rFonts w:hint="eastAsia" w:ascii="宋体" w:hAnsi="宋体" w:cs="宋体"/>
          <w:color w:val="000000" w:themeColor="text1"/>
          <w14:textFill>
            <w14:solidFill>
              <w14:schemeClr w14:val="tx1"/>
            </w14:solidFill>
          </w14:textFill>
        </w:rPr>
        <w:t xml:space="preserve">19.投标文件编制的原则</w:t>
      </w:r>
      <w:bookmarkEnd w:id="123"/>
      <w:r/>
      <w:bookmarkEnd w:id="124"/>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19.1</w:t>
      </w:r>
      <w:r>
        <w:rPr>
          <w:rFonts w:hint="eastAsia" w:ascii="宋体" w:hAnsi="宋体" w:cs="宋体"/>
          <w:color w:val="000000" w:themeColor="text1"/>
          <w:szCs w:val="21"/>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19.2</w:t>
      </w:r>
      <w:r>
        <w:rPr>
          <w:rFonts w:hint="eastAsia" w:ascii="宋体" w:hAnsi="宋体" w:cs="宋体"/>
          <w:color w:val="000000" w:themeColor="text1"/>
          <w:szCs w:val="21"/>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19.3</w:t>
      </w:r>
      <w:r>
        <w:rPr>
          <w:rFonts w:hint="eastAsia" w:ascii="宋体" w:hAnsi="宋体" w:cs="宋体"/>
          <w:color w:val="000000" w:themeColor="text1"/>
          <w:szCs w:val="21"/>
          <w14:textFill>
            <w14:solidFill>
              <w14:schemeClr w14:val="tx1"/>
            </w14:solidFill>
          </w14:textFill>
        </w:rPr>
        <w:t xml:space="preserve">投标文件须对招标文件中的内容做出实质性和完整的响应。</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125" w:name="_Toc107246236"/>
      <w:r>
        <w:rPr>
          <w:rFonts w:hint="eastAsia" w:ascii="宋体" w:hAnsi="宋体" w:cs="宋体"/>
          <w:color w:val="000000" w:themeColor="text1"/>
          <w14:textFill>
            <w14:solidFill>
              <w14:schemeClr w14:val="tx1"/>
            </w14:solidFill>
          </w14:textFill>
        </w:rPr>
        <w:t xml:space="preserve">20.投标报价</w:t>
      </w:r>
      <w:bookmarkEnd w:id="125"/>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20.1</w:t>
      </w:r>
      <w:r>
        <w:rPr>
          <w:rFonts w:hint="eastAsia" w:ascii="宋体" w:hAnsi="宋体" w:cs="宋体"/>
          <w:color w:val="000000" w:themeColor="text1"/>
          <w:szCs w:val="21"/>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20.2</w:t>
      </w:r>
      <w:r>
        <w:rPr>
          <w:rFonts w:hint="eastAsia" w:ascii="宋体" w:hAnsi="宋体" w:cs="宋体"/>
          <w:b/>
          <w:color w:val="000000" w:themeColor="text1"/>
          <w:szCs w:val="21"/>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20.3</w:t>
      </w:r>
      <w:r>
        <w:rPr>
          <w:rFonts w:hint="eastAsia" w:ascii="宋体" w:hAnsi="宋体" w:cs="宋体"/>
          <w:color w:val="000000" w:themeColor="text1"/>
          <w:szCs w:val="21"/>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14:textFill>
            <w14:solidFill>
              <w14:schemeClr w14:val="tx1"/>
            </w14:solidFill>
          </w14:textFill>
        </w:rPr>
        <w:t xml:space="preserve">★开标一览表须加盖公章或电子公章。</w:t>
      </w:r>
      <w:r>
        <w:rPr>
          <w:rFonts w:hint="eastAsia" w:ascii="宋体" w:hAnsi="宋体" w:cs="宋体"/>
          <w:bCs/>
          <w:color w:val="000000" w:themeColor="text1"/>
          <w:szCs w:val="21"/>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20.5</w:t>
      </w:r>
      <w:r>
        <w:rPr>
          <w:rFonts w:hint="eastAsia" w:ascii="宋体" w:hAnsi="宋体" w:cs="宋体"/>
          <w:color w:val="000000" w:themeColor="text1"/>
          <w:szCs w:val="21"/>
          <w14:textFill>
            <w14:solidFill>
              <w14:schemeClr w14:val="tx1"/>
            </w14:solidFill>
          </w14:textFill>
        </w:rPr>
        <w:t xml:space="preserve">投标报价的其他要求见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bookmarkEnd w:id="121"/>
      <w:r/>
      <w:bookmarkEnd w:id="122"/>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26" w:name="_Toc103848545"/>
      <w:r/>
      <w:bookmarkStart w:id="127" w:name="_Toc104560859"/>
      <w:r/>
      <w:bookmarkStart w:id="128" w:name="_Toc107246237"/>
      <w:r/>
      <w:bookmarkStart w:id="129" w:name="_Toc100905224"/>
      <w:r/>
      <w:bookmarkStart w:id="130" w:name="_Toc103848544"/>
      <w:r/>
      <w:bookmarkStart w:id="131" w:name="_Toc100905223"/>
      <w:r/>
      <w:bookmarkStart w:id="132" w:name="_Toc96347878"/>
      <w:r>
        <w:rPr>
          <w:rFonts w:hint="eastAsia" w:ascii="宋体" w:hAnsi="宋体" w:cs="宋体"/>
          <w:color w:val="000000" w:themeColor="text1"/>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21.1投标有效期见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规定的投标截止之日起计算。</w:t>
      </w: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33" w:name="_Toc104560860"/>
      <w:r/>
      <w:bookmarkStart w:id="134" w:name="_Toc107246238"/>
      <w:r>
        <w:rPr>
          <w:rFonts w:hint="eastAsia" w:ascii="宋体" w:hAnsi="宋体" w:cs="宋体"/>
          <w:color w:val="000000" w:themeColor="text1"/>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35" w:name="_Toc519241651"/>
      <w:r/>
      <w:bookmarkStart w:id="136" w:name="_Toc420487862"/>
      <w:r/>
      <w:bookmarkStart w:id="137" w:name="_Toc466452044"/>
      <w:r/>
      <w:bookmarkStart w:id="138" w:name="_Toc96347879"/>
      <w:r/>
      <w:bookmarkStart w:id="139" w:name="_Toc68159552"/>
      <w:r/>
      <w:bookmarkStart w:id="140" w:name="_Toc420657357"/>
      <w:r>
        <w:rPr>
          <w:rFonts w:hint="eastAsia" w:ascii="宋体" w:hAnsi="宋体" w:cs="宋体"/>
          <w:bCs/>
          <w:color w:val="000000" w:themeColor="text1"/>
          <w:szCs w:val="21"/>
          <w14:textFill>
            <w14:solidFill>
              <w14:schemeClr w14:val="tx1"/>
            </w14:solidFill>
          </w14:textFill>
        </w:rPr>
        <w:t xml:space="preserve">22.1本项目是否交纳投标保证金见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规定的投标截止时间前，向采购方提交</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规定的投标有效期一致。</w:t>
      </w:r>
      <w:r>
        <w:rPr>
          <w:rFonts w:hint="eastAsia" w:ascii="宋体" w:hAnsi="宋体" w:cs="宋体"/>
          <w:b/>
          <w:color w:val="000000" w:themeColor="text1"/>
          <w:szCs w:val="21"/>
          <w14:textFill>
            <w14:solidFill>
              <w14:schemeClr w14:val="tx1"/>
            </w14:solidFill>
          </w14:textFill>
        </w:rPr>
        <w:t xml:space="preserve">★投标人未按规定缴纳投标保证金的或</w:t>
      </w:r>
      <w:r>
        <w:rPr>
          <w:rFonts w:hint="eastAsia" w:ascii="宋体" w:hAnsi="宋体" w:cs="宋体"/>
          <w:b/>
          <w:bCs/>
          <w:color w:val="000000" w:themeColor="text1"/>
          <w:szCs w:val="21"/>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bookmarkStart w:id="141" w:name="_Toc104560861"/>
      <w:r/>
      <w:bookmarkStart w:id="142" w:name="_Toc96347880"/>
      <w:r/>
      <w:bookmarkStart w:id="143" w:name="_Toc100905225"/>
      <w:r/>
      <w:bookmarkStart w:id="144" w:name="_Toc103848546"/>
      <w:r>
        <w:rPr>
          <w:rFonts w:hint="eastAsia" w:ascii="宋体" w:hAnsi="宋体" w:cs="宋体"/>
          <w:color w:val="000000" w:themeColor="text1"/>
          <w:szCs w:val="21"/>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（6）招标文件规定的其他可以不予退还投标保证金的情形。</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45" w:name="_Toc107246239"/>
      <w:r>
        <w:rPr>
          <w:rFonts w:hint="eastAsia" w:ascii="宋体" w:hAnsi="宋体" w:cs="宋体"/>
          <w:color w:val="000000" w:themeColor="text1"/>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146" w:name="_Toc107246240"/>
      <w:r>
        <w:rPr>
          <w:rFonts w:ascii="Microsoft New Tai Lue" w:hAnsi="Microsoft New Tai Lue" w:cs="Microsoft New Tai Lue"/>
          <w:bCs/>
          <w:color w:val="000000" w:themeColor="text1"/>
          <w:szCs w:val="21"/>
          <w14:textFill>
            <w14:solidFill>
              <w14:schemeClr w14:val="tx1"/>
            </w14:solidFill>
          </w14:textFill>
        </w:rPr>
        <w:t xml:space="preserve">23.1</w:t>
      </w:r>
      <w:r>
        <w:rPr>
          <w:rFonts w:ascii="Arial" w:hAnsi="Arial" w:cs="Arial"/>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lang w:val="zh-CN"/>
          <w14:textFill>
            <w14:solidFill>
              <w14:schemeClr w14:val="tx1"/>
            </w14:solidFill>
          </w14:textFill>
        </w:rPr>
        <w:t xml:space="preserve">招标代理机构拒绝接收提交</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文件截止时间后上传的任何电子</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23.2</w:t>
      </w:r>
      <w:r>
        <w:rPr>
          <w:rFonts w:ascii="Segoe UI Symbol" w:hAnsi="Segoe UI Symbol" w:cs="Segoe UI Symbol"/>
          <w:b/>
          <w:color w:val="000000" w:themeColor="text1"/>
          <w:szCs w:val="21"/>
          <w14:textFill>
            <w14:solidFill>
              <w14:schemeClr w14:val="tx1"/>
            </w14:solidFill>
          </w14:textFill>
        </w:rPr>
        <w:t xml:space="preserve">★</w:t>
      </w:r>
      <w:r>
        <w:rPr>
          <w:rFonts w:hint="eastAsia" w:ascii="Microsoft New Tai Lue" w:hAnsi="Microsoft New Tai Lue" w:cs="Microsoft New Tai Lue"/>
          <w:b/>
          <w:bCs/>
          <w:color w:val="000000" w:themeColor="text1"/>
          <w:szCs w:val="21"/>
          <w14:textFill>
            <w14:solidFill>
              <w14:schemeClr w14:val="tx1"/>
            </w14:solidFill>
          </w14:textFill>
        </w:rPr>
        <w:t xml:space="preserve">投标文件</w:t>
      </w:r>
      <w:r>
        <w:rPr>
          <w:rFonts w:ascii="Microsoft New Tai Lue" w:hAnsi="Microsoft New Tai Lue" w:cs="Microsoft New Tai Lue"/>
          <w:b/>
          <w:bCs/>
          <w:color w:val="000000" w:themeColor="text1"/>
          <w:szCs w:val="21"/>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14:textFill>
            <w14:solidFill>
              <w14:schemeClr w14:val="tx1"/>
            </w14:solidFill>
          </w14:textFill>
        </w:rPr>
        <w:t xml:space="preserve">（单位</w:t>
      </w:r>
      <w:r>
        <w:rPr>
          <w:rFonts w:ascii="Microsoft New Tai Lue" w:hAnsi="Microsoft New Tai Lue" w:cs="Microsoft New Tai Lue"/>
          <w:b/>
          <w:bCs/>
          <w:color w:val="000000" w:themeColor="text1"/>
          <w:szCs w:val="21"/>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14:textFill>
            <w14:solidFill>
              <w14:schemeClr w14:val="tx1"/>
            </w14:solidFill>
          </w14:textFill>
        </w:rPr>
        <w:t xml:space="preserve">法定代表人</w:t>
      </w:r>
      <w:r>
        <w:rPr>
          <w:rFonts w:ascii="Microsoft New Tai Lue" w:hAnsi="Microsoft New Tai Lue"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14:textFill>
            <w14:solidFill>
              <w14:schemeClr w14:val="tx1"/>
            </w14:solidFill>
          </w14:textFill>
        </w:rPr>
        <w:t xml:space="preserve">或电子公章</w:t>
      </w:r>
      <w:r>
        <w:rPr>
          <w:rFonts w:ascii="Microsoft New Tai Lue" w:hAnsi="Microsoft New Tai Lue" w:cs="Microsoft New Tai Lue"/>
          <w:bCs/>
          <w:color w:val="000000" w:themeColor="text1"/>
          <w:szCs w:val="21"/>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3.4</w:t>
      </w: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14:textFill>
            <w14:solidFill>
              <w14:schemeClr w14:val="tx1"/>
            </w14:solidFill>
          </w14:textFill>
        </w:rPr>
        <w:t xml:space="preserve">如</w:t>
      </w:r>
      <w:r>
        <w:rPr>
          <w:rFonts w:ascii="Microsoft New Tai Lue" w:hAnsi="Microsoft New Tai Lue" w:cs="Microsoft New Tai Lue"/>
          <w:b/>
          <w:color w:val="000000" w:themeColor="text1"/>
          <w:szCs w:val="21"/>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b/>
          <w:color w:val="000000" w:themeColor="text1"/>
          <w14:textFill>
            <w14:solidFill>
              <w14:schemeClr w14:val="tx1"/>
            </w14:solidFill>
          </w14:textFill>
        </w:rPr>
        <w:t xml:space="preserve">（</w:t>
      </w:r>
      <w:r>
        <w:rPr>
          <w:rFonts w:hint="eastAsia"/>
          <w:b/>
          <w:color w:val="000000" w:themeColor="text1"/>
          <w14:textFill>
            <w14:solidFill>
              <w14:schemeClr w14:val="tx1"/>
            </w14:solidFill>
          </w14:textFill>
        </w:rPr>
        <w:t xml:space="preserve">格式</w:t>
      </w:r>
      <w:r>
        <w:rPr>
          <w:b/>
          <w:color w:val="000000" w:themeColor="text1"/>
          <w14:textFill>
            <w14:solidFill>
              <w14:schemeClr w14:val="tx1"/>
            </w14:solidFill>
          </w14:textFill>
        </w:rPr>
        <w:t xml:space="preserve">见</w:t>
      </w:r>
      <w:r>
        <w:rPr>
          <w:rFonts w:hint="eastAsia"/>
          <w:b/>
          <w:color w:val="000000" w:themeColor="text1"/>
          <w14:textFill>
            <w14:solidFill>
              <w14:schemeClr w14:val="tx1"/>
            </w14:solidFill>
          </w14:textFill>
        </w:rPr>
        <w:t xml:space="preserve">后</w:t>
      </w:r>
      <w:r>
        <w:rPr>
          <w:b/>
          <w:color w:val="000000" w:themeColor="text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，明确</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14:textFill>
            <w14:solidFill>
              <w14:schemeClr w14:val="tx1"/>
            </w14:solidFill>
          </w14:textFill>
        </w:rPr>
        <w:t xml:space="preserve">我单位</w:t>
      </w:r>
      <w:r>
        <w:rPr>
          <w:rFonts w:ascii="Microsoft New Tai Lue" w:hAnsi="Microsoft New Tai Lue" w:cs="Microsoft New Tai Lue"/>
          <w:b/>
          <w:color w:val="000000" w:themeColor="text1"/>
          <w:szCs w:val="21"/>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w:t>
      </w:r>
      <w:r>
        <w:rPr>
          <w:rFonts w:hint="eastAsia" w:ascii="Microsoft New Tai Lue" w:hAnsi="Microsoft New Tai Lue" w:cs="Microsoft New Tai Lue"/>
          <w:b/>
          <w:color w:val="000000" w:themeColor="text1"/>
          <w:szCs w:val="21"/>
          <w14:textFill>
            <w14:solidFill>
              <w14:schemeClr w14:val="tx1"/>
            </w14:solidFill>
          </w14:textFill>
        </w:rPr>
        <w:t xml:space="preserve">“公章授权书”</w:t>
      </w:r>
      <w:r>
        <w:rPr>
          <w:rFonts w:ascii="Microsoft New Tai Lue" w:hAnsi="Microsoft New Tai Lue" w:cs="Microsoft New Tai Lue"/>
          <w:b/>
          <w:color w:val="000000" w:themeColor="text1"/>
          <w:szCs w:val="21"/>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14:textFill>
            <w14:solidFill>
              <w14:schemeClr w14:val="tx1"/>
            </w14:solidFill>
          </w14:textFill>
        </w:rPr>
        <w:t xml:space="preserve">本次投标使用的</w:t>
      </w:r>
      <w:r>
        <w:rPr>
          <w:rFonts w:ascii="Microsoft New Tai Lue" w:hAnsi="Microsoft New Tai Lue" w:cs="Microsoft New Tai Lue"/>
          <w:b/>
          <w:color w:val="000000" w:themeColor="text1"/>
          <w:szCs w:val="21"/>
          <w14:textFill>
            <w14:solidFill>
              <w14:schemeClr w14:val="tx1"/>
            </w14:solidFill>
          </w14:textFill>
        </w:rPr>
        <w:t xml:space="preserve">专用章</w:t>
      </w:r>
      <w:r>
        <w:rPr>
          <w:rFonts w:hint="eastAsia" w:ascii="Microsoft New Tai Lue" w:hAnsi="Microsoft New Tai Lue" w:cs="Microsoft New Tai Lue"/>
          <w:b/>
          <w:color w:val="000000" w:themeColor="text1"/>
          <w:szCs w:val="21"/>
          <w14:textFill>
            <w14:solidFill>
              <w14:schemeClr w14:val="tx1"/>
            </w14:solidFill>
          </w14:textFill>
        </w:rPr>
        <w:t xml:space="preserve">，否则不予认可</w:t>
      </w:r>
      <w:r>
        <w:rPr>
          <w:rFonts w:ascii="Microsoft New Tai Lue" w:hAnsi="Microsoft New Tai Lue" w:cs="Microsoft New Tai Lue"/>
          <w:b/>
          <w:color w:val="000000" w:themeColor="text1"/>
          <w:szCs w:val="21"/>
          <w14:textFill>
            <w14:solidFill>
              <w14:schemeClr w14:val="tx1"/>
            </w14:solidFill>
          </w14:textFill>
        </w:rPr>
        <w:t xml:space="preserve">。</w:t>
      </w:r>
      <w:r/>
    </w:p>
    <w:p>
      <w:pPr>
        <w:ind w:firstLine="420"/>
        <w:spacing w:before="156" w:after="40"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23.5除</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14:textFill>
            <w14:solidFill>
              <w14:schemeClr w14:val="tx1"/>
            </w14:solidFill>
          </w14:textFill>
        </w:rPr>
        <w:t xml:space="preserve">方有效</w:t>
      </w:r>
      <w:r>
        <w:rPr>
          <w:rFonts w:ascii="Microsoft New Tai Lue" w:hAnsi="Microsoft New Tai Lue" w:cs="Microsoft New Tai Lue"/>
          <w:bCs/>
          <w:color w:val="000000" w:themeColor="text1"/>
          <w:szCs w:val="21"/>
          <w14:textFill>
            <w14:solidFill>
              <w14:schemeClr w14:val="tx1"/>
            </w14:solidFill>
          </w14:textFill>
        </w:rPr>
        <w:t xml:space="preserve">。</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四．投标文件的递交</w:t>
      </w:r>
      <w:bookmarkEnd w:id="146"/>
      <w:r/>
      <w:r/>
    </w:p>
    <w:p>
      <w:pPr>
        <w:pStyle w:val="867"/>
        <w:ind w:left="0" w:right="210" w:firstLine="373"/>
        <w:spacing w:line="360" w:lineRule="auto"/>
        <w:rPr>
          <w:rFonts w:ascii="Microsoft New Tai Lue" w:hAnsi="Microsoft New Tai Lue" w:cs="Microsoft New Tai Lue"/>
          <w:color w:val="000000" w:themeColor="text1"/>
          <w:szCs w:val="21"/>
          <w14:textFill>
            <w14:solidFill>
              <w14:schemeClr w14:val="tx1"/>
            </w14:solidFill>
          </w14:textFill>
        </w:rPr>
      </w:pPr>
      <w:r/>
      <w:bookmarkStart w:id="147" w:name="_Toc100905226"/>
      <w:r/>
      <w:bookmarkStart w:id="148" w:name="_Toc104560863"/>
      <w:r/>
      <w:bookmarkStart w:id="149" w:name="_Toc96347881"/>
      <w:r/>
      <w:bookmarkStart w:id="150" w:name="_Toc103848548"/>
      <w:r/>
      <w:bookmarkStart w:id="151" w:name="_Toc107246241"/>
      <w:r>
        <w:rPr>
          <w:rFonts w:hint="eastAsia" w:ascii="宋体" w:hAnsi="宋体" w:cs="宋体"/>
          <w:color w:val="000000" w:themeColor="text1"/>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14:textFill>
            <w14:solidFill>
              <w14:schemeClr w14:val="tx1"/>
            </w14:solidFill>
          </w14:textFill>
        </w:rPr>
        <w:t xml:space="preserve">投标文件的递交</w:t>
      </w:r>
      <w:bookmarkStart w:id="152" w:name="_Toc469850063"/>
      <w:r/>
      <w:bookmarkStart w:id="153" w:name="_Toc19963"/>
      <w:r/>
      <w:bookmarkStart w:id="154" w:name="_Toc4536"/>
      <w:r/>
      <w:bookmarkStart w:id="155" w:name="_Toc51928343"/>
      <w:r/>
      <w:bookmarkStart w:id="156" w:name="_Toc38933357"/>
      <w:r/>
      <w:bookmarkStart w:id="157" w:name="_Toc40202948"/>
      <w:r/>
      <w:bookmarkStart w:id="158" w:name="_Toc96347882"/>
      <w:r/>
      <w:bookmarkStart w:id="159" w:name="_Toc103848549"/>
      <w:r/>
      <w:bookmarkStart w:id="160" w:name="_Toc91399404"/>
      <w:r/>
      <w:bookmarkStart w:id="161" w:name="_Toc46219699"/>
      <w:r/>
      <w:bookmarkStart w:id="162" w:name="_Toc100905227"/>
      <w:r/>
      <w:bookmarkStart w:id="163" w:name="_Toc38931800"/>
      <w:r/>
      <w:bookmarkStart w:id="164" w:name="_Toc97561941"/>
      <w:r/>
      <w:bookmarkStart w:id="165" w:name="_Toc38931614"/>
      <w:r/>
      <w:bookmarkStart w:id="166" w:name="_Toc11464"/>
      <w:r/>
      <w:bookmarkStart w:id="167" w:name="_Toc11952"/>
      <w:r/>
      <w:bookmarkStart w:id="168" w:name="_Toc46960670"/>
      <w:r/>
      <w:bookmarkStart w:id="169" w:name="_Toc89586904"/>
      <w:r/>
      <w:bookmarkStart w:id="170" w:name="_Toc46939510"/>
      <w:r/>
      <w:bookmarkStart w:id="171" w:name="_Toc48151397"/>
      <w:r/>
      <w:bookmarkStart w:id="172" w:name="_Toc5042"/>
      <w:r/>
      <w:bookmarkStart w:id="173" w:name="_Toc50528805"/>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74" w:name="_Toc104560864"/>
      <w:r/>
      <w:bookmarkStart w:id="175" w:name="_Toc107246242"/>
      <w:r>
        <w:rPr>
          <w:rFonts w:hint="eastAsia" w:ascii="宋体" w:hAnsi="宋体" w:cs="宋体"/>
          <w:color w:val="000000" w:themeColor="text1"/>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14:textFill>
            <w14:solidFill>
              <w14:schemeClr w14:val="tx1"/>
            </w14:solidFill>
          </w14:textFill>
        </w:rPr>
        <w:t xml:space="preserve">25.1</w:t>
      </w:r>
      <w:r>
        <w:rPr>
          <w:rFonts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25.2</w:t>
      </w:r>
      <w:r>
        <w:rPr>
          <w:rFonts w:ascii="Microsoft New Tai Lue" w:hAnsi="Microsoft New Tai Lue" w:cs="Microsoft New Tai Lue"/>
          <w:bCs/>
          <w:color w:val="000000" w:themeColor="text1"/>
          <w:szCs w:val="21"/>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77" w:name="_Toc100905228"/>
      <w:r/>
      <w:bookmarkStart w:id="178" w:name="_Toc107246243"/>
      <w:r/>
      <w:bookmarkStart w:id="179" w:name="_Toc103848550"/>
      <w:r/>
      <w:bookmarkStart w:id="180" w:name="_Toc104560865"/>
      <w:r>
        <w:rPr>
          <w:rFonts w:hint="eastAsia" w:ascii="宋体" w:hAnsi="宋体" w:cs="宋体"/>
          <w:color w:val="000000" w:themeColor="text1"/>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lang w:val="zh-CN"/>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lang w:val="zh-CN"/>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lang w:val="zh-CN"/>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26.4 在投标截止时间至采购文件中规定的投标有效期满之间的这段时间内，投标人不得撤回其投标。</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82" w:name="_Toc107246244"/>
      <w:r/>
      <w:bookmarkStart w:id="183" w:name="_Toc104560866"/>
      <w:r/>
      <w:bookmarkStart w:id="184" w:name="_Toc103848551"/>
      <w:r>
        <w:rPr>
          <w:rFonts w:hint="eastAsia" w:ascii="宋体" w:hAnsi="宋体" w:cs="宋体"/>
          <w:color w:val="000000" w:themeColor="text1"/>
          <w14:textFill>
            <w14:solidFill>
              <w14:schemeClr w14:val="tx1"/>
            </w14:solidFill>
          </w14:textFill>
        </w:rPr>
        <w:t xml:space="preserve">27.诚实信用</w:t>
      </w:r>
      <w:bookmarkEnd w:id="182"/>
      <w:r/>
      <w:bookmarkEnd w:id="183"/>
      <w:r/>
      <w:bookmarkEnd w:id="184"/>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27.2在评标过程中发现投标人有上述情形的，评标委员会应当认定其投标无效，并书面报告本级财政部门。</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85" w:name="_Toc107246245"/>
      <w:r>
        <w:rPr>
          <w:rFonts w:hint="eastAsia" w:ascii="宋体" w:hAnsi="宋体" w:cs="宋体"/>
          <w:color w:val="000000" w:themeColor="text1"/>
          <w14:textFill>
            <w14:solidFill>
              <w14:schemeClr w14:val="tx1"/>
            </w14:solidFill>
          </w14:textFill>
        </w:rPr>
        <w:t xml:space="preserve">五．开标和评标</w:t>
      </w:r>
      <w:bookmarkEnd w:id="185"/>
      <w:r/>
      <w:bookmarkStart w:id="186" w:name="_Toc96347885"/>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87" w:name="_Toc104560868"/>
      <w:r/>
      <w:bookmarkStart w:id="188" w:name="_Toc100905230"/>
      <w:r/>
      <w:bookmarkStart w:id="189" w:name="_Toc103848553"/>
      <w:r/>
      <w:bookmarkStart w:id="190" w:name="_Toc107246246"/>
      <w:r>
        <w:rPr>
          <w:rFonts w:hint="eastAsia" w:ascii="宋体" w:hAnsi="宋体" w:cs="宋体"/>
          <w:color w:val="000000" w:themeColor="text1"/>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28.6投标人未参加开标的，视同认可开标结果。</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29.资格性审查</w:t>
      </w:r>
      <w:bookmarkEnd w:id="191"/>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93" w:name="_Toc104560869"/>
      <w:r/>
      <w:bookmarkStart w:id="194" w:name="_Toc103848554"/>
      <w:r>
        <w:rPr>
          <w:rFonts w:hint="eastAsia" w:ascii="宋体" w:hAnsi="宋体" w:cs="宋体"/>
          <w:bCs/>
          <w:color w:val="000000" w:themeColor="text1"/>
          <w:szCs w:val="21"/>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29.2</w:t>
      </w:r>
      <w:r>
        <w:rPr>
          <w:rFonts w:hint="eastAsia" w:ascii="宋体" w:hAnsi="宋体" w:cs="宋体"/>
          <w:b/>
          <w:color w:val="000000" w:themeColor="text1"/>
          <w:szCs w:val="21"/>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95" w:name="_Toc107246248"/>
      <w:r>
        <w:rPr>
          <w:rFonts w:hint="eastAsia" w:ascii="宋体" w:hAnsi="宋体" w:cs="宋体"/>
          <w:color w:val="000000" w:themeColor="text1"/>
          <w14:textFill>
            <w14:solidFill>
              <w14:schemeClr w14:val="tx1"/>
            </w14:solidFill>
          </w14:textFill>
        </w:rPr>
        <w:t xml:space="preserve">30.评标</w:t>
      </w:r>
      <w:bookmarkEnd w:id="193"/>
      <w:r/>
      <w:bookmarkEnd w:id="194"/>
      <w:r/>
      <w:bookmarkEnd w:id="195"/>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96" w:name="_Toc107246249"/>
      <w:r/>
      <w:bookmarkStart w:id="197" w:name="_Toc104560870"/>
      <w:r/>
      <w:bookmarkStart w:id="198" w:name="_Toc103848555"/>
      <w:r>
        <w:rPr>
          <w:rFonts w:hint="eastAsia" w:ascii="宋体" w:hAnsi="宋体" w:cs="宋体"/>
          <w:color w:val="000000" w:themeColor="text1"/>
          <w14:textFill>
            <w14:solidFill>
              <w14:schemeClr w14:val="tx1"/>
            </w14:solidFill>
          </w14:textFill>
        </w:rPr>
        <w:t xml:space="preserve">30.1评标委员会</w:t>
      </w:r>
      <w:bookmarkEnd w:id="196"/>
      <w:r/>
      <w:bookmarkEnd w:id="197"/>
      <w:r/>
      <w:bookmarkEnd w:id="198"/>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30.1.1评标委员会成员组成见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，负责具体评标事务，并独立履行职责。</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199" w:name="_Toc104560871"/>
      <w:r/>
      <w:bookmarkStart w:id="200" w:name="_Toc103848556"/>
      <w:r/>
      <w:bookmarkStart w:id="201" w:name="_Toc107246250"/>
      <w:r>
        <w:rPr>
          <w:rFonts w:hint="eastAsia" w:ascii="宋体" w:hAnsi="宋体" w:cs="宋体"/>
          <w:color w:val="000000" w:themeColor="text1"/>
          <w14:textFill>
            <w14:solidFill>
              <w14:schemeClr w14:val="tx1"/>
            </w14:solidFill>
          </w14:textFill>
        </w:rPr>
        <w:t xml:space="preserve">30.2</w:t>
      </w:r>
      <w:bookmarkEnd w:id="199"/>
      <w:r/>
      <w:bookmarkEnd w:id="200"/>
      <w:r>
        <w:rPr>
          <w:rFonts w:hint="eastAsia" w:ascii="宋体" w:hAnsi="宋体" w:cs="宋体"/>
          <w:color w:val="000000" w:themeColor="text1"/>
          <w14:textFill>
            <w14:solidFill>
              <w14:schemeClr w14:val="tx1"/>
            </w14:solidFill>
          </w14:textFill>
        </w:rPr>
        <w:t xml:space="preserve">符合性审查</w:t>
      </w:r>
      <w:bookmarkEnd w:id="201"/>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202" w:name="_Toc104560872"/>
      <w:r/>
      <w:bookmarkStart w:id="203" w:name="_Toc107246251"/>
      <w:r/>
      <w:bookmarkStart w:id="204" w:name="_Toc103848557"/>
      <w:r>
        <w:rPr>
          <w:rFonts w:hint="eastAsia" w:ascii="宋体" w:hAnsi="宋体" w:cs="宋体"/>
          <w:bCs/>
          <w:color w:val="000000" w:themeColor="text1"/>
          <w:szCs w:val="21"/>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（9）现行法律、法规、规章和招标文件规定的其他无效情形。</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30.3.4有效的书面澄清材料，是投标文件的补充材料，成为投标文件的组成部分。</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05" w:name="_Toc107246252"/>
      <w:r>
        <w:rPr>
          <w:rFonts w:hint="eastAsia" w:ascii="宋体" w:hAnsi="宋体" w:cs="宋体"/>
          <w:color w:val="000000" w:themeColor="text1"/>
          <w14:textFill>
            <w14:solidFill>
              <w14:schemeClr w14:val="tx1"/>
            </w14:solidFill>
          </w14:textFill>
        </w:rPr>
        <w:t xml:space="preserve">30.4</w:t>
      </w:r>
      <w:bookmarkEnd w:id="205"/>
      <w:r>
        <w:rPr>
          <w:rFonts w:hint="eastAsia" w:ascii="宋体" w:hAnsi="宋体" w:cs="宋体"/>
          <w:color w:val="000000" w:themeColor="text1"/>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06" w:name="_Toc107246253"/>
      <w:r/>
      <w:bookmarkStart w:id="207" w:name="_Toc103848558"/>
      <w:r/>
      <w:bookmarkStart w:id="208" w:name="_Toc104560873"/>
      <w:r>
        <w:rPr>
          <w:rFonts w:hint="eastAsia" w:ascii="宋体" w:hAnsi="宋体" w:cs="宋体"/>
          <w:color w:val="000000" w:themeColor="text1"/>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。多家投标人提供的核心产品品牌相同的，按前两款规定处理。</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09" w:name="_Toc107246254"/>
      <w:r/>
      <w:bookmarkStart w:id="210" w:name="_Toc104560874"/>
      <w:r/>
      <w:bookmarkStart w:id="211" w:name="_Toc103848559"/>
      <w:r>
        <w:rPr>
          <w:rFonts w:hint="eastAsia" w:ascii="宋体" w:hAnsi="宋体" w:cs="宋体"/>
          <w:color w:val="000000" w:themeColor="text1"/>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30.6.1评标委员会应当按照招标文件中第五章《评标方法和评标标准》，对符合性审查合格的投标文件进行比较与评价。</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12" w:name="_Toc107246255"/>
      <w:r>
        <w:rPr>
          <w:rFonts w:hint="eastAsia" w:ascii="宋体" w:hAnsi="宋体" w:cs="宋体"/>
          <w:color w:val="000000" w:themeColor="text1"/>
          <w14:textFill>
            <w14:solidFill>
              <w14:schemeClr w14:val="tx1"/>
            </w14:solidFill>
          </w14:textFill>
        </w:rPr>
        <w:t xml:space="preserve">30.7编写评标报告</w:t>
      </w:r>
      <w:bookmarkEnd w:id="212"/>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30.7.1评标委员会根据全体评标成员签字的原始评标记录和评标结果编写评标报告。</w:t>
      </w:r>
      <w:r/>
    </w:p>
    <w:p>
      <w:pPr>
        <w:pStyle w:val="867"/>
        <w:ind w:left="0" w:right="210" w:firstLine="373"/>
        <w:spacing w:line="360" w:lineRule="auto"/>
        <w:tabs>
          <w:tab w:val="left" w:pos="5882" w:leader="none"/>
        </w:tabs>
        <w:rPr>
          <w:rFonts w:hint="eastAsia" w:ascii="宋体" w:hAnsi="宋体" w:cs="宋体"/>
          <w:color w:val="000000" w:themeColor="text1"/>
          <w14:textFill>
            <w14:solidFill>
              <w14:schemeClr w14:val="tx1"/>
            </w14:solidFill>
          </w14:textFill>
        </w:rPr>
      </w:pPr>
      <w:r/>
      <w:bookmarkStart w:id="213" w:name="_Toc103848561"/>
      <w:r/>
      <w:bookmarkStart w:id="214" w:name="_Toc107246256"/>
      <w:r/>
      <w:bookmarkStart w:id="215" w:name="_Toc104560876"/>
      <w:r>
        <w:rPr>
          <w:rFonts w:hint="eastAsia" w:ascii="宋体" w:hAnsi="宋体" w:cs="宋体"/>
          <w:color w:val="000000" w:themeColor="text1"/>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14:textFill>
            <w14:solidFill>
              <w14:schemeClr w14:val="tx1"/>
            </w14:solidFill>
          </w14:textFill>
        </w:rPr>
        <w:tab/>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30.8.3有关人员对评标情况以及在评标过程中获悉的国家秘密、商业秘密负有保密责任。</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16" w:name="_Toc107246257"/>
      <w:r>
        <w:rPr>
          <w:rFonts w:hint="eastAsia" w:ascii="宋体" w:hAnsi="宋体" w:cs="宋体"/>
          <w:color w:val="000000" w:themeColor="text1"/>
          <w14:textFill>
            <w14:solidFill>
              <w14:schemeClr w14:val="tx1"/>
            </w14:solidFill>
          </w14:textFill>
        </w:rPr>
        <w:t xml:space="preserve">六．确定中标</w:t>
      </w:r>
      <w:bookmarkEnd w:id="216"/>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17" w:name="_Toc103848563"/>
      <w:r/>
      <w:bookmarkStart w:id="218" w:name="_Toc104560878"/>
      <w:r/>
      <w:bookmarkStart w:id="219" w:name="_Toc107246258"/>
      <w:r>
        <w:rPr>
          <w:rFonts w:hint="eastAsia" w:ascii="宋体" w:hAnsi="宋体" w:cs="宋体"/>
          <w:color w:val="000000" w:themeColor="text1"/>
          <w14:textFill>
            <w14:solidFill>
              <w14:schemeClr w14:val="tx1"/>
            </w14:solidFill>
          </w14:textFill>
        </w:rPr>
        <w:t xml:space="preserve">31.确定中标</w:t>
      </w:r>
      <w:bookmarkEnd w:id="217"/>
      <w:r/>
      <w:bookmarkEnd w:id="218"/>
      <w:r>
        <w:rPr>
          <w:rFonts w:hint="eastAsia" w:ascii="宋体" w:hAnsi="宋体" w:cs="宋体"/>
          <w:color w:val="000000" w:themeColor="text1"/>
          <w14:textFill>
            <w14:solidFill>
              <w14:schemeClr w14:val="tx1"/>
            </w14:solidFill>
          </w14:textFill>
        </w:rPr>
        <w:t xml:space="preserve">人</w:t>
      </w:r>
      <w:bookmarkEnd w:id="219"/>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lang w:val="zh-CN"/>
          <w14:textFill>
            <w14:solidFill>
              <w14:schemeClr w14:val="tx1"/>
            </w14:solidFill>
          </w14:textFill>
        </w:rPr>
      </w:pPr>
      <w:r/>
      <w:bookmarkStart w:id="220" w:name="_Toc104560879"/>
      <w:r/>
      <w:bookmarkStart w:id="221" w:name="_Toc107246259"/>
      <w:r/>
      <w:bookmarkStart w:id="222" w:name="_Toc103848564"/>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名单将</w:t>
      </w:r>
      <w:r>
        <w:rPr>
          <w:rFonts w:hint="eastAsia" w:ascii="Microsoft New Tai Lue" w:hAnsi="Microsoft New Tai Lue" w:cs="Microsoft New Tai Lue"/>
          <w:color w:val="000000" w:themeColor="text1"/>
          <w:szCs w:val="21"/>
          <w:lang w:val="en-US" w:eastAsia="zh-CN"/>
          <w14:textFill>
            <w14:solidFill>
              <w14:schemeClr w14:val="tx1"/>
            </w14:solidFill>
          </w14:textFill>
        </w:rPr>
        <w:t xml:space="preserve">在</w:t>
      </w:r>
      <w:r>
        <w:rPr>
          <w:rFonts w:ascii="Microsoft New Tai Lue" w:hAnsi="Microsoft New Tai Lue" w:cs="Microsoft New Tai Lue"/>
          <w:color w:val="000000" w:themeColor="text1"/>
          <w:szCs w:val="21"/>
          <w14:textFill>
            <w14:solidFill>
              <w14:schemeClr w14:val="tx1"/>
            </w14:solidFill>
          </w14:textFill>
        </w:rPr>
        <w:t xml:space="preserve">省级以上财政部门指定的媒体上公告中标结果，中标公告期为1个工作日</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公告媒体</w:t>
      </w:r>
      <w:r>
        <w:rPr>
          <w:rFonts w:hint="eastAsia" w:ascii="Microsoft New Tai Lue" w:hAnsi="Microsoft New Tai Lue" w:cs="Microsoft New Tai Lue"/>
          <w:color w:val="000000" w:themeColor="text1"/>
          <w:szCs w:val="21"/>
          <w14:textFill>
            <w14:solidFill>
              <w14:schemeClr w14:val="tx1"/>
            </w14:solidFill>
          </w14:textFill>
        </w:rPr>
        <w:t xml:space="preserve">见</w:t>
      </w:r>
      <w:r>
        <w:rPr>
          <w:rFonts w:hint="eastAsia" w:ascii="Microsoft New Tai Lue" w:hAnsi="Microsoft New Tai Lue" w:cs="Microsoft New Tai Lue"/>
          <w:b/>
          <w:color w:val="000000" w:themeColor="text1"/>
          <w:szCs w:val="21"/>
          <w14:textFill>
            <w14:solidFill>
              <w14:schemeClr w14:val="tx1"/>
            </w14:solidFill>
          </w14:textFill>
        </w:rPr>
        <w:t xml:space="preserve">投标人</w:t>
      </w:r>
      <w:r>
        <w:rPr>
          <w:rFonts w:ascii="Microsoft New Tai Lue" w:hAnsi="Microsoft New Tai Lue" w:cs="Microsoft New Tai Lue"/>
          <w:b/>
          <w:color w:val="000000" w:themeColor="text1"/>
          <w:szCs w:val="21"/>
          <w14:textFill>
            <w14:solidFill>
              <w14:schemeClr w14:val="tx1"/>
            </w14:solidFill>
          </w14:textFill>
        </w:rPr>
        <w:t xml:space="preserve">须知</w:t>
      </w:r>
      <w:r>
        <w:rPr>
          <w:rFonts w:hint="eastAsia" w:ascii="Microsoft New Tai Lue" w:hAnsi="Microsoft New Tai Lue" w:cs="Microsoft New Tai Lue"/>
          <w:b/>
          <w:color w:val="000000" w:themeColor="text1"/>
          <w:szCs w:val="21"/>
          <w14:textFill>
            <w14:solidFill>
              <w14:schemeClr w14:val="tx1"/>
            </w14:solidFill>
          </w14:textFill>
        </w:rPr>
        <w:t xml:space="preserve">前附表。</w:t>
      </w:r>
      <w:r>
        <w:rPr>
          <w:rFonts w:hint="eastAsia" w:ascii="Microsoft New Tai Lue" w:hAnsi="Microsoft New Tai Lue" w:cs="Microsoft New Tai Lue"/>
          <w:color w:val="000000" w:themeColor="text1"/>
          <w:szCs w:val="21"/>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14:textFill>
            <w14:solidFill>
              <w14:schemeClr w14:val="tx1"/>
            </w14:solidFill>
          </w14:textFill>
        </w:rPr>
        <w:t xml:space="preserve">可</w:t>
      </w:r>
      <w:r>
        <w:rPr>
          <w:rFonts w:hint="eastAsia" w:ascii="Microsoft New Tai Lue" w:hAnsi="Microsoft New Tai Lue" w:cs="Microsoft New Tai Lue"/>
          <w:color w:val="000000" w:themeColor="text1"/>
          <w:szCs w:val="21"/>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w:t>
      </w:r>
      <w:bookmarkStart w:id="223" w:name="_Toc103848560"/>
      <w:r/>
      <w:bookmarkStart w:id="224" w:name="_Toc104560875"/>
      <w:r>
        <w:rPr>
          <w:rFonts w:hint="eastAsia" w:ascii="宋体" w:hAnsi="宋体" w:cs="宋体"/>
          <w:color w:val="000000" w:themeColor="text1"/>
          <w:szCs w:val="21"/>
          <w14:textFill>
            <w14:solidFill>
              <w14:schemeClr w14:val="tx1"/>
            </w14:solidFill>
          </w14:textFill>
        </w:rPr>
        <w:t xml:space="preserve">中标通知书发出后，中标人无正当理由不得放弃中标，否则将依法承担法律责任。</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25" w:name="_Toc107246260"/>
      <w:r>
        <w:rPr>
          <w:rFonts w:hint="eastAsia" w:ascii="宋体" w:hAnsi="宋体" w:cs="宋体"/>
          <w:color w:val="000000" w:themeColor="text1"/>
          <w14:textFill>
            <w14:solidFill>
              <w14:schemeClr w14:val="tx1"/>
            </w14:solidFill>
          </w14:textFill>
        </w:rPr>
        <w:t xml:space="preserve">33.废标</w:t>
      </w:r>
      <w:bookmarkEnd w:id="223"/>
      <w:r/>
      <w:bookmarkEnd w:id="224"/>
      <w:r/>
      <w:bookmarkEnd w:id="225"/>
      <w:r/>
      <w:r/>
    </w:p>
    <w:p>
      <w:pPr>
        <w:ind w:firstLine="316"/>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33.2废标后，采购人将废标理由通知所有投标人。</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26" w:name="_Toc107246261"/>
      <w:r/>
      <w:bookmarkStart w:id="227" w:name="_Toc104560880"/>
      <w:r/>
      <w:bookmarkStart w:id="228" w:name="_Toc103848565"/>
      <w:r/>
      <w:bookmarkStart w:id="229" w:name="_Toc16938553"/>
      <w:r/>
      <w:bookmarkStart w:id="230" w:name="_Toc20823309"/>
      <w:r/>
      <w:bookmarkStart w:id="231" w:name="_Toc513029237"/>
      <w:r>
        <w:rPr>
          <w:rFonts w:hint="eastAsia" w:ascii="宋体" w:hAnsi="宋体" w:cs="宋体"/>
          <w:color w:val="000000" w:themeColor="text1"/>
          <w14:textFill>
            <w14:solidFill>
              <w14:schemeClr w14:val="tx1"/>
            </w14:solidFill>
          </w14:textFill>
        </w:rPr>
        <w:t xml:space="preserve">34.签订合同</w:t>
      </w:r>
      <w:bookmarkEnd w:id="226"/>
      <w:r/>
      <w:bookmarkEnd w:id="227"/>
      <w:r/>
      <w:bookmarkEnd w:id="228"/>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32" w:name="_Toc107246262"/>
      <w:r/>
      <w:bookmarkStart w:id="233" w:name="_Toc103848567"/>
      <w:r/>
      <w:bookmarkStart w:id="234" w:name="_Toc104560881"/>
      <w:r>
        <w:rPr>
          <w:rFonts w:hint="eastAsia" w:ascii="宋体" w:hAnsi="宋体" w:cs="宋体"/>
          <w:color w:val="000000" w:themeColor="text1"/>
          <w:szCs w:val="21"/>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35.1本项目是否缴纳履约保证金见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35.2</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35.3中标人没有按照</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35" w:name="_Toc107246263"/>
      <w:r>
        <w:rPr>
          <w:rFonts w:hint="eastAsia" w:ascii="宋体" w:hAnsi="宋体" w:cs="宋体"/>
          <w:color w:val="000000" w:themeColor="text1"/>
          <w14:textFill>
            <w14:solidFill>
              <w14:schemeClr w14:val="tx1"/>
            </w14:solidFill>
          </w14:textFill>
        </w:rPr>
        <w:t xml:space="preserve">七．</w:t>
      </w:r>
      <w:bookmarkStart w:id="236" w:name="_Toc103848569"/>
      <w:r>
        <w:rPr>
          <w:rFonts w:hint="eastAsia" w:ascii="宋体" w:hAnsi="宋体" w:cs="宋体"/>
          <w:color w:val="000000" w:themeColor="text1"/>
          <w14:textFill>
            <w14:solidFill>
              <w14:schemeClr w14:val="tx1"/>
            </w14:solidFill>
          </w14:textFill>
        </w:rPr>
        <w:t xml:space="preserve">询问与质疑</w:t>
      </w:r>
      <w:bookmarkEnd w:id="235"/>
      <w:r/>
      <w:bookmarkEnd w:id="236"/>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37" w:name="_Toc102117305"/>
      <w:r/>
      <w:bookmarkStart w:id="238" w:name="_Toc104560883"/>
      <w:r/>
      <w:bookmarkStart w:id="239" w:name="_Toc107246264"/>
      <w:r>
        <w:rPr>
          <w:rFonts w:hint="eastAsia" w:ascii="宋体" w:hAnsi="宋体" w:cs="宋体"/>
          <w:color w:val="000000" w:themeColor="text1"/>
          <w:szCs w:val="21"/>
          <w14:textFill>
            <w14:solidFill>
              <w14:schemeClr w14:val="tx1"/>
            </w14:solidFill>
          </w14:textFill>
        </w:rPr>
        <w:t xml:space="preserve">36.询问</w:t>
      </w:r>
      <w:bookmarkEnd w:id="237"/>
      <w:r/>
      <w:bookmarkEnd w:id="238"/>
      <w:r/>
      <w:bookmarkEnd w:id="239"/>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36.2采购方对供应商依法提出的询问，在3个工作日内作出答复，但答复的内容不得涉及商业秘密。</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0" w:name="_Toc107246265"/>
      <w:r/>
      <w:bookmarkStart w:id="241" w:name="_Toc104560884"/>
      <w:r/>
      <w:bookmarkStart w:id="242" w:name="_Toc102117306"/>
      <w:r>
        <w:rPr>
          <w:rFonts w:hint="eastAsia" w:ascii="宋体" w:hAnsi="宋体" w:cs="宋体"/>
          <w:color w:val="000000" w:themeColor="text1"/>
          <w:szCs w:val="21"/>
          <w14:textFill>
            <w14:solidFill>
              <w14:schemeClr w14:val="tx1"/>
            </w14:solidFill>
          </w14:textFill>
        </w:rPr>
        <w:t xml:space="preserve">37.质疑</w:t>
      </w:r>
      <w:bookmarkEnd w:id="240"/>
      <w:r/>
      <w:bookmarkEnd w:id="241"/>
      <w:r/>
      <w:bookmarkEnd w:id="242"/>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37.3质疑函应使用财政部制定的范本文件。</w:t>
      </w:r>
      <w:r/>
    </w:p>
    <w:p>
      <w:pPr>
        <w:pStyle w:val="867"/>
        <w:ind w:left="0" w:right="210" w:firstLine="373"/>
        <w:spacing w:line="360" w:lineRule="auto"/>
        <w:rPr>
          <w:rFonts w:hint="eastAsia" w:ascii="宋体" w:hAnsi="宋体" w:cs="宋体"/>
          <w:color w:val="000000" w:themeColor="text1"/>
          <w14:textFill>
            <w14:solidFill>
              <w14:schemeClr w14:val="tx1"/>
            </w14:solidFill>
          </w14:textFill>
        </w:rPr>
      </w:pPr>
      <w:r/>
      <w:bookmarkStart w:id="243" w:name="_Toc107246266"/>
      <w:r>
        <w:rPr>
          <w:rFonts w:hint="eastAsia" w:ascii="宋体" w:hAnsi="宋体" w:cs="宋体"/>
          <w:color w:val="000000" w:themeColor="text1"/>
          <w14:textFill>
            <w14:solidFill>
              <w14:schemeClr w14:val="tx1"/>
            </w14:solidFill>
          </w14:textFill>
        </w:rPr>
        <w:t xml:space="preserve">八．其他</w:t>
      </w:r>
      <w:bookmarkEnd w:id="243"/>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4" w:name="_Toc104560886"/>
      <w:r/>
      <w:bookmarkStart w:id="245" w:name="_Toc107246267"/>
      <w:r/>
      <w:bookmarkStart w:id="246" w:name="_Toc103848572"/>
      <w:r>
        <w:rPr>
          <w:rFonts w:hint="eastAsia" w:ascii="宋体" w:hAnsi="宋体" w:cs="宋体"/>
          <w:color w:val="000000" w:themeColor="text1"/>
          <w:szCs w:val="21"/>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7" w:name="_Toc104560887"/>
      <w:r/>
      <w:bookmarkStart w:id="248" w:name="_Toc107246268"/>
      <w:r/>
      <w:bookmarkStart w:id="249" w:name="_Toc103848573"/>
      <w:r>
        <w:rPr>
          <w:rFonts w:hint="eastAsia" w:ascii="宋体" w:hAnsi="宋体" w:cs="宋体"/>
          <w:color w:val="000000" w:themeColor="text1"/>
          <w:szCs w:val="21"/>
          <w14:textFill>
            <w14:solidFill>
              <w14:schemeClr w14:val="tx1"/>
            </w14:solidFill>
          </w14:textFill>
        </w:rPr>
        <w:t xml:space="preserve">39.其他规定</w:t>
      </w:r>
      <w:bookmarkEnd w:id="247"/>
      <w:r/>
      <w:bookmarkEnd w:id="248"/>
      <w:r/>
      <w:bookmarkEnd w:id="249"/>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39.1投标文件的其他规定见</w:t>
      </w:r>
      <w:r>
        <w:rPr>
          <w:rFonts w:hint="eastAsia" w:ascii="宋体" w:hAnsi="宋体" w:cs="宋体"/>
          <w:b/>
          <w:color w:val="000000" w:themeColor="text1"/>
          <w:szCs w:val="21"/>
          <w14:textFill>
            <w14:solidFill>
              <w14:schemeClr w14:val="tx1"/>
            </w14:solidFill>
          </w14:textFill>
        </w:rPr>
        <w:t xml:space="preserve">投标人须知前附</w:t>
      </w:r>
      <w:r>
        <w:rPr>
          <w:rFonts w:hint="eastAsia" w:ascii="宋体" w:hAnsi="宋体" w:cs="宋体"/>
          <w:color w:val="000000" w:themeColor="text1"/>
          <w:szCs w:val="21"/>
          <w14:textFill>
            <w14:solidFill>
              <w14:schemeClr w14:val="tx1"/>
            </w14:solidFill>
          </w14:textFill>
        </w:rPr>
        <w:t xml:space="preserve">表。</w:t>
      </w:r>
      <w:r/>
    </w:p>
    <w:p>
      <w:pPr>
        <w:pStyle w:val="86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50" w:name="_Toc107246269"/>
      <w:r/>
      <w:bookmarkStart w:id="251" w:name="_Toc103848574"/>
      <w:r/>
      <w:bookmarkStart w:id="252" w:name="_Toc104560888"/>
      <w:r>
        <w:rPr>
          <w:rFonts w:hint="eastAsia" w:ascii="宋体" w:hAnsi="宋体" w:cs="宋体"/>
          <w:color w:val="000000" w:themeColor="text1"/>
          <w:szCs w:val="21"/>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40.1本招标文件的解释权归采购人（或采购代理机构）所有。</w:t>
      </w:r>
      <w:bookmarkEnd w:id="181"/>
      <w:r/>
      <w:r/>
    </w:p>
    <w:p>
      <w:pPr>
        <w:pStyle w:val="907"/>
        <w:numPr>
          <w:ilvl w:val="0"/>
          <w:numId w:val="1"/>
        </w:numPr>
        <w:ind w:firstLine="567"/>
        <w:rPr>
          <w:rFonts w:hint="eastAsia" w:ascii="宋体" w:hAnsi="宋体" w:cs="宋体"/>
          <w:color w:val="000000" w:themeColor="text1"/>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3" w:name="_Toc91836563"/>
      <w:r/>
      <w:r/>
    </w:p>
    <w:p>
      <w:pPr>
        <w:pStyle w:val="907"/>
        <w:numPr>
          <w:ilvl w:val="0"/>
          <w:numId w:val="1"/>
        </w:numPr>
        <w:ind w:firstLine="567"/>
        <w:rPr>
          <w:rFonts w:hint="eastAsia" w:ascii="宋体" w:hAnsi="宋体" w:cs="宋体"/>
          <w:color w:val="000000" w:themeColor="text1"/>
          <w14:textFill>
            <w14:solidFill>
              <w14:schemeClr w14:val="tx1"/>
            </w14:solidFill>
          </w14:textFill>
        </w:rPr>
      </w:pPr>
      <w:r/>
      <w:bookmarkStart w:id="254" w:name="_Toc107246270"/>
      <w:r>
        <w:rPr>
          <w:rFonts w:hint="eastAsia" w:ascii="宋体" w:hAnsi="宋体" w:cs="宋体"/>
          <w:color w:val="000000" w:themeColor="text1"/>
          <w14:textFill>
            <w14:solidFill>
              <w14:schemeClr w14:val="tx1"/>
            </w14:solidFill>
          </w14:textFill>
        </w:rPr>
        <w:t xml:space="preserve">政府采购合同条款</w:t>
      </w:r>
      <w:bookmarkEnd w:id="253"/>
      <w:r>
        <w:rPr>
          <w:rFonts w:hint="eastAsia" w:ascii="宋体" w:hAnsi="宋体" w:cs="宋体"/>
          <w:color w:val="000000" w:themeColor="text1"/>
          <w14:textFill>
            <w14:solidFill>
              <w14:schemeClr w14:val="tx1"/>
            </w14:solidFill>
          </w14:textFill>
        </w:rPr>
        <w:t xml:space="preserve">及格式</w:t>
      </w:r>
      <w:bookmarkEnd w:id="254"/>
      <w:r/>
      <w:r/>
    </w:p>
    <w:p>
      <w:pPr>
        <w:jc w:val="center"/>
        <w:spacing w:line="360" w:lineRule="auto"/>
        <w:rPr>
          <w:rFonts w:hint="eastAsia" w:ascii="宋体" w:hAnsi="宋体"/>
          <w:b/>
          <w:color w:val="000000"/>
          <w:sz w:val="36"/>
          <w:szCs w:val="36"/>
        </w:rPr>
        <w:outlineLvl w:val="1"/>
      </w:pPr>
      <w:r>
        <w:rPr>
          <w:rFonts w:hint="eastAsia" w:ascii="宋体" w:hAnsi="宋体"/>
          <w:b/>
          <w:color w:val="000000"/>
          <w:sz w:val="36"/>
          <w:szCs w:val="36"/>
        </w:rPr>
        <w:t xml:space="preserve">南京中医药大学物资采购合同（国产设备）</w:t>
      </w:r>
      <w:r/>
    </w:p>
    <w:p>
      <w:pPr>
        <w:spacing w:line="360" w:lineRule="auto"/>
        <w:rPr>
          <w:rFonts w:hint="eastAsia" w:ascii="宋体" w:hAnsi="宋体"/>
          <w:color w:val="000000"/>
          <w:sz w:val="24"/>
        </w:rPr>
      </w:pPr>
      <w:r>
        <w:rPr>
          <w:rFonts w:hint="eastAsia" w:ascii="宋体" w:hAnsi="宋体"/>
          <w:color w:val="000000"/>
          <w:sz w:val="24"/>
        </w:rPr>
        <w:t xml:space="preserve">甲方（需方）：南京中医药大学</w:t>
      </w:r>
      <w:r/>
    </w:p>
    <w:p>
      <w:pPr>
        <w:spacing w:line="360" w:lineRule="auto"/>
        <w:rPr>
          <w:rFonts w:hint="eastAsia" w:ascii="宋体" w:hAnsi="宋体"/>
          <w:color w:val="000000"/>
          <w:sz w:val="24"/>
        </w:rPr>
      </w:pPr>
      <w:r>
        <w:rPr>
          <w:rFonts w:hint="eastAsia" w:ascii="宋体" w:hAnsi="宋体"/>
          <w:color w:val="000000"/>
          <w:sz w:val="24"/>
        </w:rPr>
        <w:t xml:space="preserve">法定代表人：</w:t>
      </w:r>
      <w:r/>
    </w:p>
    <w:p>
      <w:pPr>
        <w:spacing w:line="360" w:lineRule="auto"/>
        <w:rPr>
          <w:rFonts w:hint="eastAsia" w:ascii="宋体" w:hAnsi="宋体"/>
          <w:color w:val="000000"/>
          <w:sz w:val="24"/>
        </w:rPr>
      </w:pPr>
      <w:r>
        <w:rPr>
          <w:rFonts w:hint="eastAsia" w:ascii="宋体" w:hAnsi="宋体"/>
          <w:color w:val="000000"/>
          <w:sz w:val="24"/>
        </w:rPr>
        <w:t xml:space="preserve">乙方（供方）：</w:t>
      </w:r>
      <w:r/>
    </w:p>
    <w:p>
      <w:pPr>
        <w:spacing w:line="360" w:lineRule="auto"/>
        <w:rPr>
          <w:rFonts w:hint="eastAsia" w:ascii="宋体" w:hAnsi="宋体"/>
          <w:color w:val="000000"/>
          <w:sz w:val="24"/>
        </w:rPr>
      </w:pPr>
      <w:r>
        <w:rPr>
          <w:rFonts w:hint="eastAsia" w:ascii="宋体" w:hAnsi="宋体"/>
          <w:color w:val="000000"/>
          <w:sz w:val="24"/>
        </w:rPr>
        <w:t xml:space="preserve">法定代表人：</w:t>
      </w:r>
      <w:r/>
    </w:p>
    <w:p>
      <w:pPr>
        <w:spacing w:line="360" w:lineRule="auto"/>
        <w:rPr>
          <w:rFonts w:hint="eastAsia" w:ascii="宋体" w:hAnsi="宋体"/>
          <w:color w:val="000000"/>
          <w:sz w:val="24"/>
        </w:rPr>
      </w:pPr>
      <w:r>
        <w:rPr>
          <w:rFonts w:hint="eastAsia" w:ascii="宋体" w:hAnsi="宋体"/>
          <w:color w:val="000000"/>
          <w:sz w:val="24"/>
        </w:rPr>
        <w:t xml:space="preserve">合同编号：</w:t>
      </w:r>
      <w:r/>
    </w:p>
    <w:p>
      <w:pPr>
        <w:spacing w:line="360" w:lineRule="auto"/>
        <w:rPr>
          <w:rFonts w:hint="eastAsia" w:ascii="宋体" w:hAnsi="宋体" w:cs="宋体"/>
          <w:szCs w:val="21"/>
        </w:rPr>
      </w:pPr>
      <w:r>
        <w:rPr>
          <w:rFonts w:hint="eastAsia" w:ascii="宋体" w:hAnsi="宋体" w:cs="宋体"/>
          <w:szCs w:val="21"/>
        </w:rPr>
        <w:t xml:space="preserve">　　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w:t>
      </w:r>
      <w:r>
        <w:rPr>
          <w:rFonts w:hint="eastAsia" w:ascii="宋体" w:hAnsi="宋体" w:cs="宋体"/>
          <w:szCs w:val="21"/>
        </w:rPr>
        <w:t xml:space="preserve">货物的买卖签订本合同：</w:t>
      </w:r>
      <w:r/>
    </w:p>
    <w:p>
      <w:pPr>
        <w:spacing w:line="360" w:lineRule="auto"/>
        <w:rPr>
          <w:rFonts w:hint="eastAsia" w:ascii="宋体" w:hAnsi="宋体"/>
          <w:b/>
          <w:bCs/>
          <w:sz w:val="28"/>
          <w:szCs w:val="28"/>
        </w:rPr>
      </w:pPr>
      <w:r>
        <w:rPr>
          <w:rFonts w:hint="eastAsia" w:ascii="宋体" w:hAnsi="宋体" w:cs="宋体"/>
          <w:b/>
          <w:bCs/>
          <w:sz w:val="28"/>
          <w:szCs w:val="28"/>
        </w:rPr>
        <w:t xml:space="preserve">1.甲方向乙方购买的货物清单和金额</w:t>
      </w:r>
      <w:r/>
    </w:p>
    <w:tbl>
      <w:tblPr>
        <w:tblStyle w:val="877"/>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jc w:val="center"/>
          <w:trHeight w:val="1299"/>
        </w:trPr>
        <w:tc>
          <w:tcPr>
            <w:tcW w:w="918" w:type="dxa"/>
            <w:textDirection w:val="lrTb"/>
            <w:noWrap w:val="false"/>
          </w:tcPr>
          <w:p>
            <w:pPr>
              <w:jc w:val="center"/>
              <w:tabs>
                <w:tab w:val="left" w:pos="795" w:leader="none"/>
              </w:tabs>
              <w:rPr>
                <w:rFonts w:hint="eastAsia" w:ascii="宋体" w:hAnsi="宋体" w:cs="宋体"/>
                <w:b/>
                <w:bCs/>
                <w:szCs w:val="21"/>
              </w:rPr>
            </w:pPr>
            <w:r>
              <w:rPr>
                <w:rFonts w:hint="eastAsia" w:ascii="宋体" w:hAnsi="宋体" w:cs="宋体"/>
                <w:b/>
                <w:bCs/>
                <w:szCs w:val="21"/>
              </w:rPr>
              <w:t xml:space="preserve">序号</w:t>
            </w:r>
            <w:r/>
          </w:p>
        </w:tc>
        <w:tc>
          <w:tcPr>
            <w:tcW w:w="900" w:type="dxa"/>
            <w:textDirection w:val="lrTb"/>
            <w:noWrap w:val="false"/>
          </w:tcPr>
          <w:p>
            <w:pPr>
              <w:jc w:val="center"/>
              <w:tabs>
                <w:tab w:val="left" w:pos="795" w:leader="none"/>
              </w:tabs>
              <w:rPr>
                <w:rFonts w:hint="eastAsia" w:ascii="宋体" w:hAnsi="宋体" w:cs="宋体"/>
                <w:b/>
                <w:bCs/>
                <w:szCs w:val="21"/>
              </w:rPr>
            </w:pPr>
            <w:r>
              <w:rPr>
                <w:rFonts w:hint="eastAsia" w:ascii="宋体" w:hAnsi="宋体" w:cs="宋体"/>
                <w:b/>
                <w:bCs/>
                <w:szCs w:val="21"/>
              </w:rPr>
              <w:t xml:space="preserve">产品</w:t>
            </w:r>
            <w:r/>
          </w:p>
          <w:p>
            <w:pPr>
              <w:jc w:val="center"/>
              <w:tabs>
                <w:tab w:val="left" w:pos="795" w:leader="none"/>
              </w:tabs>
              <w:rPr>
                <w:rFonts w:hint="eastAsia" w:ascii="宋体" w:hAnsi="宋体" w:cs="宋体"/>
                <w:b/>
                <w:bCs/>
                <w:szCs w:val="21"/>
              </w:rPr>
            </w:pPr>
            <w:r>
              <w:rPr>
                <w:rFonts w:hint="eastAsia" w:ascii="宋体" w:hAnsi="宋体" w:cs="宋体"/>
                <w:b/>
                <w:bCs/>
                <w:szCs w:val="21"/>
              </w:rPr>
              <w:t xml:space="preserve">名称</w:t>
            </w:r>
            <w:r/>
          </w:p>
        </w:tc>
        <w:tc>
          <w:tcPr>
            <w:tcW w:w="769"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厂家</w:t>
            </w:r>
            <w:r/>
          </w:p>
        </w:tc>
        <w:tc>
          <w:tcPr>
            <w:tcW w:w="975"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型号</w:t>
            </w:r>
            <w:r/>
          </w:p>
        </w:tc>
        <w:tc>
          <w:tcPr>
            <w:tcW w:w="1312"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规格或描述</w:t>
            </w:r>
            <w:r/>
          </w:p>
        </w:tc>
        <w:tc>
          <w:tcPr>
            <w:tcW w:w="1240"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质保期(自安装调试甲方最终验收合格日起)</w:t>
            </w:r>
            <w:r/>
          </w:p>
        </w:tc>
        <w:tc>
          <w:tcPr>
            <w:tcW w:w="553"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数量</w:t>
            </w:r>
            <w:r/>
          </w:p>
        </w:tc>
        <w:tc>
          <w:tcPr>
            <w:tcW w:w="722"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单位</w:t>
            </w:r>
            <w:r/>
          </w:p>
        </w:tc>
        <w:tc>
          <w:tcPr>
            <w:tcW w:w="643"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单价(元)</w:t>
            </w:r>
            <w:r/>
          </w:p>
        </w:tc>
        <w:tc>
          <w:tcPr>
            <w:tcW w:w="721" w:type="dxa"/>
            <w:textDirection w:val="lrTb"/>
            <w:noWrap w:val="false"/>
          </w:tcPr>
          <w:p>
            <w:pPr>
              <w:jc w:val="center"/>
              <w:rPr>
                <w:rFonts w:hint="eastAsia" w:ascii="宋体" w:hAnsi="宋体" w:cs="宋体"/>
                <w:b/>
                <w:bCs/>
                <w:szCs w:val="21"/>
              </w:rPr>
            </w:pPr>
            <w:r>
              <w:rPr>
                <w:rFonts w:hint="eastAsia" w:ascii="宋体" w:hAnsi="宋体" w:cs="宋体"/>
                <w:b/>
                <w:bCs/>
                <w:szCs w:val="21"/>
              </w:rPr>
              <w:t xml:space="preserve">总价(元)</w:t>
            </w:r>
            <w:r/>
          </w:p>
        </w:tc>
      </w:tr>
      <w:tr>
        <w:trPr>
          <w:jc w:val="center"/>
          <w:trHeight w:val="924"/>
        </w:trPr>
        <w:tc>
          <w:tcPr>
            <w:tcW w:w="918" w:type="dxa"/>
            <w:textDirection w:val="lrTb"/>
            <w:noWrap w:val="false"/>
          </w:tcPr>
          <w:p>
            <w:pPr>
              <w:rPr>
                <w:rFonts w:hint="eastAsia" w:ascii="宋体" w:hAnsi="宋体" w:cs="宋体"/>
                <w:b/>
                <w:bCs/>
                <w:szCs w:val="21"/>
              </w:rPr>
            </w:pPr>
            <w:r>
              <w:rPr>
                <w:rFonts w:hint="eastAsia" w:ascii="宋体" w:hAnsi="宋体" w:cs="宋体"/>
                <w:b/>
                <w:bCs/>
                <w:szCs w:val="21"/>
              </w:rPr>
            </w:r>
            <w:r/>
          </w:p>
        </w:tc>
        <w:tc>
          <w:tcPr>
            <w:tcW w:w="900" w:type="dxa"/>
            <w:textDirection w:val="lrTb"/>
            <w:noWrap w:val="false"/>
          </w:tcPr>
          <w:p>
            <w:pPr>
              <w:rPr>
                <w:rFonts w:hint="eastAsia" w:ascii="宋体" w:hAnsi="宋体" w:cs="宋体"/>
                <w:b/>
                <w:bCs/>
                <w:szCs w:val="21"/>
              </w:rPr>
            </w:pPr>
            <w:r>
              <w:rPr>
                <w:rFonts w:hint="eastAsia" w:ascii="宋体" w:hAnsi="宋体" w:cs="宋体"/>
                <w:b/>
                <w:bCs/>
                <w:szCs w:val="21"/>
              </w:rPr>
            </w:r>
            <w:r/>
          </w:p>
        </w:tc>
        <w:tc>
          <w:tcPr>
            <w:tcW w:w="769"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975"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312" w:type="dxa"/>
            <w:textDirection w:val="lrTb"/>
            <w:noWrap w:val="false"/>
          </w:tcPr>
          <w:p>
            <w:pPr>
              <w:jc w:val="left"/>
              <w:rPr>
                <w:rFonts w:hint="eastAsia" w:ascii="宋体" w:hAnsi="宋体" w:cs="宋体"/>
                <w:b/>
                <w:bCs/>
                <w:szCs w:val="21"/>
              </w:rPr>
            </w:pPr>
            <w:r>
              <w:rPr>
                <w:rFonts w:hint="eastAsia" w:ascii="宋体" w:hAnsi="宋体" w:cs="宋体"/>
                <w:b/>
                <w:bCs/>
                <w:szCs w:val="21"/>
              </w:rPr>
              <w:t xml:space="preserve">简单描述，</w:t>
            </w:r>
            <w:r/>
          </w:p>
          <w:p>
            <w:pPr>
              <w:jc w:val="left"/>
              <w:rPr>
                <w:rFonts w:hint="eastAsia" w:ascii="宋体" w:hAnsi="宋体" w:cs="宋体"/>
                <w:b/>
                <w:bCs/>
                <w:szCs w:val="21"/>
              </w:rPr>
            </w:pPr>
            <w:r>
              <w:rPr>
                <w:rFonts w:hint="eastAsia" w:ascii="宋体" w:hAnsi="宋体" w:cs="宋体"/>
                <w:b/>
                <w:bCs/>
                <w:szCs w:val="21"/>
              </w:rPr>
              <w:t xml:space="preserve">详见附件货物技术要求及参数</w:t>
            </w:r>
            <w:r/>
          </w:p>
        </w:tc>
        <w:tc>
          <w:tcPr>
            <w:tcW w:w="1240"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553"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2"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43"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 w:type="dxa"/>
            <w:textDirection w:val="lrTb"/>
            <w:noWrap w:val="false"/>
          </w:tcPr>
          <w:p>
            <w:pPr>
              <w:jc w:val="center"/>
              <w:rPr>
                <w:rFonts w:hint="eastAsia" w:ascii="宋体" w:hAnsi="宋体" w:cs="宋体"/>
                <w:b/>
                <w:bCs/>
                <w:szCs w:val="21"/>
              </w:rPr>
            </w:pPr>
            <w:r>
              <w:rPr>
                <w:rFonts w:hint="eastAsia" w:ascii="宋体" w:hAnsi="宋体" w:cs="宋体"/>
                <w:b/>
                <w:bCs/>
                <w:szCs w:val="21"/>
              </w:rPr>
            </w:r>
            <w:r/>
          </w:p>
        </w:tc>
      </w:tr>
      <w:tr>
        <w:trPr>
          <w:jc w:val="center"/>
          <w:trHeight w:val="378"/>
        </w:trPr>
        <w:tc>
          <w:tcPr>
            <w:tcW w:w="918"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合计</w:t>
            </w:r>
            <w:r/>
          </w:p>
        </w:tc>
        <w:tc>
          <w:tcPr>
            <w:gridSpan w:val="9"/>
            <w:tcW w:w="7835" w:type="dxa"/>
            <w:textDirection w:val="lrTb"/>
            <w:noWrap w:val="false"/>
          </w:tcPr>
          <w:p>
            <w:pPr>
              <w:jc w:val="left"/>
              <w:spacing w:line="360" w:lineRule="auto"/>
              <w:rPr>
                <w:rFonts w:hint="eastAsia" w:ascii="宋体" w:hAnsi="宋体" w:cs="宋体"/>
                <w:b/>
                <w:bCs/>
                <w:szCs w:val="21"/>
              </w:rPr>
            </w:pPr>
            <w:r>
              <w:rPr>
                <w:rFonts w:ascii="宋体" w:hAnsi="宋体" w:cs="宋体"/>
              </w:rPr>
              <w:t xml:space="preserve">人民币：大写</w:t>
            </w:r>
            <w:r>
              <w:rPr>
                <w:rFonts w:ascii="宋体" w:hAnsi="宋体" w:cs="宋体"/>
                <w:u w:val="single"/>
              </w:rPr>
              <w:t xml:space="preserve">　　　　　</w:t>
            </w:r>
            <w:r>
              <w:rPr>
                <w:rFonts w:ascii="宋体" w:hAnsi="宋体" w:cs="宋体"/>
              </w:rPr>
              <w:t xml:space="preserve"> （￥ </w:t>
            </w:r>
            <w:r>
              <w:rPr>
                <w:rFonts w:ascii="宋体" w:hAnsi="宋体" w:cs="宋体"/>
                <w:u w:val="single"/>
              </w:rPr>
              <w:t xml:space="preserve">　　　　　</w:t>
            </w:r>
            <w:r>
              <w:rPr>
                <w:rFonts w:ascii="宋体" w:hAnsi="宋体" w:cs="宋体"/>
              </w:rPr>
              <w:t xml:space="preserve"> 元）</w:t>
            </w:r>
            <w:r/>
          </w:p>
        </w:tc>
      </w:tr>
      <w:tr>
        <w:trPr>
          <w:jc w:val="center"/>
          <w:trHeight w:val="990"/>
        </w:trPr>
        <w:tc>
          <w:tcPr>
            <w:tcW w:w="918" w:type="dxa"/>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备注</w:t>
            </w:r>
            <w:r/>
          </w:p>
        </w:tc>
        <w:tc>
          <w:tcPr>
            <w:gridSpan w:val="9"/>
            <w:tcW w:w="7835"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本合同总价款是全部设备（含软件系统执行文件、软件产品及其配套的相关内容、资料和安装光盘等）、材料、随设备提供的备品配件及专用工具的价格、全部税金（含增值税等）、包装费、运杂费（运抵甲方指</w:t>
            </w:r>
            <w:r>
              <w:rPr>
                <w:rFonts w:hint="eastAsia" w:ascii="宋体" w:hAnsi="宋体" w:cs="宋体"/>
                <w:szCs w:val="21"/>
                <w:lang w:val="en-US" w:eastAsia="zh-CN"/>
              </w:rPr>
              <w:t xml:space="preserve">定</w:t>
            </w:r>
            <w:r>
              <w:rPr>
                <w:rFonts w:hint="eastAsia" w:ascii="宋体" w:hAnsi="宋体" w:cs="宋体"/>
                <w:szCs w:val="21"/>
              </w:rPr>
              <w:t xml:space="preserve">交货安装地点）、保险费、安装费、调试费、甲方操作维护人员培训费、验收检测费、鉴定费和甲方最终验收合格之前乙方认为需要的其他费用及质保期内备品备件发生的所有含税费用。</w:t>
            </w:r>
            <w:r>
              <w:rPr>
                <w:szCs w:val="21"/>
              </w:rPr>
              <w:t xml:space="preserve">即除甲方应付合同款</w:t>
            </w:r>
            <w:r>
              <w:rPr>
                <w:rFonts w:hint="eastAsia"/>
                <w:szCs w:val="21"/>
              </w:rPr>
              <w:t xml:space="preserve">项</w:t>
            </w:r>
            <w:r>
              <w:rPr>
                <w:szCs w:val="21"/>
              </w:rPr>
              <w:t xml:space="preserve">外，</w:t>
            </w:r>
            <w:r>
              <w:rPr>
                <w:rFonts w:hint="eastAsia" w:ascii="宋体" w:hAnsi="宋体" w:cs="宋体"/>
                <w:szCs w:val="21"/>
              </w:rPr>
              <w:t xml:space="preserve">甲方</w:t>
            </w:r>
            <w:r>
              <w:rPr>
                <w:szCs w:val="21"/>
              </w:rPr>
              <w:t xml:space="preserve">取得本合同项下全部货物</w:t>
            </w:r>
            <w:r>
              <w:rPr>
                <w:rFonts w:hint="eastAsia" w:ascii="宋体" w:hAnsi="宋体" w:cs="宋体"/>
                <w:szCs w:val="21"/>
              </w:rPr>
              <w:t xml:space="preserve">无需再支付任何费用，所有设备安装实施完毕后就能正常使用。本合同总价款还包含乙方应当提供的伴随服务/售后服务费用。</w:t>
            </w:r>
            <w:r/>
          </w:p>
        </w:tc>
      </w:tr>
    </w:tbl>
    <w:p>
      <w:pPr>
        <w:ind w:left="420" w:firstLine="420"/>
        <w:spacing w:after="120" w:line="360" w:lineRule="auto"/>
        <w:rPr>
          <w:rFonts w:hint="eastAsia" w:ascii="宋体" w:hAnsi="宋体" w:cs="宋体"/>
        </w:rPr>
      </w:pPr>
      <w:r>
        <w:rPr>
          <w:rFonts w:hint="eastAsia" w:cs="宋体"/>
        </w:rPr>
        <w:t xml:space="preserve">1.1</w:t>
      </w:r>
      <w:r>
        <w:rPr>
          <w:rFonts w:hint="eastAsia" w:ascii="宋体" w:hAnsi="宋体" w:cs="宋体"/>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rPr>
        <w:t xml:space="preserve">。</w:t>
      </w:r>
      <w:r/>
    </w:p>
    <w:p>
      <w:pPr>
        <w:ind w:left="420" w:firstLine="420"/>
        <w:spacing w:after="120" w:line="360" w:lineRule="auto"/>
        <w:rPr>
          <w:rFonts w:hint="eastAsia" w:ascii="宋体" w:hAnsi="宋体" w:cs="宋体"/>
        </w:rPr>
      </w:pPr>
      <w:r>
        <w:rPr>
          <w:rFonts w:hint="eastAsia" w:cs="宋体"/>
        </w:rPr>
        <w:t xml:space="preserve">1.2</w:t>
      </w:r>
      <w:r>
        <w:rPr>
          <w:rFonts w:hint="eastAsia" w:ascii="宋体" w:hAnsi="宋体" w:cs="宋体"/>
        </w:rPr>
        <w:t xml:space="preserve">乙方应根据甲方的要求（</w:t>
      </w:r>
      <w:r>
        <w:rPr>
          <w:rFonts w:hint="eastAsia" w:cs="宋体"/>
        </w:rPr>
        <w:t xml:space="preserve">包括招标文件和本合同约定的要求</w:t>
      </w:r>
      <w:r>
        <w:rPr>
          <w:rFonts w:hint="eastAsia" w:ascii="宋体" w:hAnsi="宋体" w:cs="宋体"/>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rPr>
        <w:t xml:space="preserve">良</w:t>
      </w:r>
      <w:r>
        <w:rPr>
          <w:rFonts w:hint="eastAsia" w:ascii="宋体" w:hAnsi="宋体" w:cs="宋体"/>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left="420" w:firstLine="420"/>
        <w:spacing w:after="120" w:line="360" w:lineRule="auto"/>
        <w:rPr>
          <w:rFonts w:hint="eastAsia" w:ascii="宋体" w:hAnsi="宋体" w:cs="宋体"/>
        </w:rPr>
      </w:pPr>
      <w:r>
        <w:rPr>
          <w:rFonts w:hint="eastAsia" w:cs="宋体"/>
        </w:rPr>
        <w:t xml:space="preserve">1.3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违约金。</w:t>
      </w:r>
      <w:r/>
    </w:p>
    <w:p>
      <w:pPr>
        <w:ind w:left="420" w:firstLine="420"/>
        <w:spacing w:after="120" w:line="360" w:lineRule="auto"/>
        <w:rPr>
          <w:rFonts w:hint="eastAsia" w:ascii="宋体" w:hAnsi="宋体" w:cs="宋体"/>
        </w:rPr>
      </w:pPr>
      <w:r>
        <w:rPr>
          <w:rFonts w:hint="eastAsia" w:cs="宋体"/>
        </w:rPr>
        <w:t xml:space="preserve">1.4</w:t>
      </w:r>
      <w:r>
        <w:rPr>
          <w:rFonts w:hint="eastAsia" w:ascii="宋体" w:hAnsi="宋体" w:cs="宋体"/>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left="420" w:firstLine="420"/>
        <w:spacing w:after="120" w:line="360" w:lineRule="auto"/>
        <w:rPr>
          <w:rFonts w:hint="eastAsia" w:ascii="宋体" w:hAnsi="宋体" w:cs="宋体"/>
        </w:rPr>
      </w:pPr>
      <w:r>
        <w:rPr>
          <w:rFonts w:hint="eastAsia" w:cs="宋体"/>
        </w:rPr>
        <w:t xml:space="preserve">1.5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的违约金。若乙方支付的违约金不足以弥补甲方损失的，乙方还须继续承担损失赔偿责任。  </w:t>
      </w:r>
      <w:r/>
    </w:p>
    <w:p>
      <w:pPr>
        <w:ind w:left="420" w:firstLine="422"/>
        <w:spacing w:after="120" w:line="360" w:lineRule="auto"/>
        <w:rPr>
          <w:rFonts w:hint="eastAsia" w:ascii="宋体" w:hAnsi="宋体" w:cs="宋体"/>
          <w:b/>
          <w:bCs/>
        </w:rPr>
      </w:pPr>
      <w:r>
        <w:rPr>
          <w:rFonts w:hint="eastAsia" w:ascii="宋体" w:hAnsi="宋体" w:cs="宋体"/>
          <w:b/>
          <w:bCs/>
        </w:rPr>
        <w:t xml:space="preserve">以上条款中乙方的责任承担期限不受甲方已收货且出具验收确认书的限制。</w:t>
      </w:r>
      <w:r/>
    </w:p>
    <w:p>
      <w:pPr>
        <w:ind w:left="420" w:firstLine="420"/>
        <w:spacing w:after="120" w:line="360" w:lineRule="auto"/>
        <w:rPr>
          <w:rFonts w:hint="eastAsia" w:ascii="宋体" w:hAnsi="宋体" w:cs="宋体"/>
        </w:rPr>
      </w:pPr>
      <w:r>
        <w:rPr>
          <w:rFonts w:hint="eastAsia" w:cs="宋体"/>
        </w:rPr>
        <w:t xml:space="preserve">1.6</w:t>
      </w:r>
      <w:r>
        <w:rPr>
          <w:rFonts w:hint="eastAsia" w:ascii="宋体" w:hAnsi="宋体" w:cs="宋体"/>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rPr>
        <w:t xml:space="preserve">签名</w:t>
      </w:r>
      <w:r>
        <w:rPr>
          <w:rFonts w:hint="eastAsia" w:ascii="宋体" w:hAnsi="宋体" w:cs="宋体"/>
        </w:rPr>
        <w:t xml:space="preserve">文件或材料均予以认可。若乙方前述项目经理发生变化，应及时以书面方式通知甲方。</w:t>
      </w:r>
      <w:r/>
    </w:p>
    <w:p>
      <w:pPr>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spacing w:line="360" w:lineRule="auto"/>
        <w:rPr>
          <w:rFonts w:hint="eastAsia" w:ascii="宋体" w:hAnsi="宋体" w:cs="宋体"/>
          <w:b/>
          <w:bCs/>
          <w:sz w:val="28"/>
          <w:szCs w:val="28"/>
        </w:rPr>
      </w:pPr>
      <w:r>
        <w:rPr>
          <w:rFonts w:hint="eastAsia" w:ascii="宋体" w:hAnsi="宋体" w:cs="宋体"/>
          <w:b/>
          <w:bCs/>
          <w:sz w:val="28"/>
          <w:szCs w:val="28"/>
        </w:rPr>
        <w:t xml:space="preserve">2.</w:t>
      </w:r>
      <w:r>
        <w:rPr>
          <w:rFonts w:hint="eastAsia" w:ascii="宋体" w:hAnsi="宋体" w:cs="宋体"/>
        </w:rPr>
        <w:t xml:space="preserve"> </w:t>
      </w:r>
      <w:r>
        <w:rPr>
          <w:rFonts w:hint="eastAsia" w:ascii="宋体" w:hAnsi="宋体" w:cs="宋体"/>
          <w:b/>
          <w:bCs/>
          <w:sz w:val="28"/>
          <w:szCs w:val="28"/>
        </w:rPr>
        <w:t xml:space="preserve">交货时间</w:t>
      </w:r>
      <w:r/>
    </w:p>
    <w:p>
      <w:pPr>
        <w:ind w:firstLine="420"/>
        <w:spacing w:line="360" w:lineRule="auto"/>
        <w:rPr>
          <w:rFonts w:hint="eastAsia" w:ascii="宋体" w:hAnsi="宋体" w:cs="宋体"/>
          <w:szCs w:val="21"/>
        </w:rPr>
      </w:pPr>
      <w:r>
        <w:rPr>
          <w:rFonts w:hint="eastAsia" w:ascii="宋体" w:hAnsi="宋体" w:cs="宋体"/>
          <w:szCs w:val="21"/>
        </w:rPr>
        <w:t xml:space="preserve">乙方应在本合同签订生效后【</w:t>
      </w:r>
      <w:r>
        <w:rPr>
          <w:rFonts w:hint="eastAsia" w:ascii="宋体" w:hAnsi="宋体" w:cs="宋体"/>
          <w:szCs w:val="21"/>
          <w:lang w:val="en-US" w:eastAsia="zh-CN"/>
        </w:rPr>
        <w:t xml:space="preserve">90</w:t>
      </w:r>
      <w:r>
        <w:rPr>
          <w:rFonts w:hint="eastAsia" w:ascii="宋体" w:hAnsi="宋体" w:cs="宋体"/>
          <w:szCs w:val="21"/>
        </w:rPr>
        <w:t xml:space="preserve">】个日历日内向甲方交付合同条款１中所列的全部货物。</w:t>
      </w:r>
      <w:r/>
    </w:p>
    <w:p>
      <w:pPr>
        <w:ind w:firstLine="420"/>
        <w:spacing w:line="360" w:lineRule="auto"/>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numPr>
          <w:ilvl w:val="0"/>
          <w:numId w:val="2"/>
        </w:numPr>
        <w:spacing w:line="360" w:lineRule="auto"/>
        <w:rPr>
          <w:rFonts w:hint="eastAsia" w:ascii="宋体" w:hAnsi="宋体" w:cs="宋体"/>
          <w:b/>
          <w:bCs/>
          <w:sz w:val="28"/>
          <w:szCs w:val="28"/>
        </w:rPr>
      </w:pPr>
      <w:r>
        <w:rPr>
          <w:rFonts w:hint="eastAsia" w:ascii="宋体" w:hAnsi="宋体" w:cs="宋体"/>
          <w:b/>
          <w:bCs/>
          <w:sz w:val="28"/>
          <w:szCs w:val="28"/>
        </w:rPr>
        <w:t xml:space="preserve">交货地点</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南京中医药大学动物中心新大楼二楼功能实验室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4. 保证金</w:t>
      </w:r>
      <w:r>
        <w:rPr>
          <w:rFonts w:hint="eastAsia" w:ascii="宋体" w:hAnsi="宋体"/>
          <w:b/>
          <w:bCs/>
          <w:sz w:val="24"/>
        </w:rPr>
        <w:t xml:space="preserve">（根据招标文件要求选用）</w:t>
      </w:r>
      <w:r/>
    </w:p>
    <w:p>
      <w:pPr>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w:t>
      </w:r>
      <w:r>
        <w:rPr>
          <w:rFonts w:hint="eastAsia" w:ascii="宋体" w:hAnsi="宋体" w:cs="宋体"/>
          <w:szCs w:val="21"/>
          <w:lang w:eastAsia="zh-CN"/>
        </w:rPr>
        <w:t xml:space="preserve">账号</w:t>
      </w:r>
      <w:r>
        <w:rPr>
          <w:rFonts w:hint="eastAsia" w:ascii="宋体" w:hAnsi="宋体" w:cs="宋体"/>
          <w:szCs w:val="21"/>
        </w:rPr>
        <w:t xml:space="preserve">及户名如下：</w:t>
      </w:r>
      <w:r/>
    </w:p>
    <w:p>
      <w:pPr>
        <w:ind w:firstLine="420"/>
        <w:spacing w:line="360" w:lineRule="auto"/>
        <w:rPr>
          <w:rFonts w:hint="eastAsia" w:ascii="宋体" w:hAnsi="宋体" w:cs="宋体"/>
          <w:szCs w:val="21"/>
        </w:rPr>
      </w:pPr>
      <w:r>
        <w:rPr>
          <w:rFonts w:hint="eastAsia" w:ascii="宋体" w:hAnsi="宋体" w:cs="宋体"/>
          <w:szCs w:val="21"/>
        </w:rPr>
        <w:t xml:space="preserve">账号为：4301010109001027264</w:t>
      </w:r>
      <w:r/>
    </w:p>
    <w:p>
      <w:pPr>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p>
    <w:p>
      <w:pPr>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p>
    <w:p>
      <w:pPr>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rPr>
      </w:pPr>
      <w:r>
        <w:rPr>
          <w:rFonts w:ascii="Wingdings 2" w:hAnsi="Wingdings 2" w:eastAsia="Wingdings 2" w:cs="Wingdings 2"/>
          <w:szCs w:val="21"/>
          <w:lang w:bidi="ar"/>
        </w:rPr>
        <w:t xml:space="preserve">£</w:t>
      </w: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p>
    <w:p>
      <w:pPr>
        <w:spacing w:line="360" w:lineRule="auto"/>
        <w:rPr>
          <w:rFonts w:hint="eastAsia" w:ascii="宋体" w:hAnsi="宋体" w:cs="宋体"/>
          <w:b/>
          <w:bCs/>
          <w:sz w:val="28"/>
          <w:szCs w:val="28"/>
        </w:rPr>
      </w:pPr>
      <w:r>
        <w:rPr>
          <w:rFonts w:hint="eastAsia" w:ascii="宋体" w:hAnsi="宋体" w:cs="宋体"/>
          <w:b/>
          <w:bCs/>
          <w:sz w:val="28"/>
          <w:szCs w:val="28"/>
        </w:rPr>
        <w:t xml:space="preserve">5.其它费用</w:t>
      </w:r>
      <w:r/>
    </w:p>
    <w:p>
      <w:pPr>
        <w:ind w:firstLine="420"/>
        <w:spacing w:line="360" w:lineRule="auto"/>
        <w:rPr>
          <w:rFonts w:hint="eastAsia" w:ascii="宋体" w:hAnsi="宋体" w:cs="宋体"/>
          <w:bCs/>
          <w:szCs w:val="21"/>
        </w:rPr>
      </w:pPr>
      <w:r>
        <w:rPr>
          <w:rFonts w:hint="eastAsia" w:ascii="宋体" w:hAnsi="宋体" w:cs="宋体"/>
          <w:bCs/>
          <w:szCs w:val="21"/>
        </w:rPr>
        <w:t xml:space="preserve">5.1货物的运输、拆卸、安装过程中以及质保期内所有货物维修产生的全部费用均由乙方承担。</w:t>
      </w:r>
      <w:r/>
    </w:p>
    <w:p>
      <w:pPr>
        <w:spacing w:line="360" w:lineRule="auto"/>
        <w:rPr>
          <w:rFonts w:hint="eastAsia" w:ascii="宋体" w:hAnsi="宋体" w:cs="宋体"/>
          <w:b/>
          <w:bCs/>
          <w:sz w:val="28"/>
          <w:szCs w:val="28"/>
        </w:rPr>
      </w:pPr>
      <w:r>
        <w:rPr>
          <w:rFonts w:hint="eastAsia" w:ascii="宋体" w:hAnsi="宋体" w:cs="宋体"/>
          <w:b/>
          <w:bCs/>
          <w:sz w:val="28"/>
          <w:szCs w:val="28"/>
        </w:rPr>
        <w:t xml:space="preserve">6.调试和验收</w:t>
      </w:r>
      <w:r/>
    </w:p>
    <w:p>
      <w:pPr>
        <w:ind w:firstLine="420"/>
        <w:spacing w:line="360" w:lineRule="auto"/>
        <w:rPr>
          <w:rFonts w:hint="eastAsia" w:ascii="宋体" w:hAnsi="宋体" w:cs="宋体"/>
          <w:szCs w:val="21"/>
        </w:rPr>
      </w:pPr>
      <w:r>
        <w:rPr>
          <w:rFonts w:hint="eastAsia" w:ascii="宋体" w:hAnsi="宋体" w:cs="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r/>
    </w:p>
    <w:p>
      <w:pPr>
        <w:ind w:firstLine="420"/>
        <w:spacing w:line="360" w:lineRule="auto"/>
        <w:rPr>
          <w:rFonts w:hint="eastAsia" w:ascii="宋体" w:hAnsi="宋体" w:cs="宋体"/>
          <w:szCs w:val="21"/>
        </w:rPr>
      </w:pPr>
      <w:r>
        <w:rPr>
          <w:rFonts w:hint="eastAsia" w:ascii="宋体" w:hAnsi="宋体" w:cs="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ind w:firstLine="420"/>
        <w:spacing w:line="360" w:lineRule="auto"/>
        <w:rPr>
          <w:rFonts w:hint="eastAsia" w:ascii="宋体" w:hAnsi="宋体" w:cs="宋体"/>
          <w:szCs w:val="21"/>
        </w:rPr>
      </w:pPr>
      <w:r>
        <w:rPr>
          <w:rFonts w:hint="eastAsia" w:ascii="宋体" w:hAnsi="宋体" w:cs="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p>
    <w:p>
      <w:pPr>
        <w:ind w:firstLine="420"/>
        <w:spacing w:line="360" w:lineRule="auto"/>
        <w:rPr>
          <w:rFonts w:hint="eastAsia" w:ascii="宋体" w:hAnsi="宋体" w:cs="宋体"/>
          <w:szCs w:val="21"/>
        </w:rPr>
      </w:pPr>
      <w:r>
        <w:rPr>
          <w:rFonts w:hint="eastAsia" w:ascii="宋体" w:hAnsi="宋体" w:cs="宋体"/>
          <w:szCs w:val="21"/>
        </w:rPr>
        <w:t xml:space="preserve">6.5对于本合同约定的货物，乙方同意甲方有权单方聘请国家认可的专业检测机构参与初步验收及最终验收，并由其出具质量检测报告，相关检测费用由</w:t>
      </w:r>
      <w:r>
        <w:rPr>
          <w:rFonts w:hint="eastAsia" w:ascii="宋体" w:hAnsi="宋体" w:cs="宋体"/>
          <w:szCs w:val="21"/>
          <w:lang w:val="en-US" w:eastAsia="zh-CN"/>
        </w:rPr>
        <w:t xml:space="preserve">乙方</w:t>
      </w:r>
      <w:r>
        <w:rPr>
          <w:rFonts w:hint="eastAsia" w:ascii="宋体" w:hAnsi="宋体" w:cs="宋体"/>
          <w:szCs w:val="21"/>
        </w:rPr>
        <w:t xml:space="preserve">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spacing w:line="360" w:lineRule="auto"/>
        <w:rPr>
          <w:rFonts w:hint="eastAsia" w:ascii="宋体" w:hAnsi="宋体" w:cs="宋体"/>
          <w:b/>
          <w:bCs/>
          <w:sz w:val="28"/>
          <w:szCs w:val="28"/>
        </w:rPr>
      </w:pPr>
      <w:r>
        <w:rPr>
          <w:rFonts w:hint="eastAsia" w:ascii="宋体" w:hAnsi="宋体" w:cs="宋体"/>
          <w:b/>
          <w:bCs/>
          <w:sz w:val="28"/>
          <w:szCs w:val="28"/>
        </w:rPr>
        <w:t xml:space="preserve">7.付款方式</w:t>
      </w:r>
      <w:r/>
    </w:p>
    <w:p>
      <w:pPr>
        <w:ind w:firstLine="420"/>
        <w:spacing w:line="360" w:lineRule="auto"/>
        <w:rPr>
          <w:rFonts w:hint="eastAsia" w:ascii="宋体" w:hAnsi="宋体" w:cs="宋体"/>
          <w:szCs w:val="21"/>
        </w:rPr>
      </w:pPr>
      <w:r>
        <w:rPr>
          <w:rFonts w:hint="eastAsia" w:ascii="宋体" w:hAnsi="宋体" w:cs="宋体"/>
          <w:szCs w:val="21"/>
        </w:rPr>
        <w:t xml:space="preserve">7.1合同签订后，乙方将全部货物运到采购人指定的交货地点，并按照招标文件、合同约定及甲方的要求安装调试结束，经甲方最终书面确认验收合格无误后，乙方向甲方提供合法有效的正规增值税发票，采购人在收到发票后15个工作日向中标供货商付清应付款项。</w:t>
      </w:r>
      <w:r/>
    </w:p>
    <w:p>
      <w:pPr>
        <w:ind w:firstLine="420"/>
        <w:spacing w:line="360" w:lineRule="auto"/>
        <w:rPr>
          <w:rFonts w:hint="eastAsia" w:ascii="宋体" w:hAnsi="宋体" w:cs="宋体"/>
          <w:szCs w:val="21"/>
        </w:rPr>
      </w:pPr>
      <w:r>
        <w:rPr>
          <w:rFonts w:hint="eastAsia" w:ascii="宋体" w:hAnsi="宋体" w:cs="宋体"/>
          <w:szCs w:val="21"/>
        </w:rPr>
        <w:t xml:space="preserve">7.2每次甲方付款前，乙方应向甲方提供符合甲方财务要求的正规合法有效，发票开具方与乙方相一致、且金额与应付款金额相一致的增值税发票，否则甲方有权拒绝付款。</w:t>
      </w:r>
      <w:r/>
    </w:p>
    <w:p>
      <w:pPr>
        <w:ind w:firstLine="420"/>
        <w:spacing w:line="360" w:lineRule="auto"/>
        <w:rPr>
          <w:rFonts w:hint="eastAsia" w:ascii="宋体" w:hAnsi="宋体" w:cs="宋体"/>
          <w:szCs w:val="21"/>
        </w:rPr>
      </w:pPr>
      <w:r>
        <w:rPr>
          <w:rFonts w:hint="eastAsia" w:ascii="宋体" w:hAnsi="宋体" w:cs="宋体"/>
          <w:szCs w:val="21"/>
        </w:rPr>
        <w:t xml:space="preserve">7.2每次甲方付款前，乙方应向甲方提供符合甲方财务要求的正规合法有效，发票开具方与乙方相一致、且金额与应付款金额相一致的增值税发票，否则甲方有权拒绝付款。</w:t>
      </w:r>
      <w:r/>
    </w:p>
    <w:p>
      <w:pPr>
        <w:ind w:firstLine="422"/>
        <w:spacing w:line="360" w:lineRule="auto"/>
        <w:rPr>
          <w:rFonts w:hint="eastAsia" w:ascii="宋体" w:hAnsi="宋体"/>
          <w:b/>
          <w:bCs/>
          <w:szCs w:val="21"/>
        </w:rPr>
      </w:pPr>
      <w:r>
        <w:rPr>
          <w:rFonts w:hint="eastAsia" w:ascii="宋体" w:hAnsi="宋体"/>
          <w:b/>
          <w:bCs/>
          <w:szCs w:val="21"/>
        </w:rPr>
        <w:t xml:space="preserve">如遇甲方高校寒暑假期等财务封帐特殊原因或不可抗拒事件等情形不受此时间限制，付款时间相应顺延。对此乙方表示：遇此情况下甲方可以推迟付款且不构成违约，且乙方不主张顺延期间的利息。</w:t>
      </w:r>
      <w:r/>
    </w:p>
    <w:p>
      <w:pPr>
        <w:numPr>
          <w:ilvl w:val="255"/>
          <w:numId w:val="0"/>
        </w:numPr>
        <w:ind w:firstLine="422"/>
        <w:spacing w:line="360" w:lineRule="auto"/>
        <w:rPr>
          <w:rFonts w:hint="eastAsia" w:ascii="宋体" w:hAnsi="宋体" w:cs="宋体"/>
          <w:b/>
          <w:bCs/>
          <w:szCs w:val="21"/>
        </w:rPr>
      </w:pPr>
      <w:r>
        <w:rPr>
          <w:rFonts w:hint="eastAsia" w:ascii="宋体" w:hAnsi="宋体" w:cs="宋体"/>
          <w:b/>
          <w:bCs/>
          <w:szCs w:val="21"/>
        </w:rPr>
        <w:t xml:space="preserve">7.3乙方指定的收取本合同项下所有应收款项的账户如下：</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开户名称：【     】</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开户行： 【     】</w:t>
      </w:r>
      <w:r/>
    </w:p>
    <w:p>
      <w:pPr>
        <w:numPr>
          <w:ilvl w:val="255"/>
          <w:numId w:val="0"/>
        </w:numPr>
        <w:ind w:firstLine="420"/>
        <w:spacing w:line="360" w:lineRule="auto"/>
        <w:rPr>
          <w:rFonts w:hint="eastAsia" w:ascii="宋体" w:hAnsi="宋体" w:cs="宋体"/>
          <w:szCs w:val="21"/>
        </w:rPr>
      </w:pPr>
      <w:r>
        <w:rPr>
          <w:rFonts w:hint="eastAsia" w:ascii="宋体" w:hAnsi="宋体" w:cs="宋体"/>
          <w:szCs w:val="21"/>
        </w:rPr>
        <w:t xml:space="preserve">银行账户：【     】</w:t>
      </w:r>
      <w:r/>
    </w:p>
    <w:p>
      <w:pPr>
        <w:numPr>
          <w:ilvl w:val="255"/>
          <w:numId w:val="0"/>
        </w:numPr>
        <w:ind w:firstLine="420"/>
        <w:spacing w:line="360" w:lineRule="auto"/>
        <w:rPr>
          <w:rFonts w:hint="eastAsia" w:ascii="宋体" w:hAnsi="宋体" w:cs="宋体"/>
          <w:b/>
          <w:bCs/>
          <w:szCs w:val="21"/>
        </w:rPr>
      </w:pPr>
      <w:r>
        <w:rPr>
          <w:rFonts w:hint="eastAsia" w:ascii="宋体" w:hAnsi="宋体" w:cs="宋体"/>
          <w:szCs w:val="21"/>
        </w:rPr>
        <w:t xml:space="preserve">因乙方提供银行账户信息有误，或银行账户自身问题（包括但不限于被查封、冻结），导致甲方未能按照本合同约定付款的，所造成的法律后果由乙方自行承担，甲方不承担任何责任。</w:t>
      </w:r>
      <w:r/>
    </w:p>
    <w:p>
      <w:pPr>
        <w:spacing w:line="360" w:lineRule="auto"/>
        <w:rPr>
          <w:rFonts w:hint="eastAsia" w:ascii="宋体" w:hAnsi="宋体" w:cs="宋体"/>
          <w:i/>
          <w:iCs/>
          <w:sz w:val="28"/>
          <w:szCs w:val="28"/>
        </w:rPr>
      </w:pPr>
      <w:r>
        <w:rPr>
          <w:rFonts w:hint="eastAsia" w:ascii="宋体" w:hAnsi="宋体" w:cs="宋体"/>
          <w:b/>
          <w:bCs/>
          <w:sz w:val="28"/>
          <w:szCs w:val="28"/>
        </w:rPr>
        <w:t xml:space="preserve">8.乙方的其他义务</w:t>
      </w:r>
      <w:r/>
    </w:p>
    <w:p>
      <w:pPr>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rPr>
        <w:t xml:space="preserve">2</w:t>
      </w:r>
      <w:r>
        <w:rPr>
          <w:rFonts w:hint="eastAsia" w:ascii="宋体" w:hAnsi="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r/>
    </w:p>
    <w:p>
      <w:pPr>
        <w:spacing w:line="360" w:lineRule="auto"/>
        <w:rPr>
          <w:rFonts w:hint="eastAsia" w:ascii="宋体" w:hAnsi="宋体" w:cs="宋体"/>
          <w:b/>
          <w:sz w:val="28"/>
          <w:szCs w:val="28"/>
        </w:rPr>
      </w:pPr>
      <w:r>
        <w:rPr>
          <w:rFonts w:hint="eastAsia" w:ascii="宋体" w:hAnsi="宋体" w:cs="宋体"/>
          <w:b/>
          <w:bCs/>
          <w:sz w:val="28"/>
          <w:szCs w:val="28"/>
        </w:rPr>
        <w:t xml:space="preserve">9.违约责任</w:t>
      </w:r>
      <w:r/>
    </w:p>
    <w:p>
      <w:pPr>
        <w:ind w:firstLine="420"/>
        <w:jc w:val="left"/>
        <w:spacing w:line="360" w:lineRule="auto"/>
        <w:rPr>
          <w:rFonts w:hint="eastAsia" w:ascii="宋体" w:hAnsi="宋体" w:cs="宋体"/>
        </w:rPr>
      </w:pPr>
      <w:r>
        <w:rPr>
          <w:rFonts w:hint="eastAsia" w:ascii="宋体" w:hAnsi="宋体" w:cs="宋体"/>
          <w:szCs w:val="21"/>
        </w:rPr>
        <w:t xml:space="preserve"> 9.1乙</w:t>
      </w:r>
      <w:r>
        <w:rPr>
          <w:rFonts w:hint="eastAsia" w:ascii="宋体" w:hAnsi="宋体" w:cs="宋体"/>
        </w:rPr>
        <w:t xml:space="preserve">方因故需要延迟交货（包括迟延履行安装</w:t>
      </w:r>
      <w:r>
        <w:rPr>
          <w:rFonts w:hint="eastAsia" w:cs="宋体"/>
        </w:rPr>
        <w:t xml:space="preserve">调试或培训</w:t>
      </w:r>
      <w:r>
        <w:rPr>
          <w:rFonts w:hint="eastAsia" w:ascii="宋体" w:hAnsi="宋体" w:cs="宋体"/>
        </w:rPr>
        <w:t xml:space="preserve">义务）的，应提前向甲方说明缘由并征得甲方同意。若未事先说明且取得甲方书面</w:t>
      </w:r>
      <w:r>
        <w:rPr>
          <w:rFonts w:hint="eastAsia" w:cs="宋体"/>
        </w:rPr>
        <w:t xml:space="preserve">同意</w:t>
      </w:r>
      <w:r>
        <w:rPr>
          <w:rFonts w:hint="eastAsia" w:ascii="宋体" w:hAnsi="宋体" w:cs="宋体"/>
        </w:rPr>
        <w:t xml:space="preserve">的，每延迟一天，则应按照迟延交货部分合同金额的</w:t>
      </w:r>
      <w:r>
        <w:rPr>
          <w:rFonts w:hint="eastAsia" w:cs="宋体"/>
          <w:u w:val="single"/>
        </w:rPr>
        <w:t xml:space="preserve">   </w:t>
      </w:r>
      <w:r>
        <w:rPr>
          <w:rFonts w:hint="eastAsia" w:ascii="宋体" w:hAnsi="宋体" w:cs="宋体"/>
        </w:rPr>
        <w:t xml:space="preserve">%向甲方支付违约金</w:t>
      </w:r>
      <w:r>
        <w:rPr>
          <w:rFonts w:hint="eastAsia" w:cs="宋体"/>
        </w:rPr>
        <w:t xml:space="preserve">，甲方有权从</w:t>
      </w:r>
      <w:r>
        <w:rPr>
          <w:rFonts w:ascii="Wingdings 2" w:hAnsi="Wingdings 2" w:eastAsia="Wingdings 2" w:cs="Wingdings 2"/>
          <w:b/>
        </w:rPr>
        <w:t xml:space="preserve">£</w:t>
      </w:r>
      <w:r>
        <w:rPr>
          <w:rFonts w:hint="eastAsia" w:ascii="宋体" w:hAnsi="宋体" w:cs="宋体"/>
          <w:b/>
        </w:rPr>
        <w:t xml:space="preserve">履约保证金中</w:t>
      </w:r>
      <w:r>
        <w:rPr>
          <w:rFonts w:ascii="Wingdings 2" w:hAnsi="Wingdings 2" w:eastAsia="Wingdings 2" w:cs="Wingdings 2"/>
          <w:b/>
        </w:rPr>
        <w:t xml:space="preserve">R</w:t>
      </w:r>
      <w:r>
        <w:rPr>
          <w:rFonts w:hint="eastAsia" w:ascii="宋体" w:hAnsi="宋体" w:cs="宋体"/>
          <w:b/>
        </w:rPr>
        <w:t xml:space="preserve">待付合同款项</w:t>
      </w:r>
      <w:r>
        <w:rPr>
          <w:rFonts w:hint="eastAsia" w:ascii="宋体" w:hAnsi="宋体" w:cs="宋体"/>
          <w:bCs/>
        </w:rPr>
        <w:t xml:space="preserve">中</w:t>
      </w:r>
      <w:r>
        <w:rPr>
          <w:rFonts w:hint="eastAsia" w:cs="宋体"/>
          <w:bCs/>
        </w:rPr>
        <w:t xml:space="preserve">直</w:t>
      </w:r>
      <w:r>
        <w:rPr>
          <w:rFonts w:hint="eastAsia" w:cs="宋体"/>
        </w:rPr>
        <w:t xml:space="preserve">接扣除前述违约金，不足扣除的，乙方应继续向甲方支付</w:t>
      </w:r>
      <w:r>
        <w:rPr>
          <w:rFonts w:hint="eastAsia" w:ascii="宋体" w:hAnsi="宋体" w:cs="宋体"/>
        </w:rPr>
        <w:t xml:space="preserve">。乙方迟延交货达</w:t>
      </w:r>
      <w:r>
        <w:rPr>
          <w:rFonts w:hint="eastAsia" w:cs="宋体"/>
          <w:u w:val="single"/>
        </w:rPr>
        <w:t xml:space="preserve">   </w:t>
      </w:r>
      <w:r>
        <w:rPr>
          <w:rFonts w:hint="eastAsia" w:ascii="宋体" w:hAnsi="宋体" w:cs="宋体"/>
        </w:rPr>
        <w:t xml:space="preserve">日的，甲方有权单方解除合同并追究乙方的违约责任，乙方须按未能交货部分合同金额或不合格货物对应合同金额的</w:t>
      </w:r>
      <w:r>
        <w:rPr>
          <w:rFonts w:hint="eastAsia" w:cs="宋体"/>
          <w:u w:val="single"/>
        </w:rPr>
        <w:t xml:space="preserve">   </w:t>
      </w:r>
      <w:r>
        <w:rPr>
          <w:rFonts w:hint="eastAsia" w:ascii="宋体" w:hAnsi="宋体" w:cs="宋体"/>
        </w:rPr>
        <w:t xml:space="preserve">%向甲方支付违约金，违约金不足以补偿甲方损失的，甲方有权要求乙方补足。</w:t>
      </w:r>
      <w:r/>
    </w:p>
    <w:p>
      <w:pPr>
        <w:ind w:firstLine="420"/>
        <w:spacing w:after="120" w:line="360" w:lineRule="auto"/>
        <w:rPr>
          <w:rFonts w:hint="eastAsia" w:ascii="宋体" w:hAnsi="宋体" w:cs="宋体"/>
        </w:rPr>
      </w:pPr>
      <w:r>
        <w:rPr>
          <w:rFonts w:ascii="宋体" w:hAnsi="宋体" w:cs="宋体"/>
          <w:szCs w:val="21"/>
        </w:rPr>
        <w:t xml:space="preserve">9.2</w:t>
      </w:r>
      <w:r>
        <w:rPr>
          <w:rFonts w:hint="eastAsia" w:ascii="宋体" w:hAnsi="宋体" w:cs="宋体"/>
          <w:szCs w:val="21"/>
        </w:rPr>
        <w:t xml:space="preserve">乙方必须遵守甲方有关管理制度和规定，在货物运输、安装调试、维修维保等过程</w:t>
      </w:r>
      <w:r>
        <w:rPr>
          <w:rFonts w:hint="eastAsia" w:ascii="宋体" w:hAnsi="宋体" w:cs="宋体"/>
        </w:rPr>
        <w:t xml:space="preserve">中须服从甲方管理，禁止非乙方单位人员、车辆进出甲方，给甲方造成安全隐患，如因乙方违反此约定给甲方或第三人造成伤害或财产损失的，乙方承担全部赔偿责任。</w:t>
      </w:r>
      <w:r/>
    </w:p>
    <w:p>
      <w:pPr>
        <w:ind w:firstLine="420"/>
        <w:spacing w:after="120" w:line="360" w:lineRule="auto"/>
        <w:rPr>
          <w:rFonts w:hint="eastAsia" w:ascii="宋体" w:hAnsi="宋体" w:cs="宋体"/>
          <w:szCs w:val="21"/>
        </w:rPr>
      </w:pPr>
      <w:r>
        <w:rPr>
          <w:rFonts w:ascii="宋体" w:hAnsi="宋体" w:cs="宋体"/>
          <w:szCs w:val="21"/>
        </w:rPr>
        <w:t xml:space="preserve">9.3</w:t>
      </w:r>
      <w:r>
        <w:rPr>
          <w:rFonts w:hint="eastAsia" w:ascii="宋体" w:hAnsi="宋体" w:cs="宋体"/>
          <w:szCs w:val="21"/>
        </w:rPr>
        <w:t xml:space="preserve">因不可抗力或国家法律、法规或其他相关文件规定造成合同不能履行的，双方互不追究违约责任。</w:t>
      </w:r>
      <w:r/>
    </w:p>
    <w:p>
      <w:pPr>
        <w:ind w:firstLine="420"/>
        <w:spacing w:after="120" w:line="360" w:lineRule="auto"/>
        <w:rPr>
          <w:rFonts w:hint="eastAsia" w:ascii="宋体" w:hAnsi="宋体" w:cs="宋体"/>
        </w:rPr>
      </w:pPr>
      <w:r>
        <w:rPr>
          <w:rFonts w:hint="eastAsia" w:cs="宋体"/>
        </w:rPr>
        <w:t xml:space="preserve">9.4其他：</w:t>
      </w:r>
      <w:r>
        <w:rPr>
          <w:rFonts w:hint="eastAsia" w:ascii="宋体" w:hAnsi="宋体" w:cs="宋体"/>
          <w:szCs w:val="21"/>
          <w:u w:val="single"/>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p>
    <w:p>
      <w:pPr>
        <w:spacing w:line="360" w:lineRule="auto"/>
        <w:rPr>
          <w:rFonts w:hint="eastAsia" w:ascii="宋体" w:hAnsi="宋体" w:cs="宋体"/>
          <w:b/>
          <w:bCs/>
          <w:sz w:val="28"/>
          <w:szCs w:val="28"/>
        </w:rPr>
      </w:pPr>
      <w:r>
        <w:rPr>
          <w:rFonts w:hint="eastAsia" w:ascii="宋体" w:hAnsi="宋体" w:cs="宋体"/>
          <w:b/>
          <w:bCs/>
          <w:sz w:val="28"/>
          <w:szCs w:val="28"/>
        </w:rPr>
        <w:t xml:space="preserve">10.其他约定事项</w:t>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w:t>
      </w:r>
      <w:r>
        <w:rPr>
          <w:rFonts w:hint="eastAsia" w:ascii="宋体" w:hAnsi="宋体" w:cs="宋体"/>
          <w:bCs/>
          <w:szCs w:val="21"/>
          <w:u w:val="single"/>
        </w:rPr>
        <w:t xml:space="preserve">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11.争议解决</w:t>
      </w:r>
      <w:r/>
    </w:p>
    <w:p>
      <w:pPr>
        <w:ind w:firstLine="420"/>
        <w:spacing w:line="360" w:lineRule="auto"/>
      </w:pPr>
      <w:r>
        <w:rPr>
          <w:rFonts w:hint="eastAsia" w:ascii="宋体" w:hAnsi="宋体" w:cs="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spacing w:line="360" w:lineRule="auto"/>
        <w:rPr>
          <w:rFonts w:hint="eastAsia" w:ascii="宋体" w:hAnsi="宋体" w:cs="宋体"/>
          <w:b/>
          <w:bCs/>
          <w:sz w:val="28"/>
          <w:szCs w:val="28"/>
        </w:rPr>
      </w:pPr>
      <w:r>
        <w:rPr>
          <w:rFonts w:hint="eastAsia" w:ascii="宋体" w:hAnsi="宋体" w:cs="宋体"/>
          <w:b/>
          <w:bCs/>
          <w:sz w:val="28"/>
          <w:szCs w:val="28"/>
        </w:rPr>
        <w:t xml:space="preserve">12.合同效力和其他</w:t>
      </w:r>
      <w:r/>
    </w:p>
    <w:p>
      <w:pPr>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均为本合同不可分割的组成部分，与本合同具有同等法律效力；若存在不一致之处或不明确之处，甲乙双方同意以最有利于甲方利益的文件或文意进行解释。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cs="宋体"/>
          <w:bCs/>
          <w:szCs w:val="21"/>
        </w:rPr>
      </w:pPr>
      <w:r>
        <w:rPr>
          <w:rFonts w:hint="eastAsia" w:ascii="宋体" w:hAnsi="宋体" w:cs="宋体"/>
          <w:bCs/>
          <w:szCs w:val="21"/>
        </w:rPr>
        <w:t xml:space="preserve">12.2本合同一式</w:t>
      </w:r>
      <w:r>
        <w:rPr>
          <w:rFonts w:hint="eastAsia" w:ascii="宋体" w:hAnsi="宋体" w:cs="宋体"/>
          <w:bCs/>
          <w:szCs w:val="21"/>
          <w:u w:val="single"/>
        </w:rPr>
        <w:t xml:space="preserve">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w:t>
      </w:r>
      <w:r>
        <w:rPr>
          <w:rFonts w:hint="eastAsia" w:ascii="宋体" w:hAnsi="宋体" w:cs="宋体"/>
          <w:bCs/>
          <w:szCs w:val="21"/>
        </w:rPr>
        <w:t xml:space="preserve">份，乙方持有  </w:t>
      </w:r>
      <w:r/>
    </w:p>
    <w:p>
      <w:pPr>
        <w:spacing w:line="360" w:lineRule="auto"/>
      </w:pPr>
      <w:r>
        <w:rPr>
          <w:rFonts w:hint="eastAsia" w:ascii="宋体" w:hAnsi="宋体" w:cs="宋体"/>
          <w:bCs/>
          <w:szCs w:val="21"/>
          <w:u w:val="single"/>
        </w:rPr>
        <w:t xml:space="preserve">     </w:t>
      </w:r>
      <w:r>
        <w:rPr>
          <w:rFonts w:hint="eastAsia" w:ascii="宋体" w:hAnsi="宋体" w:cs="宋体"/>
          <w:bCs/>
          <w:szCs w:val="21"/>
        </w:rPr>
        <w:t xml:space="preserve">份，均具有同等法律效力。</w:t>
      </w:r>
      <w:r/>
    </w:p>
    <w:p>
      <w:pPr>
        <w:spacing w:line="360" w:lineRule="auto"/>
        <w:rPr>
          <w:rFonts w:hint="eastAsia" w:ascii="宋体" w:hAnsi="宋体" w:cs="宋体"/>
          <w:bCs/>
          <w:szCs w:val="21"/>
        </w:rPr>
      </w:pPr>
      <w:r>
        <w:rPr>
          <w:rFonts w:hint="eastAsia" w:ascii="宋体" w:hAnsi="宋体" w:cs="宋体"/>
          <w:bCs/>
          <w:szCs w:val="21"/>
        </w:rPr>
        <w:t xml:space="preserve">附件：</w:t>
      </w:r>
      <w:r/>
    </w:p>
    <w:p>
      <w:pPr>
        <w:spacing w:line="360" w:lineRule="auto"/>
        <w:rPr>
          <w:rFonts w:hint="eastAsia" w:ascii="宋体" w:hAnsi="宋体" w:cs="宋体"/>
          <w:bCs/>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货物明细</w:t>
      </w:r>
      <w:r/>
    </w:p>
    <w:p>
      <w:pPr>
        <w:keepLines/>
        <w:keepNext/>
        <w:spacing w:before="260" w:after="260" w:line="360" w:lineRule="auto"/>
        <w:rPr>
          <w:rFonts w:hint="eastAsia" w:ascii="宋体" w:hAnsi="宋体" w:cs="宋体"/>
          <w:szCs w:val="21"/>
          <w:lang w:bidi="ar"/>
        </w:rPr>
        <w:outlineLvl w:val="1"/>
      </w:pPr>
      <w:r>
        <w:rPr>
          <w:rFonts w:ascii="Wingdings 2" w:hAnsi="Wingdings 2" w:eastAsia="Wingdings 2" w:cs="Wingdings 2"/>
          <w:szCs w:val="21"/>
          <w:lang w:bidi="ar"/>
        </w:rPr>
        <w:t xml:space="preserve">£</w:t>
      </w:r>
      <w:r>
        <w:rPr>
          <w:rFonts w:hint="eastAsia" w:ascii="宋体" w:hAnsi="宋体" w:cs="宋体"/>
          <w:szCs w:val="21"/>
          <w:lang w:bidi="ar"/>
        </w:rPr>
        <w:t xml:space="preserve">货物技术参数</w:t>
      </w:r>
      <w:r/>
    </w:p>
    <w:p>
      <w:pPr>
        <w:rPr>
          <w:rFonts w:hint="eastAsia" w:ascii="宋体" w:hAnsi="宋体" w:cs="宋体"/>
          <w:szCs w:val="21"/>
          <w:lang w:bidi="ar"/>
        </w:rPr>
      </w:pPr>
      <w:r>
        <w:rPr>
          <w:rFonts w:hint="eastAsia" w:ascii="宋体" w:hAnsi="宋体" w:cs="宋体"/>
          <w:szCs w:val="21"/>
          <w:lang w:bidi="ar"/>
        </w:rPr>
      </w:r>
      <w:r/>
    </w:p>
    <w:p>
      <w:pPr>
        <w:rPr>
          <w:rFonts w:hint="eastAsia" w:ascii="宋体" w:hAnsi="宋体" w:cs="宋体"/>
          <w:szCs w:val="21"/>
          <w:lang w:bidi="ar"/>
        </w:rPr>
      </w:pPr>
      <w:r>
        <w:rPr>
          <w:rFonts w:hint="eastAsia" w:ascii="宋体" w:hAnsi="宋体" w:cs="宋体"/>
          <w:szCs w:val="21"/>
          <w:lang w:bidi="ar"/>
        </w:rPr>
      </w:r>
      <w:r/>
    </w:p>
    <w:p>
      <w:pPr>
        <w:rPr>
          <w:rFonts w:hint="eastAsia" w:ascii="宋体" w:hAnsi="宋体" w:cs="宋体"/>
          <w:szCs w:val="21"/>
          <w:lang w:bidi="ar"/>
        </w:rPr>
      </w:pPr>
      <w:r>
        <w:rPr>
          <w:rFonts w:hint="eastAsia" w:ascii="宋体" w:hAnsi="宋体" w:cs="宋体"/>
          <w:szCs w:val="21"/>
          <w:lang w:bidi="ar"/>
        </w:rPr>
      </w:r>
      <w:r/>
    </w:p>
    <w:p>
      <w:pPr>
        <w:rPr>
          <w:rFonts w:hint="eastAsia" w:ascii="宋体" w:hAnsi="宋体" w:cs="宋体"/>
          <w:szCs w:val="21"/>
          <w:lang w:bidi="ar"/>
        </w:rPr>
      </w:pPr>
      <w:r>
        <w:rPr>
          <w:rFonts w:hint="eastAsia" w:ascii="宋体" w:hAnsi="宋体" w:cs="宋体"/>
          <w:szCs w:val="21"/>
          <w:lang w:bidi="ar"/>
        </w:rPr>
      </w:r>
      <w:r/>
    </w:p>
    <w:p>
      <w:pPr>
        <w:rPr>
          <w:rFonts w:hint="eastAsia" w:ascii="宋体" w:hAnsi="宋体" w:cs="宋体"/>
          <w:szCs w:val="21"/>
          <w:lang w:bidi="ar"/>
        </w:rPr>
      </w:pPr>
      <w:r>
        <w:rPr>
          <w:rFonts w:hint="eastAsia" w:ascii="宋体" w:hAnsi="宋体" w:cs="宋体"/>
          <w:szCs w:val="21"/>
          <w:lang w:bidi="ar"/>
        </w:rPr>
      </w:r>
      <w:r/>
    </w:p>
    <w:p>
      <w:pPr>
        <w:rPr>
          <w:rFonts w:hint="eastAsia" w:ascii="宋体" w:hAnsi="宋体" w:cs="宋体"/>
          <w:szCs w:val="21"/>
          <w:lang w:bidi="ar"/>
        </w:rPr>
      </w:pPr>
      <w:r>
        <w:rPr>
          <w:rFonts w:hint="eastAsia" w:ascii="宋体" w:hAnsi="宋体" w:cs="宋体"/>
          <w:szCs w:val="21"/>
          <w:lang w:bidi="ar"/>
        </w:rPr>
      </w:r>
      <w:r/>
    </w:p>
    <w:tbl>
      <w:tblPr>
        <w:tblStyle w:val="877"/>
        <w:tblpPr w:horzAnchor="page" w:tblpX="1632" w:vertAnchor="text" w:tblpY="259" w:leftFromText="180" w:topFromText="0" w:rightFromText="180" w:bottomFromText="0"/>
        <w:tblW w:w="883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415"/>
        <w:gridCol w:w="4416"/>
      </w:tblGrid>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sz w:val="24"/>
                <w:szCs w:val="32"/>
              </w:rPr>
            </w:pPr>
            <w:r>
              <w:rPr>
                <w:rFonts w:ascii="宋体" w:hAnsi="宋体" w:cs="宋体"/>
                <w:sz w:val="24"/>
                <w:szCs w:val="32"/>
              </w:rPr>
              <w:t xml:space="preserve">甲方(</w:t>
            </w:r>
            <w:r>
              <w:rPr>
                <w:rFonts w:hint="eastAsia" w:ascii="宋体" w:hAnsi="宋体" w:cs="宋体"/>
                <w:sz w:val="24"/>
                <w:szCs w:val="32"/>
              </w:rPr>
              <w:t xml:space="preserve">盖</w:t>
            </w:r>
            <w:r>
              <w:rPr>
                <w:rFonts w:ascii="宋体" w:hAnsi="宋体" w:cs="宋体"/>
                <w:sz w:val="24"/>
                <w:szCs w:val="32"/>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sz w:val="24"/>
                <w:szCs w:val="32"/>
              </w:rPr>
            </w:pPr>
            <w:r>
              <w:rPr>
                <w:rFonts w:ascii="宋体" w:hAnsi="宋体" w:cs="宋体"/>
                <w:sz w:val="24"/>
                <w:szCs w:val="32"/>
              </w:rPr>
              <w:t xml:space="preserve">乙方(</w:t>
            </w:r>
            <w:r>
              <w:rPr>
                <w:rFonts w:hint="eastAsia" w:ascii="宋体" w:hAnsi="宋体" w:cs="宋体"/>
                <w:sz w:val="24"/>
                <w:szCs w:val="32"/>
              </w:rPr>
              <w:t xml:space="preserve">盖</w:t>
            </w:r>
            <w:r>
              <w:rPr>
                <w:rFonts w:ascii="宋体" w:hAnsi="宋体" w:cs="宋体"/>
                <w:sz w:val="24"/>
                <w:szCs w:val="32"/>
              </w:rPr>
              <w:t xml:space="preserve">章)</w:t>
            </w:r>
            <w:r>
              <w:rPr>
                <w:rFonts w:hint="eastAsia" w:ascii="宋体" w:hAnsi="宋体" w:cs="宋体"/>
                <w:sz w:val="24"/>
                <w:szCs w:val="32"/>
              </w:rPr>
              <w:t xml:space="preserve">：</w:t>
            </w:r>
            <w:r/>
          </w:p>
        </w:tc>
      </w:tr>
      <w:tr>
        <w:trPr>
          <w:jc w:val="center"/>
          <w:trHeight w:val="557"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spacing w:line="360" w:lineRule="auto"/>
              <w:rPr>
                <w:sz w:val="24"/>
                <w:szCs w:val="32"/>
              </w:rPr>
            </w:pPr>
            <w:r>
              <w:rPr>
                <w:sz w:val="24"/>
                <w:szCs w:val="32"/>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spacing w:line="360" w:lineRule="auto"/>
              <w:rPr>
                <w:sz w:val="24"/>
                <w:szCs w:val="32"/>
              </w:rPr>
            </w:pPr>
            <w:r>
              <w:rPr>
                <w:sz w:val="24"/>
                <w:szCs w:val="32"/>
              </w:rPr>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ind w:firstLine="2880"/>
              <w:jc w:val="left"/>
              <w:spacing w:line="360" w:lineRule="auto"/>
              <w:rPr>
                <w:sz w:val="24"/>
                <w:szCs w:val="32"/>
              </w:rPr>
            </w:pPr>
            <w:r>
              <w:rPr>
                <w:rFonts w:ascii="宋体" w:hAnsi="宋体" w:cs="宋体"/>
                <w:sz w:val="24"/>
                <w:szCs w:val="32"/>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ind w:firstLine="2880"/>
              <w:jc w:val="left"/>
              <w:spacing w:line="360" w:lineRule="auto"/>
              <w:rPr>
                <w:sz w:val="24"/>
                <w:szCs w:val="32"/>
              </w:rPr>
            </w:pPr>
            <w:r>
              <w:rPr>
                <w:rFonts w:ascii="宋体" w:hAnsi="宋体" w:cs="宋体"/>
                <w:sz w:val="24"/>
                <w:szCs w:val="32"/>
              </w:rPr>
              <w:t xml:space="preserve">　　</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sz w:val="24"/>
                <w:szCs w:val="32"/>
              </w:rPr>
            </w:pPr>
            <w:r>
              <w:rPr>
                <w:rFonts w:ascii="宋体" w:hAnsi="宋体" w:cs="宋体"/>
                <w:sz w:val="24"/>
                <w:szCs w:val="32"/>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sz w:val="24"/>
                <w:szCs w:val="32"/>
              </w:rPr>
            </w:pPr>
            <w:r>
              <w:rPr>
                <w:rFonts w:ascii="宋体" w:hAnsi="宋体" w:cs="宋体"/>
                <w:sz w:val="24"/>
                <w:szCs w:val="32"/>
              </w:rPr>
              <w:t xml:space="preserve">单位地址：　　　　　　　　　　　</w:t>
            </w:r>
            <w:r/>
          </w:p>
        </w:tc>
      </w:tr>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sz w:val="24"/>
                <w:szCs w:val="32"/>
              </w:rPr>
            </w:pPr>
            <w:r>
              <w:rPr>
                <w:rFonts w:ascii="宋体" w:hAnsi="宋体" w:cs="宋体"/>
                <w:sz w:val="24"/>
                <w:szCs w:val="32"/>
              </w:rPr>
              <w:t xml:space="preserve">法定代表人（或</w:t>
            </w:r>
            <w:r>
              <w:rPr>
                <w:rFonts w:hint="eastAsia" w:ascii="宋体" w:hAnsi="宋体" w:cs="宋体"/>
                <w:sz w:val="24"/>
                <w:szCs w:val="32"/>
              </w:rPr>
              <w:t xml:space="preserve">授权代表</w:t>
            </w:r>
            <w:r>
              <w:rPr>
                <w:rFonts w:ascii="宋体" w:hAnsi="宋体" w:cs="宋体"/>
                <w:sz w:val="24"/>
                <w:szCs w:val="32"/>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sz w:val="24"/>
                <w:szCs w:val="32"/>
              </w:rPr>
            </w:pPr>
            <w:r>
              <w:rPr>
                <w:rFonts w:ascii="宋体" w:hAnsi="宋体" w:cs="宋体"/>
                <w:sz w:val="24"/>
                <w:szCs w:val="32"/>
              </w:rPr>
              <w:t xml:space="preserve">法定代表人（或</w:t>
            </w:r>
            <w:r>
              <w:rPr>
                <w:rFonts w:hint="eastAsia" w:ascii="宋体" w:hAnsi="宋体" w:cs="宋体"/>
                <w:sz w:val="24"/>
                <w:szCs w:val="32"/>
              </w:rPr>
              <w:t xml:space="preserve">授权代表</w:t>
            </w:r>
            <w:r>
              <w:rPr>
                <w:rFonts w:ascii="宋体" w:hAnsi="宋体" w:cs="宋体"/>
                <w:sz w:val="24"/>
                <w:szCs w:val="32"/>
              </w:rPr>
              <w:t xml:space="preserve">）</w:t>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hint="eastAsia" w:ascii="宋体" w:hAnsi="宋体" w:cs="宋体"/>
                <w:sz w:val="24"/>
                <w:szCs w:val="32"/>
              </w:rPr>
            </w:pPr>
            <w:r>
              <w:rPr>
                <w:rFonts w:ascii="宋体" w:hAnsi="宋体" w:cs="宋体"/>
                <w:sz w:val="24"/>
                <w:szCs w:val="32"/>
              </w:rPr>
              <w:t xml:space="preserve">（签</w:t>
            </w:r>
            <w:r>
              <w:rPr>
                <w:rFonts w:hint="eastAsia" w:ascii="宋体" w:hAnsi="宋体" w:cs="宋体"/>
                <w:sz w:val="24"/>
                <w:szCs w:val="32"/>
              </w:rPr>
              <w:t xml:space="preserve">名</w:t>
            </w:r>
            <w:r>
              <w:rPr>
                <w:rFonts w:ascii="宋体" w:hAnsi="宋体" w:cs="宋体"/>
                <w:sz w:val="24"/>
                <w:szCs w:val="32"/>
              </w:rPr>
              <w:t xml:space="preserve">）：</w:t>
            </w:r>
            <w:r/>
          </w:p>
          <w:p>
            <w:pPr>
              <w:jc w:val="right"/>
              <w:spacing w:line="360" w:lineRule="auto"/>
              <w:rPr>
                <w:rFonts w:hint="eastAsia" w:ascii="宋体" w:hAnsi="宋体" w:cs="宋体"/>
                <w:sz w:val="24"/>
                <w:szCs w:val="32"/>
              </w:rPr>
            </w:pPr>
            <w:r>
              <w:rPr>
                <w:rFonts w:ascii="宋体" w:hAnsi="宋体" w:cs="宋体"/>
                <w:sz w:val="24"/>
                <w:szCs w:val="32"/>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hint="eastAsia" w:ascii="宋体" w:hAnsi="宋体" w:cs="宋体"/>
                <w:sz w:val="24"/>
                <w:szCs w:val="32"/>
              </w:rPr>
            </w:pPr>
            <w:r>
              <w:rPr>
                <w:rFonts w:ascii="宋体" w:hAnsi="宋体" w:cs="宋体"/>
                <w:sz w:val="24"/>
                <w:szCs w:val="32"/>
              </w:rPr>
              <w:t xml:space="preserve">（签</w:t>
            </w:r>
            <w:r>
              <w:rPr>
                <w:rFonts w:hint="eastAsia" w:ascii="宋体" w:hAnsi="宋体" w:cs="宋体"/>
                <w:sz w:val="24"/>
                <w:szCs w:val="32"/>
              </w:rPr>
              <w:t xml:space="preserve">名</w:t>
            </w:r>
            <w:r>
              <w:rPr>
                <w:rFonts w:ascii="宋体" w:hAnsi="宋体" w:cs="宋体"/>
                <w:sz w:val="24"/>
                <w:szCs w:val="32"/>
              </w:rPr>
              <w:t xml:space="preserve">）：</w:t>
            </w:r>
            <w:r/>
          </w:p>
          <w:p>
            <w:pPr>
              <w:jc w:val="right"/>
              <w:spacing w:line="360" w:lineRule="auto"/>
              <w:rPr>
                <w:rFonts w:hint="eastAsia" w:ascii="宋体" w:hAnsi="宋体" w:cs="宋体"/>
                <w:sz w:val="24"/>
                <w:szCs w:val="32"/>
              </w:rPr>
            </w:pPr>
            <w:r>
              <w:rPr>
                <w:rFonts w:ascii="宋体" w:hAnsi="宋体" w:cs="宋体"/>
                <w:sz w:val="24"/>
                <w:szCs w:val="32"/>
              </w:rPr>
              <w:t xml:space="preserve">年　月　日</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sz w:val="24"/>
                <w:szCs w:val="32"/>
              </w:rPr>
            </w:pPr>
            <w:r>
              <w:rPr>
                <w:rFonts w:ascii="宋体" w:hAnsi="宋体" w:cs="宋体"/>
                <w:sz w:val="24"/>
                <w:szCs w:val="32"/>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sz w:val="24"/>
                <w:szCs w:val="32"/>
              </w:rPr>
            </w:pPr>
            <w:r>
              <w:rPr>
                <w:rFonts w:ascii="宋体" w:hAnsi="宋体" w:cs="宋体"/>
                <w:sz w:val="24"/>
                <w:szCs w:val="32"/>
              </w:rPr>
              <w:t xml:space="preserve">电话：　　　　　　</w:t>
            </w:r>
            <w:r/>
          </w:p>
        </w:tc>
      </w:tr>
      <w:tr>
        <w:trPr>
          <w:jc w:val="center"/>
          <w:trHeight w:val="390"/>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sz w:val="24"/>
                <w:szCs w:val="32"/>
              </w:rPr>
            </w:pPr>
            <w:r>
              <w:rPr>
                <w:rFonts w:ascii="宋体" w:hAnsi="宋体" w:cs="宋体"/>
                <w:sz w:val="24"/>
                <w:szCs w:val="32"/>
              </w:rPr>
              <w:t xml:space="preserve">邮政编码：21</w:t>
            </w:r>
            <w:r>
              <w:rPr>
                <w:rFonts w:hint="eastAsia" w:ascii="宋体" w:hAnsi="宋体" w:cs="宋体"/>
                <w:sz w:val="24"/>
                <w:szCs w:val="32"/>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sz w:val="24"/>
                <w:szCs w:val="32"/>
              </w:rPr>
            </w:pPr>
            <w:r>
              <w:rPr>
                <w:rFonts w:ascii="宋体" w:hAnsi="宋体" w:cs="宋体"/>
                <w:sz w:val="24"/>
                <w:szCs w:val="32"/>
              </w:rPr>
              <w:t xml:space="preserve">邮政编码：　　　　　　</w:t>
            </w:r>
            <w:r/>
          </w:p>
        </w:tc>
      </w:tr>
    </w:tbl>
    <w:p>
      <w:pPr>
        <w:ind w:firstLine="420"/>
        <w:spacing w:line="360" w:lineRule="auto"/>
        <w:rPr>
          <w:rFonts w:hint="eastAsia" w:ascii="宋体" w:hAnsi="宋体" w:cs="宋体"/>
          <w:bCs/>
          <w:szCs w:val="21"/>
        </w:rPr>
      </w:pPr>
      <w:r>
        <w:rPr>
          <w:rFonts w:hint="eastAsia" w:ascii="宋体" w:hAnsi="宋体" w:cs="宋体"/>
          <w:bCs/>
          <w:szCs w:val="21"/>
        </w:rPr>
        <w:t xml:space="preserve">（以下无正文）</w:t>
      </w:r>
      <w:r/>
    </w:p>
    <w:p>
      <w:pPr>
        <w:spacing w:line="360" w:lineRule="auto"/>
        <w:rPr>
          <w:rFonts w:hint="eastAsia" w:ascii="宋体" w:hAnsi="宋体" w:cs="宋体"/>
        </w:rPr>
      </w:pPr>
      <w:r>
        <w:rPr>
          <w:rFonts w:hint="eastAsia" w:ascii="宋体" w:hAnsi="宋体" w:cs="宋体"/>
          <w:sz w:val="24"/>
        </w:rPr>
        <w:t xml:space="preserve">        　    </w:t>
      </w:r>
      <w:r/>
    </w:p>
    <w:p>
      <w:pPr>
        <w:spacing w:line="360" w:lineRule="auto"/>
        <w:rPr>
          <w:rFonts w:hint="eastAsia" w:ascii="宋体" w:hAnsi="宋体" w:cs="宋体"/>
        </w:rPr>
      </w:pPr>
      <w:r>
        <w:rPr>
          <w:rFonts w:hint="eastAsia" w:ascii="宋体" w:hAnsi="宋体" w:cs="宋体"/>
        </w:rPr>
      </w:r>
      <w:r/>
    </w:p>
    <w:p>
      <w:pPr>
        <w:jc w:val="center"/>
        <w:rPr>
          <w:rFonts w:ascii="宋体" w:hAnsi="Courier New" w:cs="宋体"/>
          <w:sz w:val="48"/>
          <w:szCs w:val="21"/>
        </w:rPr>
      </w:pPr>
      <w:r>
        <w:rPr>
          <w:rFonts w:ascii="宋体" w:hAnsi="Courier New" w:cs="宋体"/>
          <w:sz w:val="48"/>
          <w:szCs w:val="21"/>
        </w:rPr>
      </w:r>
      <w:r/>
    </w:p>
    <w:p>
      <w:pPr>
        <w:ind w:firstLine="6000"/>
        <w:spacing w:line="480" w:lineRule="auto"/>
        <w:rPr>
          <w:rFonts w:ascii="宋体" w:hAnsi="Courier New" w:cs="宋体"/>
          <w:sz w:val="24"/>
          <w:szCs w:val="21"/>
        </w:rPr>
      </w:pPr>
      <w:r>
        <w:rPr>
          <w:rFonts w:ascii="宋体" w:hAnsi="Courier New" w:cs="宋体"/>
          <w:sz w:val="24"/>
          <w:szCs w:val="21"/>
        </w:rPr>
      </w:r>
      <w:r/>
    </w:p>
    <w:p>
      <w:pPr>
        <w:rPr>
          <w:rFonts w:ascii="宋体" w:hAnsi="Courier New" w:cs="Courier New"/>
          <w:szCs w:val="21"/>
        </w:rPr>
      </w:pPr>
      <w:r>
        <w:rPr>
          <w:rFonts w:ascii="宋体" w:hAnsi="Courier New" w:cs="Courier New"/>
          <w:szCs w:val="21"/>
        </w:rPr>
      </w:r>
      <w:r/>
    </w:p>
    <w:p>
      <w:pPr>
        <w:spacing w:before="240" w:after="60"/>
        <w:rPr>
          <w:rFonts w:hint="eastAsia" w:ascii="等线 Light" w:hAnsi="等线 Light"/>
          <w:b/>
          <w:bCs/>
          <w:sz w:val="32"/>
          <w:szCs w:val="32"/>
        </w:rPr>
      </w:pPr>
      <w:r>
        <w:rPr>
          <w:rFonts w:ascii="等线 Light" w:hAnsi="等线 Light"/>
          <w:b/>
          <w:bCs/>
          <w:sz w:val="32"/>
          <w:szCs w:val="32"/>
        </w:rPr>
        <w:br w:type="page" w:clear="all"/>
      </w:r>
      <w:r/>
    </w:p>
    <w:p>
      <w:pPr>
        <w:jc w:val="center"/>
        <w:spacing w:after="120"/>
        <w:rPr>
          <w:rFonts w:hint="eastAsia" w:ascii="宋体" w:hAnsi="宋体"/>
          <w:b/>
          <w:sz w:val="36"/>
          <w:szCs w:val="36"/>
        </w:rPr>
        <w:outlineLvl w:val="1"/>
      </w:pPr>
      <w:r>
        <w:rPr>
          <w:rFonts w:hint="eastAsia" w:ascii="宋体" w:hAnsi="宋体"/>
          <w:b/>
          <w:sz w:val="36"/>
          <w:szCs w:val="36"/>
        </w:rPr>
        <w:t xml:space="preserve">南京中医药大学进口设备采购合同</w:t>
      </w:r>
      <w:r/>
    </w:p>
    <w:p>
      <w:pPr>
        <w:spacing w:line="520" w:lineRule="exact"/>
        <w:rPr>
          <w:rFonts w:hint="eastAsia" w:ascii="宋体" w:hAnsi="宋体" w:cs="宋体"/>
          <w:b/>
          <w:sz w:val="24"/>
        </w:rPr>
      </w:pPr>
      <w:r>
        <w:rPr>
          <w:rFonts w:hint="eastAsia" w:ascii="宋体" w:hAnsi="宋体" w:cs="宋体"/>
          <w:b/>
          <w:sz w:val="24"/>
        </w:rPr>
        <w:t xml:space="preserve">甲方（需方）：南京中医药大学</w:t>
      </w:r>
      <w:r/>
    </w:p>
    <w:p>
      <w:pPr>
        <w:spacing w:line="520" w:lineRule="exact"/>
        <w:rPr>
          <w:rFonts w:hint="eastAsia" w:ascii="宋体" w:hAnsi="宋体" w:cs="宋体"/>
          <w:sz w:val="24"/>
        </w:rPr>
      </w:pPr>
      <w:r>
        <w:rPr>
          <w:rFonts w:hint="eastAsia" w:ascii="宋体" w:hAnsi="宋体" w:cs="宋体"/>
          <w:sz w:val="24"/>
        </w:rPr>
        <w:t xml:space="preserve">法定代表人：</w:t>
      </w:r>
      <w:r/>
    </w:p>
    <w:p>
      <w:pPr>
        <w:spacing w:line="520" w:lineRule="exact"/>
        <w:rPr>
          <w:rFonts w:hint="eastAsia" w:ascii="宋体" w:hAnsi="宋体" w:cs="宋体"/>
          <w:b/>
          <w:sz w:val="24"/>
        </w:rPr>
      </w:pPr>
      <w:r>
        <w:rPr>
          <w:rFonts w:hint="eastAsia" w:ascii="宋体" w:hAnsi="宋体" w:cs="宋体"/>
          <w:b/>
          <w:sz w:val="24"/>
        </w:rPr>
        <w:t xml:space="preserve">乙方（供方）：</w:t>
      </w:r>
      <w:r/>
    </w:p>
    <w:p>
      <w:pPr>
        <w:spacing w:line="520" w:lineRule="exact"/>
        <w:rPr>
          <w:rFonts w:hint="eastAsia" w:ascii="宋体" w:hAnsi="宋体" w:cs="宋体"/>
          <w:sz w:val="24"/>
        </w:rPr>
      </w:pPr>
      <w:r>
        <w:rPr>
          <w:rFonts w:hint="eastAsia" w:ascii="宋体" w:hAnsi="宋体" w:cs="宋体"/>
          <w:sz w:val="24"/>
        </w:rPr>
        <w:t xml:space="preserve">法定代表人：</w:t>
      </w:r>
      <w:r/>
    </w:p>
    <w:p>
      <w:pPr>
        <w:spacing w:line="520" w:lineRule="exact"/>
        <w:rPr>
          <w:rFonts w:hint="eastAsia" w:ascii="宋体" w:hAnsi="宋体" w:cs="宋体"/>
          <w:sz w:val="24"/>
        </w:rPr>
      </w:pPr>
      <w:r>
        <w:rPr>
          <w:rFonts w:hint="eastAsia" w:ascii="宋体" w:hAnsi="宋体" w:cs="宋体"/>
          <w:sz w:val="24"/>
        </w:rPr>
        <w:t xml:space="preserve">合同编号：</w:t>
      </w:r>
      <w:r/>
    </w:p>
    <w:p>
      <w:pPr>
        <w:ind w:firstLine="420"/>
        <w:spacing w:line="360" w:lineRule="auto"/>
        <w:rPr>
          <w:rFonts w:hint="eastAsia" w:ascii="宋体" w:hAnsi="宋体" w:cs="宋体"/>
          <w:szCs w:val="21"/>
        </w:rPr>
      </w:pPr>
      <w:r>
        <w:rPr>
          <w:rFonts w:hint="eastAsia" w:ascii="宋体" w:hAnsi="宋体" w:cs="宋体"/>
          <w:szCs w:val="21"/>
        </w:rPr>
        <w:t xml:space="preserve">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货物</w:t>
      </w:r>
      <w:r>
        <w:rPr>
          <w:rFonts w:hint="eastAsia" w:ascii="宋体" w:hAnsi="宋体" w:cs="宋体"/>
          <w:szCs w:val="21"/>
        </w:rPr>
        <w:t xml:space="preserve">的买卖签订本合同：</w:t>
      </w:r>
      <w:r/>
    </w:p>
    <w:p>
      <w:pPr>
        <w:spacing w:line="360" w:lineRule="auto"/>
        <w:rPr>
          <w:rFonts w:hint="eastAsia" w:ascii="宋体" w:hAnsi="宋体" w:cs="宋体"/>
          <w:b/>
          <w:bCs/>
          <w:szCs w:val="21"/>
        </w:rPr>
      </w:pPr>
      <w:r>
        <w:rPr>
          <w:rFonts w:hint="eastAsia" w:ascii="宋体" w:hAnsi="宋体" w:cs="宋体"/>
          <w:b/>
          <w:bCs/>
          <w:szCs w:val="21"/>
        </w:rPr>
        <w:t xml:space="preserve">1.甲方向乙方购买的货物清单和金额</w:t>
      </w:r>
      <w:r/>
    </w:p>
    <w:tbl>
      <w:tblPr>
        <w:tblStyle w:val="877"/>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05"/>
        <w:gridCol w:w="912"/>
        <w:gridCol w:w="492"/>
        <w:gridCol w:w="1332"/>
        <w:gridCol w:w="1025"/>
        <w:gridCol w:w="1528"/>
        <w:gridCol w:w="588"/>
        <w:gridCol w:w="398"/>
        <w:gridCol w:w="1312"/>
        <w:gridCol w:w="1463"/>
      </w:tblGrid>
      <w:tr>
        <w:trPr>
          <w:trHeight w:val="1335"/>
        </w:trPr>
        <w:tc>
          <w:tcPr>
            <w:shd w:val="clear" w:color="auto" w:fill="ffffff"/>
            <w:tcW w:w="705" w:type="dxa"/>
            <w:textDirection w:val="lrTb"/>
            <w:noWrap w:val="false"/>
          </w:tcPr>
          <w:p>
            <w:pPr>
              <w:jc w:val="center"/>
              <w:spacing w:line="360" w:lineRule="auto"/>
              <w:tabs>
                <w:tab w:val="left" w:pos="795" w:leader="none"/>
              </w:tabs>
              <w:rPr>
                <w:b/>
                <w:bCs/>
                <w:szCs w:val="21"/>
              </w:rPr>
            </w:pPr>
            <w:r>
              <w:rPr>
                <w:rFonts w:hint="eastAsia"/>
                <w:b/>
                <w:bCs/>
                <w:szCs w:val="21"/>
              </w:rPr>
              <w:t xml:space="preserve">序号</w:t>
            </w:r>
            <w:r/>
          </w:p>
        </w:tc>
        <w:tc>
          <w:tcPr>
            <w:shd w:val="clear" w:color="auto" w:fill="ffffff"/>
            <w:tcW w:w="912" w:type="dxa"/>
            <w:textDirection w:val="lrTb"/>
            <w:noWrap w:val="false"/>
          </w:tcPr>
          <w:p>
            <w:pPr>
              <w:jc w:val="center"/>
              <w:spacing w:line="360" w:lineRule="auto"/>
              <w:tabs>
                <w:tab w:val="left" w:pos="795" w:leader="none"/>
              </w:tabs>
              <w:rPr>
                <w:b/>
                <w:bCs/>
                <w:szCs w:val="21"/>
              </w:rPr>
            </w:pPr>
            <w:r>
              <w:rPr>
                <w:rFonts w:hint="eastAsia"/>
                <w:b/>
                <w:bCs/>
                <w:szCs w:val="21"/>
              </w:rPr>
              <w:t xml:space="preserve">产品</w:t>
            </w:r>
            <w:r/>
          </w:p>
          <w:p>
            <w:pPr>
              <w:jc w:val="center"/>
              <w:spacing w:line="360" w:lineRule="auto"/>
              <w:tabs>
                <w:tab w:val="left" w:pos="795" w:leader="none"/>
              </w:tabs>
              <w:rPr>
                <w:b/>
                <w:bCs/>
                <w:szCs w:val="21"/>
              </w:rPr>
            </w:pPr>
            <w:r>
              <w:rPr>
                <w:b/>
                <w:bCs/>
                <w:szCs w:val="21"/>
              </w:rPr>
              <w:t xml:space="preserve">名称</w:t>
            </w:r>
            <w:r/>
          </w:p>
        </w:tc>
        <w:tc>
          <w:tcPr>
            <w:shd w:val="clear" w:color="auto" w:fill="ffffff"/>
            <w:tcW w:w="492" w:type="dxa"/>
            <w:textDirection w:val="lrTb"/>
            <w:noWrap w:val="false"/>
          </w:tcPr>
          <w:p>
            <w:pPr>
              <w:jc w:val="center"/>
              <w:spacing w:line="360" w:lineRule="auto"/>
              <w:rPr>
                <w:b/>
                <w:bCs/>
                <w:szCs w:val="21"/>
              </w:rPr>
            </w:pPr>
            <w:r>
              <w:rPr>
                <w:b/>
                <w:bCs/>
                <w:szCs w:val="21"/>
              </w:rPr>
              <w:t xml:space="preserve">厂家</w:t>
            </w:r>
            <w:r/>
          </w:p>
        </w:tc>
        <w:tc>
          <w:tcPr>
            <w:shd w:val="clear" w:color="auto" w:fill="ffffff"/>
            <w:tcW w:w="1332" w:type="dxa"/>
            <w:textDirection w:val="lrTb"/>
            <w:noWrap w:val="false"/>
          </w:tcPr>
          <w:p>
            <w:pPr>
              <w:jc w:val="center"/>
              <w:spacing w:line="360" w:lineRule="auto"/>
              <w:rPr>
                <w:b/>
                <w:bCs/>
                <w:szCs w:val="21"/>
              </w:rPr>
            </w:pPr>
            <w:r>
              <w:rPr>
                <w:b/>
                <w:bCs/>
                <w:szCs w:val="21"/>
              </w:rPr>
              <w:t xml:space="preserve">型号</w:t>
            </w:r>
            <w:r/>
          </w:p>
        </w:tc>
        <w:tc>
          <w:tcPr>
            <w:shd w:val="clear" w:color="auto" w:fill="ffffff"/>
            <w:tcW w:w="1025" w:type="dxa"/>
            <w:textDirection w:val="lrTb"/>
            <w:noWrap w:val="false"/>
          </w:tcPr>
          <w:p>
            <w:pPr>
              <w:jc w:val="center"/>
              <w:spacing w:line="360" w:lineRule="auto"/>
              <w:rPr>
                <w:b/>
                <w:bCs/>
                <w:szCs w:val="21"/>
              </w:rPr>
            </w:pPr>
            <w:r>
              <w:rPr>
                <w:b/>
                <w:bCs/>
                <w:szCs w:val="21"/>
              </w:rPr>
              <w:t xml:space="preserve">规格或</w:t>
            </w:r>
            <w:r/>
          </w:p>
          <w:p>
            <w:pPr>
              <w:jc w:val="center"/>
              <w:spacing w:line="360" w:lineRule="auto"/>
              <w:rPr>
                <w:b/>
                <w:bCs/>
                <w:szCs w:val="21"/>
              </w:rPr>
            </w:pPr>
            <w:r>
              <w:rPr>
                <w:b/>
                <w:bCs/>
                <w:szCs w:val="21"/>
              </w:rPr>
              <w:t xml:space="preserve">描述</w:t>
            </w:r>
            <w:r/>
          </w:p>
        </w:tc>
        <w:tc>
          <w:tcPr>
            <w:shd w:val="clear" w:color="auto" w:fill="ffffff"/>
            <w:tcW w:w="1528" w:type="dxa"/>
            <w:textDirection w:val="lrTb"/>
            <w:noWrap w:val="false"/>
          </w:tcPr>
          <w:p>
            <w:pPr>
              <w:jc w:val="center"/>
              <w:spacing w:line="360" w:lineRule="auto"/>
              <w:rPr>
                <w:b/>
                <w:bCs/>
                <w:szCs w:val="21"/>
              </w:rPr>
            </w:pPr>
            <w:r>
              <w:rPr>
                <w:b/>
                <w:bCs/>
                <w:szCs w:val="21"/>
              </w:rPr>
              <w:t xml:space="preserve">质保期(自安装调试</w:t>
            </w:r>
            <w:r>
              <w:rPr>
                <w:rFonts w:hint="eastAsia"/>
                <w:b/>
                <w:bCs/>
                <w:szCs w:val="21"/>
              </w:rPr>
              <w:t xml:space="preserve">甲方最终</w:t>
            </w:r>
            <w:r>
              <w:rPr>
                <w:b/>
                <w:bCs/>
                <w:szCs w:val="21"/>
              </w:rPr>
              <w:t xml:space="preserve">验收合格日起)</w:t>
            </w:r>
            <w:r/>
          </w:p>
        </w:tc>
        <w:tc>
          <w:tcPr>
            <w:shd w:val="clear" w:color="auto" w:fill="ffffff"/>
            <w:tcW w:w="588" w:type="dxa"/>
            <w:textDirection w:val="lrTb"/>
            <w:noWrap w:val="false"/>
          </w:tcPr>
          <w:p>
            <w:pPr>
              <w:jc w:val="center"/>
              <w:spacing w:line="360" w:lineRule="auto"/>
              <w:rPr>
                <w:b/>
                <w:bCs/>
                <w:szCs w:val="21"/>
              </w:rPr>
            </w:pPr>
            <w:r>
              <w:rPr>
                <w:b/>
                <w:bCs/>
                <w:szCs w:val="21"/>
              </w:rPr>
              <w:t xml:space="preserve">数量</w:t>
            </w:r>
            <w:r/>
          </w:p>
        </w:tc>
        <w:tc>
          <w:tcPr>
            <w:shd w:val="clear" w:color="auto" w:fill="ffffff"/>
            <w:tcW w:w="398" w:type="dxa"/>
            <w:textDirection w:val="lrTb"/>
            <w:noWrap w:val="false"/>
          </w:tcPr>
          <w:p>
            <w:pPr>
              <w:jc w:val="center"/>
              <w:spacing w:line="360" w:lineRule="auto"/>
              <w:rPr>
                <w:b/>
                <w:bCs/>
                <w:szCs w:val="21"/>
              </w:rPr>
            </w:pPr>
            <w:r>
              <w:rPr>
                <w:rFonts w:hint="eastAsia"/>
                <w:b/>
                <w:bCs/>
                <w:szCs w:val="21"/>
              </w:rPr>
              <w:t xml:space="preserve">单位</w:t>
            </w:r>
            <w:r/>
          </w:p>
        </w:tc>
        <w:tc>
          <w:tcPr>
            <w:shd w:val="clear" w:color="auto" w:fill="ffffff"/>
            <w:tcW w:w="1312" w:type="dxa"/>
            <w:textDirection w:val="lrTb"/>
            <w:noWrap w:val="false"/>
          </w:tcPr>
          <w:p>
            <w:pPr>
              <w:jc w:val="center"/>
              <w:spacing w:line="360" w:lineRule="auto"/>
              <w:rPr>
                <w:b/>
                <w:bCs/>
                <w:szCs w:val="21"/>
              </w:rPr>
            </w:pPr>
            <w:r>
              <w:rPr>
                <w:b/>
                <w:bCs/>
                <w:szCs w:val="21"/>
              </w:rPr>
              <w:t xml:space="preserve">单价</w:t>
            </w:r>
            <w:r/>
          </w:p>
          <w:p>
            <w:pPr>
              <w:jc w:val="center"/>
              <w:spacing w:line="360" w:lineRule="auto"/>
              <w:rPr>
                <w:b/>
                <w:bCs/>
                <w:szCs w:val="21"/>
              </w:rPr>
            </w:pPr>
            <w:r>
              <w:rPr>
                <w:b/>
                <w:bCs/>
                <w:szCs w:val="21"/>
              </w:rPr>
              <w:t xml:space="preserve">(人民币:元)</w:t>
            </w:r>
            <w:r/>
          </w:p>
        </w:tc>
        <w:tc>
          <w:tcPr>
            <w:shd w:val="clear" w:color="auto" w:fill="ffffff"/>
            <w:tcW w:w="1463" w:type="dxa"/>
            <w:textDirection w:val="lrTb"/>
            <w:noWrap w:val="false"/>
          </w:tcPr>
          <w:p>
            <w:pPr>
              <w:jc w:val="center"/>
              <w:spacing w:line="360" w:lineRule="auto"/>
              <w:rPr>
                <w:b/>
                <w:bCs/>
                <w:szCs w:val="21"/>
              </w:rPr>
            </w:pPr>
            <w:r>
              <w:rPr>
                <w:b/>
                <w:bCs/>
                <w:szCs w:val="21"/>
              </w:rPr>
              <w:t xml:space="preserve">总价</w:t>
            </w:r>
            <w:r/>
          </w:p>
          <w:p>
            <w:pPr>
              <w:jc w:val="center"/>
              <w:spacing w:line="360" w:lineRule="auto"/>
              <w:rPr>
                <w:b/>
                <w:bCs/>
                <w:szCs w:val="21"/>
              </w:rPr>
            </w:pPr>
            <w:r>
              <w:rPr>
                <w:b/>
                <w:bCs/>
                <w:szCs w:val="21"/>
              </w:rPr>
              <w:t xml:space="preserve">(人民币:元)</w:t>
            </w:r>
            <w:r/>
          </w:p>
        </w:tc>
      </w:tr>
      <w:tr>
        <w:trPr>
          <w:trHeight w:val="452"/>
        </w:trPr>
        <w:tc>
          <w:tcPr>
            <w:shd w:val="clear" w:color="auto" w:fill="ffffff"/>
            <w:tcW w:w="705" w:type="dxa"/>
            <w:textDirection w:val="lrTb"/>
            <w:noWrap w:val="false"/>
          </w:tcPr>
          <w:p>
            <w:pPr>
              <w:spacing w:line="360" w:lineRule="auto"/>
              <w:rPr>
                <w:b/>
                <w:bCs/>
                <w:szCs w:val="21"/>
              </w:rPr>
            </w:pPr>
            <w:r>
              <w:rPr>
                <w:b/>
                <w:bCs/>
                <w:szCs w:val="21"/>
              </w:rPr>
            </w:r>
            <w:r/>
          </w:p>
        </w:tc>
        <w:tc>
          <w:tcPr>
            <w:shd w:val="clear" w:color="auto" w:fill="ffffff"/>
            <w:tcW w:w="912" w:type="dxa"/>
            <w:textDirection w:val="lrTb"/>
            <w:noWrap w:val="false"/>
          </w:tcPr>
          <w:p>
            <w:pPr>
              <w:spacing w:line="360" w:lineRule="auto"/>
              <w:rPr>
                <w:b/>
                <w:bCs/>
                <w:szCs w:val="21"/>
              </w:rPr>
            </w:pPr>
            <w:r>
              <w:rPr>
                <w:b/>
                <w:bCs/>
                <w:szCs w:val="21"/>
              </w:rPr>
            </w:r>
            <w:r/>
          </w:p>
        </w:tc>
        <w:tc>
          <w:tcPr>
            <w:shd w:val="clear" w:color="auto" w:fill="ffffff"/>
            <w:tcW w:w="492" w:type="dxa"/>
            <w:textDirection w:val="lrTb"/>
            <w:noWrap w:val="false"/>
          </w:tcPr>
          <w:p>
            <w:pPr>
              <w:jc w:val="center"/>
              <w:spacing w:line="360" w:lineRule="auto"/>
              <w:rPr>
                <w:b/>
                <w:bCs/>
                <w:szCs w:val="21"/>
              </w:rPr>
            </w:pPr>
            <w:r>
              <w:rPr>
                <w:b/>
                <w:bCs/>
                <w:szCs w:val="21"/>
              </w:rPr>
            </w:r>
            <w:r/>
          </w:p>
        </w:tc>
        <w:tc>
          <w:tcPr>
            <w:shd w:val="clear" w:color="auto" w:fill="ffffff"/>
            <w:tcW w:w="1332" w:type="dxa"/>
            <w:textDirection w:val="lrTb"/>
            <w:noWrap w:val="false"/>
          </w:tcPr>
          <w:p>
            <w:pPr>
              <w:jc w:val="center"/>
              <w:spacing w:line="360" w:lineRule="auto"/>
              <w:rPr>
                <w:b/>
                <w:bCs/>
                <w:szCs w:val="21"/>
              </w:rPr>
            </w:pPr>
            <w:r>
              <w:rPr>
                <w:b/>
                <w:bCs/>
                <w:szCs w:val="21"/>
              </w:rPr>
            </w:r>
            <w:r/>
          </w:p>
        </w:tc>
        <w:tc>
          <w:tcPr>
            <w:shd w:val="clear" w:color="auto" w:fill="ffffff"/>
            <w:tcW w:w="1025" w:type="dxa"/>
            <w:textDirection w:val="lrTb"/>
            <w:noWrap w:val="false"/>
          </w:tcPr>
          <w:p>
            <w:pPr>
              <w:jc w:val="left"/>
              <w:spacing w:line="360" w:lineRule="auto"/>
              <w:rPr>
                <w:b/>
                <w:bCs/>
                <w:szCs w:val="21"/>
              </w:rPr>
            </w:pPr>
            <w:r>
              <w:rPr>
                <w:b/>
                <w:bCs/>
                <w:szCs w:val="21"/>
              </w:rPr>
            </w:r>
            <w:r/>
          </w:p>
        </w:tc>
        <w:tc>
          <w:tcPr>
            <w:shd w:val="clear" w:color="auto" w:fill="ffffff"/>
            <w:tcW w:w="1528" w:type="dxa"/>
            <w:textDirection w:val="lrTb"/>
            <w:noWrap w:val="false"/>
          </w:tcPr>
          <w:p>
            <w:pPr>
              <w:jc w:val="center"/>
              <w:spacing w:line="360" w:lineRule="auto"/>
              <w:rPr>
                <w:b/>
                <w:bCs/>
                <w:szCs w:val="21"/>
              </w:rPr>
            </w:pPr>
            <w:r>
              <w:rPr>
                <w:b/>
                <w:bCs/>
                <w:szCs w:val="21"/>
              </w:rPr>
            </w:r>
            <w:r/>
          </w:p>
        </w:tc>
        <w:tc>
          <w:tcPr>
            <w:shd w:val="clear" w:color="auto" w:fill="ffffff"/>
            <w:tcW w:w="588" w:type="dxa"/>
            <w:textDirection w:val="lrTb"/>
            <w:noWrap w:val="false"/>
          </w:tcPr>
          <w:p>
            <w:pPr>
              <w:jc w:val="center"/>
              <w:spacing w:line="360" w:lineRule="auto"/>
              <w:rPr>
                <w:b/>
                <w:bCs/>
                <w:szCs w:val="21"/>
              </w:rPr>
            </w:pPr>
            <w:r>
              <w:rPr>
                <w:b/>
                <w:bCs/>
                <w:szCs w:val="21"/>
              </w:rPr>
            </w:r>
            <w:r/>
          </w:p>
        </w:tc>
        <w:tc>
          <w:tcPr>
            <w:shd w:val="clear" w:color="auto" w:fill="ffffff"/>
            <w:tcW w:w="398" w:type="dxa"/>
            <w:textDirection w:val="lrTb"/>
            <w:noWrap w:val="false"/>
          </w:tcPr>
          <w:p>
            <w:pPr>
              <w:jc w:val="center"/>
              <w:spacing w:line="360" w:lineRule="auto"/>
              <w:rPr>
                <w:b/>
                <w:bCs/>
                <w:szCs w:val="21"/>
              </w:rPr>
            </w:pPr>
            <w:r>
              <w:rPr>
                <w:b/>
                <w:bCs/>
                <w:szCs w:val="21"/>
              </w:rPr>
            </w:r>
            <w:r/>
          </w:p>
        </w:tc>
        <w:tc>
          <w:tcPr>
            <w:shd w:val="clear" w:color="auto" w:fill="ffffff"/>
            <w:tcW w:w="1312" w:type="dxa"/>
            <w:textDirection w:val="lrTb"/>
            <w:noWrap w:val="false"/>
          </w:tcPr>
          <w:p>
            <w:pPr>
              <w:jc w:val="center"/>
              <w:spacing w:line="360" w:lineRule="auto"/>
              <w:rPr>
                <w:b/>
                <w:bCs/>
                <w:szCs w:val="21"/>
              </w:rPr>
            </w:pPr>
            <w:r>
              <w:rPr>
                <w:b/>
                <w:bCs/>
                <w:szCs w:val="21"/>
              </w:rPr>
            </w:r>
            <w:r/>
          </w:p>
        </w:tc>
        <w:tc>
          <w:tcPr>
            <w:shd w:val="clear" w:color="auto" w:fill="ffffff"/>
            <w:tcW w:w="1463" w:type="dxa"/>
            <w:textDirection w:val="lrTb"/>
            <w:noWrap w:val="false"/>
          </w:tcPr>
          <w:p>
            <w:pPr>
              <w:jc w:val="center"/>
              <w:spacing w:line="360" w:lineRule="auto"/>
              <w:rPr>
                <w:b/>
                <w:bCs/>
                <w:szCs w:val="21"/>
              </w:rPr>
            </w:pPr>
            <w:r>
              <w:rPr>
                <w:b/>
                <w:bCs/>
                <w:szCs w:val="21"/>
              </w:rPr>
            </w:r>
            <w:r/>
          </w:p>
        </w:tc>
      </w:tr>
      <w:tr>
        <w:trPr>
          <w:trHeight w:val="452"/>
        </w:trPr>
        <w:tc>
          <w:tcPr>
            <w:gridSpan w:val="2"/>
            <w:shd w:val="clear" w:color="auto" w:fill="ffffff"/>
            <w:tcW w:w="1617" w:type="dxa"/>
            <w:textDirection w:val="lrTb"/>
            <w:noWrap w:val="false"/>
          </w:tcPr>
          <w:p>
            <w:pPr>
              <w:jc w:val="left"/>
              <w:spacing w:line="360" w:lineRule="auto"/>
              <w:rPr>
                <w:b/>
                <w:bCs/>
                <w:szCs w:val="21"/>
              </w:rPr>
            </w:pPr>
            <w:r>
              <w:rPr>
                <w:rFonts w:hint="eastAsia"/>
                <w:b/>
                <w:bCs/>
                <w:szCs w:val="21"/>
              </w:rPr>
              <w:t xml:space="preserve">合</w:t>
            </w:r>
            <w:r>
              <w:rPr>
                <w:b/>
                <w:bCs/>
                <w:szCs w:val="21"/>
              </w:rPr>
              <w:t xml:space="preserve">计</w:t>
            </w:r>
            <w:r/>
          </w:p>
        </w:tc>
        <w:tc>
          <w:tcPr>
            <w:gridSpan w:val="7"/>
            <w:shd w:val="clear" w:color="auto" w:fill="ffffff"/>
            <w:tcW w:w="6675" w:type="dxa"/>
            <w:textDirection w:val="lrTb"/>
            <w:noWrap w:val="false"/>
          </w:tcPr>
          <w:p>
            <w:pPr>
              <w:jc w:val="left"/>
              <w:spacing w:line="360" w:lineRule="auto"/>
              <w:rPr>
                <w:b/>
                <w:bCs/>
                <w:szCs w:val="21"/>
              </w:rPr>
            </w:pPr>
            <w:r>
              <w:rPr>
                <w:rFonts w:ascii="宋体" w:hAnsi="宋体" w:cs="宋体"/>
              </w:rPr>
              <w:t xml:space="preserve">人民币：大写</w:t>
            </w:r>
            <w:r>
              <w:rPr>
                <w:rFonts w:ascii="宋体" w:hAnsi="宋体" w:cs="宋体"/>
                <w:u w:val="single"/>
              </w:rPr>
              <w:t xml:space="preserve">　　　　　</w:t>
            </w:r>
            <w:r>
              <w:rPr>
                <w:rFonts w:ascii="宋体" w:hAnsi="宋体" w:cs="宋体"/>
              </w:rPr>
              <w:t xml:space="preserve"> （￥ </w:t>
            </w:r>
            <w:r>
              <w:rPr>
                <w:rFonts w:ascii="宋体" w:hAnsi="宋体" w:cs="宋体"/>
                <w:u w:val="single"/>
              </w:rPr>
              <w:t xml:space="preserve">　　　　　</w:t>
            </w:r>
            <w:r>
              <w:rPr>
                <w:rFonts w:ascii="宋体" w:hAnsi="宋体" w:cs="宋体"/>
              </w:rPr>
              <w:t xml:space="preserve"> 元）</w:t>
            </w:r>
            <w:r/>
          </w:p>
        </w:tc>
        <w:tc>
          <w:tcPr>
            <w:shd w:val="clear" w:color="auto" w:fill="ffffff"/>
            <w:tcW w:w="1463" w:type="dxa"/>
            <w:textDirection w:val="lrTb"/>
            <w:noWrap w:val="false"/>
          </w:tcPr>
          <w:p>
            <w:pPr>
              <w:jc w:val="left"/>
              <w:spacing w:line="360" w:lineRule="auto"/>
              <w:rPr>
                <w:rFonts w:hint="eastAsia" w:ascii="宋体" w:hAnsi="宋体" w:cs="宋体"/>
              </w:rPr>
            </w:pPr>
            <w:r>
              <w:rPr>
                <w:rFonts w:hint="eastAsia" w:ascii="宋体" w:hAnsi="宋体" w:cs="宋体"/>
              </w:rPr>
            </w:r>
            <w:r/>
          </w:p>
        </w:tc>
      </w:tr>
      <w:tr>
        <w:trPr>
          <w:trHeight w:val="3111"/>
        </w:trPr>
        <w:tc>
          <w:tcPr>
            <w:gridSpan w:val="2"/>
            <w:shd w:val="clear" w:color="auto" w:fill="ffffff"/>
            <w:tcW w:w="1617" w:type="dxa"/>
            <w:textDirection w:val="lrTb"/>
            <w:noWrap w:val="false"/>
          </w:tcPr>
          <w:p>
            <w:pPr>
              <w:jc w:val="left"/>
              <w:spacing w:line="360" w:lineRule="auto"/>
              <w:rPr>
                <w:b/>
                <w:bCs/>
                <w:szCs w:val="21"/>
              </w:rPr>
            </w:pPr>
            <w:r>
              <w:rPr>
                <w:b/>
                <w:bCs/>
                <w:szCs w:val="21"/>
              </w:rPr>
              <w:t xml:space="preserve">备注</w:t>
            </w:r>
            <w:r/>
          </w:p>
        </w:tc>
        <w:tc>
          <w:tcPr>
            <w:gridSpan w:val="8"/>
            <w:shd w:val="clear" w:color="auto" w:fill="ffffff"/>
            <w:tcW w:w="8138" w:type="dxa"/>
            <w:textDirection w:val="lrTb"/>
            <w:noWrap w:val="false"/>
          </w:tcPr>
          <w:p>
            <w:pPr>
              <w:jc w:val="left"/>
              <w:spacing w:line="360" w:lineRule="auto"/>
              <w:rPr>
                <w:szCs w:val="21"/>
              </w:rPr>
            </w:pPr>
            <w:r>
              <w:rPr>
                <w:szCs w:val="21"/>
              </w:rPr>
              <w:t xml:space="preserve">本合同总价款是人民币全包价，为全部设备、材料、随设备提供的备品配件及专用工具的价格、全部税金（含增值税等）、包装费、运杂费（运抵甲方指</w:t>
            </w:r>
            <w:r>
              <w:rPr>
                <w:rFonts w:hint="eastAsia"/>
                <w:szCs w:val="21"/>
              </w:rPr>
              <w:t xml:space="preserve">定</w:t>
            </w:r>
            <w:r>
              <w:rPr>
                <w:szCs w:val="21"/>
              </w:rPr>
              <w:t xml:space="preserve">交货地点）、保险费、安装费、调试费、甲方操作维护人员培训费、验收</w:t>
            </w:r>
            <w:r>
              <w:rPr>
                <w:rFonts w:hint="eastAsia"/>
                <w:szCs w:val="21"/>
              </w:rPr>
              <w:t xml:space="preserve">检测费、鉴</w:t>
            </w:r>
            <w:r>
              <w:rPr>
                <w:szCs w:val="21"/>
              </w:rPr>
              <w:t xml:space="preserve">定费、外贸代理公司代理服务费</w:t>
            </w:r>
            <w:r>
              <w:rPr>
                <w:rFonts w:hint="eastAsia"/>
                <w:szCs w:val="21"/>
              </w:rPr>
              <w:t xml:space="preserve">及</w:t>
            </w:r>
            <w:r>
              <w:rPr>
                <w:szCs w:val="21"/>
              </w:rPr>
              <w:t xml:space="preserve">手续费、甲方最终验收合格之前乙方认为需要的其他费用及质保期内备品备件发生的所有含税费用。即除甲方应付合同</w:t>
            </w:r>
            <w:r>
              <w:rPr>
                <w:rFonts w:hint="eastAsia"/>
                <w:szCs w:val="21"/>
              </w:rPr>
              <w:t xml:space="preserve">款项</w:t>
            </w:r>
            <w:r>
              <w:rPr>
                <w:szCs w:val="21"/>
              </w:rPr>
              <w:t xml:space="preserve">外，甲方取得本合同项下全部货物无需再支付任何费用，所有设备安装实施完毕后就能正常使用。本合同总价款还包含乙方应当提供的伴随服务/售后服务费用。</w:t>
            </w:r>
            <w:r/>
          </w:p>
        </w:tc>
      </w:tr>
    </w:tbl>
    <w:p>
      <w:pPr>
        <w:spacing w:line="360" w:lineRule="auto"/>
        <w:rPr>
          <w:rFonts w:hint="eastAsia" w:ascii="宋体" w:hAnsi="宋体" w:cs="宋体"/>
          <w:szCs w:val="21"/>
          <w:highlight w:val="yellow"/>
        </w:rPr>
      </w:pPr>
      <w:r>
        <w:rPr>
          <w:rFonts w:hint="eastAsia" w:ascii="宋体" w:hAnsi="宋体" w:cs="宋体"/>
          <w:szCs w:val="21"/>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r/>
    </w:p>
    <w:p>
      <w:pPr>
        <w:ind w:firstLine="420"/>
        <w:spacing w:line="360" w:lineRule="auto"/>
        <w:rPr>
          <w:rFonts w:hint="eastAsia" w:ascii="宋体" w:hAnsi="宋体" w:cs="宋体"/>
          <w:szCs w:val="21"/>
        </w:rPr>
      </w:pPr>
      <w:r>
        <w:rPr>
          <w:rFonts w:hint="eastAsia" w:ascii="宋体" w:hAnsi="宋体" w:cs="宋体"/>
          <w:szCs w:val="21"/>
        </w:rPr>
        <w:t xml:space="preserve">1.1乙方对其所提供货物应当拥有完整物权，货物中的软件产品或货物中所载有</w:t>
      </w:r>
      <w:r>
        <w:rPr>
          <w:rFonts w:hint="eastAsia" w:ascii="宋体" w:hAnsi="宋体" w:cs="宋体"/>
          <w:szCs w:val="21"/>
        </w:rPr>
        <w:t xml:space="preserve">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ind w:firstLine="420"/>
        <w:spacing w:line="360" w:lineRule="auto"/>
        <w:rPr>
          <w:rFonts w:hint="eastAsia" w:ascii="宋体" w:hAnsi="宋体" w:cs="宋体"/>
          <w:szCs w:val="21"/>
        </w:rPr>
      </w:pPr>
      <w:r>
        <w:rPr>
          <w:rFonts w:hint="eastAsia" w:ascii="宋体" w:hAnsi="宋体" w:cs="宋体"/>
          <w:szCs w:val="21"/>
        </w:rPr>
        <w:t xml:space="preserve">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szCs w:val="21"/>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firstLine="420"/>
        <w:spacing w:line="360" w:lineRule="auto"/>
        <w:rPr>
          <w:rFonts w:hint="eastAsia" w:ascii="宋体" w:hAnsi="宋体" w:cs="宋体"/>
          <w:szCs w:val="21"/>
        </w:rPr>
      </w:pPr>
      <w:r>
        <w:rPr>
          <w:rFonts w:hint="eastAsia" w:ascii="宋体" w:hAnsi="宋体" w:cs="宋体"/>
          <w:szCs w:val="21"/>
        </w:rPr>
        <w:t xml:space="preserve">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楷体_GB2312" w:eastAsia="楷体_GB2312" w:cs="宋体"/>
          <w:szCs w:val="20"/>
          <w:u w:val="single"/>
        </w:rPr>
        <w:t xml:space="preserve">   </w:t>
      </w:r>
      <w:r>
        <w:rPr>
          <w:rFonts w:hint="eastAsia" w:ascii="宋体" w:hAnsi="宋体" w:cs="宋体"/>
          <w:szCs w:val="20"/>
          <w:u w:val="single"/>
        </w:rPr>
        <w:t xml:space="preserve">%</w:t>
      </w:r>
      <w:r>
        <w:rPr>
          <w:rFonts w:hint="eastAsia" w:ascii="宋体" w:hAnsi="宋体" w:cs="宋体"/>
          <w:szCs w:val="21"/>
        </w:rPr>
        <w:t xml:space="preserve">的违约金。</w:t>
      </w:r>
      <w:r/>
    </w:p>
    <w:p>
      <w:pPr>
        <w:ind w:firstLine="420"/>
        <w:spacing w:line="360" w:lineRule="auto"/>
        <w:rPr>
          <w:rFonts w:hint="eastAsia" w:ascii="宋体" w:hAnsi="宋体" w:cs="宋体"/>
          <w:szCs w:val="21"/>
        </w:rPr>
      </w:pPr>
      <w:r>
        <w:rPr>
          <w:rFonts w:hint="eastAsia" w:ascii="宋体" w:hAnsi="宋体" w:cs="宋体"/>
          <w:szCs w:val="21"/>
        </w:rPr>
        <w:t xml:space="preserve">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firstLine="420"/>
        <w:spacing w:line="360" w:lineRule="auto"/>
        <w:rPr>
          <w:rFonts w:hint="eastAsia" w:ascii="宋体" w:hAnsi="宋体" w:cs="宋体"/>
          <w:szCs w:val="21"/>
        </w:rPr>
      </w:pPr>
      <w:r>
        <w:rPr>
          <w:rFonts w:hint="eastAsia" w:ascii="宋体" w:hAnsi="宋体" w:cs="宋体"/>
          <w:szCs w:val="21"/>
        </w:rPr>
        <w:t xml:space="preserve">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楷体_GB2312" w:eastAsia="楷体_GB2312" w:cs="宋体"/>
          <w:szCs w:val="20"/>
          <w:u w:val="single"/>
        </w:rPr>
        <w:t xml:space="preserve">   </w:t>
      </w:r>
      <w:r>
        <w:rPr>
          <w:rFonts w:hint="eastAsia" w:ascii="宋体" w:hAnsi="宋体" w:cs="宋体"/>
          <w:szCs w:val="20"/>
          <w:u w:val="single"/>
        </w:rPr>
        <w:t xml:space="preserve">%</w:t>
      </w:r>
      <w:r>
        <w:rPr>
          <w:rFonts w:hint="eastAsia" w:ascii="宋体" w:hAnsi="宋体" w:cs="宋体"/>
          <w:szCs w:val="21"/>
        </w:rPr>
        <w:t xml:space="preserve">的违约金。若乙方支付的违约金不足以弥补甲方损失的，乙方还须继续承担损失赔偿责任。  </w:t>
      </w:r>
      <w:r/>
    </w:p>
    <w:p>
      <w:pPr>
        <w:ind w:firstLine="422"/>
        <w:spacing w:line="360" w:lineRule="auto"/>
        <w:rPr>
          <w:rFonts w:hint="eastAsia" w:ascii="宋体" w:hAnsi="宋体" w:cs="宋体"/>
          <w:b/>
          <w:szCs w:val="21"/>
        </w:rPr>
      </w:pPr>
      <w:r>
        <w:rPr>
          <w:rFonts w:hint="eastAsia" w:ascii="宋体" w:hAnsi="宋体" w:cs="宋体"/>
          <w:b/>
          <w:szCs w:val="21"/>
        </w:rPr>
        <w:t xml:space="preserve">本合同约定条款中乙方的责任承担期限均不受甲方已收货且出具验收确认书的限制。</w:t>
      </w:r>
      <w:r/>
    </w:p>
    <w:p>
      <w:pPr>
        <w:ind w:firstLine="420"/>
        <w:spacing w:line="360" w:lineRule="auto"/>
        <w:rPr>
          <w:rFonts w:hint="eastAsia" w:ascii="宋体" w:hAnsi="宋体" w:cs="宋体"/>
          <w:bCs/>
          <w:szCs w:val="21"/>
        </w:rPr>
      </w:pPr>
      <w:r>
        <w:rPr>
          <w:rFonts w:hint="eastAsia" w:ascii="宋体" w:hAnsi="宋体" w:cs="宋体"/>
          <w:bCs/>
          <w:szCs w:val="21"/>
        </w:rPr>
        <w:t xml:space="preserve">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r/>
    </w:p>
    <w:p>
      <w:pPr>
        <w:ind w:firstLine="422"/>
        <w:spacing w:line="360" w:lineRule="auto"/>
        <w:rPr>
          <w:rFonts w:hint="eastAsia" w:ascii="宋体" w:hAnsi="宋体" w:cs="宋体"/>
          <w:b/>
          <w:szCs w:val="21"/>
        </w:rPr>
      </w:pPr>
      <w:r>
        <w:rPr>
          <w:rFonts w:hint="eastAsia" w:ascii="宋体" w:hAnsi="宋体" w:cs="宋体"/>
          <w:b/>
          <w:szCs w:val="21"/>
        </w:rPr>
        <w:t xml:space="preserve">若本合同项下的进口设备按国家政策不能免税，则乙方应及时告知甲方并由</w:t>
      </w:r>
      <w:r>
        <w:rPr>
          <w:rFonts w:ascii="Wingdings 2" w:hAnsi="Wingdings 2" w:eastAsia="Wingdings 2" w:cs="Wingdings 2"/>
          <w:b/>
          <w:szCs w:val="21"/>
        </w:rPr>
        <w:t xml:space="preserve">£</w:t>
      </w:r>
      <w:r>
        <w:rPr>
          <w:rFonts w:hint="eastAsia" w:ascii="宋体" w:hAnsi="宋体" w:cs="宋体"/>
          <w:b/>
          <w:szCs w:val="21"/>
        </w:rPr>
        <w:t xml:space="preserve">甲方</w:t>
      </w:r>
      <w:r>
        <w:rPr>
          <w:rFonts w:ascii="Wingdings 2" w:hAnsi="Wingdings 2" w:eastAsia="Wingdings 2" w:cs="Wingdings 2"/>
          <w:b/>
          <w:szCs w:val="21"/>
        </w:rPr>
        <w:t xml:space="preserve">£</w:t>
      </w:r>
      <w:r>
        <w:rPr>
          <w:rFonts w:hint="eastAsia" w:ascii="宋体" w:hAnsi="宋体" w:cs="宋体"/>
          <w:b/>
          <w:szCs w:val="21"/>
        </w:rPr>
        <w:t xml:space="preserve">乙方承担</w:t>
      </w:r>
      <w:r>
        <w:rPr>
          <w:rFonts w:hint="eastAsia" w:ascii="宋体" w:hAnsi="宋体" w:eastAsia="楷体_GB2312" w:cs="宋体"/>
          <w:sz w:val="32"/>
          <w:szCs w:val="21"/>
          <w:u w:val="single"/>
        </w:rPr>
        <w:t xml:space="preserve">     </w:t>
      </w:r>
      <w:r>
        <w:rPr>
          <w:rFonts w:hint="eastAsia" w:ascii="宋体" w:hAnsi="宋体" w:cs="宋体"/>
          <w:b/>
          <w:szCs w:val="21"/>
        </w:rPr>
        <w:t xml:space="preserve">税费。</w:t>
      </w:r>
      <w:r/>
    </w:p>
    <w:p>
      <w:pPr>
        <w:ind w:firstLine="420"/>
        <w:spacing w:line="360" w:lineRule="auto"/>
        <w:rPr>
          <w:rFonts w:hint="eastAsia" w:ascii="宋体" w:hAnsi="宋体" w:cs="宋体"/>
          <w:b/>
          <w:szCs w:val="21"/>
        </w:rPr>
      </w:pPr>
      <w:r>
        <w:rPr>
          <w:rFonts w:ascii="Wingdings 2" w:hAnsi="Wingdings 2" w:eastAsia="Wingdings 2" w:cs="Wingdings 2"/>
          <w:szCs w:val="21"/>
        </w:rPr>
        <w:t xml:space="preserve">£</w:t>
      </w: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spacing w:line="360" w:lineRule="auto"/>
        <w:rPr>
          <w:rFonts w:hint="eastAsia" w:ascii="宋体" w:hAnsi="宋体" w:cs="宋体"/>
          <w:b/>
          <w:bCs/>
          <w:sz w:val="28"/>
          <w:szCs w:val="28"/>
        </w:rPr>
      </w:pPr>
      <w:r>
        <w:rPr>
          <w:rFonts w:hint="eastAsia" w:ascii="宋体" w:hAnsi="宋体" w:cs="宋体"/>
          <w:b/>
          <w:bCs/>
          <w:sz w:val="28"/>
          <w:szCs w:val="28"/>
        </w:rPr>
        <w:t xml:space="preserve">2.交货时间</w:t>
      </w:r>
      <w:r/>
    </w:p>
    <w:p>
      <w:pPr>
        <w:ind w:firstLine="420"/>
        <w:spacing w:line="360" w:lineRule="auto"/>
        <w:rPr>
          <w:rFonts w:hint="eastAsia" w:ascii="宋体" w:hAnsi="宋体" w:cs="宋体"/>
          <w:szCs w:val="21"/>
        </w:rPr>
      </w:pPr>
      <w:r>
        <w:rPr>
          <w:rFonts w:hint="eastAsia" w:ascii="宋体" w:hAnsi="宋体" w:cs="宋体"/>
          <w:szCs w:val="21"/>
        </w:rPr>
        <w:t xml:space="preserve">乙方应在本合同签订生效后</w:t>
      </w:r>
      <w:r>
        <w:rPr>
          <w:rFonts w:hint="eastAsia" w:ascii="宋体" w:hAnsi="宋体" w:cs="宋体"/>
          <w:szCs w:val="21"/>
          <w:u w:val="single"/>
        </w:rPr>
        <w:t xml:space="preserve"> 【</w:t>
      </w:r>
      <w:r>
        <w:rPr>
          <w:rFonts w:hint="eastAsia" w:ascii="宋体" w:hAnsi="宋体" w:cs="宋体"/>
          <w:szCs w:val="21"/>
          <w:u w:val="single"/>
          <w:lang w:val="en-US" w:eastAsia="zh-CN"/>
        </w:rPr>
        <w:t xml:space="preserve">90</w:t>
      </w:r>
      <w:r>
        <w:rPr>
          <w:rFonts w:hint="eastAsia" w:ascii="宋体" w:hAnsi="宋体" w:cs="宋体"/>
          <w:szCs w:val="21"/>
          <w:u w:val="single"/>
        </w:rPr>
        <w:t xml:space="preserve">】 </w:t>
      </w:r>
      <w:r>
        <w:rPr>
          <w:rFonts w:hint="eastAsia" w:ascii="宋体" w:hAnsi="宋体" w:cs="宋体"/>
          <w:szCs w:val="21"/>
        </w:rPr>
        <w:t xml:space="preserve">个</w:t>
      </w:r>
      <w:r>
        <w:rPr>
          <w:rFonts w:hint="eastAsia" w:ascii="宋体" w:hAnsi="宋体" w:cs="宋体"/>
          <w:szCs w:val="21"/>
          <w:lang w:val="en-US" w:eastAsia="zh-CN"/>
        </w:rPr>
        <w:t xml:space="preserve">日历</w:t>
      </w:r>
      <w:r>
        <w:rPr>
          <w:rFonts w:hint="eastAsia" w:ascii="宋体" w:hAnsi="宋体" w:cs="宋体"/>
          <w:szCs w:val="21"/>
        </w:rPr>
        <w:t xml:space="preserve">日内向甲方交付本合同条款1中所列的全部货物。</w:t>
      </w:r>
      <w:r/>
    </w:p>
    <w:p>
      <w:pPr>
        <w:ind w:firstLine="420"/>
        <w:spacing w:line="360" w:lineRule="auto"/>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spacing w:line="360" w:lineRule="auto"/>
        <w:rPr>
          <w:rFonts w:hint="eastAsia" w:ascii="宋体" w:hAnsi="宋体" w:cs="宋体"/>
          <w:b/>
          <w:bCs/>
          <w:sz w:val="28"/>
          <w:szCs w:val="28"/>
        </w:rPr>
      </w:pPr>
      <w:r>
        <w:rPr>
          <w:rFonts w:hint="eastAsia" w:ascii="宋体" w:hAnsi="宋体" w:cs="宋体"/>
          <w:b/>
          <w:bCs/>
          <w:sz w:val="28"/>
          <w:szCs w:val="28"/>
        </w:rPr>
        <w:t xml:space="preserve">3.交货地点</w:t>
      </w:r>
      <w:r/>
    </w:p>
    <w:p>
      <w:pPr>
        <w:ind w:firstLine="420"/>
        <w:spacing w:line="360" w:lineRule="auto"/>
        <w:rPr>
          <w:rFonts w:hint="default" w:ascii="宋体" w:hAnsi="宋体" w:eastAsia="宋体" w:cs="宋体"/>
          <w:szCs w:val="21"/>
          <w:u w:val="single"/>
          <w:lang w:val="en-US" w:eastAsia="zh-CN"/>
        </w:rPr>
      </w:pPr>
      <w:r>
        <w:rPr>
          <w:rFonts w:hint="eastAsia" w:ascii="宋体" w:hAnsi="宋体" w:cs="宋体"/>
          <w:szCs w:val="21"/>
          <w:u w:val="single"/>
        </w:rPr>
        <w:t xml:space="preserve">   南京中医药大学动物中心新大楼二楼功能实验室</w:t>
      </w:r>
      <w:r>
        <w:rPr>
          <w:rFonts w:hint="eastAsia" w:ascii="宋体" w:hAnsi="宋体" w:cs="宋体"/>
          <w:szCs w:val="21"/>
          <w:u w:val="single"/>
          <w:lang w:val="en-US" w:eastAsia="zh-CN"/>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4.其它费用</w:t>
      </w:r>
      <w:r/>
    </w:p>
    <w:p>
      <w:pPr>
        <w:ind w:firstLine="420"/>
        <w:spacing w:line="360" w:lineRule="auto"/>
        <w:rPr>
          <w:rFonts w:hint="eastAsia" w:ascii="宋体" w:hAnsi="宋体" w:cs="宋体"/>
          <w:bCs/>
          <w:szCs w:val="21"/>
        </w:rPr>
      </w:pPr>
      <w:r>
        <w:rPr>
          <w:rFonts w:hint="eastAsia" w:ascii="宋体" w:hAnsi="宋体" w:cs="宋体"/>
          <w:bCs/>
          <w:szCs w:val="21"/>
        </w:rPr>
        <w:t xml:space="preserve">4.1货物的运输、拆卸、安装过程中以及免费质保期内所有货物维修产生的全部费用均由乙方承担。</w:t>
      </w:r>
      <w:r/>
    </w:p>
    <w:p>
      <w:pPr>
        <w:spacing w:line="360" w:lineRule="auto"/>
        <w:rPr>
          <w:rFonts w:hint="eastAsia" w:ascii="宋体" w:hAnsi="宋体"/>
          <w:b/>
          <w:bCs/>
          <w:color w:val="0000ff"/>
          <w:sz w:val="24"/>
        </w:rPr>
      </w:pPr>
      <w:r>
        <w:rPr>
          <w:rFonts w:hint="eastAsia" w:ascii="宋体" w:hAnsi="宋体" w:cs="宋体"/>
          <w:b/>
          <w:bCs/>
          <w:sz w:val="28"/>
          <w:szCs w:val="28"/>
        </w:rPr>
        <w:t xml:space="preserve">5.保证金</w:t>
      </w:r>
      <w:r>
        <w:rPr>
          <w:rFonts w:hint="eastAsia" w:ascii="宋体" w:hAnsi="宋体"/>
          <w:b/>
          <w:bCs/>
          <w:color w:val="0000ff"/>
          <w:sz w:val="24"/>
        </w:rPr>
        <w:t xml:space="preserve">（根据招标文件要求选用）</w:t>
      </w:r>
      <w:r/>
    </w:p>
    <w:p>
      <w:pPr>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w:t>
      </w:r>
      <w:r>
        <w:rPr>
          <w:rFonts w:hint="eastAsia" w:ascii="宋体" w:hAnsi="宋体" w:cs="宋体"/>
          <w:szCs w:val="21"/>
          <w:lang w:eastAsia="zh-CN"/>
        </w:rPr>
        <w:t xml:space="preserve">账号</w:t>
      </w:r>
      <w:r>
        <w:rPr>
          <w:rFonts w:hint="eastAsia" w:ascii="宋体" w:hAnsi="宋体" w:cs="宋体"/>
          <w:szCs w:val="21"/>
        </w:rPr>
        <w:t xml:space="preserve">及户名如下：</w:t>
      </w:r>
      <w:r/>
    </w:p>
    <w:p>
      <w:pPr>
        <w:ind w:firstLine="420"/>
        <w:spacing w:line="360" w:lineRule="auto"/>
        <w:rPr>
          <w:rFonts w:hint="eastAsia" w:ascii="宋体" w:hAnsi="宋体" w:cs="宋体"/>
          <w:szCs w:val="21"/>
        </w:rPr>
      </w:pPr>
      <w:r>
        <w:rPr>
          <w:rFonts w:hint="eastAsia" w:ascii="宋体" w:hAnsi="宋体" w:cs="宋体"/>
          <w:szCs w:val="21"/>
        </w:rPr>
        <w:t xml:space="preserve">账号为：4301010109001027264</w:t>
      </w:r>
      <w:r/>
    </w:p>
    <w:p>
      <w:pPr>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p>
    <w:p>
      <w:pPr>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p>
    <w:p>
      <w:pPr>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rPr>
      </w:pPr>
      <w:r>
        <w:rPr>
          <w:rFonts w:ascii="Wingdings 2" w:hAnsi="Wingdings 2" w:eastAsia="Wingdings 2" w:cs="Wingdings 2"/>
          <w:szCs w:val="21"/>
          <w:lang w:bidi="ar"/>
        </w:rPr>
        <w:t xml:space="preserve">£</w:t>
      </w: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w:t>
      </w:r>
      <w:r/>
    </w:p>
    <w:p>
      <w:pPr>
        <w:ind w:firstLine="420"/>
        <w:jc w:val="left"/>
        <w:spacing w:line="360" w:lineRule="auto"/>
      </w:pPr>
      <w:r>
        <w:rPr>
          <w:rFonts w:hint="eastAsia" w:ascii="宋体" w:hAnsi="宋体" w:cs="宋体"/>
          <w:szCs w:val="21"/>
        </w:rPr>
        <w:t xml:space="preserve">自甲方最终书面确认验收合格之日起算【12 】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r/>
    </w:p>
    <w:p>
      <w:pPr>
        <w:spacing w:line="360" w:lineRule="auto"/>
        <w:rPr>
          <w:rFonts w:hint="eastAsia" w:ascii="宋体" w:hAnsi="宋体" w:cs="宋体"/>
          <w:b/>
          <w:bCs/>
          <w:sz w:val="28"/>
          <w:szCs w:val="28"/>
        </w:rPr>
      </w:pPr>
      <w:r>
        <w:rPr>
          <w:rFonts w:hint="eastAsia" w:ascii="宋体" w:hAnsi="宋体" w:cs="宋体"/>
          <w:b/>
          <w:bCs/>
          <w:sz w:val="28"/>
          <w:szCs w:val="28"/>
        </w:rPr>
        <w:t xml:space="preserve">6.调试和验收</w:t>
      </w:r>
      <w:r/>
    </w:p>
    <w:p>
      <w:pPr>
        <w:ind w:firstLine="420"/>
        <w:spacing w:line="360" w:lineRule="auto"/>
        <w:rPr>
          <w:rFonts w:hint="eastAsia" w:ascii="宋体" w:hAnsi="宋体" w:cs="宋体"/>
          <w:szCs w:val="21"/>
        </w:rPr>
      </w:pPr>
      <w:r>
        <w:rPr>
          <w:rFonts w:hint="eastAsia" w:ascii="宋体" w:hAnsi="宋体" w:cs="宋体"/>
          <w:szCs w:val="21"/>
        </w:rPr>
        <w:t xml:space="preserve">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r/>
    </w:p>
    <w:p>
      <w:pPr>
        <w:ind w:firstLine="420"/>
        <w:spacing w:line="360" w:lineRule="auto"/>
        <w:rPr>
          <w:rFonts w:hint="eastAsia" w:ascii="宋体" w:hAnsi="宋体" w:cs="宋体"/>
          <w:szCs w:val="21"/>
        </w:rPr>
      </w:pPr>
      <w:r>
        <w:rPr>
          <w:rFonts w:hint="eastAsia" w:ascii="宋体" w:hAnsi="宋体" w:cs="宋体"/>
          <w:szCs w:val="21"/>
        </w:rPr>
        <w:t xml:space="preserve">6.2甲方对乙方提交的货物依据招</w:t>
      </w:r>
      <w:r>
        <w:rPr>
          <w:rFonts w:hint="eastAsia" w:ascii="宋体" w:hAnsi="宋体" w:cs="宋体"/>
          <w:szCs w:val="21"/>
        </w:rPr>
        <w:t xml:space="preserve">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r/>
    </w:p>
    <w:p>
      <w:pPr>
        <w:ind w:firstLine="420"/>
        <w:spacing w:line="360" w:lineRule="auto"/>
        <w:rPr>
          <w:rFonts w:hint="eastAsia" w:ascii="宋体" w:hAnsi="宋体" w:cs="宋体"/>
          <w:szCs w:val="21"/>
        </w:rPr>
      </w:pPr>
      <w:r>
        <w:rPr>
          <w:rFonts w:hint="eastAsia" w:ascii="宋体" w:hAnsi="宋体" w:cs="宋体"/>
          <w:szCs w:val="21"/>
        </w:rPr>
        <w:t xml:space="preserve">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rPr>
      </w:pPr>
      <w:r>
        <w:rPr>
          <w:rFonts w:hint="eastAsia" w:ascii="宋体" w:hAnsi="宋体" w:cs="宋体"/>
          <w:szCs w:val="21"/>
        </w:rPr>
        <w:t xml:space="preserve">6.4甲方人员在清点核查、初步验收时若发现货物有明显缺漏、损坏、包装破损、遗失等情形，甲方有权拒绝接收该批次货物，乙方应按照甲方的要求及</w:t>
      </w:r>
      <w:r>
        <w:rPr>
          <w:rFonts w:hint="eastAsia" w:ascii="宋体" w:hAnsi="宋体" w:cs="宋体"/>
          <w:szCs w:val="21"/>
        </w:rPr>
        <w:t xml:space="preserve">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r/>
    </w:p>
    <w:p>
      <w:pPr>
        <w:ind w:firstLine="420"/>
        <w:spacing w:line="360" w:lineRule="auto"/>
        <w:rPr>
          <w:rFonts w:hint="eastAsia" w:ascii="宋体" w:hAnsi="宋体" w:cs="宋体"/>
          <w:szCs w:val="21"/>
        </w:rPr>
      </w:pPr>
      <w:r>
        <w:rPr>
          <w:rFonts w:hint="eastAsia" w:ascii="宋体" w:hAnsi="宋体" w:cs="宋体"/>
          <w:szCs w:val="21"/>
        </w:rPr>
        <w:t xml:space="preserve">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r/>
    </w:p>
    <w:p>
      <w:pPr>
        <w:ind w:firstLine="420"/>
        <w:spacing w:line="360" w:lineRule="auto"/>
        <w:rPr>
          <w:rFonts w:hint="eastAsia" w:ascii="宋体" w:hAnsi="宋体" w:cs="宋体"/>
          <w:szCs w:val="21"/>
        </w:rPr>
      </w:pPr>
      <w:r>
        <w:rPr>
          <w:rFonts w:hint="eastAsia" w:ascii="宋体" w:hAnsi="宋体" w:cs="宋体"/>
          <w:szCs w:val="21"/>
        </w:rPr>
        <w:t xml:space="preserve">6.6对于本合同约定的货物，乙方同意由甲方有权单方聘请国家认可的专业检测机构参与初步验收及最终验收，并由其出具质量检测报告，相关检测费用由</w:t>
      </w:r>
      <w:r>
        <w:rPr>
          <w:rFonts w:hint="eastAsia" w:ascii="宋体" w:hAnsi="宋体" w:cs="宋体"/>
          <w:szCs w:val="21"/>
          <w:lang w:val="en-US" w:eastAsia="zh-CN"/>
        </w:rPr>
        <w:t xml:space="preserve">乙方</w:t>
      </w:r>
      <w:r>
        <w:rPr>
          <w:rFonts w:hint="eastAsia" w:ascii="宋体" w:hAnsi="宋体" w:cs="宋体"/>
          <w:szCs w:val="21"/>
        </w:rPr>
        <w:t xml:space="preserve">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spacing w:line="360" w:lineRule="auto"/>
        <w:rPr>
          <w:rFonts w:hint="eastAsia" w:ascii="宋体" w:hAnsi="宋体"/>
          <w:b/>
          <w:bCs/>
          <w:color w:val="0000ff"/>
          <w:sz w:val="24"/>
        </w:rPr>
      </w:pPr>
      <w:r>
        <w:rPr>
          <w:rFonts w:hint="eastAsia" w:ascii="宋体" w:hAnsi="宋体" w:cs="宋体"/>
          <w:b/>
          <w:bCs/>
          <w:sz w:val="28"/>
          <w:szCs w:val="28"/>
        </w:rPr>
        <w:t xml:space="preserve">7.付款方式</w:t>
      </w:r>
      <w:r/>
    </w:p>
    <w:p>
      <w:pPr>
        <w:numPr>
          <w:ilvl w:val="255"/>
          <w:numId w:val="0"/>
        </w:numPr>
        <w:ind w:firstLine="420"/>
        <w:spacing w:line="360" w:lineRule="auto"/>
        <w:rPr>
          <w:rFonts w:hint="eastAsia" w:ascii="宋体" w:hAnsi="宋体" w:cs="宋体"/>
          <w:bCs/>
          <w:szCs w:val="21"/>
        </w:rPr>
      </w:pPr>
      <w:r>
        <w:rPr>
          <w:rFonts w:hint="eastAsia" w:ascii="宋体" w:hAnsi="宋体" w:cs="宋体"/>
          <w:bCs/>
          <w:szCs w:val="21"/>
        </w:rPr>
        <w:t xml:space="preserve">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bCs/>
          <w:szCs w:val="21"/>
        </w:rPr>
        <w:t xml:space="preserve">乙双</w:t>
      </w:r>
      <w:r>
        <w:rPr>
          <w:rFonts w:hint="eastAsia" w:ascii="宋体" w:hAnsi="宋体" w:cs="宋体"/>
          <w:bCs/>
          <w:szCs w:val="21"/>
        </w:rPr>
        <w:t xml:space="preserve">方</w:t>
      </w:r>
      <w:r>
        <w:rPr>
          <w:rFonts w:hint="eastAsia" w:ascii="宋体" w:hAnsi="宋体"/>
          <w:bCs/>
          <w:szCs w:val="21"/>
        </w:rPr>
        <w:t xml:space="preserve">一致确认</w:t>
      </w:r>
      <w:r>
        <w:rPr>
          <w:rFonts w:hint="eastAsia" w:ascii="宋体" w:hAnsi="宋体" w:cs="宋体"/>
          <w:bCs/>
          <w:szCs w:val="21"/>
        </w:rPr>
        <w:t xml:space="preserve">的外贸代理公司预先支付货物的人民币全款</w:t>
      </w:r>
      <w:r>
        <w:rPr>
          <w:rFonts w:hint="eastAsia" w:ascii="宋体" w:hAnsi="宋体"/>
          <w:bCs/>
          <w:szCs w:val="21"/>
        </w:rPr>
        <w:t xml:space="preserve">（即本合同条款1约定的本合同总价）</w:t>
      </w:r>
      <w:r>
        <w:rPr>
          <w:rFonts w:hint="eastAsia" w:ascii="宋体" w:hAnsi="宋体" w:cs="宋体"/>
          <w:bCs/>
          <w:szCs w:val="21"/>
        </w:rPr>
        <w:t xml:space="preserve">。</w:t>
      </w:r>
      <w:r/>
    </w:p>
    <w:p>
      <w:pPr>
        <w:numPr>
          <w:ilvl w:val="255"/>
          <w:numId w:val="0"/>
        </w:numPr>
        <w:ind w:firstLine="420"/>
        <w:spacing w:line="360" w:lineRule="auto"/>
        <w:rPr>
          <w:rFonts w:hint="eastAsia" w:ascii="宋体" w:hAnsi="宋体" w:cs="宋体"/>
          <w:bCs/>
          <w:szCs w:val="21"/>
        </w:rPr>
      </w:pPr>
      <w:r>
        <w:rPr>
          <w:rFonts w:hint="eastAsia" w:ascii="宋体" w:hAnsi="宋体" w:cs="宋体"/>
          <w:bCs/>
          <w:szCs w:val="21"/>
        </w:rPr>
        <w:t xml:space="preserve">乙方将货物送达甲方指定交货地点并经甲方初步确认无误、</w:t>
      </w:r>
      <w:r>
        <w:rPr>
          <w:rFonts w:hint="eastAsia" w:ascii="宋体" w:hAnsi="宋体"/>
          <w:bCs/>
          <w:szCs w:val="21"/>
        </w:rPr>
        <w:t xml:space="preserve">且外贸代理公司与甲方一致确认到货后，由</w:t>
      </w:r>
      <w:r>
        <w:rPr>
          <w:rFonts w:hint="eastAsia" w:ascii="宋体" w:hAnsi="宋体" w:cs="宋体"/>
          <w:bCs/>
          <w:szCs w:val="21"/>
        </w:rPr>
        <w:t xml:space="preserve">外贸代理公司凭装运单据向乙方指定的外商支付90%的</w:t>
      </w:r>
      <w:r>
        <w:rPr>
          <w:rFonts w:hint="eastAsia" w:ascii="宋体" w:hAnsi="宋体" w:cs="宋体"/>
          <w:b/>
          <w:szCs w:val="21"/>
        </w:rPr>
        <w:t xml:space="preserve">货款</w:t>
      </w:r>
      <w:r>
        <w:rPr>
          <w:rFonts w:hint="eastAsia" w:ascii="宋体" w:hAnsi="宋体" w:cs="宋体"/>
          <w:bCs/>
          <w:szCs w:val="21"/>
        </w:rPr>
        <w:t xml:space="preserve">，待乙方将货物安装、调试完毕并经甲方验收合格后，由外贸代理公司凭甲方签署的正本验收合格报告向乙方指定的外商支付剩余</w:t>
      </w:r>
      <w:r>
        <w:rPr>
          <w:rFonts w:hint="eastAsia" w:ascii="宋体" w:hAnsi="宋体" w:cs="宋体"/>
          <w:b/>
          <w:szCs w:val="21"/>
          <w:u w:val="single"/>
        </w:rPr>
        <w:t xml:space="preserve">10%的</w:t>
      </w:r>
      <w:r>
        <w:rPr>
          <w:rFonts w:hint="eastAsia" w:ascii="宋体" w:hAnsi="宋体" w:cs="宋体"/>
          <w:b/>
          <w:szCs w:val="21"/>
        </w:rPr>
        <w:t xml:space="preserve">货款</w:t>
      </w:r>
      <w:r>
        <w:rPr>
          <w:rFonts w:hint="eastAsia" w:ascii="宋体" w:hAnsi="宋体" w:cs="宋体"/>
          <w:bCs/>
          <w:szCs w:val="21"/>
        </w:rPr>
        <w:t xml:space="preserve">（乙方、乙方指定的外商与外贸代理公司之间的其他权利和义务，按其之间的合同约定执行）。</w:t>
      </w:r>
      <w:r/>
    </w:p>
    <w:p>
      <w:pPr>
        <w:numPr>
          <w:ilvl w:val="255"/>
          <w:numId w:val="0"/>
        </w:numPr>
        <w:ind w:firstLine="422"/>
        <w:spacing w:line="360" w:lineRule="auto"/>
        <w:rPr>
          <w:rFonts w:hint="eastAsia" w:ascii="宋体" w:hAnsi="宋体" w:cs="宋体"/>
          <w:b/>
          <w:szCs w:val="21"/>
        </w:rPr>
      </w:pPr>
      <w:r>
        <w:rPr>
          <w:rFonts w:hint="eastAsia" w:ascii="宋体" w:hAnsi="宋体" w:cs="宋体"/>
          <w:b/>
          <w:szCs w:val="21"/>
        </w:rPr>
        <w:t xml:space="preserve">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w:t>
      </w:r>
      <w:r>
        <w:rPr>
          <w:rFonts w:hint="eastAsia" w:ascii="宋体" w:hAnsi="宋体" w:cs="宋体"/>
          <w:b/>
          <w:szCs w:val="21"/>
        </w:rPr>
        <w:t xml:space="preserve">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r/>
    </w:p>
    <w:p>
      <w:pPr>
        <w:numPr>
          <w:ilvl w:val="255"/>
          <w:numId w:val="0"/>
        </w:numPr>
        <w:ind w:firstLine="422"/>
        <w:spacing w:line="360" w:lineRule="auto"/>
        <w:rPr>
          <w:rFonts w:hint="eastAsia" w:ascii="宋体" w:hAnsi="宋体" w:cs="宋体"/>
          <w:b/>
          <w:bCs/>
          <w:szCs w:val="21"/>
        </w:rPr>
      </w:pPr>
      <w:r>
        <w:rPr>
          <w:rFonts w:hint="eastAsia" w:ascii="宋体" w:hAnsi="宋体" w:cs="宋体"/>
          <w:b/>
          <w:bCs/>
          <w:szCs w:val="21"/>
        </w:rPr>
        <w:t xml:space="preserve">7.3如遇甲方高校寒暑假期等财务封帐特殊原因或不可抗拒事件等情形不受此时间限制，付款时间相应顺延。对此乙方表示：遇此情况下甲方可以推迟付款且不构成违约，且乙方不主张顺延期间的利息。</w:t>
      </w:r>
      <w:r/>
    </w:p>
    <w:p>
      <w:pPr>
        <w:numPr>
          <w:ilvl w:val="255"/>
          <w:numId w:val="0"/>
        </w:numPr>
        <w:ind w:firstLine="422"/>
        <w:spacing w:line="360" w:lineRule="auto"/>
        <w:rPr>
          <w:rFonts w:hint="eastAsia" w:ascii="宋体" w:hAnsi="宋体" w:cs="宋体"/>
          <w:b/>
          <w:bCs/>
          <w:szCs w:val="21"/>
        </w:rPr>
      </w:pPr>
      <w:r>
        <w:rPr>
          <w:rFonts w:hint="eastAsia" w:ascii="宋体" w:hAnsi="宋体" w:cs="宋体"/>
          <w:b/>
          <w:bCs/>
          <w:szCs w:val="21"/>
        </w:rPr>
        <w:t xml:space="preserve">7.4因本合同约定的货物为进口仪器设备，依我国相关法律规定可以减免税，同时为了甲方的交易安全，乙方同意并承诺如下：</w:t>
      </w:r>
      <w:r/>
    </w:p>
    <w:p>
      <w:pPr>
        <w:numPr>
          <w:ilvl w:val="255"/>
          <w:numId w:val="0"/>
        </w:numPr>
        <w:ind w:firstLine="422"/>
        <w:spacing w:line="360" w:lineRule="auto"/>
        <w:rPr>
          <w:rFonts w:hint="eastAsia" w:ascii="宋体" w:hAnsi="宋体" w:cs="宋体"/>
          <w:b/>
          <w:bCs/>
          <w:szCs w:val="21"/>
        </w:rPr>
      </w:pPr>
      <w:r>
        <w:rPr>
          <w:rFonts w:hint="eastAsia" w:ascii="宋体" w:hAnsi="宋体" w:cs="宋体"/>
          <w:b/>
          <w:bCs/>
          <w:szCs w:val="21"/>
        </w:rPr>
        <w:t xml:space="preserve">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w:t>
      </w:r>
      <w:r>
        <w:rPr>
          <w:rFonts w:hint="eastAsia" w:ascii="宋体" w:hAnsi="宋体" w:cs="宋体"/>
          <w:b/>
          <w:bCs/>
          <w:szCs w:val="21"/>
          <w:lang w:val="en-US" w:eastAsia="zh-CN"/>
        </w:rPr>
        <w:t xml:space="preserve">贸</w:t>
      </w:r>
      <w:r>
        <w:rPr>
          <w:rFonts w:hint="eastAsia" w:ascii="宋体" w:hAnsi="宋体" w:cs="宋体"/>
          <w:b/>
          <w:bCs/>
          <w:szCs w:val="21"/>
        </w:rPr>
        <w:t xml:space="preserve">代理公司承担全部责任。</w:t>
      </w:r>
      <w:r/>
    </w:p>
    <w:p>
      <w:pPr>
        <w:spacing w:line="360" w:lineRule="auto"/>
        <w:rPr>
          <w:rFonts w:hint="eastAsia" w:ascii="宋体" w:hAnsi="宋体" w:cs="宋体"/>
          <w:b/>
          <w:bCs/>
          <w:sz w:val="28"/>
          <w:szCs w:val="28"/>
        </w:rPr>
      </w:pPr>
      <w:r>
        <w:rPr>
          <w:rFonts w:hint="eastAsia" w:ascii="宋体" w:hAnsi="宋体" w:cs="宋体"/>
          <w:b/>
          <w:bCs/>
          <w:sz w:val="28"/>
          <w:szCs w:val="28"/>
        </w:rPr>
        <w:t xml:space="preserve">8.乙方的其他义务</w:t>
      </w:r>
      <w:r/>
    </w:p>
    <w:p>
      <w:pPr>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rPr>
        <w:t xml:space="preserve">2</w:t>
      </w:r>
      <w:r>
        <w:rPr>
          <w:rFonts w:hint="eastAsia" w:ascii="宋体" w:hAnsi="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9.违约责任</w:t>
      </w:r>
      <w:r/>
    </w:p>
    <w:p>
      <w:pPr>
        <w:ind w:firstLine="420"/>
        <w:jc w:val="left"/>
        <w:spacing w:line="360" w:lineRule="auto"/>
        <w:rPr>
          <w:rFonts w:hint="eastAsia" w:ascii="宋体" w:hAnsi="宋体" w:cs="宋体"/>
        </w:rPr>
      </w:pPr>
      <w:r>
        <w:rPr>
          <w:rFonts w:hint="eastAsia" w:ascii="宋体" w:hAnsi="宋体" w:cs="宋体"/>
          <w:szCs w:val="21"/>
        </w:rPr>
        <w:t xml:space="preserve"> 9.1乙</w:t>
      </w:r>
      <w:r>
        <w:rPr>
          <w:rFonts w:hint="eastAsia" w:ascii="宋体" w:hAnsi="宋体" w:cs="宋体"/>
        </w:rPr>
        <w:t xml:space="preserve">方因故需要延迟交货（包括迟延履行安装</w:t>
      </w:r>
      <w:r>
        <w:rPr>
          <w:rFonts w:hint="eastAsia" w:cs="宋体"/>
        </w:rPr>
        <w:t xml:space="preserve">调试或培训</w:t>
      </w:r>
      <w:r>
        <w:rPr>
          <w:rFonts w:hint="eastAsia" w:ascii="宋体" w:hAnsi="宋体" w:cs="宋体"/>
        </w:rPr>
        <w:t xml:space="preserve">义务）的，应提前向甲方说明缘由并征得甲方同意。若未事先说明且取得甲方书面</w:t>
      </w:r>
      <w:r>
        <w:rPr>
          <w:rFonts w:hint="eastAsia" w:cs="宋体"/>
        </w:rPr>
        <w:t xml:space="preserve">同意</w:t>
      </w:r>
      <w:r>
        <w:rPr>
          <w:rFonts w:hint="eastAsia" w:ascii="宋体" w:hAnsi="宋体" w:cs="宋体"/>
        </w:rPr>
        <w:t xml:space="preserve">的，每延迟一天，则应按照迟延交货部分合同金额的</w:t>
      </w:r>
      <w:r>
        <w:rPr>
          <w:rFonts w:hint="eastAsia" w:cs="宋体"/>
          <w:u w:val="single"/>
        </w:rPr>
        <w:t xml:space="preserve">   </w:t>
      </w:r>
      <w:r>
        <w:rPr>
          <w:rFonts w:hint="eastAsia" w:ascii="宋体" w:hAnsi="宋体" w:cs="宋体"/>
        </w:rPr>
        <w:t xml:space="preserve">%向甲方支付违约金</w:t>
      </w:r>
      <w:r>
        <w:rPr>
          <w:rFonts w:hint="eastAsia" w:cs="宋体"/>
        </w:rPr>
        <w:t xml:space="preserve">，甲方有权从</w:t>
      </w:r>
      <w:r>
        <w:rPr>
          <w:rFonts w:ascii="Wingdings 2" w:hAnsi="Wingdings 2" w:eastAsia="Wingdings 2" w:cs="Wingdings 2"/>
          <w:b/>
        </w:rPr>
        <w:t xml:space="preserve">£</w:t>
      </w:r>
      <w:r>
        <w:rPr>
          <w:rFonts w:hint="eastAsia" w:ascii="宋体" w:hAnsi="宋体" w:cs="宋体"/>
          <w:b/>
        </w:rPr>
        <w:t xml:space="preserve">履约保证金中</w:t>
      </w:r>
      <w:r>
        <w:rPr>
          <w:rFonts w:ascii="Wingdings 2" w:hAnsi="Wingdings 2" w:eastAsia="Wingdings 2" w:cs="Wingdings 2"/>
          <w:b/>
        </w:rPr>
        <w:t xml:space="preserve">R</w:t>
      </w:r>
      <w:r>
        <w:rPr>
          <w:rFonts w:hint="eastAsia" w:ascii="宋体" w:hAnsi="宋体" w:cs="宋体"/>
          <w:b/>
        </w:rPr>
        <w:t xml:space="preserve">待付合同款项中</w:t>
      </w:r>
      <w:r>
        <w:rPr>
          <w:rFonts w:hint="eastAsia" w:cs="宋体"/>
        </w:rPr>
        <w:t xml:space="preserve">直接扣除前述违约金，不足扣除的，乙方应继续向甲方支付</w:t>
      </w:r>
      <w:r>
        <w:rPr>
          <w:rFonts w:hint="eastAsia" w:ascii="宋体" w:hAnsi="宋体" w:cs="宋体"/>
        </w:rPr>
        <w:t xml:space="preserve">。乙方迟延交货达</w:t>
      </w:r>
      <w:r>
        <w:rPr>
          <w:rFonts w:hint="eastAsia" w:cs="宋体"/>
          <w:u w:val="single"/>
        </w:rPr>
        <w:t xml:space="preserve">   </w:t>
      </w:r>
      <w:r>
        <w:rPr>
          <w:rFonts w:hint="eastAsia" w:ascii="宋体" w:hAnsi="宋体" w:cs="宋体"/>
        </w:rPr>
        <w:t xml:space="preserve">日的，甲方有权单方解除合同并追究乙方的违约责任，乙方须按未能交货部分合同金额或不合格货物对应合同金额的</w:t>
      </w:r>
      <w:r>
        <w:rPr>
          <w:rFonts w:hint="eastAsia" w:cs="宋体"/>
          <w:u w:val="single"/>
        </w:rPr>
        <w:t xml:space="preserve">   </w:t>
      </w:r>
      <w:r>
        <w:rPr>
          <w:rFonts w:hint="eastAsia" w:ascii="宋体" w:hAnsi="宋体" w:cs="宋体"/>
        </w:rPr>
        <w:t xml:space="preserve">%向甲方支付违约金，违约金不足以补偿甲方损失的，甲方有权要求乙方补足。</w:t>
      </w:r>
      <w:r/>
    </w:p>
    <w:p>
      <w:pPr>
        <w:ind w:firstLine="420"/>
        <w:jc w:val="left"/>
        <w:spacing w:line="360" w:lineRule="auto"/>
        <w:rPr>
          <w:rFonts w:hint="eastAsia" w:ascii="宋体" w:hAnsi="宋体" w:cs="宋体"/>
        </w:rPr>
      </w:pPr>
      <w:r>
        <w:rPr>
          <w:rFonts w:hint="eastAsia" w:ascii="宋体" w:hAnsi="宋体" w:cs="宋体"/>
        </w:rPr>
        <w:t xml:space="preserve">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p>
    <w:p>
      <w:pPr>
        <w:ind w:firstLine="420"/>
        <w:jc w:val="left"/>
        <w:spacing w:line="360" w:lineRule="auto"/>
        <w:rPr>
          <w:rFonts w:hint="eastAsia" w:ascii="宋体" w:hAnsi="宋体" w:cs="宋体"/>
        </w:rPr>
      </w:pPr>
      <w:r>
        <w:rPr>
          <w:rFonts w:hint="eastAsia" w:ascii="宋体" w:hAnsi="宋体" w:cs="宋体"/>
        </w:rPr>
        <w:t xml:space="preserve">9.3因不可抗力或国家法律、法规或其他相关文件规定造成合同不能履行的，双方互不追究违约责任。</w:t>
      </w:r>
      <w:r/>
    </w:p>
    <w:p>
      <w:pPr>
        <w:ind w:firstLine="420"/>
        <w:jc w:val="left"/>
        <w:spacing w:line="360" w:lineRule="auto"/>
        <w:rPr>
          <w:rFonts w:hint="eastAsia" w:ascii="宋体" w:hAnsi="宋体" w:cs="宋体"/>
          <w:szCs w:val="21"/>
          <w:u w:val="single"/>
        </w:rPr>
      </w:pPr>
      <w:r>
        <w:rPr>
          <w:rFonts w:hint="eastAsia" w:ascii="宋体" w:hAnsi="宋体" w:cs="宋体"/>
        </w:rPr>
        <w:t xml:space="preserve">9.4其他：</w:t>
      </w:r>
      <w:r>
        <w:rPr>
          <w:rFonts w:hint="eastAsia" w:ascii="宋体" w:hAnsi="宋体" w:cs="宋体"/>
          <w:szCs w:val="21"/>
          <w:u w:val="single"/>
        </w:rPr>
        <w:t xml:space="preserve">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p>
    <w:p>
      <w:pPr>
        <w:spacing w:line="360" w:lineRule="auto"/>
        <w:tabs>
          <w:tab w:val="left" w:pos="319" w:leader="none"/>
        </w:tabs>
      </w:pPr>
      <w:r>
        <w:rPr>
          <w:rFonts w:hint="eastAsia" w:ascii="宋体" w:hAnsi="宋体" w:cs="宋体"/>
          <w:b/>
          <w:bCs/>
          <w:sz w:val="28"/>
          <w:szCs w:val="28"/>
        </w:rPr>
        <w:t xml:space="preserve">10.其他约定事项</w:t>
      </w:r>
      <w:r/>
    </w:p>
    <w:p>
      <w:pPr>
        <w:spacing w:line="360" w:lineRule="auto"/>
      </w:pPr>
      <w:r>
        <w:rPr>
          <w:rFonts w:hint="eastAsia" w:ascii="宋体" w:hAnsi="宋体" w:cs="宋体"/>
          <w:szCs w:val="21"/>
          <w:u w:val="single"/>
        </w:rPr>
        <w:t xml:space="preserve">                            </w:t>
      </w:r>
      <w:r>
        <w:rPr>
          <w:rFonts w:hint="eastAsia" w:cs="宋体"/>
        </w:rPr>
        <w:t xml:space="preserve">。</w:t>
      </w:r>
      <w:r>
        <w:rPr>
          <w:rFonts w:hint="eastAsia" w:ascii="宋体" w:hAnsi="宋体" w:cs="宋体"/>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11.争议解决</w:t>
      </w:r>
      <w:r/>
    </w:p>
    <w:p>
      <w:pPr>
        <w:ind w:firstLine="420"/>
        <w:spacing w:line="360" w:lineRule="auto"/>
        <w:rPr>
          <w:rFonts w:hint="eastAsia" w:ascii="宋体" w:hAnsi="宋体" w:cs="宋体"/>
          <w:bCs/>
          <w:szCs w:val="21"/>
        </w:rPr>
      </w:pPr>
      <w:r>
        <w:rPr>
          <w:rFonts w:hint="eastAsia" w:ascii="宋体" w:hAnsi="宋体" w:cs="宋体"/>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spacing w:line="360" w:lineRule="auto"/>
        <w:rPr>
          <w:rFonts w:hint="eastAsia" w:ascii="宋体" w:hAnsi="宋体" w:cs="宋体"/>
          <w:b/>
          <w:bCs/>
          <w:sz w:val="28"/>
          <w:szCs w:val="28"/>
        </w:rPr>
      </w:pPr>
      <w:r>
        <w:rPr>
          <w:rFonts w:hint="eastAsia" w:ascii="宋体" w:hAnsi="宋体" w:cs="宋体"/>
          <w:b/>
          <w:bCs/>
          <w:sz w:val="28"/>
          <w:szCs w:val="28"/>
        </w:rPr>
        <w:t xml:space="preserve">12.合同生效和其他</w:t>
      </w:r>
      <w:r/>
    </w:p>
    <w:p>
      <w:pPr>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cs="宋体"/>
          <w:bCs/>
          <w:szCs w:val="21"/>
        </w:rPr>
      </w:pPr>
      <w:r>
        <w:rPr>
          <w:rFonts w:hint="eastAsia" w:ascii="宋体" w:hAnsi="宋体" w:cs="宋体"/>
          <w:bCs/>
          <w:szCs w:val="21"/>
        </w:rPr>
        <w:t xml:space="preserve">12.2本合同一式</w:t>
      </w:r>
      <w:r>
        <w:rPr>
          <w:rFonts w:hint="eastAsia" w:ascii="宋体" w:hAnsi="宋体" w:cs="宋体"/>
          <w:bCs/>
          <w:szCs w:val="21"/>
          <w:u w:val="single"/>
        </w:rPr>
        <w:t xml:space="preserve"> 伍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肆 </w:t>
      </w:r>
      <w:r>
        <w:rPr>
          <w:rFonts w:hint="eastAsia" w:ascii="宋体" w:hAnsi="宋体" w:cs="宋体"/>
          <w:bCs/>
          <w:szCs w:val="21"/>
        </w:rPr>
        <w:t xml:space="preserve">份，乙方持有</w:t>
      </w:r>
      <w:r>
        <w:rPr>
          <w:rFonts w:hint="eastAsia" w:ascii="宋体" w:hAnsi="宋体" w:cs="宋体"/>
          <w:bCs/>
          <w:szCs w:val="21"/>
          <w:u w:val="single"/>
        </w:rPr>
        <w:t xml:space="preserve">壹 </w:t>
      </w:r>
      <w:r>
        <w:rPr>
          <w:rFonts w:hint="eastAsia" w:ascii="宋体" w:hAnsi="宋体" w:cs="宋体"/>
          <w:bCs/>
          <w:szCs w:val="21"/>
        </w:rPr>
        <w:t xml:space="preserve">份，均具有同等法律效力。</w:t>
      </w:r>
      <w:r/>
    </w:p>
    <w:p>
      <w:pPr>
        <w:keepLines/>
        <w:keepNext/>
        <w:spacing w:before="260" w:after="260" w:line="360" w:lineRule="auto"/>
        <w:rPr>
          <w:rFonts w:hint="eastAsia" w:ascii="宋体" w:hAnsi="宋体" w:cs="宋体"/>
          <w:szCs w:val="21"/>
          <w:lang w:bidi="ar"/>
        </w:rPr>
        <w:outlineLvl w:val="1"/>
      </w:pPr>
      <w:r>
        <w:rPr>
          <w:rFonts w:hint="eastAsia" w:ascii="宋体" w:hAnsi="宋体" w:cs="宋体"/>
          <w:szCs w:val="21"/>
          <w:lang w:bidi="ar"/>
        </w:rPr>
        <w:t xml:space="preserve">附件：</w:t>
      </w:r>
      <w:r/>
    </w:p>
    <w:p>
      <w:pPr>
        <w:keepLines/>
        <w:keepNext/>
        <w:spacing w:before="260" w:after="260" w:line="360" w:lineRule="auto"/>
        <w:rPr>
          <w:rFonts w:ascii="Calibri Light" w:hAnsi="Calibri Light"/>
          <w:b/>
          <w:bCs/>
          <w:sz w:val="32"/>
          <w:szCs w:val="32"/>
        </w:rPr>
        <w:outlineLvl w:val="1"/>
      </w:pPr>
      <w:r>
        <w:rPr>
          <w:rFonts w:ascii="Wingdings 2" w:hAnsi="Wingdings 2" w:eastAsia="Wingdings 2" w:cs="Wingdings 2"/>
          <w:szCs w:val="21"/>
          <w:lang w:bidi="ar"/>
        </w:rPr>
        <w:t xml:space="preserve">£</w:t>
      </w:r>
      <w:r>
        <w:rPr>
          <w:rFonts w:hint="eastAsia" w:ascii="宋体" w:hAnsi="宋体" w:cs="宋体"/>
          <w:szCs w:val="21"/>
          <w:lang w:bidi="ar"/>
        </w:rPr>
        <w:t xml:space="preserve">货物配置表</w:t>
      </w:r>
      <w:r/>
    </w:p>
    <w:p>
      <w:pPr>
        <w:keepLines/>
        <w:keepNext/>
        <w:spacing w:before="260" w:after="260" w:line="360" w:lineRule="auto"/>
        <w:rPr>
          <w:rFonts w:ascii="Calibri Light" w:hAnsi="Calibri Light"/>
          <w:b/>
          <w:bCs/>
          <w:sz w:val="32"/>
          <w:szCs w:val="32"/>
        </w:rPr>
        <w:outlineLvl w:val="1"/>
      </w:pPr>
      <w:r>
        <w:rPr>
          <w:rFonts w:ascii="Wingdings 2" w:hAnsi="Wingdings 2" w:eastAsia="Wingdings 2" w:cs="Wingdings 2"/>
          <w:szCs w:val="21"/>
          <w:lang w:bidi="ar"/>
        </w:rPr>
        <w:t xml:space="preserve">£</w:t>
      </w:r>
      <w:r>
        <w:rPr>
          <w:rFonts w:hint="eastAsia" w:ascii="宋体" w:hAnsi="宋体" w:cs="宋体"/>
          <w:szCs w:val="21"/>
          <w:lang w:bidi="ar"/>
        </w:rPr>
        <w:t xml:space="preserve">货物技术参数</w:t>
      </w:r>
      <w:r/>
    </w:p>
    <w:p>
      <w:pPr>
        <w:ind w:firstLine="420"/>
        <w:spacing w:line="360" w:lineRule="auto"/>
      </w:pPr>
      <w:r>
        <w:rPr>
          <w:rFonts w:hint="eastAsia" w:ascii="宋体" w:hAnsi="宋体" w:cs="宋体"/>
          <w:bCs/>
          <w:szCs w:val="21"/>
        </w:rPr>
        <w:t xml:space="preserve">（以下无正文）</w:t>
      </w:r>
      <w:r/>
    </w:p>
    <w:p>
      <w:pPr>
        <w:spacing w:line="360" w:lineRule="auto"/>
      </w:pPr>
      <w:r/>
      <w:r/>
    </w:p>
    <w:tbl>
      <w:tblPr>
        <w:tblStyle w:val="877"/>
        <w:tblpPr w:horzAnchor="page" w:tblpX="1590" w:vertAnchor="text" w:tblpY="-138" w:leftFromText="180" w:topFromText="0" w:rightFromText="180" w:bottomFromText="0"/>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02"/>
        <w:gridCol w:w="4198"/>
      </w:tblGrid>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 w:val="24"/>
                <w:szCs w:val="32"/>
              </w:rPr>
            </w:pPr>
            <w:r>
              <w:rPr>
                <w:rFonts w:ascii="宋体" w:hAnsi="宋体" w:cs="宋体"/>
                <w:sz w:val="24"/>
                <w:szCs w:val="32"/>
              </w:rPr>
              <w:t xml:space="preserve">甲方(</w:t>
            </w:r>
            <w:r>
              <w:rPr>
                <w:rFonts w:hint="eastAsia" w:ascii="宋体" w:hAnsi="宋体" w:cs="宋体"/>
                <w:sz w:val="24"/>
                <w:szCs w:val="32"/>
              </w:rPr>
              <w:t xml:space="preserve">盖</w:t>
            </w:r>
            <w:r>
              <w:rPr>
                <w:rFonts w:ascii="宋体" w:hAnsi="宋体" w:cs="宋体"/>
                <w:sz w:val="24"/>
                <w:szCs w:val="32"/>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 w:val="24"/>
                <w:szCs w:val="32"/>
              </w:rPr>
            </w:pPr>
            <w:r>
              <w:rPr>
                <w:rFonts w:ascii="宋体" w:hAnsi="宋体" w:cs="宋体"/>
                <w:sz w:val="24"/>
                <w:szCs w:val="32"/>
              </w:rPr>
              <w:t xml:space="preserve">乙方(</w:t>
            </w:r>
            <w:r>
              <w:rPr>
                <w:rFonts w:hint="eastAsia" w:ascii="宋体" w:hAnsi="宋体" w:cs="宋体"/>
                <w:sz w:val="24"/>
                <w:szCs w:val="32"/>
              </w:rPr>
              <w:t xml:space="preserve">盖</w:t>
            </w:r>
            <w:r>
              <w:rPr>
                <w:rFonts w:ascii="宋体" w:hAnsi="宋体" w:cs="宋体"/>
                <w:sz w:val="24"/>
                <w:szCs w:val="32"/>
              </w:rPr>
              <w:t xml:space="preserve">章)</w:t>
            </w:r>
            <w:r>
              <w:rPr>
                <w:rFonts w:hint="eastAsia" w:ascii="宋体" w:hAnsi="宋体" w:cs="宋体"/>
                <w:sz w:val="24"/>
                <w:szCs w:val="32"/>
              </w:rPr>
              <w:t xml:space="preserve">：</w:t>
            </w:r>
            <w:r/>
          </w:p>
        </w:tc>
      </w:tr>
      <w:tr>
        <w:trPr>
          <w:trHeight w:val="481"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pPr>
            <w:r/>
            <w:r/>
          </w:p>
          <w:p>
            <w:pPr>
              <w:keepLines/>
              <w:keepNext/>
              <w:spacing w:before="260" w:after="260" w:line="416" w:lineRule="auto"/>
              <w:rPr>
                <w:rFonts w:ascii="Calibri Light" w:hAnsi="Calibri Light"/>
                <w:b/>
                <w:bCs/>
                <w:sz w:val="32"/>
                <w:szCs w:val="32"/>
              </w:rPr>
              <w:outlineLvl w:val="1"/>
            </w:pPr>
            <w:r>
              <w:rPr>
                <w:rFonts w:ascii="Calibri Light" w:hAnsi="Calibri Light"/>
                <w:b/>
                <w:bCs/>
                <w:sz w:val="32"/>
                <w:szCs w:val="32"/>
              </w:rPr>
            </w:r>
            <w:r/>
          </w:p>
          <w:p>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pPr>
            <w:r/>
            <w:r/>
          </w:p>
          <w:p>
            <w:pPr>
              <w:keepLines/>
              <w:keepNext/>
              <w:spacing w:before="260" w:after="260" w:line="416" w:lineRule="auto"/>
              <w:rPr>
                <w:rFonts w:ascii="Calibri Light" w:hAnsi="Calibri Light"/>
                <w:b/>
                <w:bCs/>
                <w:sz w:val="32"/>
                <w:szCs w:val="32"/>
              </w:rPr>
              <w:outlineLvl w:val="1"/>
            </w:pPr>
            <w:r>
              <w:rPr>
                <w:rFonts w:ascii="Calibri Light" w:hAnsi="Calibri Light"/>
                <w:b/>
                <w:bCs/>
                <w:sz w:val="32"/>
                <w:szCs w:val="32"/>
              </w:rPr>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ind w:firstLine="2880"/>
              <w:jc w:val="left"/>
              <w:spacing w:line="360" w:lineRule="auto"/>
              <w:rPr>
                <w:sz w:val="24"/>
                <w:szCs w:val="32"/>
              </w:rPr>
            </w:pPr>
            <w:r>
              <w:rPr>
                <w:rFonts w:ascii="宋体" w:hAnsi="宋体" w:cs="宋体"/>
                <w:sz w:val="24"/>
                <w:szCs w:val="32"/>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ind w:firstLine="2880"/>
              <w:jc w:val="left"/>
              <w:spacing w:line="360" w:lineRule="auto"/>
              <w:rPr>
                <w:sz w:val="24"/>
                <w:szCs w:val="32"/>
              </w:rPr>
            </w:pPr>
            <w:r>
              <w:rPr>
                <w:sz w:val="24"/>
                <w:szCs w:val="32"/>
              </w:rPr>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 w:val="24"/>
                <w:szCs w:val="32"/>
              </w:rPr>
            </w:pPr>
            <w:r>
              <w:rPr>
                <w:rFonts w:ascii="宋体" w:hAnsi="宋体" w:cs="宋体"/>
                <w:sz w:val="24"/>
                <w:szCs w:val="32"/>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 w:val="24"/>
                <w:szCs w:val="32"/>
              </w:rPr>
            </w:pPr>
            <w:r>
              <w:rPr>
                <w:rFonts w:ascii="宋体" w:hAnsi="宋体" w:cs="宋体"/>
                <w:sz w:val="24"/>
                <w:szCs w:val="32"/>
              </w:rPr>
              <w:t xml:space="preserve">单位地址：　　　　　　　　　　　</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 w:val="24"/>
                <w:szCs w:val="32"/>
              </w:rPr>
            </w:pPr>
            <w:r>
              <w:rPr>
                <w:rFonts w:ascii="宋体" w:hAnsi="宋体" w:cs="宋体"/>
                <w:sz w:val="24"/>
                <w:szCs w:val="32"/>
              </w:rPr>
              <w:t xml:space="preserve">法定代表人（或</w:t>
            </w:r>
            <w:r>
              <w:rPr>
                <w:rFonts w:hint="eastAsia" w:ascii="宋体" w:hAnsi="宋体" w:cs="宋体"/>
                <w:sz w:val="24"/>
                <w:szCs w:val="32"/>
              </w:rPr>
              <w:t xml:space="preserve">授权代表</w:t>
            </w:r>
            <w:r>
              <w:rPr>
                <w:rFonts w:ascii="宋体" w:hAnsi="宋体" w:cs="宋体"/>
                <w:sz w:val="24"/>
                <w:szCs w:val="32"/>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 w:val="24"/>
                <w:szCs w:val="32"/>
              </w:rPr>
            </w:pPr>
            <w:r>
              <w:rPr>
                <w:rFonts w:ascii="宋体" w:hAnsi="宋体" w:cs="宋体"/>
                <w:sz w:val="24"/>
                <w:szCs w:val="32"/>
              </w:rPr>
              <w:t xml:space="preserve">法定代表人（或</w:t>
            </w:r>
            <w:r>
              <w:rPr>
                <w:rFonts w:hint="eastAsia" w:ascii="宋体" w:hAnsi="宋体" w:cs="宋体"/>
                <w:sz w:val="24"/>
                <w:szCs w:val="32"/>
              </w:rPr>
              <w:t xml:space="preserve">授权代表</w:t>
            </w:r>
            <w:r>
              <w:rPr>
                <w:rFonts w:ascii="宋体" w:hAnsi="宋体" w:cs="宋体"/>
                <w:sz w:val="24"/>
                <w:szCs w:val="32"/>
              </w:rPr>
              <w:t xml:space="preserve">）</w:t>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rFonts w:hint="eastAsia" w:ascii="宋体" w:hAnsi="宋体" w:cs="宋体"/>
                <w:sz w:val="24"/>
                <w:szCs w:val="32"/>
              </w:rPr>
            </w:pPr>
            <w:r>
              <w:rPr>
                <w:rFonts w:ascii="宋体" w:hAnsi="宋体" w:cs="宋体"/>
                <w:sz w:val="24"/>
                <w:szCs w:val="32"/>
              </w:rPr>
              <w:t xml:space="preserve">（签</w:t>
            </w:r>
            <w:r>
              <w:rPr>
                <w:rFonts w:hint="eastAsia" w:ascii="宋体" w:hAnsi="宋体" w:cs="宋体"/>
                <w:sz w:val="24"/>
                <w:szCs w:val="32"/>
              </w:rPr>
              <w:t xml:space="preserve">名</w:t>
            </w:r>
            <w:r>
              <w:rPr>
                <w:rFonts w:ascii="宋体" w:hAnsi="宋体" w:cs="宋体"/>
                <w:sz w:val="24"/>
                <w:szCs w:val="32"/>
              </w:rPr>
              <w:t xml:space="preserve">）：</w:t>
            </w:r>
            <w:r>
              <w:rPr>
                <w:rFonts w:hint="eastAsia" w:ascii="宋体" w:hAnsi="宋体" w:cs="宋体"/>
                <w:sz w:val="24"/>
                <w:szCs w:val="32"/>
              </w:rPr>
              <w:t xml:space="preserve">            </w:t>
            </w:r>
            <w:r/>
          </w:p>
          <w:p>
            <w:pPr>
              <w:ind w:firstLine="960"/>
              <w:jc w:val="right"/>
              <w:spacing w:line="360" w:lineRule="auto"/>
              <w:rPr>
                <w:rFonts w:hint="eastAsia" w:ascii="宋体" w:hAnsi="宋体" w:cs="宋体"/>
                <w:sz w:val="24"/>
                <w:szCs w:val="32"/>
              </w:rPr>
            </w:pPr>
            <w:r>
              <w:rPr>
                <w:rFonts w:ascii="宋体" w:hAnsi="宋体" w:cs="宋体"/>
                <w:sz w:val="24"/>
                <w:szCs w:val="32"/>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rFonts w:hint="eastAsia" w:ascii="宋体" w:hAnsi="宋体" w:cs="宋体"/>
                <w:sz w:val="24"/>
                <w:szCs w:val="32"/>
              </w:rPr>
            </w:pPr>
            <w:r>
              <w:rPr>
                <w:rFonts w:ascii="宋体" w:hAnsi="宋体" w:cs="宋体"/>
                <w:sz w:val="24"/>
                <w:szCs w:val="32"/>
              </w:rPr>
              <w:t xml:space="preserve">（签</w:t>
            </w:r>
            <w:r>
              <w:rPr>
                <w:rFonts w:hint="eastAsia" w:ascii="宋体" w:hAnsi="宋体" w:cs="宋体"/>
                <w:sz w:val="24"/>
                <w:szCs w:val="32"/>
              </w:rPr>
              <w:t xml:space="preserve">名</w:t>
            </w:r>
            <w:r>
              <w:rPr>
                <w:rFonts w:ascii="宋体" w:hAnsi="宋体" w:cs="宋体"/>
                <w:sz w:val="24"/>
                <w:szCs w:val="32"/>
              </w:rPr>
              <w:t xml:space="preserve">）：</w:t>
            </w:r>
            <w:r/>
          </w:p>
          <w:p>
            <w:pPr>
              <w:ind w:firstLine="960"/>
              <w:jc w:val="right"/>
              <w:spacing w:line="360" w:lineRule="auto"/>
              <w:rPr>
                <w:rFonts w:hint="eastAsia" w:ascii="宋体" w:hAnsi="宋体" w:cs="宋体"/>
                <w:sz w:val="24"/>
                <w:szCs w:val="32"/>
              </w:rPr>
            </w:pPr>
            <w:r>
              <w:rPr>
                <w:rFonts w:ascii="宋体" w:hAnsi="宋体" w:cs="宋体"/>
                <w:sz w:val="24"/>
                <w:szCs w:val="32"/>
              </w:rPr>
              <w:t xml:space="preserve">年　月　日</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 w:val="24"/>
                <w:szCs w:val="32"/>
              </w:rPr>
            </w:pPr>
            <w:r>
              <w:rPr>
                <w:rFonts w:ascii="宋体" w:hAnsi="宋体" w:cs="宋体"/>
                <w:sz w:val="24"/>
                <w:szCs w:val="32"/>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 w:val="24"/>
                <w:szCs w:val="32"/>
              </w:rPr>
            </w:pPr>
            <w:r>
              <w:rPr>
                <w:rFonts w:ascii="宋体" w:hAnsi="宋体" w:cs="宋体"/>
                <w:sz w:val="24"/>
                <w:szCs w:val="32"/>
              </w:rPr>
              <w:t xml:space="preserve">电话：　　　　　　</w:t>
            </w:r>
            <w:r/>
          </w:p>
        </w:tc>
      </w:tr>
      <w:tr>
        <w:trPr>
          <w:trHeight w:val="449"/>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 w:val="24"/>
                <w:szCs w:val="32"/>
              </w:rPr>
            </w:pPr>
            <w:r>
              <w:rPr>
                <w:rFonts w:ascii="宋体" w:hAnsi="宋体" w:cs="宋体"/>
                <w:sz w:val="24"/>
                <w:szCs w:val="32"/>
              </w:rPr>
              <w:t xml:space="preserve">邮政编码：21</w:t>
            </w:r>
            <w:r>
              <w:rPr>
                <w:rFonts w:hint="eastAsia" w:ascii="宋体" w:hAnsi="宋体" w:cs="宋体"/>
                <w:sz w:val="24"/>
                <w:szCs w:val="32"/>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 w:val="24"/>
                <w:szCs w:val="32"/>
              </w:rPr>
            </w:pPr>
            <w:r>
              <w:rPr>
                <w:rFonts w:ascii="宋体" w:hAnsi="宋体" w:cs="宋体"/>
                <w:sz w:val="24"/>
                <w:szCs w:val="32"/>
              </w:rPr>
              <w:t xml:space="preserve">邮政编码：　　　　　　</w:t>
            </w:r>
            <w:r/>
          </w:p>
        </w:tc>
      </w:tr>
    </w:tbl>
    <w:p>
      <w:pPr>
        <w:jc w:val="center"/>
        <w:spacing w:before="240" w:after="60"/>
        <w:rPr>
          <w:rFonts w:ascii="Microsoft New Tai Lue" w:hAnsi="Microsoft New Tai Lue" w:cs="Microsoft New Tai Lue"/>
          <w:b/>
          <w:bCs/>
          <w:sz w:val="32"/>
          <w:szCs w:val="32"/>
        </w:rPr>
      </w:pPr>
      <w:r>
        <w:rPr>
          <w:rFonts w:ascii="Microsoft New Tai Lue" w:hAnsi="Microsoft New Tai Lue" w:cs="Microsoft New Tai Lue"/>
          <w:b/>
          <w:bCs/>
          <w:sz w:val="32"/>
          <w:szCs w:val="32"/>
        </w:rPr>
      </w:r>
      <w:r/>
    </w:p>
    <w:p>
      <w:pPr>
        <w:pStyle w:val="907"/>
        <w:ind w:firstLine="569"/>
        <w:rPr>
          <w:rFonts w:hint="eastAsia" w:ascii="宋体" w:hAnsi="宋体" w:cs="宋体"/>
          <w:color w:val="000000" w:themeColor="text1"/>
          <w:sz w:val="21"/>
          <w:szCs w:val="21"/>
          <w14:textFill>
            <w14:solidFill>
              <w14:schemeClr w14:val="tx1"/>
            </w14:solidFill>
          </w14:textFill>
        </w:rPr>
      </w:pPr>
      <w:r/>
      <w:bookmarkStart w:id="255" w:name="_Toc107246271"/>
      <w:r/>
      <w:bookmarkStart w:id="256" w:name="_Toc91836564"/>
      <w:r>
        <w:rPr>
          <w:rFonts w:hint="eastAsia" w:ascii="宋体" w:hAnsi="宋体" w:cs="宋体"/>
          <w:color w:val="000000" w:themeColor="text1"/>
          <w14:textFill>
            <w14:solidFill>
              <w14:schemeClr w14:val="tx1"/>
            </w14:solidFill>
          </w14:textFill>
        </w:rPr>
        <w:t xml:space="preserve">第四章 采购需求</w:t>
      </w:r>
      <w:bookmarkEnd w:id="255"/>
      <w:r/>
      <w:bookmarkEnd w:id="256"/>
      <w:r/>
      <w:bookmarkStart w:id="257" w:name="_Hlk93775766"/>
      <w:r/>
      <w:r/>
    </w:p>
    <w:p>
      <w:pPr>
        <w:jc w:val="left"/>
        <w:spacing w:before="145" w:after="145"/>
        <w:outlineLvl w:val="0"/>
      </w:pPr>
      <w:r>
        <w:rPr>
          <w:rFonts w:ascii="宋体" w:hAnsi="宋体" w:cs="宋体"/>
          <w:b/>
          <w:color w:val="000000"/>
          <w:sz w:val="28"/>
        </w:rPr>
        <w:t xml:space="preserve">第一部分 基本情况</w:t>
      </w:r>
      <w:r/>
    </w:p>
    <w:tbl>
      <w:tblPr>
        <w:tblStyle w:val="877"/>
        <w:tblW w:w="8693" w:type="dxa"/>
        <w:tblInd w:w="-75"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240"/>
        <w:gridCol w:w="8453"/>
      </w:tblGrid>
      <w:tr>
        <w:trPr>
          <w:trHeight w:val="435"/>
        </w:trPr>
        <w:tc>
          <w:tcPr>
            <w:gridSpan w:val="2"/>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8693" w:type="dxa"/>
            <w:vAlign w:val="center"/>
            <w:textDirection w:val="lrTb"/>
            <w:noWrap w:val="false"/>
          </w:tcPr>
          <w:p>
            <w:pPr>
              <w:jc w:val="left"/>
              <w:spacing w:line="378" w:lineRule="exact"/>
            </w:pPr>
            <w:r>
              <w:rPr>
                <w:rFonts w:ascii="宋体" w:hAnsi="宋体" w:cs="宋体"/>
                <w:color w:val="000000"/>
              </w:rPr>
              <w:t xml:space="preserve">一、项目实施地点：江苏省南京市栖霞区仙林大道南京中医药大学动物中心新大楼二楼功能实验室</w:t>
            </w:r>
            <w:r/>
          </w:p>
        </w:tc>
      </w:tr>
      <w:tr>
        <w:trPr>
          <w:trHeight w:val="435"/>
        </w:trPr>
        <w:tc>
          <w:tcPr>
            <w:gridSpan w:val="2"/>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8693" w:type="dxa"/>
            <w:vAlign w:val="center"/>
            <w:textDirection w:val="lrTb"/>
            <w:noWrap w:val="false"/>
          </w:tcPr>
          <w:p>
            <w:pPr>
              <w:jc w:val="left"/>
              <w:spacing w:line="378" w:lineRule="exact"/>
            </w:pPr>
            <w:r>
              <w:rPr>
                <w:rFonts w:ascii="宋体" w:hAnsi="宋体" w:cs="宋体"/>
                <w:color w:val="000000"/>
              </w:rPr>
              <w:t xml:space="preserve">二、合同履行期限</w:t>
            </w:r>
            <w:r/>
          </w:p>
        </w:tc>
      </w:tr>
      <w:tr>
        <w:trPr>
          <w:trHeight w:val="435"/>
        </w:trPr>
        <w:tc>
          <w:tcPr>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8453" w:type="dxa"/>
            <w:vAlign w:val="center"/>
            <w:textDirection w:val="lrTb"/>
            <w:noWrap w:val="false"/>
          </w:tcPr>
          <w:p>
            <w:pPr>
              <w:jc w:val="left"/>
              <w:spacing w:line="378" w:lineRule="exact"/>
            </w:pPr>
            <w:r>
              <w:rPr>
                <w:rFonts w:hint="eastAsia" w:ascii="宋体" w:hAnsi="宋体" w:cs="宋体"/>
                <w:color w:val="000000"/>
              </w:rPr>
              <w:t xml:space="preserve">中标人</w:t>
            </w:r>
            <w:r>
              <w:rPr>
                <w:rFonts w:ascii="宋体" w:hAnsi="宋体" w:cs="宋体"/>
                <w:color w:val="000000"/>
              </w:rPr>
              <w:t xml:space="preserve">应在本合同签订生效后</w:t>
            </w:r>
            <w:r>
              <w:rPr>
                <w:rFonts w:hint="eastAsia" w:ascii="宋体" w:hAnsi="宋体" w:cs="宋体"/>
                <w:color w:val="000000"/>
                <w:u w:val="single"/>
              </w:rPr>
              <w:t xml:space="preserve">9</w:t>
            </w:r>
            <w:r>
              <w:rPr>
                <w:rFonts w:ascii="宋体" w:hAnsi="宋体" w:cs="宋体"/>
                <w:color w:val="000000"/>
                <w:u w:val="single"/>
              </w:rPr>
              <w:t xml:space="preserve">0</w:t>
            </w:r>
            <w:r>
              <w:rPr>
                <w:rFonts w:ascii="宋体" w:hAnsi="宋体" w:cs="宋体"/>
                <w:color w:val="000000"/>
              </w:rPr>
              <w:t xml:space="preserve">个日历日内向</w:t>
            </w:r>
            <w:r>
              <w:rPr>
                <w:rFonts w:hint="eastAsia" w:ascii="宋体" w:hAnsi="宋体" w:cs="宋体"/>
                <w:color w:val="000000"/>
              </w:rPr>
              <w:t xml:space="preserve">采购人</w:t>
            </w:r>
            <w:r>
              <w:rPr>
                <w:rFonts w:ascii="宋体" w:hAnsi="宋体" w:cs="宋体"/>
                <w:color w:val="000000"/>
              </w:rPr>
              <w:t xml:space="preserve">交付全部货物（具体时间以</w:t>
            </w:r>
            <w:r>
              <w:rPr>
                <w:rFonts w:hint="eastAsia" w:ascii="宋体" w:hAnsi="宋体" w:cs="宋体"/>
                <w:color w:val="000000"/>
              </w:rPr>
              <w:t xml:space="preserve">采购人</w:t>
            </w:r>
            <w:r>
              <w:rPr>
                <w:rFonts w:ascii="宋体" w:hAnsi="宋体" w:cs="宋体"/>
                <w:color w:val="000000"/>
              </w:rPr>
              <w:t xml:space="preserve">通知为准）。</w:t>
            </w:r>
            <w:r/>
          </w:p>
        </w:tc>
      </w:tr>
    </w:tbl>
    <w:p>
      <w:pPr>
        <w:jc w:val="left"/>
        <w:spacing w:before="145" w:after="145"/>
        <w:outlineLvl w:val="0"/>
      </w:pPr>
      <w:r>
        <w:rPr>
          <w:rFonts w:ascii="宋体" w:hAnsi="宋体" w:cs="宋体"/>
          <w:b/>
          <w:color w:val="000000"/>
          <w:sz w:val="28"/>
        </w:rPr>
        <w:t xml:space="preserve">第二部分 采购清单</w:t>
      </w:r>
      <w:r/>
    </w:p>
    <w:tbl>
      <w:tblPr>
        <w:tblStyle w:val="877"/>
        <w:tblW w:w="781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028"/>
        <w:gridCol w:w="2488"/>
        <w:gridCol w:w="702"/>
        <w:gridCol w:w="835"/>
        <w:gridCol w:w="1229"/>
        <w:gridCol w:w="1529"/>
      </w:tblGrid>
      <w:tr>
        <w:trPr>
          <w:jc w:val="center"/>
          <w:trHeight w:val="540"/>
        </w:trPr>
        <w:tc>
          <w:tcPr>
            <w:tcBorders>
              <w:top w:val="single" w:color="auto" w:sz="12" w:space="0"/>
              <w:left w:val="single" w:color="auto" w:sz="12" w:space="0"/>
              <w:bottom w:val="single" w:color="auto" w:sz="4" w:space="0"/>
              <w:right w:val="none" w:color="000000" w:sz="4" w:space="0"/>
            </w:tcBorders>
            <w:tcMar>
              <w:left w:w="20" w:type="dxa"/>
              <w:top w:w="20" w:type="dxa"/>
              <w:right w:w="20" w:type="dxa"/>
              <w:bottom w:w="20" w:type="dxa"/>
            </w:tcMar>
            <w:tcW w:w="1028" w:type="dxa"/>
            <w:vAlign w:val="center"/>
            <w:textDirection w:val="lrTb"/>
            <w:noWrap w:val="false"/>
          </w:tcPr>
          <w:p>
            <w:pPr>
              <w:jc w:val="center"/>
              <w:spacing w:line="273" w:lineRule="exact"/>
            </w:pPr>
            <w:r>
              <w:rPr>
                <w:rFonts w:ascii="宋体" w:hAnsi="宋体" w:cs="宋体"/>
                <w:b/>
                <w:color w:val="000000"/>
              </w:rPr>
              <w:t xml:space="preserve">序号</w:t>
            </w:r>
            <w:r/>
          </w:p>
        </w:tc>
        <w:tc>
          <w:tcPr>
            <w:tcBorders>
              <w:top w:val="single" w:color="auto" w:sz="12" w:space="0"/>
              <w:left w:val="single" w:color="auto" w:sz="6" w:space="0"/>
              <w:bottom w:val="single" w:color="auto" w:sz="4" w:space="0"/>
              <w:right w:val="none" w:color="000000" w:sz="4" w:space="0"/>
            </w:tcBorders>
            <w:tcMar>
              <w:left w:w="20" w:type="dxa"/>
              <w:top w:w="20" w:type="dxa"/>
              <w:right w:w="20" w:type="dxa"/>
              <w:bottom w:w="20" w:type="dxa"/>
            </w:tcMar>
            <w:tcW w:w="2488" w:type="dxa"/>
            <w:vAlign w:val="center"/>
            <w:textDirection w:val="lrTb"/>
            <w:noWrap w:val="false"/>
          </w:tcPr>
          <w:p>
            <w:pPr>
              <w:jc w:val="center"/>
              <w:spacing w:line="273" w:lineRule="exact"/>
            </w:pPr>
            <w:r>
              <w:rPr>
                <w:rFonts w:ascii="宋体" w:hAnsi="宋体" w:cs="宋体"/>
                <w:b/>
                <w:color w:val="000000"/>
              </w:rPr>
              <w:t xml:space="preserve">名称</w:t>
            </w:r>
            <w:r/>
          </w:p>
        </w:tc>
        <w:tc>
          <w:tcPr>
            <w:tcBorders>
              <w:top w:val="single" w:color="auto" w:sz="12" w:space="0"/>
              <w:left w:val="single" w:color="auto" w:sz="6" w:space="0"/>
              <w:bottom w:val="single" w:color="auto" w:sz="4" w:space="0"/>
              <w:right w:val="none" w:color="000000" w:sz="4" w:space="0"/>
            </w:tcBorders>
            <w:tcMar>
              <w:left w:w="20" w:type="dxa"/>
              <w:top w:w="20" w:type="dxa"/>
              <w:right w:w="20" w:type="dxa"/>
              <w:bottom w:w="20" w:type="dxa"/>
            </w:tcMar>
            <w:tcW w:w="702" w:type="dxa"/>
            <w:vAlign w:val="center"/>
            <w:textDirection w:val="lrTb"/>
            <w:noWrap w:val="false"/>
          </w:tcPr>
          <w:p>
            <w:pPr>
              <w:jc w:val="center"/>
              <w:spacing w:line="273" w:lineRule="exact"/>
            </w:pPr>
            <w:r>
              <w:rPr>
                <w:rFonts w:ascii="宋体" w:hAnsi="宋体" w:cs="宋体"/>
                <w:b/>
                <w:color w:val="000000"/>
              </w:rPr>
              <w:t xml:space="preserve">单位</w:t>
            </w:r>
            <w:r/>
          </w:p>
        </w:tc>
        <w:tc>
          <w:tcPr>
            <w:tcBorders>
              <w:top w:val="single" w:color="auto" w:sz="12" w:space="0"/>
              <w:left w:val="single" w:color="auto" w:sz="6" w:space="0"/>
              <w:bottom w:val="single" w:color="auto" w:sz="4" w:space="0"/>
              <w:right w:val="none" w:color="000000" w:sz="4" w:space="0"/>
            </w:tcBorders>
            <w:tcMar>
              <w:left w:w="20" w:type="dxa"/>
              <w:top w:w="20" w:type="dxa"/>
              <w:right w:w="20" w:type="dxa"/>
              <w:bottom w:w="20" w:type="dxa"/>
            </w:tcMar>
            <w:tcW w:w="835" w:type="dxa"/>
            <w:vAlign w:val="center"/>
            <w:textDirection w:val="lrTb"/>
            <w:noWrap w:val="false"/>
          </w:tcPr>
          <w:p>
            <w:pPr>
              <w:jc w:val="center"/>
              <w:spacing w:line="273" w:lineRule="exact"/>
            </w:pPr>
            <w:r>
              <w:rPr>
                <w:rFonts w:ascii="宋体" w:hAnsi="宋体" w:cs="宋体"/>
                <w:b/>
                <w:color w:val="000000"/>
              </w:rPr>
              <w:t xml:space="preserve">数量</w:t>
            </w:r>
            <w:r/>
          </w:p>
        </w:tc>
        <w:tc>
          <w:tcPr>
            <w:tcBorders>
              <w:top w:val="single" w:color="auto" w:sz="12" w:space="0"/>
              <w:left w:val="single" w:color="auto" w:sz="6" w:space="0"/>
              <w:bottom w:val="single" w:color="auto" w:sz="4" w:space="0"/>
              <w:right w:val="none" w:color="000000" w:sz="4" w:space="0"/>
            </w:tcBorders>
            <w:tcMar>
              <w:left w:w="20" w:type="dxa"/>
              <w:top w:w="20" w:type="dxa"/>
              <w:right w:w="20" w:type="dxa"/>
              <w:bottom w:w="20" w:type="dxa"/>
            </w:tcMar>
            <w:tcW w:w="1229" w:type="dxa"/>
            <w:vAlign w:val="center"/>
            <w:textDirection w:val="lrTb"/>
            <w:noWrap w:val="false"/>
          </w:tcPr>
          <w:p>
            <w:pPr>
              <w:jc w:val="center"/>
              <w:spacing w:line="273" w:lineRule="exact"/>
            </w:pPr>
            <w:r>
              <w:rPr>
                <w:rFonts w:ascii="宋体" w:hAnsi="宋体" w:cs="宋体"/>
                <w:b/>
                <w:color w:val="000000"/>
              </w:rPr>
              <w:t xml:space="preserve">进口产品</w:t>
            </w:r>
            <w:r/>
          </w:p>
        </w:tc>
        <w:tc>
          <w:tcPr>
            <w:tcBorders>
              <w:top w:val="single" w:color="auto" w:sz="12" w:space="0"/>
              <w:left w:val="single" w:color="auto" w:sz="6" w:space="0"/>
              <w:bottom w:val="single" w:color="auto" w:sz="4" w:space="0"/>
              <w:right w:val="single" w:color="auto" w:sz="12" w:space="0"/>
            </w:tcBorders>
            <w:tcMar>
              <w:left w:w="20" w:type="dxa"/>
              <w:top w:w="20" w:type="dxa"/>
              <w:right w:w="20" w:type="dxa"/>
              <w:bottom w:w="20" w:type="dxa"/>
            </w:tcMar>
            <w:tcW w:w="1529" w:type="dxa"/>
            <w:vAlign w:val="center"/>
            <w:textDirection w:val="lrTb"/>
            <w:noWrap w:val="false"/>
          </w:tcPr>
          <w:p>
            <w:pPr>
              <w:jc w:val="center"/>
              <w:spacing w:line="273" w:lineRule="exact"/>
            </w:pPr>
            <w:r>
              <w:rPr>
                <w:rFonts w:ascii="宋体" w:hAnsi="宋体" w:cs="宋体"/>
                <w:b/>
                <w:color w:val="000000"/>
              </w:rPr>
              <w:t xml:space="preserve">核心产品</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28" w:type="dxa"/>
            <w:vAlign w:val="center"/>
            <w:textDirection w:val="lrTb"/>
            <w:noWrap w:val="false"/>
          </w:tcPr>
          <w:p>
            <w:pPr>
              <w:jc w:val="center"/>
            </w:pP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488" w:type="dxa"/>
            <w:vAlign w:val="center"/>
            <w:textDirection w:val="lrTb"/>
            <w:noWrap w:val="false"/>
          </w:tcPr>
          <w:p>
            <w:pPr>
              <w:jc w:val="center"/>
              <w:spacing w:line="273" w:lineRule="exact"/>
            </w:pPr>
            <w:r>
              <w:rPr>
                <w:rFonts w:hint="eastAsia"/>
              </w:rPr>
              <w:t xml:space="preserve">活体CT影像系统</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2"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5" w:type="dxa"/>
            <w:vAlign w:val="center"/>
            <w:textDirection w:val="lrTb"/>
            <w:noWrap w:val="false"/>
          </w:tcPr>
          <w:p>
            <w:pPr>
              <w:jc w:val="center"/>
            </w:pPr>
            <w:r>
              <w:rPr>
                <w:rFonts w:ascii="宋体" w:hAnsi="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29" w:type="dxa"/>
            <w:vAlign w:val="center"/>
            <w:textDirection w:val="lrTb"/>
            <w:noWrap w:val="false"/>
          </w:tcPr>
          <w:p>
            <w:pPr>
              <w:jc w:val="center"/>
            </w:pPr>
            <w:r>
              <w:rPr>
                <w:rFonts w:ascii="宋体" w:hAnsi="宋体" w:cs="宋体"/>
                <w:color w:val="000000"/>
              </w:rPr>
              <w:t xml:space="preserve">接受</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529" w:type="dxa"/>
            <w:vAlign w:val="center"/>
            <w:textDirection w:val="lrTb"/>
            <w:noWrap w:val="false"/>
          </w:tcPr>
          <w:p>
            <w:pPr>
              <w:jc w:val="center"/>
            </w:pPr>
            <w:r>
              <w:rPr>
                <w:rFonts w:ascii="宋体" w:hAnsi="宋体" w:cs="宋体"/>
                <w:color w:val="000000"/>
              </w:rPr>
              <w:t xml:space="preserve">是</w:t>
            </w:r>
            <w:r/>
          </w:p>
        </w:tc>
      </w:tr>
    </w:tbl>
    <w:p>
      <w:pPr>
        <w:spacing w:line="120" w:lineRule="exact"/>
      </w:pPr>
      <w:r/>
      <w:r/>
    </w:p>
    <w:p>
      <w:pPr>
        <w:jc w:val="left"/>
        <w:spacing w:before="145" w:after="145"/>
        <w:outlineLvl w:val="0"/>
      </w:pPr>
      <w:r>
        <w:rPr>
          <w:rFonts w:ascii="宋体" w:hAnsi="宋体" w:cs="宋体"/>
          <w:b/>
          <w:color w:val="000000"/>
          <w:sz w:val="28"/>
        </w:rPr>
        <w:t xml:space="preserve">第三部分 技术参数（标准）</w:t>
      </w:r>
      <w:r/>
    </w:p>
    <w:p>
      <w:pPr>
        <w:jc w:val="left"/>
        <w:spacing w:line="378" w:lineRule="exact"/>
        <w:rPr>
          <w:rFonts w:hint="eastAsia" w:ascii="宋体" w:hAnsi="宋体" w:cs="宋体"/>
          <w:color w:val="000000"/>
        </w:rPr>
      </w:pPr>
      <w:r>
        <w:rPr>
          <w:rFonts w:ascii="宋体" w:hAnsi="宋体" w:cs="宋体"/>
          <w:color w:val="000000"/>
        </w:rPr>
        <w:t xml:space="preserve">★1.配置</w:t>
      </w:r>
      <w:r/>
    </w:p>
    <w:tbl>
      <w:tblPr>
        <w:tblStyle w:val="9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751"/>
        <w:gridCol w:w="2871"/>
      </w:tblGrid>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序号</w:t>
            </w:r>
            <w:r/>
          </w:p>
        </w:tc>
        <w:tc>
          <w:tcPr>
            <w:tcW w:w="4751"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名称</w:t>
            </w:r>
            <w:r/>
          </w:p>
        </w:tc>
        <w:tc>
          <w:tcPr>
            <w:tcW w:w="2871"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数量</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1</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小动物Micro-CT主机</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一套</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2</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离体样品台、小鼠床和大鼠床</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一套</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3</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小动物气体麻醉系统</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一台</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4</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大小鼠骨密度标准品</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一套</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5</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数据采集工作站</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一套</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6</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数据分析工作站</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两套</w:t>
            </w:r>
            <w:r/>
          </w:p>
        </w:tc>
      </w:tr>
      <w:tr>
        <w:trPr/>
        <w:tc>
          <w:tcPr>
            <w:tcW w:w="988" w:type="dxa"/>
            <w:textDirection w:val="lrTb"/>
            <w:noWrap w:val="false"/>
          </w:tcPr>
          <w:p>
            <w:pPr>
              <w:jc w:val="center"/>
              <w:spacing w:line="378" w:lineRule="exact"/>
              <w:rPr>
                <w:rFonts w:hint="eastAsia" w:ascii="宋体" w:hAnsi="宋体" w:cs="宋体"/>
                <w:color w:val="000000"/>
              </w:rPr>
            </w:pPr>
            <w:r>
              <w:rPr>
                <w:rFonts w:hint="eastAsia" w:ascii="宋体" w:hAnsi="宋体" w:cs="宋体"/>
                <w:color w:val="000000"/>
              </w:rPr>
              <w:t xml:space="preserve">7</w:t>
            </w:r>
            <w:r/>
          </w:p>
        </w:tc>
        <w:tc>
          <w:tcPr>
            <w:tcW w:w="475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数据获取及分析软件</w:t>
            </w:r>
            <w:r/>
          </w:p>
        </w:tc>
        <w:tc>
          <w:tcPr>
            <w:tcW w:w="2871" w:type="dxa"/>
            <w:textDirection w:val="lrTb"/>
            <w:noWrap w:val="false"/>
          </w:tcPr>
          <w:p>
            <w:pPr>
              <w:jc w:val="center"/>
              <w:spacing w:line="378" w:lineRule="exact"/>
              <w:rPr>
                <w:rFonts w:hint="eastAsia" w:ascii="宋体" w:hAnsi="宋体" w:cs="宋体"/>
                <w:color w:val="000000"/>
              </w:rPr>
            </w:pPr>
            <w:r>
              <w:rPr>
                <w:rFonts w:ascii="宋体" w:hAnsi="宋体" w:cs="宋体"/>
                <w:color w:val="000000"/>
              </w:rPr>
              <w:t xml:space="preserve">一套</w:t>
            </w:r>
            <w:r/>
          </w:p>
        </w:tc>
      </w:tr>
    </w:tbl>
    <w:p>
      <w:pPr>
        <w:jc w:val="center"/>
        <w:spacing w:line="378" w:lineRule="exact"/>
        <w:rPr>
          <w:rFonts w:hint="eastAsia" w:ascii="宋体" w:hAnsi="宋体" w:cs="宋体"/>
          <w:color w:val="000000"/>
        </w:rPr>
      </w:pPr>
      <w:r>
        <w:rPr>
          <w:rFonts w:hint="eastAsia" w:ascii="宋体" w:hAnsi="宋体" w:cs="宋体"/>
          <w:color w:val="000000"/>
        </w:rPr>
      </w:r>
      <w:r/>
    </w:p>
    <w:p>
      <w:pPr>
        <w:jc w:val="left"/>
        <w:spacing w:line="378" w:lineRule="exact"/>
      </w:pPr>
      <w:r>
        <w:rPr>
          <w:rFonts w:ascii="宋体" w:hAnsi="宋体" w:cs="宋体"/>
          <w:color w:val="000000"/>
        </w:rPr>
        <w:t xml:space="preserve">2.机架防护：整机系统具备自屏蔽防护设计，工作时设备外表面任意位置的X射线辐射剂量≤1μSv/h ；</w:t>
      </w:r>
      <w:r/>
    </w:p>
    <w:p>
      <w:pPr>
        <w:jc w:val="left"/>
        <w:spacing w:line="378" w:lineRule="exact"/>
      </w:pPr>
      <w:r>
        <w:rPr>
          <w:rFonts w:ascii="宋体" w:hAnsi="宋体" w:cs="宋体"/>
          <w:color w:val="000000"/>
        </w:rPr>
        <w:t xml:space="preserve">★3.机架机构：具备360度连续旋转扫描架构； </w:t>
      </w:r>
      <w:r/>
    </w:p>
    <w:p>
      <w:pPr>
        <w:jc w:val="left"/>
        <w:spacing w:line="378" w:lineRule="exact"/>
      </w:pPr>
      <w:r>
        <w:rPr>
          <w:rFonts w:ascii="宋体" w:hAnsi="宋体" w:cs="宋体"/>
          <w:color w:val="000000"/>
        </w:rPr>
        <w:t xml:space="preserve">4. 单次扫描时间≤4 sec；</w:t>
      </w:r>
      <w:r/>
    </w:p>
    <w:p>
      <w:pPr>
        <w:jc w:val="left"/>
        <w:spacing w:line="378" w:lineRule="exact"/>
        <w:rPr>
          <w:highlight w:val="none"/>
        </w:rPr>
      </w:pPr>
      <w:r>
        <w:rPr>
          <w:rFonts w:ascii="宋体" w:hAnsi="宋体" w:cs="宋体"/>
          <w:color w:val="000000"/>
          <w:highlight w:val="none"/>
        </w:rPr>
        <w:t xml:space="preserve">▲5.X探测器类型：CMOS平板探测器，X射线探测器像素 ≥ 1000万，至少具备4级像素合并方式； </w:t>
      </w:r>
      <w:r/>
    </w:p>
    <w:p>
      <w:pPr>
        <w:jc w:val="left"/>
        <w:spacing w:line="378" w:lineRule="exact"/>
      </w:pPr>
      <w:r>
        <w:rPr>
          <w:rFonts w:ascii="宋体" w:hAnsi="宋体" w:cs="宋体"/>
          <w:color w:val="000000"/>
        </w:rPr>
        <w:t xml:space="preserve">6.X射线源：</w:t>
      </w:r>
      <w:r/>
    </w:p>
    <w:p>
      <w:pPr>
        <w:jc w:val="left"/>
        <w:spacing w:line="378" w:lineRule="exact"/>
      </w:pPr>
      <w:r>
        <w:rPr>
          <w:rFonts w:ascii="宋体" w:hAnsi="宋体" w:cs="宋体"/>
          <w:color w:val="000000"/>
        </w:rPr>
        <w:t xml:space="preserve">6.1 最大电压≥100 kV，射线源焦点尺寸≤ 5µm，最大电流≥200μA，电压电流连续可调； </w:t>
      </w:r>
      <w:r/>
    </w:p>
    <w:p>
      <w:pPr>
        <w:jc w:val="left"/>
        <w:spacing w:line="378" w:lineRule="exact"/>
        <w:rPr>
          <w:highlight w:val="none"/>
        </w:rPr>
      </w:pPr>
      <w:r>
        <w:rPr>
          <w:rFonts w:ascii="宋体" w:hAnsi="宋体" w:cs="宋体"/>
          <w:color w:val="000000"/>
          <w:highlight w:val="none"/>
        </w:rPr>
        <w:t xml:space="preserve">★6.2自动金属滤片转换器位置数量≥5，进行成像优化，安装后仪器自动识别，无需手动设置； </w:t>
      </w:r>
      <w:r/>
    </w:p>
    <w:p>
      <w:pPr>
        <w:jc w:val="left"/>
        <w:spacing w:line="378" w:lineRule="exact"/>
      </w:pPr>
      <w:r>
        <w:rPr>
          <w:rFonts w:ascii="宋体" w:hAnsi="宋体" w:cs="宋体"/>
          <w:color w:val="000000"/>
        </w:rPr>
        <w:t xml:space="preserve">▲7.内置实时辐射剂量测定仪：扫描时可以实时显示动物所受的辐射剂量率和剂量； </w:t>
      </w:r>
      <w:r/>
    </w:p>
    <w:p>
      <w:pPr>
        <w:jc w:val="left"/>
        <w:spacing w:line="378" w:lineRule="exact"/>
      </w:pPr>
      <w:r>
        <w:rPr>
          <w:rFonts w:ascii="宋体" w:hAnsi="宋体" w:cs="宋体"/>
          <w:color w:val="000000"/>
        </w:rPr>
        <w:t xml:space="preserve">▲8.具有集成式生理监控系统，至少包含：呼吸门控系统、心电门控系统、运动实时显示和监测系统、温度稳定控制系统和气体麻醉接口； </w:t>
      </w:r>
      <w:r/>
    </w:p>
    <w:p>
      <w:pPr>
        <w:jc w:val="left"/>
        <w:spacing w:line="378" w:lineRule="exact"/>
      </w:pPr>
      <w:r>
        <w:rPr>
          <w:rFonts w:ascii="宋体" w:hAnsi="宋体" w:cs="宋体"/>
          <w:color w:val="000000"/>
        </w:rPr>
        <w:t xml:space="preserve">9.配备小鼠床、大鼠床和离体样品台≥6个（至少包含小鼠床2个、大鼠床1个、离体样品台3个），动物床具备麻醉气体面罩和管路，以及心电图电极和温度传感器的连接端口； </w:t>
      </w:r>
      <w:r/>
    </w:p>
    <w:p>
      <w:pPr>
        <w:jc w:val="left"/>
        <w:spacing w:line="378" w:lineRule="exact"/>
      </w:pPr>
      <w:r>
        <w:rPr>
          <w:rFonts w:ascii="宋体" w:hAnsi="宋体" w:cs="宋体"/>
          <w:color w:val="000000"/>
        </w:rPr>
        <w:t xml:space="preserve">10.分辨率：</w:t>
      </w:r>
      <w:r/>
    </w:p>
    <w:p>
      <w:pPr>
        <w:jc w:val="left"/>
        <w:spacing w:line="378" w:lineRule="exact"/>
      </w:pPr>
      <w:r>
        <w:rPr>
          <w:rFonts w:ascii="宋体" w:hAnsi="宋体" w:cs="宋体"/>
          <w:color w:val="000000"/>
        </w:rPr>
        <w:t xml:space="preserve">10.1 分辨率连续可调，最高分辨率≤2.9 µm； </w:t>
      </w:r>
      <w:r/>
    </w:p>
    <w:p>
      <w:pPr>
        <w:jc w:val="left"/>
        <w:spacing w:line="378" w:lineRule="exact"/>
        <w:rPr>
          <w:b/>
          <w:bCs/>
          <w:highlight w:val="cyan"/>
        </w:rPr>
      </w:pPr>
      <w:r>
        <w:rPr>
          <w:rFonts w:ascii="宋体" w:hAnsi="宋体" w:cs="宋体"/>
          <w:color w:val="000000"/>
        </w:rPr>
        <w:t xml:space="preserve">★10.2 低对比度空间分辨率(10％MTF)：≤ 6</w:t>
      </w:r>
      <w:r>
        <w:rPr>
          <w:rFonts w:ascii="宋体" w:hAnsi="宋体" w:cs="宋体"/>
          <w:color w:val="000000"/>
          <w:highlight w:val="none"/>
        </w:rPr>
        <w:t xml:space="preserve">µm</w:t>
      </w:r>
      <w:r>
        <w:rPr>
          <w:rFonts w:ascii="宋体" w:hAnsi="宋体" w:cs="宋体"/>
          <w:b/>
          <w:bCs/>
          <w:color w:val="000000"/>
          <w:highlight w:val="none"/>
        </w:rPr>
        <w:t xml:space="preserve">（提供第三方有正交取向的两个完全相同的硅芯片图像假体扫描后的数据作为证明）</w:t>
      </w:r>
      <w:r/>
    </w:p>
    <w:p>
      <w:pPr>
        <w:jc w:val="left"/>
        <w:spacing w:line="378" w:lineRule="exact"/>
      </w:pPr>
      <w:r>
        <w:rPr>
          <w:rFonts w:ascii="宋体" w:hAnsi="宋体" w:cs="宋体"/>
          <w:color w:val="000000"/>
        </w:rPr>
        <w:t xml:space="preserve">11.样品扫描</w:t>
      </w:r>
      <w:r/>
    </w:p>
    <w:p>
      <w:pPr>
        <w:jc w:val="left"/>
        <w:spacing w:line="378" w:lineRule="exact"/>
      </w:pPr>
      <w:r>
        <w:rPr>
          <w:rFonts w:ascii="宋体" w:hAnsi="宋体" w:cs="宋体"/>
          <w:color w:val="000000"/>
        </w:rPr>
        <w:t xml:space="preserve">11.1. 轴向扫描最大范围 ≥28 cm，单次扫描视野可调直径范围包括:30-75mm，可多视野拼接； </w:t>
      </w:r>
      <w:r/>
    </w:p>
    <w:p>
      <w:pPr>
        <w:jc w:val="left"/>
        <w:spacing w:line="378" w:lineRule="exact"/>
      </w:pPr>
      <w:r>
        <w:rPr>
          <w:rFonts w:ascii="宋体" w:hAnsi="宋体" w:cs="宋体"/>
          <w:color w:val="000000"/>
        </w:rPr>
        <w:t xml:space="preserve">11.2离体样本支持批扫描功能； </w:t>
      </w:r>
      <w:r/>
    </w:p>
    <w:p>
      <w:pPr>
        <w:jc w:val="left"/>
        <w:spacing w:line="378" w:lineRule="exact"/>
      </w:pPr>
      <w:r>
        <w:rPr>
          <w:rFonts w:ascii="宋体" w:hAnsi="宋体" w:cs="宋体"/>
          <w:color w:val="000000"/>
        </w:rPr>
        <w:t xml:space="preserve">▲11.3具有压力感应触屏操作模块，可进行滤片转换、电压、电流和扫描控制的参数选择； </w:t>
      </w:r>
      <w:r/>
    </w:p>
    <w:p>
      <w:pPr>
        <w:jc w:val="left"/>
        <w:spacing w:line="378" w:lineRule="exact"/>
      </w:pPr>
      <w:r>
        <w:rPr>
          <w:rFonts w:ascii="宋体" w:hAnsi="宋体" w:cs="宋体"/>
          <w:color w:val="000000"/>
        </w:rPr>
        <w:t xml:space="preserve">▲11.4.扫描方式包括：步进式扫描、连续式扫描模式和螺旋扫描模式，扫描时同步支持时间解析4D呼吸门控扫描和心电门控扫描； </w:t>
      </w:r>
      <w:r/>
    </w:p>
    <w:p>
      <w:pPr>
        <w:jc w:val="left"/>
        <w:spacing w:line="378" w:lineRule="exact"/>
      </w:pPr>
      <w:r>
        <w:rPr>
          <w:rFonts w:ascii="宋体" w:hAnsi="宋体" w:cs="宋体"/>
          <w:color w:val="000000"/>
        </w:rPr>
        <w:t xml:space="preserve">12.重建方式包括GPU加速重建算法，螺旋扫描模式，单次扫描后重建最大体积：≥7800x7800x2500体素； </w:t>
      </w:r>
      <w:r/>
    </w:p>
    <w:p>
      <w:pPr>
        <w:jc w:val="left"/>
        <w:spacing w:line="378" w:lineRule="exact"/>
      </w:pPr>
      <w:r>
        <w:rPr>
          <w:rFonts w:ascii="宋体" w:hAnsi="宋体" w:cs="宋体"/>
          <w:color w:val="000000"/>
        </w:rPr>
        <w:t xml:space="preserve">13.软件包 ：</w:t>
      </w:r>
      <w:r/>
    </w:p>
    <w:p>
      <w:pPr>
        <w:jc w:val="left"/>
        <w:spacing w:line="378" w:lineRule="exact"/>
      </w:pPr>
      <w:r>
        <w:rPr>
          <w:rFonts w:ascii="宋体" w:hAnsi="宋体" w:cs="宋体"/>
          <w:color w:val="000000"/>
        </w:rPr>
        <w:t xml:space="preserve">13.1包含扫描控制软件、GPU加速数据重建软件、重建结果可视化软件、2D/3D图片处理和数据分析软件、表面重建可视化软件、容积重建可视化软件； </w:t>
      </w:r>
      <w:r/>
    </w:p>
    <w:p>
      <w:pPr>
        <w:jc w:val="left"/>
        <w:spacing w:line="378" w:lineRule="exact"/>
      </w:pPr>
      <w:r>
        <w:rPr>
          <w:rFonts w:ascii="宋体" w:hAnsi="宋体" w:cs="宋体"/>
          <w:color w:val="000000"/>
        </w:rPr>
        <w:t xml:space="preserve">13.2分析软件具备骨密度和形态分析功能、斜切功能、2D和3D分析功能； </w:t>
      </w:r>
      <w:r/>
    </w:p>
    <w:p>
      <w:pPr>
        <w:jc w:val="left"/>
        <w:spacing w:line="378" w:lineRule="exact"/>
      </w:pPr>
      <w:r>
        <w:rPr>
          <w:rFonts w:ascii="宋体" w:hAnsi="宋体" w:cs="宋体"/>
          <w:color w:val="000000"/>
        </w:rPr>
        <w:t xml:space="preserve">13.3软件系统自带GLP模块，软件具有自动校准和背景校正模块； </w:t>
      </w:r>
      <w:r/>
    </w:p>
    <w:p>
      <w:pPr>
        <w:jc w:val="left"/>
        <w:spacing w:line="378" w:lineRule="exact"/>
      </w:pPr>
      <w:r>
        <w:rPr>
          <w:rFonts w:ascii="宋体" w:hAnsi="宋体" w:cs="宋体"/>
          <w:color w:val="000000"/>
        </w:rPr>
        <w:t xml:space="preserve">14.工作站： </w:t>
      </w:r>
      <w:r/>
    </w:p>
    <w:p>
      <w:pPr>
        <w:jc w:val="left"/>
        <w:spacing w:line="378" w:lineRule="exact"/>
      </w:pPr>
      <w:r>
        <w:rPr>
          <w:rFonts w:ascii="宋体" w:hAnsi="宋体" w:cs="宋体"/>
          <w:color w:val="000000"/>
        </w:rPr>
        <w:t xml:space="preserve">14.1处理器：</w:t>
      </w:r>
      <w:r>
        <w:rPr>
          <w:rFonts w:hint="eastAsia" w:ascii="宋体" w:hAnsi="宋体" w:cs="宋体"/>
          <w:color w:val="000000"/>
        </w:rPr>
        <w:t xml:space="preserve">处理器核心数≥12核、显存≥24GB，具备同等或更优的图形处理能力；</w:t>
      </w:r>
      <w:r/>
    </w:p>
    <w:p>
      <w:pPr>
        <w:jc w:val="left"/>
        <w:spacing w:line="378" w:lineRule="exact"/>
      </w:pPr>
      <w:r>
        <w:rPr>
          <w:rFonts w:ascii="宋体" w:hAnsi="宋体" w:cs="宋体"/>
          <w:color w:val="000000"/>
        </w:rPr>
        <w:t xml:space="preserve">14.2内存≥ 128GB，显卡≥ 24G NVIDIA® Quadro®；硬盘≥ 8TB；</w:t>
      </w:r>
      <w:r/>
    </w:p>
    <w:p>
      <w:pPr>
        <w:jc w:val="left"/>
        <w:spacing w:line="378" w:lineRule="exact"/>
      </w:pPr>
      <w:r>
        <w:rPr>
          <w:rFonts w:ascii="宋体" w:hAnsi="宋体" w:cs="宋体"/>
          <w:color w:val="000000"/>
        </w:rPr>
        <w:t xml:space="preserve">14.3 系统：Windows 10 Professional 64位操作系统以上；</w:t>
      </w:r>
      <w:r/>
    </w:p>
    <w:p>
      <w:pPr>
        <w:jc w:val="left"/>
        <w:spacing w:line="378" w:lineRule="exact"/>
        <w:rPr>
          <w:rFonts w:hint="eastAsia" w:ascii="宋体" w:hAnsi="宋体" w:cs="宋体"/>
          <w:color w:val="000000"/>
        </w:rPr>
      </w:pPr>
      <w:r>
        <w:rPr>
          <w:rFonts w:ascii="宋体" w:hAnsi="宋体" w:cs="宋体"/>
          <w:color w:val="000000"/>
        </w:rPr>
        <w:t xml:space="preserve">14.4显示器：≥24英寸影像专用显示器；</w:t>
      </w:r>
      <w:r/>
    </w:p>
    <w:p>
      <w:pPr>
        <w:spacing w:line="120" w:lineRule="exact"/>
      </w:pPr>
      <w:r/>
      <w:r/>
    </w:p>
    <w:p>
      <w:pPr>
        <w:jc w:val="left"/>
        <w:spacing w:before="145" w:after="145"/>
        <w:outlineLvl w:val="0"/>
      </w:pPr>
      <w:r>
        <w:rPr>
          <w:rFonts w:ascii="宋体" w:hAnsi="宋体" w:cs="宋体"/>
          <w:b/>
          <w:color w:val="000000"/>
          <w:sz w:val="28"/>
        </w:rPr>
        <w:t xml:space="preserve">第四部分 服务要求</w:t>
      </w:r>
      <w:r/>
    </w:p>
    <w:p>
      <w:pPr>
        <w:spacing w:line="120" w:lineRule="exact"/>
      </w:pPr>
      <w:r/>
      <w:r/>
    </w:p>
    <w:p>
      <w:pPr>
        <w:jc w:val="left"/>
        <w:spacing w:line="378" w:lineRule="exact"/>
      </w:pPr>
      <w:r>
        <w:rPr>
          <w:rFonts w:ascii="宋体" w:hAnsi="宋体" w:cs="宋体"/>
          <w:color w:val="000000"/>
        </w:rPr>
        <w:t xml:space="preserve">(一)售后服务要求</w:t>
      </w:r>
      <w:r/>
    </w:p>
    <w:p>
      <w:pPr>
        <w:jc w:val="left"/>
        <w:spacing w:line="378" w:lineRule="exact"/>
        <w:rPr>
          <w:highlight w:val="magenta"/>
        </w:rPr>
      </w:pPr>
      <w:r>
        <w:rPr>
          <w:rFonts w:ascii="宋体" w:hAnsi="宋体" w:cs="宋体"/>
          <w:color w:val="000000"/>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rPr>
        <w:t xml:space="preserve">原厂</w:t>
      </w:r>
      <w:r>
        <w:rPr>
          <w:rFonts w:ascii="宋体" w:hAnsi="宋体" w:cs="宋体"/>
          <w:color w:val="000000"/>
        </w:rPr>
        <w:t xml:space="preserve">维修工程师应于48小时内至现场解决。在质量保证期内，免费维修更换有缺陷的设备或部件，质量保证期外，卖方继续提供维修服务及零部件更换</w:t>
      </w:r>
      <w:r>
        <w:rPr>
          <w:rFonts w:hint="eastAsia" w:ascii="宋体" w:hAnsi="宋体" w:cs="宋体"/>
          <w:color w:val="000000"/>
        </w:rPr>
        <w:t xml:space="preserve">，费用不得高于市场价</w:t>
      </w:r>
      <w:r>
        <w:rPr>
          <w:rFonts w:ascii="宋体" w:hAnsi="宋体" w:cs="宋体"/>
          <w:color w:val="000000"/>
        </w:rPr>
        <w:t xml:space="preserve">。</w:t>
      </w:r>
      <w:r/>
    </w:p>
    <w:p>
      <w:pPr>
        <w:jc w:val="left"/>
        <w:spacing w:line="378" w:lineRule="exact"/>
      </w:pPr>
      <w:r>
        <w:rPr>
          <w:rFonts w:ascii="宋体" w:hAnsi="宋体" w:cs="宋体"/>
          <w:color w:val="000000"/>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w:t>
      </w:r>
      <w:r>
        <w:rPr>
          <w:rFonts w:ascii="宋体" w:hAnsi="宋体" w:cs="宋体"/>
          <w:color w:val="000000"/>
          <w:highlight w:val="none"/>
        </w:rPr>
        <w:t xml:space="preserve">身提供广泛优惠的技</w:t>
      </w:r>
      <w:r>
        <w:rPr>
          <w:rFonts w:ascii="宋体" w:hAnsi="宋体" w:cs="宋体"/>
          <w:color w:val="000000"/>
        </w:rPr>
        <w:t xml:space="preserve">术支持及配件供应。</w:t>
      </w:r>
      <w:r/>
    </w:p>
    <w:p>
      <w:pPr>
        <w:jc w:val="left"/>
        <w:spacing w:line="378" w:lineRule="exact"/>
      </w:pPr>
      <w:r>
        <w:rPr>
          <w:rFonts w:ascii="宋体" w:hAnsi="宋体" w:cs="宋体"/>
          <w:color w:val="000000"/>
        </w:rPr>
        <w:t xml:space="preserve">3、其他的服务内容：供应商根据合同规定提供设备安装调试所需的资料, 并在保证安全和质量的前提下提供技术支持, 包括技术咨询、现场服务等。</w:t>
      </w:r>
      <w:r/>
    </w:p>
    <w:p>
      <w:pPr>
        <w:jc w:val="left"/>
        <w:spacing w:line="378" w:lineRule="exact"/>
      </w:pPr>
      <w:r>
        <w:rPr>
          <w:rFonts w:ascii="宋体" w:hAnsi="宋体" w:cs="宋体"/>
          <w:color w:val="000000"/>
        </w:rPr>
        <w:t xml:space="preserve">4、在设备交付运行后，供应商如对系统软件改进，增加新功能以及适应新建议所做实质性修改的最新版本，应主动提示采购人并免费提供升级服务。</w:t>
      </w:r>
      <w:r/>
    </w:p>
    <w:p>
      <w:pPr>
        <w:jc w:val="left"/>
        <w:spacing w:line="378" w:lineRule="exact"/>
      </w:pPr>
      <w:r>
        <w:rPr>
          <w:rFonts w:ascii="宋体" w:hAnsi="宋体" w:cs="宋体"/>
          <w:color w:val="000000"/>
        </w:rPr>
        <w:t xml:space="preserve">5、供应商应设有技术支持中心，提供专业的技术支持和维修服务，在所提供设备的寿命期内保证设备终身技术支持。</w:t>
      </w:r>
      <w:r/>
    </w:p>
    <w:p>
      <w:pPr>
        <w:jc w:val="left"/>
        <w:spacing w:line="378" w:lineRule="exact"/>
        <w:rPr>
          <w:b/>
          <w:bCs/>
        </w:rPr>
      </w:pPr>
      <w:r>
        <w:rPr>
          <w:rFonts w:ascii="宋体" w:hAnsi="宋体" w:cs="宋体"/>
          <w:color w:val="000000"/>
        </w:rPr>
        <w:t xml:space="preserve">★6、供应商应承诺，根据采购人实际需要提供在同一校区内免费设备移机服务1次。</w:t>
      </w:r>
      <w:r>
        <w:rPr>
          <w:rFonts w:hint="eastAsia" w:ascii="宋体" w:hAnsi="宋体" w:cs="宋体"/>
          <w:b/>
          <w:bCs/>
          <w:color w:val="000000"/>
        </w:rPr>
        <w:t xml:space="preserve">（提供承诺书加盖电子章）</w:t>
      </w:r>
      <w:r/>
    </w:p>
    <w:p>
      <w:pPr>
        <w:jc w:val="left"/>
        <w:spacing w:line="378" w:lineRule="exact"/>
      </w:pPr>
      <w:r>
        <w:rPr>
          <w:rFonts w:ascii="宋体" w:hAnsi="宋体" w:cs="宋体"/>
          <w:color w:val="000000"/>
        </w:rPr>
        <w:t xml:space="preserve">7、供应商需在仪器安装完72h内安排仪器操作人员、维护人员的培训，培训形式包括现场培训或线上培训。</w:t>
      </w:r>
      <w:r/>
    </w:p>
    <w:p>
      <w:pPr>
        <w:jc w:val="left"/>
        <w:spacing w:line="378" w:lineRule="exact"/>
      </w:pPr>
      <w:r>
        <w:rPr>
          <w:rFonts w:ascii="宋体" w:hAnsi="宋体" w:cs="宋体"/>
          <w:color w:val="000000"/>
        </w:rPr>
        <w:t xml:space="preserve">★(二)质保期限</w:t>
      </w:r>
      <w:r/>
    </w:p>
    <w:p>
      <w:pPr>
        <w:jc w:val="left"/>
        <w:spacing w:line="378" w:lineRule="exact"/>
      </w:pPr>
      <w:r>
        <w:rPr>
          <w:rFonts w:ascii="宋体" w:hAnsi="宋体" w:cs="宋体"/>
          <w:color w:val="000000"/>
        </w:rPr>
        <w:t xml:space="preserve">本次采购设备的质量保证期自设备完成验收后，采购人与供应商双方签字之日起计算，质量保证期至少为2年（24个月）。</w:t>
      </w:r>
      <w:r/>
    </w:p>
    <w:p>
      <w:pPr>
        <w:pStyle w:val="1158"/>
        <w:ind w:firstLine="422"/>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left"/>
        <w:spacing w:before="145" w:after="145"/>
        <w:outlineLvl w:val="0"/>
      </w:pPr>
      <w:r>
        <w:rPr>
          <w:rFonts w:ascii="宋体" w:hAnsi="宋体" w:cs="宋体"/>
          <w:b/>
          <w:color w:val="000000"/>
          <w:sz w:val="28"/>
        </w:rPr>
        <w:t xml:space="preserve">第</w:t>
      </w:r>
      <w:r>
        <w:rPr>
          <w:rFonts w:hint="eastAsia" w:ascii="宋体" w:hAnsi="宋体" w:cs="宋体"/>
          <w:b/>
          <w:color w:val="000000"/>
          <w:sz w:val="28"/>
        </w:rPr>
        <w:t xml:space="preserve">五</w:t>
      </w:r>
      <w:r>
        <w:rPr>
          <w:rFonts w:ascii="宋体" w:hAnsi="宋体" w:cs="宋体"/>
          <w:b/>
          <w:color w:val="000000"/>
          <w:sz w:val="28"/>
        </w:rPr>
        <w:t xml:space="preserve">部分 验收标准</w:t>
      </w:r>
      <w:r/>
    </w:p>
    <w:p>
      <w:pPr>
        <w:jc w:val="left"/>
        <w:spacing w:line="378" w:lineRule="exact"/>
      </w:pPr>
      <w:r>
        <w:rPr>
          <w:rFonts w:ascii="宋体" w:hAnsi="宋体" w:cs="宋体"/>
          <w:color w:val="000000"/>
        </w:rPr>
        <w:t xml:space="preserve">1、乙方交货前应对货物全面检查并对验收文件进行整理，列出清单提交甲方，检验的结果亦应随货物交甲方。</w:t>
      </w:r>
      <w:r/>
    </w:p>
    <w:p>
      <w:pPr>
        <w:jc w:val="left"/>
        <w:spacing w:line="378" w:lineRule="exact"/>
      </w:pPr>
      <w:r>
        <w:rPr>
          <w:rFonts w:ascii="宋体" w:hAnsi="宋体" w:cs="宋体"/>
          <w:color w:val="000000"/>
        </w:rPr>
        <w:t xml:space="preserve">2、甲方对乙方提供的货物在使用前进行调试时，乙方需负责安装并培训甲方的使用操作人员，并协助甲方一起调试，直到符合技术要求。</w:t>
      </w:r>
      <w:r/>
    </w:p>
    <w:p>
      <w:pPr>
        <w:jc w:val="left"/>
        <w:spacing w:line="378" w:lineRule="exact"/>
      </w:pPr>
      <w:r>
        <w:rPr>
          <w:rFonts w:ascii="宋体" w:hAnsi="宋体" w:cs="宋体"/>
          <w:color w:val="000000"/>
        </w:rPr>
        <w:t xml:space="preserve">3、在安装、调试和验收过程中，如发现有漏件、缺件，乙方应无条件、无偿补齐，所发生的一切费用，视为已包含在</w:t>
      </w:r>
      <w:r>
        <w:rPr>
          <w:rFonts w:hint="eastAsia" w:ascii="宋体" w:hAnsi="宋体" w:cs="宋体"/>
          <w:color w:val="000000"/>
          <w:lang w:val="en-US" w:eastAsia="zh-CN"/>
        </w:rPr>
        <w:t xml:space="preserve">投标</w:t>
      </w:r>
      <w:r>
        <w:rPr>
          <w:rFonts w:ascii="宋体" w:hAnsi="宋体" w:cs="宋体"/>
          <w:color w:val="000000"/>
        </w:rPr>
        <w:t xml:space="preserve">时的</w:t>
      </w:r>
      <w:r>
        <w:rPr>
          <w:rFonts w:hint="eastAsia" w:ascii="宋体" w:hAnsi="宋体" w:cs="宋体"/>
          <w:color w:val="000000"/>
          <w:lang w:val="en-US" w:eastAsia="zh-CN"/>
        </w:rPr>
        <w:t xml:space="preserve">投标</w:t>
      </w:r>
      <w:r>
        <w:rPr>
          <w:rFonts w:ascii="宋体" w:hAnsi="宋体" w:cs="宋体"/>
          <w:color w:val="000000"/>
        </w:rPr>
        <w:t xml:space="preserve">报价中，且并不因此而影响交付甲方使用的时间。</w:t>
      </w:r>
      <w:r/>
    </w:p>
    <w:p>
      <w:pPr>
        <w:jc w:val="left"/>
        <w:spacing w:line="378" w:lineRule="exact"/>
        <w:rPr>
          <w:highlight w:val="none"/>
        </w:rPr>
      </w:pPr>
      <w:r>
        <w:rPr>
          <w:rFonts w:ascii="宋体" w:hAnsi="宋体" w:cs="宋体"/>
          <w:color w:val="000000"/>
        </w:rPr>
        <w:t xml:space="preserve">4、甲方对乙方提交的货物依据</w:t>
      </w:r>
      <w:r>
        <w:rPr>
          <w:rFonts w:hint="eastAsia" w:ascii="宋体" w:hAnsi="宋体" w:cs="宋体"/>
          <w:color w:val="000000"/>
          <w:lang w:val="en-US" w:eastAsia="zh-CN"/>
        </w:rPr>
        <w:t xml:space="preserve">招标</w:t>
      </w:r>
      <w:r>
        <w:rPr>
          <w:rFonts w:ascii="宋体" w:hAnsi="宋体" w:cs="宋体"/>
          <w:color w:val="000000"/>
        </w:rPr>
        <w:t xml:space="preserve">文件上的技术规格要求和国家有关质量标准进行现场初步验收。外观、说明书符合</w:t>
      </w:r>
      <w:r>
        <w:rPr>
          <w:rFonts w:hint="eastAsia" w:ascii="宋体" w:hAnsi="宋体" w:cs="宋体"/>
          <w:color w:val="000000"/>
          <w:lang w:val="en-US" w:eastAsia="zh-CN"/>
        </w:rPr>
        <w:t xml:space="preserve">招标</w:t>
      </w:r>
      <w:r>
        <w:rPr>
          <w:rFonts w:ascii="宋体" w:hAnsi="宋体" w:cs="宋体"/>
          <w:color w:val="000000"/>
        </w:rPr>
        <w:t xml:space="preserve">文件技术要求的，给予签收，初步验收不合格的不予签收。甲方需</w:t>
      </w:r>
      <w:r>
        <w:rPr>
          <w:rFonts w:ascii="宋体" w:hAnsi="宋体" w:cs="宋体"/>
          <w:color w:val="000000"/>
          <w:highlight w:val="none"/>
        </w:rPr>
        <w:t xml:space="preserve">在10个工作日内完成初步验收。</w:t>
      </w:r>
      <w:r/>
    </w:p>
    <w:p>
      <w:pPr>
        <w:jc w:val="left"/>
        <w:spacing w:line="378" w:lineRule="exact"/>
        <w:rPr>
          <w:highlight w:val="none"/>
        </w:rPr>
      </w:pPr>
      <w:r>
        <w:rPr>
          <w:rFonts w:ascii="宋体" w:hAnsi="宋体" w:cs="宋体"/>
          <w:color w:val="000000"/>
          <w:highlight w:val="none"/>
        </w:rPr>
        <w:t xml:space="preserve">5、设备、材料安装、调试结束，甲、乙双方派员共同验收，达到验收标准则由采购人最终验收合格。最终验收完毕后出具验收结果报告并经双方签字确认；验收相关</w:t>
      </w:r>
      <w:r>
        <w:rPr>
          <w:rFonts w:hint="eastAsia" w:ascii="宋体" w:hAnsi="宋体" w:cs="宋体"/>
          <w:color w:val="000000"/>
          <w:highlight w:val="none"/>
        </w:rPr>
        <w:t xml:space="preserve">检测</w:t>
      </w:r>
      <w:r>
        <w:rPr>
          <w:rFonts w:ascii="宋体" w:hAnsi="宋体" w:cs="宋体"/>
          <w:color w:val="000000"/>
          <w:highlight w:val="none"/>
        </w:rPr>
        <w:t xml:space="preserve">费用由乙方承担。</w:t>
      </w:r>
      <w:r/>
    </w:p>
    <w:p>
      <w:pPr>
        <w:jc w:val="left"/>
        <w:spacing w:line="378" w:lineRule="exact"/>
      </w:pPr>
      <w:r>
        <w:rPr>
          <w:rFonts w:ascii="宋体" w:hAnsi="宋体" w:cs="宋体"/>
          <w:color w:val="000000"/>
        </w:rPr>
        <w:t xml:space="preserve">6、甲方可聘请国家认可的专业检测机构参与初步验收及最终验收，并由其出具质量检测报告，作为甲方判断乙方的货物能否通过验收的条件之一，无论是否通过验收，相关检测费用均由乙方承担。因乙方交付的货物不符合标准导致重复支出的验收费用，亦由乙方承担。</w:t>
      </w:r>
      <w:r/>
    </w:p>
    <w:p>
      <w:pPr>
        <w:spacing w:line="120" w:lineRule="exact"/>
      </w:pPr>
      <w:r/>
      <w:r/>
    </w:p>
    <w:p>
      <w:pPr>
        <w:jc w:val="left"/>
        <w:spacing w:before="145" w:after="145"/>
        <w:outlineLvl w:val="0"/>
      </w:pPr>
      <w:r>
        <w:rPr>
          <w:rFonts w:ascii="宋体" w:hAnsi="宋体" w:cs="宋体"/>
          <w:b/>
          <w:color w:val="000000"/>
          <w:sz w:val="28"/>
        </w:rPr>
        <w:t xml:space="preserve">第</w:t>
      </w:r>
      <w:r>
        <w:rPr>
          <w:rFonts w:hint="eastAsia" w:ascii="宋体" w:hAnsi="宋体" w:cs="宋体"/>
          <w:b/>
          <w:color w:val="000000"/>
          <w:sz w:val="28"/>
        </w:rPr>
        <w:t xml:space="preserve">六</w:t>
      </w:r>
      <w:r>
        <w:rPr>
          <w:rFonts w:ascii="宋体" w:hAnsi="宋体" w:cs="宋体"/>
          <w:b/>
          <w:color w:val="000000"/>
          <w:sz w:val="28"/>
        </w:rPr>
        <w:t xml:space="preserve">部分 质保期及履约保证金</w:t>
      </w:r>
      <w:r/>
    </w:p>
    <w:p>
      <w:pPr>
        <w:jc w:val="left"/>
        <w:spacing w:line="378" w:lineRule="exact"/>
      </w:pPr>
      <w:r>
        <w:rPr>
          <w:rFonts w:ascii="宋体" w:hAnsi="宋体" w:cs="宋体"/>
          <w:color w:val="000000"/>
        </w:rPr>
        <w:t xml:space="preserve">一、免费质保期</w:t>
      </w:r>
      <w:r/>
    </w:p>
    <w:p>
      <w:pPr>
        <w:ind w:firstLine="420"/>
        <w:jc w:val="left"/>
        <w:spacing w:line="378" w:lineRule="exact"/>
      </w:pPr>
      <w:r>
        <w:rPr>
          <w:rFonts w:ascii="宋体" w:hAnsi="宋体" w:cs="宋体"/>
          <w:color w:val="000000"/>
        </w:rPr>
        <w:t xml:space="preserve">自项目验收合格之日起，不少于</w:t>
      </w:r>
      <w:r>
        <w:rPr>
          <w:rFonts w:ascii="宋体" w:hAnsi="宋体" w:cs="宋体"/>
          <w:color w:val="000000"/>
          <w:u w:val="single"/>
        </w:rPr>
        <w:t xml:space="preserve">24</w:t>
      </w:r>
      <w:r>
        <w:rPr>
          <w:rFonts w:ascii="宋体" w:hAnsi="宋体" w:cs="宋体"/>
          <w:color w:val="000000"/>
        </w:rPr>
        <w:t xml:space="preserve">个月。(无质保要求的“/”表示)</w:t>
      </w:r>
      <w:r/>
    </w:p>
    <w:p>
      <w:pPr>
        <w:jc w:val="left"/>
        <w:spacing w:line="378" w:lineRule="exact"/>
      </w:pPr>
      <w:r>
        <w:rPr>
          <w:rFonts w:ascii="宋体" w:hAnsi="宋体" w:cs="宋体"/>
          <w:color w:val="000000"/>
        </w:rPr>
        <w:t xml:space="preserve">二、履约保证金</w:t>
      </w:r>
      <w:r/>
    </w:p>
    <w:p>
      <w:pPr>
        <w:ind w:firstLine="420"/>
        <w:jc w:val="left"/>
        <w:spacing w:line="378" w:lineRule="exact"/>
      </w:pPr>
      <w:r>
        <w:rPr>
          <w:rFonts w:ascii="宋体" w:hAnsi="宋体" w:cs="宋体"/>
          <w:color w:val="000000"/>
        </w:rPr>
        <w:t xml:space="preserve">乙方于本合同签订前向甲方交纳人民币合同价的【5】%作为本合同的履约保证金。</w:t>
      </w:r>
      <w:r/>
    </w:p>
    <w:p>
      <w:pPr>
        <w:ind w:firstLine="420"/>
        <w:jc w:val="left"/>
        <w:spacing w:line="378" w:lineRule="exact"/>
      </w:pPr>
      <w:r>
        <w:rPr>
          <w:rFonts w:ascii="宋体" w:hAnsi="宋体" w:cs="宋体"/>
          <w:color w:val="000000"/>
        </w:rPr>
        <w:t xml:space="preserve">自甲方最终书面确认验收合格之日起算【</w:t>
      </w:r>
      <w:r>
        <w:rPr>
          <w:rFonts w:ascii="宋体" w:hAnsi="宋体" w:cs="宋体"/>
          <w:color w:val="000000"/>
          <w:u w:val="single"/>
        </w:rPr>
        <w:t xml:space="preserve">12</w:t>
      </w:r>
      <w:r>
        <w:rPr>
          <w:rFonts w:ascii="宋体" w:hAnsi="宋体" w:cs="宋体"/>
          <w:color w:val="000000"/>
        </w:rPr>
        <w:t xml:space="preserve">】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jc w:val="left"/>
        <w:spacing w:line="378" w:lineRule="exact"/>
      </w:pPr>
      <w:r/>
      <w:r/>
    </w:p>
    <w:p>
      <w:pPr>
        <w:jc w:val="left"/>
        <w:spacing w:before="145" w:after="145"/>
        <w:outlineLvl w:val="0"/>
      </w:pPr>
      <w:r>
        <w:rPr>
          <w:rFonts w:ascii="宋体" w:hAnsi="宋体" w:cs="宋体"/>
          <w:b/>
          <w:color w:val="000000"/>
          <w:sz w:val="28"/>
        </w:rPr>
        <w:t xml:space="preserve">第</w:t>
      </w:r>
      <w:r>
        <w:rPr>
          <w:rFonts w:hint="eastAsia" w:ascii="宋体" w:hAnsi="宋体" w:cs="宋体"/>
          <w:b/>
          <w:color w:val="000000"/>
          <w:sz w:val="28"/>
        </w:rPr>
        <w:t xml:space="preserve">七</w:t>
      </w:r>
      <w:r>
        <w:rPr>
          <w:rFonts w:ascii="宋体" w:hAnsi="宋体" w:cs="宋体"/>
          <w:b/>
          <w:color w:val="000000"/>
          <w:sz w:val="28"/>
        </w:rPr>
        <w:t xml:space="preserve">部分 付款方式</w:t>
      </w:r>
      <w:r/>
    </w:p>
    <w:p>
      <w:pPr>
        <w:ind w:firstLine="420"/>
        <w:jc w:val="left"/>
        <w:spacing w:line="378" w:lineRule="exact"/>
        <w:rPr>
          <w:highlight w:val="none"/>
        </w:rPr>
      </w:pPr>
      <w:r>
        <w:rPr>
          <w:rFonts w:ascii="宋体" w:hAnsi="宋体" w:cs="宋体"/>
          <w:color w:val="000000"/>
        </w:rPr>
        <w:t xml:space="preserve">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w:t>
      </w:r>
      <w:r>
        <w:rPr>
          <w:rFonts w:ascii="宋体" w:hAnsi="宋体" w:cs="宋体"/>
          <w:color w:val="000000"/>
          <w:highlight w:val="none"/>
        </w:rPr>
        <w:t xml:space="preserve">，采购人在收到发票后</w:t>
      </w:r>
      <w:r>
        <w:rPr>
          <w:rFonts w:hint="eastAsia" w:ascii="宋体" w:hAnsi="宋体" w:cs="宋体"/>
          <w:color w:val="000000"/>
          <w:highlight w:val="none"/>
        </w:rPr>
        <w:t xml:space="preserve">15个工作日</w:t>
      </w:r>
      <w:r>
        <w:rPr>
          <w:rFonts w:ascii="宋体" w:hAnsi="宋体" w:cs="宋体"/>
          <w:color w:val="000000"/>
          <w:highlight w:val="none"/>
        </w:rPr>
        <w:t xml:space="preserve">向中标供货商付清应付款项。</w:t>
      </w:r>
      <w:r/>
    </w:p>
    <w:p>
      <w:pPr>
        <w:ind w:firstLine="420"/>
        <w:jc w:val="left"/>
        <w:spacing w:line="378" w:lineRule="exact"/>
      </w:pPr>
      <w:r>
        <w:rPr>
          <w:rFonts w:ascii="宋体" w:hAnsi="宋体" w:cs="宋体"/>
          <w:color w:val="000000"/>
        </w:rPr>
        <w:t xml:space="preserve">如中标产品为进口设备，则付款方式为：合同签订后</w:t>
      </w:r>
      <w:r>
        <w:rPr>
          <w:rFonts w:ascii="宋体" w:hAnsi="宋体" w:cs="宋体"/>
          <w:color w:val="000000"/>
        </w:rPr>
        <w:t xml:space="preserve">，中标供应商委托采购人指定的外贸代理公司向采购人提供海关报关清单复印件、购汇凭证、境外发票复印件、代理手续费发票原件等（复印件须加盖外贸代理公司公章），在采购人在收到上述完整资料并与中标供应商确认无误后，根据采购人与外贸代理公司签订的外贸合同（即《委托代理进口合同》）的约定，采购人外贸代理公司预先支付货物的人民币全款（中标成交金额）。中标供货商将货物送达采购人指定交货地点并经采购人初步确认无误、且外贸代理公司与采购人一致确认到货后，由外贸代理公司按照与采购人签订的外贸合同的约定向中标供货商支付90％货款，待</w:t>
      </w:r>
      <w:r>
        <w:rPr>
          <w:rFonts w:ascii="宋体" w:hAnsi="宋体" w:cs="宋体"/>
          <w:color w:val="000000"/>
        </w:rPr>
        <w:t xml:space="preserve">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成交金额），向外贸代理公司付清全部货款后，采购人的付款义务即告履行完毕。</w:t>
      </w:r>
      <w:r/>
    </w:p>
    <w:p>
      <w:pPr>
        <w:ind w:firstLine="420"/>
        <w:jc w:val="left"/>
        <w:spacing w:line="378" w:lineRule="exact"/>
      </w:pPr>
      <w:r>
        <w:rPr>
          <w:rFonts w:ascii="宋体" w:hAnsi="宋体" w:cs="宋体"/>
          <w:color w:val="000000"/>
        </w:rPr>
        <w:t xml:space="preserve">响应供应商产品如为进口设备，在报价中，需考虑因中美贸易战或其他不可控因素导致的关税增加及其他风险费用，成交后，采购人将按照成交价格与成交供应商签订合同并支付合同款，合同执行期间，采购人不再另外支付任何费用。</w:t>
      </w:r>
      <w:r/>
    </w:p>
    <w:p>
      <w:pPr>
        <w:spacing w:line="225" w:lineRule="exact"/>
      </w:p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257"/>
      <w:r/>
      <w:r/>
    </w:p>
    <w:p>
      <w:pPr>
        <w:pStyle w:val="907"/>
        <w:ind w:firstLine="569"/>
        <w:spacing w:line="480" w:lineRule="auto"/>
        <w:rPr>
          <w:rFonts w:hint="eastAsia" w:ascii="宋体" w:hAnsi="宋体" w:cs="宋体"/>
          <w:color w:val="000000" w:themeColor="text1"/>
          <w14:textFill>
            <w14:solidFill>
              <w14:schemeClr w14:val="tx1"/>
            </w14:solidFill>
          </w14:textFill>
        </w:rPr>
      </w:pPr>
      <w:r/>
      <w:bookmarkStart w:id="258" w:name="_Toc107246272"/>
      <w:r>
        <w:rPr>
          <w:rFonts w:hint="eastAsia" w:ascii="宋体" w:hAnsi="宋体" w:cs="宋体"/>
          <w:color w:val="000000" w:themeColor="text1"/>
          <w14:textFill>
            <w14:solidFill>
              <w14:schemeClr w14:val="tx1"/>
            </w14:solidFill>
          </w14:textFill>
        </w:rPr>
        <w:t xml:space="preserve">第五章 评标方法与评标标准</w:t>
      </w:r>
      <w:bookmarkEnd w:id="258"/>
      <w:r/>
      <w:r/>
    </w:p>
    <w:p>
      <w:pPr>
        <w:contextualSpacing/>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本项目采用综合评分法确定中标候选人。评标委员会将按下列评分办法和标准进行评分，总分值为100分。</w:t>
      </w:r>
      <w:r/>
    </w:p>
    <w:tbl>
      <w:tblPr>
        <w:tblStyle w:val="877"/>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440"/>
        <w:gridCol w:w="24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b/>
                <w:color w:val="000000"/>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78" w:lineRule="exact"/>
            </w:pPr>
            <w:r>
              <w:rPr>
                <w:rFonts w:ascii="宋体" w:hAnsi="宋体" w:cs="宋体"/>
                <w:b/>
                <w:color w:val="000000"/>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center"/>
              <w:spacing w:line="378" w:lineRule="exact"/>
            </w:pPr>
            <w:r>
              <w:rPr>
                <w:rFonts w:ascii="宋体" w:hAnsi="宋体" w:cs="宋体"/>
                <w:b/>
                <w:color w:val="000000"/>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color w:val="000000"/>
              </w:rPr>
              <w:t xml:space="preserve">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ascii="宋体" w:hAnsi="宋体" w:cs="宋体"/>
                <w:b/>
                <w:color w:val="000000"/>
              </w:rPr>
              <w:t xml:space="preserve">投标最低报价为评标基准价</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：满足招标文件要求且投标价格最低的投标报价为评标基准价，其价格分为满分。其他投标人的价格分统一按照下列公式计算：投标报价得分=(评标基准价/投标报价)×40。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技术能力与招标文件投标</w:t>
            </w:r>
            <w:r>
              <w:rPr>
                <w:rFonts w:hint="eastAsia" w:ascii="宋体" w:hAnsi="宋体" w:cs="宋体"/>
                <w:color w:val="000000"/>
                <w:lang w:val="en-US" w:eastAsia="zh-CN"/>
              </w:rPr>
              <w:t xml:space="preserve">响应</w:t>
            </w:r>
            <w:r>
              <w:rPr>
                <w:rFonts w:ascii="宋体" w:hAnsi="宋体" w:cs="宋体"/>
                <w:color w:val="000000"/>
              </w:rPr>
              <w:t xml:space="preserve">程度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color w:val="000000"/>
                <w:highlight w:val="none"/>
              </w:rPr>
              <w:t xml:space="preserve">45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rPr>
                <w:highlight w:val="none"/>
              </w:rPr>
            </w:pPr>
            <w:r>
              <w:rPr>
                <w:rFonts w:ascii="宋体" w:hAnsi="宋体" w:cs="宋体"/>
                <w:color w:val="000000"/>
                <w:highlight w:val="none"/>
              </w:rPr>
              <w:t xml:space="preserve">投标人所投产品对招标文件具体需求的响应程度：</w:t>
            </w:r>
            <w:r/>
          </w:p>
          <w:p>
            <w:pPr>
              <w:jc w:val="left"/>
              <w:spacing w:line="378" w:lineRule="exact"/>
              <w:rPr>
                <w:highlight w:val="none"/>
              </w:rPr>
            </w:pPr>
            <w:r>
              <w:rPr>
                <w:rFonts w:ascii="宋体" w:hAnsi="宋体" w:cs="宋体"/>
                <w:color w:val="000000"/>
                <w:highlight w:val="none"/>
              </w:rPr>
              <w:t xml:space="preserve">满足招标文件技术指标、参数要求的得45分。“★”项的为实质性要求，有一项不符合的，作无效投标处理；“▲”项的为主要指标，不满足的每项扣6分；其他每有一项负偏离扣1分，扣完为止。</w:t>
            </w:r>
            <w:r/>
          </w:p>
          <w:p>
            <w:pPr>
              <w:jc w:val="left"/>
              <w:spacing w:line="378" w:lineRule="exact"/>
              <w:rPr>
                <w:rFonts w:hint="eastAsia" w:ascii="宋体" w:hAnsi="宋体" w:cs="宋体"/>
                <w:color w:val="000000"/>
                <w:highlight w:val="none"/>
              </w:rPr>
            </w:pPr>
            <w:r>
              <w:rPr>
                <w:rFonts w:hint="eastAsia" w:ascii="宋体" w:hAnsi="宋体" w:cs="宋体"/>
                <w:color w:val="000000"/>
                <w:highlight w:val="none"/>
              </w:rPr>
              <w:t xml:space="preserve">注：所有标注“★”及“▲”的技术参数，均须提供支撑资料：在招标文件第四章 采购需求中有具体要求的，应按照要求提供支撑资料；无特别要求的，须提供产品彩页或技术手册或第三方检测报告</w:t>
            </w:r>
            <w:r>
              <w:rPr>
                <w:rFonts w:hint="eastAsia" w:ascii="宋体" w:hAnsi="宋体" w:cs="宋体"/>
                <w:color w:val="000000"/>
                <w:highlight w:val="none"/>
                <w:lang w:val="en-US" w:eastAsia="zh-CN"/>
              </w:rPr>
              <w:t xml:space="preserve">或承诺函</w:t>
            </w:r>
            <w:r>
              <w:rPr>
                <w:rFonts w:hint="eastAsia" w:ascii="宋体" w:hAnsi="宋体" w:cs="宋体"/>
                <w:color w:val="000000"/>
                <w:highlight w:val="none"/>
              </w:rPr>
              <w:t xml:space="preserve">等证明材料。所有标注“★”及“▲”的技术参数，均须提供证明材料；并在《技术条款偏离表》注明证明材料具体位置；一般参数以技术条款偏离表响应为准。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服务承诺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hint="eastAsia" w:eastAsia="宋体"/>
                <w:lang w:eastAsia="zh-CN"/>
              </w:rPr>
            </w:pPr>
            <w:r>
              <w:rPr>
                <w:rFonts w:hint="eastAsia" w:ascii="宋体" w:hAnsi="宋体" w:cs="宋体"/>
                <w:color w:val="000000"/>
                <w:lang w:val="en-US" w:eastAsia="zh-CN"/>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ascii="宋体" w:hAnsi="宋体" w:cs="宋体"/>
                <w:color w:val="000000"/>
              </w:rPr>
              <w:t xml:space="preserve">服务承诺：投标人承诺有专业技术人员进行售</w:t>
            </w:r>
            <w:r>
              <w:rPr>
                <w:rFonts w:ascii="宋体" w:hAnsi="宋体" w:cs="宋体"/>
                <w:color w:val="000000"/>
                <w:highlight w:val="none"/>
              </w:rPr>
              <w:t xml:space="preserve">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售后服务方案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color w:val="000000"/>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ascii="宋体" w:hAnsi="宋体" w:cs="宋体"/>
                <w:color w:val="000000"/>
              </w:rPr>
              <w:t xml:space="preserve">根据投标人提供的售后服务方案中对售后服务体系、售后服务承诺，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培训方案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color w:val="000000"/>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ascii="宋体" w:hAnsi="宋体" w:cs="宋体"/>
                <w:color w:val="000000"/>
              </w:rPr>
              <w:t xml:space="preserve">根据投标人提供的对招标人仪器操作人员、维护人员等的培训方案及计划进行评审。培训方案完整详细，计划合理的得3分；培训方案较完整，计划较合理的得2分；培训方案不完整，计划不合理的得1分；没有的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质保承诺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hint="eastAsia" w:eastAsia="宋体"/>
                <w:lang w:eastAsia="zh-CN"/>
              </w:rPr>
            </w:pPr>
            <w:r>
              <w:rPr>
                <w:rFonts w:hint="eastAsia" w:ascii="宋体" w:hAnsi="宋体" w:cs="宋体"/>
                <w:color w:val="000000"/>
                <w:lang w:val="en-US" w:eastAsia="zh-CN"/>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ascii="宋体" w:hAnsi="宋体" w:cs="宋体"/>
                <w:color w:val="000000"/>
              </w:rPr>
              <w:t xml:space="preserve">在满足采购文件中对质量保证期（24个月）要求的基础上，增加1年加1分，增加2年加</w:t>
            </w:r>
            <w:r>
              <w:rPr>
                <w:rFonts w:hint="eastAsia" w:ascii="宋体" w:hAnsi="宋体" w:cs="宋体"/>
                <w:color w:val="000000"/>
                <w:lang w:val="en-US" w:eastAsia="zh-CN"/>
              </w:rPr>
              <w:t xml:space="preserve">2</w:t>
            </w:r>
            <w:r>
              <w:rPr>
                <w:rFonts w:ascii="宋体" w:hAnsi="宋体" w:cs="宋体"/>
                <w:color w:val="000000"/>
              </w:rPr>
              <w:t xml:space="preserve">分。本项最高得</w:t>
            </w:r>
            <w:r>
              <w:rPr>
                <w:rFonts w:hint="eastAsia" w:ascii="宋体" w:hAnsi="宋体" w:cs="宋体"/>
                <w:color w:val="000000"/>
                <w:lang w:val="en-US" w:eastAsia="zh-CN"/>
              </w:rPr>
              <w:t xml:space="preserve">2</w:t>
            </w:r>
            <w:r>
              <w:rPr>
                <w:rFonts w:ascii="宋体" w:hAnsi="宋体" w:cs="宋体"/>
                <w:color w:val="000000"/>
              </w:rPr>
              <w:t xml:space="preserve">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720"/>
        </w:trPr>
        <w:tc>
          <w:tcPr>
            <w:tcBorders>
              <w:top w:val="single" w:color="auto" w:sz="6" w:space="0"/>
              <w:left w:val="single" w:color="auto" w:sz="12" w:space="0"/>
              <w:bottom w:val="single" w:color="auto"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color w:val="000000"/>
              </w:rPr>
              <w:t xml:space="preserve">业绩</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color w:val="000000"/>
              </w:rPr>
              <w:t xml:space="preserve">4</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7440" w:type="dxa"/>
            <w:textDirection w:val="lrTb"/>
            <w:noWrap w:val="false"/>
          </w:tcPr>
          <w:p>
            <w:pPr>
              <w:jc w:val="left"/>
              <w:spacing w:line="378" w:lineRule="exact"/>
            </w:pPr>
            <w:r>
              <w:rPr>
                <w:rFonts w:hint="eastAsia" w:ascii="宋体" w:hAnsi="宋体" w:cs="宋体"/>
                <w:color w:val="000000"/>
              </w:rPr>
              <w:t xml:space="preserve">投标人提供2023年7月1日以来的同类产品业绩合同，每提供一个得1分，最高得4分。</w:t>
            </w:r>
            <w:r>
              <w:rPr>
                <w:rFonts w:hint="eastAsia" w:ascii="宋体" w:hAnsi="宋体" w:cs="宋体"/>
                <w:b/>
                <w:bCs/>
                <w:color w:val="000000"/>
              </w:rPr>
              <w:t xml:space="preserve">（时间以合同签订时间为准，提供有效的合同扫描件加盖电子公章，提供的材料需能反映上述内容，否则视为未提供。）注：合同中设备名称可与本项目的设备名称不同，但属于设备功能（或参数）相近的予以认可。</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pPr>
            <w:r/>
            <w:r/>
          </w:p>
        </w:tc>
      </w:tr>
      <w:tr>
        <w:trPr>
          <w:jc w:val="center"/>
          <w:trHeight w:val="4580" w:hRule="exact"/>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textDirection w:val="lrTb"/>
            <w:noWrap w:val="false"/>
          </w:tcPr>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highlight w:val="none"/>
              </w:rPr>
            </w:pPr>
            <w:r>
              <w:rPr>
                <w:rFonts w:hint="eastAsia" w:ascii="宋体" w:hAnsi="宋体" w:cs="宋体"/>
                <w:color w:val="000000"/>
                <w:highlight w:val="none"/>
              </w:rPr>
              <w:t xml:space="preserve">政策功能</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textDirection w:val="lrTb"/>
            <w:noWrap w:val="false"/>
          </w:tcPr>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378" w:lineRule="exact"/>
              <w:rPr>
                <w:highlight w:val="none"/>
              </w:rPr>
            </w:pPr>
            <w:r>
              <w:rPr>
                <w:rFonts w:hint="eastAsia" w:ascii="宋体" w:hAnsi="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440" w:type="dxa"/>
            <w:textDirection w:val="lrTb"/>
            <w:noWrap w:val="false"/>
          </w:tcPr>
          <w:p>
            <w:pPr>
              <w:jc w:val="left"/>
              <w:spacing w:line="378" w:lineRule="exact"/>
              <w:rPr>
                <w:rFonts w:hint="eastAsia" w:ascii="宋体" w:hAnsi="宋体" w:cs="宋体"/>
                <w:color w:val="000000"/>
                <w:highlight w:val="none"/>
              </w:rPr>
            </w:pPr>
            <w:r>
              <w:rPr>
                <w:rFonts w:hint="eastAsia" w:ascii="宋体" w:hAnsi="宋体" w:cs="宋体"/>
                <w:color w:val="000000"/>
                <w:highlight w:val="none"/>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p>
            <w:pPr>
              <w:jc w:val="left"/>
              <w:spacing w:line="378" w:lineRule="exact"/>
              <w:rPr>
                <w:highlight w:val="none"/>
              </w:rPr>
            </w:pPr>
            <w:r>
              <w:rPr>
                <w:rFonts w:hint="eastAsia" w:ascii="宋体" w:hAnsi="宋体" w:cs="宋体"/>
                <w:color w:val="000000"/>
                <w:highlight w:val="none"/>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240" w:type="dxa"/>
            <w:textDirection w:val="lrTb"/>
            <w:noWrap w:val="false"/>
          </w:tcPr>
          <w:p>
            <w:r/>
            <w:r/>
          </w:p>
        </w:tc>
      </w:tr>
      <w:tr>
        <w:trPr>
          <w:jc w:val="center"/>
          <w:trHeight w:val="90" w:hRule="exact"/>
        </w:trPr>
        <w:tc>
          <w:tcPr>
            <w:tcBorders>
              <w:top w:val="single" w:color="auto" w:sz="4"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r/>
            <w:r/>
          </w:p>
        </w:tc>
        <w:tc>
          <w:tcPr>
            <w:tcBorders>
              <w:top w:val="single" w:color="auto" w:sz="4"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r/>
            <w:r/>
          </w:p>
        </w:tc>
        <w:tc>
          <w:tcPr>
            <w:tcBorders>
              <w:top w:val="single" w:color="auto" w:sz="4" w:space="0"/>
              <w:left w:val="none" w:color="000000" w:sz="4" w:space="0"/>
              <w:bottom w:val="none" w:color="000000" w:sz="4" w:space="0"/>
              <w:right w:val="none" w:color="000000" w:sz="4" w:space="0"/>
            </w:tcBorders>
            <w:tcMar>
              <w:left w:w="20" w:type="dxa"/>
              <w:top w:w="20" w:type="dxa"/>
              <w:right w:w="20" w:type="dxa"/>
              <w:bottom w:w="20" w:type="dxa"/>
            </w:tcMar>
            <w:tcW w:w="7440" w:type="dxa"/>
            <w:textDirection w:val="lrTb"/>
            <w:noWrap w:val="false"/>
          </w:tcPr>
          <w:p>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240" w:type="dxa"/>
            <w:textDirection w:val="lrTb"/>
            <w:noWrap w:val="false"/>
          </w:tcPr>
          <w:p>
            <w:r/>
            <w:r/>
          </w:p>
        </w:tc>
      </w:tr>
    </w:tbl>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3、定标原则</w:t>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（1）本项目采用综合评分法确定中标候选人。总分值为100分，小数点后保留两位。</w:t>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使用综合评分法的采购项目，评标结果按评审后得分由高到低顺序排列。得分相同的，按报价得分由高到低顺序排列。评审后得分且投标报价相同的，按照技术能力与招标文件投标程度得分最高的投标人为中标候选人。</w:t>
      </w:r>
      <w:r/>
    </w:p>
    <w:p>
      <w:pPr>
        <w:contextualSpacing/>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（3）补充说明：无</w:t>
      </w:r>
      <w:r/>
    </w:p>
    <w:p>
      <w:pPr>
        <w:spacing w:line="360" w:lineRule="auto"/>
        <w:rPr>
          <w:rStyle w:val="1147"/>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bookmarkStart w:id="259" w:name="_Toc91836565"/>
      <w:r>
        <w:rPr>
          <w:rFonts w:hint="eastAsia" w:ascii="宋体" w:hAnsi="宋体" w:cs="宋体"/>
          <w:color w:val="000000" w:themeColor="text1"/>
          <w:szCs w:val="21"/>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u w:val="single"/>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14:textFill>
            <w14:solidFill>
              <w14:schemeClr w14:val="tx1"/>
            </w14:solidFill>
          </w14:textFill>
        </w:rPr>
      </w:pPr>
      <w:r/>
      <w:bookmarkStart w:id="260" w:name="_Toc107246273"/>
      <w:r>
        <w:rPr>
          <w:rFonts w:ascii="宋体" w:hAnsi="宋体" w:cs="宋体"/>
          <w:color w:val="000000" w:themeColor="text1"/>
          <w14:textFill>
            <w14:solidFill>
              <w14:schemeClr w14:val="tx1"/>
            </w14:solidFill>
          </w14:textFill>
        </w:rPr>
        <w:br w:type="page" w:clear="all"/>
      </w:r>
      <w:r/>
    </w:p>
    <w:p>
      <w:pPr>
        <w:pStyle w:val="907"/>
        <w:ind w:firstLine="56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第六章 </w:t>
      </w:r>
      <w:bookmarkEnd w:id="259"/>
      <w:r>
        <w:rPr>
          <w:rFonts w:hint="eastAsia" w:ascii="宋体" w:hAnsi="宋体" w:cs="宋体"/>
          <w:color w:val="000000" w:themeColor="text1"/>
          <w14:textFill>
            <w14:solidFill>
              <w14:schemeClr w14:val="tx1"/>
            </w14:solidFill>
          </w14:textFill>
        </w:rPr>
        <w:t xml:space="preserve">投标文件格式</w:t>
      </w:r>
      <w:bookmarkEnd w:id="260"/>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124"/>
        <w:ind w:firstLine="0"/>
        <w:spacing w:line="265" w:lineRule="atLeast"/>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left"/>
        <w:spacing w:line="360" w:lineRule="auto"/>
        <w:rPr>
          <w:rFonts w:hint="eastAsia" w:ascii="宋体" w:hAnsi="宋体" w:cs="宋体"/>
          <w:color w:val="000000" w:themeColor="text1"/>
          <w:sz w:val="24"/>
          <w14:textFill>
            <w14:solidFill>
              <w14:schemeClr w14:val="tx1"/>
            </w14:solidFill>
          </w14:textFill>
        </w:rPr>
      </w:pPr>
      <w:r/>
      <w:bookmarkStart w:id="261" w:name="_Toc96347900"/>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color w:val="000000" w:themeColor="text1"/>
          <w:sz w:val="40"/>
          <w:szCs w:val="60"/>
          <w14:textFill>
            <w14:solidFill>
              <w14:schemeClr w14:val="tx1"/>
            </w14:solidFill>
          </w14:textFill>
        </w:rPr>
        <w:t xml:space="preserve">附件</w:t>
      </w:r>
      <w:r/>
    </w:p>
    <w:p>
      <w:pPr>
        <w:pStyle w:val="889"/>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pStyle w:val="889"/>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t xml:space="preserve">南京</w:t>
      </w:r>
      <w:r>
        <w:rPr>
          <w:rFonts w:hint="eastAsia" w:hAnsi="宋体" w:cs="宋体"/>
          <w:b/>
          <w:color w:val="000000" w:themeColor="text1"/>
          <w:sz w:val="56"/>
          <w:szCs w:val="56"/>
          <w14:textFill>
            <w14:solidFill>
              <w14:schemeClr w14:val="tx1"/>
            </w14:solidFill>
          </w14:textFill>
        </w:rPr>
        <w:t xml:space="preserve">中医药</w:t>
      </w:r>
      <w:r>
        <w:rPr>
          <w:rFonts w:hint="eastAsia" w:hAnsi="宋体" w:cs="宋体"/>
          <w:b/>
          <w:color w:val="000000" w:themeColor="text1"/>
          <w:sz w:val="56"/>
          <w:szCs w:val="56"/>
          <w14:textFill>
            <w14:solidFill>
              <w14:schemeClr w14:val="tx1"/>
            </w14:solidFill>
          </w14:textFill>
        </w:rPr>
        <w:t xml:space="preserve">大学</w:t>
      </w:r>
      <w:r>
        <w:rPr>
          <w:rFonts w:hint="eastAsia" w:hAnsi="宋体" w:cs="宋体"/>
          <w:b/>
          <w:color w:val="000000" w:themeColor="text1"/>
          <w:sz w:val="56"/>
          <w:szCs w:val="56"/>
          <w14:textFill>
            <w14:solidFill>
              <w14:schemeClr w14:val="tx1"/>
            </w14:solidFill>
          </w14:textFill>
        </w:rPr>
        <w:t xml:space="preserve">活体CT影像系统采购项目</w:t>
      </w:r>
      <w:r/>
    </w:p>
    <w:p>
      <w:pPr>
        <w:pStyle w:val="889"/>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9"/>
        <w:jc w:val="center"/>
        <w:spacing w:line="360" w:lineRule="auto"/>
        <w:rPr>
          <w:rFonts w:hint="eastAsia" w:hAnsi="宋体" w:cs="宋体"/>
          <w:b/>
          <w:color w:val="000000" w:themeColor="text1"/>
          <w:sz w:val="84"/>
          <w:szCs w:val="84"/>
          <w14:textFill>
            <w14:solidFill>
              <w14:schemeClr w14:val="tx1"/>
            </w14:solidFill>
          </w14:textFill>
        </w:rPr>
      </w:pPr>
      <w:r/>
      <w:bookmarkStart w:id="262" w:name="_Toc100905255"/>
      <w:r>
        <w:rPr>
          <w:rFonts w:hint="eastAsia" w:hAnsi="宋体" w:cs="宋体"/>
          <w:b/>
          <w:color w:val="000000" w:themeColor="text1"/>
          <w:sz w:val="84"/>
          <w:szCs w:val="84"/>
          <w14:textFill>
            <w14:solidFill>
              <w14:schemeClr w14:val="tx1"/>
            </w14:solidFill>
          </w14:textFill>
        </w:rPr>
        <w:t xml:space="preserve">投 标 文 件</w:t>
      </w:r>
      <w:bookmarkEnd w:id="262"/>
      <w:r/>
      <w:r/>
    </w:p>
    <w:p>
      <w:pPr>
        <w:pStyle w:val="889"/>
        <w:ind w:firstLine="418"/>
        <w:spacing w:line="360" w:lineRule="auto"/>
        <w:rPr>
          <w:rFonts w:hint="eastAsia" w:hAnsi="宋体" w:cs="宋体"/>
          <w:color w:val="000000" w:themeColor="text1"/>
          <w:sz w:val="28"/>
          <w:szCs w:val="28"/>
          <w14:textFill>
            <w14:solidFill>
              <w14:schemeClr w14:val="tx1"/>
            </w14:solidFill>
          </w14:textFill>
        </w:rPr>
      </w:pPr>
      <w:r>
        <w:rPr>
          <w:rFonts w:hint="eastAsia" w:hAnsi="宋体" w:cs="宋体"/>
          <w:b/>
          <w:color w:val="000000" w:themeColor="text1"/>
          <w:sz w:val="40"/>
          <w:szCs w:val="40"/>
          <w14:textFill>
            <w14:solidFill>
              <w14:schemeClr w14:val="tx1"/>
            </w14:solidFill>
          </w14:textFill>
        </w:rPr>
        <w:t xml:space="preserve">项目编号：JSZC-320000-JITC-G2026-0272</w:t>
      </w:r>
      <w:r/>
    </w:p>
    <w:p>
      <w:pPr>
        <w:pStyle w:val="889"/>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9"/>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9"/>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9"/>
        <w:jc w:val="center"/>
        <w:spacing w:line="360" w:lineRule="auto"/>
        <w:rPr>
          <w:rFonts w:hint="eastAsia" w:hAnsi="宋体" w:cs="宋体"/>
          <w:b/>
          <w:color w:val="000000" w:themeColor="text1"/>
          <w:sz w:val="32"/>
          <w:szCs w:val="32"/>
          <w14:textFill>
            <w14:solidFill>
              <w14:schemeClr w14:val="tx1"/>
            </w14:solidFill>
          </w14:textFill>
        </w:rPr>
      </w:pPr>
      <w:r>
        <w:rPr>
          <w:rFonts w:hint="eastAsia" w:hAnsi="宋体" w:cs="宋体"/>
          <w:b/>
          <w:color w:val="000000" w:themeColor="text1"/>
          <w:sz w:val="32"/>
          <w:szCs w:val="24"/>
          <w14:textFill>
            <w14:solidFill>
              <w14:schemeClr w14:val="tx1"/>
            </w14:solidFill>
          </w14:textFill>
        </w:rPr>
        <w:t xml:space="preserve">供应商名称：</w:t>
      </w:r>
      <w:r>
        <w:rPr>
          <w:rFonts w:hint="eastAsia" w:hAnsi="宋体" w:cs="宋体"/>
          <w:b/>
          <w:color w:val="000000" w:themeColor="text1"/>
          <w:sz w:val="32"/>
          <w:szCs w:val="32"/>
          <w14:textFill>
            <w14:solidFill>
              <w14:schemeClr w14:val="tx1"/>
            </w14:solidFill>
          </w14:textFill>
        </w:rPr>
        <w:t xml:space="preserve">_____________________</w:t>
      </w:r>
      <w:r/>
    </w:p>
    <w:p>
      <w:pPr>
        <w:pStyle w:val="889"/>
        <w:jc w:val="center"/>
        <w:spacing w:line="360" w:lineRule="auto"/>
        <w:rPr>
          <w:rFonts w:hint="eastAsia" w:hAnsi="宋体" w:cs="宋体"/>
          <w:b/>
          <w:color w:val="000000" w:themeColor="text1"/>
          <w:sz w:val="32"/>
          <w:szCs w:val="32"/>
          <w:u w:val="single"/>
          <w14:textFill>
            <w14:solidFill>
              <w14:schemeClr w14:val="tx1"/>
            </w14:solidFill>
          </w14:textFill>
        </w:rPr>
      </w:pPr>
      <w:r>
        <w:rPr>
          <w:rFonts w:hint="eastAsia" w:hAnsi="宋体" w:cs="宋体"/>
          <w:b/>
          <w:color w:val="000000" w:themeColor="text1"/>
          <w:sz w:val="32"/>
          <w:szCs w:val="32"/>
          <w14:textFill>
            <w14:solidFill>
              <w14:schemeClr w14:val="tx1"/>
            </w14:solidFill>
          </w14:textFill>
        </w:rPr>
        <w:t xml:space="preserve">地址：_____________________</w:t>
      </w:r>
      <w:r/>
    </w:p>
    <w:p>
      <w:pPr>
        <w:pStyle w:val="889"/>
        <w:jc w:val="center"/>
        <w:spacing w:line="360" w:lineRule="auto"/>
        <w:rPr>
          <w:rFonts w:hint="eastAsia" w:hAnsi="宋体" w:cs="宋体"/>
          <w:b/>
          <w:color w:val="000000" w:themeColor="text1"/>
          <w:sz w:val="32"/>
          <w:szCs w:val="32"/>
          <w14:textFill>
            <w14:solidFill>
              <w14:schemeClr w14:val="tx1"/>
            </w14:solidFill>
          </w14:textFill>
        </w:rPr>
      </w:pPr>
      <w:r>
        <w:rPr>
          <w:rFonts w:hint="eastAsia" w:hAnsi="宋体" w:cs="宋体"/>
          <w:b/>
          <w:color w:val="000000" w:themeColor="text1"/>
          <w:sz w:val="32"/>
          <w:szCs w:val="32"/>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二O   年  月  日</w:t>
      </w:r>
      <w:r>
        <w:rPr>
          <w:rFonts w:hint="eastAsia" w:ascii="宋体" w:hAnsi="宋体" w:cs="宋体"/>
          <w:b/>
          <w:color w:val="000000" w:themeColor="text1"/>
          <w14:textFill>
            <w14:solidFill>
              <w14:schemeClr w14:val="tx1"/>
            </w14:solidFill>
          </w14:textFill>
        </w:rPr>
        <w:br w:type="page" w:clear="all"/>
      </w:r>
      <w:r/>
    </w:p>
    <w:p>
      <w:pPr>
        <w:jc w:val="cente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center"/>
        <w:spacing w:line="360" w:lineRule="auto"/>
        <w:rPr>
          <w:rFonts w:hint="eastAsia"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72"/>
        <w:jc w:val="left"/>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 w:val="28"/>
          <w14:textFill>
            <w14:solidFill>
              <w14:schemeClr w14:val="tx1"/>
            </w14:solidFill>
          </w14:textFill>
        </w:rPr>
      </w:pPr>
      <w:r>
        <w:rPr>
          <w:rFonts w:hint="eastAsia" w:hAnsi="宋体" w:cs="宋体"/>
          <w:color w:val="000000" w:themeColor="text1"/>
          <w14:textFill>
            <w14:solidFill>
              <w14:schemeClr w14:val="tx1"/>
            </w14:solidFill>
          </w14:textFill>
        </w:rPr>
        <w:br w:type="page" w:clear="all"/>
      </w:r>
      <w:bookmarkEnd w:id="261"/>
      <w:r/>
      <w:r/>
    </w:p>
    <w:p>
      <w:pPr>
        <w:pStyle w:val="907"/>
        <w:ind w:left="601" w:firstLine="425"/>
        <w:spacing w:before="0"/>
        <w:rPr>
          <w:rFonts w:hint="eastAsia" w:ascii="宋体" w:hAnsi="宋体" w:cs="宋体"/>
          <w:color w:val="000000" w:themeColor="text1"/>
          <w:sz w:val="28"/>
          <w:szCs w:val="24"/>
          <w14:textFill>
            <w14:solidFill>
              <w14:schemeClr w14:val="tx1"/>
            </w14:solidFill>
          </w14:textFill>
        </w:rPr>
      </w:pPr>
      <w:r>
        <w:rPr>
          <w:rFonts w:ascii="宋体" w:hAnsi="宋体" w:cs="宋体"/>
          <w:color w:val="000000" w:themeColor="text1"/>
          <w:sz w:val="28"/>
          <w:szCs w:val="24"/>
          <w14:textFill>
            <w14:solidFill>
              <w14:schemeClr w14:val="tx1"/>
            </w14:solidFill>
          </w14:textFill>
        </w:rPr>
        <w:t xml:space="preserve">一、</w:t>
      </w:r>
      <w:bookmarkStart w:id="263" w:name="_Toc104560897"/>
      <w:r/>
      <w:bookmarkStart w:id="264" w:name="_Toc107246274"/>
      <w:r/>
      <w:bookmarkStart w:id="265" w:name="_Toc103848582"/>
      <w:r/>
      <w:bookmarkStart w:id="266" w:name="_Toc104560893"/>
      <w:r>
        <w:rPr>
          <w:rFonts w:hint="eastAsia" w:ascii="宋体" w:hAnsi="宋体" w:cs="宋体"/>
          <w:color w:val="000000" w:themeColor="text1"/>
          <w:sz w:val="28"/>
          <w:szCs w:val="24"/>
          <w14:textFill>
            <w14:solidFill>
              <w14:schemeClr w14:val="tx1"/>
            </w14:solidFill>
          </w14:textFill>
        </w:rPr>
        <w:t xml:space="preserve">价格及商务部分</w:t>
      </w:r>
      <w:bookmarkEnd w:id="263"/>
      <w:r/>
      <w:bookmarkEnd w:id="264"/>
      <w:r/>
      <w:bookmarkEnd w:id="265"/>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907"/>
        <w:spacing w:before="0" w:line="280" w:lineRule="exact"/>
        <w:rPr>
          <w:rFonts w:hint="eastAsia" w:ascii="宋体" w:hAnsi="宋体" w:cs="宋体"/>
          <w:color w:val="000000" w:themeColor="text1"/>
          <w:sz w:val="28"/>
          <w:szCs w:val="24"/>
          <w14:textFill>
            <w14:solidFill>
              <w14:schemeClr w14:val="tx1"/>
            </w14:solidFill>
          </w14:textFill>
        </w:rPr>
      </w:pPr>
      <w:r/>
      <w:bookmarkStart w:id="267" w:name="_Toc107246275"/>
      <w:r>
        <w:rPr>
          <w:rFonts w:hint="eastAsia" w:ascii="宋体" w:hAnsi="宋体" w:cs="宋体"/>
          <w:b w:val="0"/>
          <w:color w:val="000000" w:themeColor="text1"/>
          <w:sz w:val="24"/>
          <w14:textFill>
            <w14:solidFill>
              <w14:schemeClr w14:val="tx1"/>
            </w14:solidFill>
          </w14:textFill>
        </w:rPr>
        <w:t xml:space="preserve">（1）</w:t>
      </w:r>
      <w:r>
        <w:rPr>
          <w:rFonts w:hint="eastAsia" w:ascii="宋体" w:hAnsi="宋体" w:cs="宋体"/>
          <w:color w:val="000000" w:themeColor="text1"/>
          <w:sz w:val="28"/>
          <w:szCs w:val="24"/>
          <w14:textFill>
            <w14:solidFill>
              <w14:schemeClr w14:val="tx1"/>
            </w14:solidFill>
          </w14:textFill>
        </w:rPr>
        <w:t xml:space="preserve">投标函</w:t>
      </w:r>
      <w:bookmarkEnd w:id="266"/>
      <w:r/>
      <w:bookmarkEnd w:id="267"/>
      <w:r/>
      <w:r/>
    </w:p>
    <w:p>
      <w:pPr>
        <w:ind w:firstLine="420"/>
        <w:spacing w:line="360" w:lineRule="exact"/>
        <w:rPr>
          <w:rFonts w:hint="eastAsia" w:ascii="宋体" w:hAnsi="宋体" w:cs="宋体"/>
          <w:color w:val="000000" w:themeColor="text1"/>
          <w:szCs w:val="21"/>
          <w14:textFill>
            <w14:solidFill>
              <w14:schemeClr w14:val="tx1"/>
            </w14:solidFill>
          </w14:textFill>
        </w:rPr>
      </w:pPr>
      <w:r/>
      <w:bookmarkStart w:id="268" w:name="_Toc103848580"/>
      <w:r/>
      <w:bookmarkStart w:id="269" w:name="_Toc96347902"/>
      <w:r>
        <w:rPr>
          <w:rFonts w:hint="eastAsia" w:ascii="宋体" w:hAnsi="宋体" w:cs="宋体"/>
          <w:color w:val="000000" w:themeColor="text1"/>
          <w:szCs w:val="21"/>
          <w:u w:val="single"/>
          <w14:textFill>
            <w14:solidFill>
              <w14:schemeClr w14:val="tx1"/>
            </w14:solidFill>
          </w14:textFill>
        </w:rPr>
        <w:t xml:space="preserve">南京中医药大学</w:t>
      </w:r>
      <w:r>
        <w:rPr>
          <w:rFonts w:hint="eastAsia" w:ascii="宋体" w:hAnsi="宋体" w:cs="宋体"/>
          <w:color w:val="000000" w:themeColor="text1"/>
          <w:szCs w:val="21"/>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(投标人全称)   </w:t>
      </w:r>
      <w:r>
        <w:rPr>
          <w:rFonts w:hint="eastAsia" w:ascii="宋体" w:hAnsi="宋体" w:cs="宋体"/>
          <w:color w:val="000000" w:themeColor="text1"/>
          <w:szCs w:val="21"/>
          <w14:textFill>
            <w14:solidFill>
              <w14:schemeClr w14:val="tx1"/>
            </w14:solidFill>
          </w14:textFill>
        </w:rPr>
        <w:t xml:space="preserve">授权</w:t>
      </w:r>
      <w:r>
        <w:rPr>
          <w:rFonts w:hint="eastAsia" w:ascii="宋体" w:hAnsi="宋体" w:cs="宋体"/>
          <w:color w:val="000000" w:themeColor="text1"/>
          <w:szCs w:val="21"/>
          <w:u w:val="single"/>
          <w14:textFill>
            <w14:solidFill>
              <w14:schemeClr w14:val="tx1"/>
            </w14:solidFill>
          </w14:textFill>
        </w:rPr>
        <w:t xml:space="preserve">    （授权代表姓名）   （职位） </w:t>
      </w:r>
      <w:r>
        <w:rPr>
          <w:rFonts w:hint="eastAsia" w:ascii="宋体" w:hAnsi="宋体" w:cs="宋体"/>
          <w:color w:val="000000" w:themeColor="text1"/>
          <w:szCs w:val="21"/>
          <w14:textFill>
            <w14:solidFill>
              <w14:schemeClr w14:val="tx1"/>
            </w14:solidFill>
          </w14:textFill>
        </w:rPr>
        <w:t xml:space="preserve">为全权代表，参加贵方组织的</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活体CT影像系统采购项目（项目名称）（项目编号：JSZC-320000-JITC-G2026-0272）</w:t>
      </w:r>
      <w:r>
        <w:rPr>
          <w:rFonts w:hint="eastAsia" w:ascii="宋体" w:hAnsi="宋体" w:cs="宋体"/>
          <w:color w:val="000000" w:themeColor="text1"/>
          <w:szCs w:val="21"/>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为此：</w:t>
      </w:r>
      <w:r/>
    </w:p>
    <w:p>
      <w:pPr>
        <w:pStyle w:val="905"/>
        <w:ind w:firstLine="420"/>
        <w:jc w:val="left"/>
        <w:spacing w:after="0"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1、我方将按采购文件的规定履行全部责任和义务。</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14:textFill>
            <w14:solidFill>
              <w14:schemeClr w14:val="tx1"/>
            </w14:solidFill>
          </w14:textFill>
        </w:rPr>
        <w:t xml:space="preserve">放弃对采购文件提出质疑或争议的权利。</w:t>
      </w:r>
      <w:r/>
    </w:p>
    <w:p>
      <w:pPr>
        <w:pStyle w:val="905"/>
        <w:ind w:firstLine="420"/>
        <w:jc w:val="left"/>
        <w:spacing w:after="0"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3、本投标有效期为自投标日起</w:t>
      </w:r>
      <w:r>
        <w:rPr>
          <w:rFonts w:hint="eastAsia" w:ascii="宋体" w:hAnsi="宋体" w:cs="宋体"/>
          <w:color w:val="000000" w:themeColor="text1"/>
          <w:szCs w:val="21"/>
          <w:u w:val="single"/>
          <w14:textFill>
            <w14:solidFill>
              <w14:schemeClr w14:val="tx1"/>
            </w14:solidFill>
          </w14:textFill>
        </w:rPr>
        <w:t xml:space="preserve">90日历天</w:t>
      </w:r>
      <w:r>
        <w:rPr>
          <w:rFonts w:hint="eastAsia" w:ascii="宋体" w:hAnsi="宋体" w:cs="宋体"/>
          <w:color w:val="000000" w:themeColor="text1"/>
          <w:szCs w:val="21"/>
          <w14:textFill>
            <w14:solidFill>
              <w14:schemeClr w14:val="tx1"/>
            </w14:solidFill>
          </w14:textFill>
        </w:rPr>
        <w:t xml:space="preserve">。</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4、如果在规定的递交投标文件截止时间后，我方在投标有效期内撤销投标文件，投标保证金将不予退还。</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05"/>
        <w:ind w:firstLine="420"/>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与本投标有关的一切往来通讯请寄：</w:t>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手机：</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固定电话：</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邮箱：</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投标人名称（公章）：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法定代表人或其授权代表（签字或盖章）：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905"/>
        <w:ind w:firstLine="372"/>
        <w:jc w:val="lef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日</w:t>
      </w:r>
      <w:r/>
    </w:p>
    <w:p>
      <w:pPr>
        <w:pStyle w:val="884"/>
        <w:spacing w:before="1"/>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07"/>
        <w:ind w:firstLine="569"/>
        <w:spacing w:before="0"/>
        <w:rPr>
          <w:rFonts w:hint="eastAsia" w:ascii="宋体" w:hAnsi="宋体" w:cs="宋体"/>
          <w:bCs w:val="0"/>
          <w:color w:val="000000" w:themeColor="text1"/>
          <w:sz w:val="24"/>
          <w:szCs w:val="24"/>
          <w14:textFill>
            <w14:solidFill>
              <w14:schemeClr w14:val="tx1"/>
            </w14:solidFill>
          </w14:textFill>
        </w:rPr>
      </w:pPr>
      <w:r/>
      <w:bookmarkStart w:id="270" w:name="_Toc103848583"/>
      <w:r/>
      <w:bookmarkStart w:id="271" w:name="_Toc104560898"/>
      <w:r/>
      <w:bookmarkStart w:id="272" w:name="_Toc107246276"/>
      <w:r>
        <w:rPr>
          <w:rFonts w:hint="eastAsia" w:ascii="宋体" w:hAnsi="宋体" w:cs="宋体"/>
          <w:bCs w:val="0"/>
          <w:color w:val="000000" w:themeColor="text1"/>
          <w:sz w:val="24"/>
          <w:szCs w:val="24"/>
          <w14:textFill>
            <w14:solidFill>
              <w14:schemeClr w14:val="tx1"/>
            </w14:solidFill>
          </w14:textFill>
        </w:rPr>
        <w:t xml:space="preserve">（2）</w:t>
      </w:r>
      <w:bookmarkEnd w:id="270"/>
      <w:r/>
      <w:bookmarkEnd w:id="271"/>
      <w:r>
        <w:rPr>
          <w:rFonts w:hint="eastAsia" w:ascii="宋体" w:hAnsi="宋体" w:cs="宋体"/>
          <w:bCs w:val="0"/>
          <w:color w:val="000000" w:themeColor="text1"/>
          <w:sz w:val="24"/>
          <w:szCs w:val="24"/>
          <w14:textFill>
            <w14:solidFill>
              <w14:schemeClr w14:val="tx1"/>
            </w14:solidFill>
          </w14:textFill>
        </w:rPr>
        <w:t xml:space="preserve">法定代表人（非法人单位负责人）身份证明</w:t>
      </w:r>
      <w:bookmarkEnd w:id="272"/>
      <w:r/>
      <w:r/>
    </w:p>
    <w:p>
      <w:pPr>
        <w:pStyle w:val="884"/>
        <w:ind w:left="1236" w:firstLine="368"/>
        <w:tabs>
          <w:tab w:val="left" w:pos="4228" w:leader="none"/>
        </w:tabs>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r>
      <w:r/>
    </w:p>
    <w:p>
      <w:pPr>
        <w:pStyle w:val="884"/>
        <w:ind w:left="1236" w:firstLine="368"/>
        <w:tabs>
          <w:tab w:val="left" w:pos="4228" w:leader="none"/>
        </w:tabs>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r>
      <w:r/>
    </w:p>
    <w:p>
      <w:pPr>
        <w:pStyle w:val="884"/>
        <w:ind w:firstLine="420"/>
        <w:tabs>
          <w:tab w:val="left" w:pos="4228"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投标人名</w:t>
      </w:r>
      <w:r>
        <w:rPr>
          <w:rFonts w:hint="eastAsia" w:ascii="宋体" w:hAnsi="宋体" w:cs="宋体"/>
          <w:color w:val="000000" w:themeColor="text1"/>
          <w:spacing w:val="-3"/>
          <w14:textFill>
            <w14:solidFill>
              <w14:schemeClr w14:val="tx1"/>
            </w14:solidFill>
          </w14:textFill>
        </w:rPr>
        <w:t xml:space="preserve">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84"/>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姓名</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性别</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spacing w:val="-3"/>
          <w14:textFill>
            <w14:solidFill>
              <w14:schemeClr w14:val="tx1"/>
            </w14:solidFill>
          </w14:textFill>
        </w:rPr>
        <w:t xml:space="preserve">龄</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1"/>
          <w14:textFill>
            <w14:solidFill>
              <w14:schemeClr w14:val="tx1"/>
            </w14:solidFill>
          </w14:textFill>
        </w:rPr>
        <w:t xml:space="preserve">职</w:t>
      </w:r>
      <w:r>
        <w:rPr>
          <w:rFonts w:hint="eastAsia" w:ascii="宋体" w:hAnsi="宋体" w:cs="宋体"/>
          <w:color w:val="000000" w:themeColor="text1"/>
          <w:spacing w:val="-3"/>
          <w14:textFill>
            <w14:solidFill>
              <w14:schemeClr w14:val="tx1"/>
            </w14:solidFill>
          </w14:textFill>
        </w:rPr>
        <w:t xml:space="preserve">务</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84"/>
        <w:ind w:firstLine="420"/>
        <w:spacing w:before="173"/>
        <w:tabs>
          <w:tab w:val="left" w:pos="3132"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系</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投标人</w:t>
      </w:r>
      <w:r>
        <w:rPr>
          <w:rFonts w:hint="eastAsia" w:ascii="宋体" w:hAnsi="宋体" w:cs="宋体"/>
          <w:color w:val="000000" w:themeColor="text1"/>
          <w:spacing w:val="-3"/>
          <w14:textFill>
            <w14:solidFill>
              <w14:schemeClr w14:val="tx1"/>
            </w14:solidFill>
          </w14:textFill>
        </w:rPr>
        <w:t xml:space="preserve">名</w:t>
      </w:r>
      <w:r>
        <w:rPr>
          <w:rFonts w:hint="eastAsia" w:ascii="宋体" w:hAnsi="宋体" w:cs="宋体"/>
          <w:color w:val="000000" w:themeColor="text1"/>
          <w14:textFill>
            <w14:solidFill>
              <w14:schemeClr w14:val="tx1"/>
            </w14:solidFill>
          </w14:textFill>
        </w:rPr>
        <w:t xml:space="preserve">称</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spacing w:val="-3"/>
          <w14:textFill>
            <w14:solidFill>
              <w14:schemeClr w14:val="tx1"/>
            </w14:solidFill>
          </w14:textFill>
        </w:rPr>
        <w:t xml:space="preserve">法定</w:t>
      </w:r>
      <w:r>
        <w:rPr>
          <w:rFonts w:hint="eastAsia" w:ascii="宋体" w:hAnsi="宋体" w:cs="宋体"/>
          <w:color w:val="000000" w:themeColor="text1"/>
          <w14:textFill>
            <w14:solidFill>
              <w14:schemeClr w14:val="tx1"/>
            </w14:solidFill>
          </w14:textFill>
        </w:rPr>
        <w:t xml:space="preserve">代表</w:t>
      </w:r>
      <w:r>
        <w:rPr>
          <w:rFonts w:hint="eastAsia" w:ascii="宋体" w:hAnsi="宋体" w:cs="宋体"/>
          <w:color w:val="000000" w:themeColor="text1"/>
          <w:spacing w:val="-3"/>
          <w14:textFill>
            <w14:solidFill>
              <w14:schemeClr w14:val="tx1"/>
            </w14:solidFill>
          </w14:textFill>
        </w:rPr>
        <w:t xml:space="preserve">人/非法人单位负责人。</w:t>
      </w:r>
      <w:r/>
    </w:p>
    <w:p>
      <w:pPr>
        <w:pStyle w:val="884"/>
        <w:ind w:firstLine="420"/>
        <w:spacing w:before="17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特此证明。</w:t>
      </w:r>
      <w:r/>
    </w:p>
    <w:p>
      <w:pPr>
        <w:pStyle w:val="884"/>
        <w:ind w:left="1260" w:firstLine="354"/>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84"/>
        <w:ind w:left="1260" w:firstLine="478"/>
        <w:spacing w:before="10"/>
        <w:rPr>
          <w:rFonts w:hint="eastAsia" w:ascii="宋体" w:hAnsi="宋体" w:cs="宋体"/>
          <w:color w:val="000000" w:themeColor="text1"/>
          <w:sz w:val="27"/>
          <w14:textFill>
            <w14:solidFill>
              <w14:schemeClr w14:val="tx1"/>
            </w14:solidFill>
          </w14:textFill>
        </w:rPr>
      </w:pPr>
      <w:r>
        <w:rPr>
          <w:rFonts w:hint="eastAsia" w:ascii="宋体" w:hAnsi="宋体" w:cs="宋体"/>
          <w:color w:val="000000" w:themeColor="text1"/>
          <w:sz w:val="27"/>
          <w14:textFill>
            <w14:solidFill>
              <w14:schemeClr w14:val="tx1"/>
            </w14:solidFill>
          </w14:textFill>
        </w:rPr>
      </w:r>
      <w:r/>
    </w:p>
    <w:p>
      <w:pPr>
        <w:ind w:firstLine="372"/>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bl>
      <w:tblPr>
        <w:tblStyle w:val="8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spacing w:line="300" w:lineRule="exact"/>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84"/>
        <w:ind w:firstLine="354"/>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84"/>
        <w:ind w:firstLine="354"/>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84"/>
        <w:ind w:left="1260" w:firstLine="354"/>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84"/>
        <w:ind w:left="1260" w:firstLine="389"/>
        <w:spacing w:before="1"/>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884"/>
        <w:ind w:left="1260" w:firstLine="3060"/>
        <w:tabs>
          <w:tab w:val="left" w:pos="7977"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pacing w:val="-3"/>
          <w14:textFill>
            <w14:solidFill>
              <w14:schemeClr w14:val="tx1"/>
            </w14:solidFill>
          </w14:textFill>
        </w:rPr>
        <w:t xml:space="preserve">投标人名称（公章）</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905"/>
        <w:ind w:firstLine="372"/>
        <w:jc w:val="right"/>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bookmarkStart w:id="273" w:name="_Toc104560899"/>
      <w:r/>
      <w:bookmarkStart w:id="274" w:name="_Toc103848584"/>
      <w:r/>
      <w:bookmarkStart w:id="275" w:name="_Toc107246277"/>
      <w:r>
        <w:rPr>
          <w:rFonts w:hint="eastAsia" w:ascii="宋体" w:hAnsi="宋体" w:cs="宋体"/>
          <w:bCs w:val="0"/>
          <w:color w:val="000000" w:themeColor="text1"/>
          <w:sz w:val="24"/>
          <w:szCs w:val="24"/>
          <w14:textFill>
            <w14:solidFill>
              <w14:schemeClr w14:val="tx1"/>
            </w14:solidFill>
          </w14:textFill>
        </w:rPr>
        <w:t xml:space="preserve">（3）授权委托书</w:t>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（3-1）法定代表人授权委托书</w:t>
      </w:r>
      <w:bookmarkEnd w:id="273"/>
      <w:r/>
      <w:bookmarkEnd w:id="274"/>
      <w:r/>
      <w:bookmarkEnd w:id="275"/>
      <w:r>
        <w:rPr>
          <w:rFonts w:hint="eastAsia" w:ascii="宋体" w:hAnsi="宋体" w:cs="宋体"/>
          <w:bCs w:val="0"/>
          <w:color w:val="000000" w:themeColor="text1"/>
          <w:sz w:val="24"/>
          <w:szCs w:val="24"/>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本授权书声明：注册于</w:t>
      </w:r>
      <w:r>
        <w:rPr>
          <w:rFonts w:hint="eastAsia" w:ascii="宋体" w:hAnsi="宋体" w:cs="宋体"/>
          <w:color w:val="000000" w:themeColor="text1"/>
          <w:szCs w:val="21"/>
          <w:u w:val="single"/>
          <w14:textFill>
            <w14:solidFill>
              <w14:schemeClr w14:val="tx1"/>
            </w14:solidFill>
          </w14:textFill>
        </w:rPr>
        <w:t xml:space="preserve">（国家或地区的名称）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的在法定代表人（签字或盖章）处签字的</w:t>
      </w:r>
      <w:r>
        <w:rPr>
          <w:rFonts w:hint="eastAsia" w:ascii="宋体" w:hAnsi="宋体" w:cs="宋体"/>
          <w:color w:val="000000" w:themeColor="text1"/>
          <w:szCs w:val="21"/>
          <w:u w:val="single"/>
          <w14:textFill>
            <w14:solidFill>
              <w14:schemeClr w14:val="tx1"/>
            </w14:solidFill>
          </w14:textFill>
        </w:rPr>
        <w:t xml:space="preserve">   （法定代表人姓名、职务）   </w:t>
      </w:r>
      <w:r>
        <w:rPr>
          <w:rFonts w:hint="eastAsia" w:ascii="宋体" w:hAnsi="宋体" w:cs="宋体"/>
          <w:color w:val="000000" w:themeColor="text1"/>
          <w:szCs w:val="21"/>
          <w14:textFill>
            <w14:solidFill>
              <w14:schemeClr w14:val="tx1"/>
            </w14:solidFill>
          </w14:textFill>
        </w:rPr>
        <w:t xml:space="preserve">代表本单位授权 </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的在授权代表（签字）处签字的</w:t>
      </w:r>
      <w:r>
        <w:rPr>
          <w:rFonts w:hint="eastAsia" w:ascii="宋体" w:hAnsi="宋体" w:cs="宋体"/>
          <w:color w:val="000000" w:themeColor="text1"/>
          <w:szCs w:val="21"/>
          <w:u w:val="single"/>
          <w14:textFill>
            <w14:solidFill>
              <w14:schemeClr w14:val="tx1"/>
            </w14:solidFill>
          </w14:textFill>
        </w:rPr>
        <w:t xml:space="preserve">（授权代表的姓名、职务）（身份证号码：             ）</w:t>
      </w:r>
      <w:r>
        <w:rPr>
          <w:rFonts w:hint="eastAsia" w:ascii="宋体" w:hAnsi="宋体" w:cs="宋体"/>
          <w:color w:val="000000" w:themeColor="text1"/>
          <w:szCs w:val="21"/>
          <w14:textFill>
            <w14:solidFill>
              <w14:schemeClr w14:val="tx1"/>
            </w14:solidFill>
          </w14:textFill>
        </w:rPr>
        <w:t xml:space="preserve">为本单位的合法代理人，就</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活体CT影像系统采购项目（项目名称）（项目编号：JSZC-320000-JITC-G2026-0272）</w:t>
      </w:r>
      <w:r>
        <w:rPr>
          <w:rFonts w:hint="eastAsia" w:ascii="宋体" w:hAnsi="宋体" w:cs="宋体"/>
          <w:color w:val="000000" w:themeColor="text1"/>
          <w:szCs w:val="21"/>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法定代表人（签字或盖章）： </w:t>
      </w:r>
      <w:r/>
    </w:p>
    <w:p>
      <w:pPr>
        <w:pStyle w:val="905"/>
        <w:ind w:firstLine="420"/>
        <w:spacing w:after="0" w:line="3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pStyle w:val="905"/>
        <w:ind w:firstLine="420"/>
        <w:spacing w:after="0" w:line="3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附：法定代表人有效期内的</w:t>
      </w:r>
      <w:r>
        <w:rPr>
          <w:rFonts w:hint="eastAsia" w:ascii="宋体" w:hAnsi="宋体" w:cs="宋体"/>
          <w:color w:val="000000" w:themeColor="text1"/>
          <w14:textFill>
            <w14:solidFill>
              <w14:schemeClr w14:val="tx1"/>
            </w14:solidFill>
          </w14:textFill>
        </w:rPr>
        <w:t xml:space="preserve">身份证复印件（正反面）</w:t>
      </w:r>
      <w:r/>
    </w:p>
    <w:tbl>
      <w:tblPr>
        <w:tblStyle w:val="8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spacing w:line="300" w:lineRule="exact"/>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授权代表有效期内的身份证复印件</w:t>
      </w:r>
      <w:r>
        <w:rPr>
          <w:rFonts w:hint="eastAsia" w:ascii="宋体" w:hAnsi="宋体" w:cs="宋体"/>
          <w:color w:val="000000" w:themeColor="text1"/>
          <w14:textFill>
            <w14:solidFill>
              <w14:schemeClr w14:val="tx1"/>
            </w14:solidFill>
          </w14:textFill>
        </w:rPr>
        <w:t xml:space="preserve">（正反面）</w:t>
      </w:r>
      <w:r/>
    </w:p>
    <w:tbl>
      <w:tblPr>
        <w:tblStyle w:val="87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jc w:val="center"/>
              <w:spacing w:line="300" w:lineRule="exact"/>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905"/>
        <w:ind w:firstLine="373"/>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 </w:t>
      </w:r>
      <w:r/>
    </w:p>
    <w:p>
      <w:pPr>
        <w:pStyle w:val="905"/>
        <w:ind w:firstLine="373"/>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05"/>
        <w:ind w:firstLine="373"/>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6" w:name="_Toc107246279"/>
      <w:r/>
      <w:bookmarkStart w:id="277" w:name="_Toc104560895"/>
      <w:r/>
      <w:r/>
    </w:p>
    <w:p>
      <w:pPr>
        <w:ind w:firstLine="373"/>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pStyle w:val="907"/>
        <w:ind w:firstLine="426"/>
        <w:spacing w:before="0"/>
        <w:rPr>
          <w:rFonts w:hint="eastAsia" w:ascii="宋体" w:hAnsi="宋体" w:cs="宋体"/>
          <w:bCs w:val="0"/>
          <w:color w:val="000000" w:themeColor="text1"/>
          <w:sz w:val="21"/>
          <w:szCs w:val="24"/>
          <w14:textFill>
            <w14:solidFill>
              <w14:schemeClr w14:val="tx1"/>
            </w14:solidFill>
          </w14:textFill>
        </w:rPr>
      </w:pPr>
      <w:r/>
      <w:bookmarkStart w:id="278" w:name="_Toc104560900"/>
      <w:r/>
      <w:bookmarkStart w:id="279" w:name="_Toc107246278"/>
      <w:r/>
      <w:bookmarkStart w:id="280" w:name="_Toc103848585"/>
      <w:r>
        <w:rPr>
          <w:rFonts w:hint="eastAsia" w:ascii="宋体" w:hAnsi="宋体" w:cs="宋体"/>
          <w:bCs w:val="0"/>
          <w:color w:val="000000" w:themeColor="text1"/>
          <w:sz w:val="24"/>
          <w:szCs w:val="24"/>
          <w14:textFill>
            <w14:solidFill>
              <w14:schemeClr w14:val="tx1"/>
            </w14:solidFill>
          </w14:textFill>
        </w:rPr>
        <w:t xml:space="preserve">（3-2）授权委托书（适用于自然人投标）</w:t>
      </w:r>
      <w:bookmarkEnd w:id="278"/>
      <w:r/>
      <w:bookmarkEnd w:id="279"/>
      <w:r/>
      <w:bookmarkEnd w:id="280"/>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本授权书声明：我</w:t>
      </w:r>
      <w:r>
        <w:rPr>
          <w:rFonts w:hint="eastAsia" w:ascii="宋体" w:hAnsi="宋体" w:cs="宋体"/>
          <w:color w:val="000000" w:themeColor="text1"/>
          <w:szCs w:val="21"/>
          <w:u w:val="single"/>
          <w14:textFill>
            <w14:solidFill>
              <w14:schemeClr w14:val="tx1"/>
            </w14:solidFill>
          </w14:textFill>
        </w:rPr>
        <w:t xml:space="preserve">    （姓名）    </w:t>
      </w:r>
      <w:r>
        <w:rPr>
          <w:rFonts w:hint="eastAsia" w:ascii="宋体" w:hAnsi="宋体" w:cs="宋体"/>
          <w:color w:val="000000" w:themeColor="text1"/>
          <w:szCs w:val="21"/>
          <w14:textFill>
            <w14:solidFill>
              <w14:schemeClr w14:val="tx1"/>
            </w14:solidFill>
          </w14:textFill>
        </w:rPr>
        <w:t xml:space="preserve">系自然人，现授权在授权代表（签字）处签字的</w:t>
      </w:r>
      <w:r>
        <w:rPr>
          <w:rFonts w:hint="eastAsia" w:ascii="宋体" w:hAnsi="宋体" w:cs="宋体"/>
          <w:color w:val="000000" w:themeColor="text1"/>
          <w:szCs w:val="21"/>
          <w:u w:val="single"/>
          <w14:textFill>
            <w14:solidFill>
              <w14:schemeClr w14:val="tx1"/>
            </w14:solidFill>
          </w14:textFill>
        </w:rPr>
        <w:t xml:space="preserve">（授权代表的姓名）（身份证号码：             ）</w:t>
      </w:r>
      <w:r>
        <w:rPr>
          <w:rFonts w:hint="eastAsia" w:ascii="宋体" w:hAnsi="宋体" w:cs="宋体"/>
          <w:color w:val="000000" w:themeColor="text1"/>
          <w:szCs w:val="21"/>
          <w14:textFill>
            <w14:solidFill>
              <w14:schemeClr w14:val="tx1"/>
            </w14:solidFill>
          </w14:textFill>
        </w:rPr>
        <w:t xml:space="preserve">为本人的合法代理人，就</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w:t>
      </w:r>
      <w:r>
        <w:rPr>
          <w:rFonts w:hint="eastAsia" w:ascii="宋体" w:hAnsi="宋体" w:cs="宋体"/>
          <w:color w:val="000000" w:themeColor="text1"/>
          <w:szCs w:val="21"/>
          <w:u w:val="single"/>
          <w14:textFill>
            <w14:solidFill>
              <w14:schemeClr w14:val="tx1"/>
            </w14:solidFill>
          </w14:textFill>
        </w:rPr>
        <w:t xml:space="preserve">体CT影像系统采购项目（项目名称）（项目编号：JSZC-320000-JITC-G2026-0272）</w:t>
      </w:r>
      <w:r>
        <w:rPr>
          <w:rFonts w:hint="eastAsia" w:ascii="宋体" w:hAnsi="宋体" w:cs="宋体"/>
          <w:color w:val="000000" w:themeColor="text1"/>
          <w:szCs w:val="21"/>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自然人姓名（签字）：  </w:t>
      </w:r>
      <w:r/>
    </w:p>
    <w:p>
      <w:pPr>
        <w:pStyle w:val="905"/>
        <w:ind w:firstLine="420"/>
        <w:spacing w:after="0" w:line="4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pStyle w:val="905"/>
        <w:ind w:firstLine="420"/>
        <w:spacing w:after="0" w:line="4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w:t>
      </w:r>
      <w:r>
        <w:rPr>
          <w:rFonts w:hint="eastAsia" w:ascii="宋体" w:hAnsi="宋体" w:cs="宋体"/>
          <w:color w:val="000000" w:themeColor="text1"/>
          <w14:textFill>
            <w14:solidFill>
              <w14:schemeClr w14:val="tx1"/>
            </w14:solidFill>
          </w14:textFill>
        </w:rPr>
        <w:t xml:space="preserve">自然人</w:t>
      </w:r>
      <w:r>
        <w:rPr>
          <w:rFonts w:hint="eastAsia" w:ascii="宋体" w:hAnsi="宋体" w:cs="宋体"/>
          <w:color w:val="000000" w:themeColor="text1"/>
          <w:szCs w:val="21"/>
          <w14:textFill>
            <w14:solidFill>
              <w14:schemeClr w14:val="tx1"/>
            </w14:solidFill>
          </w14:textFill>
        </w:rPr>
        <w:t xml:space="preserve">有效期内的</w:t>
      </w:r>
      <w:r>
        <w:rPr>
          <w:rFonts w:hint="eastAsia" w:ascii="宋体" w:hAnsi="宋体" w:cs="宋体"/>
          <w:color w:val="000000" w:themeColor="text1"/>
          <w14:textFill>
            <w14:solidFill>
              <w14:schemeClr w14:val="tx1"/>
            </w14:solidFill>
          </w14:textFill>
        </w:rPr>
        <w:t xml:space="preserve">身份证复印件（正反面）</w:t>
      </w:r>
      <w:r/>
    </w:p>
    <w:tbl>
      <w:tblPr>
        <w:tblStyle w:val="8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905"/>
        <w:ind w:firstLine="37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授权代表有效期内的身份证复印件（正反面）</w:t>
      </w:r>
      <w:r/>
    </w:p>
    <w:tbl>
      <w:tblPr>
        <w:tblStyle w:val="87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jc w:val="center"/>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905"/>
        <w:ind w:firstLine="373"/>
        <w:spacing w:line="240" w:lineRule="atLeas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pStyle w:val="907"/>
        <w:numPr>
          <w:ilvl w:val="0"/>
          <w:numId w:val="3"/>
        </w:numPr>
        <w:ind w:firstLine="426"/>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开标一览表</w:t>
      </w:r>
      <w:bookmarkEnd w:id="268"/>
      <w:r/>
      <w:bookmarkEnd w:id="276"/>
      <w:r/>
      <w:bookmarkEnd w:id="277"/>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投标人全称（CA公章）：供应商名称</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w:t>
      </w:r>
      <w:r>
        <w:rPr>
          <w:rFonts w:hint="eastAsia" w:ascii="宋体" w:hAnsi="宋体" w:cs="宋体"/>
          <w:color w:val="000000" w:themeColor="text1"/>
          <w:szCs w:val="21"/>
          <w:u w:val="single"/>
          <w14:textFill>
            <w14:solidFill>
              <w14:schemeClr w14:val="tx1"/>
            </w14:solidFill>
          </w14:textFill>
        </w:rPr>
        <w:t xml:space="preserve">体CT影像系统采购项目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bookmarkStart w:id="281" w:name="_Toc103848581"/>
      <w:r>
        <w:rPr>
          <w:rFonts w:hint="eastAsia" w:ascii="宋体" w:hAnsi="宋体" w:cs="宋体"/>
          <w:color w:val="000000" w:themeColor="text1"/>
          <w:szCs w:val="21"/>
          <w:u w:val="single"/>
          <w14:textFill>
            <w14:solidFill>
              <w14:schemeClr w14:val="tx1"/>
            </w14:solidFill>
          </w14:textFill>
        </w:rPr>
        <w:t xml:space="preserve">JSZC-320000-JITC-G2026-0272</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分包号：</w:t>
      </w:r>
      <w:r/>
    </w:p>
    <w:tbl>
      <w:tblPr>
        <w:tblStyle w:val="877"/>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bookmarkStart w:id="282" w:name="_Toc104560896"/>
            <w:r/>
            <w:bookmarkStart w:id="283" w:name="OLE_LINK17"/>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880"/>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w:t>
            </w:r>
            <w:r>
              <w:rPr>
                <w:rFonts w:hint="eastAsia" w:hAnsi="宋体" w:cs="宋体"/>
                <w:bCs/>
                <w:color w:val="auto"/>
                <w:szCs w:val="21"/>
                <w:highlight w:val="none"/>
                <w:lang w:val="en-US" w:eastAsia="zh-CN"/>
              </w:rPr>
              <w:t xml:space="preserve">    </w:t>
            </w:r>
            <w:r/>
          </w:p>
          <w:p>
            <w:pPr>
              <w:pStyle w:val="880"/>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大写：人民币</w:t>
            </w:r>
            <w:r>
              <w:rPr>
                <w:rFonts w:hint="eastAsia" w:hAnsi="宋体" w:cs="宋体"/>
                <w:bCs/>
                <w:color w:val="auto"/>
                <w:szCs w:val="21"/>
                <w:highlight w:val="none"/>
                <w:lang w:val="en-US" w:eastAsia="zh-CN"/>
              </w:rPr>
              <w:t xml:space="preserve">    </w:t>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交货期</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r>
            <w:r/>
          </w:p>
        </w:tc>
      </w:tr>
      <w:tr>
        <w:trPr>
          <w:jc w:val="center"/>
          <w:trHeight w:val="730"/>
        </w:trPr>
        <w:tc>
          <w:tcPr>
            <w:tcW w:w="2351" w:type="dxa"/>
            <w:vAlign w:val="center"/>
            <w:textDirection w:val="lrTb"/>
            <w:noWrap w:val="false"/>
          </w:tcPr>
          <w:p>
            <w:pPr>
              <w:jc w:val="center"/>
              <w:spacing w:line="360" w:lineRule="auto"/>
              <w:rPr>
                <w:rFonts w:hint="eastAsia" w:hAnsi="宋体" w:cs="宋体"/>
                <w:color w:val="auto"/>
                <w:szCs w:val="21"/>
                <w:highlight w:val="none"/>
                <w:lang w:val="en-US" w:eastAsia="zh-CN"/>
              </w:rPr>
            </w:pPr>
            <w:r>
              <w:rPr>
                <w:rFonts w:hint="eastAsia" w:ascii="宋体" w:hAnsi="宋体" w:eastAsia="宋体" w:cs="宋体"/>
                <w:color w:val="000000"/>
              </w:rPr>
              <w:t xml:space="preserve">所投产品品牌</w:t>
            </w:r>
            <w:r/>
          </w:p>
        </w:tc>
        <w:tc>
          <w:tcPr>
            <w:tcW w:w="6720" w:type="dxa"/>
            <w:vAlign w:val="center"/>
            <w:textDirection w:val="lrTb"/>
            <w:noWrap w:val="false"/>
          </w:tcPr>
          <w:p>
            <w:pPr>
              <w:jc w:val="center"/>
              <w:spacing w:line="360" w:lineRule="auto"/>
              <w:rPr>
                <w:rFonts w:hint="eastAsia" w:hAnsi="宋体" w:cs="宋体"/>
                <w:color w:val="auto"/>
                <w:szCs w:val="21"/>
                <w:highlight w:val="none"/>
                <w:lang w:val="en-US" w:eastAsia="zh-CN"/>
              </w:rPr>
            </w:pPr>
            <w:r>
              <w:rPr>
                <w:rFonts w:hint="eastAsia" w:hAnsi="宋体" w:cs="宋体"/>
                <w:color w:val="auto"/>
                <w:szCs w:val="21"/>
                <w:highlight w:val="none"/>
                <w:lang w:val="en-US" w:eastAsia="zh-CN"/>
              </w:rPr>
            </w:r>
            <w:r/>
          </w:p>
        </w:tc>
      </w:tr>
      <w:tr>
        <w:trPr>
          <w:jc w:val="center"/>
          <w:trHeight w:val="730"/>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交货地点</w:t>
            </w:r>
            <w:r/>
          </w:p>
        </w:tc>
        <w:tc>
          <w:tcPr>
            <w:tcW w:w="6720"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响应招标文件要求</w:t>
            </w:r>
            <w:r/>
          </w:p>
        </w:tc>
      </w:tr>
      <w:tr>
        <w:trPr>
          <w:jc w:val="center"/>
          <w:trHeight w:val="771"/>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shd w:val="clear" w:color="auto" w:fill="auto"/>
            <w:tcW w:w="2351" w:type="dxa"/>
            <w:vAlign w:val="center"/>
            <w:textDirection w:val="lrTb"/>
            <w:noWrap w:val="false"/>
          </w:tcPr>
          <w:p>
            <w:pPr>
              <w:jc w:val="center"/>
              <w:spacing w:line="85" w:lineRule="atLeast"/>
              <w:rPr>
                <w:rFonts w:hint="eastAsia" w:ascii="Times New Roman" w:hAnsi="Times New Roman" w:eastAsia="宋体" w:cs="Times New Roman"/>
                <w:color w:val="000000"/>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p>
        </w:tc>
        <w:tc>
          <w:tcPr>
            <w:shd w:val="clear" w:color="auto" w:fill="auto"/>
            <w:tcW w:w="6720" w:type="dxa"/>
            <w:vAlign w:val="center"/>
            <w:textDirection w:val="lrTb"/>
            <w:noWrap w:val="false"/>
          </w:tcPr>
          <w:p>
            <w:pPr>
              <w:ind w:firstLine="54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p>
          <w:p>
            <w:pPr>
              <w:ind w:firstLine="540"/>
              <w:jc w:val="center"/>
              <w:spacing w:line="85" w:lineRule="atLeast"/>
              <w:rPr>
                <w:rFonts w:hint="eastAsia" w:ascii="Times New Roman" w:hAnsi="Times New Roman" w:eastAsia="宋体" w:cs="Times New Roman"/>
                <w:color w:val="000000"/>
                <w:sz w:val="21"/>
                <w:szCs w:val="24"/>
                <w:lang w:val="zh-CN"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szCs w:val="24"/>
                <w:lang w:val="zh-CN" w:eastAsia="zh-CN" w:bidi="ar-SA"/>
              </w:rPr>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bookmarkEnd w:id="281"/>
            <w:r/>
            <w:bookmarkEnd w:id="282"/>
            <w:r/>
            <w:bookmarkEnd w:id="283"/>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firstLine="372"/>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投标人名称（</w:t>
      </w:r>
      <w:r>
        <w:rPr>
          <w:rFonts w:hint="eastAsia" w:ascii="宋体" w:hAnsi="宋体" w:cs="宋体"/>
          <w:color w:val="000000" w:themeColor="text1"/>
          <w:lang w:val="en-US" w:eastAsia="zh-CN"/>
          <w14:textFill>
            <w14:solidFill>
              <w14:schemeClr w14:val="tx1"/>
            </w14:solidFill>
          </w14:textFill>
        </w:rPr>
        <w:t xml:space="preserve">加盖电子</w:t>
      </w:r>
      <w:r>
        <w:rPr>
          <w:rFonts w:hint="eastAsia" w:ascii="宋体" w:hAnsi="宋体" w:cs="宋体"/>
          <w:color w:val="000000" w:themeColor="text1"/>
          <w14:textFill>
            <w14:solidFill>
              <w14:schemeClr w14:val="tx1"/>
            </w14:solidFill>
          </w14:textFill>
        </w:rPr>
        <w:t xml:space="preserve">公章）：</w:t>
      </w:r>
      <w:r/>
    </w:p>
    <w:p>
      <w:pPr>
        <w:ind w:right="420" w:firstLine="372"/>
        <w:jc w:val="cente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日期：______年______月______日</w:t>
      </w:r>
      <w:r/>
    </w:p>
    <w:p>
      <w:pPr>
        <w:ind w:right="420" w:firstLine="372"/>
        <w:jc w:val="left"/>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907"/>
        <w:numPr>
          <w:ilvl w:val="0"/>
          <w:numId w:val="3"/>
        </w:numPr>
        <w:ind w:firstLine="426"/>
        <w:rPr>
          <w:rFonts w:ascii="Microsoft New Tai Lue" w:hAnsi="Microsoft New Tai Lue" w:cs="Microsoft New Tai Lue"/>
          <w:color w:val="000000" w:themeColor="text1"/>
          <w:sz w:val="24"/>
          <w14:textFill>
            <w14:solidFill>
              <w14:schemeClr w14:val="tx1"/>
            </w14:solidFill>
          </w14:textFill>
        </w:rPr>
      </w:pPr>
      <w:r/>
      <w:bookmarkStart w:id="284" w:name="_Toc107246281"/>
      <w:r/>
      <w:bookmarkStart w:id="285" w:name="_Toc104560901"/>
      <w:r/>
      <w:bookmarkStart w:id="286" w:name="_Toc103848586"/>
      <w:r/>
      <w:bookmarkStart w:id="287" w:name="_Toc102117319"/>
      <w:r>
        <w:rPr>
          <w:rStyle w:val="1136"/>
          <w:rFonts w:hAnsi="宋体"/>
          <w:color w:val="000000" w:themeColor="text1"/>
          <w14:textFill>
            <w14:solidFill>
              <w14:schemeClr w14:val="tx1"/>
            </w14:solidFill>
          </w14:textFill>
        </w:rPr>
        <w:br w:type="page" w:clear="all"/>
      </w:r>
      <w:r>
        <w:rPr>
          <w:rFonts w:hint="eastAsia" w:ascii="Microsoft New Tai Lue" w:hAnsi="Microsoft New Tai Lue" w:cs="Microsoft New Tai Lue"/>
          <w:color w:val="000000" w:themeColor="text1"/>
          <w:sz w:val="24"/>
          <w14:textFill>
            <w14:solidFill>
              <w14:schemeClr w14:val="tx1"/>
            </w14:solidFill>
          </w14:textFill>
        </w:rPr>
        <w:t xml:space="preserve">产品信息表</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JSZC-320000-JITC-G2026-0272</w:t>
      </w:r>
      <w:r/>
    </w:p>
    <w:p>
      <w:pPr>
        <w:ind w:left="426"/>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77"/>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规格</w:t>
            </w:r>
            <w:r/>
          </w:p>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4"/>
              </w:numPr>
              <w:jc w:val="center"/>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tc>
      </w:tr>
    </w:tbl>
    <w:p>
      <w:pPr>
        <w:pStyle w:val="883"/>
        <w:jc w:val="right"/>
        <w:rPr>
          <w:color w:val="000000" w:themeColor="text1"/>
          <w14:textFill>
            <w14:solidFill>
              <w14:schemeClr w14:val="tx1"/>
            </w14:solidFill>
          </w14:textFill>
        </w:rPr>
      </w:pPr>
      <w:r>
        <w:rPr>
          <w:color w:val="000000" w:themeColor="text1"/>
          <w14:textFill>
            <w14:solidFill>
              <w14:schemeClr w14:val="tx1"/>
            </w14:solidFill>
          </w14:textFill>
        </w:rPr>
      </w:r>
      <w:r/>
    </w:p>
    <w:p>
      <w:pPr>
        <w:jc w:val="right"/>
        <w:rPr>
          <w:rStyle w:val="1136"/>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rPr>
          <w:rStyle w:val="1136"/>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rPr>
          <w:rStyle w:val="1136"/>
          <w:rFonts w:hint="eastAsia" w:hAnsi="宋体"/>
          <w:color w:val="000000" w:themeColor="text1"/>
          <w14:textFill>
            <w14:solidFill>
              <w14:schemeClr w14:val="tx1"/>
            </w14:solidFill>
          </w14:textFill>
        </w:rPr>
      </w:pPr>
      <w:r>
        <w:rPr>
          <w:rStyle w:val="1136"/>
          <w:rFonts w:hint="eastAsia" w:hAnsi="宋体"/>
          <w:color w:val="000000" w:themeColor="text1"/>
          <w14:textFill>
            <w14:solidFill>
              <w14:schemeClr w14:val="tx1"/>
            </w14:solidFill>
          </w14:textFill>
        </w:rPr>
        <w:br w:type="page" w:clear="all"/>
      </w:r>
      <w:r/>
    </w:p>
    <w:p>
      <w:pPr>
        <w:pStyle w:val="907"/>
        <w:rPr>
          <w:rFonts w:ascii="Microsoft New Tai Lue" w:hAnsi="Microsoft New Tai Lue" w:cs="Microsoft New Tai Lue"/>
          <w:color w:val="000000" w:themeColor="text1"/>
          <w:sz w:val="24"/>
          <w14:textFill>
            <w14:solidFill>
              <w14:schemeClr w14:val="tx1"/>
            </w14:solidFill>
          </w14:textFill>
        </w:rPr>
      </w:pPr>
      <w:r>
        <w:rPr>
          <w:rStyle w:val="1136"/>
          <w:rFonts w:hint="eastAsia" w:ascii="Times New Roman" w:hAnsi="宋体"/>
          <w:color w:val="000000" w:themeColor="text1"/>
          <w14:textFill>
            <w14:solidFill>
              <w14:schemeClr w14:val="tx1"/>
            </w14:solidFill>
          </w14:textFill>
        </w:rPr>
        <w:t xml:space="preserve">（5-1）</w:t>
      </w:r>
      <w:r>
        <w:rPr>
          <w:rFonts w:ascii="Microsoft New Tai Lue" w:hAnsi="Microsoft New Tai Lue" w:cs="Microsoft New Tai Lue"/>
          <w:color w:val="000000" w:themeColor="text1"/>
          <w:sz w:val="24"/>
          <w14:textFill>
            <w14:solidFill>
              <w14:schemeClr w14:val="tx1"/>
            </w14:solidFill>
          </w14:textFill>
        </w:rPr>
        <w:t xml:space="preserve">分项报价表</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w:t>
      </w:r>
      <w:r>
        <w:rPr>
          <w:rFonts w:hint="eastAsia" w:ascii="宋体" w:hAnsi="宋体" w:cs="宋体"/>
          <w:color w:val="000000" w:themeColor="text1"/>
          <w:szCs w:val="21"/>
          <w:u w:val="single"/>
          <w14:textFill>
            <w14:solidFill>
              <w14:schemeClr w14:val="tx1"/>
            </w14:solidFill>
          </w14:textFill>
        </w:rPr>
        <w:t xml:space="preserve">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JSZC-320000-JITC-G2026-0272</w:t>
      </w:r>
      <w:r/>
    </w:p>
    <w:p>
      <w:pPr>
        <w:jc w:val="right"/>
        <w:spacing w:line="440" w:lineRule="exact"/>
        <w:rPr>
          <w:bCs/>
          <w:color w:val="000000"/>
          <w:szCs w:val="21"/>
        </w:rPr>
      </w:pPr>
      <w:r>
        <w:rPr>
          <w:bCs/>
          <w:color w:val="000000"/>
          <w:szCs w:val="21"/>
        </w:rPr>
        <w:t xml:space="preserve">报价单位：人民币（小数点后保留2位）</w:t>
      </w:r>
      <w:r/>
    </w:p>
    <w:tbl>
      <w:tblPr>
        <w:tblStyle w:val="877"/>
        <w:tblW w:w="109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4"/>
        <w:gridCol w:w="1628"/>
        <w:gridCol w:w="1042"/>
        <w:gridCol w:w="1491"/>
        <w:gridCol w:w="1525"/>
        <w:gridCol w:w="813"/>
        <w:gridCol w:w="1182"/>
        <w:gridCol w:w="1246"/>
      </w:tblGrid>
      <w:tr>
        <w:trPr>
          <w:jc w:val="center"/>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440" w:lineRule="exact"/>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rPr>
                <w:rFonts w:hint="default" w:eastAsia="宋体"/>
                <w:color w:val="000000"/>
                <w:szCs w:val="21"/>
                <w:lang w:val="en-US" w:eastAsia="zh-CN"/>
              </w:rPr>
            </w:pPr>
            <w:r>
              <w:rPr>
                <w:rFonts w:hint="eastAsia"/>
                <w:color w:val="000000"/>
                <w:szCs w:val="21"/>
                <w:lang w:val="en-US" w:eastAsia="zh-CN"/>
              </w:rPr>
              <w:t xml:space="preserve">采购标的</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440" w:lineRule="exact"/>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440" w:lineRule="exact"/>
              <w:rPr>
                <w:color w:val="000000"/>
                <w:szCs w:val="21"/>
              </w:rPr>
            </w:pPr>
            <w:r>
              <w:rPr>
                <w:color w:val="000000"/>
                <w:szCs w:val="21"/>
              </w:rPr>
              <w:t xml:space="preserve">品牌</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440" w:lineRule="exact"/>
              <w:rPr>
                <w:color w:val="000000"/>
                <w:szCs w:val="21"/>
              </w:rPr>
            </w:pPr>
            <w:r>
              <w:rPr>
                <w:color w:val="000000"/>
                <w:szCs w:val="21"/>
              </w:rPr>
              <w:t xml:space="preserve">规格或型号</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440" w:lineRule="exact"/>
              <w:rPr>
                <w:color w:val="000000"/>
                <w:szCs w:val="21"/>
              </w:rPr>
            </w:pPr>
            <w:r>
              <w:rPr>
                <w:color w:val="000000"/>
                <w:szCs w:val="21"/>
              </w:rPr>
              <w:t xml:space="preserve">原产地和</w:t>
            </w:r>
            <w:r/>
          </w:p>
          <w:p>
            <w:pPr>
              <w:jc w:val="center"/>
              <w:spacing w:line="440" w:lineRule="exact"/>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440" w:lineRule="exact"/>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spacing w:line="440" w:lineRule="exact"/>
              <w:rPr>
                <w:color w:val="000000"/>
                <w:szCs w:val="21"/>
              </w:rPr>
            </w:pPr>
            <w:r>
              <w:rPr>
                <w:color w:val="000000"/>
                <w:szCs w:val="21"/>
              </w:rPr>
              <w:t xml:space="preserve">单项金额（元）</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440" w:lineRule="exact"/>
              <w:rPr>
                <w:color w:val="000000"/>
                <w:szCs w:val="21"/>
              </w:rPr>
            </w:pPr>
            <w:r>
              <w:rPr>
                <w:color w:val="000000"/>
                <w:szCs w:val="21"/>
              </w:rPr>
              <w:t xml:space="preserve">总价金额（元）</w:t>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1</w:t>
            </w:r>
            <w:r/>
          </w:p>
        </w:tc>
        <w:tc>
          <w:tcPr>
            <w:tcBorders>
              <w:top w:val="single" w:color="auto" w:sz="4" w:space="0"/>
              <w:left w:val="single" w:color="auto" w:sz="4" w:space="0"/>
              <w:right w:val="single" w:color="auto" w:sz="4" w:space="0"/>
            </w:tcBorders>
            <w:tcW w:w="1264" w:type="dxa"/>
            <w:vAlign w:val="center"/>
            <w:vMerge w:val="restart"/>
            <w:textDirection w:val="lrTb"/>
            <w:noWrap w:val="false"/>
          </w:tcPr>
          <w:p>
            <w:pPr>
              <w:jc w:val="center"/>
              <w:spacing w:line="440" w:lineRule="exact"/>
              <w:rPr>
                <w:color w:val="000000"/>
                <w:szCs w:val="21"/>
              </w:rPr>
            </w:pPr>
            <w:r>
              <w:rPr>
                <w:rFonts w:hint="eastAsia" w:ascii="宋体" w:hAnsi="宋体" w:cs="宋体"/>
                <w:color w:val="000000" w:themeColor="text1"/>
                <w:szCs w:val="21"/>
                <w:u w:val="none"/>
                <w14:textFill>
                  <w14:solidFill>
                    <w14:schemeClr w14:val="tx1"/>
                  </w14:solidFill>
                </w14:textFill>
              </w:rPr>
              <w:t xml:space="preserve">活体CT影像系统</w:t>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小动物Micro-CT主机</w:t>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2</w:t>
            </w:r>
            <w:r/>
          </w:p>
        </w:tc>
        <w:tc>
          <w:tcPr>
            <w:tcBorders>
              <w:left w:val="single" w:color="auto" w:sz="4" w:space="0"/>
              <w:right w:val="single" w:color="auto" w:sz="4" w:space="0"/>
            </w:tcBorders>
            <w:tcW w:w="1264"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离体样品台、小鼠床和大鼠床</w:t>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3</w:t>
            </w:r>
            <w:r/>
          </w:p>
        </w:tc>
        <w:tc>
          <w:tcPr>
            <w:tcBorders>
              <w:left w:val="single" w:color="auto" w:sz="4" w:space="0"/>
              <w:right w:val="single" w:color="auto" w:sz="4" w:space="0"/>
            </w:tcBorders>
            <w:tcW w:w="1264" w:type="dxa"/>
            <w:vMerge w:val="continue"/>
            <w:textDirection w:val="lrTb"/>
            <w:noWrap w:val="false"/>
          </w:tcPr>
          <w:p>
            <w:pPr>
              <w:ind w:left="-827" w:firstLine="827"/>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小动物气体麻醉系统</w:t>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4</w:t>
            </w:r>
            <w:r/>
          </w:p>
        </w:tc>
        <w:tc>
          <w:tcPr>
            <w:tcBorders>
              <w:left w:val="single" w:color="auto" w:sz="4" w:space="0"/>
              <w:right w:val="single" w:color="auto" w:sz="4" w:space="0"/>
            </w:tcBorders>
            <w:tcW w:w="1264"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大小鼠骨密度标准品</w:t>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5</w:t>
            </w:r>
            <w:r/>
          </w:p>
        </w:tc>
        <w:tc>
          <w:tcPr>
            <w:tcBorders>
              <w:left w:val="single" w:color="auto" w:sz="4" w:space="0"/>
              <w:right w:val="single" w:color="auto" w:sz="4" w:space="0"/>
            </w:tcBorders>
            <w:tcW w:w="1264"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数据采集工作站</w:t>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6</w:t>
            </w:r>
            <w:r/>
          </w:p>
        </w:tc>
        <w:tc>
          <w:tcPr>
            <w:tcBorders>
              <w:left w:val="single" w:color="auto" w:sz="4" w:space="0"/>
              <w:right w:val="single" w:color="auto" w:sz="4" w:space="0"/>
            </w:tcBorders>
            <w:tcW w:w="1264"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数据分析工作站</w:t>
            </w:r>
            <w:r/>
          </w:p>
        </w:tc>
        <w:tc>
          <w:tcPr>
            <w:tcBorders>
              <w:top w:val="single" w:color="auto" w:sz="4" w:space="0"/>
              <w:left w:val="single" w:color="auto" w:sz="4" w:space="0"/>
              <w:bottom w:val="single" w:color="auto" w:sz="4" w:space="0"/>
              <w:right w:val="single" w:color="auto" w:sz="4" w:space="0"/>
            </w:tcBorders>
            <w:tcW w:w="1042"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rPr>
            </w:pPr>
            <w:r>
              <w:rPr>
                <w:color w:val="000000"/>
                <w:szCs w:val="21"/>
              </w:rPr>
              <w:t xml:space="preserve">7</w:t>
            </w:r>
            <w:r/>
          </w:p>
        </w:tc>
        <w:tc>
          <w:tcPr>
            <w:tcBorders>
              <w:left w:val="single" w:color="auto" w:sz="4" w:space="0"/>
              <w:bottom w:val="single" w:color="auto" w:sz="4" w:space="0"/>
              <w:right w:val="single" w:color="auto" w:sz="4" w:space="0"/>
            </w:tcBorders>
            <w:tcW w:w="1264" w:type="dxa"/>
            <w:vMerge w:val="continue"/>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vAlign w:val="top"/>
            <w:textDirection w:val="lrTb"/>
            <w:noWrap w:val="false"/>
          </w:tcPr>
          <w:p>
            <w:pPr>
              <w:jc w:val="center"/>
              <w:spacing w:line="240" w:lineRule="auto"/>
              <w:rPr>
                <w:color w:val="000000"/>
                <w:szCs w:val="21"/>
              </w:rPr>
            </w:pPr>
            <w:r>
              <w:rPr>
                <w:rFonts w:ascii="宋体" w:hAnsi="宋体" w:cs="宋体"/>
                <w:color w:val="000000"/>
              </w:rPr>
              <w:t xml:space="preserve">数据获取及分析软件</w:t>
            </w:r>
            <w:r/>
          </w:p>
        </w:tc>
        <w:tc>
          <w:tcPr>
            <w:tcBorders>
              <w:top w:val="single" w:color="auto" w:sz="4" w:space="0"/>
              <w:left w:val="single" w:color="auto" w:sz="4" w:space="0"/>
              <w:bottom w:val="single" w:color="auto" w:sz="4" w:space="0"/>
              <w:right w:val="single" w:color="auto" w:sz="4" w:space="0"/>
            </w:tcBorders>
            <w:tcW w:w="1042"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25" w:type="dxa"/>
            <w:vAlign w:val="top"/>
            <w:textDirection w:val="lrTb"/>
            <w:noWrap w:val="false"/>
          </w:tcPr>
          <w:p>
            <w:pPr>
              <w:jc w:val="cente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spacing w:line="440" w:lineRule="exact"/>
              <w:rPr>
                <w:rFonts w:hint="eastAsia" w:eastAsia="宋体"/>
                <w:color w:val="000000"/>
                <w:szCs w:val="21"/>
                <w:lang w:val="en-US" w:eastAsia="zh-CN"/>
              </w:rPr>
            </w:pPr>
            <w:r>
              <w:rPr>
                <w:rFonts w:hint="eastAsia"/>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rPr>
            </w:pPr>
            <w:r>
              <w:rPr>
                <w:color w:val="000000"/>
                <w:szCs w:val="21"/>
              </w:rPr>
            </w:r>
            <w:r/>
          </w:p>
        </w:tc>
      </w:tr>
      <w:tr>
        <w:trPr>
          <w:jc w:val="center"/>
        </w:trPr>
        <w:tc>
          <w:tcPr>
            <w:gridSpan w:val="5"/>
            <w:tcBorders>
              <w:top w:val="single" w:color="auto" w:sz="4" w:space="0"/>
              <w:left w:val="single" w:color="auto" w:sz="4" w:space="0"/>
              <w:bottom w:val="single" w:color="auto" w:sz="4" w:space="0"/>
              <w:right w:val="single" w:color="auto" w:sz="4" w:space="0"/>
            </w:tcBorders>
            <w:tcW w:w="6163" w:type="dxa"/>
            <w:textDirection w:val="lrTb"/>
            <w:noWrap w:val="false"/>
          </w:tcPr>
          <w:p>
            <w:pPr>
              <w:jc w:val="center"/>
              <w:spacing w:line="440" w:lineRule="exact"/>
              <w:rPr>
                <w:color w:val="000000"/>
                <w:szCs w:val="21"/>
              </w:rPr>
            </w:pPr>
            <w:r>
              <w:rPr>
                <w:color w:val="000000"/>
                <w:szCs w:val="21"/>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4766" w:type="dxa"/>
            <w:textDirection w:val="lrTb"/>
            <w:noWrap w:val="false"/>
          </w:tcPr>
          <w:p>
            <w:pPr>
              <w:spacing w:line="440" w:lineRule="exact"/>
              <w:rPr>
                <w:color w:val="000000"/>
                <w:szCs w:val="21"/>
              </w:rPr>
            </w:pPr>
            <w:r>
              <w:rPr>
                <w:color w:val="000000"/>
                <w:szCs w:val="21"/>
              </w:rPr>
            </w:r>
            <w:r/>
          </w:p>
        </w:tc>
      </w:tr>
    </w:tbl>
    <w:p>
      <w:pPr>
        <w:spacing w:line="440" w:lineRule="exact"/>
        <w:rPr>
          <w:color w:val="000000"/>
        </w:rPr>
      </w:pPr>
      <w:r>
        <w:rPr>
          <w:color w:val="000000"/>
        </w:rPr>
        <w:t xml:space="preserve">注：1.投标人应根据其项目情况提供详细分项报价。投标人应对上述每项内容列明组成的详细分项价格。</w:t>
      </w:r>
      <w:r/>
    </w:p>
    <w:p>
      <w:pPr>
        <w:ind w:firstLine="420"/>
        <w:spacing w:line="440" w:lineRule="exact"/>
        <w:rPr>
          <w:color w:val="000000"/>
        </w:rPr>
      </w:pPr>
      <w:r>
        <w:rPr>
          <w:color w:val="000000"/>
        </w:rPr>
        <w:t xml:space="preserve">2.如果不提供详细分项报价将视为没有实质性响应招标文件。</w:t>
      </w:r>
      <w:r/>
    </w:p>
    <w:p>
      <w:pPr>
        <w:ind w:firstLine="420"/>
        <w:spacing w:line="440" w:lineRule="exact"/>
      </w:pPr>
      <w:r>
        <w:rPr>
          <w:color w:val="000000"/>
        </w:rPr>
        <w:t xml:space="preserve">3.表中表格行数可自行添加。</w:t>
      </w:r>
      <w:r/>
    </w:p>
    <w:p>
      <w:pPr>
        <w:ind w:firstLine="420"/>
        <w:spacing w:line="440" w:lineRule="exact"/>
        <w:rPr>
          <w:color w:val="000000"/>
          <w:szCs w:val="21"/>
        </w:rPr>
      </w:pPr>
      <w:r>
        <w:rPr>
          <w:color w:val="ee0000"/>
        </w:rPr>
        <w:br/>
      </w:r>
      <w:r>
        <w:rPr>
          <w:color w:val="000000"/>
          <w:szCs w:val="21"/>
        </w:rPr>
        <w:t xml:space="preserve">投标人名称（</w:t>
      </w:r>
      <w:r>
        <w:rPr>
          <w:rFonts w:hint="eastAsia"/>
          <w:color w:val="000000"/>
          <w:szCs w:val="21"/>
          <w:lang w:val="en-US" w:eastAsia="zh-CN"/>
        </w:rPr>
        <w:t xml:space="preserve">加盖电子</w:t>
      </w:r>
      <w:r>
        <w:rPr>
          <w:color w:val="000000"/>
          <w:szCs w:val="21"/>
        </w:rPr>
        <w:t xml:space="preserve">公章）：</w:t>
      </w:r>
      <w:r/>
    </w:p>
    <w:p>
      <w:pPr>
        <w:spacing w:line="440" w:lineRule="exact"/>
        <w:rPr>
          <w:color w:val="000000"/>
          <w:szCs w:val="21"/>
        </w:rPr>
      </w:pPr>
      <w:r>
        <w:rPr>
          <w:rFonts w:hint="eastAsia"/>
          <w:color w:val="000000"/>
          <w:szCs w:val="21"/>
        </w:rPr>
        <w:t xml:space="preserve">法定代表人或被授权人（签字或签章）：</w:t>
      </w:r>
      <w:r>
        <w:rPr>
          <w:color w:val="000000"/>
          <w:szCs w:val="21"/>
        </w:rPr>
        <w:t xml:space="preserve">：</w:t>
      </w:r>
      <w:r/>
    </w:p>
    <w:p>
      <w:pPr>
        <w:spacing w:line="440" w:lineRule="exact"/>
        <w:rPr>
          <w:color w:val="000000"/>
          <w:szCs w:val="21"/>
        </w:rPr>
      </w:pPr>
      <w:r>
        <w:rPr>
          <w:color w:val="000000"/>
          <w:szCs w:val="21"/>
        </w:rPr>
        <w:t xml:space="preserve">日期：</w:t>
      </w:r>
      <w:r/>
    </w:p>
    <w:p>
      <w:pPr>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p>
      <w:pPr>
        <w:ind w:left="-120" w:firstLine="21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hint="eastAsia" w:ascii="Microsoft New Tai Lue" w:hAnsi="Microsoft New Tai Lue" w:cs="Microsoft New Tai Lue"/>
          <w:b/>
          <w:bCs/>
          <w:color w:val="000000" w:themeColor="text1"/>
          <w:sz w:val="22"/>
          <w:szCs w:val="22"/>
          <w14:textFill>
            <w14:solidFill>
              <w14:schemeClr w14:val="tx1"/>
            </w14:solidFill>
          </w14:textFill>
        </w:rPr>
        <w:t xml:space="preserve">1.</w:t>
      </w:r>
      <w:r>
        <w:rPr>
          <w:rFonts w:ascii="Microsoft New Tai Lue" w:hAnsi="Microsoft New Tai Lue" w:cs="Microsoft New Tai Lue"/>
          <w:b/>
          <w:bCs/>
          <w:color w:val="000000" w:themeColor="text1"/>
          <w:sz w:val="22"/>
          <w:szCs w:val="22"/>
          <w14:textFill>
            <w14:solidFill>
              <w14:schemeClr w14:val="tx1"/>
            </w14:solidFill>
          </w14:textFill>
        </w:rPr>
        <w:t xml:space="preserve">如果行数不够，请自行增加。</w:t>
      </w:r>
      <w:r/>
    </w:p>
    <w:p>
      <w:pPr>
        <w:pStyle w:val="884"/>
        <w:numPr>
          <w:ilvl w:val="0"/>
          <w:numId w:val="5"/>
        </w:numPr>
        <w:rPr>
          <w:rFonts w:ascii="Microsoft New Tai Lue" w:hAnsi="Microsoft New Tai Lue" w:cs="Microsoft New Tai Lue"/>
          <w:b/>
          <w:bCs/>
          <w:color w:val="000000" w:themeColor="text1"/>
          <w:sz w:val="22"/>
          <w:szCs w:val="22"/>
          <w14:textFill>
            <w14:solidFill>
              <w14:schemeClr w14:val="tx1"/>
            </w14:solidFill>
          </w14:textFill>
        </w:rPr>
      </w:pPr>
      <w:r>
        <w:rPr>
          <w:rFonts w:hint="eastAsia" w:ascii="Microsoft New Tai Lue" w:hAnsi="Microsoft New Tai Lue" w:cs="Microsoft New Tai Lue"/>
          <w:b/>
          <w:bCs/>
          <w:color w:val="000000" w:themeColor="text1"/>
          <w:sz w:val="22"/>
          <w:szCs w:val="22"/>
          <w14:textFill>
            <w14:solidFill>
              <w14:schemeClr w14:val="tx1"/>
            </w14:solidFill>
          </w14:textFill>
        </w:rPr>
        <w:t xml:space="preserve">“分项报价表”中“总价”金额应当与“开标一览表”中“投标总价”金额一致。</w:t>
      </w:r>
      <w:r/>
    </w:p>
    <w:p>
      <w:pPr>
        <w:pStyle w:val="884"/>
        <w:numPr>
          <w:ilvl w:val="0"/>
          <w:numId w:val="5"/>
        </w:numPr>
        <w:rPr>
          <w:rFonts w:ascii="Microsoft New Tai Lue" w:hAnsi="Microsoft New Tai Lue" w:cs="Microsoft New Tai Lue"/>
          <w:b/>
          <w:bCs/>
          <w:color w:val="000000" w:themeColor="text1"/>
          <w:sz w:val="22"/>
          <w:szCs w:val="22"/>
          <w14:textFill>
            <w14:solidFill>
              <w14:schemeClr w14:val="tx1"/>
            </w14:solidFill>
          </w14:textFill>
        </w:rPr>
      </w:pPr>
      <w:r>
        <w:rPr>
          <w:rFonts w:hint="eastAsia" w:ascii="Microsoft New Tai Lue" w:hAnsi="Microsoft New Tai Lue" w:cs="Microsoft New Tai Lue"/>
          <w:b/>
          <w:bCs/>
          <w:color w:val="000000" w:themeColor="text1"/>
          <w:sz w:val="22"/>
          <w:szCs w:val="22"/>
          <w14:textFill>
            <w14:solidFill>
              <w14:schemeClr w14:val="tx1"/>
            </w14:solidFill>
          </w14:textFill>
        </w:rPr>
        <w:t xml:space="preserve">本表均填写含税价格。</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Microsoft New Tai Lue" w:hAnsi="Microsoft New Tai Lue" w:cs="Microsoft New Tai Lue"/>
          <w:color w:val="000000" w:themeColor="text1"/>
          <w:sz w:val="22"/>
          <w:szCs w:val="22"/>
          <w14:textFill>
            <w14:solidFill>
              <w14:schemeClr w14:val="tx1"/>
            </w14:solidFill>
          </w14:textFill>
        </w:rPr>
      </w:pPr>
      <w:r>
        <w:rPr>
          <w:rFonts w:ascii="Microsoft New Tai Lue" w:hAnsi="Microsoft New Tai Lue" w:cs="Microsoft New Tai Lue"/>
          <w:color w:val="000000" w:themeColor="text1"/>
          <w:sz w:val="22"/>
          <w:szCs w:val="22"/>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14:textFill>
            <w14:solidFill>
              <w14:schemeClr w14:val="tx1"/>
            </w14:solidFill>
          </w14:textFill>
        </w:rPr>
      </w:pPr>
      <w:r>
        <w:rPr>
          <w:rFonts w:ascii="Microsoft New Tai Lue" w:hAnsi="Microsoft New Tai Lue" w:cs="Microsoft New Tai Lue"/>
          <w:color w:val="000000" w:themeColor="text1"/>
          <w:sz w:val="22"/>
          <w:szCs w:val="22"/>
          <w14:textFill>
            <w14:solidFill>
              <w14:schemeClr w14:val="tx1"/>
            </w14:solidFill>
          </w14:textFill>
        </w:rPr>
      </w:r>
      <w:r/>
    </w:p>
    <w:p>
      <w:pPr>
        <w:ind w:right="420" w:firstLine="3780"/>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名称（公章）：</w:t>
      </w:r>
      <w:r>
        <w:rPr>
          <w:color w:val="000000" w:themeColor="text1"/>
          <w:u w:val="single"/>
          <w14:textFill>
            <w14:solidFill>
              <w14:schemeClr w14:val="tx1"/>
            </w14:solidFill>
          </w14:textFill>
        </w:rPr>
        <w:t xml:space="preserve">                 </w:t>
      </w:r>
      <w:r/>
    </w:p>
    <w:p>
      <w:pPr>
        <w:ind w:firstLine="422"/>
        <w:jc w:val="left"/>
        <w:spacing w:line="360" w:lineRule="auto"/>
        <w:rPr>
          <w:rStyle w:val="1136"/>
          <w:rFonts w:hint="eastAsia" w:hAnsi="宋体"/>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ab/>
      </w:r>
      <w:r>
        <w:rPr>
          <w:rFonts w:ascii="Microsoft New Tai Lue" w:hAnsi="Microsoft New Tai Lue" w:cs="Microsoft New Tai Lue"/>
          <w:b/>
          <w:bCs/>
          <w:color w:val="000000" w:themeColor="text1"/>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日期：</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年</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月</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left="426"/>
        <w:rPr>
          <w:color w:val="000000" w:themeColor="text1"/>
          <w14:textFill>
            <w14:solidFill>
              <w14:schemeClr w14:val="tx1"/>
            </w14:solidFill>
          </w14:textFill>
        </w:rPr>
      </w:pPr>
      <w:r>
        <w:rPr>
          <w:color w:val="000000" w:themeColor="text1"/>
          <w14:textFill>
            <w14:solidFill>
              <w14:schemeClr w14:val="tx1"/>
            </w14:solidFill>
          </w14:textFill>
        </w:rPr>
      </w:r>
      <w:r/>
    </w:p>
    <w:p>
      <w:pPr>
        <w:pStyle w:val="907"/>
        <w:ind w:firstLine="426"/>
        <w:spacing w:before="0"/>
        <w:rPr>
          <w:rFonts w:hint="eastAsia" w:ascii="宋体" w:hAnsi="宋体" w:cs="宋体"/>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（6）商务条款偏离表</w:t>
      </w:r>
      <w:bookmarkEnd w:id="284"/>
      <w:r/>
      <w:bookmarkEnd w:id="285"/>
      <w:r/>
      <w:bookmarkEnd w:id="286"/>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JSZC-320000-JITC-G2026-0272</w:t>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bl>
      <w:tblPr>
        <w:tblStyle w:val="877"/>
        <w:tblpPr w:horzAnchor="page" w:tblpX="1102" w:vertAnchor="text" w:tblpY="384" w:leftFromText="180" w:topFromText="0" w:rightFromText="180" w:bottomFromText="0"/>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trHeight w:val="635"/>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序号</w:t>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招标文件条目号</w:t>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招标文件的商务条款</w:t>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投标文件的商务条款</w:t>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响应/偏离</w:t>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投标文件响应页码</w:t>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备注</w:t>
            </w:r>
            <w:r/>
          </w:p>
        </w:tc>
      </w:tr>
      <w:tr>
        <w:trPr>
          <w:trHeight w:val="570"/>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trHeight w:val="681"/>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trHeight w:val="690"/>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trHeight w:val="714"/>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trHeight w:val="682"/>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trHeight w:val="707"/>
        </w:trPr>
        <w:tc>
          <w:tcPr>
            <w:tcW w:w="653"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985"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07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26" w:type="dxa"/>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438"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17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u w:val="single"/>
          <w14:textFill>
            <w14:solidFill>
              <w14:schemeClr w14:val="tx1"/>
            </w14:solidFill>
          </w14:textFill>
        </w:rPr>
      </w:pPr>
      <w:r/>
      <w:bookmarkStart w:id="288" w:name="OLE_LINK18"/>
      <w:r>
        <w:rPr>
          <w:rFonts w:hint="eastAsia" w:ascii="宋体" w:hAnsi="宋体" w:cs="宋体"/>
          <w:color w:val="000000" w:themeColor="text1"/>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日期：______年______月______日</w:t>
      </w:r>
      <w:bookmarkEnd w:id="288"/>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 投标人须根据招标文件商务条款要求填写此表，作为投标文件的组成部分。</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905"/>
        <w:ind w:firstLine="373"/>
        <w:spacing w:line="360" w:lineRule="exact"/>
        <w:rPr>
          <w:rStyle w:val="916"/>
          <w:rFonts w:ascii="Times New Roman" w:hAnsi="Times New Roman"/>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 </w:t>
      </w:r>
      <w:r>
        <w:rPr>
          <w:rStyle w:val="916"/>
          <w:rFonts w:hint="eastAsia" w:ascii="Times New Roman" w:hAnsi="Times New Roman"/>
          <w:b/>
          <w:bCs/>
          <w:color w:val="000000" w:themeColor="text1"/>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905"/>
        <w:ind w:firstLine="373"/>
        <w:spacing w:line="360" w:lineRule="exact"/>
        <w:rPr>
          <w:rStyle w:val="916"/>
          <w:rFonts w:ascii="Times New Roman" w:hAnsi="Times New Roman"/>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4. </w:t>
      </w:r>
      <w:r>
        <w:rPr>
          <w:rStyle w:val="916"/>
          <w:rFonts w:ascii="Times New Roman" w:hAnsi="Times New Roman"/>
          <w:b/>
          <w:bCs/>
          <w:color w:val="000000" w:themeColor="text1"/>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14:textFill>
            <w14:solidFill>
              <w14:schemeClr w14:val="tx1"/>
            </w14:solidFill>
          </w14:textFill>
        </w:rPr>
      </w:pPr>
      <w:r/>
      <w:bookmarkStart w:id="289" w:name="_Toc103848587"/>
      <w:r/>
      <w:bookmarkStart w:id="290" w:name="_Toc104560902"/>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07"/>
        <w:spacing w:line="240" w:lineRule="atLeast"/>
        <w:rPr>
          <w:rFonts w:hint="eastAsia" w:ascii="宋体" w:hAnsi="宋体" w:cs="宋体"/>
          <w:bCs w:val="0"/>
          <w:color w:val="000000" w:themeColor="text1"/>
          <w:sz w:val="24"/>
          <w:szCs w:val="24"/>
          <w14:textFill>
            <w14:solidFill>
              <w14:schemeClr w14:val="tx1"/>
            </w14:solidFill>
          </w14:textFill>
        </w:rPr>
      </w:pPr>
      <w:r/>
      <w:bookmarkStart w:id="291" w:name="_Toc107246282"/>
      <w:r>
        <w:rPr>
          <w:rFonts w:hint="eastAsia" w:ascii="宋体" w:hAnsi="宋体" w:cs="宋体"/>
          <w:bCs w:val="0"/>
          <w:color w:val="000000" w:themeColor="text1"/>
          <w:sz w:val="24"/>
          <w:szCs w:val="24"/>
          <w14:textFill>
            <w14:solidFill>
              <w14:schemeClr w14:val="tx1"/>
            </w14:solidFill>
          </w14:textFill>
        </w:rPr>
        <w:t xml:space="preserve">（7）投标人具备投标资格的证明文件</w:t>
      </w:r>
      <w:bookmarkEnd w:id="289"/>
      <w:r/>
      <w:bookmarkEnd w:id="290"/>
      <w:r/>
      <w:bookmarkEnd w:id="291"/>
      <w:r/>
      <w:r/>
    </w:p>
    <w:p>
      <w:pPr>
        <w:pStyle w:val="907"/>
        <w:ind w:firstLine="426"/>
        <w:spacing w:line="240" w:lineRule="atLeast"/>
        <w:rPr>
          <w:rFonts w:hint="eastAsia" w:ascii="宋体" w:hAnsi="宋体" w:cs="宋体"/>
          <w:bCs w:val="0"/>
          <w:color w:val="000000" w:themeColor="text1"/>
          <w:sz w:val="24"/>
          <w:szCs w:val="24"/>
          <w14:textFill>
            <w14:solidFill>
              <w14:schemeClr w14:val="tx1"/>
            </w14:solidFill>
          </w14:textFill>
        </w:rPr>
      </w:pPr>
      <w:r/>
      <w:bookmarkStart w:id="292" w:name="_Toc104560903"/>
      <w:r/>
      <w:bookmarkStart w:id="293" w:name="_Toc107246283"/>
      <w:r/>
      <w:bookmarkStart w:id="294" w:name="_Toc103848588"/>
      <w:r>
        <w:rPr>
          <w:rFonts w:hint="eastAsia" w:ascii="宋体" w:hAnsi="宋体" w:cs="宋体"/>
          <w:bCs w:val="0"/>
          <w:color w:val="000000" w:themeColor="text1"/>
          <w:sz w:val="24"/>
          <w:szCs w:val="24"/>
          <w14:textFill>
            <w14:solidFill>
              <w14:schemeClr w14:val="tx1"/>
            </w14:solidFill>
          </w14:textFill>
        </w:rPr>
        <w:t xml:space="preserve">（7-1-1）营业执照复印件</w:t>
      </w:r>
      <w:bookmarkEnd w:id="287"/>
      <w:r>
        <w:rPr>
          <w:rFonts w:hint="eastAsia" w:ascii="宋体" w:hAnsi="宋体" w:cs="宋体"/>
          <w:bCs w:val="0"/>
          <w:color w:val="000000" w:themeColor="text1"/>
          <w:sz w:val="24"/>
          <w:szCs w:val="24"/>
          <w14:textFill>
            <w14:solidFill>
              <w14:schemeClr w14:val="tx1"/>
            </w14:solidFill>
          </w14:textFill>
        </w:rPr>
        <w:t xml:space="preserve">或自然人的身份证明复印件</w:t>
      </w:r>
      <w:bookmarkEnd w:id="292"/>
      <w:r/>
      <w:bookmarkEnd w:id="293"/>
      <w:r/>
      <w:bookmarkEnd w:id="294"/>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具有独立承担民事责任的能力（提供法人或者其他组织的营业执照或自然人的身份证明扫描件加盖电子公章）；</w:t>
      </w:r>
      <w:r/>
    </w:p>
    <w:p>
      <w:pPr>
        <w:ind w:firstLine="372"/>
        <w:rPr>
          <w:rFonts w:hint="eastAsia" w:ascii="宋体" w:hAnsi="宋体" w:cs="宋体"/>
          <w:color w:val="000000" w:themeColor="text1"/>
          <w14:textFill>
            <w14:solidFill>
              <w14:schemeClr w14:val="tx1"/>
            </w14:solidFill>
          </w14:textFill>
        </w:rPr>
      </w:pPr>
      <w:r/>
      <w:bookmarkStart w:id="295" w:name="_Toc103848589"/>
      <w:r/>
      <w:bookmarkStart w:id="296" w:name="_Toc102117320"/>
      <w:r>
        <w:rPr>
          <w:rFonts w:hint="eastAsia" w:ascii="宋体" w:hAnsi="宋体" w:cs="宋体"/>
          <w:color w:val="000000" w:themeColor="text1"/>
          <w14:textFill>
            <w14:solidFill>
              <w14:schemeClr w14:val="tx1"/>
            </w14:solidFill>
          </w14:textFill>
        </w:rPr>
        <w:br w:type="page" w:clear="all"/>
      </w:r>
      <w:bookmarkStart w:id="297" w:name="_Toc107246284"/>
      <w:r/>
      <w:bookmarkStart w:id="298" w:name="_Toc104560904"/>
      <w:r/>
      <w:r/>
    </w:p>
    <w:p>
      <w:pPr>
        <w:pStyle w:val="907"/>
        <w:ind w:firstLine="426"/>
        <w:spacing w:line="240" w:lineRule="atLeast"/>
        <w:rPr>
          <w:rFonts w:hint="eastAsia" w:ascii="宋体" w:hAnsi="宋体" w:cs="宋体"/>
          <w:b w:val="0"/>
          <w:color w:val="000000" w:themeColor="text1"/>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（7-1-2）工商变更登记文件（如需）</w:t>
      </w:r>
      <w:bookmarkEnd w:id="295"/>
      <w:r/>
      <w:bookmarkEnd w:id="296"/>
      <w:r/>
      <w:bookmarkEnd w:id="297"/>
      <w:r/>
      <w:bookmarkEnd w:id="298"/>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注：如</w:t>
      </w:r>
      <w:r>
        <w:rPr>
          <w:rFonts w:hint="eastAsia" w:ascii="宋体" w:hAnsi="宋体" w:cs="宋体"/>
          <w:b/>
          <w:bCs/>
          <w:color w:val="000000" w:themeColor="text1"/>
          <w:sz w:val="22"/>
          <w:szCs w:val="22"/>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hint="eastAsia" w:ascii="宋体" w:hAnsi="宋体" w:cs="宋体"/>
          <w:color w:val="000000" w:themeColor="text1"/>
          <w:szCs w:val="21"/>
          <w14:textFill>
            <w14:solidFill>
              <w14:schemeClr w14:val="tx1"/>
            </w14:solidFill>
          </w14:textFill>
        </w:rPr>
      </w:pPr>
      <w:r/>
      <w:bookmarkStart w:id="299" w:name="_Toc103848593"/>
      <w:r/>
      <w:bookmarkStart w:id="300" w:name="_Toc104560908"/>
      <w:r/>
      <w:bookmarkStart w:id="301" w:name="_Toc102117322"/>
      <w:r>
        <w:rPr>
          <w:rFonts w:hint="eastAsia" w:ascii="宋体" w:hAnsi="宋体" w:cs="宋体"/>
          <w:color w:val="000000" w:themeColor="text1"/>
          <w:szCs w:val="21"/>
          <w14:textFill>
            <w14:solidFill>
              <w14:schemeClr w14:val="tx1"/>
            </w14:solidFill>
          </w14:textFill>
        </w:rPr>
        <w:br w:type="page" w:clear="all"/>
      </w:r>
      <w:bookmarkStart w:id="302" w:name="_Toc107246286"/>
      <w:r/>
      <w:r/>
    </w:p>
    <w:p>
      <w:pPr>
        <w:pStyle w:val="907"/>
        <w:ind w:firstLine="426"/>
        <w:jc w:val="left"/>
        <w:spacing w:line="240" w:lineRule="atLeast"/>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(7-3)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p>
    <w:p>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7"/>
        <w:ind w:firstLine="374"/>
        <w:jc w:val="left"/>
        <w:spacing w:before="0" w:after="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（7-4）具</w:t>
      </w:r>
      <w:bookmarkEnd w:id="299"/>
      <w:r/>
      <w:bookmarkEnd w:id="300"/>
      <w:r/>
      <w:bookmarkEnd w:id="301"/>
      <w:r/>
      <w:bookmarkEnd w:id="302"/>
      <w:r>
        <w:rPr>
          <w:rFonts w:hint="eastAsia" w:ascii="宋体" w:hAnsi="宋体" w:cs="宋体"/>
          <w:bCs w:val="0"/>
          <w:color w:val="000000" w:themeColor="text1"/>
          <w:sz w:val="24"/>
          <w:szCs w:val="24"/>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6"/>
        <w:ind w:left="1260" w:firstLine="42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6"/>
        <w:ind w:left="1260" w:firstLine="42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spacing w:line="276"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投标人名称（</w:t>
      </w:r>
      <w:r>
        <w:rPr>
          <w:rFonts w:hint="eastAsia" w:ascii="宋体" w:hAnsi="宋体" w:cs="宋体"/>
          <w:bCs/>
          <w:color w:val="000000" w:themeColor="text1"/>
          <w:lang w:val="en-US" w:eastAsia="zh-CN"/>
          <w14:textFill>
            <w14:solidFill>
              <w14:schemeClr w14:val="tx1"/>
            </w14:solidFill>
          </w14:textFill>
        </w:rPr>
        <w:t xml:space="preserve">电子</w:t>
      </w:r>
      <w:r>
        <w:rPr>
          <w:rFonts w:hint="eastAsia" w:ascii="宋体" w:hAnsi="宋体" w:cs="宋体"/>
          <w:bCs/>
          <w:color w:val="000000" w:themeColor="text1"/>
          <w14:textFill>
            <w14:solidFill>
              <w14:schemeClr w14:val="tx1"/>
            </w14:solidFill>
          </w14:textFill>
        </w:rPr>
        <w:t xml:space="preserve">公章）：______________________</w:t>
      </w:r>
      <w:r/>
    </w:p>
    <w:p>
      <w:pPr>
        <w:ind w:firstLine="372"/>
        <w:spacing w:line="276"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ind w:firstLine="372"/>
        <w:spacing w:line="276"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w:t>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日</w:t>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07"/>
        <w:ind w:firstLine="426"/>
        <w:spacing w:line="240" w:lineRule="atLeast"/>
        <w:rPr>
          <w:rFonts w:hint="eastAsia" w:ascii="宋体" w:hAnsi="宋体" w:cs="宋体"/>
          <w:b w:val="0"/>
          <w:color w:val="000000" w:themeColor="text1"/>
          <w14:textFill>
            <w14:solidFill>
              <w14:schemeClr w14:val="tx1"/>
            </w14:solidFill>
          </w14:textFill>
        </w:rPr>
      </w:pPr>
      <w:r/>
      <w:bookmarkStart w:id="303" w:name="_Toc103848591"/>
      <w:r/>
      <w:bookmarkStart w:id="304" w:name="_Toc102117323"/>
      <w:r>
        <w:rPr>
          <w:rFonts w:hint="eastAsia" w:ascii="宋体" w:hAnsi="宋体" w:cs="宋体"/>
          <w:bCs w:val="0"/>
          <w:color w:val="000000" w:themeColor="text1"/>
          <w:sz w:val="24"/>
          <w:szCs w:val="24"/>
          <w14:textFill>
            <w14:solidFill>
              <w14:schemeClr w14:val="tx1"/>
            </w14:solidFill>
          </w14:textFill>
        </w:rPr>
        <w:br w:type="page" w:clear="all"/>
      </w:r>
      <w:bookmarkStart w:id="305" w:name="_Toc104560906"/>
      <w:r/>
      <w:bookmarkStart w:id="306" w:name="_Toc107246287"/>
      <w:r>
        <w:rPr>
          <w:rFonts w:hint="eastAsia" w:ascii="宋体" w:hAnsi="宋体" w:cs="宋体"/>
          <w:bCs w:val="0"/>
          <w:color w:val="000000" w:themeColor="text1"/>
          <w:sz w:val="24"/>
          <w:szCs w:val="24"/>
          <w14:textFill>
            <w14:solidFill>
              <w14:schemeClr w14:val="tx1"/>
            </w14:solidFill>
          </w14:textFill>
        </w:rPr>
        <w:t xml:space="preserve">（7-5）有依法缴纳税收和社会保障资金的良好记录的相关材料</w:t>
      </w:r>
      <w:bookmarkEnd w:id="303"/>
      <w:r/>
      <w:bookmarkEnd w:id="304"/>
      <w:r/>
      <w:bookmarkEnd w:id="305"/>
      <w:r/>
      <w:bookmarkEnd w:id="306"/>
      <w:r/>
      <w:r/>
    </w:p>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有依法缴纳税收和社会保障资金的良好记录，投标人提供递交投标文件截止时间前六个月内（即2026年2月（含）以来）</w:t>
      </w:r>
      <w:bookmarkStart w:id="347" w:name="_GoBack"/>
      <w:r/>
      <w:bookmarkEnd w:id="347"/>
      <w:r>
        <w:rPr>
          <w:rFonts w:hint="eastAsia" w:ascii="宋体" w:hAnsi="宋体" w:cs="宋体"/>
          <w:b/>
          <w:bCs/>
          <w:color w:val="000000" w:themeColor="text1"/>
          <w14:textFill>
            <w14:solidFill>
              <w14:schemeClr w14:val="tx1"/>
            </w14:solidFill>
          </w14:textFill>
        </w:rPr>
        <w:t xml:space="preserve">至少一个月依法缴纳税收及缴纳社会保障资金的证明材料。投标人依法享受缓缴、免缴的，提供证明材料；</w:t>
      </w:r>
      <w:r>
        <w:rPr>
          <w:rFonts w:hint="eastAsia" w:ascii="宋体" w:hAnsi="宋体" w:cs="宋体"/>
          <w:color w:val="000000" w:themeColor="text1"/>
          <w:sz w:val="24"/>
          <w14:textFill>
            <w14:solidFill>
              <w14:schemeClr w14:val="tx1"/>
            </w14:solidFill>
          </w14:textFill>
        </w:rPr>
        <w:br w:type="page" w:clear="all"/>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07"/>
        <w:ind w:firstLine="566"/>
        <w:jc w:val="left"/>
        <w:spacing w:line="240" w:lineRule="atLeast"/>
        <w:rPr>
          <w:rFonts w:hint="eastAsia" w:ascii="宋体" w:hAnsi="宋体" w:cs="宋体"/>
          <w:b w:val="0"/>
          <w:color w:val="000000" w:themeColor="text1"/>
          <w:sz w:val="24"/>
          <w14:textFill>
            <w14:solidFill>
              <w14:schemeClr w14:val="tx1"/>
            </w14:solidFill>
          </w14:textFill>
        </w:rPr>
      </w:pPr>
      <w:r/>
      <w:bookmarkStart w:id="307" w:name="_Toc102117325"/>
      <w:r/>
      <w:bookmarkStart w:id="308" w:name="_Toc104560909"/>
      <w:r/>
      <w:bookmarkStart w:id="309" w:name="_Toc107246289"/>
      <w:r/>
      <w:bookmarkStart w:id="310" w:name="_Toc103848594"/>
      <w:r>
        <w:rPr>
          <w:rFonts w:hint="eastAsia" w:ascii="宋体" w:hAnsi="宋体" w:cs="宋体"/>
          <w:bCs w:val="0"/>
          <w:color w:val="000000" w:themeColor="text1"/>
          <w:sz w:val="24"/>
          <w:szCs w:val="24"/>
          <w14:textFill>
            <w14:solidFill>
              <w14:schemeClr w14:val="tx1"/>
            </w14:solidFill>
          </w14:textFill>
        </w:rPr>
        <w:t xml:space="preserve">（7-6）</w:t>
      </w:r>
      <w:bookmarkEnd w:id="307"/>
      <w:r/>
      <w:bookmarkEnd w:id="308"/>
      <w:r/>
      <w:bookmarkEnd w:id="309"/>
      <w:r/>
      <w:bookmarkEnd w:id="310"/>
      <w:r>
        <w:rPr>
          <w:rFonts w:hint="eastAsia" w:ascii="宋体" w:hAnsi="宋体" w:cs="宋体"/>
          <w:bCs w:val="0"/>
          <w:color w:val="000000" w:themeColor="text1"/>
          <w:sz w:val="24"/>
          <w:szCs w:val="24"/>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声  明</w:t>
      </w:r>
      <w:r/>
    </w:p>
    <w:p>
      <w:pPr>
        <w:ind w:firstLine="496"/>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99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投标人名称（</w:t>
      </w:r>
      <w:r>
        <w:rPr>
          <w:rFonts w:hint="eastAsia" w:ascii="宋体" w:hAnsi="宋体" w:cs="宋体"/>
          <w:bCs/>
          <w:color w:val="000000" w:themeColor="text1"/>
          <w:lang w:val="en-US" w:eastAsia="zh-CN"/>
          <w14:textFill>
            <w14:solidFill>
              <w14:schemeClr w14:val="tx1"/>
            </w14:solidFill>
          </w14:textFill>
        </w:rPr>
        <w:t xml:space="preserve">电子</w:t>
      </w:r>
      <w:r>
        <w:rPr>
          <w:rFonts w:hint="eastAsia" w:ascii="宋体" w:hAnsi="宋体" w:cs="宋体"/>
          <w:bCs/>
          <w:color w:val="000000" w:themeColor="text1"/>
          <w14:textFill>
            <w14:solidFill>
              <w14:schemeClr w14:val="tx1"/>
            </w14:solidFill>
          </w14:textFill>
        </w:rPr>
        <w:t xml:space="preserve">公章）：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ind w:firstLine="399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07"/>
        <w:ind w:firstLine="566"/>
        <w:spacing w:line="240" w:lineRule="atLeast"/>
        <w:rPr>
          <w:rFonts w:hint="eastAsia" w:ascii="宋体" w:hAnsi="宋体" w:cs="宋体"/>
          <w:b w:val="0"/>
          <w:color w:val="000000" w:themeColor="text1"/>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14:textFill>
            <w14:solidFill>
              <w14:schemeClr w14:val="tx1"/>
            </w14:solidFill>
          </w14:textFill>
        </w:rPr>
        <w:br w:type="page" w:clear="all"/>
      </w:r>
      <w:bookmarkStart w:id="311" w:name="_Toc104560910"/>
      <w:r/>
      <w:bookmarkStart w:id="312" w:name="_Toc107246290"/>
      <w:r/>
      <w:r/>
    </w:p>
    <w:p>
      <w:pPr>
        <w:pStyle w:val="907"/>
        <w:ind w:firstLine="426"/>
        <w:spacing w:line="240" w:lineRule="atLeast"/>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907"/>
        <w:ind w:firstLine="426"/>
        <w:spacing w:line="240" w:lineRule="atLeast"/>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（7-8）承诺函</w:t>
      </w:r>
      <w:bookmarkEnd w:id="311"/>
      <w:r/>
      <w:bookmarkEnd w:id="312"/>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（一）本单位郑重承诺满足以下要求：</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1.投标人单位负责人为同一人或者存在直接控股、管理关系的不同投标人，不得同时参加本项目的采购活动。</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2.凡为采购项目提供整体设计、规范编制或者项目管理、监理、检测等服务的投标人，不得再参加本项目的采购活动。</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（二）本单位郑重承诺，我单位无以下不良信用记录情形：</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1.被人民法院列入失信被执行人；</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2.被税务部门列入重大税收违法失信主体；</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3.被政府采购监管部门列入政府采购严重违法失信行为记录名单；</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4.不符合《政府采购法》第二十二条规定的条件。</w:t>
      </w:r>
      <w:r/>
    </w:p>
    <w:p>
      <w:pPr>
        <w:pStyle w:val="1126"/>
        <w:ind w:firstLine="420"/>
        <w:spacing w:line="48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990"/>
        <w:spacing w:line="360" w:lineRule="auto"/>
        <w:rPr>
          <w:rFonts w:hint="eastAsia" w:ascii="宋体" w:hAnsi="宋体" w:cs="宋体"/>
          <w:color w:val="000000" w:themeColor="text1"/>
          <w:szCs w:val="21"/>
          <w:u w:val="single"/>
          <w14:textFill>
            <w14:solidFill>
              <w14:schemeClr w14:val="tx1"/>
            </w14:solidFill>
          </w14:textFill>
        </w:rPr>
      </w:pPr>
      <w:r/>
      <w:bookmarkStart w:id="313" w:name="_Toc102117326"/>
      <w:r/>
      <w:bookmarkStart w:id="314" w:name="_Toc103848596"/>
      <w:r>
        <w:rPr>
          <w:rFonts w:hint="eastAsia" w:ascii="宋体" w:hAnsi="宋体" w:cs="宋体"/>
          <w:bCs/>
          <w:color w:val="000000" w:themeColor="text1"/>
          <w14:textFill>
            <w14:solidFill>
              <w14:schemeClr w14:val="tx1"/>
            </w14:solidFill>
          </w14:textFill>
        </w:rPr>
        <w:t xml:space="preserve">投标人名称（</w:t>
      </w:r>
      <w:r>
        <w:rPr>
          <w:rFonts w:hint="eastAsia" w:ascii="宋体" w:hAnsi="宋体" w:cs="宋体"/>
          <w:bCs/>
          <w:color w:val="000000" w:themeColor="text1"/>
          <w:lang w:val="en-US" w:eastAsia="zh-CN"/>
          <w14:textFill>
            <w14:solidFill>
              <w14:schemeClr w14:val="tx1"/>
            </w14:solidFill>
          </w14:textFill>
        </w:rPr>
        <w:t xml:space="preserve">电子</w:t>
      </w:r>
      <w:r>
        <w:rPr>
          <w:rFonts w:hint="eastAsia" w:ascii="宋体" w:hAnsi="宋体" w:cs="宋体"/>
          <w:bCs/>
          <w:color w:val="000000" w:themeColor="text1"/>
          <w14:textFill>
            <w14:solidFill>
              <w14:schemeClr w14:val="tx1"/>
            </w14:solidFill>
          </w14:textFill>
        </w:rPr>
        <w:t xml:space="preserve">公章）：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ind w:firstLine="399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日</w:t>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br w:type="page" w:clear="all"/>
      </w:r>
      <w:bookmarkStart w:id="315" w:name="_Toc104560911"/>
      <w:r/>
      <w:bookmarkStart w:id="316" w:name="_Toc107246291"/>
      <w:r>
        <w:rPr>
          <w:rFonts w:hint="eastAsia" w:ascii="宋体" w:hAnsi="宋体" w:cs="宋体"/>
          <w:bCs w:val="0"/>
          <w:color w:val="000000" w:themeColor="text1"/>
          <w:sz w:val="24"/>
          <w:szCs w:val="24"/>
          <w14:textFill>
            <w14:solidFill>
              <w14:schemeClr w14:val="tx1"/>
            </w14:solidFill>
          </w14:textFill>
        </w:rPr>
        <w:t xml:space="preserve">（7-9）</w:t>
      </w:r>
      <w:bookmarkEnd w:id="313"/>
      <w:r>
        <w:rPr>
          <w:rFonts w:hint="eastAsia" w:ascii="宋体" w:hAnsi="宋体" w:cs="宋体"/>
          <w:bCs w:val="0"/>
          <w:color w:val="000000" w:themeColor="text1"/>
          <w:sz w:val="24"/>
          <w:szCs w:val="24"/>
          <w14:textFill>
            <w14:solidFill>
              <w14:schemeClr w14:val="tx1"/>
            </w14:solidFill>
          </w14:textFill>
        </w:rPr>
        <w:t xml:space="preserve">招标文件要求的其它实质性资格资信证明文件</w:t>
      </w:r>
      <w:bookmarkEnd w:id="315"/>
      <w:r/>
      <w:bookmarkEnd w:id="316"/>
      <w:r/>
      <w:r/>
    </w:p>
    <w:p>
      <w:pPr>
        <w:rPr>
          <w:rFonts w:hint="eastAsia" w:ascii="宋体" w:hAnsi="宋体" w:cs="宋体"/>
          <w:color w:val="000000"/>
          <w:sz w:val="24"/>
          <w:szCs w:val="32"/>
        </w:rPr>
      </w:pPr>
      <w:r/>
      <w:bookmarkStart w:id="317" w:name="_Toc107246292"/>
      <w:r>
        <w:rPr>
          <w:rFonts w:hint="eastAsia" w:ascii="宋体" w:hAnsi="宋体" w:cs="宋体"/>
          <w:color w:val="000000"/>
          <w:sz w:val="24"/>
          <w:szCs w:val="32"/>
        </w:rPr>
        <w:t xml:space="preserve">（1）本项目接受进口产品投标（注：本文件所称进口产品是指通过中国海关报关验放进入中国境内且产自关境外的产品）。</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sz w:val="24"/>
          <w:szCs w:val="32"/>
        </w:rPr>
        <w:t xml:space="preserve">（2）供应商必须是所投产品的制造商或代理商，代理商投标须提供制造商的专项授权（本条适用于进口产品）。</w:t>
      </w:r>
      <w:r>
        <w:rPr>
          <w:rFonts w:hint="eastAsia" w:ascii="宋体" w:hAnsi="宋体" w:cs="宋体"/>
          <w:color w:val="000000" w:themeColor="text1"/>
          <w14:textFill>
            <w14:solidFill>
              <w14:schemeClr w14:val="tx1"/>
            </w14:solidFill>
          </w14:textFill>
        </w:rPr>
        <w:br w:type="page" w:clear="all"/>
      </w:r>
      <w:bookmarkEnd w:id="317"/>
      <w:r/>
      <w:bookmarkStart w:id="318" w:name="_Toc107246293"/>
      <w:r/>
      <w:bookmarkStart w:id="319" w:name="_Toc104560912"/>
      <w:r/>
      <w:bookmarkEnd w:id="314"/>
      <w:r/>
      <w:bookmarkEnd w:id="318"/>
      <w:r/>
      <w:bookmarkEnd w:id="319"/>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907"/>
        <w:ind w:left="601" w:firstLine="498"/>
        <w:spacing w:before="0"/>
        <w:rPr>
          <w:rFonts w:hint="eastAsia" w:ascii="宋体" w:hAnsi="宋体" w:cs="宋体"/>
          <w:color w:val="000000" w:themeColor="text1"/>
          <w:sz w:val="28"/>
          <w:szCs w:val="24"/>
          <w14:textFill>
            <w14:solidFill>
              <w14:schemeClr w14:val="tx1"/>
            </w14:solidFill>
          </w14:textFill>
        </w:rPr>
      </w:pPr>
      <w:r/>
      <w:bookmarkStart w:id="320" w:name="_Toc103848599"/>
      <w:r/>
      <w:bookmarkStart w:id="321" w:name="_Toc107246299"/>
      <w:r/>
      <w:bookmarkStart w:id="322" w:name="_Toc104560916"/>
      <w:r>
        <w:rPr>
          <w:rFonts w:ascii="宋体" w:hAnsi="宋体" w:cs="宋体"/>
          <w:color w:val="000000" w:themeColor="text1"/>
          <w:sz w:val="28"/>
          <w:szCs w:val="24"/>
          <w14:textFill>
            <w14:solidFill>
              <w14:schemeClr w14:val="tx1"/>
            </w14:solidFill>
          </w14:textFill>
        </w:rPr>
        <w:t xml:space="preserve">二、</w:t>
      </w:r>
      <w:r>
        <w:rPr>
          <w:rFonts w:hint="eastAsia" w:ascii="宋体" w:hAnsi="宋体" w:cs="宋体"/>
          <w:color w:val="000000" w:themeColor="text1"/>
          <w:sz w:val="28"/>
          <w:szCs w:val="24"/>
          <w14:textFill>
            <w14:solidFill>
              <w14:schemeClr w14:val="tx1"/>
            </w14:solidFill>
          </w14:textFill>
        </w:rPr>
        <w:t xml:space="preserve">技术部分</w:t>
      </w:r>
      <w:bookmarkEnd w:id="320"/>
      <w:r/>
      <w:bookmarkEnd w:id="321"/>
      <w:r/>
      <w:bookmarkEnd w:id="322"/>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bookmarkStart w:id="323" w:name="_Toc103848601"/>
      <w:r/>
      <w:bookmarkStart w:id="324" w:name="_Toc107246301"/>
      <w:r/>
      <w:bookmarkStart w:id="325" w:name="_Toc104560918"/>
      <w:r>
        <w:rPr>
          <w:rFonts w:hint="eastAsia" w:ascii="宋体" w:hAnsi="宋体" w:cs="宋体"/>
          <w:bCs w:val="0"/>
          <w:color w:val="000000" w:themeColor="text1"/>
          <w:sz w:val="24"/>
          <w:szCs w:val="24"/>
          <w14:textFill>
            <w14:solidFill>
              <w14:schemeClr w14:val="tx1"/>
            </w14:solidFill>
          </w14:textFill>
        </w:rPr>
        <w:t xml:space="preserve">（1）技术条款偏离表</w:t>
      </w:r>
      <w:bookmarkEnd w:id="323"/>
      <w:r/>
      <w:bookmarkEnd w:id="324"/>
      <w:r/>
      <w:bookmarkEnd w:id="325"/>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w:t>
      </w:r>
      <w:r>
        <w:rPr>
          <w:rFonts w:hint="eastAsia" w:ascii="宋体" w:hAnsi="宋体" w:cs="宋体"/>
          <w:color w:val="000000" w:themeColor="text1"/>
          <w:szCs w:val="21"/>
          <w:u w:val="single"/>
          <w14:textFill>
            <w14:solidFill>
              <w14:schemeClr w14:val="tx1"/>
            </w14:solidFill>
          </w14:textFill>
        </w:rPr>
        <w:t xml:space="preserve">体CT影像系统采购项目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JSZC-320000-JITC-G2026-0272</w:t>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bl>
      <w:tblPr>
        <w:tblStyle w:val="877"/>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737"/>
        <w:gridCol w:w="2159"/>
        <w:gridCol w:w="1152"/>
        <w:gridCol w:w="1371"/>
        <w:gridCol w:w="1406"/>
      </w:tblGrid>
      <w:tr>
        <w:trPr>
          <w:jc w:val="center"/>
          <w:trHeight w:val="635"/>
        </w:trPr>
        <w:tc>
          <w:tcPr>
            <w:tcW w:w="384" w:type="pct"/>
            <w:vAlign w:val="center"/>
            <w:textDirection w:val="lrTb"/>
            <w:noWrap w:val="false"/>
          </w:tcPr>
          <w:p>
            <w:pPr>
              <w:pStyle w:val="1126"/>
              <w:ind w:firstLine="0"/>
              <w:jc w:val="center"/>
              <w:spacing w:line="24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序号</w:t>
            </w:r>
            <w:r/>
          </w:p>
        </w:tc>
        <w:tc>
          <w:tcPr>
            <w:tcW w:w="1024" w:type="pct"/>
            <w:vAlign w:val="center"/>
            <w:textDirection w:val="lrTb"/>
            <w:noWrap w:val="false"/>
          </w:tcPr>
          <w:p>
            <w:pPr>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b w:val="0"/>
                <w:color w:val="auto"/>
                <w:szCs w:val="24"/>
                <w:highlight w:val="none"/>
              </w:rPr>
              <w:t xml:space="preserve">招标文件要求</w:t>
            </w:r>
            <w:r/>
          </w:p>
        </w:tc>
        <w:tc>
          <w:tcPr>
            <w:tcW w:w="1273" w:type="pct"/>
            <w:vAlign w:val="center"/>
            <w:textDirection w:val="lrTb"/>
            <w:noWrap w:val="false"/>
          </w:tcPr>
          <w:p>
            <w:pPr>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b w:val="0"/>
                <w:color w:val="auto"/>
                <w:szCs w:val="24"/>
                <w:highlight w:val="none"/>
              </w:rPr>
              <w:t xml:space="preserve">投标人响应内容</w:t>
            </w:r>
            <w:r/>
          </w:p>
        </w:tc>
        <w:tc>
          <w:tcPr>
            <w:tcW w:w="679" w:type="pct"/>
            <w:vAlign w:val="center"/>
            <w:textDirection w:val="lrTb"/>
            <w:noWrap w:val="false"/>
          </w:tcPr>
          <w:p>
            <w:pPr>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响应/偏离</w:t>
            </w:r>
            <w:r/>
          </w:p>
        </w:tc>
        <w:tc>
          <w:tcPr>
            <w:tcW w:w="808" w:type="pct"/>
            <w:vAlign w:val="center"/>
            <w:textDirection w:val="lrTb"/>
            <w:noWrap w:val="false"/>
          </w:tcPr>
          <w:p>
            <w:pPr>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b w:val="0"/>
                <w:color w:val="auto"/>
                <w:szCs w:val="24"/>
                <w:highlight w:val="none"/>
              </w:rPr>
              <w:t xml:space="preserve">偏离及说明</w:t>
            </w:r>
            <w:r/>
          </w:p>
        </w:tc>
        <w:tc>
          <w:tcPr>
            <w:tcW w:w="829" w:type="pct"/>
            <w:vAlign w:val="center"/>
            <w:textDirection w:val="lrTb"/>
            <w:noWrap w:val="false"/>
          </w:tcPr>
          <w:p>
            <w:pPr>
              <w:jc w:val="center"/>
              <w:spacing w:line="240" w:lineRule="auto"/>
              <w:rPr>
                <w:rFonts w:hint="eastAsia" w:hAnsi="宋体" w:cs="宋体"/>
                <w:color w:val="000000" w:themeColor="text1"/>
                <w:sz w:val="21"/>
                <w:szCs w:val="21"/>
                <w14:textFill>
                  <w14:solidFill>
                    <w14:schemeClr w14:val="tx1"/>
                  </w14:solidFill>
                </w14:textFill>
              </w:rPr>
            </w:pPr>
            <w:r>
              <w:rPr>
                <w:color w:val="000000"/>
              </w:rPr>
              <w:t xml:space="preserve">必要的证明材料所在</w:t>
            </w:r>
            <w:r>
              <w:rPr>
                <w:rFonts w:hint="eastAsia" w:eastAsia="宋体"/>
                <w:color w:val="000000"/>
              </w:rPr>
              <w:t xml:space="preserve">位置</w:t>
            </w:r>
            <w:r/>
          </w:p>
        </w:tc>
      </w:tr>
      <w:tr>
        <w:trPr>
          <w:jc w:val="center"/>
          <w:trHeight w:val="570"/>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1"/>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90"/>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14"/>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2"/>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07"/>
        </w:trPr>
        <w:tc>
          <w:tcPr>
            <w:tcW w:w="38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024"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273"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79" w:type="pct"/>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08"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29" w:type="pct"/>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日期：______年______月______日</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 投标人须根据招标文件技术条款要求填写此表，作为投标文件的组成部分。</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905"/>
        <w:ind w:firstLine="373"/>
        <w:spacing w:line="36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 偏离包括正、负偏离，正偏离指投标人的响应优于招标文件要求，负偏离指投标人的响应低于招标文件要求。</w:t>
      </w:r>
      <w:r/>
    </w:p>
    <w:p>
      <w:pPr>
        <w:pStyle w:val="905"/>
        <w:ind w:firstLine="373"/>
        <w:spacing w:line="360" w:lineRule="exact"/>
        <w:rPr>
          <w:rFonts w:hint="eastAsia" w:hAnsi="宋体" w:cs="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4.行数不够，投标人请自行增加</w:t>
      </w:r>
      <w:r/>
    </w:p>
    <w:p>
      <w:pPr>
        <w:pStyle w:val="884"/>
        <w:ind w:firstLine="372"/>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jc w:val="center"/>
        <w:spacing w:after="156" w:line="439" w:lineRule="atLeast"/>
        <w:rPr>
          <w:rFonts w:hint="eastAsia"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r>
      <w:r/>
    </w:p>
    <w:p>
      <w:pPr>
        <w:pStyle w:val="907"/>
        <w:ind w:left="100" w:right="100" w:firstLine="426"/>
        <w:jc w:val="center"/>
        <w:spacing w:before="0"/>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Cs w:val="0"/>
          <w:color w:val="000000" w:themeColor="text1"/>
          <w:sz w:val="24"/>
          <w:szCs w:val="24"/>
          <w:lang w:eastAsia="zh-CN"/>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2-1）</w:t>
      </w:r>
      <w:r>
        <w:rPr>
          <w:rFonts w:hint="eastAsia" w:ascii="宋体" w:hAnsi="宋体" w:cs="宋体"/>
          <w:b/>
          <w:bCs w:val="0"/>
          <w:color w:val="000000" w:themeColor="text1"/>
          <w:sz w:val="24"/>
          <w:szCs w:val="24"/>
          <w:lang w:val="en-US" w:eastAsia="zh-CN"/>
          <w14:textFill>
            <w14:solidFill>
              <w14:schemeClr w14:val="tx1"/>
            </w14:solidFill>
          </w14:textFill>
        </w:rPr>
        <w:t xml:space="preserve">采购需求中★项、▲项证明材料</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w:t>
      </w:r>
      <w:r>
        <w:rPr>
          <w:rFonts w:hint="eastAsia" w:ascii="宋体" w:hAnsi="宋体" w:cs="宋体"/>
          <w:b/>
          <w:bCs w:val="0"/>
          <w:color w:val="000000" w:themeColor="text1"/>
          <w:sz w:val="24"/>
          <w:szCs w:val="24"/>
          <w:lang w:val="en-US" w:eastAsia="zh-CN"/>
          <w14:textFill>
            <w14:solidFill>
              <w14:schemeClr w14:val="tx1"/>
            </w14:solidFill>
          </w14:textFill>
        </w:rPr>
        <w:t xml:space="preserve">格式自拟</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pStyle w:val="907"/>
        <w:ind w:left="114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（3）需求响应方案</w:t>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格式自拟。</w:t>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907"/>
        <w:ind w:firstLine="569"/>
        <w:spacing w:before="0" w:line="48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326" w:name="_Toc104560919"/>
      <w:r/>
      <w:bookmarkStart w:id="327" w:name="_Toc103848602"/>
      <w:r/>
      <w:bookmarkStart w:id="328" w:name="_Toc107246302"/>
      <w:r>
        <w:rPr>
          <w:rFonts w:hint="eastAsia" w:ascii="宋体" w:hAnsi="宋体" w:cs="宋体"/>
          <w:bCs w:val="0"/>
          <w:color w:val="000000" w:themeColor="text1"/>
          <w:sz w:val="24"/>
          <w:szCs w:val="24"/>
          <w14:textFill>
            <w14:solidFill>
              <w14:schemeClr w14:val="tx1"/>
            </w14:solidFill>
          </w14:textFill>
        </w:rPr>
        <w:t xml:space="preserve">（4）投标人服务承诺</w:t>
      </w:r>
      <w:bookmarkEnd w:id="326"/>
      <w:r/>
      <w:bookmarkEnd w:id="327"/>
      <w:r/>
      <w:bookmarkEnd w:id="328"/>
      <w:r>
        <w:rPr>
          <w:rFonts w:hint="eastAsia" w:ascii="宋体" w:hAnsi="宋体" w:cs="宋体"/>
          <w:bCs w:val="0"/>
          <w:color w:val="000000" w:themeColor="text1"/>
          <w:sz w:val="24"/>
          <w:szCs w:val="24"/>
          <w14:textFill>
            <w14:solidFill>
              <w14:schemeClr w14:val="tx1"/>
            </w14:solidFill>
          </w14:textFill>
        </w:rPr>
        <w:t xml:space="preserve">（如需，格式自拟）</w:t>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br w:type="page" w:clear="all"/>
      </w:r>
      <w:bookmarkStart w:id="329" w:name="_Toc103848603"/>
      <w:r/>
      <w:bookmarkStart w:id="330" w:name="_Toc104560920"/>
      <w:r/>
      <w:bookmarkStart w:id="331" w:name="_Toc107246303"/>
      <w:r>
        <w:rPr>
          <w:rFonts w:hint="eastAsia" w:ascii="宋体" w:hAnsi="宋体" w:cs="宋体"/>
          <w:bCs w:val="0"/>
          <w:color w:val="000000" w:themeColor="text1"/>
          <w:sz w:val="24"/>
          <w:szCs w:val="24"/>
          <w14:textFill>
            <w14:solidFill>
              <w14:schemeClr w14:val="tx1"/>
            </w14:solidFill>
          </w14:textFill>
        </w:rPr>
        <w:t xml:space="preserve">（5）用于本项目人员简历表</w:t>
      </w:r>
      <w:bookmarkEnd w:id="329"/>
      <w:r/>
      <w:bookmarkEnd w:id="330"/>
      <w:r/>
      <w:bookmarkEnd w:id="331"/>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tbl>
      <w:tblPr>
        <w:tblStyle w:val="87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姓名</w:t>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性别</w:t>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职务</w:t>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职称</w:t>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毕业学校、专业</w:t>
            </w:r>
            <w:r/>
          </w:p>
        </w:tc>
        <w:tc>
          <w:tcPr>
            <w:gridSpan w:val="3"/>
            <w:tcW w:w="5808"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身份证号</w:t>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拟在本项目任职</w:t>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执业资格证</w:t>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执业资格证书号</w:t>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gridSpan w:val="4"/>
            <w:tcW w:w="8304"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时间</w:t>
            </w:r>
            <w:r/>
          </w:p>
        </w:tc>
        <w:tc>
          <w:tcPr>
            <w:tcW w:w="165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类似项目名称</w:t>
            </w:r>
            <w:r/>
          </w:p>
        </w:tc>
        <w:tc>
          <w:tcPr>
            <w:tcW w:w="186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担任职务</w:t>
            </w:r>
            <w:r/>
          </w:p>
        </w:tc>
        <w:tc>
          <w:tcPr>
            <w:tcW w:w="2286" w:type="dxa"/>
            <w:vAlign w:val="center"/>
            <w:textDirection w:val="lrTb"/>
            <w:noWrap w:val="false"/>
          </w:tcPr>
          <w:p>
            <w:pPr>
              <w:pStyle w:val="1126"/>
              <w:ind w:firstLine="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26"/>
              <w:ind w:firstLine="420"/>
              <w:jc w:val="center"/>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（6）拟投入本项目人员情况表</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w:t>
      </w:r>
      <w:r>
        <w:rPr>
          <w:rFonts w:hint="eastAsia" w:ascii="宋体" w:hAnsi="宋体" w:cs="宋体"/>
          <w:color w:val="000000" w:themeColor="text1"/>
          <w:szCs w:val="21"/>
          <w:u w:val="single"/>
          <w14:textFill>
            <w14:solidFill>
              <w14:schemeClr w14:val="tx1"/>
            </w14:solidFill>
          </w14:textFill>
        </w:rPr>
        <w:t xml:space="preserve">中医药</w:t>
      </w:r>
      <w:r>
        <w:rPr>
          <w:rFonts w:hint="eastAsia" w:ascii="宋体" w:hAnsi="宋体" w:cs="宋体"/>
          <w:color w:val="000000" w:themeColor="text1"/>
          <w:szCs w:val="21"/>
          <w:u w:val="single"/>
          <w14:textFill>
            <w14:solidFill>
              <w14:schemeClr w14:val="tx1"/>
            </w14:solidFill>
          </w14:textFill>
        </w:rPr>
        <w:t xml:space="preserve">大学</w:t>
      </w:r>
      <w:r>
        <w:rPr>
          <w:rFonts w:hint="eastAsia" w:ascii="宋体" w:hAnsi="宋体" w:cs="宋体"/>
          <w:color w:val="000000" w:themeColor="text1"/>
          <w:szCs w:val="21"/>
          <w:u w:val="single"/>
          <w14:textFill>
            <w14:solidFill>
              <w14:schemeClr w14:val="tx1"/>
            </w14:solidFill>
          </w14:textFill>
        </w:rPr>
        <w:t xml:space="preserve">活体CT影像系统采购项目</w:t>
      </w:r>
      <w:r/>
    </w:p>
    <w:p>
      <w:pPr>
        <w:ind w:left="-120" w:firstLine="21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JSZC-320000-JITC-G2026-0272</w:t>
      </w:r>
      <w:r/>
    </w:p>
    <w:p>
      <w:pPr>
        <w:pStyle w:val="1126"/>
        <w:ind w:firstLine="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bl>
      <w:tblPr>
        <w:tblStyle w:val="87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907"/>
        <w:ind w:firstLine="426"/>
        <w:spacing w:before="0"/>
        <w:rPr>
          <w:rFonts w:hint="eastAsia" w:ascii="宋体" w:hAnsi="宋体" w:cs="宋体"/>
          <w:bCs w:val="0"/>
          <w:color w:val="000000" w:themeColor="text1"/>
          <w:sz w:val="24"/>
          <w:szCs w:val="24"/>
          <w:lang w:val="en-US" w:eastAsia="zh-CN"/>
          <w14:textFill>
            <w14:solidFill>
              <w14:schemeClr w14:val="tx1"/>
            </w14:solidFill>
          </w14:textFill>
        </w:rPr>
      </w:pPr>
      <w:r>
        <w:rPr>
          <w:rFonts w:hint="eastAsia" w:ascii="宋体" w:hAnsi="宋体" w:cs="宋体"/>
          <w:bCs w:val="0"/>
          <w:color w:val="000000" w:themeColor="text1"/>
          <w:sz w:val="24"/>
          <w:szCs w:val="24"/>
          <w:lang w:val="en-US" w:eastAsia="zh-CN"/>
          <w14:textFill>
            <w14:solidFill>
              <w14:schemeClr w14:val="tx1"/>
            </w14:solidFill>
          </w14:textFill>
        </w:rPr>
        <w:t xml:space="preserve">（7）业绩一览表</w:t>
      </w:r>
      <w:r/>
    </w:p>
    <w:p>
      <w:pPr>
        <w:numPr>
          <w:ilvl w:val="0"/>
          <w:numId w:val="0"/>
        </w:numP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p>
      <w:pPr>
        <w:pStyle w:val="1163"/>
        <w:rPr>
          <w:rFonts w:hint="default"/>
          <w:color w:val="auto"/>
          <w:highlight w:val="none"/>
          <w:lang w:val="en-US" w:eastAsia="zh-CN"/>
        </w:rPr>
      </w:pPr>
      <w:r>
        <w:rPr>
          <w:rFonts w:hint="default"/>
          <w:color w:val="auto"/>
          <w:highlight w:val="none"/>
          <w:lang w:val="en-US" w:eastAsia="zh-CN"/>
        </w:rPr>
      </w:r>
      <w:r/>
    </w:p>
    <w:tbl>
      <w:tblPr>
        <w:tblStyle w:val="87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818"/>
        <w:gridCol w:w="818"/>
        <w:gridCol w:w="818"/>
        <w:gridCol w:w="1333"/>
        <w:gridCol w:w="818"/>
        <w:gridCol w:w="1591"/>
        <w:gridCol w:w="1591"/>
      </w:tblGrid>
      <w:tr>
        <w:trPr>
          <w:cantSplit/>
          <w:jc w:val="center"/>
          <w:trHeight w:val="979" w:hRule="exact"/>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用户</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项目</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服务</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内容</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金额</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（万元）</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签订</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日期</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用户联系人</w:t>
            </w:r>
            <w:r/>
          </w:p>
          <w:p>
            <w:pPr>
              <w:jc w:val="center"/>
              <w:spacing w:line="36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及电话</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default"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合同类型（选填）</w:t>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1163"/>
        <w:ind w:left="0" w:firstLine="0"/>
        <w:rPr>
          <w:rFonts w:hint="default"/>
          <w:color w:val="auto"/>
          <w:highlight w:val="none"/>
          <w:lang w:val="en-US" w:eastAsia="zh-CN"/>
        </w:rPr>
      </w:pPr>
      <w:r>
        <w:rPr>
          <w:rFonts w:hint="default"/>
          <w:color w:val="auto"/>
          <w:highlight w:val="none"/>
          <w:lang w:val="en-US" w:eastAsia="zh-CN"/>
        </w:rPr>
      </w:r>
      <w:r/>
    </w:p>
    <w:p>
      <w:pPr>
        <w:pStyle w:val="1164"/>
        <w:rPr>
          <w:rFonts w:hint="default"/>
          <w:color w:val="auto"/>
          <w:highlight w:val="none"/>
          <w:lang w:val="en-US" w:eastAsia="zh-CN"/>
        </w:rPr>
      </w:pPr>
      <w:r>
        <w:rPr>
          <w:rFonts w:hint="default"/>
          <w:color w:val="auto"/>
          <w:highlight w:val="none"/>
          <w:lang w:val="en-US" w:eastAsia="zh-CN"/>
        </w:rPr>
      </w:r>
      <w:r/>
    </w:p>
    <w:p>
      <w:pPr>
        <w:pStyle w:val="1164"/>
        <w:rPr>
          <w:rFonts w:hint="default"/>
          <w:color w:val="auto"/>
          <w:highlight w:val="none"/>
          <w:lang w:val="en-US" w:eastAsia="zh-CN"/>
        </w:rPr>
      </w:pPr>
      <w:r>
        <w:rPr>
          <w:rFonts w:hint="default"/>
          <w:color w:val="auto"/>
          <w:highlight w:val="none"/>
          <w:lang w:val="en-US" w:eastAsia="zh-CN"/>
        </w:rPr>
      </w:r>
      <w:r/>
    </w:p>
    <w:p>
      <w:pPr>
        <w:pStyle w:val="1126"/>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w:t>
      </w:r>
      <w:r>
        <w:rPr>
          <w:rFonts w:hint="eastAsia" w:hAnsi="宋体" w:cs="宋体"/>
          <w:color w:val="auto"/>
          <w:sz w:val="21"/>
          <w:szCs w:val="21"/>
          <w:highlight w:val="none"/>
          <w:lang w:val="en-US" w:eastAsia="zh-CN"/>
        </w:rPr>
        <w:t xml:space="preserve">电子</w:t>
      </w:r>
      <w:r>
        <w:rPr>
          <w:rFonts w:hint="eastAsia" w:hAnsi="宋体" w:cs="宋体"/>
          <w:color w:val="auto"/>
          <w:sz w:val="21"/>
          <w:szCs w:val="21"/>
          <w:highlight w:val="none"/>
        </w:rPr>
        <w:t xml:space="preserve">公章）：</w:t>
      </w:r>
      <w:r>
        <w:rPr>
          <w:rFonts w:hint="eastAsia" w:hAnsi="宋体" w:cs="宋体"/>
          <w:color w:val="auto"/>
          <w:highlight w:val="none"/>
          <w:u w:val="single"/>
        </w:rPr>
        <w:t xml:space="preserve">                 </w:t>
      </w:r>
      <w:r/>
    </w:p>
    <w:p>
      <w:pPr>
        <w:pStyle w:val="1164"/>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End w:id="269"/>
      <w:r/>
      <w:r/>
    </w:p>
    <w:p>
      <w:pPr>
        <w:rPr>
          <w:color w:val="000000" w:themeColor="text1"/>
          <w14:textFill>
            <w14:solidFill>
              <w14:schemeClr w14:val="tx1"/>
            </w14:solidFill>
          </w14:textFill>
        </w:rPr>
      </w:pPr>
      <w:r/>
      <w:bookmarkStart w:id="332" w:name="_Toc107246305"/>
      <w:r/>
      <w:bookmarkStart w:id="333" w:name="_Toc103848605"/>
      <w:r/>
      <w:bookmarkStart w:id="334" w:name="_Toc104560922"/>
      <w:r/>
      <w:bookmarkStart w:id="335" w:name="_Toc100905289"/>
      <w:r/>
      <w:bookmarkStart w:id="336" w:name="_Toc96347904"/>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7"/>
        <w:ind w:firstLine="498"/>
        <w:spacing w:before="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8"/>
          <w:szCs w:val="24"/>
          <w14:textFill>
            <w14:solidFill>
              <w14:schemeClr w14:val="tx1"/>
            </w14:solidFill>
          </w14:textFill>
        </w:rPr>
        <w:t xml:space="preserve">三、其他部分</w:t>
      </w:r>
      <w:bookmarkEnd w:id="332"/>
      <w:r/>
      <w:bookmarkEnd w:id="333"/>
      <w:r/>
      <w:bookmarkEnd w:id="334"/>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bookmarkStart w:id="337" w:name="_Toc107246308"/>
      <w:r/>
      <w:bookmarkStart w:id="338" w:name="_Toc104560925"/>
      <w:r/>
      <w:bookmarkStart w:id="339" w:name="_Toc103848608"/>
      <w:r/>
      <w:bookmarkStart w:id="340" w:name="_Toc100905295"/>
      <w:r/>
      <w:bookmarkStart w:id="341" w:name="_Toc104560924"/>
      <w:r/>
      <w:bookmarkStart w:id="342" w:name="_Toc103848607"/>
      <w:r/>
      <w:bookmarkStart w:id="343" w:name="_Toc107246307"/>
      <w:r/>
      <w:bookmarkStart w:id="344" w:name="_Toc103848606"/>
      <w:r/>
      <w:bookmarkStart w:id="345" w:name="_Toc104560923"/>
      <w:r/>
      <w:bookmarkStart w:id="346" w:name="_Toc107246306"/>
      <w:r>
        <w:rPr>
          <w:rFonts w:hint="eastAsia" w:ascii="宋体" w:hAnsi="宋体" w:cs="宋体"/>
          <w:bCs w:val="0"/>
          <w:color w:val="000000" w:themeColor="text1"/>
          <w:sz w:val="24"/>
          <w:szCs w:val="24"/>
          <w14:textFill>
            <w14:solidFill>
              <w14:schemeClr w14:val="tx1"/>
            </w14:solidFill>
          </w14:textFill>
        </w:rPr>
        <w:t xml:space="preserve">（1）要求投标人提交的其他文件材料或证明材料</w:t>
      </w:r>
      <w:bookmarkEnd w:id="337"/>
      <w:r/>
      <w:bookmarkEnd w:id="338"/>
      <w:r/>
      <w:bookmarkEnd w:id="339"/>
      <w:r/>
      <w:r/>
    </w:p>
    <w:p>
      <w:pPr>
        <w:pStyle w:val="886"/>
        <w:ind w:left="1260" w:firstLine="42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br w:type="page" w:clear="all"/>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（2）投标人认为需提供的其他</w:t>
      </w:r>
      <w:bookmarkEnd w:id="340"/>
      <w:r>
        <w:rPr>
          <w:rFonts w:hint="eastAsia" w:ascii="宋体" w:hAnsi="宋体" w:cs="宋体"/>
          <w:bCs w:val="0"/>
          <w:color w:val="000000" w:themeColor="text1"/>
          <w:sz w:val="24"/>
          <w:szCs w:val="24"/>
          <w14:textFill>
            <w14:solidFill>
              <w14:schemeClr w14:val="tx1"/>
            </w14:solidFill>
          </w14:textFill>
        </w:rPr>
        <w:t xml:space="preserve">文件或证明材料</w:t>
      </w:r>
      <w:bookmarkEnd w:id="341"/>
      <w:r/>
      <w:bookmarkEnd w:id="342"/>
      <w:r/>
      <w:bookmarkEnd w:id="343"/>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07"/>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（3）提供符合政府采购政策的证明材料</w:t>
      </w:r>
      <w:bookmarkEnd w:id="335"/>
      <w:r/>
      <w:bookmarkEnd w:id="344"/>
      <w:r/>
      <w:bookmarkEnd w:id="345"/>
      <w:r/>
      <w:bookmarkEnd w:id="346"/>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（请根据本项目</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采购项目类型</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14:textFill>
            <w14:solidFill>
              <w14:schemeClr w14:val="tx1"/>
            </w14:solidFill>
          </w14:textFill>
        </w:rPr>
      </w:pPr>
      <w:r>
        <w:rPr>
          <w:rFonts w:hint="eastAsia" w:ascii="宋体" w:hAnsi="宋体" w:cs="宋体"/>
          <w:color w:val="000000" w:themeColor="text1"/>
          <w:spacing w:val="2"/>
          <w:position w:val="-3"/>
          <w:szCs w:val="21"/>
          <w14:textFill>
            <w14:solidFill>
              <w14:schemeClr w14:val="tx1"/>
            </w14:solidFill>
          </w14:textFill>
        </w:rPr>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p>
    <w:p>
      <w:pPr>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p>
    <w:p>
      <w:pPr>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hint="eastAsia" w:ascii="宋体" w:hAnsi="宋体" w:eastAsia="宋体" w:cs="宋体"/>
          <w:color w:val="000000"/>
        </w:rPr>
        <w:t xml:space="preserve">或签章</w:t>
      </w:r>
      <w:r>
        <w:rPr>
          <w:rFonts w:ascii="宋体" w:hAnsi="宋体" w:eastAsia="宋体" w:cs="宋体"/>
          <w:color w:val="000000"/>
        </w:rPr>
        <w:t xml:space="preserve">）：</w:t>
      </w:r>
      <w:r>
        <w:rPr>
          <w:rFonts w:ascii="宋体" w:hAnsi="宋体" w:eastAsia="宋体" w:cs="宋体"/>
          <w:color w:val="000000"/>
          <w:u w:val="single"/>
        </w:rPr>
        <w:t xml:space="preserve">                      </w:t>
      </w:r>
      <w:r/>
    </w:p>
    <w:p>
      <w:pPr>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p>
    <w:p>
      <w:pPr>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p>
    <w:p>
      <w:pPr>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如不提供此声明函，价格将不做相应扣除。中标</w:t>
      </w:r>
      <w:r>
        <w:rPr>
          <w:rFonts w:hint="eastAsia" w:ascii="宋体" w:hAnsi="宋体" w:eastAsia="宋体" w:cs="宋体"/>
          <w:color w:val="000000"/>
        </w:rPr>
        <w:t xml:space="preserve">人</w:t>
      </w:r>
      <w:r>
        <w:rPr>
          <w:rFonts w:ascii="宋体" w:hAnsi="宋体" w:eastAsia="宋体" w:cs="宋体"/>
          <w:color w:val="000000"/>
        </w:rPr>
        <w:t xml:space="preserve">如享受本项目中小企业扶持政策的，其声明函将随中标结果同时公告，接受社会监督。 </w:t>
      </w:r>
      <w:r/>
    </w:p>
    <w:p>
      <w:pPr>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126"/>
        <w:ind w:firstLine="482"/>
        <w:jc w:val="center"/>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监狱企业证明</w:t>
      </w:r>
      <w:r/>
    </w:p>
    <w:p>
      <w:pPr>
        <w:pStyle w:val="1126"/>
        <w:ind w:firstLine="482"/>
        <w:jc w:val="center"/>
        <w:spacing w:line="276" w:lineRule="auto"/>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26"/>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126"/>
        <w:ind w:firstLine="198"/>
        <w:jc w:val="center"/>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br w:type="page" w:clear="all"/>
      </w:r>
      <w:r>
        <w:rPr>
          <w:rFonts w:hint="eastAsia" w:hAnsi="宋体" w:cs="宋体"/>
          <w:b/>
          <w:color w:val="000000" w:themeColor="text1"/>
          <w:sz w:val="24"/>
          <w:szCs w:val="24"/>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14:textFill>
            <w14:solidFill>
              <w14:schemeClr w14:val="tx1"/>
            </w14:solidFill>
          </w14:textFill>
        </w:rPr>
      </w:pPr>
      <w:r>
        <w:rPr>
          <w:rFonts w:hint="eastAsia" w:ascii="宋体" w:hAnsi="宋体" w:cs="宋体"/>
          <w:b/>
          <w:color w:val="000000" w:themeColor="text1"/>
          <w:spacing w:val="6"/>
          <w:sz w:val="30"/>
          <w:szCs w:val="30"/>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本单位对上述声明的真实性负责。如有虚假，将依法承担相应责任。</w:t>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26"/>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26"/>
        <w:ind w:firstLine="3769"/>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日期：</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年</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日</w:t>
      </w:r>
      <w:bookmarkEnd w:id="336"/>
      <w:r/>
      <w:r/>
    </w:p>
    <w:p>
      <w:pPr>
        <w:pStyle w:val="1126"/>
        <w:ind w:firstLine="164"/>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pStyle w:val="1126"/>
        <w:ind w:firstLine="198"/>
        <w:jc w:val="center"/>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符合本国产品标准的声明函</w:t>
      </w:r>
      <w:r/>
    </w:p>
    <w:p>
      <w:pPr>
        <w:pStyle w:val="906"/>
        <w:ind w:firstLine="420"/>
        <w:spacing w:before="3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906"/>
        <w:ind w:firstLine="420"/>
        <w:spacing w:before="3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6"/>
        <w:ind w:firstLine="420"/>
        <w:spacing w:before="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06"/>
        <w:ind w:firstLine="420"/>
        <w:spacing w:before="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906"/>
        <w:ind w:firstLine="420"/>
        <w:spacing w:before="3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p>
      <w:pPr>
        <w:pStyle w:val="906"/>
        <w:ind w:firstLine="420"/>
        <w:spacing w:before="3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本公司（单位）对上述声明内容的真实性负责。如有虚假，愿承担相应法律责任。 </w:t>
      </w:r>
      <w:r/>
    </w:p>
    <w:p>
      <w:pPr>
        <w:pStyle w:val="906"/>
        <w:ind w:firstLine="420"/>
        <w:jc w:val="right"/>
        <w:spacing w:before="30" w:beforeAutospacing="0" w:after="156" w:afterAutospacing="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公司（单位）名称（盖章）：            </w:t>
      </w:r>
      <w:r/>
    </w:p>
    <w:p>
      <w:pPr>
        <w:pStyle w:val="906"/>
        <w:ind w:firstLine="420"/>
        <w:jc w:val="right"/>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　  年　  月　  日</w:t>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注：1.产品如有型号，请在“产品名称”栏一并填写。</w:t>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2.生产厂名与厂址应与生产厂营业执照载明的相关信息保持一致。</w:t>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3.该产品的中国境内生产的组件成本占比相关要求实施前，“规定比例”栏可不填，下同。</w:t>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4.该产品的关键组件要求实施前，“关键组件”栏可不填，下同。</w:t>
      </w:r>
      <w:r/>
    </w:p>
    <w:p>
      <w:pPr>
        <w:pStyle w:val="906"/>
        <w:ind w:firstLine="420"/>
        <w:spacing w:before="0" w:beforeAutospacing="0" w:after="156" w:afterAutospacing="0"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5.该产品的关键工序要求实施前，“关键工序”栏可不填，下同。</w:t>
      </w:r>
      <w:r/>
    </w:p>
    <w:p>
      <w:pPr>
        <w:spacing w:line="360" w:lineRule="auto"/>
        <w:rPr>
          <w:color w:val="000000" w:themeColor="text1"/>
          <w:shd w:val="clear" w:color="auto" w:fill="ffffff"/>
          <w:lang w:eastAsia="zh"/>
          <w14:textFill>
            <w14:solidFill>
              <w14:schemeClr w14:val="tx1"/>
            </w14:solidFill>
          </w14:textFill>
        </w:rPr>
      </w:pPr>
      <w:r>
        <w:rPr>
          <w:rFonts w:hint="eastAsia"/>
          <w:color w:val="000000" w:themeColor="text1"/>
          <w:shd w:val="clear" w:color="auto" w:fill="ffffff"/>
          <w:lang w:eastAsia="zh"/>
          <w14:textFill>
            <w14:solidFill>
              <w14:schemeClr w14:val="tx1"/>
            </w14:solidFill>
          </w14:textFill>
        </w:rPr>
        <w:br w:type="page" w:clear="all"/>
      </w:r>
      <w:r/>
    </w:p>
    <w:p>
      <w:pPr>
        <w:pStyle w:val="906"/>
        <w:jc w:val="center"/>
        <w:spacing w:before="0" w:beforeAutospacing="0" w:after="156" w:afterAutospacing="0" w:line="360" w:lineRule="auto"/>
        <w:rPr>
          <w:rFonts w:hint="eastAsia" w:ascii="宋体" w:hAnsi="宋体" w:cs="宋体"/>
          <w:b/>
          <w:color w:val="000000" w:themeColor="text1"/>
          <w:lang w:eastAsia="zh"/>
          <w14:textFill>
            <w14:solidFill>
              <w14:schemeClr w14:val="tx1"/>
            </w14:solidFill>
          </w14:textFill>
        </w:rPr>
      </w:pPr>
      <w:r>
        <w:rPr>
          <w:rFonts w:hint="eastAsia" w:ascii="宋体" w:hAnsi="宋体" w:cs="宋体"/>
          <w:b/>
          <w:color w:val="000000" w:themeColor="text1"/>
          <w:lang w:eastAsia="zh"/>
          <w14:textFill>
            <w14:solidFill>
              <w14:schemeClr w14:val="tx1"/>
            </w14:solidFill>
          </w14:textFill>
        </w:rPr>
        <w:t xml:space="preserve">成本比例声明函</w:t>
      </w:r>
      <w:r/>
    </w:p>
    <w:p>
      <w:pPr>
        <w:pStyle w:val="906"/>
        <w:jc w:val="center"/>
        <w:spacing w:before="0" w:beforeAutospacing="0" w:after="156" w:afterAutospacing="0" w:line="360" w:lineRule="auto"/>
        <w:rPr>
          <w:rFonts w:hint="eastAsia" w:ascii="宋体" w:hAnsi="宋体" w:cs="宋体"/>
          <w:color w:val="000000" w:themeColor="text1"/>
          <w:sz w:val="21"/>
          <w:lang w:eastAsia="zh"/>
          <w14:textFill>
            <w14:solidFill>
              <w14:schemeClr w14:val="tx1"/>
            </w14:solidFill>
          </w14:textFill>
        </w:rPr>
      </w:pPr>
      <w:r>
        <w:rPr>
          <w:rFonts w:hint="eastAsia" w:ascii="宋体" w:hAnsi="宋体" w:cs="宋体"/>
          <w:color w:val="000000" w:themeColor="text1"/>
          <w:sz w:val="21"/>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lang w:eastAsia="zh"/>
          <w14:textFill>
            <w14:solidFill>
              <w14:schemeClr w14:val="tx1"/>
            </w14:solidFill>
          </w14:textFill>
        </w:rPr>
        <w:t xml:space="preserve">提供的全部产品中，</w:t>
      </w:r>
      <w:r>
        <w:rPr>
          <w:rFonts w:hint="eastAsia" w:ascii="宋体" w:hAnsi="宋体" w:cs="宋体"/>
          <w:color w:val="000000" w:themeColor="text1"/>
          <w:position w:val="-2"/>
          <w:szCs w:val="21"/>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                                                   日期：　  年　  月　  日</w:t>
      </w:r>
      <w:r/>
    </w:p>
    <w:p>
      <w:pPr>
        <w:pStyle w:val="906"/>
        <w:spacing w:before="0" w:beforeAutospacing="0" w:after="156" w:afterAutospacing="0" w:line="560" w:lineRule="atLeast"/>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r>
      <w:r/>
    </w:p>
    <w:p>
      <w:pPr>
        <w:pStyle w:val="906"/>
        <w:spacing w:before="0" w:beforeAutospacing="0" w:after="156" w:afterAutospacing="0" w:line="560" w:lineRule="atLeast"/>
        <w:rPr>
          <w:rFonts w:hint="eastAsia" w:ascii="宋体" w:hAnsi="宋体" w:cs="宋体"/>
          <w:b/>
          <w:bCs/>
          <w:color w:val="000000" w:themeColor="text1"/>
          <w:position w:val="-2"/>
          <w:sz w:val="21"/>
          <w:szCs w:val="21"/>
          <w14:textFill>
            <w14:solidFill>
              <w14:schemeClr w14:val="tx1"/>
            </w14:solidFill>
          </w14:textFill>
        </w:rPr>
      </w:pPr>
      <w:r>
        <w:rPr>
          <w:rFonts w:hint="eastAsia" w:ascii="宋体" w:hAnsi="宋体" w:cs="宋体"/>
          <w:b/>
          <w:bCs/>
          <w:color w:val="000000" w:themeColor="text1"/>
          <w:position w:val="-2"/>
          <w:sz w:val="21"/>
          <w:szCs w:val="21"/>
          <w14:textFill>
            <w14:solidFill>
              <w14:schemeClr w14:val="tx1"/>
            </w14:solidFill>
          </w14:textFill>
        </w:rPr>
      </w:r>
      <w:r/>
    </w:p>
    <w:p>
      <w:pPr>
        <w:pStyle w:val="906"/>
        <w:spacing w:before="0" w:beforeAutospacing="0" w:after="156" w:afterAutospacing="0" w:line="560" w:lineRule="atLeast"/>
        <w:rPr>
          <w:rFonts w:hint="eastAsia" w:ascii="宋体" w:hAnsi="宋体" w:cs="宋体"/>
          <w:b/>
          <w:bCs/>
          <w:color w:val="000000" w:themeColor="text1"/>
          <w:position w:val="-2"/>
          <w:sz w:val="21"/>
          <w:szCs w:val="21"/>
          <w14:textFill>
            <w14:solidFill>
              <w14:schemeClr w14:val="tx1"/>
            </w14:solidFill>
          </w14:textFill>
        </w:rPr>
      </w:pPr>
      <w:r>
        <w:rPr>
          <w:rFonts w:hint="eastAsia" w:ascii="宋体" w:hAnsi="宋体" w:cs="宋体"/>
          <w:b/>
          <w:bCs/>
          <w:color w:val="000000" w:themeColor="text1"/>
          <w:position w:val="-2"/>
          <w:sz w:val="21"/>
          <w:szCs w:val="21"/>
          <w14:textFill>
            <w14:solidFill>
              <w14:schemeClr w14:val="tx1"/>
            </w14:solidFill>
          </w14:textFill>
        </w:rPr>
      </w:r>
      <w:r/>
    </w:p>
    <w:p>
      <w:pPr>
        <w:pStyle w:val="906"/>
        <w:spacing w:before="0" w:beforeAutospacing="0" w:after="156" w:afterAutospacing="0" w:line="560" w:lineRule="atLeast"/>
        <w:rPr>
          <w:rFonts w:hint="eastAsia" w:ascii="宋体" w:hAnsi="宋体" w:cs="宋体"/>
          <w:b/>
          <w:bCs/>
          <w:color w:val="000000" w:themeColor="text1"/>
          <w:position w:val="-2"/>
          <w:sz w:val="21"/>
          <w:szCs w:val="21"/>
          <w14:textFill>
            <w14:solidFill>
              <w14:schemeClr w14:val="tx1"/>
            </w14:solidFill>
          </w14:textFill>
        </w:rPr>
      </w:pPr>
      <w:r>
        <w:rPr>
          <w:rFonts w:hint="eastAsia" w:ascii="宋体" w:hAnsi="宋体" w:cs="宋体"/>
          <w:b/>
          <w:bCs/>
          <w:color w:val="000000" w:themeColor="text1"/>
          <w:position w:val="-2"/>
          <w:sz w:val="21"/>
          <w:szCs w:val="21"/>
          <w14:textFill>
            <w14:solidFill>
              <w14:schemeClr w14:val="tx1"/>
            </w14:solidFill>
          </w14:textFill>
        </w:rPr>
      </w:r>
      <w:r/>
    </w:p>
    <w:p>
      <w:pPr>
        <w:pStyle w:val="906"/>
        <w:spacing w:before="0" w:beforeAutospacing="0" w:after="156" w:afterAutospacing="0" w:line="560" w:lineRule="atLeast"/>
        <w:rPr>
          <w:rFonts w:hint="eastAsia" w:ascii="宋体" w:hAnsi="宋体" w:cs="宋体"/>
          <w:b/>
          <w:bCs/>
          <w:color w:val="000000" w:themeColor="text1"/>
          <w:position w:val="-2"/>
          <w:sz w:val="21"/>
          <w:szCs w:val="21"/>
          <w14:textFill>
            <w14:solidFill>
              <w14:schemeClr w14:val="tx1"/>
            </w14:solidFill>
          </w14:textFill>
        </w:rPr>
      </w:pPr>
      <w:r>
        <w:rPr>
          <w:rFonts w:hint="eastAsia" w:ascii="宋体" w:hAnsi="宋体" w:cs="宋体"/>
          <w:b/>
          <w:bCs/>
          <w:color w:val="000000" w:themeColor="text1"/>
          <w:position w:val="-2"/>
          <w:sz w:val="21"/>
          <w:szCs w:val="21"/>
          <w14:textFill>
            <w14:solidFill>
              <w14:schemeClr w14:val="tx1"/>
            </w14:solidFill>
          </w14:textFill>
        </w:rPr>
      </w:r>
      <w:r/>
    </w:p>
    <w:p>
      <w:pPr>
        <w:pStyle w:val="906"/>
        <w:spacing w:before="0" w:beforeAutospacing="0" w:after="156" w:afterAutospacing="0" w:line="560" w:lineRule="atLeast"/>
        <w:rPr>
          <w:rFonts w:hint="eastAsia" w:ascii="宋体" w:hAnsi="宋体" w:cs="宋体"/>
          <w:b/>
          <w:bCs/>
          <w:color w:val="000000" w:themeColor="text1"/>
          <w:position w:val="-2"/>
          <w:sz w:val="21"/>
          <w:szCs w:val="21"/>
          <w14:textFill>
            <w14:solidFill>
              <w14:schemeClr w14:val="tx1"/>
            </w14:solidFill>
          </w14:textFill>
        </w:rPr>
      </w:pPr>
      <w:r>
        <w:rPr>
          <w:rFonts w:hint="eastAsia" w:ascii="宋体" w:hAnsi="宋体" w:cs="宋体"/>
          <w:b/>
          <w:bCs/>
          <w:color w:val="000000" w:themeColor="text1"/>
          <w:position w:val="-2"/>
          <w:sz w:val="21"/>
          <w:szCs w:val="21"/>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06"/>
        <w:spacing w:before="0" w:beforeAutospacing="0" w:after="156" w:afterAutospacing="0" w:line="560" w:lineRule="atLeast"/>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r>
      <w:r/>
    </w:p>
    <w:p>
      <w:pPr>
        <w:pStyle w:val="906"/>
        <w:spacing w:before="0" w:beforeAutospacing="0" w:after="156" w:afterAutospacing="0" w:line="560" w:lineRule="atLeast"/>
        <w:rPr>
          <w:color w:val="000000" w:themeColor="text1"/>
          <w:shd w:val="clear" w:color="auto" w:fill="ffffff"/>
          <w:lang w:eastAsia="zh"/>
          <w14:textFill>
            <w14:solidFill>
              <w14:schemeClr w14:val="tx1"/>
            </w14:solidFill>
          </w14:textFill>
        </w:rPr>
      </w:pPr>
      <w:r>
        <w:rPr>
          <w:color w:val="000000" w:themeColor="text1"/>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420" w:firstLine="37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Wingdings 2">
    <w:panose1 w:val="05020102010507070707"/>
  </w:font>
  <w:font w:name="Segoe UI Symbol">
    <w:panose1 w:val="020B0502040204020203"/>
  </w:font>
  <w:font w:name="SimSun">
    <w:panose1 w:val="02010600030101010101"/>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94"/>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9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9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jc w:val="center"/>
                          </w:pPr>
                          <w:r>
                            <w:rPr>
                              <w:rFonts w:hint="eastAsia"/>
                            </w:rPr>
                            <w:t xml:space="preserve">第</w:t>
                          </w:r>
                          <w:r>
                            <w:fldChar w:fldCharType="begin"/>
                          </w:r>
                          <w:r>
                            <w:rPr>
                              <w:rStyle w:val="913"/>
                            </w:rPr>
                            <w:instrText xml:space="preserve"> PAGE </w:instrText>
                          </w:r>
                          <w:r>
                            <w:fldChar w:fldCharType="separate"/>
                          </w:r>
                          <w:r>
                            <w:rPr>
                              <w:rStyle w:val="913"/>
                            </w:rPr>
                            <w:t xml:space="preserve">1</w:t>
                          </w:r>
                          <w:r>
                            <w:fldChar w:fldCharType="end"/>
                          </w:r>
                          <w:r>
                            <w:rPr>
                              <w:rStyle w:val="913"/>
                              <w:rFonts w:hint="eastAsia"/>
                            </w:rPr>
                            <w:t xml:space="preserve">页，共</w:t>
                          </w:r>
                          <w:r>
                            <w:fldChar w:fldCharType="begin"/>
                          </w:r>
                          <w:r>
                            <w:rPr>
                              <w:rStyle w:val="913"/>
                            </w:rPr>
                            <w:instrText xml:space="preserve"> NUMPAGES </w:instrText>
                          </w:r>
                          <w:r>
                            <w:fldChar w:fldCharType="separate"/>
                          </w:r>
                          <w:r>
                            <w:rPr>
                              <w:rStyle w:val="913"/>
                            </w:rPr>
                            <w:t xml:space="preserve">8</w:t>
                          </w:r>
                          <w:r>
                            <w:fldChar w:fldCharType="end"/>
                          </w:r>
                          <w:r>
                            <w:rPr>
                              <w:rStyle w:val="913"/>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jc w:val="center"/>
                    </w:pPr>
                    <w:r>
                      <w:rPr>
                        <w:rFonts w:hint="eastAsia"/>
                      </w:rPr>
                      <w:t xml:space="preserve">第</w:t>
                    </w:r>
                    <w:r>
                      <w:fldChar w:fldCharType="begin"/>
                    </w:r>
                    <w:r>
                      <w:rPr>
                        <w:rStyle w:val="913"/>
                      </w:rPr>
                      <w:instrText xml:space="preserve"> PAGE </w:instrText>
                    </w:r>
                    <w:r>
                      <w:fldChar w:fldCharType="separate"/>
                    </w:r>
                    <w:r>
                      <w:rPr>
                        <w:rStyle w:val="913"/>
                      </w:rPr>
                      <w:t xml:space="preserve">1</w:t>
                    </w:r>
                    <w:r>
                      <w:fldChar w:fldCharType="end"/>
                    </w:r>
                    <w:r>
                      <w:rPr>
                        <w:rStyle w:val="913"/>
                        <w:rFonts w:hint="eastAsia"/>
                      </w:rPr>
                      <w:t xml:space="preserve">页，共</w:t>
                    </w:r>
                    <w:r>
                      <w:fldChar w:fldCharType="begin"/>
                    </w:r>
                    <w:r>
                      <w:rPr>
                        <w:rStyle w:val="913"/>
                      </w:rPr>
                      <w:instrText xml:space="preserve"> NUMPAGES </w:instrText>
                    </w:r>
                    <w:r>
                      <w:fldChar w:fldCharType="separate"/>
                    </w:r>
                    <w:r>
                      <w:rPr>
                        <w:rStyle w:val="913"/>
                      </w:rPr>
                      <w:t xml:space="preserve">8</w:t>
                    </w:r>
                    <w:r>
                      <w:fldChar w:fldCharType="end"/>
                    </w:r>
                    <w:r>
                      <w:rPr>
                        <w:rStyle w:val="913"/>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96"/>
    </w:pPr>
    <w:r>
      <w:rPr>
        <w:rFonts w:hint="eastAsia" w:ascii="宋体" w:hAnsi="宋体" w:cs="宋体"/>
        <w:color w:val="000000"/>
        <w:sz w:val="22"/>
        <w:szCs w:val="22"/>
      </w:rPr>
      <w:t xml:space="preserve">（</w:t>
    </w:r>
    <w:r>
      <w:rPr>
        <w:rFonts w:hint="eastAsia" w:ascii="宋体" w:hAnsi="宋体" w:cs="宋体"/>
        <w:color w:val="000000"/>
        <w:sz w:val="22"/>
        <w:szCs w:val="22"/>
      </w:rPr>
      <w:t xml:space="preserve">南京</w:t>
    </w:r>
    <w:r>
      <w:rPr>
        <w:rFonts w:hint="eastAsia" w:ascii="宋体" w:hAnsi="宋体" w:cs="宋体"/>
        <w:color w:val="000000"/>
        <w:sz w:val="22"/>
        <w:szCs w:val="22"/>
      </w:rPr>
      <w:t xml:space="preserve">中医药</w:t>
    </w:r>
    <w:r>
      <w:rPr>
        <w:rFonts w:hint="eastAsia" w:ascii="宋体" w:hAnsi="宋体" w:cs="宋体"/>
        <w:color w:val="000000"/>
        <w:sz w:val="22"/>
        <w:szCs w:val="22"/>
      </w:rPr>
      <w:t xml:space="preserve">大学</w:t>
    </w:r>
    <w:r>
      <w:rPr>
        <w:rFonts w:hint="eastAsia" w:ascii="宋体" w:hAnsi="宋体" w:cs="宋体"/>
        <w:color w:val="000000"/>
        <w:sz w:val="22"/>
        <w:szCs w:val="22"/>
      </w:rPr>
      <w:t xml:space="preserve">活体CT影像系统采购项目）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96"/>
    </w:pPr>
    <w:r>
      <w:rPr>
        <w:rFonts w:hint="eastAsia" w:ascii="宋体" w:hAnsi="宋体" w:cs="宋体"/>
        <w:color w:val="000000"/>
        <w:sz w:val="22"/>
        <w:szCs w:val="22"/>
      </w:rPr>
      <w:t xml:space="preserve">（</w:t>
    </w:r>
    <w:r>
      <w:rPr>
        <w:rFonts w:hint="eastAsia" w:ascii="宋体" w:hAnsi="宋体" w:cs="宋体"/>
        <w:color w:val="000000"/>
        <w:sz w:val="22"/>
        <w:szCs w:val="22"/>
      </w:rPr>
      <w:t xml:space="preserve">南京中医药</w:t>
    </w:r>
    <w:r>
      <w:rPr>
        <w:rFonts w:hint="eastAsia" w:ascii="宋体" w:hAnsi="宋体" w:cs="宋体"/>
        <w:color w:val="000000"/>
        <w:sz w:val="22"/>
        <w:szCs w:val="22"/>
      </w:rPr>
      <w:t xml:space="preserve">大学</w:t>
    </w:r>
    <w:r>
      <w:rPr>
        <w:rFonts w:hint="eastAsia" w:ascii="宋体" w:hAnsi="宋体" w:cs="宋体"/>
        <w:color w:val="000000"/>
        <w:sz w:val="22"/>
        <w:szCs w:val="22"/>
      </w:rPr>
      <w:t xml:space="preserve">活体CT影像系统采购项目）</w:t>
    </w:r>
    <w:r/>
  </w:p>
  <w:p>
    <w:pPr>
      <w:pStyle w:val="896"/>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6">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5">
    <w:name w:val="TOC Heading"/>
    <w:uiPriority w:val="39"/>
    <w:unhideWhenUsed/>
  </w:style>
  <w:style w:type="paragraph" w:styleId="8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1"/>
    <w:basedOn w:val="866"/>
    <w:next w:val="866"/>
    <w:link w:val="1084"/>
    <w:uiPriority w:val="0"/>
    <w:qFormat/>
    <w:pPr>
      <w:ind w:left="100" w:right="100"/>
      <w:keepLines/>
      <w:keepNext/>
      <w:spacing w:before="120" w:after="120"/>
      <w:outlineLvl w:val="0"/>
    </w:pPr>
    <w:rPr>
      <w:b/>
      <w:bCs/>
      <w:szCs w:val="44"/>
    </w:rPr>
  </w:style>
  <w:style w:type="paragraph" w:styleId="868">
    <w:name w:val="Heading 2"/>
    <w:basedOn w:val="866"/>
    <w:next w:val="866"/>
    <w:link w:val="939"/>
    <w:uiPriority w:val="0"/>
    <w:qFormat/>
    <w:pPr>
      <w:keepLines/>
      <w:keepNext/>
      <w:spacing w:before="260" w:after="260" w:line="416" w:lineRule="auto"/>
      <w:outlineLvl w:val="1"/>
    </w:pPr>
    <w:rPr>
      <w:rFonts w:ascii="等线 Light" w:hAnsi="等线 Light" w:eastAsia="等线 Light"/>
      <w:b/>
      <w:bCs/>
      <w:sz w:val="32"/>
      <w:szCs w:val="32"/>
    </w:rPr>
  </w:style>
  <w:style w:type="paragraph" w:styleId="869">
    <w:name w:val="Heading 3"/>
    <w:basedOn w:val="866"/>
    <w:next w:val="866"/>
    <w:link w:val="938"/>
    <w:uiPriority w:val="9"/>
    <w:qFormat/>
    <w:pPr>
      <w:keepLines/>
      <w:keepNext/>
      <w:spacing w:before="260" w:after="260" w:line="416" w:lineRule="auto"/>
      <w:outlineLvl w:val="2"/>
    </w:pPr>
    <w:rPr>
      <w:b/>
      <w:bCs/>
      <w:sz w:val="32"/>
      <w:szCs w:val="32"/>
    </w:rPr>
  </w:style>
  <w:style w:type="paragraph" w:styleId="870">
    <w:name w:val="Heading 4"/>
    <w:basedOn w:val="866"/>
    <w:next w:val="866"/>
    <w:link w:val="952"/>
    <w:uiPriority w:val="0"/>
    <w:qFormat/>
    <w:pPr>
      <w:keepLines/>
      <w:keepNext/>
      <w:spacing w:before="280" w:after="290" w:line="376" w:lineRule="auto"/>
      <w:outlineLvl w:val="3"/>
    </w:pPr>
    <w:rPr>
      <w:rFonts w:ascii="等线 Light" w:hAnsi="等线 Light" w:eastAsia="等线 Light"/>
      <w:b/>
      <w:bCs/>
      <w:sz w:val="28"/>
      <w:szCs w:val="28"/>
    </w:rPr>
  </w:style>
  <w:style w:type="paragraph" w:styleId="871">
    <w:name w:val="Heading 5"/>
    <w:basedOn w:val="866"/>
    <w:next w:val="866"/>
    <w:link w:val="960"/>
    <w:uiPriority w:val="9"/>
    <w:unhideWhenUsed/>
    <w:qFormat/>
    <w:pPr>
      <w:keepLines/>
      <w:keepNext/>
      <w:spacing w:before="320" w:after="200"/>
      <w:outlineLvl w:val="4"/>
    </w:pPr>
    <w:rPr>
      <w:rFonts w:ascii="Arial" w:hAnsi="Arial" w:eastAsia="Arial" w:cs="Arial"/>
      <w:b/>
      <w:bCs/>
      <w:sz w:val="24"/>
    </w:rPr>
  </w:style>
  <w:style w:type="paragraph" w:styleId="872">
    <w:name w:val="Heading 6"/>
    <w:basedOn w:val="866"/>
    <w:next w:val="866"/>
    <w:link w:val="1085"/>
    <w:uiPriority w:val="0"/>
    <w:qFormat/>
    <w:pPr>
      <w:keepLines/>
      <w:keepNext/>
      <w:spacing w:before="240" w:after="64" w:line="320" w:lineRule="auto"/>
      <w:outlineLvl w:val="5"/>
    </w:pPr>
    <w:rPr>
      <w:rFonts w:ascii="等线 Light" w:hAnsi="等线 Light" w:eastAsia="等线 Light"/>
      <w:b/>
      <w:bCs/>
      <w:sz w:val="24"/>
    </w:rPr>
  </w:style>
  <w:style w:type="paragraph" w:styleId="873">
    <w:name w:val="Heading 7"/>
    <w:basedOn w:val="866"/>
    <w:next w:val="866"/>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1086"/>
    <w:uiPriority w:val="0"/>
    <w:qFormat/>
    <w:pPr>
      <w:keepLines/>
      <w:keepNext/>
      <w:spacing w:before="240" w:after="64" w:line="320" w:lineRule="auto"/>
      <w:outlineLvl w:val="7"/>
    </w:pPr>
    <w:rPr>
      <w:rFonts w:ascii="等线 Light" w:hAnsi="等线 Light" w:eastAsia="等线 Light"/>
      <w:sz w:val="24"/>
    </w:rPr>
  </w:style>
  <w:style w:type="paragraph" w:styleId="875">
    <w:name w:val="Heading 9"/>
    <w:basedOn w:val="866"/>
    <w:next w:val="866"/>
    <w:link w:val="964"/>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List 3"/>
    <w:basedOn w:val="866"/>
    <w:uiPriority w:val="0"/>
    <w:qFormat/>
    <w:pPr>
      <w:contextualSpacing/>
      <w:ind w:left="100" w:hanging="200"/>
      <w:jc w:val="left"/>
      <w:widowControl/>
    </w:pPr>
    <w:rPr>
      <w:sz w:val="20"/>
      <w:szCs w:val="20"/>
    </w:rPr>
  </w:style>
  <w:style w:type="paragraph" w:styleId="879">
    <w:name w:val="toc 7"/>
    <w:basedOn w:val="866"/>
    <w:next w:val="866"/>
    <w:uiPriority w:val="39"/>
    <w:unhideWhenUsed/>
    <w:qFormat/>
    <w:pPr>
      <w:ind w:left="1701"/>
      <w:spacing w:after="57"/>
    </w:pPr>
  </w:style>
  <w:style w:type="paragraph" w:styleId="880">
    <w:name w:val="Normal Indent"/>
    <w:basedOn w:val="866"/>
    <w:link w:val="1088"/>
    <w:uiPriority w:val="99"/>
    <w:qFormat/>
    <w:pPr>
      <w:ind w:firstLine="420"/>
    </w:pPr>
    <w:rPr>
      <w:szCs w:val="20"/>
    </w:rPr>
  </w:style>
  <w:style w:type="paragraph" w:styleId="881">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2">
    <w:name w:val="Document Map"/>
    <w:basedOn w:val="866"/>
    <w:link w:val="1089"/>
    <w:uiPriority w:val="0"/>
    <w:qFormat/>
    <w:pPr>
      <w:shd w:val="clear" w:color="auto" w:fill="000080"/>
    </w:pPr>
  </w:style>
  <w:style w:type="paragraph" w:styleId="883">
    <w:name w:val="annotation text"/>
    <w:basedOn w:val="866"/>
    <w:link w:val="1090"/>
    <w:uiPriority w:val="0"/>
    <w:qFormat/>
    <w:pPr>
      <w:jc w:val="left"/>
    </w:pPr>
  </w:style>
  <w:style w:type="paragraph" w:styleId="884">
    <w:name w:val="Body Text"/>
    <w:basedOn w:val="866"/>
    <w:next w:val="866"/>
    <w:link w:val="1091"/>
    <w:uiPriority w:val="1"/>
    <w:qFormat/>
    <w:pPr>
      <w:spacing w:after="120"/>
    </w:pPr>
  </w:style>
  <w:style w:type="paragraph" w:styleId="885">
    <w:name w:val="Body Text Indent"/>
    <w:basedOn w:val="866"/>
    <w:uiPriority w:val="0"/>
    <w:qFormat/>
    <w:pPr>
      <w:ind w:left="420"/>
      <w:spacing w:after="120"/>
    </w:pPr>
  </w:style>
  <w:style w:type="paragraph" w:styleId="886">
    <w:name w:val="index 4"/>
    <w:basedOn w:val="866"/>
    <w:next w:val="866"/>
    <w:uiPriority w:val="99"/>
    <w:unhideWhenUsed/>
    <w:qFormat/>
    <w:pPr>
      <w:ind w:left="600"/>
    </w:pPr>
    <w:rPr>
      <w:rFonts w:ascii="宋体"/>
      <w:b/>
      <w:position w:val="-10"/>
      <w:sz w:val="24"/>
      <w:szCs w:val="20"/>
    </w:rPr>
  </w:style>
  <w:style w:type="paragraph" w:styleId="887">
    <w:name w:val="toc 5"/>
    <w:basedOn w:val="866"/>
    <w:next w:val="866"/>
    <w:uiPriority w:val="39"/>
    <w:unhideWhenUsed/>
    <w:qFormat/>
    <w:pPr>
      <w:ind w:left="1134"/>
      <w:spacing w:after="57"/>
    </w:pPr>
  </w:style>
  <w:style w:type="paragraph" w:styleId="888">
    <w:name w:val="toc 3"/>
    <w:basedOn w:val="866"/>
    <w:next w:val="866"/>
    <w:uiPriority w:val="39"/>
    <w:unhideWhenUsed/>
    <w:qFormat/>
    <w:pPr>
      <w:ind w:left="567"/>
      <w:spacing w:after="57"/>
    </w:pPr>
  </w:style>
  <w:style w:type="paragraph" w:styleId="889">
    <w:name w:val="Plain Text"/>
    <w:basedOn w:val="866"/>
    <w:link w:val="1094"/>
    <w:uiPriority w:val="0"/>
    <w:qFormat/>
    <w:rPr>
      <w:rFonts w:ascii="宋体" w:hAnsi="Courier New" w:cs="Courier New"/>
      <w:szCs w:val="21"/>
    </w:rPr>
  </w:style>
  <w:style w:type="paragraph" w:styleId="890">
    <w:name w:val="toc 8"/>
    <w:basedOn w:val="866"/>
    <w:next w:val="866"/>
    <w:uiPriority w:val="39"/>
    <w:unhideWhenUsed/>
    <w:qFormat/>
    <w:pPr>
      <w:ind w:left="1984"/>
      <w:spacing w:after="57"/>
    </w:pPr>
  </w:style>
  <w:style w:type="paragraph" w:styleId="891">
    <w:name w:val="Date"/>
    <w:basedOn w:val="866"/>
    <w:next w:val="866"/>
    <w:link w:val="1096"/>
    <w:uiPriority w:val="0"/>
    <w:qFormat/>
    <w:rPr>
      <w:sz w:val="24"/>
      <w:szCs w:val="20"/>
    </w:rPr>
  </w:style>
  <w:style w:type="paragraph" w:styleId="892">
    <w:name w:val="endnote text"/>
    <w:basedOn w:val="866"/>
    <w:link w:val="1081"/>
    <w:uiPriority w:val="99"/>
    <w:semiHidden/>
    <w:unhideWhenUsed/>
    <w:qFormat/>
    <w:rPr>
      <w:sz w:val="20"/>
    </w:rPr>
  </w:style>
  <w:style w:type="paragraph" w:styleId="893">
    <w:name w:val="Balloon Text"/>
    <w:basedOn w:val="866"/>
    <w:link w:val="1097"/>
    <w:uiPriority w:val="0"/>
    <w:qFormat/>
    <w:rPr>
      <w:sz w:val="18"/>
      <w:szCs w:val="18"/>
    </w:rPr>
  </w:style>
  <w:style w:type="paragraph" w:styleId="894">
    <w:name w:val="Footer"/>
    <w:basedOn w:val="866"/>
    <w:link w:val="1098"/>
    <w:uiPriority w:val="99"/>
    <w:qFormat/>
    <w:pPr>
      <w:jc w:val="left"/>
      <w:tabs>
        <w:tab w:val="center" w:pos="4153" w:leader="none"/>
        <w:tab w:val="right" w:pos="8306" w:leader="none"/>
      </w:tabs>
    </w:pPr>
    <w:rPr>
      <w:sz w:val="18"/>
      <w:szCs w:val="18"/>
    </w:rPr>
  </w:style>
  <w:style w:type="paragraph" w:styleId="895">
    <w:name w:val="envelope return"/>
    <w:basedOn w:val="866"/>
    <w:uiPriority w:val="0"/>
    <w:qFormat/>
    <w:rPr>
      <w:rFonts w:ascii="Arial" w:hAnsi="Arial"/>
    </w:rPr>
  </w:style>
  <w:style w:type="paragraph" w:styleId="896">
    <w:name w:val="Header"/>
    <w:basedOn w:val="866"/>
    <w:link w:val="1099"/>
    <w:uiPriority w:val="99"/>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6"/>
    <w:next w:val="866"/>
    <w:uiPriority w:val="39"/>
    <w:unhideWhenUsed/>
    <w:qFormat/>
    <w:pPr>
      <w:spacing w:after="57"/>
    </w:pPr>
  </w:style>
  <w:style w:type="paragraph" w:styleId="898">
    <w:name w:val="toc 4"/>
    <w:basedOn w:val="866"/>
    <w:next w:val="866"/>
    <w:uiPriority w:val="39"/>
    <w:unhideWhenUsed/>
    <w:qFormat/>
    <w:pPr>
      <w:ind w:left="850"/>
      <w:spacing w:after="57"/>
    </w:pPr>
  </w:style>
  <w:style w:type="paragraph" w:styleId="899">
    <w:name w:val="Subtitle"/>
    <w:basedOn w:val="866"/>
    <w:next w:val="866"/>
    <w:link w:val="966"/>
    <w:uiPriority w:val="11"/>
    <w:qFormat/>
    <w:pPr>
      <w:spacing w:before="200" w:after="200"/>
    </w:pPr>
    <w:rPr>
      <w:sz w:val="24"/>
    </w:rPr>
  </w:style>
  <w:style w:type="paragraph" w:styleId="900">
    <w:name w:val="footnote text"/>
    <w:basedOn w:val="866"/>
    <w:link w:val="1080"/>
    <w:uiPriority w:val="99"/>
    <w:semiHidden/>
    <w:unhideWhenUsed/>
    <w:qFormat/>
    <w:pPr>
      <w:spacing w:after="40"/>
    </w:pPr>
    <w:rPr>
      <w:sz w:val="18"/>
    </w:rPr>
  </w:style>
  <w:style w:type="paragraph" w:styleId="901">
    <w:name w:val="toc 6"/>
    <w:basedOn w:val="866"/>
    <w:next w:val="866"/>
    <w:uiPriority w:val="39"/>
    <w:unhideWhenUsed/>
    <w:qFormat/>
    <w:pPr>
      <w:ind w:left="1417"/>
      <w:spacing w:after="57"/>
    </w:pPr>
  </w:style>
  <w:style w:type="paragraph" w:styleId="902">
    <w:name w:val="table of figures"/>
    <w:basedOn w:val="866"/>
    <w:next w:val="866"/>
    <w:uiPriority w:val="99"/>
    <w:unhideWhenUsed/>
    <w:qFormat/>
  </w:style>
  <w:style w:type="paragraph" w:styleId="903">
    <w:name w:val="toc 2"/>
    <w:basedOn w:val="866"/>
    <w:next w:val="866"/>
    <w:uiPriority w:val="99"/>
    <w:semiHidden/>
    <w:qFormat/>
    <w:pPr>
      <w:ind w:left="420"/>
    </w:pPr>
    <w:rPr>
      <w:rFonts w:eastAsia="楷体_GB2312"/>
      <w:sz w:val="26"/>
      <w:szCs w:val="26"/>
    </w:rPr>
  </w:style>
  <w:style w:type="paragraph" w:styleId="904">
    <w:name w:val="toc 9"/>
    <w:basedOn w:val="866"/>
    <w:next w:val="866"/>
    <w:uiPriority w:val="39"/>
    <w:unhideWhenUsed/>
    <w:qFormat/>
    <w:pPr>
      <w:ind w:left="2268"/>
      <w:spacing w:after="57"/>
    </w:pPr>
  </w:style>
  <w:style w:type="paragraph" w:styleId="905">
    <w:name w:val="Body Text 2"/>
    <w:basedOn w:val="866"/>
    <w:link w:val="1105"/>
    <w:uiPriority w:val="0"/>
    <w:qFormat/>
    <w:pPr>
      <w:spacing w:after="120" w:line="480" w:lineRule="auto"/>
    </w:pPr>
    <w:rPr>
      <w:rFonts w:ascii="Calibri" w:hAnsi="Calibri"/>
    </w:rPr>
  </w:style>
  <w:style w:type="paragraph" w:styleId="906">
    <w:name w:val="Normal (Web)"/>
    <w:basedOn w:val="866"/>
    <w:uiPriority w:val="99"/>
    <w:qFormat/>
    <w:pPr>
      <w:jc w:val="left"/>
      <w:spacing w:before="100" w:beforeAutospacing="1" w:after="100" w:afterAutospacing="1"/>
      <w:widowControl/>
    </w:pPr>
    <w:rPr>
      <w:sz w:val="24"/>
    </w:rPr>
  </w:style>
  <w:style w:type="paragraph" w:styleId="907">
    <w:name w:val="Title"/>
    <w:basedOn w:val="866"/>
    <w:next w:val="866"/>
    <w:link w:val="1106"/>
    <w:uiPriority w:val="0"/>
    <w:qFormat/>
    <w:pPr>
      <w:jc w:val="center"/>
      <w:spacing w:before="240" w:after="60" w:line="360" w:lineRule="auto"/>
      <w:outlineLvl w:val="0"/>
    </w:pPr>
    <w:rPr>
      <w:rFonts w:ascii="等线 Light" w:hAnsi="等线 Light"/>
      <w:b/>
      <w:bCs/>
      <w:sz w:val="32"/>
      <w:szCs w:val="32"/>
    </w:rPr>
  </w:style>
  <w:style w:type="paragraph" w:styleId="908">
    <w:name w:val="annotation subject"/>
    <w:basedOn w:val="883"/>
    <w:next w:val="883"/>
    <w:link w:val="1107"/>
    <w:uiPriority w:val="0"/>
    <w:qFormat/>
    <w:rPr>
      <w:b/>
      <w:bCs/>
    </w:rPr>
  </w:style>
  <w:style w:type="paragraph" w:styleId="909">
    <w:name w:val="Body Text First Indent"/>
    <w:basedOn w:val="884"/>
    <w:uiPriority w:val="0"/>
    <w:qFormat/>
    <w:pPr>
      <w:ind w:firstLine="420"/>
      <w:spacing w:line="360" w:lineRule="auto"/>
    </w:pPr>
    <w:rPr>
      <w:szCs w:val="21"/>
    </w:rPr>
  </w:style>
  <w:style w:type="table" w:styleId="910">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0"/>
    <w:qFormat/>
    <w:rPr>
      <w:b/>
      <w:bCs/>
    </w:rPr>
  </w:style>
  <w:style w:type="character" w:styleId="912">
    <w:name w:val="endnote reference"/>
    <w:basedOn w:val="876"/>
    <w:uiPriority w:val="99"/>
    <w:semiHidden/>
    <w:unhideWhenUsed/>
    <w:qFormat/>
    <w:rPr>
      <w:vertAlign w:val="superscript"/>
    </w:rPr>
  </w:style>
  <w:style w:type="character" w:styleId="913">
    <w:name w:val="page number"/>
    <w:basedOn w:val="876"/>
    <w:uiPriority w:val="0"/>
    <w:qFormat/>
  </w:style>
  <w:style w:type="character" w:styleId="914">
    <w:name w:val="Emphasis"/>
    <w:uiPriority w:val="0"/>
    <w:qFormat/>
    <w:rPr>
      <w:i/>
      <w:iCs/>
    </w:rPr>
  </w:style>
  <w:style w:type="character" w:styleId="915">
    <w:name w:val="Hyperlink"/>
    <w:uiPriority w:val="99"/>
    <w:qFormat/>
    <w:rPr>
      <w:color w:val="auto"/>
      <w:u w:val="none"/>
    </w:rPr>
  </w:style>
  <w:style w:type="character" w:styleId="916">
    <w:name w:val="annotation reference"/>
    <w:uiPriority w:val="0"/>
    <w:qFormat/>
    <w:rPr>
      <w:sz w:val="21"/>
      <w:szCs w:val="21"/>
    </w:rPr>
  </w:style>
  <w:style w:type="character" w:styleId="917">
    <w:name w:val="footnote reference"/>
    <w:basedOn w:val="876"/>
    <w:uiPriority w:val="99"/>
    <w:unhideWhenUsed/>
    <w:qFormat/>
    <w:rPr>
      <w:vertAlign w:val="superscript"/>
    </w:rPr>
  </w:style>
  <w:style w:type="table" w:styleId="918"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character" w:styleId="938" w:customStyle="1">
    <w:name w:val="标题 3 字符"/>
    <w:link w:val="869"/>
    <w:uiPriority w:val="9"/>
    <w:qFormat/>
    <w:rPr>
      <w:rFonts w:eastAsia="宋体"/>
      <w:b/>
      <w:bCs/>
      <w:sz w:val="32"/>
      <w:szCs w:val="32"/>
      <w:lang w:val="en-US" w:eastAsia="zh-CN" w:bidi="ar-SA"/>
    </w:rPr>
  </w:style>
  <w:style w:type="character" w:styleId="939" w:customStyle="1">
    <w:name w:val="标题 2 字符"/>
    <w:link w:val="868"/>
    <w:uiPriority w:val="0"/>
    <w:semiHidden/>
    <w:qFormat/>
    <w:rPr>
      <w:rFonts w:ascii="等线 Light" w:hAnsi="等线 Light" w:eastAsia="等线 Light" w:cs="Times New Roman"/>
      <w:b/>
      <w:bCs/>
      <w:sz w:val="32"/>
      <w:szCs w:val="32"/>
    </w:rPr>
  </w:style>
  <w:style w:type="paragraph" w:styleId="940" w:customStyle="1">
    <w:name w:val="正文首行缩进 211"/>
    <w:basedOn w:val="941"/>
    <w:next w:val="866"/>
    <w:uiPriority w:val="0"/>
    <w:qFormat/>
    <w:pPr>
      <w:ind w:left="0" w:firstLine="420"/>
      <w:spacing w:after="0" w:line="360" w:lineRule="auto"/>
    </w:pPr>
    <w:rPr>
      <w:rFonts w:ascii="宋体" w:hAnsi="宋体"/>
      <w:szCs w:val="20"/>
    </w:rPr>
  </w:style>
  <w:style w:type="paragraph" w:styleId="941" w:customStyle="1">
    <w:name w:val="正文文本缩进11"/>
    <w:basedOn w:val="866"/>
    <w:next w:val="942"/>
    <w:uiPriority w:val="0"/>
    <w:unhideWhenUsed/>
    <w:qFormat/>
    <w:pPr>
      <w:ind w:left="420"/>
      <w:spacing w:after="120"/>
    </w:pPr>
  </w:style>
  <w:style w:type="paragraph" w:styleId="942" w:customStyle="1">
    <w:name w:val="寄信人地址1"/>
    <w:basedOn w:val="866"/>
    <w:uiPriority w:val="0"/>
    <w:qFormat/>
    <w:rPr>
      <w:rFonts w:ascii="Arial" w:hAnsi="Arial" w:cs="宋体"/>
    </w:rPr>
  </w:style>
  <w:style w:type="character" w:styleId="943" w:customStyle="1">
    <w:name w:val="Heading 5 Char"/>
    <w:basedOn w:val="876"/>
    <w:uiPriority w:val="9"/>
    <w:qFormat/>
    <w:rPr>
      <w:rFonts w:ascii="Arial" w:hAnsi="Arial" w:eastAsia="Arial" w:cs="Arial"/>
      <w:b/>
      <w:bCs/>
      <w:sz w:val="24"/>
      <w:szCs w:val="24"/>
    </w:rPr>
  </w:style>
  <w:style w:type="character" w:styleId="944" w:customStyle="1">
    <w:name w:val="Heading 7 Char"/>
    <w:basedOn w:val="876"/>
    <w:uiPriority w:val="9"/>
    <w:qFormat/>
    <w:rPr>
      <w:rFonts w:ascii="Arial" w:hAnsi="Arial" w:eastAsia="Arial" w:cs="Arial"/>
      <w:b/>
      <w:bCs/>
      <w:i/>
      <w:iCs/>
      <w:sz w:val="22"/>
      <w:szCs w:val="22"/>
    </w:rPr>
  </w:style>
  <w:style w:type="character" w:styleId="945" w:customStyle="1">
    <w:name w:val="Heading 9 Char"/>
    <w:basedOn w:val="876"/>
    <w:uiPriority w:val="9"/>
    <w:qFormat/>
    <w:rPr>
      <w:rFonts w:ascii="Arial" w:hAnsi="Arial" w:eastAsia="Arial" w:cs="Arial"/>
      <w:i/>
      <w:iCs/>
      <w:sz w:val="21"/>
      <w:szCs w:val="21"/>
    </w:rPr>
  </w:style>
  <w:style w:type="character" w:styleId="946" w:customStyle="1">
    <w:name w:val="Subtitle Char"/>
    <w:basedOn w:val="876"/>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12"/>
    <w:uiPriority w:val="39"/>
    <w:unhideWhenUsed/>
    <w:qFormat/>
    <w:rPr>
      <w:rFonts w:ascii="Times New Roman" w:hAnsi="Times New Roman" w:eastAsia="宋体" w:cs="Times New Roman"/>
      <w:lang w:val="en-US" w:eastAsia="zh-CN" w:bidi="ar-SA"/>
    </w:rPr>
  </w:style>
  <w:style w:type="character" w:styleId="952" w:customStyle="1">
    <w:name w:val="标题 4 字符"/>
    <w:link w:val="870"/>
    <w:uiPriority w:val="0"/>
    <w:semiHidden/>
    <w:qFormat/>
    <w:rPr>
      <w:rFonts w:ascii="等线 Light" w:hAnsi="等线 Light" w:eastAsia="等线 Light" w:cs="Times New Roman"/>
      <w:b/>
      <w:bCs/>
      <w:sz w:val="28"/>
      <w:szCs w:val="28"/>
    </w:rPr>
  </w:style>
  <w:style w:type="paragraph" w:styleId="953" w:customStyle="1">
    <w:name w:val="首行缩进"/>
    <w:basedOn w:val="866"/>
    <w:uiPriority w:val="0"/>
    <w:qFormat/>
    <w:pPr>
      <w:spacing w:line="360" w:lineRule="auto"/>
    </w:pPr>
  </w:style>
  <w:style w:type="paragraph" w:styleId="954" w:customStyle="1">
    <w:name w:val="正文文本1"/>
    <w:basedOn w:val="955"/>
    <w:next w:val="866"/>
    <w:uiPriority w:val="0"/>
    <w:qFormat/>
    <w:pPr>
      <w:spacing w:after="120"/>
    </w:pPr>
    <w:rPr>
      <w:sz w:val="28"/>
    </w:rPr>
  </w:style>
  <w:style w:type="paragraph" w:styleId="955"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56" w:customStyle="1">
    <w:name w:val="Heading 1 Char"/>
    <w:basedOn w:val="876"/>
    <w:uiPriority w:val="9"/>
    <w:qFormat/>
    <w:rPr>
      <w:rFonts w:ascii="Arial" w:hAnsi="Arial" w:eastAsia="Arial" w:cs="Arial"/>
      <w:sz w:val="40"/>
      <w:szCs w:val="40"/>
    </w:rPr>
  </w:style>
  <w:style w:type="character" w:styleId="957" w:customStyle="1">
    <w:name w:val="Heading 2 Char"/>
    <w:basedOn w:val="876"/>
    <w:uiPriority w:val="9"/>
    <w:qFormat/>
    <w:rPr>
      <w:rFonts w:ascii="Arial" w:hAnsi="Arial" w:eastAsia="Arial" w:cs="Arial"/>
      <w:sz w:val="34"/>
    </w:rPr>
  </w:style>
  <w:style w:type="character" w:styleId="958" w:customStyle="1">
    <w:name w:val="Heading 3 Char"/>
    <w:basedOn w:val="876"/>
    <w:uiPriority w:val="9"/>
    <w:qFormat/>
    <w:rPr>
      <w:rFonts w:ascii="Arial" w:hAnsi="Arial" w:eastAsia="Arial" w:cs="Arial"/>
      <w:sz w:val="30"/>
      <w:szCs w:val="30"/>
    </w:rPr>
  </w:style>
  <w:style w:type="character" w:styleId="959" w:customStyle="1">
    <w:name w:val="Heading 4 Char"/>
    <w:basedOn w:val="876"/>
    <w:uiPriority w:val="9"/>
    <w:qFormat/>
    <w:rPr>
      <w:rFonts w:ascii="Arial" w:hAnsi="Arial" w:eastAsia="Arial" w:cs="Arial"/>
      <w:b/>
      <w:bCs/>
      <w:sz w:val="26"/>
      <w:szCs w:val="26"/>
    </w:rPr>
  </w:style>
  <w:style w:type="character" w:styleId="960" w:customStyle="1">
    <w:name w:val="标题 5 字符"/>
    <w:basedOn w:val="876"/>
    <w:link w:val="871"/>
    <w:uiPriority w:val="9"/>
    <w:qFormat/>
    <w:rPr>
      <w:rFonts w:ascii="Arial" w:hAnsi="Arial" w:eastAsia="Arial" w:cs="Arial"/>
      <w:b/>
      <w:bCs/>
      <w:sz w:val="24"/>
      <w:szCs w:val="24"/>
    </w:rPr>
  </w:style>
  <w:style w:type="character" w:styleId="961" w:customStyle="1">
    <w:name w:val="Heading 6 Char"/>
    <w:basedOn w:val="876"/>
    <w:uiPriority w:val="9"/>
    <w:qFormat/>
    <w:rPr>
      <w:rFonts w:ascii="Arial" w:hAnsi="Arial" w:eastAsia="Arial" w:cs="Arial"/>
      <w:b/>
      <w:bCs/>
      <w:sz w:val="22"/>
      <w:szCs w:val="22"/>
    </w:rPr>
  </w:style>
  <w:style w:type="character" w:styleId="962" w:customStyle="1">
    <w:name w:val="标题 7 字符"/>
    <w:basedOn w:val="876"/>
    <w:link w:val="873"/>
    <w:uiPriority w:val="9"/>
    <w:qFormat/>
    <w:rPr>
      <w:rFonts w:ascii="Arial" w:hAnsi="Arial" w:eastAsia="Arial" w:cs="Arial"/>
      <w:b/>
      <w:bCs/>
      <w:i/>
      <w:iCs/>
      <w:sz w:val="22"/>
      <w:szCs w:val="22"/>
    </w:rPr>
  </w:style>
  <w:style w:type="character" w:styleId="963" w:customStyle="1">
    <w:name w:val="Heading 8 Char"/>
    <w:basedOn w:val="876"/>
    <w:uiPriority w:val="9"/>
    <w:qFormat/>
    <w:rPr>
      <w:rFonts w:ascii="Arial" w:hAnsi="Arial" w:eastAsia="Arial" w:cs="Arial"/>
      <w:i/>
      <w:iCs/>
      <w:sz w:val="22"/>
      <w:szCs w:val="22"/>
    </w:rPr>
  </w:style>
  <w:style w:type="character" w:styleId="964" w:customStyle="1">
    <w:name w:val="标题 9 字符"/>
    <w:basedOn w:val="876"/>
    <w:link w:val="875"/>
    <w:uiPriority w:val="9"/>
    <w:qFormat/>
    <w:rPr>
      <w:rFonts w:ascii="Arial" w:hAnsi="Arial" w:eastAsia="Arial" w:cs="Arial"/>
      <w:i/>
      <w:iCs/>
      <w:sz w:val="21"/>
      <w:szCs w:val="21"/>
    </w:rPr>
  </w:style>
  <w:style w:type="character" w:styleId="965" w:customStyle="1">
    <w:name w:val="Title Char"/>
    <w:basedOn w:val="876"/>
    <w:uiPriority w:val="10"/>
    <w:qFormat/>
    <w:rPr>
      <w:sz w:val="48"/>
      <w:szCs w:val="48"/>
    </w:rPr>
  </w:style>
  <w:style w:type="character" w:styleId="966" w:customStyle="1">
    <w:name w:val="副标题 字符"/>
    <w:basedOn w:val="876"/>
    <w:link w:val="899"/>
    <w:uiPriority w:val="11"/>
    <w:qFormat/>
    <w:rPr>
      <w:sz w:val="24"/>
      <w:szCs w:val="24"/>
    </w:rPr>
  </w:style>
  <w:style w:type="paragraph" w:styleId="967">
    <w:name w:val="Quote"/>
    <w:basedOn w:val="866"/>
    <w:next w:val="866"/>
    <w:link w:val="968"/>
    <w:uiPriority w:val="29"/>
    <w:qFormat/>
    <w:pPr>
      <w:ind w:left="720" w:right="720"/>
    </w:pPr>
    <w:rPr>
      <w:i/>
    </w:rPr>
  </w:style>
  <w:style w:type="character" w:styleId="968" w:customStyle="1">
    <w:name w:val="引用 字符"/>
    <w:link w:val="967"/>
    <w:uiPriority w:val="29"/>
    <w:qFormat/>
    <w:rPr>
      <w:i/>
    </w:rPr>
  </w:style>
  <w:style w:type="paragraph" w:styleId="969">
    <w:name w:val="Intense Quote"/>
    <w:basedOn w:val="866"/>
    <w:next w:val="866"/>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字符"/>
    <w:link w:val="969"/>
    <w:uiPriority w:val="30"/>
    <w:qFormat/>
    <w:rPr>
      <w:i/>
    </w:rPr>
  </w:style>
  <w:style w:type="character" w:styleId="971" w:customStyle="1">
    <w:name w:val="Header Char"/>
    <w:basedOn w:val="876"/>
    <w:uiPriority w:val="99"/>
    <w:qFormat/>
  </w:style>
  <w:style w:type="character" w:styleId="972" w:customStyle="1">
    <w:name w:val="Footer Char"/>
    <w:basedOn w:val="876"/>
    <w:uiPriority w:val="99"/>
    <w:qFormat/>
  </w:style>
  <w:style w:type="character" w:styleId="973" w:customStyle="1">
    <w:name w:val="Caption Char"/>
    <w:uiPriority w:val="99"/>
    <w:qFormat/>
  </w:style>
  <w:style w:type="table" w:styleId="974"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5"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4"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5"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6"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7"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8"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9"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0"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1"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2"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3"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4"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5"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06"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7"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8"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9"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0"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1"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2"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3"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4"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5"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6"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7"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3"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4"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5"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6"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7"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28"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9"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0"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5"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6"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7"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8"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9"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0"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1"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48"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9"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0"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1"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52"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3"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9"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1"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2"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3"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4"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5"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6"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8"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9"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0"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1"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2"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3"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75"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6"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7"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8"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9"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0" w:customStyle="1">
    <w:name w:val="脚注文本 字符"/>
    <w:link w:val="900"/>
    <w:uiPriority w:val="99"/>
    <w:qFormat/>
    <w:rPr>
      <w:sz w:val="18"/>
    </w:rPr>
  </w:style>
  <w:style w:type="character" w:styleId="1081" w:customStyle="1">
    <w:name w:val="尾注文本 字符"/>
    <w:link w:val="892"/>
    <w:uiPriority w:val="99"/>
    <w:qFormat/>
    <w:rPr>
      <w:sz w:val="20"/>
    </w:rPr>
  </w:style>
  <w:style w:type="paragraph" w:styleId="1082" w:customStyle="1">
    <w:name w:val="TOC 标题111"/>
    <w:uiPriority w:val="39"/>
    <w:unhideWhenUsed/>
    <w:qFormat/>
    <w:rPr>
      <w:rFonts w:ascii="Times New Roman" w:hAnsi="Times New Roman" w:eastAsia="宋体" w:cs="Times New Roman"/>
      <w:lang w:val="en-US" w:eastAsia="zh-CN" w:bidi="ar-SA"/>
    </w:rPr>
  </w:style>
  <w:style w:type="paragraph" w:styleId="1083" w:customStyle="1">
    <w:name w:val="正文文本11"/>
    <w:basedOn w:val="866"/>
    <w:uiPriority w:val="99"/>
    <w:qFormat/>
    <w:rPr>
      <w:rFonts w:ascii="楷体_GB2312" w:hAnsi="宋体" w:eastAsia="楷体_GB2312"/>
      <w:sz w:val="28"/>
      <w:szCs w:val="28"/>
    </w:rPr>
  </w:style>
  <w:style w:type="character" w:styleId="1084" w:customStyle="1">
    <w:name w:val="标题 1 字符"/>
    <w:link w:val="867"/>
    <w:uiPriority w:val="0"/>
    <w:qFormat/>
    <w:rPr>
      <w:b/>
      <w:bCs/>
      <w:sz w:val="21"/>
      <w:szCs w:val="44"/>
    </w:rPr>
  </w:style>
  <w:style w:type="character" w:styleId="1085" w:customStyle="1">
    <w:name w:val="标题 6 字符"/>
    <w:link w:val="872"/>
    <w:uiPriority w:val="0"/>
    <w:qFormat/>
    <w:rPr>
      <w:rFonts w:ascii="等线 Light" w:hAnsi="等线 Light" w:eastAsia="等线 Light" w:cs="Times New Roman"/>
      <w:b/>
      <w:bCs/>
      <w:sz w:val="24"/>
      <w:szCs w:val="24"/>
    </w:rPr>
  </w:style>
  <w:style w:type="character" w:styleId="1086" w:customStyle="1">
    <w:name w:val="标题 8 字符"/>
    <w:link w:val="874"/>
    <w:uiPriority w:val="0"/>
    <w:semiHidden/>
    <w:qFormat/>
    <w:rPr>
      <w:rFonts w:ascii="等线 Light" w:hAnsi="等线 Light" w:eastAsia="等线 Light" w:cs="Times New Roman"/>
      <w:sz w:val="24"/>
      <w:szCs w:val="24"/>
    </w:rPr>
  </w:style>
  <w:style w:type="paragraph" w:styleId="1087" w:customStyle="1">
    <w:name w:val="目录 71"/>
    <w:basedOn w:val="866"/>
    <w:next w:val="866"/>
    <w:uiPriority w:val="39"/>
    <w:unhideWhenUsed/>
    <w:qFormat/>
    <w:pPr>
      <w:ind w:left="2520"/>
    </w:pPr>
    <w:rPr>
      <w:rFonts w:ascii="等线" w:hAnsi="等线" w:eastAsia="等线"/>
      <w:szCs w:val="22"/>
    </w:rPr>
  </w:style>
  <w:style w:type="character" w:styleId="1088" w:customStyle="1">
    <w:name w:val="正文缩进 字符"/>
    <w:link w:val="880"/>
    <w:uiPriority w:val="0"/>
    <w:qFormat/>
    <w:rPr>
      <w:sz w:val="21"/>
    </w:rPr>
  </w:style>
  <w:style w:type="character" w:styleId="1089" w:customStyle="1">
    <w:name w:val="文档结构图 字符"/>
    <w:link w:val="882"/>
    <w:uiPriority w:val="0"/>
    <w:qFormat/>
    <w:rPr>
      <w:sz w:val="21"/>
      <w:szCs w:val="24"/>
      <w:shd w:val="clear" w:color="auto" w:fill="000080"/>
    </w:rPr>
  </w:style>
  <w:style w:type="character" w:styleId="1090" w:customStyle="1">
    <w:name w:val="批注文字 字符"/>
    <w:link w:val="883"/>
    <w:uiPriority w:val="0"/>
    <w:qFormat/>
    <w:rPr>
      <w:sz w:val="21"/>
      <w:szCs w:val="24"/>
    </w:rPr>
  </w:style>
  <w:style w:type="character" w:styleId="1091" w:customStyle="1">
    <w:name w:val="正文文本 字符"/>
    <w:link w:val="884"/>
    <w:uiPriority w:val="1"/>
    <w:qFormat/>
    <w:rPr>
      <w:sz w:val="21"/>
      <w:szCs w:val="24"/>
    </w:rPr>
  </w:style>
  <w:style w:type="paragraph" w:styleId="1092" w:customStyle="1">
    <w:name w:val="目录 51"/>
    <w:basedOn w:val="866"/>
    <w:next w:val="866"/>
    <w:uiPriority w:val="39"/>
    <w:unhideWhenUsed/>
    <w:qFormat/>
    <w:pPr>
      <w:ind w:left="1680"/>
    </w:pPr>
    <w:rPr>
      <w:rFonts w:ascii="等线" w:hAnsi="等线" w:eastAsia="等线"/>
      <w:szCs w:val="22"/>
    </w:rPr>
  </w:style>
  <w:style w:type="paragraph" w:styleId="1093" w:customStyle="1">
    <w:name w:val="目录 31"/>
    <w:basedOn w:val="866"/>
    <w:next w:val="866"/>
    <w:uiPriority w:val="39"/>
    <w:unhideWhenUsed/>
    <w:qFormat/>
    <w:pPr>
      <w:ind w:left="440"/>
      <w:jc w:val="left"/>
      <w:spacing w:after="100" w:line="259" w:lineRule="auto"/>
      <w:widowControl/>
    </w:pPr>
    <w:rPr>
      <w:rFonts w:ascii="等线" w:hAnsi="等线" w:eastAsia="等线"/>
      <w:sz w:val="22"/>
      <w:szCs w:val="22"/>
    </w:rPr>
  </w:style>
  <w:style w:type="character" w:styleId="1094" w:customStyle="1">
    <w:name w:val="纯文本 字符"/>
    <w:link w:val="889"/>
    <w:uiPriority w:val="0"/>
    <w:qFormat/>
    <w:rPr>
      <w:rFonts w:ascii="宋体" w:hAnsi="Courier New" w:cs="Courier New"/>
      <w:sz w:val="21"/>
      <w:szCs w:val="21"/>
    </w:rPr>
  </w:style>
  <w:style w:type="paragraph" w:styleId="1095" w:customStyle="1">
    <w:name w:val="目录 81"/>
    <w:basedOn w:val="866"/>
    <w:next w:val="866"/>
    <w:uiPriority w:val="39"/>
    <w:unhideWhenUsed/>
    <w:qFormat/>
    <w:pPr>
      <w:ind w:left="2940"/>
    </w:pPr>
    <w:rPr>
      <w:rFonts w:ascii="等线" w:hAnsi="等线" w:eastAsia="等线"/>
      <w:szCs w:val="22"/>
    </w:rPr>
  </w:style>
  <w:style w:type="character" w:styleId="1096" w:customStyle="1">
    <w:name w:val="日期 字符"/>
    <w:link w:val="891"/>
    <w:uiPriority w:val="0"/>
    <w:qFormat/>
    <w:rPr>
      <w:sz w:val="24"/>
    </w:rPr>
  </w:style>
  <w:style w:type="character" w:styleId="1097" w:customStyle="1">
    <w:name w:val="批注框文本 字符"/>
    <w:link w:val="893"/>
    <w:uiPriority w:val="0"/>
    <w:qFormat/>
    <w:rPr>
      <w:sz w:val="18"/>
      <w:szCs w:val="18"/>
    </w:rPr>
  </w:style>
  <w:style w:type="character" w:styleId="1098" w:customStyle="1">
    <w:name w:val="页脚 字符"/>
    <w:link w:val="894"/>
    <w:uiPriority w:val="99"/>
    <w:qFormat/>
    <w:rPr>
      <w:sz w:val="18"/>
      <w:szCs w:val="18"/>
    </w:rPr>
  </w:style>
  <w:style w:type="character" w:styleId="1099" w:customStyle="1">
    <w:name w:val="页眉 字符"/>
    <w:link w:val="896"/>
    <w:uiPriority w:val="99"/>
    <w:qFormat/>
    <w:rPr>
      <w:sz w:val="18"/>
      <w:szCs w:val="18"/>
    </w:rPr>
  </w:style>
  <w:style w:type="paragraph" w:styleId="1100" w:customStyle="1">
    <w:name w:val="目录 11"/>
    <w:basedOn w:val="866"/>
    <w:next w:val="866"/>
    <w:uiPriority w:val="39"/>
    <w:qFormat/>
    <w:rPr>
      <w:rFonts w:ascii="仿宋_GB2312" w:eastAsia="仿宋_GB2312"/>
      <w:sz w:val="24"/>
    </w:rPr>
  </w:style>
  <w:style w:type="paragraph" w:styleId="1101" w:customStyle="1">
    <w:name w:val="目录 41"/>
    <w:basedOn w:val="866"/>
    <w:next w:val="866"/>
    <w:uiPriority w:val="39"/>
    <w:unhideWhenUsed/>
    <w:qFormat/>
    <w:pPr>
      <w:ind w:left="1260"/>
    </w:pPr>
    <w:rPr>
      <w:rFonts w:ascii="等线" w:hAnsi="等线" w:eastAsia="等线"/>
      <w:szCs w:val="22"/>
    </w:rPr>
  </w:style>
  <w:style w:type="paragraph" w:styleId="1102" w:customStyle="1">
    <w:name w:val="目录 61"/>
    <w:basedOn w:val="866"/>
    <w:next w:val="866"/>
    <w:uiPriority w:val="39"/>
    <w:unhideWhenUsed/>
    <w:qFormat/>
    <w:pPr>
      <w:ind w:left="2100"/>
    </w:pPr>
    <w:rPr>
      <w:rFonts w:ascii="等线" w:hAnsi="等线" w:eastAsia="等线"/>
      <w:szCs w:val="22"/>
    </w:rPr>
  </w:style>
  <w:style w:type="paragraph" w:styleId="1103" w:customStyle="1">
    <w:name w:val="目录 21"/>
    <w:basedOn w:val="866"/>
    <w:next w:val="866"/>
    <w:uiPriority w:val="39"/>
    <w:unhideWhenUsed/>
    <w:qFormat/>
    <w:pPr>
      <w:ind w:left="220"/>
      <w:jc w:val="left"/>
      <w:spacing w:after="100" w:line="259" w:lineRule="auto"/>
      <w:widowControl/>
    </w:pPr>
    <w:rPr>
      <w:rFonts w:ascii="等线" w:hAnsi="等线" w:eastAsia="等线"/>
      <w:sz w:val="22"/>
      <w:szCs w:val="22"/>
    </w:rPr>
  </w:style>
  <w:style w:type="paragraph" w:styleId="1104" w:customStyle="1">
    <w:name w:val="目录 91"/>
    <w:basedOn w:val="866"/>
    <w:next w:val="866"/>
    <w:uiPriority w:val="39"/>
    <w:unhideWhenUsed/>
    <w:qFormat/>
    <w:pPr>
      <w:ind w:left="3360"/>
    </w:pPr>
    <w:rPr>
      <w:rFonts w:ascii="等线" w:hAnsi="等线" w:eastAsia="等线"/>
      <w:szCs w:val="22"/>
    </w:rPr>
  </w:style>
  <w:style w:type="character" w:styleId="1105" w:customStyle="1">
    <w:name w:val="正文文本 2 字符"/>
    <w:link w:val="905"/>
    <w:uiPriority w:val="0"/>
    <w:qFormat/>
    <w:rPr>
      <w:rFonts w:ascii="Calibri" w:hAnsi="Calibri"/>
      <w:sz w:val="21"/>
      <w:szCs w:val="24"/>
    </w:rPr>
  </w:style>
  <w:style w:type="character" w:styleId="1106" w:customStyle="1">
    <w:name w:val="标题 字符"/>
    <w:link w:val="907"/>
    <w:uiPriority w:val="0"/>
    <w:qFormat/>
    <w:rPr>
      <w:rFonts w:ascii="等线 Light" w:hAnsi="等线 Light" w:eastAsia="宋体" w:cs="Times New Roman"/>
      <w:b/>
      <w:bCs/>
      <w:sz w:val="32"/>
      <w:szCs w:val="32"/>
    </w:rPr>
  </w:style>
  <w:style w:type="character" w:styleId="1107" w:customStyle="1">
    <w:name w:val="批注主题 字符"/>
    <w:link w:val="908"/>
    <w:uiPriority w:val="0"/>
    <w:qFormat/>
    <w:rPr>
      <w:b/>
      <w:bCs/>
      <w:sz w:val="21"/>
      <w:szCs w:val="24"/>
    </w:rPr>
  </w:style>
  <w:style w:type="character" w:styleId="1108" w:customStyle="1">
    <w:name w:val="p0 Char"/>
    <w:link w:val="1109"/>
    <w:uiPriority w:val="0"/>
    <w:qFormat/>
    <w:rPr>
      <w:rFonts w:eastAsia="宋体"/>
      <w:sz w:val="21"/>
      <w:szCs w:val="21"/>
      <w:lang w:val="en-US" w:eastAsia="zh-CN" w:bidi="ar-SA"/>
    </w:rPr>
  </w:style>
  <w:style w:type="paragraph" w:styleId="1109" w:customStyle="1">
    <w:name w:val="p0"/>
    <w:basedOn w:val="866"/>
    <w:link w:val="1108"/>
    <w:uiPriority w:val="0"/>
    <w:qFormat/>
    <w:pPr>
      <w:widowControl/>
    </w:pPr>
    <w:rPr>
      <w:szCs w:val="21"/>
    </w:rPr>
  </w:style>
  <w:style w:type="character" w:styleId="1110" w:customStyle="1">
    <w:name w:val="标题 2 Char Char Char"/>
    <w:uiPriority w:val="0"/>
    <w:qFormat/>
    <w:rPr>
      <w:rFonts w:ascii="Arial" w:hAnsi="Arial" w:eastAsia="黑体"/>
      <w:b/>
      <w:bCs/>
      <w:sz w:val="32"/>
      <w:szCs w:val="32"/>
      <w:lang w:val="en-US" w:eastAsia="zh-CN" w:bidi="ar-SA"/>
    </w:rPr>
  </w:style>
  <w:style w:type="character" w:styleId="1111" w:customStyle="1">
    <w:name w:val="NormalCharacter"/>
    <w:uiPriority w:val="0"/>
    <w:semiHidden/>
    <w:qFormat/>
  </w:style>
  <w:style w:type="paragraph" w:styleId="1112" w:customStyle="1">
    <w:name w:val="标题 21"/>
    <w:basedOn w:val="866"/>
    <w:next w:val="866"/>
    <w:uiPriority w:val="0"/>
    <w:qFormat/>
    <w:pPr>
      <w:jc w:val="center"/>
      <w:keepNext/>
      <w:widowControl/>
    </w:pPr>
    <w:rPr>
      <w:rFonts w:ascii="楷体_GB2312" w:eastAsia="楷体_GB2312"/>
      <w:sz w:val="18"/>
      <w:szCs w:val="20"/>
    </w:rPr>
  </w:style>
  <w:style w:type="paragraph" w:styleId="1113" w:customStyle="1">
    <w:name w:val="TOC 标题11"/>
    <w:basedOn w:val="867"/>
    <w:next w:val="86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1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样式1"/>
    <w:basedOn w:val="867"/>
    <w:link w:val="1116"/>
    <w:uiPriority w:val="0"/>
    <w:qFormat/>
    <w:pPr>
      <w:ind w:left="210" w:right="210"/>
    </w:pPr>
  </w:style>
  <w:style w:type="character" w:styleId="1116" w:customStyle="1">
    <w:name w:val="样式1 字符"/>
    <w:link w:val="1115"/>
    <w:uiPriority w:val="0"/>
    <w:qFormat/>
  </w:style>
  <w:style w:type="paragraph" w:styleId="1117" w:customStyle="1">
    <w:name w:val="标题 211"/>
    <w:basedOn w:val="86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8" w:customStyle="1">
    <w:name w:val="列出段落1"/>
    <w:basedOn w:val="866"/>
    <w:uiPriority w:val="1"/>
    <w:qFormat/>
    <w:pPr>
      <w:ind w:left="400" w:firstLine="420"/>
      <w:jc w:val="left"/>
    </w:pPr>
    <w:rPr>
      <w:rFonts w:ascii="宋体" w:hAnsi="宋体" w:cs="宋体"/>
      <w:sz w:val="22"/>
      <w:szCs w:val="22"/>
      <w:lang w:val="zh-CN" w:bidi="zh-CN"/>
    </w:rPr>
  </w:style>
  <w:style w:type="paragraph" w:styleId="1119" w:customStyle="1">
    <w:name w:val="Table Paragraph"/>
    <w:basedOn w:val="866"/>
    <w:uiPriority w:val="1"/>
    <w:qFormat/>
    <w:pPr>
      <w:jc w:val="left"/>
    </w:pPr>
    <w:rPr>
      <w:rFonts w:ascii="宋体" w:hAnsi="宋体" w:cs="宋体"/>
      <w:sz w:val="22"/>
      <w:szCs w:val="22"/>
      <w:lang w:val="zh-CN" w:bidi="zh-CN"/>
    </w:rPr>
  </w:style>
  <w:style w:type="character" w:styleId="1120" w:customStyle="1">
    <w:name w:val="ask-title2"/>
    <w:uiPriority w:val="0"/>
    <w:qFormat/>
  </w:style>
  <w:style w:type="paragraph" w:styleId="1121" w:customStyle="1">
    <w:name w:val="列出段落2"/>
    <w:basedOn w:val="866"/>
    <w:uiPriority w:val="99"/>
    <w:unhideWhenUsed/>
    <w:qFormat/>
    <w:pPr>
      <w:ind w:firstLine="420"/>
      <w:jc w:val="left"/>
    </w:pPr>
    <w:rPr>
      <w:rFonts w:ascii="宋体"/>
      <w:sz w:val="20"/>
      <w:szCs w:val="20"/>
    </w:rPr>
  </w:style>
  <w:style w:type="paragraph" w:styleId="1122" w:customStyle="1">
    <w:name w:val="纯文本1"/>
    <w:basedOn w:val="866"/>
    <w:uiPriority w:val="0"/>
    <w:qFormat/>
    <w:rPr>
      <w:rFonts w:ascii="宋体" w:hAnsi="Courier New"/>
      <w:sz w:val="20"/>
      <w:szCs w:val="21"/>
    </w:rPr>
  </w:style>
  <w:style w:type="character" w:styleId="1123" w:customStyle="1">
    <w:name w:val="纯文本 Char2"/>
    <w:uiPriority w:val="0"/>
    <w:qFormat/>
    <w:rPr>
      <w:rFonts w:ascii="宋体" w:hAnsi="Courier New"/>
      <w:sz w:val="21"/>
    </w:rPr>
  </w:style>
  <w:style w:type="paragraph" w:styleId="1124" w:customStyle="1">
    <w:name w:val="列出段落11"/>
    <w:basedOn w:val="866"/>
    <w:uiPriority w:val="0"/>
    <w:qFormat/>
    <w:pPr>
      <w:ind w:firstLine="420"/>
      <w:spacing w:line="0" w:lineRule="atLeast"/>
    </w:pPr>
    <w:rPr>
      <w:rFonts w:eastAsia="微软雅黑"/>
      <w:sz w:val="20"/>
      <w:szCs w:val="20"/>
    </w:rPr>
  </w:style>
  <w:style w:type="character" w:styleId="1125" w:customStyle="1">
    <w:name w:val="纯文本 Char"/>
    <w:link w:val="1126"/>
    <w:uiPriority w:val="0"/>
    <w:qFormat/>
    <w:rPr>
      <w:rFonts w:ascii="宋体" w:hAnsi="Courier New"/>
    </w:rPr>
  </w:style>
  <w:style w:type="paragraph" w:styleId="1126" w:customStyle="1">
    <w:name w:val="纯文本2"/>
    <w:basedOn w:val="866"/>
    <w:link w:val="1125"/>
    <w:uiPriority w:val="0"/>
    <w:qFormat/>
    <w:pPr>
      <w:ind w:firstLine="200"/>
      <w:spacing w:line="360" w:lineRule="auto"/>
    </w:pPr>
    <w:rPr>
      <w:rFonts w:ascii="宋体" w:hAnsi="Courier New"/>
      <w:sz w:val="20"/>
      <w:szCs w:val="20"/>
    </w:rPr>
  </w:style>
  <w:style w:type="character" w:styleId="1127" w:customStyle="1">
    <w:name w:val="页脚 Char"/>
    <w:uiPriority w:val="0"/>
    <w:qFormat/>
    <w:rPr>
      <w:sz w:val="18"/>
      <w:szCs w:val="18"/>
    </w:rPr>
  </w:style>
  <w:style w:type="paragraph" w:styleId="1128" w:customStyle="1">
    <w:name w:val="_Style 83"/>
    <w:basedOn w:val="866"/>
    <w:next w:val="1118"/>
    <w:uiPriority w:val="99"/>
    <w:qFormat/>
    <w:pPr>
      <w:ind w:firstLine="420"/>
    </w:pPr>
  </w:style>
  <w:style w:type="character" w:styleId="1129">
    <w:name w:val="Placeholder Text"/>
    <w:basedOn w:val="876"/>
    <w:uiPriority w:val="99"/>
    <w:unhideWhenUsed/>
    <w:qFormat/>
    <w:rPr>
      <w:color w:val="808080"/>
    </w:rPr>
  </w:style>
  <w:style w:type="paragraph" w:styleId="1130" w:customStyle="1">
    <w:name w:val="pf0"/>
    <w:basedOn w:val="866"/>
    <w:uiPriority w:val="0"/>
    <w:qFormat/>
    <w:pPr>
      <w:jc w:val="left"/>
      <w:spacing w:before="100" w:beforeAutospacing="1" w:after="100" w:afterAutospacing="1"/>
      <w:widowControl/>
    </w:pPr>
    <w:rPr>
      <w:rFonts w:ascii="宋体" w:hAnsi="宋体" w:cs="宋体"/>
      <w:sz w:val="24"/>
    </w:rPr>
  </w:style>
  <w:style w:type="character" w:styleId="1131" w:customStyle="1">
    <w:name w:val="cf01"/>
    <w:basedOn w:val="876"/>
    <w:uiPriority w:val="0"/>
    <w:qFormat/>
    <w:rPr>
      <w:rFonts w:hint="eastAsia" w:ascii="Microsoft YaHei UI" w:hAnsi="Microsoft YaHei UI" w:eastAsia="Microsoft YaHei UI"/>
      <w:sz w:val="18"/>
      <w:szCs w:val="18"/>
    </w:rPr>
  </w:style>
  <w:style w:type="character" w:styleId="1132" w:customStyle="1">
    <w:name w:val="cf11"/>
    <w:basedOn w:val="876"/>
    <w:uiPriority w:val="0"/>
    <w:qFormat/>
    <w:rPr>
      <w:rFonts w:hint="eastAsia" w:ascii="Microsoft YaHei UI" w:hAnsi="Microsoft YaHei UI" w:eastAsia="Microsoft YaHei UI"/>
      <w:sz w:val="18"/>
      <w:szCs w:val="18"/>
    </w:rPr>
  </w:style>
  <w:style w:type="paragraph" w:styleId="1133">
    <w:name w:val="List Paragraph"/>
    <w:basedOn w:val="866"/>
    <w:uiPriority w:val="1"/>
    <w:qFormat/>
    <w:pPr>
      <w:ind w:firstLine="420"/>
    </w:pPr>
  </w:style>
  <w:style w:type="paragraph" w:styleId="1134" w:customStyle="1">
    <w:name w:val="标题1，章节第一层"/>
    <w:basedOn w:val="866"/>
    <w:next w:val="86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35" w:customStyle="1">
    <w:name w:val="标准文本"/>
    <w:basedOn w:val="866"/>
    <w:uiPriority w:val="0"/>
    <w:qFormat/>
    <w:pPr>
      <w:ind w:firstLine="480"/>
      <w:spacing w:line="360" w:lineRule="auto"/>
    </w:pPr>
    <w:rPr>
      <w:rFonts w:ascii="Calibri" w:hAnsi="Calibri" w:eastAsia="Calibri" w:cs="宋体"/>
      <w:sz w:val="24"/>
      <w:lang w:val="zh-CN"/>
    </w:rPr>
  </w:style>
  <w:style w:type="character" w:styleId="1136" w:customStyle="1">
    <w:name w:val="标准文本 Char Char"/>
    <w:uiPriority w:val="0"/>
    <w:qFormat/>
    <w:rPr>
      <w:rFonts w:eastAsia="宋体" w:cs="宋体"/>
      <w:sz w:val="24"/>
      <w:szCs w:val="24"/>
      <w:lang w:val="en-US" w:eastAsia="zh-CN" w:bidi="ar-SA"/>
    </w:rPr>
  </w:style>
  <w:style w:type="character" w:styleId="1137" w:customStyle="1">
    <w:name w:val="标准小四 Char Char"/>
    <w:uiPriority w:val="0"/>
    <w:qFormat/>
    <w:rPr>
      <w:rFonts w:ascii="Arial" w:hAnsi="Arial" w:eastAsia="宋体"/>
      <w:sz w:val="24"/>
      <w:szCs w:val="21"/>
      <w:lang w:val="en-US" w:eastAsia="zh-CN" w:bidi="ar-SA"/>
    </w:rPr>
  </w:style>
  <w:style w:type="character" w:styleId="1138" w:customStyle="1">
    <w:name w:val="标准文本 Char"/>
    <w:uiPriority w:val="0"/>
    <w:qFormat/>
    <w:rPr>
      <w:rFonts w:eastAsia="宋体" w:cs="宋体"/>
      <w:sz w:val="24"/>
      <w:szCs w:val="24"/>
      <w:lang w:val="en-US" w:eastAsia="zh-CN" w:bidi="ar-SA"/>
    </w:rPr>
  </w:style>
  <w:style w:type="character" w:styleId="1139" w:customStyle="1">
    <w:name w:val="未处理的提及1"/>
    <w:basedOn w:val="876"/>
    <w:uiPriority w:val="99"/>
    <w:semiHidden/>
    <w:unhideWhenUsed/>
    <w:qFormat/>
    <w:rPr>
      <w:color w:val="605e5c"/>
      <w:shd w:val="clear" w:color="auto" w:fill="e1dfdd"/>
    </w:rPr>
  </w:style>
  <w:style w:type="paragraph" w:styleId="1140" w:customStyle="1">
    <w:name w:val="列出段落3"/>
    <w:basedOn w:val="866"/>
    <w:uiPriority w:val="99"/>
    <w:qFormat/>
    <w:pPr>
      <w:ind w:firstLine="420"/>
    </w:pPr>
  </w:style>
  <w:style w:type="paragraph" w:styleId="1141" w:customStyle="1">
    <w:name w:val="Normal_8_0"/>
    <w:uiPriority w:val="0"/>
    <w:qFormat/>
    <w:rPr>
      <w:rFonts w:ascii="Times New Roman" w:hAnsi="Times New Roman" w:eastAsia="Times New Roman" w:cs="Times New Roman"/>
      <w:sz w:val="24"/>
      <w:szCs w:val="24"/>
      <w:lang w:val="en-US" w:eastAsia="zh-CN" w:bidi="ar-SA"/>
    </w:rPr>
  </w:style>
  <w:style w:type="character" w:styleId="1142"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43" w:customStyle="1">
    <w:name w:val="font41"/>
    <w:basedOn w:val="876"/>
    <w:uiPriority w:val="0"/>
    <w:qFormat/>
    <w:rPr>
      <w:rFonts w:hint="default" w:ascii="方正仿宋_GBK" w:hAnsi="方正仿宋_GBK" w:eastAsia="方正仿宋_GBK" w:cs="方正仿宋_GBK"/>
      <w:b/>
      <w:bCs/>
      <w:color w:val="000000"/>
      <w:sz w:val="22"/>
      <w:szCs w:val="22"/>
      <w:u w:val="none"/>
    </w:rPr>
  </w:style>
  <w:style w:type="character" w:styleId="1144" w:customStyle="1">
    <w:name w:val="font31"/>
    <w:basedOn w:val="876"/>
    <w:uiPriority w:val="0"/>
    <w:qFormat/>
    <w:rPr>
      <w:rFonts w:hint="default" w:ascii="方正仿宋_GBK" w:hAnsi="方正仿宋_GBK" w:eastAsia="方正仿宋_GBK" w:cs="方正仿宋_GBK"/>
      <w:color w:val="000000"/>
      <w:sz w:val="22"/>
      <w:szCs w:val="22"/>
      <w:u w:val="none"/>
    </w:rPr>
  </w:style>
  <w:style w:type="character" w:styleId="1145" w:customStyle="1">
    <w:name w:val="不明显参考1"/>
    <w:uiPriority w:val="31"/>
    <w:qFormat/>
    <w:rPr>
      <w:smallCaps/>
    </w:rPr>
  </w:style>
  <w:style w:type="paragraph" w:styleId="1146" w:customStyle="1">
    <w:name w:val="Normal_5_0"/>
    <w:uiPriority w:val="0"/>
    <w:qFormat/>
    <w:rPr>
      <w:rFonts w:ascii="Times New Roman" w:hAnsi="Times New Roman" w:eastAsia="Times New Roman" w:cs="Times New Roman"/>
      <w:sz w:val="24"/>
      <w:szCs w:val="24"/>
      <w:lang w:val="en-US" w:eastAsia="zh-CN" w:bidi="ar-SA"/>
    </w:rPr>
  </w:style>
  <w:style w:type="character" w:styleId="1147" w:customStyle="1">
    <w:name w:val="默认段落字体11"/>
    <w:uiPriority w:val="1"/>
    <w:unhideWhenUsed/>
    <w:qFormat/>
  </w:style>
  <w:style w:type="paragraph" w:styleId="1148" w:customStyle="1">
    <w:name w:val="Normal_17"/>
    <w:uiPriority w:val="0"/>
    <w:qFormat/>
    <w:rPr>
      <w:rFonts w:ascii="Times New Roman" w:hAnsi="Times New Roman" w:eastAsia="Times New Roman" w:cs="Times New Roman"/>
      <w:sz w:val="24"/>
      <w:szCs w:val="24"/>
      <w:lang w:val="en-US" w:eastAsia="zh-CN" w:bidi="ar-SA"/>
    </w:rPr>
  </w:style>
  <w:style w:type="paragraph" w:styleId="1149" w:customStyle="1">
    <w:name w:val="Normal_0_3"/>
    <w:uiPriority w:val="0"/>
    <w:qFormat/>
    <w:rPr>
      <w:rFonts w:ascii="Times New Roman" w:hAnsi="Times New Roman" w:eastAsia="Times New Roman" w:cs="Times New Roman"/>
      <w:sz w:val="24"/>
      <w:szCs w:val="24"/>
      <w:lang w:val="en-US" w:eastAsia="zh-CN" w:bidi="ar-SA"/>
    </w:rPr>
  </w:style>
  <w:style w:type="paragraph" w:styleId="1150" w:customStyle="1">
    <w:name w:val="Normal_23"/>
    <w:uiPriority w:val="0"/>
    <w:qFormat/>
    <w:rPr>
      <w:rFonts w:ascii="Times New Roman" w:hAnsi="Times New Roman" w:eastAsia="Times New Roman" w:cs="Times New Roman"/>
      <w:sz w:val="24"/>
      <w:szCs w:val="24"/>
      <w:lang w:val="en-US" w:eastAsia="zh-CN" w:bidi="ar-SA"/>
    </w:rPr>
  </w:style>
  <w:style w:type="paragraph" w:styleId="115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52" w:customStyle="1">
    <w:name w:val="列表段落1"/>
    <w:basedOn w:val="866"/>
    <w:uiPriority w:val="99"/>
    <w:qFormat/>
    <w:pPr>
      <w:ind w:firstLine="420"/>
    </w:pPr>
  </w:style>
  <w:style w:type="character" w:styleId="1153" w:customStyle="1">
    <w:name w:val="font21"/>
    <w:basedOn w:val="876"/>
    <w:uiPriority w:val="0"/>
    <w:qFormat/>
    <w:rPr>
      <w:rFonts w:hint="eastAsia" w:ascii="等线" w:hAnsi="等线" w:eastAsia="等线" w:cs="等线"/>
      <w:color w:val="000000"/>
      <w:sz w:val="21"/>
      <w:szCs w:val="21"/>
      <w:u w:val="none"/>
    </w:rPr>
  </w:style>
  <w:style w:type="character" w:styleId="1154" w:customStyle="1">
    <w:name w:val="font11"/>
    <w:basedOn w:val="876"/>
    <w:uiPriority w:val="0"/>
    <w:qFormat/>
    <w:rPr>
      <w:rFonts w:hint="eastAsia" w:ascii="宋体" w:hAnsi="宋体" w:eastAsia="宋体" w:cs="宋体"/>
      <w:color w:val="000000"/>
      <w:sz w:val="21"/>
      <w:szCs w:val="21"/>
      <w:u w:val="none"/>
    </w:rPr>
  </w:style>
  <w:style w:type="paragraph" w:styleId="1155" w:customStyle="1">
    <w:name w:val="null3"/>
    <w:hidden/>
    <w:uiPriority w:val="0"/>
    <w:qFormat/>
    <w:rPr>
      <w:rFonts w:hint="eastAsia" w:asciiTheme="minorHAnsi" w:hAnsiTheme="minorHAnsi" w:eastAsiaTheme="minorEastAsia" w:cstheme="minorBidi"/>
      <w:lang w:val="en-US" w:eastAsia="zh-Hans" w:bidi="ar-SA"/>
    </w:rPr>
  </w:style>
  <w:style w:type="paragraph" w:styleId="1156" w:customStyle="1">
    <w:name w:val="Plain Text1"/>
    <w:basedOn w:val="866"/>
    <w:uiPriority w:val="0"/>
    <w:qFormat/>
    <w:pPr>
      <w:jc w:val="left"/>
      <w:widowControl/>
    </w:pPr>
    <w:rPr>
      <w:rFonts w:ascii="宋体" w:hAnsi="Courier New" w:eastAsia="楷体_GB2312"/>
      <w:sz w:val="26"/>
      <w:szCs w:val="20"/>
    </w:rPr>
  </w:style>
  <w:style w:type="character" w:styleId="1157" w:customStyle="1">
    <w:name w:val="ui-provider"/>
    <w:basedOn w:val="876"/>
    <w:uiPriority w:val="0"/>
    <w:qFormat/>
  </w:style>
  <w:style w:type="paragraph" w:styleId="1158" w:customStyle="1">
    <w:name w:val="列表段落21"/>
    <w:basedOn w:val="866"/>
    <w:uiPriority w:val="0"/>
    <w:qFormat/>
    <w:pPr>
      <w:ind w:firstLine="420"/>
    </w:pPr>
    <w:rPr>
      <w:szCs w:val="20"/>
    </w:rPr>
  </w:style>
  <w:style w:type="table" w:styleId="1159" w:customStyle="1">
    <w:name w:val="Table Normal"/>
    <w:basedOn w:val="877"/>
    <w:uiPriority w:val="0"/>
    <w:qFormat/>
    <w:tblPr>
      <w:tblCellMar>
        <w:left w:w="0" w:type="dxa"/>
        <w:right w:w="0" w:type="dxa"/>
      </w:tblCellMar>
    </w:tblPr>
  </w:style>
  <w:style w:type="paragraph" w:styleId="116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61" w:customStyle="1">
    <w:name w:val="正文缩进11"/>
    <w:basedOn w:val="866"/>
    <w:uiPriority w:val="0"/>
    <w:qFormat/>
    <w:pPr>
      <w:ind w:firstLine="420"/>
    </w:pPr>
    <w:rPr>
      <w:b/>
      <w:sz w:val="24"/>
      <w:szCs w:val="20"/>
    </w:rPr>
  </w:style>
  <w:style w:type="paragraph" w:styleId="1162" w:customStyle="1">
    <w:name w:val="Table Text"/>
    <w:basedOn w:val="866"/>
    <w:uiPriority w:val="0"/>
    <w:semiHidden/>
    <w:qFormat/>
    <w:rPr>
      <w:rFonts w:ascii="华文宋体" w:hAnsi="华文宋体" w:eastAsia="华文宋体" w:cs="华文宋体"/>
      <w:sz w:val="18"/>
      <w:szCs w:val="18"/>
    </w:rPr>
  </w:style>
  <w:style w:type="paragraph" w:styleId="1163" w:customStyle="1">
    <w:name w:val="正文文本缩进1"/>
    <w:basedOn w:val="866"/>
    <w:next w:val="1164"/>
    <w:uiPriority w:val="0"/>
    <w:qFormat/>
    <w:pPr>
      <w:ind w:left="420"/>
      <w:spacing w:after="120"/>
    </w:pPr>
  </w:style>
  <w:style w:type="paragraph" w:styleId="1164" w:customStyle="1">
    <w:name w:val="正文首行缩进 21"/>
    <w:basedOn w:val="1163"/>
    <w:uiPriority w:val="0"/>
    <w:qFormat/>
    <w:pPr>
      <w:ind w:firstLine="420"/>
    </w:p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31"/>
            <w:rPr>
              <w:rFonts w:hint="eastAsia"/>
            </w:rPr>
          </w:pPr>
          <w:r>
            <w:rPr>
              <w:rStyle w:val="183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14">
    <w:name w:val="Heading 1 Char"/>
    <w:basedOn w:val="1662"/>
    <w:link w:val="1653"/>
    <w:uiPriority w:val="9"/>
    <w:rPr>
      <w:rFonts w:ascii="Arial" w:hAnsi="Arial" w:eastAsia="Arial" w:cs="Arial"/>
      <w:sz w:val="40"/>
      <w:szCs w:val="40"/>
    </w:rPr>
  </w:style>
  <w:style w:type="character" w:styleId="1615">
    <w:name w:val="Heading 2 Char"/>
    <w:basedOn w:val="1662"/>
    <w:link w:val="1654"/>
    <w:uiPriority w:val="9"/>
    <w:rPr>
      <w:rFonts w:ascii="Arial" w:hAnsi="Arial" w:eastAsia="Arial" w:cs="Arial"/>
      <w:sz w:val="34"/>
    </w:rPr>
  </w:style>
  <w:style w:type="character" w:styleId="1616">
    <w:name w:val="Heading 3 Char"/>
    <w:basedOn w:val="1662"/>
    <w:link w:val="1655"/>
    <w:uiPriority w:val="9"/>
    <w:rPr>
      <w:rFonts w:ascii="Arial" w:hAnsi="Arial" w:eastAsia="Arial" w:cs="Arial"/>
      <w:sz w:val="30"/>
      <w:szCs w:val="30"/>
    </w:rPr>
  </w:style>
  <w:style w:type="character" w:styleId="1617">
    <w:name w:val="Heading 4 Char"/>
    <w:basedOn w:val="1662"/>
    <w:link w:val="1656"/>
    <w:uiPriority w:val="9"/>
    <w:rPr>
      <w:rFonts w:ascii="Arial" w:hAnsi="Arial" w:eastAsia="Arial" w:cs="Arial"/>
      <w:b/>
      <w:bCs/>
      <w:sz w:val="26"/>
      <w:szCs w:val="26"/>
    </w:rPr>
  </w:style>
  <w:style w:type="character" w:styleId="1618">
    <w:name w:val="Heading 5 Char"/>
    <w:basedOn w:val="1662"/>
    <w:link w:val="1657"/>
    <w:uiPriority w:val="9"/>
    <w:rPr>
      <w:rFonts w:ascii="Arial" w:hAnsi="Arial" w:eastAsia="Arial" w:cs="Arial"/>
      <w:b/>
      <w:bCs/>
      <w:sz w:val="24"/>
      <w:szCs w:val="24"/>
    </w:rPr>
  </w:style>
  <w:style w:type="character" w:styleId="1619">
    <w:name w:val="Heading 6 Char"/>
    <w:basedOn w:val="1662"/>
    <w:link w:val="1658"/>
    <w:uiPriority w:val="9"/>
    <w:rPr>
      <w:rFonts w:ascii="Arial" w:hAnsi="Arial" w:eastAsia="Arial" w:cs="Arial"/>
      <w:b/>
      <w:bCs/>
      <w:sz w:val="22"/>
      <w:szCs w:val="22"/>
    </w:rPr>
  </w:style>
  <w:style w:type="character" w:styleId="1620">
    <w:name w:val="Heading 7 Char"/>
    <w:basedOn w:val="1662"/>
    <w:link w:val="1659"/>
    <w:uiPriority w:val="9"/>
    <w:rPr>
      <w:rFonts w:ascii="Arial" w:hAnsi="Arial" w:eastAsia="Arial" w:cs="Arial"/>
      <w:b/>
      <w:bCs/>
      <w:i/>
      <w:iCs/>
      <w:sz w:val="22"/>
      <w:szCs w:val="22"/>
    </w:rPr>
  </w:style>
  <w:style w:type="character" w:styleId="1621">
    <w:name w:val="Heading 8 Char"/>
    <w:basedOn w:val="1662"/>
    <w:link w:val="1660"/>
    <w:uiPriority w:val="9"/>
    <w:rPr>
      <w:rFonts w:ascii="Arial" w:hAnsi="Arial" w:eastAsia="Arial" w:cs="Arial"/>
      <w:i/>
      <w:iCs/>
      <w:sz w:val="22"/>
      <w:szCs w:val="22"/>
    </w:rPr>
  </w:style>
  <w:style w:type="character" w:styleId="1622">
    <w:name w:val="Heading 9 Char"/>
    <w:basedOn w:val="1662"/>
    <w:link w:val="1661"/>
    <w:uiPriority w:val="9"/>
    <w:rPr>
      <w:rFonts w:ascii="Arial" w:hAnsi="Arial" w:eastAsia="Arial" w:cs="Arial"/>
      <w:i/>
      <w:iCs/>
      <w:sz w:val="21"/>
      <w:szCs w:val="21"/>
    </w:rPr>
  </w:style>
  <w:style w:type="character" w:styleId="1623">
    <w:name w:val="Title Char"/>
    <w:basedOn w:val="1662"/>
    <w:link w:val="1694"/>
    <w:uiPriority w:val="10"/>
    <w:rPr>
      <w:sz w:val="48"/>
      <w:szCs w:val="48"/>
    </w:rPr>
  </w:style>
  <w:style w:type="character" w:styleId="1624">
    <w:name w:val="Subtitle Char"/>
    <w:basedOn w:val="1662"/>
    <w:link w:val="1696"/>
    <w:uiPriority w:val="11"/>
    <w:rPr>
      <w:sz w:val="24"/>
      <w:szCs w:val="24"/>
    </w:rPr>
  </w:style>
  <w:style w:type="character" w:styleId="1625">
    <w:name w:val="Quote Char"/>
    <w:link w:val="1698"/>
    <w:uiPriority w:val="29"/>
    <w:rPr>
      <w:i/>
    </w:rPr>
  </w:style>
  <w:style w:type="character" w:styleId="1626">
    <w:name w:val="Intense Quote Char"/>
    <w:link w:val="1700"/>
    <w:uiPriority w:val="30"/>
    <w:rPr>
      <w:i/>
    </w:rPr>
  </w:style>
  <w:style w:type="character" w:styleId="1627">
    <w:name w:val="Header Char"/>
    <w:basedOn w:val="1662"/>
    <w:link w:val="1702"/>
    <w:uiPriority w:val="99"/>
  </w:style>
  <w:style w:type="character" w:styleId="1628">
    <w:name w:val="Footer Char"/>
    <w:basedOn w:val="1662"/>
    <w:link w:val="1704"/>
    <w:uiPriority w:val="99"/>
  </w:style>
  <w:style w:type="character" w:styleId="1629">
    <w:name w:val="Caption Char"/>
    <w:basedOn w:val="1705"/>
    <w:link w:val="1704"/>
    <w:uiPriority w:val="99"/>
  </w:style>
  <w:style w:type="table" w:styleId="1630">
    <w:name w:val="Plain Table 1"/>
    <w:basedOn w:val="1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1">
    <w:name w:val="Plain Table 2"/>
    <w:basedOn w:val="1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2">
    <w:name w:val="Plain Table 3"/>
    <w:basedOn w:val="1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3">
    <w:name w:val="Plain Table 4"/>
    <w:basedOn w:val="1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4">
    <w:name w:val="Plain Table 5"/>
    <w:basedOn w:val="1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35">
    <w:name w:val="Grid Table 1 Light"/>
    <w:basedOn w:val="1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36">
    <w:name w:val="Grid Table 2"/>
    <w:basedOn w:val="1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7">
    <w:name w:val="Grid Table 3"/>
    <w:basedOn w:val="1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38">
    <w:name w:val="Grid Table 4"/>
    <w:basedOn w:val="1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9">
    <w:name w:val="Grid Table 5 Dark"/>
    <w:basedOn w:val="1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40">
    <w:name w:val="Grid Table 6 Colorful"/>
    <w:basedOn w:val="1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41">
    <w:name w:val="Grid Table 7 Colorful"/>
    <w:basedOn w:val="1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42">
    <w:name w:val="List Table 1 Light"/>
    <w:basedOn w:val="1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3">
    <w:name w:val="List Table 2"/>
    <w:basedOn w:val="1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44">
    <w:name w:val="List Table 3"/>
    <w:basedOn w:val="1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5">
    <w:name w:val="List Table 4"/>
    <w:basedOn w:val="1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6">
    <w:name w:val="List Table 5 Dark"/>
    <w:basedOn w:val="1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6 Colorful"/>
    <w:basedOn w:val="1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48">
    <w:name w:val="List Table 7 Colorful"/>
    <w:basedOn w:val="1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49">
    <w:name w:val="Footnote Text Char"/>
    <w:link w:val="1815"/>
    <w:uiPriority w:val="99"/>
    <w:rPr>
      <w:sz w:val="18"/>
    </w:rPr>
  </w:style>
  <w:style w:type="character" w:styleId="1650">
    <w:name w:val="Endnote Text Char"/>
    <w:link w:val="1818"/>
    <w:uiPriority w:val="99"/>
    <w:rPr>
      <w:sz w:val="20"/>
    </w:rPr>
  </w:style>
  <w:style w:type="paragraph" w:styleId="1651">
    <w:name w:val="TOC Heading"/>
    <w:uiPriority w:val="39"/>
    <w:unhideWhenUsed/>
  </w:style>
  <w:style w:type="paragraph" w:styleId="1652" w:default="1">
    <w:name w:val="Normal"/>
    <w:uiPriority w:val="0"/>
    <w:qFormat/>
    <w:rPr>
      <w:rFonts w:asciiTheme="minorHAnsi" w:hAnsiTheme="minorHAnsi" w:eastAsiaTheme="minorEastAsia" w:cstheme="minorBidi"/>
      <w:lang w:val="en-US" w:eastAsia="zh-CN" w:bidi="ar-SA"/>
    </w:rPr>
  </w:style>
  <w:style w:type="paragraph" w:styleId="1653">
    <w:name w:val="Heading 1"/>
    <w:link w:val="1683"/>
    <w:uiPriority w:val="9"/>
    <w:qFormat/>
    <w:pPr>
      <w:keepLines/>
      <w:keepNext/>
      <w:spacing w:before="480" w:after="200"/>
      <w:outlineLvl w:val="0"/>
    </w:pPr>
    <w:rPr>
      <w:rFonts w:ascii="Arial" w:hAnsi="Arial" w:eastAsia="Arial" w:cs="Arial"/>
      <w:sz w:val="40"/>
      <w:szCs w:val="40"/>
      <w:lang w:val="en-US" w:eastAsia="zh-CN" w:bidi="ar-SA"/>
    </w:rPr>
  </w:style>
  <w:style w:type="paragraph" w:styleId="1654">
    <w:name w:val="Heading 2"/>
    <w:link w:val="1684"/>
    <w:uiPriority w:val="9"/>
    <w:unhideWhenUsed/>
    <w:qFormat/>
    <w:pPr>
      <w:keepLines/>
      <w:keepNext/>
      <w:spacing w:before="360" w:after="200"/>
      <w:outlineLvl w:val="1"/>
    </w:pPr>
    <w:rPr>
      <w:rFonts w:ascii="Arial" w:hAnsi="Arial" w:eastAsia="Arial" w:cs="Arial"/>
      <w:sz w:val="34"/>
      <w:lang w:val="en-US" w:eastAsia="zh-CN" w:bidi="ar-SA"/>
    </w:rPr>
  </w:style>
  <w:style w:type="paragraph" w:styleId="1655">
    <w:name w:val="Heading 3"/>
    <w:link w:val="168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656">
    <w:name w:val="Heading 4"/>
    <w:link w:val="168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657">
    <w:name w:val="Heading 5"/>
    <w:link w:val="168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658">
    <w:name w:val="Heading 6"/>
    <w:link w:val="168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659">
    <w:name w:val="Heading 7"/>
    <w:link w:val="168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660">
    <w:name w:val="Heading 8"/>
    <w:link w:val="169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661">
    <w:name w:val="Heading 9"/>
    <w:link w:val="169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662" w:default="1">
    <w:name w:val="Default Paragraph Font"/>
    <w:uiPriority w:val="1"/>
    <w:semiHidden/>
    <w:unhideWhenUsed/>
  </w:style>
  <w:style w:type="table" w:styleId="1663" w:default="1">
    <w:name w:val="Normal Table"/>
    <w:uiPriority w:val="99"/>
    <w:semiHidden/>
    <w:unhideWhenUsed/>
    <w:qFormat/>
    <w:tblPr>
      <w:tblCellMar>
        <w:left w:w="108" w:type="dxa"/>
        <w:top w:w="0" w:type="dxa"/>
        <w:right w:w="108" w:type="dxa"/>
        <w:bottom w:w="0" w:type="dxa"/>
      </w:tblCellMar>
    </w:tblPr>
  </w:style>
  <w:style w:type="table" w:styleId="1664" w:customStyle="1">
    <w:name w:val="无格式表格 11"/>
    <w:basedOn w:val="1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5" w:customStyle="1">
    <w:name w:val="无格式表格 21"/>
    <w:basedOn w:val="1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6" w:customStyle="1">
    <w:name w:val="无格式表格 31"/>
    <w:basedOn w:val="16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7" w:customStyle="1">
    <w:name w:val="无格式表格 41"/>
    <w:basedOn w:val="16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8" w:customStyle="1">
    <w:name w:val="无格式表格 51"/>
    <w:basedOn w:val="16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9" w:customStyle="1">
    <w:name w:val="网格表 1 浅色1"/>
    <w:basedOn w:val="1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0" w:customStyle="1">
    <w:name w:val="网格表 21"/>
    <w:basedOn w:val="1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1" w:customStyle="1">
    <w:name w:val="网格表 31"/>
    <w:basedOn w:val="1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网格表 41"/>
    <w:basedOn w:val="1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3" w:customStyle="1">
    <w:name w:val="网格表 5 深色1"/>
    <w:basedOn w:val="1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4" w:customStyle="1">
    <w:name w:val="网格表 6 彩色1"/>
    <w:basedOn w:val="1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75" w:customStyle="1">
    <w:name w:val="网格表 7 彩色1"/>
    <w:basedOn w:val="1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6" w:customStyle="1">
    <w:name w:val="清单表 1 浅色1"/>
    <w:basedOn w:val="16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7" w:customStyle="1">
    <w:name w:val="清单表 21"/>
    <w:basedOn w:val="1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78" w:customStyle="1">
    <w:name w:val="清单表 31"/>
    <w:basedOn w:val="1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9" w:customStyle="1">
    <w:name w:val="清单表 41"/>
    <w:basedOn w:val="1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0" w:customStyle="1">
    <w:name w:val="清单表 5 深色1"/>
    <w:basedOn w:val="1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1" w:customStyle="1">
    <w:name w:val="清单表 6 彩色1"/>
    <w:basedOn w:val="16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82" w:customStyle="1">
    <w:name w:val="清单表 7 彩色1"/>
    <w:basedOn w:val="16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83" w:customStyle="1">
    <w:name w:val="标题 1 字符"/>
    <w:basedOn w:val="1662"/>
    <w:link w:val="1653"/>
    <w:uiPriority w:val="9"/>
    <w:qFormat/>
    <w:rPr>
      <w:rFonts w:ascii="Arial" w:hAnsi="Arial" w:eastAsia="Arial" w:cs="Arial"/>
      <w:sz w:val="40"/>
      <w:szCs w:val="40"/>
    </w:rPr>
  </w:style>
  <w:style w:type="character" w:styleId="1684" w:customStyle="1">
    <w:name w:val="标题 2 字符"/>
    <w:basedOn w:val="1662"/>
    <w:link w:val="1654"/>
    <w:uiPriority w:val="9"/>
    <w:qFormat/>
    <w:rPr>
      <w:rFonts w:ascii="Arial" w:hAnsi="Arial" w:eastAsia="Arial" w:cs="Arial"/>
      <w:sz w:val="34"/>
    </w:rPr>
  </w:style>
  <w:style w:type="character" w:styleId="1685" w:customStyle="1">
    <w:name w:val="标题 3 字符"/>
    <w:basedOn w:val="1662"/>
    <w:link w:val="1655"/>
    <w:uiPriority w:val="9"/>
    <w:qFormat/>
    <w:rPr>
      <w:rFonts w:ascii="Arial" w:hAnsi="Arial" w:eastAsia="Arial" w:cs="Arial"/>
      <w:sz w:val="30"/>
      <w:szCs w:val="30"/>
    </w:rPr>
  </w:style>
  <w:style w:type="character" w:styleId="1686" w:customStyle="1">
    <w:name w:val="标题 4 字符"/>
    <w:basedOn w:val="1662"/>
    <w:link w:val="1656"/>
    <w:uiPriority w:val="9"/>
    <w:qFormat/>
    <w:rPr>
      <w:rFonts w:ascii="Arial" w:hAnsi="Arial" w:eastAsia="Arial" w:cs="Arial"/>
      <w:b/>
      <w:bCs/>
      <w:sz w:val="26"/>
      <w:szCs w:val="26"/>
    </w:rPr>
  </w:style>
  <w:style w:type="character" w:styleId="1687" w:customStyle="1">
    <w:name w:val="标题 5 字符"/>
    <w:basedOn w:val="1662"/>
    <w:link w:val="1657"/>
    <w:uiPriority w:val="9"/>
    <w:qFormat/>
    <w:rPr>
      <w:rFonts w:ascii="Arial" w:hAnsi="Arial" w:eastAsia="Arial" w:cs="Arial"/>
      <w:b/>
      <w:bCs/>
      <w:sz w:val="24"/>
      <w:szCs w:val="24"/>
    </w:rPr>
  </w:style>
  <w:style w:type="character" w:styleId="1688" w:customStyle="1">
    <w:name w:val="标题 6 字符"/>
    <w:basedOn w:val="1662"/>
    <w:link w:val="1658"/>
    <w:uiPriority w:val="9"/>
    <w:qFormat/>
    <w:rPr>
      <w:rFonts w:ascii="Arial" w:hAnsi="Arial" w:eastAsia="Arial" w:cs="Arial"/>
      <w:b/>
      <w:bCs/>
      <w:sz w:val="22"/>
      <w:szCs w:val="22"/>
    </w:rPr>
  </w:style>
  <w:style w:type="character" w:styleId="1689" w:customStyle="1">
    <w:name w:val="标题 7 字符"/>
    <w:basedOn w:val="1662"/>
    <w:link w:val="1659"/>
    <w:uiPriority w:val="9"/>
    <w:qFormat/>
    <w:rPr>
      <w:rFonts w:ascii="Arial" w:hAnsi="Arial" w:eastAsia="Arial" w:cs="Arial"/>
      <w:b/>
      <w:bCs/>
      <w:i/>
      <w:iCs/>
      <w:sz w:val="22"/>
      <w:szCs w:val="22"/>
    </w:rPr>
  </w:style>
  <w:style w:type="character" w:styleId="1690" w:customStyle="1">
    <w:name w:val="标题 8 字符"/>
    <w:basedOn w:val="1662"/>
    <w:link w:val="1660"/>
    <w:uiPriority w:val="9"/>
    <w:qFormat/>
    <w:rPr>
      <w:rFonts w:ascii="Arial" w:hAnsi="Arial" w:eastAsia="Arial" w:cs="Arial"/>
      <w:i/>
      <w:iCs/>
      <w:sz w:val="22"/>
      <w:szCs w:val="22"/>
    </w:rPr>
  </w:style>
  <w:style w:type="character" w:styleId="1691" w:customStyle="1">
    <w:name w:val="标题 9 字符"/>
    <w:basedOn w:val="1662"/>
    <w:link w:val="1661"/>
    <w:uiPriority w:val="9"/>
    <w:qFormat/>
    <w:rPr>
      <w:rFonts w:ascii="Arial" w:hAnsi="Arial" w:eastAsia="Arial" w:cs="Arial"/>
      <w:i/>
      <w:iCs/>
      <w:sz w:val="21"/>
      <w:szCs w:val="21"/>
    </w:rPr>
  </w:style>
  <w:style w:type="paragraph" w:styleId="1692">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693">
    <w:name w:val="No Spacing"/>
    <w:uiPriority w:val="1"/>
    <w:qFormat/>
    <w:rPr>
      <w:rFonts w:asciiTheme="minorHAnsi" w:hAnsiTheme="minorHAnsi" w:eastAsiaTheme="minorEastAsia" w:cstheme="minorBidi"/>
      <w:lang w:val="en-US" w:eastAsia="zh-CN" w:bidi="ar-SA"/>
    </w:rPr>
  </w:style>
  <w:style w:type="paragraph" w:styleId="1694">
    <w:name w:val="Title"/>
    <w:link w:val="1695"/>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695" w:customStyle="1">
    <w:name w:val="标题 字符"/>
    <w:basedOn w:val="1662"/>
    <w:link w:val="1694"/>
    <w:uiPriority w:val="10"/>
    <w:qFormat/>
    <w:rPr>
      <w:sz w:val="48"/>
      <w:szCs w:val="48"/>
    </w:rPr>
  </w:style>
  <w:style w:type="paragraph" w:styleId="1696">
    <w:name w:val="Subtitle"/>
    <w:link w:val="1697"/>
    <w:uiPriority w:val="11"/>
    <w:qFormat/>
    <w:pPr>
      <w:spacing w:before="200" w:after="200"/>
    </w:pPr>
    <w:rPr>
      <w:rFonts w:asciiTheme="minorHAnsi" w:hAnsiTheme="minorHAnsi" w:eastAsiaTheme="minorEastAsia" w:cstheme="minorBidi"/>
      <w:sz w:val="24"/>
      <w:szCs w:val="24"/>
      <w:lang w:val="en-US" w:eastAsia="zh-CN" w:bidi="ar-SA"/>
    </w:rPr>
  </w:style>
  <w:style w:type="character" w:styleId="1697" w:customStyle="1">
    <w:name w:val="副标题 字符"/>
    <w:basedOn w:val="1662"/>
    <w:link w:val="1696"/>
    <w:uiPriority w:val="11"/>
    <w:qFormat/>
    <w:rPr>
      <w:sz w:val="24"/>
      <w:szCs w:val="24"/>
    </w:rPr>
  </w:style>
  <w:style w:type="paragraph" w:styleId="1698">
    <w:name w:val="Quote"/>
    <w:link w:val="1699"/>
    <w:uiPriority w:val="29"/>
    <w:qFormat/>
    <w:pPr>
      <w:ind w:left="720" w:right="720"/>
    </w:pPr>
    <w:rPr>
      <w:rFonts w:asciiTheme="minorHAnsi" w:hAnsiTheme="minorHAnsi" w:eastAsiaTheme="minorEastAsia" w:cstheme="minorBidi"/>
      <w:i/>
      <w:lang w:val="en-US" w:eastAsia="zh-CN" w:bidi="ar-SA"/>
    </w:rPr>
  </w:style>
  <w:style w:type="character" w:styleId="1699" w:customStyle="1">
    <w:name w:val="引用 字符"/>
    <w:link w:val="1698"/>
    <w:uiPriority w:val="29"/>
    <w:qFormat/>
    <w:rPr>
      <w:i/>
    </w:rPr>
  </w:style>
  <w:style w:type="paragraph" w:styleId="1700">
    <w:name w:val="Intense Quote"/>
    <w:link w:val="17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701" w:customStyle="1">
    <w:name w:val="明显引用 字符"/>
    <w:link w:val="1700"/>
    <w:uiPriority w:val="30"/>
    <w:qFormat/>
    <w:rPr>
      <w:i/>
    </w:rPr>
  </w:style>
  <w:style w:type="paragraph" w:styleId="1702">
    <w:name w:val="Header"/>
    <w:link w:val="1703"/>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703" w:customStyle="1">
    <w:name w:val="页眉 字符"/>
    <w:basedOn w:val="1662"/>
    <w:link w:val="1702"/>
    <w:uiPriority w:val="99"/>
    <w:qFormat/>
  </w:style>
  <w:style w:type="paragraph" w:styleId="1704">
    <w:name w:val="Footer"/>
    <w:link w:val="1706"/>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705">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706" w:customStyle="1">
    <w:name w:val="页脚 字符"/>
    <w:link w:val="1704"/>
    <w:uiPriority w:val="99"/>
    <w:qFormat/>
  </w:style>
  <w:style w:type="table" w:styleId="1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09"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10"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11"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12"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13"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14"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15"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16"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17"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18"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19"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20"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21"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2"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3"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4"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5"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6"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7"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28"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29"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30"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31"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32"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39"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40"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41"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42"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43"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44"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4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4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4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4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4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5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51"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52"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53"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54"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55"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56"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57"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58"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59"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60"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61"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62"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63"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64"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65"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66"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67"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68"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69"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70"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71"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72"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73"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74"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75"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6"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7"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8"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9"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0"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1"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82"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83"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84"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85"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86"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87"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88"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89"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90"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91"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92"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01"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02"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03"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04"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05"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06"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08"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09"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10"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11"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12"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13"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14">
    <w:name w:val="Hyperlink"/>
    <w:uiPriority w:val="99"/>
    <w:unhideWhenUsed/>
    <w:qFormat/>
    <w:rPr>
      <w:color w:val="0563c1" w:themeColor="hyperlink"/>
      <w:u w:val="single"/>
      <w14:textFill>
        <w14:solidFill>
          <w14:schemeClr w14:val="hlink"/>
        </w14:solidFill>
      </w14:textFill>
    </w:rPr>
  </w:style>
  <w:style w:type="paragraph" w:styleId="1815">
    <w:name w:val="footnote text"/>
    <w:link w:val="1816"/>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816" w:customStyle="1">
    <w:name w:val="脚注文本 字符"/>
    <w:link w:val="1815"/>
    <w:uiPriority w:val="99"/>
    <w:qFormat/>
    <w:rPr>
      <w:sz w:val="18"/>
    </w:rPr>
  </w:style>
  <w:style w:type="character" w:styleId="1817">
    <w:name w:val="footnote reference"/>
    <w:basedOn w:val="1662"/>
    <w:uiPriority w:val="99"/>
    <w:unhideWhenUsed/>
    <w:qFormat/>
    <w:rPr>
      <w:vertAlign w:val="superscript"/>
    </w:rPr>
  </w:style>
  <w:style w:type="paragraph" w:styleId="1818">
    <w:name w:val="endnote text"/>
    <w:link w:val="1819"/>
    <w:uiPriority w:val="99"/>
    <w:semiHidden/>
    <w:unhideWhenUsed/>
    <w:qFormat/>
    <w:rPr>
      <w:rFonts w:asciiTheme="minorHAnsi" w:hAnsiTheme="minorHAnsi" w:eastAsiaTheme="minorEastAsia" w:cstheme="minorBidi"/>
      <w:lang w:val="en-US" w:eastAsia="zh-CN" w:bidi="ar-SA"/>
    </w:rPr>
  </w:style>
  <w:style w:type="character" w:styleId="1819" w:customStyle="1">
    <w:name w:val="尾注文本 字符"/>
    <w:link w:val="1818"/>
    <w:uiPriority w:val="99"/>
    <w:qFormat/>
    <w:rPr>
      <w:sz w:val="20"/>
    </w:rPr>
  </w:style>
  <w:style w:type="character" w:styleId="1820">
    <w:name w:val="endnote reference"/>
    <w:basedOn w:val="1662"/>
    <w:uiPriority w:val="99"/>
    <w:semiHidden/>
    <w:unhideWhenUsed/>
    <w:qFormat/>
    <w:rPr>
      <w:vertAlign w:val="superscript"/>
    </w:rPr>
  </w:style>
  <w:style w:type="paragraph" w:styleId="1821">
    <w:name w:val="toc 1"/>
    <w:uiPriority w:val="39"/>
    <w:unhideWhenUsed/>
    <w:qFormat/>
    <w:pPr>
      <w:spacing w:after="57"/>
    </w:pPr>
    <w:rPr>
      <w:rFonts w:asciiTheme="minorHAnsi" w:hAnsiTheme="minorHAnsi" w:eastAsiaTheme="minorEastAsia" w:cstheme="minorBidi"/>
      <w:lang w:val="en-US" w:eastAsia="zh-CN" w:bidi="ar-SA"/>
    </w:rPr>
  </w:style>
  <w:style w:type="paragraph" w:styleId="1822">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823">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824">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825">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826">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827">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828">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829">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830">
    <w:name w:val="table of figures"/>
    <w:uiPriority w:val="99"/>
    <w:unhideWhenUsed/>
    <w:qFormat/>
    <w:rPr>
      <w:rFonts w:asciiTheme="minorHAnsi" w:hAnsiTheme="minorHAnsi" w:eastAsiaTheme="minorEastAsia" w:cstheme="minorBidi"/>
      <w:lang w:val="en-US" w:eastAsia="zh-CN" w:bidi="ar-SA"/>
    </w:rPr>
  </w:style>
  <w:style w:type="paragraph" w:styleId="1831"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832">
    <w:name w:val="Placeholder Text"/>
    <w:basedOn w:val="1662"/>
    <w:uiPriority w:val="99"/>
    <w:unhideWhenUsed/>
    <w:qFormat/>
    <w:rPr>
      <w:color w:val="808080"/>
    </w:rPr>
  </w:style>
  <w:style w:type="numbering" w:styleId="183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6</cp:revision>
  <dcterms:created xsi:type="dcterms:W3CDTF">2026-07-22T12:42:00Z</dcterms:created>
  <dcterms:modified xsi:type="dcterms:W3CDTF">2026-08-04T06:27:45Z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5DB59ACB6F7B46C3AB42FF5F8011241C_13</vt:lpwstr>
  </property>
  <property fmtid="{D5CDD505-2E9C-101B-9397-08002B2CF9AE}" pid="4" name="KSOTemplateDocerSaveRecord">
    <vt:lpwstr>eyJoZGlkIjoiYWJmNTAxYTA0NTllZTU0OWY5NWY0MWNlMzBjNGU2OTYiLCJ1c2VySWQiOiIyMDA5NDIyMTMifQ==</vt:lpwstr>
  </property>
</Properties>
</file>