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D1AC51">
      <w:pPr>
        <w:jc w:val="center"/>
        <w:rPr>
          <w:rFonts w:hint="eastAsia" w:ascii="仿宋" w:hAnsi="仿宋" w:eastAsia="仿宋" w:cs="仿宋"/>
          <w:b/>
          <w:bCs w:val="0"/>
          <w:color w:val="auto"/>
          <w:sz w:val="32"/>
          <w:szCs w:val="32"/>
          <w:highlight w:val="none"/>
        </w:rPr>
      </w:pPr>
    </w:p>
    <w:p w14:paraId="4DDFEC99">
      <w:pPr>
        <w:jc w:val="center"/>
        <w:rPr>
          <w:rFonts w:hint="eastAsia" w:ascii="仿宋" w:hAnsi="仿宋" w:eastAsia="仿宋" w:cs="仿宋"/>
          <w:b/>
          <w:bCs w:val="0"/>
          <w:color w:val="auto"/>
          <w:sz w:val="32"/>
          <w:szCs w:val="32"/>
          <w:highlight w:val="none"/>
        </w:rPr>
      </w:pPr>
    </w:p>
    <w:p w14:paraId="3EA57539">
      <w:pPr>
        <w:jc w:val="center"/>
        <w:rPr>
          <w:rFonts w:hint="eastAsia" w:ascii="仿宋" w:hAnsi="仿宋" w:eastAsia="仿宋" w:cs="仿宋"/>
          <w:b/>
          <w:bCs w:val="0"/>
          <w:color w:val="auto"/>
          <w:sz w:val="32"/>
          <w:szCs w:val="32"/>
          <w:highlight w:val="none"/>
        </w:rPr>
      </w:pPr>
    </w:p>
    <w:p w14:paraId="03DCB147">
      <w:pPr>
        <w:tabs>
          <w:tab w:val="left" w:pos="390"/>
          <w:tab w:val="center" w:pos="4404"/>
        </w:tabs>
        <w:spacing w:line="360" w:lineRule="auto"/>
        <w:jc w:val="center"/>
        <w:rPr>
          <w:rFonts w:hint="eastAsia" w:ascii="宋体" w:hAnsi="宋体" w:cs="宋体"/>
          <w:color w:val="000000"/>
          <w:sz w:val="76"/>
          <w:szCs w:val="76"/>
          <w:highlight w:val="none"/>
        </w:rPr>
      </w:pPr>
      <w:r>
        <w:rPr>
          <w:rFonts w:hint="eastAsia" w:ascii="宋体" w:hAnsi="宋体" w:cs="宋体"/>
          <w:color w:val="000000"/>
          <w:sz w:val="76"/>
          <w:szCs w:val="76"/>
          <w:highlight w:val="none"/>
        </w:rPr>
        <w:t>采 购 文 件</w:t>
      </w:r>
    </w:p>
    <w:p w14:paraId="63BFAE8A">
      <w:pPr>
        <w:spacing w:line="360" w:lineRule="auto"/>
        <w:rPr>
          <w:rFonts w:ascii="宋体" w:hAnsi="宋体" w:cs="宋体"/>
          <w:color w:val="000000"/>
          <w:sz w:val="44"/>
          <w:highlight w:val="none"/>
        </w:rPr>
      </w:pPr>
    </w:p>
    <w:p w14:paraId="2F34900D">
      <w:pPr>
        <w:spacing w:line="360" w:lineRule="auto"/>
        <w:rPr>
          <w:rFonts w:ascii="宋体" w:hAnsi="宋体" w:cs="宋体"/>
          <w:color w:val="000000"/>
          <w:sz w:val="44"/>
          <w:highlight w:val="none"/>
        </w:rPr>
      </w:pPr>
    </w:p>
    <w:p w14:paraId="0DD15005">
      <w:pPr>
        <w:spacing w:line="360" w:lineRule="auto"/>
        <w:rPr>
          <w:rFonts w:hint="eastAsia" w:ascii="宋体" w:hAnsi="宋体" w:cs="宋体"/>
          <w:color w:val="000000"/>
          <w:sz w:val="44"/>
          <w:highlight w:val="none"/>
        </w:rPr>
      </w:pPr>
    </w:p>
    <w:p w14:paraId="3F8F968D">
      <w:pPr>
        <w:spacing w:line="360" w:lineRule="auto"/>
        <w:jc w:val="center"/>
        <w:rPr>
          <w:rFonts w:hint="eastAsia" w:ascii="宋体" w:hAnsi="宋体" w:cs="宋体"/>
          <w:color w:val="000000"/>
          <w:sz w:val="44"/>
          <w:highlight w:val="none"/>
        </w:rPr>
      </w:pPr>
    </w:p>
    <w:p w14:paraId="1C8A03C2">
      <w:pPr>
        <w:spacing w:line="360" w:lineRule="auto"/>
        <w:ind w:left="1440" w:hanging="1440"/>
        <w:jc w:val="center"/>
        <w:rPr>
          <w:rFonts w:hint="eastAsia" w:ascii="宋体" w:hAnsi="宋体" w:eastAsia="宋体" w:cs="宋体"/>
          <w:color w:val="000000"/>
          <w:sz w:val="36"/>
          <w:szCs w:val="36"/>
          <w:highlight w:val="none"/>
          <w:lang w:eastAsia="zh-CN"/>
        </w:rPr>
      </w:pPr>
      <w:r>
        <w:rPr>
          <w:rFonts w:hint="eastAsia" w:ascii="宋体" w:hAnsi="宋体" w:cs="宋体"/>
          <w:color w:val="000000"/>
          <w:sz w:val="36"/>
          <w:szCs w:val="36"/>
          <w:highlight w:val="none"/>
        </w:rPr>
        <w:t>项目编号：</w:t>
      </w:r>
      <w:r>
        <w:rPr>
          <w:rFonts w:hint="eastAsia" w:ascii="宋体" w:hAnsi="宋体" w:cs="宋体"/>
          <w:color w:val="000000"/>
          <w:sz w:val="36"/>
          <w:szCs w:val="36"/>
          <w:highlight w:val="none"/>
          <w:lang w:eastAsia="zh-CN"/>
        </w:rPr>
        <w:t>JSZC-320115-FHGL-C2026-0008</w:t>
      </w:r>
    </w:p>
    <w:p w14:paraId="73EBA5D8">
      <w:pPr>
        <w:spacing w:line="360" w:lineRule="auto"/>
        <w:ind w:left="1440" w:hanging="1440"/>
        <w:jc w:val="center"/>
        <w:rPr>
          <w:rFonts w:hint="eastAsia" w:ascii="宋体" w:hAnsi="宋体" w:eastAsia="宋体" w:cs="宋体"/>
          <w:color w:val="000000"/>
          <w:sz w:val="36"/>
          <w:szCs w:val="36"/>
          <w:highlight w:val="none"/>
          <w:lang w:eastAsia="zh-CN"/>
        </w:rPr>
      </w:pPr>
      <w:r>
        <w:rPr>
          <w:rFonts w:hint="eastAsia" w:ascii="宋体" w:hAnsi="宋体" w:cs="宋体"/>
          <w:color w:val="000000"/>
          <w:sz w:val="36"/>
          <w:szCs w:val="36"/>
          <w:highlight w:val="none"/>
        </w:rPr>
        <w:t>项目名称：</w:t>
      </w:r>
      <w:r>
        <w:rPr>
          <w:rFonts w:hint="eastAsia" w:ascii="宋体" w:hAnsi="宋体" w:cs="宋体"/>
          <w:color w:val="000000"/>
          <w:sz w:val="36"/>
          <w:szCs w:val="36"/>
          <w:highlight w:val="none"/>
          <w:lang w:eastAsia="zh-CN"/>
        </w:rPr>
        <w:t>东山派出所食堂服务外包</w:t>
      </w:r>
    </w:p>
    <w:p w14:paraId="504657BF">
      <w:pPr>
        <w:spacing w:line="360" w:lineRule="auto"/>
        <w:jc w:val="left"/>
        <w:rPr>
          <w:rFonts w:ascii="宋体" w:hAnsi="宋体" w:cs="宋体"/>
          <w:color w:val="000000"/>
          <w:sz w:val="44"/>
          <w:szCs w:val="44"/>
          <w:highlight w:val="none"/>
        </w:rPr>
      </w:pPr>
    </w:p>
    <w:p w14:paraId="18C3E25F">
      <w:pPr>
        <w:spacing w:line="360" w:lineRule="auto"/>
        <w:jc w:val="center"/>
        <w:rPr>
          <w:rFonts w:hint="eastAsia" w:ascii="宋体" w:hAnsi="宋体" w:cs="宋体"/>
          <w:color w:val="000000"/>
          <w:sz w:val="44"/>
          <w:szCs w:val="44"/>
          <w:highlight w:val="none"/>
        </w:rPr>
      </w:pPr>
    </w:p>
    <w:p w14:paraId="7CE03EF3">
      <w:pPr>
        <w:spacing w:line="360" w:lineRule="auto"/>
        <w:jc w:val="center"/>
        <w:rPr>
          <w:rFonts w:hint="eastAsia" w:ascii="宋体" w:hAnsi="宋体" w:cs="宋体"/>
          <w:color w:val="000000"/>
          <w:sz w:val="44"/>
          <w:szCs w:val="44"/>
          <w:highlight w:val="none"/>
        </w:rPr>
      </w:pPr>
    </w:p>
    <w:p w14:paraId="12C73922">
      <w:pPr>
        <w:spacing w:line="360" w:lineRule="auto"/>
        <w:rPr>
          <w:rFonts w:hint="eastAsia" w:ascii="宋体" w:hAnsi="宋体" w:cs="宋体"/>
          <w:color w:val="000000"/>
          <w:sz w:val="32"/>
          <w:highlight w:val="none"/>
        </w:rPr>
      </w:pPr>
    </w:p>
    <w:p w14:paraId="3496EDE8">
      <w:pPr>
        <w:spacing w:line="360" w:lineRule="auto"/>
        <w:jc w:val="center"/>
        <w:rPr>
          <w:rFonts w:hint="eastAsia" w:ascii="宋体" w:hAnsi="宋体" w:cs="宋体"/>
          <w:color w:val="000000"/>
          <w:sz w:val="36"/>
          <w:szCs w:val="36"/>
          <w:highlight w:val="none"/>
          <w:lang w:val="en-US" w:eastAsia="zh-CN"/>
        </w:rPr>
      </w:pPr>
      <w:r>
        <w:rPr>
          <w:rFonts w:hint="eastAsia" w:ascii="宋体" w:hAnsi="宋体" w:cs="宋体"/>
          <w:color w:val="000000"/>
          <w:sz w:val="36"/>
          <w:szCs w:val="36"/>
          <w:highlight w:val="none"/>
        </w:rPr>
        <w:t>采购人</w:t>
      </w:r>
      <w:r>
        <w:rPr>
          <w:rFonts w:hint="eastAsia" w:ascii="宋体" w:hAnsi="宋体" w:cs="宋体"/>
          <w:color w:val="000000"/>
          <w:sz w:val="36"/>
          <w:szCs w:val="36"/>
          <w:highlight w:val="none"/>
          <w:lang w:val="en-US" w:eastAsia="zh-CN"/>
        </w:rPr>
        <w:t xml:space="preserve">：南京市江宁区人民政府东山街道办事处 </w:t>
      </w:r>
    </w:p>
    <w:p w14:paraId="33FE3C52">
      <w:pPr>
        <w:spacing w:line="360" w:lineRule="auto"/>
        <w:jc w:val="center"/>
        <w:rPr>
          <w:rFonts w:hint="eastAsia" w:ascii="宋体" w:hAnsi="宋体" w:cs="宋体"/>
          <w:color w:val="000000"/>
          <w:sz w:val="36"/>
          <w:szCs w:val="36"/>
          <w:highlight w:val="none"/>
          <w:lang w:val="en-US" w:eastAsia="zh-CN"/>
        </w:rPr>
      </w:pPr>
      <w:r>
        <w:rPr>
          <w:rFonts w:hint="eastAsia" w:ascii="宋体" w:hAnsi="宋体" w:cs="宋体"/>
          <w:color w:val="000000"/>
          <w:sz w:val="36"/>
          <w:szCs w:val="36"/>
          <w:highlight w:val="none"/>
          <w:lang w:val="en-US" w:eastAsia="zh-CN"/>
        </w:rPr>
        <w:t>采购代理机构：南京富弘工程项目管理有限公司</w:t>
      </w:r>
    </w:p>
    <w:p w14:paraId="5EFFCB62">
      <w:pPr>
        <w:spacing w:line="360" w:lineRule="auto"/>
        <w:jc w:val="center"/>
        <w:rPr>
          <w:rFonts w:hint="eastAsia" w:ascii="宋体" w:hAnsi="宋体" w:cs="宋体"/>
          <w:color w:val="000000"/>
          <w:sz w:val="36"/>
          <w:szCs w:val="36"/>
          <w:highlight w:val="none"/>
        </w:rPr>
        <w:sectPr>
          <w:headerReference r:id="rId3" w:type="default"/>
          <w:footerReference r:id="rId4" w:type="default"/>
          <w:pgSz w:w="11906" w:h="16838"/>
          <w:pgMar w:top="1417" w:right="1134" w:bottom="1247" w:left="1304" w:header="851" w:footer="992" w:gutter="0"/>
          <w:cols w:space="1701" w:num="1"/>
          <w:docGrid w:linePitch="360" w:charSpace="0"/>
        </w:sectPr>
      </w:pPr>
      <w:r>
        <w:rPr>
          <w:rFonts w:hint="eastAsia" w:ascii="宋体" w:hAnsi="宋体" w:cs="宋体"/>
          <w:color w:val="000000"/>
          <w:sz w:val="36"/>
          <w:szCs w:val="36"/>
          <w:highlight w:val="none"/>
        </w:rPr>
        <w:t>二</w:t>
      </w:r>
      <w:bookmarkStart w:id="0" w:name="_Hlk37241689"/>
      <w:r>
        <w:rPr>
          <w:rFonts w:hint="eastAsia" w:ascii="宋体" w:hAnsi="宋体" w:cs="宋体"/>
          <w:color w:val="000000"/>
          <w:sz w:val="36"/>
          <w:szCs w:val="36"/>
          <w:highlight w:val="none"/>
        </w:rPr>
        <w:t>〇</w:t>
      </w:r>
      <w:bookmarkEnd w:id="0"/>
      <w:r>
        <w:rPr>
          <w:rFonts w:hint="eastAsia" w:ascii="宋体" w:hAnsi="宋体" w:cs="宋体"/>
          <w:color w:val="000000"/>
          <w:sz w:val="36"/>
          <w:szCs w:val="36"/>
          <w:highlight w:val="none"/>
        </w:rPr>
        <w:t>二</w:t>
      </w:r>
      <w:r>
        <w:rPr>
          <w:rFonts w:hint="eastAsia" w:ascii="宋体" w:hAnsi="宋体" w:cs="宋体"/>
          <w:color w:val="000000"/>
          <w:sz w:val="36"/>
          <w:szCs w:val="36"/>
          <w:highlight w:val="none"/>
          <w:lang w:val="en-US" w:eastAsia="zh-CN"/>
        </w:rPr>
        <w:t>六</w:t>
      </w:r>
      <w:r>
        <w:rPr>
          <w:rFonts w:hint="eastAsia" w:ascii="宋体" w:hAnsi="宋体" w:cs="宋体"/>
          <w:color w:val="000000"/>
          <w:sz w:val="36"/>
          <w:szCs w:val="36"/>
          <w:highlight w:val="none"/>
        </w:rPr>
        <w:t>年</w:t>
      </w:r>
      <w:r>
        <w:rPr>
          <w:rFonts w:hint="eastAsia" w:ascii="宋体" w:hAnsi="宋体" w:cs="宋体"/>
          <w:color w:val="000000"/>
          <w:sz w:val="36"/>
          <w:szCs w:val="36"/>
          <w:highlight w:val="none"/>
          <w:lang w:val="en-US" w:eastAsia="zh-CN"/>
        </w:rPr>
        <w:t>八</w:t>
      </w:r>
      <w:r>
        <w:rPr>
          <w:rFonts w:hint="eastAsia" w:ascii="宋体" w:hAnsi="宋体" w:cs="宋体"/>
          <w:color w:val="000000"/>
          <w:sz w:val="36"/>
          <w:szCs w:val="36"/>
          <w:highlight w:val="none"/>
        </w:rPr>
        <w:t>月</w:t>
      </w:r>
      <w:r>
        <w:rPr>
          <w:rFonts w:hint="eastAsia" w:ascii="宋体" w:hAnsi="宋体" w:cs="宋体"/>
          <w:color w:val="000000"/>
          <w:sz w:val="36"/>
          <w:szCs w:val="36"/>
          <w:highlight w:val="none"/>
          <w:lang w:val="en-US" w:eastAsia="zh-CN"/>
        </w:rPr>
        <w:t>二十四</w:t>
      </w:r>
      <w:r>
        <w:rPr>
          <w:rFonts w:hint="eastAsia" w:ascii="宋体" w:hAnsi="宋体" w:cs="宋体"/>
          <w:color w:val="000000"/>
          <w:sz w:val="36"/>
          <w:szCs w:val="36"/>
          <w:highlight w:val="none"/>
        </w:rPr>
        <w:t>日</w:t>
      </w:r>
    </w:p>
    <w:p w14:paraId="49366E5E">
      <w:pPr>
        <w:tabs>
          <w:tab w:val="left" w:pos="1635"/>
        </w:tabs>
        <w:spacing w:line="480" w:lineRule="auto"/>
        <w:ind w:firstLine="241" w:firstLineChars="10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目  录</w:t>
      </w:r>
    </w:p>
    <w:p w14:paraId="612F9281">
      <w:pPr>
        <w:rPr>
          <w:rFonts w:hint="eastAsia" w:ascii="仿宋" w:hAnsi="仿宋" w:eastAsia="仿宋" w:cs="仿宋"/>
          <w:color w:val="auto"/>
          <w:sz w:val="24"/>
          <w:szCs w:val="24"/>
          <w:highlight w:val="none"/>
        </w:rPr>
      </w:pPr>
    </w:p>
    <w:p w14:paraId="4A955E2B">
      <w:pPr>
        <w:pStyle w:val="20"/>
        <w:tabs>
          <w:tab w:val="right" w:leader="dot" w:pos="9459"/>
        </w:tabs>
        <w:spacing w:line="48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TOC \o "1-3" \h \z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"_Toc43217785" </w:instrText>
      </w:r>
      <w:r>
        <w:rPr>
          <w:rFonts w:hint="eastAsia" w:ascii="仿宋" w:hAnsi="仿宋" w:eastAsia="仿宋" w:cs="仿宋"/>
          <w:color w:val="auto"/>
          <w:sz w:val="24"/>
          <w:szCs w:val="24"/>
          <w:highlight w:val="none"/>
        </w:rPr>
        <w:fldChar w:fldCharType="separate"/>
      </w:r>
      <w:r>
        <w:rPr>
          <w:rStyle w:val="34"/>
          <w:rFonts w:hint="eastAsia" w:ascii="仿宋" w:hAnsi="仿宋" w:eastAsia="仿宋" w:cs="仿宋"/>
          <w:b/>
          <w:bCs/>
          <w:color w:val="auto"/>
          <w:sz w:val="24"/>
          <w:szCs w:val="24"/>
          <w:highlight w:val="none"/>
          <w:lang w:val="en-US" w:eastAsia="zh-CN"/>
        </w:rPr>
        <w:t>第一章  竞争性磋商邀请</w:t>
      </w:r>
      <w:r>
        <w:rPr>
          <w:rFonts w:hint="eastAsia" w:ascii="仿宋" w:hAnsi="仿宋" w:eastAsia="仿宋" w:cs="仿宋"/>
          <w:b/>
          <w:bCs/>
          <w:color w:val="auto"/>
          <w:sz w:val="24"/>
          <w:szCs w:val="24"/>
          <w:highlight w:val="none"/>
          <w:lang w:val="en-US" w:eastAsia="zh-CN"/>
        </w:rPr>
        <w:tab/>
      </w:r>
      <w:r>
        <w:rPr>
          <w:rFonts w:hint="eastAsia" w:ascii="仿宋" w:hAnsi="仿宋" w:eastAsia="仿宋" w:cs="仿宋"/>
          <w:b/>
          <w:bCs/>
          <w:color w:val="auto"/>
          <w:sz w:val="24"/>
          <w:szCs w:val="24"/>
          <w:highlight w:val="none"/>
          <w:lang w:val="en-US" w:eastAsia="zh-CN"/>
        </w:rPr>
        <w:fldChar w:fldCharType="begin"/>
      </w:r>
      <w:r>
        <w:rPr>
          <w:rFonts w:hint="eastAsia" w:ascii="仿宋" w:hAnsi="仿宋" w:eastAsia="仿宋" w:cs="仿宋"/>
          <w:b/>
          <w:bCs/>
          <w:color w:val="auto"/>
          <w:sz w:val="24"/>
          <w:szCs w:val="24"/>
          <w:highlight w:val="none"/>
          <w:lang w:val="en-US" w:eastAsia="zh-CN"/>
        </w:rPr>
        <w:instrText xml:space="preserve"> PAGEREF _Toc43217785 \h </w:instrText>
      </w:r>
      <w:r>
        <w:rPr>
          <w:rFonts w:hint="eastAsia" w:ascii="仿宋" w:hAnsi="仿宋" w:eastAsia="仿宋" w:cs="仿宋"/>
          <w:b/>
          <w:bCs/>
          <w:color w:val="auto"/>
          <w:sz w:val="24"/>
          <w:szCs w:val="24"/>
          <w:highlight w:val="none"/>
          <w:lang w:val="en-US" w:eastAsia="zh-CN"/>
        </w:rPr>
        <w:fldChar w:fldCharType="separate"/>
      </w: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lang w:val="en-US" w:eastAsia="zh-CN"/>
        </w:rPr>
        <w:fldChar w:fldCharType="end"/>
      </w:r>
      <w:r>
        <w:rPr>
          <w:rFonts w:hint="eastAsia" w:ascii="仿宋" w:hAnsi="仿宋" w:eastAsia="仿宋" w:cs="仿宋"/>
          <w:b/>
          <w:bCs/>
          <w:color w:val="auto"/>
          <w:sz w:val="24"/>
          <w:szCs w:val="24"/>
          <w:highlight w:val="none"/>
          <w:lang w:val="en-US" w:eastAsia="zh-CN"/>
        </w:rPr>
        <w:fldChar w:fldCharType="end"/>
      </w:r>
    </w:p>
    <w:p w14:paraId="0AC801FE">
      <w:pPr>
        <w:pStyle w:val="20"/>
        <w:tabs>
          <w:tab w:val="right" w:leader="dot" w:pos="9459"/>
        </w:tabs>
        <w:spacing w:line="48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"_Toc43217786" </w:instrText>
      </w:r>
      <w:r>
        <w:rPr>
          <w:rFonts w:hint="eastAsia" w:ascii="仿宋" w:hAnsi="仿宋" w:eastAsia="仿宋" w:cs="仿宋"/>
          <w:color w:val="auto"/>
          <w:sz w:val="24"/>
          <w:szCs w:val="24"/>
          <w:highlight w:val="none"/>
        </w:rPr>
        <w:fldChar w:fldCharType="separate"/>
      </w:r>
      <w:r>
        <w:rPr>
          <w:rStyle w:val="34"/>
          <w:rFonts w:hint="eastAsia" w:ascii="仿宋" w:hAnsi="仿宋" w:eastAsia="仿宋" w:cs="仿宋"/>
          <w:b/>
          <w:bCs/>
          <w:color w:val="auto"/>
          <w:sz w:val="24"/>
          <w:szCs w:val="24"/>
          <w:highlight w:val="none"/>
          <w:lang w:val="en-US" w:eastAsia="zh-CN"/>
        </w:rPr>
        <w:t>第二章  竞争性磋商须知</w:t>
      </w:r>
      <w:r>
        <w:rPr>
          <w:rFonts w:hint="eastAsia" w:ascii="仿宋" w:hAnsi="仿宋" w:eastAsia="仿宋" w:cs="仿宋"/>
          <w:b/>
          <w:bCs/>
          <w:color w:val="auto"/>
          <w:sz w:val="24"/>
          <w:szCs w:val="24"/>
          <w:highlight w:val="none"/>
          <w:lang w:val="en-US" w:eastAsia="zh-CN"/>
        </w:rPr>
        <w:tab/>
      </w:r>
      <w:r>
        <w:rPr>
          <w:rFonts w:hint="eastAsia" w:ascii="仿宋" w:hAnsi="仿宋" w:eastAsia="仿宋" w:cs="仿宋"/>
          <w:b/>
          <w:bCs/>
          <w:color w:val="auto"/>
          <w:sz w:val="24"/>
          <w:szCs w:val="24"/>
          <w:highlight w:val="none"/>
          <w:lang w:val="en-US" w:eastAsia="zh-CN"/>
        </w:rPr>
        <w:fldChar w:fldCharType="begin"/>
      </w:r>
      <w:r>
        <w:rPr>
          <w:rFonts w:hint="eastAsia" w:ascii="仿宋" w:hAnsi="仿宋" w:eastAsia="仿宋" w:cs="仿宋"/>
          <w:b/>
          <w:bCs/>
          <w:color w:val="auto"/>
          <w:sz w:val="24"/>
          <w:szCs w:val="24"/>
          <w:highlight w:val="none"/>
          <w:lang w:val="en-US" w:eastAsia="zh-CN"/>
        </w:rPr>
        <w:instrText xml:space="preserve"> PAGEREF _Toc43217786 \h </w:instrText>
      </w:r>
      <w:r>
        <w:rPr>
          <w:rFonts w:hint="eastAsia" w:ascii="仿宋" w:hAnsi="仿宋" w:eastAsia="仿宋" w:cs="仿宋"/>
          <w:b/>
          <w:bCs/>
          <w:color w:val="auto"/>
          <w:sz w:val="24"/>
          <w:szCs w:val="24"/>
          <w:highlight w:val="none"/>
          <w:lang w:val="en-US" w:eastAsia="zh-CN"/>
        </w:rPr>
        <w:fldChar w:fldCharType="separate"/>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lang w:val="en-US" w:eastAsia="zh-CN"/>
        </w:rPr>
        <w:fldChar w:fldCharType="end"/>
      </w:r>
      <w:r>
        <w:rPr>
          <w:rFonts w:hint="eastAsia" w:ascii="仿宋" w:hAnsi="仿宋" w:eastAsia="仿宋" w:cs="仿宋"/>
          <w:b/>
          <w:bCs/>
          <w:color w:val="auto"/>
          <w:sz w:val="24"/>
          <w:szCs w:val="24"/>
          <w:highlight w:val="none"/>
          <w:lang w:val="en-US" w:eastAsia="zh-CN"/>
        </w:rPr>
        <w:fldChar w:fldCharType="end"/>
      </w:r>
    </w:p>
    <w:p w14:paraId="4EDD628F">
      <w:pPr>
        <w:pStyle w:val="20"/>
        <w:tabs>
          <w:tab w:val="right" w:leader="dot" w:pos="9459"/>
        </w:tabs>
        <w:spacing w:line="48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"_Toc43217793" </w:instrText>
      </w:r>
      <w:r>
        <w:rPr>
          <w:rFonts w:hint="eastAsia" w:ascii="仿宋" w:hAnsi="仿宋" w:eastAsia="仿宋" w:cs="仿宋"/>
          <w:color w:val="auto"/>
          <w:sz w:val="24"/>
          <w:szCs w:val="24"/>
          <w:highlight w:val="none"/>
        </w:rPr>
        <w:fldChar w:fldCharType="separate"/>
      </w:r>
      <w:r>
        <w:rPr>
          <w:rStyle w:val="34"/>
          <w:rFonts w:hint="eastAsia" w:ascii="仿宋" w:hAnsi="仿宋" w:eastAsia="仿宋" w:cs="仿宋"/>
          <w:b/>
          <w:bCs/>
          <w:color w:val="auto"/>
          <w:kern w:val="0"/>
          <w:sz w:val="24"/>
          <w:szCs w:val="24"/>
          <w:highlight w:val="none"/>
          <w:lang w:val="en-US" w:eastAsia="zh-CN"/>
        </w:rPr>
        <w:t>★</w:t>
      </w:r>
      <w:r>
        <w:rPr>
          <w:rStyle w:val="34"/>
          <w:rFonts w:hint="eastAsia" w:ascii="仿宋" w:hAnsi="仿宋" w:eastAsia="仿宋" w:cs="仿宋"/>
          <w:b/>
          <w:bCs/>
          <w:color w:val="auto"/>
          <w:sz w:val="24"/>
          <w:szCs w:val="24"/>
          <w:highlight w:val="none"/>
          <w:lang w:val="en-US" w:eastAsia="zh-CN"/>
        </w:rPr>
        <w:t>第三章 磋商项目需求</w:t>
      </w:r>
      <w:r>
        <w:rPr>
          <w:rFonts w:hint="eastAsia" w:ascii="仿宋" w:hAnsi="仿宋" w:eastAsia="仿宋" w:cs="仿宋"/>
          <w:b/>
          <w:bCs/>
          <w:color w:val="auto"/>
          <w:sz w:val="24"/>
          <w:szCs w:val="24"/>
          <w:highlight w:val="none"/>
          <w:lang w:val="en-US" w:eastAsia="zh-CN"/>
        </w:rPr>
        <w:tab/>
      </w:r>
      <w:r>
        <w:rPr>
          <w:rFonts w:hint="eastAsia" w:ascii="仿宋" w:hAnsi="仿宋" w:eastAsia="仿宋" w:cs="仿宋"/>
          <w:b/>
          <w:bCs/>
          <w:color w:val="auto"/>
          <w:sz w:val="24"/>
          <w:szCs w:val="24"/>
          <w:highlight w:val="none"/>
          <w:lang w:val="en-US" w:eastAsia="zh-CN"/>
        </w:rPr>
        <w:fldChar w:fldCharType="begin"/>
      </w:r>
      <w:r>
        <w:rPr>
          <w:rFonts w:hint="eastAsia" w:ascii="仿宋" w:hAnsi="仿宋" w:eastAsia="仿宋" w:cs="仿宋"/>
          <w:b/>
          <w:bCs/>
          <w:color w:val="auto"/>
          <w:sz w:val="24"/>
          <w:szCs w:val="24"/>
          <w:highlight w:val="none"/>
          <w:lang w:val="en-US" w:eastAsia="zh-CN"/>
        </w:rPr>
        <w:instrText xml:space="preserve"> PAGEREF _Toc43217793 \h </w:instrText>
      </w:r>
      <w:r>
        <w:rPr>
          <w:rFonts w:hint="eastAsia" w:ascii="仿宋" w:hAnsi="仿宋" w:eastAsia="仿宋" w:cs="仿宋"/>
          <w:b/>
          <w:bCs/>
          <w:color w:val="auto"/>
          <w:sz w:val="24"/>
          <w:szCs w:val="24"/>
          <w:highlight w:val="none"/>
          <w:lang w:val="en-US" w:eastAsia="zh-CN"/>
        </w:rPr>
        <w:fldChar w:fldCharType="separate"/>
      </w:r>
      <w:r>
        <w:rPr>
          <w:rFonts w:hint="eastAsia" w:ascii="仿宋" w:hAnsi="仿宋" w:eastAsia="仿宋" w:cs="仿宋"/>
          <w:b/>
          <w:bCs/>
          <w:color w:val="auto"/>
          <w:sz w:val="24"/>
          <w:szCs w:val="24"/>
          <w:highlight w:val="none"/>
          <w:lang w:val="en-US" w:eastAsia="zh-CN"/>
        </w:rPr>
        <w:t>13</w:t>
      </w:r>
      <w:r>
        <w:rPr>
          <w:rFonts w:hint="eastAsia" w:ascii="仿宋" w:hAnsi="仿宋" w:eastAsia="仿宋" w:cs="仿宋"/>
          <w:b/>
          <w:bCs/>
          <w:color w:val="auto"/>
          <w:sz w:val="24"/>
          <w:szCs w:val="24"/>
          <w:highlight w:val="none"/>
          <w:lang w:val="en-US" w:eastAsia="zh-CN"/>
        </w:rPr>
        <w:fldChar w:fldCharType="end"/>
      </w:r>
      <w:r>
        <w:rPr>
          <w:rFonts w:hint="eastAsia" w:ascii="仿宋" w:hAnsi="仿宋" w:eastAsia="仿宋" w:cs="仿宋"/>
          <w:b/>
          <w:bCs/>
          <w:color w:val="auto"/>
          <w:sz w:val="24"/>
          <w:szCs w:val="24"/>
          <w:highlight w:val="none"/>
          <w:lang w:val="en-US" w:eastAsia="zh-CN"/>
        </w:rPr>
        <w:fldChar w:fldCharType="end"/>
      </w:r>
    </w:p>
    <w:p w14:paraId="67B1F2EE">
      <w:pPr>
        <w:pStyle w:val="20"/>
        <w:tabs>
          <w:tab w:val="right" w:leader="dot" w:pos="9459"/>
        </w:tabs>
        <w:spacing w:line="48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"_Toc43217794" </w:instrText>
      </w:r>
      <w:r>
        <w:rPr>
          <w:rFonts w:hint="eastAsia" w:ascii="仿宋" w:hAnsi="仿宋" w:eastAsia="仿宋" w:cs="仿宋"/>
          <w:color w:val="auto"/>
          <w:sz w:val="24"/>
          <w:szCs w:val="24"/>
          <w:highlight w:val="none"/>
        </w:rPr>
        <w:fldChar w:fldCharType="separate"/>
      </w:r>
      <w:r>
        <w:rPr>
          <w:rStyle w:val="34"/>
          <w:rFonts w:hint="eastAsia" w:ascii="仿宋" w:hAnsi="仿宋" w:eastAsia="仿宋" w:cs="仿宋"/>
          <w:b/>
          <w:bCs/>
          <w:color w:val="auto"/>
          <w:sz w:val="24"/>
          <w:szCs w:val="24"/>
          <w:highlight w:val="none"/>
          <w:lang w:val="zh-CN" w:eastAsia="zh-CN"/>
        </w:rPr>
        <w:t>第四章  评分标准</w:t>
      </w:r>
      <w:r>
        <w:rPr>
          <w:rFonts w:hint="eastAsia" w:ascii="仿宋" w:hAnsi="仿宋" w:eastAsia="仿宋" w:cs="仿宋"/>
          <w:b/>
          <w:bCs/>
          <w:color w:val="auto"/>
          <w:sz w:val="24"/>
          <w:szCs w:val="24"/>
          <w:highlight w:val="none"/>
          <w:lang w:val="en-US" w:eastAsia="zh-CN"/>
        </w:rPr>
        <w:tab/>
      </w:r>
      <w:r>
        <w:rPr>
          <w:rFonts w:hint="eastAsia" w:ascii="仿宋" w:hAnsi="仿宋" w:eastAsia="仿宋" w:cs="仿宋"/>
          <w:b/>
          <w:bCs/>
          <w:color w:val="auto"/>
          <w:sz w:val="24"/>
          <w:szCs w:val="24"/>
          <w:highlight w:val="none"/>
          <w:lang w:val="en-US" w:eastAsia="zh-CN"/>
        </w:rPr>
        <w:fldChar w:fldCharType="begin"/>
      </w:r>
      <w:r>
        <w:rPr>
          <w:rFonts w:hint="eastAsia" w:ascii="仿宋" w:hAnsi="仿宋" w:eastAsia="仿宋" w:cs="仿宋"/>
          <w:b/>
          <w:bCs/>
          <w:color w:val="auto"/>
          <w:sz w:val="24"/>
          <w:szCs w:val="24"/>
          <w:highlight w:val="none"/>
          <w:lang w:val="en-US" w:eastAsia="zh-CN"/>
        </w:rPr>
        <w:instrText xml:space="preserve"> PAGEREF _Toc43217794 \h </w:instrText>
      </w:r>
      <w:r>
        <w:rPr>
          <w:rFonts w:hint="eastAsia" w:ascii="仿宋" w:hAnsi="仿宋" w:eastAsia="仿宋" w:cs="仿宋"/>
          <w:b/>
          <w:bCs/>
          <w:color w:val="auto"/>
          <w:sz w:val="24"/>
          <w:szCs w:val="24"/>
          <w:highlight w:val="none"/>
          <w:lang w:val="en-US" w:eastAsia="zh-CN"/>
        </w:rPr>
        <w:fldChar w:fldCharType="separate"/>
      </w:r>
      <w:r>
        <w:rPr>
          <w:rFonts w:hint="eastAsia" w:ascii="仿宋" w:hAnsi="仿宋" w:eastAsia="仿宋" w:cs="仿宋"/>
          <w:b/>
          <w:bCs/>
          <w:color w:val="auto"/>
          <w:sz w:val="24"/>
          <w:szCs w:val="24"/>
          <w:highlight w:val="none"/>
          <w:lang w:val="en-US" w:eastAsia="zh-CN"/>
        </w:rPr>
        <w:t>14</w:t>
      </w:r>
      <w:r>
        <w:rPr>
          <w:rFonts w:hint="eastAsia" w:ascii="仿宋" w:hAnsi="仿宋" w:eastAsia="仿宋" w:cs="仿宋"/>
          <w:b/>
          <w:bCs/>
          <w:color w:val="auto"/>
          <w:sz w:val="24"/>
          <w:szCs w:val="24"/>
          <w:highlight w:val="none"/>
          <w:lang w:val="en-US" w:eastAsia="zh-CN"/>
        </w:rPr>
        <w:fldChar w:fldCharType="end"/>
      </w:r>
      <w:r>
        <w:rPr>
          <w:rFonts w:hint="eastAsia" w:ascii="仿宋" w:hAnsi="仿宋" w:eastAsia="仿宋" w:cs="仿宋"/>
          <w:b/>
          <w:bCs/>
          <w:color w:val="auto"/>
          <w:sz w:val="24"/>
          <w:szCs w:val="24"/>
          <w:highlight w:val="none"/>
          <w:lang w:val="en-US" w:eastAsia="zh-CN"/>
        </w:rPr>
        <w:fldChar w:fldCharType="end"/>
      </w:r>
    </w:p>
    <w:p w14:paraId="1D5B992D">
      <w:pPr>
        <w:pStyle w:val="20"/>
        <w:tabs>
          <w:tab w:val="right" w:leader="dot" w:pos="9459"/>
        </w:tabs>
        <w:spacing w:line="48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"_Toc43217795" </w:instrText>
      </w:r>
      <w:r>
        <w:rPr>
          <w:rFonts w:hint="eastAsia" w:ascii="仿宋" w:hAnsi="仿宋" w:eastAsia="仿宋" w:cs="仿宋"/>
          <w:color w:val="auto"/>
          <w:sz w:val="24"/>
          <w:szCs w:val="24"/>
          <w:highlight w:val="none"/>
        </w:rPr>
        <w:fldChar w:fldCharType="separate"/>
      </w:r>
      <w:r>
        <w:rPr>
          <w:rStyle w:val="34"/>
          <w:rFonts w:hint="eastAsia" w:ascii="仿宋" w:hAnsi="仿宋" w:eastAsia="仿宋" w:cs="仿宋"/>
          <w:b/>
          <w:bCs/>
          <w:color w:val="auto"/>
          <w:sz w:val="24"/>
          <w:szCs w:val="24"/>
          <w:highlight w:val="none"/>
          <w:lang w:val="en-US" w:eastAsia="zh-CN"/>
        </w:rPr>
        <w:t>第五章  合同</w:t>
      </w:r>
      <w:r>
        <w:rPr>
          <w:rFonts w:hint="eastAsia" w:ascii="仿宋" w:hAnsi="仿宋" w:eastAsia="仿宋" w:cs="仿宋"/>
          <w:b/>
          <w:bCs/>
          <w:color w:val="auto"/>
          <w:sz w:val="24"/>
          <w:szCs w:val="24"/>
          <w:highlight w:val="none"/>
          <w:lang w:val="en-US" w:eastAsia="zh-CN"/>
        </w:rPr>
        <w:tab/>
      </w:r>
      <w:r>
        <w:rPr>
          <w:rFonts w:hint="eastAsia" w:ascii="仿宋" w:hAnsi="仿宋" w:eastAsia="仿宋" w:cs="仿宋"/>
          <w:b/>
          <w:bCs/>
          <w:color w:val="auto"/>
          <w:sz w:val="24"/>
          <w:szCs w:val="24"/>
          <w:highlight w:val="none"/>
          <w:lang w:val="en-US" w:eastAsia="zh-CN"/>
        </w:rPr>
        <w:fldChar w:fldCharType="begin"/>
      </w:r>
      <w:r>
        <w:rPr>
          <w:rFonts w:hint="eastAsia" w:ascii="仿宋" w:hAnsi="仿宋" w:eastAsia="仿宋" w:cs="仿宋"/>
          <w:b/>
          <w:bCs/>
          <w:color w:val="auto"/>
          <w:sz w:val="24"/>
          <w:szCs w:val="24"/>
          <w:highlight w:val="none"/>
          <w:lang w:val="en-US" w:eastAsia="zh-CN"/>
        </w:rPr>
        <w:instrText xml:space="preserve"> PAGEREF _Toc43217795 \h </w:instrText>
      </w:r>
      <w:r>
        <w:rPr>
          <w:rFonts w:hint="eastAsia" w:ascii="仿宋" w:hAnsi="仿宋" w:eastAsia="仿宋" w:cs="仿宋"/>
          <w:b/>
          <w:bCs/>
          <w:color w:val="auto"/>
          <w:sz w:val="24"/>
          <w:szCs w:val="24"/>
          <w:highlight w:val="none"/>
          <w:lang w:val="en-US" w:eastAsia="zh-CN"/>
        </w:rPr>
        <w:fldChar w:fldCharType="separate"/>
      </w:r>
      <w:r>
        <w:rPr>
          <w:rFonts w:hint="eastAsia" w:ascii="仿宋" w:hAnsi="仿宋" w:eastAsia="仿宋" w:cs="仿宋"/>
          <w:b/>
          <w:bCs/>
          <w:color w:val="auto"/>
          <w:sz w:val="24"/>
          <w:szCs w:val="24"/>
          <w:highlight w:val="none"/>
          <w:lang w:val="en-US" w:eastAsia="zh-CN"/>
        </w:rPr>
        <w:t>17</w:t>
      </w:r>
      <w:r>
        <w:rPr>
          <w:rFonts w:hint="eastAsia" w:ascii="仿宋" w:hAnsi="仿宋" w:eastAsia="仿宋" w:cs="仿宋"/>
          <w:b/>
          <w:bCs/>
          <w:color w:val="auto"/>
          <w:sz w:val="24"/>
          <w:szCs w:val="24"/>
          <w:highlight w:val="none"/>
          <w:lang w:val="en-US" w:eastAsia="zh-CN"/>
        </w:rPr>
        <w:fldChar w:fldCharType="end"/>
      </w:r>
      <w:r>
        <w:rPr>
          <w:rFonts w:hint="eastAsia" w:ascii="仿宋" w:hAnsi="仿宋" w:eastAsia="仿宋" w:cs="仿宋"/>
          <w:b/>
          <w:bCs/>
          <w:color w:val="auto"/>
          <w:sz w:val="24"/>
          <w:szCs w:val="24"/>
          <w:highlight w:val="none"/>
          <w:lang w:val="en-US" w:eastAsia="zh-CN"/>
        </w:rPr>
        <w:fldChar w:fldCharType="end"/>
      </w:r>
    </w:p>
    <w:p w14:paraId="1AFE05FC">
      <w:pPr>
        <w:pStyle w:val="20"/>
        <w:tabs>
          <w:tab w:val="right" w:leader="dot" w:pos="9459"/>
        </w:tabs>
        <w:spacing w:line="48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"_Toc43217797" </w:instrText>
      </w:r>
      <w:r>
        <w:rPr>
          <w:rFonts w:hint="eastAsia" w:ascii="仿宋" w:hAnsi="仿宋" w:eastAsia="仿宋" w:cs="仿宋"/>
          <w:color w:val="auto"/>
          <w:sz w:val="24"/>
          <w:szCs w:val="24"/>
          <w:highlight w:val="none"/>
        </w:rPr>
        <w:fldChar w:fldCharType="separate"/>
      </w:r>
      <w:r>
        <w:rPr>
          <w:rStyle w:val="34"/>
          <w:rFonts w:hint="eastAsia" w:ascii="仿宋" w:hAnsi="仿宋" w:eastAsia="仿宋" w:cs="仿宋"/>
          <w:b/>
          <w:bCs/>
          <w:color w:val="auto"/>
          <w:sz w:val="24"/>
          <w:szCs w:val="24"/>
          <w:highlight w:val="none"/>
          <w:lang w:val="en-US" w:eastAsia="zh-CN"/>
        </w:rPr>
        <w:t>第六章  竞争性磋商文件格式及附件</w:t>
      </w:r>
      <w:r>
        <w:rPr>
          <w:rFonts w:hint="eastAsia" w:ascii="仿宋" w:hAnsi="仿宋" w:eastAsia="仿宋" w:cs="仿宋"/>
          <w:b/>
          <w:bCs/>
          <w:color w:val="auto"/>
          <w:sz w:val="24"/>
          <w:szCs w:val="24"/>
          <w:highlight w:val="none"/>
          <w:lang w:val="en-US" w:eastAsia="zh-CN"/>
        </w:rPr>
        <w:tab/>
      </w:r>
      <w:r>
        <w:rPr>
          <w:rFonts w:hint="eastAsia" w:ascii="仿宋" w:hAnsi="仿宋" w:eastAsia="仿宋" w:cs="仿宋"/>
          <w:b/>
          <w:bCs/>
          <w:color w:val="auto"/>
          <w:sz w:val="24"/>
          <w:szCs w:val="24"/>
          <w:highlight w:val="none"/>
          <w:lang w:val="en-US" w:eastAsia="zh-CN"/>
        </w:rPr>
        <w:fldChar w:fldCharType="begin"/>
      </w:r>
      <w:r>
        <w:rPr>
          <w:rFonts w:hint="eastAsia" w:ascii="仿宋" w:hAnsi="仿宋" w:eastAsia="仿宋" w:cs="仿宋"/>
          <w:b/>
          <w:bCs/>
          <w:color w:val="auto"/>
          <w:sz w:val="24"/>
          <w:szCs w:val="24"/>
          <w:highlight w:val="none"/>
          <w:lang w:val="en-US" w:eastAsia="zh-CN"/>
        </w:rPr>
        <w:instrText xml:space="preserve"> PAGEREF _Toc43217797 \h </w:instrText>
      </w:r>
      <w:r>
        <w:rPr>
          <w:rFonts w:hint="eastAsia" w:ascii="仿宋" w:hAnsi="仿宋" w:eastAsia="仿宋" w:cs="仿宋"/>
          <w:b/>
          <w:bCs/>
          <w:color w:val="auto"/>
          <w:sz w:val="24"/>
          <w:szCs w:val="24"/>
          <w:highlight w:val="none"/>
          <w:lang w:val="en-US" w:eastAsia="zh-CN"/>
        </w:rPr>
        <w:fldChar w:fldCharType="separate"/>
      </w:r>
      <w:r>
        <w:rPr>
          <w:rFonts w:hint="eastAsia" w:ascii="仿宋" w:hAnsi="仿宋" w:eastAsia="仿宋" w:cs="仿宋"/>
          <w:b/>
          <w:bCs/>
          <w:color w:val="auto"/>
          <w:sz w:val="24"/>
          <w:szCs w:val="24"/>
          <w:highlight w:val="none"/>
          <w:lang w:val="en-US" w:eastAsia="zh-CN"/>
        </w:rPr>
        <w:t>22</w:t>
      </w:r>
      <w:r>
        <w:rPr>
          <w:rFonts w:hint="eastAsia" w:ascii="仿宋" w:hAnsi="仿宋" w:eastAsia="仿宋" w:cs="仿宋"/>
          <w:b/>
          <w:bCs/>
          <w:color w:val="auto"/>
          <w:sz w:val="24"/>
          <w:szCs w:val="24"/>
          <w:highlight w:val="none"/>
          <w:lang w:val="en-US" w:eastAsia="zh-CN"/>
        </w:rPr>
        <w:fldChar w:fldCharType="end"/>
      </w:r>
      <w:r>
        <w:rPr>
          <w:rFonts w:hint="eastAsia" w:ascii="仿宋" w:hAnsi="仿宋" w:eastAsia="仿宋" w:cs="仿宋"/>
          <w:b/>
          <w:bCs/>
          <w:color w:val="auto"/>
          <w:sz w:val="24"/>
          <w:szCs w:val="24"/>
          <w:highlight w:val="none"/>
          <w:lang w:val="en-US" w:eastAsia="zh-CN"/>
        </w:rPr>
        <w:fldChar w:fldCharType="end"/>
      </w:r>
    </w:p>
    <w:p w14:paraId="41409035">
      <w:pPr>
        <w:pStyle w:val="23"/>
        <w:tabs>
          <w:tab w:val="right" w:leader="dot" w:pos="9459"/>
        </w:tabs>
        <w:rPr>
          <w:rFonts w:hint="eastAsia" w:ascii="仿宋" w:hAnsi="仿宋" w:eastAsia="仿宋" w:cs="仿宋"/>
          <w:color w:val="auto"/>
          <w:sz w:val="24"/>
          <w:szCs w:val="24"/>
          <w:highlight w:val="none"/>
          <w:lang w:val="en-US" w:eastAsia="zh-CN"/>
        </w:rPr>
      </w:pPr>
    </w:p>
    <w:p w14:paraId="711A646A">
      <w:pPr>
        <w:pStyle w:val="23"/>
        <w:tabs>
          <w:tab w:val="right" w:leader="dot" w:pos="9459"/>
        </w:tabs>
        <w:rPr>
          <w:rFonts w:hint="eastAsia" w:ascii="仿宋" w:hAnsi="仿宋" w:eastAsia="仿宋" w:cs="仿宋"/>
          <w:color w:val="auto"/>
          <w:sz w:val="24"/>
          <w:szCs w:val="24"/>
          <w:highlight w:val="none"/>
          <w:lang w:val="en-US" w:eastAsia="zh-CN"/>
        </w:rPr>
      </w:pPr>
    </w:p>
    <w:p w14:paraId="04187963">
      <w:pPr>
        <w:pStyle w:val="20"/>
        <w:tabs>
          <w:tab w:val="right" w:leader="dot" w:pos="9345"/>
        </w:tabs>
        <w:adjustRightInd w:val="0"/>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end"/>
      </w:r>
    </w:p>
    <w:p w14:paraId="6D8A46AC">
      <w:pPr>
        <w:pStyle w:val="20"/>
        <w:tabs>
          <w:tab w:val="right" w:leader="dot" w:pos="9345"/>
        </w:tabs>
        <w:rPr>
          <w:rFonts w:hint="eastAsia" w:ascii="仿宋" w:hAnsi="仿宋" w:eastAsia="仿宋" w:cs="仿宋"/>
          <w:color w:val="auto"/>
          <w:sz w:val="24"/>
          <w:szCs w:val="24"/>
          <w:highlight w:val="none"/>
        </w:rPr>
      </w:pPr>
    </w:p>
    <w:p w14:paraId="10C6B339">
      <w:pPr>
        <w:rPr>
          <w:rFonts w:hint="eastAsia" w:ascii="仿宋" w:hAnsi="仿宋" w:eastAsia="仿宋" w:cs="仿宋"/>
          <w:color w:val="auto"/>
          <w:sz w:val="24"/>
          <w:szCs w:val="24"/>
          <w:highlight w:val="none"/>
        </w:rPr>
      </w:pPr>
    </w:p>
    <w:p w14:paraId="1FD93A7C">
      <w:pPr>
        <w:rPr>
          <w:rFonts w:hint="eastAsia" w:ascii="仿宋" w:hAnsi="仿宋" w:eastAsia="仿宋" w:cs="仿宋"/>
          <w:color w:val="auto"/>
          <w:sz w:val="24"/>
          <w:szCs w:val="24"/>
          <w:highlight w:val="none"/>
        </w:rPr>
      </w:pPr>
    </w:p>
    <w:p w14:paraId="3AB31132">
      <w:pPr>
        <w:rPr>
          <w:rFonts w:hint="eastAsia" w:ascii="仿宋" w:hAnsi="仿宋" w:eastAsia="仿宋" w:cs="仿宋"/>
          <w:color w:val="auto"/>
          <w:sz w:val="24"/>
          <w:szCs w:val="24"/>
          <w:highlight w:val="none"/>
        </w:rPr>
      </w:pPr>
    </w:p>
    <w:p w14:paraId="41D3A110">
      <w:pPr>
        <w:rPr>
          <w:rFonts w:hint="eastAsia" w:ascii="仿宋" w:hAnsi="仿宋" w:eastAsia="仿宋" w:cs="仿宋"/>
          <w:color w:val="auto"/>
          <w:sz w:val="24"/>
          <w:szCs w:val="24"/>
          <w:highlight w:val="none"/>
        </w:rPr>
      </w:pPr>
    </w:p>
    <w:p w14:paraId="208C6765">
      <w:pPr>
        <w:rPr>
          <w:rFonts w:hint="eastAsia" w:ascii="仿宋" w:hAnsi="仿宋" w:eastAsia="仿宋" w:cs="仿宋"/>
          <w:color w:val="auto"/>
          <w:sz w:val="24"/>
          <w:szCs w:val="24"/>
          <w:highlight w:val="none"/>
        </w:rPr>
      </w:pPr>
    </w:p>
    <w:p w14:paraId="439BD4A4">
      <w:pPr>
        <w:pStyle w:val="25"/>
        <w:rPr>
          <w:rFonts w:hint="eastAsia" w:ascii="仿宋" w:hAnsi="仿宋" w:eastAsia="仿宋" w:cs="仿宋"/>
          <w:i w:val="0"/>
          <w:iCs w:val="0"/>
          <w:caps w:val="0"/>
          <w:color w:val="auto"/>
          <w:spacing w:val="0"/>
          <w:sz w:val="24"/>
          <w:szCs w:val="24"/>
          <w:highlight w:val="none"/>
          <w:shd w:val="clear" w:fill="FFFFFF"/>
          <w:lang w:eastAsia="zh-CN"/>
        </w:rPr>
      </w:pPr>
      <w:bookmarkStart w:id="1" w:name="_Toc15570"/>
      <w:bookmarkStart w:id="2" w:name="_Toc10991"/>
      <w:bookmarkStart w:id="3" w:name="_Toc8779"/>
      <w:bookmarkStart w:id="4" w:name="_Toc22331"/>
      <w:bookmarkStart w:id="5" w:name="_Toc4802"/>
      <w:bookmarkStart w:id="6" w:name="_Toc504141735"/>
      <w:r>
        <w:rPr>
          <w:rFonts w:hint="eastAsia" w:ascii="仿宋" w:hAnsi="仿宋" w:eastAsia="仿宋" w:cs="仿宋"/>
          <w:color w:val="auto"/>
          <w:sz w:val="24"/>
          <w:szCs w:val="24"/>
          <w:highlight w:val="none"/>
        </w:rPr>
        <w:br w:type="page"/>
      </w:r>
      <w:bookmarkStart w:id="7" w:name="_Toc4125"/>
      <w:bookmarkStart w:id="8" w:name="_Toc18459"/>
      <w:bookmarkStart w:id="9" w:name="_Toc14101"/>
      <w:bookmarkStart w:id="10" w:name="_Toc26656"/>
      <w:bookmarkStart w:id="11" w:name="_Toc28329"/>
      <w:bookmarkStart w:id="12" w:name="_Toc16445"/>
      <w:bookmarkStart w:id="13" w:name="_Toc43217785"/>
      <w:bookmarkStart w:id="14" w:name="_Toc31399"/>
      <w:r>
        <w:rPr>
          <w:rFonts w:hint="eastAsia" w:ascii="仿宋" w:hAnsi="仿宋" w:eastAsia="仿宋" w:cs="仿宋"/>
          <w:color w:val="auto"/>
          <w:sz w:val="32"/>
          <w:szCs w:val="32"/>
          <w:highlight w:val="none"/>
        </w:rPr>
        <w:t>第一章  竞争性磋商邀请</w:t>
      </w:r>
      <w:bookmarkEnd w:id="1"/>
      <w:bookmarkEnd w:id="2"/>
      <w:bookmarkEnd w:id="3"/>
      <w:bookmarkEnd w:id="4"/>
      <w:bookmarkEnd w:id="5"/>
      <w:bookmarkEnd w:id="6"/>
      <w:bookmarkEnd w:id="7"/>
      <w:bookmarkEnd w:id="8"/>
      <w:bookmarkEnd w:id="9"/>
      <w:bookmarkEnd w:id="10"/>
      <w:bookmarkEnd w:id="11"/>
      <w:bookmarkEnd w:id="12"/>
      <w:bookmarkEnd w:id="13"/>
      <w:bookmarkEnd w:id="14"/>
      <w:bookmarkStart w:id="15" w:name="_Toc32401"/>
      <w:bookmarkStart w:id="16" w:name="_Toc28359012"/>
      <w:bookmarkStart w:id="17" w:name="_Toc35393798"/>
      <w:bookmarkStart w:id="18" w:name="_Toc28359089"/>
      <w:bookmarkStart w:id="19" w:name="_Toc35393629"/>
    </w:p>
    <w:bookmarkEnd w:id="15"/>
    <w:bookmarkEnd w:id="16"/>
    <w:bookmarkEnd w:id="17"/>
    <w:bookmarkEnd w:id="18"/>
    <w:bookmarkEnd w:id="19"/>
    <w:p w14:paraId="19042FEA">
      <w:pPr>
        <w:spacing w:line="360" w:lineRule="auto"/>
        <w:ind w:firstLine="482"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b/>
          <w:bCs/>
          <w:i w:val="0"/>
          <w:iCs w:val="0"/>
          <w:caps w:val="0"/>
          <w:color w:val="auto"/>
          <w:spacing w:val="0"/>
          <w:sz w:val="24"/>
          <w:szCs w:val="24"/>
          <w:highlight w:val="none"/>
          <w:u w:val="single"/>
          <w:shd w:val="clear" w:fill="FFFFFF"/>
          <w:lang w:eastAsia="zh-CN"/>
        </w:rPr>
        <w:t>东山派出所食堂服务外包</w:t>
      </w:r>
      <w:r>
        <w:rPr>
          <w:rFonts w:hint="eastAsia" w:ascii="仿宋" w:hAnsi="仿宋" w:eastAsia="仿宋" w:cs="仿宋"/>
          <w:i w:val="0"/>
          <w:iCs w:val="0"/>
          <w:caps w:val="0"/>
          <w:color w:val="auto"/>
          <w:spacing w:val="0"/>
          <w:sz w:val="24"/>
          <w:szCs w:val="24"/>
          <w:highlight w:val="none"/>
          <w:shd w:val="clear" w:fill="FFFFFF"/>
          <w:lang w:eastAsia="zh-CN"/>
        </w:rPr>
        <w:t>的潜在供应商应在江苏政府采购网获取采购文件，并于2026年9月7日14时30分（北京时间）前提交响应文件。</w:t>
      </w:r>
    </w:p>
    <w:p w14:paraId="59D240DF">
      <w:pPr>
        <w:pStyle w:val="3"/>
        <w:keepNext w:val="0"/>
        <w:keepLines w:val="0"/>
        <w:widowControl/>
        <w:suppressLineNumbers w:val="0"/>
        <w:shd w:val="clear" w:fill="FFFFFF"/>
        <w:spacing w:before="0" w:beforeAutospacing="0" w:after="0" w:afterAutospacing="0"/>
        <w:ind w:left="0" w:right="0" w:firstLine="0"/>
        <w:rPr>
          <w:rFonts w:hint="eastAsia" w:ascii="仿宋" w:hAnsi="仿宋" w:eastAsia="仿宋" w:cs="仿宋"/>
          <w:i w:val="0"/>
          <w:iCs w:val="0"/>
          <w:caps w:val="0"/>
          <w:color w:val="auto"/>
          <w:spacing w:val="0"/>
          <w:sz w:val="24"/>
          <w:szCs w:val="24"/>
          <w:highlight w:val="none"/>
        </w:rPr>
      </w:pPr>
      <w:r>
        <w:rPr>
          <w:rStyle w:val="30"/>
          <w:rFonts w:hint="eastAsia" w:ascii="仿宋" w:hAnsi="仿宋" w:eastAsia="仿宋" w:cs="仿宋"/>
          <w:i w:val="0"/>
          <w:iCs w:val="0"/>
          <w:caps w:val="0"/>
          <w:color w:val="auto"/>
          <w:spacing w:val="0"/>
          <w:sz w:val="24"/>
          <w:szCs w:val="24"/>
          <w:highlight w:val="none"/>
          <w:shd w:val="clear" w:fill="FFFFFF"/>
        </w:rPr>
        <w:t>一、项目基本情况</w:t>
      </w:r>
    </w:p>
    <w:p w14:paraId="64DFF124">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rPr>
        <w:t>项目</w:t>
      </w:r>
      <w:r>
        <w:rPr>
          <w:rFonts w:hint="eastAsia" w:ascii="仿宋" w:hAnsi="仿宋" w:eastAsia="仿宋" w:cs="仿宋"/>
          <w:i w:val="0"/>
          <w:iCs w:val="0"/>
          <w:caps w:val="0"/>
          <w:color w:val="auto"/>
          <w:spacing w:val="0"/>
          <w:sz w:val="24"/>
          <w:szCs w:val="24"/>
          <w:highlight w:val="none"/>
          <w:shd w:val="clear" w:fill="FFFFFF"/>
          <w:lang w:eastAsia="zh-CN"/>
        </w:rPr>
        <w:t>编号：JSZC-320115-FHGL-C2026-0008</w:t>
      </w:r>
    </w:p>
    <w:p w14:paraId="4F1D03DC">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rPr>
        <w:t>项目名称：</w:t>
      </w:r>
      <w:r>
        <w:rPr>
          <w:rFonts w:hint="eastAsia" w:ascii="仿宋" w:hAnsi="仿宋" w:eastAsia="仿宋" w:cs="仿宋"/>
          <w:i w:val="0"/>
          <w:iCs w:val="0"/>
          <w:caps w:val="0"/>
          <w:color w:val="auto"/>
          <w:spacing w:val="0"/>
          <w:sz w:val="24"/>
          <w:szCs w:val="24"/>
          <w:highlight w:val="none"/>
          <w:shd w:val="clear" w:fill="FFFFFF"/>
          <w:lang w:eastAsia="zh-CN"/>
        </w:rPr>
        <w:t>东山派出所食堂服务外包</w:t>
      </w:r>
    </w:p>
    <w:p w14:paraId="0D7A8B90">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rPr>
        <w:t>采购方式：</w:t>
      </w:r>
      <w:r>
        <w:rPr>
          <w:rFonts w:hint="eastAsia" w:ascii="仿宋" w:hAnsi="仿宋" w:eastAsia="仿宋" w:cs="仿宋"/>
          <w:i w:val="0"/>
          <w:iCs w:val="0"/>
          <w:caps w:val="0"/>
          <w:color w:val="auto"/>
          <w:spacing w:val="0"/>
          <w:sz w:val="24"/>
          <w:szCs w:val="24"/>
          <w:highlight w:val="none"/>
          <w:shd w:val="clear" w:fill="FFFFFF"/>
          <w:lang w:eastAsia="zh-CN"/>
        </w:rPr>
        <w:t>竞争性磋商</w:t>
      </w:r>
    </w:p>
    <w:p w14:paraId="795061C6">
      <w:pPr>
        <w:spacing w:line="360" w:lineRule="auto"/>
        <w:ind w:firstLine="480" w:firstLineChars="200"/>
        <w:rPr>
          <w:rFonts w:hint="default"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eastAsia="zh-CN"/>
        </w:rPr>
        <w:t>预算</w:t>
      </w:r>
      <w:r>
        <w:rPr>
          <w:rFonts w:hint="eastAsia" w:ascii="仿宋" w:hAnsi="仿宋" w:eastAsia="仿宋" w:cs="仿宋"/>
          <w:i w:val="0"/>
          <w:iCs w:val="0"/>
          <w:caps w:val="0"/>
          <w:color w:val="auto"/>
          <w:spacing w:val="0"/>
          <w:sz w:val="24"/>
          <w:szCs w:val="24"/>
          <w:highlight w:val="none"/>
          <w:shd w:val="clear" w:fill="FFFFFF"/>
          <w:lang w:val="en-US" w:eastAsia="zh-CN"/>
        </w:rPr>
        <w:t>金额：290 万元</w:t>
      </w:r>
    </w:p>
    <w:p w14:paraId="287CD778">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最高限价</w:t>
      </w:r>
      <w:r>
        <w:rPr>
          <w:rFonts w:hint="eastAsia" w:ascii="仿宋" w:hAnsi="仿宋" w:eastAsia="仿宋" w:cs="仿宋"/>
          <w:i w:val="0"/>
          <w:iCs w:val="0"/>
          <w:caps w:val="0"/>
          <w:color w:val="auto"/>
          <w:spacing w:val="0"/>
          <w:sz w:val="24"/>
          <w:szCs w:val="24"/>
          <w:highlight w:val="none"/>
          <w:shd w:val="clear" w:fill="FFFFFF"/>
          <w:lang w:eastAsia="zh-CN"/>
        </w:rPr>
        <w:t>（如</w:t>
      </w:r>
      <w:r>
        <w:rPr>
          <w:rFonts w:hint="eastAsia" w:ascii="仿宋" w:hAnsi="仿宋" w:eastAsia="仿宋" w:cs="仿宋"/>
          <w:i w:val="0"/>
          <w:iCs w:val="0"/>
          <w:caps w:val="0"/>
          <w:color w:val="auto"/>
          <w:spacing w:val="0"/>
          <w:sz w:val="24"/>
          <w:szCs w:val="24"/>
          <w:highlight w:val="none"/>
          <w:shd w:val="clear" w:fill="FFFFFF"/>
          <w:lang w:val="en-US" w:eastAsia="zh-CN"/>
        </w:rPr>
        <w:t>有）：</w:t>
      </w:r>
      <w:r>
        <w:rPr>
          <w:rFonts w:hint="eastAsia" w:ascii="仿宋" w:hAnsi="仿宋" w:eastAsia="仿宋" w:cs="仿宋"/>
          <w:color w:val="auto"/>
          <w:sz w:val="24"/>
          <w:szCs w:val="24"/>
          <w:highlight w:val="none"/>
          <w:vertAlign w:val="baseline"/>
          <w:lang w:val="en-US" w:eastAsia="zh-CN"/>
        </w:rPr>
        <w:t>280.2724万元</w:t>
      </w:r>
      <w:r>
        <w:rPr>
          <w:rFonts w:hint="eastAsia" w:ascii="仿宋" w:hAnsi="仿宋" w:eastAsia="仿宋" w:cs="仿宋"/>
          <w:i w:val="0"/>
          <w:iCs w:val="0"/>
          <w:caps w:val="0"/>
          <w:color w:val="auto"/>
          <w:spacing w:val="0"/>
          <w:sz w:val="24"/>
          <w:szCs w:val="24"/>
          <w:highlight w:val="none"/>
          <w:shd w:val="clear" w:fill="FFFFFF"/>
          <w:lang w:val="en-US" w:eastAsia="zh-CN"/>
        </w:rPr>
        <w:t>（磋商报价超过项目最高限价作无效响应处理）</w:t>
      </w:r>
    </w:p>
    <w:p w14:paraId="478E89E7">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rPr>
        <w:t>采购需求</w:t>
      </w:r>
      <w:r>
        <w:rPr>
          <w:rFonts w:hint="eastAsia" w:ascii="仿宋" w:hAnsi="仿宋" w:eastAsia="仿宋" w:cs="仿宋"/>
          <w:i w:val="0"/>
          <w:iCs w:val="0"/>
          <w:caps w:val="0"/>
          <w:color w:val="auto"/>
          <w:spacing w:val="0"/>
          <w:sz w:val="24"/>
          <w:szCs w:val="24"/>
          <w:highlight w:val="none"/>
          <w:shd w:val="clear" w:fill="FFFFFF"/>
          <w:lang w:eastAsia="zh-CN"/>
        </w:rPr>
        <w:t>：东山派</w:t>
      </w:r>
      <w:r>
        <w:rPr>
          <w:rFonts w:hint="eastAsia" w:ascii="仿宋" w:hAnsi="仿宋" w:eastAsia="仿宋" w:cs="仿宋"/>
          <w:i w:val="0"/>
          <w:iCs w:val="0"/>
          <w:caps w:val="0"/>
          <w:color w:val="auto"/>
          <w:spacing w:val="0"/>
          <w:sz w:val="24"/>
          <w:szCs w:val="24"/>
          <w:highlight w:val="none"/>
          <w:shd w:val="clear" w:fill="FFFFFF"/>
          <w:lang w:val="en-US" w:eastAsia="zh-CN"/>
        </w:rPr>
        <w:t>出所</w:t>
      </w:r>
      <w:r>
        <w:rPr>
          <w:rFonts w:hint="eastAsia" w:ascii="仿宋" w:hAnsi="仿宋" w:eastAsia="仿宋" w:cs="仿宋"/>
          <w:i w:val="0"/>
          <w:iCs w:val="0"/>
          <w:caps w:val="0"/>
          <w:color w:val="auto"/>
          <w:spacing w:val="0"/>
          <w:sz w:val="24"/>
          <w:szCs w:val="24"/>
          <w:highlight w:val="none"/>
          <w:shd w:val="clear" w:fill="FFFFFF"/>
          <w:lang w:eastAsia="zh-CN"/>
        </w:rPr>
        <w:t>食堂服务外包，</w:t>
      </w:r>
      <w:r>
        <w:rPr>
          <w:rFonts w:hint="eastAsia" w:ascii="仿宋" w:hAnsi="仿宋" w:eastAsia="仿宋" w:cs="仿宋"/>
          <w:i w:val="0"/>
          <w:iCs w:val="0"/>
          <w:caps w:val="0"/>
          <w:color w:val="auto"/>
          <w:spacing w:val="0"/>
          <w:sz w:val="24"/>
          <w:szCs w:val="24"/>
          <w:highlight w:val="none"/>
          <w:shd w:val="clear" w:fill="FFFFFF"/>
          <w:lang w:val="en-US" w:eastAsia="zh-CN"/>
        </w:rPr>
        <w:t>包括</w:t>
      </w:r>
      <w:r>
        <w:rPr>
          <w:rFonts w:hint="default" w:ascii="仿宋" w:hAnsi="仿宋" w:eastAsia="仿宋" w:cs="仿宋"/>
          <w:i w:val="0"/>
          <w:iCs w:val="0"/>
          <w:caps w:val="0"/>
          <w:color w:val="auto"/>
          <w:spacing w:val="0"/>
          <w:sz w:val="24"/>
          <w:szCs w:val="24"/>
          <w:highlight w:val="none"/>
          <w:shd w:val="clear" w:fill="FFFFFF"/>
          <w:lang w:val="en-US" w:eastAsia="zh-CN"/>
        </w:rPr>
        <w:t>工作人员就餐要求、食堂区域的清洁和管理等</w:t>
      </w:r>
      <w:r>
        <w:rPr>
          <w:rFonts w:hint="eastAsia" w:ascii="仿宋" w:hAnsi="仿宋" w:eastAsia="仿宋" w:cs="仿宋"/>
          <w:i w:val="0"/>
          <w:iCs w:val="0"/>
          <w:caps w:val="0"/>
          <w:color w:val="auto"/>
          <w:spacing w:val="0"/>
          <w:sz w:val="24"/>
          <w:szCs w:val="24"/>
          <w:highlight w:val="none"/>
          <w:shd w:val="clear" w:fill="FFFFFF"/>
          <w:lang w:val="en-US" w:eastAsia="zh-CN"/>
        </w:rPr>
        <w:t>服务</w:t>
      </w:r>
    </w:p>
    <w:p w14:paraId="0782A51E">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服务期：两年（本项目一招两年，合同一年一签，逐年考核）</w:t>
      </w:r>
    </w:p>
    <w:p w14:paraId="4F946F83">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lang w:eastAsia="zh-CN"/>
        </w:rPr>
        <w:t>本项目（是/否）接受联合体投标：不接受联合体 </w:t>
      </w:r>
    </w:p>
    <w:p w14:paraId="295ED186">
      <w:pPr>
        <w:pStyle w:val="3"/>
        <w:keepNext w:val="0"/>
        <w:keepLines w:val="0"/>
        <w:widowControl/>
        <w:suppressLineNumbers w:val="0"/>
        <w:shd w:val="clear" w:fill="FFFFFF"/>
        <w:spacing w:before="0" w:beforeAutospacing="0" w:after="0" w:afterAutospacing="0" w:line="360" w:lineRule="auto"/>
        <w:ind w:left="0" w:right="0" w:firstLine="0"/>
        <w:rPr>
          <w:rStyle w:val="30"/>
          <w:rFonts w:hint="eastAsia" w:ascii="仿宋" w:hAnsi="仿宋" w:eastAsia="仿宋" w:cs="仿宋"/>
          <w:i w:val="0"/>
          <w:iCs w:val="0"/>
          <w:caps w:val="0"/>
          <w:color w:val="auto"/>
          <w:spacing w:val="0"/>
          <w:sz w:val="24"/>
          <w:szCs w:val="24"/>
          <w:highlight w:val="none"/>
          <w:shd w:val="clear" w:fill="FFFFFF"/>
          <w:lang w:eastAsia="zh-CN"/>
        </w:rPr>
      </w:pPr>
      <w:bookmarkStart w:id="20" w:name="_Toc35393630"/>
      <w:bookmarkStart w:id="21" w:name="_Toc19730"/>
      <w:bookmarkStart w:id="22" w:name="_Toc28359090"/>
      <w:bookmarkStart w:id="23" w:name="_Toc35393799"/>
      <w:bookmarkStart w:id="24" w:name="_Toc28359013"/>
      <w:r>
        <w:rPr>
          <w:rStyle w:val="30"/>
          <w:rFonts w:hint="eastAsia" w:ascii="仿宋" w:hAnsi="仿宋" w:eastAsia="仿宋" w:cs="仿宋"/>
          <w:i w:val="0"/>
          <w:iCs w:val="0"/>
          <w:caps w:val="0"/>
          <w:color w:val="auto"/>
          <w:spacing w:val="0"/>
          <w:sz w:val="24"/>
          <w:szCs w:val="24"/>
          <w:highlight w:val="none"/>
          <w:shd w:val="clear" w:fill="FFFFFF"/>
          <w:lang w:eastAsia="zh-CN"/>
        </w:rPr>
        <w:t>二、申请人的资格要求：</w:t>
      </w:r>
      <w:bookmarkEnd w:id="20"/>
      <w:bookmarkEnd w:id="21"/>
      <w:bookmarkEnd w:id="22"/>
      <w:bookmarkEnd w:id="23"/>
      <w:bookmarkEnd w:id="24"/>
    </w:p>
    <w:p w14:paraId="1EDF6D4A">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rPr>
      </w:pPr>
      <w:bookmarkStart w:id="25" w:name="_Toc28359014"/>
      <w:bookmarkStart w:id="26" w:name="_Toc35393631"/>
      <w:bookmarkStart w:id="27" w:name="_Toc35393800"/>
      <w:bookmarkStart w:id="28" w:name="_Toc28359091"/>
      <w:r>
        <w:rPr>
          <w:rFonts w:hint="eastAsia" w:ascii="仿宋" w:hAnsi="仿宋" w:eastAsia="仿宋" w:cs="仿宋"/>
          <w:i w:val="0"/>
          <w:iCs w:val="0"/>
          <w:caps w:val="0"/>
          <w:color w:val="auto"/>
          <w:spacing w:val="0"/>
          <w:sz w:val="24"/>
          <w:szCs w:val="24"/>
          <w:highlight w:val="none"/>
          <w:shd w:val="clear" w:fill="FFFFFF"/>
        </w:rPr>
        <w:t>（一）满足《中华人民共和国政府采购法》第二十二条规定；</w:t>
      </w:r>
    </w:p>
    <w:p w14:paraId="4ECEAE37">
      <w:pPr>
        <w:spacing w:line="360" w:lineRule="auto"/>
        <w:ind w:firstLine="360" w:firstLineChars="150"/>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lang w:val="en-US" w:eastAsia="zh-CN"/>
        </w:rPr>
        <w:t>1.</w:t>
      </w:r>
      <w:r>
        <w:rPr>
          <w:rFonts w:hint="eastAsia" w:ascii="仿宋" w:hAnsi="仿宋" w:eastAsia="仿宋"/>
          <w:bCs/>
          <w:color w:val="auto"/>
          <w:sz w:val="24"/>
          <w:szCs w:val="24"/>
          <w:highlight w:val="none"/>
        </w:rPr>
        <w:t>具有独立承担民事责任的能力</w:t>
      </w:r>
      <w:r>
        <w:rPr>
          <w:rFonts w:hint="eastAsia" w:ascii="仿宋" w:hAnsi="仿宋" w:eastAsia="仿宋"/>
          <w:bCs/>
          <w:color w:val="auto"/>
          <w:sz w:val="24"/>
          <w:szCs w:val="24"/>
          <w:highlight w:val="none"/>
          <w:lang w:val="en-US" w:eastAsia="zh-CN"/>
        </w:rPr>
        <w:t>（提供法人或者其他组织的营业执照，自然人的身份证明）</w:t>
      </w:r>
      <w:r>
        <w:rPr>
          <w:rFonts w:hint="eastAsia" w:ascii="仿宋" w:hAnsi="仿宋" w:eastAsia="仿宋"/>
          <w:bCs/>
          <w:color w:val="auto"/>
          <w:sz w:val="24"/>
          <w:szCs w:val="24"/>
          <w:highlight w:val="none"/>
        </w:rPr>
        <w:t>；</w:t>
      </w:r>
    </w:p>
    <w:p w14:paraId="39951D4A">
      <w:pPr>
        <w:spacing w:line="360" w:lineRule="auto"/>
        <w:ind w:firstLine="360" w:firstLineChars="150"/>
        <w:rPr>
          <w:rFonts w:hint="eastAsia" w:ascii="仿宋" w:hAnsi="仿宋" w:eastAsia="仿宋"/>
          <w:bCs/>
          <w:color w:val="auto"/>
          <w:sz w:val="24"/>
          <w:szCs w:val="24"/>
          <w:highlight w:val="none"/>
          <w:lang w:val="en-US" w:eastAsia="zh-CN"/>
        </w:rPr>
      </w:pPr>
      <w:r>
        <w:rPr>
          <w:rFonts w:hint="eastAsia" w:ascii="仿宋" w:hAnsi="仿宋" w:eastAsia="仿宋"/>
          <w:bCs/>
          <w:color w:val="auto"/>
          <w:sz w:val="24"/>
          <w:szCs w:val="24"/>
          <w:highlight w:val="none"/>
          <w:lang w:val="en-US" w:eastAsia="zh-CN"/>
        </w:rPr>
        <w:t>2.具有良好的商业信誉和健全的财务会计制度（提供参加本次采购前半年内任意一个月的会计报表（至少包括资产负债表和利润表）或者2025年度经审计的财务审计报告,成立不满一年无需提供)；</w:t>
      </w:r>
    </w:p>
    <w:p w14:paraId="1CAB0F28">
      <w:pPr>
        <w:spacing w:line="360" w:lineRule="auto"/>
        <w:ind w:firstLine="360" w:firstLineChars="150"/>
        <w:rPr>
          <w:rFonts w:hint="eastAsia" w:ascii="仿宋" w:hAnsi="仿宋" w:eastAsia="仿宋"/>
          <w:bCs/>
          <w:color w:val="auto"/>
          <w:sz w:val="24"/>
          <w:szCs w:val="24"/>
          <w:highlight w:val="none"/>
          <w:lang w:val="en-US" w:eastAsia="zh-CN"/>
        </w:rPr>
      </w:pPr>
      <w:r>
        <w:rPr>
          <w:rFonts w:hint="eastAsia" w:ascii="仿宋" w:hAnsi="仿宋" w:eastAsia="仿宋"/>
          <w:bCs/>
          <w:color w:val="auto"/>
          <w:sz w:val="24"/>
          <w:szCs w:val="24"/>
          <w:highlight w:val="none"/>
          <w:lang w:val="en-US" w:eastAsia="zh-CN"/>
        </w:rPr>
        <w:t>3.具有履行合同所必需的设备和专业技术能力（根据项目需求提供履行合同所必需的设备和专业技术能力的声明或证明材料）；</w:t>
      </w:r>
    </w:p>
    <w:p w14:paraId="3CC159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4.有依法缴纳税收和社会保障资金的良好记录（</w:t>
      </w:r>
      <w:r>
        <w:rPr>
          <w:rFonts w:hint="eastAsia" w:ascii="仿宋" w:hAnsi="仿宋" w:eastAsia="仿宋"/>
          <w:bCs/>
          <w:color w:val="auto"/>
          <w:sz w:val="24"/>
          <w:szCs w:val="24"/>
          <w:highlight w:val="none"/>
          <w:lang w:val="en-US" w:eastAsia="zh-CN"/>
        </w:rPr>
        <w:t>提供参加本次采购前半年内</w:t>
      </w:r>
      <w:r>
        <w:rPr>
          <w:rFonts w:hint="eastAsia" w:ascii="仿宋" w:hAnsi="仿宋" w:eastAsia="仿宋" w:cs="仿宋"/>
          <w:color w:val="auto"/>
          <w:sz w:val="24"/>
          <w:szCs w:val="24"/>
          <w:highlight w:val="none"/>
          <w:lang w:val="en-US" w:eastAsia="zh-CN"/>
        </w:rPr>
        <w:t>任意一个月依法缴纳税收和社会保障资金证明材料；根据国家相关政策免缴或迟缴的须提供相关证明材料）；</w:t>
      </w:r>
    </w:p>
    <w:p w14:paraId="13B9466B">
      <w:pPr>
        <w:spacing w:line="360" w:lineRule="auto"/>
        <w:ind w:firstLine="360" w:firstLineChars="15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5.参加政府采购活动前三年内，在经营活动中没有重大违法记录（提供参加本次政府采购活动前3年内在经营活动中没有重大违法记录的书面声明）</w:t>
      </w:r>
    </w:p>
    <w:p w14:paraId="234736A8">
      <w:pPr>
        <w:spacing w:line="360" w:lineRule="auto"/>
        <w:ind w:firstLine="360" w:firstLineChars="15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6.根据《关于在政府采购活动中推行信用承诺制的通知》宁财购通〔2021〕5号规定，在政府采购资格审查环节，供应商只需提供书面《南京市政府采购供应商信用承诺书》（详见第六章附件十二）</w:t>
      </w:r>
    </w:p>
    <w:bookmarkEnd w:id="25"/>
    <w:bookmarkEnd w:id="26"/>
    <w:bookmarkEnd w:id="27"/>
    <w:bookmarkEnd w:id="28"/>
    <w:p w14:paraId="51A202B2">
      <w:pPr>
        <w:numPr>
          <w:ilvl w:val="0"/>
          <w:numId w:val="3"/>
        </w:num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rPr>
      </w:pPr>
      <w:bookmarkStart w:id="29" w:name="_Toc28359019"/>
      <w:bookmarkStart w:id="30" w:name="_Toc35393637"/>
      <w:bookmarkStart w:id="31" w:name="_Toc35393806"/>
      <w:bookmarkStart w:id="32" w:name="_Toc28359096"/>
      <w:r>
        <w:rPr>
          <w:rFonts w:hint="eastAsia" w:ascii="仿宋" w:hAnsi="仿宋" w:eastAsia="仿宋" w:cs="仿宋"/>
          <w:i w:val="0"/>
          <w:iCs w:val="0"/>
          <w:caps w:val="0"/>
          <w:color w:val="auto"/>
          <w:spacing w:val="0"/>
          <w:sz w:val="24"/>
          <w:szCs w:val="24"/>
          <w:highlight w:val="none"/>
          <w:shd w:val="clear" w:fill="FFFFFF"/>
        </w:rPr>
        <w:t>落实政府采购政策需满足的资格要求：</w:t>
      </w:r>
    </w:p>
    <w:p w14:paraId="69862C4A">
      <w:pPr>
        <w:pStyle w:val="6"/>
        <w:spacing w:line="360" w:lineRule="auto"/>
        <w:rPr>
          <w:rFonts w:hint="eastAsia" w:ascii="仿宋" w:hAnsi="仿宋" w:eastAsia="仿宋" w:cs="Times New Roman"/>
          <w:bCs/>
          <w:color w:val="auto"/>
          <w:kern w:val="2"/>
          <w:sz w:val="24"/>
          <w:szCs w:val="24"/>
          <w:highlight w:val="none"/>
          <w:lang w:val="en-US" w:eastAsia="zh-CN" w:bidi="ar-SA"/>
        </w:rPr>
      </w:pPr>
      <w:r>
        <w:rPr>
          <w:rFonts w:hint="eastAsia" w:ascii="仿宋" w:hAnsi="仿宋" w:eastAsia="仿宋" w:cs="Times New Roman"/>
          <w:bCs/>
          <w:color w:val="auto"/>
          <w:kern w:val="2"/>
          <w:sz w:val="24"/>
          <w:szCs w:val="24"/>
          <w:highlight w:val="none"/>
          <w:lang w:val="en-US" w:eastAsia="zh-CN" w:bidi="ar-SA"/>
        </w:rPr>
        <w:t xml:space="preserve">本项目按照采用以下第（4）种方式落实政府采购促进中小企业发展的要求（如属于专门面向中小企业采购的项目，供应商应为中小微企业、监狱企业、残疾人福利性单位）： </w:t>
      </w:r>
    </w:p>
    <w:p w14:paraId="463D894E">
      <w:pPr>
        <w:pStyle w:val="6"/>
        <w:spacing w:line="360" w:lineRule="auto"/>
        <w:rPr>
          <w:rFonts w:hint="eastAsia" w:ascii="仿宋" w:hAnsi="仿宋" w:eastAsia="仿宋" w:cs="Times New Roman"/>
          <w:bCs/>
          <w:color w:val="auto"/>
          <w:kern w:val="2"/>
          <w:sz w:val="24"/>
          <w:szCs w:val="24"/>
          <w:highlight w:val="none"/>
          <w:lang w:val="en-US" w:eastAsia="zh-CN" w:bidi="ar-SA"/>
        </w:rPr>
      </w:pPr>
      <w:r>
        <w:rPr>
          <w:rFonts w:hint="eastAsia" w:ascii="仿宋" w:hAnsi="仿宋" w:eastAsia="仿宋" w:cs="Times New Roman"/>
          <w:bCs/>
          <w:color w:val="auto"/>
          <w:kern w:val="2"/>
          <w:sz w:val="24"/>
          <w:szCs w:val="24"/>
          <w:highlight w:val="none"/>
          <w:lang w:val="en-US" w:eastAsia="zh-CN" w:bidi="ar-SA"/>
        </w:rPr>
        <w:t>（1）本项目整体专门面向中小企业采购服务。</w:t>
      </w:r>
    </w:p>
    <w:p w14:paraId="0C76DBD3">
      <w:pPr>
        <w:pStyle w:val="6"/>
        <w:spacing w:line="360" w:lineRule="auto"/>
        <w:rPr>
          <w:rFonts w:hint="eastAsia" w:ascii="仿宋" w:hAnsi="仿宋" w:eastAsia="仿宋" w:cs="Times New Roman"/>
          <w:bCs/>
          <w:color w:val="auto"/>
          <w:kern w:val="2"/>
          <w:sz w:val="24"/>
          <w:szCs w:val="24"/>
          <w:highlight w:val="none"/>
          <w:lang w:val="en-US" w:eastAsia="zh-CN" w:bidi="ar-SA"/>
        </w:rPr>
      </w:pPr>
      <w:r>
        <w:rPr>
          <w:rFonts w:hint="eastAsia" w:ascii="仿宋" w:hAnsi="仿宋" w:eastAsia="仿宋" w:cs="Times New Roman"/>
          <w:bCs/>
          <w:color w:val="auto"/>
          <w:kern w:val="2"/>
          <w:sz w:val="24"/>
          <w:szCs w:val="24"/>
          <w:highlight w:val="none"/>
          <w:lang w:val="en-US" w:eastAsia="zh-CN" w:bidi="ar-SA"/>
        </w:rPr>
        <w:t xml:space="preserve">（2）本项目整体专门面向小微企业采购服务。 </w:t>
      </w:r>
    </w:p>
    <w:p w14:paraId="13B15882">
      <w:pPr>
        <w:pStyle w:val="6"/>
        <w:spacing w:line="360" w:lineRule="auto"/>
        <w:rPr>
          <w:rFonts w:hint="eastAsia" w:ascii="仿宋" w:hAnsi="仿宋" w:eastAsia="仿宋" w:cs="Times New Roman"/>
          <w:bCs/>
          <w:color w:val="auto"/>
          <w:kern w:val="2"/>
          <w:sz w:val="24"/>
          <w:szCs w:val="24"/>
          <w:highlight w:val="none"/>
          <w:lang w:val="en-US" w:eastAsia="zh-CN" w:bidi="ar-SA"/>
        </w:rPr>
      </w:pPr>
      <w:r>
        <w:rPr>
          <w:rFonts w:hint="eastAsia" w:ascii="仿宋" w:hAnsi="仿宋" w:eastAsia="仿宋" w:cs="Times New Roman"/>
          <w:bCs/>
          <w:color w:val="auto"/>
          <w:kern w:val="2"/>
          <w:sz w:val="24"/>
          <w:szCs w:val="24"/>
          <w:highlight w:val="none"/>
          <w:lang w:val="en-US" w:eastAsia="zh-CN" w:bidi="ar-SA"/>
        </w:rPr>
        <w:t xml:space="preserve">（3）本项目通过以下第（）种方式预留部分采购份额采购中小企业服务： </w:t>
      </w:r>
    </w:p>
    <w:p w14:paraId="26E8344E">
      <w:pPr>
        <w:pStyle w:val="6"/>
        <w:spacing w:line="360" w:lineRule="auto"/>
        <w:rPr>
          <w:rFonts w:hint="eastAsia" w:ascii="仿宋" w:hAnsi="仿宋" w:eastAsia="仿宋" w:cs="Times New Roman"/>
          <w:bCs/>
          <w:color w:val="auto"/>
          <w:kern w:val="2"/>
          <w:sz w:val="24"/>
          <w:szCs w:val="24"/>
          <w:highlight w:val="none"/>
          <w:lang w:val="en-US" w:eastAsia="zh-CN" w:bidi="ar-SA"/>
        </w:rPr>
      </w:pPr>
      <w:r>
        <w:rPr>
          <w:rFonts w:hint="eastAsia" w:ascii="仿宋" w:hAnsi="仿宋" w:eastAsia="仿宋" w:cs="Times New Roman"/>
          <w:bCs/>
          <w:color w:val="auto"/>
          <w:kern w:val="2"/>
          <w:sz w:val="24"/>
          <w:szCs w:val="24"/>
          <w:highlight w:val="none"/>
          <w:lang w:val="en-US" w:eastAsia="zh-CN" w:bidi="ar-SA"/>
        </w:rPr>
        <w:t xml:space="preserve">①本项目要求供应商以联合体形式参加，中小企业合同金额应当达到的比例为%。 </w:t>
      </w:r>
    </w:p>
    <w:p w14:paraId="62EA86AB">
      <w:pPr>
        <w:pStyle w:val="6"/>
        <w:spacing w:line="360" w:lineRule="auto"/>
        <w:rPr>
          <w:rFonts w:hint="eastAsia" w:ascii="仿宋" w:hAnsi="仿宋" w:eastAsia="仿宋" w:cs="Times New Roman"/>
          <w:bCs/>
          <w:color w:val="auto"/>
          <w:kern w:val="2"/>
          <w:sz w:val="24"/>
          <w:szCs w:val="24"/>
          <w:highlight w:val="none"/>
          <w:lang w:val="en-US" w:eastAsia="zh-CN" w:bidi="ar-SA"/>
        </w:rPr>
      </w:pPr>
      <w:r>
        <w:rPr>
          <w:rFonts w:hint="eastAsia" w:ascii="仿宋" w:hAnsi="仿宋" w:eastAsia="仿宋" w:cs="Times New Roman"/>
          <w:bCs/>
          <w:color w:val="auto"/>
          <w:kern w:val="2"/>
          <w:sz w:val="24"/>
          <w:szCs w:val="24"/>
          <w:highlight w:val="none"/>
          <w:lang w:val="en-US" w:eastAsia="zh-CN" w:bidi="ar-SA"/>
        </w:rPr>
        <w:t xml:space="preserve">②本项目要求供应商进行合同分包，中小企业合同金额应当达到的比例为%。 </w:t>
      </w:r>
    </w:p>
    <w:p w14:paraId="5F02EC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textAlignment w:val="auto"/>
        <w:rPr>
          <w:rFonts w:hint="eastAsia" w:ascii="仿宋" w:hAnsi="仿宋" w:eastAsia="仿宋" w:cs="Times New Roman"/>
          <w:bCs/>
          <w:color w:val="auto"/>
          <w:kern w:val="2"/>
          <w:sz w:val="24"/>
          <w:szCs w:val="24"/>
          <w:highlight w:val="none"/>
          <w:lang w:val="en-US" w:eastAsia="zh-CN" w:bidi="ar-SA"/>
        </w:rPr>
      </w:pPr>
      <w:r>
        <w:rPr>
          <w:rFonts w:hint="eastAsia" w:ascii="仿宋" w:hAnsi="仿宋" w:eastAsia="仿宋" w:cs="Times New Roman"/>
          <w:bCs/>
          <w:color w:val="auto"/>
          <w:kern w:val="2"/>
          <w:sz w:val="24"/>
          <w:szCs w:val="24"/>
          <w:highlight w:val="none"/>
          <w:lang w:val="en-US" w:eastAsia="zh-CN" w:bidi="ar-SA"/>
        </w:rPr>
        <w:t>（4）本项目为非预留份额的采购项目或采购包，执行价格扣除优惠政策，具体详见采购文件</w:t>
      </w:r>
    </w:p>
    <w:p w14:paraId="0EF01EC6">
      <w:pPr>
        <w:numPr>
          <w:ilvl w:val="0"/>
          <w:numId w:val="3"/>
        </w:numPr>
        <w:spacing w:line="360" w:lineRule="auto"/>
        <w:ind w:left="0" w:leftChars="0"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rPr>
        <w:t>本项目的特定资格要求：</w:t>
      </w:r>
      <w:r>
        <w:rPr>
          <w:rFonts w:hint="eastAsia" w:ascii="仿宋" w:hAnsi="仿宋" w:eastAsia="仿宋" w:cs="仿宋"/>
          <w:i w:val="0"/>
          <w:iCs w:val="0"/>
          <w:caps w:val="0"/>
          <w:color w:val="auto"/>
          <w:spacing w:val="0"/>
          <w:sz w:val="24"/>
          <w:szCs w:val="24"/>
          <w:highlight w:val="none"/>
          <w:shd w:val="clear" w:fill="FFFFFF"/>
          <w:lang w:val="en-US" w:eastAsia="zh-CN"/>
        </w:rPr>
        <w:t>供应商具有有效期内的《食品经营许可证》或《食品生产许可证》。（提供有效期内的证书原件扫描件加盖公章。）</w:t>
      </w:r>
    </w:p>
    <w:p w14:paraId="04A5CABB">
      <w:pPr>
        <w:pStyle w:val="3"/>
        <w:keepNext w:val="0"/>
        <w:keepLines w:val="0"/>
        <w:widowControl/>
        <w:suppressLineNumbers w:val="0"/>
        <w:shd w:val="clear" w:fill="FFFFFF"/>
        <w:spacing w:before="0" w:beforeAutospacing="0" w:after="0" w:afterAutospacing="0" w:line="360" w:lineRule="auto"/>
        <w:ind w:left="0" w:right="0" w:firstLine="0"/>
        <w:rPr>
          <w:rStyle w:val="30"/>
          <w:rFonts w:hint="eastAsia" w:ascii="仿宋" w:hAnsi="仿宋" w:eastAsia="仿宋" w:cs="仿宋"/>
          <w:i w:val="0"/>
          <w:iCs w:val="0"/>
          <w:caps w:val="0"/>
          <w:color w:val="auto"/>
          <w:spacing w:val="0"/>
          <w:sz w:val="24"/>
          <w:szCs w:val="24"/>
          <w:highlight w:val="none"/>
          <w:shd w:val="clear" w:fill="FFFFFF"/>
          <w:lang w:eastAsia="zh-CN"/>
        </w:rPr>
      </w:pPr>
      <w:r>
        <w:rPr>
          <w:rStyle w:val="30"/>
          <w:rFonts w:hint="eastAsia" w:ascii="仿宋" w:hAnsi="仿宋" w:eastAsia="仿宋" w:cs="仿宋"/>
          <w:i w:val="0"/>
          <w:iCs w:val="0"/>
          <w:caps w:val="0"/>
          <w:color w:val="auto"/>
          <w:spacing w:val="0"/>
          <w:sz w:val="24"/>
          <w:szCs w:val="24"/>
          <w:highlight w:val="none"/>
          <w:shd w:val="clear" w:fill="FFFFFF"/>
          <w:lang w:eastAsia="zh-CN"/>
        </w:rPr>
        <w:t>三、获取采购文件</w:t>
      </w:r>
    </w:p>
    <w:p w14:paraId="79D6C969">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bookmarkStart w:id="33" w:name="_Toc35393632"/>
      <w:bookmarkStart w:id="34" w:name="_Toc28359015"/>
      <w:bookmarkStart w:id="35" w:name="_Toc35393801"/>
      <w:bookmarkStart w:id="36" w:name="_Toc28359092"/>
      <w:r>
        <w:rPr>
          <w:rFonts w:hint="eastAsia" w:ascii="仿宋" w:hAnsi="仿宋" w:eastAsia="仿宋" w:cs="仿宋"/>
          <w:i w:val="0"/>
          <w:iCs w:val="0"/>
          <w:caps w:val="0"/>
          <w:color w:val="auto"/>
          <w:spacing w:val="0"/>
          <w:sz w:val="24"/>
          <w:szCs w:val="24"/>
          <w:highlight w:val="none"/>
          <w:shd w:val="clear" w:fill="FFFFFF"/>
          <w:lang w:eastAsia="zh-CN"/>
        </w:rPr>
        <w:t>时间：自招标文件公告发布之日起</w:t>
      </w:r>
      <w:r>
        <w:rPr>
          <w:rFonts w:hint="eastAsia" w:ascii="仿宋" w:hAnsi="仿宋" w:eastAsia="仿宋" w:cs="仿宋"/>
          <w:i w:val="0"/>
          <w:iCs w:val="0"/>
          <w:caps w:val="0"/>
          <w:color w:val="auto"/>
          <w:spacing w:val="0"/>
          <w:sz w:val="24"/>
          <w:szCs w:val="24"/>
          <w:highlight w:val="none"/>
          <w:shd w:val="clear" w:fill="FFFFFF"/>
          <w:lang w:val="en-US" w:eastAsia="zh-CN"/>
        </w:rPr>
        <w:t>5个工作日</w:t>
      </w:r>
    </w:p>
    <w:p w14:paraId="6066DF14">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lang w:eastAsia="zh-CN"/>
        </w:rPr>
        <w:t>地点：江苏政府采购网</w:t>
      </w:r>
    </w:p>
    <w:p w14:paraId="2C02D215">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lang w:eastAsia="zh-CN"/>
        </w:rPr>
        <w:t>方式：</w:t>
      </w:r>
      <w:bookmarkStart w:id="37" w:name="_Hlk62814426"/>
      <w:r>
        <w:rPr>
          <w:rFonts w:hint="eastAsia" w:ascii="仿宋" w:hAnsi="仿宋" w:eastAsia="仿宋" w:cs="仿宋"/>
          <w:i w:val="0"/>
          <w:iCs w:val="0"/>
          <w:caps w:val="0"/>
          <w:color w:val="auto"/>
          <w:spacing w:val="0"/>
          <w:sz w:val="24"/>
          <w:szCs w:val="24"/>
          <w:highlight w:val="none"/>
          <w:shd w:val="clear" w:fill="FFFFFF"/>
          <w:lang w:eastAsia="zh-CN"/>
        </w:rPr>
        <w:t>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2A79243B">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eastAsia="zh-CN"/>
        </w:rPr>
        <w:t>磋商文件费用：</w:t>
      </w:r>
      <w:r>
        <w:rPr>
          <w:rFonts w:hint="eastAsia" w:ascii="仿宋" w:hAnsi="仿宋" w:eastAsia="仿宋" w:cs="仿宋"/>
          <w:i w:val="0"/>
          <w:iCs w:val="0"/>
          <w:caps w:val="0"/>
          <w:color w:val="auto"/>
          <w:spacing w:val="0"/>
          <w:sz w:val="24"/>
          <w:szCs w:val="24"/>
          <w:highlight w:val="none"/>
          <w:shd w:val="clear" w:fill="FFFFFF"/>
          <w:lang w:val="en-US" w:eastAsia="zh-CN"/>
        </w:rPr>
        <w:t>0元</w:t>
      </w:r>
    </w:p>
    <w:bookmarkEnd w:id="37"/>
    <w:p w14:paraId="25E1C5DC">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lang w:eastAsia="zh-CN"/>
        </w:rPr>
        <w:t>四、电子磋商响应文件的提交</w:t>
      </w:r>
    </w:p>
    <w:p w14:paraId="68E6B146">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lang w:eastAsia="zh-CN"/>
        </w:rPr>
        <w:t xml:space="preserve">截止时间：2026年9月7日14时30分（北京时间） </w:t>
      </w:r>
    </w:p>
    <w:p w14:paraId="36C9EB20">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lang w:eastAsia="zh-CN"/>
        </w:rPr>
        <w:t>地点：江苏省政府采购交易系统（以下简称“苏采云系统”）网上开标大厅。</w:t>
      </w:r>
    </w:p>
    <w:p w14:paraId="09EA7333">
      <w:pPr>
        <w:pStyle w:val="3"/>
        <w:keepNext w:val="0"/>
        <w:keepLines w:val="0"/>
        <w:widowControl/>
        <w:suppressLineNumbers w:val="0"/>
        <w:shd w:val="clear" w:fill="FFFFFF"/>
        <w:spacing w:before="0" w:beforeAutospacing="0" w:after="0" w:afterAutospacing="0" w:line="360" w:lineRule="auto"/>
        <w:ind w:left="0" w:right="0" w:firstLine="0"/>
        <w:rPr>
          <w:rStyle w:val="30"/>
          <w:rFonts w:hint="eastAsia" w:ascii="仿宋" w:hAnsi="仿宋" w:eastAsia="仿宋" w:cs="仿宋"/>
          <w:i w:val="0"/>
          <w:iCs w:val="0"/>
          <w:caps w:val="0"/>
          <w:color w:val="auto"/>
          <w:spacing w:val="0"/>
          <w:sz w:val="24"/>
          <w:szCs w:val="24"/>
          <w:highlight w:val="none"/>
          <w:shd w:val="clear" w:fill="FFFFFF"/>
          <w:lang w:val="en-US" w:eastAsia="zh-CN"/>
        </w:rPr>
      </w:pPr>
      <w:r>
        <w:rPr>
          <w:rStyle w:val="30"/>
          <w:rFonts w:hint="eastAsia" w:ascii="仿宋" w:hAnsi="仿宋" w:eastAsia="仿宋" w:cs="仿宋"/>
          <w:i w:val="0"/>
          <w:iCs w:val="0"/>
          <w:caps w:val="0"/>
          <w:color w:val="auto"/>
          <w:spacing w:val="0"/>
          <w:sz w:val="24"/>
          <w:szCs w:val="24"/>
          <w:highlight w:val="none"/>
          <w:shd w:val="clear" w:fill="FFFFFF"/>
          <w:lang w:val="en-US" w:eastAsia="zh-CN"/>
        </w:rPr>
        <w:t>四、响应文件提交</w:t>
      </w:r>
      <w:bookmarkEnd w:id="33"/>
      <w:bookmarkEnd w:id="34"/>
      <w:bookmarkEnd w:id="35"/>
      <w:bookmarkEnd w:id="36"/>
    </w:p>
    <w:p w14:paraId="0C87F671">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rPr>
      </w:pPr>
      <w:bookmarkStart w:id="38" w:name="_Toc28359093"/>
      <w:bookmarkStart w:id="39" w:name="_Toc35393802"/>
      <w:bookmarkStart w:id="40" w:name="_Toc28359016"/>
      <w:bookmarkStart w:id="41" w:name="_Toc35393633"/>
      <w:r>
        <w:rPr>
          <w:rFonts w:hint="eastAsia" w:ascii="仿宋" w:hAnsi="仿宋" w:eastAsia="仿宋" w:cs="仿宋"/>
          <w:i w:val="0"/>
          <w:iCs w:val="0"/>
          <w:caps w:val="0"/>
          <w:color w:val="auto"/>
          <w:spacing w:val="0"/>
          <w:sz w:val="24"/>
          <w:szCs w:val="24"/>
          <w:highlight w:val="none"/>
          <w:shd w:val="clear" w:fill="FFFFFF"/>
        </w:rPr>
        <w:t>截止时间：</w:t>
      </w:r>
      <w:r>
        <w:rPr>
          <w:rFonts w:hint="eastAsia" w:ascii="仿宋" w:hAnsi="仿宋" w:eastAsia="仿宋" w:cs="仿宋"/>
          <w:i w:val="0"/>
          <w:iCs w:val="0"/>
          <w:caps w:val="0"/>
          <w:color w:val="auto"/>
          <w:spacing w:val="0"/>
          <w:sz w:val="24"/>
          <w:szCs w:val="24"/>
          <w:highlight w:val="none"/>
          <w:shd w:val="clear" w:fill="FFFFFF"/>
          <w:lang w:eastAsia="zh-CN"/>
        </w:rPr>
        <w:t>2026年9月7日14时30分</w:t>
      </w:r>
      <w:r>
        <w:rPr>
          <w:rFonts w:hint="eastAsia" w:ascii="仿宋" w:hAnsi="仿宋" w:eastAsia="仿宋" w:cs="仿宋"/>
          <w:i w:val="0"/>
          <w:iCs w:val="0"/>
          <w:caps w:val="0"/>
          <w:color w:val="auto"/>
          <w:spacing w:val="0"/>
          <w:sz w:val="24"/>
          <w:szCs w:val="24"/>
          <w:highlight w:val="none"/>
          <w:shd w:val="clear" w:fill="FFFFFF"/>
        </w:rPr>
        <w:t>（北京时间）</w:t>
      </w:r>
    </w:p>
    <w:p w14:paraId="7F9B6030">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lang w:eastAsia="zh-CN"/>
        </w:rPr>
        <w:t>地点：江苏省政府采购交易系统（以下简称“苏采云系统”）网上开标大厅。</w:t>
      </w:r>
    </w:p>
    <w:p w14:paraId="0A7BE2E4">
      <w:pPr>
        <w:pStyle w:val="3"/>
        <w:keepNext w:val="0"/>
        <w:keepLines w:val="0"/>
        <w:widowControl/>
        <w:suppressLineNumbers w:val="0"/>
        <w:shd w:val="clear" w:fill="FFFFFF"/>
        <w:spacing w:before="0" w:beforeAutospacing="0" w:after="0" w:afterAutospacing="0" w:line="360" w:lineRule="auto"/>
        <w:ind w:left="0" w:right="0" w:firstLine="0"/>
        <w:rPr>
          <w:rStyle w:val="30"/>
          <w:rFonts w:hint="eastAsia" w:ascii="仿宋" w:hAnsi="仿宋" w:eastAsia="仿宋" w:cs="仿宋"/>
          <w:i w:val="0"/>
          <w:iCs w:val="0"/>
          <w:caps w:val="0"/>
          <w:color w:val="auto"/>
          <w:spacing w:val="0"/>
          <w:sz w:val="24"/>
          <w:szCs w:val="24"/>
          <w:highlight w:val="none"/>
          <w:shd w:val="clear" w:fill="FFFFFF"/>
          <w:lang w:val="en-US" w:eastAsia="zh-CN"/>
        </w:rPr>
      </w:pPr>
      <w:r>
        <w:rPr>
          <w:rStyle w:val="30"/>
          <w:rFonts w:hint="eastAsia" w:ascii="仿宋" w:hAnsi="仿宋" w:eastAsia="仿宋" w:cs="仿宋"/>
          <w:i w:val="0"/>
          <w:iCs w:val="0"/>
          <w:caps w:val="0"/>
          <w:color w:val="auto"/>
          <w:spacing w:val="0"/>
          <w:sz w:val="24"/>
          <w:szCs w:val="24"/>
          <w:highlight w:val="none"/>
          <w:shd w:val="clear" w:fill="FFFFFF"/>
          <w:lang w:val="en-US" w:eastAsia="zh-CN"/>
        </w:rPr>
        <w:t>五、开启</w:t>
      </w:r>
      <w:bookmarkEnd w:id="38"/>
      <w:bookmarkEnd w:id="39"/>
      <w:bookmarkEnd w:id="40"/>
      <w:bookmarkEnd w:id="41"/>
      <w:r>
        <w:rPr>
          <w:rStyle w:val="30"/>
          <w:rFonts w:hint="eastAsia" w:ascii="仿宋" w:hAnsi="仿宋" w:eastAsia="仿宋" w:cs="仿宋"/>
          <w:i w:val="0"/>
          <w:iCs w:val="0"/>
          <w:caps w:val="0"/>
          <w:color w:val="auto"/>
          <w:spacing w:val="0"/>
          <w:sz w:val="24"/>
          <w:szCs w:val="24"/>
          <w:highlight w:val="none"/>
          <w:shd w:val="clear" w:fill="FFFFFF"/>
          <w:lang w:val="en-US" w:eastAsia="zh-CN"/>
        </w:rPr>
        <w:t xml:space="preserve"> </w:t>
      </w:r>
    </w:p>
    <w:p w14:paraId="66EF2723">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时间：</w:t>
      </w:r>
      <w:r>
        <w:rPr>
          <w:rFonts w:hint="eastAsia" w:ascii="仿宋" w:hAnsi="仿宋" w:eastAsia="仿宋" w:cs="仿宋"/>
          <w:i w:val="0"/>
          <w:iCs w:val="0"/>
          <w:caps w:val="0"/>
          <w:color w:val="auto"/>
          <w:spacing w:val="0"/>
          <w:sz w:val="24"/>
          <w:szCs w:val="24"/>
          <w:highlight w:val="none"/>
          <w:shd w:val="clear" w:fill="FFFFFF"/>
          <w:lang w:eastAsia="zh-CN"/>
        </w:rPr>
        <w:t>2026年9月7日14时30分</w:t>
      </w:r>
      <w:r>
        <w:rPr>
          <w:rFonts w:hint="eastAsia" w:ascii="仿宋" w:hAnsi="仿宋" w:eastAsia="仿宋" w:cs="仿宋"/>
          <w:i w:val="0"/>
          <w:iCs w:val="0"/>
          <w:caps w:val="0"/>
          <w:color w:val="auto"/>
          <w:spacing w:val="0"/>
          <w:sz w:val="24"/>
          <w:szCs w:val="24"/>
          <w:highlight w:val="none"/>
          <w:shd w:val="clear" w:fill="FFFFFF"/>
          <w:lang w:val="en-US" w:eastAsia="zh-CN"/>
        </w:rPr>
        <w:t>（北京时间）</w:t>
      </w:r>
    </w:p>
    <w:p w14:paraId="2FEA0BF0">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bookmarkStart w:id="42" w:name="_Toc28359017"/>
      <w:bookmarkStart w:id="43" w:name="_Toc35393634"/>
      <w:bookmarkStart w:id="44" w:name="_Toc28359094"/>
      <w:bookmarkStart w:id="45" w:name="_Toc35393803"/>
      <w:r>
        <w:rPr>
          <w:rFonts w:hint="eastAsia" w:ascii="仿宋" w:hAnsi="仿宋" w:eastAsia="仿宋" w:cs="仿宋"/>
          <w:i w:val="0"/>
          <w:iCs w:val="0"/>
          <w:caps w:val="0"/>
          <w:color w:val="auto"/>
          <w:spacing w:val="0"/>
          <w:sz w:val="24"/>
          <w:szCs w:val="24"/>
          <w:highlight w:val="none"/>
          <w:shd w:val="clear" w:fill="FFFFFF"/>
          <w:lang w:eastAsia="zh-CN"/>
        </w:rPr>
        <w:t>地点：江苏省政府采购交易系统（以下简称“苏采云系统”）网上开标大厅。</w:t>
      </w:r>
      <w:r>
        <w:rPr>
          <w:rFonts w:hint="eastAsia" w:ascii="仿宋" w:hAnsi="仿宋" w:eastAsia="仿宋" w:cs="仿宋"/>
          <w:i w:val="0"/>
          <w:iCs w:val="0"/>
          <w:caps w:val="0"/>
          <w:color w:val="auto"/>
          <w:spacing w:val="0"/>
          <w:sz w:val="24"/>
          <w:szCs w:val="24"/>
          <w:highlight w:val="none"/>
          <w:shd w:val="clear" w:fill="FFFFFF"/>
          <w:lang w:val="en-US" w:eastAsia="zh-CN"/>
        </w:rPr>
        <w:t xml:space="preserve"> </w:t>
      </w:r>
    </w:p>
    <w:p w14:paraId="7EBDB5DD">
      <w:pPr>
        <w:pStyle w:val="3"/>
        <w:keepNext w:val="0"/>
        <w:keepLines w:val="0"/>
        <w:widowControl/>
        <w:suppressLineNumbers w:val="0"/>
        <w:shd w:val="clear" w:fill="FFFFFF"/>
        <w:spacing w:before="0" w:beforeAutospacing="0" w:after="0" w:afterAutospacing="0" w:line="360" w:lineRule="auto"/>
        <w:ind w:left="0" w:right="0" w:firstLine="0"/>
        <w:rPr>
          <w:rStyle w:val="30"/>
          <w:rFonts w:hint="eastAsia" w:ascii="仿宋" w:hAnsi="仿宋" w:eastAsia="仿宋" w:cs="仿宋"/>
          <w:i w:val="0"/>
          <w:iCs w:val="0"/>
          <w:caps w:val="0"/>
          <w:color w:val="auto"/>
          <w:spacing w:val="0"/>
          <w:sz w:val="24"/>
          <w:szCs w:val="24"/>
          <w:highlight w:val="none"/>
          <w:shd w:val="clear" w:fill="FFFFFF"/>
          <w:lang w:val="en-US" w:eastAsia="zh-CN"/>
        </w:rPr>
      </w:pPr>
      <w:r>
        <w:rPr>
          <w:rStyle w:val="30"/>
          <w:rFonts w:hint="eastAsia" w:ascii="仿宋" w:hAnsi="仿宋" w:eastAsia="仿宋" w:cs="仿宋"/>
          <w:i w:val="0"/>
          <w:iCs w:val="0"/>
          <w:caps w:val="0"/>
          <w:color w:val="auto"/>
          <w:spacing w:val="0"/>
          <w:sz w:val="24"/>
          <w:szCs w:val="24"/>
          <w:highlight w:val="none"/>
          <w:shd w:val="clear" w:fill="FFFFFF"/>
          <w:lang w:val="en-US" w:eastAsia="zh-CN"/>
        </w:rPr>
        <w:t>六、公告期限</w:t>
      </w:r>
      <w:bookmarkEnd w:id="42"/>
      <w:bookmarkEnd w:id="43"/>
      <w:bookmarkEnd w:id="44"/>
      <w:bookmarkEnd w:id="45"/>
    </w:p>
    <w:p w14:paraId="10779F97">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自本公告发布之日起5个工作日。</w:t>
      </w:r>
    </w:p>
    <w:p w14:paraId="77DCA5BF">
      <w:pPr>
        <w:pStyle w:val="3"/>
        <w:keepNext w:val="0"/>
        <w:keepLines w:val="0"/>
        <w:widowControl/>
        <w:suppressLineNumbers w:val="0"/>
        <w:shd w:val="clear" w:fill="FFFFFF"/>
        <w:spacing w:before="0" w:beforeAutospacing="0" w:after="0" w:afterAutospacing="0" w:line="360" w:lineRule="auto"/>
        <w:ind w:left="0" w:right="0" w:firstLine="0"/>
        <w:rPr>
          <w:rStyle w:val="30"/>
          <w:rFonts w:hint="eastAsia" w:ascii="仿宋" w:hAnsi="仿宋" w:eastAsia="仿宋" w:cs="仿宋"/>
          <w:i w:val="0"/>
          <w:iCs w:val="0"/>
          <w:caps w:val="0"/>
          <w:color w:val="auto"/>
          <w:spacing w:val="0"/>
          <w:sz w:val="24"/>
          <w:szCs w:val="24"/>
          <w:highlight w:val="none"/>
          <w:shd w:val="clear" w:fill="FFFFFF"/>
          <w:lang w:val="en-US" w:eastAsia="zh-CN"/>
        </w:rPr>
      </w:pPr>
      <w:bookmarkStart w:id="46" w:name="_Toc35393636"/>
      <w:bookmarkStart w:id="47" w:name="_Toc28359095"/>
      <w:bookmarkStart w:id="48" w:name="_Toc35393805"/>
      <w:bookmarkStart w:id="49" w:name="_Toc28359018"/>
      <w:r>
        <w:rPr>
          <w:rStyle w:val="30"/>
          <w:rFonts w:hint="eastAsia" w:ascii="仿宋" w:hAnsi="仿宋" w:eastAsia="仿宋" w:cs="仿宋"/>
          <w:i w:val="0"/>
          <w:iCs w:val="0"/>
          <w:caps w:val="0"/>
          <w:color w:val="auto"/>
          <w:spacing w:val="0"/>
          <w:sz w:val="24"/>
          <w:szCs w:val="24"/>
          <w:highlight w:val="none"/>
          <w:shd w:val="clear" w:fill="FFFFFF"/>
          <w:lang w:val="en-US" w:eastAsia="zh-CN"/>
        </w:rPr>
        <w:t>七、其他补充事宜</w:t>
      </w:r>
    </w:p>
    <w:p w14:paraId="20B831B4">
      <w:pPr>
        <w:spacing w:line="360" w:lineRule="auto"/>
        <w:ind w:firstLine="480" w:firstLineChars="200"/>
        <w:jc w:val="left"/>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p>
    <w:p w14:paraId="15C59CEE">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2. 潜在供应商访问政府采购管理交易系统（苏采云）的网络地址和方法：</w:t>
      </w:r>
    </w:p>
    <w:p w14:paraId="158B06FE">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D949540">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（2）“CA数字证书”的获取：供应商需办理CA锁，“苏采云”系统目前仅支持“苏采云”系统下的政务CA，省内各地区办理的“苏采云”系统下的政务CA全省通用。</w:t>
      </w:r>
    </w:p>
    <w:p w14:paraId="4B3B98CF">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（3）“CA数字证书”的办理材料以及供应商操作手册详见：http://jsxcmm.com/help/gys.html。</w:t>
      </w:r>
    </w:p>
    <w:p w14:paraId="7736B4BB">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（4）潜在供应商访问“苏采云”系统的网络地址和方法：“苏采云”系统的网址：http://jszfcg.jsczt.cn/jszc/login。</w:t>
      </w:r>
    </w:p>
    <w:p w14:paraId="4886EFF0">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（5）采购文件（后缀名为“.kedt”）、供应商操作手册及政府采购客户端工具也可通过“苏采云”系统--已报名项目--报名详情页面内相应链接进行下载。</w:t>
      </w:r>
    </w:p>
    <w:p w14:paraId="7C2F3E3D">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 xml:space="preserve">（6）招标代理机构（采购代理机构）将数据电文形式的采购文件加载至“苏采云”系统，供潜在供应商下载或者查阅。 </w:t>
      </w:r>
    </w:p>
    <w:p w14:paraId="5C00A490">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3.采购人不组织现场踏勘，供应商如需踏勘现场可自行联系采购人。</w:t>
      </w:r>
    </w:p>
    <w:p w14:paraId="128BC6A3">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kern w:val="2"/>
          <w:sz w:val="24"/>
          <w:szCs w:val="24"/>
          <w:highlight w:val="none"/>
          <w:shd w:val="clear" w:fill="FFFFFF"/>
          <w:lang w:val="en-US" w:eastAsia="zh-CN" w:bidi="ar-SA"/>
        </w:rPr>
        <w:t>4.</w:t>
      </w:r>
      <w:r>
        <w:rPr>
          <w:rFonts w:hint="eastAsia" w:ascii="仿宋" w:hAnsi="仿宋" w:eastAsia="仿宋" w:cs="仿宋"/>
          <w:i w:val="0"/>
          <w:iCs w:val="0"/>
          <w:caps w:val="0"/>
          <w:color w:val="auto"/>
          <w:spacing w:val="0"/>
          <w:sz w:val="24"/>
          <w:szCs w:val="24"/>
          <w:highlight w:val="none"/>
          <w:shd w:val="clear" w:fill="FFFFFF"/>
          <w:lang w:val="en-US" w:eastAsia="zh-CN"/>
        </w:rPr>
        <w:t>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投标人自行承担。有关本次招标的事项若存在变动或修改，敬请及时关注“江苏省政府采购网”“南京公共采购信息网”发布的信息更正公告。</w:t>
      </w:r>
    </w:p>
    <w:p w14:paraId="12AB04F8">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5.项目所属行业：根据《关于印发中小企业划型标准规定的通知》（工信部联企业〔2011〕300号）及《国家统计局关于印发&lt;统计上大中小微型企业划分办法（2017）&gt;的通知》（国统字〔2017〕213号）等文件规定，本项目所属行业为“其他未列明行业”。</w:t>
      </w:r>
    </w:p>
    <w:p w14:paraId="3DED2B6B">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6.在政府采购资格审查环节，供应商只需提供书面《南京市政府采购供应商信用记录表暨信用承诺书》，即可替代以下证明材料：（1）符合国家相关规定的财务状况报告；（2）依法缴纳税收的证明材料；（3</w:t>
      </w:r>
      <w:r>
        <w:rPr>
          <w:rFonts w:hint="eastAsia" w:ascii="仿宋" w:hAnsi="仿宋" w:eastAsia="仿宋" w:cs="仿宋"/>
          <w:color w:val="auto"/>
          <w:sz w:val="24"/>
          <w:szCs w:val="24"/>
          <w:highlight w:val="none"/>
          <w:lang w:val="en-US" w:eastAsia="zh-CN"/>
        </w:rPr>
        <w:t>）依法缴纳社会保障资金的证明材料；（4）具备履行政府采购合同所必需的设备和专业技术能力的证明材料；（5）参加政府采购活动前三</w:t>
      </w:r>
      <w:r>
        <w:rPr>
          <w:rFonts w:hint="eastAsia" w:ascii="仿宋" w:hAnsi="仿宋" w:eastAsia="仿宋" w:cs="仿宋"/>
          <w:i w:val="0"/>
          <w:iCs w:val="0"/>
          <w:caps w:val="0"/>
          <w:color w:val="auto"/>
          <w:spacing w:val="0"/>
          <w:sz w:val="24"/>
          <w:szCs w:val="24"/>
          <w:highlight w:val="none"/>
          <w:shd w:val="clear" w:fill="FFFFFF"/>
          <w:lang w:val="en-US" w:eastAsia="zh-CN"/>
        </w:rPr>
        <w:t>年内在经营活动中没有重大违法记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w:t>
      </w:r>
    </w:p>
    <w:p w14:paraId="5DAAEFE4">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①供应商被列入严重失信主体名单；</w:t>
      </w:r>
    </w:p>
    <w:p w14:paraId="4D260A53">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②被相关监管部门作出行政处罚且尚在处罚有效期内；</w:t>
      </w:r>
    </w:p>
    <w:p w14:paraId="46477F17">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③其他法律、行政法规规定的不适用信用承诺的情形。</w:t>
      </w:r>
    </w:p>
    <w:p w14:paraId="75895E0B">
      <w:pPr>
        <w:spacing w:line="360" w:lineRule="auto"/>
        <w:ind w:firstLine="480" w:firstLineChars="2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7.未被“信用中国”网站（www.creditchina.gov.cn）列入失信被执行人、重大税收违法案件当事人名单、政府采购严重违法失信行为记录名单（提供上述网站的查询结果网页截图）。</w:t>
      </w:r>
    </w:p>
    <w:p w14:paraId="725D762E">
      <w:pPr>
        <w:pStyle w:val="3"/>
        <w:keepNext w:val="0"/>
        <w:keepLines w:val="0"/>
        <w:widowControl/>
        <w:suppressLineNumbers w:val="0"/>
        <w:shd w:val="clear" w:fill="FFFFFF"/>
        <w:spacing w:before="0" w:beforeAutospacing="0" w:after="0" w:afterAutospacing="0" w:line="360" w:lineRule="auto"/>
        <w:ind w:left="0" w:right="0" w:firstLine="0"/>
        <w:rPr>
          <w:rStyle w:val="30"/>
          <w:rFonts w:hint="eastAsia" w:ascii="仿宋" w:hAnsi="仿宋" w:eastAsia="仿宋" w:cs="仿宋"/>
          <w:i w:val="0"/>
          <w:iCs w:val="0"/>
          <w:caps w:val="0"/>
          <w:color w:val="auto"/>
          <w:spacing w:val="0"/>
          <w:sz w:val="24"/>
          <w:szCs w:val="24"/>
          <w:highlight w:val="none"/>
          <w:shd w:val="clear" w:fill="FFFFFF"/>
          <w:lang w:val="en-US" w:eastAsia="zh-CN"/>
        </w:rPr>
      </w:pPr>
      <w:r>
        <w:rPr>
          <w:rStyle w:val="30"/>
          <w:rFonts w:hint="eastAsia" w:ascii="仿宋" w:hAnsi="仿宋" w:eastAsia="仿宋" w:cs="仿宋"/>
          <w:i w:val="0"/>
          <w:iCs w:val="0"/>
          <w:caps w:val="0"/>
          <w:color w:val="auto"/>
          <w:spacing w:val="0"/>
          <w:sz w:val="24"/>
          <w:szCs w:val="24"/>
          <w:highlight w:val="none"/>
          <w:shd w:val="clear" w:fill="FFFFFF"/>
          <w:lang w:val="en-US" w:eastAsia="zh-CN"/>
        </w:rPr>
        <w:t>八、凡对本次采购提出询问，请按以下方式联系。</w:t>
      </w:r>
      <w:bookmarkEnd w:id="46"/>
      <w:bookmarkEnd w:id="47"/>
      <w:bookmarkEnd w:id="48"/>
      <w:bookmarkEnd w:id="49"/>
    </w:p>
    <w:p w14:paraId="0644F5A7">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1.采购人信息</w:t>
      </w:r>
      <w:bookmarkEnd w:id="29"/>
      <w:bookmarkEnd w:id="30"/>
      <w:bookmarkEnd w:id="31"/>
      <w:bookmarkEnd w:id="32"/>
    </w:p>
    <w:p w14:paraId="012C2D3E">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lang w:val="en-US" w:eastAsia="zh-CN"/>
        </w:rPr>
      </w:pPr>
      <w:bookmarkStart w:id="50" w:name="_Toc35393638"/>
      <w:bookmarkStart w:id="51" w:name="_Toc28359020"/>
      <w:bookmarkStart w:id="52" w:name="_Toc35393807"/>
      <w:bookmarkStart w:id="53" w:name="_Toc28359097"/>
      <w:r>
        <w:rPr>
          <w:rFonts w:hint="eastAsia" w:ascii="仿宋" w:hAnsi="仿宋" w:eastAsia="仿宋" w:cs="仿宋"/>
          <w:i w:val="0"/>
          <w:iCs w:val="0"/>
          <w:caps w:val="0"/>
          <w:color w:val="auto"/>
          <w:spacing w:val="0"/>
          <w:sz w:val="24"/>
          <w:szCs w:val="24"/>
          <w:highlight w:val="none"/>
          <w:shd w:val="clear" w:fill="FFFFFF"/>
          <w:lang w:val="en-US" w:eastAsia="zh-CN"/>
        </w:rPr>
        <w:t>名  称：南京市江宁区人民政府东山街道办事处</w:t>
      </w:r>
    </w:p>
    <w:p w14:paraId="511FF210">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地  址：南京市江宁区东山街道上元大街229号</w:t>
      </w:r>
    </w:p>
    <w:p w14:paraId="5A28ABA5">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联 系 人：衡工</w:t>
      </w:r>
    </w:p>
    <w:p w14:paraId="6C9F2D9F">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联系方式：025-86111302</w:t>
      </w:r>
    </w:p>
    <w:p w14:paraId="45D900E5">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2.采购代理机构信息</w:t>
      </w:r>
      <w:bookmarkEnd w:id="50"/>
      <w:bookmarkEnd w:id="51"/>
      <w:bookmarkEnd w:id="52"/>
      <w:bookmarkEnd w:id="53"/>
    </w:p>
    <w:p w14:paraId="2014A397">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名 称：南京富弘工程项目管理有限公司　</w:t>
      </w:r>
    </w:p>
    <w:p w14:paraId="3822C8B9">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lang w:val="zh-CN" w:eastAsia="zh-CN"/>
        </w:rPr>
      </w:pPr>
      <w:r>
        <w:rPr>
          <w:rFonts w:hint="eastAsia" w:ascii="仿宋" w:hAnsi="仿宋" w:eastAsia="仿宋" w:cs="仿宋"/>
          <w:i w:val="0"/>
          <w:iCs w:val="0"/>
          <w:caps w:val="0"/>
          <w:color w:val="auto"/>
          <w:spacing w:val="0"/>
          <w:sz w:val="24"/>
          <w:szCs w:val="24"/>
          <w:highlight w:val="none"/>
          <w:shd w:val="clear" w:fill="FFFFFF"/>
          <w:lang w:val="en-US" w:eastAsia="zh-CN"/>
        </w:rPr>
        <w:t>地 址：</w:t>
      </w:r>
      <w:r>
        <w:rPr>
          <w:rFonts w:hint="eastAsia" w:ascii="仿宋" w:hAnsi="仿宋" w:eastAsia="仿宋" w:cs="仿宋"/>
          <w:i w:val="0"/>
          <w:iCs w:val="0"/>
          <w:caps w:val="0"/>
          <w:color w:val="auto"/>
          <w:spacing w:val="0"/>
          <w:sz w:val="24"/>
          <w:szCs w:val="24"/>
          <w:highlight w:val="none"/>
          <w:shd w:val="clear" w:fill="FFFFFF"/>
          <w:lang w:val="zh-CN" w:eastAsia="zh-CN"/>
        </w:rPr>
        <w:t>南京市江宁区东山街道文靖西路108号中前社区居委会院内西边附属楼三楼</w:t>
      </w:r>
    </w:p>
    <w:p w14:paraId="09FAA871">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联系人：姜激扬</w:t>
      </w:r>
    </w:p>
    <w:p w14:paraId="79E3D617">
      <w:pPr>
        <w:spacing w:line="360" w:lineRule="auto"/>
        <w:ind w:firstLine="240" w:firstLineChars="100"/>
        <w:rPr>
          <w:rFonts w:hint="default"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电　话：13776545772</w:t>
      </w:r>
    </w:p>
    <w:p w14:paraId="0031574C">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lang w:val="en-US" w:eastAsia="zh-CN"/>
        </w:rPr>
      </w:pPr>
      <w:bookmarkStart w:id="54" w:name="_Toc28359098"/>
      <w:bookmarkStart w:id="55" w:name="_Toc28359021"/>
      <w:bookmarkStart w:id="56" w:name="_Toc35393639"/>
      <w:bookmarkStart w:id="57" w:name="_Toc35393808"/>
      <w:r>
        <w:rPr>
          <w:rFonts w:hint="eastAsia" w:ascii="仿宋" w:hAnsi="仿宋" w:eastAsia="仿宋" w:cs="仿宋"/>
          <w:i w:val="0"/>
          <w:iCs w:val="0"/>
          <w:caps w:val="0"/>
          <w:color w:val="auto"/>
          <w:spacing w:val="0"/>
          <w:sz w:val="24"/>
          <w:szCs w:val="24"/>
          <w:highlight w:val="none"/>
          <w:shd w:val="clear" w:fill="FFFFFF"/>
          <w:lang w:val="en-US" w:eastAsia="zh-CN"/>
        </w:rPr>
        <w:t>3.项目联系方式</w:t>
      </w:r>
      <w:bookmarkEnd w:id="54"/>
      <w:bookmarkEnd w:id="55"/>
      <w:bookmarkEnd w:id="56"/>
      <w:bookmarkEnd w:id="57"/>
    </w:p>
    <w:p w14:paraId="5FE3FE5D">
      <w:pPr>
        <w:spacing w:line="360" w:lineRule="auto"/>
        <w:ind w:firstLine="240" w:firstLineChars="100"/>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项目联系人：姜激扬</w:t>
      </w:r>
    </w:p>
    <w:p w14:paraId="48C9555F">
      <w:pPr>
        <w:spacing w:line="360" w:lineRule="auto"/>
        <w:ind w:firstLine="240" w:firstLineChars="100"/>
        <w:rPr>
          <w:rFonts w:hint="default"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电　话：13776545772</w:t>
      </w:r>
    </w:p>
    <w:p w14:paraId="7C176343">
      <w:pPr>
        <w:ind w:firstLine="480" w:firstLineChars="200"/>
        <w:jc w:val="center"/>
        <w:rPr>
          <w:rFonts w:hint="eastAsia" w:ascii="仿宋" w:hAnsi="仿宋" w:eastAsia="仿宋" w:cs="仿宋"/>
          <w:b/>
          <w:bCs/>
          <w:color w:val="auto"/>
          <w:kern w:val="2"/>
          <w:sz w:val="24"/>
          <w:szCs w:val="24"/>
          <w:highlight w:val="none"/>
          <w:lang w:val="en-US" w:eastAsia="zh-CN" w:bidi="ar-SA"/>
        </w:rPr>
      </w:pPr>
      <w:bookmarkStart w:id="58" w:name="_Toc11159"/>
      <w:bookmarkStart w:id="59" w:name="_Toc16475"/>
      <w:bookmarkStart w:id="60" w:name="_Toc504141736"/>
      <w:bookmarkStart w:id="61" w:name="_Toc24440"/>
      <w:bookmarkStart w:id="62" w:name="_Toc26743"/>
      <w:bookmarkStart w:id="63" w:name="_Toc28132"/>
      <w:bookmarkStart w:id="64" w:name="_Toc4835"/>
      <w:bookmarkStart w:id="65" w:name="_Toc10849"/>
      <w:bookmarkStart w:id="66" w:name="_Toc3663"/>
      <w:bookmarkStart w:id="67" w:name="_Toc3015"/>
      <w:bookmarkStart w:id="68" w:name="_Toc6289"/>
      <w:bookmarkStart w:id="69" w:name="_Toc14061"/>
      <w:r>
        <w:rPr>
          <w:rFonts w:hint="eastAsia" w:ascii="仿宋" w:hAnsi="仿宋" w:eastAsia="仿宋" w:cs="仿宋"/>
          <w:i w:val="0"/>
          <w:iCs w:val="0"/>
          <w:caps w:val="0"/>
          <w:color w:val="auto"/>
          <w:spacing w:val="0"/>
          <w:sz w:val="24"/>
          <w:szCs w:val="24"/>
          <w:highlight w:val="none"/>
          <w:shd w:val="clear" w:fill="FFFFFF"/>
        </w:rPr>
        <w:br w:type="page"/>
      </w:r>
      <w:bookmarkStart w:id="70" w:name="_Toc29693"/>
      <w:bookmarkStart w:id="71" w:name="_Toc43217786"/>
      <w:r>
        <w:rPr>
          <w:rFonts w:hint="eastAsia" w:ascii="仿宋" w:hAnsi="仿宋" w:eastAsia="仿宋" w:cs="仿宋"/>
          <w:b/>
          <w:bCs/>
          <w:color w:val="auto"/>
          <w:kern w:val="2"/>
          <w:sz w:val="32"/>
          <w:szCs w:val="32"/>
          <w:highlight w:val="none"/>
          <w:lang w:val="en-US" w:eastAsia="zh-CN" w:bidi="ar-SA"/>
        </w:rPr>
        <w:t>第二章  竞争性磋商须知</w:t>
      </w:r>
      <w:bookmarkEnd w:id="58"/>
      <w:bookmarkEnd w:id="59"/>
      <w:bookmarkEnd w:id="60"/>
      <w:bookmarkEnd w:id="61"/>
      <w:bookmarkEnd w:id="62"/>
      <w:bookmarkEnd w:id="63"/>
      <w:bookmarkEnd w:id="64"/>
      <w:bookmarkEnd w:id="65"/>
      <w:bookmarkEnd w:id="66"/>
      <w:bookmarkEnd w:id="67"/>
      <w:bookmarkEnd w:id="68"/>
      <w:bookmarkEnd w:id="69"/>
      <w:bookmarkEnd w:id="70"/>
      <w:bookmarkEnd w:id="71"/>
    </w:p>
    <w:tbl>
      <w:tblPr>
        <w:tblStyle w:val="27"/>
        <w:tblpPr w:leftFromText="180" w:rightFromText="180" w:vertAnchor="text" w:horzAnchor="page" w:tblpX="1042" w:tblpY="313"/>
        <w:tblOverlap w:val="never"/>
        <w:tblW w:w="98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857"/>
        <w:gridCol w:w="1152"/>
        <w:gridCol w:w="1738"/>
        <w:gridCol w:w="5464"/>
      </w:tblGrid>
      <w:tr w14:paraId="64F08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88" w:type="dxa"/>
            <w:tcBorders>
              <w:top w:val="single" w:color="auto" w:sz="4" w:space="0"/>
              <w:left w:val="single" w:color="auto" w:sz="4" w:space="0"/>
              <w:bottom w:val="single" w:color="auto" w:sz="4" w:space="0"/>
              <w:right w:val="single" w:color="auto" w:sz="4" w:space="0"/>
            </w:tcBorders>
            <w:vAlign w:val="center"/>
          </w:tcPr>
          <w:p w14:paraId="5ECE217E">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2009" w:type="dxa"/>
            <w:gridSpan w:val="2"/>
            <w:tcBorders>
              <w:top w:val="single" w:color="auto" w:sz="4" w:space="0"/>
              <w:left w:val="single" w:color="auto" w:sz="4" w:space="0"/>
              <w:bottom w:val="single" w:color="auto" w:sz="4" w:space="0"/>
              <w:right w:val="single" w:color="auto" w:sz="4" w:space="0"/>
            </w:tcBorders>
            <w:vAlign w:val="center"/>
          </w:tcPr>
          <w:p w14:paraId="3F35F6F4">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项  目</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3D387D54">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内         容</w:t>
            </w:r>
          </w:p>
        </w:tc>
      </w:tr>
      <w:tr w14:paraId="1A086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88" w:type="dxa"/>
            <w:tcBorders>
              <w:top w:val="single" w:color="auto" w:sz="4" w:space="0"/>
              <w:left w:val="single" w:color="auto" w:sz="4" w:space="0"/>
              <w:bottom w:val="single" w:color="auto" w:sz="4" w:space="0"/>
              <w:right w:val="single" w:color="auto" w:sz="4" w:space="0"/>
            </w:tcBorders>
            <w:vAlign w:val="center"/>
          </w:tcPr>
          <w:p w14:paraId="5317A9B2">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009" w:type="dxa"/>
            <w:gridSpan w:val="2"/>
            <w:tcBorders>
              <w:top w:val="single" w:color="auto" w:sz="4" w:space="0"/>
              <w:left w:val="single" w:color="auto" w:sz="4" w:space="0"/>
              <w:bottom w:val="single" w:color="auto" w:sz="4" w:space="0"/>
              <w:right w:val="single" w:color="auto" w:sz="4" w:space="0"/>
            </w:tcBorders>
            <w:vAlign w:val="center"/>
          </w:tcPr>
          <w:p w14:paraId="6A52E949">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77288917">
            <w:pPr>
              <w:widowControl/>
              <w:spacing w:line="2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JSZC-320115-FHGL-C2026-0008</w:t>
            </w:r>
          </w:p>
        </w:tc>
      </w:tr>
      <w:tr w14:paraId="66A55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688" w:type="dxa"/>
            <w:tcBorders>
              <w:top w:val="single" w:color="auto" w:sz="4" w:space="0"/>
              <w:left w:val="single" w:color="auto" w:sz="4" w:space="0"/>
              <w:bottom w:val="single" w:color="auto" w:sz="4" w:space="0"/>
              <w:right w:val="single" w:color="auto" w:sz="4" w:space="0"/>
            </w:tcBorders>
            <w:vAlign w:val="center"/>
          </w:tcPr>
          <w:p w14:paraId="5D46601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009" w:type="dxa"/>
            <w:gridSpan w:val="2"/>
            <w:tcBorders>
              <w:top w:val="single" w:color="auto" w:sz="4" w:space="0"/>
              <w:left w:val="single" w:color="auto" w:sz="4" w:space="0"/>
              <w:bottom w:val="single" w:color="auto" w:sz="4" w:space="0"/>
              <w:right w:val="single" w:color="auto" w:sz="4" w:space="0"/>
            </w:tcBorders>
            <w:vAlign w:val="center"/>
          </w:tcPr>
          <w:p w14:paraId="202E8957">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项目名称</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27D51CB9">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东山派出所食堂服务外包</w:t>
            </w:r>
          </w:p>
        </w:tc>
      </w:tr>
      <w:tr w14:paraId="61E1B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688" w:type="dxa"/>
            <w:tcBorders>
              <w:top w:val="single" w:color="auto" w:sz="4" w:space="0"/>
              <w:left w:val="single" w:color="auto" w:sz="4" w:space="0"/>
              <w:bottom w:val="single" w:color="auto" w:sz="4" w:space="0"/>
              <w:right w:val="single" w:color="auto" w:sz="4" w:space="0"/>
            </w:tcBorders>
            <w:vAlign w:val="center"/>
          </w:tcPr>
          <w:p w14:paraId="7FE9C4B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009" w:type="dxa"/>
            <w:gridSpan w:val="2"/>
            <w:tcBorders>
              <w:top w:val="single" w:color="auto" w:sz="4" w:space="0"/>
              <w:left w:val="single" w:color="auto" w:sz="4" w:space="0"/>
              <w:bottom w:val="single" w:color="auto" w:sz="4" w:space="0"/>
              <w:right w:val="single" w:color="auto" w:sz="4" w:space="0"/>
            </w:tcBorders>
            <w:vAlign w:val="center"/>
          </w:tcPr>
          <w:p w14:paraId="7F9DB33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578BBFB1">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南京富弘工程项目管理有限公司</w:t>
            </w:r>
          </w:p>
        </w:tc>
      </w:tr>
      <w:tr w14:paraId="31F9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688" w:type="dxa"/>
            <w:tcBorders>
              <w:top w:val="single" w:color="auto" w:sz="4" w:space="0"/>
              <w:left w:val="single" w:color="auto" w:sz="4" w:space="0"/>
              <w:bottom w:val="single" w:color="auto" w:sz="4" w:space="0"/>
              <w:right w:val="single" w:color="auto" w:sz="4" w:space="0"/>
            </w:tcBorders>
            <w:vAlign w:val="center"/>
          </w:tcPr>
          <w:p w14:paraId="1159BC67">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2009" w:type="dxa"/>
            <w:gridSpan w:val="2"/>
            <w:tcBorders>
              <w:top w:val="single" w:color="auto" w:sz="4" w:space="0"/>
              <w:left w:val="single" w:color="auto" w:sz="4" w:space="0"/>
              <w:bottom w:val="single" w:color="auto" w:sz="4" w:space="0"/>
              <w:right w:val="single" w:color="auto" w:sz="4" w:space="0"/>
            </w:tcBorders>
            <w:vAlign w:val="center"/>
          </w:tcPr>
          <w:p w14:paraId="1FC4AD1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采购代理机构地址</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57812F51">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南京市江宁区东山街道文靖西路108号中前社区院内西楼三楼</w:t>
            </w:r>
          </w:p>
        </w:tc>
      </w:tr>
      <w:tr w14:paraId="69C7B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688" w:type="dxa"/>
            <w:tcBorders>
              <w:top w:val="single" w:color="auto" w:sz="4" w:space="0"/>
              <w:left w:val="single" w:color="auto" w:sz="4" w:space="0"/>
              <w:bottom w:val="single" w:color="auto" w:sz="4" w:space="0"/>
              <w:right w:val="single" w:color="auto" w:sz="4" w:space="0"/>
            </w:tcBorders>
            <w:vAlign w:val="center"/>
          </w:tcPr>
          <w:p w14:paraId="69658709">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2009" w:type="dxa"/>
            <w:gridSpan w:val="2"/>
            <w:tcBorders>
              <w:top w:val="single" w:color="auto" w:sz="4" w:space="0"/>
              <w:left w:val="single" w:color="auto" w:sz="4" w:space="0"/>
              <w:bottom w:val="single" w:color="auto" w:sz="4" w:space="0"/>
              <w:right w:val="single" w:color="auto" w:sz="4" w:space="0"/>
            </w:tcBorders>
            <w:vAlign w:val="center"/>
          </w:tcPr>
          <w:p w14:paraId="5FFC672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磋商文件获取方法</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1983C762">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在“江苏政府采购网”免费下载</w:t>
            </w:r>
          </w:p>
        </w:tc>
      </w:tr>
      <w:tr w14:paraId="6819D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688" w:type="dxa"/>
            <w:tcBorders>
              <w:top w:val="single" w:color="auto" w:sz="4" w:space="0"/>
              <w:left w:val="single" w:color="auto" w:sz="4" w:space="0"/>
              <w:bottom w:val="single" w:color="auto" w:sz="4" w:space="0"/>
              <w:right w:val="single" w:color="auto" w:sz="4" w:space="0"/>
            </w:tcBorders>
            <w:vAlign w:val="center"/>
          </w:tcPr>
          <w:p w14:paraId="77921C3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2009" w:type="dxa"/>
            <w:gridSpan w:val="2"/>
            <w:tcBorders>
              <w:top w:val="single" w:color="auto" w:sz="4" w:space="0"/>
              <w:left w:val="single" w:color="auto" w:sz="4" w:space="0"/>
              <w:bottom w:val="single" w:color="auto" w:sz="4" w:space="0"/>
              <w:right w:val="single" w:color="auto" w:sz="4" w:space="0"/>
            </w:tcBorders>
            <w:vAlign w:val="center"/>
          </w:tcPr>
          <w:p w14:paraId="675CF31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项目采购限价</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6EDE2D56">
            <w:pPr>
              <w:jc w:val="lef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vertAlign w:val="baseline"/>
                <w:lang w:val="en-US" w:eastAsia="zh-CN"/>
              </w:rPr>
              <w:t>280.272</w:t>
            </w:r>
            <w:r>
              <w:rPr>
                <w:rFonts w:hint="eastAsia" w:ascii="仿宋" w:hAnsi="仿宋" w:eastAsia="仿宋" w:cs="仿宋"/>
                <w:color w:val="auto"/>
                <w:sz w:val="24"/>
                <w:szCs w:val="24"/>
                <w:highlight w:val="none"/>
                <w:lang w:val="en-US" w:eastAsia="zh-CN"/>
              </w:rPr>
              <w:t>4万元</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大写：（</w:t>
            </w:r>
            <w:r>
              <w:rPr>
                <w:rFonts w:hint="eastAsia" w:ascii="仿宋" w:hAnsi="仿宋" w:eastAsia="仿宋" w:cs="仿宋"/>
                <w:color w:val="auto"/>
                <w:sz w:val="24"/>
                <w:szCs w:val="24"/>
                <w:highlight w:val="none"/>
                <w:lang w:val="en-US" w:eastAsia="zh-CN"/>
              </w:rPr>
              <w:t>人民币</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贰佰捌拾万贰仟柒佰贰拾肆元整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zh-CN"/>
              </w:rPr>
              <w:t>超过此限价按未实质性响应磋商文件要求处理</w:t>
            </w:r>
          </w:p>
        </w:tc>
      </w:tr>
      <w:tr w14:paraId="3506B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88" w:type="dxa"/>
            <w:tcBorders>
              <w:top w:val="single" w:color="auto" w:sz="4" w:space="0"/>
              <w:left w:val="single" w:color="auto" w:sz="4" w:space="0"/>
              <w:bottom w:val="single" w:color="auto" w:sz="4" w:space="0"/>
              <w:right w:val="single" w:color="auto" w:sz="4" w:space="0"/>
            </w:tcBorders>
            <w:vAlign w:val="center"/>
          </w:tcPr>
          <w:p w14:paraId="40230733">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2009" w:type="dxa"/>
            <w:gridSpan w:val="2"/>
            <w:tcBorders>
              <w:top w:val="single" w:color="auto" w:sz="4" w:space="0"/>
              <w:left w:val="single" w:color="auto" w:sz="4" w:space="0"/>
              <w:bottom w:val="single" w:color="auto" w:sz="4" w:space="0"/>
              <w:right w:val="single" w:color="auto" w:sz="4" w:space="0"/>
            </w:tcBorders>
            <w:vAlign w:val="center"/>
          </w:tcPr>
          <w:p w14:paraId="346313F5">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磋商保证金</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1FFE41C1">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本项目不收取磋商保证金</w:t>
            </w:r>
          </w:p>
        </w:tc>
      </w:tr>
      <w:tr w14:paraId="67AD2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88" w:type="dxa"/>
            <w:tcBorders>
              <w:top w:val="single" w:color="auto" w:sz="4" w:space="0"/>
              <w:left w:val="single" w:color="auto" w:sz="4" w:space="0"/>
              <w:bottom w:val="single" w:color="auto" w:sz="4" w:space="0"/>
              <w:right w:val="single" w:color="auto" w:sz="4" w:space="0"/>
            </w:tcBorders>
            <w:vAlign w:val="center"/>
          </w:tcPr>
          <w:p w14:paraId="1DC5B40A">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c>
          <w:tcPr>
            <w:tcW w:w="2009" w:type="dxa"/>
            <w:gridSpan w:val="2"/>
            <w:tcBorders>
              <w:top w:val="single" w:color="auto" w:sz="4" w:space="0"/>
              <w:left w:val="single" w:color="auto" w:sz="4" w:space="0"/>
              <w:bottom w:val="single" w:color="auto" w:sz="4" w:space="0"/>
              <w:right w:val="single" w:color="auto" w:sz="4" w:space="0"/>
            </w:tcBorders>
            <w:vAlign w:val="center"/>
          </w:tcPr>
          <w:p w14:paraId="4965AD15">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服务期</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679F35DA">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两年（本项目一招两年，合同一年一签，逐年考核）</w:t>
            </w:r>
          </w:p>
        </w:tc>
      </w:tr>
      <w:tr w14:paraId="5A0AC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88" w:type="dxa"/>
            <w:tcBorders>
              <w:top w:val="single" w:color="auto" w:sz="4" w:space="0"/>
              <w:left w:val="single" w:color="auto" w:sz="4" w:space="0"/>
              <w:bottom w:val="single" w:color="auto" w:sz="4" w:space="0"/>
              <w:right w:val="single" w:color="auto" w:sz="4" w:space="0"/>
            </w:tcBorders>
            <w:vAlign w:val="center"/>
          </w:tcPr>
          <w:p w14:paraId="19690FE0">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9</w:t>
            </w:r>
          </w:p>
        </w:tc>
        <w:tc>
          <w:tcPr>
            <w:tcW w:w="2009" w:type="dxa"/>
            <w:gridSpan w:val="2"/>
            <w:tcBorders>
              <w:top w:val="single" w:color="auto" w:sz="4" w:space="0"/>
              <w:left w:val="single" w:color="auto" w:sz="4" w:space="0"/>
              <w:bottom w:val="single" w:color="auto" w:sz="4" w:space="0"/>
              <w:right w:val="single" w:color="auto" w:sz="4" w:space="0"/>
            </w:tcBorders>
            <w:vAlign w:val="center"/>
          </w:tcPr>
          <w:p w14:paraId="235B9592">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磋商有效期</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0DB1FEAC">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磋商之日起90天</w:t>
            </w:r>
          </w:p>
        </w:tc>
      </w:tr>
      <w:tr w14:paraId="733DC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688" w:type="dxa"/>
            <w:vMerge w:val="restart"/>
            <w:tcBorders>
              <w:top w:val="single" w:color="auto" w:sz="4" w:space="0"/>
              <w:left w:val="single" w:color="auto" w:sz="4" w:space="0"/>
              <w:bottom w:val="single" w:color="auto" w:sz="4" w:space="0"/>
              <w:right w:val="single" w:color="auto" w:sz="4" w:space="0"/>
            </w:tcBorders>
            <w:vAlign w:val="center"/>
          </w:tcPr>
          <w:p w14:paraId="50829C6B">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857" w:type="dxa"/>
            <w:vMerge w:val="restart"/>
            <w:tcBorders>
              <w:top w:val="single" w:color="auto" w:sz="4" w:space="0"/>
              <w:left w:val="single" w:color="auto" w:sz="4" w:space="0"/>
              <w:bottom w:val="single" w:color="auto" w:sz="4" w:space="0"/>
              <w:right w:val="single" w:color="auto" w:sz="4" w:space="0"/>
            </w:tcBorders>
            <w:vAlign w:val="center"/>
          </w:tcPr>
          <w:p w14:paraId="717181BF">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响应性文件递交信息</w:t>
            </w:r>
          </w:p>
        </w:tc>
        <w:tc>
          <w:tcPr>
            <w:tcW w:w="1152" w:type="dxa"/>
            <w:tcBorders>
              <w:top w:val="single" w:color="auto" w:sz="4" w:space="0"/>
              <w:left w:val="single" w:color="auto" w:sz="4" w:space="0"/>
              <w:bottom w:val="single" w:color="auto" w:sz="4" w:space="0"/>
              <w:right w:val="single" w:color="auto" w:sz="4" w:space="0"/>
            </w:tcBorders>
            <w:vAlign w:val="center"/>
          </w:tcPr>
          <w:p w14:paraId="4E4F0B2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6A67FADE">
            <w:pPr>
              <w:rPr>
                <w:rFonts w:hint="default"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fill="FFFFFF"/>
                <w:lang w:eastAsia="zh-CN"/>
              </w:rPr>
              <w:t>2026年9月7日14时</w:t>
            </w:r>
            <w:r>
              <w:rPr>
                <w:rFonts w:hint="eastAsia" w:ascii="仿宋" w:hAnsi="仿宋" w:eastAsia="仿宋" w:cs="仿宋"/>
                <w:i w:val="0"/>
                <w:iCs w:val="0"/>
                <w:caps w:val="0"/>
                <w:color w:val="auto"/>
                <w:spacing w:val="0"/>
                <w:sz w:val="24"/>
                <w:szCs w:val="24"/>
                <w:highlight w:val="none"/>
                <w:shd w:val="clear" w:fill="FFFFFF"/>
                <w:lang w:val="en-US" w:eastAsia="zh-CN"/>
              </w:rPr>
              <w:t>3</w:t>
            </w:r>
            <w:r>
              <w:rPr>
                <w:rFonts w:hint="eastAsia" w:ascii="仿宋" w:hAnsi="仿宋" w:eastAsia="仿宋" w:cs="仿宋"/>
                <w:i w:val="0"/>
                <w:iCs w:val="0"/>
                <w:caps w:val="0"/>
                <w:color w:val="auto"/>
                <w:spacing w:val="0"/>
                <w:sz w:val="24"/>
                <w:szCs w:val="24"/>
                <w:highlight w:val="none"/>
                <w:shd w:val="clear" w:fill="FFFFFF"/>
                <w:lang w:eastAsia="zh-CN"/>
              </w:rPr>
              <w:t>0分</w:t>
            </w:r>
            <w:r>
              <w:rPr>
                <w:rFonts w:hint="eastAsia" w:ascii="仿宋" w:hAnsi="仿宋" w:eastAsia="仿宋" w:cs="仿宋"/>
                <w:i w:val="0"/>
                <w:iCs w:val="0"/>
                <w:caps w:val="0"/>
                <w:color w:val="auto"/>
                <w:spacing w:val="0"/>
                <w:sz w:val="24"/>
                <w:szCs w:val="24"/>
                <w:highlight w:val="none"/>
                <w:shd w:val="clear" w:fill="FFFFFF"/>
                <w:lang w:val="en-US" w:eastAsia="zh-CN"/>
              </w:rPr>
              <w:t>截止</w:t>
            </w:r>
          </w:p>
        </w:tc>
      </w:tr>
      <w:tr w14:paraId="53CEB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688" w:type="dxa"/>
            <w:vMerge w:val="continue"/>
            <w:tcBorders>
              <w:top w:val="single" w:color="auto" w:sz="4" w:space="0"/>
              <w:left w:val="single" w:color="auto" w:sz="4" w:space="0"/>
              <w:bottom w:val="single" w:color="auto" w:sz="4" w:space="0"/>
              <w:right w:val="single" w:color="auto" w:sz="4" w:space="0"/>
            </w:tcBorders>
            <w:vAlign w:val="center"/>
          </w:tcPr>
          <w:p w14:paraId="39EE3D73">
            <w:pPr>
              <w:widowControl/>
              <w:jc w:val="left"/>
              <w:rPr>
                <w:rFonts w:hint="eastAsia" w:ascii="仿宋" w:hAnsi="仿宋" w:eastAsia="仿宋" w:cs="仿宋"/>
                <w:color w:val="auto"/>
                <w:sz w:val="24"/>
                <w:szCs w:val="24"/>
                <w:highlight w:val="none"/>
              </w:rPr>
            </w:pPr>
          </w:p>
        </w:tc>
        <w:tc>
          <w:tcPr>
            <w:tcW w:w="857" w:type="dxa"/>
            <w:vMerge w:val="continue"/>
            <w:tcBorders>
              <w:top w:val="single" w:color="auto" w:sz="4" w:space="0"/>
              <w:left w:val="single" w:color="auto" w:sz="4" w:space="0"/>
              <w:bottom w:val="single" w:color="auto" w:sz="4" w:space="0"/>
              <w:right w:val="single" w:color="auto" w:sz="4" w:space="0"/>
            </w:tcBorders>
            <w:vAlign w:val="center"/>
          </w:tcPr>
          <w:p w14:paraId="0D0591E4">
            <w:pPr>
              <w:rPr>
                <w:rFonts w:hint="eastAsia" w:ascii="仿宋" w:hAnsi="仿宋" w:eastAsia="仿宋" w:cs="仿宋"/>
                <w:color w:val="auto"/>
                <w:sz w:val="24"/>
                <w:szCs w:val="24"/>
                <w:highlight w:val="none"/>
              </w:rPr>
            </w:pPr>
          </w:p>
        </w:tc>
        <w:tc>
          <w:tcPr>
            <w:tcW w:w="1152" w:type="dxa"/>
            <w:tcBorders>
              <w:top w:val="single" w:color="auto" w:sz="4" w:space="0"/>
              <w:left w:val="single" w:color="auto" w:sz="4" w:space="0"/>
              <w:bottom w:val="single" w:color="auto" w:sz="4" w:space="0"/>
              <w:right w:val="single" w:color="auto" w:sz="4" w:space="0"/>
            </w:tcBorders>
            <w:vAlign w:val="center"/>
          </w:tcPr>
          <w:p w14:paraId="64884232">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2C2C6733">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eastAsia="zh-CN"/>
              </w:rPr>
              <w:t>江苏省政府采购交易系统（以下简称“苏采云系统”）网上开标大厅。</w:t>
            </w:r>
          </w:p>
        </w:tc>
      </w:tr>
      <w:tr w14:paraId="4F056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88" w:type="dxa"/>
            <w:vMerge w:val="restart"/>
            <w:tcBorders>
              <w:top w:val="single" w:color="auto" w:sz="4" w:space="0"/>
              <w:left w:val="single" w:color="auto" w:sz="4" w:space="0"/>
              <w:bottom w:val="single" w:color="auto" w:sz="4" w:space="0"/>
              <w:right w:val="single" w:color="auto" w:sz="4" w:space="0"/>
            </w:tcBorders>
            <w:vAlign w:val="center"/>
          </w:tcPr>
          <w:p w14:paraId="5B654305">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w:t>
            </w:r>
          </w:p>
        </w:tc>
        <w:tc>
          <w:tcPr>
            <w:tcW w:w="857" w:type="dxa"/>
            <w:vMerge w:val="restart"/>
            <w:tcBorders>
              <w:top w:val="single" w:color="auto" w:sz="4" w:space="0"/>
              <w:left w:val="single" w:color="auto" w:sz="4" w:space="0"/>
              <w:bottom w:val="single" w:color="auto" w:sz="4" w:space="0"/>
              <w:right w:val="single" w:color="auto" w:sz="4" w:space="0"/>
            </w:tcBorders>
            <w:vAlign w:val="center"/>
          </w:tcPr>
          <w:p w14:paraId="302B4091">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信息</w:t>
            </w:r>
          </w:p>
        </w:tc>
        <w:tc>
          <w:tcPr>
            <w:tcW w:w="1152" w:type="dxa"/>
            <w:tcBorders>
              <w:top w:val="single" w:color="auto" w:sz="4" w:space="0"/>
              <w:left w:val="single" w:color="auto" w:sz="4" w:space="0"/>
              <w:bottom w:val="single" w:color="auto" w:sz="4" w:space="0"/>
              <w:right w:val="single" w:color="auto" w:sz="4" w:space="0"/>
            </w:tcBorders>
            <w:vAlign w:val="center"/>
          </w:tcPr>
          <w:p w14:paraId="11AC859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22A98078">
            <w:pP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fill="FFFFFF"/>
                <w:lang w:eastAsia="zh-CN"/>
              </w:rPr>
              <w:t>2026年9月7日14时30分</w:t>
            </w:r>
          </w:p>
        </w:tc>
      </w:tr>
      <w:tr w14:paraId="11B8B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688" w:type="dxa"/>
            <w:vMerge w:val="continue"/>
            <w:tcBorders>
              <w:top w:val="single" w:color="auto" w:sz="4" w:space="0"/>
              <w:left w:val="single" w:color="auto" w:sz="4" w:space="0"/>
              <w:bottom w:val="single" w:color="auto" w:sz="4" w:space="0"/>
              <w:right w:val="single" w:color="auto" w:sz="4" w:space="0"/>
            </w:tcBorders>
            <w:vAlign w:val="center"/>
          </w:tcPr>
          <w:p w14:paraId="30CF989F">
            <w:pPr>
              <w:widowControl/>
              <w:jc w:val="left"/>
              <w:rPr>
                <w:rFonts w:hint="eastAsia" w:ascii="仿宋" w:hAnsi="仿宋" w:eastAsia="仿宋" w:cs="仿宋"/>
                <w:color w:val="auto"/>
                <w:sz w:val="24"/>
                <w:szCs w:val="24"/>
                <w:highlight w:val="none"/>
              </w:rPr>
            </w:pPr>
          </w:p>
        </w:tc>
        <w:tc>
          <w:tcPr>
            <w:tcW w:w="857" w:type="dxa"/>
            <w:vMerge w:val="continue"/>
            <w:tcBorders>
              <w:top w:val="single" w:color="auto" w:sz="4" w:space="0"/>
              <w:left w:val="single" w:color="auto" w:sz="4" w:space="0"/>
              <w:bottom w:val="single" w:color="auto" w:sz="4" w:space="0"/>
              <w:right w:val="single" w:color="auto" w:sz="4" w:space="0"/>
            </w:tcBorders>
            <w:vAlign w:val="center"/>
          </w:tcPr>
          <w:p w14:paraId="0FC4F575">
            <w:pPr>
              <w:widowControl/>
              <w:jc w:val="left"/>
              <w:rPr>
                <w:rFonts w:hint="eastAsia" w:ascii="仿宋" w:hAnsi="仿宋" w:eastAsia="仿宋" w:cs="仿宋"/>
                <w:color w:val="auto"/>
                <w:sz w:val="24"/>
                <w:szCs w:val="24"/>
                <w:highlight w:val="none"/>
              </w:rPr>
            </w:pPr>
          </w:p>
        </w:tc>
        <w:tc>
          <w:tcPr>
            <w:tcW w:w="1152" w:type="dxa"/>
            <w:tcBorders>
              <w:top w:val="single" w:color="auto" w:sz="4" w:space="0"/>
              <w:left w:val="single" w:color="auto" w:sz="4" w:space="0"/>
              <w:bottom w:val="single" w:color="auto" w:sz="4" w:space="0"/>
              <w:right w:val="single" w:color="auto" w:sz="4" w:space="0"/>
            </w:tcBorders>
            <w:vAlign w:val="center"/>
          </w:tcPr>
          <w:p w14:paraId="6DDCEBBC">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p>
        </w:tc>
        <w:tc>
          <w:tcPr>
            <w:tcW w:w="7202" w:type="dxa"/>
            <w:gridSpan w:val="2"/>
            <w:tcBorders>
              <w:top w:val="single" w:color="auto" w:sz="4" w:space="0"/>
              <w:left w:val="single" w:color="auto" w:sz="4" w:space="0"/>
              <w:bottom w:val="single" w:color="auto" w:sz="4" w:space="0"/>
              <w:right w:val="single" w:color="auto" w:sz="4" w:space="0"/>
            </w:tcBorders>
            <w:vAlign w:val="center"/>
          </w:tcPr>
          <w:p w14:paraId="71B99BB0">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江苏省政府采购交易系统（以下简称“苏采云系统”）网上开标大厅。</w:t>
            </w:r>
          </w:p>
        </w:tc>
      </w:tr>
      <w:tr w14:paraId="4A4EF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8" w:type="dxa"/>
            <w:vMerge w:val="restart"/>
            <w:tcBorders>
              <w:top w:val="single" w:color="auto" w:sz="4" w:space="0"/>
              <w:left w:val="single" w:color="auto" w:sz="4" w:space="0"/>
              <w:right w:val="single" w:color="auto" w:sz="4" w:space="0"/>
            </w:tcBorders>
            <w:vAlign w:val="center"/>
          </w:tcPr>
          <w:p w14:paraId="6739CA1F">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857" w:type="dxa"/>
            <w:vMerge w:val="restart"/>
            <w:tcBorders>
              <w:top w:val="single" w:color="auto" w:sz="4" w:space="0"/>
              <w:left w:val="single" w:color="auto" w:sz="4" w:space="0"/>
              <w:right w:val="single" w:color="auto" w:sz="4" w:space="0"/>
            </w:tcBorders>
            <w:vAlign w:val="center"/>
          </w:tcPr>
          <w:p w14:paraId="2504DF92">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 事项</w:t>
            </w:r>
          </w:p>
        </w:tc>
        <w:tc>
          <w:tcPr>
            <w:tcW w:w="1152" w:type="dxa"/>
            <w:vMerge w:val="restart"/>
            <w:tcBorders>
              <w:top w:val="single" w:color="auto" w:sz="4" w:space="0"/>
              <w:left w:val="single" w:color="auto" w:sz="4" w:space="0"/>
              <w:right w:val="single" w:color="auto" w:sz="4" w:space="0"/>
            </w:tcBorders>
            <w:vAlign w:val="center"/>
          </w:tcPr>
          <w:p w14:paraId="35600C31">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采购单位</w:t>
            </w:r>
          </w:p>
        </w:tc>
        <w:tc>
          <w:tcPr>
            <w:tcW w:w="1738" w:type="dxa"/>
            <w:tcBorders>
              <w:top w:val="single" w:color="auto" w:sz="4" w:space="0"/>
              <w:left w:val="single" w:color="auto" w:sz="4" w:space="0"/>
              <w:bottom w:val="single" w:color="auto" w:sz="4" w:space="0"/>
              <w:right w:val="single" w:color="auto" w:sz="4" w:space="0"/>
            </w:tcBorders>
            <w:vAlign w:val="center"/>
          </w:tcPr>
          <w:p w14:paraId="7B3194DD">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名称</w:t>
            </w:r>
          </w:p>
        </w:tc>
        <w:tc>
          <w:tcPr>
            <w:tcW w:w="5464" w:type="dxa"/>
            <w:tcBorders>
              <w:top w:val="single" w:color="auto" w:sz="4" w:space="0"/>
              <w:left w:val="single" w:color="auto" w:sz="4" w:space="0"/>
              <w:bottom w:val="single" w:color="auto" w:sz="4" w:space="0"/>
              <w:right w:val="single" w:color="auto" w:sz="4" w:space="0"/>
            </w:tcBorders>
            <w:vAlign w:val="center"/>
          </w:tcPr>
          <w:p w14:paraId="7632D188">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南京市江宁区人民政府东山街道办事处</w:t>
            </w:r>
          </w:p>
        </w:tc>
      </w:tr>
      <w:tr w14:paraId="5AD87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88" w:type="dxa"/>
            <w:vMerge w:val="continue"/>
            <w:tcBorders>
              <w:left w:val="single" w:color="auto" w:sz="4" w:space="0"/>
              <w:right w:val="single" w:color="auto" w:sz="4" w:space="0"/>
            </w:tcBorders>
            <w:vAlign w:val="center"/>
          </w:tcPr>
          <w:p w14:paraId="6FC2B33B">
            <w:pPr>
              <w:spacing w:line="440" w:lineRule="exact"/>
              <w:jc w:val="center"/>
              <w:rPr>
                <w:rFonts w:hint="eastAsia" w:ascii="仿宋" w:hAnsi="仿宋" w:eastAsia="仿宋" w:cs="仿宋"/>
                <w:color w:val="auto"/>
                <w:sz w:val="24"/>
                <w:szCs w:val="24"/>
                <w:highlight w:val="none"/>
              </w:rPr>
            </w:pPr>
          </w:p>
        </w:tc>
        <w:tc>
          <w:tcPr>
            <w:tcW w:w="857" w:type="dxa"/>
            <w:vMerge w:val="continue"/>
            <w:tcBorders>
              <w:left w:val="single" w:color="auto" w:sz="4" w:space="0"/>
              <w:right w:val="single" w:color="auto" w:sz="4" w:space="0"/>
            </w:tcBorders>
            <w:vAlign w:val="center"/>
          </w:tcPr>
          <w:p w14:paraId="580CB5FA">
            <w:pPr>
              <w:spacing w:line="440" w:lineRule="exact"/>
              <w:jc w:val="center"/>
              <w:rPr>
                <w:rFonts w:hint="eastAsia" w:ascii="仿宋" w:hAnsi="仿宋" w:eastAsia="仿宋" w:cs="仿宋"/>
                <w:color w:val="auto"/>
                <w:sz w:val="24"/>
                <w:szCs w:val="24"/>
                <w:highlight w:val="none"/>
              </w:rPr>
            </w:pPr>
          </w:p>
        </w:tc>
        <w:tc>
          <w:tcPr>
            <w:tcW w:w="1152" w:type="dxa"/>
            <w:vMerge w:val="continue"/>
            <w:tcBorders>
              <w:left w:val="single" w:color="auto" w:sz="4" w:space="0"/>
              <w:right w:val="single" w:color="auto" w:sz="4" w:space="0"/>
            </w:tcBorders>
            <w:vAlign w:val="center"/>
          </w:tcPr>
          <w:p w14:paraId="738C7781">
            <w:pPr>
              <w:spacing w:line="440" w:lineRule="exact"/>
              <w:rPr>
                <w:rFonts w:hint="eastAsia" w:ascii="仿宋" w:hAnsi="仿宋" w:eastAsia="仿宋" w:cs="仿宋"/>
                <w:color w:val="auto"/>
                <w:sz w:val="24"/>
                <w:szCs w:val="24"/>
                <w:highlight w:val="none"/>
              </w:rPr>
            </w:pPr>
          </w:p>
        </w:tc>
        <w:tc>
          <w:tcPr>
            <w:tcW w:w="1738" w:type="dxa"/>
            <w:tcBorders>
              <w:top w:val="single" w:color="auto" w:sz="4" w:space="0"/>
              <w:left w:val="single" w:color="auto" w:sz="4" w:space="0"/>
              <w:bottom w:val="single" w:color="auto" w:sz="4" w:space="0"/>
              <w:right w:val="single" w:color="auto" w:sz="4" w:space="0"/>
            </w:tcBorders>
            <w:shd w:val="clear" w:color="auto" w:fill="auto"/>
            <w:vAlign w:val="center"/>
          </w:tcPr>
          <w:p w14:paraId="326617E4">
            <w:pP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地址</w:t>
            </w:r>
          </w:p>
        </w:tc>
        <w:tc>
          <w:tcPr>
            <w:tcW w:w="5464" w:type="dxa"/>
            <w:tcBorders>
              <w:top w:val="single" w:color="auto" w:sz="4" w:space="0"/>
              <w:left w:val="single" w:color="auto" w:sz="4" w:space="0"/>
              <w:bottom w:val="single" w:color="auto" w:sz="4" w:space="0"/>
              <w:right w:val="single" w:color="auto" w:sz="4" w:space="0"/>
            </w:tcBorders>
            <w:shd w:val="clear" w:color="auto" w:fill="auto"/>
            <w:vAlign w:val="center"/>
          </w:tcPr>
          <w:p w14:paraId="73D0AC02">
            <w:pP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南京市江宁区东山街道上元大街229号</w:t>
            </w:r>
          </w:p>
        </w:tc>
      </w:tr>
      <w:tr w14:paraId="2209F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8" w:type="dxa"/>
            <w:vMerge w:val="continue"/>
            <w:tcBorders>
              <w:left w:val="single" w:color="auto" w:sz="4" w:space="0"/>
              <w:right w:val="single" w:color="auto" w:sz="4" w:space="0"/>
            </w:tcBorders>
            <w:vAlign w:val="center"/>
          </w:tcPr>
          <w:p w14:paraId="7CD3F0A6">
            <w:pPr>
              <w:spacing w:line="440" w:lineRule="exact"/>
              <w:jc w:val="center"/>
              <w:rPr>
                <w:rFonts w:hint="eastAsia" w:ascii="仿宋" w:hAnsi="仿宋" w:eastAsia="仿宋" w:cs="仿宋"/>
                <w:color w:val="auto"/>
                <w:sz w:val="24"/>
                <w:szCs w:val="24"/>
                <w:highlight w:val="none"/>
              </w:rPr>
            </w:pPr>
          </w:p>
        </w:tc>
        <w:tc>
          <w:tcPr>
            <w:tcW w:w="857" w:type="dxa"/>
            <w:vMerge w:val="continue"/>
            <w:tcBorders>
              <w:left w:val="single" w:color="auto" w:sz="4" w:space="0"/>
              <w:right w:val="single" w:color="auto" w:sz="4" w:space="0"/>
            </w:tcBorders>
            <w:vAlign w:val="center"/>
          </w:tcPr>
          <w:p w14:paraId="2D9AFB51">
            <w:pPr>
              <w:spacing w:line="440" w:lineRule="exact"/>
              <w:jc w:val="center"/>
              <w:rPr>
                <w:rFonts w:hint="eastAsia" w:ascii="仿宋" w:hAnsi="仿宋" w:eastAsia="仿宋" w:cs="仿宋"/>
                <w:color w:val="auto"/>
                <w:sz w:val="24"/>
                <w:szCs w:val="24"/>
                <w:highlight w:val="none"/>
              </w:rPr>
            </w:pPr>
          </w:p>
        </w:tc>
        <w:tc>
          <w:tcPr>
            <w:tcW w:w="1152" w:type="dxa"/>
            <w:vMerge w:val="continue"/>
            <w:tcBorders>
              <w:left w:val="single" w:color="auto" w:sz="4" w:space="0"/>
              <w:right w:val="single" w:color="auto" w:sz="4" w:space="0"/>
            </w:tcBorders>
            <w:vAlign w:val="center"/>
          </w:tcPr>
          <w:p w14:paraId="6452436B">
            <w:pPr>
              <w:spacing w:line="440" w:lineRule="exact"/>
              <w:rPr>
                <w:rFonts w:hint="eastAsia" w:ascii="仿宋" w:hAnsi="仿宋" w:eastAsia="仿宋" w:cs="仿宋"/>
                <w:color w:val="auto"/>
                <w:sz w:val="24"/>
                <w:szCs w:val="24"/>
                <w:highlight w:val="none"/>
              </w:rPr>
            </w:pPr>
          </w:p>
        </w:tc>
        <w:tc>
          <w:tcPr>
            <w:tcW w:w="1738" w:type="dxa"/>
            <w:tcBorders>
              <w:top w:val="single" w:color="auto" w:sz="4" w:space="0"/>
              <w:left w:val="single" w:color="auto" w:sz="4" w:space="0"/>
              <w:bottom w:val="single" w:color="auto" w:sz="4" w:space="0"/>
              <w:right w:val="single" w:color="auto" w:sz="4" w:space="0"/>
            </w:tcBorders>
            <w:vAlign w:val="center"/>
          </w:tcPr>
          <w:p w14:paraId="30333108">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联系人</w:t>
            </w:r>
          </w:p>
        </w:tc>
        <w:tc>
          <w:tcPr>
            <w:tcW w:w="5464" w:type="dxa"/>
            <w:tcBorders>
              <w:top w:val="single" w:color="auto" w:sz="4" w:space="0"/>
              <w:left w:val="single" w:color="auto" w:sz="4" w:space="0"/>
              <w:bottom w:val="single" w:color="auto" w:sz="4" w:space="0"/>
              <w:right w:val="single" w:color="auto" w:sz="4" w:space="0"/>
            </w:tcBorders>
            <w:vAlign w:val="center"/>
          </w:tcPr>
          <w:p w14:paraId="4521E47D">
            <w:pPr>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衡工</w:t>
            </w:r>
          </w:p>
        </w:tc>
      </w:tr>
      <w:tr w14:paraId="6E587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88" w:type="dxa"/>
            <w:vMerge w:val="continue"/>
            <w:tcBorders>
              <w:left w:val="single" w:color="auto" w:sz="4" w:space="0"/>
              <w:right w:val="single" w:color="auto" w:sz="4" w:space="0"/>
            </w:tcBorders>
            <w:vAlign w:val="center"/>
          </w:tcPr>
          <w:p w14:paraId="166F7E10">
            <w:pPr>
              <w:spacing w:line="440" w:lineRule="exact"/>
              <w:jc w:val="center"/>
              <w:rPr>
                <w:rFonts w:hint="eastAsia" w:ascii="仿宋" w:hAnsi="仿宋" w:eastAsia="仿宋" w:cs="仿宋"/>
                <w:color w:val="auto"/>
                <w:sz w:val="24"/>
                <w:szCs w:val="24"/>
                <w:highlight w:val="none"/>
              </w:rPr>
            </w:pPr>
          </w:p>
        </w:tc>
        <w:tc>
          <w:tcPr>
            <w:tcW w:w="857" w:type="dxa"/>
            <w:vMerge w:val="continue"/>
            <w:tcBorders>
              <w:left w:val="single" w:color="auto" w:sz="4" w:space="0"/>
              <w:right w:val="single" w:color="auto" w:sz="4" w:space="0"/>
            </w:tcBorders>
            <w:vAlign w:val="center"/>
          </w:tcPr>
          <w:p w14:paraId="0DCE4599">
            <w:pPr>
              <w:spacing w:line="440" w:lineRule="exact"/>
              <w:jc w:val="center"/>
              <w:rPr>
                <w:rFonts w:hint="eastAsia" w:ascii="仿宋" w:hAnsi="仿宋" w:eastAsia="仿宋" w:cs="仿宋"/>
                <w:color w:val="auto"/>
                <w:sz w:val="24"/>
                <w:szCs w:val="24"/>
                <w:highlight w:val="none"/>
              </w:rPr>
            </w:pPr>
          </w:p>
        </w:tc>
        <w:tc>
          <w:tcPr>
            <w:tcW w:w="1152" w:type="dxa"/>
            <w:vMerge w:val="continue"/>
            <w:tcBorders>
              <w:left w:val="single" w:color="auto" w:sz="4" w:space="0"/>
              <w:bottom w:val="single" w:color="auto" w:sz="4" w:space="0"/>
              <w:right w:val="single" w:color="auto" w:sz="4" w:space="0"/>
            </w:tcBorders>
            <w:vAlign w:val="center"/>
          </w:tcPr>
          <w:p w14:paraId="6B1C9F4D">
            <w:pPr>
              <w:spacing w:line="440" w:lineRule="exact"/>
              <w:rPr>
                <w:rFonts w:hint="eastAsia" w:ascii="仿宋" w:hAnsi="仿宋" w:eastAsia="仿宋" w:cs="仿宋"/>
                <w:color w:val="auto"/>
                <w:sz w:val="24"/>
                <w:szCs w:val="24"/>
                <w:highlight w:val="none"/>
              </w:rPr>
            </w:pPr>
          </w:p>
        </w:tc>
        <w:tc>
          <w:tcPr>
            <w:tcW w:w="1738" w:type="dxa"/>
            <w:tcBorders>
              <w:top w:val="single" w:color="auto" w:sz="4" w:space="0"/>
              <w:left w:val="single" w:color="auto" w:sz="4" w:space="0"/>
              <w:bottom w:val="single" w:color="auto" w:sz="4" w:space="0"/>
              <w:right w:val="single" w:color="auto" w:sz="4" w:space="0"/>
            </w:tcBorders>
            <w:vAlign w:val="center"/>
          </w:tcPr>
          <w:p w14:paraId="28EFC8DA">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联系电话</w:t>
            </w:r>
          </w:p>
        </w:tc>
        <w:tc>
          <w:tcPr>
            <w:tcW w:w="5464" w:type="dxa"/>
            <w:tcBorders>
              <w:top w:val="single" w:color="auto" w:sz="4" w:space="0"/>
              <w:left w:val="single" w:color="auto" w:sz="4" w:space="0"/>
              <w:bottom w:val="single" w:color="auto" w:sz="4" w:space="0"/>
              <w:right w:val="single" w:color="auto" w:sz="4" w:space="0"/>
            </w:tcBorders>
            <w:vAlign w:val="center"/>
          </w:tcPr>
          <w:p w14:paraId="4B6EB83D">
            <w:pP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025-86111302</w:t>
            </w:r>
          </w:p>
        </w:tc>
      </w:tr>
      <w:tr w14:paraId="1DFE2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688" w:type="dxa"/>
            <w:vMerge w:val="continue"/>
            <w:tcBorders>
              <w:left w:val="single" w:color="auto" w:sz="4" w:space="0"/>
              <w:right w:val="single" w:color="auto" w:sz="4" w:space="0"/>
            </w:tcBorders>
            <w:vAlign w:val="center"/>
          </w:tcPr>
          <w:p w14:paraId="21F5B5B6">
            <w:pPr>
              <w:spacing w:line="440" w:lineRule="exact"/>
              <w:jc w:val="center"/>
              <w:rPr>
                <w:rFonts w:hint="eastAsia" w:ascii="仿宋" w:hAnsi="仿宋" w:eastAsia="仿宋" w:cs="仿宋"/>
                <w:color w:val="auto"/>
                <w:sz w:val="24"/>
                <w:szCs w:val="24"/>
                <w:highlight w:val="none"/>
              </w:rPr>
            </w:pPr>
          </w:p>
        </w:tc>
        <w:tc>
          <w:tcPr>
            <w:tcW w:w="857" w:type="dxa"/>
            <w:vMerge w:val="continue"/>
            <w:tcBorders>
              <w:left w:val="single" w:color="auto" w:sz="4" w:space="0"/>
              <w:right w:val="single" w:color="auto" w:sz="4" w:space="0"/>
            </w:tcBorders>
            <w:vAlign w:val="center"/>
          </w:tcPr>
          <w:p w14:paraId="231F87A4">
            <w:pPr>
              <w:spacing w:line="440" w:lineRule="exact"/>
              <w:jc w:val="center"/>
              <w:rPr>
                <w:rFonts w:hint="eastAsia" w:ascii="仿宋" w:hAnsi="仿宋" w:eastAsia="仿宋" w:cs="仿宋"/>
                <w:color w:val="auto"/>
                <w:sz w:val="24"/>
                <w:szCs w:val="24"/>
                <w:highlight w:val="none"/>
              </w:rPr>
            </w:pPr>
          </w:p>
        </w:tc>
        <w:tc>
          <w:tcPr>
            <w:tcW w:w="1152" w:type="dxa"/>
            <w:vMerge w:val="restart"/>
            <w:tcBorders>
              <w:top w:val="single" w:color="auto" w:sz="4" w:space="0"/>
              <w:left w:val="single" w:color="auto" w:sz="4" w:space="0"/>
              <w:right w:val="single" w:color="auto" w:sz="4" w:space="0"/>
            </w:tcBorders>
            <w:vAlign w:val="center"/>
          </w:tcPr>
          <w:p w14:paraId="7C211221">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1738" w:type="dxa"/>
            <w:tcBorders>
              <w:top w:val="single" w:color="auto" w:sz="4" w:space="0"/>
              <w:left w:val="single" w:color="auto" w:sz="4" w:space="0"/>
              <w:bottom w:val="single" w:color="auto" w:sz="4" w:space="0"/>
              <w:right w:val="single" w:color="auto" w:sz="4" w:space="0"/>
            </w:tcBorders>
            <w:vAlign w:val="center"/>
          </w:tcPr>
          <w:p w14:paraId="37857E8A">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p>
        </w:tc>
        <w:tc>
          <w:tcPr>
            <w:tcW w:w="5464" w:type="dxa"/>
            <w:tcBorders>
              <w:top w:val="single" w:color="auto" w:sz="4" w:space="0"/>
              <w:left w:val="single" w:color="auto" w:sz="4" w:space="0"/>
              <w:bottom w:val="single" w:color="auto" w:sz="4" w:space="0"/>
              <w:right w:val="single" w:color="auto" w:sz="4" w:space="0"/>
            </w:tcBorders>
            <w:vAlign w:val="center"/>
          </w:tcPr>
          <w:p w14:paraId="397782D8">
            <w:pPr>
              <w:pStyle w:val="21"/>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姜激扬</w:t>
            </w:r>
          </w:p>
        </w:tc>
      </w:tr>
      <w:tr w14:paraId="04079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8" w:type="dxa"/>
            <w:vMerge w:val="continue"/>
            <w:tcBorders>
              <w:left w:val="single" w:color="auto" w:sz="4" w:space="0"/>
              <w:right w:val="single" w:color="auto" w:sz="4" w:space="0"/>
            </w:tcBorders>
            <w:vAlign w:val="center"/>
          </w:tcPr>
          <w:p w14:paraId="12E968EB">
            <w:pPr>
              <w:widowControl/>
              <w:jc w:val="left"/>
              <w:rPr>
                <w:rFonts w:hint="eastAsia" w:ascii="仿宋" w:hAnsi="仿宋" w:eastAsia="仿宋" w:cs="仿宋"/>
                <w:color w:val="auto"/>
                <w:sz w:val="24"/>
                <w:szCs w:val="24"/>
                <w:highlight w:val="none"/>
              </w:rPr>
            </w:pPr>
          </w:p>
        </w:tc>
        <w:tc>
          <w:tcPr>
            <w:tcW w:w="857" w:type="dxa"/>
            <w:vMerge w:val="continue"/>
            <w:tcBorders>
              <w:left w:val="single" w:color="auto" w:sz="4" w:space="0"/>
              <w:right w:val="single" w:color="auto" w:sz="4" w:space="0"/>
            </w:tcBorders>
            <w:vAlign w:val="center"/>
          </w:tcPr>
          <w:p w14:paraId="6DA025DD">
            <w:pPr>
              <w:widowControl/>
              <w:jc w:val="left"/>
              <w:rPr>
                <w:rFonts w:hint="eastAsia" w:ascii="仿宋" w:hAnsi="仿宋" w:eastAsia="仿宋" w:cs="仿宋"/>
                <w:color w:val="auto"/>
                <w:sz w:val="24"/>
                <w:szCs w:val="24"/>
                <w:highlight w:val="none"/>
              </w:rPr>
            </w:pPr>
          </w:p>
        </w:tc>
        <w:tc>
          <w:tcPr>
            <w:tcW w:w="1152" w:type="dxa"/>
            <w:vMerge w:val="continue"/>
            <w:tcBorders>
              <w:left w:val="single" w:color="auto" w:sz="4" w:space="0"/>
              <w:right w:val="single" w:color="auto" w:sz="4" w:space="0"/>
            </w:tcBorders>
            <w:vAlign w:val="center"/>
          </w:tcPr>
          <w:p w14:paraId="3A6364FD">
            <w:pPr>
              <w:widowControl/>
              <w:rPr>
                <w:rFonts w:hint="eastAsia" w:ascii="仿宋" w:hAnsi="仿宋" w:eastAsia="仿宋" w:cs="仿宋"/>
                <w:color w:val="auto"/>
                <w:sz w:val="24"/>
                <w:szCs w:val="24"/>
                <w:highlight w:val="none"/>
              </w:rPr>
            </w:pPr>
          </w:p>
        </w:tc>
        <w:tc>
          <w:tcPr>
            <w:tcW w:w="1738" w:type="dxa"/>
            <w:tcBorders>
              <w:top w:val="single" w:color="auto" w:sz="4" w:space="0"/>
              <w:left w:val="single" w:color="auto" w:sz="4" w:space="0"/>
              <w:bottom w:val="single" w:color="auto" w:sz="4" w:space="0"/>
              <w:right w:val="single" w:color="auto" w:sz="4" w:space="0"/>
            </w:tcBorders>
            <w:vAlign w:val="center"/>
          </w:tcPr>
          <w:p w14:paraId="6FF7E9C2">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tc>
        <w:tc>
          <w:tcPr>
            <w:tcW w:w="5464" w:type="dxa"/>
            <w:tcBorders>
              <w:top w:val="single" w:color="auto" w:sz="4" w:space="0"/>
              <w:left w:val="single" w:color="auto" w:sz="4" w:space="0"/>
              <w:bottom w:val="single" w:color="auto" w:sz="4" w:space="0"/>
              <w:right w:val="single" w:color="auto" w:sz="4" w:space="0"/>
            </w:tcBorders>
            <w:vAlign w:val="center"/>
          </w:tcPr>
          <w:p w14:paraId="35A2F7D5">
            <w:pPr>
              <w:pStyle w:val="21"/>
              <w:rPr>
                <w:rFonts w:hint="default"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SA"/>
              </w:rPr>
              <w:t>13776545772</w:t>
            </w:r>
          </w:p>
        </w:tc>
      </w:tr>
    </w:tbl>
    <w:p w14:paraId="4803B73B">
      <w:pPr>
        <w:ind w:firstLine="482" w:firstLineChars="200"/>
        <w:jc w:val="cente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zh-CN"/>
        </w:rPr>
        <w:t>前附表</w:t>
      </w:r>
    </w:p>
    <w:p w14:paraId="2A3239CB">
      <w:pPr>
        <w:spacing w:line="360" w:lineRule="auto"/>
        <w:ind w:firstLine="420"/>
        <w:rPr>
          <w:rFonts w:hint="eastAsia" w:ascii="仿宋" w:hAnsi="仿宋" w:eastAsia="仿宋" w:cs="仿宋"/>
          <w:bCs/>
          <w:color w:val="auto"/>
          <w:sz w:val="24"/>
          <w:szCs w:val="24"/>
          <w:highlight w:val="none"/>
          <w:shd w:val="clear" w:color="auto" w:fill="FFFFFF"/>
        </w:rPr>
      </w:pPr>
      <w:bookmarkStart w:id="72" w:name="_Toc11826"/>
      <w:bookmarkStart w:id="73" w:name="_Toc24504"/>
      <w:bookmarkStart w:id="74" w:name="_Toc8989"/>
      <w:bookmarkStart w:id="75" w:name="_Toc2932"/>
      <w:bookmarkStart w:id="76" w:name="_Toc504141737"/>
      <w:bookmarkStart w:id="77" w:name="_Toc18735"/>
      <w:bookmarkStart w:id="78" w:name="_Toc43217787"/>
      <w:bookmarkStart w:id="79" w:name="_Toc11048"/>
      <w:bookmarkStart w:id="80" w:name="_Toc28353"/>
      <w:bookmarkStart w:id="81" w:name="_Toc32753"/>
      <w:bookmarkStart w:id="82" w:name="_Toc10178"/>
      <w:bookmarkStart w:id="83" w:name="_Toc22366"/>
      <w:bookmarkStart w:id="84" w:name="_Toc9933250"/>
      <w:bookmarkStart w:id="85" w:name="_Toc32136"/>
      <w:bookmarkStart w:id="86" w:name="_Toc22383"/>
      <w:r>
        <w:rPr>
          <w:rFonts w:hint="eastAsia" w:ascii="仿宋" w:hAnsi="仿宋" w:eastAsia="仿宋" w:cs="仿宋"/>
          <w:b/>
          <w:bCs/>
          <w:color w:val="auto"/>
          <w:sz w:val="24"/>
          <w:szCs w:val="24"/>
          <w:highlight w:val="none"/>
          <w:lang w:val="zh-CN"/>
        </w:rPr>
        <w:br w:type="page"/>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Start w:id="87" w:name="_Toc12140"/>
      <w:bookmarkStart w:id="88" w:name="_Toc85525784"/>
      <w:r>
        <w:rPr>
          <w:rFonts w:hint="eastAsia" w:ascii="仿宋" w:hAnsi="仿宋" w:eastAsia="仿宋" w:cs="仿宋"/>
          <w:bCs/>
          <w:color w:val="auto"/>
          <w:sz w:val="24"/>
          <w:szCs w:val="24"/>
          <w:highlight w:val="none"/>
          <w:shd w:val="clear" w:color="auto" w:fill="FFFFFF"/>
        </w:rPr>
        <w:t>一、总    则</w:t>
      </w:r>
      <w:bookmarkEnd w:id="87"/>
      <w:bookmarkEnd w:id="88"/>
    </w:p>
    <w:p w14:paraId="6D98D79A">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1、适用法律</w:t>
      </w:r>
    </w:p>
    <w:p w14:paraId="48BEFA57">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1.1 《中华人民共和国政府采购法》、《政府采购竞争性磋商采购方式管理暂行办法》、《中华人民共和国政府采购法实施条例》等有关法律、规章和规定等。</w:t>
      </w:r>
    </w:p>
    <w:p w14:paraId="2C59C5D4">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2、定义</w:t>
      </w:r>
    </w:p>
    <w:p w14:paraId="79D4969A">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2.1 “供应商”是指参加磋商竞争，并符合磋商文件规定资格条件的法人、其他组织或者自然人。</w:t>
      </w:r>
    </w:p>
    <w:p w14:paraId="672524E0">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2.2 “服务”指本磋商文件中所述产品及相关服务。</w:t>
      </w:r>
    </w:p>
    <w:p w14:paraId="6C99CCB9">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2.3 “用户或使用单位”是指使用服务的单位。</w:t>
      </w:r>
    </w:p>
    <w:p w14:paraId="34234D49">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3、政策功能</w:t>
      </w:r>
    </w:p>
    <w:p w14:paraId="4F3A72BA">
      <w:pPr>
        <w:shd w:val="clear" w:color="auto" w:fill="FFFFFF"/>
        <w:adjustRightInd w:val="0"/>
        <w:snapToGrid w:val="0"/>
        <w:spacing w:line="360" w:lineRule="auto"/>
        <w:ind w:firstLine="480" w:firstLineChars="200"/>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参加投标的中小企业，应当提供《中小企业声明函》（“中小企业划型标准”详《关于印发中小企业划型标准规定的通知》工信部联企业〔2011〕300号）。其他详磋商文件第三章。</w:t>
      </w:r>
    </w:p>
    <w:p w14:paraId="3F17EFC6">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4、参加磋商费用</w:t>
      </w:r>
    </w:p>
    <w:p w14:paraId="6BACA6B1">
      <w:pPr>
        <w:shd w:val="clear" w:color="auto" w:fill="FFFFFF"/>
        <w:adjustRightInd w:val="0"/>
        <w:snapToGrid w:val="0"/>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4.1 供应商应承担所有与准备和参加磋商有关的费用，无论采购结果如何，招标代理和采购单位在任何情况下均无义务和责任承担这些费用。</w:t>
      </w:r>
    </w:p>
    <w:p w14:paraId="17B4855D">
      <w:pPr>
        <w:shd w:val="clear" w:color="auto" w:fill="FFFFFF"/>
        <w:adjustRightInd w:val="0"/>
        <w:snapToGrid w:val="0"/>
        <w:spacing w:line="360" w:lineRule="auto"/>
        <w:ind w:firstLine="420"/>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4.2</w:t>
      </w:r>
      <w:r>
        <w:rPr>
          <w:rFonts w:hint="eastAsia" w:ascii="仿宋" w:hAnsi="仿宋" w:eastAsia="仿宋" w:cs="仿宋"/>
          <w:bCs/>
          <w:color w:val="auto"/>
          <w:sz w:val="24"/>
          <w:szCs w:val="24"/>
          <w:highlight w:val="none"/>
          <w:lang w:val="en-US" w:eastAsia="zh-CN"/>
        </w:rPr>
        <w:t xml:space="preserve"> 本次招标代理服务费由采购人支付</w:t>
      </w:r>
      <w:r>
        <w:rPr>
          <w:rFonts w:hint="eastAsia" w:ascii="仿宋" w:hAnsi="仿宋" w:eastAsia="仿宋" w:cs="仿宋"/>
          <w:bCs/>
          <w:color w:val="auto"/>
          <w:sz w:val="24"/>
          <w:szCs w:val="24"/>
          <w:highlight w:val="none"/>
          <w:lang w:val="zh-CN"/>
        </w:rPr>
        <w:t>。</w:t>
      </w:r>
    </w:p>
    <w:p w14:paraId="393AE8AC">
      <w:pPr>
        <w:numPr>
          <w:ilvl w:val="0"/>
          <w:numId w:val="4"/>
        </w:numPr>
        <w:shd w:val="clear" w:color="auto" w:fill="FFFFFF"/>
        <w:adjustRightInd w:val="0"/>
        <w:snapToGrid w:val="0"/>
        <w:spacing w:line="360" w:lineRule="auto"/>
        <w:ind w:firstLine="420"/>
        <w:rPr>
          <w:rFonts w:hint="eastAsia" w:ascii="仿宋" w:hAnsi="仿宋" w:eastAsia="仿宋" w:cs="仿宋"/>
          <w:b/>
          <w:color w:val="auto"/>
          <w:sz w:val="24"/>
          <w:szCs w:val="24"/>
          <w:highlight w:val="none"/>
          <w:lang w:val="zh-CN" w:eastAsia="zh-CN"/>
        </w:rPr>
      </w:pPr>
      <w:r>
        <w:rPr>
          <w:rFonts w:hint="eastAsia" w:ascii="仿宋" w:hAnsi="仿宋" w:eastAsia="仿宋" w:cs="仿宋"/>
          <w:b/>
          <w:color w:val="auto"/>
          <w:sz w:val="24"/>
          <w:szCs w:val="24"/>
          <w:highlight w:val="none"/>
          <w:lang w:val="zh-CN" w:eastAsia="zh-CN"/>
        </w:rPr>
        <w:t>供应商的义务及注意事项</w:t>
      </w:r>
    </w:p>
    <w:p w14:paraId="1D76B941">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rPr>
        <w:t>5.1集中现场答疑/勘察：</w:t>
      </w:r>
      <w:r>
        <w:rPr>
          <w:rFonts w:hint="eastAsia" w:ascii="仿宋" w:hAnsi="仿宋" w:eastAsia="仿宋" w:cs="仿宋"/>
          <w:color w:val="auto"/>
          <w:sz w:val="24"/>
          <w:szCs w:val="24"/>
          <w:highlight w:val="none"/>
          <w:lang w:val="zh-CN" w:eastAsia="zh-CN"/>
        </w:rPr>
        <w:t>采购人不组织，供应商可自行查勘，在随后的采购中，对现场资料和数据所作出的推论、解释和结论及由此造成的后果由供应商负责。</w:t>
      </w:r>
    </w:p>
    <w:p w14:paraId="2FDE68D3">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5.2 义务</w:t>
      </w:r>
    </w:p>
    <w:p w14:paraId="03C12FF6">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5.2.1供应商应当认真阅读本磋商文件，完全明了本项目之名称、用途、数量、质量和提供服务时间，完全明了应具备的资格条件。</w:t>
      </w:r>
    </w:p>
    <w:p w14:paraId="1F34DC0C">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5.2.2供应商应当按照磋商文件的要求编制响应性文件。响应性文件应对磋商文件提出的实质性要求和条件作出完全响应。</w:t>
      </w:r>
    </w:p>
    <w:p w14:paraId="5346C6F3">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5.2.3供应商应在磋商截止时间前，将</w:t>
      </w:r>
      <w:r>
        <w:rPr>
          <w:rFonts w:hint="eastAsia" w:ascii="仿宋" w:hAnsi="仿宋" w:eastAsia="仿宋" w:cs="仿宋"/>
          <w:color w:val="auto"/>
          <w:sz w:val="24"/>
          <w:szCs w:val="24"/>
          <w:highlight w:val="none"/>
          <w:lang w:val="en-US" w:eastAsia="zh-CN"/>
        </w:rPr>
        <w:t>电子</w:t>
      </w:r>
      <w:r>
        <w:rPr>
          <w:rFonts w:hint="eastAsia" w:ascii="仿宋" w:hAnsi="仿宋" w:eastAsia="仿宋" w:cs="仿宋"/>
          <w:color w:val="auto"/>
          <w:sz w:val="24"/>
          <w:szCs w:val="24"/>
          <w:highlight w:val="none"/>
          <w:lang w:val="zh-CN" w:eastAsia="zh-CN"/>
        </w:rPr>
        <w:t>响应性文件</w:t>
      </w:r>
      <w:r>
        <w:rPr>
          <w:rFonts w:hint="eastAsia" w:ascii="仿宋" w:hAnsi="仿宋" w:eastAsia="仿宋" w:cs="仿宋"/>
          <w:color w:val="auto"/>
          <w:sz w:val="24"/>
          <w:szCs w:val="24"/>
          <w:highlight w:val="none"/>
        </w:rPr>
        <w:t>通过“苏采云”系统上传投标文件</w:t>
      </w:r>
      <w:r>
        <w:rPr>
          <w:rFonts w:hint="eastAsia" w:ascii="仿宋" w:hAnsi="仿宋" w:eastAsia="仿宋" w:cs="仿宋"/>
          <w:color w:val="auto"/>
          <w:sz w:val="24"/>
          <w:szCs w:val="24"/>
          <w:highlight w:val="none"/>
          <w:lang w:val="zh-CN" w:eastAsia="zh-CN"/>
        </w:rPr>
        <w:t>。</w:t>
      </w:r>
    </w:p>
    <w:p w14:paraId="0164580F">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5.2.4供应商不得相互串通报价，不得排挤其他供应商的公平竞争，损害采购人或者其他供应商的合法权益。供应商不得与采购人串通磋商，损害国家利益，公众利益或者他人的合法权益。</w:t>
      </w:r>
    </w:p>
    <w:p w14:paraId="5340302F">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5.3 注意事项</w:t>
      </w:r>
    </w:p>
    <w:p w14:paraId="3E314AB5">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5.3.1本项目采购方式是竞争性磋商，整个项目是一个整体、不可分割。</w:t>
      </w:r>
    </w:p>
    <w:p w14:paraId="1A6E7F88">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5.3.2验收标准</w:t>
      </w:r>
    </w:p>
    <w:p w14:paraId="24E7A927">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5.3.2.1磋商文件中明确的标准和技术要求，未明确部分按照国家最新的相关标准；</w:t>
      </w:r>
    </w:p>
    <w:p w14:paraId="78F4846B">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5.3.3供应商应认真阅读磋商文件中所有的事项、格式、条款和规范等要求，如果没有按照磋商文件要求提交全部资料，或者没有对磋商文件作出实质性响应，相应风险应由供应商承担，包括作无效磋商处理。</w:t>
      </w:r>
    </w:p>
    <w:p w14:paraId="6EEE1150">
      <w:pPr>
        <w:shd w:val="clear" w:color="auto" w:fill="FFFFFF"/>
        <w:adjustRightInd w:val="0"/>
        <w:snapToGrid w:val="0"/>
        <w:spacing w:line="360" w:lineRule="auto"/>
        <w:ind w:firstLine="42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rPr>
        <w:t>5.</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val="zh-CN"/>
        </w:rPr>
        <w:t>本次项目不接受联合体磋商。</w:t>
      </w:r>
    </w:p>
    <w:p w14:paraId="4D328EA3">
      <w:pPr>
        <w:spacing w:line="360" w:lineRule="auto"/>
        <w:ind w:firstLine="420"/>
        <w:rPr>
          <w:rFonts w:hint="eastAsia" w:ascii="仿宋" w:hAnsi="仿宋" w:eastAsia="仿宋" w:cs="仿宋"/>
          <w:bCs/>
          <w:color w:val="auto"/>
          <w:sz w:val="24"/>
          <w:szCs w:val="24"/>
          <w:highlight w:val="none"/>
          <w:shd w:val="clear" w:color="auto" w:fill="FFFFFF"/>
        </w:rPr>
      </w:pPr>
      <w:bookmarkStart w:id="89" w:name="_Toc988"/>
      <w:bookmarkStart w:id="90" w:name="_Toc85525785"/>
      <w:r>
        <w:rPr>
          <w:rFonts w:hint="eastAsia" w:ascii="仿宋" w:hAnsi="仿宋" w:eastAsia="仿宋" w:cs="仿宋"/>
          <w:bCs/>
          <w:color w:val="auto"/>
          <w:sz w:val="24"/>
          <w:szCs w:val="24"/>
          <w:highlight w:val="none"/>
          <w:shd w:val="clear" w:color="auto" w:fill="FFFFFF"/>
        </w:rPr>
        <w:t>二、</w:t>
      </w:r>
      <w:r>
        <w:rPr>
          <w:rFonts w:hint="eastAsia" w:ascii="仿宋" w:hAnsi="仿宋" w:eastAsia="仿宋" w:cs="仿宋"/>
          <w:bCs/>
          <w:color w:val="auto"/>
          <w:sz w:val="24"/>
          <w:szCs w:val="24"/>
          <w:highlight w:val="none"/>
          <w:shd w:val="clear" w:color="auto" w:fill="FFFFFF"/>
          <w:lang w:eastAsia="zh-CN"/>
        </w:rPr>
        <w:t>电子磋商响应文件</w:t>
      </w:r>
      <w:r>
        <w:rPr>
          <w:rFonts w:hint="eastAsia" w:ascii="仿宋" w:hAnsi="仿宋" w:eastAsia="仿宋" w:cs="仿宋"/>
          <w:bCs/>
          <w:color w:val="auto"/>
          <w:sz w:val="24"/>
          <w:szCs w:val="24"/>
          <w:highlight w:val="none"/>
          <w:shd w:val="clear" w:color="auto" w:fill="FFFFFF"/>
        </w:rPr>
        <w:t>编制</w:t>
      </w:r>
      <w:bookmarkEnd w:id="89"/>
      <w:bookmarkEnd w:id="90"/>
    </w:p>
    <w:p w14:paraId="1829D631">
      <w:pPr>
        <w:spacing w:line="360" w:lineRule="auto"/>
        <w:ind w:firstLine="42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6、</w:t>
      </w:r>
      <w:r>
        <w:rPr>
          <w:rFonts w:hint="eastAsia" w:ascii="仿宋" w:hAnsi="仿宋" w:eastAsia="仿宋" w:cs="仿宋"/>
          <w:b/>
          <w:color w:val="auto"/>
          <w:sz w:val="24"/>
          <w:szCs w:val="24"/>
          <w:highlight w:val="none"/>
          <w:lang w:eastAsia="zh-CN"/>
        </w:rPr>
        <w:t>电子磋商响应文件</w:t>
      </w:r>
      <w:r>
        <w:rPr>
          <w:rFonts w:hint="eastAsia" w:ascii="仿宋" w:hAnsi="仿宋" w:eastAsia="仿宋" w:cs="仿宋"/>
          <w:b/>
          <w:color w:val="auto"/>
          <w:sz w:val="24"/>
          <w:szCs w:val="24"/>
          <w:highlight w:val="none"/>
        </w:rPr>
        <w:t>的语言、计量单位、货币和编制</w:t>
      </w:r>
    </w:p>
    <w:p w14:paraId="36DE7388">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 供应商提交的</w:t>
      </w:r>
      <w:r>
        <w:rPr>
          <w:rFonts w:hint="eastAsia" w:ascii="仿宋" w:hAnsi="仿宋" w:eastAsia="仿宋" w:cs="仿宋"/>
          <w:bCs/>
          <w:color w:val="auto"/>
          <w:sz w:val="24"/>
          <w:szCs w:val="24"/>
          <w:highlight w:val="none"/>
          <w:lang w:eastAsia="zh-CN"/>
        </w:rPr>
        <w:t>电子磋商响应文件</w:t>
      </w:r>
      <w:r>
        <w:rPr>
          <w:rFonts w:hint="eastAsia" w:ascii="仿宋" w:hAnsi="仿宋" w:eastAsia="仿宋" w:cs="仿宋"/>
          <w:bCs/>
          <w:color w:val="auto"/>
          <w:sz w:val="24"/>
          <w:szCs w:val="24"/>
          <w:highlight w:val="none"/>
        </w:rPr>
        <w:t>、技术文件和资料，包括图纸中的说明，以及供应商与招标代理就有关</w:t>
      </w:r>
      <w:r>
        <w:rPr>
          <w:rFonts w:hint="eastAsia" w:ascii="仿宋" w:hAnsi="仿宋" w:eastAsia="仿宋" w:cs="仿宋"/>
          <w:bCs/>
          <w:color w:val="auto"/>
          <w:sz w:val="24"/>
          <w:szCs w:val="24"/>
          <w:highlight w:val="none"/>
          <w:lang w:eastAsia="zh-CN"/>
        </w:rPr>
        <w:t>磋商</w:t>
      </w:r>
      <w:r>
        <w:rPr>
          <w:rFonts w:hint="eastAsia" w:ascii="仿宋" w:hAnsi="仿宋" w:eastAsia="仿宋" w:cs="仿宋"/>
          <w:bCs/>
          <w:color w:val="auto"/>
          <w:sz w:val="24"/>
          <w:szCs w:val="24"/>
          <w:highlight w:val="none"/>
        </w:rPr>
        <w:t>的所有来往函电均应使用中文。</w:t>
      </w:r>
      <w:r>
        <w:rPr>
          <w:rFonts w:hint="eastAsia" w:ascii="仿宋" w:hAnsi="仿宋" w:eastAsia="仿宋" w:cs="仿宋"/>
          <w:bCs/>
          <w:color w:val="auto"/>
          <w:sz w:val="24"/>
          <w:szCs w:val="24"/>
          <w:highlight w:val="none"/>
          <w:lang w:eastAsia="zh-CN"/>
        </w:rPr>
        <w:t>电子磋商响应文件</w:t>
      </w:r>
      <w:r>
        <w:rPr>
          <w:rFonts w:hint="eastAsia" w:ascii="仿宋" w:hAnsi="仿宋" w:eastAsia="仿宋" w:cs="仿宋"/>
          <w:bCs/>
          <w:color w:val="auto"/>
          <w:sz w:val="24"/>
          <w:szCs w:val="24"/>
          <w:highlight w:val="none"/>
        </w:rPr>
        <w:t>中若有英文或其他语言文字的资料，应提供相应的中文翻译资料。对不同文本</w:t>
      </w:r>
      <w:r>
        <w:rPr>
          <w:rFonts w:hint="eastAsia" w:ascii="仿宋" w:hAnsi="仿宋" w:eastAsia="仿宋" w:cs="仿宋"/>
          <w:bCs/>
          <w:color w:val="auto"/>
          <w:sz w:val="24"/>
          <w:szCs w:val="24"/>
          <w:highlight w:val="none"/>
          <w:lang w:eastAsia="zh-CN"/>
        </w:rPr>
        <w:t>磋商响应文件</w:t>
      </w:r>
      <w:r>
        <w:rPr>
          <w:rFonts w:hint="eastAsia" w:ascii="仿宋" w:hAnsi="仿宋" w:eastAsia="仿宋" w:cs="仿宋"/>
          <w:bCs/>
          <w:color w:val="auto"/>
          <w:sz w:val="24"/>
          <w:szCs w:val="24"/>
          <w:highlight w:val="none"/>
        </w:rPr>
        <w:t>的解释发生异议的，以中文文本为准。</w:t>
      </w:r>
    </w:p>
    <w:p w14:paraId="7AE4F33D">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6.2 供应商所使用的计量单位应为国家法定计量单位。</w:t>
      </w:r>
    </w:p>
    <w:p w14:paraId="216468AA">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6.3 供应商应用人民币报价。</w:t>
      </w:r>
    </w:p>
    <w:p w14:paraId="68D643D0">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w:t>
      </w:r>
      <w:r>
        <w:rPr>
          <w:rFonts w:hint="eastAsia" w:ascii="仿宋" w:hAnsi="仿宋" w:eastAsia="仿宋" w:cs="仿宋"/>
          <w:bCs/>
          <w:color w:val="auto"/>
          <w:sz w:val="24"/>
          <w:szCs w:val="24"/>
          <w:highlight w:val="none"/>
          <w:lang w:val="en-US" w:eastAsia="zh-CN"/>
        </w:rPr>
        <w:t>4</w:t>
      </w:r>
      <w:r>
        <w:rPr>
          <w:rFonts w:hint="eastAsia" w:ascii="仿宋" w:hAnsi="仿宋" w:eastAsia="仿宋" w:cs="仿宋"/>
          <w:bCs/>
          <w:color w:val="auto"/>
          <w:sz w:val="24"/>
          <w:szCs w:val="24"/>
          <w:highlight w:val="none"/>
        </w:rPr>
        <w:t xml:space="preserve"> 供应商应在</w:t>
      </w:r>
      <w:r>
        <w:rPr>
          <w:rFonts w:hint="eastAsia" w:ascii="仿宋" w:hAnsi="仿宋" w:eastAsia="仿宋" w:cs="仿宋"/>
          <w:bCs/>
          <w:color w:val="auto"/>
          <w:sz w:val="24"/>
          <w:szCs w:val="24"/>
          <w:highlight w:val="none"/>
          <w:lang w:eastAsia="zh-CN"/>
        </w:rPr>
        <w:t>电子磋商响应文件</w:t>
      </w:r>
      <w:r>
        <w:rPr>
          <w:rFonts w:hint="eastAsia" w:ascii="仿宋" w:hAnsi="仿宋" w:eastAsia="仿宋" w:cs="仿宋"/>
          <w:bCs/>
          <w:color w:val="auto"/>
          <w:sz w:val="24"/>
          <w:szCs w:val="24"/>
          <w:highlight w:val="none"/>
        </w:rPr>
        <w:t>中写清相应的项目编号、项目名称、供应商全称、地址、电话、传真等。</w:t>
      </w:r>
    </w:p>
    <w:p w14:paraId="784D8C14">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w:t>
      </w:r>
      <w:r>
        <w:rPr>
          <w:rFonts w:hint="eastAsia" w:ascii="仿宋" w:hAnsi="仿宋" w:eastAsia="仿宋" w:cs="仿宋"/>
          <w:bCs/>
          <w:color w:val="auto"/>
          <w:sz w:val="24"/>
          <w:szCs w:val="24"/>
          <w:highlight w:val="none"/>
          <w:lang w:val="en-US" w:eastAsia="zh-CN"/>
        </w:rPr>
        <w:t>5</w:t>
      </w:r>
      <w:r>
        <w:rPr>
          <w:rFonts w:hint="eastAsia" w:ascii="仿宋" w:hAnsi="仿宋" w:eastAsia="仿宋" w:cs="仿宋"/>
          <w:bCs/>
          <w:color w:val="auto"/>
          <w:sz w:val="24"/>
          <w:szCs w:val="24"/>
          <w:highlight w:val="none"/>
        </w:rPr>
        <w:t xml:space="preserve"> 信用承诺形式：政府采购供应商应当以</w:t>
      </w:r>
      <w:r>
        <w:rPr>
          <w:rFonts w:hint="eastAsia" w:ascii="仿宋" w:hAnsi="仿宋" w:eastAsia="仿宋" w:cs="仿宋"/>
          <w:bCs/>
          <w:color w:val="auto"/>
          <w:sz w:val="24"/>
          <w:szCs w:val="24"/>
          <w:highlight w:val="none"/>
          <w:lang w:eastAsia="zh-CN"/>
        </w:rPr>
        <w:t>原件盖章</w:t>
      </w:r>
      <w:r>
        <w:rPr>
          <w:rFonts w:hint="eastAsia" w:ascii="仿宋" w:hAnsi="仿宋" w:eastAsia="仿宋" w:cs="仿宋"/>
          <w:bCs/>
          <w:color w:val="auto"/>
          <w:sz w:val="24"/>
          <w:szCs w:val="24"/>
          <w:highlight w:val="none"/>
        </w:rPr>
        <w:t>形式向政府采购监管部门、采购人或政府采购代理机构作出信用承诺(格式见附件)。</w:t>
      </w:r>
    </w:p>
    <w:p w14:paraId="40F8F8C6">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w:t>
      </w:r>
      <w:r>
        <w:rPr>
          <w:rFonts w:hint="eastAsia" w:ascii="仿宋" w:hAnsi="仿宋" w:eastAsia="仿宋" w:cs="仿宋"/>
          <w:bCs/>
          <w:color w:val="auto"/>
          <w:sz w:val="24"/>
          <w:szCs w:val="24"/>
          <w:highlight w:val="none"/>
          <w:lang w:val="en-US" w:eastAsia="zh-CN"/>
        </w:rPr>
        <w:t>6</w:t>
      </w:r>
      <w:r>
        <w:rPr>
          <w:rFonts w:hint="eastAsia" w:ascii="仿宋" w:hAnsi="仿宋" w:eastAsia="仿宋" w:cs="仿宋"/>
          <w:bCs/>
          <w:color w:val="auto"/>
          <w:sz w:val="24"/>
          <w:szCs w:val="24"/>
          <w:highlight w:val="none"/>
        </w:rPr>
        <w:t xml:space="preserve"> 信用承诺应用：在政府采购活动中，供应商只需在资格审查环节提供满足相应条件的</w:t>
      </w:r>
      <w:r>
        <w:rPr>
          <w:rFonts w:hint="eastAsia" w:ascii="仿宋" w:hAnsi="仿宋" w:eastAsia="仿宋" w:cs="仿宋"/>
          <w:bCs/>
          <w:color w:val="auto"/>
          <w:sz w:val="24"/>
          <w:szCs w:val="24"/>
          <w:highlight w:val="none"/>
          <w:lang w:eastAsia="zh-CN"/>
        </w:rPr>
        <w:t>盖章扫描件形式的</w:t>
      </w:r>
      <w:r>
        <w:rPr>
          <w:rFonts w:hint="eastAsia" w:ascii="仿宋" w:hAnsi="仿宋" w:eastAsia="仿宋" w:cs="仿宋"/>
          <w:bCs/>
          <w:color w:val="auto"/>
          <w:sz w:val="24"/>
          <w:szCs w:val="24"/>
          <w:highlight w:val="none"/>
        </w:rPr>
        <w:t>承诺书，不再需要提供以下证明材料:</w:t>
      </w:r>
    </w:p>
    <w:p w14:paraId="35BE639D">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（1）符合国家相关规定的财务状况报告;</w:t>
      </w:r>
    </w:p>
    <w:p w14:paraId="2C960DB5">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（2）依法缴纳税收的证明材料;</w:t>
      </w:r>
    </w:p>
    <w:p w14:paraId="55286352">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（3）依法缴纳社会保障资金的证明材料;</w:t>
      </w:r>
    </w:p>
    <w:p w14:paraId="2FCA5003">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（4）具备履行政府采购合同所必需的设备和专业技术能力的证明材料;</w:t>
      </w:r>
    </w:p>
    <w:p w14:paraId="5B7FDEFF">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（5）参加政府采购活动前三年内在经营活动中没有重大违法记录的证明材料;</w:t>
      </w:r>
    </w:p>
    <w:p w14:paraId="37848428">
      <w:pPr>
        <w:spacing w:line="360"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（6）未被列入失信被执行人、重大税收违法案件当事人名单、府采购严重违法失信行为记录名单的证明材料。</w:t>
      </w:r>
    </w:p>
    <w:p w14:paraId="68969097">
      <w:pPr>
        <w:spacing w:line="360" w:lineRule="auto"/>
        <w:ind w:firstLine="42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7、</w:t>
      </w:r>
      <w:r>
        <w:rPr>
          <w:rFonts w:hint="eastAsia" w:ascii="仿宋" w:hAnsi="仿宋" w:eastAsia="仿宋" w:cs="仿宋"/>
          <w:b/>
          <w:color w:val="auto"/>
          <w:sz w:val="24"/>
          <w:szCs w:val="24"/>
          <w:highlight w:val="none"/>
          <w:lang w:eastAsia="zh-CN"/>
        </w:rPr>
        <w:t>磋商响应文件</w:t>
      </w:r>
      <w:r>
        <w:rPr>
          <w:rFonts w:hint="eastAsia" w:ascii="仿宋" w:hAnsi="仿宋" w:eastAsia="仿宋" w:cs="仿宋"/>
          <w:b/>
          <w:color w:val="auto"/>
          <w:sz w:val="24"/>
          <w:szCs w:val="24"/>
          <w:highlight w:val="none"/>
        </w:rPr>
        <w:t>的组成</w:t>
      </w:r>
    </w:p>
    <w:p w14:paraId="214EB95F">
      <w:pPr>
        <w:spacing w:line="360" w:lineRule="auto"/>
        <w:ind w:firstLine="42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7.1供应商应当根据磋商文件要求编制</w:t>
      </w:r>
      <w:r>
        <w:rPr>
          <w:rFonts w:hint="eastAsia" w:ascii="仿宋" w:hAnsi="仿宋" w:eastAsia="仿宋" w:cs="仿宋"/>
          <w:bCs/>
          <w:color w:val="auto"/>
          <w:sz w:val="24"/>
          <w:szCs w:val="24"/>
          <w:highlight w:val="none"/>
          <w:lang w:eastAsia="zh-CN"/>
        </w:rPr>
        <w:t>电子响应</w:t>
      </w:r>
      <w:r>
        <w:rPr>
          <w:rFonts w:hint="eastAsia" w:ascii="仿宋" w:hAnsi="仿宋" w:eastAsia="仿宋" w:cs="仿宋"/>
          <w:bCs/>
          <w:color w:val="auto"/>
          <w:sz w:val="24"/>
          <w:szCs w:val="24"/>
          <w:highlight w:val="none"/>
        </w:rPr>
        <w:t>文件，并根据自己的商务能力、技术水平对磋商文件提出的要求和条件逐条标明是否响应。</w:t>
      </w:r>
      <w:r>
        <w:rPr>
          <w:rFonts w:hint="eastAsia" w:ascii="仿宋" w:hAnsi="仿宋" w:eastAsia="仿宋" w:cs="仿宋"/>
          <w:bCs/>
          <w:color w:val="auto"/>
          <w:sz w:val="24"/>
          <w:szCs w:val="24"/>
          <w:highlight w:val="none"/>
          <w:lang w:eastAsia="zh-CN"/>
        </w:rPr>
        <w:t>电子磋商响应文件</w:t>
      </w:r>
      <w:r>
        <w:rPr>
          <w:rFonts w:hint="eastAsia" w:ascii="仿宋" w:hAnsi="仿宋" w:eastAsia="仿宋" w:cs="仿宋"/>
          <w:bCs/>
          <w:color w:val="auto"/>
          <w:sz w:val="24"/>
          <w:szCs w:val="24"/>
          <w:highlight w:val="none"/>
        </w:rPr>
        <w:t>由商务部分、技术部分、价格部分，以及其他部分组成。</w:t>
      </w:r>
      <w:r>
        <w:rPr>
          <w:rFonts w:hint="eastAsia" w:ascii="仿宋" w:hAnsi="仿宋" w:eastAsia="仿宋" w:cs="仿宋"/>
          <w:bCs/>
          <w:color w:val="auto"/>
          <w:sz w:val="24"/>
          <w:szCs w:val="24"/>
          <w:highlight w:val="none"/>
          <w:lang w:eastAsia="zh-CN"/>
        </w:rPr>
        <w:t>（</w:t>
      </w:r>
      <w:r>
        <w:rPr>
          <w:rFonts w:hint="eastAsia" w:ascii="仿宋" w:hAnsi="仿宋" w:eastAsia="仿宋" w:cs="仿宋"/>
          <w:color w:val="auto"/>
          <w:sz w:val="24"/>
          <w:szCs w:val="24"/>
          <w:highlight w:val="none"/>
          <w:lang w:eastAsia="zh-CN" w:bidi="ar"/>
        </w:rPr>
        <w:t>电子</w:t>
      </w:r>
      <w:r>
        <w:rPr>
          <w:rFonts w:hint="eastAsia" w:ascii="仿宋" w:hAnsi="仿宋" w:eastAsia="仿宋" w:cs="仿宋"/>
          <w:color w:val="auto"/>
          <w:sz w:val="24"/>
          <w:szCs w:val="24"/>
          <w:highlight w:val="none"/>
          <w:lang w:bidi="ar"/>
        </w:rPr>
        <w:t>响应文件按竞争性磋商文件要求签署、盖章</w:t>
      </w:r>
      <w:r>
        <w:rPr>
          <w:rFonts w:hint="eastAsia" w:ascii="仿宋" w:hAnsi="仿宋" w:eastAsia="仿宋" w:cs="仿宋"/>
          <w:color w:val="auto"/>
          <w:sz w:val="24"/>
          <w:szCs w:val="24"/>
          <w:highlight w:val="none"/>
          <w:lang w:eastAsia="zh-CN" w:bidi="ar"/>
        </w:rPr>
        <w:t>或加盖电子公章</w:t>
      </w:r>
      <w:r>
        <w:rPr>
          <w:rFonts w:hint="eastAsia" w:ascii="仿宋" w:hAnsi="仿宋" w:eastAsia="仿宋" w:cs="仿宋"/>
          <w:bCs/>
          <w:color w:val="auto"/>
          <w:sz w:val="24"/>
          <w:szCs w:val="24"/>
          <w:highlight w:val="none"/>
          <w:lang w:eastAsia="zh-CN"/>
        </w:rPr>
        <w:t>）</w:t>
      </w:r>
    </w:p>
    <w:p w14:paraId="50AA1D0E">
      <w:pPr>
        <w:spacing w:line="360" w:lineRule="auto"/>
        <w:ind w:firstLine="42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7.2</w:t>
      </w:r>
      <w:r>
        <w:rPr>
          <w:rFonts w:hint="eastAsia" w:ascii="仿宋" w:hAnsi="仿宋" w:eastAsia="仿宋" w:cs="仿宋"/>
          <w:bCs/>
          <w:color w:val="auto"/>
          <w:sz w:val="24"/>
          <w:szCs w:val="24"/>
          <w:highlight w:val="none"/>
          <w:lang w:val="zh-CN" w:eastAsia="zh-CN"/>
        </w:rPr>
        <w:t>如标书制作工具中格式和内容与“江苏政府采购网”发布的竞争性磋商文件不一致，以“江苏政府采购网”发布的竞争性磋商文件为准。</w:t>
      </w:r>
    </w:p>
    <w:p w14:paraId="04504F6F">
      <w:pPr>
        <w:spacing w:line="360" w:lineRule="auto"/>
        <w:ind w:firstLine="420"/>
        <w:rPr>
          <w:rFonts w:hint="eastAsia" w:ascii="仿宋" w:hAnsi="仿宋" w:eastAsia="仿宋" w:cs="仿宋"/>
          <w:b/>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7.</w:t>
      </w:r>
      <w:r>
        <w:rPr>
          <w:rFonts w:hint="eastAsia" w:ascii="仿宋" w:hAnsi="仿宋" w:eastAsia="仿宋" w:cs="仿宋"/>
          <w:bCs/>
          <w:color w:val="auto"/>
          <w:sz w:val="24"/>
          <w:szCs w:val="24"/>
          <w:highlight w:val="none"/>
          <w:shd w:val="clear" w:color="auto" w:fill="FFFFFF"/>
          <w:lang w:val="en-US" w:eastAsia="zh-CN"/>
        </w:rPr>
        <w:t>3</w:t>
      </w:r>
      <w:r>
        <w:rPr>
          <w:rFonts w:hint="eastAsia" w:ascii="仿宋" w:hAnsi="仿宋" w:eastAsia="仿宋" w:cs="仿宋"/>
          <w:bCs/>
          <w:color w:val="auto"/>
          <w:sz w:val="24"/>
          <w:szCs w:val="24"/>
          <w:highlight w:val="none"/>
          <w:shd w:val="clear" w:color="auto" w:fill="FFFFFF"/>
        </w:rPr>
        <w:t xml:space="preserve"> </w:t>
      </w:r>
      <w:r>
        <w:rPr>
          <w:rFonts w:hint="eastAsia" w:ascii="仿宋" w:hAnsi="仿宋" w:eastAsia="仿宋" w:cs="仿宋"/>
          <w:b/>
          <w:color w:val="auto"/>
          <w:sz w:val="24"/>
          <w:szCs w:val="24"/>
          <w:highlight w:val="none"/>
          <w:shd w:val="clear" w:color="auto" w:fill="FFFFFF"/>
          <w:lang w:eastAsia="zh-CN"/>
        </w:rPr>
        <w:t>磋商响应文件</w:t>
      </w:r>
      <w:r>
        <w:rPr>
          <w:rFonts w:hint="eastAsia" w:ascii="仿宋" w:hAnsi="仿宋" w:eastAsia="仿宋" w:cs="仿宋"/>
          <w:b/>
          <w:color w:val="auto"/>
          <w:sz w:val="24"/>
          <w:szCs w:val="24"/>
          <w:highlight w:val="none"/>
          <w:shd w:val="clear" w:color="auto" w:fill="FFFFFF"/>
        </w:rPr>
        <w:t>的商务部分。</w:t>
      </w:r>
    </w:p>
    <w:p w14:paraId="15F5D581">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商务部分是证明供应商有资格参加磋商和中标后有能力履行合同的文件，</w:t>
      </w:r>
      <w:r>
        <w:rPr>
          <w:rFonts w:hint="eastAsia" w:ascii="仿宋" w:hAnsi="仿宋" w:eastAsia="仿宋" w:cs="仿宋"/>
          <w:color w:val="auto"/>
          <w:sz w:val="24"/>
          <w:szCs w:val="24"/>
          <w:highlight w:val="none"/>
        </w:rPr>
        <w:t>这些文件应能满足招标的要求</w:t>
      </w:r>
      <w:r>
        <w:rPr>
          <w:rFonts w:hint="eastAsia" w:ascii="仿宋" w:hAnsi="仿宋" w:eastAsia="仿宋" w:cs="仿宋"/>
          <w:color w:val="auto"/>
          <w:sz w:val="24"/>
          <w:szCs w:val="24"/>
          <w:highlight w:val="none"/>
          <w:lang w:val="zh-CN"/>
        </w:rPr>
        <w:t>，包括但不限于下列文件，</w:t>
      </w:r>
      <w:r>
        <w:rPr>
          <w:rFonts w:hint="eastAsia" w:ascii="仿宋" w:hAnsi="仿宋" w:eastAsia="仿宋" w:cs="仿宋"/>
          <w:b/>
          <w:color w:val="auto"/>
          <w:sz w:val="24"/>
          <w:szCs w:val="24"/>
          <w:highlight w:val="none"/>
          <w:lang w:val="zh-CN"/>
        </w:rPr>
        <w:t>其中加</w:t>
      </w:r>
      <w:r>
        <w:rPr>
          <w:rFonts w:hint="eastAsia" w:ascii="仿宋" w:hAnsi="仿宋" w:eastAsia="仿宋" w:cs="仿宋"/>
          <w:b/>
          <w:color w:val="auto"/>
          <w:kern w:val="0"/>
          <w:sz w:val="24"/>
          <w:szCs w:val="24"/>
          <w:highlight w:val="none"/>
        </w:rPr>
        <w:t>★</w:t>
      </w:r>
      <w:r>
        <w:rPr>
          <w:rFonts w:hint="eastAsia" w:ascii="仿宋" w:hAnsi="仿宋" w:eastAsia="仿宋" w:cs="仿宋"/>
          <w:b/>
          <w:color w:val="auto"/>
          <w:sz w:val="24"/>
          <w:szCs w:val="24"/>
          <w:highlight w:val="none"/>
          <w:lang w:val="zh-CN"/>
        </w:rPr>
        <w:t>项目不得有缺失或无效</w:t>
      </w:r>
      <w:r>
        <w:rPr>
          <w:rFonts w:hint="eastAsia" w:ascii="仿宋" w:hAnsi="仿宋" w:eastAsia="仿宋" w:cs="仿宋"/>
          <w:color w:val="auto"/>
          <w:sz w:val="24"/>
          <w:szCs w:val="24"/>
          <w:highlight w:val="none"/>
          <w:lang w:val="zh-CN"/>
        </w:rPr>
        <w:t>。</w:t>
      </w:r>
    </w:p>
    <w:p w14:paraId="569E9CCE">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（1）</w:t>
      </w:r>
      <w:r>
        <w:rPr>
          <w:rFonts w:hint="eastAsia" w:ascii="仿宋" w:hAnsi="仿宋" w:eastAsia="仿宋" w:cs="仿宋"/>
          <w:b/>
          <w:color w:val="auto"/>
          <w:kern w:val="0"/>
          <w:sz w:val="24"/>
          <w:szCs w:val="24"/>
          <w:highlight w:val="none"/>
          <w:lang w:val="zh-CN"/>
        </w:rPr>
        <w:t>★</w:t>
      </w:r>
      <w:r>
        <w:rPr>
          <w:rFonts w:hint="eastAsia" w:ascii="仿宋" w:hAnsi="仿宋" w:eastAsia="仿宋" w:cs="仿宋"/>
          <w:color w:val="auto"/>
          <w:kern w:val="0"/>
          <w:sz w:val="24"/>
          <w:szCs w:val="24"/>
          <w:highlight w:val="none"/>
          <w:lang w:val="zh-CN"/>
        </w:rPr>
        <w:t>磋商申请及声明；</w:t>
      </w:r>
    </w:p>
    <w:p w14:paraId="74461CA5">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（2）</w:t>
      </w:r>
      <w:r>
        <w:rPr>
          <w:rFonts w:hint="eastAsia" w:ascii="仿宋" w:hAnsi="仿宋" w:eastAsia="仿宋" w:cs="仿宋"/>
          <w:b/>
          <w:color w:val="auto"/>
          <w:kern w:val="0"/>
          <w:sz w:val="24"/>
          <w:szCs w:val="24"/>
          <w:highlight w:val="none"/>
          <w:lang w:val="zh-CN"/>
        </w:rPr>
        <w:t>★</w:t>
      </w:r>
      <w:r>
        <w:rPr>
          <w:rFonts w:hint="eastAsia" w:ascii="仿宋" w:hAnsi="仿宋" w:eastAsia="仿宋" w:cs="仿宋"/>
          <w:color w:val="auto"/>
          <w:kern w:val="0"/>
          <w:sz w:val="24"/>
          <w:szCs w:val="24"/>
          <w:highlight w:val="none"/>
          <w:lang w:val="zh-CN"/>
        </w:rPr>
        <w:t>法定代表人授权委托书及委托代理人的身份证扫描件、近三个月内任意一个月（2026年5月-2026年7月）供应商为委托代理人缴纳的社保缴纳凭证，加盖社保公章或具有可验证的二维码（或验证码），以上材料</w:t>
      </w:r>
      <w:r>
        <w:rPr>
          <w:rFonts w:hint="eastAsia" w:ascii="仿宋" w:hAnsi="仿宋" w:eastAsia="仿宋" w:cs="仿宋"/>
          <w:color w:val="auto"/>
          <w:kern w:val="0"/>
          <w:sz w:val="24"/>
          <w:szCs w:val="24"/>
          <w:highlight w:val="none"/>
          <w:lang w:val="en-US" w:eastAsia="zh-CN"/>
        </w:rPr>
        <w:t>提供</w:t>
      </w:r>
      <w:r>
        <w:rPr>
          <w:rFonts w:hint="eastAsia" w:ascii="仿宋" w:hAnsi="仿宋" w:eastAsia="仿宋" w:cs="仿宋"/>
          <w:color w:val="auto"/>
          <w:kern w:val="0"/>
          <w:sz w:val="24"/>
          <w:szCs w:val="24"/>
          <w:highlight w:val="none"/>
          <w:lang w:val="zh-CN"/>
        </w:rPr>
        <w:t>扫描件并加盖投标供应商公章后上传至投标系统；</w:t>
      </w:r>
    </w:p>
    <w:p w14:paraId="456A581B">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（3）</w:t>
      </w:r>
      <w:r>
        <w:rPr>
          <w:rFonts w:hint="eastAsia" w:ascii="仿宋" w:hAnsi="仿宋" w:eastAsia="仿宋" w:cs="仿宋"/>
          <w:b/>
          <w:color w:val="auto"/>
          <w:kern w:val="0"/>
          <w:sz w:val="24"/>
          <w:szCs w:val="24"/>
          <w:highlight w:val="none"/>
          <w:lang w:val="zh-CN"/>
        </w:rPr>
        <w:t>★</w:t>
      </w:r>
      <w:r>
        <w:rPr>
          <w:rFonts w:hint="eastAsia" w:ascii="仿宋" w:hAnsi="仿宋" w:eastAsia="仿宋" w:cs="仿宋"/>
          <w:color w:val="auto"/>
          <w:kern w:val="0"/>
          <w:sz w:val="24"/>
          <w:szCs w:val="24"/>
          <w:highlight w:val="none"/>
          <w:lang w:val="zh-CN"/>
        </w:rPr>
        <w:t>磋商报价表；</w:t>
      </w:r>
    </w:p>
    <w:p w14:paraId="25755FF9">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w:t>
      </w:r>
      <w:r>
        <w:rPr>
          <w:rFonts w:hint="eastAsia" w:ascii="仿宋" w:hAnsi="仿宋" w:eastAsia="仿宋" w:cs="仿宋"/>
          <w:color w:val="auto"/>
          <w:kern w:val="0"/>
          <w:sz w:val="24"/>
          <w:szCs w:val="24"/>
          <w:highlight w:val="none"/>
        </w:rPr>
        <w:t>4</w:t>
      </w:r>
      <w:r>
        <w:rPr>
          <w:rFonts w:hint="eastAsia" w:ascii="仿宋" w:hAnsi="仿宋" w:eastAsia="仿宋" w:cs="仿宋"/>
          <w:color w:val="auto"/>
          <w:kern w:val="0"/>
          <w:sz w:val="24"/>
          <w:szCs w:val="24"/>
          <w:highlight w:val="none"/>
          <w:lang w:val="zh-CN"/>
        </w:rPr>
        <w:t>）</w:t>
      </w:r>
      <w:r>
        <w:rPr>
          <w:rFonts w:hint="eastAsia" w:ascii="仿宋" w:hAnsi="仿宋" w:eastAsia="仿宋" w:cs="仿宋"/>
          <w:b/>
          <w:color w:val="auto"/>
          <w:kern w:val="0"/>
          <w:sz w:val="24"/>
          <w:szCs w:val="24"/>
          <w:highlight w:val="none"/>
          <w:lang w:val="zh-CN"/>
        </w:rPr>
        <w:t>★</w:t>
      </w:r>
      <w:r>
        <w:rPr>
          <w:rFonts w:hint="eastAsia" w:ascii="仿宋" w:hAnsi="仿宋" w:eastAsia="仿宋" w:cs="仿宋"/>
          <w:color w:val="auto"/>
          <w:kern w:val="0"/>
          <w:sz w:val="24"/>
          <w:szCs w:val="24"/>
          <w:highlight w:val="none"/>
          <w:lang w:val="zh-CN"/>
        </w:rPr>
        <w:t>《南京市政府采购供应商信用记录表暨信用承诺书》</w:t>
      </w:r>
    </w:p>
    <w:p w14:paraId="30FBD6DE">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w:t>
      </w:r>
      <w:r>
        <w:rPr>
          <w:rFonts w:hint="eastAsia" w:ascii="仿宋" w:hAnsi="仿宋" w:eastAsia="仿宋" w:cs="仿宋"/>
          <w:color w:val="auto"/>
          <w:kern w:val="0"/>
          <w:sz w:val="24"/>
          <w:szCs w:val="24"/>
          <w:highlight w:val="none"/>
        </w:rPr>
        <w:t>5</w:t>
      </w:r>
      <w:r>
        <w:rPr>
          <w:rFonts w:hint="eastAsia" w:ascii="仿宋" w:hAnsi="仿宋" w:eastAsia="仿宋" w:cs="仿宋"/>
          <w:color w:val="auto"/>
          <w:kern w:val="0"/>
          <w:sz w:val="24"/>
          <w:szCs w:val="24"/>
          <w:highlight w:val="none"/>
          <w:lang w:val="zh-CN"/>
        </w:rPr>
        <w:t>）第一章磋商邀请中采购人根据采购项目的特殊要求规定的特定条件证明文件</w:t>
      </w:r>
    </w:p>
    <w:p w14:paraId="19DA16BA">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lang w:val="zh-CN"/>
        </w:rPr>
        <w:t>）</w:t>
      </w:r>
      <w:r>
        <w:rPr>
          <w:rFonts w:hint="eastAsia" w:ascii="仿宋" w:hAnsi="仿宋" w:eastAsia="仿宋" w:cs="仿宋"/>
          <w:b/>
          <w:color w:val="auto"/>
          <w:kern w:val="0"/>
          <w:sz w:val="24"/>
          <w:szCs w:val="24"/>
          <w:highlight w:val="none"/>
          <w:lang w:val="zh-CN"/>
        </w:rPr>
        <w:t>★</w:t>
      </w:r>
      <w:r>
        <w:rPr>
          <w:rFonts w:hint="eastAsia" w:ascii="仿宋" w:hAnsi="仿宋" w:eastAsia="仿宋" w:cs="仿宋"/>
          <w:color w:val="auto"/>
          <w:kern w:val="0"/>
          <w:sz w:val="24"/>
          <w:szCs w:val="24"/>
          <w:highlight w:val="none"/>
          <w:lang w:val="zh-CN"/>
        </w:rPr>
        <w:t>商务条款偏离表；</w:t>
      </w:r>
    </w:p>
    <w:p w14:paraId="7C528327">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lang w:val="zh-CN"/>
        </w:rPr>
        <w:t>） 残疾人福利性单位声明函（如有）</w:t>
      </w:r>
    </w:p>
    <w:p w14:paraId="076A9EB7">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w:t>
      </w:r>
      <w:r>
        <w:rPr>
          <w:rFonts w:hint="eastAsia" w:ascii="仿宋" w:hAnsi="仿宋" w:eastAsia="仿宋" w:cs="仿宋"/>
          <w:color w:val="auto"/>
          <w:kern w:val="0"/>
          <w:sz w:val="24"/>
          <w:szCs w:val="24"/>
          <w:highlight w:val="none"/>
          <w:lang w:val="en-US" w:eastAsia="zh-CN"/>
        </w:rPr>
        <w:t>8</w:t>
      </w:r>
      <w:r>
        <w:rPr>
          <w:rFonts w:hint="eastAsia" w:ascii="仿宋" w:hAnsi="仿宋" w:eastAsia="仿宋" w:cs="仿宋"/>
          <w:color w:val="auto"/>
          <w:kern w:val="0"/>
          <w:sz w:val="24"/>
          <w:szCs w:val="24"/>
          <w:highlight w:val="none"/>
          <w:lang w:val="zh-CN"/>
        </w:rPr>
        <w:t>） 属于监狱企业的证明文件（如有）</w:t>
      </w:r>
    </w:p>
    <w:p w14:paraId="412577F2">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lang w:val="zh-CN"/>
        </w:rPr>
        <w:t>） 节能产品认证文件（如有）</w:t>
      </w:r>
    </w:p>
    <w:p w14:paraId="7B647A99">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（1</w:t>
      </w:r>
      <w:r>
        <w:rPr>
          <w:rFonts w:hint="eastAsia" w:ascii="仿宋" w:hAnsi="仿宋" w:eastAsia="仿宋" w:cs="仿宋"/>
          <w:color w:val="auto"/>
          <w:kern w:val="0"/>
          <w:sz w:val="24"/>
          <w:szCs w:val="24"/>
          <w:highlight w:val="none"/>
          <w:lang w:val="en-US" w:eastAsia="zh-CN"/>
        </w:rPr>
        <w:t>0</w:t>
      </w:r>
      <w:r>
        <w:rPr>
          <w:rFonts w:hint="eastAsia" w:ascii="仿宋" w:hAnsi="仿宋" w:eastAsia="仿宋" w:cs="仿宋"/>
          <w:color w:val="auto"/>
          <w:kern w:val="0"/>
          <w:sz w:val="24"/>
          <w:szCs w:val="24"/>
          <w:highlight w:val="none"/>
          <w:lang w:val="zh-CN"/>
        </w:rPr>
        <w:t>） 环境标志产品认证文件（如有）</w:t>
      </w:r>
    </w:p>
    <w:p w14:paraId="51632A7D">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（1</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lang w:val="zh-CN"/>
        </w:rPr>
        <w:t>） 进口产品转让技术、消化吸收再创新方案（如有）</w:t>
      </w:r>
    </w:p>
    <w:p w14:paraId="5FE22893">
      <w:pPr>
        <w:widowControl/>
        <w:adjustRightInd w:val="0"/>
        <w:spacing w:line="360" w:lineRule="auto"/>
        <w:ind w:firstLine="420"/>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zh-CN"/>
        </w:rPr>
        <w:t>（1</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lang w:val="zh-CN"/>
        </w:rPr>
        <w:t>）</w:t>
      </w:r>
      <w:r>
        <w:rPr>
          <w:rFonts w:hint="eastAsia" w:ascii="仿宋" w:hAnsi="仿宋" w:eastAsia="仿宋" w:cs="仿宋"/>
          <w:b/>
          <w:color w:val="auto"/>
          <w:kern w:val="0"/>
          <w:sz w:val="24"/>
          <w:szCs w:val="24"/>
          <w:highlight w:val="none"/>
          <w:lang w:val="zh-CN"/>
        </w:rPr>
        <w:t xml:space="preserve"> </w:t>
      </w:r>
      <w:r>
        <w:rPr>
          <w:rFonts w:hint="eastAsia" w:ascii="仿宋" w:hAnsi="仿宋" w:eastAsia="仿宋" w:cs="仿宋"/>
          <w:color w:val="auto"/>
          <w:kern w:val="0"/>
          <w:sz w:val="24"/>
          <w:szCs w:val="24"/>
          <w:highlight w:val="none"/>
          <w:lang w:val="zh-CN"/>
        </w:rPr>
        <w:t>磋商供应商认为需提供的其他资料。</w:t>
      </w:r>
    </w:p>
    <w:p w14:paraId="08BE01B7">
      <w:pPr>
        <w:spacing w:line="360" w:lineRule="auto"/>
        <w:ind w:firstLine="420"/>
        <w:rPr>
          <w:rFonts w:hint="eastAsia" w:ascii="仿宋" w:hAnsi="仿宋" w:eastAsia="仿宋" w:cs="仿宋"/>
          <w:b/>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7.</w:t>
      </w:r>
      <w:r>
        <w:rPr>
          <w:rFonts w:hint="eastAsia" w:ascii="仿宋" w:hAnsi="仿宋" w:eastAsia="仿宋" w:cs="仿宋"/>
          <w:bCs/>
          <w:color w:val="auto"/>
          <w:sz w:val="24"/>
          <w:szCs w:val="24"/>
          <w:highlight w:val="none"/>
          <w:shd w:val="clear" w:color="auto" w:fill="FFFFFF"/>
          <w:lang w:val="en-US" w:eastAsia="zh-CN"/>
        </w:rPr>
        <w:t>4</w:t>
      </w:r>
      <w:r>
        <w:rPr>
          <w:rFonts w:hint="eastAsia" w:ascii="仿宋" w:hAnsi="仿宋" w:eastAsia="仿宋" w:cs="仿宋"/>
          <w:b/>
          <w:color w:val="auto"/>
          <w:sz w:val="24"/>
          <w:szCs w:val="24"/>
          <w:highlight w:val="none"/>
          <w:shd w:val="clear" w:color="auto" w:fill="FFFFFF"/>
          <w:lang w:eastAsia="zh-CN"/>
        </w:rPr>
        <w:t>磋商响应文件</w:t>
      </w:r>
      <w:r>
        <w:rPr>
          <w:rFonts w:hint="eastAsia" w:ascii="仿宋" w:hAnsi="仿宋" w:eastAsia="仿宋" w:cs="仿宋"/>
          <w:b/>
          <w:color w:val="auto"/>
          <w:sz w:val="24"/>
          <w:szCs w:val="24"/>
          <w:highlight w:val="none"/>
          <w:shd w:val="clear" w:color="auto" w:fill="FFFFFF"/>
        </w:rPr>
        <w:t>的技术部分。</w:t>
      </w:r>
    </w:p>
    <w:p w14:paraId="12FB97F4">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 xml:space="preserve"> 技术部分是证明</w:t>
      </w:r>
      <w:r>
        <w:rPr>
          <w:rFonts w:hint="eastAsia" w:ascii="仿宋" w:hAnsi="仿宋" w:eastAsia="仿宋" w:cs="仿宋"/>
          <w:color w:val="auto"/>
          <w:sz w:val="24"/>
          <w:szCs w:val="24"/>
          <w:highlight w:val="none"/>
        </w:rPr>
        <w:t>供应商提供的产品和服务是合格的、并符合磋商文件要求的证明文件，以及</w:t>
      </w:r>
      <w:r>
        <w:rPr>
          <w:rFonts w:hint="eastAsia" w:ascii="仿宋" w:hAnsi="仿宋" w:eastAsia="仿宋" w:cs="仿宋"/>
          <w:color w:val="auto"/>
          <w:sz w:val="24"/>
          <w:szCs w:val="24"/>
          <w:highlight w:val="none"/>
          <w:lang w:val="zh-CN"/>
        </w:rPr>
        <w:t>对磋商报价表中的服务的详细说明，这些文件可以是文字资料、图纸和数据等。</w:t>
      </w:r>
    </w:p>
    <w:p w14:paraId="77D49524">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 若技术性能无特殊说明，则按国家有关部门最新颁布的标准及规范为准；</w:t>
      </w:r>
    </w:p>
    <w:p w14:paraId="46E43A84">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（3） 提供的服务如与磋商文件要求有不符之处，应说明其差别之所在，并在《技术条款偏离表》中逐条予以说明。</w:t>
      </w:r>
    </w:p>
    <w:p w14:paraId="23880B04">
      <w:pPr>
        <w:autoSpaceDE w:val="0"/>
        <w:autoSpaceDN w:val="0"/>
        <w:adjustRightInd w:val="0"/>
        <w:spacing w:line="360" w:lineRule="auto"/>
        <w:ind w:firstLine="42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zh-CN"/>
        </w:rPr>
        <w:t>（4） 电子磋商响应文件应按照磋商文件要求提供技术资料、文件和有关证明，包括但不限于</w:t>
      </w:r>
      <w:r>
        <w:rPr>
          <w:rFonts w:hint="eastAsia" w:ascii="仿宋" w:hAnsi="仿宋" w:eastAsia="仿宋" w:cs="仿宋"/>
          <w:b/>
          <w:color w:val="auto"/>
          <w:sz w:val="24"/>
          <w:szCs w:val="24"/>
          <w:highlight w:val="none"/>
          <w:lang w:val="zh-CN"/>
        </w:rPr>
        <w:t>其中加</w:t>
      </w:r>
      <w:r>
        <w:rPr>
          <w:rFonts w:hint="eastAsia" w:ascii="仿宋" w:hAnsi="仿宋" w:eastAsia="仿宋" w:cs="仿宋"/>
          <w:b/>
          <w:color w:val="auto"/>
          <w:kern w:val="0"/>
          <w:sz w:val="24"/>
          <w:szCs w:val="24"/>
          <w:highlight w:val="none"/>
          <w:lang w:val="zh-CN"/>
        </w:rPr>
        <w:t>★</w:t>
      </w:r>
      <w:r>
        <w:rPr>
          <w:rFonts w:hint="eastAsia" w:ascii="仿宋" w:hAnsi="仿宋" w:eastAsia="仿宋" w:cs="仿宋"/>
          <w:b/>
          <w:color w:val="auto"/>
          <w:sz w:val="24"/>
          <w:szCs w:val="24"/>
          <w:highlight w:val="none"/>
          <w:lang w:val="zh-CN"/>
        </w:rPr>
        <w:t>项目不得有缺失或无效：</w:t>
      </w:r>
    </w:p>
    <w:p w14:paraId="6D17C765">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①</w:t>
      </w:r>
      <w:r>
        <w:rPr>
          <w:rFonts w:hint="eastAsia" w:ascii="仿宋" w:hAnsi="仿宋" w:eastAsia="仿宋" w:cs="仿宋"/>
          <w:color w:val="auto"/>
          <w:sz w:val="24"/>
          <w:szCs w:val="24"/>
          <w:highlight w:val="none"/>
          <w:lang w:val="zh-CN"/>
        </w:rPr>
        <w:t>★技术条款偏离表；</w:t>
      </w:r>
    </w:p>
    <w:p w14:paraId="46EEC612">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lang w:val="zh-CN"/>
        </w:rPr>
        <w:t xml:space="preserve">★方案文件； </w:t>
      </w:r>
    </w:p>
    <w:p w14:paraId="16474E81">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②投标人实施本项目拟投入的专业人员一览表；</w:t>
      </w:r>
    </w:p>
    <w:p w14:paraId="331CD6C0">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③磋商供应商认为需要提供的其他技术资料。</w:t>
      </w:r>
    </w:p>
    <w:p w14:paraId="1969B61E">
      <w:pPr>
        <w:widowControl/>
        <w:adjustRightInd w:val="0"/>
        <w:spacing w:line="360" w:lineRule="auto"/>
        <w:ind w:firstLine="420"/>
        <w:jc w:val="left"/>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7.</w:t>
      </w:r>
      <w:r>
        <w:rPr>
          <w:rFonts w:hint="eastAsia" w:ascii="仿宋" w:hAnsi="仿宋" w:eastAsia="仿宋" w:cs="仿宋"/>
          <w:b/>
          <w:color w:val="auto"/>
          <w:kern w:val="0"/>
          <w:sz w:val="24"/>
          <w:szCs w:val="24"/>
          <w:highlight w:val="none"/>
          <w:lang w:val="en-US" w:eastAsia="zh-CN"/>
        </w:rPr>
        <w:t>5</w:t>
      </w:r>
      <w:r>
        <w:rPr>
          <w:rFonts w:hint="eastAsia" w:ascii="仿宋" w:hAnsi="仿宋" w:eastAsia="仿宋" w:cs="仿宋"/>
          <w:b/>
          <w:color w:val="auto"/>
          <w:kern w:val="0"/>
          <w:sz w:val="24"/>
          <w:szCs w:val="24"/>
          <w:highlight w:val="none"/>
          <w:lang w:val="zh-CN"/>
        </w:rPr>
        <w:t>电子磋商响应文件的价格部分</w:t>
      </w:r>
    </w:p>
    <w:p w14:paraId="55E5D3F9">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（1）价格部分是对磋商货物及服务价格构成的说明，每一项服务仅接受一个价格。</w:t>
      </w:r>
    </w:p>
    <w:p w14:paraId="58E44347">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供应商的任何错漏、优惠、竞争性报价不得作为减轻责任、减少服务、增加收费、降低质量的理由。在验收过程中，如发现有漏项、缺件，磋商方应无条件、无偿补齐，所发生的一切费用，视为已包含在磋商方的最终磋商报价中。</w:t>
      </w:r>
    </w:p>
    <w:p w14:paraId="4DC48F4F">
      <w:pPr>
        <w:autoSpaceDE w:val="0"/>
        <w:autoSpaceDN w:val="0"/>
        <w:adjustRightInd w:val="0"/>
        <w:spacing w:line="360" w:lineRule="auto"/>
        <w:ind w:firstLine="420"/>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w:t>
      </w:r>
      <w:r>
        <w:rPr>
          <w:rFonts w:hint="eastAsia" w:ascii="仿宋" w:hAnsi="仿宋" w:eastAsia="仿宋" w:cs="仿宋"/>
          <w:b/>
          <w:color w:val="auto"/>
          <w:sz w:val="24"/>
          <w:szCs w:val="24"/>
          <w:highlight w:val="none"/>
          <w:lang w:val="en-US" w:eastAsia="zh-CN"/>
        </w:rPr>
        <w:t>3</w:t>
      </w:r>
      <w:r>
        <w:rPr>
          <w:rFonts w:hint="eastAsia" w:ascii="仿宋" w:hAnsi="仿宋" w:eastAsia="仿宋" w:cs="仿宋"/>
          <w:b/>
          <w:color w:val="auto"/>
          <w:sz w:val="24"/>
          <w:szCs w:val="24"/>
          <w:highlight w:val="none"/>
          <w:lang w:val="zh-CN"/>
        </w:rPr>
        <w:t>）《磋商报价表》须</w:t>
      </w:r>
      <w:r>
        <w:rPr>
          <w:rFonts w:hint="eastAsia" w:ascii="仿宋" w:hAnsi="仿宋" w:eastAsia="仿宋" w:cs="仿宋"/>
          <w:color w:val="auto"/>
          <w:sz w:val="24"/>
          <w:szCs w:val="24"/>
          <w:highlight w:val="none"/>
          <w:lang w:val="zh-CN"/>
        </w:rPr>
        <w:t>加盖单位公章上传在磋商响应文件中。</w:t>
      </w:r>
    </w:p>
    <w:p w14:paraId="5C58309F">
      <w:pPr>
        <w:autoSpaceDE w:val="0"/>
        <w:autoSpaceDN w:val="0"/>
        <w:adjustRightInd w:val="0"/>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val="zh-CN"/>
        </w:rPr>
        <w:t>）报价应包含完成采购项目服务内容的所有一切费用，相应服务风险及政策性文件规定等各项费用；为完成合同约定范围内的所有服务内容工作所涉及到的技术等相关费用。磋商供应商应充分考虑到市场价格变动，以及项目实施过程中的不可预见因素，一旦成交，总价格不变。如果有漏项，视同让利。</w:t>
      </w:r>
    </w:p>
    <w:p w14:paraId="5CCA7950">
      <w:pPr>
        <w:autoSpaceDE w:val="0"/>
        <w:autoSpaceDN w:val="0"/>
        <w:adjustRightInd w:val="0"/>
        <w:spacing w:line="360" w:lineRule="auto"/>
        <w:ind w:firstLine="420"/>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val="zh-CN"/>
        </w:rPr>
        <w:t>）政府采购提倡公平竞争，反对盲目压价参与磋商，任何盲目压价和低于成本报价将会被拒绝。</w:t>
      </w:r>
    </w:p>
    <w:p w14:paraId="00F2BF23">
      <w:pPr>
        <w:autoSpaceDE w:val="0"/>
        <w:autoSpaceDN w:val="0"/>
        <w:adjustRightInd w:val="0"/>
        <w:spacing w:line="360" w:lineRule="auto"/>
        <w:ind w:firstLine="4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8、磋商保证金：本项目不收取保证金。</w:t>
      </w:r>
    </w:p>
    <w:p w14:paraId="74FB620F">
      <w:pPr>
        <w:spacing w:line="360" w:lineRule="auto"/>
        <w:ind w:firstLine="420"/>
        <w:rPr>
          <w:rFonts w:hint="eastAsia" w:ascii="仿宋" w:hAnsi="仿宋" w:eastAsia="仿宋" w:cs="仿宋"/>
          <w:bCs/>
          <w:color w:val="auto"/>
          <w:sz w:val="24"/>
          <w:szCs w:val="24"/>
          <w:highlight w:val="none"/>
          <w:shd w:val="clear" w:color="auto" w:fill="FFFFFF"/>
          <w:lang w:eastAsia="zh-CN"/>
        </w:rPr>
      </w:pPr>
      <w:bookmarkStart w:id="91" w:name="_Toc85525786"/>
      <w:bookmarkStart w:id="92" w:name="_Toc3654"/>
      <w:r>
        <w:rPr>
          <w:rFonts w:hint="eastAsia" w:ascii="仿宋" w:hAnsi="仿宋" w:eastAsia="仿宋" w:cs="仿宋"/>
          <w:bCs/>
          <w:color w:val="auto"/>
          <w:sz w:val="24"/>
          <w:szCs w:val="24"/>
          <w:highlight w:val="none"/>
          <w:shd w:val="clear" w:color="auto" w:fill="FFFFFF"/>
        </w:rPr>
        <w:t>三、</w:t>
      </w:r>
      <w:r>
        <w:rPr>
          <w:rFonts w:hint="eastAsia" w:ascii="仿宋" w:hAnsi="仿宋" w:eastAsia="仿宋" w:cs="仿宋"/>
          <w:bCs/>
          <w:color w:val="auto"/>
          <w:sz w:val="24"/>
          <w:szCs w:val="24"/>
          <w:highlight w:val="none"/>
          <w:shd w:val="clear" w:color="auto" w:fill="FFFFFF"/>
          <w:lang w:eastAsia="zh-CN"/>
        </w:rPr>
        <w:t>电子磋商响应文件</w:t>
      </w:r>
      <w:r>
        <w:rPr>
          <w:rFonts w:hint="eastAsia" w:ascii="仿宋" w:hAnsi="仿宋" w:eastAsia="仿宋" w:cs="仿宋"/>
          <w:bCs/>
          <w:color w:val="auto"/>
          <w:sz w:val="24"/>
          <w:szCs w:val="24"/>
          <w:highlight w:val="none"/>
          <w:shd w:val="clear" w:color="auto" w:fill="FFFFFF"/>
        </w:rPr>
        <w:t>的</w:t>
      </w:r>
      <w:bookmarkEnd w:id="91"/>
      <w:bookmarkEnd w:id="92"/>
      <w:r>
        <w:rPr>
          <w:rFonts w:hint="eastAsia" w:ascii="仿宋" w:hAnsi="仿宋" w:eastAsia="仿宋" w:cs="仿宋"/>
          <w:bCs/>
          <w:color w:val="auto"/>
          <w:sz w:val="24"/>
          <w:szCs w:val="24"/>
          <w:highlight w:val="none"/>
          <w:shd w:val="clear" w:color="auto" w:fill="FFFFFF"/>
          <w:lang w:eastAsia="zh-CN"/>
        </w:rPr>
        <w:t>提交</w:t>
      </w:r>
    </w:p>
    <w:p w14:paraId="7F012F10">
      <w:pPr>
        <w:spacing w:line="360" w:lineRule="auto"/>
        <w:ind w:firstLine="420"/>
        <w:rPr>
          <w:rFonts w:hint="eastAsia" w:ascii="仿宋" w:hAnsi="仿宋" w:eastAsia="仿宋" w:cs="仿宋"/>
          <w:bCs/>
          <w:color w:val="auto"/>
          <w:sz w:val="24"/>
          <w:szCs w:val="24"/>
          <w:highlight w:val="none"/>
          <w:shd w:val="clear" w:color="auto" w:fill="FFFFFF"/>
          <w:lang w:eastAsia="zh-CN"/>
        </w:rPr>
      </w:pPr>
      <w:r>
        <w:rPr>
          <w:rFonts w:hint="eastAsia" w:ascii="仿宋" w:hAnsi="仿宋" w:eastAsia="仿宋" w:cs="仿宋"/>
          <w:b/>
          <w:color w:val="auto"/>
          <w:sz w:val="24"/>
          <w:szCs w:val="24"/>
          <w:highlight w:val="none"/>
          <w:shd w:val="clear" w:color="auto" w:fill="FFFFFF"/>
        </w:rPr>
        <w:t>9、</w:t>
      </w:r>
      <w:r>
        <w:rPr>
          <w:rFonts w:hint="eastAsia" w:ascii="仿宋" w:hAnsi="仿宋" w:eastAsia="仿宋" w:cs="仿宋"/>
          <w:b/>
          <w:color w:val="auto"/>
          <w:sz w:val="24"/>
          <w:szCs w:val="24"/>
          <w:highlight w:val="none"/>
          <w:shd w:val="clear" w:color="auto" w:fill="FFFFFF"/>
          <w:lang w:eastAsia="zh-CN"/>
        </w:rPr>
        <w:t>电子磋商响应文件</w:t>
      </w:r>
      <w:r>
        <w:rPr>
          <w:rFonts w:hint="eastAsia" w:ascii="仿宋" w:hAnsi="仿宋" w:eastAsia="仿宋" w:cs="仿宋"/>
          <w:b/>
          <w:color w:val="auto"/>
          <w:sz w:val="24"/>
          <w:szCs w:val="24"/>
          <w:highlight w:val="none"/>
          <w:shd w:val="clear" w:color="auto" w:fill="FFFFFF"/>
        </w:rPr>
        <w:t>的密封和</w:t>
      </w:r>
      <w:r>
        <w:rPr>
          <w:rFonts w:hint="eastAsia" w:ascii="仿宋" w:hAnsi="仿宋" w:eastAsia="仿宋" w:cs="仿宋"/>
          <w:b/>
          <w:color w:val="auto"/>
          <w:sz w:val="24"/>
          <w:szCs w:val="24"/>
          <w:highlight w:val="none"/>
          <w:shd w:val="clear" w:color="auto" w:fill="FFFFFF"/>
          <w:lang w:eastAsia="zh-CN"/>
        </w:rPr>
        <w:t>提交</w:t>
      </w:r>
    </w:p>
    <w:p w14:paraId="5B0809BD">
      <w:pPr>
        <w:keepNext w:val="0"/>
        <w:keepLines w:val="0"/>
        <w:pageBreakBefore w:val="0"/>
        <w:spacing w:line="360" w:lineRule="auto"/>
        <w:ind w:firstLine="420"/>
        <w:jc w:val="lef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9</w:t>
      </w:r>
      <w:r>
        <w:rPr>
          <w:rFonts w:hint="eastAsia" w:ascii="仿宋" w:hAnsi="仿宋" w:eastAsia="仿宋" w:cs="仿宋"/>
          <w:b w:val="0"/>
          <w:bCs/>
          <w:color w:val="auto"/>
          <w:sz w:val="24"/>
          <w:szCs w:val="24"/>
          <w:highlight w:val="none"/>
        </w:rPr>
        <w:t>.1 供应商应当按照《操作手册》规定，在磋商公告规定的提交响应文件截止时间前制作并上传电子响应文件。</w:t>
      </w:r>
    </w:p>
    <w:p w14:paraId="19B4B9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9</w:t>
      </w:r>
      <w:r>
        <w:rPr>
          <w:rFonts w:hint="eastAsia" w:ascii="仿宋" w:hAnsi="仿宋" w:eastAsia="仿宋" w:cs="仿宋"/>
          <w:b w:val="0"/>
          <w:bCs/>
          <w:color w:val="auto"/>
          <w:sz w:val="24"/>
          <w:szCs w:val="24"/>
          <w:highlight w:val="none"/>
        </w:rPr>
        <w:t>.2 供应商应充分考虑网络环境、网络带宽等因素可能对磋商产生的影响，如因供应商自身原因造成的电子响应文件上传不成功的，按照本磋商文件第二章第</w:t>
      </w:r>
      <w:r>
        <w:rPr>
          <w:rFonts w:hint="eastAsia" w:ascii="仿宋" w:hAnsi="仿宋" w:eastAsia="仿宋" w:cs="仿宋"/>
          <w:bCs/>
          <w:color w:val="auto"/>
          <w:sz w:val="24"/>
          <w:szCs w:val="24"/>
          <w:highlight w:val="none"/>
        </w:rPr>
        <w:t>1</w:t>
      </w:r>
      <w:r>
        <w:rPr>
          <w:rFonts w:hint="eastAsia" w:ascii="仿宋" w:hAnsi="仿宋" w:eastAsia="仿宋" w:cs="仿宋"/>
          <w:b w:val="0"/>
          <w:bCs/>
          <w:color w:val="auto"/>
          <w:sz w:val="24"/>
          <w:szCs w:val="24"/>
          <w:highlight w:val="none"/>
        </w:rPr>
        <w:t>4.3</w:t>
      </w:r>
      <w:r>
        <w:rPr>
          <w:rFonts w:hint="eastAsia" w:ascii="仿宋" w:hAnsi="仿宋" w:eastAsia="仿宋" w:cs="仿宋"/>
          <w:bCs/>
          <w:color w:val="auto"/>
          <w:sz w:val="24"/>
          <w:szCs w:val="24"/>
          <w:highlight w:val="none"/>
        </w:rPr>
        <w:t>.3</w:t>
      </w:r>
      <w:r>
        <w:rPr>
          <w:rFonts w:hint="eastAsia" w:ascii="仿宋" w:hAnsi="仿宋" w:eastAsia="仿宋" w:cs="仿宋"/>
          <w:b w:val="0"/>
          <w:bCs/>
          <w:color w:val="auto"/>
          <w:sz w:val="24"/>
          <w:szCs w:val="24"/>
          <w:highlight w:val="none"/>
        </w:rPr>
        <w:t>条规定做无效响应处理。</w:t>
      </w:r>
    </w:p>
    <w:p w14:paraId="13618DCB">
      <w:pPr>
        <w:pStyle w:val="40"/>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9.3 有下列情形之一的电子磋商响应文件将拒收：</w:t>
      </w:r>
    </w:p>
    <w:p w14:paraId="736C6FC9">
      <w:pPr>
        <w:spacing w:line="360" w:lineRule="auto"/>
        <w:ind w:firstLine="42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（1）在磋商文件要求提交电子磋商响应文件的截止时间之后上传送达的。</w:t>
      </w:r>
    </w:p>
    <w:p w14:paraId="2A99FA2F">
      <w:pPr>
        <w:keepNext w:val="0"/>
        <w:keepLines w:val="0"/>
        <w:pageBreakBefore w:val="0"/>
        <w:spacing w:line="360" w:lineRule="auto"/>
        <w:ind w:firstLine="422"/>
        <w:jc w:val="left"/>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10</w:t>
      </w:r>
      <w:r>
        <w:rPr>
          <w:rFonts w:hint="eastAsia" w:ascii="仿宋" w:hAnsi="仿宋" w:eastAsia="仿宋" w:cs="仿宋"/>
          <w:b/>
          <w:bCs/>
          <w:color w:val="auto"/>
          <w:sz w:val="24"/>
          <w:szCs w:val="24"/>
          <w:highlight w:val="none"/>
          <w:lang w:val="zh-CN"/>
        </w:rPr>
        <w:t>.电子响应文件的撤回和修改</w:t>
      </w:r>
    </w:p>
    <w:p w14:paraId="310A80B3">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val="zh-CN"/>
        </w:rPr>
        <w:t>.1 电子响应文件的撤回</w:t>
      </w:r>
    </w:p>
    <w:p w14:paraId="53C95042">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（1）供应商可在提交响应文件截止时间前撤回其电子响应文件，具体操作方法见《操作手册》。</w:t>
      </w:r>
    </w:p>
    <w:p w14:paraId="5513A607">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（2）供应商撤回电子响应文件，则认为其不再参与本项目磋商活动。</w:t>
      </w:r>
    </w:p>
    <w:p w14:paraId="7F83DB83">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val="zh-CN"/>
        </w:rPr>
        <w:t>.2响应文件的修改</w:t>
      </w:r>
    </w:p>
    <w:p w14:paraId="6DBE571C">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（1）供应商可在提交响应文件截止时间前对其电子响应文件进行修改，具体操作方法见《操作手册》。</w:t>
      </w:r>
    </w:p>
    <w:p w14:paraId="717568AE">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（2）提交响应文件截止时间之后，供应商不得对其电子响应文件作任何修改。</w:t>
      </w:r>
    </w:p>
    <w:p w14:paraId="3F6DAB79">
      <w:pPr>
        <w:keepNext w:val="0"/>
        <w:keepLines w:val="0"/>
        <w:pageBreakBefore w:val="0"/>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val="zh-CN"/>
        </w:rPr>
        <w:t>.3在提交响应文件截止时间至磋商文件中规定的磋商有效期满之间的这段时间内，供应商不得撤回其响应文件。</w:t>
      </w:r>
    </w:p>
    <w:p w14:paraId="54A272DD">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
          <w:color w:val="auto"/>
          <w:sz w:val="24"/>
          <w:szCs w:val="24"/>
          <w:highlight w:val="none"/>
          <w:shd w:val="clear" w:color="auto" w:fill="FFFFFF"/>
        </w:rPr>
        <w:t>10、诚实信用</w:t>
      </w:r>
    </w:p>
    <w:p w14:paraId="17B8E711">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10.1 供应商之间不得相互串通报价，不得妨碍其他供应商的公平竞争，不得损害采购单位或者其他供应商的合法权益。</w:t>
      </w:r>
    </w:p>
    <w:p w14:paraId="6F820475">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10.2 供应商不得以向工作人员、磋商</w:t>
      </w:r>
      <w:r>
        <w:rPr>
          <w:rFonts w:hint="eastAsia" w:ascii="仿宋" w:hAnsi="仿宋" w:eastAsia="仿宋" w:cs="仿宋"/>
          <w:bCs/>
          <w:color w:val="auto"/>
          <w:sz w:val="24"/>
          <w:szCs w:val="24"/>
          <w:highlight w:val="none"/>
          <w:shd w:val="clear" w:color="auto" w:fill="FFFFFF"/>
          <w:lang w:val="zh-CN"/>
        </w:rPr>
        <w:t>委员会</w:t>
      </w:r>
      <w:r>
        <w:rPr>
          <w:rFonts w:hint="eastAsia" w:ascii="仿宋" w:hAnsi="仿宋" w:eastAsia="仿宋" w:cs="仿宋"/>
          <w:bCs/>
          <w:color w:val="auto"/>
          <w:sz w:val="24"/>
          <w:szCs w:val="24"/>
          <w:highlight w:val="none"/>
          <w:shd w:val="clear" w:color="auto" w:fill="FFFFFF"/>
        </w:rPr>
        <w:t>成员行贿或者采取其他不正当手段谋取成交。</w:t>
      </w:r>
    </w:p>
    <w:p w14:paraId="36C0AB5B">
      <w:pPr>
        <w:spacing w:line="360" w:lineRule="auto"/>
        <w:ind w:firstLine="420"/>
        <w:rPr>
          <w:rFonts w:hint="eastAsia" w:ascii="仿宋" w:hAnsi="仿宋" w:eastAsia="仿宋" w:cs="仿宋"/>
          <w:bCs/>
          <w:color w:val="auto"/>
          <w:sz w:val="24"/>
          <w:szCs w:val="24"/>
          <w:highlight w:val="none"/>
          <w:shd w:val="clear" w:color="auto" w:fill="FFFFFF"/>
        </w:rPr>
      </w:pPr>
      <w:bookmarkStart w:id="93" w:name="_Toc15687"/>
      <w:bookmarkStart w:id="94" w:name="_Toc488660168"/>
      <w:bookmarkStart w:id="95" w:name="_Toc491954287"/>
      <w:bookmarkStart w:id="96" w:name="_Toc85525787"/>
      <w:r>
        <w:rPr>
          <w:rFonts w:hint="eastAsia" w:ascii="仿宋" w:hAnsi="仿宋" w:eastAsia="仿宋" w:cs="仿宋"/>
          <w:bCs/>
          <w:color w:val="auto"/>
          <w:sz w:val="24"/>
          <w:szCs w:val="24"/>
          <w:highlight w:val="none"/>
          <w:shd w:val="clear" w:color="auto" w:fill="FFFFFF"/>
        </w:rPr>
        <w:t>四、磋商</w:t>
      </w:r>
      <w:bookmarkEnd w:id="93"/>
      <w:bookmarkEnd w:id="94"/>
      <w:bookmarkEnd w:id="95"/>
      <w:bookmarkEnd w:id="96"/>
    </w:p>
    <w:p w14:paraId="67D694BB">
      <w:pPr>
        <w:keepNext w:val="0"/>
        <w:keepLines w:val="0"/>
        <w:pageBreakBefore w:val="0"/>
        <w:spacing w:line="360" w:lineRule="auto"/>
        <w:ind w:firstLine="422"/>
        <w:jc w:val="left"/>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11</w:t>
      </w:r>
      <w:r>
        <w:rPr>
          <w:rFonts w:hint="eastAsia" w:ascii="仿宋" w:hAnsi="仿宋" w:eastAsia="仿宋" w:cs="仿宋"/>
          <w:b/>
          <w:bCs/>
          <w:color w:val="auto"/>
          <w:sz w:val="24"/>
          <w:szCs w:val="24"/>
          <w:highlight w:val="none"/>
          <w:lang w:val="zh-CN"/>
        </w:rPr>
        <w:t>.</w:t>
      </w:r>
      <w:r>
        <w:rPr>
          <w:rFonts w:hint="eastAsia" w:ascii="仿宋" w:hAnsi="仿宋" w:eastAsia="仿宋" w:cs="仿宋"/>
          <w:color w:val="auto"/>
          <w:sz w:val="24"/>
          <w:szCs w:val="24"/>
          <w:highlight w:val="none"/>
        </w:rPr>
        <w:t xml:space="preserve"> </w:t>
      </w:r>
      <w:r>
        <w:rPr>
          <w:rFonts w:hint="eastAsia" w:ascii="仿宋" w:hAnsi="仿宋" w:eastAsia="仿宋" w:cs="仿宋"/>
          <w:b/>
          <w:color w:val="auto"/>
          <w:sz w:val="24"/>
          <w:szCs w:val="24"/>
          <w:highlight w:val="none"/>
          <w:lang w:eastAsia="zh-CN" w:bidi="ar"/>
        </w:rPr>
        <w:t>电子</w:t>
      </w:r>
      <w:r>
        <w:rPr>
          <w:rFonts w:hint="eastAsia" w:ascii="仿宋" w:hAnsi="仿宋" w:eastAsia="仿宋" w:cs="仿宋"/>
          <w:b/>
          <w:color w:val="auto"/>
          <w:sz w:val="24"/>
          <w:szCs w:val="24"/>
          <w:highlight w:val="none"/>
          <w:lang w:val="zh-CN" w:bidi="ar"/>
        </w:rPr>
        <w:t>响应文件解密</w:t>
      </w:r>
    </w:p>
    <w:p w14:paraId="0566F2F8">
      <w:pPr>
        <w:autoSpaceDE w:val="0"/>
        <w:autoSpaceDN w:val="0"/>
        <w:adjustRightInd w:val="0"/>
        <w:snapToGrid w:val="0"/>
        <w:spacing w:line="360" w:lineRule="auto"/>
        <w:ind w:firstLine="480" w:firstLineChars="200"/>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en-US" w:eastAsia="zh-CN" w:bidi="ar"/>
        </w:rPr>
        <w:t>11</w:t>
      </w:r>
      <w:r>
        <w:rPr>
          <w:rFonts w:hint="eastAsia" w:ascii="仿宋" w:hAnsi="仿宋" w:eastAsia="仿宋" w:cs="仿宋"/>
          <w:color w:val="auto"/>
          <w:sz w:val="24"/>
          <w:szCs w:val="24"/>
          <w:highlight w:val="none"/>
          <w:lang w:val="zh-CN" w:bidi="ar"/>
        </w:rPr>
        <w:t>.1 供应商应当按照《操作手册》规定，在苏采云系统规定的时间内对响应文件进行解密。</w:t>
      </w:r>
    </w:p>
    <w:p w14:paraId="6BAEFCA9">
      <w:pPr>
        <w:autoSpaceDE w:val="0"/>
        <w:autoSpaceDN w:val="0"/>
        <w:adjustRightInd w:val="0"/>
        <w:spacing w:line="360" w:lineRule="auto"/>
        <w:ind w:firstLine="420"/>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11  </w:t>
      </w:r>
      <w:r>
        <w:rPr>
          <w:rFonts w:hint="eastAsia" w:ascii="仿宋" w:hAnsi="仿宋" w:eastAsia="仿宋" w:cs="仿宋"/>
          <w:b/>
          <w:color w:val="auto"/>
          <w:sz w:val="24"/>
          <w:szCs w:val="24"/>
          <w:highlight w:val="none"/>
          <w:lang w:bidi="ar"/>
        </w:rPr>
        <w:t>磋商组织</w:t>
      </w:r>
    </w:p>
    <w:p w14:paraId="25FEF8F2">
      <w:pPr>
        <w:autoSpaceDE w:val="0"/>
        <w:autoSpaceDN w:val="0"/>
        <w:adjustRightInd w:val="0"/>
        <w:snapToGrid w:val="0"/>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11.1 在</w:t>
      </w:r>
      <w:r>
        <w:rPr>
          <w:rFonts w:hint="eastAsia" w:ascii="仿宋" w:hAnsi="仿宋" w:eastAsia="仿宋" w:cs="仿宋"/>
          <w:color w:val="auto"/>
          <w:sz w:val="24"/>
          <w:szCs w:val="24"/>
          <w:highlight w:val="none"/>
          <w:lang w:eastAsia="zh-CN" w:bidi="ar"/>
        </w:rPr>
        <w:t>提</w:t>
      </w:r>
      <w:r>
        <w:rPr>
          <w:rFonts w:hint="eastAsia" w:ascii="仿宋" w:hAnsi="仿宋" w:eastAsia="仿宋" w:cs="仿宋"/>
          <w:color w:val="auto"/>
          <w:sz w:val="24"/>
          <w:szCs w:val="24"/>
          <w:highlight w:val="none"/>
          <w:lang w:bidi="ar"/>
        </w:rPr>
        <w:t>交</w:t>
      </w:r>
      <w:r>
        <w:rPr>
          <w:rFonts w:hint="eastAsia" w:ascii="仿宋" w:hAnsi="仿宋" w:eastAsia="仿宋" w:cs="仿宋"/>
          <w:color w:val="auto"/>
          <w:sz w:val="24"/>
          <w:szCs w:val="24"/>
          <w:highlight w:val="none"/>
          <w:lang w:eastAsia="zh-CN" w:bidi="ar"/>
        </w:rPr>
        <w:t>电子磋商响应文件</w:t>
      </w:r>
      <w:r>
        <w:rPr>
          <w:rFonts w:hint="eastAsia" w:ascii="仿宋" w:hAnsi="仿宋" w:eastAsia="仿宋" w:cs="仿宋"/>
          <w:color w:val="auto"/>
          <w:sz w:val="24"/>
          <w:szCs w:val="24"/>
          <w:highlight w:val="none"/>
          <w:lang w:bidi="ar"/>
        </w:rPr>
        <w:t>时间截止后，采购代理机构在规定的时间和</w:t>
      </w:r>
      <w:r>
        <w:rPr>
          <w:rFonts w:hint="eastAsia" w:ascii="仿宋" w:hAnsi="仿宋" w:eastAsia="仿宋" w:cs="仿宋"/>
          <w:color w:val="auto"/>
          <w:sz w:val="24"/>
          <w:szCs w:val="24"/>
          <w:highlight w:val="none"/>
          <w:lang w:eastAsia="zh-CN" w:bidi="ar"/>
        </w:rPr>
        <w:t>平台</w:t>
      </w:r>
      <w:r>
        <w:rPr>
          <w:rFonts w:hint="eastAsia" w:ascii="仿宋" w:hAnsi="仿宋" w:eastAsia="仿宋" w:cs="仿宋"/>
          <w:color w:val="auto"/>
          <w:sz w:val="24"/>
          <w:szCs w:val="24"/>
          <w:highlight w:val="none"/>
          <w:lang w:bidi="ar"/>
        </w:rPr>
        <w:t>组织磋商小组分别与供应商进行磋商。</w:t>
      </w:r>
    </w:p>
    <w:p w14:paraId="3B06E670">
      <w:pPr>
        <w:autoSpaceDE w:val="0"/>
        <w:autoSpaceDN w:val="0"/>
        <w:adjustRightInd w:val="0"/>
        <w:snapToGrid w:val="0"/>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11.2 磋商工作由采购代理机构负责组织，具体磋商事务由依法组建的磋商小组负责。</w:t>
      </w:r>
    </w:p>
    <w:p w14:paraId="233BC702">
      <w:pPr>
        <w:autoSpaceDE w:val="0"/>
        <w:autoSpaceDN w:val="0"/>
        <w:adjustRightInd w:val="0"/>
        <w:spacing w:line="360" w:lineRule="auto"/>
        <w:ind w:firstLine="422"/>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12  </w:t>
      </w:r>
      <w:r>
        <w:rPr>
          <w:rFonts w:hint="eastAsia" w:ascii="仿宋" w:hAnsi="仿宋" w:eastAsia="仿宋" w:cs="仿宋"/>
          <w:b/>
          <w:color w:val="auto"/>
          <w:sz w:val="24"/>
          <w:szCs w:val="24"/>
          <w:highlight w:val="none"/>
          <w:lang w:bidi="ar"/>
        </w:rPr>
        <w:t>磋商程序</w:t>
      </w:r>
    </w:p>
    <w:p w14:paraId="41D1F098">
      <w:pPr>
        <w:autoSpaceDE w:val="0"/>
        <w:autoSpaceDN w:val="0"/>
        <w:adjustRightInd w:val="0"/>
        <w:snapToGrid w:val="0"/>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zh-CN"/>
        </w:rPr>
        <w:t xml:space="preserve">12.1 </w:t>
      </w:r>
      <w:r>
        <w:rPr>
          <w:rFonts w:hint="eastAsia" w:ascii="仿宋" w:hAnsi="仿宋" w:eastAsia="仿宋" w:cs="仿宋"/>
          <w:color w:val="auto"/>
          <w:sz w:val="24"/>
          <w:szCs w:val="24"/>
          <w:highlight w:val="none"/>
        </w:rPr>
        <w:t>依据法律法规和磋商文件的规定，磋商小组对响应文件中的资格证明文件进行审查，以确定供应商是否具备参加磋商的资格。</w:t>
      </w:r>
      <w:r>
        <w:rPr>
          <w:rFonts w:hint="eastAsia" w:ascii="仿宋" w:hAnsi="仿宋" w:eastAsia="仿宋" w:cs="仿宋"/>
          <w:color w:val="auto"/>
          <w:sz w:val="24"/>
          <w:szCs w:val="24"/>
          <w:highlight w:val="none"/>
          <w:lang w:bidi="ar"/>
        </w:rPr>
        <w:t>凡不具备资格条件的供应商不得进入磋商程序。</w:t>
      </w:r>
    </w:p>
    <w:p w14:paraId="4096DF18">
      <w:pPr>
        <w:autoSpaceDE w:val="0"/>
        <w:autoSpaceDN w:val="0"/>
        <w:adjustRightInd w:val="0"/>
        <w:snapToGrid w:val="0"/>
        <w:spacing w:line="360" w:lineRule="auto"/>
        <w:ind w:firstLine="420"/>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12.2 磋商小组所有成员集中与所有通过资格条件审查、符合性审查通过的供应商就竞争性磋商采购项目的商务和价格进行磋商，磋商的轮次由磋商小组决定。供应商提供最终报价的方式：所有供应商</w:t>
      </w:r>
      <w:r>
        <w:rPr>
          <w:rFonts w:hint="eastAsia" w:ascii="仿宋" w:hAnsi="仿宋" w:eastAsia="仿宋" w:cs="仿宋"/>
          <w:color w:val="auto"/>
          <w:sz w:val="24"/>
          <w:szCs w:val="24"/>
          <w:highlight w:val="none"/>
          <w:lang w:eastAsia="zh-CN" w:bidi="ar"/>
        </w:rPr>
        <w:t>在</w:t>
      </w:r>
      <w:r>
        <w:rPr>
          <w:rFonts w:hint="eastAsia" w:ascii="仿宋" w:hAnsi="仿宋" w:eastAsia="仿宋" w:cs="仿宋"/>
          <w:color w:val="auto"/>
          <w:sz w:val="24"/>
          <w:szCs w:val="24"/>
          <w:highlight w:val="none"/>
          <w:lang w:val="zh-CN" w:bidi="ar"/>
        </w:rPr>
        <w:t>苏采云系统规定的时间内</w:t>
      </w:r>
      <w:r>
        <w:rPr>
          <w:rFonts w:hint="eastAsia" w:ascii="仿宋" w:hAnsi="仿宋" w:eastAsia="仿宋" w:cs="仿宋"/>
          <w:color w:val="auto"/>
          <w:sz w:val="24"/>
          <w:szCs w:val="24"/>
          <w:highlight w:val="none"/>
          <w:lang w:bidi="ar"/>
        </w:rPr>
        <w:t>填写完最终报价表后</w:t>
      </w:r>
      <w:r>
        <w:rPr>
          <w:rFonts w:hint="eastAsia" w:ascii="仿宋" w:hAnsi="仿宋" w:eastAsia="仿宋" w:cs="仿宋"/>
          <w:color w:val="auto"/>
          <w:sz w:val="24"/>
          <w:szCs w:val="24"/>
          <w:highlight w:val="none"/>
          <w:lang w:eastAsia="zh-CN" w:bidi="ar"/>
        </w:rPr>
        <w:t>签章并提交。</w:t>
      </w:r>
    </w:p>
    <w:p w14:paraId="67A7BA03">
      <w:pPr>
        <w:autoSpaceDE w:val="0"/>
        <w:autoSpaceDN w:val="0"/>
        <w:adjustRightInd w:val="0"/>
        <w:snapToGrid w:val="0"/>
        <w:spacing w:line="360" w:lineRule="auto"/>
        <w:ind w:firstLine="420"/>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12.</w:t>
      </w:r>
      <w:r>
        <w:rPr>
          <w:rFonts w:hint="eastAsia" w:ascii="仿宋" w:hAnsi="仿宋" w:eastAsia="仿宋" w:cs="仿宋"/>
          <w:color w:val="auto"/>
          <w:sz w:val="24"/>
          <w:szCs w:val="24"/>
          <w:highlight w:val="none"/>
          <w:lang w:val="en-US" w:eastAsia="zh-CN" w:bidi="ar"/>
        </w:rPr>
        <w:t>3</w:t>
      </w:r>
      <w:r>
        <w:rPr>
          <w:rFonts w:hint="eastAsia" w:ascii="仿宋" w:hAnsi="仿宋" w:eastAsia="仿宋" w:cs="仿宋"/>
          <w:color w:val="auto"/>
          <w:sz w:val="24"/>
          <w:szCs w:val="24"/>
          <w:highlight w:val="none"/>
          <w:lang w:bidi="ar"/>
        </w:rPr>
        <w:t xml:space="preserve"> 磋商小组制定一个符合采购人要求的最优方案，或直接根据响应性文件要求所有供应商在规定时间内作最后报价。</w:t>
      </w:r>
    </w:p>
    <w:p w14:paraId="7F412530">
      <w:pPr>
        <w:keepNext w:val="0"/>
        <w:keepLines w:val="0"/>
        <w:pageBreakBefore w:val="0"/>
        <w:widowControl/>
        <w:shd w:val="clear" w:color="auto" w:fill="FFFFFF"/>
        <w:spacing w:line="360" w:lineRule="auto"/>
        <w:ind w:firstLine="422"/>
        <w:jc w:val="lef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12</w:t>
      </w:r>
      <w:r>
        <w:rPr>
          <w:rFonts w:hint="eastAsia" w:ascii="仿宋" w:hAnsi="仿宋" w:eastAsia="仿宋" w:cs="仿宋"/>
          <w:b/>
          <w:color w:val="auto"/>
          <w:sz w:val="24"/>
          <w:szCs w:val="24"/>
          <w:highlight w:val="none"/>
          <w:lang w:val="zh-CN"/>
        </w:rPr>
        <w:t>.</w:t>
      </w:r>
      <w:r>
        <w:rPr>
          <w:rFonts w:hint="eastAsia" w:ascii="仿宋" w:hAnsi="仿宋" w:eastAsia="仿宋" w:cs="仿宋"/>
          <w:b/>
          <w:color w:val="auto"/>
          <w:sz w:val="24"/>
          <w:szCs w:val="24"/>
          <w:highlight w:val="none"/>
          <w:lang w:val="en-US" w:eastAsia="zh-CN"/>
        </w:rPr>
        <w:t>4</w:t>
      </w:r>
      <w:r>
        <w:rPr>
          <w:rFonts w:hint="eastAsia" w:ascii="仿宋" w:hAnsi="仿宋" w:eastAsia="仿宋" w:cs="仿宋"/>
          <w:b/>
          <w:bCs/>
          <w:color w:val="auto"/>
          <w:sz w:val="24"/>
          <w:szCs w:val="24"/>
          <w:highlight w:val="none"/>
        </w:rPr>
        <w:t>评审过程中的澄清</w:t>
      </w:r>
    </w:p>
    <w:p w14:paraId="3984C17E">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4.1</w:t>
      </w:r>
      <w:r>
        <w:rPr>
          <w:rFonts w:hint="eastAsia" w:ascii="仿宋" w:hAnsi="仿宋" w:eastAsia="仿宋" w:cs="仿宋"/>
          <w:color w:val="auto"/>
          <w:sz w:val="24"/>
          <w:szCs w:val="24"/>
          <w:highlight w:val="none"/>
        </w:rPr>
        <w:t>项目评审期间，磋商小组有权要求供应商对响应文件中含义不明确、同类问题表述不一致或者有明显文字和计算错误的内容等作出必要的澄清、说明或者补正。</w:t>
      </w:r>
    </w:p>
    <w:p w14:paraId="16141AA9">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供应商的澄清、说明或者补正不得超出响应文件的范围或者改变响应文件的实质性内容。</w:t>
      </w:r>
    </w:p>
    <w:p w14:paraId="61DD6FD3">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磋商小组并非对</w:t>
      </w:r>
      <w:r>
        <w:rPr>
          <w:rFonts w:hint="eastAsia" w:ascii="仿宋" w:hAnsi="仿宋" w:eastAsia="仿宋" w:cs="仿宋"/>
          <w:color w:val="auto"/>
          <w:sz w:val="24"/>
          <w:szCs w:val="24"/>
          <w:highlight w:val="none"/>
          <w:lang w:eastAsia="zh-CN"/>
        </w:rPr>
        <w:t>全部</w:t>
      </w:r>
      <w:r>
        <w:rPr>
          <w:rFonts w:hint="eastAsia" w:ascii="仿宋" w:hAnsi="仿宋" w:eastAsia="仿宋" w:cs="仿宋"/>
          <w:color w:val="auto"/>
          <w:sz w:val="24"/>
          <w:szCs w:val="24"/>
          <w:highlight w:val="none"/>
        </w:rPr>
        <w:t>供应商都作澄清要求。</w:t>
      </w:r>
    </w:p>
    <w:p w14:paraId="2813218A">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2.4.2</w:t>
      </w:r>
      <w:r>
        <w:rPr>
          <w:rFonts w:hint="eastAsia" w:ascii="仿宋" w:hAnsi="仿宋" w:eastAsia="仿宋" w:cs="仿宋"/>
          <w:color w:val="auto"/>
          <w:sz w:val="24"/>
          <w:szCs w:val="24"/>
          <w:highlight w:val="none"/>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01BEA2A1">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12.4.3</w:t>
      </w:r>
      <w:r>
        <w:rPr>
          <w:rFonts w:hint="eastAsia" w:ascii="仿宋" w:hAnsi="仿宋" w:eastAsia="仿宋" w:cs="仿宋"/>
          <w:color w:val="auto"/>
          <w:sz w:val="24"/>
          <w:szCs w:val="24"/>
          <w:highlight w:val="none"/>
        </w:rPr>
        <w:t xml:space="preserve"> 接到磋商小组澄清、说明和补正要求的供应商如未按规定做出澄清、说明和补正，其风险由供应商自行承担。</w:t>
      </w:r>
    </w:p>
    <w:p w14:paraId="28B8644B">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2.4.4</w:t>
      </w:r>
      <w:r>
        <w:rPr>
          <w:rFonts w:hint="eastAsia" w:ascii="仿宋" w:hAnsi="仿宋" w:eastAsia="仿宋" w:cs="仿宋"/>
          <w:color w:val="auto"/>
          <w:sz w:val="24"/>
          <w:szCs w:val="24"/>
          <w:highlight w:val="none"/>
        </w:rPr>
        <w:t>响应文件报价出现前后不一致的，除采购文件另有规定外，按照下列规定修正：</w:t>
      </w:r>
    </w:p>
    <w:p w14:paraId="66F12CE3">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大写金额和小写金额不一致的，以大写金额为准；</w:t>
      </w:r>
    </w:p>
    <w:p w14:paraId="52507759">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单价金额小数点或者百分比有明显错位的，以报价表的总价为准，并修改单价；</w:t>
      </w:r>
    </w:p>
    <w:p w14:paraId="47E6FE01">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总价金额与按单价汇总金额不一致的，以单价金额计算结果为准。</w:t>
      </w:r>
    </w:p>
    <w:p w14:paraId="7933BF00">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同时出现两种以上不一致的，按照前款规定的顺序修正。</w:t>
      </w:r>
    </w:p>
    <w:p w14:paraId="63AFE18A">
      <w:pPr>
        <w:keepNext w:val="0"/>
        <w:keepLines w:val="0"/>
        <w:pageBreakBefore w:val="0"/>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评标委员会将按上述修正错误的方法调整响应文件中的</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报价，并通过苏采云系统告知供应商，调整后的价格对供应商具有约束力。如果供应商不接受修正后的价格，则将被拒绝。</w:t>
      </w:r>
    </w:p>
    <w:p w14:paraId="70282AC5">
      <w:pPr>
        <w:adjustRightInd w:val="0"/>
        <w:snapToGrid w:val="0"/>
        <w:spacing w:line="360" w:lineRule="auto"/>
        <w:ind w:firstLine="482" w:firstLineChars="200"/>
        <w:rPr>
          <w:rFonts w:hint="eastAsia" w:ascii="仿宋" w:hAnsi="仿宋" w:eastAsia="仿宋" w:cs="仿宋"/>
          <w:b/>
          <w:color w:val="auto"/>
          <w:sz w:val="24"/>
          <w:szCs w:val="24"/>
          <w:highlight w:val="none"/>
          <w:lang w:bidi="ar"/>
        </w:rPr>
      </w:pPr>
      <w:r>
        <w:rPr>
          <w:rFonts w:hint="eastAsia" w:ascii="仿宋" w:hAnsi="仿宋" w:eastAsia="仿宋" w:cs="仿宋"/>
          <w:b/>
          <w:color w:val="auto"/>
          <w:sz w:val="24"/>
          <w:szCs w:val="24"/>
          <w:highlight w:val="none"/>
          <w:lang w:bidi="ar"/>
        </w:rPr>
        <w:t>12.5 出现下列情形之一的</w:t>
      </w:r>
      <w:r>
        <w:rPr>
          <w:rFonts w:hint="eastAsia" w:ascii="仿宋" w:hAnsi="仿宋" w:eastAsia="仿宋" w:cs="仿宋"/>
          <w:b/>
          <w:color w:val="auto"/>
          <w:sz w:val="24"/>
          <w:szCs w:val="24"/>
          <w:highlight w:val="none"/>
          <w:lang w:eastAsia="zh-CN" w:bidi="ar"/>
        </w:rPr>
        <w:t>电子磋商响应文件</w:t>
      </w:r>
      <w:r>
        <w:rPr>
          <w:rFonts w:hint="eastAsia" w:ascii="仿宋" w:hAnsi="仿宋" w:eastAsia="仿宋" w:cs="仿宋"/>
          <w:b/>
          <w:color w:val="auto"/>
          <w:sz w:val="24"/>
          <w:szCs w:val="24"/>
          <w:highlight w:val="none"/>
          <w:lang w:bidi="ar"/>
        </w:rPr>
        <w:t>按照无效处理：</w:t>
      </w:r>
    </w:p>
    <w:p w14:paraId="43BD54E6">
      <w:pPr>
        <w:keepNext w:val="0"/>
        <w:keepLines w:val="0"/>
        <w:pageBreakBefore w:val="0"/>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如果响应文件实质上没有响应竞争性磋商文件的要求，磋商小组将予以拒绝，供应商不得通过修改或撤销不合要求的偏离或保留而使其投标成为实质性响应的投标。</w:t>
      </w:r>
    </w:p>
    <w:p w14:paraId="2247CB6D">
      <w:pPr>
        <w:keepNext w:val="0"/>
        <w:keepLines w:val="0"/>
        <w:pageBreakBefore w:val="0"/>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（1）供应商在苏采云系统规定的时间内未成功解密电子响应文件；</w:t>
      </w:r>
    </w:p>
    <w:p w14:paraId="54798C33">
      <w:pPr>
        <w:keepNext w:val="0"/>
        <w:keepLines w:val="0"/>
        <w:pageBreakBefore w:val="0"/>
        <w:spacing w:line="360" w:lineRule="auto"/>
        <w:ind w:firstLine="420"/>
        <w:jc w:val="left"/>
        <w:rPr>
          <w:rFonts w:hint="eastAsia" w:ascii="仿宋" w:hAnsi="仿宋" w:eastAsia="仿宋" w:cs="仿宋"/>
          <w:color w:val="auto"/>
          <w:sz w:val="24"/>
          <w:szCs w:val="24"/>
          <w:highlight w:val="none"/>
        </w:rPr>
      </w:pPr>
      <w:bookmarkStart w:id="97" w:name="OLE_LINK9"/>
      <w:r>
        <w:rPr>
          <w:rFonts w:hint="eastAsia" w:ascii="仿宋" w:hAnsi="仿宋" w:eastAsia="仿宋" w:cs="仿宋"/>
          <w:color w:val="auto"/>
          <w:sz w:val="24"/>
          <w:szCs w:val="24"/>
          <w:highlight w:val="none"/>
        </w:rPr>
        <w:t>（2）</w:t>
      </w:r>
      <w:bookmarkEnd w:id="97"/>
      <w:r>
        <w:rPr>
          <w:rFonts w:hint="eastAsia" w:ascii="仿宋" w:hAnsi="仿宋" w:eastAsia="仿宋" w:cs="仿宋"/>
          <w:b w:val="0"/>
          <w:bCs w:val="0"/>
          <w:color w:val="auto"/>
          <w:sz w:val="24"/>
          <w:szCs w:val="24"/>
          <w:highlight w:val="none"/>
        </w:rPr>
        <w:t>供应商未按照磋商文件要求上传电子响应文件</w:t>
      </w:r>
      <w:r>
        <w:rPr>
          <w:rFonts w:hint="eastAsia" w:ascii="仿宋" w:hAnsi="仿宋" w:eastAsia="仿宋" w:cs="仿宋"/>
          <w:color w:val="auto"/>
          <w:sz w:val="24"/>
          <w:szCs w:val="24"/>
          <w:highlight w:val="none"/>
        </w:rPr>
        <w:t>；</w:t>
      </w:r>
    </w:p>
    <w:p w14:paraId="08C90111">
      <w:pPr>
        <w:keepNext w:val="0"/>
        <w:keepLines w:val="0"/>
        <w:pageBreakBefore w:val="0"/>
        <w:spacing w:line="360" w:lineRule="auto"/>
        <w:ind w:firstLine="420"/>
        <w:jc w:val="left"/>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bidi="ar"/>
        </w:rPr>
        <w:t>电子</w:t>
      </w:r>
      <w:r>
        <w:rPr>
          <w:rFonts w:hint="eastAsia" w:ascii="仿宋" w:hAnsi="仿宋" w:eastAsia="仿宋" w:cs="仿宋"/>
          <w:color w:val="auto"/>
          <w:sz w:val="24"/>
          <w:szCs w:val="24"/>
          <w:highlight w:val="none"/>
          <w:lang w:bidi="ar"/>
        </w:rPr>
        <w:t>响应文件未按竞争性磋商文件要求签署、盖章</w:t>
      </w:r>
      <w:r>
        <w:rPr>
          <w:rFonts w:hint="eastAsia" w:ascii="仿宋" w:hAnsi="仿宋" w:eastAsia="仿宋" w:cs="仿宋"/>
          <w:color w:val="auto"/>
          <w:sz w:val="24"/>
          <w:szCs w:val="24"/>
          <w:highlight w:val="none"/>
          <w:lang w:eastAsia="zh-CN" w:bidi="ar"/>
        </w:rPr>
        <w:t>或加盖电子公章</w:t>
      </w:r>
      <w:r>
        <w:rPr>
          <w:rFonts w:hint="eastAsia" w:ascii="仿宋" w:hAnsi="仿宋" w:eastAsia="仿宋" w:cs="仿宋"/>
          <w:color w:val="auto"/>
          <w:sz w:val="24"/>
          <w:szCs w:val="24"/>
          <w:highlight w:val="none"/>
          <w:lang w:bidi="ar"/>
        </w:rPr>
        <w:t>的</w:t>
      </w:r>
      <w:r>
        <w:rPr>
          <w:rFonts w:hint="eastAsia" w:ascii="仿宋" w:hAnsi="仿宋" w:eastAsia="仿宋" w:cs="仿宋"/>
          <w:color w:val="auto"/>
          <w:sz w:val="24"/>
          <w:szCs w:val="24"/>
          <w:highlight w:val="none"/>
        </w:rPr>
        <w:t>；</w:t>
      </w:r>
    </w:p>
    <w:p w14:paraId="65F868BA">
      <w:pPr>
        <w:keepNext w:val="0"/>
        <w:keepLines w:val="0"/>
        <w:pageBreakBefore w:val="0"/>
        <w:spacing w:line="360" w:lineRule="auto"/>
        <w:ind w:firstLine="42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w:t>
      </w:r>
      <w:r>
        <w:rPr>
          <w:rFonts w:hint="eastAsia" w:ascii="仿宋" w:hAnsi="仿宋" w:eastAsia="仿宋" w:cs="仿宋"/>
          <w:b w:val="0"/>
          <w:bCs w:val="0"/>
          <w:color w:val="auto"/>
          <w:sz w:val="24"/>
          <w:szCs w:val="24"/>
          <w:highlight w:val="none"/>
        </w:rPr>
        <w:t>同一供应商提交两个（含两个）以上不同的响应文件或者最后报价</w:t>
      </w:r>
      <w:r>
        <w:rPr>
          <w:rFonts w:hint="eastAsia" w:ascii="仿宋" w:hAnsi="仿宋" w:eastAsia="仿宋" w:cs="仿宋"/>
          <w:b w:val="0"/>
          <w:bCs w:val="0"/>
          <w:color w:val="auto"/>
          <w:sz w:val="24"/>
          <w:szCs w:val="24"/>
          <w:highlight w:val="none"/>
          <w:lang w:eastAsia="zh-CN"/>
        </w:rPr>
        <w:t>；</w:t>
      </w:r>
    </w:p>
    <w:p w14:paraId="598BBB10">
      <w:pPr>
        <w:keepNext w:val="0"/>
        <w:keepLines w:val="0"/>
        <w:pageBreakBefore w:val="0"/>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（5）不具备竞争性磋商文件中规定资格要求的；</w:t>
      </w:r>
    </w:p>
    <w:p w14:paraId="7CD2BD1B">
      <w:pPr>
        <w:keepNext w:val="0"/>
        <w:keepLines w:val="0"/>
        <w:pageBreakBefore w:val="0"/>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（6）投标总价超出采购项目预算或者最高限价的；</w:t>
      </w:r>
    </w:p>
    <w:p w14:paraId="411EFFBC">
      <w:pPr>
        <w:pStyle w:val="40"/>
        <w:ind w:left="0" w:leftChars="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bidi="ar"/>
        </w:rPr>
        <w:t>7</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bidi="ar"/>
        </w:rPr>
        <w:t>未</w:t>
      </w:r>
      <w:r>
        <w:rPr>
          <w:rFonts w:hint="eastAsia" w:ascii="仿宋" w:hAnsi="仿宋" w:eastAsia="仿宋" w:cs="仿宋"/>
          <w:color w:val="auto"/>
          <w:sz w:val="24"/>
          <w:szCs w:val="24"/>
          <w:highlight w:val="none"/>
          <w:lang w:eastAsia="zh-CN" w:bidi="ar"/>
        </w:rPr>
        <w:t>按要求</w:t>
      </w:r>
      <w:r>
        <w:rPr>
          <w:rFonts w:hint="eastAsia" w:ascii="仿宋" w:hAnsi="仿宋" w:eastAsia="仿宋" w:cs="仿宋"/>
          <w:color w:val="auto"/>
          <w:sz w:val="24"/>
          <w:szCs w:val="24"/>
          <w:highlight w:val="none"/>
          <w:lang w:bidi="ar"/>
        </w:rPr>
        <w:t>提供《南京市政府采购供应商信用记录表暨信用承诺书》。</w:t>
      </w:r>
    </w:p>
    <w:p w14:paraId="7C6865A3">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CN" w:eastAsia="zh-CN"/>
        </w:rPr>
        <w:t>根据</w:t>
      </w:r>
      <w:r>
        <w:rPr>
          <w:rFonts w:hint="eastAsia" w:ascii="仿宋" w:hAnsi="仿宋" w:eastAsia="仿宋" w:cs="仿宋"/>
          <w:color w:val="auto"/>
          <w:sz w:val="24"/>
          <w:szCs w:val="24"/>
          <w:highlight w:val="none"/>
          <w:lang w:val="zh-CN"/>
        </w:rPr>
        <w:t>财库〔2026〕2号</w:t>
      </w:r>
      <w:r>
        <w:rPr>
          <w:rFonts w:hint="eastAsia" w:ascii="仿宋" w:hAnsi="仿宋" w:eastAsia="仿宋" w:cs="仿宋"/>
          <w:color w:val="auto"/>
          <w:sz w:val="24"/>
          <w:szCs w:val="24"/>
          <w:highlight w:val="none"/>
          <w:lang w:val="zh-CN" w:eastAsia="zh-CN"/>
        </w:rPr>
        <w:t>文件要求，</w:t>
      </w:r>
      <w:r>
        <w:rPr>
          <w:rFonts w:hint="eastAsia" w:ascii="仿宋" w:hAnsi="仿宋" w:eastAsia="仿宋" w:cs="仿宋"/>
          <w:color w:val="auto"/>
          <w:sz w:val="24"/>
          <w:szCs w:val="24"/>
          <w:highlight w:val="none"/>
          <w:lang w:val="zh-CN"/>
        </w:rPr>
        <w:t>出现下列情形之一的，评审委员会应当启动异常低价投标（响应）审查程序： </w:t>
      </w:r>
    </w:p>
    <w:p w14:paraId="553E1D2E">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1）投标（响应）报价低于全部通过符合性审查供应商投标（响应）报价平均值50%的，即投标（响应）报价&lt;全部通过符合性审查供应商投标（响应）报价平均值×50%； </w:t>
      </w:r>
    </w:p>
    <w:p w14:paraId="4EFF7821">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2）投标（响应）报价低于通过符合性审查的次低报价供应商投标（响应）报价50%的，即投标（响应）报价&lt;通过符合性审查的次低报价供应商投标（响应）报价×50%； </w:t>
      </w:r>
    </w:p>
    <w:p w14:paraId="127D9C60">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3）投标（响应）报价低于采购项目最高限价45%的，即投标（响应）报价&lt;采购项目最高限价×45%； </w:t>
      </w:r>
    </w:p>
    <w:p w14:paraId="5BCDD4B1">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4）评审委员会基于专业判断，认为供应商报价过低，有可能影响产品质量或者不能诚信履约的其他情形。 </w:t>
      </w:r>
    </w:p>
    <w:p w14:paraId="6F9D2A63">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p>
    <w:p w14:paraId="74B73203">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FC37FD0">
      <w:pPr>
        <w:keepNext w:val="0"/>
        <w:keepLines w:val="0"/>
        <w:pageBreakBefore w:val="0"/>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）响应文件含有采购人不能接受的附加条件的；</w:t>
      </w:r>
    </w:p>
    <w:p w14:paraId="00C3C7A1">
      <w:pPr>
        <w:keepNext w:val="0"/>
        <w:keepLines w:val="0"/>
        <w:pageBreakBefore w:val="0"/>
        <w:spacing w:line="360" w:lineRule="auto"/>
        <w:ind w:firstLine="4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）不符合法律、法规和竞争性磋商文件规定的其他实质性要求的</w:t>
      </w:r>
      <w:r>
        <w:rPr>
          <w:rFonts w:hint="eastAsia" w:ascii="仿宋" w:hAnsi="仿宋" w:eastAsia="仿宋" w:cs="仿宋"/>
          <w:color w:val="auto"/>
          <w:sz w:val="24"/>
          <w:szCs w:val="24"/>
          <w:highlight w:val="none"/>
          <w:lang w:val="zh-CN"/>
        </w:rPr>
        <w:t>。</w:t>
      </w:r>
    </w:p>
    <w:p w14:paraId="30164301">
      <w:pPr>
        <w:adjustRightInd w:val="0"/>
        <w:snapToGrid w:val="0"/>
        <w:spacing w:line="360" w:lineRule="auto"/>
        <w:ind w:firstLine="482" w:firstLineChars="200"/>
        <w:rPr>
          <w:rFonts w:hint="eastAsia" w:ascii="仿宋" w:hAnsi="仿宋" w:eastAsia="仿宋" w:cs="仿宋"/>
          <w:b/>
          <w:color w:val="auto"/>
          <w:sz w:val="24"/>
          <w:szCs w:val="24"/>
          <w:highlight w:val="none"/>
          <w:lang w:val="zh-CN" w:bidi="ar"/>
        </w:rPr>
      </w:pPr>
      <w:r>
        <w:rPr>
          <w:rFonts w:hint="eastAsia" w:ascii="仿宋" w:hAnsi="仿宋" w:eastAsia="仿宋" w:cs="仿宋"/>
          <w:b/>
          <w:color w:val="auto"/>
          <w:sz w:val="24"/>
          <w:szCs w:val="24"/>
          <w:highlight w:val="none"/>
          <w:lang w:val="en-US" w:eastAsia="zh-CN" w:bidi="ar"/>
        </w:rPr>
        <w:t>12.6</w:t>
      </w:r>
      <w:r>
        <w:rPr>
          <w:rFonts w:hint="eastAsia" w:ascii="仿宋" w:hAnsi="仿宋" w:eastAsia="仿宋" w:cs="仿宋"/>
          <w:b/>
          <w:color w:val="auto"/>
          <w:sz w:val="24"/>
          <w:szCs w:val="24"/>
          <w:highlight w:val="none"/>
          <w:lang w:val="zh-CN" w:bidi="ar"/>
        </w:rPr>
        <w:t>有下列情形之一的，视为供应商串通投标，其投标无效：</w:t>
      </w:r>
    </w:p>
    <w:p w14:paraId="51F50B9C">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（1）不同供应商的投标文件由同一单位或者个人编制；</w:t>
      </w:r>
    </w:p>
    <w:p w14:paraId="2D0BDCEA">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（2）不同供应商委托同一单位或者个人办理投标事宜；</w:t>
      </w:r>
    </w:p>
    <w:p w14:paraId="147FEFEC">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（3）不同供应商的投标文件载明的项目管理成员或者联系人员为同一人；</w:t>
      </w:r>
    </w:p>
    <w:p w14:paraId="3512F13C">
      <w:pPr>
        <w:widowControl/>
        <w:adjustRightIn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（4）不同供应商的投标文件异常一致或者投标报价呈规律性差异；</w:t>
      </w:r>
    </w:p>
    <w:p w14:paraId="4545BA2E">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zh-CN"/>
        </w:rPr>
        <w:t>（5）不同供应商的MAC地址、标书制作工具客户端标识码一致的；</w:t>
      </w:r>
    </w:p>
    <w:p w14:paraId="2D414F36">
      <w:pPr>
        <w:adjustRightInd w:val="0"/>
        <w:snapToGrid w:val="0"/>
        <w:spacing w:line="360" w:lineRule="auto"/>
        <w:ind w:firstLine="482" w:firstLineChars="200"/>
        <w:rPr>
          <w:rFonts w:hint="eastAsia" w:ascii="仿宋" w:hAnsi="仿宋" w:eastAsia="仿宋" w:cs="仿宋"/>
          <w:b/>
          <w:color w:val="auto"/>
          <w:sz w:val="24"/>
          <w:szCs w:val="24"/>
          <w:highlight w:val="none"/>
          <w:lang w:bidi="ar"/>
        </w:rPr>
      </w:pPr>
      <w:bookmarkStart w:id="98" w:name="_Toc518485126"/>
      <w:r>
        <w:rPr>
          <w:rFonts w:hint="eastAsia" w:ascii="仿宋" w:hAnsi="仿宋" w:eastAsia="仿宋" w:cs="仿宋"/>
          <w:b/>
          <w:color w:val="auto"/>
          <w:sz w:val="24"/>
          <w:szCs w:val="24"/>
          <w:highlight w:val="none"/>
          <w:lang w:bidi="ar"/>
        </w:rPr>
        <w:t>12.</w:t>
      </w:r>
      <w:r>
        <w:rPr>
          <w:rFonts w:hint="eastAsia" w:ascii="仿宋" w:hAnsi="仿宋" w:eastAsia="仿宋" w:cs="仿宋"/>
          <w:b/>
          <w:color w:val="auto"/>
          <w:sz w:val="24"/>
          <w:szCs w:val="24"/>
          <w:highlight w:val="none"/>
          <w:lang w:val="en-US" w:eastAsia="zh-CN" w:bidi="ar"/>
        </w:rPr>
        <w:t>7</w:t>
      </w:r>
      <w:r>
        <w:rPr>
          <w:rFonts w:hint="eastAsia" w:ascii="仿宋" w:hAnsi="仿宋" w:eastAsia="仿宋" w:cs="仿宋"/>
          <w:b/>
          <w:color w:val="auto"/>
          <w:sz w:val="24"/>
          <w:szCs w:val="24"/>
          <w:highlight w:val="none"/>
          <w:lang w:bidi="ar"/>
        </w:rPr>
        <w:t>出现下列情形之一的磋商终止，无成交供应商：</w:t>
      </w:r>
      <w:bookmarkEnd w:id="98"/>
    </w:p>
    <w:p w14:paraId="3E5F7987">
      <w:pPr>
        <w:numPr>
          <w:ilvl w:val="0"/>
          <w:numId w:val="5"/>
        </w:numPr>
        <w:autoSpaceDE w:val="0"/>
        <w:autoSpaceDN w:val="0"/>
        <w:adjustRightInd w:val="0"/>
        <w:snapToGrid w:val="0"/>
        <w:spacing w:line="360" w:lineRule="auto"/>
        <w:ind w:firstLine="480" w:firstLineChars="200"/>
        <w:rPr>
          <w:rFonts w:hint="eastAsia" w:ascii="仿宋" w:hAnsi="仿宋" w:eastAsia="仿宋" w:cs="仿宋"/>
          <w:bCs/>
          <w:color w:val="auto"/>
          <w:kern w:val="0"/>
          <w:sz w:val="24"/>
          <w:szCs w:val="24"/>
          <w:highlight w:val="none"/>
          <w:lang w:val="en-US" w:eastAsia="zh-CN" w:bidi="ar-SA"/>
        </w:rPr>
      </w:pPr>
      <w:r>
        <w:rPr>
          <w:rFonts w:hint="eastAsia" w:ascii="仿宋" w:hAnsi="仿宋" w:eastAsia="仿宋" w:cs="仿宋"/>
          <w:bCs/>
          <w:color w:val="auto"/>
          <w:kern w:val="0"/>
          <w:sz w:val="24"/>
          <w:szCs w:val="24"/>
          <w:highlight w:val="none"/>
          <w:lang w:val="en-US" w:eastAsia="zh-CN" w:bidi="ar-SA"/>
        </w:rPr>
        <w:t>符合专业条件的供应商或者对招标文件作实质响应的供应商不足3家</w:t>
      </w:r>
    </w:p>
    <w:p w14:paraId="54705DC4">
      <w:pPr>
        <w:numPr>
          <w:ilvl w:val="0"/>
          <w:numId w:val="5"/>
        </w:numPr>
        <w:autoSpaceDE w:val="0"/>
        <w:autoSpaceDN w:val="0"/>
        <w:adjustRightInd w:val="0"/>
        <w:snapToGrid w:val="0"/>
        <w:spacing w:line="360" w:lineRule="auto"/>
        <w:ind w:firstLine="480" w:firstLineChars="200"/>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出现影响采购公正的违法、违规行为的；</w:t>
      </w:r>
    </w:p>
    <w:p w14:paraId="38BAD866">
      <w:pPr>
        <w:autoSpaceDE w:val="0"/>
        <w:autoSpaceDN w:val="0"/>
        <w:adjustRightInd w:val="0"/>
        <w:snapToGrid w:val="0"/>
        <w:spacing w:line="360" w:lineRule="auto"/>
        <w:ind w:firstLine="480" w:firstLineChars="200"/>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（3）因重大变故，采购任务取消的；</w:t>
      </w:r>
    </w:p>
    <w:p w14:paraId="7DBD51C3">
      <w:pPr>
        <w:autoSpaceDE w:val="0"/>
        <w:autoSpaceDN w:val="0"/>
        <w:adjustRightInd w:val="0"/>
        <w:snapToGrid w:val="0"/>
        <w:spacing w:line="360" w:lineRule="auto"/>
        <w:ind w:firstLine="480" w:firstLineChars="200"/>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（4）因情况变化，不再符合规定的竞争性磋商采购方式适用情形的。</w:t>
      </w:r>
    </w:p>
    <w:p w14:paraId="5ABAC0FA">
      <w:pPr>
        <w:autoSpaceDE w:val="0"/>
        <w:autoSpaceDN w:val="0"/>
        <w:adjustRightInd w:val="0"/>
        <w:spacing w:line="360" w:lineRule="auto"/>
        <w:ind w:firstLine="420"/>
        <w:rPr>
          <w:rFonts w:hint="eastAsia" w:ascii="仿宋" w:hAnsi="仿宋" w:eastAsia="仿宋" w:cs="仿宋"/>
          <w:b/>
          <w:bCs/>
          <w:color w:val="auto"/>
          <w:sz w:val="24"/>
          <w:szCs w:val="24"/>
          <w:highlight w:val="none"/>
        </w:rPr>
      </w:pPr>
      <w:bookmarkStart w:id="99" w:name="_Toc518485127"/>
      <w:r>
        <w:rPr>
          <w:rFonts w:hint="eastAsia" w:ascii="仿宋" w:hAnsi="仿宋" w:eastAsia="仿宋" w:cs="仿宋"/>
          <w:b/>
          <w:bCs/>
          <w:color w:val="auto"/>
          <w:sz w:val="24"/>
          <w:szCs w:val="24"/>
          <w:highlight w:val="none"/>
        </w:rPr>
        <w:t>13、评审方法和标准。</w:t>
      </w:r>
      <w:bookmarkEnd w:id="99"/>
    </w:p>
    <w:p w14:paraId="11948D6A">
      <w:pPr>
        <w:autoSpaceDE w:val="0"/>
        <w:autoSpaceDN w:val="0"/>
        <w:adjustRightInd w:val="0"/>
        <w:spacing w:line="360" w:lineRule="auto"/>
        <w:ind w:firstLine="420"/>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lang w:val="zh-CN"/>
        </w:rPr>
        <w:t>采用综合评分法。</w:t>
      </w:r>
      <w:r>
        <w:rPr>
          <w:rFonts w:hint="eastAsia" w:ascii="仿宋" w:hAnsi="仿宋" w:eastAsia="仿宋" w:cs="仿宋"/>
          <w:bCs/>
          <w:color w:val="auto"/>
          <w:kern w:val="0"/>
          <w:sz w:val="24"/>
          <w:szCs w:val="24"/>
          <w:highlight w:val="none"/>
        </w:rPr>
        <w:t>即</w:t>
      </w:r>
      <w:r>
        <w:rPr>
          <w:rFonts w:hint="eastAsia" w:ascii="仿宋" w:hAnsi="仿宋" w:eastAsia="仿宋" w:cs="仿宋"/>
          <w:bCs/>
          <w:color w:val="auto"/>
          <w:kern w:val="0"/>
          <w:sz w:val="24"/>
          <w:szCs w:val="24"/>
          <w:highlight w:val="none"/>
          <w:lang w:eastAsia="zh-CN"/>
        </w:rPr>
        <w:t>电子磋商响应文件</w:t>
      </w:r>
      <w:r>
        <w:rPr>
          <w:rFonts w:hint="eastAsia" w:ascii="仿宋" w:hAnsi="仿宋" w:eastAsia="仿宋" w:cs="仿宋"/>
          <w:bCs/>
          <w:color w:val="auto"/>
          <w:kern w:val="0"/>
          <w:sz w:val="24"/>
          <w:szCs w:val="24"/>
          <w:highlight w:val="none"/>
        </w:rPr>
        <w:t>满足磋商文件全部实质性要求，且按照磋商评审因素的量化指标评审得分最高的磋商供应商为成交候选人的磋商方法。</w:t>
      </w:r>
      <w:r>
        <w:rPr>
          <w:rFonts w:hint="eastAsia" w:ascii="仿宋" w:hAnsi="仿宋" w:eastAsia="仿宋" w:cs="仿宋"/>
          <w:b/>
          <w:color w:val="auto"/>
          <w:sz w:val="24"/>
          <w:szCs w:val="24"/>
          <w:highlight w:val="none"/>
          <w:lang w:val="zh-CN"/>
        </w:rPr>
        <w:t>具体评分标准详见第</w:t>
      </w:r>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lang w:val="zh-CN"/>
        </w:rPr>
        <w:t>章。</w:t>
      </w:r>
    </w:p>
    <w:p w14:paraId="3D01CBCD">
      <w:pPr>
        <w:autoSpaceDE w:val="0"/>
        <w:autoSpaceDN w:val="0"/>
        <w:adjustRightInd w:val="0"/>
        <w:spacing w:line="360" w:lineRule="auto"/>
        <w:ind w:firstLine="420"/>
        <w:rPr>
          <w:rFonts w:hint="eastAsia" w:ascii="仿宋" w:hAnsi="仿宋" w:eastAsia="仿宋" w:cs="仿宋"/>
          <w:b/>
          <w:color w:val="auto"/>
          <w:sz w:val="24"/>
          <w:szCs w:val="24"/>
          <w:highlight w:val="none"/>
          <w:lang w:bidi="ar"/>
        </w:rPr>
      </w:pPr>
      <w:r>
        <w:rPr>
          <w:rFonts w:hint="eastAsia" w:ascii="仿宋" w:hAnsi="仿宋" w:eastAsia="仿宋" w:cs="仿宋"/>
          <w:b/>
          <w:bCs/>
          <w:color w:val="auto"/>
          <w:sz w:val="24"/>
          <w:szCs w:val="24"/>
          <w:highlight w:val="none"/>
        </w:rPr>
        <w:t>14、</w:t>
      </w:r>
      <w:r>
        <w:rPr>
          <w:rFonts w:hint="eastAsia" w:ascii="仿宋" w:hAnsi="仿宋" w:eastAsia="仿宋" w:cs="仿宋"/>
          <w:b/>
          <w:color w:val="auto"/>
          <w:sz w:val="24"/>
          <w:szCs w:val="24"/>
          <w:highlight w:val="none"/>
          <w:lang w:bidi="ar"/>
        </w:rPr>
        <w:t>确定成交供应商</w:t>
      </w:r>
    </w:p>
    <w:p w14:paraId="79BD4696">
      <w:pPr>
        <w:autoSpaceDE w:val="0"/>
        <w:autoSpaceDN w:val="0"/>
        <w:adjustRightInd w:val="0"/>
        <w:spacing w:line="360" w:lineRule="auto"/>
        <w:ind w:firstLine="42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本次采购得分最高者为成交供应商，第二名为备选供应商，当成交供应商不能履行其义务时，由备选供应商顶替，成为新的成交供应商，也可重新组织采购。</w:t>
      </w:r>
    </w:p>
    <w:p w14:paraId="7670769B">
      <w:pPr>
        <w:autoSpaceDE w:val="0"/>
        <w:autoSpaceDN w:val="0"/>
        <w:adjustRightInd w:val="0"/>
        <w:spacing w:line="360" w:lineRule="auto"/>
        <w:ind w:firstLine="4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15．编写磋商报告</w:t>
      </w:r>
    </w:p>
    <w:p w14:paraId="321BACF5">
      <w:pPr>
        <w:autoSpaceDE w:val="0"/>
        <w:autoSpaceDN w:val="0"/>
        <w:adjustRightInd w:val="0"/>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磋商委员会根据全体磋商成员签字的原始评标记录和评标结果编写磋商报告或由苏采云系统签章生成的磋商报告。</w:t>
      </w:r>
    </w:p>
    <w:p w14:paraId="1B40F291">
      <w:pPr>
        <w:autoSpaceDE w:val="0"/>
        <w:autoSpaceDN w:val="0"/>
        <w:adjustRightInd w:val="0"/>
        <w:spacing w:line="360" w:lineRule="auto"/>
        <w:ind w:firstLine="413"/>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16. 成交通知书</w:t>
      </w:r>
    </w:p>
    <w:p w14:paraId="1C902C15">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 （1）供应商在中标(成交)后，应按采购文件要求，将前述</w:t>
      </w:r>
      <w:r>
        <w:rPr>
          <w:rFonts w:hint="eastAsia" w:ascii="仿宋" w:hAnsi="仿宋" w:eastAsia="仿宋" w:cs="仿宋"/>
          <w:color w:val="auto"/>
          <w:sz w:val="24"/>
          <w:szCs w:val="24"/>
          <w:highlight w:val="none"/>
          <w:lang w:val="en-US" w:eastAsia="zh-CN"/>
        </w:rPr>
        <w:t>6.6</w:t>
      </w:r>
      <w:r>
        <w:rPr>
          <w:rFonts w:hint="eastAsia" w:ascii="仿宋" w:hAnsi="仿宋" w:eastAsia="仿宋" w:cs="仿宋"/>
          <w:color w:val="auto"/>
          <w:sz w:val="24"/>
          <w:szCs w:val="24"/>
          <w:highlight w:val="none"/>
        </w:rPr>
        <w:t>由信用承诺书替代的证明材料提交采购人或采购代理机构核验。经核验无误后，由采购人或采购代理机构发出中标(成交)通知书。</w:t>
      </w:r>
    </w:p>
    <w:p w14:paraId="7BE50646">
      <w:pPr>
        <w:autoSpaceDE w:val="0"/>
        <w:autoSpaceDN w:val="0"/>
        <w:adjustRightInd w:val="0"/>
        <w:spacing w:line="360" w:lineRule="auto"/>
        <w:ind w:firstLine="480" w:firstLineChars="200"/>
        <w:rPr>
          <w:rFonts w:hint="eastAsia" w:ascii="仿宋" w:hAnsi="仿宋" w:eastAsia="仿宋" w:cs="仿宋"/>
          <w:b/>
          <w:bCs/>
          <w:color w:val="auto"/>
          <w:sz w:val="24"/>
          <w:szCs w:val="24"/>
          <w:highlight w:val="none"/>
          <w:lang w:val="zh-CN"/>
        </w:rPr>
      </w:pPr>
      <w:r>
        <w:rPr>
          <w:rFonts w:hint="eastAsia" w:ascii="仿宋" w:hAnsi="仿宋" w:eastAsia="仿宋" w:cs="仿宋"/>
          <w:color w:val="auto"/>
          <w:sz w:val="24"/>
          <w:szCs w:val="24"/>
          <w:highlight w:val="none"/>
        </w:rPr>
        <w:t>（2） 成交供应商确定后将在南京市政府采购网网站进行公示，公示期为1个工作日，</w:t>
      </w:r>
      <w:r>
        <w:rPr>
          <w:rFonts w:hint="eastAsia" w:ascii="仿宋" w:hAnsi="仿宋" w:eastAsia="仿宋" w:cs="仿宋"/>
          <w:color w:val="auto"/>
          <w:sz w:val="24"/>
          <w:szCs w:val="24"/>
          <w:highlight w:val="none"/>
          <w:lang w:eastAsia="zh-CN"/>
        </w:rPr>
        <w:t>公示结束后</w:t>
      </w:r>
      <w:r>
        <w:rPr>
          <w:rFonts w:hint="eastAsia" w:ascii="仿宋" w:hAnsi="仿宋" w:eastAsia="仿宋" w:cs="仿宋"/>
          <w:color w:val="auto"/>
          <w:sz w:val="24"/>
          <w:szCs w:val="24"/>
          <w:highlight w:val="none"/>
        </w:rPr>
        <w:t>向成交供应商发出成交通知书。成交通知书对采购人和成交供应商具有同等法律效力。</w:t>
      </w:r>
    </w:p>
    <w:p w14:paraId="79466827">
      <w:pPr>
        <w:autoSpaceDE w:val="0"/>
        <w:autoSpaceDN w:val="0"/>
        <w:adjustRightInd w:val="0"/>
        <w:spacing w:line="360" w:lineRule="auto"/>
        <w:ind w:firstLine="480" w:firstLineChars="200"/>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lang w:val="zh-CN"/>
        </w:rPr>
        <w:t>（3）</w:t>
      </w:r>
      <w:r>
        <w:rPr>
          <w:rFonts w:hint="eastAsia" w:ascii="仿宋" w:hAnsi="仿宋" w:eastAsia="仿宋" w:cs="仿宋"/>
          <w:b/>
          <w:bCs/>
          <w:color w:val="auto"/>
          <w:sz w:val="24"/>
          <w:szCs w:val="24"/>
          <w:highlight w:val="none"/>
          <w:lang w:val="zh-CN"/>
        </w:rPr>
        <w:t xml:space="preserve"> </w:t>
      </w:r>
      <w:r>
        <w:rPr>
          <w:rFonts w:hint="eastAsia" w:ascii="仿宋" w:hAnsi="仿宋" w:eastAsia="仿宋" w:cs="仿宋"/>
          <w:color w:val="auto"/>
          <w:sz w:val="24"/>
          <w:szCs w:val="24"/>
          <w:highlight w:val="none"/>
          <w:lang w:val="zh-CN"/>
        </w:rPr>
        <w:t>在投标有效期期满之前,采购单位将以书面形式通知成交供应商，并确认其磋商响应已被接受。</w:t>
      </w:r>
    </w:p>
    <w:p w14:paraId="2CA1885B">
      <w:pPr>
        <w:autoSpaceDE w:val="0"/>
        <w:autoSpaceDN w:val="0"/>
        <w:adjustRightInd w:val="0"/>
        <w:spacing w:line="360" w:lineRule="auto"/>
        <w:ind w:firstLine="480" w:firstLineChars="200"/>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lang w:val="zh-CN"/>
        </w:rPr>
        <w:t xml:space="preserve">16.2 </w:t>
      </w:r>
      <w:r>
        <w:rPr>
          <w:rFonts w:hint="eastAsia" w:ascii="仿宋" w:hAnsi="仿宋" w:eastAsia="仿宋" w:cs="仿宋"/>
          <w:color w:val="auto"/>
          <w:sz w:val="24"/>
          <w:szCs w:val="24"/>
          <w:highlight w:val="none"/>
          <w:lang w:val="zh-CN"/>
        </w:rPr>
        <w:t>成交通知书将是合同的一个组成部分。</w:t>
      </w:r>
    </w:p>
    <w:p w14:paraId="6E0F302F">
      <w:pPr>
        <w:autoSpaceDE w:val="0"/>
        <w:autoSpaceDN w:val="0"/>
        <w:adjustRightInd w:val="0"/>
        <w:snapToGrid w:val="0"/>
        <w:spacing w:line="360" w:lineRule="auto"/>
        <w:ind w:firstLine="42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16.3 </w:t>
      </w:r>
      <w:r>
        <w:rPr>
          <w:rFonts w:hint="eastAsia" w:ascii="仿宋" w:hAnsi="仿宋" w:eastAsia="仿宋" w:cs="仿宋"/>
          <w:b/>
          <w:color w:val="auto"/>
          <w:sz w:val="24"/>
          <w:szCs w:val="24"/>
          <w:highlight w:val="none"/>
        </w:rPr>
        <w:t>成交通知书发出后，成交供应商除发生法律规定的不能预见、不能避免并不能克服的客观情况外不得放弃或拒绝签订合同的。放弃或拒绝签订合同的，情节严重的在一至三年内不得参加采购人采购活动。</w:t>
      </w:r>
    </w:p>
    <w:p w14:paraId="112B5CEA">
      <w:pPr>
        <w:tabs>
          <w:tab w:val="left" w:pos="1260"/>
        </w:tabs>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 </w:t>
      </w:r>
      <w:r>
        <w:rPr>
          <w:rFonts w:hint="eastAsia" w:ascii="仿宋" w:hAnsi="仿宋" w:eastAsia="仿宋" w:cs="仿宋"/>
          <w:color w:val="auto"/>
          <w:sz w:val="24"/>
          <w:szCs w:val="24"/>
          <w:highlight w:val="none"/>
          <w:lang w:eastAsia="zh-CN"/>
        </w:rPr>
        <w:t>南京富弘工程项目管理有限公司</w:t>
      </w:r>
      <w:r>
        <w:rPr>
          <w:rFonts w:hint="eastAsia" w:ascii="仿宋" w:hAnsi="仿宋" w:eastAsia="仿宋" w:cs="仿宋"/>
          <w:color w:val="auto"/>
          <w:sz w:val="24"/>
          <w:szCs w:val="24"/>
          <w:highlight w:val="none"/>
        </w:rPr>
        <w:t>对未成交的供应商不作未成交原因的解释。</w:t>
      </w:r>
    </w:p>
    <w:p w14:paraId="248AC789">
      <w:pPr>
        <w:autoSpaceDE w:val="0"/>
        <w:autoSpaceDN w:val="0"/>
        <w:adjustRightInd w:val="0"/>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16.5 所有</w:t>
      </w:r>
      <w:r>
        <w:rPr>
          <w:rFonts w:hint="eastAsia" w:ascii="仿宋" w:hAnsi="仿宋" w:eastAsia="仿宋" w:cs="仿宋"/>
          <w:color w:val="auto"/>
          <w:sz w:val="24"/>
          <w:szCs w:val="24"/>
          <w:highlight w:val="none"/>
          <w:lang w:eastAsia="zh-CN"/>
        </w:rPr>
        <w:t>电子磋商响应文件</w:t>
      </w:r>
      <w:r>
        <w:rPr>
          <w:rFonts w:hint="eastAsia" w:ascii="仿宋" w:hAnsi="仿宋" w:eastAsia="仿宋" w:cs="仿宋"/>
          <w:color w:val="auto"/>
          <w:sz w:val="24"/>
          <w:szCs w:val="24"/>
          <w:highlight w:val="none"/>
        </w:rPr>
        <w:t>都将作为档案保存，不论成交与否，</w:t>
      </w:r>
      <w:r>
        <w:rPr>
          <w:rFonts w:hint="eastAsia" w:ascii="仿宋" w:hAnsi="仿宋" w:eastAsia="仿宋" w:cs="仿宋"/>
          <w:color w:val="auto"/>
          <w:sz w:val="24"/>
          <w:szCs w:val="24"/>
          <w:highlight w:val="none"/>
          <w:lang w:eastAsia="zh-CN"/>
        </w:rPr>
        <w:t>南京富弘工程项目管理有限公司</w:t>
      </w:r>
      <w:r>
        <w:rPr>
          <w:rFonts w:hint="eastAsia" w:ascii="仿宋" w:hAnsi="仿宋" w:eastAsia="仿宋" w:cs="仿宋"/>
          <w:color w:val="auto"/>
          <w:sz w:val="24"/>
          <w:szCs w:val="24"/>
          <w:highlight w:val="none"/>
        </w:rPr>
        <w:t>均不退回。</w:t>
      </w:r>
    </w:p>
    <w:p w14:paraId="10F2E2B3">
      <w:pPr>
        <w:autoSpaceDE w:val="0"/>
        <w:autoSpaceDN w:val="0"/>
        <w:adjustRightInd w:val="0"/>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
          <w:color w:val="auto"/>
          <w:sz w:val="24"/>
          <w:szCs w:val="24"/>
          <w:highlight w:val="none"/>
          <w:shd w:val="clear" w:color="auto" w:fill="FFFFFF"/>
        </w:rPr>
        <w:t>17、签订合同</w:t>
      </w:r>
    </w:p>
    <w:p w14:paraId="1BCBABDB">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17.1 成交供应商应当自成交通知书发出之日起三十日内，与采购单位签订政府采购合同，所签订的合同不得对磋商文件和</w:t>
      </w:r>
      <w:r>
        <w:rPr>
          <w:rFonts w:hint="eastAsia" w:ascii="仿宋" w:hAnsi="仿宋" w:eastAsia="仿宋" w:cs="仿宋"/>
          <w:bCs/>
          <w:color w:val="auto"/>
          <w:sz w:val="24"/>
          <w:szCs w:val="24"/>
          <w:highlight w:val="none"/>
          <w:shd w:val="clear" w:color="auto" w:fill="FFFFFF"/>
          <w:lang w:eastAsia="zh-CN"/>
        </w:rPr>
        <w:t>电子磋商响应文件</w:t>
      </w:r>
      <w:r>
        <w:rPr>
          <w:rFonts w:hint="eastAsia" w:ascii="仿宋" w:hAnsi="仿宋" w:eastAsia="仿宋" w:cs="仿宋"/>
          <w:bCs/>
          <w:color w:val="auto"/>
          <w:sz w:val="24"/>
          <w:szCs w:val="24"/>
          <w:highlight w:val="none"/>
          <w:shd w:val="clear" w:color="auto" w:fill="FFFFFF"/>
        </w:rPr>
        <w:t>作实质性修改。</w:t>
      </w:r>
    </w:p>
    <w:p w14:paraId="1DFB9E9C">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17.2 采购单位不得向成交供应商提出任何不合理的要求作为签订合同的条件，不得与成交供应商私下订立背离合同实质性内容的协议。</w:t>
      </w:r>
    </w:p>
    <w:p w14:paraId="752727F0">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17.3 成交通知书发出后，采购单位改变成交结果或拒绝签订合同的，应向成交供应商支付参加磋商所发生的有关费用和双方商定的其他补偿，并承担相应的法律责任。</w:t>
      </w:r>
    </w:p>
    <w:p w14:paraId="4B33B538">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17.4 成交供应商因不可抗力或者自身原因不能履行政府采购合同的，采购单位可以视情与排位在成交供应商之后第一位的成交候选供应商签订政府采购合同，以此类推。</w:t>
      </w:r>
    </w:p>
    <w:p w14:paraId="712BAA28">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17.5 政府采购合同履行中，经双方协商一致，在不改变合同其他条款的前提下，可以与成交供应商签订补充合同，但所有补充合同的采购金额不得超过原合同采购金额的百分之十。</w:t>
      </w:r>
    </w:p>
    <w:p w14:paraId="46646AA7">
      <w:pPr>
        <w:spacing w:line="360" w:lineRule="auto"/>
        <w:ind w:firstLine="420"/>
        <w:rPr>
          <w:rFonts w:hint="eastAsia" w:ascii="仿宋" w:hAnsi="仿宋" w:eastAsia="仿宋" w:cs="仿宋"/>
          <w:bCs/>
          <w:color w:val="auto"/>
          <w:sz w:val="24"/>
          <w:szCs w:val="24"/>
          <w:highlight w:val="none"/>
          <w:shd w:val="clear" w:color="auto" w:fill="FFFFFF"/>
        </w:rPr>
      </w:pPr>
      <w:bookmarkStart w:id="100" w:name="_Toc85525788"/>
      <w:bookmarkStart w:id="101" w:name="_Toc21811"/>
      <w:r>
        <w:rPr>
          <w:rFonts w:hint="eastAsia" w:ascii="仿宋" w:hAnsi="仿宋" w:eastAsia="仿宋" w:cs="仿宋"/>
          <w:bCs/>
          <w:color w:val="auto"/>
          <w:sz w:val="24"/>
          <w:szCs w:val="24"/>
          <w:highlight w:val="none"/>
          <w:shd w:val="clear" w:color="auto" w:fill="FFFFFF"/>
        </w:rPr>
        <w:t>五、质疑和投诉</w:t>
      </w:r>
      <w:bookmarkEnd w:id="100"/>
      <w:bookmarkEnd w:id="101"/>
    </w:p>
    <w:p w14:paraId="31B60271">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
          <w:color w:val="auto"/>
          <w:sz w:val="24"/>
          <w:szCs w:val="24"/>
          <w:highlight w:val="none"/>
          <w:shd w:val="clear" w:color="auto" w:fill="FFFFFF"/>
        </w:rPr>
        <w:t>18、质疑</w:t>
      </w:r>
    </w:p>
    <w:p w14:paraId="29C8E7EC">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18.1 供应商对招标活动事项有疑问的，可以向采购单位提出询问，采购单位将依法作出答复，但答复的内容不涉及商业秘密。</w:t>
      </w:r>
    </w:p>
    <w:p w14:paraId="304F7F8C">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18.2 供应商认为采购文件、采购过程和成交结果使自己的合法权益受到损害的，可以在知道或者应当知道其权益受到损害之日起</w:t>
      </w:r>
      <w:r>
        <w:rPr>
          <w:rFonts w:hint="eastAsia" w:ascii="仿宋" w:hAnsi="仿宋" w:eastAsia="仿宋" w:cs="仿宋"/>
          <w:b/>
          <w:bCs w:val="0"/>
          <w:color w:val="auto"/>
          <w:sz w:val="24"/>
          <w:szCs w:val="24"/>
          <w:highlight w:val="none"/>
          <w:shd w:val="clear" w:color="auto" w:fill="FFFFFF"/>
        </w:rPr>
        <w:t>七个工作日</w:t>
      </w:r>
      <w:r>
        <w:rPr>
          <w:rFonts w:hint="eastAsia" w:ascii="仿宋" w:hAnsi="仿宋" w:eastAsia="仿宋" w:cs="仿宋"/>
          <w:bCs/>
          <w:color w:val="auto"/>
          <w:sz w:val="24"/>
          <w:szCs w:val="24"/>
          <w:highlight w:val="none"/>
          <w:shd w:val="clear" w:color="auto" w:fill="FFFFFF"/>
        </w:rPr>
        <w:t>内，将质疑文件原件送达采购单位。</w:t>
      </w:r>
    </w:p>
    <w:p w14:paraId="5304F90D">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18.3 质疑文件应包括以下主要内容，并按照“谁主张、谁举证”的原则，附上相关证明材料。否则，不予受理：</w:t>
      </w:r>
    </w:p>
    <w:p w14:paraId="4D44A963">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（1）质疑项目名称、项目编号、包号、招标公告发布时间、开标时间；</w:t>
      </w:r>
    </w:p>
    <w:p w14:paraId="3693C79A">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（2）具体的质疑事项及法律依据（具体条款）；</w:t>
      </w:r>
    </w:p>
    <w:p w14:paraId="75BFB1CE">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（3）质疑相关证明文件或证明材料；</w:t>
      </w:r>
    </w:p>
    <w:p w14:paraId="221D97C7">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（4）质疑供应商名称、地址、联系方式（包括手机、传真号码）；</w:t>
      </w:r>
    </w:p>
    <w:p w14:paraId="5E513AB3">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（5）法定代表人签署本人姓名或印盖本人姓名章并加盖单位公章，或法定代表人授权委托代理人加盖单位公章，并由参加采购项目的授权委托代理人签署本人姓名或印盖本人姓名章等。</w:t>
      </w:r>
    </w:p>
    <w:p w14:paraId="7683FACC">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18.4质疑供应商是指直接参加本项目采购活动的供应商；对采购文件提出质疑的，应自供应商获得采购文件之日起计算，且应当在</w:t>
      </w:r>
      <w:r>
        <w:rPr>
          <w:rFonts w:hint="eastAsia" w:ascii="仿宋" w:hAnsi="仿宋" w:eastAsia="仿宋" w:cs="仿宋"/>
          <w:bCs/>
          <w:color w:val="auto"/>
          <w:sz w:val="24"/>
          <w:szCs w:val="24"/>
          <w:highlight w:val="none"/>
          <w:shd w:val="clear" w:color="auto" w:fill="FFFFFF"/>
          <w:lang w:eastAsia="zh-CN"/>
        </w:rPr>
        <w:t>提交</w:t>
      </w:r>
      <w:r>
        <w:rPr>
          <w:rFonts w:hint="eastAsia" w:ascii="仿宋" w:hAnsi="仿宋" w:eastAsia="仿宋" w:cs="仿宋"/>
          <w:bCs/>
          <w:color w:val="auto"/>
          <w:sz w:val="24"/>
          <w:szCs w:val="24"/>
          <w:highlight w:val="none"/>
          <w:shd w:val="clear" w:color="auto" w:fill="FFFFFF"/>
        </w:rPr>
        <w:t>磋商文件截止之日前提出；对采购过程提出质疑的，自采购程序环节结束之日起计算；对成交结果提出质疑的，自成交结果公告之日起计算。</w:t>
      </w:r>
    </w:p>
    <w:p w14:paraId="36C009BF">
      <w:pPr>
        <w:autoSpaceDE w:val="0"/>
        <w:autoSpaceDN w:val="0"/>
        <w:adjustRightInd w:val="0"/>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18.5</w:t>
      </w:r>
      <w:r>
        <w:rPr>
          <w:rFonts w:hint="eastAsia" w:ascii="仿宋" w:hAnsi="仿宋" w:eastAsia="仿宋" w:cs="仿宋"/>
          <w:color w:val="auto"/>
          <w:sz w:val="24"/>
          <w:szCs w:val="24"/>
          <w:highlight w:val="none"/>
          <w:lang w:val="zh-CN"/>
        </w:rPr>
        <w:t>供应商不得虚假质疑和恶意质疑，并对质疑内容的真实性承担责任。</w:t>
      </w:r>
      <w:r>
        <w:rPr>
          <w:rFonts w:hint="eastAsia" w:ascii="仿宋" w:hAnsi="仿宋" w:eastAsia="仿宋" w:cs="仿宋"/>
          <w:color w:val="auto"/>
          <w:sz w:val="24"/>
          <w:szCs w:val="24"/>
          <w:highlight w:val="none"/>
        </w:rPr>
        <w:t>供应商或者其他利害关系人通过捏造事实、伪造证明材料等方式提出异议或投诉，阻碍政府采购活动正常进行的，属于严重不良行为，代理机构将提请财政部门将其列入不良行为记录名单，并依法予以处罚。</w:t>
      </w:r>
    </w:p>
    <w:p w14:paraId="227FF397">
      <w:pPr>
        <w:autoSpaceDE w:val="0"/>
        <w:autoSpaceDN w:val="0"/>
        <w:adjustRightInd w:val="0"/>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color w:val="auto"/>
          <w:sz w:val="24"/>
          <w:szCs w:val="24"/>
          <w:highlight w:val="none"/>
          <w:lang w:val="en-US" w:eastAsia="zh-CN"/>
        </w:rPr>
        <w:t>18.6</w:t>
      </w:r>
      <w:r>
        <w:rPr>
          <w:rFonts w:hint="eastAsia" w:ascii="仿宋" w:hAnsi="仿宋" w:eastAsia="仿宋" w:cs="仿宋"/>
          <w:color w:val="auto"/>
          <w:sz w:val="24"/>
          <w:szCs w:val="24"/>
          <w:highlight w:val="none"/>
        </w:rPr>
        <w:t>代理机构在收到供应商的书面质疑后将及时组织调查核实，在</w:t>
      </w:r>
      <w:r>
        <w:rPr>
          <w:rFonts w:hint="eastAsia" w:ascii="仿宋" w:hAnsi="仿宋" w:eastAsia="仿宋" w:cs="仿宋"/>
          <w:b/>
          <w:bCs/>
          <w:color w:val="auto"/>
          <w:sz w:val="24"/>
          <w:szCs w:val="24"/>
          <w:highlight w:val="none"/>
          <w:lang w:val="zh-CN"/>
        </w:rPr>
        <w:t>七个工作日内</w:t>
      </w:r>
      <w:r>
        <w:rPr>
          <w:rFonts w:hint="eastAsia" w:ascii="仿宋" w:hAnsi="仿宋" w:eastAsia="仿宋" w:cs="仿宋"/>
          <w:color w:val="auto"/>
          <w:sz w:val="24"/>
          <w:szCs w:val="24"/>
          <w:highlight w:val="none"/>
          <w:lang w:val="zh-CN"/>
        </w:rPr>
        <w:t>作出答复，并以书面或在网站公告形式通知质疑供应商和其他有关供应商，答复的内容不涉及商业秘密。</w:t>
      </w:r>
      <w:r>
        <w:rPr>
          <w:rFonts w:hint="eastAsia" w:ascii="仿宋" w:hAnsi="仿宋" w:eastAsia="仿宋" w:cs="仿宋"/>
          <w:color w:val="auto"/>
          <w:sz w:val="24"/>
          <w:szCs w:val="24"/>
          <w:highlight w:val="none"/>
        </w:rPr>
        <w:t>代理机构遵循“谁过错谁负担”的原则，有过错的一方承担调查论证费用。</w:t>
      </w:r>
    </w:p>
    <w:p w14:paraId="30574C4A">
      <w:pPr>
        <w:spacing w:line="360" w:lineRule="auto"/>
        <w:ind w:firstLine="482" w:firstLineChars="200"/>
        <w:rPr>
          <w:rFonts w:hint="eastAsia" w:ascii="仿宋" w:hAnsi="仿宋" w:eastAsia="仿宋" w:cs="仿宋"/>
          <w:b/>
          <w:color w:val="auto"/>
          <w:sz w:val="24"/>
          <w:szCs w:val="24"/>
          <w:highlight w:val="none"/>
          <w:lang w:bidi="ar"/>
        </w:rPr>
      </w:pPr>
      <w:r>
        <w:rPr>
          <w:rFonts w:hint="eastAsia" w:ascii="仿宋" w:hAnsi="仿宋" w:eastAsia="仿宋" w:cs="仿宋"/>
          <w:b/>
          <w:color w:val="auto"/>
          <w:sz w:val="24"/>
          <w:szCs w:val="24"/>
          <w:highlight w:val="none"/>
          <w:lang w:val="zh-CN"/>
        </w:rPr>
        <w:t>19.</w:t>
      </w:r>
      <w:r>
        <w:rPr>
          <w:rFonts w:hint="eastAsia" w:ascii="仿宋" w:hAnsi="仿宋" w:eastAsia="仿宋" w:cs="仿宋"/>
          <w:b/>
          <w:color w:val="auto"/>
          <w:sz w:val="24"/>
          <w:szCs w:val="24"/>
          <w:highlight w:val="none"/>
          <w:lang w:bidi="ar"/>
        </w:rPr>
        <w:t xml:space="preserve"> 投诉</w:t>
      </w:r>
    </w:p>
    <w:p w14:paraId="55AB27CB">
      <w:pPr>
        <w:spacing w:line="360" w:lineRule="auto"/>
        <w:ind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质疑供应商对采购单位或代理机构的答复不满意或者采购单位或代理机构未在规定的时间内作出答复的，可以在答复期满后</w:t>
      </w:r>
      <w:r>
        <w:rPr>
          <w:rFonts w:hint="eastAsia" w:ascii="仿宋" w:hAnsi="仿宋" w:eastAsia="仿宋" w:cs="仿宋"/>
          <w:bCs/>
          <w:color w:val="auto"/>
          <w:sz w:val="24"/>
          <w:szCs w:val="24"/>
          <w:highlight w:val="none"/>
          <w:shd w:val="clear" w:color="auto" w:fill="FFFFFF"/>
          <w:lang w:eastAsia="zh-CN"/>
        </w:rPr>
        <w:t>十五</w:t>
      </w:r>
      <w:r>
        <w:rPr>
          <w:rFonts w:hint="eastAsia" w:ascii="仿宋" w:hAnsi="仿宋" w:eastAsia="仿宋" w:cs="仿宋"/>
          <w:bCs/>
          <w:color w:val="auto"/>
          <w:sz w:val="24"/>
          <w:szCs w:val="24"/>
          <w:highlight w:val="none"/>
          <w:shd w:val="clear" w:color="auto" w:fill="FFFFFF"/>
        </w:rPr>
        <w:t>个工作日内向政府采购监督管理部门投诉。</w:t>
      </w:r>
    </w:p>
    <w:p w14:paraId="2BC7BBDF">
      <w:pPr>
        <w:spacing w:line="360" w:lineRule="auto"/>
        <w:ind w:firstLine="420"/>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20、诚实信用</w:t>
      </w:r>
    </w:p>
    <w:p w14:paraId="43E13C05">
      <w:pPr>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20.1 供应商之间不得相互串通磋商报价，不得妨碍其他供应商的公平竞争，不得损害采购人和其他供应商的合法权益。</w:t>
      </w:r>
    </w:p>
    <w:p w14:paraId="1D0959AE">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20.2 供应商不得以向代理机构工作人员、评标委员会成员行贿或者采取其他不正当手段谋取中标。经查实供应商有此行为的，</w:t>
      </w:r>
      <w:r>
        <w:rPr>
          <w:rFonts w:hint="eastAsia" w:ascii="仿宋" w:hAnsi="仿宋" w:eastAsia="仿宋" w:cs="仿宋"/>
          <w:color w:val="auto"/>
          <w:sz w:val="24"/>
          <w:szCs w:val="24"/>
          <w:highlight w:val="none"/>
        </w:rPr>
        <w:t>政府采购管理部门将供应商列入不良行为记录名单，按照《政府采购法》有关规定处理。</w:t>
      </w:r>
    </w:p>
    <w:p w14:paraId="711DCAF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20.3 供应商不得虚假质疑和恶意质疑，并对质疑内容的真实性承担责任。</w:t>
      </w:r>
      <w:r>
        <w:rPr>
          <w:rFonts w:hint="eastAsia" w:ascii="仿宋" w:hAnsi="仿宋" w:eastAsia="仿宋" w:cs="仿宋"/>
          <w:color w:val="auto"/>
          <w:sz w:val="24"/>
          <w:szCs w:val="24"/>
          <w:highlight w:val="none"/>
        </w:rPr>
        <w:t>供应商或者其他利害关系人通过捏造事实、伪造证明材料等方式提出异议或投诉，阻碍招磋商活动正常进行的，属于严重不良行为，代理机构将提请财政部门将其列入不良行为记录名单，并依法予以处罚。</w:t>
      </w:r>
    </w:p>
    <w:p w14:paraId="44C07223">
      <w:pPr>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20.4 供应商不得虚假承诺，否则，按照提供虚假材料谋取中标成交处理。</w:t>
      </w:r>
    </w:p>
    <w:p w14:paraId="2CF7BD1A">
      <w:pPr>
        <w:spacing w:line="360" w:lineRule="auto"/>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20.5 供应商应自觉遵守磋商、评标纪律，扰乱磋商评标现场秩序的，属于失信行为，根据《江苏省政府采购供应商监督管理暂行办法》，失信行为将被记入供应商诚信档案。</w:t>
      </w:r>
    </w:p>
    <w:p w14:paraId="378BC437">
      <w:pPr>
        <w:ind w:firstLine="480" w:firstLineChars="200"/>
        <w:rPr>
          <w:rFonts w:hint="eastAsia" w:ascii="仿宋" w:hAnsi="仿宋" w:eastAsia="仿宋" w:cs="仿宋"/>
          <w:color w:val="auto"/>
          <w:sz w:val="24"/>
          <w:szCs w:val="24"/>
          <w:highlight w:val="none"/>
          <w:lang w:val="zh-CN"/>
        </w:rPr>
      </w:pPr>
    </w:p>
    <w:p w14:paraId="27645159">
      <w:pPr>
        <w:ind w:firstLine="480" w:firstLineChars="200"/>
        <w:rPr>
          <w:rFonts w:hint="eastAsia" w:ascii="仿宋" w:hAnsi="仿宋" w:eastAsia="仿宋" w:cs="仿宋"/>
          <w:color w:val="auto"/>
          <w:sz w:val="24"/>
          <w:szCs w:val="24"/>
          <w:highlight w:val="none"/>
        </w:rPr>
        <w:sectPr>
          <w:headerReference r:id="rId5" w:type="default"/>
          <w:footerReference r:id="rId6" w:type="default"/>
          <w:pgSz w:w="11906" w:h="16838"/>
          <w:pgMar w:top="1134" w:right="1417" w:bottom="1134" w:left="1417" w:header="851" w:footer="992" w:gutter="0"/>
          <w:pgNumType w:start="0"/>
          <w:cols w:space="720" w:num="1"/>
          <w:titlePg/>
          <w:docGrid w:type="lines" w:linePitch="312" w:charSpace="0"/>
        </w:sectPr>
      </w:pPr>
      <w:r>
        <w:rPr>
          <w:rFonts w:hint="eastAsia" w:ascii="仿宋" w:hAnsi="仿宋" w:eastAsia="仿宋" w:cs="仿宋"/>
          <w:color w:val="auto"/>
          <w:sz w:val="24"/>
          <w:szCs w:val="24"/>
          <w:highlight w:val="none"/>
        </w:rPr>
        <w:t xml:space="preserve"> </w:t>
      </w:r>
    </w:p>
    <w:p w14:paraId="35B24096">
      <w:pPr>
        <w:numPr>
          <w:ilvl w:val="0"/>
          <w:numId w:val="6"/>
        </w:numPr>
        <w:jc w:val="center"/>
        <w:outlineLvl w:val="0"/>
        <w:rPr>
          <w:rStyle w:val="59"/>
          <w:rFonts w:hint="eastAsia" w:ascii="仿宋" w:hAnsi="仿宋" w:eastAsia="仿宋" w:cs="仿宋"/>
          <w:color w:val="auto"/>
          <w:sz w:val="32"/>
          <w:szCs w:val="32"/>
          <w:highlight w:val="none"/>
        </w:rPr>
      </w:pPr>
      <w:bookmarkStart w:id="102" w:name="_Toc458771607"/>
      <w:bookmarkStart w:id="103" w:name="_Toc3473"/>
      <w:bookmarkStart w:id="104" w:name="_Toc7744"/>
      <w:bookmarkStart w:id="105" w:name="_Toc43217793"/>
      <w:bookmarkStart w:id="106" w:name="_Toc24683"/>
      <w:bookmarkStart w:id="107" w:name="_Toc32507"/>
      <w:bookmarkStart w:id="108" w:name="_Toc14966"/>
      <w:bookmarkStart w:id="109" w:name="_Toc13396"/>
      <w:bookmarkStart w:id="110" w:name="_Toc25177"/>
      <w:bookmarkStart w:id="111" w:name="_Toc2779"/>
      <w:bookmarkStart w:id="112" w:name="_Toc504141743"/>
      <w:bookmarkStart w:id="113" w:name="_Toc17599"/>
      <w:bookmarkStart w:id="114" w:name="_Toc19584"/>
      <w:bookmarkStart w:id="115" w:name="_Toc20681"/>
      <w:bookmarkStart w:id="116" w:name="_Toc6548"/>
      <w:r>
        <w:rPr>
          <w:rStyle w:val="59"/>
          <w:rFonts w:hint="eastAsia" w:ascii="仿宋" w:hAnsi="仿宋" w:eastAsia="仿宋" w:cs="仿宋"/>
          <w:color w:val="auto"/>
          <w:sz w:val="32"/>
          <w:szCs w:val="32"/>
          <w:highlight w:val="none"/>
        </w:rPr>
        <w:t>磋商项目</w:t>
      </w:r>
      <w:bookmarkEnd w:id="102"/>
      <w:r>
        <w:rPr>
          <w:rStyle w:val="59"/>
          <w:rFonts w:hint="eastAsia" w:ascii="仿宋" w:hAnsi="仿宋" w:eastAsia="仿宋" w:cs="仿宋"/>
          <w:color w:val="auto"/>
          <w:sz w:val="32"/>
          <w:szCs w:val="32"/>
          <w:highlight w:val="none"/>
        </w:rPr>
        <w:t>需求</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5AD891D0">
      <w:pPr>
        <w:spacing w:line="360" w:lineRule="auto"/>
        <w:rPr>
          <w:rFonts w:hint="eastAsia" w:ascii="仿宋" w:hAnsi="仿宋" w:eastAsia="仿宋" w:cs="仿宋"/>
          <w:sz w:val="24"/>
          <w:szCs w:val="24"/>
          <w:highlight w:val="none"/>
          <w:lang w:eastAsia="zh-CN"/>
        </w:rPr>
      </w:pPr>
      <w:bookmarkStart w:id="117" w:name="_Toc500148752"/>
      <w:bookmarkStart w:id="118" w:name="_Toc490947152"/>
      <w:bookmarkStart w:id="119" w:name="_Toc491694066"/>
    </w:p>
    <w:p w14:paraId="6733CE1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一、项目名称：</w:t>
      </w:r>
      <w:r>
        <w:rPr>
          <w:rFonts w:hint="eastAsia" w:ascii="仿宋" w:hAnsi="仿宋" w:eastAsia="仿宋" w:cs="仿宋"/>
          <w:sz w:val="24"/>
          <w:szCs w:val="24"/>
          <w:highlight w:val="none"/>
          <w:lang w:val="zh-CN" w:eastAsia="zh-CN"/>
        </w:rPr>
        <w:t>东山派出所食堂服务外包</w:t>
      </w:r>
    </w:p>
    <w:p w14:paraId="11CDE98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二、服务期：两</w:t>
      </w:r>
      <w:r>
        <w:rPr>
          <w:rFonts w:hint="eastAsia" w:ascii="仿宋" w:hAnsi="仿宋" w:eastAsia="仿宋" w:cs="仿宋"/>
          <w:sz w:val="24"/>
          <w:szCs w:val="24"/>
          <w:highlight w:val="none"/>
          <w:lang w:val="en-US" w:eastAsia="zh-CN"/>
        </w:rPr>
        <w:t>年</w:t>
      </w:r>
      <w:r>
        <w:rPr>
          <w:rFonts w:hint="eastAsia" w:ascii="仿宋" w:hAnsi="仿宋" w:eastAsia="仿宋" w:cs="仿宋"/>
          <w:b w:val="0"/>
          <w:bCs w:val="0"/>
          <w:color w:val="000000"/>
          <w:sz w:val="24"/>
          <w:szCs w:val="24"/>
          <w:highlight w:val="none"/>
          <w:lang w:eastAsia="zh-CN"/>
        </w:rPr>
        <w:t>（本项目一招两年，合同一年一签，逐年考核）</w:t>
      </w:r>
    </w:p>
    <w:p w14:paraId="6172CB0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三、本项目服务要求 </w:t>
      </w:r>
    </w:p>
    <w:p w14:paraId="2F3523D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1、项目概述：本项目位于南京市公安局江宁分局东山派出所，服务内容主要包括满足工作人员就餐要求、食堂区域的清洁和管理等，</w:t>
      </w:r>
      <w:r>
        <w:rPr>
          <w:rFonts w:hint="eastAsia" w:ascii="仿宋" w:hAnsi="仿宋" w:eastAsia="仿宋" w:cs="仿宋"/>
          <w:sz w:val="24"/>
          <w:szCs w:val="24"/>
          <w:highlight w:val="none"/>
          <w:lang w:val="en-US" w:eastAsia="zh-CN"/>
        </w:rPr>
        <w:t>工作日每餐就餐人数约445人，周末及节假日每餐就餐人数约为工作日的2/3。</w:t>
      </w:r>
      <w:r>
        <w:rPr>
          <w:rFonts w:hint="eastAsia" w:ascii="仿宋" w:hAnsi="仿宋" w:eastAsia="仿宋" w:cs="仿宋"/>
          <w:sz w:val="24"/>
          <w:szCs w:val="24"/>
          <w:highlight w:val="none"/>
          <w:lang w:eastAsia="zh-CN"/>
        </w:rPr>
        <w:t>厨房、餐厅、全套厨房设备由采购人提供，每月食堂运营产生的水电气、日杂用品及所有原材料成本相关支出</w:t>
      </w:r>
      <w:r>
        <w:rPr>
          <w:rFonts w:hint="eastAsia" w:ascii="仿宋" w:hAnsi="仿宋" w:eastAsia="仿宋" w:cs="仿宋"/>
          <w:sz w:val="24"/>
          <w:szCs w:val="24"/>
          <w:highlight w:val="none"/>
          <w:lang w:val="en-US" w:eastAsia="zh-CN"/>
        </w:rPr>
        <w:t>由采购人负责</w:t>
      </w:r>
      <w:r>
        <w:rPr>
          <w:rFonts w:hint="eastAsia" w:ascii="仿宋" w:hAnsi="仿宋" w:eastAsia="仿宋" w:cs="仿宋"/>
          <w:sz w:val="24"/>
          <w:szCs w:val="24"/>
          <w:highlight w:val="none"/>
          <w:lang w:eastAsia="zh-CN"/>
        </w:rPr>
        <w:t xml:space="preserve">。 </w:t>
      </w:r>
    </w:p>
    <w:p w14:paraId="704502D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2、食堂外包服务工作内容及要求： </w:t>
      </w:r>
    </w:p>
    <w:p w14:paraId="14C33FB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2.1 食堂实行一日三餐制，早餐 7:30～8:50，中餐 11：40～13：00，晚餐 18：00～19：00。根据采购人要求提供餐食服务。如遇特殊情况，供餐时间应根据甲方需要适当调整。</w:t>
      </w:r>
    </w:p>
    <w:p w14:paraId="262D10B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2.2 早餐：品种：主食2种、点心4种、饮品1种、鸡蛋、小菜2种（需为自制）。</w:t>
      </w:r>
    </w:p>
    <w:p w14:paraId="44D3E25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2.3 午餐：品种：主食2种、大荤2种、小荤2种、蔬菜2种、水果1种、汤1种、酸奶或饮品1种。</w:t>
      </w:r>
    </w:p>
    <w:p w14:paraId="606FB1F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2.4 晚餐：品种：主食2种、大荤2种、小荤2种、蔬菜2种、汤1种。</w:t>
      </w:r>
    </w:p>
    <w:p w14:paraId="6289E2B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eastAsia="zh-CN"/>
        </w:rPr>
        <w:t xml:space="preserve"> 餐具用品：做到卫生、洁净、消毒；餐厅无蝇、无虫。  </w:t>
      </w:r>
    </w:p>
    <w:p w14:paraId="3C5EC3A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2.6 如有会议等特殊情况，需要增加供餐份数，供应商1小时内响应。</w:t>
      </w:r>
    </w:p>
    <w:p w14:paraId="2FD37D7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2.7 提供全年全天候服务，服务人员需24小时待命，如遇突发情况，随时响应。</w:t>
      </w:r>
    </w:p>
    <w:p w14:paraId="0079DF8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2.8 如采购人有临时非工作点送餐需求，需随时响应，保证配送服务到位。</w:t>
      </w:r>
    </w:p>
    <w:p w14:paraId="6A43300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lang w:eastAsia="zh-CN"/>
        </w:rPr>
        <w:t xml:space="preserve"> 开餐需按时准点供应，不得提前或拖延。</w:t>
      </w:r>
    </w:p>
    <w:p w14:paraId="0317CFE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lang w:eastAsia="zh-CN"/>
        </w:rPr>
        <w:t xml:space="preserve">可根据采购人需要，提供包厢服务。 </w:t>
      </w:r>
    </w:p>
    <w:p w14:paraId="04DC0D1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w:t>
      </w: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lang w:eastAsia="zh-CN"/>
        </w:rPr>
        <w:t xml:space="preserve"> 食堂原材料供应商由采购人选定，并由采购人进货，采购人安排专人负责；采购人按排监督人员每日与供应商共同参与原材料验收，便于核实成本的真实性。</w:t>
      </w:r>
    </w:p>
    <w:p w14:paraId="5B50E14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2.12 供应商负责食堂的饮食安全卫生，签订合同时还须与采购人签订饮食安全卫生责任状。采购人严格执行事故责任追究制度，如在供应期内发生食物中毒等重大责任事故，损害就餐人员身体健康，影响采购人声誉，供应商必须承担由此造成的一切责任和经济损失，采购人有权无条件终止合同。</w:t>
      </w:r>
    </w:p>
    <w:p w14:paraId="1B86C4E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2.13 食堂内的工作人员属于供应商的员工，与采购人不存在任何雇佣、委托等劳动关系，同时食堂工作人员在工作过程中的安全责任由供应商负责。如用电、用水等不注意安全引起生产事故或发生意外伤亡事故，供应商承担全部责任和必要的经济补偿，采购人概不承担任何责任。</w:t>
      </w:r>
    </w:p>
    <w:p w14:paraId="228A52C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2.14 供应商必须严格履行供应合同要求，不得在中标后转包或分包给他人经营。</w:t>
      </w:r>
    </w:p>
    <w:p w14:paraId="5BEFBBC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2.15 不得违反国家的相关法律、法规。</w:t>
      </w:r>
    </w:p>
    <w:p w14:paraId="778C16F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2.16 如上级部门针对本项目有相关政策性调整，按照要求调整，采购人不承担任何违约责任。</w:t>
      </w:r>
    </w:p>
    <w:p w14:paraId="07FB01D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3、伙食调剂恰当，味道可口，品种花色多样，以每周为阶段与采购人商议，并将下周食谱在每周五前交采购人办公室公布。  </w:t>
      </w:r>
    </w:p>
    <w:p w14:paraId="44357D44">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lang w:eastAsia="zh-CN"/>
        </w:rPr>
        <w:t>★4、人员要求： （本</w:t>
      </w:r>
      <w:r>
        <w:rPr>
          <w:rFonts w:hint="eastAsia" w:ascii="仿宋" w:hAnsi="仿宋" w:eastAsia="仿宋" w:cs="仿宋"/>
          <w:b/>
          <w:bCs/>
          <w:sz w:val="24"/>
          <w:szCs w:val="24"/>
          <w:highlight w:val="none"/>
          <w:lang w:val="en-US" w:eastAsia="zh-CN"/>
        </w:rPr>
        <w:t>项</w:t>
      </w:r>
      <w:r>
        <w:rPr>
          <w:rFonts w:hint="eastAsia" w:ascii="仿宋" w:hAnsi="仿宋" w:eastAsia="仿宋" w:cs="仿宋"/>
          <w:b/>
          <w:bCs/>
          <w:sz w:val="24"/>
          <w:szCs w:val="24"/>
          <w:highlight w:val="none"/>
          <w:lang w:eastAsia="zh-CN"/>
        </w:rPr>
        <w:t>为实质性要求，不接受负偏离，投标人须承诺完全响应并提供承诺书（格式</w:t>
      </w:r>
      <w:r>
        <w:rPr>
          <w:rFonts w:hint="eastAsia" w:ascii="仿宋" w:hAnsi="仿宋" w:eastAsia="仿宋" w:cs="仿宋"/>
          <w:b/>
          <w:bCs/>
          <w:sz w:val="24"/>
          <w:szCs w:val="24"/>
          <w:highlight w:val="none"/>
          <w:lang w:val="en-US" w:eastAsia="zh-CN"/>
        </w:rPr>
        <w:t>自拟</w:t>
      </w:r>
      <w:r>
        <w:rPr>
          <w:rFonts w:hint="eastAsia" w:ascii="仿宋" w:hAnsi="仿宋" w:eastAsia="仿宋" w:cs="仿宋"/>
          <w:b/>
          <w:bCs/>
          <w:sz w:val="24"/>
          <w:szCs w:val="24"/>
          <w:highlight w:val="none"/>
          <w:lang w:eastAsia="zh-CN"/>
        </w:rPr>
        <w:t>），否则视为无效响应文件）</w:t>
      </w:r>
    </w:p>
    <w:p w14:paraId="059BC34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4.1 投标人在其投标文件中应提供详细的人员配置，人员数量和岗位应不少于下表要求，否则将导致投标无效： </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5"/>
        <w:gridCol w:w="3775"/>
        <w:gridCol w:w="3621"/>
      </w:tblGrid>
      <w:tr w14:paraId="3B8FD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dxa"/>
            <w:noWrap w:val="0"/>
            <w:vAlign w:val="center"/>
          </w:tcPr>
          <w:p w14:paraId="32E2F326">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eastAsia="zh-CN"/>
              </w:rPr>
            </w:pPr>
            <w:r>
              <w:rPr>
                <w:rFonts w:hint="eastAsia" w:ascii="仿宋" w:hAnsi="仿宋" w:eastAsia="仿宋" w:cs="仿宋"/>
                <w:sz w:val="24"/>
                <w:szCs w:val="24"/>
                <w:highlight w:val="none"/>
                <w:vertAlign w:val="baseline"/>
                <w:lang w:eastAsia="zh-CN"/>
              </w:rPr>
              <w:t>序号</w:t>
            </w:r>
          </w:p>
        </w:tc>
        <w:tc>
          <w:tcPr>
            <w:tcW w:w="3775" w:type="dxa"/>
            <w:noWrap w:val="0"/>
            <w:vAlign w:val="center"/>
          </w:tcPr>
          <w:p w14:paraId="7773396B">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eastAsia="zh-CN"/>
              </w:rPr>
            </w:pPr>
            <w:r>
              <w:rPr>
                <w:rFonts w:hint="eastAsia" w:ascii="仿宋" w:hAnsi="仿宋" w:eastAsia="仿宋" w:cs="仿宋"/>
                <w:sz w:val="24"/>
                <w:szCs w:val="24"/>
                <w:highlight w:val="none"/>
                <w:vertAlign w:val="baseline"/>
                <w:lang w:eastAsia="zh-CN"/>
              </w:rPr>
              <w:t>岗位</w:t>
            </w:r>
          </w:p>
        </w:tc>
        <w:tc>
          <w:tcPr>
            <w:tcW w:w="3621" w:type="dxa"/>
            <w:noWrap w:val="0"/>
            <w:vAlign w:val="center"/>
          </w:tcPr>
          <w:p w14:paraId="3DC3B793">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eastAsia="zh-CN"/>
              </w:rPr>
            </w:pPr>
            <w:r>
              <w:rPr>
                <w:rFonts w:hint="eastAsia" w:ascii="仿宋" w:hAnsi="仿宋" w:eastAsia="仿宋" w:cs="仿宋"/>
                <w:sz w:val="24"/>
                <w:szCs w:val="24"/>
                <w:highlight w:val="none"/>
                <w:vertAlign w:val="baseline"/>
                <w:lang w:eastAsia="zh-CN"/>
              </w:rPr>
              <w:t>数量</w:t>
            </w:r>
          </w:p>
        </w:tc>
      </w:tr>
      <w:tr w14:paraId="3692E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dxa"/>
            <w:noWrap w:val="0"/>
            <w:vAlign w:val="center"/>
          </w:tcPr>
          <w:p w14:paraId="0BE42C77">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c>
          <w:tcPr>
            <w:tcW w:w="3775" w:type="dxa"/>
            <w:noWrap w:val="0"/>
            <w:vAlign w:val="center"/>
          </w:tcPr>
          <w:p w14:paraId="24FA3E1D">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eastAsia="zh-CN"/>
              </w:rPr>
            </w:pPr>
            <w:r>
              <w:rPr>
                <w:rFonts w:hint="eastAsia" w:ascii="仿宋" w:hAnsi="仿宋" w:eastAsia="仿宋" w:cs="仿宋"/>
                <w:sz w:val="24"/>
                <w:szCs w:val="24"/>
                <w:highlight w:val="none"/>
                <w:vertAlign w:val="baseline"/>
                <w:lang w:val="en-US" w:eastAsia="zh-CN"/>
              </w:rPr>
              <w:t>项目负责人</w:t>
            </w:r>
          </w:p>
        </w:tc>
        <w:tc>
          <w:tcPr>
            <w:tcW w:w="3621" w:type="dxa"/>
            <w:noWrap w:val="0"/>
            <w:vAlign w:val="center"/>
          </w:tcPr>
          <w:p w14:paraId="30190136">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r>
      <w:tr w14:paraId="359F4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dxa"/>
            <w:noWrap w:val="0"/>
            <w:vAlign w:val="center"/>
          </w:tcPr>
          <w:p w14:paraId="531005F1">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w:t>
            </w:r>
          </w:p>
        </w:tc>
        <w:tc>
          <w:tcPr>
            <w:tcW w:w="3775" w:type="dxa"/>
            <w:noWrap w:val="0"/>
            <w:vAlign w:val="center"/>
          </w:tcPr>
          <w:p w14:paraId="539358FE">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eastAsia="zh-CN"/>
              </w:rPr>
            </w:pPr>
            <w:r>
              <w:rPr>
                <w:rFonts w:hint="eastAsia" w:ascii="仿宋" w:hAnsi="仿宋" w:eastAsia="仿宋" w:cs="仿宋"/>
                <w:sz w:val="24"/>
                <w:szCs w:val="24"/>
                <w:highlight w:val="none"/>
                <w:vertAlign w:val="baseline"/>
                <w:lang w:eastAsia="zh-CN"/>
              </w:rPr>
              <w:t>厨师长</w:t>
            </w:r>
          </w:p>
        </w:tc>
        <w:tc>
          <w:tcPr>
            <w:tcW w:w="3621" w:type="dxa"/>
            <w:noWrap w:val="0"/>
            <w:vAlign w:val="center"/>
          </w:tcPr>
          <w:p w14:paraId="6F892F2C">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r>
      <w:tr w14:paraId="49ADE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dxa"/>
            <w:noWrap w:val="0"/>
            <w:vAlign w:val="center"/>
          </w:tcPr>
          <w:p w14:paraId="28BC8E68">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3</w:t>
            </w:r>
          </w:p>
        </w:tc>
        <w:tc>
          <w:tcPr>
            <w:tcW w:w="3775" w:type="dxa"/>
            <w:noWrap w:val="0"/>
            <w:vAlign w:val="center"/>
          </w:tcPr>
          <w:p w14:paraId="2C3BB8F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color w:val="000000"/>
                <w:kern w:val="0"/>
                <w:sz w:val="24"/>
                <w:szCs w:val="24"/>
                <w:highlight w:val="none"/>
              </w:rPr>
              <w:t>面点</w:t>
            </w:r>
            <w:r>
              <w:rPr>
                <w:rFonts w:hint="eastAsia" w:ascii="仿宋" w:hAnsi="仿宋" w:eastAsia="仿宋" w:cs="仿宋"/>
                <w:color w:val="000000"/>
                <w:kern w:val="0"/>
                <w:sz w:val="24"/>
                <w:szCs w:val="24"/>
                <w:highlight w:val="none"/>
                <w:lang w:val="en-US" w:eastAsia="zh-CN"/>
              </w:rPr>
              <w:t>师</w:t>
            </w:r>
          </w:p>
        </w:tc>
        <w:tc>
          <w:tcPr>
            <w:tcW w:w="3621" w:type="dxa"/>
            <w:noWrap w:val="0"/>
            <w:vAlign w:val="center"/>
          </w:tcPr>
          <w:p w14:paraId="37560FBD">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r>
      <w:tr w14:paraId="4BF31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dxa"/>
            <w:noWrap w:val="0"/>
            <w:vAlign w:val="center"/>
          </w:tcPr>
          <w:p w14:paraId="1C621388">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4</w:t>
            </w:r>
          </w:p>
        </w:tc>
        <w:tc>
          <w:tcPr>
            <w:tcW w:w="3775" w:type="dxa"/>
            <w:noWrap w:val="0"/>
            <w:vAlign w:val="center"/>
          </w:tcPr>
          <w:p w14:paraId="6E26D890">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eastAsia="zh-CN"/>
              </w:rPr>
            </w:pPr>
            <w:r>
              <w:rPr>
                <w:rFonts w:hint="eastAsia" w:ascii="仿宋" w:hAnsi="仿宋" w:eastAsia="仿宋" w:cs="仿宋"/>
                <w:color w:val="000000"/>
                <w:kern w:val="0"/>
                <w:sz w:val="24"/>
                <w:szCs w:val="24"/>
                <w:highlight w:val="none"/>
                <w:lang w:eastAsia="zh-CN"/>
              </w:rPr>
              <w:t>厨师</w:t>
            </w:r>
          </w:p>
        </w:tc>
        <w:tc>
          <w:tcPr>
            <w:tcW w:w="3621" w:type="dxa"/>
            <w:noWrap w:val="0"/>
            <w:vAlign w:val="center"/>
          </w:tcPr>
          <w:p w14:paraId="6DF3A5FA">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w:t>
            </w:r>
          </w:p>
        </w:tc>
      </w:tr>
      <w:tr w14:paraId="5EB7F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dxa"/>
            <w:noWrap w:val="0"/>
            <w:vAlign w:val="center"/>
          </w:tcPr>
          <w:p w14:paraId="236AA9F3">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5</w:t>
            </w:r>
          </w:p>
        </w:tc>
        <w:tc>
          <w:tcPr>
            <w:tcW w:w="3775" w:type="dxa"/>
            <w:noWrap w:val="0"/>
            <w:vAlign w:val="center"/>
          </w:tcPr>
          <w:p w14:paraId="5ECECF3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eastAsia="zh-CN"/>
              </w:rPr>
            </w:pPr>
            <w:r>
              <w:rPr>
                <w:rFonts w:hint="eastAsia" w:ascii="仿宋" w:hAnsi="仿宋" w:eastAsia="仿宋" w:cs="仿宋"/>
                <w:color w:val="000000"/>
                <w:kern w:val="0"/>
                <w:sz w:val="24"/>
                <w:szCs w:val="24"/>
                <w:highlight w:val="none"/>
              </w:rPr>
              <w:t>案板</w:t>
            </w:r>
          </w:p>
        </w:tc>
        <w:tc>
          <w:tcPr>
            <w:tcW w:w="3621" w:type="dxa"/>
            <w:noWrap w:val="0"/>
            <w:vAlign w:val="center"/>
          </w:tcPr>
          <w:p w14:paraId="0F6F1AFC">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r>
      <w:tr w14:paraId="330F5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dxa"/>
            <w:noWrap w:val="0"/>
            <w:vAlign w:val="center"/>
          </w:tcPr>
          <w:p w14:paraId="51891DC9">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6</w:t>
            </w:r>
          </w:p>
        </w:tc>
        <w:tc>
          <w:tcPr>
            <w:tcW w:w="3775" w:type="dxa"/>
            <w:noWrap w:val="0"/>
            <w:vAlign w:val="center"/>
          </w:tcPr>
          <w:p w14:paraId="7ABB26B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eastAsia="zh-CN"/>
              </w:rPr>
            </w:pPr>
            <w:r>
              <w:rPr>
                <w:rFonts w:hint="eastAsia" w:ascii="仿宋" w:hAnsi="仿宋" w:eastAsia="仿宋" w:cs="仿宋"/>
                <w:color w:val="000000"/>
                <w:kern w:val="0"/>
                <w:sz w:val="24"/>
                <w:szCs w:val="24"/>
                <w:highlight w:val="none"/>
              </w:rPr>
              <w:t>勤杂</w:t>
            </w:r>
          </w:p>
        </w:tc>
        <w:tc>
          <w:tcPr>
            <w:tcW w:w="3621" w:type="dxa"/>
            <w:noWrap w:val="0"/>
            <w:vAlign w:val="center"/>
          </w:tcPr>
          <w:p w14:paraId="0F87DC77">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4</w:t>
            </w:r>
          </w:p>
        </w:tc>
      </w:tr>
      <w:tr w14:paraId="75BBE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dxa"/>
            <w:noWrap w:val="0"/>
            <w:vAlign w:val="center"/>
          </w:tcPr>
          <w:p w14:paraId="087DBF00">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7</w:t>
            </w:r>
          </w:p>
        </w:tc>
        <w:tc>
          <w:tcPr>
            <w:tcW w:w="3775" w:type="dxa"/>
            <w:noWrap w:val="0"/>
            <w:vAlign w:val="center"/>
          </w:tcPr>
          <w:p w14:paraId="27751200">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eastAsia="zh-CN"/>
              </w:rPr>
            </w:pPr>
            <w:r>
              <w:rPr>
                <w:rFonts w:hint="eastAsia" w:ascii="仿宋" w:hAnsi="仿宋" w:eastAsia="仿宋" w:cs="仿宋"/>
                <w:sz w:val="24"/>
                <w:szCs w:val="24"/>
                <w:highlight w:val="none"/>
                <w:vertAlign w:val="baseline"/>
                <w:lang w:eastAsia="zh-CN"/>
              </w:rPr>
              <w:t>服务员</w:t>
            </w:r>
          </w:p>
        </w:tc>
        <w:tc>
          <w:tcPr>
            <w:tcW w:w="3621" w:type="dxa"/>
            <w:noWrap w:val="0"/>
            <w:vAlign w:val="center"/>
          </w:tcPr>
          <w:p w14:paraId="7B356F74">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4</w:t>
            </w:r>
          </w:p>
        </w:tc>
      </w:tr>
      <w:tr w14:paraId="2C3F6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dxa"/>
            <w:noWrap w:val="0"/>
            <w:vAlign w:val="center"/>
          </w:tcPr>
          <w:p w14:paraId="1F43A416">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合计：</w:t>
            </w:r>
          </w:p>
        </w:tc>
        <w:tc>
          <w:tcPr>
            <w:tcW w:w="7396" w:type="dxa"/>
            <w:gridSpan w:val="2"/>
            <w:noWrap w:val="0"/>
            <w:vAlign w:val="center"/>
          </w:tcPr>
          <w:p w14:paraId="19802FCF">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14名</w:t>
            </w:r>
          </w:p>
        </w:tc>
      </w:tr>
    </w:tbl>
    <w:p w14:paraId="21179B8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p>
    <w:p w14:paraId="1584F8E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所有人员必须持有健康上岗证。中标</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lang w:eastAsia="zh-CN"/>
        </w:rPr>
        <w:t>须给上述人员按照国家及南京市的有关规定支付工资和交纳</w:t>
      </w:r>
      <w:r>
        <w:rPr>
          <w:rFonts w:hint="eastAsia" w:ascii="仿宋" w:hAnsi="仿宋" w:eastAsia="仿宋" w:cs="仿宋"/>
          <w:sz w:val="24"/>
          <w:szCs w:val="24"/>
          <w:highlight w:val="none"/>
          <w:lang w:val="en-US" w:eastAsia="zh-CN"/>
        </w:rPr>
        <w:t>五险一金、意外险</w:t>
      </w:r>
      <w:r>
        <w:rPr>
          <w:rFonts w:hint="eastAsia" w:ascii="仿宋" w:hAnsi="仿宋" w:eastAsia="仿宋" w:cs="仿宋"/>
          <w:sz w:val="24"/>
          <w:szCs w:val="24"/>
          <w:highlight w:val="none"/>
          <w:lang w:eastAsia="zh-CN"/>
        </w:rPr>
        <w:t>等。</w:t>
      </w:r>
    </w:p>
    <w:p w14:paraId="7743671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4.2 人员一般要求： </w:t>
      </w:r>
    </w:p>
    <w:p w14:paraId="2746A60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（1）项目经理需具有</w:t>
      </w:r>
      <w:r>
        <w:rPr>
          <w:rFonts w:hint="eastAsia" w:ascii="仿宋" w:hAnsi="仿宋" w:eastAsia="仿宋" w:cs="仿宋"/>
          <w:sz w:val="24"/>
          <w:szCs w:val="24"/>
          <w:highlight w:val="none"/>
          <w:lang w:val="en-US" w:eastAsia="zh-CN"/>
        </w:rPr>
        <w:t>大专以上学历，3年以上</w:t>
      </w:r>
      <w:r>
        <w:rPr>
          <w:rFonts w:hint="eastAsia" w:ascii="仿宋" w:hAnsi="仿宋" w:eastAsia="仿宋" w:cs="仿宋"/>
          <w:sz w:val="24"/>
          <w:szCs w:val="24"/>
          <w:highlight w:val="none"/>
          <w:lang w:eastAsia="zh-CN"/>
        </w:rPr>
        <w:t>餐饮业职业经理人</w:t>
      </w:r>
      <w:r>
        <w:rPr>
          <w:rFonts w:hint="eastAsia" w:ascii="仿宋" w:hAnsi="仿宋" w:eastAsia="仿宋" w:cs="仿宋"/>
          <w:sz w:val="24"/>
          <w:szCs w:val="24"/>
          <w:highlight w:val="none"/>
          <w:lang w:val="en-US" w:eastAsia="zh-CN"/>
        </w:rPr>
        <w:t>从业经验。</w:t>
      </w:r>
    </w:p>
    <w:p w14:paraId="12306CA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（2）厨师长：</w:t>
      </w:r>
      <w:r>
        <w:rPr>
          <w:rFonts w:hint="eastAsia" w:ascii="仿宋" w:hAnsi="仿宋" w:eastAsia="仿宋" w:cs="仿宋"/>
          <w:sz w:val="24"/>
          <w:szCs w:val="24"/>
          <w:highlight w:val="none"/>
          <w:lang w:val="en-US" w:eastAsia="zh-CN"/>
        </w:rPr>
        <w:t>具备</w:t>
      </w:r>
      <w:r>
        <w:rPr>
          <w:rFonts w:hint="eastAsia" w:ascii="仿宋" w:hAnsi="仿宋" w:eastAsia="仿宋" w:cs="仿宋"/>
          <w:sz w:val="24"/>
          <w:szCs w:val="24"/>
          <w:highlight w:val="none"/>
          <w:lang w:val="zh-CN" w:eastAsia="zh-CN"/>
        </w:rPr>
        <w:t>中式烹调师</w:t>
      </w:r>
      <w:r>
        <w:rPr>
          <w:rFonts w:hint="eastAsia" w:ascii="仿宋" w:hAnsi="仿宋" w:eastAsia="仿宋" w:cs="仿宋"/>
          <w:sz w:val="24"/>
          <w:szCs w:val="24"/>
          <w:highlight w:val="none"/>
          <w:lang w:val="en-US" w:eastAsia="zh-CN"/>
        </w:rPr>
        <w:t>证书</w:t>
      </w:r>
      <w:r>
        <w:rPr>
          <w:rFonts w:hint="eastAsia" w:ascii="仿宋" w:hAnsi="仿宋" w:eastAsia="仿宋" w:cs="仿宋"/>
          <w:sz w:val="24"/>
          <w:szCs w:val="24"/>
          <w:highlight w:val="none"/>
          <w:lang w:val="zh-CN" w:eastAsia="zh-CN"/>
        </w:rPr>
        <w:t>，</w:t>
      </w:r>
      <w:r>
        <w:rPr>
          <w:rFonts w:hint="eastAsia" w:ascii="仿宋" w:hAnsi="仿宋" w:eastAsia="仿宋" w:cs="仿宋"/>
          <w:sz w:val="24"/>
          <w:szCs w:val="24"/>
          <w:highlight w:val="none"/>
          <w:lang w:eastAsia="zh-CN"/>
        </w:rPr>
        <w:t>从事厨师岗位3年以上的工作经验，或者2年以上的餐饮行业厨师长岗位工作经验；能够全面、综合的安排日常的供餐活动，包括供餐品种设计、人员调度安排各方关系协调和用餐过程中意外问题的处理等。</w:t>
      </w:r>
    </w:p>
    <w:p w14:paraId="5A77958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）厨师</w:t>
      </w:r>
      <w:r>
        <w:rPr>
          <w:rFonts w:hint="eastAsia" w:ascii="仿宋" w:hAnsi="仿宋" w:eastAsia="仿宋" w:cs="仿宋"/>
          <w:sz w:val="24"/>
          <w:szCs w:val="24"/>
          <w:highlight w:val="none"/>
          <w:lang w:val="en-US" w:eastAsia="zh-CN"/>
        </w:rPr>
        <w:t>具备</w:t>
      </w:r>
      <w:r>
        <w:rPr>
          <w:rFonts w:hint="eastAsia" w:ascii="仿宋" w:hAnsi="仿宋" w:eastAsia="仿宋" w:cs="仿宋"/>
          <w:sz w:val="24"/>
          <w:szCs w:val="24"/>
          <w:highlight w:val="none"/>
          <w:lang w:val="zh-CN" w:eastAsia="zh-CN"/>
        </w:rPr>
        <w:t>中式烹调师</w:t>
      </w:r>
      <w:r>
        <w:rPr>
          <w:rFonts w:hint="eastAsia" w:ascii="仿宋" w:hAnsi="仿宋" w:eastAsia="仿宋" w:cs="仿宋"/>
          <w:sz w:val="24"/>
          <w:szCs w:val="24"/>
          <w:highlight w:val="none"/>
          <w:lang w:val="en-US" w:eastAsia="zh-CN"/>
        </w:rPr>
        <w:t>证书、</w:t>
      </w:r>
      <w:r>
        <w:rPr>
          <w:rFonts w:hint="eastAsia" w:ascii="仿宋" w:hAnsi="仿宋" w:eastAsia="仿宋" w:cs="仿宋"/>
          <w:sz w:val="24"/>
          <w:szCs w:val="24"/>
          <w:highlight w:val="none"/>
          <w:lang w:eastAsia="zh-CN"/>
        </w:rPr>
        <w:t>身体健康，正式上岗前经过卫生检疫检验机构的正规培训。</w:t>
      </w:r>
    </w:p>
    <w:p w14:paraId="4280FF3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）面点</w:t>
      </w:r>
      <w:r>
        <w:rPr>
          <w:rFonts w:hint="eastAsia" w:ascii="仿宋" w:hAnsi="仿宋" w:eastAsia="仿宋" w:cs="仿宋"/>
          <w:sz w:val="24"/>
          <w:szCs w:val="24"/>
          <w:highlight w:val="none"/>
          <w:lang w:val="en-US" w:eastAsia="zh-CN"/>
        </w:rPr>
        <w:t>师具备</w:t>
      </w:r>
      <w:r>
        <w:rPr>
          <w:rFonts w:hint="eastAsia" w:ascii="仿宋" w:hAnsi="仿宋" w:eastAsia="仿宋" w:cs="仿宋"/>
          <w:sz w:val="24"/>
          <w:szCs w:val="24"/>
          <w:highlight w:val="none"/>
          <w:lang w:val="zh-CN" w:eastAsia="zh-CN"/>
        </w:rPr>
        <w:t>中式面点师</w:t>
      </w:r>
      <w:r>
        <w:rPr>
          <w:rFonts w:hint="eastAsia" w:ascii="仿宋" w:hAnsi="仿宋" w:eastAsia="仿宋" w:cs="仿宋"/>
          <w:sz w:val="24"/>
          <w:szCs w:val="24"/>
          <w:highlight w:val="none"/>
          <w:lang w:val="en-US" w:eastAsia="zh-CN"/>
        </w:rPr>
        <w:t>证书</w:t>
      </w:r>
      <w:r>
        <w:rPr>
          <w:rFonts w:hint="eastAsia" w:ascii="仿宋" w:hAnsi="仿宋" w:eastAsia="仿宋" w:cs="仿宋"/>
          <w:sz w:val="24"/>
          <w:szCs w:val="24"/>
          <w:highlight w:val="none"/>
          <w:lang w:val="zh-CN" w:eastAsia="zh-CN"/>
        </w:rPr>
        <w:t>、</w:t>
      </w:r>
      <w:r>
        <w:rPr>
          <w:rFonts w:hint="eastAsia" w:ascii="仿宋" w:hAnsi="仿宋" w:eastAsia="仿宋" w:cs="仿宋"/>
          <w:sz w:val="24"/>
          <w:szCs w:val="24"/>
          <w:highlight w:val="none"/>
          <w:lang w:eastAsia="zh-CN"/>
        </w:rPr>
        <w:t>身体健康，正式上岗前经过卫生检疫检验机构的正规培训。</w:t>
      </w:r>
    </w:p>
    <w:p w14:paraId="261B111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eastAsia="zh-CN"/>
        </w:rPr>
        <w:t>）服务员、案板、勤杂：身体健康，正式上岗前经过卫生检疫检验机构的正规培训，初中学历以上毕业，普通话熟练，有责任心，有较好的整理归纳和沟通的能力。</w:t>
      </w:r>
    </w:p>
    <w:p w14:paraId="4F971F0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5、管理模式 </w:t>
      </w:r>
    </w:p>
    <w:p w14:paraId="584FBA0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5.1 采购人将职工食堂有关服务工作委托给乙方全面管理，形成以乙方管理服务与甲方管理监督相结合的管理模式。 </w:t>
      </w:r>
    </w:p>
    <w:p w14:paraId="77F4453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5.2 采购人自始至终监督食堂管理，配备专人指导食堂管理工作。 </w:t>
      </w:r>
    </w:p>
    <w:p w14:paraId="393F6B5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5.3 供应商必须保证其经营行为合法有效。 </w:t>
      </w:r>
    </w:p>
    <w:p w14:paraId="7A763B0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5.4 采购人管理监督职责：对供应商制作的各项食品检查；检查监督食堂的卫生安全工作，对违规行为予以处罚；抽查评价服务品种的质量，对违规行为予以处罚；协调员工就餐秩序。 </w:t>
      </w:r>
    </w:p>
    <w:p w14:paraId="3FCD026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6、食堂工作流程管理： </w:t>
      </w:r>
    </w:p>
    <w:p w14:paraId="3830B65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6.1饭菜加工每餐饭菜必须在就餐前10分钟准备好，加工后的饭菜要注意保热、保洁。 </w:t>
      </w:r>
    </w:p>
    <w:p w14:paraId="147421D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6.2就餐服务就餐期间中标人管理人员要协调好食堂内部事务，打饭菜数量要符合规定，人员配备充足，保证打饭快速有序。要根据就餐情况及时调配饭菜，如有饭菜不足情况要及时采取措施。 </w:t>
      </w:r>
    </w:p>
    <w:p w14:paraId="1F0EB19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6.5餐后及时清洗、清理与打扫。餐后要对餐桌、厨具、餐具进行清洗，消毒， 并分类放在固定位置，厨房、餐厅进行打扫、冲洗；对剩余饭菜进行处理。 </w:t>
      </w:r>
    </w:p>
    <w:p w14:paraId="22C94D8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6.6 每周五要进行厨具、餐具的清洗及厨房、餐厅及周边环境的大扫除。  </w:t>
      </w:r>
    </w:p>
    <w:p w14:paraId="2254185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7、食堂工作制度： </w:t>
      </w:r>
    </w:p>
    <w:p w14:paraId="49F3207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7.1食堂工作人员按时上、下班，坚守工作岗位。所有食堂工作人员必须社会背景清楚，身体健康。所有食堂工作人员必须到采购人备案，提供健康证明。更换、补充人员必须经过备案。采购人将不定期的对人员上岗情况进行考核，考核如在1个月内达不到要求，采购人有权要求供应商进行更换调整。 </w:t>
      </w:r>
    </w:p>
    <w:p w14:paraId="485A98A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7.2养成良好的工作习惯，各种厨具、餐具要固定放置，使用完毕后及时放回原处，各种物品不随处乱放。 </w:t>
      </w:r>
    </w:p>
    <w:p w14:paraId="21EEF39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7.3爱护公物。使用锅炉、压面机等械具要严格遵守操作规程，清洗餐具、厨具要细心细致。 </w:t>
      </w:r>
    </w:p>
    <w:p w14:paraId="282BA06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7.5 做好食堂卫生工作。工作期间必须穿工作服，注意做好食品卫生，餐具卫生，</w:t>
      </w:r>
    </w:p>
    <w:p w14:paraId="4DC59A4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环境卫生，个人卫生工作，如有咳嗽、腹泻、发烧、呕吐等疾病，应向食堂管理人员请假，离开食堂工作岗位。 </w:t>
      </w:r>
    </w:p>
    <w:p w14:paraId="2AF27D7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7.6 食堂工作人员要服务规范、语言文明，工作期间不打闹、不与员工争吵。 </w:t>
      </w:r>
    </w:p>
    <w:p w14:paraId="2EE3C55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8、食堂卫生制度：  </w:t>
      </w:r>
    </w:p>
    <w:p w14:paraId="5755C1F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8.1要做到生品与成品、熟品相隔离，成品与半成品相隔离，食品与杂物相隔离。冷藏时要做到荤腥类食品与其他食品相隔离。 </w:t>
      </w:r>
    </w:p>
    <w:p w14:paraId="382F431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8.2 食物制作及销售过程中要注意防蝇、防灰尘，以避免杂物混入食品。 </w:t>
      </w:r>
    </w:p>
    <w:p w14:paraId="530CC29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8.3 每日每餐所有供应品种，留样时限48 小时，记录在册。特殊情况下,未经批准不得处置。</w:t>
      </w:r>
    </w:p>
    <w:p w14:paraId="578B31C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8.4 各种调料不宜久置，装盛调料各种器具应经常洗涤。</w:t>
      </w:r>
    </w:p>
    <w:p w14:paraId="1C9DE6F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(1)餐具、厨具卫生 </w:t>
      </w:r>
    </w:p>
    <w:p w14:paraId="3E90565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（1.1）刀、墩、板、桶、盆、筐、灶、锅、抹布等厨具要每餐清洗，保持厨具的清洁。餐具用后要一洗二刷三冲四消毒四类。 </w:t>
      </w:r>
    </w:p>
    <w:p w14:paraId="3DCEBBC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（1.2）厨具和餐具要固定摆好。</w:t>
      </w:r>
    </w:p>
    <w:p w14:paraId="0B20BB1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(2)环境卫生 </w:t>
      </w:r>
    </w:p>
    <w:p w14:paraId="67BB8A0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（2.1）要经常性打扫和清洗食堂地面，做到地面无杂物和积水。 </w:t>
      </w:r>
    </w:p>
    <w:p w14:paraId="72F2D86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（2.2）储藏室要保持干净、干燥和通风，储藏间不得存放其他杂物及个人物件，物品存放要离地，隔墙，分类。 </w:t>
      </w:r>
    </w:p>
    <w:p w14:paraId="4689E15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（2.3）对食堂周围的阴沟、角落、泔水桶，垃圾堆要经常性清理，预防细菌感染食物。 </w:t>
      </w:r>
    </w:p>
    <w:p w14:paraId="1CD3282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（2.4）对存放厨具，餐具的各个角落要经常抹洗。</w:t>
      </w:r>
    </w:p>
    <w:p w14:paraId="67F9C2C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(3)食堂工作人员个人卫生 </w:t>
      </w:r>
    </w:p>
    <w:p w14:paraId="4C9CFE4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（3.1）食堂工作人员要做到"四勤"勤洗手、剪指甲；勤洗衣服、被褥；勤洗澡、理发；勤换工作服。 </w:t>
      </w:r>
    </w:p>
    <w:p w14:paraId="3B65CCB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（3.2）在工作前及处理食品原料后、便后要用肥皂及流动清水洗手，直接用手接触入口食品之前(如抓粉条，切菜，加工面粉等)应用热水消毒。 </w:t>
      </w:r>
    </w:p>
    <w:p w14:paraId="28A64BB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(3.3)不得在食品加工期间及销售食品前抽烟，不正对食品咳嗽、打喷嚏，不随处吐痰。 </w:t>
      </w:r>
    </w:p>
    <w:p w14:paraId="085975E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9、监督与管理 </w:t>
      </w:r>
    </w:p>
    <w:p w14:paraId="2205749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9.1 采购人将定期对食堂卫生及饭菜质量进行监督。 </w:t>
      </w:r>
    </w:p>
    <w:p w14:paraId="3D9E39F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9.2采购人将强化员工监督，设立食堂职工监督栏。定期做问卷调查。通过听取员工意见，汇总后向中标人发出整改通知，中标人必须响应，并提交整改措施，由后勤主管监督执行。 </w:t>
      </w:r>
    </w:p>
    <w:p w14:paraId="0E9C737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9.3采购人将每月进行一次食堂工作考核，考核内容包括食堂工作人员工作态度，食堂管理制度执行情况等相关事宜。 </w:t>
      </w:r>
    </w:p>
    <w:p w14:paraId="3635213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9.4 中标人人员必须遵守采购人管理制度，人员、车辆、物资出入门检查登记。 </w:t>
      </w:r>
    </w:p>
    <w:p w14:paraId="33F74FF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9.5 中标人不准以任何形式向其他单位或个人转包或分包，否则按违约处理。 </w:t>
      </w:r>
    </w:p>
    <w:p w14:paraId="3D778D4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10、中标人如在经营期间有下列情况之一，采购人有权无条件终止合同。 </w:t>
      </w:r>
    </w:p>
    <w:p w14:paraId="340BFAA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①如因食堂内部管理不善，无法保证向员工按时提供规定的伙食标准。 </w:t>
      </w:r>
    </w:p>
    <w:p w14:paraId="63DBDD0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②就餐人员对中标人提供的服务强烈不满，严重影响采购人正常工作的开展。 </w:t>
      </w:r>
    </w:p>
    <w:p w14:paraId="2E1293D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③不服从管理，态度恶劣，影响食堂整体形象，就餐人员对伙食严重不满，多次提出未整改。 </w:t>
      </w:r>
    </w:p>
    <w:p w14:paraId="2E208CB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④不履行合同条款，有严重违法经营行为或严重违反食品卫生法和违反采购人有关规定。 </w:t>
      </w:r>
    </w:p>
    <w:p w14:paraId="428B90A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⑤出现食物中毒或安全生产事故（出现食物中毒现象及安全生产事故由中标人承担所有责任）。 </w:t>
      </w:r>
    </w:p>
    <w:p w14:paraId="65C27A8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11、相关费用：  </w:t>
      </w:r>
    </w:p>
    <w:p w14:paraId="5966DB6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11.1采购人提供现有厨房场地、设备以及服务团队管理人员的办公场地及设备、和提供服务团队的住宿。 </w:t>
      </w:r>
    </w:p>
    <w:p w14:paraId="4E3678F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11.3 厨房设备的维修保养任务由供应商承担，由此产生的费用由采购人承担； </w:t>
      </w:r>
    </w:p>
    <w:p w14:paraId="67CD10A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11.4 特定区域维护清理（厨房隔油池清理、灭四害、油烟道清洗及泔水回收等）由供应商聘请专业公司完成，费用由采购人承担； </w:t>
      </w:r>
    </w:p>
    <w:p w14:paraId="5A7B6E7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11.5食堂用常规性低值低耗用品（包括厨房杂件易耗物品、一次性用品、卫生保洁品、餐具洗涤消毒）费用由采购人承担； </w:t>
      </w:r>
    </w:p>
    <w:p w14:paraId="47E35A4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11.6水电气等能源费用由采购人承担； </w:t>
      </w:r>
    </w:p>
    <w:p w14:paraId="640FBCD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11.7食堂安全管理服务（如消防安全等）由采购人负责。</w:t>
      </w:r>
    </w:p>
    <w:p w14:paraId="1215FF3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11.8如涉及采购人国有资产的变更与处置，由采购人决定。原有厨房设备的更换、报损由采购人与供应商双方共同确认。 </w:t>
      </w:r>
    </w:p>
    <w:p w14:paraId="2DCF975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四、投标方案要求： </w:t>
      </w:r>
    </w:p>
    <w:p w14:paraId="511A83C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投标人须就以上服务工作制作详细的服务方案。管理方案的内容可根据评分标准要求提供相应方案。 </w:t>
      </w:r>
    </w:p>
    <w:p w14:paraId="28123EA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五、对招标有关项目的说明 </w:t>
      </w:r>
    </w:p>
    <w:p w14:paraId="6CAAF25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1、供应商必须在合同生效后一周内接管所有工作，逾期产生的一切后果由中标人承担。 </w:t>
      </w:r>
    </w:p>
    <w:p w14:paraId="7697776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2、供应商办公及实施服务所需用电、用水的费用由采购人承担。 </w:t>
      </w:r>
    </w:p>
    <w:p w14:paraId="5D23CAC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3、供应商的各岗位员工要统一服装。 </w:t>
      </w:r>
    </w:p>
    <w:p w14:paraId="0C73140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4、供应商中标人有岗前培训机构，服务人员100%经过岗前培训合格才上岗。 </w:t>
      </w:r>
    </w:p>
    <w:p w14:paraId="688C40E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5、供应商不得在合同期限内将本项目的管理权转包或分包。 </w:t>
      </w:r>
    </w:p>
    <w:p w14:paraId="39B17A9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6、供应商须严格按照标准化的操作程序、完善的培训体系和质量控制体系完成本项目，以保证整个服务系统安全、高效、有序和有计划地运转。 </w:t>
      </w:r>
    </w:p>
    <w:p w14:paraId="46C0B91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7、供应商有责任配合采购人接受上级领导部门的监督、检查，提供必须的资料。每年应将服务人员、所有管理及培训资料交一份给采购人，如有需要必须随时提供。 </w:t>
      </w:r>
    </w:p>
    <w:p w14:paraId="6D9F6CA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8、中标人须严格按照国家和政府规定给所有的员工缴纳各种社会保险、工资及福利；如发生工伤、疾病乃至死亡的一切责任及费用由中标人全部负责；应严格遵守国家有关的法律、法规及行业标准；采购人不承担任何责任和费用。 </w:t>
      </w:r>
    </w:p>
    <w:p w14:paraId="101EB73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10、不接受投标人任何因遗漏报价而发生的费用追加，因投标人违反《劳动法》等法律法规而造成的连带责任和损失全部由中标人承担。 </w:t>
      </w:r>
    </w:p>
    <w:p w14:paraId="72FAC74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六、其他说明： </w:t>
      </w:r>
    </w:p>
    <w:p w14:paraId="221EEDF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1、供应商对服务缺陷不予更正，采购人将发出书面整改通知，若供应商仍没有改正的，采购人有权进行处罚。 </w:t>
      </w:r>
    </w:p>
    <w:p w14:paraId="2B1ABBA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2、如遇采购人有特殊情况造成供应商工作量减少或增加幅度较大时，采购人将提前一周告知供应商，合同内容经双方协商调整。 </w:t>
      </w:r>
    </w:p>
    <w:p w14:paraId="5359332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3、需采购人配合的工作：供应商应在投标文件中说明，如能成交，在服务过程中需要采购人配合的工作和需要提供的条件。</w:t>
      </w:r>
    </w:p>
    <w:bookmarkEnd w:id="117"/>
    <w:bookmarkEnd w:id="118"/>
    <w:bookmarkEnd w:id="119"/>
    <w:p w14:paraId="6BB0D0DC">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七、食堂管理考核方案</w:t>
      </w:r>
    </w:p>
    <w:p w14:paraId="2FEF2BBC">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bidi="ar"/>
        </w:rPr>
      </w:pPr>
      <w:r>
        <w:rPr>
          <w:rFonts w:hint="eastAsia" w:ascii="仿宋" w:hAnsi="仿宋" w:eastAsia="仿宋" w:cs="仿宋"/>
          <w:bCs/>
          <w:color w:val="auto"/>
          <w:kern w:val="0"/>
          <w:sz w:val="24"/>
          <w:szCs w:val="24"/>
          <w:highlight w:val="none"/>
          <w:lang w:bidi="ar"/>
        </w:rPr>
        <w:t>为进一步加强对食堂的监督检查，提高服务质量，保证饮食安全，现依据《中华人民共和国食品卫生法》制定本方案，具体办法如下：</w:t>
      </w:r>
    </w:p>
    <w:p w14:paraId="08610659">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360" w:lineRule="auto"/>
        <w:ind w:firstLine="480" w:firstLineChars="200"/>
        <w:jc w:val="left"/>
        <w:textAlignment w:val="center"/>
        <w:rPr>
          <w:rFonts w:hint="eastAsia" w:ascii="仿宋" w:hAnsi="仿宋" w:eastAsia="仿宋" w:cs="仿宋"/>
          <w:bCs/>
          <w:color w:val="auto"/>
          <w:kern w:val="0"/>
          <w:sz w:val="24"/>
          <w:szCs w:val="24"/>
          <w:highlight w:val="none"/>
          <w:lang w:bidi="ar"/>
        </w:rPr>
      </w:pPr>
      <w:r>
        <w:rPr>
          <w:rFonts w:hint="eastAsia" w:ascii="仿宋" w:hAnsi="仿宋" w:eastAsia="仿宋" w:cs="仿宋"/>
          <w:bCs/>
          <w:color w:val="auto"/>
          <w:kern w:val="0"/>
          <w:sz w:val="24"/>
          <w:szCs w:val="24"/>
          <w:highlight w:val="none"/>
          <w:lang w:val="en-US" w:eastAsia="zh-CN" w:bidi="ar"/>
        </w:rPr>
        <w:t>1、</w:t>
      </w:r>
      <w:r>
        <w:rPr>
          <w:rFonts w:hint="eastAsia" w:ascii="仿宋" w:hAnsi="仿宋" w:eastAsia="仿宋" w:cs="仿宋"/>
          <w:bCs/>
          <w:color w:val="auto"/>
          <w:kern w:val="0"/>
          <w:sz w:val="24"/>
          <w:szCs w:val="24"/>
          <w:highlight w:val="none"/>
          <w:lang w:bidi="ar"/>
        </w:rPr>
        <w:t>检查考核人员的组成：</w:t>
      </w:r>
      <w:r>
        <w:rPr>
          <w:rFonts w:hint="eastAsia" w:ascii="仿宋" w:hAnsi="仿宋" w:eastAsia="仿宋" w:cs="仿宋"/>
          <w:bCs/>
          <w:color w:val="auto"/>
          <w:kern w:val="0"/>
          <w:sz w:val="24"/>
          <w:szCs w:val="24"/>
          <w:highlight w:val="none"/>
          <w:lang w:val="en-US" w:eastAsia="zh-CN" w:bidi="ar"/>
        </w:rPr>
        <w:t>食堂后勤管理办</w:t>
      </w:r>
      <w:r>
        <w:rPr>
          <w:rFonts w:hint="eastAsia" w:ascii="仿宋" w:hAnsi="仿宋" w:eastAsia="仿宋" w:cs="仿宋"/>
          <w:bCs/>
          <w:color w:val="auto"/>
          <w:kern w:val="0"/>
          <w:sz w:val="24"/>
          <w:szCs w:val="24"/>
          <w:highlight w:val="none"/>
          <w:lang w:bidi="ar"/>
        </w:rPr>
        <w:t>及全体</w:t>
      </w:r>
      <w:r>
        <w:rPr>
          <w:rFonts w:hint="eastAsia" w:ascii="仿宋" w:hAnsi="仿宋" w:eastAsia="仿宋" w:cs="仿宋"/>
          <w:bCs/>
          <w:color w:val="auto"/>
          <w:kern w:val="0"/>
          <w:sz w:val="24"/>
          <w:szCs w:val="24"/>
          <w:highlight w:val="none"/>
          <w:lang w:val="en-US" w:eastAsia="zh-CN" w:bidi="ar"/>
        </w:rPr>
        <w:t>职工</w:t>
      </w:r>
    </w:p>
    <w:p w14:paraId="10F06D2C">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bidi="ar"/>
        </w:rPr>
        <w:t>检查范围：</w:t>
      </w:r>
      <w:r>
        <w:rPr>
          <w:rFonts w:hint="eastAsia" w:ascii="仿宋" w:hAnsi="仿宋" w:eastAsia="仿宋" w:cs="仿宋"/>
          <w:bCs/>
          <w:color w:val="auto"/>
          <w:kern w:val="0"/>
          <w:sz w:val="24"/>
          <w:szCs w:val="24"/>
          <w:highlight w:val="none"/>
          <w:lang w:val="en-US" w:eastAsia="zh-CN" w:bidi="ar"/>
        </w:rPr>
        <w:t>菜肴</w:t>
      </w:r>
      <w:r>
        <w:rPr>
          <w:rFonts w:hint="eastAsia" w:ascii="仿宋" w:hAnsi="仿宋" w:eastAsia="仿宋" w:cs="仿宋"/>
          <w:bCs/>
          <w:color w:val="auto"/>
          <w:kern w:val="0"/>
          <w:sz w:val="24"/>
          <w:szCs w:val="24"/>
          <w:highlight w:val="none"/>
          <w:lang w:bidi="ar"/>
        </w:rPr>
        <w:t>质量、服务质量、卫生标准、食堂管理及员工满意率等。</w:t>
      </w:r>
      <w:r>
        <w:rPr>
          <w:rFonts w:hint="eastAsia" w:ascii="仿宋" w:hAnsi="仿宋" w:eastAsia="仿宋" w:cs="仿宋"/>
          <w:b w:val="0"/>
          <w:bCs w:val="0"/>
          <w:color w:val="auto"/>
          <w:sz w:val="24"/>
          <w:szCs w:val="24"/>
          <w:highlight w:val="none"/>
        </w:rPr>
        <w:t>采购人每</w:t>
      </w:r>
      <w:r>
        <w:rPr>
          <w:rFonts w:hint="eastAsia" w:ascii="仿宋" w:hAnsi="仿宋" w:eastAsia="仿宋" w:cs="仿宋"/>
          <w:b w:val="0"/>
          <w:bCs w:val="0"/>
          <w:color w:val="auto"/>
          <w:sz w:val="24"/>
          <w:szCs w:val="24"/>
          <w:highlight w:val="none"/>
          <w:lang w:eastAsia="zh-CN"/>
        </w:rPr>
        <w:t>月</w:t>
      </w:r>
      <w:r>
        <w:rPr>
          <w:rFonts w:hint="eastAsia" w:ascii="仿宋" w:hAnsi="仿宋" w:eastAsia="仿宋" w:cs="仿宋"/>
          <w:b w:val="0"/>
          <w:bCs w:val="0"/>
          <w:color w:val="auto"/>
          <w:sz w:val="24"/>
          <w:szCs w:val="24"/>
          <w:highlight w:val="none"/>
        </w:rPr>
        <w:t>组织就餐人员对食堂的菜肴、服务等进行评分</w:t>
      </w:r>
      <w:r>
        <w:rPr>
          <w:rFonts w:hint="eastAsia" w:ascii="仿宋" w:hAnsi="仿宋" w:eastAsia="仿宋" w:cs="仿宋"/>
          <w:b w:val="0"/>
          <w:bCs w:val="0"/>
          <w:color w:val="auto"/>
          <w:sz w:val="24"/>
          <w:szCs w:val="24"/>
          <w:highlight w:val="none"/>
          <w:lang w:eastAsia="zh-CN"/>
        </w:rPr>
        <w:t>并</w:t>
      </w:r>
      <w:r>
        <w:rPr>
          <w:rFonts w:hint="eastAsia" w:ascii="仿宋" w:hAnsi="仿宋" w:eastAsia="仿宋" w:cs="仿宋"/>
          <w:bCs/>
          <w:color w:val="auto"/>
          <w:kern w:val="0"/>
          <w:sz w:val="24"/>
          <w:szCs w:val="24"/>
          <w:highlight w:val="none"/>
          <w:lang w:val="en-US" w:eastAsia="zh-CN" w:bidi="ar"/>
        </w:rPr>
        <w:t>根据考核结果计算每月应付服务费，具体如下：</w:t>
      </w:r>
    </w:p>
    <w:p w14:paraId="326A511E">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（1）考核得分大于等于90 分核定为非常满意，按100%计取当月服务费；</w:t>
      </w:r>
    </w:p>
    <w:p w14:paraId="10AF4141">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（2）考核得分大于等于 80 分小于 90 分核定为基本满意，按90%计取当月服务费；</w:t>
      </w:r>
    </w:p>
    <w:p w14:paraId="09F3BD10">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（3）考核得分小于80分为不满意，按50%计取当月服务费；</w:t>
      </w:r>
    </w:p>
    <w:p w14:paraId="01566B5E">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（4）如一年度内两次考核得分小于 80 分，采购人有权终止合同。</w:t>
      </w:r>
    </w:p>
    <w:p w14:paraId="6918506A">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2、付款方式</w:t>
      </w:r>
    </w:p>
    <w:p w14:paraId="506557C3">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1）当月服务费于次月10日结算，结算价款为合同价款的1/12，同时扣除当月考核扣减费用，供应商根据采购人要求提供正规发票，如供应商未提供或提供发票不符合采购人要求的，采购人有权不予付款，供应商仍应继续履行合同项下相关义务。</w:t>
      </w:r>
    </w:p>
    <w:tbl>
      <w:tblPr>
        <w:tblStyle w:val="27"/>
        <w:tblW w:w="5234" w:type="pct"/>
        <w:jc w:val="center"/>
        <w:tblLayout w:type="fixed"/>
        <w:tblCellMar>
          <w:top w:w="0" w:type="dxa"/>
          <w:left w:w="0" w:type="dxa"/>
          <w:bottom w:w="0" w:type="dxa"/>
          <w:right w:w="0" w:type="dxa"/>
        </w:tblCellMar>
      </w:tblPr>
      <w:tblGrid>
        <w:gridCol w:w="1085"/>
        <w:gridCol w:w="1278"/>
        <w:gridCol w:w="3154"/>
        <w:gridCol w:w="1568"/>
        <w:gridCol w:w="791"/>
        <w:gridCol w:w="750"/>
        <w:gridCol w:w="1139"/>
      </w:tblGrid>
      <w:tr w14:paraId="233304A6">
        <w:tblPrEx>
          <w:tblCellMar>
            <w:top w:w="0" w:type="dxa"/>
            <w:left w:w="0" w:type="dxa"/>
            <w:bottom w:w="0" w:type="dxa"/>
            <w:right w:w="0"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63CCDE">
            <w:pPr>
              <w:widowControl/>
              <w:shd w:val="clear" w:color="auto" w:fill="auto"/>
              <w:jc w:val="center"/>
              <w:textAlignment w:val="center"/>
              <w:rPr>
                <w:rFonts w:hint="eastAsia" w:ascii="仿宋" w:hAnsi="仿宋" w:eastAsia="仿宋" w:cs="仿宋"/>
                <w:b/>
                <w:color w:val="auto"/>
                <w:kern w:val="0"/>
                <w:sz w:val="32"/>
                <w:szCs w:val="32"/>
                <w:highlight w:val="none"/>
                <w:lang w:bidi="ar"/>
              </w:rPr>
            </w:pPr>
            <w:r>
              <w:rPr>
                <w:rFonts w:hint="eastAsia" w:ascii="仿宋" w:hAnsi="仿宋" w:eastAsia="仿宋" w:cs="仿宋"/>
                <w:b/>
                <w:color w:val="auto"/>
                <w:kern w:val="0"/>
                <w:sz w:val="32"/>
                <w:szCs w:val="32"/>
                <w:highlight w:val="none"/>
                <w:lang w:bidi="ar"/>
              </w:rPr>
              <w:t>食堂管理考核表</w:t>
            </w:r>
          </w:p>
        </w:tc>
      </w:tr>
      <w:tr w14:paraId="0EEA53D8">
        <w:tblPrEx>
          <w:tblCellMar>
            <w:top w:w="0" w:type="dxa"/>
            <w:left w:w="0" w:type="dxa"/>
            <w:bottom w:w="0" w:type="dxa"/>
            <w:right w:w="0" w:type="dxa"/>
          </w:tblCellMar>
        </w:tblPrEx>
        <w:trPr>
          <w:trHeight w:val="23" w:hRule="atLeast"/>
          <w:jc w:val="center"/>
        </w:trPr>
        <w:tc>
          <w:tcPr>
            <w:tcW w:w="55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C72033">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项目</w:t>
            </w:r>
          </w:p>
        </w:tc>
        <w:tc>
          <w:tcPr>
            <w:tcW w:w="2269" w:type="pct"/>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3F6D4E">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检查具体内容</w:t>
            </w:r>
          </w:p>
        </w:tc>
        <w:tc>
          <w:tcPr>
            <w:tcW w:w="80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E02E28">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评分标准</w:t>
            </w:r>
          </w:p>
        </w:tc>
        <w:tc>
          <w:tcPr>
            <w:tcW w:w="40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0F9D21">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分值</w:t>
            </w:r>
          </w:p>
        </w:tc>
        <w:tc>
          <w:tcPr>
            <w:tcW w:w="38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9BC67E">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得分</w:t>
            </w:r>
          </w:p>
        </w:tc>
        <w:tc>
          <w:tcPr>
            <w:tcW w:w="583"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1E6DBB">
            <w:pPr>
              <w:widowControl/>
              <w:shd w:val="clear" w:color="auto" w:fill="auto"/>
              <w:spacing w:line="360" w:lineRule="auto"/>
              <w:jc w:val="center"/>
              <w:textAlignment w:val="center"/>
              <w:rPr>
                <w:rFonts w:hint="eastAsia" w:ascii="仿宋" w:hAnsi="仿宋" w:eastAsia="仿宋" w:cs="仿宋"/>
                <w:color w:val="auto"/>
                <w:kern w:val="0"/>
                <w:sz w:val="21"/>
                <w:szCs w:val="21"/>
                <w:highlight w:val="none"/>
                <w:lang w:eastAsia="zh-CN" w:bidi="ar"/>
              </w:rPr>
            </w:pPr>
            <w:r>
              <w:rPr>
                <w:rFonts w:hint="eastAsia" w:ascii="仿宋" w:hAnsi="仿宋" w:eastAsia="仿宋" w:cs="仿宋"/>
                <w:color w:val="auto"/>
                <w:kern w:val="0"/>
                <w:sz w:val="21"/>
                <w:szCs w:val="21"/>
                <w:highlight w:val="none"/>
                <w:lang w:eastAsia="zh-CN" w:bidi="ar"/>
              </w:rPr>
              <w:t>扣分原因</w:t>
            </w:r>
          </w:p>
        </w:tc>
      </w:tr>
      <w:tr w14:paraId="3A4315B1">
        <w:tblPrEx>
          <w:tblCellMar>
            <w:top w:w="0" w:type="dxa"/>
            <w:left w:w="0" w:type="dxa"/>
            <w:bottom w:w="0" w:type="dxa"/>
            <w:right w:w="0" w:type="dxa"/>
          </w:tblCellMar>
        </w:tblPrEx>
        <w:trPr>
          <w:trHeight w:val="312" w:hRule="atLeast"/>
          <w:jc w:val="center"/>
        </w:trPr>
        <w:tc>
          <w:tcPr>
            <w:tcW w:w="555"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C2FB45">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val="en-US" w:eastAsia="zh-CN" w:bidi="ar"/>
              </w:rPr>
              <w:t>菜肴</w:t>
            </w:r>
            <w:r>
              <w:rPr>
                <w:rFonts w:hint="eastAsia" w:ascii="仿宋" w:hAnsi="仿宋" w:eastAsia="仿宋" w:cs="仿宋"/>
                <w:color w:val="auto"/>
                <w:kern w:val="0"/>
                <w:sz w:val="21"/>
                <w:szCs w:val="21"/>
                <w:highlight w:val="none"/>
                <w:lang w:bidi="ar"/>
              </w:rPr>
              <w:t>质量</w:t>
            </w:r>
          </w:p>
        </w:tc>
        <w:tc>
          <w:tcPr>
            <w:tcW w:w="65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FB5324">
            <w:pPr>
              <w:widowControl/>
              <w:shd w:val="clear" w:color="auto" w:fill="auto"/>
              <w:spacing w:line="240" w:lineRule="auto"/>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0"/>
                <w:sz w:val="21"/>
                <w:szCs w:val="21"/>
                <w:highlight w:val="none"/>
                <w:lang w:bidi="ar"/>
              </w:rPr>
              <w:t>采购</w:t>
            </w:r>
            <w:r>
              <w:rPr>
                <w:rFonts w:hint="eastAsia" w:ascii="仿宋" w:hAnsi="仿宋" w:eastAsia="仿宋" w:cs="仿宋"/>
                <w:color w:val="auto"/>
                <w:kern w:val="0"/>
                <w:sz w:val="21"/>
                <w:szCs w:val="21"/>
                <w:highlight w:val="none"/>
                <w:lang w:val="en-US" w:eastAsia="zh-CN" w:bidi="ar"/>
              </w:rPr>
              <w:t>及</w:t>
            </w:r>
            <w:r>
              <w:rPr>
                <w:rFonts w:hint="eastAsia" w:ascii="仿宋" w:hAnsi="仿宋" w:eastAsia="仿宋" w:cs="仿宋"/>
                <w:color w:val="auto"/>
                <w:sz w:val="21"/>
                <w:szCs w:val="21"/>
                <w:highlight w:val="none"/>
              </w:rPr>
              <w:t>食谱</w:t>
            </w:r>
          </w:p>
        </w:tc>
        <w:tc>
          <w:tcPr>
            <w:tcW w:w="161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B85B55">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1、配合采购人</w:t>
            </w:r>
            <w:r>
              <w:rPr>
                <w:rFonts w:hint="eastAsia" w:ascii="仿宋" w:hAnsi="仿宋" w:eastAsia="仿宋" w:cs="仿宋"/>
                <w:color w:val="auto"/>
                <w:sz w:val="21"/>
                <w:szCs w:val="21"/>
                <w:highlight w:val="none"/>
                <w:lang w:eastAsia="zh-CN"/>
              </w:rPr>
              <w:t>共同参与原材料验收</w:t>
            </w:r>
          </w:p>
        </w:tc>
        <w:tc>
          <w:tcPr>
            <w:tcW w:w="802"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CA7EC2">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有一项不</w:t>
            </w:r>
            <w:r>
              <w:rPr>
                <w:rFonts w:hint="eastAsia" w:ascii="仿宋" w:hAnsi="仿宋" w:eastAsia="仿宋" w:cs="仿宋"/>
                <w:color w:val="auto"/>
                <w:sz w:val="21"/>
                <w:szCs w:val="21"/>
                <w:highlight w:val="none"/>
              </w:rPr>
              <w:t>合格</w:t>
            </w:r>
            <w:r>
              <w:rPr>
                <w:rFonts w:hint="eastAsia" w:ascii="仿宋" w:hAnsi="仿宋" w:eastAsia="仿宋" w:cs="仿宋"/>
                <w:color w:val="auto"/>
                <w:kern w:val="0"/>
                <w:sz w:val="21"/>
                <w:szCs w:val="21"/>
                <w:highlight w:val="none"/>
                <w:lang w:val="en-US" w:eastAsia="zh-CN" w:bidi="ar"/>
              </w:rPr>
              <w:t>扣2</w:t>
            </w:r>
            <w:r>
              <w:rPr>
                <w:rFonts w:hint="eastAsia" w:ascii="仿宋" w:hAnsi="仿宋" w:eastAsia="仿宋" w:cs="仿宋"/>
                <w:color w:val="auto"/>
                <w:kern w:val="0"/>
                <w:sz w:val="21"/>
                <w:szCs w:val="21"/>
                <w:highlight w:val="none"/>
                <w:lang w:bidi="ar"/>
              </w:rPr>
              <w:t>分</w:t>
            </w:r>
          </w:p>
        </w:tc>
        <w:tc>
          <w:tcPr>
            <w:tcW w:w="405"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DAD1E7">
            <w:pPr>
              <w:widowControl/>
              <w:shd w:val="clear" w:color="auto" w:fill="auto"/>
              <w:spacing w:line="360" w:lineRule="auto"/>
              <w:jc w:val="center"/>
              <w:textAlignment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kern w:val="0"/>
                <w:sz w:val="21"/>
                <w:szCs w:val="21"/>
                <w:highlight w:val="none"/>
                <w:lang w:val="en-US" w:eastAsia="zh-CN" w:bidi="ar"/>
              </w:rPr>
              <w:t>6</w:t>
            </w:r>
          </w:p>
        </w:tc>
        <w:tc>
          <w:tcPr>
            <w:tcW w:w="38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472C23">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71AAA563">
            <w:pPr>
              <w:shd w:val="clear" w:color="auto" w:fill="auto"/>
              <w:spacing w:line="360" w:lineRule="auto"/>
              <w:jc w:val="center"/>
              <w:rPr>
                <w:rFonts w:hint="eastAsia" w:ascii="仿宋" w:hAnsi="仿宋" w:eastAsia="仿宋" w:cs="仿宋"/>
                <w:color w:val="auto"/>
                <w:sz w:val="21"/>
                <w:szCs w:val="21"/>
                <w:highlight w:val="none"/>
              </w:rPr>
            </w:pPr>
          </w:p>
        </w:tc>
      </w:tr>
      <w:tr w14:paraId="21621C43">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878CD9">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DCCCDF">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62934E">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2、伙食调剂恰当，味道可口，品种花色多样，以每周为阶段与采购人商议</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7737FF">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72A6F0">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B03433">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2A84F1D7">
            <w:pPr>
              <w:shd w:val="clear" w:color="auto" w:fill="auto"/>
              <w:spacing w:line="360" w:lineRule="auto"/>
              <w:jc w:val="center"/>
              <w:rPr>
                <w:rFonts w:hint="eastAsia" w:ascii="仿宋" w:hAnsi="仿宋" w:eastAsia="仿宋" w:cs="仿宋"/>
                <w:color w:val="auto"/>
                <w:sz w:val="21"/>
                <w:szCs w:val="21"/>
                <w:highlight w:val="none"/>
              </w:rPr>
            </w:pPr>
          </w:p>
        </w:tc>
      </w:tr>
      <w:tr w14:paraId="145ABB1D">
        <w:tblPrEx>
          <w:tblCellMar>
            <w:top w:w="0" w:type="dxa"/>
            <w:left w:w="0" w:type="dxa"/>
            <w:bottom w:w="0" w:type="dxa"/>
            <w:right w:w="0" w:type="dxa"/>
          </w:tblCellMar>
        </w:tblPrEx>
        <w:trPr>
          <w:trHeight w:val="312"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798500">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252BE6">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38EF6A">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下周食谱在每周五前交采购人办公室公布</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1EF2D0">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53BB8A">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938EE8">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21051F65">
            <w:pPr>
              <w:shd w:val="clear" w:color="auto" w:fill="auto"/>
              <w:spacing w:line="360" w:lineRule="auto"/>
              <w:jc w:val="center"/>
              <w:rPr>
                <w:rFonts w:hint="eastAsia" w:ascii="仿宋" w:hAnsi="仿宋" w:eastAsia="仿宋" w:cs="仿宋"/>
                <w:color w:val="auto"/>
                <w:sz w:val="21"/>
                <w:szCs w:val="21"/>
                <w:highlight w:val="none"/>
              </w:rPr>
            </w:pPr>
          </w:p>
        </w:tc>
      </w:tr>
      <w:tr w14:paraId="59408EA0">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030D1E">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9AE653">
            <w:pPr>
              <w:widowControl/>
              <w:shd w:val="clear" w:color="auto" w:fill="auto"/>
              <w:spacing w:line="240" w:lineRule="auto"/>
              <w:jc w:val="center"/>
              <w:textAlignment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kern w:val="0"/>
                <w:sz w:val="21"/>
                <w:szCs w:val="21"/>
                <w:highlight w:val="none"/>
                <w:lang w:eastAsia="zh-CN" w:bidi="ar"/>
              </w:rPr>
              <w:t>供餐</w:t>
            </w: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609F10">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1、饭菜不熟或口感较差现象</w:t>
            </w:r>
          </w:p>
        </w:tc>
        <w:tc>
          <w:tcPr>
            <w:tcW w:w="802"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4068E2">
            <w:pPr>
              <w:widowControl/>
              <w:shd w:val="clear" w:color="auto" w:fill="auto"/>
              <w:spacing w:line="36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发现一项或</w:t>
            </w:r>
            <w:r>
              <w:rPr>
                <w:rFonts w:hint="eastAsia" w:ascii="仿宋" w:hAnsi="仿宋" w:eastAsia="仿宋" w:cs="仿宋"/>
                <w:color w:val="auto"/>
                <w:kern w:val="0"/>
                <w:sz w:val="21"/>
                <w:szCs w:val="21"/>
                <w:highlight w:val="none"/>
                <w:lang w:val="en-US" w:eastAsia="zh-CN" w:bidi="ar"/>
              </w:rPr>
              <w:t>收到</w:t>
            </w:r>
            <w:r>
              <w:rPr>
                <w:rFonts w:hint="eastAsia" w:ascii="仿宋" w:hAnsi="仿宋" w:eastAsia="仿宋" w:cs="仿宋"/>
                <w:color w:val="auto"/>
                <w:kern w:val="0"/>
                <w:sz w:val="21"/>
                <w:szCs w:val="21"/>
                <w:highlight w:val="none"/>
                <w:lang w:bidi="ar"/>
              </w:rPr>
              <w:t>举报（经核实后）一次</w:t>
            </w:r>
            <w:r>
              <w:rPr>
                <w:rFonts w:hint="eastAsia" w:ascii="仿宋" w:hAnsi="仿宋" w:eastAsia="仿宋" w:cs="仿宋"/>
                <w:color w:val="auto"/>
                <w:kern w:val="0"/>
                <w:sz w:val="21"/>
                <w:szCs w:val="21"/>
                <w:highlight w:val="none"/>
                <w:lang w:val="en-US" w:eastAsia="zh-CN" w:bidi="ar"/>
              </w:rPr>
              <w:t>扣</w:t>
            </w:r>
            <w:r>
              <w:rPr>
                <w:rFonts w:hint="eastAsia" w:ascii="仿宋" w:hAnsi="仿宋" w:eastAsia="仿宋" w:cs="仿宋"/>
                <w:color w:val="auto"/>
                <w:kern w:val="0"/>
                <w:sz w:val="21"/>
                <w:szCs w:val="21"/>
                <w:highlight w:val="none"/>
                <w:lang w:bidi="ar"/>
              </w:rPr>
              <w:t>2分</w:t>
            </w:r>
          </w:p>
        </w:tc>
        <w:tc>
          <w:tcPr>
            <w:tcW w:w="405"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8F8A75">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10</w:t>
            </w:r>
          </w:p>
        </w:tc>
        <w:tc>
          <w:tcPr>
            <w:tcW w:w="38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E23DA9">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74C2BAEA">
            <w:pPr>
              <w:shd w:val="clear" w:color="auto" w:fill="auto"/>
              <w:spacing w:line="360" w:lineRule="auto"/>
              <w:jc w:val="center"/>
              <w:rPr>
                <w:rFonts w:hint="eastAsia" w:ascii="仿宋" w:hAnsi="仿宋" w:eastAsia="仿宋" w:cs="仿宋"/>
                <w:color w:val="auto"/>
                <w:sz w:val="21"/>
                <w:szCs w:val="21"/>
                <w:highlight w:val="none"/>
              </w:rPr>
            </w:pPr>
          </w:p>
        </w:tc>
      </w:tr>
      <w:tr w14:paraId="6E63BD83">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5E26A1">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0CC333">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F8DB3A">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2、饭菜内发现异物、杂物</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CA65F7">
            <w:pPr>
              <w:shd w:val="clear" w:color="auto" w:fill="auto"/>
              <w:spacing w:line="360" w:lineRule="auto"/>
              <w:jc w:val="left"/>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B7917D">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5318EB">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7E2A4D87">
            <w:pPr>
              <w:shd w:val="clear" w:color="auto" w:fill="auto"/>
              <w:spacing w:line="360" w:lineRule="auto"/>
              <w:jc w:val="center"/>
              <w:rPr>
                <w:rFonts w:hint="eastAsia" w:ascii="仿宋" w:hAnsi="仿宋" w:eastAsia="仿宋" w:cs="仿宋"/>
                <w:color w:val="auto"/>
                <w:sz w:val="21"/>
                <w:szCs w:val="21"/>
                <w:highlight w:val="none"/>
              </w:rPr>
            </w:pPr>
          </w:p>
        </w:tc>
      </w:tr>
      <w:tr w14:paraId="05469A40">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F94405">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E3529E">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7EEA6C">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3、隔夜饭菜不超过12小时，</w:t>
            </w:r>
            <w:r>
              <w:rPr>
                <w:rFonts w:hint="eastAsia" w:ascii="仿宋" w:hAnsi="仿宋" w:eastAsia="仿宋" w:cs="仿宋"/>
                <w:color w:val="auto"/>
                <w:sz w:val="21"/>
                <w:szCs w:val="21"/>
                <w:highlight w:val="none"/>
                <w:lang w:eastAsia="zh-CN"/>
              </w:rPr>
              <w:t>出柜</w:t>
            </w:r>
            <w:r>
              <w:rPr>
                <w:rFonts w:hint="eastAsia" w:ascii="仿宋" w:hAnsi="仿宋" w:eastAsia="仿宋" w:cs="仿宋"/>
                <w:color w:val="auto"/>
                <w:sz w:val="21"/>
                <w:szCs w:val="21"/>
                <w:highlight w:val="none"/>
              </w:rPr>
              <w:t>时必须高温加热</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2A4AC5">
            <w:pPr>
              <w:shd w:val="clear" w:color="auto" w:fill="auto"/>
              <w:spacing w:line="360" w:lineRule="auto"/>
              <w:jc w:val="left"/>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BC1C95">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4CB3C6">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215A901A">
            <w:pPr>
              <w:shd w:val="clear" w:color="auto" w:fill="auto"/>
              <w:spacing w:line="360" w:lineRule="auto"/>
              <w:jc w:val="center"/>
              <w:rPr>
                <w:rFonts w:hint="eastAsia" w:ascii="仿宋" w:hAnsi="仿宋" w:eastAsia="仿宋" w:cs="仿宋"/>
                <w:color w:val="auto"/>
                <w:sz w:val="21"/>
                <w:szCs w:val="21"/>
                <w:highlight w:val="none"/>
              </w:rPr>
            </w:pPr>
          </w:p>
        </w:tc>
      </w:tr>
      <w:tr w14:paraId="4B8F3CFF">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66F188">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C6B4D4">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F01AD7">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4、超过规定用餐时间</w:t>
            </w:r>
            <w:r>
              <w:rPr>
                <w:rFonts w:hint="eastAsia" w:ascii="仿宋" w:hAnsi="仿宋" w:eastAsia="仿宋" w:cs="仿宋"/>
                <w:color w:val="auto"/>
                <w:sz w:val="21"/>
                <w:szCs w:val="21"/>
                <w:highlight w:val="none"/>
                <w:lang w:eastAsia="zh-CN"/>
              </w:rPr>
              <w:t>出柜</w:t>
            </w:r>
            <w:r>
              <w:rPr>
                <w:rFonts w:hint="eastAsia" w:ascii="仿宋" w:hAnsi="仿宋" w:eastAsia="仿宋" w:cs="仿宋"/>
                <w:color w:val="auto"/>
                <w:sz w:val="21"/>
                <w:szCs w:val="21"/>
                <w:highlight w:val="none"/>
              </w:rPr>
              <w:t>的饭菜必须加热</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528772">
            <w:pPr>
              <w:shd w:val="clear" w:color="auto" w:fill="auto"/>
              <w:spacing w:line="360" w:lineRule="auto"/>
              <w:jc w:val="left"/>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136112">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BCDE1A">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2765CBD7">
            <w:pPr>
              <w:shd w:val="clear" w:color="auto" w:fill="auto"/>
              <w:spacing w:line="360" w:lineRule="auto"/>
              <w:jc w:val="center"/>
              <w:rPr>
                <w:rFonts w:hint="eastAsia" w:ascii="仿宋" w:hAnsi="仿宋" w:eastAsia="仿宋" w:cs="仿宋"/>
                <w:color w:val="auto"/>
                <w:sz w:val="21"/>
                <w:szCs w:val="21"/>
                <w:highlight w:val="none"/>
              </w:rPr>
            </w:pPr>
          </w:p>
        </w:tc>
      </w:tr>
      <w:tr w14:paraId="1492A904">
        <w:tblPrEx>
          <w:tblCellMar>
            <w:top w:w="0" w:type="dxa"/>
            <w:left w:w="0" w:type="dxa"/>
            <w:bottom w:w="0" w:type="dxa"/>
            <w:right w:w="0" w:type="dxa"/>
          </w:tblCellMar>
        </w:tblPrEx>
        <w:trPr>
          <w:trHeight w:val="90"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94EAE7">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A0874F">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工作餐搭配</w:t>
            </w: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40DF6C">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1、早餐时间合理</w:t>
            </w:r>
          </w:p>
        </w:tc>
        <w:tc>
          <w:tcPr>
            <w:tcW w:w="802"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ACB3B8">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val="en-US" w:eastAsia="zh-CN" w:bidi="ar"/>
              </w:rPr>
              <w:t>每出现一次问题扣</w:t>
            </w:r>
            <w:r>
              <w:rPr>
                <w:rFonts w:hint="eastAsia" w:ascii="仿宋" w:hAnsi="仿宋" w:eastAsia="仿宋" w:cs="仿宋"/>
                <w:color w:val="auto"/>
                <w:kern w:val="0"/>
                <w:sz w:val="21"/>
                <w:szCs w:val="21"/>
                <w:highlight w:val="none"/>
                <w:lang w:bidi="ar"/>
              </w:rPr>
              <w:t>1分</w:t>
            </w:r>
          </w:p>
        </w:tc>
        <w:tc>
          <w:tcPr>
            <w:tcW w:w="405"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BECDC3">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10</w:t>
            </w:r>
          </w:p>
        </w:tc>
        <w:tc>
          <w:tcPr>
            <w:tcW w:w="38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7A3667">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36DBB280">
            <w:pPr>
              <w:shd w:val="clear" w:color="auto" w:fill="auto"/>
              <w:spacing w:line="360" w:lineRule="auto"/>
              <w:jc w:val="center"/>
              <w:rPr>
                <w:rFonts w:hint="eastAsia" w:ascii="仿宋" w:hAnsi="仿宋" w:eastAsia="仿宋" w:cs="仿宋"/>
                <w:color w:val="auto"/>
                <w:sz w:val="21"/>
                <w:szCs w:val="21"/>
                <w:highlight w:val="none"/>
              </w:rPr>
            </w:pPr>
          </w:p>
        </w:tc>
      </w:tr>
      <w:tr w14:paraId="0D34667E">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DA1915">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0B57A5">
            <w:pPr>
              <w:shd w:val="clear" w:color="auto" w:fill="auto"/>
              <w:spacing w:line="240" w:lineRule="auto"/>
              <w:jc w:val="left"/>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F1C40A">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2、午餐荤素营养搭配合理，种类不少于</w:t>
            </w:r>
            <w:r>
              <w:rPr>
                <w:rFonts w:hint="eastAsia" w:ascii="仿宋" w:hAnsi="仿宋" w:eastAsia="仿宋" w:cs="仿宋"/>
                <w:color w:val="auto"/>
                <w:kern w:val="0"/>
                <w:sz w:val="21"/>
                <w:szCs w:val="21"/>
                <w:highlight w:val="none"/>
                <w:lang w:val="en-US" w:eastAsia="zh-CN" w:bidi="ar"/>
              </w:rPr>
              <w:t>6</w:t>
            </w:r>
            <w:r>
              <w:rPr>
                <w:rFonts w:hint="eastAsia" w:ascii="仿宋" w:hAnsi="仿宋" w:eastAsia="仿宋" w:cs="仿宋"/>
                <w:color w:val="auto"/>
                <w:kern w:val="0"/>
                <w:sz w:val="21"/>
                <w:szCs w:val="21"/>
                <w:highlight w:val="none"/>
                <w:lang w:bidi="ar"/>
              </w:rPr>
              <w:t>种</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112590">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EB6109">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29CE41">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4EE23B70">
            <w:pPr>
              <w:shd w:val="clear" w:color="auto" w:fill="auto"/>
              <w:spacing w:line="360" w:lineRule="auto"/>
              <w:jc w:val="center"/>
              <w:rPr>
                <w:rFonts w:hint="eastAsia" w:ascii="仿宋" w:hAnsi="仿宋" w:eastAsia="仿宋" w:cs="仿宋"/>
                <w:color w:val="auto"/>
                <w:sz w:val="21"/>
                <w:szCs w:val="21"/>
                <w:highlight w:val="none"/>
              </w:rPr>
            </w:pPr>
          </w:p>
        </w:tc>
      </w:tr>
      <w:tr w14:paraId="5EE3A18D">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316EA0">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9FBA1B">
            <w:pPr>
              <w:shd w:val="clear" w:color="auto" w:fill="auto"/>
              <w:spacing w:line="240" w:lineRule="auto"/>
              <w:jc w:val="left"/>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496855">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3、晚餐荤素营养搭配合理，种类不少于</w:t>
            </w:r>
            <w:r>
              <w:rPr>
                <w:rFonts w:hint="eastAsia" w:ascii="仿宋" w:hAnsi="仿宋" w:eastAsia="仿宋" w:cs="仿宋"/>
                <w:color w:val="auto"/>
                <w:kern w:val="0"/>
                <w:sz w:val="21"/>
                <w:szCs w:val="21"/>
                <w:highlight w:val="none"/>
                <w:lang w:val="en-US" w:eastAsia="zh-CN" w:bidi="ar"/>
              </w:rPr>
              <w:t>6</w:t>
            </w:r>
            <w:r>
              <w:rPr>
                <w:rFonts w:hint="eastAsia" w:ascii="仿宋" w:hAnsi="仿宋" w:eastAsia="仿宋" w:cs="仿宋"/>
                <w:color w:val="auto"/>
                <w:kern w:val="0"/>
                <w:sz w:val="21"/>
                <w:szCs w:val="21"/>
                <w:highlight w:val="none"/>
                <w:lang w:bidi="ar"/>
              </w:rPr>
              <w:t>种</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2318BA">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1737FB">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001F69">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1DADB75D">
            <w:pPr>
              <w:shd w:val="clear" w:color="auto" w:fill="auto"/>
              <w:spacing w:line="360" w:lineRule="auto"/>
              <w:jc w:val="center"/>
              <w:rPr>
                <w:rFonts w:hint="eastAsia" w:ascii="仿宋" w:hAnsi="仿宋" w:eastAsia="仿宋" w:cs="仿宋"/>
                <w:color w:val="auto"/>
                <w:sz w:val="21"/>
                <w:szCs w:val="21"/>
                <w:highlight w:val="none"/>
              </w:rPr>
            </w:pPr>
          </w:p>
        </w:tc>
      </w:tr>
      <w:tr w14:paraId="2E024E7D">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06A878">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65D6C0">
            <w:pPr>
              <w:shd w:val="clear" w:color="auto" w:fill="auto"/>
              <w:spacing w:line="240" w:lineRule="auto"/>
              <w:jc w:val="left"/>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6339D4">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4、每日三餐汤类不可重复</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DA1C8E">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B896EA">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8C281A">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1E69643D">
            <w:pPr>
              <w:shd w:val="clear" w:color="auto" w:fill="auto"/>
              <w:spacing w:line="360" w:lineRule="auto"/>
              <w:jc w:val="center"/>
              <w:rPr>
                <w:rFonts w:hint="eastAsia" w:ascii="仿宋" w:hAnsi="仿宋" w:eastAsia="仿宋" w:cs="仿宋"/>
                <w:color w:val="auto"/>
                <w:sz w:val="21"/>
                <w:szCs w:val="21"/>
                <w:highlight w:val="none"/>
              </w:rPr>
            </w:pPr>
          </w:p>
        </w:tc>
      </w:tr>
      <w:tr w14:paraId="0CCA7848">
        <w:tblPrEx>
          <w:tblCellMar>
            <w:top w:w="0" w:type="dxa"/>
            <w:left w:w="0" w:type="dxa"/>
            <w:bottom w:w="0" w:type="dxa"/>
            <w:right w:w="0" w:type="dxa"/>
          </w:tblCellMar>
        </w:tblPrEx>
        <w:trPr>
          <w:trHeight w:val="23" w:hRule="atLeast"/>
          <w:jc w:val="center"/>
        </w:trPr>
        <w:tc>
          <w:tcPr>
            <w:tcW w:w="555"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CDA0EA">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服务质量</w:t>
            </w:r>
          </w:p>
        </w:tc>
        <w:tc>
          <w:tcPr>
            <w:tcW w:w="65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DAFE1D">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仪容仪表</w:t>
            </w: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B1F1BA">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1、厨师工作期间需着整洁干净的衣服</w:t>
            </w:r>
          </w:p>
        </w:tc>
        <w:tc>
          <w:tcPr>
            <w:tcW w:w="802"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051053">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发现一人次</w:t>
            </w:r>
            <w:r>
              <w:rPr>
                <w:rFonts w:hint="eastAsia" w:ascii="仿宋" w:hAnsi="仿宋" w:eastAsia="仿宋" w:cs="仿宋"/>
                <w:color w:val="auto"/>
                <w:kern w:val="0"/>
                <w:sz w:val="21"/>
                <w:szCs w:val="21"/>
                <w:highlight w:val="none"/>
                <w:lang w:val="en-US" w:eastAsia="zh-CN" w:bidi="ar"/>
              </w:rPr>
              <w:t>扣</w:t>
            </w:r>
            <w:r>
              <w:rPr>
                <w:rFonts w:hint="eastAsia" w:ascii="仿宋" w:hAnsi="仿宋" w:eastAsia="仿宋" w:cs="仿宋"/>
                <w:color w:val="auto"/>
                <w:kern w:val="0"/>
                <w:sz w:val="21"/>
                <w:szCs w:val="21"/>
                <w:highlight w:val="none"/>
                <w:lang w:bidi="ar"/>
              </w:rPr>
              <w:t>2分</w:t>
            </w:r>
          </w:p>
        </w:tc>
        <w:tc>
          <w:tcPr>
            <w:tcW w:w="405"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EC3236">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10</w:t>
            </w:r>
          </w:p>
        </w:tc>
        <w:tc>
          <w:tcPr>
            <w:tcW w:w="38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1B79B2">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5CAD98D3">
            <w:pPr>
              <w:shd w:val="clear" w:color="auto" w:fill="auto"/>
              <w:spacing w:line="360" w:lineRule="auto"/>
              <w:jc w:val="center"/>
              <w:rPr>
                <w:rFonts w:hint="eastAsia" w:ascii="仿宋" w:hAnsi="仿宋" w:eastAsia="仿宋" w:cs="仿宋"/>
                <w:color w:val="auto"/>
                <w:sz w:val="21"/>
                <w:szCs w:val="21"/>
                <w:highlight w:val="none"/>
              </w:rPr>
            </w:pPr>
          </w:p>
        </w:tc>
      </w:tr>
      <w:tr w14:paraId="25EFEA4D">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EF92E3">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DF9A93">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CE689B">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2、不允许佩戴手饰、双手干净</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2FBBBD">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14F90D">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63796A">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1C107B2A">
            <w:pPr>
              <w:shd w:val="clear" w:color="auto" w:fill="auto"/>
              <w:spacing w:line="360" w:lineRule="auto"/>
              <w:jc w:val="center"/>
              <w:rPr>
                <w:rFonts w:hint="eastAsia" w:ascii="仿宋" w:hAnsi="仿宋" w:eastAsia="仿宋" w:cs="仿宋"/>
                <w:color w:val="auto"/>
                <w:sz w:val="21"/>
                <w:szCs w:val="21"/>
                <w:highlight w:val="none"/>
              </w:rPr>
            </w:pPr>
          </w:p>
        </w:tc>
      </w:tr>
      <w:tr w14:paraId="332D0C42">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9FF094">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5789A9">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109526">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3、操作时禁止吸烟、挖鼻孔、对食品打喷嚏等不卫生行为</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EA200A">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136D68">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06FDBD">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73F5BD17">
            <w:pPr>
              <w:shd w:val="clear" w:color="auto" w:fill="auto"/>
              <w:spacing w:line="360" w:lineRule="auto"/>
              <w:jc w:val="center"/>
              <w:rPr>
                <w:rFonts w:hint="eastAsia" w:ascii="仿宋" w:hAnsi="仿宋" w:eastAsia="仿宋" w:cs="仿宋"/>
                <w:color w:val="auto"/>
                <w:sz w:val="21"/>
                <w:szCs w:val="21"/>
                <w:highlight w:val="none"/>
              </w:rPr>
            </w:pPr>
          </w:p>
        </w:tc>
      </w:tr>
      <w:tr w14:paraId="6F059627">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115CA1">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139C6B">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778E04">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4</w:t>
            </w:r>
            <w:r>
              <w:rPr>
                <w:rFonts w:hint="eastAsia" w:ascii="仿宋" w:hAnsi="仿宋" w:eastAsia="仿宋" w:cs="仿宋"/>
                <w:color w:val="auto"/>
                <w:kern w:val="0"/>
                <w:sz w:val="21"/>
                <w:szCs w:val="21"/>
                <w:highlight w:val="none"/>
                <w:lang w:eastAsia="zh-CN" w:bidi="ar"/>
              </w:rPr>
              <w:t>、供餐</w:t>
            </w:r>
            <w:r>
              <w:rPr>
                <w:rFonts w:hint="eastAsia" w:ascii="仿宋" w:hAnsi="仿宋" w:eastAsia="仿宋" w:cs="仿宋"/>
                <w:color w:val="auto"/>
                <w:kern w:val="0"/>
                <w:sz w:val="21"/>
                <w:szCs w:val="21"/>
                <w:highlight w:val="none"/>
                <w:lang w:bidi="ar"/>
              </w:rPr>
              <w:t>时不能用手接触，必须戴一次性手套、口罩</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3B7BBA">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C06ABC">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A00C00">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0709811C">
            <w:pPr>
              <w:shd w:val="clear" w:color="auto" w:fill="auto"/>
              <w:spacing w:line="360" w:lineRule="auto"/>
              <w:jc w:val="center"/>
              <w:rPr>
                <w:rFonts w:hint="eastAsia" w:ascii="仿宋" w:hAnsi="仿宋" w:eastAsia="仿宋" w:cs="仿宋"/>
                <w:color w:val="auto"/>
                <w:sz w:val="21"/>
                <w:szCs w:val="21"/>
                <w:highlight w:val="none"/>
              </w:rPr>
            </w:pPr>
          </w:p>
        </w:tc>
      </w:tr>
      <w:tr w14:paraId="2123D307">
        <w:tblPrEx>
          <w:tblCellMar>
            <w:top w:w="0" w:type="dxa"/>
            <w:left w:w="0" w:type="dxa"/>
            <w:bottom w:w="0" w:type="dxa"/>
            <w:right w:w="0" w:type="dxa"/>
          </w:tblCellMar>
        </w:tblPrEx>
        <w:trPr>
          <w:trHeight w:val="446"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B67E97">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574E7B">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服务</w:t>
            </w: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6B421F">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1、食堂服务人员要微笑服务</w:t>
            </w:r>
          </w:p>
        </w:tc>
        <w:tc>
          <w:tcPr>
            <w:tcW w:w="802"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385BB1">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val="en-US" w:eastAsia="zh-CN" w:bidi="ar"/>
              </w:rPr>
              <w:t>每发现一次</w:t>
            </w:r>
            <w:r>
              <w:rPr>
                <w:rFonts w:hint="eastAsia" w:ascii="仿宋" w:hAnsi="仿宋" w:eastAsia="仿宋" w:cs="仿宋"/>
                <w:color w:val="auto"/>
                <w:kern w:val="0"/>
                <w:sz w:val="21"/>
                <w:szCs w:val="21"/>
                <w:highlight w:val="none"/>
                <w:lang w:bidi="ar"/>
              </w:rPr>
              <w:t>不文明行为</w:t>
            </w:r>
            <w:r>
              <w:rPr>
                <w:rFonts w:hint="eastAsia" w:ascii="仿宋" w:hAnsi="仿宋" w:eastAsia="仿宋" w:cs="仿宋"/>
                <w:color w:val="auto"/>
                <w:kern w:val="0"/>
                <w:sz w:val="21"/>
                <w:szCs w:val="21"/>
                <w:highlight w:val="none"/>
                <w:lang w:val="en-US" w:eastAsia="zh-CN" w:bidi="ar"/>
              </w:rPr>
              <w:t>扣</w:t>
            </w:r>
            <w:r>
              <w:rPr>
                <w:rFonts w:hint="eastAsia" w:ascii="仿宋" w:hAnsi="仿宋" w:eastAsia="仿宋" w:cs="仿宋"/>
                <w:color w:val="auto"/>
                <w:kern w:val="0"/>
                <w:sz w:val="21"/>
                <w:szCs w:val="21"/>
                <w:highlight w:val="none"/>
                <w:lang w:bidi="ar"/>
              </w:rPr>
              <w:t>2分，每</w:t>
            </w:r>
            <w:r>
              <w:rPr>
                <w:rFonts w:hint="eastAsia" w:ascii="仿宋" w:hAnsi="仿宋" w:eastAsia="仿宋" w:cs="仿宋"/>
                <w:color w:val="auto"/>
                <w:kern w:val="0"/>
                <w:sz w:val="21"/>
                <w:szCs w:val="21"/>
                <w:highlight w:val="none"/>
                <w:lang w:val="en-US" w:eastAsia="zh-CN" w:bidi="ar"/>
              </w:rPr>
              <w:t>收到</w:t>
            </w:r>
            <w:r>
              <w:rPr>
                <w:rFonts w:hint="eastAsia" w:ascii="仿宋" w:hAnsi="仿宋" w:eastAsia="仿宋" w:cs="仿宋"/>
                <w:color w:val="auto"/>
                <w:kern w:val="0"/>
                <w:sz w:val="21"/>
                <w:szCs w:val="21"/>
                <w:highlight w:val="none"/>
                <w:lang w:bidi="ar"/>
              </w:rPr>
              <w:t>举报1次</w:t>
            </w:r>
            <w:r>
              <w:rPr>
                <w:rFonts w:hint="eastAsia" w:ascii="仿宋" w:hAnsi="仿宋" w:eastAsia="仿宋" w:cs="仿宋"/>
                <w:color w:val="auto"/>
                <w:kern w:val="0"/>
                <w:sz w:val="21"/>
                <w:szCs w:val="21"/>
                <w:highlight w:val="none"/>
                <w:lang w:val="en-US" w:eastAsia="zh-CN" w:bidi="ar"/>
              </w:rPr>
              <w:t>扣</w:t>
            </w:r>
            <w:r>
              <w:rPr>
                <w:rFonts w:hint="eastAsia" w:ascii="仿宋" w:hAnsi="仿宋" w:eastAsia="仿宋" w:cs="仿宋"/>
                <w:color w:val="auto"/>
                <w:kern w:val="0"/>
                <w:sz w:val="21"/>
                <w:szCs w:val="21"/>
                <w:highlight w:val="none"/>
                <w:lang w:bidi="ar"/>
              </w:rPr>
              <w:t>4分</w:t>
            </w:r>
          </w:p>
        </w:tc>
        <w:tc>
          <w:tcPr>
            <w:tcW w:w="405"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269FAE">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10</w:t>
            </w:r>
          </w:p>
        </w:tc>
        <w:tc>
          <w:tcPr>
            <w:tcW w:w="38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9ED941">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2E8F35ED">
            <w:pPr>
              <w:shd w:val="clear" w:color="auto" w:fill="auto"/>
              <w:spacing w:line="360" w:lineRule="auto"/>
              <w:jc w:val="center"/>
              <w:rPr>
                <w:rFonts w:hint="eastAsia" w:ascii="仿宋" w:hAnsi="仿宋" w:eastAsia="仿宋" w:cs="仿宋"/>
                <w:color w:val="auto"/>
                <w:sz w:val="21"/>
                <w:szCs w:val="21"/>
                <w:highlight w:val="none"/>
              </w:rPr>
            </w:pPr>
          </w:p>
        </w:tc>
      </w:tr>
      <w:tr w14:paraId="26F0AB43">
        <w:tblPrEx>
          <w:tblCellMar>
            <w:top w:w="0" w:type="dxa"/>
            <w:left w:w="0" w:type="dxa"/>
            <w:bottom w:w="0" w:type="dxa"/>
            <w:right w:w="0" w:type="dxa"/>
          </w:tblCellMar>
        </w:tblPrEx>
        <w:trPr>
          <w:trHeight w:val="466"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ABDD40">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93C3C2">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47B56B">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2、不得发生争吵、打骂行为</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38B31F">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3CAD22">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A3737D">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52FCE187">
            <w:pPr>
              <w:shd w:val="clear" w:color="auto" w:fill="auto"/>
              <w:spacing w:line="360" w:lineRule="auto"/>
              <w:jc w:val="center"/>
              <w:rPr>
                <w:rFonts w:hint="eastAsia" w:ascii="仿宋" w:hAnsi="仿宋" w:eastAsia="仿宋" w:cs="仿宋"/>
                <w:color w:val="auto"/>
                <w:sz w:val="21"/>
                <w:szCs w:val="21"/>
                <w:highlight w:val="none"/>
              </w:rPr>
            </w:pPr>
          </w:p>
        </w:tc>
      </w:tr>
      <w:tr w14:paraId="76838898">
        <w:tblPrEx>
          <w:tblCellMar>
            <w:top w:w="0" w:type="dxa"/>
            <w:left w:w="0" w:type="dxa"/>
            <w:bottom w:w="0" w:type="dxa"/>
            <w:right w:w="0" w:type="dxa"/>
          </w:tblCellMar>
        </w:tblPrEx>
        <w:trPr>
          <w:trHeight w:val="528"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E2676F">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B3B458">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2211EB">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3、按规定时间开饭、回收餐具</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A741F4">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385F73">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6E6ED1">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700CB376">
            <w:pPr>
              <w:shd w:val="clear" w:color="auto" w:fill="auto"/>
              <w:spacing w:line="360" w:lineRule="auto"/>
              <w:jc w:val="center"/>
              <w:rPr>
                <w:rFonts w:hint="eastAsia" w:ascii="仿宋" w:hAnsi="仿宋" w:eastAsia="仿宋" w:cs="仿宋"/>
                <w:color w:val="auto"/>
                <w:sz w:val="21"/>
                <w:szCs w:val="21"/>
                <w:highlight w:val="none"/>
              </w:rPr>
            </w:pPr>
          </w:p>
        </w:tc>
      </w:tr>
      <w:tr w14:paraId="60936837">
        <w:tblPrEx>
          <w:tblCellMar>
            <w:top w:w="0" w:type="dxa"/>
            <w:left w:w="0" w:type="dxa"/>
            <w:bottom w:w="0" w:type="dxa"/>
            <w:right w:w="0" w:type="dxa"/>
          </w:tblCellMar>
        </w:tblPrEx>
        <w:trPr>
          <w:trHeight w:val="473" w:hRule="atLeast"/>
          <w:jc w:val="center"/>
        </w:trPr>
        <w:tc>
          <w:tcPr>
            <w:tcW w:w="555"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6C278D">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卫生标准</w:t>
            </w:r>
          </w:p>
        </w:tc>
        <w:tc>
          <w:tcPr>
            <w:tcW w:w="65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058128">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制作</w:t>
            </w: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1E76DD">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1、生、熟食品分开</w:t>
            </w:r>
          </w:p>
        </w:tc>
        <w:tc>
          <w:tcPr>
            <w:tcW w:w="802"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06FC39">
            <w:pPr>
              <w:shd w:val="clear" w:color="auto" w:fill="auto"/>
              <w:spacing w:line="36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发现一次扣</w:t>
            </w:r>
            <w:r>
              <w:rPr>
                <w:rFonts w:hint="eastAsia" w:ascii="仿宋" w:hAnsi="仿宋" w:eastAsia="仿宋" w:cs="仿宋"/>
                <w:color w:val="auto"/>
                <w:sz w:val="21"/>
                <w:szCs w:val="21"/>
                <w:highlight w:val="none"/>
                <w:lang w:val="en-US" w:eastAsia="zh-CN"/>
              </w:rPr>
              <w:t>1分</w:t>
            </w:r>
          </w:p>
        </w:tc>
        <w:tc>
          <w:tcPr>
            <w:tcW w:w="405"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3A9A05">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10</w:t>
            </w:r>
          </w:p>
        </w:tc>
        <w:tc>
          <w:tcPr>
            <w:tcW w:w="38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3ADC16">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470314A2">
            <w:pPr>
              <w:shd w:val="clear" w:color="auto" w:fill="auto"/>
              <w:spacing w:line="360" w:lineRule="auto"/>
              <w:jc w:val="center"/>
              <w:rPr>
                <w:rFonts w:hint="eastAsia" w:ascii="仿宋" w:hAnsi="仿宋" w:eastAsia="仿宋" w:cs="仿宋"/>
                <w:color w:val="auto"/>
                <w:sz w:val="21"/>
                <w:szCs w:val="21"/>
                <w:highlight w:val="none"/>
              </w:rPr>
            </w:pPr>
          </w:p>
        </w:tc>
      </w:tr>
      <w:tr w14:paraId="3D759100">
        <w:tblPrEx>
          <w:tblCellMar>
            <w:top w:w="0" w:type="dxa"/>
            <w:left w:w="0" w:type="dxa"/>
            <w:bottom w:w="0" w:type="dxa"/>
            <w:right w:w="0" w:type="dxa"/>
          </w:tblCellMar>
        </w:tblPrEx>
        <w:trPr>
          <w:trHeight w:val="509"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D8ADCD">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E1A5BF">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0FBCCA">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2、食品存放分类分架</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1CCBCA">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88F5E4">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8FA311">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72688738">
            <w:pPr>
              <w:shd w:val="clear" w:color="auto" w:fill="auto"/>
              <w:spacing w:line="360" w:lineRule="auto"/>
              <w:jc w:val="center"/>
              <w:rPr>
                <w:rFonts w:hint="eastAsia" w:ascii="仿宋" w:hAnsi="仿宋" w:eastAsia="仿宋" w:cs="仿宋"/>
                <w:color w:val="auto"/>
                <w:sz w:val="21"/>
                <w:szCs w:val="21"/>
                <w:highlight w:val="none"/>
              </w:rPr>
            </w:pPr>
          </w:p>
        </w:tc>
      </w:tr>
      <w:tr w14:paraId="34BCED42">
        <w:tblPrEx>
          <w:tblCellMar>
            <w:top w:w="0" w:type="dxa"/>
            <w:left w:w="0" w:type="dxa"/>
            <w:bottom w:w="0" w:type="dxa"/>
            <w:right w:w="0" w:type="dxa"/>
          </w:tblCellMar>
        </w:tblPrEx>
        <w:trPr>
          <w:trHeight w:val="43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2A5770">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4724C5">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286D03">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3、无过期、变质食品原材料</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C605C1">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D24C8A">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B0B246">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13BA6DBF">
            <w:pPr>
              <w:shd w:val="clear" w:color="auto" w:fill="auto"/>
              <w:spacing w:line="360" w:lineRule="auto"/>
              <w:jc w:val="center"/>
              <w:rPr>
                <w:rFonts w:hint="eastAsia" w:ascii="仿宋" w:hAnsi="仿宋" w:eastAsia="仿宋" w:cs="仿宋"/>
                <w:color w:val="auto"/>
                <w:sz w:val="21"/>
                <w:szCs w:val="21"/>
                <w:highlight w:val="none"/>
              </w:rPr>
            </w:pPr>
          </w:p>
        </w:tc>
      </w:tr>
      <w:tr w14:paraId="69EF1A99">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86EB2E">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27DA33">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厨房</w:t>
            </w: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00990A">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1、各种蒸饭、煲汤炉具整洁，里外干净光亮</w:t>
            </w:r>
          </w:p>
        </w:tc>
        <w:tc>
          <w:tcPr>
            <w:tcW w:w="802"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069D6A">
            <w:pPr>
              <w:widowControl/>
              <w:shd w:val="clear" w:color="auto" w:fill="auto"/>
              <w:spacing w:line="360" w:lineRule="auto"/>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有一项不清洁</w:t>
            </w:r>
            <w:r>
              <w:rPr>
                <w:rFonts w:hint="eastAsia" w:ascii="仿宋" w:hAnsi="仿宋" w:eastAsia="仿宋" w:cs="仿宋"/>
                <w:color w:val="auto"/>
                <w:kern w:val="0"/>
                <w:sz w:val="21"/>
                <w:szCs w:val="21"/>
                <w:highlight w:val="none"/>
                <w:lang w:val="en-US" w:eastAsia="zh-CN" w:bidi="ar"/>
              </w:rPr>
              <w:t>扣</w:t>
            </w:r>
            <w:r>
              <w:rPr>
                <w:rFonts w:hint="eastAsia" w:ascii="仿宋" w:hAnsi="仿宋" w:eastAsia="仿宋" w:cs="仿宋"/>
                <w:color w:val="auto"/>
                <w:kern w:val="0"/>
                <w:sz w:val="21"/>
                <w:szCs w:val="21"/>
                <w:highlight w:val="none"/>
                <w:lang w:bidi="ar"/>
              </w:rPr>
              <w:t>1分，无消毒作业</w:t>
            </w:r>
            <w:r>
              <w:rPr>
                <w:rFonts w:hint="eastAsia" w:ascii="仿宋" w:hAnsi="仿宋" w:eastAsia="仿宋" w:cs="仿宋"/>
                <w:color w:val="auto"/>
                <w:kern w:val="0"/>
                <w:sz w:val="21"/>
                <w:szCs w:val="21"/>
                <w:highlight w:val="none"/>
                <w:lang w:val="en-US" w:eastAsia="zh-CN" w:bidi="ar"/>
              </w:rPr>
              <w:t>扣</w:t>
            </w:r>
            <w:r>
              <w:rPr>
                <w:rFonts w:hint="eastAsia" w:ascii="仿宋" w:hAnsi="仿宋" w:eastAsia="仿宋" w:cs="仿宋"/>
                <w:color w:val="auto"/>
                <w:kern w:val="0"/>
                <w:sz w:val="21"/>
                <w:szCs w:val="21"/>
                <w:highlight w:val="none"/>
                <w:lang w:bidi="ar"/>
              </w:rPr>
              <w:t>2分，不按食品安全工作规定</w:t>
            </w:r>
            <w:r>
              <w:rPr>
                <w:rFonts w:hint="eastAsia" w:ascii="仿宋" w:hAnsi="仿宋" w:eastAsia="仿宋" w:cs="仿宋"/>
                <w:color w:val="auto"/>
                <w:kern w:val="0"/>
                <w:sz w:val="21"/>
                <w:szCs w:val="21"/>
                <w:highlight w:val="none"/>
                <w:lang w:val="en-US" w:eastAsia="zh-CN" w:bidi="ar"/>
              </w:rPr>
              <w:t>扣</w:t>
            </w:r>
            <w:r>
              <w:rPr>
                <w:rFonts w:hint="eastAsia" w:ascii="仿宋" w:hAnsi="仿宋" w:eastAsia="仿宋" w:cs="仿宋"/>
                <w:color w:val="auto"/>
                <w:kern w:val="0"/>
                <w:sz w:val="21"/>
                <w:szCs w:val="21"/>
                <w:highlight w:val="none"/>
                <w:lang w:bidi="ar"/>
              </w:rPr>
              <w:t>2分</w:t>
            </w:r>
          </w:p>
        </w:tc>
        <w:tc>
          <w:tcPr>
            <w:tcW w:w="405"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0098D3">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20</w:t>
            </w:r>
          </w:p>
        </w:tc>
        <w:tc>
          <w:tcPr>
            <w:tcW w:w="38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39BB48">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74DFF739">
            <w:pPr>
              <w:shd w:val="clear" w:color="auto" w:fill="auto"/>
              <w:spacing w:line="360" w:lineRule="auto"/>
              <w:jc w:val="center"/>
              <w:rPr>
                <w:rFonts w:hint="eastAsia" w:ascii="仿宋" w:hAnsi="仿宋" w:eastAsia="仿宋" w:cs="仿宋"/>
                <w:color w:val="auto"/>
                <w:sz w:val="21"/>
                <w:szCs w:val="21"/>
                <w:highlight w:val="none"/>
              </w:rPr>
            </w:pPr>
          </w:p>
        </w:tc>
      </w:tr>
      <w:tr w14:paraId="166A63FB">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7496DD">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3AB00F">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489096">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2、工作间地面干净、无积水、无杂物</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FF0799">
            <w:pPr>
              <w:shd w:val="clear" w:color="auto" w:fill="auto"/>
              <w:spacing w:line="360" w:lineRule="auto"/>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82B725">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C8CF32">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06D7682A">
            <w:pPr>
              <w:shd w:val="clear" w:color="auto" w:fill="auto"/>
              <w:spacing w:line="360" w:lineRule="auto"/>
              <w:jc w:val="center"/>
              <w:rPr>
                <w:rFonts w:hint="eastAsia" w:ascii="仿宋" w:hAnsi="仿宋" w:eastAsia="仿宋" w:cs="仿宋"/>
                <w:color w:val="auto"/>
                <w:sz w:val="21"/>
                <w:szCs w:val="21"/>
                <w:highlight w:val="none"/>
              </w:rPr>
            </w:pPr>
          </w:p>
        </w:tc>
      </w:tr>
      <w:tr w14:paraId="03FD0F60">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6A36BA">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5E98A9">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00A581">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3、货架经常擦拭，保持干净，各种刀具摆放整洁</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14B7DE">
            <w:pPr>
              <w:shd w:val="clear" w:color="auto" w:fill="auto"/>
              <w:spacing w:line="360" w:lineRule="auto"/>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65EF3F">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E23421">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004A6842">
            <w:pPr>
              <w:shd w:val="clear" w:color="auto" w:fill="auto"/>
              <w:spacing w:line="360" w:lineRule="auto"/>
              <w:jc w:val="center"/>
              <w:rPr>
                <w:rFonts w:hint="eastAsia" w:ascii="仿宋" w:hAnsi="仿宋" w:eastAsia="仿宋" w:cs="仿宋"/>
                <w:color w:val="auto"/>
                <w:sz w:val="21"/>
                <w:szCs w:val="21"/>
                <w:highlight w:val="none"/>
              </w:rPr>
            </w:pPr>
          </w:p>
        </w:tc>
      </w:tr>
      <w:tr w14:paraId="57573EC5">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664B1D">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6002CC">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E23C07">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4、操作台、灶台及饭台干净整洁</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062773">
            <w:pPr>
              <w:shd w:val="clear" w:color="auto" w:fill="auto"/>
              <w:spacing w:line="360" w:lineRule="auto"/>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0FEE2A">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6B2405">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7D222048">
            <w:pPr>
              <w:shd w:val="clear" w:color="auto" w:fill="auto"/>
              <w:spacing w:line="360" w:lineRule="auto"/>
              <w:jc w:val="center"/>
              <w:rPr>
                <w:rFonts w:hint="eastAsia" w:ascii="仿宋" w:hAnsi="仿宋" w:eastAsia="仿宋" w:cs="仿宋"/>
                <w:color w:val="auto"/>
                <w:sz w:val="21"/>
                <w:szCs w:val="21"/>
                <w:highlight w:val="none"/>
              </w:rPr>
            </w:pPr>
          </w:p>
        </w:tc>
      </w:tr>
      <w:tr w14:paraId="4C8BF68C">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AE290C">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5AD9A6">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631844">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5、洗菜池、炊具、餐具、定期消毒并保持干净，做到“一洗二清三冲四消毒”</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2F5203">
            <w:pPr>
              <w:shd w:val="clear" w:color="auto" w:fill="auto"/>
              <w:spacing w:line="360" w:lineRule="auto"/>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43BAF5">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3BD49F">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3F3787F0">
            <w:pPr>
              <w:shd w:val="clear" w:color="auto" w:fill="auto"/>
              <w:spacing w:line="360" w:lineRule="auto"/>
              <w:jc w:val="center"/>
              <w:rPr>
                <w:rFonts w:hint="eastAsia" w:ascii="仿宋" w:hAnsi="仿宋" w:eastAsia="仿宋" w:cs="仿宋"/>
                <w:color w:val="auto"/>
                <w:sz w:val="21"/>
                <w:szCs w:val="21"/>
                <w:highlight w:val="none"/>
              </w:rPr>
            </w:pPr>
          </w:p>
        </w:tc>
      </w:tr>
      <w:tr w14:paraId="0A965A10">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7E4521">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FC0833">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714509">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6、各种机器设备保持整洁，标示清晰</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DEDBE0">
            <w:pPr>
              <w:shd w:val="clear" w:color="auto" w:fill="auto"/>
              <w:spacing w:line="360" w:lineRule="auto"/>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05B591">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EE647E">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29599E5A">
            <w:pPr>
              <w:shd w:val="clear" w:color="auto" w:fill="auto"/>
              <w:spacing w:line="360" w:lineRule="auto"/>
              <w:jc w:val="center"/>
              <w:rPr>
                <w:rFonts w:hint="eastAsia" w:ascii="仿宋" w:hAnsi="仿宋" w:eastAsia="仿宋" w:cs="仿宋"/>
                <w:color w:val="auto"/>
                <w:sz w:val="21"/>
                <w:szCs w:val="21"/>
                <w:highlight w:val="none"/>
              </w:rPr>
            </w:pPr>
          </w:p>
        </w:tc>
      </w:tr>
      <w:tr w14:paraId="1A707C19">
        <w:tblPrEx>
          <w:tblCellMar>
            <w:top w:w="0" w:type="dxa"/>
            <w:left w:w="0" w:type="dxa"/>
            <w:bottom w:w="0" w:type="dxa"/>
            <w:right w:w="0" w:type="dxa"/>
          </w:tblCellMar>
        </w:tblPrEx>
        <w:trPr>
          <w:trHeight w:val="499"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91AFDC">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7B25A4">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B31813">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7、下水道无菜渣、无尘渍</w:t>
            </w:r>
          </w:p>
        </w:tc>
        <w:tc>
          <w:tcPr>
            <w:tcW w:w="80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F20857">
            <w:pPr>
              <w:shd w:val="clear" w:color="auto" w:fill="auto"/>
              <w:spacing w:line="360" w:lineRule="auto"/>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FD54C5">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71A2DF">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4A0034CC">
            <w:pPr>
              <w:shd w:val="clear" w:color="auto" w:fill="auto"/>
              <w:spacing w:line="360" w:lineRule="auto"/>
              <w:jc w:val="center"/>
              <w:rPr>
                <w:rFonts w:hint="eastAsia" w:ascii="仿宋" w:hAnsi="仿宋" w:eastAsia="仿宋" w:cs="仿宋"/>
                <w:color w:val="auto"/>
                <w:sz w:val="21"/>
                <w:szCs w:val="21"/>
                <w:highlight w:val="none"/>
              </w:rPr>
            </w:pPr>
          </w:p>
        </w:tc>
      </w:tr>
      <w:tr w14:paraId="32E2B9FA">
        <w:tblPrEx>
          <w:tblCellMar>
            <w:top w:w="0" w:type="dxa"/>
            <w:left w:w="0" w:type="dxa"/>
            <w:bottom w:w="0" w:type="dxa"/>
            <w:right w:w="0" w:type="dxa"/>
          </w:tblCellMar>
        </w:tblPrEx>
        <w:trPr>
          <w:trHeight w:val="23"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AEC634">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3E9EC4">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餐厅</w:t>
            </w: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D5155A">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1、桌椅摆放整齐，桌椅、壁柜洁净无污渍</w:t>
            </w:r>
          </w:p>
        </w:tc>
        <w:tc>
          <w:tcPr>
            <w:tcW w:w="802"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93BB9D">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发现一次</w:t>
            </w:r>
            <w:r>
              <w:rPr>
                <w:rFonts w:hint="eastAsia" w:ascii="仿宋" w:hAnsi="仿宋" w:eastAsia="仿宋" w:cs="仿宋"/>
                <w:color w:val="auto"/>
                <w:kern w:val="0"/>
                <w:sz w:val="21"/>
                <w:szCs w:val="21"/>
                <w:highlight w:val="none"/>
                <w:lang w:val="en-US" w:eastAsia="zh-CN" w:bidi="ar"/>
              </w:rPr>
              <w:t>问题扣</w:t>
            </w:r>
            <w:r>
              <w:rPr>
                <w:rFonts w:hint="eastAsia" w:ascii="仿宋" w:hAnsi="仿宋" w:eastAsia="仿宋" w:cs="仿宋"/>
                <w:color w:val="auto"/>
                <w:kern w:val="0"/>
                <w:sz w:val="21"/>
                <w:szCs w:val="21"/>
                <w:highlight w:val="none"/>
                <w:lang w:bidi="ar"/>
              </w:rPr>
              <w:t>1分</w:t>
            </w:r>
          </w:p>
        </w:tc>
        <w:tc>
          <w:tcPr>
            <w:tcW w:w="405"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20A830">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10</w:t>
            </w:r>
          </w:p>
        </w:tc>
        <w:tc>
          <w:tcPr>
            <w:tcW w:w="384"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6EB84D">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65AA34C7">
            <w:pPr>
              <w:shd w:val="clear" w:color="auto" w:fill="auto"/>
              <w:spacing w:line="360" w:lineRule="auto"/>
              <w:jc w:val="center"/>
              <w:rPr>
                <w:rFonts w:hint="eastAsia" w:ascii="仿宋" w:hAnsi="仿宋" w:eastAsia="仿宋" w:cs="仿宋"/>
                <w:color w:val="auto"/>
                <w:sz w:val="21"/>
                <w:szCs w:val="21"/>
                <w:highlight w:val="none"/>
              </w:rPr>
            </w:pPr>
          </w:p>
        </w:tc>
      </w:tr>
      <w:tr w14:paraId="1743D5B4">
        <w:tblPrEx>
          <w:tblCellMar>
            <w:top w:w="0" w:type="dxa"/>
            <w:left w:w="0" w:type="dxa"/>
            <w:bottom w:w="0" w:type="dxa"/>
            <w:right w:w="0" w:type="dxa"/>
          </w:tblCellMar>
        </w:tblPrEx>
        <w:trPr>
          <w:trHeight w:val="446" w:hRule="atLeast"/>
          <w:jc w:val="center"/>
        </w:trPr>
        <w:tc>
          <w:tcPr>
            <w:tcW w:w="55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61DBD7">
            <w:pPr>
              <w:shd w:val="clear" w:color="auto" w:fill="auto"/>
              <w:spacing w:line="240" w:lineRule="auto"/>
              <w:jc w:val="center"/>
              <w:rPr>
                <w:rFonts w:hint="eastAsia" w:ascii="仿宋" w:hAnsi="仿宋" w:eastAsia="仿宋" w:cs="仿宋"/>
                <w:color w:val="auto"/>
                <w:sz w:val="21"/>
                <w:szCs w:val="21"/>
                <w:highlight w:val="none"/>
              </w:rPr>
            </w:pPr>
          </w:p>
        </w:tc>
        <w:tc>
          <w:tcPr>
            <w:tcW w:w="65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DED497">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CFA3F9">
            <w:pPr>
              <w:widowControl/>
              <w:shd w:val="clear" w:color="auto" w:fill="auto"/>
              <w:spacing w:line="240" w:lineRule="auto"/>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2、餐厅地面每日清扫，地面整洁</w:t>
            </w:r>
          </w:p>
        </w:tc>
        <w:tc>
          <w:tcPr>
            <w:tcW w:w="80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57A9ED">
            <w:pPr>
              <w:shd w:val="clear" w:color="auto" w:fill="auto"/>
              <w:spacing w:line="360" w:lineRule="auto"/>
              <w:jc w:val="center"/>
              <w:rPr>
                <w:rFonts w:hint="eastAsia" w:ascii="仿宋" w:hAnsi="仿宋" w:eastAsia="仿宋" w:cs="仿宋"/>
                <w:color w:val="auto"/>
                <w:sz w:val="21"/>
                <w:szCs w:val="21"/>
                <w:highlight w:val="none"/>
              </w:rPr>
            </w:pPr>
          </w:p>
        </w:tc>
        <w:tc>
          <w:tcPr>
            <w:tcW w:w="405"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E6F6D9">
            <w:pPr>
              <w:shd w:val="clear" w:color="auto" w:fill="auto"/>
              <w:spacing w:line="360" w:lineRule="auto"/>
              <w:jc w:val="center"/>
              <w:rPr>
                <w:rFonts w:hint="eastAsia" w:ascii="仿宋" w:hAnsi="仿宋" w:eastAsia="仿宋" w:cs="仿宋"/>
                <w:color w:val="auto"/>
                <w:sz w:val="21"/>
                <w:szCs w:val="21"/>
                <w:highlight w:val="none"/>
              </w:rPr>
            </w:pPr>
          </w:p>
        </w:tc>
        <w:tc>
          <w:tcPr>
            <w:tcW w:w="384"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5D7F04">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0EA48476">
            <w:pPr>
              <w:shd w:val="clear" w:color="auto" w:fill="auto"/>
              <w:spacing w:line="360" w:lineRule="auto"/>
              <w:jc w:val="center"/>
              <w:rPr>
                <w:rFonts w:hint="eastAsia" w:ascii="仿宋" w:hAnsi="仿宋" w:eastAsia="仿宋" w:cs="仿宋"/>
                <w:color w:val="auto"/>
                <w:sz w:val="21"/>
                <w:szCs w:val="21"/>
                <w:highlight w:val="none"/>
              </w:rPr>
            </w:pPr>
          </w:p>
        </w:tc>
      </w:tr>
      <w:tr w14:paraId="584A9E05">
        <w:tblPrEx>
          <w:tblCellMar>
            <w:top w:w="0" w:type="dxa"/>
            <w:left w:w="0" w:type="dxa"/>
            <w:bottom w:w="0" w:type="dxa"/>
            <w:right w:w="0" w:type="dxa"/>
          </w:tblCellMar>
        </w:tblPrEx>
        <w:trPr>
          <w:trHeight w:val="692" w:hRule="atLeast"/>
          <w:jc w:val="center"/>
        </w:trPr>
        <w:tc>
          <w:tcPr>
            <w:tcW w:w="555"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397B7165">
            <w:pPr>
              <w:widowControl/>
              <w:shd w:val="clear" w:color="auto" w:fill="auto"/>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日常管理</w:t>
            </w:r>
          </w:p>
        </w:tc>
        <w:tc>
          <w:tcPr>
            <w:tcW w:w="654"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543D0A6B">
            <w:pPr>
              <w:shd w:val="clear" w:color="auto" w:fill="auto"/>
              <w:spacing w:line="240" w:lineRule="auto"/>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kern w:val="0"/>
                <w:sz w:val="21"/>
                <w:szCs w:val="21"/>
                <w:highlight w:val="none"/>
                <w:lang w:val="en-US" w:eastAsia="zh-CN" w:bidi="ar"/>
              </w:rPr>
              <w:t>人员及其他</w:t>
            </w:r>
          </w:p>
        </w:tc>
        <w:tc>
          <w:tcPr>
            <w:tcW w:w="1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6F20D7">
            <w:pPr>
              <w:widowControl/>
              <w:shd w:val="clear" w:color="auto" w:fill="auto"/>
              <w:spacing w:line="240" w:lineRule="auto"/>
              <w:jc w:val="left"/>
              <w:textAlignment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1、服务人员类型及数量满足招标文件要求</w:t>
            </w:r>
          </w:p>
        </w:tc>
        <w:tc>
          <w:tcPr>
            <w:tcW w:w="802"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6D3F8312">
            <w:pPr>
              <w:widowControl/>
              <w:shd w:val="clear" w:color="auto" w:fill="auto"/>
              <w:spacing w:line="36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发现一次</w:t>
            </w:r>
            <w:r>
              <w:rPr>
                <w:rFonts w:hint="eastAsia" w:ascii="仿宋" w:hAnsi="仿宋" w:eastAsia="仿宋" w:cs="仿宋"/>
                <w:color w:val="auto"/>
                <w:kern w:val="0"/>
                <w:sz w:val="21"/>
                <w:szCs w:val="21"/>
                <w:highlight w:val="none"/>
                <w:lang w:val="en-US" w:eastAsia="zh-CN" w:bidi="ar"/>
              </w:rPr>
              <w:t>问题</w:t>
            </w:r>
            <w:r>
              <w:rPr>
                <w:rFonts w:hint="eastAsia" w:ascii="仿宋" w:hAnsi="仿宋" w:eastAsia="仿宋" w:cs="仿宋"/>
                <w:color w:val="auto"/>
                <w:kern w:val="0"/>
                <w:sz w:val="21"/>
                <w:szCs w:val="21"/>
                <w:highlight w:val="none"/>
                <w:lang w:bidi="ar"/>
              </w:rPr>
              <w:t>扣2分</w:t>
            </w:r>
          </w:p>
        </w:tc>
        <w:tc>
          <w:tcPr>
            <w:tcW w:w="405"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7FE9C700">
            <w:pPr>
              <w:widowControl/>
              <w:shd w:val="clear" w:color="auto" w:fill="auto"/>
              <w:spacing w:line="360" w:lineRule="auto"/>
              <w:jc w:val="center"/>
              <w:textAlignment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kern w:val="0"/>
                <w:sz w:val="21"/>
                <w:szCs w:val="21"/>
                <w:highlight w:val="none"/>
                <w:lang w:bidi="ar"/>
              </w:rPr>
              <w:t>1</w:t>
            </w:r>
            <w:r>
              <w:rPr>
                <w:rFonts w:hint="eastAsia" w:ascii="仿宋" w:hAnsi="仿宋" w:eastAsia="仿宋" w:cs="仿宋"/>
                <w:color w:val="auto"/>
                <w:kern w:val="0"/>
                <w:sz w:val="21"/>
                <w:szCs w:val="21"/>
                <w:highlight w:val="none"/>
                <w:lang w:val="en-US" w:eastAsia="zh-CN" w:bidi="ar"/>
              </w:rPr>
              <w:t>4</w:t>
            </w:r>
          </w:p>
        </w:tc>
        <w:tc>
          <w:tcPr>
            <w:tcW w:w="384"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663831B5">
            <w:pPr>
              <w:shd w:val="clear" w:color="auto" w:fill="auto"/>
              <w:spacing w:line="360" w:lineRule="auto"/>
              <w:jc w:val="center"/>
              <w:rPr>
                <w:rFonts w:hint="eastAsia" w:ascii="仿宋" w:hAnsi="仿宋" w:eastAsia="仿宋" w:cs="仿宋"/>
                <w:color w:val="auto"/>
                <w:sz w:val="21"/>
                <w:szCs w:val="21"/>
                <w:highlight w:val="none"/>
              </w:rPr>
            </w:pPr>
          </w:p>
        </w:tc>
        <w:tc>
          <w:tcPr>
            <w:tcW w:w="583" w:type="pct"/>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169702CE">
            <w:pPr>
              <w:shd w:val="clear" w:color="auto" w:fill="auto"/>
              <w:spacing w:line="360" w:lineRule="auto"/>
              <w:jc w:val="center"/>
              <w:rPr>
                <w:rFonts w:hint="eastAsia" w:ascii="仿宋" w:hAnsi="仿宋" w:eastAsia="仿宋" w:cs="仿宋"/>
                <w:color w:val="auto"/>
                <w:sz w:val="21"/>
                <w:szCs w:val="21"/>
                <w:highlight w:val="none"/>
              </w:rPr>
            </w:pPr>
          </w:p>
        </w:tc>
      </w:tr>
      <w:tr w14:paraId="2104E6BA">
        <w:tblPrEx>
          <w:tblCellMar>
            <w:top w:w="0" w:type="dxa"/>
            <w:left w:w="0" w:type="dxa"/>
            <w:bottom w:w="0" w:type="dxa"/>
            <w:right w:w="0" w:type="dxa"/>
          </w:tblCellMar>
        </w:tblPrEx>
        <w:trPr>
          <w:trHeight w:val="561" w:hRule="atLeast"/>
          <w:jc w:val="center"/>
        </w:trPr>
        <w:tc>
          <w:tcPr>
            <w:tcW w:w="555" w:type="pct"/>
            <w:vMerge w:val="continue"/>
            <w:tcBorders>
              <w:left w:val="single" w:color="000000" w:sz="4" w:space="0"/>
              <w:right w:val="single" w:color="000000" w:sz="4" w:space="0"/>
            </w:tcBorders>
            <w:noWrap/>
            <w:tcMar>
              <w:top w:w="15" w:type="dxa"/>
              <w:left w:w="15" w:type="dxa"/>
              <w:right w:w="15" w:type="dxa"/>
            </w:tcMar>
            <w:vAlign w:val="center"/>
          </w:tcPr>
          <w:p w14:paraId="32B55EA3">
            <w:pPr>
              <w:shd w:val="clear" w:color="auto" w:fill="auto"/>
              <w:spacing w:line="240" w:lineRule="auto"/>
              <w:jc w:val="center"/>
              <w:rPr>
                <w:rFonts w:hint="eastAsia" w:ascii="仿宋" w:hAnsi="仿宋" w:eastAsia="仿宋" w:cs="仿宋"/>
                <w:color w:val="auto"/>
                <w:sz w:val="20"/>
                <w:highlight w:val="none"/>
              </w:rPr>
            </w:pPr>
          </w:p>
        </w:tc>
        <w:tc>
          <w:tcPr>
            <w:tcW w:w="654" w:type="pct"/>
            <w:vMerge w:val="continue"/>
            <w:tcBorders>
              <w:left w:val="single" w:color="000000" w:sz="4" w:space="0"/>
              <w:right w:val="single" w:color="000000" w:sz="4" w:space="0"/>
            </w:tcBorders>
            <w:noWrap/>
            <w:tcMar>
              <w:top w:w="15" w:type="dxa"/>
              <w:left w:w="15" w:type="dxa"/>
              <w:right w:w="15" w:type="dxa"/>
            </w:tcMar>
            <w:vAlign w:val="center"/>
          </w:tcPr>
          <w:p w14:paraId="7BF84225">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0502BC">
            <w:pPr>
              <w:widowControl/>
              <w:shd w:val="clear" w:color="auto" w:fill="auto"/>
              <w:spacing w:line="240" w:lineRule="auto"/>
              <w:jc w:val="left"/>
              <w:textAlignment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
              </w:rPr>
              <w:t>2</w:t>
            </w:r>
            <w:r>
              <w:rPr>
                <w:rFonts w:hint="eastAsia" w:ascii="仿宋" w:hAnsi="仿宋" w:eastAsia="仿宋" w:cs="仿宋"/>
                <w:color w:val="auto"/>
                <w:kern w:val="0"/>
                <w:sz w:val="21"/>
                <w:szCs w:val="21"/>
                <w:highlight w:val="none"/>
                <w:lang w:bidi="ar"/>
              </w:rPr>
              <w:t>、合理使用水电，做到人走灯灭，杜绝长流水现象</w:t>
            </w:r>
          </w:p>
        </w:tc>
        <w:tc>
          <w:tcPr>
            <w:tcW w:w="802" w:type="pct"/>
            <w:vMerge w:val="continue"/>
            <w:tcBorders>
              <w:left w:val="single" w:color="000000" w:sz="4" w:space="0"/>
              <w:right w:val="single" w:color="000000" w:sz="4" w:space="0"/>
            </w:tcBorders>
            <w:noWrap/>
            <w:tcMar>
              <w:top w:w="15" w:type="dxa"/>
              <w:left w:w="15" w:type="dxa"/>
              <w:right w:w="15" w:type="dxa"/>
            </w:tcMar>
            <w:vAlign w:val="center"/>
          </w:tcPr>
          <w:p w14:paraId="5BD29528">
            <w:pPr>
              <w:shd w:val="clear" w:color="auto" w:fill="auto"/>
              <w:jc w:val="center"/>
              <w:rPr>
                <w:rFonts w:hint="eastAsia" w:ascii="仿宋" w:hAnsi="仿宋" w:eastAsia="仿宋" w:cs="仿宋"/>
                <w:color w:val="auto"/>
                <w:sz w:val="20"/>
                <w:highlight w:val="none"/>
              </w:rPr>
            </w:pPr>
          </w:p>
        </w:tc>
        <w:tc>
          <w:tcPr>
            <w:tcW w:w="405" w:type="pct"/>
            <w:vMerge w:val="continue"/>
            <w:tcBorders>
              <w:left w:val="single" w:color="000000" w:sz="4" w:space="0"/>
              <w:right w:val="single" w:color="000000" w:sz="4" w:space="0"/>
            </w:tcBorders>
            <w:noWrap/>
            <w:tcMar>
              <w:top w:w="15" w:type="dxa"/>
              <w:left w:w="15" w:type="dxa"/>
              <w:right w:w="15" w:type="dxa"/>
            </w:tcMar>
            <w:vAlign w:val="center"/>
          </w:tcPr>
          <w:p w14:paraId="2AD4438D">
            <w:pPr>
              <w:shd w:val="clear" w:color="auto" w:fill="auto"/>
              <w:jc w:val="center"/>
              <w:rPr>
                <w:rFonts w:hint="eastAsia" w:ascii="仿宋" w:hAnsi="仿宋" w:eastAsia="仿宋" w:cs="仿宋"/>
                <w:color w:val="auto"/>
                <w:sz w:val="20"/>
                <w:highlight w:val="none"/>
              </w:rPr>
            </w:pPr>
          </w:p>
        </w:tc>
        <w:tc>
          <w:tcPr>
            <w:tcW w:w="384" w:type="pct"/>
            <w:vMerge w:val="continue"/>
            <w:tcBorders>
              <w:left w:val="single" w:color="000000" w:sz="4" w:space="0"/>
              <w:right w:val="single" w:color="000000" w:sz="4" w:space="0"/>
            </w:tcBorders>
            <w:noWrap/>
            <w:tcMar>
              <w:top w:w="15" w:type="dxa"/>
              <w:left w:w="15" w:type="dxa"/>
              <w:right w:w="15" w:type="dxa"/>
            </w:tcMar>
            <w:vAlign w:val="center"/>
          </w:tcPr>
          <w:p w14:paraId="0297CEFC">
            <w:pPr>
              <w:shd w:val="clear" w:color="auto" w:fill="auto"/>
              <w:jc w:val="center"/>
              <w:rPr>
                <w:rFonts w:hint="eastAsia" w:ascii="仿宋" w:hAnsi="仿宋" w:eastAsia="仿宋" w:cs="仿宋"/>
                <w:color w:val="auto"/>
                <w:sz w:val="20"/>
                <w:highlight w:val="none"/>
              </w:rPr>
            </w:pPr>
          </w:p>
        </w:tc>
        <w:tc>
          <w:tcPr>
            <w:tcW w:w="583" w:type="pct"/>
            <w:vMerge w:val="continue"/>
            <w:tcBorders>
              <w:left w:val="single" w:color="000000" w:sz="4" w:space="0"/>
              <w:right w:val="single" w:color="000000" w:sz="4" w:space="0"/>
            </w:tcBorders>
            <w:noWrap/>
            <w:tcMar>
              <w:top w:w="15" w:type="dxa"/>
              <w:left w:w="15" w:type="dxa"/>
              <w:right w:w="15" w:type="dxa"/>
            </w:tcMar>
            <w:vAlign w:val="center"/>
          </w:tcPr>
          <w:p w14:paraId="77796DCD">
            <w:pPr>
              <w:shd w:val="clear" w:color="auto" w:fill="auto"/>
              <w:jc w:val="center"/>
              <w:rPr>
                <w:rFonts w:hint="eastAsia" w:ascii="仿宋" w:hAnsi="仿宋" w:eastAsia="仿宋" w:cs="仿宋"/>
                <w:color w:val="auto"/>
                <w:sz w:val="20"/>
                <w:highlight w:val="none"/>
              </w:rPr>
            </w:pPr>
          </w:p>
        </w:tc>
      </w:tr>
      <w:tr w14:paraId="24175D97">
        <w:tblPrEx>
          <w:tblCellMar>
            <w:top w:w="0" w:type="dxa"/>
            <w:left w:w="0" w:type="dxa"/>
            <w:bottom w:w="0" w:type="dxa"/>
            <w:right w:w="0" w:type="dxa"/>
          </w:tblCellMar>
        </w:tblPrEx>
        <w:trPr>
          <w:trHeight w:val="561" w:hRule="atLeast"/>
          <w:jc w:val="center"/>
        </w:trPr>
        <w:tc>
          <w:tcPr>
            <w:tcW w:w="555"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299835FD">
            <w:pPr>
              <w:shd w:val="clear" w:color="auto" w:fill="auto"/>
              <w:spacing w:line="240" w:lineRule="auto"/>
              <w:jc w:val="center"/>
              <w:rPr>
                <w:rFonts w:hint="eastAsia" w:ascii="仿宋" w:hAnsi="仿宋" w:eastAsia="仿宋" w:cs="仿宋"/>
                <w:color w:val="auto"/>
                <w:sz w:val="20"/>
                <w:highlight w:val="none"/>
              </w:rPr>
            </w:pPr>
          </w:p>
        </w:tc>
        <w:tc>
          <w:tcPr>
            <w:tcW w:w="654"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2345F152">
            <w:pPr>
              <w:shd w:val="clear" w:color="auto" w:fill="auto"/>
              <w:spacing w:line="240" w:lineRule="auto"/>
              <w:jc w:val="center"/>
              <w:rPr>
                <w:rFonts w:hint="eastAsia" w:ascii="仿宋" w:hAnsi="仿宋" w:eastAsia="仿宋" w:cs="仿宋"/>
                <w:color w:val="auto"/>
                <w:sz w:val="21"/>
                <w:szCs w:val="21"/>
                <w:highlight w:val="none"/>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EDB37B">
            <w:pPr>
              <w:widowControl/>
              <w:shd w:val="clear" w:color="auto" w:fill="auto"/>
              <w:spacing w:line="240" w:lineRule="auto"/>
              <w:jc w:val="left"/>
              <w:textAlignment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
              </w:rPr>
              <w:t>3</w:t>
            </w:r>
            <w:r>
              <w:rPr>
                <w:rFonts w:hint="eastAsia" w:ascii="仿宋" w:hAnsi="仿宋" w:eastAsia="仿宋" w:cs="仿宋"/>
                <w:color w:val="auto"/>
                <w:kern w:val="0"/>
                <w:sz w:val="21"/>
                <w:szCs w:val="21"/>
                <w:highlight w:val="none"/>
                <w:lang w:bidi="ar"/>
              </w:rPr>
              <w:t>、制作食品严禁原材料浪费</w:t>
            </w:r>
          </w:p>
        </w:tc>
        <w:tc>
          <w:tcPr>
            <w:tcW w:w="802"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21D6B1F8">
            <w:pPr>
              <w:shd w:val="clear" w:color="auto" w:fill="auto"/>
              <w:jc w:val="center"/>
              <w:rPr>
                <w:rFonts w:hint="eastAsia" w:ascii="仿宋" w:hAnsi="仿宋" w:eastAsia="仿宋" w:cs="仿宋"/>
                <w:color w:val="auto"/>
                <w:sz w:val="20"/>
                <w:highlight w:val="none"/>
              </w:rPr>
            </w:pPr>
          </w:p>
        </w:tc>
        <w:tc>
          <w:tcPr>
            <w:tcW w:w="405"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266ED945">
            <w:pPr>
              <w:shd w:val="clear" w:color="auto" w:fill="auto"/>
              <w:jc w:val="center"/>
              <w:rPr>
                <w:rFonts w:hint="eastAsia" w:ascii="仿宋" w:hAnsi="仿宋" w:eastAsia="仿宋" w:cs="仿宋"/>
                <w:color w:val="auto"/>
                <w:sz w:val="20"/>
                <w:highlight w:val="none"/>
              </w:rPr>
            </w:pPr>
          </w:p>
        </w:tc>
        <w:tc>
          <w:tcPr>
            <w:tcW w:w="384" w:type="pct"/>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4D2EB938">
            <w:pPr>
              <w:shd w:val="clear" w:color="auto" w:fill="auto"/>
              <w:jc w:val="center"/>
              <w:rPr>
                <w:rFonts w:hint="eastAsia" w:ascii="仿宋" w:hAnsi="仿宋" w:eastAsia="仿宋" w:cs="仿宋"/>
                <w:color w:val="auto"/>
                <w:sz w:val="20"/>
                <w:highlight w:val="none"/>
              </w:rPr>
            </w:pPr>
          </w:p>
        </w:tc>
        <w:tc>
          <w:tcPr>
            <w:tcW w:w="583" w:type="pct"/>
            <w:tcBorders>
              <w:left w:val="single" w:color="000000" w:sz="4" w:space="0"/>
              <w:bottom w:val="single" w:color="000000" w:sz="4" w:space="0"/>
              <w:right w:val="single" w:color="000000" w:sz="4" w:space="0"/>
            </w:tcBorders>
            <w:noWrap/>
            <w:tcMar>
              <w:top w:w="15" w:type="dxa"/>
              <w:left w:w="15" w:type="dxa"/>
              <w:right w:w="15" w:type="dxa"/>
            </w:tcMar>
            <w:vAlign w:val="center"/>
          </w:tcPr>
          <w:p w14:paraId="680EB131">
            <w:pPr>
              <w:shd w:val="clear" w:color="auto" w:fill="auto"/>
              <w:jc w:val="center"/>
              <w:rPr>
                <w:rFonts w:hint="eastAsia" w:ascii="仿宋" w:hAnsi="仿宋" w:eastAsia="仿宋" w:cs="仿宋"/>
                <w:color w:val="auto"/>
                <w:sz w:val="20"/>
                <w:highlight w:val="none"/>
              </w:rPr>
            </w:pPr>
          </w:p>
        </w:tc>
      </w:tr>
    </w:tbl>
    <w:p w14:paraId="7FA98697">
      <w:pPr>
        <w:shd w:val="clear" w:color="auto" w:fill="auto"/>
        <w:spacing w:line="360" w:lineRule="auto"/>
        <w:rPr>
          <w:rFonts w:hint="default" w:ascii="Times New Roman" w:hAnsi="Times New Roman" w:eastAsia="宋体" w:cs="Times New Roman"/>
          <w:sz w:val="24"/>
          <w:szCs w:val="24"/>
          <w:highlight w:val="none"/>
        </w:rPr>
      </w:pPr>
    </w:p>
    <w:p w14:paraId="0F707E9E">
      <w:pPr>
        <w:rPr>
          <w:rFonts w:hint="eastAsia" w:ascii="仿宋" w:hAnsi="仿宋" w:eastAsia="仿宋" w:cs="仿宋"/>
          <w:color w:val="auto"/>
          <w:sz w:val="24"/>
          <w:szCs w:val="24"/>
          <w:highlight w:val="none"/>
          <w:lang w:val="zh-CN" w:eastAsia="zh-CN"/>
        </w:rPr>
      </w:pPr>
    </w:p>
    <w:p w14:paraId="7FD819B4">
      <w:pPr>
        <w:pStyle w:val="37"/>
        <w:rPr>
          <w:rFonts w:hint="eastAsia" w:ascii="仿宋" w:hAnsi="仿宋" w:eastAsia="仿宋" w:cs="仿宋"/>
          <w:color w:val="auto"/>
          <w:sz w:val="24"/>
          <w:szCs w:val="24"/>
          <w:highlight w:val="none"/>
          <w:lang w:val="zh-CN" w:eastAsia="zh-CN"/>
        </w:rPr>
      </w:pPr>
    </w:p>
    <w:p w14:paraId="31F2C4F7">
      <w:pPr>
        <w:rPr>
          <w:rFonts w:hint="eastAsia" w:ascii="仿宋" w:hAnsi="仿宋" w:eastAsia="仿宋" w:cs="仿宋"/>
          <w:color w:val="auto"/>
          <w:sz w:val="24"/>
          <w:szCs w:val="24"/>
          <w:highlight w:val="none"/>
          <w:lang w:val="zh-CN" w:eastAsia="zh-CN"/>
        </w:rPr>
      </w:pPr>
    </w:p>
    <w:p w14:paraId="5AACC57E">
      <w:pPr>
        <w:pStyle w:val="37"/>
        <w:rPr>
          <w:rFonts w:hint="eastAsia" w:ascii="仿宋" w:hAnsi="仿宋" w:eastAsia="仿宋" w:cs="仿宋"/>
          <w:color w:val="auto"/>
          <w:sz w:val="24"/>
          <w:szCs w:val="24"/>
          <w:highlight w:val="none"/>
          <w:lang w:val="zh-CN" w:eastAsia="zh-CN"/>
        </w:rPr>
      </w:pPr>
    </w:p>
    <w:p w14:paraId="1461E898">
      <w:pPr>
        <w:rPr>
          <w:rFonts w:hint="eastAsia" w:ascii="仿宋" w:hAnsi="仿宋" w:eastAsia="仿宋" w:cs="仿宋"/>
          <w:color w:val="auto"/>
          <w:sz w:val="24"/>
          <w:szCs w:val="24"/>
          <w:highlight w:val="none"/>
          <w:lang w:val="zh-CN" w:eastAsia="zh-CN"/>
        </w:rPr>
      </w:pPr>
    </w:p>
    <w:p w14:paraId="0910AFD6">
      <w:pPr>
        <w:pStyle w:val="37"/>
        <w:rPr>
          <w:rFonts w:hint="eastAsia" w:ascii="仿宋" w:hAnsi="仿宋" w:eastAsia="仿宋" w:cs="仿宋"/>
          <w:color w:val="auto"/>
          <w:sz w:val="24"/>
          <w:szCs w:val="24"/>
          <w:highlight w:val="none"/>
          <w:lang w:val="zh-CN" w:eastAsia="zh-CN"/>
        </w:rPr>
      </w:pPr>
    </w:p>
    <w:p w14:paraId="7473F189">
      <w:pPr>
        <w:numPr>
          <w:ilvl w:val="0"/>
          <w:numId w:val="6"/>
        </w:numPr>
        <w:jc w:val="center"/>
        <w:outlineLvl w:val="0"/>
        <w:rPr>
          <w:rStyle w:val="59"/>
          <w:rFonts w:hint="eastAsia" w:ascii="仿宋" w:hAnsi="仿宋" w:eastAsia="仿宋" w:cs="仿宋"/>
          <w:color w:val="auto"/>
          <w:sz w:val="32"/>
          <w:szCs w:val="32"/>
          <w:highlight w:val="none"/>
          <w:lang w:val="zh-CN"/>
        </w:rPr>
      </w:pPr>
      <w:bookmarkStart w:id="120" w:name="_Toc23360"/>
      <w:bookmarkStart w:id="121" w:name="_Toc25218"/>
      <w:bookmarkStart w:id="122" w:name="_Toc24900"/>
      <w:bookmarkStart w:id="123" w:name="_Toc11659"/>
      <w:bookmarkStart w:id="124" w:name="_Toc21270"/>
      <w:bookmarkStart w:id="125" w:name="_Toc29294"/>
      <w:bookmarkStart w:id="126" w:name="_Toc43217794"/>
      <w:bookmarkStart w:id="127" w:name="_Toc4141"/>
      <w:bookmarkStart w:id="128" w:name="_Toc15461"/>
      <w:bookmarkStart w:id="129" w:name="_Toc504141751"/>
      <w:bookmarkStart w:id="130" w:name="_Toc25532"/>
      <w:bookmarkStart w:id="131" w:name="_Toc9174"/>
      <w:bookmarkStart w:id="132" w:name="_Toc24094"/>
      <w:bookmarkStart w:id="133" w:name="_Toc28898"/>
      <w:r>
        <w:rPr>
          <w:rStyle w:val="59"/>
          <w:rFonts w:hint="eastAsia" w:ascii="仿宋" w:hAnsi="仿宋" w:eastAsia="仿宋" w:cs="仿宋"/>
          <w:color w:val="auto"/>
          <w:sz w:val="32"/>
          <w:szCs w:val="32"/>
          <w:highlight w:val="none"/>
          <w:lang w:val="zh-CN"/>
        </w:rPr>
        <w:t>评分标准</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14:paraId="62A86CEA">
      <w:pPr>
        <w:pStyle w:val="16"/>
        <w:numPr>
          <w:ilvl w:val="0"/>
          <w:numId w:val="0"/>
        </w:numPr>
        <w:ind w:leftChars="0"/>
        <w:rPr>
          <w:rFonts w:hint="eastAsia" w:ascii="仿宋" w:hAnsi="仿宋" w:eastAsia="仿宋" w:cs="仿宋"/>
          <w:color w:val="auto"/>
          <w:sz w:val="24"/>
          <w:szCs w:val="24"/>
          <w:highlight w:val="none"/>
          <w:lang w:val="zh-CN"/>
        </w:rPr>
      </w:pPr>
    </w:p>
    <w:p w14:paraId="5D3DD837">
      <w:pPr>
        <w:autoSpaceDE w:val="0"/>
        <w:autoSpaceDN w:val="0"/>
        <w:adjustRightInd w:val="0"/>
        <w:spacing w:line="360" w:lineRule="auto"/>
        <w:ind w:firstLine="482" w:firstLineChars="200"/>
        <w:rPr>
          <w:rFonts w:hint="eastAsia" w:ascii="仿宋" w:hAnsi="仿宋" w:eastAsia="仿宋" w:cs="仿宋"/>
          <w:b/>
          <w:color w:val="auto"/>
          <w:sz w:val="24"/>
          <w:szCs w:val="24"/>
          <w:highlight w:val="none"/>
          <w:lang w:val="zh-CN"/>
        </w:rPr>
      </w:pPr>
      <w:bookmarkStart w:id="134" w:name="_Toc143699015"/>
      <w:bookmarkStart w:id="135" w:name="_Toc85525790"/>
      <w:bookmarkStart w:id="136" w:name="_Toc17293"/>
      <w:bookmarkStart w:id="137" w:name="_Toc13172"/>
      <w:bookmarkStart w:id="138" w:name="_Toc11253"/>
      <w:bookmarkStart w:id="139" w:name="_Toc5832"/>
      <w:bookmarkStart w:id="140" w:name="_Toc22471"/>
      <w:bookmarkStart w:id="141" w:name="_Toc504141752"/>
      <w:bookmarkStart w:id="142" w:name="_Toc2495"/>
      <w:bookmarkStart w:id="143" w:name="_Toc16157"/>
      <w:bookmarkStart w:id="144" w:name="_Toc8849"/>
      <w:bookmarkStart w:id="145" w:name="_Toc12107"/>
      <w:bookmarkStart w:id="146" w:name="_Toc26164"/>
      <w:bookmarkStart w:id="147" w:name="_Toc30268"/>
      <w:bookmarkStart w:id="148" w:name="_Toc32113"/>
      <w:bookmarkStart w:id="149" w:name="_Toc43217795"/>
      <w:r>
        <w:rPr>
          <w:rFonts w:hint="eastAsia" w:ascii="仿宋" w:hAnsi="仿宋" w:eastAsia="仿宋" w:cs="仿宋"/>
          <w:b/>
          <w:color w:val="auto"/>
          <w:sz w:val="24"/>
          <w:szCs w:val="24"/>
          <w:highlight w:val="none"/>
        </w:rPr>
        <w:t>一、</w:t>
      </w:r>
      <w:bookmarkEnd w:id="134"/>
      <w:bookmarkEnd w:id="135"/>
      <w:r>
        <w:rPr>
          <w:rFonts w:hint="eastAsia" w:ascii="仿宋" w:hAnsi="仿宋" w:eastAsia="仿宋" w:cs="仿宋"/>
          <w:b/>
          <w:color w:val="auto"/>
          <w:sz w:val="24"/>
          <w:szCs w:val="24"/>
          <w:highlight w:val="none"/>
          <w:lang w:val="zh-CN"/>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本次采购得分最高者为成交供应商，第二名为备选供应商，当成交供应商不能履行其义务时，由备选供应商顶替，成为新的成交供应商，也可重新组织采购。</w:t>
      </w:r>
    </w:p>
    <w:p w14:paraId="38A33FE6">
      <w:pPr>
        <w:autoSpaceDE w:val="0"/>
        <w:autoSpaceDN w:val="0"/>
        <w:adjustRightInd w:val="0"/>
        <w:spacing w:line="360" w:lineRule="auto"/>
        <w:ind w:firstLine="482" w:firstLineChars="200"/>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二、评审评分细则</w:t>
      </w:r>
    </w:p>
    <w:tbl>
      <w:tblPr>
        <w:tblStyle w:val="27"/>
        <w:tblW w:w="49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1"/>
        <w:gridCol w:w="945"/>
        <w:gridCol w:w="6548"/>
        <w:gridCol w:w="941"/>
      </w:tblGrid>
      <w:tr w14:paraId="59483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459AE4ED">
            <w:pPr>
              <w:spacing w:line="400" w:lineRule="exact"/>
              <w:jc w:val="center"/>
              <w:rPr>
                <w:rFonts w:ascii="宋体" w:hAnsi="宋体" w:cs="宋体"/>
                <w:b/>
                <w:bCs/>
                <w:color w:val="000000"/>
                <w:szCs w:val="21"/>
                <w:highlight w:val="none"/>
              </w:rPr>
            </w:pPr>
            <w:r>
              <w:rPr>
                <w:rFonts w:hint="eastAsia" w:ascii="宋体" w:hAnsi="宋体" w:cs="宋体"/>
                <w:b/>
                <w:bCs/>
                <w:color w:val="000000"/>
                <w:spacing w:val="-2"/>
                <w:szCs w:val="21"/>
                <w:highlight w:val="none"/>
              </w:rPr>
              <w:t>序号</w:t>
            </w:r>
          </w:p>
        </w:tc>
        <w:tc>
          <w:tcPr>
            <w:tcW w:w="945" w:type="dxa"/>
            <w:noWrap w:val="0"/>
            <w:vAlign w:val="center"/>
          </w:tcPr>
          <w:p w14:paraId="02561B70">
            <w:pPr>
              <w:spacing w:line="400" w:lineRule="exact"/>
              <w:jc w:val="center"/>
              <w:rPr>
                <w:rFonts w:ascii="宋体" w:hAnsi="宋体" w:cs="宋体"/>
                <w:b/>
                <w:bCs/>
                <w:color w:val="000000"/>
                <w:szCs w:val="21"/>
                <w:highlight w:val="none"/>
              </w:rPr>
            </w:pPr>
            <w:r>
              <w:rPr>
                <w:rFonts w:hint="eastAsia" w:ascii="宋体" w:hAnsi="宋体" w:cs="宋体"/>
                <w:b/>
                <w:bCs/>
                <w:color w:val="000000"/>
                <w:szCs w:val="21"/>
                <w:highlight w:val="none"/>
              </w:rPr>
              <w:t>评审因素</w:t>
            </w:r>
          </w:p>
        </w:tc>
        <w:tc>
          <w:tcPr>
            <w:tcW w:w="6548" w:type="dxa"/>
            <w:noWrap w:val="0"/>
            <w:vAlign w:val="center"/>
          </w:tcPr>
          <w:p w14:paraId="4C14A6D1">
            <w:pPr>
              <w:spacing w:line="400" w:lineRule="exact"/>
              <w:jc w:val="center"/>
              <w:rPr>
                <w:rFonts w:ascii="宋体" w:hAnsi="宋体" w:cs="宋体"/>
                <w:b/>
                <w:bCs/>
                <w:color w:val="000000"/>
                <w:szCs w:val="21"/>
                <w:highlight w:val="none"/>
              </w:rPr>
            </w:pPr>
            <w:r>
              <w:rPr>
                <w:rFonts w:hint="eastAsia" w:ascii="宋体" w:hAnsi="宋体" w:cs="宋体"/>
                <w:b/>
                <w:bCs/>
                <w:color w:val="000000"/>
                <w:szCs w:val="21"/>
                <w:highlight w:val="none"/>
              </w:rPr>
              <w:t>评 审 标 准</w:t>
            </w:r>
          </w:p>
        </w:tc>
        <w:tc>
          <w:tcPr>
            <w:tcW w:w="941" w:type="dxa"/>
            <w:noWrap w:val="0"/>
            <w:vAlign w:val="center"/>
          </w:tcPr>
          <w:p w14:paraId="16D8048A">
            <w:pPr>
              <w:spacing w:line="400" w:lineRule="exact"/>
              <w:jc w:val="center"/>
              <w:rPr>
                <w:rFonts w:ascii="宋体" w:hAnsi="宋体" w:cs="宋体"/>
                <w:b/>
                <w:bCs/>
                <w:color w:val="000000"/>
                <w:szCs w:val="21"/>
                <w:highlight w:val="none"/>
              </w:rPr>
            </w:pPr>
            <w:r>
              <w:rPr>
                <w:rFonts w:hint="eastAsia" w:ascii="宋体" w:hAnsi="宋体" w:cs="宋体"/>
                <w:b/>
                <w:bCs/>
                <w:color w:val="000000"/>
                <w:szCs w:val="21"/>
                <w:highlight w:val="none"/>
              </w:rPr>
              <w:t>分值</w:t>
            </w:r>
          </w:p>
        </w:tc>
      </w:tr>
      <w:tr w14:paraId="0EB36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0AE255FC">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1</w:t>
            </w:r>
          </w:p>
        </w:tc>
        <w:tc>
          <w:tcPr>
            <w:tcW w:w="945" w:type="dxa"/>
            <w:noWrap w:val="0"/>
            <w:vAlign w:val="center"/>
          </w:tcPr>
          <w:p w14:paraId="02718669">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价格</w:t>
            </w:r>
          </w:p>
        </w:tc>
        <w:tc>
          <w:tcPr>
            <w:tcW w:w="6548" w:type="dxa"/>
            <w:noWrap w:val="0"/>
            <w:vAlign w:val="center"/>
          </w:tcPr>
          <w:p w14:paraId="45E53842">
            <w:pPr>
              <w:spacing w:line="400" w:lineRule="exact"/>
              <w:rPr>
                <w:rFonts w:ascii="宋体" w:hAnsi="宋体" w:cs="宋体"/>
                <w:color w:val="000000"/>
                <w:szCs w:val="21"/>
                <w:highlight w:val="none"/>
              </w:rPr>
            </w:pPr>
            <w:r>
              <w:rPr>
                <w:rFonts w:hint="eastAsia" w:ascii="宋体" w:hAnsi="宋体" w:cs="宋体"/>
                <w:color w:val="000000"/>
                <w:szCs w:val="21"/>
                <w:highlight w:val="none"/>
              </w:rPr>
              <w:t>价格分采用低价优先法计算，即满足招标文件要求且投标价格最低的投标报价为评标基准价，其价格分为满分。其他投标人的价格分统一按照下列公式计算（计算结果四舍五入保留两位小数）：</w:t>
            </w:r>
          </w:p>
          <w:p w14:paraId="55478A02">
            <w:pPr>
              <w:spacing w:line="400" w:lineRule="exact"/>
              <w:rPr>
                <w:rFonts w:ascii="宋体" w:hAnsi="宋体" w:cs="宋体"/>
                <w:bCs/>
                <w:color w:val="000000"/>
                <w:szCs w:val="21"/>
                <w:highlight w:val="none"/>
                <w:u w:val="single"/>
              </w:rPr>
            </w:pPr>
            <w:r>
              <w:rPr>
                <w:rFonts w:hint="eastAsia" w:ascii="宋体" w:hAnsi="宋体" w:cs="宋体"/>
                <w:color w:val="000000"/>
                <w:szCs w:val="21"/>
                <w:highlight w:val="none"/>
                <w:u w:val="none"/>
              </w:rPr>
              <w:t>投标报价得分=（评标基准价/投标报价）×10</w:t>
            </w:r>
          </w:p>
        </w:tc>
        <w:tc>
          <w:tcPr>
            <w:tcW w:w="941" w:type="dxa"/>
            <w:noWrap w:val="0"/>
            <w:vAlign w:val="center"/>
          </w:tcPr>
          <w:p w14:paraId="1CA914E9">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10</w:t>
            </w:r>
          </w:p>
        </w:tc>
      </w:tr>
      <w:tr w14:paraId="228E8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25870D15">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2.1</w:t>
            </w:r>
          </w:p>
        </w:tc>
        <w:tc>
          <w:tcPr>
            <w:tcW w:w="945" w:type="dxa"/>
            <w:vMerge w:val="restart"/>
            <w:noWrap w:val="0"/>
            <w:vAlign w:val="center"/>
          </w:tcPr>
          <w:p w14:paraId="17EBDBF2">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服务方案</w:t>
            </w:r>
          </w:p>
        </w:tc>
        <w:tc>
          <w:tcPr>
            <w:tcW w:w="6548" w:type="dxa"/>
            <w:noWrap w:val="0"/>
            <w:vAlign w:val="center"/>
          </w:tcPr>
          <w:p w14:paraId="22D825B8">
            <w:pP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1、项目整体设想及重难点方案</w:t>
            </w:r>
          </w:p>
          <w:p w14:paraId="6D8AF0A8">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评委根据供应商提供的本项目服务设想及重难点方案（包括服务定</w:t>
            </w:r>
          </w:p>
          <w:p w14:paraId="47338588">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 xml:space="preserve">位、服务内容重难点分析及应对措施等内容）综合评分： </w:t>
            </w:r>
          </w:p>
          <w:p w14:paraId="4696EE95">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 xml:space="preserve">（1）方案完善、针对性强，重点难点把握准确、措施有力的得10分； </w:t>
            </w:r>
          </w:p>
          <w:p w14:paraId="2BB079D1">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 xml:space="preserve">（2）方案较完善、针对性较强，重点难点把握较准确、措施较有力的得7分； </w:t>
            </w:r>
          </w:p>
          <w:p w14:paraId="2CAA7EFC">
            <w:pPr>
              <w:widowControl/>
              <w:spacing w:line="400" w:lineRule="exact"/>
              <w:jc w:val="left"/>
              <w:rPr>
                <w:rFonts w:hint="eastAsia" w:ascii="宋体" w:hAnsi="宋体" w:cs="宋体"/>
                <w:color w:val="000000"/>
                <w:szCs w:val="21"/>
                <w:highlight w:val="none"/>
                <w:lang w:bidi="ar"/>
              </w:rPr>
            </w:pPr>
            <w:r>
              <w:rPr>
                <w:rFonts w:hint="eastAsia" w:ascii="宋体" w:hAnsi="宋体" w:cs="宋体"/>
                <w:color w:val="000000"/>
                <w:szCs w:val="21"/>
                <w:highlight w:val="none"/>
                <w:lang w:bidi="ar"/>
              </w:rPr>
              <w:t>（3）方案基本完善、针对性不强、重点难点把握基本准确的得4分；</w:t>
            </w:r>
          </w:p>
          <w:p w14:paraId="45685A3C">
            <w:pPr>
              <w:widowControl/>
              <w:spacing w:line="400" w:lineRule="exact"/>
              <w:jc w:val="left"/>
              <w:rPr>
                <w:rFonts w:hint="eastAsia" w:ascii="宋体" w:hAnsi="宋体" w:cs="宋体"/>
                <w:color w:val="000000"/>
                <w:szCs w:val="21"/>
                <w:highlight w:val="none"/>
                <w:lang w:bidi="ar"/>
              </w:rPr>
            </w:pPr>
            <w:r>
              <w:rPr>
                <w:rFonts w:hint="eastAsia" w:ascii="宋体" w:hAnsi="宋体" w:cs="宋体"/>
                <w:color w:val="000000"/>
                <w:szCs w:val="21"/>
                <w:highlight w:val="none"/>
                <w:lang w:bidi="ar"/>
              </w:rPr>
              <w:t>（4）</w:t>
            </w:r>
            <w:r>
              <w:rPr>
                <w:rFonts w:hint="eastAsia" w:ascii="宋体" w:hAnsi="宋体" w:cs="宋体"/>
                <w:color w:val="000000"/>
                <w:szCs w:val="21"/>
                <w:highlight w:val="none"/>
              </w:rPr>
              <w:t>未提供不得分</w:t>
            </w:r>
          </w:p>
        </w:tc>
        <w:tc>
          <w:tcPr>
            <w:tcW w:w="941" w:type="dxa"/>
            <w:noWrap w:val="0"/>
            <w:vAlign w:val="center"/>
          </w:tcPr>
          <w:p w14:paraId="2F90AA64">
            <w:pPr>
              <w:widowControl/>
              <w:spacing w:line="400" w:lineRule="exact"/>
              <w:jc w:val="center"/>
              <w:rPr>
                <w:rFonts w:ascii="宋体" w:hAnsi="宋体" w:cs="宋体"/>
                <w:color w:val="000000"/>
                <w:szCs w:val="21"/>
                <w:highlight w:val="none"/>
                <w:lang w:bidi="ar"/>
              </w:rPr>
            </w:pPr>
            <w:r>
              <w:rPr>
                <w:rFonts w:hint="eastAsia" w:ascii="宋体" w:hAnsi="宋体" w:cs="宋体"/>
                <w:color w:val="000000"/>
                <w:szCs w:val="21"/>
                <w:highlight w:val="none"/>
                <w:lang w:bidi="ar"/>
              </w:rPr>
              <w:t>10</w:t>
            </w:r>
          </w:p>
        </w:tc>
      </w:tr>
      <w:tr w14:paraId="1C784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18ECD708">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2.2</w:t>
            </w:r>
          </w:p>
        </w:tc>
        <w:tc>
          <w:tcPr>
            <w:tcW w:w="945" w:type="dxa"/>
            <w:vMerge w:val="continue"/>
            <w:noWrap w:val="0"/>
            <w:vAlign w:val="center"/>
          </w:tcPr>
          <w:p w14:paraId="318E8D5D">
            <w:pPr>
              <w:spacing w:line="400" w:lineRule="exact"/>
              <w:jc w:val="center"/>
              <w:rPr>
                <w:rFonts w:ascii="宋体" w:hAnsi="宋体" w:cs="宋体"/>
                <w:color w:val="000000"/>
                <w:szCs w:val="21"/>
                <w:highlight w:val="none"/>
              </w:rPr>
            </w:pPr>
          </w:p>
        </w:tc>
        <w:tc>
          <w:tcPr>
            <w:tcW w:w="6548" w:type="dxa"/>
            <w:noWrap w:val="0"/>
            <w:vAlign w:val="center"/>
          </w:tcPr>
          <w:p w14:paraId="576838DD">
            <w:pP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2、项目组织构架、人员配备、培训及管理</w:t>
            </w:r>
          </w:p>
          <w:p w14:paraId="13E8E93A">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 xml:space="preserve">评委根据供应商提供的本项目组织架构、人员配备、培训及管理等内容综合评分： </w:t>
            </w:r>
          </w:p>
          <w:p w14:paraId="65245C6B">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（1）组织架构健全、人员配备合理、培训方案完善的得10分；</w:t>
            </w:r>
          </w:p>
          <w:p w14:paraId="1D61FF2B">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 xml:space="preserve">（2）组织架构较健全、人员配备较合理、培训方案较完善的得7分； </w:t>
            </w:r>
          </w:p>
          <w:p w14:paraId="7845266A">
            <w:pPr>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（3）组织架构基本健全、人员配备基本合理、培训方案基本完善的得4分；</w:t>
            </w:r>
          </w:p>
          <w:p w14:paraId="0E571716">
            <w:pPr>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w:t>
            </w:r>
            <w:r>
              <w:rPr>
                <w:rFonts w:hint="eastAsia" w:ascii="宋体" w:hAnsi="宋体" w:cs="宋体"/>
                <w:color w:val="000000"/>
                <w:szCs w:val="21"/>
                <w:highlight w:val="none"/>
                <w:lang w:val="en-US" w:eastAsia="zh-CN" w:bidi="ar"/>
              </w:rPr>
              <w:t>4</w:t>
            </w:r>
            <w:r>
              <w:rPr>
                <w:rFonts w:hint="eastAsia" w:ascii="宋体" w:hAnsi="宋体" w:cs="宋体"/>
                <w:color w:val="000000"/>
                <w:szCs w:val="21"/>
                <w:highlight w:val="none"/>
                <w:lang w:bidi="ar"/>
              </w:rPr>
              <w:t>）</w:t>
            </w:r>
            <w:r>
              <w:rPr>
                <w:rFonts w:hint="eastAsia" w:ascii="宋体" w:hAnsi="宋体" w:cs="宋体"/>
                <w:color w:val="000000"/>
                <w:szCs w:val="21"/>
                <w:highlight w:val="none"/>
              </w:rPr>
              <w:t>未提供不得分</w:t>
            </w:r>
          </w:p>
        </w:tc>
        <w:tc>
          <w:tcPr>
            <w:tcW w:w="941" w:type="dxa"/>
            <w:noWrap w:val="0"/>
            <w:vAlign w:val="center"/>
          </w:tcPr>
          <w:p w14:paraId="73D035C9">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10</w:t>
            </w:r>
          </w:p>
        </w:tc>
      </w:tr>
      <w:tr w14:paraId="78B61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64A872B8">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2.3</w:t>
            </w:r>
          </w:p>
        </w:tc>
        <w:tc>
          <w:tcPr>
            <w:tcW w:w="945" w:type="dxa"/>
            <w:vMerge w:val="continue"/>
            <w:noWrap w:val="0"/>
            <w:vAlign w:val="center"/>
          </w:tcPr>
          <w:p w14:paraId="1A3B8377">
            <w:pPr>
              <w:spacing w:line="400" w:lineRule="exact"/>
              <w:jc w:val="center"/>
              <w:rPr>
                <w:rFonts w:ascii="宋体" w:hAnsi="宋体" w:cs="宋体"/>
                <w:color w:val="000000"/>
                <w:szCs w:val="21"/>
                <w:highlight w:val="none"/>
              </w:rPr>
            </w:pPr>
          </w:p>
        </w:tc>
        <w:tc>
          <w:tcPr>
            <w:tcW w:w="6548" w:type="dxa"/>
            <w:noWrap w:val="0"/>
            <w:vAlign w:val="center"/>
          </w:tcPr>
          <w:p w14:paraId="39395CD9">
            <w:pP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3、食堂服务实施方案</w:t>
            </w:r>
          </w:p>
          <w:p w14:paraId="0740FABF">
            <w:pPr>
              <w:spacing w:line="400" w:lineRule="exact"/>
              <w:jc w:val="left"/>
              <w:rPr>
                <w:rFonts w:hint="eastAsia" w:ascii="宋体" w:hAnsi="宋体" w:cs="宋体"/>
                <w:color w:val="000000"/>
                <w:szCs w:val="21"/>
                <w:highlight w:val="none"/>
                <w:lang w:bidi="ar"/>
              </w:rPr>
            </w:pPr>
            <w:r>
              <w:rPr>
                <w:rFonts w:hint="eastAsia" w:ascii="宋体" w:hAnsi="宋体" w:cs="宋体"/>
                <w:color w:val="000000"/>
                <w:szCs w:val="21"/>
                <w:highlight w:val="none"/>
                <w:lang w:bidi="ar"/>
              </w:rPr>
              <w:t>评委根据供应商提供的本项目食堂服务实施方案(包括餐饮服务、菜谱设计、服务质量标准及措施等内容)综合评分：</w:t>
            </w:r>
          </w:p>
          <w:p w14:paraId="279845D0">
            <w:pPr>
              <w:spacing w:line="400" w:lineRule="exact"/>
              <w:jc w:val="left"/>
              <w:rPr>
                <w:rFonts w:ascii="宋体" w:hAnsi="宋体" w:cs="宋体"/>
                <w:color w:val="000000"/>
                <w:highlight w:val="none"/>
              </w:rPr>
            </w:pPr>
            <w:r>
              <w:rPr>
                <w:rFonts w:hint="eastAsia" w:ascii="宋体" w:hAnsi="宋体" w:cs="宋体"/>
                <w:color w:val="000000"/>
                <w:szCs w:val="21"/>
                <w:highlight w:val="none"/>
                <w:lang w:eastAsia="zh-CN" w:bidi="ar"/>
              </w:rPr>
              <w:t>（</w:t>
            </w:r>
            <w:r>
              <w:rPr>
                <w:rFonts w:hint="eastAsia" w:ascii="宋体" w:hAnsi="宋体" w:cs="宋体"/>
                <w:color w:val="000000"/>
                <w:szCs w:val="21"/>
                <w:highlight w:val="none"/>
                <w:lang w:val="en-US" w:eastAsia="zh-CN" w:bidi="ar"/>
              </w:rPr>
              <w:t>1</w:t>
            </w:r>
            <w:r>
              <w:rPr>
                <w:rFonts w:hint="eastAsia" w:ascii="宋体" w:hAnsi="宋体" w:cs="宋体"/>
                <w:color w:val="000000"/>
                <w:szCs w:val="21"/>
                <w:highlight w:val="none"/>
                <w:lang w:eastAsia="zh-CN" w:bidi="ar"/>
              </w:rPr>
              <w:t>）</w:t>
            </w:r>
            <w:r>
              <w:rPr>
                <w:rFonts w:hint="eastAsia" w:ascii="宋体" w:hAnsi="宋体" w:cs="宋体"/>
                <w:color w:val="000000"/>
                <w:szCs w:val="21"/>
                <w:highlight w:val="none"/>
                <w:lang w:bidi="ar"/>
              </w:rPr>
              <w:t>实施方案全面合理，质量标准高、可操作性强的，得</w:t>
            </w:r>
            <w:r>
              <w:rPr>
                <w:rFonts w:hint="eastAsia" w:ascii="宋体" w:hAnsi="宋体" w:cs="宋体"/>
                <w:color w:val="000000"/>
                <w:szCs w:val="21"/>
                <w:highlight w:val="none"/>
                <w:lang w:val="en-US" w:eastAsia="zh-CN" w:bidi="ar"/>
              </w:rPr>
              <w:t>10</w:t>
            </w:r>
            <w:r>
              <w:rPr>
                <w:rFonts w:hint="eastAsia" w:ascii="宋体" w:hAnsi="宋体" w:cs="宋体"/>
                <w:color w:val="000000"/>
                <w:szCs w:val="21"/>
                <w:highlight w:val="none"/>
                <w:lang w:bidi="ar"/>
              </w:rPr>
              <w:t>分；</w:t>
            </w:r>
          </w:p>
          <w:p w14:paraId="544840F4">
            <w:pPr>
              <w:spacing w:line="400" w:lineRule="exact"/>
              <w:jc w:val="left"/>
              <w:rPr>
                <w:rFonts w:hint="eastAsia" w:ascii="宋体" w:hAnsi="宋体" w:cs="宋体"/>
                <w:color w:val="000000"/>
                <w:szCs w:val="21"/>
                <w:highlight w:val="none"/>
                <w:lang w:bidi="ar"/>
              </w:rPr>
            </w:pPr>
            <w:r>
              <w:rPr>
                <w:rFonts w:hint="eastAsia" w:ascii="宋体" w:hAnsi="宋体" w:cs="宋体"/>
                <w:color w:val="000000"/>
                <w:szCs w:val="21"/>
                <w:highlight w:val="none"/>
                <w:lang w:val="en-US" w:eastAsia="zh-CN" w:bidi="ar"/>
              </w:rPr>
              <w:t xml:space="preserve">（2） </w:t>
            </w:r>
            <w:r>
              <w:rPr>
                <w:rFonts w:hint="eastAsia" w:ascii="宋体" w:hAnsi="宋体" w:cs="宋体"/>
                <w:color w:val="000000"/>
                <w:szCs w:val="21"/>
                <w:highlight w:val="none"/>
                <w:lang w:bidi="ar"/>
              </w:rPr>
              <w:t>实施方案较全面合理，具有一定的质量标准、可操作性的，得</w:t>
            </w:r>
            <w:r>
              <w:rPr>
                <w:rFonts w:hint="eastAsia" w:ascii="宋体" w:hAnsi="宋体" w:cs="宋体"/>
                <w:color w:val="000000"/>
                <w:szCs w:val="21"/>
                <w:highlight w:val="none"/>
                <w:lang w:val="en-US" w:eastAsia="zh-CN" w:bidi="ar"/>
              </w:rPr>
              <w:t>7</w:t>
            </w:r>
            <w:r>
              <w:rPr>
                <w:rFonts w:hint="eastAsia" w:ascii="宋体" w:hAnsi="宋体" w:cs="宋体"/>
                <w:color w:val="000000"/>
                <w:szCs w:val="21"/>
                <w:highlight w:val="none"/>
                <w:lang w:bidi="ar"/>
              </w:rPr>
              <w:t>分；</w:t>
            </w:r>
          </w:p>
          <w:p w14:paraId="34CBF5D8">
            <w:pPr>
              <w:spacing w:line="400" w:lineRule="exact"/>
              <w:jc w:val="left"/>
              <w:rPr>
                <w:rFonts w:hint="eastAsia" w:ascii="宋体" w:hAnsi="宋体" w:cs="宋体"/>
                <w:color w:val="000000"/>
                <w:szCs w:val="21"/>
                <w:highlight w:val="none"/>
                <w:lang w:bidi="ar"/>
              </w:rPr>
            </w:pPr>
            <w:r>
              <w:rPr>
                <w:rFonts w:hint="eastAsia" w:ascii="宋体" w:hAnsi="宋体" w:cs="宋体"/>
                <w:color w:val="000000"/>
                <w:szCs w:val="21"/>
                <w:highlight w:val="none"/>
                <w:lang w:eastAsia="zh-CN" w:bidi="ar"/>
              </w:rPr>
              <w:t>（</w:t>
            </w:r>
            <w:r>
              <w:rPr>
                <w:rFonts w:hint="eastAsia" w:ascii="宋体" w:hAnsi="宋体" w:cs="宋体"/>
                <w:color w:val="000000"/>
                <w:szCs w:val="21"/>
                <w:highlight w:val="none"/>
                <w:lang w:val="en-US" w:eastAsia="zh-CN" w:bidi="ar"/>
              </w:rPr>
              <w:t>3</w:t>
            </w:r>
            <w:r>
              <w:rPr>
                <w:rFonts w:hint="eastAsia" w:ascii="宋体" w:hAnsi="宋体" w:cs="宋体"/>
                <w:color w:val="000000"/>
                <w:szCs w:val="21"/>
                <w:highlight w:val="none"/>
                <w:lang w:eastAsia="zh-CN" w:bidi="ar"/>
              </w:rPr>
              <w:t>）</w:t>
            </w:r>
            <w:r>
              <w:rPr>
                <w:rFonts w:hint="eastAsia" w:ascii="宋体" w:hAnsi="宋体" w:cs="宋体"/>
                <w:color w:val="000000"/>
                <w:szCs w:val="21"/>
                <w:highlight w:val="none"/>
                <w:lang w:bidi="ar"/>
              </w:rPr>
              <w:t>实施方案</w:t>
            </w:r>
            <w:r>
              <w:rPr>
                <w:rFonts w:hint="eastAsia" w:ascii="宋体" w:hAnsi="宋体" w:cs="宋体"/>
                <w:color w:val="000000"/>
                <w:szCs w:val="21"/>
                <w:highlight w:val="none"/>
                <w:lang w:val="en-US" w:eastAsia="zh-CN" w:bidi="ar"/>
              </w:rPr>
              <w:t>不</w:t>
            </w:r>
            <w:r>
              <w:rPr>
                <w:rFonts w:hint="eastAsia" w:ascii="宋体" w:hAnsi="宋体" w:cs="宋体"/>
                <w:color w:val="000000"/>
                <w:szCs w:val="21"/>
                <w:highlight w:val="none"/>
                <w:lang w:bidi="ar"/>
              </w:rPr>
              <w:t>全面、质量标准、可操作性</w:t>
            </w:r>
            <w:r>
              <w:rPr>
                <w:rFonts w:hint="eastAsia" w:ascii="宋体" w:hAnsi="宋体" w:cs="宋体"/>
                <w:color w:val="000000"/>
                <w:szCs w:val="21"/>
                <w:highlight w:val="none"/>
                <w:lang w:val="en-US" w:eastAsia="zh-CN" w:bidi="ar"/>
              </w:rPr>
              <w:t>较差</w:t>
            </w:r>
            <w:r>
              <w:rPr>
                <w:rFonts w:hint="eastAsia" w:ascii="宋体" w:hAnsi="宋体" w:cs="宋体"/>
                <w:color w:val="000000"/>
                <w:szCs w:val="21"/>
                <w:highlight w:val="none"/>
                <w:lang w:bidi="ar"/>
              </w:rPr>
              <w:t>的得</w:t>
            </w:r>
            <w:r>
              <w:rPr>
                <w:rFonts w:hint="eastAsia" w:ascii="宋体" w:hAnsi="宋体" w:cs="宋体"/>
                <w:color w:val="000000"/>
                <w:szCs w:val="21"/>
                <w:highlight w:val="none"/>
                <w:lang w:val="en-US" w:eastAsia="zh-CN" w:bidi="ar"/>
              </w:rPr>
              <w:t>4</w:t>
            </w:r>
            <w:r>
              <w:rPr>
                <w:rFonts w:hint="eastAsia" w:ascii="宋体" w:hAnsi="宋体" w:cs="宋体"/>
                <w:color w:val="000000"/>
                <w:szCs w:val="21"/>
                <w:highlight w:val="none"/>
                <w:lang w:bidi="ar"/>
              </w:rPr>
              <w:t>分；</w:t>
            </w:r>
          </w:p>
          <w:p w14:paraId="00B1FAC8">
            <w:pPr>
              <w:numPr>
                <w:ilvl w:val="0"/>
                <w:numId w:val="0"/>
              </w:numPr>
              <w:spacing w:line="400" w:lineRule="exact"/>
              <w:jc w:val="left"/>
              <w:rPr>
                <w:rFonts w:hint="eastAsia" w:ascii="宋体" w:hAnsi="宋体" w:cs="宋体"/>
                <w:color w:val="000000"/>
                <w:szCs w:val="21"/>
                <w:highlight w:val="none"/>
                <w:lang w:bidi="ar"/>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4</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未提供不得分</w:t>
            </w:r>
          </w:p>
        </w:tc>
        <w:tc>
          <w:tcPr>
            <w:tcW w:w="941" w:type="dxa"/>
            <w:noWrap w:val="0"/>
            <w:vAlign w:val="center"/>
          </w:tcPr>
          <w:p w14:paraId="40131D09">
            <w:pPr>
              <w:spacing w:line="400" w:lineRule="exact"/>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10</w:t>
            </w:r>
          </w:p>
        </w:tc>
      </w:tr>
      <w:tr w14:paraId="0C86E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07806365">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2.4</w:t>
            </w:r>
          </w:p>
        </w:tc>
        <w:tc>
          <w:tcPr>
            <w:tcW w:w="945" w:type="dxa"/>
            <w:vMerge w:val="continue"/>
            <w:noWrap w:val="0"/>
            <w:vAlign w:val="center"/>
          </w:tcPr>
          <w:p w14:paraId="672A7F34">
            <w:pPr>
              <w:spacing w:line="400" w:lineRule="exact"/>
              <w:jc w:val="center"/>
              <w:rPr>
                <w:rFonts w:ascii="宋体" w:hAnsi="宋体" w:cs="宋体"/>
                <w:color w:val="000000"/>
                <w:szCs w:val="21"/>
                <w:highlight w:val="none"/>
              </w:rPr>
            </w:pPr>
          </w:p>
        </w:tc>
        <w:tc>
          <w:tcPr>
            <w:tcW w:w="6548" w:type="dxa"/>
            <w:noWrap w:val="0"/>
            <w:vAlign w:val="center"/>
          </w:tcPr>
          <w:p w14:paraId="12AA0BBD">
            <w:pP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4、管理服务规章制度</w:t>
            </w:r>
          </w:p>
          <w:p w14:paraId="7D0E7086">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 xml:space="preserve">评委根据供应商提供的本项目管理服务规章制度综合评分： </w:t>
            </w:r>
          </w:p>
          <w:p w14:paraId="52A8BBA4">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（1）规章制度合理全面、操作性强的得10分；</w:t>
            </w:r>
          </w:p>
          <w:p w14:paraId="713C6DCD">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 xml:space="preserve">（2）规章制度较合理、具备一定操作性的得7分； </w:t>
            </w:r>
          </w:p>
          <w:p w14:paraId="012680FD">
            <w:pPr>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（3）规章制度基本全面、基本</w:t>
            </w:r>
            <w:r>
              <w:rPr>
                <w:rFonts w:hint="eastAsia" w:ascii="宋体" w:hAnsi="宋体" w:cs="宋体"/>
                <w:color w:val="000000"/>
                <w:szCs w:val="21"/>
                <w:highlight w:val="none"/>
                <w:lang w:val="en-US" w:eastAsia="zh-CN" w:bidi="ar"/>
              </w:rPr>
              <w:t>可</w:t>
            </w:r>
            <w:r>
              <w:rPr>
                <w:rFonts w:hint="eastAsia" w:ascii="宋体" w:hAnsi="宋体" w:cs="宋体"/>
                <w:color w:val="000000"/>
                <w:szCs w:val="21"/>
                <w:highlight w:val="none"/>
                <w:lang w:bidi="ar"/>
              </w:rPr>
              <w:t>操作性的得4分；</w:t>
            </w:r>
          </w:p>
          <w:p w14:paraId="39D5914D">
            <w:pPr>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（4）</w:t>
            </w:r>
            <w:r>
              <w:rPr>
                <w:rFonts w:hint="eastAsia" w:ascii="宋体" w:hAnsi="宋体" w:cs="宋体"/>
                <w:color w:val="000000"/>
                <w:szCs w:val="21"/>
                <w:highlight w:val="none"/>
              </w:rPr>
              <w:t>未提供不得分</w:t>
            </w:r>
          </w:p>
        </w:tc>
        <w:tc>
          <w:tcPr>
            <w:tcW w:w="941" w:type="dxa"/>
            <w:noWrap w:val="0"/>
            <w:vAlign w:val="center"/>
          </w:tcPr>
          <w:p w14:paraId="4BC68ABC">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10</w:t>
            </w:r>
          </w:p>
        </w:tc>
      </w:tr>
      <w:tr w14:paraId="1BBF3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603FD378">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2.5</w:t>
            </w:r>
          </w:p>
        </w:tc>
        <w:tc>
          <w:tcPr>
            <w:tcW w:w="945" w:type="dxa"/>
            <w:vMerge w:val="continue"/>
            <w:noWrap w:val="0"/>
            <w:vAlign w:val="center"/>
          </w:tcPr>
          <w:p w14:paraId="088D5658">
            <w:pPr>
              <w:spacing w:line="400" w:lineRule="exact"/>
              <w:jc w:val="center"/>
              <w:rPr>
                <w:rFonts w:ascii="宋体" w:hAnsi="宋体" w:cs="宋体"/>
                <w:color w:val="000000"/>
                <w:szCs w:val="21"/>
                <w:highlight w:val="none"/>
              </w:rPr>
            </w:pPr>
          </w:p>
        </w:tc>
        <w:tc>
          <w:tcPr>
            <w:tcW w:w="6548" w:type="dxa"/>
            <w:noWrap w:val="0"/>
            <w:vAlign w:val="center"/>
          </w:tcPr>
          <w:p w14:paraId="05B2B74F">
            <w:pP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5、</w:t>
            </w:r>
            <w:r>
              <w:rPr>
                <w:rFonts w:hint="eastAsia" w:ascii="宋体" w:hAnsi="宋体" w:eastAsia="宋体" w:cs="宋体"/>
                <w:b/>
                <w:bCs/>
                <w:color w:val="000000"/>
                <w:szCs w:val="21"/>
                <w:highlight w:val="none"/>
              </w:rPr>
              <w:t>食品安全管理方案</w:t>
            </w:r>
          </w:p>
          <w:p w14:paraId="3C19F456">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评委根据供应商提供的</w:t>
            </w:r>
            <w:r>
              <w:rPr>
                <w:rFonts w:hint="eastAsia" w:ascii="宋体" w:hAnsi="宋体" w:eastAsia="宋体" w:cs="宋体"/>
                <w:color w:val="000000"/>
                <w:szCs w:val="21"/>
                <w:highlight w:val="none"/>
                <w:lang w:bidi="ar"/>
              </w:rPr>
              <w:t>本项目食品安全管理方案</w:t>
            </w:r>
            <w:r>
              <w:rPr>
                <w:rFonts w:hint="eastAsia" w:ascii="宋体" w:hAnsi="宋体" w:cs="宋体"/>
                <w:color w:val="000000"/>
                <w:szCs w:val="21"/>
                <w:highlight w:val="none"/>
                <w:lang w:bidi="ar"/>
              </w:rPr>
              <w:t xml:space="preserve">）综合评分： </w:t>
            </w:r>
          </w:p>
          <w:p w14:paraId="0FBA0B84">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（1）</w:t>
            </w:r>
            <w:r>
              <w:rPr>
                <w:rFonts w:hint="eastAsia" w:ascii="宋体" w:hAnsi="宋体" w:eastAsia="宋体" w:cs="宋体"/>
                <w:b w:val="0"/>
                <w:bCs w:val="0"/>
                <w:kern w:val="0"/>
                <w:sz w:val="21"/>
                <w:szCs w:val="21"/>
                <w:highlight w:val="none"/>
                <w:lang w:val="zh-CN"/>
              </w:rPr>
              <w:t>方案科学合理、内容完善、保障措施得力、有关承诺明确、切实可行，完全满足项目需求</w:t>
            </w:r>
            <w:r>
              <w:rPr>
                <w:rFonts w:hint="eastAsia" w:ascii="宋体" w:hAnsi="宋体" w:cs="宋体"/>
                <w:color w:val="000000"/>
                <w:szCs w:val="21"/>
                <w:highlight w:val="none"/>
                <w:lang w:bidi="ar"/>
              </w:rPr>
              <w:t>的得10分；</w:t>
            </w:r>
          </w:p>
          <w:p w14:paraId="5826CD07">
            <w:pPr>
              <w:widowControl/>
              <w:spacing w:line="400" w:lineRule="exact"/>
              <w:jc w:val="left"/>
              <w:rPr>
                <w:rFonts w:ascii="宋体" w:hAnsi="宋体" w:cs="宋体"/>
                <w:color w:val="000000"/>
                <w:highlight w:val="none"/>
              </w:rPr>
            </w:pPr>
            <w:r>
              <w:rPr>
                <w:rFonts w:hint="eastAsia" w:ascii="宋体" w:hAnsi="宋体" w:cs="宋体"/>
                <w:color w:val="000000"/>
                <w:szCs w:val="21"/>
                <w:highlight w:val="none"/>
                <w:lang w:bidi="ar"/>
              </w:rPr>
              <w:t>（2）</w:t>
            </w:r>
            <w:r>
              <w:rPr>
                <w:rFonts w:hint="eastAsia" w:ascii="宋体" w:hAnsi="宋体" w:eastAsia="宋体" w:cs="宋体"/>
                <w:b w:val="0"/>
                <w:bCs w:val="0"/>
                <w:kern w:val="0"/>
                <w:sz w:val="21"/>
                <w:szCs w:val="21"/>
                <w:highlight w:val="none"/>
              </w:rPr>
              <w:t>方案较科学合理、内容较完善、保障措施较得力、承诺较明确、可行性较好，很好满足项目需求</w:t>
            </w:r>
            <w:r>
              <w:rPr>
                <w:rFonts w:hint="eastAsia" w:ascii="宋体" w:hAnsi="宋体" w:cs="宋体"/>
                <w:color w:val="000000"/>
                <w:szCs w:val="21"/>
                <w:highlight w:val="none"/>
                <w:lang w:bidi="ar"/>
              </w:rPr>
              <w:t xml:space="preserve">的得7分； </w:t>
            </w:r>
          </w:p>
          <w:p w14:paraId="3DE67DC3">
            <w:pPr>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（3）</w:t>
            </w:r>
            <w:r>
              <w:rPr>
                <w:rFonts w:hint="eastAsia" w:ascii="宋体" w:hAnsi="宋体" w:eastAsia="宋体" w:cs="宋体"/>
                <w:b w:val="0"/>
                <w:bCs w:val="0"/>
                <w:kern w:val="0"/>
                <w:sz w:val="21"/>
                <w:szCs w:val="21"/>
                <w:highlight w:val="none"/>
              </w:rPr>
              <w:t>方案描述</w:t>
            </w:r>
            <w:r>
              <w:rPr>
                <w:rFonts w:hint="eastAsia" w:ascii="宋体" w:hAnsi="宋体" w:eastAsia="宋体" w:cs="宋体"/>
                <w:b w:val="0"/>
                <w:bCs w:val="0"/>
                <w:kern w:val="0"/>
                <w:sz w:val="21"/>
                <w:szCs w:val="21"/>
                <w:highlight w:val="none"/>
                <w:lang w:val="en-US" w:eastAsia="zh-CN"/>
              </w:rPr>
              <w:t>较差</w:t>
            </w:r>
            <w:r>
              <w:rPr>
                <w:rFonts w:hint="eastAsia" w:ascii="宋体" w:hAnsi="宋体" w:eastAsia="宋体" w:cs="宋体"/>
                <w:b w:val="0"/>
                <w:bCs w:val="0"/>
                <w:kern w:val="0"/>
                <w:sz w:val="21"/>
                <w:szCs w:val="21"/>
                <w:highlight w:val="none"/>
              </w:rPr>
              <w:t>，科学合理性及可行性欠缺</w:t>
            </w:r>
            <w:r>
              <w:rPr>
                <w:rFonts w:hint="eastAsia" w:ascii="宋体" w:hAnsi="宋体" w:cs="宋体"/>
                <w:color w:val="000000"/>
                <w:szCs w:val="21"/>
                <w:highlight w:val="none"/>
                <w:lang w:bidi="ar"/>
              </w:rPr>
              <w:t>的得4分；</w:t>
            </w:r>
          </w:p>
          <w:p w14:paraId="6E3E9220">
            <w:pPr>
              <w:spacing w:line="4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（4）</w:t>
            </w:r>
            <w:r>
              <w:rPr>
                <w:rFonts w:hint="eastAsia" w:ascii="宋体" w:hAnsi="宋体" w:cs="宋体"/>
                <w:color w:val="000000"/>
                <w:szCs w:val="21"/>
                <w:highlight w:val="none"/>
              </w:rPr>
              <w:t>未提供不得分</w:t>
            </w:r>
          </w:p>
        </w:tc>
        <w:tc>
          <w:tcPr>
            <w:tcW w:w="941" w:type="dxa"/>
            <w:noWrap w:val="0"/>
            <w:vAlign w:val="center"/>
          </w:tcPr>
          <w:p w14:paraId="7957D486">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10</w:t>
            </w:r>
          </w:p>
        </w:tc>
      </w:tr>
      <w:tr w14:paraId="4CED0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56FFC240">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2.6</w:t>
            </w:r>
          </w:p>
        </w:tc>
        <w:tc>
          <w:tcPr>
            <w:tcW w:w="945" w:type="dxa"/>
            <w:vMerge w:val="continue"/>
            <w:noWrap w:val="0"/>
            <w:vAlign w:val="center"/>
          </w:tcPr>
          <w:p w14:paraId="4890FC45">
            <w:pPr>
              <w:spacing w:line="400" w:lineRule="exact"/>
              <w:jc w:val="center"/>
              <w:rPr>
                <w:rFonts w:ascii="宋体" w:hAnsi="宋体" w:cs="宋体"/>
                <w:color w:val="000000"/>
                <w:szCs w:val="21"/>
                <w:highlight w:val="none"/>
              </w:rPr>
            </w:pPr>
          </w:p>
        </w:tc>
        <w:tc>
          <w:tcPr>
            <w:tcW w:w="6548" w:type="dxa"/>
            <w:noWrap w:val="0"/>
            <w:vAlign w:val="center"/>
          </w:tcPr>
          <w:p w14:paraId="5AE012A0">
            <w:pP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6、</w:t>
            </w:r>
            <w:r>
              <w:rPr>
                <w:rFonts w:hint="eastAsia" w:ascii="宋体" w:hAnsi="宋体" w:eastAsia="宋体" w:cs="宋体"/>
                <w:b/>
                <w:bCs/>
                <w:color w:val="000000"/>
                <w:szCs w:val="21"/>
                <w:highlight w:val="none"/>
              </w:rPr>
              <w:t>厨房与就餐区域卫生管理措施</w:t>
            </w:r>
          </w:p>
          <w:p w14:paraId="063A2ABA">
            <w:pPr>
              <w:spacing w:line="400" w:lineRule="exact"/>
              <w:rPr>
                <w:rFonts w:ascii="宋体" w:hAnsi="宋体" w:cs="宋体"/>
                <w:color w:val="000000"/>
                <w:szCs w:val="21"/>
                <w:highlight w:val="none"/>
              </w:rPr>
            </w:pPr>
            <w:r>
              <w:rPr>
                <w:rFonts w:hint="eastAsia" w:ascii="宋体" w:hAnsi="宋体" w:cs="宋体"/>
                <w:color w:val="000000"/>
                <w:szCs w:val="21"/>
                <w:highlight w:val="none"/>
              </w:rPr>
              <w:t>评委根据供应商提供的本项目</w:t>
            </w:r>
            <w:r>
              <w:rPr>
                <w:rFonts w:hint="eastAsia" w:ascii="宋体" w:hAnsi="宋体" w:eastAsia="宋体" w:cs="宋体"/>
                <w:kern w:val="0"/>
                <w:sz w:val="21"/>
                <w:szCs w:val="21"/>
                <w:highlight w:val="none"/>
              </w:rPr>
              <w:t>厨房与就餐区域卫生管理措施</w:t>
            </w:r>
            <w:r>
              <w:rPr>
                <w:rFonts w:hint="eastAsia" w:ascii="宋体" w:hAnsi="宋体" w:cs="宋体"/>
                <w:color w:val="000000"/>
                <w:szCs w:val="21"/>
                <w:highlight w:val="none"/>
              </w:rPr>
              <w:t>综合评分：</w:t>
            </w:r>
          </w:p>
          <w:p w14:paraId="06AB9DF3">
            <w:pPr>
              <w:numPr>
                <w:ilvl w:val="0"/>
                <w:numId w:val="7"/>
              </w:numPr>
              <w:spacing w:line="400" w:lineRule="exact"/>
              <w:rPr>
                <w:rFonts w:ascii="宋体" w:hAnsi="宋体" w:cs="宋体"/>
                <w:color w:val="000000"/>
                <w:szCs w:val="21"/>
                <w:highlight w:val="none"/>
              </w:rPr>
            </w:pPr>
            <w:r>
              <w:rPr>
                <w:rFonts w:hint="eastAsia" w:ascii="宋体" w:hAnsi="宋体" w:eastAsia="宋体" w:cs="宋体"/>
                <w:b w:val="0"/>
                <w:bCs w:val="0"/>
                <w:kern w:val="0"/>
                <w:sz w:val="21"/>
                <w:szCs w:val="21"/>
                <w:highlight w:val="none"/>
              </w:rPr>
              <w:t>措施针对性强，实施可行性强，内容完善，完全满足项目需求</w:t>
            </w:r>
            <w:r>
              <w:rPr>
                <w:rFonts w:hint="eastAsia" w:ascii="宋体" w:hAnsi="宋体" w:cs="宋体"/>
                <w:color w:val="000000"/>
                <w:szCs w:val="21"/>
                <w:highlight w:val="none"/>
              </w:rPr>
              <w:t>的得</w:t>
            </w:r>
            <w:r>
              <w:rPr>
                <w:rFonts w:hint="eastAsia" w:ascii="宋体" w:hAnsi="宋体" w:cs="宋体"/>
                <w:color w:val="000000"/>
                <w:szCs w:val="21"/>
                <w:highlight w:val="none"/>
                <w:lang w:val="en-US" w:eastAsia="zh-CN"/>
              </w:rPr>
              <w:t>10</w:t>
            </w:r>
            <w:r>
              <w:rPr>
                <w:rFonts w:hint="eastAsia" w:ascii="宋体" w:hAnsi="宋体" w:cs="宋体"/>
                <w:color w:val="000000"/>
                <w:szCs w:val="21"/>
                <w:highlight w:val="none"/>
              </w:rPr>
              <w:t>分；</w:t>
            </w:r>
          </w:p>
          <w:p w14:paraId="58509BFC">
            <w:pPr>
              <w:numPr>
                <w:ilvl w:val="0"/>
                <w:numId w:val="7"/>
              </w:numPr>
              <w:spacing w:line="400" w:lineRule="exact"/>
              <w:rPr>
                <w:rFonts w:ascii="宋体" w:hAnsi="宋体" w:cs="宋体"/>
                <w:color w:val="000000"/>
                <w:szCs w:val="21"/>
                <w:highlight w:val="none"/>
              </w:rPr>
            </w:pPr>
            <w:r>
              <w:rPr>
                <w:rFonts w:hint="eastAsia" w:ascii="宋体" w:hAnsi="宋体" w:eastAsia="宋体" w:cs="宋体"/>
                <w:b w:val="0"/>
                <w:bCs w:val="0"/>
                <w:kern w:val="0"/>
                <w:sz w:val="21"/>
                <w:szCs w:val="21"/>
                <w:highlight w:val="none"/>
              </w:rPr>
              <w:t>措施基本有针对性，实施基本可行，内容基本完整，较好满足项目需求</w:t>
            </w:r>
            <w:r>
              <w:rPr>
                <w:rFonts w:hint="eastAsia" w:ascii="宋体" w:hAnsi="宋体" w:cs="宋体"/>
                <w:color w:val="000000"/>
                <w:szCs w:val="21"/>
                <w:highlight w:val="none"/>
              </w:rPr>
              <w:t>的得</w:t>
            </w:r>
            <w:r>
              <w:rPr>
                <w:rFonts w:hint="eastAsia" w:ascii="宋体" w:hAnsi="宋体" w:cs="宋体"/>
                <w:color w:val="000000"/>
                <w:szCs w:val="21"/>
                <w:highlight w:val="none"/>
                <w:lang w:val="en-US" w:eastAsia="zh-CN"/>
              </w:rPr>
              <w:t>7</w:t>
            </w:r>
            <w:r>
              <w:rPr>
                <w:rFonts w:hint="eastAsia" w:ascii="宋体" w:hAnsi="宋体" w:cs="宋体"/>
                <w:color w:val="000000"/>
                <w:szCs w:val="21"/>
                <w:highlight w:val="none"/>
              </w:rPr>
              <w:t>分；</w:t>
            </w:r>
          </w:p>
          <w:p w14:paraId="1DC93E63">
            <w:pPr>
              <w:numPr>
                <w:ilvl w:val="0"/>
                <w:numId w:val="7"/>
              </w:numPr>
              <w:spacing w:line="400" w:lineRule="exact"/>
              <w:rPr>
                <w:rFonts w:ascii="宋体" w:hAnsi="宋体" w:cs="宋体"/>
                <w:color w:val="000000"/>
                <w:szCs w:val="21"/>
                <w:highlight w:val="none"/>
              </w:rPr>
            </w:pPr>
            <w:r>
              <w:rPr>
                <w:rFonts w:hint="eastAsia" w:ascii="宋体" w:hAnsi="宋体" w:eastAsia="宋体" w:cs="宋体"/>
                <w:b w:val="0"/>
                <w:bCs w:val="0"/>
                <w:kern w:val="0"/>
                <w:sz w:val="21"/>
                <w:szCs w:val="21"/>
                <w:highlight w:val="none"/>
              </w:rPr>
              <w:t>措施描述</w:t>
            </w:r>
            <w:r>
              <w:rPr>
                <w:rFonts w:hint="eastAsia" w:ascii="宋体" w:hAnsi="宋体" w:eastAsia="宋体" w:cs="宋体"/>
                <w:b w:val="0"/>
                <w:bCs w:val="0"/>
                <w:kern w:val="0"/>
                <w:sz w:val="21"/>
                <w:szCs w:val="21"/>
                <w:highlight w:val="none"/>
                <w:lang w:val="en-US" w:eastAsia="zh-CN"/>
              </w:rPr>
              <w:t>不</w:t>
            </w:r>
            <w:r>
              <w:rPr>
                <w:rFonts w:hint="eastAsia" w:ascii="宋体" w:hAnsi="宋体" w:eastAsia="宋体" w:cs="宋体"/>
                <w:b w:val="0"/>
                <w:bCs w:val="0"/>
                <w:kern w:val="0"/>
                <w:sz w:val="21"/>
                <w:szCs w:val="21"/>
                <w:highlight w:val="none"/>
              </w:rPr>
              <w:t>完整，科学合理性及可行性欠</w:t>
            </w:r>
            <w:r>
              <w:rPr>
                <w:rFonts w:hint="eastAsia" w:ascii="宋体" w:hAnsi="宋体" w:cs="宋体"/>
                <w:color w:val="000000"/>
                <w:szCs w:val="21"/>
                <w:highlight w:val="none"/>
              </w:rPr>
              <w:t>的得</w:t>
            </w:r>
            <w:r>
              <w:rPr>
                <w:rFonts w:hint="eastAsia" w:ascii="宋体" w:hAnsi="宋体" w:cs="宋体"/>
                <w:color w:val="000000"/>
                <w:szCs w:val="21"/>
                <w:highlight w:val="none"/>
                <w:u w:val="none"/>
                <w:lang w:val="en-US" w:eastAsia="zh-CN"/>
              </w:rPr>
              <w:t>4</w:t>
            </w:r>
            <w:r>
              <w:rPr>
                <w:rFonts w:hint="eastAsia" w:ascii="宋体" w:hAnsi="宋体" w:cs="宋体"/>
                <w:color w:val="000000"/>
                <w:szCs w:val="21"/>
                <w:highlight w:val="none"/>
              </w:rPr>
              <w:t>分；</w:t>
            </w:r>
          </w:p>
          <w:p w14:paraId="4945FD4E">
            <w:pPr>
              <w:numPr>
                <w:ilvl w:val="0"/>
                <w:numId w:val="7"/>
              </w:numPr>
              <w:spacing w:line="400" w:lineRule="exact"/>
              <w:rPr>
                <w:rFonts w:ascii="宋体" w:hAnsi="宋体" w:cs="宋体"/>
                <w:color w:val="000000"/>
                <w:szCs w:val="21"/>
                <w:highlight w:val="none"/>
              </w:rPr>
            </w:pPr>
            <w:r>
              <w:rPr>
                <w:rFonts w:hint="eastAsia" w:ascii="宋体" w:hAnsi="宋体" w:cs="宋体"/>
                <w:color w:val="000000"/>
                <w:szCs w:val="21"/>
                <w:highlight w:val="none"/>
              </w:rPr>
              <w:t>未提供不得分</w:t>
            </w:r>
          </w:p>
        </w:tc>
        <w:tc>
          <w:tcPr>
            <w:tcW w:w="941" w:type="dxa"/>
            <w:noWrap w:val="0"/>
            <w:vAlign w:val="center"/>
          </w:tcPr>
          <w:p w14:paraId="1A570A16">
            <w:pPr>
              <w:spacing w:line="400" w:lineRule="exact"/>
              <w:jc w:val="cente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10</w:t>
            </w:r>
          </w:p>
        </w:tc>
      </w:tr>
      <w:tr w14:paraId="7FB76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5F084F37">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3</w:t>
            </w:r>
          </w:p>
        </w:tc>
        <w:tc>
          <w:tcPr>
            <w:tcW w:w="945" w:type="dxa"/>
            <w:noWrap w:val="0"/>
            <w:vAlign w:val="center"/>
          </w:tcPr>
          <w:p w14:paraId="643BC3B0">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业绩</w:t>
            </w:r>
          </w:p>
        </w:tc>
        <w:tc>
          <w:tcPr>
            <w:tcW w:w="6548" w:type="dxa"/>
            <w:noWrap w:val="0"/>
            <w:vAlign w:val="center"/>
          </w:tcPr>
          <w:p w14:paraId="022D99C7">
            <w:pPr>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投标</w:t>
            </w:r>
            <w:r>
              <w:rPr>
                <w:rFonts w:hint="eastAsia" w:ascii="宋体" w:hAnsi="宋体" w:cs="宋体"/>
                <w:color w:val="000000"/>
                <w:szCs w:val="21"/>
                <w:highlight w:val="none"/>
              </w:rPr>
              <w:t>供应商202</w:t>
            </w:r>
            <w:r>
              <w:rPr>
                <w:rFonts w:hint="eastAsia" w:ascii="宋体" w:hAnsi="宋体" w:cs="宋体"/>
                <w:color w:val="000000"/>
                <w:szCs w:val="21"/>
                <w:highlight w:val="none"/>
                <w:lang w:val="en-US" w:eastAsia="zh-CN"/>
              </w:rPr>
              <w:t>3</w:t>
            </w:r>
            <w:r>
              <w:rPr>
                <w:rFonts w:hint="eastAsia" w:ascii="宋体" w:hAnsi="宋体" w:cs="宋体"/>
                <w:color w:val="000000"/>
                <w:szCs w:val="21"/>
                <w:highlight w:val="none"/>
              </w:rPr>
              <w:t>年</w:t>
            </w:r>
            <w:r>
              <w:rPr>
                <w:rFonts w:hint="eastAsia" w:ascii="宋体" w:hAnsi="宋体" w:cs="宋体"/>
                <w:color w:val="000000"/>
                <w:szCs w:val="21"/>
                <w:highlight w:val="none"/>
                <w:lang w:val="en-US" w:eastAsia="zh-CN"/>
              </w:rPr>
              <w:t>8</w:t>
            </w:r>
            <w:r>
              <w:rPr>
                <w:rFonts w:hint="eastAsia" w:ascii="宋体" w:hAnsi="宋体" w:cs="宋体"/>
                <w:color w:val="000000"/>
                <w:szCs w:val="21"/>
                <w:highlight w:val="none"/>
              </w:rPr>
              <w:t>月1日以来</w:t>
            </w: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以合同签订日期为准</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承担过机关、行政企（事）业单位食堂餐饮服务项目或其他类似服务项目（类似服务中必须包含食堂餐饮服务），每提供一个合同</w:t>
            </w:r>
            <w:r>
              <w:rPr>
                <w:rFonts w:hint="eastAsia" w:ascii="宋体" w:hAnsi="宋体" w:cs="宋体"/>
                <w:color w:val="000000"/>
                <w:szCs w:val="21"/>
                <w:highlight w:val="none"/>
                <w:lang w:val="en-US" w:eastAsia="zh-CN"/>
              </w:rPr>
              <w:t>得3分</w:t>
            </w: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本项</w:t>
            </w:r>
            <w:r>
              <w:rPr>
                <w:rFonts w:hint="eastAsia" w:ascii="宋体" w:hAnsi="宋体" w:cs="宋体"/>
                <w:color w:val="000000"/>
                <w:szCs w:val="21"/>
                <w:highlight w:val="none"/>
              </w:rPr>
              <w:t>最高得</w:t>
            </w:r>
            <w:r>
              <w:rPr>
                <w:rFonts w:hint="eastAsia" w:ascii="宋体" w:hAnsi="宋体" w:cs="宋体"/>
                <w:color w:val="000000"/>
                <w:szCs w:val="21"/>
                <w:highlight w:val="none"/>
                <w:lang w:val="en-US" w:eastAsia="zh-CN"/>
              </w:rPr>
              <w:t>9</w:t>
            </w:r>
            <w:r>
              <w:rPr>
                <w:rFonts w:hint="eastAsia" w:ascii="宋体" w:hAnsi="宋体" w:cs="宋体"/>
                <w:color w:val="000000"/>
                <w:szCs w:val="21"/>
                <w:highlight w:val="none"/>
              </w:rPr>
              <w:t>分。</w:t>
            </w:r>
            <w:r>
              <w:rPr>
                <w:rFonts w:hint="eastAsia" w:ascii="宋体" w:hAnsi="宋体" w:cs="宋体"/>
                <w:color w:val="000000"/>
                <w:szCs w:val="21"/>
                <w:highlight w:val="none"/>
                <w:lang w:val="en-US" w:eastAsia="zh-CN"/>
              </w:rPr>
              <w:t>提供加盖公章的业绩合同</w:t>
            </w:r>
            <w:r>
              <w:rPr>
                <w:rFonts w:hint="eastAsia" w:ascii="宋体" w:hAnsi="宋体" w:cs="宋体"/>
                <w:color w:val="000000"/>
                <w:szCs w:val="21"/>
                <w:highlight w:val="none"/>
              </w:rPr>
              <w:t>原件扫描件，否则不得分。</w:t>
            </w: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同一单位的业绩合同不重复计分</w:t>
            </w:r>
            <w:r>
              <w:rPr>
                <w:rFonts w:hint="eastAsia" w:ascii="宋体" w:hAnsi="宋体" w:cs="宋体"/>
                <w:color w:val="000000"/>
                <w:szCs w:val="21"/>
                <w:highlight w:val="none"/>
                <w:lang w:eastAsia="zh-CN"/>
              </w:rPr>
              <w:t>）</w:t>
            </w:r>
          </w:p>
        </w:tc>
        <w:tc>
          <w:tcPr>
            <w:tcW w:w="941" w:type="dxa"/>
            <w:noWrap w:val="0"/>
            <w:vAlign w:val="center"/>
          </w:tcPr>
          <w:p w14:paraId="59668826">
            <w:pPr>
              <w:spacing w:line="400" w:lineRule="exact"/>
              <w:jc w:val="cente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9</w:t>
            </w:r>
          </w:p>
        </w:tc>
      </w:tr>
      <w:tr w14:paraId="6A8EE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10DF3C06">
            <w:pPr>
              <w:spacing w:line="400" w:lineRule="exact"/>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4</w:t>
            </w:r>
          </w:p>
        </w:tc>
        <w:tc>
          <w:tcPr>
            <w:tcW w:w="945" w:type="dxa"/>
            <w:shd w:val="clear" w:color="auto" w:fill="auto"/>
            <w:noWrap w:val="0"/>
            <w:vAlign w:val="center"/>
          </w:tcPr>
          <w:p w14:paraId="28A8F773">
            <w:pPr>
              <w:spacing w:line="400" w:lineRule="exact"/>
              <w:jc w:val="center"/>
              <w:rPr>
                <w:rFonts w:hint="eastAsia" w:ascii="宋体" w:hAnsi="宋体" w:eastAsia="宋体" w:cs="宋体"/>
                <w:color w:val="000000"/>
                <w:kern w:val="2"/>
                <w:sz w:val="21"/>
                <w:szCs w:val="21"/>
                <w:highlight w:val="none"/>
                <w:lang w:val="en-US" w:eastAsia="zh-CN" w:bidi="ar-SA"/>
              </w:rPr>
            </w:pPr>
            <w:r>
              <w:rPr>
                <w:rFonts w:hint="eastAsia" w:ascii="宋体" w:hAnsi="宋体" w:cs="宋体"/>
                <w:color w:val="000000"/>
                <w:szCs w:val="21"/>
                <w:highlight w:val="none"/>
                <w:lang w:val="en-US" w:eastAsia="zh-CN"/>
              </w:rPr>
              <w:t>业绩评价</w:t>
            </w:r>
          </w:p>
        </w:tc>
        <w:tc>
          <w:tcPr>
            <w:tcW w:w="6548" w:type="dxa"/>
            <w:shd w:val="clear" w:color="auto" w:fill="auto"/>
            <w:noWrap w:val="0"/>
            <w:vAlign w:val="center"/>
          </w:tcPr>
          <w:p w14:paraId="727FECB9">
            <w:pPr>
              <w:spacing w:line="400" w:lineRule="exact"/>
              <w:rPr>
                <w:rFonts w:hint="eastAsia" w:ascii="宋体" w:hAnsi="宋体" w:eastAsia="宋体" w:cs="宋体"/>
                <w:color w:val="000000"/>
                <w:kern w:val="2"/>
                <w:sz w:val="21"/>
                <w:szCs w:val="21"/>
                <w:highlight w:val="none"/>
                <w:lang w:val="en-US" w:eastAsia="zh-CN" w:bidi="ar-SA"/>
              </w:rPr>
            </w:pPr>
            <w:r>
              <w:rPr>
                <w:rFonts w:hint="eastAsia" w:ascii="宋体" w:hAnsi="宋体" w:cs="宋体"/>
                <w:color w:val="000000"/>
                <w:szCs w:val="21"/>
                <w:highlight w:val="none"/>
                <w:lang w:val="en-US" w:eastAsia="zh-CN"/>
              </w:rPr>
              <w:t>投标</w:t>
            </w:r>
            <w:r>
              <w:rPr>
                <w:rFonts w:hint="eastAsia" w:ascii="宋体" w:hAnsi="宋体" w:cs="宋体"/>
                <w:color w:val="000000"/>
                <w:szCs w:val="21"/>
                <w:highlight w:val="none"/>
              </w:rPr>
              <w:t>供应商</w:t>
            </w:r>
            <w:r>
              <w:rPr>
                <w:rFonts w:hint="eastAsia" w:ascii="宋体" w:hAnsi="宋体" w:eastAsia="宋体" w:cs="宋体"/>
                <w:b w:val="0"/>
                <w:bCs w:val="0"/>
                <w:kern w:val="0"/>
                <w:sz w:val="21"/>
                <w:szCs w:val="21"/>
                <w:highlight w:val="none"/>
              </w:rPr>
              <w:t>需提供与业绩对应的用户书面评价及意见反馈</w:t>
            </w:r>
            <w:r>
              <w:rPr>
                <w:rFonts w:hint="eastAsia" w:ascii="宋体" w:hAnsi="宋体" w:eastAsia="宋体" w:cs="宋体"/>
                <w:b w:val="0"/>
                <w:bCs w:val="0"/>
                <w:kern w:val="0"/>
                <w:sz w:val="21"/>
                <w:szCs w:val="21"/>
                <w:highlight w:val="none"/>
                <w:lang w:val="en-US" w:eastAsia="zh-CN"/>
              </w:rPr>
              <w:t>证明材料</w:t>
            </w: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证明材料业绩评价须为</w:t>
            </w:r>
            <w:r>
              <w:rPr>
                <w:rFonts w:hint="eastAsia" w:ascii="宋体" w:hAnsi="宋体" w:cs="宋体"/>
                <w:color w:val="000000"/>
                <w:szCs w:val="21"/>
                <w:highlight w:val="none"/>
              </w:rPr>
              <w:t>满意或优秀或同等级，</w:t>
            </w:r>
            <w:r>
              <w:rPr>
                <w:rFonts w:hint="eastAsia" w:ascii="宋体" w:hAnsi="宋体" w:cs="宋体"/>
                <w:color w:val="000000"/>
                <w:szCs w:val="21"/>
                <w:highlight w:val="none"/>
                <w:lang w:val="en-US" w:eastAsia="zh-CN"/>
              </w:rPr>
              <w:t>证明</w:t>
            </w:r>
            <w:r>
              <w:rPr>
                <w:rFonts w:hint="eastAsia" w:ascii="宋体" w:hAnsi="宋体" w:cs="宋体"/>
                <w:color w:val="000000"/>
                <w:szCs w:val="21"/>
                <w:highlight w:val="none"/>
              </w:rPr>
              <w:t>材料</w:t>
            </w:r>
            <w:r>
              <w:rPr>
                <w:rFonts w:hint="eastAsia" w:ascii="宋体" w:hAnsi="宋体" w:cs="宋体"/>
                <w:color w:val="000000"/>
                <w:szCs w:val="21"/>
                <w:highlight w:val="none"/>
                <w:lang w:val="en-US" w:eastAsia="zh-CN"/>
              </w:rPr>
              <w:t>须</w:t>
            </w:r>
            <w:r>
              <w:rPr>
                <w:rFonts w:hint="eastAsia" w:ascii="宋体" w:hAnsi="宋体" w:cs="宋体"/>
                <w:color w:val="000000"/>
                <w:szCs w:val="21"/>
                <w:highlight w:val="none"/>
              </w:rPr>
              <w:t>加盖</w:t>
            </w:r>
            <w:r>
              <w:rPr>
                <w:rFonts w:hint="eastAsia" w:ascii="宋体" w:hAnsi="宋体" w:cs="宋体"/>
                <w:color w:val="000000"/>
                <w:szCs w:val="21"/>
                <w:highlight w:val="none"/>
                <w:lang w:val="en-US" w:eastAsia="zh-CN"/>
              </w:rPr>
              <w:t>投标单位公章及</w:t>
            </w:r>
            <w:r>
              <w:rPr>
                <w:rFonts w:hint="eastAsia" w:ascii="宋体" w:hAnsi="宋体" w:cs="宋体"/>
                <w:color w:val="000000"/>
                <w:szCs w:val="21"/>
                <w:highlight w:val="none"/>
              </w:rPr>
              <w:t>被服务单位公章</w:t>
            </w:r>
            <w:r>
              <w:rPr>
                <w:rFonts w:hint="eastAsia" w:ascii="宋体" w:hAnsi="宋体" w:cs="宋体"/>
                <w:color w:val="000000"/>
                <w:szCs w:val="21"/>
                <w:highlight w:val="none"/>
                <w:lang w:val="en-US" w:eastAsia="zh-CN"/>
              </w:rPr>
              <w:t>否则不得分</w:t>
            </w:r>
            <w:r>
              <w:rPr>
                <w:rFonts w:hint="eastAsia" w:ascii="宋体" w:hAnsi="宋体" w:cs="宋体"/>
                <w:color w:val="000000"/>
                <w:szCs w:val="21"/>
                <w:highlight w:val="none"/>
              </w:rPr>
              <w:t>），每提供1个</w:t>
            </w:r>
            <w:r>
              <w:rPr>
                <w:rFonts w:hint="eastAsia" w:ascii="宋体" w:hAnsi="宋体" w:cs="宋体"/>
                <w:color w:val="000000"/>
                <w:szCs w:val="21"/>
                <w:highlight w:val="none"/>
                <w:lang w:val="en-US" w:eastAsia="zh-CN"/>
              </w:rPr>
              <w:t>业绩评价</w:t>
            </w:r>
            <w:r>
              <w:rPr>
                <w:rFonts w:hint="eastAsia" w:ascii="宋体" w:hAnsi="宋体" w:cs="宋体"/>
                <w:color w:val="000000"/>
                <w:szCs w:val="21"/>
                <w:highlight w:val="none"/>
              </w:rPr>
              <w:t>得</w:t>
            </w:r>
            <w:r>
              <w:rPr>
                <w:rFonts w:hint="eastAsia" w:ascii="宋体" w:hAnsi="宋体" w:cs="宋体"/>
                <w:color w:val="000000"/>
                <w:szCs w:val="21"/>
                <w:highlight w:val="none"/>
                <w:lang w:val="en-US" w:eastAsia="zh-CN"/>
              </w:rPr>
              <w:t>1</w:t>
            </w:r>
            <w:r>
              <w:rPr>
                <w:rFonts w:hint="eastAsia" w:ascii="宋体" w:hAnsi="宋体" w:cs="宋体"/>
                <w:color w:val="000000"/>
                <w:szCs w:val="21"/>
                <w:highlight w:val="none"/>
              </w:rPr>
              <w:t>分，</w:t>
            </w:r>
            <w:r>
              <w:rPr>
                <w:rFonts w:hint="eastAsia" w:ascii="宋体" w:hAnsi="宋体" w:cs="宋体"/>
                <w:color w:val="000000"/>
                <w:szCs w:val="21"/>
                <w:highlight w:val="none"/>
                <w:lang w:val="en-US" w:eastAsia="zh-CN"/>
              </w:rPr>
              <w:t>本项</w:t>
            </w:r>
            <w:r>
              <w:rPr>
                <w:rFonts w:hint="eastAsia" w:ascii="宋体" w:hAnsi="宋体" w:cs="宋体"/>
                <w:color w:val="000000"/>
                <w:szCs w:val="21"/>
                <w:highlight w:val="none"/>
              </w:rPr>
              <w:t>最高得</w:t>
            </w:r>
            <w:r>
              <w:rPr>
                <w:rFonts w:hint="eastAsia" w:ascii="宋体" w:hAnsi="宋体" w:cs="宋体"/>
                <w:color w:val="000000"/>
                <w:szCs w:val="21"/>
                <w:highlight w:val="none"/>
                <w:lang w:val="en-US" w:eastAsia="zh-CN"/>
              </w:rPr>
              <w:t>3</w:t>
            </w:r>
            <w:r>
              <w:rPr>
                <w:rFonts w:hint="eastAsia" w:ascii="宋体" w:hAnsi="宋体" w:cs="宋体"/>
                <w:color w:val="000000"/>
                <w:szCs w:val="21"/>
                <w:highlight w:val="none"/>
              </w:rPr>
              <w:t>分。</w:t>
            </w:r>
          </w:p>
        </w:tc>
        <w:tc>
          <w:tcPr>
            <w:tcW w:w="941" w:type="dxa"/>
            <w:noWrap w:val="0"/>
            <w:vAlign w:val="center"/>
          </w:tcPr>
          <w:p w14:paraId="7D1CCD79">
            <w:pPr>
              <w:spacing w:line="400" w:lineRule="exact"/>
              <w:jc w:val="cente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3</w:t>
            </w:r>
          </w:p>
        </w:tc>
      </w:tr>
      <w:tr w14:paraId="25F33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shd w:val="clear" w:color="auto" w:fill="auto"/>
            <w:noWrap w:val="0"/>
            <w:vAlign w:val="center"/>
          </w:tcPr>
          <w:p w14:paraId="3449164C">
            <w:pPr>
              <w:spacing w:line="400" w:lineRule="exact"/>
              <w:jc w:val="center"/>
              <w:rPr>
                <w:rFonts w:hint="eastAsia" w:ascii="宋体" w:hAnsi="宋体" w:eastAsia="宋体" w:cs="宋体"/>
                <w:color w:val="000000"/>
                <w:kern w:val="2"/>
                <w:sz w:val="21"/>
                <w:szCs w:val="21"/>
                <w:highlight w:val="none"/>
                <w:lang w:val="en-US" w:eastAsia="zh-CN" w:bidi="ar-SA"/>
              </w:rPr>
            </w:pPr>
            <w:r>
              <w:rPr>
                <w:rFonts w:hint="eastAsia" w:ascii="宋体" w:hAnsi="宋体" w:cs="宋体"/>
                <w:color w:val="000000"/>
                <w:szCs w:val="21"/>
                <w:highlight w:val="none"/>
                <w:lang w:val="en-US" w:eastAsia="zh-CN"/>
              </w:rPr>
              <w:t>5</w:t>
            </w:r>
          </w:p>
        </w:tc>
        <w:tc>
          <w:tcPr>
            <w:tcW w:w="945" w:type="dxa"/>
            <w:shd w:val="clear" w:color="auto" w:fill="auto"/>
            <w:noWrap w:val="0"/>
            <w:vAlign w:val="center"/>
          </w:tcPr>
          <w:p w14:paraId="381355B2">
            <w:pPr>
              <w:spacing w:line="400" w:lineRule="exact"/>
              <w:jc w:val="center"/>
              <w:rPr>
                <w:rFonts w:hint="eastAsia" w:ascii="宋体" w:hAnsi="宋体" w:eastAsia="宋体" w:cs="宋体"/>
                <w:color w:val="000000"/>
                <w:kern w:val="2"/>
                <w:sz w:val="21"/>
                <w:szCs w:val="21"/>
                <w:highlight w:val="none"/>
                <w:lang w:val="en-US" w:eastAsia="zh-CN" w:bidi="ar-SA"/>
              </w:rPr>
            </w:pPr>
            <w:r>
              <w:rPr>
                <w:rFonts w:hint="eastAsia" w:ascii="宋体" w:hAnsi="宋体" w:cs="宋体"/>
                <w:color w:val="000000"/>
                <w:szCs w:val="21"/>
                <w:highlight w:val="none"/>
              </w:rPr>
              <w:t>项目</w:t>
            </w:r>
            <w:r>
              <w:rPr>
                <w:rFonts w:hint="eastAsia" w:ascii="宋体" w:hAnsi="宋体" w:cs="宋体"/>
                <w:color w:val="000000"/>
                <w:szCs w:val="21"/>
                <w:highlight w:val="none"/>
                <w:lang w:val="en-US" w:eastAsia="zh-CN"/>
              </w:rPr>
              <w:t>负责人</w:t>
            </w:r>
          </w:p>
        </w:tc>
        <w:tc>
          <w:tcPr>
            <w:tcW w:w="6548" w:type="dxa"/>
            <w:shd w:val="clear" w:color="auto" w:fill="auto"/>
            <w:noWrap w:val="0"/>
            <w:vAlign w:val="center"/>
          </w:tcPr>
          <w:p w14:paraId="3319D079">
            <w:pPr>
              <w:spacing w:line="400" w:lineRule="exact"/>
              <w:rPr>
                <w:rFonts w:hint="default" w:ascii="宋体" w:hAnsi="宋体" w:eastAsia="宋体" w:cs="宋体"/>
                <w:color w:val="000000"/>
                <w:kern w:val="2"/>
                <w:sz w:val="21"/>
                <w:szCs w:val="21"/>
                <w:highlight w:val="none"/>
                <w:lang w:val="en-US" w:eastAsia="zh-CN" w:bidi="ar-SA"/>
              </w:rPr>
            </w:pPr>
            <w:r>
              <w:rPr>
                <w:rFonts w:hint="eastAsia" w:ascii="宋体" w:hAnsi="宋体" w:eastAsia="宋体" w:cs="宋体"/>
                <w:b w:val="0"/>
                <w:bCs w:val="0"/>
                <w:color w:val="auto"/>
                <w:kern w:val="0"/>
                <w:sz w:val="21"/>
                <w:szCs w:val="21"/>
                <w:highlight w:val="none"/>
                <w:lang w:val="zh-CN" w:bidi="zh-CN"/>
              </w:rPr>
              <w:t>拟派本项目</w:t>
            </w:r>
            <w:r>
              <w:rPr>
                <w:rFonts w:hint="eastAsia" w:ascii="宋体" w:hAnsi="宋体" w:eastAsia="宋体" w:cs="宋体"/>
                <w:b w:val="0"/>
                <w:bCs w:val="0"/>
                <w:color w:val="auto"/>
                <w:kern w:val="0"/>
                <w:sz w:val="21"/>
                <w:szCs w:val="21"/>
                <w:highlight w:val="none"/>
                <w:lang w:val="en-US" w:eastAsia="zh-CN"/>
              </w:rPr>
              <w:t>项目负责人</w:t>
            </w:r>
            <w:r>
              <w:rPr>
                <w:rFonts w:hint="eastAsia" w:ascii="宋体" w:hAnsi="宋体" w:eastAsia="宋体" w:cs="宋体"/>
                <w:b w:val="0"/>
                <w:bCs w:val="0"/>
                <w:color w:val="auto"/>
                <w:kern w:val="0"/>
                <w:sz w:val="21"/>
                <w:szCs w:val="21"/>
                <w:highlight w:val="none"/>
                <w:lang w:val="zh-CN" w:bidi="zh-CN"/>
              </w:rPr>
              <w:t>，具有餐饮业职业经理人培训证书得</w:t>
            </w:r>
            <w:r>
              <w:rPr>
                <w:rFonts w:hint="eastAsia" w:ascii="宋体" w:hAnsi="宋体" w:eastAsia="宋体" w:cs="宋体"/>
                <w:b w:val="0"/>
                <w:bCs w:val="0"/>
                <w:color w:val="auto"/>
                <w:kern w:val="0"/>
                <w:sz w:val="21"/>
                <w:szCs w:val="21"/>
                <w:highlight w:val="none"/>
                <w:lang w:val="en-US" w:bidi="zh-CN"/>
              </w:rPr>
              <w:t>3</w:t>
            </w:r>
            <w:r>
              <w:rPr>
                <w:rFonts w:hint="eastAsia" w:ascii="宋体" w:hAnsi="宋体" w:eastAsia="宋体" w:cs="宋体"/>
                <w:b w:val="0"/>
                <w:bCs w:val="0"/>
                <w:color w:val="auto"/>
                <w:kern w:val="0"/>
                <w:sz w:val="21"/>
                <w:szCs w:val="21"/>
                <w:highlight w:val="none"/>
                <w:lang w:val="zh-CN" w:bidi="zh-CN"/>
              </w:rPr>
              <w:t>分，</w:t>
            </w:r>
            <w:r>
              <w:rPr>
                <w:rFonts w:hint="eastAsia" w:ascii="宋体" w:hAnsi="宋体" w:eastAsia="宋体" w:cs="宋体"/>
                <w:b w:val="0"/>
                <w:bCs w:val="0"/>
                <w:color w:val="auto"/>
                <w:kern w:val="0"/>
                <w:sz w:val="21"/>
                <w:szCs w:val="21"/>
                <w:highlight w:val="none"/>
                <w:lang w:val="en-US" w:bidi="zh-CN"/>
              </w:rPr>
              <w:t>同时</w:t>
            </w:r>
            <w:r>
              <w:rPr>
                <w:rFonts w:hint="eastAsia" w:ascii="宋体" w:hAnsi="宋体" w:eastAsia="宋体" w:cs="宋体"/>
                <w:b w:val="0"/>
                <w:bCs w:val="0"/>
                <w:color w:val="auto"/>
                <w:kern w:val="0"/>
                <w:sz w:val="21"/>
                <w:szCs w:val="21"/>
                <w:highlight w:val="none"/>
                <w:lang w:val="zh-CN" w:bidi="zh-CN"/>
              </w:rPr>
              <w:t>具有食品安全管理员证得</w:t>
            </w:r>
            <w:r>
              <w:rPr>
                <w:rFonts w:hint="eastAsia" w:ascii="宋体" w:hAnsi="宋体" w:eastAsia="宋体" w:cs="宋体"/>
                <w:b w:val="0"/>
                <w:bCs w:val="0"/>
                <w:color w:val="auto"/>
                <w:kern w:val="0"/>
                <w:sz w:val="21"/>
                <w:szCs w:val="21"/>
                <w:highlight w:val="none"/>
                <w:lang w:val="en-US" w:bidi="zh-CN"/>
              </w:rPr>
              <w:t>3</w:t>
            </w:r>
            <w:r>
              <w:rPr>
                <w:rFonts w:hint="eastAsia" w:ascii="宋体" w:hAnsi="宋体" w:eastAsia="宋体" w:cs="宋体"/>
                <w:b w:val="0"/>
                <w:bCs w:val="0"/>
                <w:color w:val="auto"/>
                <w:kern w:val="0"/>
                <w:sz w:val="21"/>
                <w:szCs w:val="21"/>
                <w:highlight w:val="none"/>
                <w:lang w:val="zh-CN" w:bidi="zh-CN"/>
              </w:rPr>
              <w:t>分。提供证书</w:t>
            </w:r>
            <w:r>
              <w:rPr>
                <w:rFonts w:hint="eastAsia" w:ascii="宋体" w:hAnsi="宋体" w:eastAsia="宋体" w:cs="宋体"/>
                <w:b w:val="0"/>
                <w:bCs w:val="0"/>
                <w:color w:val="auto"/>
                <w:kern w:val="0"/>
                <w:sz w:val="21"/>
                <w:szCs w:val="21"/>
                <w:highlight w:val="none"/>
                <w:lang w:val="en-US" w:bidi="zh-CN"/>
              </w:rPr>
              <w:t>原</w:t>
            </w:r>
            <w:r>
              <w:rPr>
                <w:rFonts w:hint="eastAsia" w:ascii="宋体" w:hAnsi="宋体" w:eastAsia="宋体" w:cs="宋体"/>
                <w:b w:val="0"/>
                <w:bCs w:val="0"/>
                <w:color w:val="auto"/>
                <w:kern w:val="0"/>
                <w:sz w:val="21"/>
                <w:szCs w:val="21"/>
                <w:highlight w:val="none"/>
                <w:lang w:val="zh-CN" w:bidi="zh-CN"/>
              </w:rPr>
              <w:t>件</w:t>
            </w:r>
            <w:r>
              <w:rPr>
                <w:rFonts w:hint="eastAsia" w:ascii="宋体" w:hAnsi="宋体" w:eastAsia="宋体" w:cs="宋体"/>
                <w:b w:val="0"/>
                <w:bCs w:val="0"/>
                <w:color w:val="auto"/>
                <w:kern w:val="0"/>
                <w:sz w:val="21"/>
                <w:szCs w:val="21"/>
                <w:highlight w:val="none"/>
                <w:lang w:val="en-US" w:bidi="zh-CN"/>
              </w:rPr>
              <w:t>扫描件加盖</w:t>
            </w:r>
            <w:r>
              <w:rPr>
                <w:rFonts w:hint="eastAsia" w:ascii="宋体" w:hAnsi="宋体" w:cs="宋体"/>
                <w:color w:val="000000"/>
                <w:szCs w:val="21"/>
                <w:highlight w:val="none"/>
                <w:lang w:val="en-US" w:eastAsia="zh-CN"/>
              </w:rPr>
              <w:t>投标单位公章</w:t>
            </w:r>
            <w:r>
              <w:rPr>
                <w:rFonts w:hint="eastAsia" w:ascii="宋体" w:hAnsi="宋体" w:eastAsia="宋体" w:cs="宋体"/>
                <w:b w:val="0"/>
                <w:bCs w:val="0"/>
                <w:color w:val="auto"/>
                <w:kern w:val="0"/>
                <w:sz w:val="21"/>
                <w:szCs w:val="21"/>
                <w:highlight w:val="none"/>
                <w:lang w:val="zh-CN" w:bidi="zh-CN"/>
              </w:rPr>
              <w:t>，</w:t>
            </w:r>
            <w:r>
              <w:rPr>
                <w:rFonts w:hint="eastAsia" w:ascii="宋体" w:hAnsi="宋体" w:eastAsia="宋体" w:cs="宋体"/>
                <w:color w:val="000000"/>
                <w:szCs w:val="21"/>
                <w:highlight w:val="none"/>
                <w:lang w:val="zh-CN" w:eastAsia="zh-CN"/>
              </w:rPr>
              <w:t>并同时提供社保机构出具近</w:t>
            </w:r>
            <w:r>
              <w:rPr>
                <w:rFonts w:hint="eastAsia" w:ascii="宋体" w:hAnsi="宋体" w:eastAsia="宋体" w:cs="宋体"/>
                <w:color w:val="000000"/>
                <w:szCs w:val="21"/>
                <w:highlight w:val="none"/>
                <w:lang w:val="en-US" w:eastAsia="zh-CN"/>
              </w:rPr>
              <w:t>三个月内（2026年5月-2026年7月）任意一个月</w:t>
            </w:r>
            <w:r>
              <w:rPr>
                <w:rFonts w:hint="eastAsia" w:ascii="宋体" w:hAnsi="宋体" w:eastAsia="宋体" w:cs="宋体"/>
                <w:color w:val="000000"/>
                <w:szCs w:val="21"/>
                <w:highlight w:val="none"/>
                <w:lang w:val="zh-CN" w:eastAsia="zh-CN"/>
              </w:rPr>
              <w:t>供应商为其缴纳的社会保险缴费证明材料</w:t>
            </w:r>
            <w:r>
              <w:rPr>
                <w:rFonts w:hint="eastAsia" w:ascii="宋体" w:hAnsi="宋体" w:eastAsia="宋体" w:cs="宋体"/>
                <w:color w:val="000000"/>
                <w:szCs w:val="21"/>
                <w:highlight w:val="none"/>
                <w:lang w:val="en-US" w:eastAsia="zh-CN"/>
              </w:rPr>
              <w:t>扫描</w:t>
            </w:r>
            <w:r>
              <w:rPr>
                <w:rFonts w:hint="eastAsia" w:ascii="宋体" w:hAnsi="宋体" w:eastAsia="宋体" w:cs="宋体"/>
                <w:color w:val="000000"/>
                <w:szCs w:val="21"/>
                <w:highlight w:val="none"/>
                <w:lang w:val="zh-CN" w:eastAsia="zh-CN"/>
              </w:rPr>
              <w:t>件加盖公章，</w:t>
            </w:r>
            <w:r>
              <w:rPr>
                <w:rFonts w:hint="eastAsia" w:ascii="宋体" w:hAnsi="宋体" w:eastAsia="宋体" w:cs="宋体"/>
                <w:color w:val="000000"/>
                <w:szCs w:val="21"/>
                <w:highlight w:val="none"/>
                <w:lang w:val="en-US" w:eastAsia="zh-CN"/>
              </w:rPr>
              <w:t>本项最高得6分。</w:t>
            </w:r>
          </w:p>
        </w:tc>
        <w:tc>
          <w:tcPr>
            <w:tcW w:w="941" w:type="dxa"/>
            <w:shd w:val="clear" w:color="auto" w:fill="auto"/>
            <w:noWrap w:val="0"/>
            <w:vAlign w:val="center"/>
          </w:tcPr>
          <w:p w14:paraId="6BCD8AC5">
            <w:pPr>
              <w:pStyle w:val="37"/>
              <w:spacing w:line="400" w:lineRule="exact"/>
              <w:ind w:left="0" w:leftChars="0" w:firstLine="0" w:firstLineChars="0"/>
              <w:jc w:val="center"/>
              <w:rPr>
                <w:rFonts w:hint="eastAsia" w:ascii="宋体" w:hAnsi="宋体" w:eastAsia="宋体" w:cs="宋体"/>
                <w:color w:val="000000"/>
                <w:kern w:val="2"/>
                <w:sz w:val="21"/>
                <w:szCs w:val="21"/>
                <w:highlight w:val="none"/>
                <w:lang w:val="en-US" w:eastAsia="zh-CN" w:bidi="ar-SA"/>
              </w:rPr>
            </w:pPr>
            <w:r>
              <w:rPr>
                <w:rFonts w:hint="eastAsia" w:ascii="宋体" w:hAnsi="宋体" w:cs="宋体"/>
                <w:color w:val="000000"/>
                <w:sz w:val="21"/>
                <w:szCs w:val="21"/>
                <w:highlight w:val="none"/>
              </w:rPr>
              <w:t>6</w:t>
            </w:r>
          </w:p>
        </w:tc>
      </w:tr>
      <w:tr w14:paraId="1CE6F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1B9AC7BE">
            <w:pPr>
              <w:pStyle w:val="37"/>
              <w:spacing w:line="400" w:lineRule="exact"/>
              <w:ind w:left="0" w:leftChars="0" w:firstLine="0" w:firstLineChars="0"/>
              <w:jc w:val="center"/>
              <w:rPr>
                <w:rFonts w:hint="eastAsia" w:ascii="宋体" w:hAnsi="宋体" w:eastAsia="宋体" w:cs="宋体"/>
                <w:color w:val="000000"/>
                <w:sz w:val="21"/>
                <w:szCs w:val="21"/>
                <w:highlight w:val="none"/>
                <w:lang w:eastAsia="zh-CN"/>
              </w:rPr>
            </w:pPr>
            <w:r>
              <w:rPr>
                <w:rFonts w:hint="eastAsia" w:hAnsi="宋体" w:cs="宋体"/>
                <w:color w:val="000000"/>
                <w:sz w:val="21"/>
                <w:szCs w:val="21"/>
                <w:highlight w:val="none"/>
                <w:lang w:val="en-US" w:eastAsia="zh-CN"/>
              </w:rPr>
              <w:t>6</w:t>
            </w:r>
          </w:p>
        </w:tc>
        <w:tc>
          <w:tcPr>
            <w:tcW w:w="945" w:type="dxa"/>
            <w:noWrap w:val="0"/>
            <w:vAlign w:val="center"/>
          </w:tcPr>
          <w:p w14:paraId="2E032672">
            <w:pPr>
              <w:spacing w:line="400" w:lineRule="exact"/>
              <w:jc w:val="center"/>
              <w:rPr>
                <w:rFonts w:ascii="宋体" w:hAnsi="宋体" w:cs="宋体"/>
                <w:color w:val="000000"/>
                <w:sz w:val="21"/>
                <w:szCs w:val="21"/>
                <w:highlight w:val="none"/>
              </w:rPr>
            </w:pPr>
            <w:r>
              <w:rPr>
                <w:rFonts w:hint="eastAsia" w:ascii="宋体" w:hAnsi="宋体" w:cs="宋体"/>
                <w:color w:val="000000"/>
                <w:szCs w:val="21"/>
                <w:highlight w:val="none"/>
              </w:rPr>
              <w:t>项目组人员</w:t>
            </w:r>
          </w:p>
        </w:tc>
        <w:tc>
          <w:tcPr>
            <w:tcW w:w="6548" w:type="dxa"/>
            <w:noWrap w:val="0"/>
            <w:vAlign w:val="center"/>
          </w:tcPr>
          <w:p w14:paraId="5C5B85A7">
            <w:pPr>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w:t>
            </w:r>
            <w:r>
              <w:rPr>
                <w:rFonts w:hint="eastAsia" w:ascii="宋体" w:hAnsi="宋体" w:eastAsia="宋体" w:cs="宋体"/>
                <w:color w:val="000000"/>
                <w:szCs w:val="21"/>
                <w:highlight w:val="none"/>
                <w:lang w:val="zh-CN" w:eastAsia="zh-CN"/>
              </w:rPr>
              <w:t>拟派于本项目的</w:t>
            </w:r>
            <w:r>
              <w:rPr>
                <w:rFonts w:hint="eastAsia" w:ascii="宋体" w:hAnsi="宋体" w:eastAsia="宋体" w:cs="宋体"/>
                <w:color w:val="000000"/>
                <w:szCs w:val="21"/>
                <w:highlight w:val="none"/>
                <w:lang w:val="en-US" w:eastAsia="zh-CN"/>
              </w:rPr>
              <w:t>厨师长</w:t>
            </w:r>
            <w:r>
              <w:rPr>
                <w:rFonts w:hint="eastAsia" w:ascii="宋体" w:hAnsi="宋体" w:eastAsia="宋体" w:cs="宋体"/>
                <w:color w:val="000000"/>
                <w:szCs w:val="21"/>
                <w:highlight w:val="none"/>
                <w:lang w:val="zh-CN" w:eastAsia="zh-CN"/>
              </w:rPr>
              <w:t>具有中式烹调师二级证书及以上的，得</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lang w:val="zh-CN" w:eastAsia="zh-CN"/>
              </w:rPr>
              <w:t>分，最高得</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lang w:val="zh-CN" w:eastAsia="zh-CN"/>
              </w:rPr>
              <w:t>分。</w:t>
            </w:r>
          </w:p>
          <w:p w14:paraId="48027405">
            <w:pPr>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lang w:val="zh-CN" w:eastAsia="zh-CN"/>
              </w:rPr>
              <w:t>拟派于本项目的</w:t>
            </w:r>
            <w:r>
              <w:rPr>
                <w:rFonts w:hint="eastAsia" w:ascii="宋体" w:hAnsi="宋体" w:eastAsia="宋体" w:cs="宋体"/>
                <w:color w:val="000000"/>
                <w:szCs w:val="21"/>
                <w:highlight w:val="none"/>
                <w:lang w:val="en-US" w:eastAsia="zh-CN"/>
              </w:rPr>
              <w:t>厨师</w:t>
            </w:r>
            <w:r>
              <w:rPr>
                <w:rFonts w:hint="eastAsia" w:ascii="宋体" w:hAnsi="宋体" w:eastAsia="宋体" w:cs="宋体"/>
                <w:color w:val="000000"/>
                <w:szCs w:val="21"/>
                <w:highlight w:val="none"/>
                <w:lang w:val="zh-CN" w:eastAsia="zh-CN"/>
              </w:rPr>
              <w:t>具有中式烹调师三级证书及以上的，得</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lang w:val="zh-CN" w:eastAsia="zh-CN"/>
              </w:rPr>
              <w:t>分，最高得</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lang w:val="zh-CN" w:eastAsia="zh-CN"/>
              </w:rPr>
              <w:t>分。</w:t>
            </w:r>
          </w:p>
          <w:p w14:paraId="66C446A4">
            <w:pPr>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lang w:val="zh-CN" w:eastAsia="zh-CN"/>
              </w:rPr>
              <w:t>拟派于本项目的</w:t>
            </w:r>
            <w:r>
              <w:rPr>
                <w:rFonts w:hint="eastAsia" w:ascii="宋体" w:hAnsi="宋体" w:eastAsia="宋体" w:cs="宋体"/>
                <w:color w:val="000000"/>
                <w:szCs w:val="21"/>
                <w:highlight w:val="none"/>
                <w:lang w:val="en-US" w:eastAsia="zh-CN"/>
              </w:rPr>
              <w:t>面点师中</w:t>
            </w:r>
            <w:r>
              <w:rPr>
                <w:rFonts w:hint="eastAsia" w:ascii="宋体" w:hAnsi="宋体" w:eastAsia="宋体" w:cs="宋体"/>
                <w:color w:val="000000"/>
                <w:szCs w:val="21"/>
                <w:highlight w:val="none"/>
                <w:lang w:val="zh-CN" w:eastAsia="zh-CN"/>
              </w:rPr>
              <w:t>具有中式面点师三级证书及以上的，得</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lang w:val="zh-CN" w:eastAsia="zh-CN"/>
              </w:rPr>
              <w:t>分，最高得</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lang w:val="zh-CN" w:eastAsia="zh-CN"/>
              </w:rPr>
              <w:t>分。</w:t>
            </w:r>
          </w:p>
          <w:p w14:paraId="21EDD02A">
            <w:pPr>
              <w:spacing w:line="400" w:lineRule="exact"/>
              <w:rPr>
                <w:rFonts w:hint="default" w:ascii="宋体" w:hAnsi="宋体" w:cs="宋体"/>
                <w:color w:val="000000"/>
                <w:sz w:val="21"/>
                <w:szCs w:val="21"/>
                <w:highlight w:val="none"/>
                <w:lang w:val="en-US"/>
              </w:rPr>
            </w:pPr>
            <w:r>
              <w:rPr>
                <w:rFonts w:hint="eastAsia" w:ascii="宋体" w:hAnsi="宋体" w:eastAsia="宋体" w:cs="宋体"/>
                <w:color w:val="000000"/>
                <w:szCs w:val="21"/>
                <w:highlight w:val="none"/>
                <w:lang w:val="zh-CN" w:eastAsia="zh-CN"/>
              </w:rPr>
              <w:t>（</w:t>
            </w:r>
            <w:r>
              <w:rPr>
                <w:rFonts w:hint="eastAsia" w:ascii="宋体" w:hAnsi="宋体" w:eastAsia="宋体" w:cs="宋体"/>
                <w:color w:val="000000"/>
                <w:szCs w:val="21"/>
                <w:highlight w:val="none"/>
                <w:lang w:val="en-US" w:eastAsia="zh-CN"/>
              </w:rPr>
              <w:t>提供证书原件扫描件加盖</w:t>
            </w:r>
            <w:r>
              <w:rPr>
                <w:rFonts w:hint="eastAsia" w:ascii="宋体" w:hAnsi="宋体" w:cs="宋体"/>
                <w:color w:val="000000"/>
                <w:szCs w:val="21"/>
                <w:highlight w:val="none"/>
                <w:lang w:val="en-US" w:eastAsia="zh-CN"/>
              </w:rPr>
              <w:t>投标单位公章</w:t>
            </w:r>
            <w:r>
              <w:rPr>
                <w:rFonts w:hint="eastAsia" w:ascii="宋体" w:hAnsi="宋体" w:eastAsia="宋体" w:cs="宋体"/>
                <w:color w:val="000000"/>
                <w:szCs w:val="21"/>
                <w:highlight w:val="none"/>
                <w:lang w:val="en-US" w:eastAsia="zh-CN"/>
              </w:rPr>
              <w:t>，</w:t>
            </w:r>
            <w:r>
              <w:rPr>
                <w:rFonts w:hint="eastAsia" w:ascii="宋体" w:hAnsi="宋体" w:eastAsia="宋体" w:cs="宋体"/>
                <w:color w:val="000000"/>
                <w:szCs w:val="21"/>
                <w:highlight w:val="none"/>
                <w:lang w:val="zh-CN" w:eastAsia="zh-CN"/>
              </w:rPr>
              <w:t>证书须提供人力资源和社会保障部技能人才评价证书全国联网查询查询网站</w:t>
            </w:r>
            <w:r>
              <w:rPr>
                <w:rFonts w:hint="eastAsia" w:ascii="宋体" w:hAnsi="宋体" w:eastAsia="宋体" w:cs="宋体"/>
                <w:color w:val="000000"/>
                <w:szCs w:val="21"/>
                <w:highlight w:val="none"/>
                <w:lang w:val="en-US" w:eastAsia="zh-CN"/>
              </w:rPr>
              <w:t>(https://zscx.osta.org.cn/)</w:t>
            </w:r>
            <w:r>
              <w:rPr>
                <w:rFonts w:hint="eastAsia" w:ascii="宋体" w:hAnsi="宋体" w:eastAsia="宋体" w:cs="宋体"/>
                <w:color w:val="000000"/>
                <w:szCs w:val="21"/>
                <w:highlight w:val="none"/>
                <w:lang w:val="zh-CN" w:eastAsia="zh-CN"/>
              </w:rPr>
              <w:t>的查询结果截图，并同时提供社保机构出具近</w:t>
            </w:r>
            <w:r>
              <w:rPr>
                <w:rFonts w:hint="eastAsia" w:ascii="宋体" w:hAnsi="宋体" w:eastAsia="宋体" w:cs="宋体"/>
                <w:color w:val="000000"/>
                <w:szCs w:val="21"/>
                <w:highlight w:val="none"/>
                <w:lang w:val="en-US" w:eastAsia="zh-CN"/>
              </w:rPr>
              <w:t>三个月内（2026年5月-2026年7月）任意一个月</w:t>
            </w:r>
            <w:r>
              <w:rPr>
                <w:rFonts w:hint="eastAsia" w:ascii="宋体" w:hAnsi="宋体" w:eastAsia="宋体" w:cs="宋体"/>
                <w:color w:val="000000"/>
                <w:szCs w:val="21"/>
                <w:highlight w:val="none"/>
                <w:lang w:val="zh-CN" w:eastAsia="zh-CN"/>
              </w:rPr>
              <w:t>供应商为其缴纳的社会保险缴费证明材料</w:t>
            </w:r>
            <w:r>
              <w:rPr>
                <w:rFonts w:hint="eastAsia" w:ascii="宋体" w:hAnsi="宋体" w:eastAsia="宋体" w:cs="宋体"/>
                <w:color w:val="000000"/>
                <w:szCs w:val="21"/>
                <w:highlight w:val="none"/>
                <w:lang w:val="en-US" w:eastAsia="zh-CN"/>
              </w:rPr>
              <w:t>扫描</w:t>
            </w:r>
            <w:r>
              <w:rPr>
                <w:rFonts w:hint="eastAsia" w:ascii="宋体" w:hAnsi="宋体" w:eastAsia="宋体" w:cs="宋体"/>
                <w:color w:val="000000"/>
                <w:szCs w:val="21"/>
                <w:highlight w:val="none"/>
                <w:lang w:val="zh-CN" w:eastAsia="zh-CN"/>
              </w:rPr>
              <w:t>件加盖公章，未提供不得分；原件备查）以上各项证书的得分，同一人不可兼得，</w:t>
            </w:r>
            <w:r>
              <w:rPr>
                <w:rFonts w:hint="eastAsia" w:ascii="宋体" w:hAnsi="宋体" w:eastAsia="宋体" w:cs="宋体"/>
                <w:color w:val="000000"/>
                <w:szCs w:val="21"/>
                <w:highlight w:val="none"/>
                <w:lang w:val="en-US" w:eastAsia="zh-CN"/>
              </w:rPr>
              <w:t>本项最高得12分。</w:t>
            </w:r>
          </w:p>
        </w:tc>
        <w:tc>
          <w:tcPr>
            <w:tcW w:w="941" w:type="dxa"/>
            <w:noWrap w:val="0"/>
            <w:vAlign w:val="center"/>
          </w:tcPr>
          <w:p w14:paraId="3DB1E642">
            <w:pPr>
              <w:pStyle w:val="37"/>
              <w:spacing w:line="400" w:lineRule="exact"/>
              <w:ind w:left="0" w:leftChars="0" w:firstLine="0" w:firstLineChars="0"/>
              <w:jc w:val="center"/>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12</w:t>
            </w:r>
          </w:p>
        </w:tc>
      </w:tr>
      <w:tr w14:paraId="30969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 w:hRule="atLeast"/>
          <w:jc w:val="center"/>
        </w:trPr>
        <w:tc>
          <w:tcPr>
            <w:tcW w:w="951" w:type="dxa"/>
            <w:noWrap w:val="0"/>
            <w:vAlign w:val="center"/>
          </w:tcPr>
          <w:p w14:paraId="277FD576">
            <w:pPr>
              <w:spacing w:line="400" w:lineRule="exact"/>
              <w:jc w:val="center"/>
              <w:rPr>
                <w:rFonts w:ascii="宋体" w:hAnsi="宋体" w:cs="宋体"/>
                <w:color w:val="000000"/>
                <w:szCs w:val="21"/>
                <w:highlight w:val="none"/>
              </w:rPr>
            </w:pPr>
          </w:p>
        </w:tc>
        <w:tc>
          <w:tcPr>
            <w:tcW w:w="945" w:type="dxa"/>
            <w:noWrap w:val="0"/>
            <w:vAlign w:val="center"/>
          </w:tcPr>
          <w:p w14:paraId="02B43D48">
            <w:pPr>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合计</w:t>
            </w:r>
          </w:p>
        </w:tc>
        <w:tc>
          <w:tcPr>
            <w:tcW w:w="6548" w:type="dxa"/>
            <w:noWrap w:val="0"/>
            <w:vAlign w:val="center"/>
          </w:tcPr>
          <w:p w14:paraId="1EB97C80">
            <w:pPr>
              <w:spacing w:line="400" w:lineRule="exact"/>
              <w:rPr>
                <w:rFonts w:ascii="宋体" w:hAnsi="宋体" w:cs="宋体"/>
                <w:color w:val="000000"/>
                <w:szCs w:val="21"/>
                <w:highlight w:val="none"/>
              </w:rPr>
            </w:pPr>
          </w:p>
        </w:tc>
        <w:tc>
          <w:tcPr>
            <w:tcW w:w="941" w:type="dxa"/>
            <w:noWrap w:val="0"/>
            <w:vAlign w:val="center"/>
          </w:tcPr>
          <w:p w14:paraId="178C8617">
            <w:pPr>
              <w:spacing w:line="400" w:lineRule="exact"/>
              <w:jc w:val="center"/>
              <w:rPr>
                <w:rFonts w:ascii="宋体" w:hAnsi="宋体" w:cs="宋体"/>
                <w:b/>
                <w:bCs/>
                <w:color w:val="000000"/>
                <w:szCs w:val="21"/>
                <w:highlight w:val="none"/>
              </w:rPr>
            </w:pPr>
            <w:r>
              <w:rPr>
                <w:rFonts w:hint="eastAsia" w:ascii="宋体" w:hAnsi="宋体" w:cs="宋体"/>
                <w:b/>
                <w:bCs/>
                <w:color w:val="000000"/>
                <w:szCs w:val="21"/>
                <w:highlight w:val="none"/>
              </w:rPr>
              <w:fldChar w:fldCharType="begin"/>
            </w:r>
            <w:r>
              <w:rPr>
                <w:rFonts w:hint="eastAsia" w:ascii="宋体" w:hAnsi="宋体" w:cs="宋体"/>
                <w:b/>
                <w:bCs/>
                <w:color w:val="000000"/>
                <w:szCs w:val="21"/>
                <w:highlight w:val="none"/>
              </w:rPr>
              <w:instrText xml:space="preserve"> = sum(D2:D12) \* MERGEFORMAT </w:instrText>
            </w:r>
            <w:r>
              <w:rPr>
                <w:rFonts w:hint="eastAsia" w:ascii="宋体" w:hAnsi="宋体" w:cs="宋体"/>
                <w:b/>
                <w:bCs/>
                <w:color w:val="000000"/>
                <w:szCs w:val="21"/>
                <w:highlight w:val="none"/>
              </w:rPr>
              <w:fldChar w:fldCharType="separate"/>
            </w:r>
            <w:r>
              <w:rPr>
                <w:rFonts w:hint="eastAsia" w:ascii="宋体" w:hAnsi="宋体" w:cs="宋体"/>
                <w:b/>
                <w:bCs/>
                <w:color w:val="000000"/>
                <w:szCs w:val="21"/>
                <w:highlight w:val="none"/>
              </w:rPr>
              <w:t>100</w:t>
            </w:r>
            <w:r>
              <w:rPr>
                <w:rFonts w:hint="eastAsia" w:ascii="宋体" w:hAnsi="宋体" w:cs="宋体"/>
                <w:b/>
                <w:bCs/>
                <w:color w:val="000000"/>
                <w:szCs w:val="21"/>
                <w:highlight w:val="none"/>
              </w:rPr>
              <w:fldChar w:fldCharType="end"/>
            </w:r>
          </w:p>
        </w:tc>
      </w:tr>
    </w:tbl>
    <w:p w14:paraId="19A7B00F">
      <w:pPr>
        <w:pStyle w:val="37"/>
        <w:rPr>
          <w:rFonts w:hint="eastAsia"/>
          <w:highlight w:val="none"/>
        </w:rPr>
      </w:pPr>
    </w:p>
    <w:p w14:paraId="7AA4AAC1">
      <w:pPr>
        <w:spacing w:line="360" w:lineRule="auto"/>
        <w:ind w:firstLine="480" w:firstLineChars="2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说明：</w:t>
      </w:r>
    </w:p>
    <w:p w14:paraId="48CE578E">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1、评审评分标准涉及到的所有材料需按要求提供相应的证明材料在投标文件中，需提供原件核查的另需提供原件，未按要求提供的均不得分。提供的证明材料必须真实可靠，如发现弄虚作假者，将向政府采购管理部门汇报，将供应商列入不良行为记录名单，并依法予以处罚。</w:t>
      </w:r>
    </w:p>
    <w:p w14:paraId="3C045D13">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2、政策功能：</w:t>
      </w:r>
    </w:p>
    <w:p w14:paraId="6E9A6087">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（1）对国家认定的节能产品和环保产品分别给予投标价的 5%、5%价格扣除，用扣除后的价格参与评审。</w:t>
      </w:r>
    </w:p>
    <w:p w14:paraId="1FE14A5E">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（2）小微企业的价格扣除</w:t>
      </w:r>
    </w:p>
    <w:p w14:paraId="6AFC25DE">
      <w:pPr>
        <w:spacing w:line="360" w:lineRule="auto"/>
        <w:ind w:firstLine="415"/>
        <w:rPr>
          <w:rFonts w:hint="eastAsia" w:ascii="宋体" w:hAnsi="宋体" w:eastAsia="宋体" w:cs="宋体"/>
          <w:color w:val="auto"/>
          <w:highlight w:val="none"/>
        </w:rPr>
      </w:pPr>
      <w:r>
        <w:rPr>
          <w:rFonts w:hint="eastAsia" w:ascii="宋体" w:hAnsi="宋体" w:eastAsia="宋体" w:cs="宋体"/>
          <w:color w:val="auto"/>
          <w:highlight w:val="none"/>
        </w:rPr>
        <w:t>2.1对于经主管预算单位统筹后未预留份额专门面向中小企业采购的采购项目，以及预留份额项目中的非预留部分采购包，采购人对小微企业报价给予</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%的扣除，用扣除后的价格参加评审。适用招标投标法的政府采购工程建设项目，采用综合评估法但未采用低价优先法计算价格分的，评标时应当在采用原报价进行评分的基础上增加其价格得分的</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%作为其价格分。</w:t>
      </w:r>
    </w:p>
    <w:p w14:paraId="39772A09">
      <w:pPr>
        <w:spacing w:line="360" w:lineRule="auto"/>
        <w:ind w:firstLine="415"/>
        <w:rPr>
          <w:rFonts w:hint="eastAsia" w:ascii="宋体" w:hAnsi="宋体" w:eastAsia="宋体" w:cs="宋体"/>
          <w:color w:val="auto"/>
          <w:highlight w:val="none"/>
        </w:rPr>
      </w:pPr>
      <w:r>
        <w:rPr>
          <w:rFonts w:hint="eastAsia" w:ascii="宋体" w:hAnsi="宋体" w:eastAsia="宋体" w:cs="宋体"/>
          <w:color w:val="auto"/>
          <w:highlight w:val="none"/>
        </w:rPr>
        <w:t>2.2 大中型企业与小微企业组成联合体或者大中型企业向一家或者多家小微企业分包的采购项目，对于联合协议或者分包意向协议约定小微企业的合同份额占到合同总金额30%以上的，采购人对联合体或者大中型企业的报价给予</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工程项目为1%）的扣除，用扣除后的价格参加评审。适用招标投标法的政府采购工程建设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关系的，不享受价格扣除优惠政策。</w:t>
      </w:r>
    </w:p>
    <w:p w14:paraId="2E940BD2">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2.3小企业（含小型、微型企业）应当同时符合以下条件：</w:t>
      </w:r>
    </w:p>
    <w:p w14:paraId="3DCED4BB">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2.3.1供应商为小企业，且符合中小企业划分标准；</w:t>
      </w:r>
    </w:p>
    <w:p w14:paraId="5C0E6F90">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2.3.2提供本企业制造的货物、承担的工程或者服务，或者提供其他小企业制造的货物。如果提供的货物为大中型企业注册商标的货物，视同大中型企业。</w:t>
      </w:r>
    </w:p>
    <w:p w14:paraId="520B8665">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3、监狱和戒毒企业的价格扣除  </w:t>
      </w:r>
    </w:p>
    <w:p w14:paraId="7A2B6BDB">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3.1本项目对监狱和戒毒企业（简称监狱企业）视同小型、微型企业，给予</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 xml:space="preserve">%的价格扣除，用扣除后的价格参与评审。 </w:t>
      </w:r>
    </w:p>
    <w:p w14:paraId="28881C4B">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监狱企业需提供由省级以上监狱管理局、戒毒管理局（含新疆生产建设兵团）出具的属于监狱企业的证明文件。 </w:t>
      </w:r>
    </w:p>
    <w:p w14:paraId="340CE3ED">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3.3 监狱企业标准请参照《关于政府采购支持监狱企业发展有关问题的通知》（财库[2014]68 号）。</w:t>
      </w:r>
    </w:p>
    <w:p w14:paraId="723394BF">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4、残疾人福利性单位的价格扣除 </w:t>
      </w:r>
    </w:p>
    <w:p w14:paraId="69EA5D05">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4.1本项目对残疾人福利性单位视同小型、微型企业，给予</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 xml:space="preserve">%的价格扣除，用扣除后的价格参与评审。 </w:t>
      </w:r>
    </w:p>
    <w:p w14:paraId="7A50CC2E">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4.2残疾人福利单位需按照招标文件的要求提供《残疾人福利性单位声明函》。 </w:t>
      </w:r>
    </w:p>
    <w:p w14:paraId="6375317A">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4.3残疾人福利单位标准请参照《关于促进残疾人就业政府采购政策的通知》（财库〔2017〕141 号）。</w:t>
      </w:r>
    </w:p>
    <w:p w14:paraId="28175FF9">
      <w:pPr>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5、监狱企业、残疾人福利单位属于小型、微型企业的，不重复享受政策。</w:t>
      </w:r>
      <w:bookmarkStart w:id="150" w:name="_Toc54118243"/>
      <w:bookmarkEnd w:id="150"/>
    </w:p>
    <w:p w14:paraId="1836B37F">
      <w:pPr>
        <w:spacing w:line="312"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、采购标的对应的中小企业划分标准所属行业：其他未列明行业。</w:t>
      </w:r>
    </w:p>
    <w:p w14:paraId="3C5D0BDB">
      <w:pPr>
        <w:rPr>
          <w:rFonts w:hint="eastAsia" w:ascii="仿宋" w:hAnsi="仿宋" w:eastAsia="仿宋" w:cs="仿宋"/>
          <w:color w:val="auto"/>
          <w:sz w:val="24"/>
          <w:szCs w:val="24"/>
          <w:highlight w:val="none"/>
        </w:rPr>
      </w:pPr>
    </w:p>
    <w:p w14:paraId="268DD6B4">
      <w:pPr>
        <w:pStyle w:val="6"/>
        <w:rPr>
          <w:rFonts w:hint="eastAsia" w:ascii="仿宋" w:hAnsi="仿宋" w:eastAsia="仿宋" w:cs="仿宋"/>
          <w:color w:val="auto"/>
          <w:sz w:val="24"/>
          <w:szCs w:val="24"/>
          <w:highlight w:val="none"/>
        </w:rPr>
      </w:pPr>
    </w:p>
    <w:p w14:paraId="0472BB8C">
      <w:pPr>
        <w:pStyle w:val="6"/>
        <w:rPr>
          <w:rFonts w:hint="eastAsia" w:ascii="仿宋" w:hAnsi="仿宋" w:eastAsia="仿宋" w:cs="仿宋"/>
          <w:color w:val="auto"/>
          <w:sz w:val="24"/>
          <w:szCs w:val="24"/>
          <w:highlight w:val="none"/>
        </w:rPr>
      </w:pPr>
    </w:p>
    <w:p w14:paraId="4447AD4F">
      <w:pPr>
        <w:pStyle w:val="6"/>
        <w:rPr>
          <w:rFonts w:hint="eastAsia" w:ascii="仿宋" w:hAnsi="仿宋" w:eastAsia="仿宋" w:cs="仿宋"/>
          <w:color w:val="auto"/>
          <w:sz w:val="24"/>
          <w:szCs w:val="24"/>
          <w:highlight w:val="none"/>
        </w:rPr>
      </w:pPr>
    </w:p>
    <w:p w14:paraId="2E663814">
      <w:pPr>
        <w:pStyle w:val="6"/>
        <w:rPr>
          <w:rFonts w:hint="eastAsia" w:ascii="仿宋" w:hAnsi="仿宋" w:eastAsia="仿宋" w:cs="仿宋"/>
          <w:color w:val="auto"/>
          <w:sz w:val="24"/>
          <w:szCs w:val="24"/>
          <w:highlight w:val="none"/>
        </w:rPr>
      </w:pPr>
    </w:p>
    <w:p w14:paraId="74E51638">
      <w:pPr>
        <w:pStyle w:val="6"/>
        <w:rPr>
          <w:rFonts w:hint="eastAsia" w:ascii="仿宋" w:hAnsi="仿宋" w:eastAsia="仿宋" w:cs="仿宋"/>
          <w:color w:val="auto"/>
          <w:sz w:val="24"/>
          <w:szCs w:val="24"/>
          <w:highlight w:val="none"/>
        </w:rPr>
      </w:pPr>
    </w:p>
    <w:p w14:paraId="0F23527A">
      <w:pPr>
        <w:pStyle w:val="6"/>
        <w:rPr>
          <w:rFonts w:hint="eastAsia" w:ascii="仿宋" w:hAnsi="仿宋" w:eastAsia="仿宋" w:cs="仿宋"/>
          <w:color w:val="auto"/>
          <w:sz w:val="24"/>
          <w:szCs w:val="24"/>
          <w:highlight w:val="none"/>
        </w:rPr>
      </w:pPr>
    </w:p>
    <w:p w14:paraId="52FED1EE">
      <w:pPr>
        <w:pStyle w:val="6"/>
        <w:rPr>
          <w:rFonts w:hint="eastAsia" w:ascii="仿宋" w:hAnsi="仿宋" w:eastAsia="仿宋" w:cs="仿宋"/>
          <w:color w:val="auto"/>
          <w:sz w:val="24"/>
          <w:szCs w:val="24"/>
          <w:highlight w:val="none"/>
        </w:rPr>
      </w:pPr>
    </w:p>
    <w:p w14:paraId="640A5ECB">
      <w:pPr>
        <w:pStyle w:val="6"/>
        <w:rPr>
          <w:rFonts w:hint="eastAsia" w:ascii="仿宋" w:hAnsi="仿宋" w:eastAsia="仿宋" w:cs="仿宋"/>
          <w:color w:val="auto"/>
          <w:sz w:val="24"/>
          <w:szCs w:val="24"/>
          <w:highlight w:val="none"/>
        </w:rPr>
      </w:pPr>
    </w:p>
    <w:p w14:paraId="696FCDC6">
      <w:pPr>
        <w:pStyle w:val="6"/>
        <w:rPr>
          <w:rFonts w:hint="eastAsia" w:ascii="仿宋" w:hAnsi="仿宋" w:eastAsia="仿宋" w:cs="仿宋"/>
          <w:color w:val="auto"/>
          <w:sz w:val="24"/>
          <w:szCs w:val="24"/>
          <w:highlight w:val="none"/>
        </w:rPr>
      </w:pPr>
    </w:p>
    <w:p w14:paraId="3344D7C9">
      <w:pPr>
        <w:pStyle w:val="6"/>
        <w:rPr>
          <w:rFonts w:hint="eastAsia" w:ascii="仿宋" w:hAnsi="仿宋" w:eastAsia="仿宋" w:cs="仿宋"/>
          <w:color w:val="auto"/>
          <w:sz w:val="24"/>
          <w:szCs w:val="24"/>
          <w:highlight w:val="none"/>
        </w:rPr>
      </w:pPr>
    </w:p>
    <w:p w14:paraId="05E9D80E">
      <w:pPr>
        <w:pStyle w:val="6"/>
        <w:rPr>
          <w:rFonts w:hint="eastAsia" w:ascii="仿宋" w:hAnsi="仿宋" w:eastAsia="仿宋" w:cs="仿宋"/>
          <w:color w:val="auto"/>
          <w:sz w:val="24"/>
          <w:szCs w:val="24"/>
          <w:highlight w:val="none"/>
        </w:rPr>
      </w:pPr>
    </w:p>
    <w:p w14:paraId="6390AF7D">
      <w:pPr>
        <w:pStyle w:val="6"/>
        <w:rPr>
          <w:rFonts w:hint="eastAsia" w:ascii="仿宋" w:hAnsi="仿宋" w:eastAsia="仿宋" w:cs="仿宋"/>
          <w:color w:val="auto"/>
          <w:sz w:val="24"/>
          <w:szCs w:val="24"/>
          <w:highlight w:val="none"/>
        </w:rPr>
      </w:pPr>
    </w:p>
    <w:p w14:paraId="5D4CAD56">
      <w:pPr>
        <w:numPr>
          <w:ilvl w:val="0"/>
          <w:numId w:val="0"/>
        </w:numPr>
        <w:jc w:val="center"/>
        <w:outlineLvl w:val="0"/>
        <w:rPr>
          <w:rStyle w:val="59"/>
          <w:rFonts w:hint="eastAsia" w:ascii="仿宋" w:hAnsi="仿宋" w:eastAsia="仿宋" w:cs="仿宋"/>
          <w:color w:val="auto"/>
          <w:sz w:val="32"/>
          <w:szCs w:val="32"/>
          <w:highlight w:val="none"/>
          <w:lang w:val="zh-CN"/>
        </w:rPr>
      </w:pPr>
      <w:r>
        <w:rPr>
          <w:rStyle w:val="59"/>
          <w:rFonts w:hint="eastAsia" w:ascii="仿宋" w:hAnsi="仿宋" w:eastAsia="仿宋" w:cs="仿宋"/>
          <w:color w:val="auto"/>
          <w:sz w:val="32"/>
          <w:szCs w:val="32"/>
          <w:highlight w:val="none"/>
          <w:lang w:val="zh-CN"/>
        </w:rPr>
        <w:t xml:space="preserve">第五章  </w:t>
      </w:r>
      <w:bookmarkEnd w:id="136"/>
      <w:bookmarkEnd w:id="137"/>
      <w:bookmarkEnd w:id="138"/>
      <w:bookmarkEnd w:id="139"/>
      <w:bookmarkEnd w:id="140"/>
      <w:bookmarkEnd w:id="141"/>
      <w:bookmarkEnd w:id="142"/>
      <w:bookmarkEnd w:id="143"/>
      <w:bookmarkEnd w:id="144"/>
      <w:bookmarkEnd w:id="145"/>
      <w:bookmarkEnd w:id="146"/>
      <w:bookmarkEnd w:id="147"/>
      <w:bookmarkEnd w:id="148"/>
      <w:r>
        <w:rPr>
          <w:rStyle w:val="59"/>
          <w:rFonts w:hint="eastAsia" w:ascii="仿宋" w:hAnsi="仿宋" w:eastAsia="仿宋" w:cs="仿宋"/>
          <w:color w:val="auto"/>
          <w:sz w:val="32"/>
          <w:szCs w:val="32"/>
          <w:highlight w:val="none"/>
          <w:lang w:val="zh-CN"/>
        </w:rPr>
        <w:t>合同</w:t>
      </w:r>
      <w:bookmarkEnd w:id="149"/>
    </w:p>
    <w:p w14:paraId="6BE23BFF">
      <w:pPr>
        <w:ind w:left="630" w:leftChars="300" w:firstLine="1446" w:firstLineChars="600"/>
        <w:rPr>
          <w:rFonts w:hint="eastAsia" w:ascii="仿宋" w:hAnsi="仿宋" w:eastAsia="仿宋" w:cs="仿宋"/>
          <w:b/>
          <w:color w:val="auto"/>
          <w:sz w:val="24"/>
          <w:szCs w:val="24"/>
          <w:highlight w:val="none"/>
        </w:rPr>
      </w:pPr>
      <w:bookmarkStart w:id="151" w:name="_Toc12018"/>
      <w:bookmarkStart w:id="152" w:name="_Toc31670"/>
      <w:bookmarkStart w:id="153" w:name="_Toc11999"/>
      <w:bookmarkStart w:id="154" w:name="_Toc2899"/>
      <w:bookmarkStart w:id="155" w:name="_Toc3107"/>
      <w:bookmarkStart w:id="156" w:name="_Toc24037"/>
      <w:bookmarkStart w:id="157" w:name="_Toc504141753"/>
      <w:bookmarkStart w:id="158" w:name="_Toc14875"/>
      <w:bookmarkStart w:id="159" w:name="_Toc21749"/>
      <w:bookmarkStart w:id="160" w:name="_Toc19188"/>
      <w:bookmarkStart w:id="161" w:name="_Toc31393"/>
      <w:bookmarkStart w:id="162" w:name="_Toc21543"/>
      <w:bookmarkStart w:id="163" w:name="_Toc23352"/>
      <w:bookmarkStart w:id="164" w:name="_Toc15655"/>
    </w:p>
    <w:p w14:paraId="37738C72">
      <w:pPr>
        <w:ind w:left="630" w:leftChars="300" w:firstLine="1928" w:firstLineChars="600"/>
        <w:rPr>
          <w:rFonts w:hint="eastAsia" w:ascii="仿宋" w:hAnsi="仿宋" w:eastAsia="仿宋" w:cs="仿宋"/>
          <w:b/>
          <w:color w:val="auto"/>
          <w:sz w:val="32"/>
          <w:szCs w:val="32"/>
          <w:highlight w:val="none"/>
        </w:rPr>
      </w:pPr>
    </w:p>
    <w:p w14:paraId="65247AF8">
      <w:pPr>
        <w:ind w:left="630" w:leftChars="300" w:firstLine="1928" w:firstLineChars="600"/>
        <w:rPr>
          <w:rFonts w:hint="eastAsia" w:ascii="仿宋" w:hAnsi="仿宋" w:eastAsia="仿宋" w:cs="仿宋"/>
          <w:b/>
          <w:color w:val="auto"/>
          <w:sz w:val="32"/>
          <w:szCs w:val="32"/>
          <w:highlight w:val="none"/>
        </w:rPr>
      </w:pPr>
    </w:p>
    <w:p w14:paraId="4A31133C">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仿宋" w:hAnsi="仿宋" w:eastAsia="仿宋" w:cs="仿宋"/>
          <w:b/>
          <w:bCs/>
          <w:color w:val="auto"/>
          <w:sz w:val="40"/>
          <w:szCs w:val="40"/>
          <w:highlight w:val="none"/>
        </w:rPr>
      </w:pPr>
      <w:r>
        <w:rPr>
          <w:rFonts w:hint="eastAsia" w:ascii="仿宋" w:hAnsi="仿宋" w:eastAsia="仿宋" w:cs="仿宋"/>
          <w:b/>
          <w:bCs/>
          <w:color w:val="auto"/>
          <w:sz w:val="40"/>
          <w:szCs w:val="40"/>
          <w:highlight w:val="none"/>
        </w:rPr>
        <w:t>南京市江宁区政府采购合同</w:t>
      </w:r>
    </w:p>
    <w:p w14:paraId="71B06E90">
      <w:pPr>
        <w:rPr>
          <w:rFonts w:hint="eastAsia" w:ascii="仿宋" w:hAnsi="仿宋" w:eastAsia="仿宋" w:cs="仿宋"/>
          <w:color w:val="auto"/>
          <w:sz w:val="32"/>
          <w:szCs w:val="32"/>
          <w:highlight w:val="none"/>
        </w:rPr>
      </w:pPr>
    </w:p>
    <w:p w14:paraId="79E99017">
      <w:pPr>
        <w:rPr>
          <w:rFonts w:hint="eastAsia" w:ascii="仿宋" w:hAnsi="仿宋" w:eastAsia="仿宋" w:cs="仿宋"/>
          <w:color w:val="auto"/>
          <w:sz w:val="32"/>
          <w:szCs w:val="32"/>
          <w:highlight w:val="none"/>
        </w:rPr>
      </w:pPr>
    </w:p>
    <w:p w14:paraId="610A6A6E">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（供参考）</w:t>
      </w:r>
    </w:p>
    <w:p w14:paraId="65004283">
      <w:pPr>
        <w:rPr>
          <w:rFonts w:hint="eastAsia" w:ascii="仿宋" w:hAnsi="仿宋" w:eastAsia="仿宋" w:cs="仿宋"/>
          <w:b/>
          <w:color w:val="auto"/>
          <w:sz w:val="32"/>
          <w:szCs w:val="32"/>
          <w:highlight w:val="none"/>
        </w:rPr>
      </w:pPr>
    </w:p>
    <w:p w14:paraId="6A8D0925">
      <w:pPr>
        <w:rPr>
          <w:rFonts w:hint="eastAsia" w:ascii="仿宋" w:hAnsi="仿宋" w:eastAsia="仿宋" w:cs="仿宋"/>
          <w:b/>
          <w:color w:val="auto"/>
          <w:sz w:val="32"/>
          <w:szCs w:val="32"/>
          <w:highlight w:val="none"/>
        </w:rPr>
      </w:pPr>
    </w:p>
    <w:p w14:paraId="376D7287">
      <w:pPr>
        <w:rPr>
          <w:rFonts w:hint="eastAsia" w:ascii="仿宋" w:hAnsi="仿宋" w:eastAsia="仿宋" w:cs="仿宋"/>
          <w:b/>
          <w:color w:val="auto"/>
          <w:sz w:val="32"/>
          <w:szCs w:val="32"/>
          <w:highlight w:val="none"/>
        </w:rPr>
      </w:pPr>
    </w:p>
    <w:p w14:paraId="4D430747">
      <w:pPr>
        <w:rPr>
          <w:rFonts w:hint="eastAsia" w:ascii="仿宋" w:hAnsi="仿宋" w:eastAsia="仿宋" w:cs="仿宋"/>
          <w:b/>
          <w:color w:val="auto"/>
          <w:sz w:val="32"/>
          <w:szCs w:val="32"/>
          <w:highlight w:val="none"/>
        </w:rPr>
      </w:pPr>
    </w:p>
    <w:p w14:paraId="1B99E59A">
      <w:pPr>
        <w:rPr>
          <w:rFonts w:hint="eastAsia" w:ascii="仿宋" w:hAnsi="仿宋" w:eastAsia="仿宋" w:cs="仿宋"/>
          <w:b/>
          <w:color w:val="auto"/>
          <w:sz w:val="32"/>
          <w:szCs w:val="32"/>
          <w:highlight w:val="none"/>
        </w:rPr>
      </w:pPr>
    </w:p>
    <w:p w14:paraId="3147CFE7">
      <w:pPr>
        <w:rPr>
          <w:rFonts w:hint="eastAsia" w:ascii="仿宋" w:hAnsi="仿宋" w:eastAsia="仿宋" w:cs="仿宋"/>
          <w:b/>
          <w:color w:val="auto"/>
          <w:sz w:val="32"/>
          <w:szCs w:val="32"/>
          <w:highlight w:val="none"/>
        </w:rPr>
      </w:pPr>
    </w:p>
    <w:p w14:paraId="6034928A">
      <w:pPr>
        <w:rPr>
          <w:rFonts w:hint="eastAsia" w:ascii="仿宋" w:hAnsi="仿宋" w:eastAsia="仿宋" w:cs="仿宋"/>
          <w:b/>
          <w:color w:val="auto"/>
          <w:sz w:val="32"/>
          <w:szCs w:val="32"/>
          <w:highlight w:val="none"/>
        </w:rPr>
      </w:pPr>
    </w:p>
    <w:p w14:paraId="3E002B8A">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hAnsi="仿宋" w:eastAsia="仿宋" w:cs="仿宋"/>
          <w:b/>
          <w:color w:val="auto"/>
          <w:sz w:val="32"/>
          <w:szCs w:val="32"/>
          <w:highlight w:val="none"/>
          <w:u w:val="single"/>
          <w:lang w:val="en-US" w:eastAsia="zh-CN"/>
        </w:rPr>
      </w:pPr>
      <w:r>
        <w:rPr>
          <w:rFonts w:hint="eastAsia" w:ascii="仿宋" w:hAnsi="仿宋" w:eastAsia="仿宋" w:cs="仿宋"/>
          <w:b/>
          <w:color w:val="auto"/>
          <w:sz w:val="32"/>
          <w:szCs w:val="32"/>
          <w:highlight w:val="none"/>
        </w:rPr>
        <w:t>项目编号 ：</w:t>
      </w:r>
      <w:r>
        <w:rPr>
          <w:rFonts w:hint="eastAsia" w:ascii="仿宋" w:hAnsi="仿宋" w:eastAsia="仿宋" w:cs="仿宋"/>
          <w:b/>
          <w:color w:val="auto"/>
          <w:sz w:val="32"/>
          <w:szCs w:val="32"/>
          <w:highlight w:val="none"/>
          <w:u w:val="single"/>
          <w:lang w:eastAsia="zh-CN"/>
        </w:rPr>
        <w:t>JSZC-320115-FHGL-C2026-0008</w:t>
      </w:r>
      <w:r>
        <w:rPr>
          <w:rFonts w:hint="eastAsia" w:ascii="仿宋" w:hAnsi="仿宋" w:eastAsia="仿宋" w:cs="仿宋"/>
          <w:b/>
          <w:color w:val="auto"/>
          <w:sz w:val="32"/>
          <w:szCs w:val="32"/>
          <w:highlight w:val="none"/>
          <w:u w:val="single"/>
          <w:lang w:val="en-US" w:eastAsia="zh-CN"/>
        </w:rPr>
        <w:t xml:space="preserve">  </w:t>
      </w:r>
    </w:p>
    <w:p w14:paraId="33C1D355">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hAnsi="仿宋" w:eastAsia="仿宋" w:cs="仿宋"/>
          <w:b/>
          <w:color w:val="auto"/>
          <w:sz w:val="32"/>
          <w:szCs w:val="32"/>
          <w:highlight w:val="none"/>
          <w:u w:val="single"/>
          <w:lang w:eastAsia="zh-CN"/>
        </w:rPr>
      </w:pPr>
      <w:r>
        <w:rPr>
          <w:rFonts w:hint="eastAsia" w:ascii="仿宋" w:hAnsi="仿宋" w:eastAsia="仿宋" w:cs="仿宋"/>
          <w:b/>
          <w:color w:val="auto"/>
          <w:sz w:val="32"/>
          <w:szCs w:val="32"/>
          <w:highlight w:val="none"/>
        </w:rPr>
        <w:t>项目名称 ：</w:t>
      </w:r>
      <w:r>
        <w:rPr>
          <w:rFonts w:hint="eastAsia" w:ascii="仿宋" w:hAnsi="仿宋" w:eastAsia="仿宋" w:cs="仿宋"/>
          <w:b/>
          <w:color w:val="auto"/>
          <w:sz w:val="32"/>
          <w:szCs w:val="32"/>
          <w:highlight w:val="none"/>
          <w:u w:val="single"/>
          <w:lang w:eastAsia="zh-CN"/>
        </w:rPr>
        <w:t xml:space="preserve">东山派出所食堂服务外包 </w:t>
      </w:r>
    </w:p>
    <w:p w14:paraId="4F38F6E3">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hAnsi="仿宋" w:eastAsia="仿宋" w:cs="仿宋"/>
          <w:b/>
          <w:color w:val="auto"/>
          <w:sz w:val="32"/>
          <w:szCs w:val="32"/>
          <w:highlight w:val="none"/>
          <w:u w:val="single"/>
        </w:rPr>
      </w:pPr>
      <w:r>
        <w:rPr>
          <w:rFonts w:hint="eastAsia" w:ascii="仿宋" w:hAnsi="仿宋" w:eastAsia="仿宋" w:cs="仿宋"/>
          <w:b/>
          <w:color w:val="auto"/>
          <w:sz w:val="32"/>
          <w:szCs w:val="32"/>
          <w:highlight w:val="none"/>
        </w:rPr>
        <w:t>采购单位 ：</w:t>
      </w:r>
      <w:r>
        <w:rPr>
          <w:rFonts w:hint="eastAsia" w:ascii="仿宋" w:hAnsi="仿宋" w:eastAsia="仿宋" w:cs="仿宋"/>
          <w:b/>
          <w:color w:val="auto"/>
          <w:sz w:val="32"/>
          <w:szCs w:val="32"/>
          <w:highlight w:val="none"/>
          <w:u w:val="single"/>
          <w:lang w:eastAsia="zh-CN"/>
        </w:rPr>
        <w:t>南京市江宁区人民政府东山街道办事处</w:t>
      </w:r>
      <w:r>
        <w:rPr>
          <w:rFonts w:hint="eastAsia" w:ascii="仿宋" w:hAnsi="仿宋" w:eastAsia="仿宋" w:cs="仿宋"/>
          <w:b/>
          <w:color w:val="auto"/>
          <w:sz w:val="32"/>
          <w:szCs w:val="32"/>
          <w:highlight w:val="none"/>
          <w:u w:val="single"/>
        </w:rPr>
        <w:t xml:space="preserve"> </w:t>
      </w:r>
    </w:p>
    <w:p w14:paraId="5654501E">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成交单位 ：</w:t>
      </w:r>
    </w:p>
    <w:p w14:paraId="37CEE8D0">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签订日期 ：</w:t>
      </w:r>
    </w:p>
    <w:p w14:paraId="3B14B912">
      <w:pPr>
        <w:rPr>
          <w:rFonts w:hint="eastAsia" w:ascii="仿宋" w:hAnsi="仿宋" w:eastAsia="仿宋" w:cs="仿宋"/>
          <w:color w:val="auto"/>
          <w:w w:val="105"/>
          <w:sz w:val="32"/>
          <w:szCs w:val="32"/>
          <w:highlight w:val="none"/>
        </w:rPr>
      </w:pPr>
    </w:p>
    <w:p w14:paraId="5A390B28">
      <w:pPr>
        <w:ind w:firstLine="480" w:firstLineChars="200"/>
        <w:rPr>
          <w:rFonts w:hint="eastAsia" w:ascii="仿宋" w:hAnsi="仿宋" w:eastAsia="仿宋" w:cs="仿宋"/>
          <w:color w:val="auto"/>
          <w:sz w:val="24"/>
          <w:szCs w:val="24"/>
          <w:highlight w:val="none"/>
        </w:rPr>
        <w:sectPr>
          <w:headerReference r:id="rId7" w:type="default"/>
          <w:footerReference r:id="rId8" w:type="default"/>
          <w:pgSz w:w="11906" w:h="16838"/>
          <w:pgMar w:top="1418" w:right="1304" w:bottom="1417" w:left="1304" w:header="851" w:footer="992" w:gutter="0"/>
          <w:cols w:space="720" w:num="1"/>
          <w:docGrid w:linePitch="312" w:charSpace="0"/>
        </w:sectPr>
      </w:pPr>
    </w:p>
    <w:p w14:paraId="4003931C">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u w:val="single"/>
          <w:lang w:val="en-US" w:eastAsia="zh-CN"/>
        </w:rPr>
        <w:t>南京市江宁区人民政府东山街道办事处</w:t>
      </w:r>
      <w:r>
        <w:rPr>
          <w:rFonts w:hint="eastAsia" w:ascii="仿宋" w:hAnsi="仿宋" w:eastAsia="仿宋" w:cs="仿宋"/>
          <w:sz w:val="24"/>
          <w:szCs w:val="24"/>
          <w:highlight w:val="none"/>
          <w:lang w:val="en-US" w:eastAsia="zh-CN"/>
        </w:rPr>
        <w:t xml:space="preserve">（以下称甲方）                       </w:t>
      </w:r>
    </w:p>
    <w:p w14:paraId="30DEB088">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住所地：</w:t>
      </w:r>
      <w:r>
        <w:rPr>
          <w:rFonts w:hint="eastAsia" w:ascii="仿宋" w:hAnsi="仿宋" w:eastAsia="仿宋" w:cs="仿宋"/>
          <w:sz w:val="24"/>
          <w:szCs w:val="24"/>
          <w:highlight w:val="none"/>
          <w:u w:val="single"/>
          <w:lang w:val="en-US" w:eastAsia="zh-CN"/>
        </w:rPr>
        <w:t>南京市江宁区上元大街229号</w:t>
      </w:r>
    </w:p>
    <w:p w14:paraId="1F29E66A">
      <w:pPr>
        <w:spacing w:line="360" w:lineRule="auto"/>
        <w:ind w:firstLine="420" w:firstLineChars="0"/>
        <w:rPr>
          <w:rFonts w:hint="eastAsia" w:ascii="仿宋" w:hAnsi="仿宋" w:eastAsia="仿宋" w:cs="仿宋"/>
          <w:sz w:val="24"/>
          <w:szCs w:val="24"/>
          <w:highlight w:val="none"/>
          <w:lang w:val="en-US" w:eastAsia="zh-CN"/>
        </w:rPr>
      </w:pPr>
    </w:p>
    <w:p w14:paraId="56663B49">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（以下称乙方）</w:t>
      </w:r>
    </w:p>
    <w:p w14:paraId="76BFBDF5">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住所地：</w:t>
      </w:r>
      <w:r>
        <w:rPr>
          <w:rFonts w:hint="eastAsia" w:ascii="仿宋" w:hAnsi="仿宋" w:eastAsia="仿宋" w:cs="仿宋"/>
          <w:sz w:val="24"/>
          <w:szCs w:val="24"/>
          <w:highlight w:val="none"/>
          <w:u w:val="single"/>
          <w:lang w:val="en-US" w:eastAsia="zh-CN"/>
        </w:rPr>
        <w:t xml:space="preserve">                                                                      </w:t>
      </w:r>
    </w:p>
    <w:p w14:paraId="3BC25215">
      <w:pPr>
        <w:spacing w:line="360" w:lineRule="auto"/>
        <w:ind w:firstLine="420" w:firstLineChars="0"/>
        <w:rPr>
          <w:rFonts w:hint="eastAsia" w:ascii="仿宋" w:hAnsi="仿宋" w:eastAsia="仿宋" w:cs="仿宋"/>
          <w:sz w:val="24"/>
          <w:szCs w:val="24"/>
          <w:highlight w:val="none"/>
          <w:lang w:val="en-US" w:eastAsia="zh-CN"/>
        </w:rPr>
      </w:pPr>
    </w:p>
    <w:p w14:paraId="4E2E1C33">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根据《中华人民共和国政府采购法》、《中华人民共和国民法典》等法律法规的规定，本着自愿、平等、互利、诚信的原则，甲、乙双方按照采购结果签订本合同。</w:t>
      </w:r>
    </w:p>
    <w:p w14:paraId="781E2518">
      <w:pPr>
        <w:spacing w:line="360" w:lineRule="auto"/>
        <w:ind w:firstLine="420" w:firstLine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一、合同标的</w:t>
      </w:r>
    </w:p>
    <w:p w14:paraId="09EB2C72">
      <w:pPr>
        <w:spacing w:line="360" w:lineRule="auto"/>
        <w:ind w:firstLine="420" w:firstLineChars="0"/>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lang w:val="en-US" w:eastAsia="zh-CN"/>
        </w:rPr>
        <w:t>乙方根据甲方要求提供下列服务：</w:t>
      </w:r>
      <w:r>
        <w:rPr>
          <w:rFonts w:hint="eastAsia" w:ascii="仿宋" w:hAnsi="仿宋" w:eastAsia="仿宋" w:cs="仿宋"/>
          <w:sz w:val="24"/>
          <w:szCs w:val="24"/>
          <w:highlight w:val="none"/>
          <w:u w:val="single"/>
          <w:lang w:val="en-US" w:eastAsia="zh-CN"/>
        </w:rPr>
        <w:t>甲方将职工食堂等后勤事务交由乙方管理，为甲方职工及有关人员提供用餐服务，并符合甲方要求，接受甲方监督。</w:t>
      </w:r>
    </w:p>
    <w:p w14:paraId="5BFCBA5B">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服务内容详见采购文件及乙方响应性文件等。</w:t>
      </w:r>
    </w:p>
    <w:p w14:paraId="2D28AD56">
      <w:pPr>
        <w:spacing w:line="360" w:lineRule="auto"/>
        <w:ind w:firstLine="420" w:firstLine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二、合同总价款</w:t>
      </w:r>
    </w:p>
    <w:p w14:paraId="43140D09">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本合同项下总价为：人民币（大写）：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w:t>
      </w:r>
      <w:r>
        <w:rPr>
          <w:rFonts w:hint="eastAsia" w:ascii="仿宋" w:hAnsi="仿宋" w:eastAsia="仿宋" w:cs="仿宋"/>
          <w:color w:val="000000"/>
          <w:sz w:val="24"/>
          <w:highlight w:val="none"/>
        </w:rPr>
        <w:t>¥：</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元，(合同价包括但不限于人员工资、加班费、国家强制缴纳的各种社会保障资金、公积金、福利、服装、交通，完成文件所确定的服务范围所需的劳保用品、防护用品，以及税费、管理费等完成甲方食堂管理服务的相关费用。)乙方不得再以任何理由向甲方主张任何费用。</w:t>
      </w:r>
    </w:p>
    <w:p w14:paraId="589828CC">
      <w:pPr>
        <w:spacing w:line="360" w:lineRule="auto"/>
        <w:ind w:firstLine="420" w:firstLine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三、组成本合同的有关文件 </w:t>
      </w:r>
    </w:p>
    <w:p w14:paraId="690E6F4F">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下列关于南京市政府采购</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（项目编号）的采购文件、响应文件或与本次采购活动方式相适应的文件及有关附件是本合同不可分割的组成部分，与本合同具有同等法律效力，这些文件包括但不限于： </w:t>
      </w:r>
    </w:p>
    <w:p w14:paraId="354EBE7D">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（1）采购文件</w:t>
      </w:r>
    </w:p>
    <w:p w14:paraId="603CBA7D">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（2）乙方提供的响应文件和报价表； </w:t>
      </w:r>
    </w:p>
    <w:p w14:paraId="6014DD48">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（3）技术规格响应表； </w:t>
      </w:r>
    </w:p>
    <w:p w14:paraId="0B06D5D6">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（4）投标承诺/服务承诺； </w:t>
      </w:r>
    </w:p>
    <w:p w14:paraId="27AE3162">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（5）成交通知书； </w:t>
      </w:r>
    </w:p>
    <w:p w14:paraId="6A73AD2D">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（6）甲乙双方商定的其他文件等。</w:t>
      </w:r>
    </w:p>
    <w:p w14:paraId="43E61B88">
      <w:pPr>
        <w:spacing w:line="360" w:lineRule="auto"/>
        <w:ind w:firstLine="420" w:firstLine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四、履行合同期限、地点 </w:t>
      </w:r>
    </w:p>
    <w:p w14:paraId="38020D4B">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1、项目期限： 两年，合同一年一签，本次合同服务期限自</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日起至</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日止</w:t>
      </w:r>
      <w:r>
        <w:rPr>
          <w:rFonts w:hint="eastAsia" w:ascii="仿宋" w:hAnsi="仿宋" w:eastAsia="仿宋" w:cs="仿宋"/>
          <w:sz w:val="24"/>
          <w:szCs w:val="24"/>
          <w:highlight w:val="none"/>
          <w:lang w:val="en-US" w:eastAsia="zh-CN"/>
        </w:rPr>
        <w:t>。</w:t>
      </w:r>
    </w:p>
    <w:p w14:paraId="3C50BF4D">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2、履行合同地点：</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w:t>
      </w:r>
    </w:p>
    <w:p w14:paraId="27A8F760">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五、双方权利和义务：</w:t>
      </w:r>
    </w:p>
    <w:p w14:paraId="0A78FFC1">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1、甲方权利和义务：</w:t>
      </w:r>
    </w:p>
    <w:p w14:paraId="71025832">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（1）甲方有权监督乙方依法安全生产、履行合同、并做好协调工作。</w:t>
      </w:r>
    </w:p>
    <w:p w14:paraId="2073D34C">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（2）甲方有权对乙方的原材料采购、加工生产、餐饮质量、服务标准及卫生状况进行监督，并有权要求乙方进行整改。</w:t>
      </w:r>
    </w:p>
    <w:p w14:paraId="46E9CC63">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（3）甲方协助乙方维持职工食堂的治安秩序，并加强对就餐人员的教育，自觉维护公共卫生和公共秩序，遵守职工食堂的各项管理规定。</w:t>
      </w:r>
    </w:p>
    <w:p w14:paraId="425E183A">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甲方有权派员随时抽查当餐菜肴的质量，当发现职工反映意见较大，确实存在不符时，有权要求乙方进行改善；乙方接到甲方书面整改通知，一周内未解决问题，乙方应承担合同总价款0.1 %的违约金并再次发出书面通知；乙方接到通知一周后原有问题仍未改善的，甲方有权书面通知乙方终止本协议。</w:t>
      </w:r>
    </w:p>
    <w:p w14:paraId="07870097">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2、乙方权利和义务：</w:t>
      </w:r>
    </w:p>
    <w:p w14:paraId="62357400">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（1）因食堂开餐所需办理的餐饮卫生许可证由乙方负责办理，甲方可协助。</w:t>
      </w:r>
    </w:p>
    <w:p w14:paraId="13F84DE2">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（2）乙方负责甲方职工食堂的日常经营和管理，包括人事安排、提供每日餐食、外卖服务等，每日服务时间依据甲方要求制定。</w:t>
      </w:r>
    </w:p>
    <w:p w14:paraId="5000EDD7">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（3）乙方有权制定严格的管理制度和规定，包括人事、岗位责任、饮食、环境卫生、安全防范等制度。</w:t>
      </w:r>
    </w:p>
    <w:p w14:paraId="70CCC4BA">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（4）乙方人员必须严格遵守甲方的各项管理制度，服从甲方相关领导指示，文明经营，讲究个人及公共卫生，保证安全生产。</w:t>
      </w:r>
    </w:p>
    <w:p w14:paraId="5518D4BD">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乙方每餐制作的菜肴必须严格按照《中华人民共和国食品安全法》及相关的法律规定进行经营，并做到菜肴新鲜可口，品种不断翻新，注重营养搭配，价格合理，数量适中，质量上乘。否则而产生的问题及后果均由乙方负责。</w:t>
      </w:r>
    </w:p>
    <w:p w14:paraId="1AF421D0">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（6）乙方在委托管理服务期内对于甲方的房屋未经甲方同意，不得自行改造，不得随意改变房屋结构，爱护甲方设备设施，包括厨房设备、用具和餐具，因人为损坏和遗失应照价赔偿。</w:t>
      </w:r>
    </w:p>
    <w:p w14:paraId="2DD6618D">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3、服务要求：</w:t>
      </w:r>
    </w:p>
    <w:p w14:paraId="50431EA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.1 食堂实行一日三餐制，早餐 7:30～8:50，中餐 11：40～13：00，晚餐 18：00～19：00。根据采购人要求提供餐食服务。如遇特殊情况，供餐时间应根据甲方需要适当调整。</w:t>
      </w:r>
    </w:p>
    <w:p w14:paraId="59506F8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3.2 早餐：品种：主食2种、点心4种、饮品1种、鸡蛋、小菜2种（需为自制）。</w:t>
      </w:r>
    </w:p>
    <w:p w14:paraId="567150B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3.3 午餐：品种：主食2种、大荤2种、小荤2种、蔬菜2种、水果1种、汤1种、酸奶或饮品1种。</w:t>
      </w:r>
    </w:p>
    <w:p w14:paraId="52BD316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3.4 晚餐：品种：主食2种、大荤2种、小荤2种、蔬菜2种、汤1种。</w:t>
      </w:r>
    </w:p>
    <w:p w14:paraId="62E9E96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eastAsia="zh-CN"/>
        </w:rPr>
        <w:t xml:space="preserve"> 餐具用品：做到卫生、洁净、消毒；餐厅无蝇、无虫。  </w:t>
      </w:r>
    </w:p>
    <w:p w14:paraId="4837508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3.6 如有会议等特殊情况，需要增加供餐份数，供应商1小时内响应。</w:t>
      </w:r>
    </w:p>
    <w:p w14:paraId="3AC199A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3.7 提供全年全天候服务，服务人员需24小时待命，如遇突发情况，随时响应。</w:t>
      </w:r>
    </w:p>
    <w:p w14:paraId="573E4C7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3.8 如采购人有临时非工作点送餐需求，需随时响应，保证配送服务到位。</w:t>
      </w:r>
    </w:p>
    <w:p w14:paraId="3E5800E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lang w:eastAsia="zh-CN"/>
        </w:rPr>
        <w:t xml:space="preserve"> 开餐需按时准点供应，不得提前或拖延。</w:t>
      </w:r>
    </w:p>
    <w:p w14:paraId="6255A9D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lang w:eastAsia="zh-CN"/>
        </w:rPr>
        <w:t xml:space="preserve">可根据采购人需要，提供包厢服务。 </w:t>
      </w:r>
    </w:p>
    <w:p w14:paraId="22CFD47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lang w:eastAsia="zh-CN"/>
        </w:rPr>
        <w:t xml:space="preserve"> 食堂原材料供应商由采购人选定，并由采购人进货，采购人安排专人负责；采购人按排监督人员每日与供应商共同参与原材料验收，便于核实成本的真实性。</w:t>
      </w:r>
    </w:p>
    <w:p w14:paraId="657B000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3.12 供应商负责食堂的饮食安全卫生，签订合同时还须与采购人签订饮食安全卫生责任状。采购人严格执行事故责任追究制度，如在供应期内发生食物中毒等重大责任事故，损害就餐人员身体健康，影响采购人声誉，供应商必须承担由此造成的一切责任和经济损失，采购人有权无条件终止合同。</w:t>
      </w:r>
    </w:p>
    <w:p w14:paraId="2623A78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3.13 食堂内的工作人员属于供应商的员工，与采购人不存在任何雇佣、委托等劳动关系，同时食堂工作人员在工作过程中的安全责任由供应商负责。如用电、用水等不注意安全引起生产事故或发生意外伤亡事故，供应商承担全部责任和必要的经济补偿，采购人概不承担任何责任。</w:t>
      </w:r>
    </w:p>
    <w:p w14:paraId="6246518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3.14 供应商必须严格履行供应合同要求，不得在中标后转包或分包给他人经营。</w:t>
      </w:r>
    </w:p>
    <w:p w14:paraId="5CE64DE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3.15 不得违反国家的相关法律、法规。</w:t>
      </w:r>
    </w:p>
    <w:p w14:paraId="4C95446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3.16 如上级部门针对本项目有相关政策性调整，按照要求调整，采购人不承担任何违约责任。</w:t>
      </w:r>
    </w:p>
    <w:p w14:paraId="10718E7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2" w:lineRule="auto"/>
        <w:ind w:left="0" w:right="0" w:firstLine="482" w:firstLineChars="200"/>
        <w:jc w:val="both"/>
        <w:textAlignment w:val="auto"/>
        <w:rPr>
          <w:rFonts w:hint="eastAsia" w:ascii="仿宋" w:hAnsi="仿宋" w:eastAsia="仿宋" w:cs="仿宋"/>
          <w:highlight w:val="none"/>
        </w:rPr>
      </w:pPr>
      <w:r>
        <w:rPr>
          <w:rFonts w:hint="eastAsia" w:ascii="仿宋" w:hAnsi="仿宋" w:eastAsia="仿宋" w:cs="仿宋"/>
          <w:b/>
          <w:color w:val="000000"/>
          <w:sz w:val="24"/>
          <w:highlight w:val="none"/>
        </w:rPr>
        <w:t>六、考核标准及付费方式</w:t>
      </w:r>
    </w:p>
    <w:p w14:paraId="7E9EA48F">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6.1 考核（考核标准详见附件） </w:t>
      </w:r>
    </w:p>
    <w:p w14:paraId="71144272">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甲方及东山派出所每月组织就餐人员对食堂的菜肴、服务等进行考核评分，根据考核结果计算每月应付服务费，具体如下：</w:t>
      </w:r>
    </w:p>
    <w:p w14:paraId="68A6CDD5">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（1）考核得分大于等于90 分核定为非常满意，按100%计取当月服务费；</w:t>
      </w:r>
    </w:p>
    <w:p w14:paraId="53D1ABA9">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（2）考核得分大于等于 80 分小于 90 分核定为基本满意，按90%计取当月服务费；</w:t>
      </w:r>
    </w:p>
    <w:p w14:paraId="1B0A68B6">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（3）考核得分小于80分为不满意，按50%计取当月服务费；</w:t>
      </w:r>
    </w:p>
    <w:p w14:paraId="18CF7ACC">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（4）如一年度内两次考核得分小于 80 分，采购人有权终止合同。</w:t>
      </w:r>
    </w:p>
    <w:p w14:paraId="2AF8A317">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2、 付款方式</w:t>
      </w:r>
    </w:p>
    <w:p w14:paraId="40794EC7">
      <w:pPr>
        <w:widowControl/>
        <w:shd w:val="clear" w:color="auto" w:fill="auto"/>
        <w:spacing w:line="360" w:lineRule="auto"/>
        <w:ind w:firstLine="480" w:firstLineChars="200"/>
        <w:jc w:val="left"/>
        <w:textAlignment w:val="center"/>
        <w:rPr>
          <w:rFonts w:hint="eastAsia" w:ascii="仿宋" w:hAnsi="仿宋" w:eastAsia="仿宋" w:cs="仿宋"/>
          <w:bCs/>
          <w:color w:val="auto"/>
          <w:kern w:val="0"/>
          <w:sz w:val="24"/>
          <w:szCs w:val="24"/>
          <w:highlight w:val="none"/>
          <w:lang w:val="en-US" w:eastAsia="zh-CN" w:bidi="ar"/>
        </w:rPr>
      </w:pPr>
      <w:r>
        <w:rPr>
          <w:rFonts w:hint="eastAsia" w:ascii="仿宋" w:hAnsi="仿宋" w:eastAsia="仿宋" w:cs="仿宋"/>
          <w:bCs/>
          <w:color w:val="auto"/>
          <w:kern w:val="0"/>
          <w:sz w:val="24"/>
          <w:szCs w:val="24"/>
          <w:highlight w:val="none"/>
          <w:lang w:val="en-US" w:eastAsia="zh-CN" w:bidi="ar"/>
        </w:rPr>
        <w:t>当月服务费于次月10日结算，结算价款为合同价款的1/12，同时扣除当月考核扣减费用，乙方根据甲方要求提供正规发票，如乙方未提供或提供发票不符合甲方要求的，甲方有权不予付款，乙方仍应继续履行合同项下相关义务。</w:t>
      </w:r>
    </w:p>
    <w:p w14:paraId="73702435">
      <w:pPr>
        <w:spacing w:line="360" w:lineRule="auto"/>
        <w:ind w:firstLine="420" w:firstLine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七、乙方承诺：</w:t>
      </w:r>
    </w:p>
    <w:p w14:paraId="1277B1EF">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1、供应的菜肴品种每日翻新，大、小荤品种一个月内不重复。</w:t>
      </w:r>
    </w:p>
    <w:p w14:paraId="1BD89B5B">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2、隔日的剩余食品绝不二次上柜。</w:t>
      </w:r>
    </w:p>
    <w:p w14:paraId="484C4E4C">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3、甲方对乙方现场服务人员不满意时，可以向乙方提出人员更换要求，乙方保证普通员工在5个工作日内进行更换，管理人员在10个工作日内进行更换。</w:t>
      </w:r>
    </w:p>
    <w:p w14:paraId="3F4211BC">
      <w:pPr>
        <w:spacing w:line="360" w:lineRule="auto"/>
        <w:ind w:firstLine="420" w:firstLine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八、违约责任：</w:t>
      </w:r>
    </w:p>
    <w:p w14:paraId="0C8B0221">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根据甲乙双方共同确定的岗位配备人员，甲方需要增设岗位的，与乙方商定后增加人员，其人员费用由甲方支付。甲乙双方无正当理由，不得提前终止协议，任何一方提前终止协议需赔偿另一方人民币壹拾万元。</w:t>
      </w:r>
    </w:p>
    <w:p w14:paraId="6ABB2241">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2、如上级部门针对本项目有相关政策性调整，按照要求调整，甲方不承担任何违约责任。</w:t>
      </w:r>
    </w:p>
    <w:p w14:paraId="4F3C8396">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3、乙方提供不洁食品造成甲方人员食物中毒的（需经卫生防疫部门鉴定），由乙方负责医药、护理、误工、交通等费用并承担相应的法律责任；</w:t>
      </w:r>
    </w:p>
    <w:p w14:paraId="4C8ABA96">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4、如因财政资金下达、拨付等问题导致甲方付款延迟，不视为甲方违约，乙方不得追究甲方违约责任。</w:t>
      </w:r>
    </w:p>
    <w:p w14:paraId="79ACCF18">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5、乙方在履行合同过程中造成甲方损失的，乙方应向甲方赔偿。甲方的损失均系指赔偿甲方的全部损失，包括但不限于甲方的直接、间接损失，以及因依法维权产生的律师费，保全费，公证费，差旅费等。</w:t>
      </w:r>
    </w:p>
    <w:p w14:paraId="5D542F15">
      <w:pPr>
        <w:spacing w:line="360" w:lineRule="auto"/>
        <w:ind w:firstLine="420" w:firstLine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九、乙方如在经营期间有下列情况之一，甲方有权无条件终止合同：</w:t>
      </w:r>
    </w:p>
    <w:p w14:paraId="06647EA7">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1、如因食堂内部管理不善，无法保证向员工提供规定的伙食标准。</w:t>
      </w:r>
    </w:p>
    <w:p w14:paraId="71977B0C">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2、就餐人员对乙方提供的服务强烈不满，严重影响甲方正常工作的开展。</w:t>
      </w:r>
    </w:p>
    <w:p w14:paraId="6CEE516D">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3、不服从管理，态度恶劣，影响食堂整体形象，就餐人员对伙食严重不满，多次提出未整改。</w:t>
      </w:r>
    </w:p>
    <w:p w14:paraId="37D0D7EE">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4、甲方有权利不定期对乙方食品质量、安全卫生及管理服务进行监督检查并提出整改要求，经甲方多次要求整改仍未达标的。</w:t>
      </w:r>
    </w:p>
    <w:p w14:paraId="65B92E29">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5、出现食物中毒或安全生产事故（出现食物中毒现象及安全生产事故由乙方承担所有责任）。</w:t>
      </w:r>
    </w:p>
    <w:p w14:paraId="4EAF83C7">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6、乙方对本项目进行分包、转包，或挂靠。</w:t>
      </w:r>
    </w:p>
    <w:p w14:paraId="39A8A4F4">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7、不履行合同条款，有严重违法经营行为或严重违反食品卫生法行为，和违反甲方有关规定并造成严重负面影响的。</w:t>
      </w:r>
    </w:p>
    <w:p w14:paraId="0B522F6E">
      <w:pPr>
        <w:spacing w:line="360" w:lineRule="auto"/>
        <w:ind w:firstLine="420" w:firstLine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十、协议争议解决</w:t>
      </w:r>
    </w:p>
    <w:p w14:paraId="18BEB1B3">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因执行本协议发生争执时，双方应协调解决，协调不成时，任何一方可向甲方所在地法院提起诉讼。</w:t>
      </w:r>
    </w:p>
    <w:p w14:paraId="19D76C9E">
      <w:pPr>
        <w:spacing w:line="360" w:lineRule="auto"/>
        <w:ind w:firstLine="420" w:firstLine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十一、备注</w:t>
      </w:r>
    </w:p>
    <w:p w14:paraId="4CE3C431">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甲方提供给乙方的厨房设备、用品用具及其他设备设施须列出清单，经双方核定签名盖章后各持壹份。本协议解除时，乙方必须按照清单内容归还甲方。乙方归还甲方物件时，必须保持物件完整和清洁卫生，如有损坏和遗失（正常使用耗损除外），按照当时的市场价格或同等价格的实物进行赔偿。如赔偿协调不成，可诉讼解决。</w:t>
      </w:r>
    </w:p>
    <w:p w14:paraId="5B1F3FF6">
      <w:pPr>
        <w:spacing w:line="360" w:lineRule="auto"/>
        <w:ind w:firstLine="420" w:firstLine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十二、其他</w:t>
      </w:r>
    </w:p>
    <w:p w14:paraId="65CD77F7">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本协议正本一式肆份，甲乙双方各持贰份；本协议未尽事宜，双方另行商议；本协议自双方签字盖章后生效。</w:t>
      </w:r>
    </w:p>
    <w:p w14:paraId="21662641">
      <w:pPr>
        <w:rPr>
          <w:rFonts w:eastAsia="仿宋"/>
          <w:color w:val="auto"/>
          <w:kern w:val="44"/>
          <w:highlight w:val="none"/>
        </w:rPr>
      </w:pPr>
    </w:p>
    <w:tbl>
      <w:tblPr>
        <w:tblStyle w:val="27"/>
        <w:tblW w:w="9959" w:type="dxa"/>
        <w:tblInd w:w="-185" w:type="dxa"/>
        <w:tblLayout w:type="fixed"/>
        <w:tblCellMar>
          <w:top w:w="0" w:type="dxa"/>
          <w:left w:w="108" w:type="dxa"/>
          <w:bottom w:w="0" w:type="dxa"/>
          <w:right w:w="108" w:type="dxa"/>
        </w:tblCellMar>
      </w:tblPr>
      <w:tblGrid>
        <w:gridCol w:w="5038"/>
        <w:gridCol w:w="4921"/>
      </w:tblGrid>
      <w:tr w14:paraId="3E46E316">
        <w:tblPrEx>
          <w:tblCellMar>
            <w:top w:w="0" w:type="dxa"/>
            <w:left w:w="108" w:type="dxa"/>
            <w:bottom w:w="0" w:type="dxa"/>
            <w:right w:w="108" w:type="dxa"/>
          </w:tblCellMar>
        </w:tblPrEx>
        <w:trPr>
          <w:trHeight w:val="3652" w:hRule="atLeast"/>
        </w:trPr>
        <w:tc>
          <w:tcPr>
            <w:tcW w:w="5038" w:type="dxa"/>
            <w:noWrap w:val="0"/>
            <w:vAlign w:val="top"/>
          </w:tcPr>
          <w:p w14:paraId="383402D1">
            <w:pPr>
              <w:ind w:left="1742" w:leftChars="14" w:hanging="1713" w:hangingChars="714"/>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甲</w:t>
            </w:r>
            <w:r>
              <w:rPr>
                <w:rFonts w:hint="eastAsia" w:ascii="仿宋" w:hAnsi="仿宋" w:eastAsia="仿宋" w:cs="仿宋"/>
                <w:bCs/>
                <w:color w:val="auto"/>
                <w:sz w:val="24"/>
                <w:szCs w:val="24"/>
                <w:highlight w:val="none"/>
              </w:rPr>
              <w:t>方（采购人）：</w:t>
            </w:r>
            <w:r>
              <w:rPr>
                <w:rFonts w:hint="eastAsia" w:ascii="仿宋" w:hAnsi="仿宋" w:eastAsia="仿宋" w:cs="仿宋"/>
                <w:bCs/>
                <w:color w:val="auto"/>
                <w:sz w:val="24"/>
                <w:szCs w:val="24"/>
                <w:highlight w:val="none"/>
                <w:lang w:eastAsia="zh-CN"/>
              </w:rPr>
              <w:t>南京市江宁区人民政府东山街道办事处</w:t>
            </w:r>
            <w:r>
              <w:rPr>
                <w:rFonts w:hint="eastAsia" w:ascii="仿宋" w:hAnsi="仿宋" w:eastAsia="仿宋" w:cs="仿宋"/>
                <w:bCs/>
                <w:color w:val="auto"/>
                <w:sz w:val="24"/>
                <w:szCs w:val="24"/>
                <w:highlight w:val="none"/>
              </w:rPr>
              <w:t>（盖章）</w:t>
            </w:r>
          </w:p>
          <w:p w14:paraId="5CDC9A03">
            <w:pPr>
              <w:pStyle w:val="16"/>
              <w:ind w:left="0" w:leftChars="0" w:firstLine="0" w:firstLineChars="0"/>
              <w:rPr>
                <w:rFonts w:hint="eastAsia" w:ascii="仿宋" w:hAnsi="仿宋" w:eastAsia="仿宋" w:cs="仿宋"/>
                <w:sz w:val="24"/>
                <w:szCs w:val="24"/>
                <w:highlight w:val="none"/>
              </w:rPr>
            </w:pPr>
          </w:p>
          <w:p w14:paraId="7698C2AD">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法定代表人或</w:t>
            </w:r>
          </w:p>
          <w:p w14:paraId="1E51A55C">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委托代理人：（签字或盖章）</w:t>
            </w:r>
          </w:p>
          <w:p w14:paraId="1BA16502">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电话：</w:t>
            </w:r>
          </w:p>
          <w:p w14:paraId="39865A62">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开户银行：</w:t>
            </w:r>
          </w:p>
          <w:p w14:paraId="282DFFFF">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账号：</w:t>
            </w:r>
          </w:p>
          <w:p w14:paraId="544E6B40">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单位地址：南京市江宁区上元大街</w:t>
            </w:r>
            <w:r>
              <w:rPr>
                <w:rFonts w:hint="eastAsia" w:ascii="仿宋" w:hAnsi="仿宋" w:eastAsia="仿宋" w:cs="仿宋"/>
                <w:bCs/>
                <w:color w:val="auto"/>
                <w:sz w:val="24"/>
                <w:szCs w:val="24"/>
                <w:highlight w:val="none"/>
                <w:lang w:val="en-US" w:eastAsia="zh-CN"/>
              </w:rPr>
              <w:t>229</w:t>
            </w:r>
            <w:r>
              <w:rPr>
                <w:rFonts w:hint="eastAsia" w:ascii="仿宋" w:hAnsi="仿宋" w:eastAsia="仿宋" w:cs="仿宋"/>
                <w:bCs/>
                <w:color w:val="auto"/>
                <w:sz w:val="24"/>
                <w:szCs w:val="24"/>
                <w:highlight w:val="none"/>
              </w:rPr>
              <w:t>号</w:t>
            </w:r>
          </w:p>
        </w:tc>
        <w:tc>
          <w:tcPr>
            <w:tcW w:w="4921" w:type="dxa"/>
            <w:noWrap w:val="0"/>
            <w:vAlign w:val="top"/>
          </w:tcPr>
          <w:p w14:paraId="39500EE9">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乙方（供应商）：（盖章）</w:t>
            </w:r>
          </w:p>
          <w:p w14:paraId="03B6A85F">
            <w:pPr>
              <w:pStyle w:val="16"/>
              <w:rPr>
                <w:rFonts w:hint="eastAsia" w:ascii="仿宋" w:hAnsi="仿宋" w:eastAsia="仿宋" w:cs="仿宋"/>
                <w:sz w:val="24"/>
                <w:szCs w:val="24"/>
                <w:highlight w:val="none"/>
              </w:rPr>
            </w:pPr>
          </w:p>
          <w:p w14:paraId="77A3BB3C">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法定代表人或</w:t>
            </w:r>
          </w:p>
          <w:p w14:paraId="0E570360">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委托代理人：（签字或盖章）</w:t>
            </w:r>
          </w:p>
          <w:p w14:paraId="2268A096">
            <w:pPr>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项目负责人：</w:t>
            </w:r>
          </w:p>
          <w:p w14:paraId="1DA6E0B0">
            <w:pPr>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电话：</w:t>
            </w:r>
          </w:p>
          <w:p w14:paraId="76C70097">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开户银行：</w:t>
            </w:r>
          </w:p>
          <w:p w14:paraId="645DB5ED">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账号：</w:t>
            </w:r>
          </w:p>
          <w:p w14:paraId="557EDAD7">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单位地址：</w:t>
            </w:r>
          </w:p>
        </w:tc>
      </w:tr>
    </w:tbl>
    <w:p w14:paraId="3EED57C5">
      <w:pPr>
        <w:shd w:val="clear" w:color="auto" w:fill="auto"/>
        <w:spacing w:line="360" w:lineRule="auto"/>
        <w:rPr>
          <w:rFonts w:hint="default" w:ascii="Times New Roman" w:hAnsi="Times New Roman" w:eastAsia="宋体" w:cs="Times New Roman"/>
          <w:sz w:val="24"/>
          <w:szCs w:val="24"/>
          <w:highlight w:val="none"/>
        </w:rPr>
      </w:pPr>
    </w:p>
    <w:p w14:paraId="0B9C9CF4">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14:paraId="44CE3954">
      <w:pPr>
        <w:pStyle w:val="97"/>
        <w:rPr>
          <w:rFonts w:hint="default" w:ascii="仿宋" w:hAnsi="仿宋" w:eastAsia="仿宋" w:cs="仿宋"/>
          <w:color w:val="auto"/>
          <w:sz w:val="32"/>
          <w:szCs w:val="32"/>
          <w:highlight w:val="none"/>
          <w:lang w:val="en-US" w:eastAsia="zh-CN"/>
        </w:rPr>
      </w:pPr>
      <w:bookmarkStart w:id="165" w:name="_Toc179202243"/>
      <w:r>
        <w:rPr>
          <w:rFonts w:hint="eastAsia" w:ascii="仿宋" w:hAnsi="仿宋" w:eastAsia="仿宋" w:cs="仿宋"/>
          <w:color w:val="auto"/>
          <w:sz w:val="32"/>
          <w:szCs w:val="32"/>
          <w:highlight w:val="none"/>
        </w:rPr>
        <w:t>第六章  响应文件的组成和格式</w:t>
      </w:r>
      <w:bookmarkEnd w:id="165"/>
      <w:r>
        <w:rPr>
          <w:rFonts w:hint="eastAsia" w:ascii="仿宋" w:hAnsi="仿宋" w:eastAsia="仿宋" w:cs="仿宋"/>
          <w:color w:val="auto"/>
          <w:sz w:val="32"/>
          <w:szCs w:val="32"/>
          <w:highlight w:val="none"/>
          <w:lang w:val="en-US" w:eastAsia="zh-CN"/>
        </w:rPr>
        <w:t>(仅供参考)</w:t>
      </w:r>
    </w:p>
    <w:p w14:paraId="3D7E2233">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p>
    <w:p w14:paraId="6E7443B2">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竞争性磋商响应文件</w:t>
      </w:r>
    </w:p>
    <w:p w14:paraId="03FFB11D">
      <w:pPr>
        <w:pStyle w:val="98"/>
        <w:ind w:firstLine="0"/>
        <w:jc w:val="center"/>
        <w:rPr>
          <w:rFonts w:hint="eastAsia" w:ascii="仿宋" w:hAnsi="仿宋" w:eastAsia="仿宋" w:cs="仿宋"/>
          <w:b/>
          <w:bCs/>
          <w:color w:val="auto"/>
          <w:sz w:val="24"/>
          <w:szCs w:val="24"/>
          <w:highlight w:val="none"/>
        </w:rPr>
      </w:pPr>
    </w:p>
    <w:p w14:paraId="4C3C8F0E">
      <w:pPr>
        <w:ind w:firstLine="1084"/>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（正或副本）</w:t>
      </w:r>
    </w:p>
    <w:p w14:paraId="76241DEB">
      <w:pPr>
        <w:ind w:firstLine="1084"/>
        <w:rPr>
          <w:rFonts w:hint="eastAsia" w:ascii="仿宋" w:hAnsi="仿宋" w:eastAsia="仿宋" w:cs="仿宋"/>
          <w:b/>
          <w:color w:val="auto"/>
          <w:sz w:val="24"/>
          <w:szCs w:val="24"/>
          <w:highlight w:val="none"/>
        </w:rPr>
      </w:pPr>
    </w:p>
    <w:p w14:paraId="1696C240">
      <w:pPr>
        <w:ind w:firstLine="1084"/>
        <w:rPr>
          <w:rFonts w:hint="eastAsia" w:ascii="仿宋" w:hAnsi="仿宋" w:eastAsia="仿宋" w:cs="仿宋"/>
          <w:b/>
          <w:color w:val="auto"/>
          <w:sz w:val="24"/>
          <w:szCs w:val="24"/>
          <w:highlight w:val="none"/>
        </w:rPr>
      </w:pPr>
    </w:p>
    <w:p w14:paraId="0ACFFBBE">
      <w:pPr>
        <w:ind w:firstLine="1084"/>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项 目 名 称：</w:t>
      </w:r>
    </w:p>
    <w:p w14:paraId="7CA4D7C9">
      <w:pPr>
        <w:ind w:firstLine="1084"/>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项 目 编 号：</w:t>
      </w:r>
    </w:p>
    <w:p w14:paraId="58FA817C">
      <w:pPr>
        <w:ind w:firstLine="1084"/>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磋商供应商名称（CA电子公章）：</w:t>
      </w:r>
    </w:p>
    <w:p w14:paraId="677AA36D">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 日       期：</w:t>
      </w:r>
    </w:p>
    <w:p w14:paraId="002FD085">
      <w:pPr>
        <w:jc w:val="center"/>
        <w:rPr>
          <w:rFonts w:hint="eastAsia" w:ascii="仿宋" w:hAnsi="仿宋" w:eastAsia="仿宋" w:cs="仿宋"/>
          <w:b w:val="0"/>
          <w:bCs/>
          <w:color w:val="auto"/>
          <w:sz w:val="24"/>
          <w:szCs w:val="24"/>
          <w:highlight w:val="none"/>
          <w:u w:val="single"/>
        </w:rPr>
      </w:pPr>
      <w:r>
        <w:rPr>
          <w:rFonts w:hint="eastAsia" w:ascii="仿宋" w:hAnsi="仿宋" w:eastAsia="仿宋" w:cs="仿宋"/>
          <w:b/>
          <w:color w:val="auto"/>
          <w:sz w:val="24"/>
          <w:szCs w:val="24"/>
          <w:highlight w:val="none"/>
        </w:rPr>
        <w:br w:type="page" w:clear="all"/>
      </w:r>
    </w:p>
    <w:p w14:paraId="720A8C80">
      <w:pPr>
        <w:jc w:val="center"/>
        <w:rPr>
          <w:rFonts w:hint="eastAsia" w:ascii="宋体" w:hAnsi="宋体"/>
          <w:b/>
          <w:color w:val="auto"/>
          <w:sz w:val="24"/>
          <w:szCs w:val="21"/>
          <w:highlight w:val="none"/>
        </w:rPr>
      </w:pPr>
      <w:bookmarkStart w:id="166" w:name="_Hlk109742352"/>
      <w:bookmarkStart w:id="167" w:name="_Hlk109742183"/>
      <w:bookmarkStart w:id="168" w:name="_Hlk109742159"/>
      <w:r>
        <w:rPr>
          <w:rFonts w:hint="eastAsia" w:ascii="宋体" w:hAnsi="宋体"/>
          <w:b/>
          <w:color w:val="auto"/>
          <w:sz w:val="24"/>
          <w:szCs w:val="21"/>
          <w:highlight w:val="none"/>
        </w:rPr>
        <w:t>一、磋商申请及声明</w:t>
      </w:r>
    </w:p>
    <w:p w14:paraId="5EC3E0B4">
      <w:pPr>
        <w:jc w:val="both"/>
        <w:rPr>
          <w:rFonts w:hint="eastAsia" w:ascii="宋体" w:hAnsi="宋体" w:cs="宋体"/>
          <w:b/>
          <w:color w:val="auto"/>
          <w:sz w:val="28"/>
          <w:szCs w:val="28"/>
          <w:highlight w:val="none"/>
          <w:lang w:val="zh-CN"/>
        </w:rPr>
      </w:pPr>
    </w:p>
    <w:p w14:paraId="385803AF">
      <w:pPr>
        <w:pStyle w:val="42"/>
        <w:rPr>
          <w:rFonts w:hint="eastAsia"/>
          <w:color w:val="auto"/>
          <w:highlight w:val="none"/>
          <w:lang w:val="zh-CN"/>
        </w:rPr>
      </w:pPr>
    </w:p>
    <w:p w14:paraId="2214771D">
      <w:pPr>
        <w:spacing w:line="360" w:lineRule="auto"/>
        <w:rPr>
          <w:rFonts w:hint="eastAsia" w:ascii="仿宋" w:hAnsi="仿宋" w:eastAsia="仿宋" w:cs="仿宋"/>
          <w:i w:val="0"/>
          <w:iCs w:val="0"/>
          <w:color w:val="auto"/>
          <w:sz w:val="24"/>
          <w:szCs w:val="24"/>
          <w:highlight w:val="none"/>
          <w:lang w:val="en-US"/>
        </w:rPr>
      </w:pPr>
      <w:r>
        <w:rPr>
          <w:rFonts w:hint="eastAsia" w:ascii="仿宋" w:hAnsi="仿宋" w:eastAsia="仿宋" w:cs="仿宋"/>
          <w:i w:val="0"/>
          <w:iCs w:val="0"/>
          <w:color w:val="auto"/>
          <w:sz w:val="24"/>
          <w:szCs w:val="24"/>
          <w:highlight w:val="none"/>
          <w:lang w:val="zh-CN"/>
        </w:rPr>
        <w:t>致：</w:t>
      </w:r>
      <w:r>
        <w:rPr>
          <w:rFonts w:hint="eastAsia" w:ascii="仿宋" w:hAnsi="仿宋" w:eastAsia="仿宋" w:cs="仿宋"/>
          <w:i w:val="0"/>
          <w:iCs w:val="0"/>
          <w:color w:val="auto"/>
          <w:sz w:val="24"/>
          <w:szCs w:val="24"/>
          <w:highlight w:val="none"/>
          <w:lang w:val="en-US" w:eastAsia="zh-CN"/>
        </w:rPr>
        <w:t>南京市江宁区人民政府东山街道办事处</w:t>
      </w:r>
    </w:p>
    <w:p w14:paraId="11300EE7">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zh-CN"/>
        </w:rPr>
        <w:t>根据贵方</w:t>
      </w:r>
      <w:r>
        <w:rPr>
          <w:rFonts w:hint="eastAsia" w:ascii="仿宋" w:hAnsi="仿宋" w:eastAsia="仿宋" w:cs="仿宋"/>
          <w:i w:val="0"/>
          <w:iCs w:val="0"/>
          <w:color w:val="auto"/>
          <w:sz w:val="24"/>
          <w:szCs w:val="24"/>
          <w:highlight w:val="none"/>
          <w:u w:val="single"/>
          <w:lang w:val="en-US" w:eastAsia="zh-CN"/>
        </w:rPr>
        <w:t>JSZC-320115-FHGL-C2026-0008</w:t>
      </w:r>
      <w:r>
        <w:rPr>
          <w:rFonts w:hint="eastAsia" w:ascii="仿宋" w:hAnsi="仿宋" w:eastAsia="仿宋" w:cs="仿宋"/>
          <w:i w:val="0"/>
          <w:iCs w:val="0"/>
          <w:color w:val="auto"/>
          <w:sz w:val="24"/>
          <w:szCs w:val="24"/>
          <w:highlight w:val="none"/>
          <w:lang w:val="zh-CN"/>
        </w:rPr>
        <w:t>号采购文件</w:t>
      </w:r>
      <w:r>
        <w:rPr>
          <w:rFonts w:hint="eastAsia" w:ascii="仿宋" w:hAnsi="仿宋" w:eastAsia="仿宋" w:cs="仿宋"/>
          <w:i w:val="0"/>
          <w:iCs w:val="0"/>
          <w:color w:val="auto"/>
          <w:sz w:val="24"/>
          <w:szCs w:val="24"/>
          <w:highlight w:val="none"/>
          <w:lang w:val="en-US" w:eastAsia="zh-CN"/>
        </w:rPr>
        <w:t xml:space="preserve"> </w:t>
      </w:r>
      <w:r>
        <w:rPr>
          <w:rFonts w:hint="eastAsia" w:ascii="仿宋" w:hAnsi="仿宋" w:eastAsia="仿宋" w:cs="仿宋"/>
          <w:i w:val="0"/>
          <w:iCs w:val="0"/>
          <w:color w:val="auto"/>
          <w:sz w:val="24"/>
          <w:szCs w:val="24"/>
          <w:highlight w:val="none"/>
          <w:u w:val="single"/>
          <w:lang w:val="en-US" w:eastAsia="zh-CN"/>
        </w:rPr>
        <w:t>东山派出所食堂服务外包</w:t>
      </w:r>
      <w:r>
        <w:rPr>
          <w:rFonts w:hint="eastAsia" w:ascii="仿宋" w:hAnsi="仿宋" w:eastAsia="仿宋" w:cs="仿宋"/>
          <w:i w:val="0"/>
          <w:iCs w:val="0"/>
          <w:color w:val="auto"/>
          <w:sz w:val="24"/>
          <w:szCs w:val="24"/>
          <w:highlight w:val="none"/>
          <w:lang w:val="en-US" w:eastAsia="zh-CN"/>
        </w:rPr>
        <w:t xml:space="preserve"> </w:t>
      </w:r>
      <w:r>
        <w:rPr>
          <w:rFonts w:hint="eastAsia" w:ascii="仿宋" w:hAnsi="仿宋" w:eastAsia="仿宋" w:cs="仿宋"/>
          <w:i w:val="0"/>
          <w:iCs w:val="0"/>
          <w:color w:val="auto"/>
          <w:sz w:val="24"/>
          <w:szCs w:val="24"/>
          <w:highlight w:val="none"/>
          <w:lang w:val="zh-CN"/>
        </w:rPr>
        <w:t>，正式授权下述签字人：(姓名和职务)代表 （供应商名称），提交响应文件并参加磋商。</w:t>
      </w:r>
      <w:r>
        <w:rPr>
          <w:rFonts w:hint="eastAsia" w:ascii="仿宋" w:hAnsi="仿宋" w:eastAsia="仿宋" w:cs="仿宋"/>
          <w:i w:val="0"/>
          <w:iCs w:val="0"/>
          <w:color w:val="auto"/>
          <w:sz w:val="24"/>
          <w:szCs w:val="24"/>
          <w:highlight w:val="none"/>
        </w:rPr>
        <w:t>据此函，签字人兹宣布同意如下：</w:t>
      </w:r>
    </w:p>
    <w:p w14:paraId="4F9B3B63">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1.按磋商需求的磋商报价为</w:t>
      </w:r>
      <w:r>
        <w:rPr>
          <w:rFonts w:hint="eastAsia" w:ascii="仿宋" w:hAnsi="仿宋" w:eastAsia="仿宋" w:cs="仿宋"/>
          <w:i w:val="0"/>
          <w:iCs w:val="0"/>
          <w:color w:val="auto"/>
          <w:sz w:val="24"/>
          <w:szCs w:val="24"/>
          <w:highlight w:val="none"/>
          <w:lang w:eastAsia="zh-CN"/>
        </w:rPr>
        <w:t>：¥</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lang w:val="en-US" w:eastAsia="zh-CN"/>
        </w:rPr>
        <w:t>元(人民币大写：</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元 )</w:t>
      </w:r>
      <w:r>
        <w:rPr>
          <w:rFonts w:hint="eastAsia" w:ascii="仿宋" w:hAnsi="仿宋" w:eastAsia="仿宋" w:cs="仿宋"/>
          <w:i w:val="0"/>
          <w:iCs w:val="0"/>
          <w:color w:val="auto"/>
          <w:sz w:val="24"/>
          <w:szCs w:val="24"/>
          <w:highlight w:val="none"/>
        </w:rPr>
        <w:t>。</w:t>
      </w:r>
    </w:p>
    <w:p w14:paraId="33C95431">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2.我们完全理解贵方不一定要接受最低报价的磋商或收到的任何磋商。</w:t>
      </w:r>
    </w:p>
    <w:p w14:paraId="28A9BC3A">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3.我们已详细审核全部磋商文件及其有效补充文件，我们知道必须放弃提出含糊不清或误解的问题的权利。</w:t>
      </w:r>
    </w:p>
    <w:p w14:paraId="5B608C3B">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4.我们同意从规定的磋商日期起遵循本磋商文件，并在规定的磋商有效期期满之前均具有约束力。</w:t>
      </w:r>
    </w:p>
    <w:p w14:paraId="370E8610">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5.同意向贵方提供贵方可能要求的与磋商有关的任何证据或资料。</w:t>
      </w:r>
    </w:p>
    <w:p w14:paraId="04C13EF1">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6.一旦我方成交，我方将根据磋商文件的规定，严格履行合同，并保证于承诺的时间完成</w:t>
      </w:r>
      <w:r>
        <w:rPr>
          <w:rFonts w:hint="eastAsia" w:ascii="仿宋" w:hAnsi="仿宋" w:eastAsia="仿宋" w:cs="仿宋"/>
          <w:i w:val="0"/>
          <w:iCs w:val="0"/>
          <w:color w:val="auto"/>
          <w:sz w:val="24"/>
          <w:szCs w:val="24"/>
          <w:highlight w:val="none"/>
          <w:lang w:val="en-US" w:eastAsia="zh-CN"/>
        </w:rPr>
        <w:t>本工程的施工并</w:t>
      </w:r>
      <w:r>
        <w:rPr>
          <w:rFonts w:hint="eastAsia" w:ascii="仿宋" w:hAnsi="仿宋" w:eastAsia="仿宋" w:cs="仿宋"/>
          <w:i w:val="0"/>
          <w:iCs w:val="0"/>
          <w:color w:val="auto"/>
          <w:sz w:val="24"/>
          <w:szCs w:val="24"/>
          <w:highlight w:val="none"/>
        </w:rPr>
        <w:t>交付采购人验收、使用。</w:t>
      </w:r>
    </w:p>
    <w:p w14:paraId="66F64B25">
      <w:pPr>
        <w:spacing w:line="360" w:lineRule="auto"/>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rPr>
        <w:t>7.我方将严格遵守</w:t>
      </w:r>
      <w:r>
        <w:rPr>
          <w:rFonts w:hint="eastAsia" w:ascii="仿宋" w:hAnsi="仿宋" w:eastAsia="仿宋" w:cs="仿宋"/>
          <w:i w:val="0"/>
          <w:iCs w:val="0"/>
          <w:color w:val="auto"/>
          <w:sz w:val="24"/>
          <w:szCs w:val="24"/>
          <w:highlight w:val="none"/>
          <w:lang w:val="en-US" w:eastAsia="zh-CN"/>
        </w:rPr>
        <w:t>采购</w:t>
      </w:r>
      <w:r>
        <w:rPr>
          <w:rFonts w:hint="eastAsia" w:ascii="仿宋" w:hAnsi="仿宋" w:eastAsia="仿宋" w:cs="仿宋"/>
          <w:i w:val="0"/>
          <w:iCs w:val="0"/>
          <w:color w:val="auto"/>
          <w:sz w:val="24"/>
          <w:szCs w:val="24"/>
          <w:highlight w:val="none"/>
        </w:rPr>
        <w:t>规定，若有下列情形之一的，将被处以采购金额5‰以上10‰以下的罚款</w:t>
      </w:r>
      <w:r>
        <w:rPr>
          <w:rFonts w:hint="eastAsia" w:ascii="仿宋" w:hAnsi="仿宋" w:eastAsia="仿宋" w:cs="仿宋"/>
          <w:i w:val="0"/>
          <w:iCs w:val="0"/>
          <w:color w:val="auto"/>
          <w:sz w:val="24"/>
          <w:szCs w:val="24"/>
          <w:highlight w:val="none"/>
          <w:lang w:eastAsia="zh-CN"/>
        </w:rPr>
        <w:t>：</w:t>
      </w:r>
    </w:p>
    <w:p w14:paraId="48CABA6B">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（1）提供虚假材料谋取成交的；</w:t>
      </w:r>
    </w:p>
    <w:p w14:paraId="44BC7B8A">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（2）采取不正当手段诋毁、排挤其他供应商的；</w:t>
      </w:r>
    </w:p>
    <w:p w14:paraId="36F5F918">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（3）与采购人、其它供应商或者采购代理机构恶意串通的；</w:t>
      </w:r>
    </w:p>
    <w:p w14:paraId="42FB353B">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（4）向采购人、采购代理机构行贿或者提供其他不正当利益的；</w:t>
      </w:r>
    </w:p>
    <w:p w14:paraId="3A81EA7E">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（5）在采购过程中与采购人进行协商磋商的；</w:t>
      </w:r>
    </w:p>
    <w:p w14:paraId="2235C4DF">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（6）拒绝有关部门监督检查或提供虚假情况的。</w:t>
      </w:r>
    </w:p>
    <w:p w14:paraId="0BDD3B8E">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8.与本磋商有关的正式通讯地址为：</w:t>
      </w:r>
    </w:p>
    <w:p w14:paraId="087888C8">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供应商名称（</w:t>
      </w:r>
      <w:r>
        <w:rPr>
          <w:rFonts w:hint="eastAsia" w:ascii="仿宋" w:hAnsi="仿宋" w:eastAsia="仿宋" w:cs="仿宋"/>
          <w:color w:val="auto"/>
          <w:sz w:val="24"/>
          <w:szCs w:val="24"/>
          <w:highlight w:val="none"/>
          <w:lang w:val="zh-CN"/>
        </w:rPr>
        <w:t>加盖CA电子公章</w:t>
      </w:r>
      <w:r>
        <w:rPr>
          <w:rFonts w:hint="eastAsia" w:ascii="仿宋" w:hAnsi="仿宋" w:eastAsia="仿宋" w:cs="仿宋"/>
          <w:i w:val="0"/>
          <w:iCs w:val="0"/>
          <w:color w:val="auto"/>
          <w:sz w:val="24"/>
          <w:szCs w:val="24"/>
          <w:highlight w:val="none"/>
        </w:rPr>
        <w:t xml:space="preserve">）：                          </w:t>
      </w:r>
      <w:r>
        <w:rPr>
          <w:rFonts w:hint="eastAsia" w:ascii="仿宋" w:hAnsi="仿宋" w:eastAsia="仿宋" w:cs="仿宋"/>
          <w:i w:val="0"/>
          <w:iCs w:val="0"/>
          <w:color w:val="auto"/>
          <w:sz w:val="24"/>
          <w:szCs w:val="24"/>
          <w:highlight w:val="none"/>
          <w:lang w:val="en-US" w:eastAsia="zh-CN"/>
        </w:rPr>
        <w:t xml:space="preserve">              </w:t>
      </w:r>
      <w:r>
        <w:rPr>
          <w:rFonts w:hint="eastAsia" w:ascii="仿宋" w:hAnsi="仿宋" w:eastAsia="仿宋" w:cs="仿宋"/>
          <w:i w:val="0"/>
          <w:iCs w:val="0"/>
          <w:color w:val="auto"/>
          <w:sz w:val="24"/>
          <w:szCs w:val="24"/>
          <w:highlight w:val="none"/>
        </w:rPr>
        <w:t xml:space="preserve">  </w:t>
      </w:r>
    </w:p>
    <w:p w14:paraId="283F28EE">
      <w:pPr>
        <w:spacing w:line="360" w:lineRule="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rPr>
        <w:t xml:space="preserve">地   址：                          </w:t>
      </w:r>
      <w:r>
        <w:rPr>
          <w:rFonts w:hint="eastAsia" w:ascii="仿宋" w:hAnsi="仿宋" w:eastAsia="仿宋" w:cs="仿宋"/>
          <w:i w:val="0"/>
          <w:iCs w:val="0"/>
          <w:color w:val="auto"/>
          <w:sz w:val="24"/>
          <w:szCs w:val="24"/>
          <w:highlight w:val="none"/>
          <w:lang w:val="en-US" w:eastAsia="zh-CN"/>
        </w:rPr>
        <w:t xml:space="preserve"> </w:t>
      </w:r>
      <w:r>
        <w:rPr>
          <w:rFonts w:hint="eastAsia" w:ascii="仿宋" w:hAnsi="仿宋" w:eastAsia="仿宋" w:cs="仿宋"/>
          <w:i w:val="0"/>
          <w:iCs w:val="0"/>
          <w:color w:val="auto"/>
          <w:sz w:val="24"/>
          <w:szCs w:val="24"/>
          <w:highlight w:val="none"/>
        </w:rPr>
        <w:t xml:space="preserve">联系电话：                                    </w:t>
      </w:r>
      <w:r>
        <w:rPr>
          <w:rFonts w:hint="eastAsia" w:ascii="仿宋" w:hAnsi="仿宋" w:eastAsia="仿宋" w:cs="仿宋"/>
          <w:i w:val="0"/>
          <w:iCs w:val="0"/>
          <w:color w:val="auto"/>
          <w:sz w:val="24"/>
          <w:szCs w:val="24"/>
          <w:highlight w:val="none"/>
          <w:lang w:val="en-US" w:eastAsia="zh-CN"/>
        </w:rPr>
        <w:t xml:space="preserve">             </w:t>
      </w:r>
      <w:r>
        <w:rPr>
          <w:rFonts w:hint="eastAsia" w:ascii="仿宋" w:hAnsi="仿宋" w:eastAsia="仿宋" w:cs="仿宋"/>
          <w:i w:val="0"/>
          <w:iCs w:val="0"/>
          <w:color w:val="auto"/>
          <w:sz w:val="24"/>
          <w:szCs w:val="24"/>
          <w:highlight w:val="none"/>
        </w:rPr>
        <w:t xml:space="preserve">                      </w:t>
      </w:r>
      <w:r>
        <w:rPr>
          <w:rFonts w:hint="eastAsia" w:ascii="仿宋" w:hAnsi="仿宋" w:eastAsia="仿宋" w:cs="仿宋"/>
          <w:i w:val="0"/>
          <w:iCs w:val="0"/>
          <w:color w:val="auto"/>
          <w:sz w:val="24"/>
          <w:szCs w:val="24"/>
          <w:highlight w:val="none"/>
          <w:lang w:val="en-US" w:eastAsia="zh-CN"/>
        </w:rPr>
        <w:t xml:space="preserve">                        </w:t>
      </w:r>
    </w:p>
    <w:p w14:paraId="7AECEA89">
      <w:pPr>
        <w:spacing w:line="360" w:lineRule="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开户银行</w:t>
      </w:r>
      <w:r>
        <w:rPr>
          <w:rFonts w:hint="eastAsia" w:ascii="仿宋" w:hAnsi="仿宋" w:eastAsia="仿宋" w:cs="仿宋"/>
          <w:i w:val="0"/>
          <w:iCs w:val="0"/>
          <w:color w:val="auto"/>
          <w:sz w:val="24"/>
          <w:szCs w:val="24"/>
          <w:highlight w:val="none"/>
        </w:rPr>
        <w:t xml:space="preserve">：                  </w:t>
      </w:r>
      <w:r>
        <w:rPr>
          <w:rFonts w:hint="eastAsia" w:ascii="仿宋" w:hAnsi="仿宋" w:eastAsia="仿宋" w:cs="仿宋"/>
          <w:i w:val="0"/>
          <w:iCs w:val="0"/>
          <w:color w:val="auto"/>
          <w:sz w:val="24"/>
          <w:szCs w:val="24"/>
          <w:highlight w:val="none"/>
          <w:lang w:val="en-US" w:eastAsia="zh-CN"/>
        </w:rPr>
        <w:t xml:space="preserve">        银行账号</w:t>
      </w:r>
      <w:r>
        <w:rPr>
          <w:rFonts w:hint="eastAsia" w:ascii="仿宋" w:hAnsi="仿宋" w:eastAsia="仿宋" w:cs="仿宋"/>
          <w:i w:val="0"/>
          <w:iCs w:val="0"/>
          <w:color w:val="auto"/>
          <w:sz w:val="24"/>
          <w:szCs w:val="24"/>
          <w:highlight w:val="none"/>
        </w:rPr>
        <w:t xml:space="preserve">:                          </w:t>
      </w:r>
      <w:r>
        <w:rPr>
          <w:rFonts w:hint="eastAsia" w:ascii="仿宋" w:hAnsi="仿宋" w:eastAsia="仿宋" w:cs="仿宋"/>
          <w:i w:val="0"/>
          <w:iCs w:val="0"/>
          <w:color w:val="auto"/>
          <w:sz w:val="24"/>
          <w:szCs w:val="24"/>
          <w:highlight w:val="none"/>
          <w:lang w:val="en-US" w:eastAsia="zh-CN"/>
        </w:rPr>
        <w:t xml:space="preserve">    </w:t>
      </w:r>
    </w:p>
    <w:p w14:paraId="740846C1">
      <w:pPr>
        <w:spacing w:line="360" w:lineRule="auto"/>
        <w:rPr>
          <w:rFonts w:hint="eastAsia" w:ascii="宋体" w:hAnsi="宋体"/>
          <w:b/>
          <w:color w:val="auto"/>
          <w:sz w:val="24"/>
          <w:szCs w:val="21"/>
          <w:highlight w:val="none"/>
        </w:rPr>
      </w:pPr>
      <w:r>
        <w:rPr>
          <w:rFonts w:hint="eastAsia" w:ascii="仿宋" w:hAnsi="仿宋" w:eastAsia="仿宋" w:cs="仿宋"/>
          <w:i w:val="0"/>
          <w:iCs w:val="0"/>
          <w:color w:val="auto"/>
          <w:sz w:val="24"/>
          <w:szCs w:val="24"/>
          <w:highlight w:val="none"/>
          <w:lang w:val="en-US" w:eastAsia="zh-CN"/>
        </w:rPr>
        <w:t xml:space="preserve"> </w:t>
      </w:r>
      <w:r>
        <w:rPr>
          <w:rFonts w:hint="eastAsia" w:ascii="仿宋" w:hAnsi="仿宋" w:eastAsia="仿宋" w:cs="仿宋"/>
          <w:i w:val="0"/>
          <w:iCs w:val="0"/>
          <w:color w:val="auto"/>
          <w:sz w:val="24"/>
          <w:szCs w:val="24"/>
          <w:highlight w:val="none"/>
        </w:rPr>
        <w:t xml:space="preserve">日    期：      年      月     日 </w:t>
      </w:r>
      <w:r>
        <w:rPr>
          <w:rFonts w:hint="eastAsia" w:ascii="仿宋" w:hAnsi="仿宋" w:eastAsia="仿宋" w:cs="仿宋"/>
          <w:i w:val="0"/>
          <w:iCs w:val="0"/>
          <w:color w:val="auto"/>
          <w:sz w:val="24"/>
          <w:szCs w:val="24"/>
          <w:highlight w:val="none"/>
          <w:lang w:val="en-US" w:eastAsia="zh-CN"/>
        </w:rPr>
        <w:t xml:space="preserve">            </w:t>
      </w:r>
    </w:p>
    <w:p w14:paraId="09B8F59C">
      <w:pPr>
        <w:outlineLvl w:val="1"/>
        <w:rPr>
          <w:rFonts w:hint="eastAsia" w:ascii="宋体" w:hAnsi="宋体"/>
          <w:b/>
          <w:color w:val="auto"/>
          <w:sz w:val="24"/>
          <w:szCs w:val="21"/>
          <w:highlight w:val="none"/>
        </w:rPr>
      </w:pPr>
    </w:p>
    <w:p w14:paraId="459051A6">
      <w:pPr>
        <w:outlineLvl w:val="1"/>
        <w:rPr>
          <w:rFonts w:hint="eastAsia" w:ascii="宋体" w:hAnsi="宋体"/>
          <w:b/>
          <w:color w:val="auto"/>
          <w:sz w:val="24"/>
          <w:szCs w:val="21"/>
          <w:highlight w:val="none"/>
        </w:rPr>
      </w:pPr>
    </w:p>
    <w:p w14:paraId="3BE8127F">
      <w:pPr>
        <w:jc w:val="center"/>
        <w:outlineLvl w:val="1"/>
        <w:rPr>
          <w:rFonts w:hint="eastAsia" w:ascii="宋体" w:hAnsi="宋体"/>
          <w:b/>
          <w:color w:val="auto"/>
          <w:sz w:val="24"/>
          <w:szCs w:val="21"/>
          <w:highlight w:val="none"/>
        </w:rPr>
      </w:pPr>
    </w:p>
    <w:p w14:paraId="52A051FC">
      <w:pPr>
        <w:jc w:val="center"/>
        <w:outlineLvl w:val="1"/>
        <w:rPr>
          <w:rFonts w:hint="eastAsia" w:ascii="宋体" w:hAnsi="宋体"/>
          <w:b/>
          <w:color w:val="auto"/>
          <w:sz w:val="24"/>
          <w:szCs w:val="21"/>
          <w:highlight w:val="none"/>
        </w:rPr>
      </w:pPr>
      <w:r>
        <w:rPr>
          <w:rFonts w:hint="eastAsia" w:ascii="宋体" w:hAnsi="宋体"/>
          <w:b/>
          <w:color w:val="auto"/>
          <w:sz w:val="24"/>
          <w:szCs w:val="21"/>
          <w:highlight w:val="none"/>
        </w:rPr>
        <w:t>二、法定代表人授权委托书</w:t>
      </w:r>
    </w:p>
    <w:p w14:paraId="202766F8">
      <w:pPr>
        <w:spacing w:line="360" w:lineRule="auto"/>
        <w:rPr>
          <w:rFonts w:hint="eastAsia" w:ascii="仿宋" w:hAnsi="仿宋" w:eastAsia="仿宋" w:cs="仿宋"/>
          <w:i w:val="0"/>
          <w:iCs w:val="0"/>
          <w:color w:val="auto"/>
          <w:sz w:val="24"/>
          <w:szCs w:val="24"/>
          <w:highlight w:val="none"/>
          <w:lang w:val="en-US" w:eastAsia="zh-CN"/>
        </w:rPr>
      </w:pPr>
    </w:p>
    <w:p w14:paraId="2AC1C857">
      <w:pPr>
        <w:spacing w:line="360" w:lineRule="auto"/>
        <w:rPr>
          <w:rFonts w:hint="eastAsia" w:ascii="仿宋" w:hAnsi="仿宋" w:eastAsia="仿宋" w:cs="仿宋"/>
          <w:i w:val="0"/>
          <w:iCs w:val="0"/>
          <w:color w:val="auto"/>
          <w:sz w:val="24"/>
          <w:szCs w:val="24"/>
          <w:highlight w:val="none"/>
          <w:lang w:val="zh-CN"/>
        </w:rPr>
      </w:pPr>
      <w:r>
        <w:rPr>
          <w:rFonts w:hint="eastAsia" w:ascii="仿宋" w:hAnsi="仿宋" w:eastAsia="仿宋" w:cs="仿宋"/>
          <w:i w:val="0"/>
          <w:iCs w:val="0"/>
          <w:color w:val="auto"/>
          <w:sz w:val="24"/>
          <w:szCs w:val="24"/>
          <w:highlight w:val="none"/>
          <w:lang w:val="en-US" w:eastAsia="zh-CN"/>
        </w:rPr>
        <w:t>南京市江宁区人民政府东山街道办事处</w:t>
      </w:r>
      <w:r>
        <w:rPr>
          <w:rFonts w:hint="eastAsia" w:ascii="仿宋" w:hAnsi="仿宋" w:eastAsia="仿宋" w:cs="仿宋"/>
          <w:i w:val="0"/>
          <w:iCs w:val="0"/>
          <w:color w:val="auto"/>
          <w:sz w:val="24"/>
          <w:szCs w:val="24"/>
          <w:highlight w:val="none"/>
          <w:lang w:val="zh-CN"/>
        </w:rPr>
        <w:t>：</w:t>
      </w:r>
    </w:p>
    <w:p w14:paraId="30C54877">
      <w:pPr>
        <w:spacing w:line="360" w:lineRule="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zh-CN"/>
        </w:rPr>
        <w:t>本授权书声明：注册于                      （供应商注册地址）的</w:t>
      </w:r>
      <w:r>
        <w:rPr>
          <w:rFonts w:hint="eastAsia" w:ascii="仿宋" w:hAnsi="仿宋" w:eastAsia="仿宋" w:cs="仿宋"/>
          <w:i w:val="0"/>
          <w:iCs w:val="0"/>
          <w:color w:val="auto"/>
          <w:sz w:val="24"/>
          <w:szCs w:val="24"/>
          <w:highlight w:val="none"/>
          <w:lang w:val="en-US" w:eastAsia="zh-CN"/>
        </w:rPr>
        <w:t xml:space="preserve">            </w:t>
      </w:r>
    </w:p>
    <w:p w14:paraId="7AAEBA85">
      <w:pPr>
        <w:spacing w:line="360" w:lineRule="auto"/>
        <w:rPr>
          <w:rFonts w:hint="eastAsia" w:ascii="仿宋" w:hAnsi="仿宋" w:eastAsia="仿宋" w:cs="仿宋"/>
          <w:i w:val="0"/>
          <w:iCs w:val="0"/>
          <w:color w:val="auto"/>
          <w:sz w:val="24"/>
          <w:szCs w:val="24"/>
          <w:highlight w:val="none"/>
          <w:lang w:val="zh-CN"/>
        </w:rPr>
      </w:pPr>
      <w:r>
        <w:rPr>
          <w:rFonts w:hint="eastAsia" w:ascii="仿宋" w:hAnsi="仿宋" w:eastAsia="仿宋" w:cs="仿宋"/>
          <w:i w:val="0"/>
          <w:iCs w:val="0"/>
          <w:color w:val="auto"/>
          <w:sz w:val="24"/>
          <w:szCs w:val="24"/>
          <w:highlight w:val="none"/>
          <w:lang w:val="zh-CN"/>
        </w:rPr>
        <w:t xml:space="preserve">              （供应商名称）法定代表人                  （法定代表人姓名、职务）代表本公司授权在下面签字的                （授权代表姓名、职务）为本公司的合法代理人，就贵方组织的项目编号：</w:t>
      </w:r>
      <w:r>
        <w:rPr>
          <w:rFonts w:hint="eastAsia" w:ascii="仿宋" w:hAnsi="仿宋" w:eastAsia="仿宋" w:cs="仿宋"/>
          <w:i w:val="0"/>
          <w:iCs w:val="0"/>
          <w:color w:val="auto"/>
          <w:sz w:val="24"/>
          <w:szCs w:val="24"/>
          <w:highlight w:val="none"/>
          <w:u w:val="single"/>
          <w:lang w:val="zh-CN"/>
        </w:rPr>
        <w:t>JSZC-320115-FHGL-C2026-0008</w:t>
      </w:r>
      <w:r>
        <w:rPr>
          <w:rFonts w:hint="eastAsia" w:ascii="仿宋" w:hAnsi="仿宋" w:eastAsia="仿宋" w:cs="仿宋"/>
          <w:i w:val="0"/>
          <w:iCs w:val="0"/>
          <w:color w:val="auto"/>
          <w:sz w:val="24"/>
          <w:szCs w:val="24"/>
          <w:highlight w:val="none"/>
          <w:lang w:val="zh-CN"/>
        </w:rPr>
        <w:t>，项目名称</w:t>
      </w:r>
      <w:r>
        <w:rPr>
          <w:rFonts w:hint="eastAsia" w:ascii="仿宋" w:hAnsi="仿宋" w:eastAsia="仿宋" w:cs="仿宋"/>
          <w:i w:val="0"/>
          <w:iCs w:val="0"/>
          <w:color w:val="auto"/>
          <w:sz w:val="24"/>
          <w:szCs w:val="24"/>
          <w:highlight w:val="none"/>
          <w:u w:val="single"/>
          <w:lang w:val="zh-CN"/>
        </w:rPr>
        <w:t>东山派出所食堂服务外包</w:t>
      </w:r>
      <w:r>
        <w:rPr>
          <w:rFonts w:hint="eastAsia" w:ascii="仿宋" w:hAnsi="仿宋" w:eastAsia="仿宋" w:cs="仿宋"/>
          <w:i w:val="0"/>
          <w:iCs w:val="0"/>
          <w:color w:val="auto"/>
          <w:sz w:val="24"/>
          <w:szCs w:val="24"/>
          <w:highlight w:val="none"/>
          <w:lang w:val="zh-CN"/>
        </w:rPr>
        <w:t>，以本公司名义处理一切与之有关的事务。</w:t>
      </w:r>
    </w:p>
    <w:p w14:paraId="6F47971A">
      <w:pPr>
        <w:spacing w:line="360" w:lineRule="auto"/>
        <w:rPr>
          <w:rFonts w:hint="eastAsia" w:ascii="仿宋" w:hAnsi="仿宋" w:eastAsia="仿宋" w:cs="仿宋"/>
          <w:i w:val="0"/>
          <w:iCs w:val="0"/>
          <w:color w:val="auto"/>
          <w:sz w:val="24"/>
          <w:szCs w:val="24"/>
          <w:highlight w:val="none"/>
          <w:lang w:val="zh-CN"/>
        </w:rPr>
      </w:pPr>
      <w:r>
        <w:rPr>
          <w:rFonts w:hint="eastAsia" w:ascii="仿宋" w:hAnsi="仿宋" w:eastAsia="仿宋" w:cs="仿宋"/>
          <w:i w:val="0"/>
          <w:iCs w:val="0"/>
          <w:color w:val="auto"/>
          <w:sz w:val="24"/>
          <w:szCs w:val="24"/>
          <w:highlight w:val="none"/>
          <w:lang w:val="zh-CN"/>
        </w:rPr>
        <w:t>本授权书于        年   月   日签字生效，特此声明。</w:t>
      </w:r>
    </w:p>
    <w:p w14:paraId="10F8E3D5">
      <w:pPr>
        <w:spacing w:line="360" w:lineRule="auto"/>
        <w:rPr>
          <w:rFonts w:hint="eastAsia" w:ascii="仿宋" w:hAnsi="仿宋" w:eastAsia="仿宋" w:cs="仿宋"/>
          <w:i w:val="0"/>
          <w:iCs w:val="0"/>
          <w:color w:val="auto"/>
          <w:sz w:val="24"/>
          <w:szCs w:val="24"/>
          <w:highlight w:val="none"/>
          <w:lang w:val="zh-CN"/>
        </w:rPr>
      </w:pPr>
      <w:r>
        <w:rPr>
          <w:rFonts w:hint="eastAsia" w:ascii="仿宋" w:hAnsi="仿宋" w:eastAsia="仿宋" w:cs="仿宋"/>
          <w:i w:val="0"/>
          <w:iCs w:val="0"/>
          <w:color w:val="auto"/>
          <w:sz w:val="24"/>
          <w:szCs w:val="24"/>
          <w:highlight w:val="none"/>
          <w:lang w:val="zh-CN"/>
        </w:rPr>
        <w:t>附：法人及授权委托人身份证复印件加盖公章。</w:t>
      </w:r>
    </w:p>
    <w:p w14:paraId="245BFA0F">
      <w:pPr>
        <w:spacing w:line="360" w:lineRule="auto"/>
        <w:rPr>
          <w:rFonts w:hint="eastAsia" w:ascii="仿宋" w:hAnsi="仿宋" w:eastAsia="仿宋" w:cs="仿宋"/>
          <w:i w:val="0"/>
          <w:iCs w:val="0"/>
          <w:color w:val="auto"/>
          <w:sz w:val="24"/>
          <w:szCs w:val="24"/>
          <w:highlight w:val="none"/>
          <w:lang w:val="zh-CN"/>
        </w:rPr>
      </w:pPr>
    </w:p>
    <w:p w14:paraId="22FA9DD1">
      <w:pPr>
        <w:tabs>
          <w:tab w:val="left" w:pos="1440"/>
        </w:tabs>
        <w:jc w:val="left"/>
        <w:rPr>
          <w:rFonts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1.法定代表人身份证：</w:t>
      </w:r>
    </w:p>
    <w:p w14:paraId="448FFCD2">
      <w:pPr>
        <w:tabs>
          <w:tab w:val="left" w:pos="1440"/>
        </w:tabs>
        <w:ind w:firstLine="480"/>
        <w:jc w:val="right"/>
        <w:rPr>
          <w:rFonts w:hint="eastAsia" w:ascii="宋体" w:hAnsi="宋体"/>
          <w:color w:val="auto"/>
          <w:sz w:val="24"/>
          <w:szCs w:val="21"/>
          <w:highlight w:val="none"/>
        </w:rPr>
      </w:pPr>
    </w:p>
    <w:tbl>
      <w:tblPr>
        <w:tblStyle w:val="1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842"/>
        <w:gridCol w:w="4842"/>
      </w:tblGrid>
      <w:tr w14:paraId="55FDC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0" w:hRule="atLeast"/>
        </w:trPr>
        <w:tc>
          <w:tcPr>
            <w:tcW w:w="4842" w:type="dxa"/>
            <w:noWrap w:val="0"/>
            <w:vAlign w:val="top"/>
          </w:tcPr>
          <w:p w14:paraId="4BAAFAFB">
            <w:pPr>
              <w:tabs>
                <w:tab w:val="left" w:pos="1440"/>
              </w:tabs>
              <w:jc w:val="left"/>
              <w:rPr>
                <w:rFonts w:hint="eastAsia" w:ascii="宋体" w:hAnsi="宋体"/>
                <w:color w:val="auto"/>
                <w:sz w:val="24"/>
                <w:szCs w:val="21"/>
                <w:highlight w:val="none"/>
                <w:vertAlign w:val="baseline"/>
              </w:rPr>
            </w:pPr>
          </w:p>
        </w:tc>
        <w:tc>
          <w:tcPr>
            <w:tcW w:w="4842" w:type="dxa"/>
            <w:noWrap w:val="0"/>
            <w:vAlign w:val="top"/>
          </w:tcPr>
          <w:p w14:paraId="55E4006D">
            <w:pPr>
              <w:tabs>
                <w:tab w:val="left" w:pos="1440"/>
              </w:tabs>
              <w:jc w:val="left"/>
              <w:rPr>
                <w:rFonts w:hint="eastAsia" w:ascii="宋体" w:hAnsi="宋体"/>
                <w:color w:val="auto"/>
                <w:sz w:val="24"/>
                <w:szCs w:val="21"/>
                <w:highlight w:val="none"/>
                <w:vertAlign w:val="baseline"/>
              </w:rPr>
            </w:pPr>
          </w:p>
        </w:tc>
      </w:tr>
      <w:tr w14:paraId="2246A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4842" w:type="dxa"/>
            <w:noWrap w:val="0"/>
            <w:vAlign w:val="center"/>
          </w:tcPr>
          <w:p w14:paraId="0FBBDFE3">
            <w:pPr>
              <w:tabs>
                <w:tab w:val="left" w:pos="1440"/>
              </w:tabs>
              <w:jc w:val="center"/>
              <w:rPr>
                <w:rFonts w:ascii="宋体" w:hAnsi="宋体" w:eastAsia="宋体"/>
                <w:color w:val="auto"/>
                <w:sz w:val="24"/>
                <w:szCs w:val="21"/>
                <w:highlight w:val="none"/>
                <w:vertAlign w:val="baseline"/>
                <w:lang w:val="en-US" w:eastAsia="zh-CN"/>
              </w:rPr>
            </w:pPr>
            <w:r>
              <w:rPr>
                <w:rFonts w:hint="eastAsia" w:ascii="宋体" w:hAnsi="宋体"/>
                <w:color w:val="auto"/>
                <w:sz w:val="24"/>
                <w:szCs w:val="21"/>
                <w:highlight w:val="none"/>
                <w:vertAlign w:val="baseline"/>
                <w:lang w:val="en-US" w:eastAsia="zh-CN"/>
              </w:rPr>
              <w:t>身份证正面（国徽面）</w:t>
            </w:r>
          </w:p>
        </w:tc>
        <w:tc>
          <w:tcPr>
            <w:tcW w:w="4842" w:type="dxa"/>
            <w:noWrap w:val="0"/>
            <w:vAlign w:val="center"/>
          </w:tcPr>
          <w:p w14:paraId="3B2BC6A7">
            <w:pPr>
              <w:tabs>
                <w:tab w:val="left" w:pos="1440"/>
              </w:tabs>
              <w:jc w:val="center"/>
              <w:rPr>
                <w:rFonts w:hint="eastAsia" w:ascii="宋体" w:hAnsi="宋体"/>
                <w:color w:val="auto"/>
                <w:sz w:val="24"/>
                <w:szCs w:val="21"/>
                <w:highlight w:val="none"/>
                <w:vertAlign w:val="baseline"/>
              </w:rPr>
            </w:pPr>
            <w:r>
              <w:rPr>
                <w:rFonts w:hint="eastAsia" w:ascii="宋体" w:hAnsi="宋体"/>
                <w:color w:val="auto"/>
                <w:sz w:val="24"/>
                <w:szCs w:val="21"/>
                <w:highlight w:val="none"/>
                <w:vertAlign w:val="baseline"/>
                <w:lang w:val="en-US" w:eastAsia="zh-CN"/>
              </w:rPr>
              <w:t>身份证背面</w:t>
            </w:r>
          </w:p>
        </w:tc>
      </w:tr>
    </w:tbl>
    <w:p w14:paraId="02E82D0A">
      <w:pPr>
        <w:tabs>
          <w:tab w:val="left" w:pos="1440"/>
        </w:tabs>
        <w:jc w:val="left"/>
        <w:rPr>
          <w:rFonts w:hint="eastAsia" w:ascii="宋体" w:hAnsi="宋体"/>
          <w:color w:val="auto"/>
          <w:sz w:val="24"/>
          <w:szCs w:val="21"/>
          <w:highlight w:val="none"/>
        </w:rPr>
      </w:pPr>
    </w:p>
    <w:p w14:paraId="4E25690C">
      <w:pPr>
        <w:tabs>
          <w:tab w:val="left" w:pos="1440"/>
        </w:tabs>
        <w:jc w:val="left"/>
        <w:rPr>
          <w:rFonts w:hint="eastAsia" w:ascii="宋体" w:hAnsi="宋体"/>
          <w:color w:val="auto"/>
          <w:sz w:val="24"/>
          <w:szCs w:val="21"/>
          <w:highlight w:val="none"/>
          <w:lang w:val="en-US" w:eastAsia="zh-CN"/>
        </w:rPr>
      </w:pPr>
    </w:p>
    <w:p w14:paraId="7F6A1F34">
      <w:pPr>
        <w:tabs>
          <w:tab w:val="left" w:pos="1440"/>
        </w:tabs>
        <w:jc w:val="left"/>
        <w:rPr>
          <w:rFonts w:hint="eastAsia" w:ascii="宋体" w:hAnsi="宋体"/>
          <w:color w:val="auto"/>
          <w:sz w:val="24"/>
          <w:szCs w:val="21"/>
          <w:highlight w:val="none"/>
          <w:lang w:val="en-US" w:eastAsia="zh-CN"/>
        </w:rPr>
      </w:pPr>
    </w:p>
    <w:p w14:paraId="208242AE">
      <w:pPr>
        <w:tabs>
          <w:tab w:val="left" w:pos="1440"/>
        </w:tabs>
        <w:jc w:val="left"/>
        <w:rPr>
          <w:rFonts w:hint="eastAsia" w:ascii="宋体" w:hAnsi="宋体"/>
          <w:color w:val="auto"/>
          <w:sz w:val="24"/>
          <w:szCs w:val="21"/>
          <w:highlight w:val="none"/>
          <w:lang w:val="en-US" w:eastAsia="zh-CN"/>
        </w:rPr>
      </w:pPr>
    </w:p>
    <w:p w14:paraId="056FD59C">
      <w:pPr>
        <w:tabs>
          <w:tab w:val="left" w:pos="1440"/>
        </w:tabs>
        <w:jc w:val="left"/>
        <w:rPr>
          <w:rFonts w:hint="eastAsia" w:ascii="宋体" w:hAnsi="宋体"/>
          <w:color w:val="auto"/>
          <w:sz w:val="24"/>
          <w:szCs w:val="21"/>
          <w:highlight w:val="none"/>
          <w:lang w:val="en-US" w:eastAsia="zh-CN"/>
        </w:rPr>
      </w:pPr>
    </w:p>
    <w:p w14:paraId="5F73485E">
      <w:pPr>
        <w:tabs>
          <w:tab w:val="left" w:pos="1440"/>
        </w:tabs>
        <w:jc w:val="left"/>
        <w:rPr>
          <w:rFonts w:hint="eastAsia" w:ascii="宋体" w:hAnsi="宋体"/>
          <w:color w:val="auto"/>
          <w:sz w:val="24"/>
          <w:szCs w:val="21"/>
          <w:highlight w:val="none"/>
          <w:lang w:val="en-US" w:eastAsia="zh-CN"/>
        </w:rPr>
      </w:pPr>
    </w:p>
    <w:p w14:paraId="430673C7">
      <w:pPr>
        <w:tabs>
          <w:tab w:val="left" w:pos="1440"/>
        </w:tabs>
        <w:jc w:val="left"/>
        <w:rPr>
          <w:rFonts w:hint="eastAsia" w:ascii="宋体" w:hAnsi="宋体"/>
          <w:color w:val="auto"/>
          <w:sz w:val="24"/>
          <w:szCs w:val="21"/>
          <w:highlight w:val="none"/>
          <w:lang w:val="en-US" w:eastAsia="zh-CN"/>
        </w:rPr>
      </w:pPr>
    </w:p>
    <w:p w14:paraId="4BEEC30F">
      <w:pPr>
        <w:tabs>
          <w:tab w:val="left" w:pos="1440"/>
        </w:tabs>
        <w:jc w:val="left"/>
        <w:rPr>
          <w:rFonts w:hint="eastAsia" w:ascii="宋体" w:hAnsi="宋体"/>
          <w:color w:val="auto"/>
          <w:sz w:val="24"/>
          <w:szCs w:val="21"/>
          <w:highlight w:val="none"/>
          <w:lang w:val="en-US" w:eastAsia="zh-CN"/>
        </w:rPr>
      </w:pPr>
    </w:p>
    <w:p w14:paraId="261F6F11">
      <w:pPr>
        <w:tabs>
          <w:tab w:val="left" w:pos="1440"/>
        </w:tabs>
        <w:jc w:val="left"/>
        <w:rPr>
          <w:rFonts w:hint="eastAsia" w:ascii="宋体" w:hAnsi="宋体"/>
          <w:color w:val="auto"/>
          <w:sz w:val="24"/>
          <w:szCs w:val="21"/>
          <w:highlight w:val="none"/>
          <w:lang w:val="en-US" w:eastAsia="zh-CN"/>
        </w:rPr>
      </w:pPr>
    </w:p>
    <w:p w14:paraId="659B3B5A">
      <w:pPr>
        <w:tabs>
          <w:tab w:val="left" w:pos="1440"/>
        </w:tabs>
        <w:jc w:val="left"/>
        <w:rPr>
          <w:rFonts w:hint="eastAsia" w:ascii="宋体" w:hAnsi="宋体"/>
          <w:color w:val="auto"/>
          <w:sz w:val="24"/>
          <w:szCs w:val="21"/>
          <w:highlight w:val="none"/>
          <w:lang w:val="en-US" w:eastAsia="zh-CN"/>
        </w:rPr>
      </w:pPr>
    </w:p>
    <w:p w14:paraId="50E80565">
      <w:pPr>
        <w:tabs>
          <w:tab w:val="left" w:pos="1440"/>
        </w:tabs>
        <w:jc w:val="left"/>
        <w:rPr>
          <w:rFonts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委托代理人身份证：</w:t>
      </w:r>
    </w:p>
    <w:p w14:paraId="7A8826D2">
      <w:pPr>
        <w:tabs>
          <w:tab w:val="left" w:pos="1440"/>
        </w:tabs>
        <w:ind w:firstLine="480"/>
        <w:jc w:val="right"/>
        <w:rPr>
          <w:rFonts w:hint="eastAsia" w:ascii="宋体" w:hAnsi="宋体"/>
          <w:color w:val="auto"/>
          <w:sz w:val="24"/>
          <w:szCs w:val="21"/>
          <w:highlight w:val="none"/>
        </w:rPr>
      </w:pPr>
    </w:p>
    <w:tbl>
      <w:tblPr>
        <w:tblStyle w:val="1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842"/>
        <w:gridCol w:w="4842"/>
      </w:tblGrid>
      <w:tr w14:paraId="5352A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7" w:hRule="atLeast"/>
        </w:trPr>
        <w:tc>
          <w:tcPr>
            <w:tcW w:w="4842" w:type="dxa"/>
            <w:noWrap w:val="0"/>
            <w:vAlign w:val="top"/>
          </w:tcPr>
          <w:p w14:paraId="24CC6637">
            <w:pPr>
              <w:tabs>
                <w:tab w:val="left" w:pos="1440"/>
              </w:tabs>
              <w:jc w:val="left"/>
              <w:rPr>
                <w:rFonts w:hint="eastAsia" w:ascii="宋体" w:hAnsi="宋体"/>
                <w:color w:val="auto"/>
                <w:sz w:val="24"/>
                <w:szCs w:val="21"/>
                <w:highlight w:val="none"/>
                <w:vertAlign w:val="baseline"/>
              </w:rPr>
            </w:pPr>
          </w:p>
        </w:tc>
        <w:tc>
          <w:tcPr>
            <w:tcW w:w="4842" w:type="dxa"/>
            <w:noWrap w:val="0"/>
            <w:vAlign w:val="top"/>
          </w:tcPr>
          <w:p w14:paraId="27430941">
            <w:pPr>
              <w:tabs>
                <w:tab w:val="left" w:pos="1440"/>
              </w:tabs>
              <w:jc w:val="left"/>
              <w:rPr>
                <w:rFonts w:hint="eastAsia" w:ascii="宋体" w:hAnsi="宋体"/>
                <w:color w:val="auto"/>
                <w:sz w:val="24"/>
                <w:szCs w:val="21"/>
                <w:highlight w:val="none"/>
                <w:vertAlign w:val="baseline"/>
              </w:rPr>
            </w:pPr>
          </w:p>
        </w:tc>
      </w:tr>
      <w:tr w14:paraId="09BF0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4842" w:type="dxa"/>
            <w:noWrap w:val="0"/>
            <w:vAlign w:val="center"/>
          </w:tcPr>
          <w:p w14:paraId="2CC330BE">
            <w:pPr>
              <w:tabs>
                <w:tab w:val="left" w:pos="1440"/>
              </w:tabs>
              <w:jc w:val="center"/>
              <w:rPr>
                <w:rFonts w:hint="eastAsia" w:ascii="宋体" w:hAnsi="宋体"/>
                <w:color w:val="auto"/>
                <w:sz w:val="24"/>
                <w:szCs w:val="21"/>
                <w:highlight w:val="none"/>
                <w:vertAlign w:val="baseline"/>
              </w:rPr>
            </w:pPr>
            <w:r>
              <w:rPr>
                <w:rFonts w:hint="eastAsia" w:ascii="宋体" w:hAnsi="宋体"/>
                <w:color w:val="auto"/>
                <w:sz w:val="24"/>
                <w:szCs w:val="21"/>
                <w:highlight w:val="none"/>
                <w:vertAlign w:val="baseline"/>
                <w:lang w:val="en-US" w:eastAsia="zh-CN"/>
              </w:rPr>
              <w:t>身份证正面（国徽面）</w:t>
            </w:r>
          </w:p>
        </w:tc>
        <w:tc>
          <w:tcPr>
            <w:tcW w:w="4842" w:type="dxa"/>
            <w:noWrap w:val="0"/>
            <w:vAlign w:val="center"/>
          </w:tcPr>
          <w:p w14:paraId="587649CC">
            <w:pPr>
              <w:tabs>
                <w:tab w:val="left" w:pos="1440"/>
              </w:tabs>
              <w:jc w:val="center"/>
              <w:rPr>
                <w:rFonts w:hint="eastAsia" w:ascii="宋体" w:hAnsi="宋体"/>
                <w:color w:val="auto"/>
                <w:sz w:val="24"/>
                <w:szCs w:val="21"/>
                <w:highlight w:val="none"/>
                <w:vertAlign w:val="baseline"/>
              </w:rPr>
            </w:pPr>
            <w:r>
              <w:rPr>
                <w:rFonts w:hint="eastAsia" w:ascii="宋体" w:hAnsi="宋体"/>
                <w:color w:val="auto"/>
                <w:sz w:val="24"/>
                <w:szCs w:val="21"/>
                <w:highlight w:val="none"/>
                <w:vertAlign w:val="baseline"/>
                <w:lang w:val="en-US" w:eastAsia="zh-CN"/>
              </w:rPr>
              <w:t>身份证背面</w:t>
            </w:r>
          </w:p>
        </w:tc>
      </w:tr>
    </w:tbl>
    <w:p w14:paraId="5C709A68">
      <w:pPr>
        <w:spacing w:line="360" w:lineRule="auto"/>
        <w:rPr>
          <w:rFonts w:hint="eastAsia" w:ascii="仿宋" w:hAnsi="仿宋" w:eastAsia="仿宋" w:cs="仿宋"/>
          <w:i w:val="0"/>
          <w:iCs w:val="0"/>
          <w:color w:val="auto"/>
          <w:sz w:val="24"/>
          <w:szCs w:val="24"/>
          <w:highlight w:val="none"/>
          <w:lang w:val="zh-CN"/>
        </w:rPr>
      </w:pPr>
    </w:p>
    <w:p w14:paraId="2763E45E">
      <w:pPr>
        <w:spacing w:line="360" w:lineRule="auto"/>
        <w:rPr>
          <w:rFonts w:hint="eastAsia" w:ascii="仿宋" w:hAnsi="仿宋" w:eastAsia="仿宋" w:cs="仿宋"/>
          <w:i w:val="0"/>
          <w:iCs w:val="0"/>
          <w:color w:val="auto"/>
          <w:sz w:val="24"/>
          <w:szCs w:val="24"/>
          <w:highlight w:val="none"/>
          <w:lang w:val="zh-CN"/>
        </w:rPr>
      </w:pPr>
    </w:p>
    <w:p w14:paraId="3F337C4D">
      <w:pPr>
        <w:spacing w:line="360" w:lineRule="auto"/>
        <w:rPr>
          <w:rFonts w:hint="eastAsia" w:ascii="仿宋" w:hAnsi="仿宋" w:eastAsia="仿宋" w:cs="仿宋"/>
          <w:i w:val="0"/>
          <w:iCs w:val="0"/>
          <w:color w:val="auto"/>
          <w:sz w:val="24"/>
          <w:szCs w:val="24"/>
          <w:highlight w:val="none"/>
          <w:lang w:val="zh-CN"/>
        </w:rPr>
      </w:pPr>
    </w:p>
    <w:p w14:paraId="321820C1">
      <w:pPr>
        <w:spacing w:line="360" w:lineRule="auto"/>
        <w:rPr>
          <w:rFonts w:hint="eastAsia" w:ascii="仿宋" w:hAnsi="仿宋" w:eastAsia="仿宋" w:cs="仿宋"/>
          <w:i w:val="0"/>
          <w:iCs w:val="0"/>
          <w:color w:val="auto"/>
          <w:sz w:val="24"/>
          <w:szCs w:val="24"/>
          <w:highlight w:val="none"/>
          <w:lang w:val="zh-CN"/>
        </w:rPr>
      </w:pPr>
    </w:p>
    <w:p w14:paraId="1C320FD8">
      <w:pPr>
        <w:spacing w:line="360" w:lineRule="auto"/>
        <w:rPr>
          <w:rFonts w:hint="eastAsia" w:ascii="仿宋" w:hAnsi="仿宋" w:eastAsia="仿宋" w:cs="仿宋"/>
          <w:i w:val="0"/>
          <w:iCs w:val="0"/>
          <w:color w:val="auto"/>
          <w:sz w:val="24"/>
          <w:szCs w:val="24"/>
          <w:highlight w:val="none"/>
          <w:lang w:val="zh-CN"/>
        </w:rPr>
      </w:pPr>
    </w:p>
    <w:p w14:paraId="6AC372AD">
      <w:pPr>
        <w:spacing w:line="360" w:lineRule="auto"/>
        <w:rPr>
          <w:rFonts w:hint="eastAsia" w:ascii="仿宋" w:hAnsi="仿宋" w:eastAsia="仿宋" w:cs="仿宋"/>
          <w:i w:val="0"/>
          <w:iCs w:val="0"/>
          <w:color w:val="auto"/>
          <w:sz w:val="24"/>
          <w:szCs w:val="24"/>
          <w:highlight w:val="none"/>
          <w:lang w:val="zh-CN"/>
        </w:rPr>
      </w:pPr>
      <w:r>
        <w:rPr>
          <w:rFonts w:hint="eastAsia" w:ascii="仿宋" w:hAnsi="仿宋" w:eastAsia="仿宋" w:cs="仿宋"/>
          <w:i w:val="0"/>
          <w:iCs w:val="0"/>
          <w:color w:val="auto"/>
          <w:sz w:val="24"/>
          <w:szCs w:val="24"/>
          <w:highlight w:val="none"/>
          <w:lang w:val="zh-CN"/>
        </w:rPr>
        <w:t>供应商名称（</w:t>
      </w:r>
      <w:r>
        <w:rPr>
          <w:rFonts w:hint="eastAsia" w:ascii="仿宋" w:hAnsi="仿宋" w:eastAsia="仿宋" w:cs="仿宋"/>
          <w:color w:val="auto"/>
          <w:sz w:val="24"/>
          <w:szCs w:val="24"/>
          <w:highlight w:val="none"/>
          <w:lang w:val="zh-CN"/>
        </w:rPr>
        <w:t>加盖CA电子公章</w:t>
      </w:r>
      <w:r>
        <w:rPr>
          <w:rFonts w:hint="eastAsia" w:ascii="仿宋" w:hAnsi="仿宋" w:eastAsia="仿宋" w:cs="仿宋"/>
          <w:i w:val="0"/>
          <w:iCs w:val="0"/>
          <w:color w:val="auto"/>
          <w:sz w:val="24"/>
          <w:szCs w:val="24"/>
          <w:highlight w:val="none"/>
          <w:lang w:val="zh-CN"/>
        </w:rPr>
        <w:t xml:space="preserve">）:            </w:t>
      </w:r>
    </w:p>
    <w:p w14:paraId="62818EF2">
      <w:pPr>
        <w:spacing w:line="360" w:lineRule="auto"/>
        <w:rPr>
          <w:rFonts w:hint="eastAsia" w:ascii="宋体" w:hAnsi="宋体"/>
          <w:color w:val="auto"/>
          <w:sz w:val="24"/>
          <w:szCs w:val="21"/>
          <w:highlight w:val="none"/>
        </w:rPr>
      </w:pPr>
      <w:r>
        <w:rPr>
          <w:rFonts w:hint="eastAsia" w:ascii="仿宋" w:hAnsi="仿宋" w:eastAsia="仿宋" w:cs="仿宋"/>
          <w:i w:val="0"/>
          <w:iCs w:val="0"/>
          <w:color w:val="auto"/>
          <w:sz w:val="24"/>
          <w:szCs w:val="24"/>
          <w:highlight w:val="none"/>
          <w:lang w:val="zh-CN"/>
        </w:rPr>
        <w:t>日    期：       年    月    日</w:t>
      </w:r>
    </w:p>
    <w:p w14:paraId="65A97659">
      <w:pPr>
        <w:tabs>
          <w:tab w:val="left" w:pos="1440"/>
        </w:tabs>
        <w:jc w:val="both"/>
        <w:rPr>
          <w:rFonts w:hint="eastAsia" w:ascii="宋体" w:hAnsi="宋体"/>
          <w:color w:val="auto"/>
          <w:sz w:val="24"/>
          <w:szCs w:val="21"/>
          <w:highlight w:val="none"/>
        </w:rPr>
      </w:pPr>
    </w:p>
    <w:p w14:paraId="42295243">
      <w:pPr>
        <w:tabs>
          <w:tab w:val="left" w:pos="1440"/>
        </w:tabs>
        <w:jc w:val="left"/>
        <w:rPr>
          <w:rFonts w:hint="eastAsia" w:ascii="宋体" w:hAnsi="宋体"/>
          <w:color w:val="auto"/>
          <w:sz w:val="24"/>
          <w:szCs w:val="21"/>
          <w:highlight w:val="none"/>
          <w:lang w:val="en-US" w:eastAsia="zh-CN"/>
        </w:rPr>
      </w:pPr>
    </w:p>
    <w:p w14:paraId="6847ED58">
      <w:pPr>
        <w:tabs>
          <w:tab w:val="left" w:pos="1440"/>
        </w:tabs>
        <w:jc w:val="left"/>
        <w:rPr>
          <w:rFonts w:hint="eastAsia" w:ascii="宋体" w:hAnsi="宋体"/>
          <w:color w:val="auto"/>
          <w:sz w:val="24"/>
          <w:szCs w:val="21"/>
          <w:highlight w:val="none"/>
          <w:lang w:val="en-US" w:eastAsia="zh-CN"/>
        </w:rPr>
      </w:pPr>
    </w:p>
    <w:p w14:paraId="0884CFFD">
      <w:pPr>
        <w:tabs>
          <w:tab w:val="left" w:pos="1440"/>
        </w:tabs>
        <w:jc w:val="left"/>
        <w:rPr>
          <w:rFonts w:hint="eastAsia" w:ascii="宋体" w:hAnsi="宋体"/>
          <w:color w:val="auto"/>
          <w:sz w:val="24"/>
          <w:szCs w:val="21"/>
          <w:highlight w:val="none"/>
          <w:lang w:val="en-US" w:eastAsia="zh-CN"/>
        </w:rPr>
      </w:pPr>
    </w:p>
    <w:p w14:paraId="73BA7A42">
      <w:pPr>
        <w:tabs>
          <w:tab w:val="left" w:pos="1440"/>
        </w:tabs>
        <w:jc w:val="left"/>
        <w:rPr>
          <w:rFonts w:hint="eastAsia" w:ascii="宋体" w:hAnsi="宋体"/>
          <w:color w:val="auto"/>
          <w:sz w:val="24"/>
          <w:szCs w:val="21"/>
          <w:highlight w:val="none"/>
          <w:lang w:val="en-US" w:eastAsia="zh-CN"/>
        </w:rPr>
      </w:pPr>
    </w:p>
    <w:p w14:paraId="3C3C77B3">
      <w:pPr>
        <w:tabs>
          <w:tab w:val="left" w:pos="1440"/>
        </w:tabs>
        <w:jc w:val="left"/>
        <w:rPr>
          <w:rFonts w:hint="eastAsia" w:ascii="宋体" w:hAnsi="宋体"/>
          <w:color w:val="auto"/>
          <w:sz w:val="24"/>
          <w:szCs w:val="21"/>
          <w:highlight w:val="none"/>
          <w:lang w:val="en-US" w:eastAsia="zh-CN"/>
        </w:rPr>
      </w:pPr>
    </w:p>
    <w:p w14:paraId="77D25E54">
      <w:pPr>
        <w:tabs>
          <w:tab w:val="left" w:pos="1440"/>
        </w:tabs>
        <w:jc w:val="left"/>
        <w:rPr>
          <w:rFonts w:hint="eastAsia" w:ascii="宋体" w:hAnsi="宋体"/>
          <w:color w:val="auto"/>
          <w:sz w:val="24"/>
          <w:szCs w:val="21"/>
          <w:highlight w:val="none"/>
          <w:lang w:val="en-US" w:eastAsia="zh-CN"/>
        </w:rPr>
      </w:pPr>
    </w:p>
    <w:p w14:paraId="563817DF">
      <w:pPr>
        <w:tabs>
          <w:tab w:val="left" w:pos="1440"/>
        </w:tabs>
        <w:jc w:val="left"/>
        <w:rPr>
          <w:rFonts w:hint="eastAsia" w:ascii="宋体" w:hAnsi="宋体"/>
          <w:color w:val="auto"/>
          <w:sz w:val="24"/>
          <w:szCs w:val="21"/>
          <w:highlight w:val="none"/>
          <w:lang w:val="en-US" w:eastAsia="zh-CN"/>
        </w:rPr>
      </w:pPr>
    </w:p>
    <w:p w14:paraId="00A0B1A4">
      <w:pPr>
        <w:tabs>
          <w:tab w:val="left" w:pos="1440"/>
        </w:tabs>
        <w:jc w:val="left"/>
        <w:rPr>
          <w:rFonts w:hint="eastAsia" w:ascii="宋体" w:hAnsi="宋体"/>
          <w:color w:val="auto"/>
          <w:sz w:val="24"/>
          <w:szCs w:val="21"/>
          <w:highlight w:val="none"/>
          <w:lang w:val="en-US" w:eastAsia="zh-CN"/>
        </w:rPr>
      </w:pPr>
    </w:p>
    <w:p w14:paraId="285E381A">
      <w:pPr>
        <w:tabs>
          <w:tab w:val="left" w:pos="1440"/>
        </w:tabs>
        <w:jc w:val="left"/>
        <w:rPr>
          <w:rFonts w:hint="eastAsia" w:ascii="宋体" w:hAnsi="宋体"/>
          <w:color w:val="auto"/>
          <w:sz w:val="24"/>
          <w:szCs w:val="21"/>
          <w:highlight w:val="none"/>
          <w:lang w:val="en-US" w:eastAsia="zh-CN"/>
        </w:rPr>
      </w:pPr>
    </w:p>
    <w:p w14:paraId="540B913F">
      <w:pPr>
        <w:tabs>
          <w:tab w:val="left" w:pos="1440"/>
        </w:tabs>
        <w:jc w:val="left"/>
        <w:rPr>
          <w:rFonts w:hint="eastAsia" w:ascii="宋体" w:hAnsi="宋体"/>
          <w:color w:val="auto"/>
          <w:sz w:val="24"/>
          <w:szCs w:val="21"/>
          <w:highlight w:val="none"/>
          <w:lang w:val="en-US" w:eastAsia="zh-CN"/>
        </w:rPr>
      </w:pPr>
    </w:p>
    <w:p w14:paraId="4C195D04">
      <w:pPr>
        <w:tabs>
          <w:tab w:val="left" w:pos="1440"/>
        </w:tabs>
        <w:jc w:val="left"/>
        <w:rPr>
          <w:rFonts w:hint="eastAsia" w:ascii="宋体" w:hAnsi="宋体"/>
          <w:color w:val="auto"/>
          <w:sz w:val="24"/>
          <w:szCs w:val="21"/>
          <w:highlight w:val="none"/>
          <w:lang w:val="en-US" w:eastAsia="zh-CN"/>
        </w:rPr>
      </w:pPr>
    </w:p>
    <w:p w14:paraId="4B63CAEC">
      <w:pPr>
        <w:tabs>
          <w:tab w:val="left" w:pos="1440"/>
        </w:tabs>
        <w:jc w:val="left"/>
        <w:rPr>
          <w:rFonts w:hint="eastAsia" w:ascii="宋体" w:hAnsi="宋体"/>
          <w:color w:val="auto"/>
          <w:sz w:val="24"/>
          <w:szCs w:val="21"/>
          <w:highlight w:val="none"/>
          <w:lang w:val="en-US" w:eastAsia="zh-CN"/>
        </w:rPr>
      </w:pPr>
    </w:p>
    <w:p w14:paraId="343DC2DA">
      <w:pPr>
        <w:tabs>
          <w:tab w:val="left" w:pos="1440"/>
        </w:tabs>
        <w:jc w:val="left"/>
        <w:rPr>
          <w:rFonts w:hint="eastAsia" w:ascii="宋体" w:hAnsi="宋体"/>
          <w:color w:val="auto"/>
          <w:sz w:val="24"/>
          <w:szCs w:val="24"/>
          <w:highlight w:val="none"/>
          <w:lang w:val="en-US" w:eastAsia="zh-CN"/>
        </w:rPr>
      </w:pPr>
    </w:p>
    <w:p w14:paraId="6AA350AF">
      <w:pPr>
        <w:tabs>
          <w:tab w:val="left" w:pos="1440"/>
        </w:tabs>
        <w:jc w:val="left"/>
        <w:rPr>
          <w:rFonts w:hint="eastAsia" w:ascii="宋体" w:hAnsi="宋体"/>
          <w:color w:val="auto"/>
          <w:sz w:val="24"/>
          <w:szCs w:val="24"/>
          <w:highlight w:val="none"/>
          <w:lang w:val="en-US" w:eastAsia="zh-CN"/>
        </w:rPr>
      </w:pPr>
    </w:p>
    <w:p w14:paraId="78CED66F">
      <w:pPr>
        <w:jc w:val="center"/>
        <w:outlineLvl w:val="1"/>
        <w:rPr>
          <w:rFonts w:hint="eastAsia" w:ascii="宋体" w:hAnsi="宋体"/>
          <w:b/>
          <w:color w:val="auto"/>
          <w:sz w:val="24"/>
          <w:szCs w:val="21"/>
          <w:highlight w:val="none"/>
        </w:rPr>
      </w:pPr>
      <w:r>
        <w:rPr>
          <w:rFonts w:hint="eastAsia" w:ascii="宋体" w:hAnsi="宋体"/>
          <w:b/>
          <w:color w:val="auto"/>
          <w:sz w:val="24"/>
          <w:szCs w:val="21"/>
          <w:highlight w:val="none"/>
        </w:rPr>
        <w:t>三、磋商报价汇总表</w:t>
      </w:r>
    </w:p>
    <w:p w14:paraId="46CCEDB8">
      <w:pPr>
        <w:spacing w:line="360" w:lineRule="auto"/>
        <w:ind w:firstLine="321"/>
        <w:jc w:val="center"/>
        <w:rPr>
          <w:rFonts w:hint="eastAsia" w:ascii="黑体" w:hAnsi="宋体" w:eastAsia="黑体"/>
          <w:b/>
          <w:color w:val="auto"/>
          <w:sz w:val="32"/>
          <w:szCs w:val="32"/>
          <w:highlight w:val="none"/>
        </w:rPr>
      </w:pPr>
    </w:p>
    <w:p w14:paraId="7BD54024">
      <w:pPr>
        <w:spacing w:line="360" w:lineRule="auto"/>
        <w:ind w:firstLine="321"/>
        <w:jc w:val="center"/>
        <w:rPr>
          <w:rFonts w:ascii="黑体" w:hAnsi="宋体" w:eastAsia="黑体"/>
          <w:b/>
          <w:color w:val="auto"/>
          <w:sz w:val="32"/>
          <w:szCs w:val="32"/>
          <w:highlight w:val="none"/>
          <w:lang w:val="en-US" w:eastAsia="zh-CN"/>
        </w:rPr>
      </w:pPr>
      <w:r>
        <w:rPr>
          <w:rFonts w:hint="eastAsia" w:ascii="黑体" w:hAnsi="宋体" w:eastAsia="黑体"/>
          <w:b/>
          <w:color w:val="auto"/>
          <w:sz w:val="32"/>
          <w:szCs w:val="32"/>
          <w:highlight w:val="none"/>
        </w:rPr>
        <w:t>磋商报价</w:t>
      </w:r>
      <w:r>
        <w:rPr>
          <w:rFonts w:hint="eastAsia" w:ascii="黑体" w:hAnsi="宋体" w:eastAsia="黑体"/>
          <w:b/>
          <w:color w:val="auto"/>
          <w:sz w:val="32"/>
          <w:szCs w:val="32"/>
          <w:highlight w:val="none"/>
          <w:lang w:val="en-US" w:eastAsia="zh-CN"/>
        </w:rPr>
        <w:t>表(第一轮)</w:t>
      </w:r>
    </w:p>
    <w:p w14:paraId="5090AE61">
      <w:pPr>
        <w:rPr>
          <w:rFonts w:ascii="宋体" w:hAnsi="宋体"/>
          <w:bCs/>
          <w:color w:val="auto"/>
          <w:sz w:val="24"/>
          <w:szCs w:val="21"/>
          <w:highlight w:val="none"/>
          <w:lang w:val="en-US"/>
        </w:rPr>
      </w:pPr>
      <w:r>
        <w:rPr>
          <w:rFonts w:hint="eastAsia" w:ascii="宋体" w:hAnsi="宋体"/>
          <w:bCs/>
          <w:color w:val="auto"/>
          <w:sz w:val="24"/>
          <w:szCs w:val="21"/>
          <w:highlight w:val="none"/>
        </w:rPr>
        <w:t>项目编号：</w:t>
      </w:r>
    </w:p>
    <w:p w14:paraId="56AB066C">
      <w:pPr>
        <w:rPr>
          <w:rFonts w:hint="eastAsia" w:ascii="宋体" w:hAnsi="宋体"/>
          <w:bCs/>
          <w:color w:val="auto"/>
          <w:sz w:val="24"/>
          <w:szCs w:val="21"/>
          <w:highlight w:val="none"/>
        </w:rPr>
      </w:pPr>
      <w:r>
        <w:rPr>
          <w:rFonts w:hint="eastAsia" w:ascii="宋体" w:hAnsi="宋体"/>
          <w:bCs/>
          <w:color w:val="auto"/>
          <w:sz w:val="24"/>
          <w:szCs w:val="21"/>
          <w:highlight w:val="none"/>
        </w:rPr>
        <w:t>项目名称</w:t>
      </w:r>
      <w:r>
        <w:rPr>
          <w:rFonts w:hint="eastAsia" w:ascii="宋体" w:hAnsi="宋体" w:eastAsia="宋体" w:cs="宋体"/>
          <w:b w:val="0"/>
          <w:bCs/>
          <w:color w:val="auto"/>
          <w:sz w:val="24"/>
          <w:szCs w:val="24"/>
          <w:highlight w:val="none"/>
          <w:u w:val="none"/>
          <w:lang w:val="en-US" w:eastAsia="zh-CN" w:bidi="ar"/>
        </w:rPr>
        <w:t>：</w:t>
      </w:r>
    </w:p>
    <w:tbl>
      <w:tblPr>
        <w:tblStyle w:val="27"/>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74"/>
        <w:gridCol w:w="7539"/>
      </w:tblGrid>
      <w:tr w14:paraId="07746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0" w:hRule="atLeast"/>
        </w:trPr>
        <w:tc>
          <w:tcPr>
            <w:tcW w:w="1674" w:type="dxa"/>
            <w:vMerge w:val="restart"/>
            <w:noWrap w:val="0"/>
            <w:vAlign w:val="center"/>
          </w:tcPr>
          <w:p w14:paraId="262002A5">
            <w:pPr>
              <w:pStyle w:val="42"/>
              <w:spacing w:after="0"/>
              <w:jc w:val="center"/>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磋商报价</w:t>
            </w:r>
          </w:p>
          <w:p w14:paraId="54DDE7CC">
            <w:pPr>
              <w:pStyle w:val="42"/>
              <w:spacing w:after="0"/>
              <w:jc w:val="center"/>
              <w:rPr>
                <w:rFonts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(含税)</w:t>
            </w:r>
          </w:p>
        </w:tc>
        <w:tc>
          <w:tcPr>
            <w:tcW w:w="7539" w:type="dxa"/>
            <w:noWrap w:val="0"/>
            <w:vAlign w:val="center"/>
          </w:tcPr>
          <w:p w14:paraId="0FACD1A7">
            <w:pPr>
              <w:pStyle w:val="42"/>
              <w:spacing w:after="0"/>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大写(人民币)：              元    </w:t>
            </w:r>
          </w:p>
        </w:tc>
      </w:tr>
      <w:tr w14:paraId="6132D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0" w:hRule="atLeast"/>
        </w:trPr>
        <w:tc>
          <w:tcPr>
            <w:tcW w:w="1674" w:type="dxa"/>
            <w:vMerge w:val="continue"/>
            <w:noWrap w:val="0"/>
            <w:vAlign w:val="center"/>
          </w:tcPr>
          <w:p w14:paraId="63476BC4">
            <w:pPr>
              <w:pStyle w:val="42"/>
              <w:spacing w:after="0"/>
              <w:rPr>
                <w:rFonts w:hint="eastAsia" w:ascii="宋体" w:hAnsi="宋体"/>
                <w:bCs/>
                <w:color w:val="auto"/>
                <w:sz w:val="24"/>
                <w:szCs w:val="21"/>
                <w:highlight w:val="none"/>
                <w:lang w:val="en-US" w:eastAsia="zh-CN"/>
              </w:rPr>
            </w:pPr>
          </w:p>
        </w:tc>
        <w:tc>
          <w:tcPr>
            <w:tcW w:w="7539" w:type="dxa"/>
            <w:noWrap w:val="0"/>
            <w:vAlign w:val="center"/>
          </w:tcPr>
          <w:p w14:paraId="5F365E85">
            <w:pPr>
              <w:pStyle w:val="42"/>
              <w:spacing w:after="0"/>
              <w:rPr>
                <w:rFonts w:hint="default"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小写：</w:t>
            </w:r>
            <w:r>
              <w:rPr>
                <w:rFonts w:ascii="Arial" w:hAnsi="Arial" w:cs="Arial"/>
                <w:bCs/>
                <w:color w:val="auto"/>
                <w:sz w:val="24"/>
                <w:szCs w:val="21"/>
                <w:highlight w:val="none"/>
                <w:lang w:val="en-US" w:eastAsia="zh-CN"/>
              </w:rPr>
              <w:t>¥</w:t>
            </w:r>
            <w:r>
              <w:rPr>
                <w:rFonts w:hint="eastAsia" w:ascii="宋体" w:hAnsi="宋体"/>
                <w:bCs/>
                <w:color w:val="auto"/>
                <w:sz w:val="24"/>
                <w:szCs w:val="21"/>
                <w:highlight w:val="none"/>
                <w:lang w:val="en-US" w:eastAsia="zh-CN"/>
              </w:rPr>
              <w:t>：                 元</w:t>
            </w:r>
          </w:p>
        </w:tc>
      </w:tr>
      <w:tr w14:paraId="115E0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1674" w:type="dxa"/>
            <w:noWrap w:val="0"/>
            <w:vAlign w:val="center"/>
          </w:tcPr>
          <w:p w14:paraId="33E59C92">
            <w:pPr>
              <w:pStyle w:val="42"/>
              <w:spacing w:after="0"/>
              <w:jc w:val="center"/>
              <w:rPr>
                <w:rFonts w:ascii="宋体" w:hAnsi="宋体"/>
                <w:bCs/>
                <w:color w:val="auto"/>
                <w:sz w:val="24"/>
                <w:szCs w:val="21"/>
                <w:highlight w:val="none"/>
                <w:lang w:val="en-US" w:eastAsia="zh-CN"/>
              </w:rPr>
            </w:pPr>
            <w:r>
              <w:rPr>
                <w:rFonts w:ascii="宋体" w:hAnsi="宋体"/>
                <w:bCs/>
                <w:color w:val="auto"/>
                <w:sz w:val="24"/>
                <w:szCs w:val="21"/>
                <w:highlight w:val="none"/>
                <w:lang w:val="en-US" w:eastAsia="zh-CN"/>
              </w:rPr>
              <w:t>项目负责人</w:t>
            </w:r>
          </w:p>
        </w:tc>
        <w:tc>
          <w:tcPr>
            <w:tcW w:w="7539" w:type="dxa"/>
            <w:noWrap w:val="0"/>
            <w:vAlign w:val="center"/>
          </w:tcPr>
          <w:p w14:paraId="09966302">
            <w:pPr>
              <w:pStyle w:val="42"/>
              <w:spacing w:after="0"/>
              <w:rPr>
                <w:rFonts w:hint="eastAsia" w:ascii="宋体" w:hAnsi="宋体"/>
                <w:bCs/>
                <w:color w:val="auto"/>
                <w:sz w:val="24"/>
                <w:szCs w:val="21"/>
                <w:highlight w:val="none"/>
                <w:lang w:val="en-US" w:eastAsia="zh-CN"/>
              </w:rPr>
            </w:pPr>
          </w:p>
        </w:tc>
      </w:tr>
      <w:tr w14:paraId="4DAFF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1674" w:type="dxa"/>
            <w:noWrap w:val="0"/>
            <w:vAlign w:val="center"/>
          </w:tcPr>
          <w:p w14:paraId="0A003252">
            <w:pPr>
              <w:pStyle w:val="42"/>
              <w:spacing w:after="0"/>
              <w:jc w:val="center"/>
              <w:rPr>
                <w:rFonts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服务期</w:t>
            </w:r>
          </w:p>
        </w:tc>
        <w:tc>
          <w:tcPr>
            <w:tcW w:w="7539" w:type="dxa"/>
            <w:noWrap w:val="0"/>
            <w:vAlign w:val="center"/>
          </w:tcPr>
          <w:p w14:paraId="14F909EA">
            <w:pPr>
              <w:pStyle w:val="42"/>
              <w:spacing w:after="0"/>
              <w:rPr>
                <w:rFonts w:ascii="宋体" w:hAnsi="宋体" w:cs="宋体"/>
                <w:color w:val="auto"/>
                <w:sz w:val="24"/>
                <w:szCs w:val="21"/>
                <w:highlight w:val="none"/>
                <w:lang w:val="en-US" w:eastAsia="zh-CN"/>
              </w:rPr>
            </w:pPr>
            <w:r>
              <w:rPr>
                <w:rFonts w:hint="eastAsia" w:ascii="宋体" w:hAnsi="宋体"/>
                <w:bCs/>
                <w:color w:val="auto"/>
                <w:sz w:val="24"/>
                <w:szCs w:val="21"/>
                <w:highlight w:val="none"/>
                <w:lang w:val="en-US" w:eastAsia="zh-CN"/>
              </w:rPr>
              <w:t>两年（本项目一招两年，合同一年一签，逐年考核）</w:t>
            </w:r>
          </w:p>
        </w:tc>
      </w:tr>
      <w:tr w14:paraId="192BB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1674" w:type="dxa"/>
            <w:noWrap w:val="0"/>
            <w:vAlign w:val="center"/>
          </w:tcPr>
          <w:p w14:paraId="17E5C068">
            <w:pPr>
              <w:pStyle w:val="42"/>
              <w:spacing w:after="0"/>
              <w:jc w:val="center"/>
              <w:rPr>
                <w:rFonts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其它</w:t>
            </w:r>
          </w:p>
        </w:tc>
        <w:tc>
          <w:tcPr>
            <w:tcW w:w="7539" w:type="dxa"/>
            <w:noWrap w:val="0"/>
            <w:vAlign w:val="center"/>
          </w:tcPr>
          <w:p w14:paraId="5BD82FCC">
            <w:pPr>
              <w:pStyle w:val="42"/>
              <w:spacing w:after="0"/>
              <w:rPr>
                <w:rFonts w:hint="eastAsia" w:ascii="宋体" w:hAnsi="宋体"/>
                <w:bCs/>
                <w:color w:val="auto"/>
                <w:sz w:val="24"/>
                <w:szCs w:val="21"/>
                <w:highlight w:val="none"/>
                <w:lang w:val="en-US" w:eastAsia="zh-CN"/>
              </w:rPr>
            </w:pPr>
            <w:r>
              <w:rPr>
                <w:rFonts w:hint="eastAsia" w:ascii="宋体" w:hAnsi="宋体" w:cs="宋体"/>
                <w:color w:val="auto"/>
                <w:sz w:val="24"/>
                <w:szCs w:val="21"/>
                <w:highlight w:val="none"/>
                <w:lang w:val="zh-CN" w:eastAsia="zh-CN"/>
              </w:rPr>
              <w:t>（如有优惠条件须在此注明）</w:t>
            </w:r>
          </w:p>
        </w:tc>
      </w:tr>
    </w:tbl>
    <w:p w14:paraId="59B7F26A">
      <w:pPr>
        <w:jc w:val="right"/>
        <w:rPr>
          <w:rFonts w:hint="eastAsia" w:ascii="宋体" w:hAnsi="宋体" w:cs="宋体"/>
          <w:color w:val="auto"/>
          <w:sz w:val="24"/>
          <w:szCs w:val="21"/>
          <w:highlight w:val="none"/>
          <w:lang w:val="zh-CN"/>
        </w:rPr>
      </w:pPr>
      <w:r>
        <w:rPr>
          <w:rFonts w:hint="eastAsia" w:ascii="宋体" w:hAnsi="宋体"/>
          <w:color w:val="auto"/>
          <w:sz w:val="24"/>
          <w:szCs w:val="21"/>
          <w:highlight w:val="none"/>
        </w:rPr>
        <w:t xml:space="preserve">            </w:t>
      </w:r>
    </w:p>
    <w:p w14:paraId="2E62FB32">
      <w:pPr>
        <w:jc w:val="right"/>
        <w:rPr>
          <w:rFonts w:hint="eastAsia" w:ascii="宋体" w:hAnsi="宋体" w:cs="宋体"/>
          <w:color w:val="auto"/>
          <w:sz w:val="24"/>
          <w:szCs w:val="21"/>
          <w:highlight w:val="none"/>
          <w:lang w:val="zh-CN"/>
        </w:rPr>
      </w:pPr>
    </w:p>
    <w:p w14:paraId="44E4C1E0">
      <w:pPr>
        <w:jc w:val="right"/>
        <w:rPr>
          <w:rFonts w:hint="eastAsia" w:ascii="宋体" w:hAnsi="宋体" w:cs="宋体"/>
          <w:color w:val="auto"/>
          <w:sz w:val="24"/>
          <w:szCs w:val="21"/>
          <w:highlight w:val="none"/>
          <w:lang w:val="zh-CN"/>
        </w:rPr>
      </w:pPr>
    </w:p>
    <w:p w14:paraId="00D5206B">
      <w:pPr>
        <w:keepNext w:val="0"/>
        <w:keepLines w:val="0"/>
        <w:pageBreakBefore w:val="0"/>
        <w:widowControl w:val="0"/>
        <w:spacing w:line="700" w:lineRule="exact"/>
        <w:ind w:firstLine="420"/>
        <w:jc w:val="right"/>
        <w:rPr>
          <w:rFonts w:hint="eastAsia" w:ascii="宋体" w:hAnsi="宋体"/>
          <w:color w:val="auto"/>
          <w:sz w:val="24"/>
          <w:szCs w:val="21"/>
          <w:highlight w:val="none"/>
        </w:rPr>
      </w:pPr>
      <w:r>
        <w:rPr>
          <w:rFonts w:hint="eastAsia" w:ascii="宋体" w:hAnsi="宋体" w:cs="宋体"/>
          <w:color w:val="auto"/>
          <w:sz w:val="24"/>
          <w:szCs w:val="21"/>
          <w:highlight w:val="none"/>
          <w:lang w:val="en-US" w:eastAsia="zh-CN"/>
        </w:rPr>
        <w:t xml:space="preserve">                                      </w:t>
      </w:r>
      <w:r>
        <w:rPr>
          <w:rFonts w:hint="eastAsia" w:ascii="宋体" w:hAnsi="宋体"/>
          <w:color w:val="auto"/>
          <w:sz w:val="24"/>
          <w:szCs w:val="21"/>
          <w:highlight w:val="none"/>
        </w:rPr>
        <w:t>供应商名称加盖</w:t>
      </w:r>
      <w:r>
        <w:rPr>
          <w:rFonts w:hint="eastAsia" w:ascii="宋体" w:hAnsi="宋体"/>
          <w:color w:val="auto"/>
          <w:sz w:val="24"/>
          <w:szCs w:val="21"/>
          <w:highlight w:val="none"/>
          <w:lang w:eastAsia="zh-CN"/>
        </w:rPr>
        <w:t>（</w:t>
      </w:r>
      <w:r>
        <w:rPr>
          <w:rFonts w:hint="eastAsia" w:ascii="宋体" w:hAnsi="宋体"/>
          <w:color w:val="auto"/>
          <w:sz w:val="24"/>
          <w:szCs w:val="21"/>
          <w:highlight w:val="none"/>
        </w:rPr>
        <w:t xml:space="preserve">CA电子公章）:            </w:t>
      </w:r>
    </w:p>
    <w:p w14:paraId="7821C60B">
      <w:pPr>
        <w:keepNext w:val="0"/>
        <w:keepLines w:val="0"/>
        <w:pageBreakBefore w:val="0"/>
        <w:widowControl w:val="0"/>
        <w:tabs>
          <w:tab w:val="left" w:pos="1440"/>
        </w:tabs>
        <w:spacing w:line="700" w:lineRule="exact"/>
        <w:ind w:firstLine="480"/>
        <w:jc w:val="center"/>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rPr>
        <w:t>日期：       年    月    日</w:t>
      </w:r>
    </w:p>
    <w:p w14:paraId="3A89BD7F">
      <w:pPr>
        <w:jc w:val="right"/>
        <w:rPr>
          <w:rFonts w:ascii="宋体" w:hAnsi="宋体" w:cs="宋体"/>
          <w:color w:val="auto"/>
          <w:sz w:val="24"/>
          <w:szCs w:val="21"/>
          <w:highlight w:val="none"/>
          <w:lang w:val="zh-CN"/>
        </w:rPr>
      </w:pPr>
    </w:p>
    <w:p w14:paraId="73A6ADA0">
      <w:pPr>
        <w:keepNext w:val="0"/>
        <w:keepLines w:val="0"/>
        <w:pageBreakBefore w:val="0"/>
        <w:widowControl w:val="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说明:  </w:t>
      </w:r>
    </w:p>
    <w:p w14:paraId="5ED1D15E">
      <w:pPr>
        <w:keepNext w:val="0"/>
        <w:keepLines w:val="0"/>
        <w:pageBreakBefore w:val="0"/>
        <w:widowControl w:val="0"/>
        <w:spacing w:line="500" w:lineRule="exact"/>
        <w:ind w:firstLine="420"/>
        <w:rPr>
          <w:rFonts w:hint="eastAsia" w:ascii="宋体" w:hAnsi="宋体"/>
          <w:color w:val="auto"/>
          <w:sz w:val="24"/>
          <w:szCs w:val="21"/>
          <w:highlight w:val="none"/>
        </w:rPr>
      </w:pPr>
      <w:r>
        <w:rPr>
          <w:rFonts w:hint="eastAsia" w:ascii="宋体" w:hAnsi="宋体"/>
          <w:color w:val="auto"/>
          <w:sz w:val="24"/>
          <w:szCs w:val="21"/>
          <w:highlight w:val="none"/>
        </w:rPr>
        <w:t>1、采购人对每一项货物和服务仅接受一个价格，</w:t>
      </w:r>
      <w:r>
        <w:rPr>
          <w:rFonts w:hint="eastAsia" w:ascii="宋体" w:hAnsi="宋体"/>
          <w:color w:val="auto"/>
          <w:sz w:val="24"/>
          <w:szCs w:val="21"/>
          <w:highlight w:val="none"/>
          <w:shd w:val="pct10" w:color="auto" w:fill="FFFFFF"/>
        </w:rPr>
        <w:t>不得填报有选择性报价方案</w:t>
      </w:r>
      <w:r>
        <w:rPr>
          <w:rFonts w:hint="eastAsia" w:ascii="宋体" w:hAnsi="宋体"/>
          <w:color w:val="auto"/>
          <w:sz w:val="24"/>
          <w:szCs w:val="21"/>
          <w:highlight w:val="none"/>
        </w:rPr>
        <w:t>。若有优惠条款须注明，但不得影响报价，影响产品整体功能。</w:t>
      </w:r>
    </w:p>
    <w:p w14:paraId="089DF2BC">
      <w:pPr>
        <w:keepNext w:val="0"/>
        <w:keepLines w:val="0"/>
        <w:pageBreakBefore w:val="0"/>
        <w:widowControl w:val="0"/>
        <w:spacing w:line="50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2、磋商报价是磋商文件所确定的采购范围内的全部货物或服务的价格体现。磋商报价：包括但不限于人员劳资、交通费、风险评估费等，应包括供应商为完成</w:t>
      </w:r>
      <w:r>
        <w:rPr>
          <w:rFonts w:hint="eastAsia" w:ascii="宋体" w:hAnsi="宋体"/>
          <w:color w:val="auto"/>
          <w:sz w:val="24"/>
          <w:szCs w:val="21"/>
          <w:highlight w:val="none"/>
          <w:u w:val="single"/>
          <w:lang w:val="zh-CN"/>
        </w:rPr>
        <w:t>东山派出所食堂服务外包</w:t>
      </w:r>
      <w:r>
        <w:rPr>
          <w:rFonts w:hint="eastAsia" w:ascii="宋体" w:hAnsi="宋体"/>
          <w:color w:val="auto"/>
          <w:sz w:val="24"/>
          <w:szCs w:val="21"/>
          <w:highlight w:val="none"/>
        </w:rPr>
        <w:t>承担的全部费用、利润、税金、政策性文件规定及及合同包含内的所有风险、责任等各项应有费用，不论其在采购文件中是否有提及。响应供应商应根据上述因素自行考虑磋商报价。</w:t>
      </w:r>
    </w:p>
    <w:p w14:paraId="1DF1AF65">
      <w:pPr>
        <w:keepNext w:val="0"/>
        <w:keepLines w:val="0"/>
        <w:pageBreakBefore w:val="0"/>
        <w:widowControl w:val="0"/>
        <w:spacing w:line="500" w:lineRule="exact"/>
        <w:rPr>
          <w:rFonts w:hint="eastAsia" w:ascii="宋体" w:hAnsi="宋体"/>
          <w:color w:val="auto"/>
          <w:sz w:val="24"/>
          <w:szCs w:val="21"/>
          <w:highlight w:val="none"/>
        </w:rPr>
      </w:pPr>
    </w:p>
    <w:p w14:paraId="14043F24">
      <w:pPr>
        <w:spacing w:line="360" w:lineRule="auto"/>
        <w:rPr>
          <w:rFonts w:hint="eastAsia" w:ascii="仿宋" w:hAnsi="仿宋" w:eastAsia="仿宋" w:cs="仿宋"/>
          <w:color w:val="auto"/>
          <w:sz w:val="24"/>
          <w:szCs w:val="24"/>
          <w:highlight w:val="none"/>
        </w:rPr>
      </w:pPr>
    </w:p>
    <w:p w14:paraId="6C6F3177">
      <w:pPr>
        <w:pStyle w:val="40"/>
        <w:rPr>
          <w:rFonts w:hint="eastAsia" w:ascii="仿宋" w:hAnsi="仿宋" w:eastAsia="仿宋" w:cs="仿宋"/>
          <w:color w:val="auto"/>
          <w:sz w:val="24"/>
          <w:szCs w:val="24"/>
          <w:highlight w:val="none"/>
        </w:rPr>
      </w:pPr>
    </w:p>
    <w:p w14:paraId="37A57B22">
      <w:pPr>
        <w:pStyle w:val="40"/>
        <w:rPr>
          <w:rFonts w:hint="eastAsia" w:ascii="仿宋" w:hAnsi="仿宋" w:eastAsia="仿宋" w:cs="仿宋"/>
          <w:color w:val="auto"/>
          <w:sz w:val="24"/>
          <w:szCs w:val="24"/>
          <w:highlight w:val="none"/>
        </w:rPr>
      </w:pPr>
    </w:p>
    <w:p w14:paraId="6628EF5B">
      <w:pPr>
        <w:pStyle w:val="40"/>
        <w:rPr>
          <w:rFonts w:hint="eastAsia" w:ascii="仿宋" w:hAnsi="仿宋" w:eastAsia="仿宋" w:cs="仿宋"/>
          <w:color w:val="auto"/>
          <w:sz w:val="24"/>
          <w:szCs w:val="24"/>
          <w:highlight w:val="none"/>
        </w:rPr>
      </w:pPr>
    </w:p>
    <w:bookmarkEnd w:id="166"/>
    <w:bookmarkEnd w:id="167"/>
    <w:bookmarkEnd w:id="168"/>
    <w:p w14:paraId="20CCD2F5">
      <w:pPr>
        <w:jc w:val="center"/>
        <w:outlineLvl w:val="1"/>
        <w:rPr>
          <w:rFonts w:hint="eastAsia" w:ascii="宋体" w:hAnsi="宋体"/>
          <w:b/>
          <w:color w:val="auto"/>
          <w:sz w:val="24"/>
          <w:szCs w:val="21"/>
          <w:highlight w:val="none"/>
        </w:rPr>
      </w:pPr>
      <w:r>
        <w:rPr>
          <w:rFonts w:hint="eastAsia" w:ascii="宋体" w:hAnsi="宋体"/>
          <w:b/>
          <w:color w:val="auto"/>
          <w:sz w:val="24"/>
          <w:szCs w:val="21"/>
          <w:highlight w:val="none"/>
          <w:lang w:eastAsia="zh-CN"/>
        </w:rPr>
        <w:t>五</w:t>
      </w:r>
      <w:r>
        <w:rPr>
          <w:rFonts w:hint="eastAsia" w:ascii="宋体" w:hAnsi="宋体"/>
          <w:b/>
          <w:color w:val="auto"/>
          <w:sz w:val="24"/>
          <w:szCs w:val="21"/>
          <w:highlight w:val="none"/>
        </w:rPr>
        <w:t>、服务人员一览表</w:t>
      </w:r>
    </w:p>
    <w:p w14:paraId="2854D3B7">
      <w:pPr>
        <w:spacing w:line="360" w:lineRule="auto"/>
        <w:jc w:val="center"/>
        <w:rPr>
          <w:rFonts w:hint="eastAsia" w:ascii="仿宋" w:hAnsi="仿宋" w:eastAsia="仿宋" w:cs="仿宋"/>
          <w:color w:val="auto"/>
          <w:sz w:val="24"/>
          <w:szCs w:val="24"/>
          <w:highlight w:val="none"/>
        </w:rPr>
      </w:pPr>
    </w:p>
    <w:p w14:paraId="48474678">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                          项目编号：</w:t>
      </w:r>
    </w:p>
    <w:tbl>
      <w:tblPr>
        <w:tblStyle w:val="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1"/>
        <w:gridCol w:w="1833"/>
        <w:gridCol w:w="847"/>
        <w:gridCol w:w="1006"/>
        <w:gridCol w:w="2131"/>
        <w:gridCol w:w="1899"/>
        <w:gridCol w:w="1017"/>
      </w:tblGrid>
      <w:tr w14:paraId="0DD27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3" w:hRule="atLeast"/>
          <w:jc w:val="center"/>
        </w:trPr>
        <w:tc>
          <w:tcPr>
            <w:tcW w:w="701" w:type="dxa"/>
            <w:noWrap w:val="0"/>
            <w:vAlign w:val="center"/>
          </w:tcPr>
          <w:p w14:paraId="23ADF02A">
            <w:pPr>
              <w:spacing w:line="360" w:lineRule="auto"/>
              <w:jc w:val="cente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序号</w:t>
            </w:r>
          </w:p>
        </w:tc>
        <w:tc>
          <w:tcPr>
            <w:tcW w:w="1833" w:type="dxa"/>
            <w:noWrap w:val="0"/>
            <w:vAlign w:val="center"/>
          </w:tcPr>
          <w:p w14:paraId="3692643C">
            <w:pPr>
              <w:spacing w:line="360" w:lineRule="auto"/>
              <w:jc w:val="cente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姓名</w:t>
            </w:r>
          </w:p>
        </w:tc>
        <w:tc>
          <w:tcPr>
            <w:tcW w:w="847" w:type="dxa"/>
            <w:noWrap w:val="0"/>
            <w:vAlign w:val="center"/>
          </w:tcPr>
          <w:p w14:paraId="139C503F">
            <w:pPr>
              <w:spacing w:line="360" w:lineRule="auto"/>
              <w:jc w:val="cente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学历</w:t>
            </w:r>
          </w:p>
        </w:tc>
        <w:tc>
          <w:tcPr>
            <w:tcW w:w="1006" w:type="dxa"/>
            <w:noWrap w:val="0"/>
            <w:vAlign w:val="center"/>
          </w:tcPr>
          <w:p w14:paraId="08550B45">
            <w:pPr>
              <w:spacing w:line="360" w:lineRule="auto"/>
              <w:jc w:val="cente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专业</w:t>
            </w:r>
          </w:p>
        </w:tc>
        <w:tc>
          <w:tcPr>
            <w:tcW w:w="2131" w:type="dxa"/>
            <w:noWrap w:val="0"/>
            <w:vAlign w:val="center"/>
          </w:tcPr>
          <w:p w14:paraId="39679329">
            <w:pPr>
              <w:spacing w:line="360" w:lineRule="auto"/>
              <w:jc w:val="cente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职称（资质）证书</w:t>
            </w:r>
          </w:p>
        </w:tc>
        <w:tc>
          <w:tcPr>
            <w:tcW w:w="1899" w:type="dxa"/>
            <w:noWrap w:val="0"/>
            <w:vAlign w:val="center"/>
          </w:tcPr>
          <w:p w14:paraId="32D07D4A">
            <w:pPr>
              <w:spacing w:line="360" w:lineRule="auto"/>
              <w:jc w:val="cente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拟担任本项目何种工作</w:t>
            </w:r>
          </w:p>
        </w:tc>
        <w:tc>
          <w:tcPr>
            <w:tcW w:w="1017" w:type="dxa"/>
            <w:noWrap w:val="0"/>
            <w:vAlign w:val="center"/>
          </w:tcPr>
          <w:p w14:paraId="220746E3">
            <w:pPr>
              <w:spacing w:line="360" w:lineRule="auto"/>
              <w:jc w:val="cente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备注</w:t>
            </w:r>
          </w:p>
        </w:tc>
      </w:tr>
      <w:tr w14:paraId="5E380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01" w:type="dxa"/>
            <w:noWrap w:val="0"/>
          </w:tcPr>
          <w:p w14:paraId="19073142">
            <w:pPr>
              <w:spacing w:line="360" w:lineRule="auto"/>
              <w:rPr>
                <w:rFonts w:hint="eastAsia" w:ascii="仿宋" w:hAnsi="仿宋" w:eastAsia="仿宋" w:cs="仿宋"/>
                <w:color w:val="auto"/>
                <w:sz w:val="24"/>
                <w:szCs w:val="24"/>
                <w:highlight w:val="none"/>
                <w:lang w:val="zh-CN"/>
              </w:rPr>
            </w:pPr>
          </w:p>
        </w:tc>
        <w:tc>
          <w:tcPr>
            <w:tcW w:w="1833" w:type="dxa"/>
            <w:noWrap w:val="0"/>
          </w:tcPr>
          <w:p w14:paraId="785D5C29">
            <w:pPr>
              <w:spacing w:line="360" w:lineRule="auto"/>
              <w:rPr>
                <w:rFonts w:hint="eastAsia" w:ascii="仿宋" w:hAnsi="仿宋" w:eastAsia="仿宋" w:cs="仿宋"/>
                <w:color w:val="auto"/>
                <w:sz w:val="24"/>
                <w:szCs w:val="24"/>
                <w:highlight w:val="none"/>
                <w:lang w:val="zh-CN"/>
              </w:rPr>
            </w:pPr>
          </w:p>
        </w:tc>
        <w:tc>
          <w:tcPr>
            <w:tcW w:w="847" w:type="dxa"/>
            <w:noWrap w:val="0"/>
          </w:tcPr>
          <w:p w14:paraId="436303CE">
            <w:pPr>
              <w:spacing w:line="360" w:lineRule="auto"/>
              <w:rPr>
                <w:rFonts w:hint="eastAsia" w:ascii="仿宋" w:hAnsi="仿宋" w:eastAsia="仿宋" w:cs="仿宋"/>
                <w:color w:val="auto"/>
                <w:sz w:val="24"/>
                <w:szCs w:val="24"/>
                <w:highlight w:val="none"/>
                <w:lang w:val="zh-CN"/>
              </w:rPr>
            </w:pPr>
          </w:p>
        </w:tc>
        <w:tc>
          <w:tcPr>
            <w:tcW w:w="1006" w:type="dxa"/>
            <w:noWrap w:val="0"/>
          </w:tcPr>
          <w:p w14:paraId="0B37A3BD">
            <w:pPr>
              <w:spacing w:line="360" w:lineRule="auto"/>
              <w:rPr>
                <w:rFonts w:hint="eastAsia" w:ascii="仿宋" w:hAnsi="仿宋" w:eastAsia="仿宋" w:cs="仿宋"/>
                <w:color w:val="auto"/>
                <w:sz w:val="24"/>
                <w:szCs w:val="24"/>
                <w:highlight w:val="none"/>
                <w:lang w:val="zh-CN"/>
              </w:rPr>
            </w:pPr>
          </w:p>
        </w:tc>
        <w:tc>
          <w:tcPr>
            <w:tcW w:w="2131" w:type="dxa"/>
            <w:noWrap w:val="0"/>
          </w:tcPr>
          <w:p w14:paraId="17130F6B">
            <w:pPr>
              <w:spacing w:line="360" w:lineRule="auto"/>
              <w:rPr>
                <w:rFonts w:hint="eastAsia" w:ascii="仿宋" w:hAnsi="仿宋" w:eastAsia="仿宋" w:cs="仿宋"/>
                <w:color w:val="auto"/>
                <w:sz w:val="24"/>
                <w:szCs w:val="24"/>
                <w:highlight w:val="none"/>
                <w:lang w:val="zh-CN"/>
              </w:rPr>
            </w:pPr>
          </w:p>
        </w:tc>
        <w:tc>
          <w:tcPr>
            <w:tcW w:w="1899" w:type="dxa"/>
            <w:noWrap w:val="0"/>
          </w:tcPr>
          <w:p w14:paraId="59A1416F">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项目负责人</w:t>
            </w:r>
          </w:p>
        </w:tc>
        <w:tc>
          <w:tcPr>
            <w:tcW w:w="1017" w:type="dxa"/>
            <w:noWrap w:val="0"/>
          </w:tcPr>
          <w:p w14:paraId="75284E8A">
            <w:pPr>
              <w:spacing w:line="360" w:lineRule="auto"/>
              <w:rPr>
                <w:rFonts w:hint="eastAsia" w:ascii="仿宋" w:hAnsi="仿宋" w:eastAsia="仿宋" w:cs="仿宋"/>
                <w:color w:val="auto"/>
                <w:sz w:val="24"/>
                <w:szCs w:val="24"/>
                <w:highlight w:val="none"/>
                <w:lang w:val="zh-CN"/>
              </w:rPr>
            </w:pPr>
          </w:p>
        </w:tc>
      </w:tr>
      <w:tr w14:paraId="4E66E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701" w:type="dxa"/>
            <w:noWrap w:val="0"/>
          </w:tcPr>
          <w:p w14:paraId="3ECC213E">
            <w:pPr>
              <w:spacing w:line="360" w:lineRule="auto"/>
              <w:rPr>
                <w:rFonts w:hint="eastAsia" w:ascii="仿宋" w:hAnsi="仿宋" w:eastAsia="仿宋" w:cs="仿宋"/>
                <w:color w:val="auto"/>
                <w:sz w:val="24"/>
                <w:szCs w:val="24"/>
                <w:highlight w:val="none"/>
                <w:lang w:val="zh-CN"/>
              </w:rPr>
            </w:pPr>
          </w:p>
        </w:tc>
        <w:tc>
          <w:tcPr>
            <w:tcW w:w="1833" w:type="dxa"/>
            <w:noWrap w:val="0"/>
          </w:tcPr>
          <w:p w14:paraId="0F13C3B1">
            <w:pPr>
              <w:spacing w:line="360" w:lineRule="auto"/>
              <w:rPr>
                <w:rFonts w:hint="eastAsia" w:ascii="仿宋" w:hAnsi="仿宋" w:eastAsia="仿宋" w:cs="仿宋"/>
                <w:color w:val="auto"/>
                <w:sz w:val="24"/>
                <w:szCs w:val="24"/>
                <w:highlight w:val="none"/>
                <w:lang w:val="zh-CN"/>
              </w:rPr>
            </w:pPr>
          </w:p>
        </w:tc>
        <w:tc>
          <w:tcPr>
            <w:tcW w:w="847" w:type="dxa"/>
            <w:noWrap w:val="0"/>
          </w:tcPr>
          <w:p w14:paraId="15797C37">
            <w:pPr>
              <w:spacing w:line="360" w:lineRule="auto"/>
              <w:rPr>
                <w:rFonts w:hint="eastAsia" w:ascii="仿宋" w:hAnsi="仿宋" w:eastAsia="仿宋" w:cs="仿宋"/>
                <w:color w:val="auto"/>
                <w:sz w:val="24"/>
                <w:szCs w:val="24"/>
                <w:highlight w:val="none"/>
                <w:lang w:val="zh-CN"/>
              </w:rPr>
            </w:pPr>
          </w:p>
        </w:tc>
        <w:tc>
          <w:tcPr>
            <w:tcW w:w="1006" w:type="dxa"/>
            <w:noWrap w:val="0"/>
          </w:tcPr>
          <w:p w14:paraId="0AC9914E">
            <w:pPr>
              <w:spacing w:line="360" w:lineRule="auto"/>
              <w:rPr>
                <w:rFonts w:hint="eastAsia" w:ascii="仿宋" w:hAnsi="仿宋" w:eastAsia="仿宋" w:cs="仿宋"/>
                <w:color w:val="auto"/>
                <w:sz w:val="24"/>
                <w:szCs w:val="24"/>
                <w:highlight w:val="none"/>
                <w:lang w:val="zh-CN"/>
              </w:rPr>
            </w:pPr>
          </w:p>
        </w:tc>
        <w:tc>
          <w:tcPr>
            <w:tcW w:w="2131" w:type="dxa"/>
            <w:noWrap w:val="0"/>
          </w:tcPr>
          <w:p w14:paraId="2CA266E6">
            <w:pPr>
              <w:spacing w:line="360" w:lineRule="auto"/>
              <w:rPr>
                <w:rFonts w:hint="eastAsia" w:ascii="仿宋" w:hAnsi="仿宋" w:eastAsia="仿宋" w:cs="仿宋"/>
                <w:color w:val="auto"/>
                <w:sz w:val="24"/>
                <w:szCs w:val="24"/>
                <w:highlight w:val="none"/>
                <w:lang w:val="zh-CN"/>
              </w:rPr>
            </w:pPr>
          </w:p>
        </w:tc>
        <w:tc>
          <w:tcPr>
            <w:tcW w:w="1899" w:type="dxa"/>
            <w:noWrap w:val="0"/>
          </w:tcPr>
          <w:p w14:paraId="6C08F02B">
            <w:pPr>
              <w:spacing w:line="360" w:lineRule="auto"/>
              <w:rPr>
                <w:rFonts w:hint="eastAsia" w:ascii="仿宋" w:hAnsi="仿宋" w:eastAsia="仿宋" w:cs="仿宋"/>
                <w:color w:val="auto"/>
                <w:sz w:val="24"/>
                <w:szCs w:val="24"/>
                <w:highlight w:val="none"/>
                <w:lang w:val="zh-CN"/>
              </w:rPr>
            </w:pPr>
          </w:p>
        </w:tc>
        <w:tc>
          <w:tcPr>
            <w:tcW w:w="1017" w:type="dxa"/>
            <w:noWrap w:val="0"/>
          </w:tcPr>
          <w:p w14:paraId="26FDF42A">
            <w:pPr>
              <w:spacing w:line="360" w:lineRule="auto"/>
              <w:rPr>
                <w:rFonts w:hint="eastAsia" w:ascii="仿宋" w:hAnsi="仿宋" w:eastAsia="仿宋" w:cs="仿宋"/>
                <w:color w:val="auto"/>
                <w:sz w:val="24"/>
                <w:szCs w:val="24"/>
                <w:highlight w:val="none"/>
                <w:lang w:val="zh-CN"/>
              </w:rPr>
            </w:pPr>
          </w:p>
        </w:tc>
      </w:tr>
      <w:tr w14:paraId="3115D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01" w:type="dxa"/>
            <w:noWrap w:val="0"/>
          </w:tcPr>
          <w:p w14:paraId="332B439C">
            <w:pPr>
              <w:spacing w:line="360" w:lineRule="auto"/>
              <w:rPr>
                <w:rFonts w:hint="eastAsia" w:ascii="仿宋" w:hAnsi="仿宋" w:eastAsia="仿宋" w:cs="仿宋"/>
                <w:color w:val="auto"/>
                <w:sz w:val="24"/>
                <w:szCs w:val="24"/>
                <w:highlight w:val="none"/>
                <w:lang w:val="zh-CN"/>
              </w:rPr>
            </w:pPr>
          </w:p>
        </w:tc>
        <w:tc>
          <w:tcPr>
            <w:tcW w:w="1833" w:type="dxa"/>
            <w:noWrap w:val="0"/>
          </w:tcPr>
          <w:p w14:paraId="62C18A44">
            <w:pPr>
              <w:spacing w:line="360" w:lineRule="auto"/>
              <w:rPr>
                <w:rFonts w:hint="eastAsia" w:ascii="仿宋" w:hAnsi="仿宋" w:eastAsia="仿宋" w:cs="仿宋"/>
                <w:color w:val="auto"/>
                <w:sz w:val="24"/>
                <w:szCs w:val="24"/>
                <w:highlight w:val="none"/>
                <w:lang w:val="zh-CN"/>
              </w:rPr>
            </w:pPr>
          </w:p>
        </w:tc>
        <w:tc>
          <w:tcPr>
            <w:tcW w:w="847" w:type="dxa"/>
            <w:noWrap w:val="0"/>
          </w:tcPr>
          <w:p w14:paraId="329D76BB">
            <w:pPr>
              <w:spacing w:line="360" w:lineRule="auto"/>
              <w:rPr>
                <w:rFonts w:hint="eastAsia" w:ascii="仿宋" w:hAnsi="仿宋" w:eastAsia="仿宋" w:cs="仿宋"/>
                <w:color w:val="auto"/>
                <w:sz w:val="24"/>
                <w:szCs w:val="24"/>
                <w:highlight w:val="none"/>
                <w:lang w:val="zh-CN"/>
              </w:rPr>
            </w:pPr>
          </w:p>
        </w:tc>
        <w:tc>
          <w:tcPr>
            <w:tcW w:w="1006" w:type="dxa"/>
            <w:noWrap w:val="0"/>
          </w:tcPr>
          <w:p w14:paraId="583DC4E9">
            <w:pPr>
              <w:spacing w:line="360" w:lineRule="auto"/>
              <w:rPr>
                <w:rFonts w:hint="eastAsia" w:ascii="仿宋" w:hAnsi="仿宋" w:eastAsia="仿宋" w:cs="仿宋"/>
                <w:color w:val="auto"/>
                <w:sz w:val="24"/>
                <w:szCs w:val="24"/>
                <w:highlight w:val="none"/>
                <w:lang w:val="zh-CN"/>
              </w:rPr>
            </w:pPr>
          </w:p>
        </w:tc>
        <w:tc>
          <w:tcPr>
            <w:tcW w:w="2131" w:type="dxa"/>
            <w:noWrap w:val="0"/>
          </w:tcPr>
          <w:p w14:paraId="61C76A32">
            <w:pPr>
              <w:spacing w:line="360" w:lineRule="auto"/>
              <w:rPr>
                <w:rFonts w:hint="eastAsia" w:ascii="仿宋" w:hAnsi="仿宋" w:eastAsia="仿宋" w:cs="仿宋"/>
                <w:color w:val="auto"/>
                <w:sz w:val="24"/>
                <w:szCs w:val="24"/>
                <w:highlight w:val="none"/>
                <w:lang w:val="zh-CN"/>
              </w:rPr>
            </w:pPr>
          </w:p>
        </w:tc>
        <w:tc>
          <w:tcPr>
            <w:tcW w:w="1899" w:type="dxa"/>
            <w:noWrap w:val="0"/>
          </w:tcPr>
          <w:p w14:paraId="28C9C0BF">
            <w:pPr>
              <w:spacing w:line="360" w:lineRule="auto"/>
              <w:rPr>
                <w:rFonts w:hint="eastAsia" w:ascii="仿宋" w:hAnsi="仿宋" w:eastAsia="仿宋" w:cs="仿宋"/>
                <w:color w:val="auto"/>
                <w:sz w:val="24"/>
                <w:szCs w:val="24"/>
                <w:highlight w:val="none"/>
                <w:lang w:val="zh-CN"/>
              </w:rPr>
            </w:pPr>
          </w:p>
        </w:tc>
        <w:tc>
          <w:tcPr>
            <w:tcW w:w="1017" w:type="dxa"/>
            <w:noWrap w:val="0"/>
          </w:tcPr>
          <w:p w14:paraId="3417AA5C">
            <w:pPr>
              <w:spacing w:line="360" w:lineRule="auto"/>
              <w:rPr>
                <w:rFonts w:hint="eastAsia" w:ascii="仿宋" w:hAnsi="仿宋" w:eastAsia="仿宋" w:cs="仿宋"/>
                <w:color w:val="auto"/>
                <w:sz w:val="24"/>
                <w:szCs w:val="24"/>
                <w:highlight w:val="none"/>
                <w:lang w:val="zh-CN"/>
              </w:rPr>
            </w:pPr>
          </w:p>
        </w:tc>
      </w:tr>
      <w:tr w14:paraId="0FA6A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701" w:type="dxa"/>
            <w:noWrap w:val="0"/>
          </w:tcPr>
          <w:p w14:paraId="133FFD1E">
            <w:pPr>
              <w:spacing w:line="360" w:lineRule="auto"/>
              <w:rPr>
                <w:rFonts w:hint="eastAsia" w:ascii="仿宋" w:hAnsi="仿宋" w:eastAsia="仿宋" w:cs="仿宋"/>
                <w:color w:val="auto"/>
                <w:sz w:val="24"/>
                <w:szCs w:val="24"/>
                <w:highlight w:val="none"/>
                <w:lang w:val="zh-CN"/>
              </w:rPr>
            </w:pPr>
          </w:p>
        </w:tc>
        <w:tc>
          <w:tcPr>
            <w:tcW w:w="1833" w:type="dxa"/>
            <w:noWrap w:val="0"/>
          </w:tcPr>
          <w:p w14:paraId="04EA6C64">
            <w:pPr>
              <w:spacing w:line="360" w:lineRule="auto"/>
              <w:rPr>
                <w:rFonts w:hint="eastAsia" w:ascii="仿宋" w:hAnsi="仿宋" w:eastAsia="仿宋" w:cs="仿宋"/>
                <w:color w:val="auto"/>
                <w:sz w:val="24"/>
                <w:szCs w:val="24"/>
                <w:highlight w:val="none"/>
                <w:lang w:val="zh-CN"/>
              </w:rPr>
            </w:pPr>
          </w:p>
        </w:tc>
        <w:tc>
          <w:tcPr>
            <w:tcW w:w="847" w:type="dxa"/>
            <w:noWrap w:val="0"/>
          </w:tcPr>
          <w:p w14:paraId="0F364BB6">
            <w:pPr>
              <w:spacing w:line="360" w:lineRule="auto"/>
              <w:rPr>
                <w:rFonts w:hint="eastAsia" w:ascii="仿宋" w:hAnsi="仿宋" w:eastAsia="仿宋" w:cs="仿宋"/>
                <w:color w:val="auto"/>
                <w:sz w:val="24"/>
                <w:szCs w:val="24"/>
                <w:highlight w:val="none"/>
                <w:lang w:val="zh-CN"/>
              </w:rPr>
            </w:pPr>
          </w:p>
        </w:tc>
        <w:tc>
          <w:tcPr>
            <w:tcW w:w="1006" w:type="dxa"/>
            <w:noWrap w:val="0"/>
          </w:tcPr>
          <w:p w14:paraId="7561A86F">
            <w:pPr>
              <w:spacing w:line="360" w:lineRule="auto"/>
              <w:rPr>
                <w:rFonts w:hint="eastAsia" w:ascii="仿宋" w:hAnsi="仿宋" w:eastAsia="仿宋" w:cs="仿宋"/>
                <w:color w:val="auto"/>
                <w:sz w:val="24"/>
                <w:szCs w:val="24"/>
                <w:highlight w:val="none"/>
                <w:lang w:val="zh-CN"/>
              </w:rPr>
            </w:pPr>
          </w:p>
        </w:tc>
        <w:tc>
          <w:tcPr>
            <w:tcW w:w="2131" w:type="dxa"/>
            <w:noWrap w:val="0"/>
          </w:tcPr>
          <w:p w14:paraId="153EF27A">
            <w:pPr>
              <w:spacing w:line="360" w:lineRule="auto"/>
              <w:rPr>
                <w:rFonts w:hint="eastAsia" w:ascii="仿宋" w:hAnsi="仿宋" w:eastAsia="仿宋" w:cs="仿宋"/>
                <w:color w:val="auto"/>
                <w:sz w:val="24"/>
                <w:szCs w:val="24"/>
                <w:highlight w:val="none"/>
                <w:lang w:val="zh-CN"/>
              </w:rPr>
            </w:pPr>
          </w:p>
        </w:tc>
        <w:tc>
          <w:tcPr>
            <w:tcW w:w="1899" w:type="dxa"/>
            <w:noWrap w:val="0"/>
          </w:tcPr>
          <w:p w14:paraId="58F524DA">
            <w:pPr>
              <w:spacing w:line="360" w:lineRule="auto"/>
              <w:rPr>
                <w:rFonts w:hint="eastAsia" w:ascii="仿宋" w:hAnsi="仿宋" w:eastAsia="仿宋" w:cs="仿宋"/>
                <w:color w:val="auto"/>
                <w:sz w:val="24"/>
                <w:szCs w:val="24"/>
                <w:highlight w:val="none"/>
                <w:lang w:val="zh-CN"/>
              </w:rPr>
            </w:pPr>
          </w:p>
        </w:tc>
        <w:tc>
          <w:tcPr>
            <w:tcW w:w="1017" w:type="dxa"/>
            <w:noWrap w:val="0"/>
          </w:tcPr>
          <w:p w14:paraId="2CE08A1E">
            <w:pPr>
              <w:spacing w:line="360" w:lineRule="auto"/>
              <w:rPr>
                <w:rFonts w:hint="eastAsia" w:ascii="仿宋" w:hAnsi="仿宋" w:eastAsia="仿宋" w:cs="仿宋"/>
                <w:color w:val="auto"/>
                <w:sz w:val="24"/>
                <w:szCs w:val="24"/>
                <w:highlight w:val="none"/>
                <w:lang w:val="zh-CN"/>
              </w:rPr>
            </w:pPr>
          </w:p>
        </w:tc>
      </w:tr>
      <w:tr w14:paraId="3047D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01" w:type="dxa"/>
            <w:noWrap w:val="0"/>
          </w:tcPr>
          <w:p w14:paraId="02AF3A18">
            <w:pPr>
              <w:spacing w:line="360" w:lineRule="auto"/>
              <w:rPr>
                <w:rFonts w:hint="eastAsia" w:ascii="仿宋" w:hAnsi="仿宋" w:eastAsia="仿宋" w:cs="仿宋"/>
                <w:color w:val="auto"/>
                <w:sz w:val="24"/>
                <w:szCs w:val="24"/>
                <w:highlight w:val="none"/>
                <w:lang w:val="zh-CN"/>
              </w:rPr>
            </w:pPr>
          </w:p>
        </w:tc>
        <w:tc>
          <w:tcPr>
            <w:tcW w:w="1833" w:type="dxa"/>
            <w:noWrap w:val="0"/>
          </w:tcPr>
          <w:p w14:paraId="5B0DFF06">
            <w:pPr>
              <w:spacing w:line="360" w:lineRule="auto"/>
              <w:rPr>
                <w:rFonts w:hint="eastAsia" w:ascii="仿宋" w:hAnsi="仿宋" w:eastAsia="仿宋" w:cs="仿宋"/>
                <w:color w:val="auto"/>
                <w:sz w:val="24"/>
                <w:szCs w:val="24"/>
                <w:highlight w:val="none"/>
                <w:lang w:val="zh-CN"/>
              </w:rPr>
            </w:pPr>
          </w:p>
        </w:tc>
        <w:tc>
          <w:tcPr>
            <w:tcW w:w="847" w:type="dxa"/>
            <w:noWrap w:val="0"/>
          </w:tcPr>
          <w:p w14:paraId="1F6BF382">
            <w:pPr>
              <w:spacing w:line="360" w:lineRule="auto"/>
              <w:rPr>
                <w:rFonts w:hint="eastAsia" w:ascii="仿宋" w:hAnsi="仿宋" w:eastAsia="仿宋" w:cs="仿宋"/>
                <w:color w:val="auto"/>
                <w:sz w:val="24"/>
                <w:szCs w:val="24"/>
                <w:highlight w:val="none"/>
                <w:lang w:val="zh-CN"/>
              </w:rPr>
            </w:pPr>
          </w:p>
        </w:tc>
        <w:tc>
          <w:tcPr>
            <w:tcW w:w="1006" w:type="dxa"/>
            <w:noWrap w:val="0"/>
          </w:tcPr>
          <w:p w14:paraId="459468A2">
            <w:pPr>
              <w:spacing w:line="360" w:lineRule="auto"/>
              <w:rPr>
                <w:rFonts w:hint="eastAsia" w:ascii="仿宋" w:hAnsi="仿宋" w:eastAsia="仿宋" w:cs="仿宋"/>
                <w:color w:val="auto"/>
                <w:sz w:val="24"/>
                <w:szCs w:val="24"/>
                <w:highlight w:val="none"/>
                <w:lang w:val="zh-CN"/>
              </w:rPr>
            </w:pPr>
          </w:p>
        </w:tc>
        <w:tc>
          <w:tcPr>
            <w:tcW w:w="2131" w:type="dxa"/>
            <w:noWrap w:val="0"/>
          </w:tcPr>
          <w:p w14:paraId="5F03AD81">
            <w:pPr>
              <w:spacing w:line="360" w:lineRule="auto"/>
              <w:rPr>
                <w:rFonts w:hint="eastAsia" w:ascii="仿宋" w:hAnsi="仿宋" w:eastAsia="仿宋" w:cs="仿宋"/>
                <w:color w:val="auto"/>
                <w:sz w:val="24"/>
                <w:szCs w:val="24"/>
                <w:highlight w:val="none"/>
                <w:lang w:val="zh-CN"/>
              </w:rPr>
            </w:pPr>
          </w:p>
        </w:tc>
        <w:tc>
          <w:tcPr>
            <w:tcW w:w="1899" w:type="dxa"/>
            <w:noWrap w:val="0"/>
          </w:tcPr>
          <w:p w14:paraId="4FF59011">
            <w:pPr>
              <w:spacing w:line="360" w:lineRule="auto"/>
              <w:rPr>
                <w:rFonts w:hint="eastAsia" w:ascii="仿宋" w:hAnsi="仿宋" w:eastAsia="仿宋" w:cs="仿宋"/>
                <w:color w:val="auto"/>
                <w:sz w:val="24"/>
                <w:szCs w:val="24"/>
                <w:highlight w:val="none"/>
                <w:lang w:val="zh-CN"/>
              </w:rPr>
            </w:pPr>
          </w:p>
        </w:tc>
        <w:tc>
          <w:tcPr>
            <w:tcW w:w="1017" w:type="dxa"/>
            <w:noWrap w:val="0"/>
          </w:tcPr>
          <w:p w14:paraId="0020E6B1">
            <w:pPr>
              <w:spacing w:line="360" w:lineRule="auto"/>
              <w:rPr>
                <w:rFonts w:hint="eastAsia" w:ascii="仿宋" w:hAnsi="仿宋" w:eastAsia="仿宋" w:cs="仿宋"/>
                <w:color w:val="auto"/>
                <w:sz w:val="24"/>
                <w:szCs w:val="24"/>
                <w:highlight w:val="none"/>
                <w:lang w:val="zh-CN"/>
              </w:rPr>
            </w:pPr>
          </w:p>
        </w:tc>
      </w:tr>
      <w:tr w14:paraId="14FEC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701" w:type="dxa"/>
            <w:noWrap w:val="0"/>
          </w:tcPr>
          <w:p w14:paraId="4C10B5AB">
            <w:pPr>
              <w:spacing w:line="360" w:lineRule="auto"/>
              <w:rPr>
                <w:rFonts w:hint="eastAsia" w:ascii="仿宋" w:hAnsi="仿宋" w:eastAsia="仿宋" w:cs="仿宋"/>
                <w:color w:val="auto"/>
                <w:sz w:val="24"/>
                <w:szCs w:val="24"/>
                <w:highlight w:val="none"/>
                <w:lang w:val="zh-CN"/>
              </w:rPr>
            </w:pPr>
          </w:p>
        </w:tc>
        <w:tc>
          <w:tcPr>
            <w:tcW w:w="1833" w:type="dxa"/>
            <w:noWrap w:val="0"/>
          </w:tcPr>
          <w:p w14:paraId="13ADE5C7">
            <w:pPr>
              <w:spacing w:line="360" w:lineRule="auto"/>
              <w:rPr>
                <w:rFonts w:hint="eastAsia" w:ascii="仿宋" w:hAnsi="仿宋" w:eastAsia="仿宋" w:cs="仿宋"/>
                <w:color w:val="auto"/>
                <w:sz w:val="24"/>
                <w:szCs w:val="24"/>
                <w:highlight w:val="none"/>
                <w:lang w:val="zh-CN"/>
              </w:rPr>
            </w:pPr>
          </w:p>
        </w:tc>
        <w:tc>
          <w:tcPr>
            <w:tcW w:w="847" w:type="dxa"/>
            <w:noWrap w:val="0"/>
          </w:tcPr>
          <w:p w14:paraId="4A0901D2">
            <w:pPr>
              <w:spacing w:line="360" w:lineRule="auto"/>
              <w:rPr>
                <w:rFonts w:hint="eastAsia" w:ascii="仿宋" w:hAnsi="仿宋" w:eastAsia="仿宋" w:cs="仿宋"/>
                <w:color w:val="auto"/>
                <w:sz w:val="24"/>
                <w:szCs w:val="24"/>
                <w:highlight w:val="none"/>
                <w:lang w:val="zh-CN"/>
              </w:rPr>
            </w:pPr>
          </w:p>
        </w:tc>
        <w:tc>
          <w:tcPr>
            <w:tcW w:w="1006" w:type="dxa"/>
            <w:noWrap w:val="0"/>
          </w:tcPr>
          <w:p w14:paraId="150B9250">
            <w:pPr>
              <w:spacing w:line="360" w:lineRule="auto"/>
              <w:rPr>
                <w:rFonts w:hint="eastAsia" w:ascii="仿宋" w:hAnsi="仿宋" w:eastAsia="仿宋" w:cs="仿宋"/>
                <w:color w:val="auto"/>
                <w:sz w:val="24"/>
                <w:szCs w:val="24"/>
                <w:highlight w:val="none"/>
                <w:lang w:val="zh-CN"/>
              </w:rPr>
            </w:pPr>
          </w:p>
        </w:tc>
        <w:tc>
          <w:tcPr>
            <w:tcW w:w="2131" w:type="dxa"/>
            <w:noWrap w:val="0"/>
          </w:tcPr>
          <w:p w14:paraId="32E335B9">
            <w:pPr>
              <w:spacing w:line="360" w:lineRule="auto"/>
              <w:rPr>
                <w:rFonts w:hint="eastAsia" w:ascii="仿宋" w:hAnsi="仿宋" w:eastAsia="仿宋" w:cs="仿宋"/>
                <w:color w:val="auto"/>
                <w:sz w:val="24"/>
                <w:szCs w:val="24"/>
                <w:highlight w:val="none"/>
                <w:lang w:val="zh-CN"/>
              </w:rPr>
            </w:pPr>
          </w:p>
        </w:tc>
        <w:tc>
          <w:tcPr>
            <w:tcW w:w="1899" w:type="dxa"/>
            <w:noWrap w:val="0"/>
          </w:tcPr>
          <w:p w14:paraId="0886F22F">
            <w:pPr>
              <w:spacing w:line="360" w:lineRule="auto"/>
              <w:rPr>
                <w:rFonts w:hint="eastAsia" w:ascii="仿宋" w:hAnsi="仿宋" w:eastAsia="仿宋" w:cs="仿宋"/>
                <w:color w:val="auto"/>
                <w:sz w:val="24"/>
                <w:szCs w:val="24"/>
                <w:highlight w:val="none"/>
                <w:lang w:val="zh-CN"/>
              </w:rPr>
            </w:pPr>
          </w:p>
        </w:tc>
        <w:tc>
          <w:tcPr>
            <w:tcW w:w="1017" w:type="dxa"/>
            <w:noWrap w:val="0"/>
          </w:tcPr>
          <w:p w14:paraId="6573BDA2">
            <w:pPr>
              <w:spacing w:line="360" w:lineRule="auto"/>
              <w:rPr>
                <w:rFonts w:hint="eastAsia" w:ascii="仿宋" w:hAnsi="仿宋" w:eastAsia="仿宋" w:cs="仿宋"/>
                <w:color w:val="auto"/>
                <w:sz w:val="24"/>
                <w:szCs w:val="24"/>
                <w:highlight w:val="none"/>
                <w:lang w:val="zh-CN"/>
              </w:rPr>
            </w:pPr>
          </w:p>
        </w:tc>
      </w:tr>
      <w:tr w14:paraId="60128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01" w:type="dxa"/>
            <w:noWrap w:val="0"/>
          </w:tcPr>
          <w:p w14:paraId="4E2015E6">
            <w:pPr>
              <w:spacing w:line="360" w:lineRule="auto"/>
              <w:rPr>
                <w:rFonts w:hint="eastAsia" w:ascii="仿宋" w:hAnsi="仿宋" w:eastAsia="仿宋" w:cs="仿宋"/>
                <w:color w:val="auto"/>
                <w:sz w:val="24"/>
                <w:szCs w:val="24"/>
                <w:highlight w:val="none"/>
                <w:lang w:val="zh-CN"/>
              </w:rPr>
            </w:pPr>
          </w:p>
        </w:tc>
        <w:tc>
          <w:tcPr>
            <w:tcW w:w="1833" w:type="dxa"/>
            <w:noWrap w:val="0"/>
          </w:tcPr>
          <w:p w14:paraId="2C159287">
            <w:pPr>
              <w:spacing w:line="360" w:lineRule="auto"/>
              <w:rPr>
                <w:rFonts w:hint="eastAsia" w:ascii="仿宋" w:hAnsi="仿宋" w:eastAsia="仿宋" w:cs="仿宋"/>
                <w:color w:val="auto"/>
                <w:sz w:val="24"/>
                <w:szCs w:val="24"/>
                <w:highlight w:val="none"/>
                <w:lang w:val="zh-CN"/>
              </w:rPr>
            </w:pPr>
          </w:p>
        </w:tc>
        <w:tc>
          <w:tcPr>
            <w:tcW w:w="847" w:type="dxa"/>
            <w:noWrap w:val="0"/>
          </w:tcPr>
          <w:p w14:paraId="2A78846A">
            <w:pPr>
              <w:spacing w:line="360" w:lineRule="auto"/>
              <w:rPr>
                <w:rFonts w:hint="eastAsia" w:ascii="仿宋" w:hAnsi="仿宋" w:eastAsia="仿宋" w:cs="仿宋"/>
                <w:color w:val="auto"/>
                <w:sz w:val="24"/>
                <w:szCs w:val="24"/>
                <w:highlight w:val="none"/>
                <w:lang w:val="zh-CN"/>
              </w:rPr>
            </w:pPr>
          </w:p>
        </w:tc>
        <w:tc>
          <w:tcPr>
            <w:tcW w:w="1006" w:type="dxa"/>
            <w:noWrap w:val="0"/>
          </w:tcPr>
          <w:p w14:paraId="76748D6C">
            <w:pPr>
              <w:spacing w:line="360" w:lineRule="auto"/>
              <w:rPr>
                <w:rFonts w:hint="eastAsia" w:ascii="仿宋" w:hAnsi="仿宋" w:eastAsia="仿宋" w:cs="仿宋"/>
                <w:color w:val="auto"/>
                <w:sz w:val="24"/>
                <w:szCs w:val="24"/>
                <w:highlight w:val="none"/>
                <w:lang w:val="zh-CN"/>
              </w:rPr>
            </w:pPr>
          </w:p>
        </w:tc>
        <w:tc>
          <w:tcPr>
            <w:tcW w:w="2131" w:type="dxa"/>
            <w:noWrap w:val="0"/>
          </w:tcPr>
          <w:p w14:paraId="36644353">
            <w:pPr>
              <w:spacing w:line="360" w:lineRule="auto"/>
              <w:rPr>
                <w:rFonts w:hint="eastAsia" w:ascii="仿宋" w:hAnsi="仿宋" w:eastAsia="仿宋" w:cs="仿宋"/>
                <w:color w:val="auto"/>
                <w:sz w:val="24"/>
                <w:szCs w:val="24"/>
                <w:highlight w:val="none"/>
                <w:lang w:val="zh-CN"/>
              </w:rPr>
            </w:pPr>
          </w:p>
        </w:tc>
        <w:tc>
          <w:tcPr>
            <w:tcW w:w="1899" w:type="dxa"/>
            <w:noWrap w:val="0"/>
          </w:tcPr>
          <w:p w14:paraId="54C23111">
            <w:pPr>
              <w:spacing w:line="360" w:lineRule="auto"/>
              <w:rPr>
                <w:rFonts w:hint="eastAsia" w:ascii="仿宋" w:hAnsi="仿宋" w:eastAsia="仿宋" w:cs="仿宋"/>
                <w:color w:val="auto"/>
                <w:sz w:val="24"/>
                <w:szCs w:val="24"/>
                <w:highlight w:val="none"/>
                <w:lang w:val="zh-CN"/>
              </w:rPr>
            </w:pPr>
          </w:p>
        </w:tc>
        <w:tc>
          <w:tcPr>
            <w:tcW w:w="1017" w:type="dxa"/>
            <w:noWrap w:val="0"/>
          </w:tcPr>
          <w:p w14:paraId="1DD52656">
            <w:pPr>
              <w:spacing w:line="360" w:lineRule="auto"/>
              <w:rPr>
                <w:rFonts w:hint="eastAsia" w:ascii="仿宋" w:hAnsi="仿宋" w:eastAsia="仿宋" w:cs="仿宋"/>
                <w:color w:val="auto"/>
                <w:sz w:val="24"/>
                <w:szCs w:val="24"/>
                <w:highlight w:val="none"/>
                <w:lang w:val="zh-CN"/>
              </w:rPr>
            </w:pPr>
          </w:p>
        </w:tc>
      </w:tr>
      <w:tr w14:paraId="58D76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701" w:type="dxa"/>
            <w:noWrap w:val="0"/>
          </w:tcPr>
          <w:p w14:paraId="30180185">
            <w:pPr>
              <w:spacing w:line="360" w:lineRule="auto"/>
              <w:rPr>
                <w:rFonts w:hint="eastAsia" w:ascii="仿宋" w:hAnsi="仿宋" w:eastAsia="仿宋" w:cs="仿宋"/>
                <w:color w:val="auto"/>
                <w:sz w:val="24"/>
                <w:szCs w:val="24"/>
                <w:highlight w:val="none"/>
                <w:lang w:val="zh-CN"/>
              </w:rPr>
            </w:pPr>
          </w:p>
        </w:tc>
        <w:tc>
          <w:tcPr>
            <w:tcW w:w="1833" w:type="dxa"/>
            <w:noWrap w:val="0"/>
          </w:tcPr>
          <w:p w14:paraId="281EC56E">
            <w:pPr>
              <w:spacing w:line="360" w:lineRule="auto"/>
              <w:rPr>
                <w:rFonts w:hint="eastAsia" w:ascii="仿宋" w:hAnsi="仿宋" w:eastAsia="仿宋" w:cs="仿宋"/>
                <w:color w:val="auto"/>
                <w:sz w:val="24"/>
                <w:szCs w:val="24"/>
                <w:highlight w:val="none"/>
                <w:lang w:val="zh-CN"/>
              </w:rPr>
            </w:pPr>
          </w:p>
        </w:tc>
        <w:tc>
          <w:tcPr>
            <w:tcW w:w="847" w:type="dxa"/>
            <w:noWrap w:val="0"/>
          </w:tcPr>
          <w:p w14:paraId="74901A68">
            <w:pPr>
              <w:spacing w:line="360" w:lineRule="auto"/>
              <w:rPr>
                <w:rFonts w:hint="eastAsia" w:ascii="仿宋" w:hAnsi="仿宋" w:eastAsia="仿宋" w:cs="仿宋"/>
                <w:color w:val="auto"/>
                <w:sz w:val="24"/>
                <w:szCs w:val="24"/>
                <w:highlight w:val="none"/>
                <w:lang w:val="zh-CN"/>
              </w:rPr>
            </w:pPr>
          </w:p>
        </w:tc>
        <w:tc>
          <w:tcPr>
            <w:tcW w:w="1006" w:type="dxa"/>
            <w:noWrap w:val="0"/>
          </w:tcPr>
          <w:p w14:paraId="5FAE527D">
            <w:pPr>
              <w:spacing w:line="360" w:lineRule="auto"/>
              <w:rPr>
                <w:rFonts w:hint="eastAsia" w:ascii="仿宋" w:hAnsi="仿宋" w:eastAsia="仿宋" w:cs="仿宋"/>
                <w:color w:val="auto"/>
                <w:sz w:val="24"/>
                <w:szCs w:val="24"/>
                <w:highlight w:val="none"/>
                <w:lang w:val="zh-CN"/>
              </w:rPr>
            </w:pPr>
          </w:p>
        </w:tc>
        <w:tc>
          <w:tcPr>
            <w:tcW w:w="2131" w:type="dxa"/>
            <w:noWrap w:val="0"/>
          </w:tcPr>
          <w:p w14:paraId="6A802E6F">
            <w:pPr>
              <w:spacing w:line="360" w:lineRule="auto"/>
              <w:rPr>
                <w:rFonts w:hint="eastAsia" w:ascii="仿宋" w:hAnsi="仿宋" w:eastAsia="仿宋" w:cs="仿宋"/>
                <w:color w:val="auto"/>
                <w:sz w:val="24"/>
                <w:szCs w:val="24"/>
                <w:highlight w:val="none"/>
                <w:lang w:val="zh-CN"/>
              </w:rPr>
            </w:pPr>
          </w:p>
        </w:tc>
        <w:tc>
          <w:tcPr>
            <w:tcW w:w="1899" w:type="dxa"/>
            <w:noWrap w:val="0"/>
          </w:tcPr>
          <w:p w14:paraId="2B1922FA">
            <w:pPr>
              <w:spacing w:line="360" w:lineRule="auto"/>
              <w:rPr>
                <w:rFonts w:hint="eastAsia" w:ascii="仿宋" w:hAnsi="仿宋" w:eastAsia="仿宋" w:cs="仿宋"/>
                <w:color w:val="auto"/>
                <w:sz w:val="24"/>
                <w:szCs w:val="24"/>
                <w:highlight w:val="none"/>
                <w:lang w:val="zh-CN"/>
              </w:rPr>
            </w:pPr>
          </w:p>
        </w:tc>
        <w:tc>
          <w:tcPr>
            <w:tcW w:w="1017" w:type="dxa"/>
            <w:noWrap w:val="0"/>
          </w:tcPr>
          <w:p w14:paraId="2D28C73C">
            <w:pPr>
              <w:spacing w:line="360" w:lineRule="auto"/>
              <w:rPr>
                <w:rFonts w:hint="eastAsia" w:ascii="仿宋" w:hAnsi="仿宋" w:eastAsia="仿宋" w:cs="仿宋"/>
                <w:color w:val="auto"/>
                <w:sz w:val="24"/>
                <w:szCs w:val="24"/>
                <w:highlight w:val="none"/>
                <w:lang w:val="zh-CN"/>
              </w:rPr>
            </w:pPr>
          </w:p>
        </w:tc>
      </w:tr>
    </w:tbl>
    <w:p w14:paraId="68B7136A">
      <w:pPr>
        <w:spacing w:line="360" w:lineRule="auto"/>
        <w:rPr>
          <w:rFonts w:hint="eastAsia" w:ascii="仿宋" w:hAnsi="仿宋" w:eastAsia="仿宋" w:cs="仿宋"/>
          <w:b/>
          <w:bCs/>
          <w:color w:val="auto"/>
          <w:sz w:val="24"/>
          <w:szCs w:val="24"/>
          <w:highlight w:val="none"/>
        </w:rPr>
      </w:pPr>
    </w:p>
    <w:p w14:paraId="4B930036">
      <w:pPr>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请提供采购文件要求的以上所填人员的学历学位证书，相关专业、专业技术职称、专业工作年限、供应商为其缴纳社保等证明材料，具体可根据评分标准自行适当增减内容，但需满足评分要求。</w:t>
      </w:r>
    </w:p>
    <w:p w14:paraId="25E8DD8C">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说明：如果行数不够，请自行增加。</w:t>
      </w:r>
    </w:p>
    <w:p w14:paraId="27E719B1">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供应商名称：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（加盖CA电子公章）</w:t>
      </w:r>
    </w:p>
    <w:p w14:paraId="4A20429E">
      <w:pPr>
        <w:spacing w:line="360" w:lineRule="auto"/>
        <w:jc w:val="center"/>
        <w:rPr>
          <w:rFonts w:hint="eastAsia" w:ascii="仿宋" w:hAnsi="仿宋" w:eastAsia="仿宋" w:cs="仿宋"/>
          <w:b/>
          <w:color w:val="auto"/>
          <w:sz w:val="24"/>
          <w:szCs w:val="24"/>
          <w:highlight w:val="none"/>
        </w:rPr>
      </w:pPr>
    </w:p>
    <w:p w14:paraId="6AEE4956">
      <w:pPr>
        <w:spacing w:line="360" w:lineRule="auto"/>
        <w:jc w:val="center"/>
        <w:rPr>
          <w:rFonts w:hint="eastAsia" w:ascii="仿宋" w:hAnsi="仿宋" w:eastAsia="仿宋" w:cs="仿宋"/>
          <w:b/>
          <w:color w:val="auto"/>
          <w:sz w:val="24"/>
          <w:szCs w:val="24"/>
          <w:highlight w:val="none"/>
        </w:rPr>
      </w:pPr>
    </w:p>
    <w:p w14:paraId="02A8BF78">
      <w:pPr>
        <w:tabs>
          <w:tab w:val="left" w:pos="3320"/>
        </w:tabs>
        <w:spacing w:line="360" w:lineRule="auto"/>
        <w:rPr>
          <w:rFonts w:hint="eastAsia" w:ascii="仿宋" w:hAnsi="仿宋" w:eastAsia="仿宋" w:cs="仿宋"/>
          <w:b/>
          <w:color w:val="auto"/>
          <w:sz w:val="24"/>
          <w:szCs w:val="24"/>
          <w:highlight w:val="none"/>
        </w:rPr>
      </w:pPr>
    </w:p>
    <w:p w14:paraId="5E4011E0">
      <w:pPr>
        <w:spacing w:line="360" w:lineRule="auto"/>
        <w:jc w:val="center"/>
        <w:rPr>
          <w:rFonts w:hint="eastAsia" w:ascii="仿宋" w:hAnsi="仿宋" w:eastAsia="仿宋" w:cs="仿宋"/>
          <w:b/>
          <w:color w:val="auto"/>
          <w:sz w:val="24"/>
          <w:szCs w:val="24"/>
          <w:highlight w:val="none"/>
        </w:rPr>
      </w:pPr>
    </w:p>
    <w:p w14:paraId="5A349455">
      <w:pPr>
        <w:spacing w:line="360" w:lineRule="auto"/>
        <w:jc w:val="center"/>
        <w:rPr>
          <w:rFonts w:hint="eastAsia" w:ascii="仿宋" w:hAnsi="仿宋" w:eastAsia="仿宋" w:cs="仿宋"/>
          <w:b/>
          <w:color w:val="auto"/>
          <w:sz w:val="24"/>
          <w:szCs w:val="24"/>
          <w:highlight w:val="none"/>
        </w:rPr>
      </w:pPr>
    </w:p>
    <w:p w14:paraId="6FCA53B3">
      <w:pPr>
        <w:jc w:val="center"/>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24"/>
          <w:szCs w:val="24"/>
          <w:highlight w:val="none"/>
          <w:lang w:eastAsia="zh-CN"/>
        </w:rPr>
        <w:t>六</w:t>
      </w:r>
      <w:r>
        <w:rPr>
          <w:rFonts w:hint="eastAsia" w:ascii="宋体" w:hAnsi="宋体"/>
          <w:b/>
          <w:color w:val="auto"/>
          <w:sz w:val="24"/>
          <w:szCs w:val="21"/>
          <w:highlight w:val="none"/>
          <w:lang w:eastAsia="zh-CN"/>
        </w:rPr>
        <w:t>、技术及服务条款响应及偏离表</w:t>
      </w:r>
    </w:p>
    <w:p w14:paraId="46F38B76">
      <w:pPr>
        <w:spacing w:line="360" w:lineRule="auto"/>
        <w:ind w:firstLine="420"/>
        <w:rPr>
          <w:rFonts w:hint="eastAsia" w:ascii="仿宋" w:hAnsi="仿宋" w:eastAsia="仿宋" w:cs="仿宋"/>
          <w:color w:val="auto"/>
          <w:sz w:val="24"/>
          <w:szCs w:val="24"/>
          <w:highlight w:val="none"/>
        </w:rPr>
      </w:pPr>
    </w:p>
    <w:tbl>
      <w:tblPr>
        <w:tblStyle w:val="27"/>
        <w:tblW w:w="10450" w:type="dxa"/>
        <w:jc w:val="center"/>
        <w:tblLayout w:type="fixed"/>
        <w:tblCellMar>
          <w:top w:w="0" w:type="dxa"/>
          <w:left w:w="10" w:type="dxa"/>
          <w:bottom w:w="0" w:type="dxa"/>
          <w:right w:w="10" w:type="dxa"/>
        </w:tblCellMar>
      </w:tblPr>
      <w:tblGrid>
        <w:gridCol w:w="665"/>
        <w:gridCol w:w="1781"/>
        <w:gridCol w:w="2634"/>
        <w:gridCol w:w="2508"/>
        <w:gridCol w:w="2862"/>
      </w:tblGrid>
      <w:tr w14:paraId="30F1373B">
        <w:tblPrEx>
          <w:tblCellMar>
            <w:top w:w="0" w:type="dxa"/>
            <w:left w:w="10" w:type="dxa"/>
            <w:bottom w:w="0" w:type="dxa"/>
            <w:right w:w="10" w:type="dxa"/>
          </w:tblCellMar>
        </w:tblPrEx>
        <w:trPr>
          <w:trHeight w:val="284" w:hRule="atLeast"/>
          <w:jc w:val="center"/>
        </w:trPr>
        <w:tc>
          <w:tcPr>
            <w:tcW w:w="10450" w:type="dxa"/>
            <w:gridSpan w:val="5"/>
            <w:tcBorders>
              <w:top w:val="nil"/>
              <w:left w:val="nil"/>
              <w:bottom w:val="single" w:color="000000" w:sz="6" w:space="0"/>
              <w:right w:val="nil"/>
            </w:tcBorders>
            <w:noWrap w:val="0"/>
            <w:vAlign w:val="center"/>
          </w:tcPr>
          <w:p w14:paraId="59D34881">
            <w:pPr>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项目名称：</w:t>
            </w:r>
          </w:p>
          <w:p w14:paraId="0F41E9D3">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项目编号：                    </w:t>
            </w:r>
            <w:r>
              <w:rPr>
                <w:rFonts w:hint="eastAsia" w:ascii="仿宋" w:hAnsi="仿宋" w:eastAsia="仿宋" w:cs="仿宋"/>
                <w:color w:val="auto"/>
                <w:sz w:val="24"/>
                <w:szCs w:val="24"/>
                <w:highlight w:val="none"/>
              </w:rPr>
              <w:t xml:space="preserve">                                   </w:t>
            </w:r>
          </w:p>
        </w:tc>
      </w:tr>
      <w:tr w14:paraId="0D92F6D2">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6C21AAA3">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序号</w:t>
            </w:r>
          </w:p>
        </w:tc>
        <w:tc>
          <w:tcPr>
            <w:tcW w:w="1781" w:type="dxa"/>
            <w:tcBorders>
              <w:top w:val="single" w:color="000000" w:sz="6" w:space="0"/>
              <w:left w:val="single" w:color="000000" w:sz="6" w:space="0"/>
              <w:bottom w:val="single" w:color="000000" w:sz="6" w:space="0"/>
              <w:right w:val="single" w:color="000000" w:sz="6" w:space="0"/>
            </w:tcBorders>
            <w:noWrap w:val="0"/>
            <w:vAlign w:val="center"/>
          </w:tcPr>
          <w:p w14:paraId="37BB86E7">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采购文件条目号</w:t>
            </w:r>
          </w:p>
        </w:tc>
        <w:tc>
          <w:tcPr>
            <w:tcW w:w="2634" w:type="dxa"/>
            <w:tcBorders>
              <w:top w:val="single" w:color="000000" w:sz="6" w:space="0"/>
              <w:left w:val="single" w:color="000000" w:sz="6" w:space="0"/>
              <w:bottom w:val="single" w:color="000000" w:sz="6" w:space="0"/>
              <w:right w:val="single" w:color="000000" w:sz="6" w:space="0"/>
            </w:tcBorders>
            <w:noWrap w:val="0"/>
            <w:vAlign w:val="center"/>
          </w:tcPr>
          <w:p w14:paraId="358A1F48">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采购文件要求的技术、</w:t>
            </w:r>
            <w:r>
              <w:rPr>
                <w:rFonts w:hint="eastAsia" w:ascii="仿宋" w:hAnsi="仿宋" w:eastAsia="仿宋" w:cs="仿宋"/>
                <w:color w:val="auto"/>
                <w:sz w:val="24"/>
                <w:szCs w:val="24"/>
                <w:highlight w:val="none"/>
              </w:rPr>
              <w:t>服务</w:t>
            </w:r>
            <w:r>
              <w:rPr>
                <w:rFonts w:hint="eastAsia" w:ascii="仿宋" w:hAnsi="仿宋" w:eastAsia="仿宋" w:cs="仿宋"/>
                <w:color w:val="auto"/>
                <w:sz w:val="24"/>
                <w:szCs w:val="24"/>
                <w:highlight w:val="none"/>
                <w:lang w:val="zh-CN"/>
              </w:rPr>
              <w:t>条款</w:t>
            </w:r>
          </w:p>
        </w:tc>
        <w:tc>
          <w:tcPr>
            <w:tcW w:w="2508" w:type="dxa"/>
            <w:tcBorders>
              <w:top w:val="single" w:color="000000" w:sz="6" w:space="0"/>
              <w:left w:val="single" w:color="000000" w:sz="6" w:space="0"/>
              <w:bottom w:val="single" w:color="000000" w:sz="6" w:space="0"/>
              <w:right w:val="single" w:color="000000" w:sz="6" w:space="0"/>
            </w:tcBorders>
            <w:noWrap w:val="0"/>
            <w:vAlign w:val="center"/>
          </w:tcPr>
          <w:p w14:paraId="13528066">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磋商响应内容</w:t>
            </w:r>
          </w:p>
        </w:tc>
        <w:tc>
          <w:tcPr>
            <w:tcW w:w="2862" w:type="dxa"/>
            <w:tcBorders>
              <w:top w:val="single" w:color="000000" w:sz="6" w:space="0"/>
              <w:left w:val="single" w:color="000000" w:sz="6" w:space="0"/>
              <w:bottom w:val="single" w:color="000000" w:sz="6" w:space="0"/>
              <w:right w:val="single" w:color="000000" w:sz="6" w:space="0"/>
            </w:tcBorders>
            <w:noWrap w:val="0"/>
          </w:tcPr>
          <w:p w14:paraId="59A9561C">
            <w:pPr>
              <w:spacing w:line="360" w:lineRule="auto"/>
              <w:rPr>
                <w:rFonts w:hint="eastAsia" w:ascii="仿宋" w:hAnsi="仿宋" w:eastAsia="仿宋" w:cs="仿宋"/>
                <w:color w:val="auto"/>
                <w:sz w:val="24"/>
                <w:szCs w:val="24"/>
                <w:highlight w:val="none"/>
                <w:lang w:val="zh-CN"/>
              </w:rPr>
            </w:pPr>
          </w:p>
          <w:p w14:paraId="1814D287">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偏离说明</w:t>
            </w:r>
          </w:p>
        </w:tc>
      </w:tr>
      <w:tr w14:paraId="004D61D4">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35B579DA">
            <w:pPr>
              <w:spacing w:line="360" w:lineRule="auto"/>
              <w:jc w:val="center"/>
              <w:rPr>
                <w:rFonts w:hint="eastAsia" w:ascii="仿宋" w:hAnsi="仿宋" w:eastAsia="仿宋" w:cs="仿宋"/>
                <w:color w:val="auto"/>
                <w:sz w:val="24"/>
                <w:szCs w:val="24"/>
                <w:highlight w:val="none"/>
                <w:lang w:val="zh-CN"/>
              </w:rPr>
            </w:pPr>
          </w:p>
        </w:tc>
        <w:tc>
          <w:tcPr>
            <w:tcW w:w="1781" w:type="dxa"/>
            <w:tcBorders>
              <w:top w:val="single" w:color="000000" w:sz="6" w:space="0"/>
              <w:left w:val="single" w:color="000000" w:sz="6" w:space="0"/>
              <w:bottom w:val="single" w:color="000000" w:sz="6" w:space="0"/>
              <w:right w:val="single" w:color="000000" w:sz="6" w:space="0"/>
            </w:tcBorders>
            <w:noWrap w:val="0"/>
            <w:vAlign w:val="center"/>
          </w:tcPr>
          <w:p w14:paraId="6FE097CC">
            <w:pPr>
              <w:spacing w:line="360" w:lineRule="auto"/>
              <w:jc w:val="center"/>
              <w:rPr>
                <w:rFonts w:hint="eastAsia" w:ascii="仿宋" w:hAnsi="仿宋" w:eastAsia="仿宋" w:cs="仿宋"/>
                <w:color w:val="auto"/>
                <w:sz w:val="24"/>
                <w:szCs w:val="24"/>
                <w:highlight w:val="none"/>
                <w:lang w:val="zh-CN"/>
              </w:rPr>
            </w:pPr>
          </w:p>
        </w:tc>
        <w:tc>
          <w:tcPr>
            <w:tcW w:w="2634" w:type="dxa"/>
            <w:tcBorders>
              <w:top w:val="single" w:color="000000" w:sz="6" w:space="0"/>
              <w:left w:val="single" w:color="000000" w:sz="6" w:space="0"/>
              <w:bottom w:val="single" w:color="000000" w:sz="6" w:space="0"/>
              <w:right w:val="single" w:color="000000" w:sz="6" w:space="0"/>
            </w:tcBorders>
            <w:noWrap w:val="0"/>
            <w:vAlign w:val="center"/>
          </w:tcPr>
          <w:p w14:paraId="0886BF09">
            <w:pPr>
              <w:spacing w:line="360" w:lineRule="auto"/>
              <w:jc w:val="center"/>
              <w:rPr>
                <w:rFonts w:hint="eastAsia" w:ascii="仿宋" w:hAnsi="仿宋" w:eastAsia="仿宋" w:cs="仿宋"/>
                <w:color w:val="auto"/>
                <w:sz w:val="24"/>
                <w:szCs w:val="24"/>
                <w:highlight w:val="none"/>
                <w:lang w:val="zh-CN"/>
              </w:rPr>
            </w:pPr>
          </w:p>
        </w:tc>
        <w:tc>
          <w:tcPr>
            <w:tcW w:w="2508" w:type="dxa"/>
            <w:tcBorders>
              <w:top w:val="single" w:color="000000" w:sz="6" w:space="0"/>
              <w:left w:val="single" w:color="000000" w:sz="6" w:space="0"/>
              <w:bottom w:val="single" w:color="000000" w:sz="6" w:space="0"/>
              <w:right w:val="single" w:color="000000" w:sz="6" w:space="0"/>
            </w:tcBorders>
            <w:noWrap w:val="0"/>
            <w:vAlign w:val="center"/>
          </w:tcPr>
          <w:p w14:paraId="558EF2A8">
            <w:pPr>
              <w:spacing w:line="360" w:lineRule="auto"/>
              <w:jc w:val="center"/>
              <w:rPr>
                <w:rFonts w:hint="eastAsia" w:ascii="仿宋" w:hAnsi="仿宋" w:eastAsia="仿宋" w:cs="仿宋"/>
                <w:color w:val="auto"/>
                <w:sz w:val="24"/>
                <w:szCs w:val="24"/>
                <w:highlight w:val="none"/>
                <w:lang w:val="zh-CN"/>
              </w:rPr>
            </w:pPr>
          </w:p>
        </w:tc>
        <w:tc>
          <w:tcPr>
            <w:tcW w:w="2862" w:type="dxa"/>
            <w:tcBorders>
              <w:top w:val="single" w:color="000000" w:sz="6" w:space="0"/>
              <w:left w:val="single" w:color="000000" w:sz="6" w:space="0"/>
              <w:bottom w:val="single" w:color="000000" w:sz="6" w:space="0"/>
              <w:right w:val="single" w:color="000000" w:sz="6" w:space="0"/>
            </w:tcBorders>
            <w:noWrap w:val="0"/>
          </w:tcPr>
          <w:p w14:paraId="2F32F716">
            <w:pPr>
              <w:spacing w:line="360" w:lineRule="auto"/>
              <w:jc w:val="center"/>
              <w:rPr>
                <w:rFonts w:hint="eastAsia" w:ascii="仿宋" w:hAnsi="仿宋" w:eastAsia="仿宋" w:cs="仿宋"/>
                <w:color w:val="auto"/>
                <w:sz w:val="24"/>
                <w:szCs w:val="24"/>
                <w:highlight w:val="none"/>
                <w:lang w:val="zh-CN"/>
              </w:rPr>
            </w:pPr>
          </w:p>
        </w:tc>
      </w:tr>
      <w:tr w14:paraId="76D66B68">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1738E5D0">
            <w:pPr>
              <w:spacing w:line="360" w:lineRule="auto"/>
              <w:jc w:val="center"/>
              <w:rPr>
                <w:rFonts w:hint="eastAsia" w:ascii="仿宋" w:hAnsi="仿宋" w:eastAsia="仿宋" w:cs="仿宋"/>
                <w:color w:val="auto"/>
                <w:sz w:val="24"/>
                <w:szCs w:val="24"/>
                <w:highlight w:val="none"/>
                <w:lang w:val="zh-CN"/>
              </w:rPr>
            </w:pPr>
          </w:p>
        </w:tc>
        <w:tc>
          <w:tcPr>
            <w:tcW w:w="1781" w:type="dxa"/>
            <w:tcBorders>
              <w:top w:val="single" w:color="000000" w:sz="6" w:space="0"/>
              <w:left w:val="single" w:color="000000" w:sz="6" w:space="0"/>
              <w:bottom w:val="single" w:color="000000" w:sz="6" w:space="0"/>
              <w:right w:val="single" w:color="000000" w:sz="6" w:space="0"/>
            </w:tcBorders>
            <w:noWrap w:val="0"/>
            <w:vAlign w:val="center"/>
          </w:tcPr>
          <w:p w14:paraId="106AD2B1">
            <w:pPr>
              <w:spacing w:line="360" w:lineRule="auto"/>
              <w:jc w:val="center"/>
              <w:rPr>
                <w:rFonts w:hint="eastAsia" w:ascii="仿宋" w:hAnsi="仿宋" w:eastAsia="仿宋" w:cs="仿宋"/>
                <w:color w:val="auto"/>
                <w:sz w:val="24"/>
                <w:szCs w:val="24"/>
                <w:highlight w:val="none"/>
                <w:lang w:val="zh-CN"/>
              </w:rPr>
            </w:pPr>
          </w:p>
        </w:tc>
        <w:tc>
          <w:tcPr>
            <w:tcW w:w="2634" w:type="dxa"/>
            <w:tcBorders>
              <w:top w:val="single" w:color="000000" w:sz="6" w:space="0"/>
              <w:left w:val="single" w:color="000000" w:sz="6" w:space="0"/>
              <w:bottom w:val="single" w:color="000000" w:sz="6" w:space="0"/>
              <w:right w:val="single" w:color="000000" w:sz="6" w:space="0"/>
            </w:tcBorders>
            <w:noWrap w:val="0"/>
            <w:vAlign w:val="center"/>
          </w:tcPr>
          <w:p w14:paraId="1575D8BD">
            <w:pPr>
              <w:spacing w:line="360" w:lineRule="auto"/>
              <w:jc w:val="center"/>
              <w:rPr>
                <w:rFonts w:hint="eastAsia" w:ascii="仿宋" w:hAnsi="仿宋" w:eastAsia="仿宋" w:cs="仿宋"/>
                <w:color w:val="auto"/>
                <w:sz w:val="24"/>
                <w:szCs w:val="24"/>
                <w:highlight w:val="none"/>
                <w:lang w:val="zh-CN"/>
              </w:rPr>
            </w:pPr>
          </w:p>
        </w:tc>
        <w:tc>
          <w:tcPr>
            <w:tcW w:w="2508" w:type="dxa"/>
            <w:tcBorders>
              <w:top w:val="single" w:color="000000" w:sz="6" w:space="0"/>
              <w:left w:val="single" w:color="000000" w:sz="6" w:space="0"/>
              <w:bottom w:val="single" w:color="000000" w:sz="6" w:space="0"/>
              <w:right w:val="single" w:color="000000" w:sz="6" w:space="0"/>
            </w:tcBorders>
            <w:noWrap w:val="0"/>
            <w:vAlign w:val="center"/>
          </w:tcPr>
          <w:p w14:paraId="58E10172">
            <w:pPr>
              <w:spacing w:line="360" w:lineRule="auto"/>
              <w:jc w:val="center"/>
              <w:rPr>
                <w:rFonts w:hint="eastAsia" w:ascii="仿宋" w:hAnsi="仿宋" w:eastAsia="仿宋" w:cs="仿宋"/>
                <w:color w:val="auto"/>
                <w:sz w:val="24"/>
                <w:szCs w:val="24"/>
                <w:highlight w:val="none"/>
                <w:lang w:val="zh-CN"/>
              </w:rPr>
            </w:pPr>
          </w:p>
        </w:tc>
        <w:tc>
          <w:tcPr>
            <w:tcW w:w="2862" w:type="dxa"/>
            <w:tcBorders>
              <w:top w:val="single" w:color="000000" w:sz="6" w:space="0"/>
              <w:left w:val="single" w:color="000000" w:sz="6" w:space="0"/>
              <w:bottom w:val="single" w:color="000000" w:sz="6" w:space="0"/>
              <w:right w:val="single" w:color="000000" w:sz="6" w:space="0"/>
            </w:tcBorders>
            <w:noWrap w:val="0"/>
          </w:tcPr>
          <w:p w14:paraId="5261BDB3">
            <w:pPr>
              <w:spacing w:line="360" w:lineRule="auto"/>
              <w:jc w:val="center"/>
              <w:rPr>
                <w:rFonts w:hint="eastAsia" w:ascii="仿宋" w:hAnsi="仿宋" w:eastAsia="仿宋" w:cs="仿宋"/>
                <w:color w:val="auto"/>
                <w:sz w:val="24"/>
                <w:szCs w:val="24"/>
                <w:highlight w:val="none"/>
                <w:lang w:val="zh-CN"/>
              </w:rPr>
            </w:pPr>
          </w:p>
        </w:tc>
      </w:tr>
      <w:tr w14:paraId="5E2F5802">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19046E61">
            <w:pPr>
              <w:spacing w:line="360" w:lineRule="auto"/>
              <w:jc w:val="center"/>
              <w:rPr>
                <w:rFonts w:hint="eastAsia" w:ascii="仿宋" w:hAnsi="仿宋" w:eastAsia="仿宋" w:cs="仿宋"/>
                <w:color w:val="auto"/>
                <w:sz w:val="24"/>
                <w:szCs w:val="24"/>
                <w:highlight w:val="none"/>
                <w:lang w:val="zh-CN"/>
              </w:rPr>
            </w:pPr>
          </w:p>
        </w:tc>
        <w:tc>
          <w:tcPr>
            <w:tcW w:w="1781" w:type="dxa"/>
            <w:tcBorders>
              <w:top w:val="single" w:color="000000" w:sz="6" w:space="0"/>
              <w:left w:val="single" w:color="000000" w:sz="6" w:space="0"/>
              <w:bottom w:val="single" w:color="000000" w:sz="6" w:space="0"/>
              <w:right w:val="single" w:color="000000" w:sz="6" w:space="0"/>
            </w:tcBorders>
            <w:noWrap w:val="0"/>
            <w:vAlign w:val="center"/>
          </w:tcPr>
          <w:p w14:paraId="75258743">
            <w:pPr>
              <w:spacing w:line="360" w:lineRule="auto"/>
              <w:jc w:val="center"/>
              <w:rPr>
                <w:rFonts w:hint="eastAsia" w:ascii="仿宋" w:hAnsi="仿宋" w:eastAsia="仿宋" w:cs="仿宋"/>
                <w:color w:val="auto"/>
                <w:sz w:val="24"/>
                <w:szCs w:val="24"/>
                <w:highlight w:val="none"/>
                <w:lang w:val="zh-CN"/>
              </w:rPr>
            </w:pPr>
          </w:p>
        </w:tc>
        <w:tc>
          <w:tcPr>
            <w:tcW w:w="2634" w:type="dxa"/>
            <w:tcBorders>
              <w:top w:val="single" w:color="000000" w:sz="6" w:space="0"/>
              <w:left w:val="single" w:color="000000" w:sz="6" w:space="0"/>
              <w:bottom w:val="single" w:color="000000" w:sz="6" w:space="0"/>
              <w:right w:val="single" w:color="000000" w:sz="6" w:space="0"/>
            </w:tcBorders>
            <w:noWrap w:val="0"/>
            <w:vAlign w:val="center"/>
          </w:tcPr>
          <w:p w14:paraId="332F45DB">
            <w:pPr>
              <w:spacing w:line="360" w:lineRule="auto"/>
              <w:jc w:val="center"/>
              <w:rPr>
                <w:rFonts w:hint="eastAsia" w:ascii="仿宋" w:hAnsi="仿宋" w:eastAsia="仿宋" w:cs="仿宋"/>
                <w:color w:val="auto"/>
                <w:sz w:val="24"/>
                <w:szCs w:val="24"/>
                <w:highlight w:val="none"/>
                <w:lang w:val="zh-CN"/>
              </w:rPr>
            </w:pPr>
          </w:p>
        </w:tc>
        <w:tc>
          <w:tcPr>
            <w:tcW w:w="2508" w:type="dxa"/>
            <w:tcBorders>
              <w:top w:val="single" w:color="000000" w:sz="6" w:space="0"/>
              <w:left w:val="single" w:color="000000" w:sz="6" w:space="0"/>
              <w:bottom w:val="single" w:color="000000" w:sz="6" w:space="0"/>
              <w:right w:val="single" w:color="000000" w:sz="6" w:space="0"/>
            </w:tcBorders>
            <w:noWrap w:val="0"/>
            <w:vAlign w:val="center"/>
          </w:tcPr>
          <w:p w14:paraId="5E37C7F5">
            <w:pPr>
              <w:spacing w:line="360" w:lineRule="auto"/>
              <w:jc w:val="center"/>
              <w:rPr>
                <w:rFonts w:hint="eastAsia" w:ascii="仿宋" w:hAnsi="仿宋" w:eastAsia="仿宋" w:cs="仿宋"/>
                <w:color w:val="auto"/>
                <w:sz w:val="24"/>
                <w:szCs w:val="24"/>
                <w:highlight w:val="none"/>
                <w:lang w:val="zh-CN"/>
              </w:rPr>
            </w:pPr>
          </w:p>
        </w:tc>
        <w:tc>
          <w:tcPr>
            <w:tcW w:w="2862" w:type="dxa"/>
            <w:tcBorders>
              <w:top w:val="single" w:color="000000" w:sz="6" w:space="0"/>
              <w:left w:val="single" w:color="000000" w:sz="6" w:space="0"/>
              <w:bottom w:val="single" w:color="000000" w:sz="6" w:space="0"/>
              <w:right w:val="single" w:color="000000" w:sz="6" w:space="0"/>
            </w:tcBorders>
            <w:noWrap w:val="0"/>
          </w:tcPr>
          <w:p w14:paraId="220E7187">
            <w:pPr>
              <w:spacing w:line="360" w:lineRule="auto"/>
              <w:jc w:val="center"/>
              <w:rPr>
                <w:rFonts w:hint="eastAsia" w:ascii="仿宋" w:hAnsi="仿宋" w:eastAsia="仿宋" w:cs="仿宋"/>
                <w:color w:val="auto"/>
                <w:sz w:val="24"/>
                <w:szCs w:val="24"/>
                <w:highlight w:val="none"/>
                <w:lang w:val="zh-CN"/>
              </w:rPr>
            </w:pPr>
          </w:p>
        </w:tc>
      </w:tr>
      <w:tr w14:paraId="6A5290BB">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5F6681BD">
            <w:pPr>
              <w:spacing w:line="360" w:lineRule="auto"/>
              <w:jc w:val="center"/>
              <w:rPr>
                <w:rFonts w:hint="eastAsia" w:ascii="仿宋" w:hAnsi="仿宋" w:eastAsia="仿宋" w:cs="仿宋"/>
                <w:color w:val="auto"/>
                <w:sz w:val="24"/>
                <w:szCs w:val="24"/>
                <w:highlight w:val="none"/>
                <w:lang w:val="zh-CN"/>
              </w:rPr>
            </w:pPr>
          </w:p>
        </w:tc>
        <w:tc>
          <w:tcPr>
            <w:tcW w:w="1781" w:type="dxa"/>
            <w:tcBorders>
              <w:top w:val="single" w:color="000000" w:sz="6" w:space="0"/>
              <w:left w:val="single" w:color="000000" w:sz="6" w:space="0"/>
              <w:bottom w:val="single" w:color="000000" w:sz="6" w:space="0"/>
              <w:right w:val="single" w:color="000000" w:sz="6" w:space="0"/>
            </w:tcBorders>
            <w:noWrap w:val="0"/>
            <w:vAlign w:val="center"/>
          </w:tcPr>
          <w:p w14:paraId="0EF76A69">
            <w:pPr>
              <w:spacing w:line="360" w:lineRule="auto"/>
              <w:jc w:val="center"/>
              <w:rPr>
                <w:rFonts w:hint="eastAsia" w:ascii="仿宋" w:hAnsi="仿宋" w:eastAsia="仿宋" w:cs="仿宋"/>
                <w:color w:val="auto"/>
                <w:sz w:val="24"/>
                <w:szCs w:val="24"/>
                <w:highlight w:val="none"/>
                <w:lang w:val="zh-CN"/>
              </w:rPr>
            </w:pPr>
          </w:p>
        </w:tc>
        <w:tc>
          <w:tcPr>
            <w:tcW w:w="2634" w:type="dxa"/>
            <w:tcBorders>
              <w:top w:val="single" w:color="000000" w:sz="6" w:space="0"/>
              <w:left w:val="single" w:color="000000" w:sz="6" w:space="0"/>
              <w:bottom w:val="single" w:color="000000" w:sz="6" w:space="0"/>
              <w:right w:val="single" w:color="000000" w:sz="6" w:space="0"/>
            </w:tcBorders>
            <w:noWrap w:val="0"/>
            <w:vAlign w:val="center"/>
          </w:tcPr>
          <w:p w14:paraId="0792399C">
            <w:pPr>
              <w:spacing w:line="360" w:lineRule="auto"/>
              <w:jc w:val="center"/>
              <w:rPr>
                <w:rFonts w:hint="eastAsia" w:ascii="仿宋" w:hAnsi="仿宋" w:eastAsia="仿宋" w:cs="仿宋"/>
                <w:color w:val="auto"/>
                <w:sz w:val="24"/>
                <w:szCs w:val="24"/>
                <w:highlight w:val="none"/>
                <w:lang w:val="zh-CN"/>
              </w:rPr>
            </w:pPr>
          </w:p>
        </w:tc>
        <w:tc>
          <w:tcPr>
            <w:tcW w:w="2508" w:type="dxa"/>
            <w:tcBorders>
              <w:top w:val="single" w:color="000000" w:sz="6" w:space="0"/>
              <w:left w:val="single" w:color="000000" w:sz="6" w:space="0"/>
              <w:bottom w:val="single" w:color="000000" w:sz="6" w:space="0"/>
              <w:right w:val="single" w:color="000000" w:sz="6" w:space="0"/>
            </w:tcBorders>
            <w:noWrap w:val="0"/>
            <w:vAlign w:val="center"/>
          </w:tcPr>
          <w:p w14:paraId="7BC5C4EB">
            <w:pPr>
              <w:spacing w:line="360" w:lineRule="auto"/>
              <w:jc w:val="center"/>
              <w:rPr>
                <w:rFonts w:hint="eastAsia" w:ascii="仿宋" w:hAnsi="仿宋" w:eastAsia="仿宋" w:cs="仿宋"/>
                <w:color w:val="auto"/>
                <w:sz w:val="24"/>
                <w:szCs w:val="24"/>
                <w:highlight w:val="none"/>
                <w:lang w:val="zh-CN"/>
              </w:rPr>
            </w:pPr>
          </w:p>
        </w:tc>
        <w:tc>
          <w:tcPr>
            <w:tcW w:w="2862" w:type="dxa"/>
            <w:tcBorders>
              <w:top w:val="single" w:color="000000" w:sz="6" w:space="0"/>
              <w:left w:val="single" w:color="000000" w:sz="6" w:space="0"/>
              <w:bottom w:val="single" w:color="000000" w:sz="6" w:space="0"/>
              <w:right w:val="single" w:color="000000" w:sz="6" w:space="0"/>
            </w:tcBorders>
            <w:noWrap w:val="0"/>
          </w:tcPr>
          <w:p w14:paraId="3B8ABC9F">
            <w:pPr>
              <w:spacing w:line="360" w:lineRule="auto"/>
              <w:jc w:val="center"/>
              <w:rPr>
                <w:rFonts w:hint="eastAsia" w:ascii="仿宋" w:hAnsi="仿宋" w:eastAsia="仿宋" w:cs="仿宋"/>
                <w:color w:val="auto"/>
                <w:sz w:val="24"/>
                <w:szCs w:val="24"/>
                <w:highlight w:val="none"/>
                <w:lang w:val="zh-CN"/>
              </w:rPr>
            </w:pPr>
          </w:p>
        </w:tc>
      </w:tr>
      <w:tr w14:paraId="28051DB2">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2B83E0E5">
            <w:pPr>
              <w:spacing w:line="360" w:lineRule="auto"/>
              <w:jc w:val="center"/>
              <w:rPr>
                <w:rFonts w:hint="eastAsia" w:ascii="仿宋" w:hAnsi="仿宋" w:eastAsia="仿宋" w:cs="仿宋"/>
                <w:color w:val="auto"/>
                <w:sz w:val="24"/>
                <w:szCs w:val="24"/>
                <w:highlight w:val="none"/>
                <w:lang w:val="zh-CN"/>
              </w:rPr>
            </w:pPr>
          </w:p>
        </w:tc>
        <w:tc>
          <w:tcPr>
            <w:tcW w:w="1781" w:type="dxa"/>
            <w:tcBorders>
              <w:top w:val="single" w:color="000000" w:sz="6" w:space="0"/>
              <w:left w:val="single" w:color="000000" w:sz="6" w:space="0"/>
              <w:bottom w:val="single" w:color="000000" w:sz="6" w:space="0"/>
              <w:right w:val="single" w:color="000000" w:sz="6" w:space="0"/>
            </w:tcBorders>
            <w:noWrap w:val="0"/>
            <w:vAlign w:val="center"/>
          </w:tcPr>
          <w:p w14:paraId="2710C226">
            <w:pPr>
              <w:spacing w:line="360" w:lineRule="auto"/>
              <w:jc w:val="center"/>
              <w:rPr>
                <w:rFonts w:hint="eastAsia" w:ascii="仿宋" w:hAnsi="仿宋" w:eastAsia="仿宋" w:cs="仿宋"/>
                <w:color w:val="auto"/>
                <w:sz w:val="24"/>
                <w:szCs w:val="24"/>
                <w:highlight w:val="none"/>
                <w:lang w:val="zh-CN"/>
              </w:rPr>
            </w:pPr>
          </w:p>
        </w:tc>
        <w:tc>
          <w:tcPr>
            <w:tcW w:w="2634" w:type="dxa"/>
            <w:tcBorders>
              <w:top w:val="single" w:color="000000" w:sz="6" w:space="0"/>
              <w:left w:val="single" w:color="000000" w:sz="6" w:space="0"/>
              <w:bottom w:val="single" w:color="000000" w:sz="6" w:space="0"/>
              <w:right w:val="single" w:color="000000" w:sz="6" w:space="0"/>
            </w:tcBorders>
            <w:noWrap w:val="0"/>
            <w:vAlign w:val="center"/>
          </w:tcPr>
          <w:p w14:paraId="16A9E04D">
            <w:pPr>
              <w:spacing w:line="360" w:lineRule="auto"/>
              <w:jc w:val="center"/>
              <w:rPr>
                <w:rFonts w:hint="eastAsia" w:ascii="仿宋" w:hAnsi="仿宋" w:eastAsia="仿宋" w:cs="仿宋"/>
                <w:color w:val="auto"/>
                <w:sz w:val="24"/>
                <w:szCs w:val="24"/>
                <w:highlight w:val="none"/>
                <w:lang w:val="zh-CN"/>
              </w:rPr>
            </w:pPr>
          </w:p>
        </w:tc>
        <w:tc>
          <w:tcPr>
            <w:tcW w:w="2508" w:type="dxa"/>
            <w:tcBorders>
              <w:top w:val="single" w:color="000000" w:sz="6" w:space="0"/>
              <w:left w:val="single" w:color="000000" w:sz="6" w:space="0"/>
              <w:bottom w:val="single" w:color="000000" w:sz="6" w:space="0"/>
              <w:right w:val="single" w:color="000000" w:sz="6" w:space="0"/>
            </w:tcBorders>
            <w:noWrap w:val="0"/>
            <w:vAlign w:val="center"/>
          </w:tcPr>
          <w:p w14:paraId="44B384E0">
            <w:pPr>
              <w:spacing w:line="360" w:lineRule="auto"/>
              <w:jc w:val="center"/>
              <w:rPr>
                <w:rFonts w:hint="eastAsia" w:ascii="仿宋" w:hAnsi="仿宋" w:eastAsia="仿宋" w:cs="仿宋"/>
                <w:color w:val="auto"/>
                <w:sz w:val="24"/>
                <w:szCs w:val="24"/>
                <w:highlight w:val="none"/>
                <w:lang w:val="zh-CN"/>
              </w:rPr>
            </w:pPr>
          </w:p>
        </w:tc>
        <w:tc>
          <w:tcPr>
            <w:tcW w:w="2862" w:type="dxa"/>
            <w:tcBorders>
              <w:top w:val="single" w:color="000000" w:sz="6" w:space="0"/>
              <w:left w:val="single" w:color="000000" w:sz="6" w:space="0"/>
              <w:bottom w:val="single" w:color="000000" w:sz="6" w:space="0"/>
              <w:right w:val="single" w:color="000000" w:sz="6" w:space="0"/>
            </w:tcBorders>
            <w:noWrap w:val="0"/>
          </w:tcPr>
          <w:p w14:paraId="4098D90F">
            <w:pPr>
              <w:spacing w:line="360" w:lineRule="auto"/>
              <w:jc w:val="center"/>
              <w:rPr>
                <w:rFonts w:hint="eastAsia" w:ascii="仿宋" w:hAnsi="仿宋" w:eastAsia="仿宋" w:cs="仿宋"/>
                <w:color w:val="auto"/>
                <w:sz w:val="24"/>
                <w:szCs w:val="24"/>
                <w:highlight w:val="none"/>
                <w:lang w:val="zh-CN"/>
              </w:rPr>
            </w:pPr>
          </w:p>
        </w:tc>
      </w:tr>
    </w:tbl>
    <w:p w14:paraId="0D81BF08">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注：请将采购文件项目需求中列举的技术（服务）条款要求（采购文件第四章项目需求一至八条）逐项作出应答并提供必要的证明材料或实施方案。</w:t>
      </w:r>
    </w:p>
    <w:p w14:paraId="6809EA69">
      <w:pPr>
        <w:spacing w:line="360" w:lineRule="auto"/>
        <w:rPr>
          <w:rFonts w:hint="eastAsia" w:ascii="仿宋" w:hAnsi="仿宋" w:eastAsia="仿宋" w:cs="仿宋"/>
          <w:color w:val="auto"/>
          <w:sz w:val="24"/>
          <w:szCs w:val="24"/>
          <w:highlight w:val="none"/>
          <w:lang w:val="zh-CN"/>
        </w:rPr>
      </w:pPr>
    </w:p>
    <w:p w14:paraId="5A33E2C5">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说明：如果行数不够，请自行增加。</w:t>
      </w:r>
    </w:p>
    <w:p w14:paraId="55D38E2A">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供应商名称：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（加盖CA电子公章）</w:t>
      </w:r>
    </w:p>
    <w:p w14:paraId="50A0E73D">
      <w:pPr>
        <w:spacing w:line="360" w:lineRule="auto"/>
        <w:rPr>
          <w:rFonts w:hint="eastAsia" w:ascii="仿宋" w:hAnsi="仿宋" w:eastAsia="仿宋" w:cs="仿宋"/>
          <w:color w:val="auto"/>
          <w:sz w:val="24"/>
          <w:szCs w:val="24"/>
          <w:highlight w:val="none"/>
          <w:lang w:val="zh-CN"/>
        </w:rPr>
      </w:pPr>
    </w:p>
    <w:p w14:paraId="47029E46">
      <w:pPr>
        <w:spacing w:line="360" w:lineRule="auto"/>
        <w:rPr>
          <w:rFonts w:hint="eastAsia" w:ascii="仿宋" w:hAnsi="仿宋" w:eastAsia="仿宋" w:cs="仿宋"/>
          <w:color w:val="auto"/>
          <w:sz w:val="24"/>
          <w:szCs w:val="24"/>
          <w:highlight w:val="none"/>
          <w:lang w:val="zh-CN"/>
        </w:rPr>
      </w:pPr>
    </w:p>
    <w:p w14:paraId="12FAEC42">
      <w:pPr>
        <w:spacing w:line="360" w:lineRule="auto"/>
        <w:rPr>
          <w:rFonts w:hint="eastAsia" w:ascii="仿宋" w:hAnsi="仿宋" w:eastAsia="仿宋" w:cs="仿宋"/>
          <w:color w:val="auto"/>
          <w:sz w:val="24"/>
          <w:szCs w:val="24"/>
          <w:highlight w:val="none"/>
          <w:lang w:val="zh-CN"/>
        </w:rPr>
      </w:pPr>
    </w:p>
    <w:p w14:paraId="169B9A0D">
      <w:pPr>
        <w:spacing w:line="360" w:lineRule="auto"/>
        <w:rPr>
          <w:rFonts w:hint="eastAsia" w:ascii="仿宋" w:hAnsi="仿宋" w:eastAsia="仿宋" w:cs="仿宋"/>
          <w:color w:val="auto"/>
          <w:sz w:val="24"/>
          <w:szCs w:val="24"/>
          <w:highlight w:val="none"/>
          <w:lang w:val="zh-CN"/>
        </w:rPr>
      </w:pPr>
    </w:p>
    <w:p w14:paraId="71DACFC4">
      <w:pPr>
        <w:spacing w:line="360" w:lineRule="auto"/>
        <w:rPr>
          <w:rFonts w:hint="eastAsia" w:ascii="仿宋" w:hAnsi="仿宋" w:eastAsia="仿宋" w:cs="仿宋"/>
          <w:color w:val="auto"/>
          <w:sz w:val="24"/>
          <w:szCs w:val="24"/>
          <w:highlight w:val="none"/>
          <w:lang w:val="zh-CN"/>
        </w:rPr>
      </w:pPr>
    </w:p>
    <w:p w14:paraId="62F354A6">
      <w:pPr>
        <w:spacing w:line="360" w:lineRule="auto"/>
        <w:rPr>
          <w:rFonts w:hint="eastAsia" w:ascii="仿宋" w:hAnsi="仿宋" w:eastAsia="仿宋" w:cs="仿宋"/>
          <w:color w:val="auto"/>
          <w:sz w:val="24"/>
          <w:szCs w:val="24"/>
          <w:highlight w:val="none"/>
          <w:lang w:val="zh-CN"/>
        </w:rPr>
      </w:pPr>
    </w:p>
    <w:p w14:paraId="3D661EED">
      <w:pPr>
        <w:spacing w:line="360" w:lineRule="auto"/>
        <w:rPr>
          <w:rFonts w:hint="eastAsia" w:ascii="仿宋" w:hAnsi="仿宋" w:eastAsia="仿宋" w:cs="仿宋"/>
          <w:color w:val="auto"/>
          <w:sz w:val="24"/>
          <w:szCs w:val="24"/>
          <w:highlight w:val="none"/>
          <w:lang w:val="zh-CN"/>
        </w:rPr>
      </w:pPr>
    </w:p>
    <w:p w14:paraId="068ABC12">
      <w:pPr>
        <w:spacing w:line="360" w:lineRule="auto"/>
        <w:rPr>
          <w:rFonts w:hint="eastAsia" w:ascii="仿宋" w:hAnsi="仿宋" w:eastAsia="仿宋" w:cs="仿宋"/>
          <w:color w:val="auto"/>
          <w:sz w:val="24"/>
          <w:szCs w:val="24"/>
          <w:highlight w:val="none"/>
          <w:lang w:val="zh-CN"/>
        </w:rPr>
      </w:pPr>
    </w:p>
    <w:p w14:paraId="31346BA6">
      <w:pPr>
        <w:spacing w:line="360" w:lineRule="auto"/>
        <w:rPr>
          <w:rFonts w:hint="eastAsia" w:ascii="仿宋" w:hAnsi="仿宋" w:eastAsia="仿宋" w:cs="仿宋"/>
          <w:color w:val="auto"/>
          <w:sz w:val="24"/>
          <w:szCs w:val="24"/>
          <w:highlight w:val="none"/>
          <w:lang w:val="zh-CN"/>
        </w:rPr>
      </w:pPr>
    </w:p>
    <w:p w14:paraId="5B6A8610">
      <w:pPr>
        <w:spacing w:line="360" w:lineRule="auto"/>
        <w:rPr>
          <w:rFonts w:hint="eastAsia" w:ascii="仿宋" w:hAnsi="仿宋" w:eastAsia="仿宋" w:cs="仿宋"/>
          <w:color w:val="auto"/>
          <w:sz w:val="24"/>
          <w:szCs w:val="24"/>
          <w:highlight w:val="none"/>
          <w:lang w:val="zh-CN"/>
        </w:rPr>
      </w:pPr>
    </w:p>
    <w:p w14:paraId="780153CA">
      <w:pPr>
        <w:spacing w:line="360" w:lineRule="auto"/>
        <w:rPr>
          <w:rFonts w:hint="eastAsia" w:ascii="仿宋" w:hAnsi="仿宋" w:eastAsia="仿宋" w:cs="仿宋"/>
          <w:color w:val="auto"/>
          <w:sz w:val="24"/>
          <w:szCs w:val="24"/>
          <w:highlight w:val="none"/>
          <w:lang w:val="zh-CN"/>
        </w:rPr>
      </w:pPr>
    </w:p>
    <w:p w14:paraId="28C0C5F1">
      <w:pPr>
        <w:spacing w:line="360" w:lineRule="auto"/>
        <w:rPr>
          <w:rFonts w:hint="eastAsia" w:ascii="仿宋" w:hAnsi="仿宋" w:eastAsia="仿宋" w:cs="仿宋"/>
          <w:color w:val="auto"/>
          <w:sz w:val="24"/>
          <w:szCs w:val="24"/>
          <w:highlight w:val="none"/>
          <w:lang w:val="zh-CN"/>
        </w:rPr>
      </w:pPr>
    </w:p>
    <w:p w14:paraId="2043463C">
      <w:pPr>
        <w:spacing w:line="360" w:lineRule="auto"/>
        <w:rPr>
          <w:rFonts w:hint="eastAsia" w:ascii="仿宋" w:hAnsi="仿宋" w:eastAsia="仿宋" w:cs="仿宋"/>
          <w:color w:val="auto"/>
          <w:sz w:val="24"/>
          <w:szCs w:val="24"/>
          <w:highlight w:val="none"/>
          <w:lang w:val="zh-CN"/>
        </w:rPr>
      </w:pPr>
    </w:p>
    <w:p w14:paraId="13B834E0">
      <w:pPr>
        <w:spacing w:line="360" w:lineRule="auto"/>
        <w:rPr>
          <w:rFonts w:hint="eastAsia" w:ascii="仿宋" w:hAnsi="仿宋" w:eastAsia="仿宋" w:cs="仿宋"/>
          <w:color w:val="auto"/>
          <w:sz w:val="24"/>
          <w:szCs w:val="24"/>
          <w:highlight w:val="none"/>
          <w:lang w:val="zh-CN"/>
        </w:rPr>
      </w:pPr>
    </w:p>
    <w:p w14:paraId="0203923F">
      <w:pPr>
        <w:jc w:val="center"/>
        <w:outlineLvl w:val="1"/>
        <w:rPr>
          <w:rFonts w:hint="eastAsia" w:ascii="宋体" w:hAnsi="宋体"/>
          <w:b/>
          <w:color w:val="auto"/>
          <w:sz w:val="24"/>
          <w:szCs w:val="21"/>
          <w:highlight w:val="none"/>
          <w:lang w:val="zh-CN" w:eastAsia="zh-CN"/>
        </w:rPr>
      </w:pPr>
      <w:r>
        <w:rPr>
          <w:rFonts w:hint="eastAsia" w:ascii="宋体" w:hAnsi="宋体"/>
          <w:b/>
          <w:color w:val="auto"/>
          <w:sz w:val="24"/>
          <w:szCs w:val="21"/>
          <w:highlight w:val="none"/>
          <w:lang w:val="zh-CN" w:eastAsia="zh-CN"/>
        </w:rPr>
        <w:t>七、商务条款</w:t>
      </w:r>
      <w:r>
        <w:rPr>
          <w:rFonts w:hint="eastAsia" w:ascii="宋体" w:hAnsi="宋体"/>
          <w:b/>
          <w:color w:val="auto"/>
          <w:sz w:val="24"/>
          <w:szCs w:val="21"/>
          <w:highlight w:val="none"/>
          <w:lang w:eastAsia="zh-CN"/>
        </w:rPr>
        <w:t>响应及</w:t>
      </w:r>
      <w:r>
        <w:rPr>
          <w:rFonts w:hint="eastAsia" w:ascii="宋体" w:hAnsi="宋体"/>
          <w:b/>
          <w:color w:val="auto"/>
          <w:sz w:val="24"/>
          <w:szCs w:val="21"/>
          <w:highlight w:val="none"/>
          <w:lang w:val="zh-CN" w:eastAsia="zh-CN"/>
        </w:rPr>
        <w:t>偏离表</w:t>
      </w:r>
    </w:p>
    <w:p w14:paraId="39A309FC">
      <w:pPr>
        <w:spacing w:line="360" w:lineRule="auto"/>
        <w:rPr>
          <w:rFonts w:hint="eastAsia" w:ascii="仿宋" w:hAnsi="仿宋" w:eastAsia="仿宋" w:cs="仿宋"/>
          <w:color w:val="auto"/>
          <w:sz w:val="24"/>
          <w:szCs w:val="24"/>
          <w:highlight w:val="none"/>
          <w:lang w:val="zh-CN"/>
        </w:rPr>
      </w:pPr>
    </w:p>
    <w:tbl>
      <w:tblPr>
        <w:tblStyle w:val="27"/>
        <w:tblW w:w="10450" w:type="dxa"/>
        <w:jc w:val="center"/>
        <w:tblLayout w:type="fixed"/>
        <w:tblCellMar>
          <w:top w:w="0" w:type="dxa"/>
          <w:left w:w="10" w:type="dxa"/>
          <w:bottom w:w="0" w:type="dxa"/>
          <w:right w:w="10" w:type="dxa"/>
        </w:tblCellMar>
      </w:tblPr>
      <w:tblGrid>
        <w:gridCol w:w="665"/>
        <w:gridCol w:w="1754"/>
        <w:gridCol w:w="2661"/>
        <w:gridCol w:w="3294"/>
        <w:gridCol w:w="2076"/>
      </w:tblGrid>
      <w:tr w14:paraId="0C83DA02">
        <w:tblPrEx>
          <w:tblCellMar>
            <w:top w:w="0" w:type="dxa"/>
            <w:left w:w="10" w:type="dxa"/>
            <w:bottom w:w="0" w:type="dxa"/>
            <w:right w:w="10" w:type="dxa"/>
          </w:tblCellMar>
        </w:tblPrEx>
        <w:trPr>
          <w:trHeight w:val="284" w:hRule="atLeast"/>
          <w:jc w:val="center"/>
        </w:trPr>
        <w:tc>
          <w:tcPr>
            <w:tcW w:w="10450" w:type="dxa"/>
            <w:gridSpan w:val="5"/>
            <w:tcBorders>
              <w:top w:val="nil"/>
              <w:left w:val="nil"/>
              <w:bottom w:val="single" w:color="000000" w:sz="6" w:space="0"/>
              <w:right w:val="nil"/>
            </w:tcBorders>
            <w:noWrap w:val="0"/>
            <w:vAlign w:val="center"/>
          </w:tcPr>
          <w:p w14:paraId="2CCC2BC7">
            <w:pPr>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项目名称：</w:t>
            </w:r>
          </w:p>
          <w:p w14:paraId="223135D2">
            <w:pPr>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                          </w:t>
            </w:r>
            <w:r>
              <w:rPr>
                <w:rFonts w:hint="eastAsia" w:ascii="仿宋" w:hAnsi="仿宋" w:eastAsia="仿宋" w:cs="仿宋"/>
                <w:color w:val="auto"/>
                <w:sz w:val="24"/>
                <w:szCs w:val="24"/>
                <w:highlight w:val="none"/>
              </w:rPr>
              <w:t xml:space="preserve">                                 </w:t>
            </w:r>
          </w:p>
        </w:tc>
      </w:tr>
      <w:tr w14:paraId="2F810BB7">
        <w:tblPrEx>
          <w:tblCellMar>
            <w:top w:w="0" w:type="dxa"/>
            <w:left w:w="10" w:type="dxa"/>
            <w:bottom w:w="0" w:type="dxa"/>
            <w:right w:w="10" w:type="dxa"/>
          </w:tblCellMar>
        </w:tblPrEx>
        <w:trPr>
          <w:trHeight w:val="649"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1063569A">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序号</w:t>
            </w:r>
          </w:p>
        </w:tc>
        <w:tc>
          <w:tcPr>
            <w:tcW w:w="1754" w:type="dxa"/>
            <w:tcBorders>
              <w:top w:val="single" w:color="000000" w:sz="6" w:space="0"/>
              <w:left w:val="single" w:color="000000" w:sz="6" w:space="0"/>
              <w:bottom w:val="single" w:color="000000" w:sz="6" w:space="0"/>
              <w:right w:val="single" w:color="000000" w:sz="6" w:space="0"/>
            </w:tcBorders>
            <w:noWrap w:val="0"/>
            <w:vAlign w:val="center"/>
          </w:tcPr>
          <w:p w14:paraId="7322A4D9">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采购文件条目号</w:t>
            </w:r>
          </w:p>
        </w:tc>
        <w:tc>
          <w:tcPr>
            <w:tcW w:w="2661" w:type="dxa"/>
            <w:tcBorders>
              <w:top w:val="single" w:color="000000" w:sz="6" w:space="0"/>
              <w:left w:val="single" w:color="000000" w:sz="6" w:space="0"/>
              <w:bottom w:val="single" w:color="000000" w:sz="6" w:space="0"/>
              <w:right w:val="single" w:color="000000" w:sz="6" w:space="0"/>
            </w:tcBorders>
            <w:noWrap w:val="0"/>
            <w:vAlign w:val="center"/>
          </w:tcPr>
          <w:p w14:paraId="7547FEBC">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采购文件要求的商务条款</w:t>
            </w:r>
          </w:p>
        </w:tc>
        <w:tc>
          <w:tcPr>
            <w:tcW w:w="3294" w:type="dxa"/>
            <w:tcBorders>
              <w:top w:val="single" w:color="000000" w:sz="6" w:space="0"/>
              <w:left w:val="single" w:color="000000" w:sz="6" w:space="0"/>
              <w:bottom w:val="single" w:color="000000" w:sz="6" w:space="0"/>
              <w:right w:val="single" w:color="000000" w:sz="6" w:space="0"/>
            </w:tcBorders>
            <w:noWrap w:val="0"/>
            <w:vAlign w:val="center"/>
          </w:tcPr>
          <w:p w14:paraId="18A21F1A">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磋商响应内容</w:t>
            </w:r>
          </w:p>
        </w:tc>
        <w:tc>
          <w:tcPr>
            <w:tcW w:w="2076" w:type="dxa"/>
            <w:tcBorders>
              <w:top w:val="single" w:color="000000" w:sz="6" w:space="0"/>
              <w:left w:val="single" w:color="000000" w:sz="6" w:space="0"/>
              <w:bottom w:val="single" w:color="000000" w:sz="6" w:space="0"/>
              <w:right w:val="single" w:color="000000" w:sz="6" w:space="0"/>
            </w:tcBorders>
            <w:noWrap w:val="0"/>
          </w:tcPr>
          <w:p w14:paraId="7FDB2357">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偏离说明</w:t>
            </w:r>
          </w:p>
        </w:tc>
      </w:tr>
      <w:tr w14:paraId="100C72BE">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03ED795B">
            <w:pPr>
              <w:spacing w:line="360" w:lineRule="auto"/>
              <w:jc w:val="center"/>
              <w:rPr>
                <w:rFonts w:hint="eastAsia" w:ascii="仿宋" w:hAnsi="仿宋" w:eastAsia="仿宋" w:cs="仿宋"/>
                <w:color w:val="auto"/>
                <w:sz w:val="24"/>
                <w:szCs w:val="24"/>
                <w:highlight w:val="none"/>
                <w:lang w:val="zh-CN"/>
              </w:rPr>
            </w:pPr>
          </w:p>
        </w:tc>
        <w:tc>
          <w:tcPr>
            <w:tcW w:w="1754" w:type="dxa"/>
            <w:tcBorders>
              <w:top w:val="single" w:color="000000" w:sz="6" w:space="0"/>
              <w:left w:val="single" w:color="000000" w:sz="6" w:space="0"/>
              <w:bottom w:val="single" w:color="000000" w:sz="6" w:space="0"/>
              <w:right w:val="single" w:color="000000" w:sz="6" w:space="0"/>
            </w:tcBorders>
            <w:noWrap w:val="0"/>
            <w:vAlign w:val="center"/>
          </w:tcPr>
          <w:p w14:paraId="20E840B8">
            <w:pPr>
              <w:spacing w:line="360" w:lineRule="auto"/>
              <w:jc w:val="center"/>
              <w:rPr>
                <w:rFonts w:hint="eastAsia" w:ascii="仿宋" w:hAnsi="仿宋" w:eastAsia="仿宋" w:cs="仿宋"/>
                <w:color w:val="auto"/>
                <w:sz w:val="24"/>
                <w:szCs w:val="24"/>
                <w:highlight w:val="none"/>
                <w:lang w:val="zh-CN"/>
              </w:rPr>
            </w:pPr>
          </w:p>
        </w:tc>
        <w:tc>
          <w:tcPr>
            <w:tcW w:w="2661" w:type="dxa"/>
            <w:tcBorders>
              <w:top w:val="single" w:color="000000" w:sz="6" w:space="0"/>
              <w:left w:val="single" w:color="000000" w:sz="6" w:space="0"/>
              <w:bottom w:val="single" w:color="000000" w:sz="6" w:space="0"/>
              <w:right w:val="single" w:color="000000" w:sz="6" w:space="0"/>
            </w:tcBorders>
            <w:noWrap w:val="0"/>
            <w:vAlign w:val="center"/>
          </w:tcPr>
          <w:p w14:paraId="7D63D4B8">
            <w:pPr>
              <w:spacing w:line="360" w:lineRule="auto"/>
              <w:jc w:val="center"/>
              <w:rPr>
                <w:rFonts w:hint="eastAsia" w:ascii="仿宋" w:hAnsi="仿宋" w:eastAsia="仿宋" w:cs="仿宋"/>
                <w:color w:val="auto"/>
                <w:sz w:val="24"/>
                <w:szCs w:val="24"/>
                <w:highlight w:val="none"/>
                <w:lang w:val="zh-CN"/>
              </w:rPr>
            </w:pPr>
          </w:p>
        </w:tc>
        <w:tc>
          <w:tcPr>
            <w:tcW w:w="3294" w:type="dxa"/>
            <w:tcBorders>
              <w:top w:val="single" w:color="000000" w:sz="6" w:space="0"/>
              <w:left w:val="single" w:color="000000" w:sz="6" w:space="0"/>
              <w:bottom w:val="single" w:color="000000" w:sz="6" w:space="0"/>
              <w:right w:val="single" w:color="000000" w:sz="6" w:space="0"/>
            </w:tcBorders>
            <w:noWrap w:val="0"/>
            <w:vAlign w:val="center"/>
          </w:tcPr>
          <w:p w14:paraId="45D68BF3">
            <w:pPr>
              <w:spacing w:line="360" w:lineRule="auto"/>
              <w:jc w:val="center"/>
              <w:rPr>
                <w:rFonts w:hint="eastAsia" w:ascii="仿宋" w:hAnsi="仿宋" w:eastAsia="仿宋" w:cs="仿宋"/>
                <w:color w:val="auto"/>
                <w:sz w:val="24"/>
                <w:szCs w:val="24"/>
                <w:highlight w:val="none"/>
                <w:lang w:val="zh-CN"/>
              </w:rPr>
            </w:pPr>
          </w:p>
        </w:tc>
        <w:tc>
          <w:tcPr>
            <w:tcW w:w="2076" w:type="dxa"/>
            <w:tcBorders>
              <w:top w:val="single" w:color="000000" w:sz="6" w:space="0"/>
              <w:left w:val="single" w:color="000000" w:sz="6" w:space="0"/>
              <w:bottom w:val="single" w:color="000000" w:sz="6" w:space="0"/>
              <w:right w:val="single" w:color="000000" w:sz="6" w:space="0"/>
            </w:tcBorders>
            <w:noWrap w:val="0"/>
          </w:tcPr>
          <w:p w14:paraId="2EE126B3">
            <w:pPr>
              <w:spacing w:line="360" w:lineRule="auto"/>
              <w:jc w:val="center"/>
              <w:rPr>
                <w:rFonts w:hint="eastAsia" w:ascii="仿宋" w:hAnsi="仿宋" w:eastAsia="仿宋" w:cs="仿宋"/>
                <w:color w:val="auto"/>
                <w:sz w:val="24"/>
                <w:szCs w:val="24"/>
                <w:highlight w:val="none"/>
                <w:lang w:val="zh-CN"/>
              </w:rPr>
            </w:pPr>
          </w:p>
        </w:tc>
      </w:tr>
      <w:tr w14:paraId="76F7BEF6">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2C78E7AA">
            <w:pPr>
              <w:spacing w:line="360" w:lineRule="auto"/>
              <w:jc w:val="center"/>
              <w:rPr>
                <w:rFonts w:hint="eastAsia" w:ascii="仿宋" w:hAnsi="仿宋" w:eastAsia="仿宋" w:cs="仿宋"/>
                <w:color w:val="auto"/>
                <w:sz w:val="24"/>
                <w:szCs w:val="24"/>
                <w:highlight w:val="none"/>
                <w:lang w:val="zh-CN"/>
              </w:rPr>
            </w:pPr>
          </w:p>
        </w:tc>
        <w:tc>
          <w:tcPr>
            <w:tcW w:w="1754" w:type="dxa"/>
            <w:tcBorders>
              <w:top w:val="single" w:color="000000" w:sz="6" w:space="0"/>
              <w:left w:val="single" w:color="000000" w:sz="6" w:space="0"/>
              <w:bottom w:val="single" w:color="000000" w:sz="6" w:space="0"/>
              <w:right w:val="single" w:color="000000" w:sz="6" w:space="0"/>
            </w:tcBorders>
            <w:noWrap w:val="0"/>
            <w:vAlign w:val="center"/>
          </w:tcPr>
          <w:p w14:paraId="125CDC74">
            <w:pPr>
              <w:spacing w:line="360" w:lineRule="auto"/>
              <w:jc w:val="center"/>
              <w:rPr>
                <w:rFonts w:hint="eastAsia" w:ascii="仿宋" w:hAnsi="仿宋" w:eastAsia="仿宋" w:cs="仿宋"/>
                <w:color w:val="auto"/>
                <w:sz w:val="24"/>
                <w:szCs w:val="24"/>
                <w:highlight w:val="none"/>
                <w:lang w:val="zh-CN"/>
              </w:rPr>
            </w:pPr>
          </w:p>
        </w:tc>
        <w:tc>
          <w:tcPr>
            <w:tcW w:w="2661" w:type="dxa"/>
            <w:tcBorders>
              <w:top w:val="single" w:color="000000" w:sz="6" w:space="0"/>
              <w:left w:val="single" w:color="000000" w:sz="6" w:space="0"/>
              <w:bottom w:val="single" w:color="000000" w:sz="6" w:space="0"/>
              <w:right w:val="single" w:color="000000" w:sz="6" w:space="0"/>
            </w:tcBorders>
            <w:noWrap w:val="0"/>
            <w:vAlign w:val="center"/>
          </w:tcPr>
          <w:p w14:paraId="29785FC3">
            <w:pPr>
              <w:spacing w:line="360" w:lineRule="auto"/>
              <w:jc w:val="center"/>
              <w:rPr>
                <w:rFonts w:hint="eastAsia" w:ascii="仿宋" w:hAnsi="仿宋" w:eastAsia="仿宋" w:cs="仿宋"/>
                <w:color w:val="auto"/>
                <w:sz w:val="24"/>
                <w:szCs w:val="24"/>
                <w:highlight w:val="none"/>
                <w:lang w:val="zh-CN"/>
              </w:rPr>
            </w:pPr>
          </w:p>
        </w:tc>
        <w:tc>
          <w:tcPr>
            <w:tcW w:w="3294" w:type="dxa"/>
            <w:tcBorders>
              <w:top w:val="single" w:color="000000" w:sz="6" w:space="0"/>
              <w:left w:val="single" w:color="000000" w:sz="6" w:space="0"/>
              <w:bottom w:val="single" w:color="000000" w:sz="6" w:space="0"/>
              <w:right w:val="single" w:color="000000" w:sz="6" w:space="0"/>
            </w:tcBorders>
            <w:noWrap w:val="0"/>
            <w:vAlign w:val="center"/>
          </w:tcPr>
          <w:p w14:paraId="69AA3C9B">
            <w:pPr>
              <w:spacing w:line="360" w:lineRule="auto"/>
              <w:jc w:val="center"/>
              <w:rPr>
                <w:rFonts w:hint="eastAsia" w:ascii="仿宋" w:hAnsi="仿宋" w:eastAsia="仿宋" w:cs="仿宋"/>
                <w:color w:val="auto"/>
                <w:sz w:val="24"/>
                <w:szCs w:val="24"/>
                <w:highlight w:val="none"/>
                <w:lang w:val="zh-CN"/>
              </w:rPr>
            </w:pPr>
          </w:p>
        </w:tc>
        <w:tc>
          <w:tcPr>
            <w:tcW w:w="2076" w:type="dxa"/>
            <w:tcBorders>
              <w:top w:val="single" w:color="000000" w:sz="6" w:space="0"/>
              <w:left w:val="single" w:color="000000" w:sz="6" w:space="0"/>
              <w:bottom w:val="single" w:color="000000" w:sz="6" w:space="0"/>
              <w:right w:val="single" w:color="000000" w:sz="6" w:space="0"/>
            </w:tcBorders>
            <w:noWrap w:val="0"/>
          </w:tcPr>
          <w:p w14:paraId="42AE0B72">
            <w:pPr>
              <w:spacing w:line="360" w:lineRule="auto"/>
              <w:jc w:val="center"/>
              <w:rPr>
                <w:rFonts w:hint="eastAsia" w:ascii="仿宋" w:hAnsi="仿宋" w:eastAsia="仿宋" w:cs="仿宋"/>
                <w:color w:val="auto"/>
                <w:sz w:val="24"/>
                <w:szCs w:val="24"/>
                <w:highlight w:val="none"/>
                <w:lang w:val="zh-CN"/>
              </w:rPr>
            </w:pPr>
          </w:p>
        </w:tc>
      </w:tr>
      <w:tr w14:paraId="414B2B3C">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00FEB23B">
            <w:pPr>
              <w:spacing w:line="360" w:lineRule="auto"/>
              <w:jc w:val="center"/>
              <w:rPr>
                <w:rFonts w:hint="eastAsia" w:ascii="仿宋" w:hAnsi="仿宋" w:eastAsia="仿宋" w:cs="仿宋"/>
                <w:color w:val="auto"/>
                <w:sz w:val="24"/>
                <w:szCs w:val="24"/>
                <w:highlight w:val="none"/>
                <w:lang w:val="zh-CN"/>
              </w:rPr>
            </w:pPr>
          </w:p>
        </w:tc>
        <w:tc>
          <w:tcPr>
            <w:tcW w:w="1754" w:type="dxa"/>
            <w:tcBorders>
              <w:top w:val="single" w:color="000000" w:sz="6" w:space="0"/>
              <w:left w:val="single" w:color="000000" w:sz="6" w:space="0"/>
              <w:bottom w:val="single" w:color="000000" w:sz="6" w:space="0"/>
              <w:right w:val="single" w:color="000000" w:sz="6" w:space="0"/>
            </w:tcBorders>
            <w:noWrap w:val="0"/>
            <w:vAlign w:val="center"/>
          </w:tcPr>
          <w:p w14:paraId="5DBE2943">
            <w:pPr>
              <w:spacing w:line="360" w:lineRule="auto"/>
              <w:jc w:val="center"/>
              <w:rPr>
                <w:rFonts w:hint="eastAsia" w:ascii="仿宋" w:hAnsi="仿宋" w:eastAsia="仿宋" w:cs="仿宋"/>
                <w:color w:val="auto"/>
                <w:sz w:val="24"/>
                <w:szCs w:val="24"/>
                <w:highlight w:val="none"/>
                <w:lang w:val="zh-CN"/>
              </w:rPr>
            </w:pPr>
          </w:p>
        </w:tc>
        <w:tc>
          <w:tcPr>
            <w:tcW w:w="2661" w:type="dxa"/>
            <w:tcBorders>
              <w:top w:val="single" w:color="000000" w:sz="6" w:space="0"/>
              <w:left w:val="single" w:color="000000" w:sz="6" w:space="0"/>
              <w:bottom w:val="single" w:color="000000" w:sz="6" w:space="0"/>
              <w:right w:val="single" w:color="000000" w:sz="6" w:space="0"/>
            </w:tcBorders>
            <w:noWrap w:val="0"/>
            <w:vAlign w:val="center"/>
          </w:tcPr>
          <w:p w14:paraId="33191B42">
            <w:pPr>
              <w:spacing w:line="360" w:lineRule="auto"/>
              <w:jc w:val="center"/>
              <w:rPr>
                <w:rFonts w:hint="eastAsia" w:ascii="仿宋" w:hAnsi="仿宋" w:eastAsia="仿宋" w:cs="仿宋"/>
                <w:color w:val="auto"/>
                <w:sz w:val="24"/>
                <w:szCs w:val="24"/>
                <w:highlight w:val="none"/>
                <w:lang w:val="zh-CN"/>
              </w:rPr>
            </w:pPr>
          </w:p>
        </w:tc>
        <w:tc>
          <w:tcPr>
            <w:tcW w:w="3294" w:type="dxa"/>
            <w:tcBorders>
              <w:top w:val="single" w:color="000000" w:sz="6" w:space="0"/>
              <w:left w:val="single" w:color="000000" w:sz="6" w:space="0"/>
              <w:bottom w:val="single" w:color="000000" w:sz="6" w:space="0"/>
              <w:right w:val="single" w:color="000000" w:sz="6" w:space="0"/>
            </w:tcBorders>
            <w:noWrap w:val="0"/>
            <w:vAlign w:val="center"/>
          </w:tcPr>
          <w:p w14:paraId="57A6666C">
            <w:pPr>
              <w:spacing w:line="360" w:lineRule="auto"/>
              <w:jc w:val="center"/>
              <w:rPr>
                <w:rFonts w:hint="eastAsia" w:ascii="仿宋" w:hAnsi="仿宋" w:eastAsia="仿宋" w:cs="仿宋"/>
                <w:color w:val="auto"/>
                <w:sz w:val="24"/>
                <w:szCs w:val="24"/>
                <w:highlight w:val="none"/>
                <w:lang w:val="zh-CN"/>
              </w:rPr>
            </w:pPr>
          </w:p>
        </w:tc>
        <w:tc>
          <w:tcPr>
            <w:tcW w:w="2076" w:type="dxa"/>
            <w:tcBorders>
              <w:top w:val="single" w:color="000000" w:sz="6" w:space="0"/>
              <w:left w:val="single" w:color="000000" w:sz="6" w:space="0"/>
              <w:bottom w:val="single" w:color="000000" w:sz="6" w:space="0"/>
              <w:right w:val="single" w:color="000000" w:sz="6" w:space="0"/>
            </w:tcBorders>
            <w:noWrap w:val="0"/>
          </w:tcPr>
          <w:p w14:paraId="7B67E1F4">
            <w:pPr>
              <w:spacing w:line="360" w:lineRule="auto"/>
              <w:jc w:val="center"/>
              <w:rPr>
                <w:rFonts w:hint="eastAsia" w:ascii="仿宋" w:hAnsi="仿宋" w:eastAsia="仿宋" w:cs="仿宋"/>
                <w:color w:val="auto"/>
                <w:sz w:val="24"/>
                <w:szCs w:val="24"/>
                <w:highlight w:val="none"/>
                <w:lang w:val="zh-CN"/>
              </w:rPr>
            </w:pPr>
          </w:p>
        </w:tc>
      </w:tr>
      <w:tr w14:paraId="52E21DC7">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0FAC6915">
            <w:pPr>
              <w:spacing w:line="360" w:lineRule="auto"/>
              <w:jc w:val="center"/>
              <w:rPr>
                <w:rFonts w:hint="eastAsia" w:ascii="仿宋" w:hAnsi="仿宋" w:eastAsia="仿宋" w:cs="仿宋"/>
                <w:color w:val="auto"/>
                <w:sz w:val="24"/>
                <w:szCs w:val="24"/>
                <w:highlight w:val="none"/>
                <w:lang w:val="zh-CN"/>
              </w:rPr>
            </w:pPr>
          </w:p>
        </w:tc>
        <w:tc>
          <w:tcPr>
            <w:tcW w:w="1754" w:type="dxa"/>
            <w:tcBorders>
              <w:top w:val="single" w:color="000000" w:sz="6" w:space="0"/>
              <w:left w:val="single" w:color="000000" w:sz="6" w:space="0"/>
              <w:bottom w:val="single" w:color="000000" w:sz="6" w:space="0"/>
              <w:right w:val="single" w:color="000000" w:sz="6" w:space="0"/>
            </w:tcBorders>
            <w:noWrap w:val="0"/>
            <w:vAlign w:val="center"/>
          </w:tcPr>
          <w:p w14:paraId="7F974FDC">
            <w:pPr>
              <w:spacing w:line="360" w:lineRule="auto"/>
              <w:jc w:val="center"/>
              <w:rPr>
                <w:rFonts w:hint="eastAsia" w:ascii="仿宋" w:hAnsi="仿宋" w:eastAsia="仿宋" w:cs="仿宋"/>
                <w:color w:val="auto"/>
                <w:sz w:val="24"/>
                <w:szCs w:val="24"/>
                <w:highlight w:val="none"/>
                <w:lang w:val="zh-CN"/>
              </w:rPr>
            </w:pPr>
          </w:p>
        </w:tc>
        <w:tc>
          <w:tcPr>
            <w:tcW w:w="2661" w:type="dxa"/>
            <w:tcBorders>
              <w:top w:val="single" w:color="000000" w:sz="6" w:space="0"/>
              <w:left w:val="single" w:color="000000" w:sz="6" w:space="0"/>
              <w:bottom w:val="single" w:color="000000" w:sz="6" w:space="0"/>
              <w:right w:val="single" w:color="000000" w:sz="6" w:space="0"/>
            </w:tcBorders>
            <w:noWrap w:val="0"/>
            <w:vAlign w:val="center"/>
          </w:tcPr>
          <w:p w14:paraId="27391A5F">
            <w:pPr>
              <w:spacing w:line="360" w:lineRule="auto"/>
              <w:jc w:val="center"/>
              <w:rPr>
                <w:rFonts w:hint="eastAsia" w:ascii="仿宋" w:hAnsi="仿宋" w:eastAsia="仿宋" w:cs="仿宋"/>
                <w:color w:val="auto"/>
                <w:sz w:val="24"/>
                <w:szCs w:val="24"/>
                <w:highlight w:val="none"/>
                <w:lang w:val="zh-CN"/>
              </w:rPr>
            </w:pPr>
          </w:p>
        </w:tc>
        <w:tc>
          <w:tcPr>
            <w:tcW w:w="3294" w:type="dxa"/>
            <w:tcBorders>
              <w:top w:val="single" w:color="000000" w:sz="6" w:space="0"/>
              <w:left w:val="single" w:color="000000" w:sz="6" w:space="0"/>
              <w:bottom w:val="single" w:color="000000" w:sz="6" w:space="0"/>
              <w:right w:val="single" w:color="000000" w:sz="6" w:space="0"/>
            </w:tcBorders>
            <w:noWrap w:val="0"/>
            <w:vAlign w:val="center"/>
          </w:tcPr>
          <w:p w14:paraId="0732B006">
            <w:pPr>
              <w:spacing w:line="360" w:lineRule="auto"/>
              <w:jc w:val="center"/>
              <w:rPr>
                <w:rFonts w:hint="eastAsia" w:ascii="仿宋" w:hAnsi="仿宋" w:eastAsia="仿宋" w:cs="仿宋"/>
                <w:color w:val="auto"/>
                <w:sz w:val="24"/>
                <w:szCs w:val="24"/>
                <w:highlight w:val="none"/>
                <w:lang w:val="zh-CN"/>
              </w:rPr>
            </w:pPr>
          </w:p>
        </w:tc>
        <w:tc>
          <w:tcPr>
            <w:tcW w:w="2076" w:type="dxa"/>
            <w:tcBorders>
              <w:top w:val="single" w:color="000000" w:sz="6" w:space="0"/>
              <w:left w:val="single" w:color="000000" w:sz="6" w:space="0"/>
              <w:bottom w:val="single" w:color="000000" w:sz="6" w:space="0"/>
              <w:right w:val="single" w:color="000000" w:sz="6" w:space="0"/>
            </w:tcBorders>
            <w:noWrap w:val="0"/>
          </w:tcPr>
          <w:p w14:paraId="75431003">
            <w:pPr>
              <w:spacing w:line="360" w:lineRule="auto"/>
              <w:jc w:val="center"/>
              <w:rPr>
                <w:rFonts w:hint="eastAsia" w:ascii="仿宋" w:hAnsi="仿宋" w:eastAsia="仿宋" w:cs="仿宋"/>
                <w:color w:val="auto"/>
                <w:sz w:val="24"/>
                <w:szCs w:val="24"/>
                <w:highlight w:val="none"/>
                <w:lang w:val="zh-CN"/>
              </w:rPr>
            </w:pPr>
          </w:p>
        </w:tc>
      </w:tr>
      <w:tr w14:paraId="4323DB3F">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2B8AA83E">
            <w:pPr>
              <w:spacing w:line="360" w:lineRule="auto"/>
              <w:jc w:val="center"/>
              <w:rPr>
                <w:rFonts w:hint="eastAsia" w:ascii="仿宋" w:hAnsi="仿宋" w:eastAsia="仿宋" w:cs="仿宋"/>
                <w:color w:val="auto"/>
                <w:sz w:val="24"/>
                <w:szCs w:val="24"/>
                <w:highlight w:val="none"/>
                <w:lang w:val="zh-CN"/>
              </w:rPr>
            </w:pPr>
          </w:p>
        </w:tc>
        <w:tc>
          <w:tcPr>
            <w:tcW w:w="1754" w:type="dxa"/>
            <w:tcBorders>
              <w:top w:val="single" w:color="000000" w:sz="6" w:space="0"/>
              <w:left w:val="single" w:color="000000" w:sz="6" w:space="0"/>
              <w:bottom w:val="single" w:color="000000" w:sz="6" w:space="0"/>
              <w:right w:val="single" w:color="000000" w:sz="6" w:space="0"/>
            </w:tcBorders>
            <w:noWrap w:val="0"/>
            <w:vAlign w:val="center"/>
          </w:tcPr>
          <w:p w14:paraId="3EC39AE7">
            <w:pPr>
              <w:spacing w:line="360" w:lineRule="auto"/>
              <w:jc w:val="center"/>
              <w:rPr>
                <w:rFonts w:hint="eastAsia" w:ascii="仿宋" w:hAnsi="仿宋" w:eastAsia="仿宋" w:cs="仿宋"/>
                <w:color w:val="auto"/>
                <w:sz w:val="24"/>
                <w:szCs w:val="24"/>
                <w:highlight w:val="none"/>
                <w:lang w:val="zh-CN"/>
              </w:rPr>
            </w:pPr>
          </w:p>
        </w:tc>
        <w:tc>
          <w:tcPr>
            <w:tcW w:w="2661" w:type="dxa"/>
            <w:tcBorders>
              <w:top w:val="single" w:color="000000" w:sz="6" w:space="0"/>
              <w:left w:val="single" w:color="000000" w:sz="6" w:space="0"/>
              <w:bottom w:val="single" w:color="000000" w:sz="6" w:space="0"/>
              <w:right w:val="single" w:color="000000" w:sz="6" w:space="0"/>
            </w:tcBorders>
            <w:noWrap w:val="0"/>
            <w:vAlign w:val="center"/>
          </w:tcPr>
          <w:p w14:paraId="1E376FB2">
            <w:pPr>
              <w:spacing w:line="360" w:lineRule="auto"/>
              <w:jc w:val="center"/>
              <w:rPr>
                <w:rFonts w:hint="eastAsia" w:ascii="仿宋" w:hAnsi="仿宋" w:eastAsia="仿宋" w:cs="仿宋"/>
                <w:color w:val="auto"/>
                <w:sz w:val="24"/>
                <w:szCs w:val="24"/>
                <w:highlight w:val="none"/>
                <w:lang w:val="zh-CN"/>
              </w:rPr>
            </w:pPr>
          </w:p>
        </w:tc>
        <w:tc>
          <w:tcPr>
            <w:tcW w:w="3294" w:type="dxa"/>
            <w:tcBorders>
              <w:top w:val="single" w:color="000000" w:sz="6" w:space="0"/>
              <w:left w:val="single" w:color="000000" w:sz="6" w:space="0"/>
              <w:bottom w:val="single" w:color="000000" w:sz="6" w:space="0"/>
              <w:right w:val="single" w:color="000000" w:sz="6" w:space="0"/>
            </w:tcBorders>
            <w:noWrap w:val="0"/>
            <w:vAlign w:val="center"/>
          </w:tcPr>
          <w:p w14:paraId="6E798B00">
            <w:pPr>
              <w:spacing w:line="360" w:lineRule="auto"/>
              <w:jc w:val="center"/>
              <w:rPr>
                <w:rFonts w:hint="eastAsia" w:ascii="仿宋" w:hAnsi="仿宋" w:eastAsia="仿宋" w:cs="仿宋"/>
                <w:color w:val="auto"/>
                <w:sz w:val="24"/>
                <w:szCs w:val="24"/>
                <w:highlight w:val="none"/>
                <w:lang w:val="zh-CN"/>
              </w:rPr>
            </w:pPr>
          </w:p>
        </w:tc>
        <w:tc>
          <w:tcPr>
            <w:tcW w:w="2076" w:type="dxa"/>
            <w:tcBorders>
              <w:top w:val="single" w:color="000000" w:sz="6" w:space="0"/>
              <w:left w:val="single" w:color="000000" w:sz="6" w:space="0"/>
              <w:bottom w:val="single" w:color="000000" w:sz="6" w:space="0"/>
              <w:right w:val="single" w:color="000000" w:sz="6" w:space="0"/>
            </w:tcBorders>
            <w:noWrap w:val="0"/>
          </w:tcPr>
          <w:p w14:paraId="072A2D77">
            <w:pPr>
              <w:spacing w:line="360" w:lineRule="auto"/>
              <w:jc w:val="center"/>
              <w:rPr>
                <w:rFonts w:hint="eastAsia" w:ascii="仿宋" w:hAnsi="仿宋" w:eastAsia="仿宋" w:cs="仿宋"/>
                <w:color w:val="auto"/>
                <w:sz w:val="24"/>
                <w:szCs w:val="24"/>
                <w:highlight w:val="none"/>
                <w:lang w:val="zh-CN"/>
              </w:rPr>
            </w:pPr>
          </w:p>
        </w:tc>
      </w:tr>
    </w:tbl>
    <w:p w14:paraId="71ED6212">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注：请将采购文件项目需求中列举的商务条款（采购文件第四章项目需求第九条）要求逐项作出应答并提供必要的证明材料或实施方案。</w:t>
      </w:r>
    </w:p>
    <w:p w14:paraId="47E892FB">
      <w:pPr>
        <w:spacing w:line="360" w:lineRule="auto"/>
        <w:rPr>
          <w:rFonts w:hint="eastAsia" w:ascii="仿宋" w:hAnsi="仿宋" w:eastAsia="仿宋" w:cs="仿宋"/>
          <w:color w:val="auto"/>
          <w:sz w:val="24"/>
          <w:szCs w:val="24"/>
          <w:highlight w:val="none"/>
          <w:lang w:val="zh-CN"/>
        </w:rPr>
      </w:pPr>
    </w:p>
    <w:p w14:paraId="78B85DD1">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说明：如果行数不够，请自行增加。</w:t>
      </w:r>
    </w:p>
    <w:p w14:paraId="1268E31E">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供应商名称：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（加盖CA电子公章）</w:t>
      </w:r>
    </w:p>
    <w:p w14:paraId="3C033BE8">
      <w:pPr>
        <w:spacing w:line="360" w:lineRule="auto"/>
        <w:rPr>
          <w:rFonts w:hint="eastAsia" w:ascii="仿宋" w:hAnsi="仿宋" w:eastAsia="仿宋" w:cs="仿宋"/>
          <w:color w:val="auto"/>
          <w:sz w:val="24"/>
          <w:szCs w:val="24"/>
          <w:highlight w:val="none"/>
          <w:lang w:val="zh-CN"/>
        </w:rPr>
      </w:pPr>
    </w:p>
    <w:p w14:paraId="5F843619">
      <w:pPr>
        <w:jc w:val="center"/>
        <w:outlineLvl w:val="1"/>
        <w:rPr>
          <w:rFonts w:hint="eastAsia" w:ascii="仿宋" w:hAnsi="仿宋" w:eastAsia="仿宋" w:cs="仿宋"/>
          <w:b w:val="0"/>
          <w:bCs/>
          <w:color w:val="auto"/>
          <w:sz w:val="24"/>
          <w:szCs w:val="24"/>
          <w:highlight w:val="none"/>
        </w:rPr>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24"/>
          <w:szCs w:val="24"/>
          <w:highlight w:val="none"/>
          <w:lang w:eastAsia="zh-CN"/>
        </w:rPr>
        <w:t>八</w:t>
      </w:r>
      <w:r>
        <w:rPr>
          <w:rFonts w:hint="eastAsia" w:ascii="宋体" w:hAnsi="宋体"/>
          <w:b/>
          <w:color w:val="auto"/>
          <w:sz w:val="24"/>
          <w:szCs w:val="21"/>
          <w:highlight w:val="none"/>
          <w:lang w:val="zh-CN" w:eastAsia="zh-CN"/>
        </w:rPr>
        <w:t>、项目需求响应方案</w:t>
      </w:r>
    </w:p>
    <w:p w14:paraId="1FEE77F0">
      <w:pPr>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（格式自拟）</w:t>
      </w:r>
    </w:p>
    <w:p w14:paraId="73299734">
      <w:pPr>
        <w:jc w:val="center"/>
        <w:rPr>
          <w:rFonts w:hint="eastAsia" w:ascii="仿宋" w:hAnsi="仿宋" w:eastAsia="仿宋" w:cs="仿宋"/>
          <w:b w:val="0"/>
          <w:bCs/>
          <w:color w:val="auto"/>
          <w:sz w:val="24"/>
          <w:szCs w:val="24"/>
          <w:highlight w:val="none"/>
        </w:rPr>
      </w:pPr>
    </w:p>
    <w:p w14:paraId="6895542C">
      <w:pPr>
        <w:jc w:val="center"/>
        <w:rPr>
          <w:rFonts w:hint="eastAsia" w:ascii="仿宋" w:hAnsi="仿宋" w:eastAsia="仿宋" w:cs="仿宋"/>
          <w:b w:val="0"/>
          <w:bCs/>
          <w:color w:val="auto"/>
          <w:sz w:val="24"/>
          <w:szCs w:val="24"/>
          <w:highlight w:val="none"/>
        </w:rPr>
      </w:pPr>
    </w:p>
    <w:p w14:paraId="1F2FC83C">
      <w:pPr>
        <w:jc w:val="center"/>
        <w:rPr>
          <w:rFonts w:hint="eastAsia" w:ascii="仿宋" w:hAnsi="仿宋" w:eastAsia="仿宋" w:cs="仿宋"/>
          <w:b w:val="0"/>
          <w:bCs/>
          <w:color w:val="auto"/>
          <w:sz w:val="24"/>
          <w:szCs w:val="24"/>
          <w:highlight w:val="none"/>
        </w:rPr>
      </w:pPr>
    </w:p>
    <w:p w14:paraId="2696AD19">
      <w:pPr>
        <w:jc w:val="center"/>
        <w:rPr>
          <w:rFonts w:hint="eastAsia" w:ascii="仿宋" w:hAnsi="仿宋" w:eastAsia="仿宋" w:cs="仿宋"/>
          <w:b w:val="0"/>
          <w:bCs/>
          <w:color w:val="auto"/>
          <w:sz w:val="24"/>
          <w:szCs w:val="24"/>
          <w:highlight w:val="none"/>
        </w:rPr>
      </w:pPr>
    </w:p>
    <w:p w14:paraId="105A322F">
      <w:pPr>
        <w:numPr>
          <w:ilvl w:val="0"/>
          <w:numId w:val="0"/>
        </w:numPr>
        <w:jc w:val="both"/>
        <w:rPr>
          <w:rFonts w:hint="eastAsia" w:ascii="仿宋" w:hAnsi="仿宋" w:eastAsia="仿宋" w:cs="仿宋"/>
          <w:b/>
          <w:color w:val="auto"/>
          <w:sz w:val="24"/>
          <w:szCs w:val="24"/>
          <w:highlight w:val="none"/>
        </w:rPr>
      </w:pPr>
    </w:p>
    <w:p w14:paraId="4B61D10C">
      <w:pPr>
        <w:jc w:val="center"/>
        <w:outlineLvl w:val="1"/>
        <w:rPr>
          <w:rFonts w:hint="eastAsia" w:ascii="宋体" w:hAnsi="宋体"/>
          <w:b/>
          <w:color w:val="auto"/>
          <w:sz w:val="24"/>
          <w:szCs w:val="21"/>
          <w:highlight w:val="none"/>
          <w:lang w:val="en-US" w:eastAsia="zh-CN"/>
        </w:rPr>
      </w:pPr>
      <w:r>
        <w:rPr>
          <w:rFonts w:hint="eastAsia" w:ascii="宋体" w:hAnsi="宋体"/>
          <w:b/>
          <w:color w:val="auto"/>
          <w:sz w:val="24"/>
          <w:szCs w:val="21"/>
          <w:highlight w:val="none"/>
          <w:lang w:val="en-US" w:eastAsia="zh-CN"/>
        </w:rPr>
        <w:t>九、供应商认为需提供或采购文件要求的其他证明材料</w:t>
      </w:r>
    </w:p>
    <w:p w14:paraId="18D25A5F">
      <w:pPr>
        <w:jc w:val="center"/>
        <w:rPr>
          <w:rFonts w:hint="eastAsia" w:ascii="仿宋" w:hAnsi="仿宋" w:eastAsia="仿宋" w:cs="仿宋"/>
          <w:b/>
          <w:color w:val="auto"/>
          <w:sz w:val="24"/>
          <w:szCs w:val="24"/>
          <w:highlight w:val="none"/>
        </w:rPr>
      </w:pPr>
      <w:bookmarkStart w:id="169" w:name="_Hlt26671380"/>
      <w:bookmarkEnd w:id="169"/>
      <w:bookmarkStart w:id="170" w:name="_Hlt26955041"/>
      <w:bookmarkEnd w:id="170"/>
      <w:bookmarkStart w:id="171" w:name="_格式3__银行出具的资信证明"/>
      <w:bookmarkEnd w:id="171"/>
      <w:bookmarkStart w:id="172" w:name="_Hlt26955070"/>
      <w:bookmarkEnd w:id="172"/>
    </w:p>
    <w:p w14:paraId="4C044B06">
      <w:pPr>
        <w:jc w:val="center"/>
        <w:rPr>
          <w:rFonts w:hint="eastAsia" w:ascii="仿宋" w:hAnsi="仿宋" w:eastAsia="仿宋" w:cs="仿宋"/>
          <w:b/>
          <w:color w:val="auto"/>
          <w:sz w:val="24"/>
          <w:szCs w:val="24"/>
          <w:highlight w:val="none"/>
        </w:rPr>
      </w:pPr>
    </w:p>
    <w:p w14:paraId="3B883C54">
      <w:pPr>
        <w:rPr>
          <w:rFonts w:hint="eastAsia" w:ascii="仿宋" w:hAnsi="仿宋" w:eastAsia="仿宋" w:cs="仿宋"/>
          <w:color w:val="auto"/>
          <w:sz w:val="24"/>
          <w:szCs w:val="24"/>
          <w:highlight w:val="none"/>
        </w:rPr>
      </w:pPr>
    </w:p>
    <w:p w14:paraId="5968D8B2">
      <w:pPr>
        <w:widowControl/>
        <w:adjustRightInd w:val="0"/>
        <w:spacing w:line="360" w:lineRule="auto"/>
        <w:jc w:val="left"/>
        <w:rPr>
          <w:rFonts w:hint="eastAsia" w:ascii="仿宋" w:hAnsi="仿宋" w:eastAsia="仿宋" w:cs="仿宋"/>
          <w:color w:val="auto"/>
          <w:kern w:val="0"/>
          <w:sz w:val="24"/>
          <w:szCs w:val="24"/>
          <w:highlight w:val="none"/>
        </w:rPr>
      </w:pPr>
    </w:p>
    <w:p w14:paraId="0A7F7702">
      <w:pPr>
        <w:jc w:val="center"/>
        <w:outlineLvl w:val="1"/>
        <w:rPr>
          <w:rFonts w:hint="eastAsia" w:ascii="宋体" w:hAnsi="宋体"/>
          <w:b/>
          <w:color w:val="auto"/>
          <w:sz w:val="24"/>
          <w:szCs w:val="21"/>
          <w:highlight w:val="none"/>
          <w:lang w:val="en-US" w:eastAsia="zh-CN"/>
        </w:rPr>
      </w:pPr>
      <w:r>
        <w:rPr>
          <w:rFonts w:hint="eastAsia" w:ascii="宋体" w:hAnsi="宋体"/>
          <w:b/>
          <w:color w:val="auto"/>
          <w:sz w:val="24"/>
          <w:szCs w:val="21"/>
          <w:highlight w:val="none"/>
          <w:lang w:val="en-US" w:eastAsia="zh-CN"/>
        </w:rPr>
        <w:t>十、中小企业声明函</w:t>
      </w:r>
    </w:p>
    <w:p w14:paraId="2369CEFE">
      <w:pPr>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 </w:t>
      </w:r>
    </w:p>
    <w:p w14:paraId="490D5AE0">
      <w:pPr>
        <w:ind w:firstLine="56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本公司（联合体）郑重声明，根据《政府采购促进中小企业发展管理办法》（财库﹝2020﹞46 号）的规定，本公司（联合体）参加（</w:t>
      </w:r>
      <w:r>
        <w:rPr>
          <w:rFonts w:hint="eastAsia" w:ascii="仿宋" w:hAnsi="仿宋" w:eastAsia="仿宋" w:cs="仿宋"/>
          <w:i w:val="0"/>
          <w:iCs w:val="0"/>
          <w:color w:val="auto"/>
          <w:sz w:val="24"/>
          <w:szCs w:val="24"/>
          <w:highlight w:val="none"/>
          <w:u w:val="single"/>
        </w:rPr>
        <w:t>单位名称</w:t>
      </w:r>
      <w:r>
        <w:rPr>
          <w:rFonts w:hint="eastAsia" w:ascii="仿宋" w:hAnsi="仿宋" w:eastAsia="仿宋" w:cs="仿宋"/>
          <w:i w:val="0"/>
          <w:iCs w:val="0"/>
          <w:color w:val="auto"/>
          <w:sz w:val="24"/>
          <w:szCs w:val="24"/>
          <w:highlight w:val="none"/>
        </w:rPr>
        <w:t>）的（</w:t>
      </w:r>
      <w:r>
        <w:rPr>
          <w:rFonts w:hint="eastAsia" w:ascii="仿宋" w:hAnsi="仿宋" w:eastAsia="仿宋" w:cs="仿宋"/>
          <w:i w:val="0"/>
          <w:iCs w:val="0"/>
          <w:color w:val="auto"/>
          <w:sz w:val="24"/>
          <w:szCs w:val="24"/>
          <w:highlight w:val="none"/>
          <w:u w:val="single"/>
        </w:rPr>
        <w:t>项目名称</w:t>
      </w:r>
      <w:r>
        <w:rPr>
          <w:rFonts w:hint="eastAsia" w:ascii="仿宋" w:hAnsi="仿宋" w:eastAsia="仿宋" w:cs="仿宋"/>
          <w:i w:val="0"/>
          <w:iCs w:val="0"/>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00F98566">
      <w:pPr>
        <w:ind w:firstLine="560"/>
        <w:jc w:val="left"/>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1.</w:t>
      </w:r>
      <w:r>
        <w:rPr>
          <w:rFonts w:hint="eastAsia" w:ascii="仿宋" w:hAnsi="仿宋" w:eastAsia="仿宋" w:cs="仿宋"/>
          <w:i w:val="0"/>
          <w:iCs w:val="0"/>
          <w:color w:val="auto"/>
          <w:sz w:val="24"/>
          <w:szCs w:val="24"/>
          <w:highlight w:val="none"/>
          <w:u w:val="single"/>
        </w:rPr>
        <w:t xml:space="preserve">     （标的名称）</w:t>
      </w:r>
      <w:r>
        <w:rPr>
          <w:rFonts w:hint="eastAsia" w:ascii="仿宋" w:hAnsi="仿宋" w:eastAsia="仿宋" w:cs="仿宋"/>
          <w:i w:val="0"/>
          <w:iCs w:val="0"/>
          <w:color w:val="auto"/>
          <w:sz w:val="24"/>
          <w:szCs w:val="24"/>
          <w:highlight w:val="none"/>
        </w:rPr>
        <w:t xml:space="preserve"> ，属于</w:t>
      </w:r>
      <w:r>
        <w:rPr>
          <w:rFonts w:hint="eastAsia" w:ascii="仿宋" w:hAnsi="仿宋" w:eastAsia="仿宋" w:cs="仿宋"/>
          <w:i w:val="0"/>
          <w:iCs w:val="0"/>
          <w:color w:val="auto"/>
          <w:sz w:val="24"/>
          <w:szCs w:val="24"/>
          <w:highlight w:val="none"/>
          <w:u w:val="single"/>
        </w:rPr>
        <w:t>（</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single"/>
        </w:rPr>
        <w:t>）</w:t>
      </w:r>
      <w:r>
        <w:rPr>
          <w:rFonts w:hint="eastAsia" w:ascii="仿宋" w:hAnsi="仿宋" w:eastAsia="仿宋" w:cs="仿宋"/>
          <w:i w:val="0"/>
          <w:iCs w:val="0"/>
          <w:color w:val="auto"/>
          <w:sz w:val="24"/>
          <w:szCs w:val="24"/>
          <w:highlight w:val="none"/>
        </w:rPr>
        <w:t>；承建（承接）企业为</w:t>
      </w:r>
      <w:r>
        <w:rPr>
          <w:rFonts w:hint="eastAsia" w:ascii="仿宋" w:hAnsi="仿宋" w:eastAsia="仿宋" w:cs="仿宋"/>
          <w:i w:val="0"/>
          <w:iCs w:val="0"/>
          <w:color w:val="auto"/>
          <w:sz w:val="24"/>
          <w:szCs w:val="24"/>
          <w:highlight w:val="none"/>
          <w:u w:val="single"/>
        </w:rPr>
        <w:t xml:space="preserve">     （企业名称）</w:t>
      </w:r>
      <w:r>
        <w:rPr>
          <w:rFonts w:hint="eastAsia" w:ascii="仿宋" w:hAnsi="仿宋" w:eastAsia="仿宋" w:cs="仿宋"/>
          <w:i w:val="0"/>
          <w:iCs w:val="0"/>
          <w:color w:val="auto"/>
          <w:sz w:val="24"/>
          <w:szCs w:val="24"/>
          <w:highlight w:val="none"/>
        </w:rPr>
        <w:t>，从业人员</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人，营业收入为</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万元，资产总额为</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万元，属于</w:t>
      </w:r>
      <w:r>
        <w:rPr>
          <w:rFonts w:hint="eastAsia" w:ascii="仿宋" w:hAnsi="仿宋" w:eastAsia="仿宋" w:cs="仿宋"/>
          <w:i w:val="0"/>
          <w:iCs w:val="0"/>
          <w:color w:val="auto"/>
          <w:sz w:val="24"/>
          <w:szCs w:val="24"/>
          <w:highlight w:val="none"/>
          <w:u w:val="single"/>
        </w:rPr>
        <w:t xml:space="preserve">           （中型企业、小型企业、微型企业）</w:t>
      </w:r>
      <w:r>
        <w:rPr>
          <w:rFonts w:hint="eastAsia" w:ascii="仿宋" w:hAnsi="仿宋" w:eastAsia="仿宋" w:cs="仿宋"/>
          <w:i w:val="0"/>
          <w:iCs w:val="0"/>
          <w:color w:val="auto"/>
          <w:sz w:val="24"/>
          <w:szCs w:val="24"/>
          <w:highlight w:val="none"/>
        </w:rPr>
        <w:t xml:space="preserve">； </w:t>
      </w:r>
    </w:p>
    <w:p w14:paraId="06A9E29E">
      <w:pPr>
        <w:ind w:firstLine="560"/>
        <w:jc w:val="left"/>
        <w:rPr>
          <w:rFonts w:hint="eastAsia" w:ascii="仿宋" w:hAnsi="仿宋" w:eastAsia="仿宋" w:cs="仿宋"/>
          <w:i w:val="0"/>
          <w:iCs w:val="0"/>
          <w:color w:val="auto"/>
          <w:sz w:val="24"/>
          <w:szCs w:val="24"/>
          <w:highlight w:val="none"/>
          <w:u w:val="single"/>
        </w:rPr>
      </w:pPr>
      <w:r>
        <w:rPr>
          <w:rFonts w:hint="eastAsia" w:ascii="仿宋" w:hAnsi="仿宋" w:eastAsia="仿宋" w:cs="仿宋"/>
          <w:i w:val="0"/>
          <w:iCs w:val="0"/>
          <w:color w:val="auto"/>
          <w:sz w:val="24"/>
          <w:szCs w:val="24"/>
          <w:highlight w:val="none"/>
        </w:rPr>
        <w:t>2.</w:t>
      </w:r>
      <w:r>
        <w:rPr>
          <w:rFonts w:hint="eastAsia" w:ascii="仿宋" w:hAnsi="仿宋" w:eastAsia="仿宋" w:cs="仿宋"/>
          <w:i w:val="0"/>
          <w:iCs w:val="0"/>
          <w:color w:val="auto"/>
          <w:sz w:val="24"/>
          <w:szCs w:val="24"/>
          <w:highlight w:val="none"/>
          <w:u w:val="single"/>
        </w:rPr>
        <w:t xml:space="preserve"> （标的名称） </w:t>
      </w:r>
      <w:r>
        <w:rPr>
          <w:rFonts w:hint="eastAsia" w:ascii="仿宋" w:hAnsi="仿宋" w:eastAsia="仿宋" w:cs="仿宋"/>
          <w:i w:val="0"/>
          <w:iCs w:val="0"/>
          <w:color w:val="auto"/>
          <w:sz w:val="24"/>
          <w:szCs w:val="24"/>
          <w:highlight w:val="none"/>
        </w:rPr>
        <w:t xml:space="preserve">，属于 </w:t>
      </w:r>
      <w:r>
        <w:rPr>
          <w:rFonts w:hint="eastAsia" w:ascii="仿宋" w:hAnsi="仿宋" w:eastAsia="仿宋" w:cs="仿宋"/>
          <w:i w:val="0"/>
          <w:iCs w:val="0"/>
          <w:color w:val="auto"/>
          <w:sz w:val="24"/>
          <w:szCs w:val="24"/>
          <w:highlight w:val="none"/>
          <w:u w:val="single"/>
        </w:rPr>
        <w:t>（</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single"/>
        </w:rPr>
        <w:t>）</w:t>
      </w:r>
      <w:r>
        <w:rPr>
          <w:rFonts w:hint="eastAsia" w:ascii="仿宋" w:hAnsi="仿宋" w:eastAsia="仿宋" w:cs="仿宋"/>
          <w:i w:val="0"/>
          <w:iCs w:val="0"/>
          <w:color w:val="auto"/>
          <w:sz w:val="24"/>
          <w:szCs w:val="24"/>
          <w:highlight w:val="none"/>
        </w:rPr>
        <w:t>；承建（承接）企业为</w:t>
      </w:r>
      <w:r>
        <w:rPr>
          <w:rFonts w:hint="eastAsia" w:ascii="仿宋" w:hAnsi="仿宋" w:eastAsia="仿宋" w:cs="仿宋"/>
          <w:i w:val="0"/>
          <w:iCs w:val="0"/>
          <w:color w:val="auto"/>
          <w:sz w:val="24"/>
          <w:szCs w:val="24"/>
          <w:highlight w:val="none"/>
          <w:u w:val="single"/>
        </w:rPr>
        <w:t>（企业名称）</w:t>
      </w:r>
      <w:r>
        <w:rPr>
          <w:rFonts w:hint="eastAsia" w:ascii="仿宋" w:hAnsi="仿宋" w:eastAsia="仿宋" w:cs="仿宋"/>
          <w:i w:val="0"/>
          <w:iCs w:val="0"/>
          <w:color w:val="auto"/>
          <w:sz w:val="24"/>
          <w:szCs w:val="24"/>
          <w:highlight w:val="none"/>
        </w:rPr>
        <w:t>，从业人员</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人，营业收入为</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万元，资产总额为</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 xml:space="preserve">万元，属于 </w:t>
      </w:r>
      <w:r>
        <w:rPr>
          <w:rFonts w:hint="eastAsia" w:ascii="仿宋" w:hAnsi="仿宋" w:eastAsia="仿宋" w:cs="仿宋"/>
          <w:i w:val="0"/>
          <w:iCs w:val="0"/>
          <w:color w:val="auto"/>
          <w:sz w:val="24"/>
          <w:szCs w:val="24"/>
          <w:highlight w:val="none"/>
          <w:u w:val="single"/>
        </w:rPr>
        <w:t xml:space="preserve">        （中型企业、小型企业、微型企业）；</w:t>
      </w:r>
    </w:p>
    <w:p w14:paraId="0FE0EF3E">
      <w:pPr>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    ……</w:t>
      </w:r>
    </w:p>
    <w:p w14:paraId="57F6ED7A">
      <w:pPr>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    以上企业，不属于大企业的分支机构，不存在控股股东为大企业的情形，也不存在与大企业的负责人为同一人的情形。</w:t>
      </w:r>
    </w:p>
    <w:p w14:paraId="3659F692">
      <w:pPr>
        <w:ind w:firstLine="56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本企业对上述声明内容的真实性负责。如有虚假，将依法承担相应责任。                            </w:t>
      </w:r>
    </w:p>
    <w:p w14:paraId="4F4A4986">
      <w:pPr>
        <w:ind w:firstLine="504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企业名称（加盖CA电子公章）：</w:t>
      </w:r>
    </w:p>
    <w:p w14:paraId="41BF328C">
      <w:pPr>
        <w:ind w:firstLine="504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日 期：</w:t>
      </w:r>
    </w:p>
    <w:p w14:paraId="0FA69362">
      <w:p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1、响应供应商如不提供此声明函，不符合特定资格要求。2、服务提供商必须是中小微型企业方可参与此项目，否则不得参加。3、此声明函将随中标结果同时公告，接受社会监督。请自行对照工信部联企业【2011】300号划型标准及本文件确定的所属行业审慎填写，切勿主观判断）。</w:t>
      </w:r>
    </w:p>
    <w:p w14:paraId="02FF0252">
      <w:pPr>
        <w:jc w:val="center"/>
        <w:outlineLvl w:val="1"/>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spacing w:val="15"/>
          <w:sz w:val="24"/>
          <w:szCs w:val="24"/>
          <w:highlight w:val="none"/>
        </w:rPr>
        <w:br w:type="page"/>
      </w:r>
      <w:bookmarkStart w:id="173" w:name="_Toc31028"/>
      <w:r>
        <w:rPr>
          <w:rFonts w:hint="eastAsia" w:ascii="宋体" w:hAnsi="宋体"/>
          <w:b/>
          <w:color w:val="auto"/>
          <w:sz w:val="24"/>
          <w:szCs w:val="21"/>
          <w:highlight w:val="none"/>
          <w:lang w:val="en-US" w:eastAsia="zh-CN"/>
        </w:rPr>
        <w:t>十一、供应商中标后需要提交核验的资料</w:t>
      </w:r>
      <w:bookmarkEnd w:id="173"/>
    </w:p>
    <w:p w14:paraId="06517C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p>
    <w:p w14:paraId="0B4060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1.具有独立承担民事责任的能力（提供法人或者其他组织的营业执照，自然人的身份证明）；</w:t>
      </w:r>
    </w:p>
    <w:p w14:paraId="0405AD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2.具有良好的商业信誉和健全的财务会计制度（</w:t>
      </w:r>
      <w:r>
        <w:rPr>
          <w:rFonts w:hint="eastAsia" w:ascii="仿宋" w:hAnsi="仿宋" w:eastAsia="仿宋"/>
          <w:bCs/>
          <w:color w:val="auto"/>
          <w:sz w:val="24"/>
          <w:szCs w:val="24"/>
          <w:highlight w:val="none"/>
          <w:lang w:val="en-US" w:eastAsia="zh-CN"/>
        </w:rPr>
        <w:t>提供参加本次采购前半年内</w:t>
      </w:r>
      <w:r>
        <w:rPr>
          <w:rFonts w:hint="eastAsia" w:ascii="仿宋" w:hAnsi="仿宋" w:eastAsia="仿宋" w:cs="仿宋"/>
          <w:color w:val="auto"/>
          <w:sz w:val="24"/>
          <w:szCs w:val="24"/>
          <w:highlight w:val="none"/>
          <w:lang w:val="en-US" w:eastAsia="zh-CN"/>
        </w:rPr>
        <w:t>任意一个月的会计报表（至少包括资产负债表和利润表）或者2025年度经审计的财务审计报告,成立不满一年无需提供)；</w:t>
      </w:r>
    </w:p>
    <w:p w14:paraId="77F0F9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3.具有履行合同所必需的设备和专业技术能力（根据项目需求提供履行合同所必需的设备和专业技术能力的声明或证明材料）；</w:t>
      </w:r>
    </w:p>
    <w:p w14:paraId="6E94B7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4.有依法缴纳税收和社会保障资金的良好记录（</w:t>
      </w:r>
      <w:r>
        <w:rPr>
          <w:rFonts w:hint="eastAsia" w:ascii="仿宋" w:hAnsi="仿宋" w:eastAsia="仿宋"/>
          <w:bCs/>
          <w:color w:val="auto"/>
          <w:sz w:val="24"/>
          <w:szCs w:val="24"/>
          <w:highlight w:val="none"/>
          <w:lang w:val="en-US" w:eastAsia="zh-CN"/>
        </w:rPr>
        <w:t>提供参加本次采购前半年内</w:t>
      </w:r>
      <w:r>
        <w:rPr>
          <w:rFonts w:hint="eastAsia" w:ascii="仿宋" w:hAnsi="仿宋" w:eastAsia="仿宋" w:cs="仿宋"/>
          <w:color w:val="auto"/>
          <w:sz w:val="24"/>
          <w:szCs w:val="24"/>
          <w:highlight w:val="none"/>
          <w:lang w:val="en-US" w:eastAsia="zh-CN"/>
        </w:rPr>
        <w:t>任意一个月依法缴纳税收和社会保障资金证明材料；根据国家相关政策免缴或迟缴的须提供相关证明材料）；</w:t>
      </w:r>
    </w:p>
    <w:p w14:paraId="1B1B1D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5.参加政府采购活动前三年内，在经营活动中没有重大违法记录（提供参加本次政府采购活动前3年内在经营活动中没有重大违法记录的书面声明）。</w:t>
      </w:r>
    </w:p>
    <w:p w14:paraId="5B6D19F4">
      <w:pPr>
        <w:pStyle w:val="83"/>
        <w:spacing w:before="78"/>
        <w:ind w:left="-178" w:leftChars="-85"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6D8830C2">
      <w:pPr>
        <w:pStyle w:val="83"/>
        <w:spacing w:before="78"/>
        <w:ind w:left="-178" w:leftChars="-85" w:firstLine="0" w:firstLineChars="0"/>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1.</w:t>
      </w:r>
      <w:r>
        <w:rPr>
          <w:rFonts w:hint="eastAsia" w:ascii="仿宋" w:hAnsi="仿宋" w:eastAsia="仿宋" w:cs="仿宋"/>
          <w:b/>
          <w:bCs w:val="0"/>
          <w:color w:val="auto"/>
          <w:sz w:val="24"/>
          <w:szCs w:val="24"/>
          <w:highlight w:val="none"/>
        </w:rPr>
        <w:t>以上资料如</w:t>
      </w:r>
      <w:r>
        <w:rPr>
          <w:rFonts w:hint="eastAsia" w:ascii="仿宋" w:hAnsi="仿宋" w:eastAsia="仿宋" w:cs="仿宋"/>
          <w:b/>
          <w:bCs w:val="0"/>
          <w:color w:val="auto"/>
          <w:sz w:val="24"/>
          <w:szCs w:val="24"/>
          <w:highlight w:val="none"/>
          <w:lang w:eastAsia="zh-CN"/>
        </w:rPr>
        <w:t>电子</w:t>
      </w:r>
      <w:r>
        <w:rPr>
          <w:rFonts w:hint="eastAsia" w:ascii="仿宋" w:hAnsi="仿宋" w:eastAsia="仿宋" w:cs="仿宋"/>
          <w:b/>
          <w:bCs w:val="0"/>
          <w:color w:val="auto"/>
          <w:sz w:val="24"/>
          <w:szCs w:val="24"/>
          <w:highlight w:val="none"/>
        </w:rPr>
        <w:t>响应文件中已提供的无需再提供</w:t>
      </w:r>
    </w:p>
    <w:p w14:paraId="44604F13">
      <w:pPr>
        <w:pStyle w:val="83"/>
        <w:spacing w:before="78"/>
        <w:ind w:left="-178" w:leftChars="-85" w:firstLine="0" w:firstLineChars="0"/>
        <w:rPr>
          <w:rFonts w:hint="eastAsia" w:ascii="仿宋" w:hAnsi="仿宋" w:eastAsia="仿宋" w:cs="仿宋"/>
          <w:b/>
          <w:bCs w:val="0"/>
          <w:color w:val="auto"/>
          <w:sz w:val="24"/>
          <w:szCs w:val="24"/>
          <w:highlight w:val="none"/>
          <w:lang w:val="zh-CN" w:eastAsia="zh-CN"/>
        </w:rPr>
      </w:pPr>
      <w:r>
        <w:rPr>
          <w:rFonts w:hint="eastAsia" w:ascii="仿宋" w:hAnsi="仿宋" w:eastAsia="仿宋" w:cs="仿宋"/>
          <w:b/>
          <w:bCs w:val="0"/>
          <w:color w:val="auto"/>
          <w:sz w:val="24"/>
          <w:szCs w:val="24"/>
          <w:highlight w:val="none"/>
          <w:lang w:val="en-US" w:eastAsia="zh-CN"/>
        </w:rPr>
        <w:t>2.</w:t>
      </w:r>
      <w:r>
        <w:rPr>
          <w:rFonts w:hint="eastAsia" w:ascii="仿宋" w:hAnsi="仿宋" w:eastAsia="仿宋" w:cs="仿宋"/>
          <w:b/>
          <w:bCs w:val="0"/>
          <w:color w:val="auto"/>
          <w:sz w:val="24"/>
          <w:szCs w:val="24"/>
          <w:highlight w:val="none"/>
          <w:lang w:eastAsia="zh-CN"/>
        </w:rPr>
        <w:t>响应文件（纸质份数）：成交供应商在中标后提供肆份通过专用投标工具软件打印的纸质投标文件并加盖单位公章。</w:t>
      </w:r>
    </w:p>
    <w:p w14:paraId="58341E97">
      <w:pPr>
        <w:jc w:val="both"/>
        <w:rPr>
          <w:rFonts w:hint="eastAsia" w:ascii="宋体" w:hAnsi="宋体"/>
          <w:b/>
          <w:color w:val="auto"/>
          <w:sz w:val="24"/>
          <w:szCs w:val="24"/>
          <w:highlight w:val="none"/>
          <w:lang w:val="en-US" w:eastAsia="zh-CN"/>
        </w:rPr>
      </w:pPr>
    </w:p>
    <w:p w14:paraId="1A954E06">
      <w:pPr>
        <w:jc w:val="both"/>
        <w:rPr>
          <w:rFonts w:hint="eastAsia" w:ascii="宋体" w:hAnsi="宋体"/>
          <w:b/>
          <w:color w:val="auto"/>
          <w:sz w:val="24"/>
          <w:szCs w:val="24"/>
          <w:highlight w:val="none"/>
          <w:lang w:val="en-US" w:eastAsia="zh-CN"/>
        </w:rPr>
      </w:pPr>
    </w:p>
    <w:p w14:paraId="7D0AAEAC">
      <w:pPr>
        <w:jc w:val="both"/>
        <w:rPr>
          <w:rFonts w:hint="eastAsia" w:ascii="宋体" w:hAnsi="宋体"/>
          <w:b/>
          <w:color w:val="auto"/>
          <w:sz w:val="24"/>
          <w:szCs w:val="24"/>
          <w:highlight w:val="none"/>
          <w:lang w:val="en-US" w:eastAsia="zh-CN"/>
        </w:rPr>
      </w:pPr>
    </w:p>
    <w:p w14:paraId="0B5C5E24">
      <w:pPr>
        <w:jc w:val="both"/>
        <w:rPr>
          <w:rFonts w:hint="eastAsia" w:ascii="宋体" w:hAnsi="宋体"/>
          <w:b/>
          <w:color w:val="auto"/>
          <w:sz w:val="24"/>
          <w:szCs w:val="24"/>
          <w:highlight w:val="none"/>
          <w:lang w:val="en-US" w:eastAsia="zh-CN"/>
        </w:rPr>
      </w:pPr>
    </w:p>
    <w:p w14:paraId="52810E34">
      <w:pPr>
        <w:jc w:val="both"/>
        <w:rPr>
          <w:rFonts w:hint="eastAsia" w:ascii="宋体" w:hAnsi="宋体"/>
          <w:b/>
          <w:color w:val="auto"/>
          <w:sz w:val="24"/>
          <w:szCs w:val="24"/>
          <w:highlight w:val="none"/>
          <w:lang w:val="en-US" w:eastAsia="zh-CN"/>
        </w:rPr>
      </w:pPr>
    </w:p>
    <w:p w14:paraId="3A5AABB4">
      <w:pPr>
        <w:jc w:val="both"/>
        <w:rPr>
          <w:rFonts w:hint="eastAsia" w:ascii="宋体" w:hAnsi="宋体"/>
          <w:b/>
          <w:color w:val="auto"/>
          <w:sz w:val="24"/>
          <w:szCs w:val="24"/>
          <w:highlight w:val="none"/>
          <w:lang w:val="en-US" w:eastAsia="zh-CN"/>
        </w:rPr>
      </w:pPr>
    </w:p>
    <w:p w14:paraId="37C80889">
      <w:pPr>
        <w:jc w:val="both"/>
        <w:rPr>
          <w:rFonts w:hint="eastAsia" w:ascii="宋体" w:hAnsi="宋体"/>
          <w:b/>
          <w:color w:val="auto"/>
          <w:sz w:val="24"/>
          <w:szCs w:val="24"/>
          <w:highlight w:val="none"/>
          <w:lang w:val="en-US" w:eastAsia="zh-CN"/>
        </w:rPr>
      </w:pPr>
    </w:p>
    <w:p w14:paraId="564C0437">
      <w:pPr>
        <w:jc w:val="both"/>
        <w:rPr>
          <w:rFonts w:hint="eastAsia" w:ascii="宋体" w:hAnsi="宋体"/>
          <w:b/>
          <w:color w:val="auto"/>
          <w:sz w:val="24"/>
          <w:szCs w:val="24"/>
          <w:highlight w:val="none"/>
          <w:lang w:val="en-US" w:eastAsia="zh-CN"/>
        </w:rPr>
      </w:pPr>
    </w:p>
    <w:p w14:paraId="1AC609FB">
      <w:pPr>
        <w:jc w:val="both"/>
        <w:rPr>
          <w:rFonts w:hint="eastAsia" w:ascii="宋体" w:hAnsi="宋体"/>
          <w:b/>
          <w:color w:val="auto"/>
          <w:sz w:val="24"/>
          <w:szCs w:val="24"/>
          <w:highlight w:val="none"/>
          <w:lang w:val="en-US" w:eastAsia="zh-CN"/>
        </w:rPr>
      </w:pPr>
    </w:p>
    <w:p w14:paraId="1698D159">
      <w:pPr>
        <w:jc w:val="both"/>
        <w:rPr>
          <w:rFonts w:hint="eastAsia" w:ascii="宋体" w:hAnsi="宋体"/>
          <w:b/>
          <w:color w:val="auto"/>
          <w:sz w:val="24"/>
          <w:szCs w:val="24"/>
          <w:highlight w:val="none"/>
          <w:lang w:val="en-US" w:eastAsia="zh-CN"/>
        </w:rPr>
      </w:pPr>
    </w:p>
    <w:p w14:paraId="78B10A48">
      <w:pPr>
        <w:jc w:val="both"/>
        <w:rPr>
          <w:rFonts w:hint="eastAsia" w:ascii="宋体" w:hAnsi="宋体"/>
          <w:b/>
          <w:color w:val="auto"/>
          <w:sz w:val="24"/>
          <w:szCs w:val="24"/>
          <w:highlight w:val="none"/>
          <w:lang w:val="en-US" w:eastAsia="zh-CN"/>
        </w:rPr>
      </w:pPr>
    </w:p>
    <w:p w14:paraId="1F2B9FE1">
      <w:pPr>
        <w:jc w:val="both"/>
        <w:rPr>
          <w:rFonts w:hint="eastAsia" w:ascii="宋体" w:hAnsi="宋体"/>
          <w:b/>
          <w:color w:val="auto"/>
          <w:sz w:val="24"/>
          <w:szCs w:val="24"/>
          <w:highlight w:val="none"/>
          <w:lang w:val="en-US" w:eastAsia="zh-CN"/>
        </w:rPr>
      </w:pPr>
    </w:p>
    <w:p w14:paraId="438862D5">
      <w:pPr>
        <w:jc w:val="both"/>
        <w:rPr>
          <w:rFonts w:hint="eastAsia" w:ascii="宋体" w:hAnsi="宋体"/>
          <w:b/>
          <w:color w:val="auto"/>
          <w:sz w:val="24"/>
          <w:szCs w:val="24"/>
          <w:highlight w:val="none"/>
          <w:lang w:val="en-US" w:eastAsia="zh-CN"/>
        </w:rPr>
      </w:pPr>
    </w:p>
    <w:p w14:paraId="0A5489FF">
      <w:pPr>
        <w:jc w:val="both"/>
        <w:rPr>
          <w:rFonts w:hint="eastAsia" w:ascii="宋体" w:hAnsi="宋体"/>
          <w:b/>
          <w:color w:val="auto"/>
          <w:sz w:val="24"/>
          <w:szCs w:val="24"/>
          <w:highlight w:val="none"/>
          <w:lang w:val="en-US" w:eastAsia="zh-CN"/>
        </w:rPr>
      </w:pPr>
    </w:p>
    <w:p w14:paraId="282BBD98">
      <w:pPr>
        <w:pStyle w:val="37"/>
        <w:rPr>
          <w:rFonts w:hint="eastAsia"/>
          <w:highlight w:val="none"/>
          <w:lang w:val="en-US" w:eastAsia="zh-CN"/>
        </w:rPr>
      </w:pPr>
    </w:p>
    <w:p w14:paraId="3617CA5E">
      <w:pPr>
        <w:jc w:val="both"/>
        <w:rPr>
          <w:rFonts w:hint="eastAsia" w:ascii="宋体" w:hAnsi="宋体"/>
          <w:b/>
          <w:color w:val="auto"/>
          <w:sz w:val="24"/>
          <w:szCs w:val="24"/>
          <w:highlight w:val="none"/>
          <w:lang w:val="en-US" w:eastAsia="zh-CN"/>
        </w:rPr>
      </w:pPr>
    </w:p>
    <w:p w14:paraId="6379C40E">
      <w:pPr>
        <w:jc w:val="both"/>
        <w:rPr>
          <w:rFonts w:hint="eastAsia" w:ascii="宋体" w:hAnsi="宋体"/>
          <w:b/>
          <w:color w:val="auto"/>
          <w:sz w:val="24"/>
          <w:szCs w:val="24"/>
          <w:highlight w:val="none"/>
          <w:lang w:val="en-US" w:eastAsia="zh-CN"/>
        </w:rPr>
      </w:pPr>
    </w:p>
    <w:p w14:paraId="745A91AD">
      <w:pPr>
        <w:jc w:val="center"/>
        <w:outlineLvl w:val="1"/>
        <w:rPr>
          <w:rFonts w:hint="eastAsia" w:ascii="宋体" w:hAnsi="宋体"/>
          <w:b/>
          <w:color w:val="auto"/>
          <w:sz w:val="24"/>
          <w:szCs w:val="21"/>
          <w:highlight w:val="none"/>
          <w:lang w:val="en-US" w:eastAsia="zh-CN"/>
        </w:rPr>
      </w:pPr>
      <w:r>
        <w:rPr>
          <w:rFonts w:hint="eastAsia" w:ascii="宋体" w:hAnsi="宋体"/>
          <w:b/>
          <w:color w:val="auto"/>
          <w:sz w:val="24"/>
          <w:szCs w:val="21"/>
          <w:highlight w:val="none"/>
          <w:lang w:val="en-US" w:eastAsia="zh-CN"/>
        </w:rPr>
        <w:t>十二、提供南京市政府采购供应商信用记录表暨信用承诺书</w:t>
      </w:r>
    </w:p>
    <w:p w14:paraId="4375DE47">
      <w:pPr>
        <w:pStyle w:val="104"/>
        <w:jc w:val="right"/>
        <w:rPr>
          <w:rFonts w:hint="eastAsia" w:ascii="仿宋" w:hAnsi="仿宋" w:eastAsia="仿宋" w:cs="仿宋"/>
          <w:b w:val="0"/>
          <w:bCs w:val="0"/>
          <w:color w:val="auto"/>
          <w:sz w:val="22"/>
          <w:szCs w:val="22"/>
          <w:highlight w:val="none"/>
          <w:lang w:val="en-US" w:eastAsia="zh-CN"/>
        </w:rPr>
      </w:pPr>
    </w:p>
    <w:p w14:paraId="50970AAC">
      <w:pPr>
        <w:pStyle w:val="104"/>
        <w:jc w:val="righ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2026年  月   日</w:t>
      </w:r>
    </w:p>
    <w:tbl>
      <w:tblPr>
        <w:tblStyle w:val="1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91"/>
        <w:gridCol w:w="2651"/>
        <w:gridCol w:w="2421"/>
        <w:gridCol w:w="2421"/>
      </w:tblGrid>
      <w:tr w14:paraId="4F6DF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91" w:type="dxa"/>
            <w:noWrap w:val="0"/>
            <w:vAlign w:val="center"/>
          </w:tcPr>
          <w:p w14:paraId="7C8BC054">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单位名称</w:t>
            </w:r>
          </w:p>
        </w:tc>
        <w:tc>
          <w:tcPr>
            <w:tcW w:w="2651" w:type="dxa"/>
            <w:noWrap w:val="0"/>
            <w:vAlign w:val="center"/>
          </w:tcPr>
          <w:p w14:paraId="6011A526">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rPr>
            </w:pPr>
          </w:p>
        </w:tc>
        <w:tc>
          <w:tcPr>
            <w:tcW w:w="2421" w:type="dxa"/>
            <w:noWrap w:val="0"/>
            <w:vAlign w:val="center"/>
          </w:tcPr>
          <w:p w14:paraId="629F3F59">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统一社会信用代码</w:t>
            </w:r>
          </w:p>
        </w:tc>
        <w:tc>
          <w:tcPr>
            <w:tcW w:w="2421" w:type="dxa"/>
            <w:noWrap w:val="0"/>
            <w:vAlign w:val="center"/>
          </w:tcPr>
          <w:p w14:paraId="2AF31D48">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rPr>
            </w:pPr>
          </w:p>
        </w:tc>
      </w:tr>
      <w:tr w14:paraId="44F04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91" w:type="dxa"/>
            <w:noWrap w:val="0"/>
            <w:vAlign w:val="center"/>
          </w:tcPr>
          <w:p w14:paraId="10CFFB82">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法定代表人</w:t>
            </w:r>
          </w:p>
        </w:tc>
        <w:tc>
          <w:tcPr>
            <w:tcW w:w="2651" w:type="dxa"/>
            <w:noWrap w:val="0"/>
            <w:vAlign w:val="center"/>
          </w:tcPr>
          <w:p w14:paraId="4D4AD0AB">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rPr>
            </w:pPr>
          </w:p>
        </w:tc>
        <w:tc>
          <w:tcPr>
            <w:tcW w:w="2421" w:type="dxa"/>
            <w:noWrap w:val="0"/>
            <w:vAlign w:val="center"/>
          </w:tcPr>
          <w:p w14:paraId="68D1A07D">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联系人</w:t>
            </w:r>
          </w:p>
        </w:tc>
        <w:tc>
          <w:tcPr>
            <w:tcW w:w="2421" w:type="dxa"/>
            <w:noWrap w:val="0"/>
            <w:vAlign w:val="center"/>
          </w:tcPr>
          <w:p w14:paraId="14501523">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rPr>
            </w:pPr>
          </w:p>
        </w:tc>
      </w:tr>
      <w:tr w14:paraId="0D0E4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jc w:val="center"/>
        </w:trPr>
        <w:tc>
          <w:tcPr>
            <w:tcW w:w="2191" w:type="dxa"/>
            <w:noWrap w:val="0"/>
            <w:vAlign w:val="center"/>
          </w:tcPr>
          <w:p w14:paraId="278A0B25">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联系地址</w:t>
            </w:r>
          </w:p>
        </w:tc>
        <w:tc>
          <w:tcPr>
            <w:tcW w:w="2651" w:type="dxa"/>
            <w:noWrap w:val="0"/>
            <w:vAlign w:val="center"/>
          </w:tcPr>
          <w:p w14:paraId="360A49F7">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rPr>
            </w:pPr>
          </w:p>
        </w:tc>
        <w:tc>
          <w:tcPr>
            <w:tcW w:w="2421" w:type="dxa"/>
            <w:noWrap w:val="0"/>
            <w:vAlign w:val="center"/>
          </w:tcPr>
          <w:p w14:paraId="5F5BC1F7">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联系电话</w:t>
            </w:r>
          </w:p>
        </w:tc>
        <w:tc>
          <w:tcPr>
            <w:tcW w:w="2421" w:type="dxa"/>
            <w:noWrap w:val="0"/>
            <w:vAlign w:val="center"/>
          </w:tcPr>
          <w:p w14:paraId="69E1EF0B">
            <w:pPr>
              <w:widowControl/>
              <w:numPr>
                <w:ilvl w:val="0"/>
                <w:numId w:val="0"/>
              </w:numPr>
              <w:spacing w:line="240" w:lineRule="atLeast"/>
              <w:outlineLvl w:val="1"/>
              <w:rPr>
                <w:rFonts w:hint="eastAsia" w:ascii="宋体" w:hAnsi="宋体" w:eastAsia="宋体" w:cs="宋体"/>
                <w:b w:val="0"/>
                <w:bCs w:val="0"/>
                <w:color w:val="auto"/>
                <w:sz w:val="22"/>
                <w:szCs w:val="22"/>
                <w:highlight w:val="none"/>
                <w:vertAlign w:val="baseline"/>
              </w:rPr>
            </w:pPr>
          </w:p>
        </w:tc>
      </w:tr>
      <w:tr w14:paraId="51959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4" w:hRule="atLeast"/>
          <w:jc w:val="center"/>
        </w:trPr>
        <w:tc>
          <w:tcPr>
            <w:tcW w:w="2191" w:type="dxa"/>
            <w:noWrap w:val="0"/>
            <w:vAlign w:val="center"/>
          </w:tcPr>
          <w:p w14:paraId="34E35681">
            <w:pPr>
              <w:widowControl/>
              <w:numPr>
                <w:ilvl w:val="0"/>
                <w:numId w:val="0"/>
              </w:numPr>
              <w:spacing w:line="240" w:lineRule="atLeast"/>
              <w:jc w:val="center"/>
              <w:outlineLvl w:val="1"/>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信用承诺</w:t>
            </w:r>
          </w:p>
        </w:tc>
        <w:tc>
          <w:tcPr>
            <w:tcW w:w="7493" w:type="dxa"/>
            <w:gridSpan w:val="3"/>
            <w:noWrap w:val="0"/>
            <w:vAlign w:val="top"/>
          </w:tcPr>
          <w:p w14:paraId="1503CD04">
            <w:pPr>
              <w:pStyle w:val="104"/>
              <w:ind w:left="0" w:firstLine="0"/>
              <w:rPr>
                <w:rFonts w:hint="eastAsia" w:ascii="宋体" w:hAnsi="宋体" w:eastAsia="宋体" w:cs="宋体"/>
                <w:b w:val="0"/>
                <w:bCs w:val="0"/>
                <w:color w:val="auto"/>
                <w:sz w:val="22"/>
                <w:szCs w:val="22"/>
                <w:highlight w:val="none"/>
                <w:vertAlign w:val="baseline"/>
              </w:rPr>
            </w:pPr>
          </w:p>
          <w:p w14:paraId="5BE6E569">
            <w:pPr>
              <w:spacing w:line="360" w:lineRule="auto"/>
              <w:rPr>
                <w:rFonts w:hint="eastAsia" w:ascii="宋体" w:hAnsi="宋体" w:eastAsia="宋体" w:cs="宋体"/>
                <w:b w:val="0"/>
                <w:bCs w:val="0"/>
                <w:i w:val="0"/>
                <w:iCs/>
                <w:color w:val="auto"/>
                <w:sz w:val="22"/>
                <w:szCs w:val="22"/>
                <w:highlight w:val="none"/>
                <w:u w:val="no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  我公司自愿参加贵公司组织的</w:t>
            </w:r>
            <w:r>
              <w:rPr>
                <w:rFonts w:hint="eastAsia" w:ascii="宋体" w:hAnsi="宋体" w:eastAsia="宋体" w:cs="宋体"/>
                <w:b w:val="0"/>
                <w:bCs w:val="0"/>
                <w:i w:val="0"/>
                <w:iCs/>
                <w:color w:val="auto"/>
                <w:sz w:val="22"/>
                <w:szCs w:val="22"/>
                <w:highlight w:val="none"/>
                <w:u w:val="none"/>
                <w:lang w:val="en-US" w:eastAsia="zh-CN"/>
              </w:rPr>
              <w:t>采购活动，严格遵守《中华人民共和国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具有履行合同所必需的设备和专业技术能力；具有依法缴纳税收和社会保障资金的良好记录；参加政府采购活动前三年内，在经营活动中没有重大违法记录；符合法律、行政法规和采购文件规定的其他条件。如有弄虚作假或有其他违法违规行为，愿承担一切法律责任，接受各级政府采购监管部门和有权机关的审查和处罚。</w:t>
            </w:r>
          </w:p>
          <w:p w14:paraId="3BA4B8B4">
            <w:pPr>
              <w:pStyle w:val="104"/>
              <w:keepNext w:val="0"/>
              <w:keepLines w:val="0"/>
              <w:pageBreakBefore w:val="0"/>
              <w:widowControl w:val="0"/>
              <w:spacing w:line="440" w:lineRule="exact"/>
              <w:ind w:left="0" w:firstLine="0"/>
              <w:rPr>
                <w:rFonts w:hint="eastAsia" w:ascii="宋体" w:hAnsi="宋体" w:eastAsia="宋体" w:cs="宋体"/>
                <w:b w:val="0"/>
                <w:bCs w:val="0"/>
                <w:i w:val="0"/>
                <w:iCs/>
                <w:color w:val="auto"/>
                <w:sz w:val="22"/>
                <w:szCs w:val="22"/>
                <w:highlight w:val="none"/>
                <w:u w:val="none"/>
                <w:lang w:val="en-US" w:eastAsia="zh-CN"/>
              </w:rPr>
            </w:pPr>
          </w:p>
          <w:p w14:paraId="34903EB3">
            <w:pPr>
              <w:pStyle w:val="104"/>
              <w:keepNext w:val="0"/>
              <w:keepLines w:val="0"/>
              <w:pageBreakBefore w:val="0"/>
              <w:widowControl w:val="0"/>
              <w:spacing w:line="440" w:lineRule="exact"/>
              <w:ind w:left="0" w:firstLine="0"/>
              <w:rPr>
                <w:rFonts w:hint="eastAsia" w:ascii="宋体" w:hAnsi="宋体" w:eastAsia="宋体" w:cs="宋体"/>
                <w:b w:val="0"/>
                <w:bCs w:val="0"/>
                <w:i w:val="0"/>
                <w:iCs/>
                <w:color w:val="auto"/>
                <w:sz w:val="22"/>
                <w:szCs w:val="22"/>
                <w:highlight w:val="none"/>
                <w:u w:val="none"/>
                <w:lang w:val="en-US" w:eastAsia="zh-CN"/>
              </w:rPr>
            </w:pPr>
          </w:p>
          <w:p w14:paraId="4C53476B">
            <w:pPr>
              <w:pStyle w:val="104"/>
              <w:keepNext w:val="0"/>
              <w:keepLines w:val="0"/>
              <w:pageBreakBefore w:val="0"/>
              <w:widowControl w:val="0"/>
              <w:spacing w:line="440" w:lineRule="exact"/>
              <w:ind w:left="0" w:firstLine="0"/>
              <w:rPr>
                <w:rFonts w:hint="eastAsia" w:ascii="宋体" w:hAnsi="宋体" w:eastAsia="宋体" w:cs="宋体"/>
                <w:b w:val="0"/>
                <w:bCs w:val="0"/>
                <w:i w:val="0"/>
                <w:iCs/>
                <w:color w:val="auto"/>
                <w:sz w:val="22"/>
                <w:szCs w:val="22"/>
                <w:highlight w:val="none"/>
                <w:u w:val="none"/>
                <w:lang w:val="en-US" w:eastAsia="zh-CN"/>
              </w:rPr>
            </w:pPr>
          </w:p>
          <w:p w14:paraId="78F633AD">
            <w:pPr>
              <w:pStyle w:val="104"/>
              <w:keepNext w:val="0"/>
              <w:keepLines w:val="0"/>
              <w:pageBreakBefore w:val="0"/>
              <w:widowControl w:val="0"/>
              <w:spacing w:line="440" w:lineRule="exact"/>
              <w:ind w:left="0" w:firstLine="0"/>
              <w:rPr>
                <w:rFonts w:hint="eastAsia" w:ascii="宋体" w:hAnsi="宋体" w:eastAsia="宋体" w:cs="宋体"/>
                <w:b w:val="0"/>
                <w:bCs w:val="0"/>
                <w:i w:val="0"/>
                <w:iCs/>
                <w:color w:val="auto"/>
                <w:sz w:val="22"/>
                <w:szCs w:val="22"/>
                <w:highlight w:val="none"/>
                <w:u w:val="none"/>
                <w:lang w:val="en-US" w:eastAsia="zh-CN"/>
              </w:rPr>
            </w:pPr>
          </w:p>
        </w:tc>
      </w:tr>
    </w:tbl>
    <w:p w14:paraId="1ADE4D33">
      <w:pPr>
        <w:spacing w:line="400" w:lineRule="exact"/>
        <w:rPr>
          <w:rFonts w:hint="eastAsia" w:ascii="宋体" w:hAnsi="宋体" w:cs="黑体"/>
          <w:b w:val="0"/>
          <w:bCs w:val="0"/>
          <w:color w:val="auto"/>
          <w:sz w:val="22"/>
          <w:szCs w:val="22"/>
          <w:highlight w:val="none"/>
        </w:rPr>
      </w:pPr>
    </w:p>
    <w:p w14:paraId="45D12B7C">
      <w:pPr>
        <w:autoSpaceDE w:val="0"/>
        <w:autoSpaceDN w:val="0"/>
        <w:adjustRightInd w:val="0"/>
        <w:jc w:val="right"/>
        <w:rPr>
          <w:rFonts w:hint="eastAsia" w:ascii="仿宋" w:hAnsi="仿宋" w:eastAsia="仿宋" w:cs="仿宋"/>
          <w:color w:val="auto"/>
          <w:sz w:val="24"/>
          <w:szCs w:val="24"/>
          <w:highlight w:val="none"/>
        </w:rPr>
      </w:pPr>
      <w:bookmarkStart w:id="174" w:name="_GoBack"/>
      <w:bookmarkEnd w:id="174"/>
    </w:p>
    <w:sectPr>
      <w:headerReference r:id="rId9" w:type="default"/>
      <w:footerReference r:id="rId10" w:type="default"/>
      <w:pgSz w:w="11906" w:h="16838"/>
      <w:pgMar w:top="1418" w:right="1134" w:bottom="1247"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2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金山简魏碑">
    <w:altName w:val="宋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KNLe">
    <w:altName w:val="Times New Roman"/>
    <w:panose1 w:val="00000000000000000000"/>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1DCFF">
    <w:pPr>
      <w:pStyle w:val="10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E2CE810">
                          <w:pPr>
                            <w:pStyle w:val="101"/>
                            <w:tabs>
                              <w:tab w:val="clear" w:pos="4153"/>
                              <w:tab w:val="clear" w:pos="8306"/>
                            </w:tabs>
                          </w:pPr>
                          <w:r>
                            <w:fldChar w:fldCharType="begin"/>
                          </w:r>
                          <w:r>
                            <w:instrText xml:space="preserve"> PAGE  \* MERGEFORMAT </w:instrText>
                          </w:r>
                          <w:r>
                            <w:fldChar w:fldCharType="separate"/>
                          </w:r>
                          <w:r>
                            <w:t>1</w:t>
                          </w:r>
                          <w:r>
                            <w:fldChar w:fldCharType="end"/>
                          </w:r>
                        </w:p>
                        <w:p w14:paraId="4B94D35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3E2CE810">
                    <w:pPr>
                      <w:pStyle w:val="101"/>
                      <w:tabs>
                        <w:tab w:val="clear" w:pos="4153"/>
                        <w:tab w:val="clear" w:pos="8306"/>
                      </w:tabs>
                    </w:pPr>
                    <w:r>
                      <w:fldChar w:fldCharType="begin"/>
                    </w:r>
                    <w:r>
                      <w:instrText xml:space="preserve"> PAGE  \* MERGEFORMAT </w:instrText>
                    </w:r>
                    <w:r>
                      <w:fldChar w:fldCharType="separate"/>
                    </w:r>
                    <w:r>
                      <w:t>1</w:t>
                    </w:r>
                    <w:r>
                      <w:fldChar w:fldCharType="end"/>
                    </w:r>
                  </w:p>
                  <w:p w14:paraId="4B94D353"/>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397A9">
    <w:pPr>
      <w:pStyle w:val="18"/>
      <w:jc w:val="center"/>
      <w:rPr>
        <w:rFonts w:hint="eastAsia" w:ascii="宋体" w:hAnsi="宋体"/>
      </w:rPr>
    </w:pPr>
    <w:r>
      <w:rPr>
        <w:rFonts w:hint="eastAsia" w:ascii="宋体" w:hAnsi="宋体"/>
        <w:kern w:val="0"/>
        <w:szCs w:val="21"/>
      </w:rPr>
      <w:t xml:space="preserve"> </w:t>
    </w:r>
    <w:r>
      <w:rPr>
        <w:rFonts w:ascii="宋体" w:hAnsi="宋体"/>
        <w:kern w:val="0"/>
        <w:szCs w:val="21"/>
      </w:rPr>
      <w:fldChar w:fldCharType="begin"/>
    </w:r>
    <w:r>
      <w:rPr>
        <w:rFonts w:ascii="宋体" w:hAnsi="宋体"/>
        <w:kern w:val="0"/>
        <w:szCs w:val="21"/>
      </w:rPr>
      <w:instrText xml:space="preserve"> PAGE </w:instrText>
    </w:r>
    <w:r>
      <w:rPr>
        <w:rFonts w:ascii="宋体" w:hAnsi="宋体"/>
        <w:kern w:val="0"/>
        <w:szCs w:val="21"/>
      </w:rPr>
      <w:fldChar w:fldCharType="separate"/>
    </w:r>
    <w:r>
      <w:rPr>
        <w:rFonts w:ascii="宋体" w:hAnsi="宋体"/>
        <w:kern w:val="0"/>
        <w:szCs w:val="21"/>
      </w:rPr>
      <w:t>14</w:t>
    </w:r>
    <w:r>
      <w:rPr>
        <w:rFonts w:ascii="宋体" w:hAnsi="宋体"/>
        <w:kern w:val="0"/>
        <w:szCs w:val="21"/>
      </w:rPr>
      <w:fldChar w:fldCharType="end"/>
    </w:r>
    <w:r>
      <w:rPr>
        <w:rFonts w:hint="eastAsia" w:ascii="宋体" w:hAnsi="宋体"/>
        <w:kern w:val="0"/>
        <w:szCs w:val="21"/>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19A89">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DF9DF9A">
                          <w:pPr>
                            <w:pStyle w:val="18"/>
                          </w:pPr>
                          <w:r>
                            <w:fldChar w:fldCharType="begin"/>
                          </w:r>
                          <w:r>
                            <w:instrText xml:space="preserve"> PAGE  \* MERGEFORMAT </w:instrText>
                          </w:r>
                          <w:r>
                            <w:fldChar w:fldCharType="separate"/>
                          </w:r>
                          <w:r>
                            <w:t>49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DF9DF9A">
                    <w:pPr>
                      <w:pStyle w:val="18"/>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3B90A">
    <w:pPr>
      <w:pStyle w:val="18"/>
      <w:jc w:val="center"/>
      <w:rPr>
        <w:rFonts w:hint="eastAsia" w:ascii="宋体" w:hAnsi="宋体"/>
      </w:rPr>
    </w:pPr>
    <w:r>
      <w:rPr>
        <w:rFonts w:hint="eastAsia" w:ascii="宋体" w:hAnsi="宋体"/>
        <w:kern w:val="0"/>
        <w:szCs w:val="21"/>
      </w:rPr>
      <w:t xml:space="preserve"> </w:t>
    </w:r>
    <w:r>
      <w:rPr>
        <w:rFonts w:ascii="宋体" w:hAnsi="宋体"/>
        <w:kern w:val="0"/>
        <w:szCs w:val="21"/>
      </w:rPr>
      <w:fldChar w:fldCharType="begin"/>
    </w:r>
    <w:r>
      <w:rPr>
        <w:rFonts w:ascii="宋体" w:hAnsi="宋体"/>
        <w:kern w:val="0"/>
        <w:szCs w:val="21"/>
      </w:rPr>
      <w:instrText xml:space="preserve"> PAGE </w:instrText>
    </w:r>
    <w:r>
      <w:rPr>
        <w:rFonts w:ascii="宋体" w:hAnsi="宋体"/>
        <w:kern w:val="0"/>
        <w:szCs w:val="21"/>
      </w:rPr>
      <w:fldChar w:fldCharType="separate"/>
    </w:r>
    <w:r>
      <w:rPr>
        <w:rFonts w:ascii="宋体" w:hAnsi="宋体"/>
        <w:kern w:val="0"/>
        <w:szCs w:val="21"/>
      </w:rPr>
      <w:t>16</w:t>
    </w:r>
    <w:r>
      <w:rPr>
        <w:rFonts w:ascii="宋体" w:hAnsi="宋体"/>
        <w:kern w:val="0"/>
        <w:szCs w:val="21"/>
      </w:rPr>
      <w:fldChar w:fldCharType="end"/>
    </w:r>
    <w:r>
      <w:rPr>
        <w:rFonts w:hint="eastAsia" w:ascii="宋体" w:hAnsi="宋体"/>
        <w:kern w:val="0"/>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6E1FF">
    <w:pPr>
      <w:pStyle w:val="100"/>
      <w:pBdr>
        <w:bottom w:val="none" w:color="000000" w:sz="0" w:space="0"/>
      </w:pBdr>
      <w:rPr>
        <w:szCs w:val="56"/>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4DB29">
    <w:pPr>
      <w:pStyle w:val="19"/>
      <w:wordWrap w:val="0"/>
      <w:jc w:val="right"/>
      <w:rPr>
        <w:rFonts w:hint="eastAsia"/>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76167">
    <w:pPr>
      <w:pStyle w:val="19"/>
      <w:pBdr>
        <w:bottom w:val="none" w:color="auto" w:sz="0" w:space="1"/>
      </w:pBdr>
      <w:wordWrap w:val="0"/>
      <w:jc w:val="center"/>
      <w:rPr>
        <w:rFonts w:hint="eastAsia"/>
        <w:i/>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4A35E">
    <w:pPr>
      <w:pStyle w:val="19"/>
      <w:pBdr>
        <w:bottom w:val="none" w:color="auto" w:sz="0" w:space="0"/>
      </w:pBdr>
      <w:tabs>
        <w:tab w:val="left" w:pos="5210"/>
        <w:tab w:val="clear" w:pos="8306"/>
      </w:tabs>
      <w:jc w:val="left"/>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31662967"/>
    <w:multiLevelType w:val="singleLevel"/>
    <w:tmpl w:val="31662967"/>
    <w:lvl w:ilvl="0" w:tentative="0">
      <w:start w:val="3"/>
      <w:numFmt w:val="chineseCounting"/>
      <w:suff w:val="space"/>
      <w:lvlText w:val="第%1章"/>
      <w:lvlJc w:val="left"/>
      <w:rPr>
        <w:rFonts w:hint="eastAsia"/>
      </w:rPr>
    </w:lvl>
  </w:abstractNum>
  <w:abstractNum w:abstractNumId="2">
    <w:nsid w:val="318E65F0"/>
    <w:multiLevelType w:val="singleLevel"/>
    <w:tmpl w:val="318E65F0"/>
    <w:lvl w:ilvl="0" w:tentative="0">
      <w:start w:val="5"/>
      <w:numFmt w:val="decimal"/>
      <w:suff w:val="nothing"/>
      <w:lvlText w:val="%1、"/>
      <w:lvlJc w:val="left"/>
    </w:lvl>
  </w:abstractNum>
  <w:abstractNum w:abstractNumId="3">
    <w:nsid w:val="3A47318C"/>
    <w:multiLevelType w:val="singleLevel"/>
    <w:tmpl w:val="3A47318C"/>
    <w:lvl w:ilvl="0" w:tentative="0">
      <w:start w:val="2"/>
      <w:numFmt w:val="chineseCounting"/>
      <w:suff w:val="nothing"/>
      <w:lvlText w:val="（%1）"/>
      <w:lvlJc w:val="left"/>
      <w:rPr>
        <w:rFonts w:hint="eastAsia"/>
      </w:rPr>
    </w:lvl>
  </w:abstractNum>
  <w:abstractNum w:abstractNumId="4">
    <w:nsid w:val="3B1E3A3F"/>
    <w:multiLevelType w:val="multilevel"/>
    <w:tmpl w:val="3B1E3A3F"/>
    <w:lvl w:ilvl="0" w:tentative="0">
      <w:start w:val="1"/>
      <w:numFmt w:val="decimal"/>
      <w:pStyle w:val="2"/>
      <w:lvlText w:val="%1"/>
      <w:lvlJc w:val="left"/>
      <w:pPr>
        <w:tabs>
          <w:tab w:val="left" w:pos="432"/>
        </w:tabs>
        <w:ind w:left="420" w:hanging="432"/>
      </w:pPr>
    </w:lvl>
    <w:lvl w:ilvl="1" w:tentative="0">
      <w:start w:val="1"/>
      <w:numFmt w:val="decimal"/>
      <w:lvlText w:val="%1.%2"/>
      <w:lvlJc w:val="left"/>
      <w:pPr>
        <w:tabs>
          <w:tab w:val="left" w:pos="576"/>
        </w:tabs>
        <w:ind w:left="564" w:hanging="576"/>
      </w:pPr>
    </w:lvl>
    <w:lvl w:ilvl="2" w:tentative="0">
      <w:start w:val="1"/>
      <w:numFmt w:val="decimal"/>
      <w:pStyle w:val="4"/>
      <w:lvlText w:val="%1.%2.%3"/>
      <w:lvlJc w:val="left"/>
      <w:pPr>
        <w:tabs>
          <w:tab w:val="left" w:pos="720"/>
        </w:tabs>
        <w:ind w:left="708" w:hanging="720"/>
      </w:pPr>
    </w:lvl>
    <w:lvl w:ilvl="3" w:tentative="0">
      <w:start w:val="1"/>
      <w:numFmt w:val="decimal"/>
      <w:lvlText w:val="%1.%2.%3.%4"/>
      <w:lvlJc w:val="left"/>
      <w:pPr>
        <w:tabs>
          <w:tab w:val="left" w:pos="864"/>
        </w:tabs>
        <w:ind w:left="852" w:hanging="864"/>
      </w:pPr>
    </w:lvl>
    <w:lvl w:ilvl="4" w:tentative="0">
      <w:start w:val="1"/>
      <w:numFmt w:val="decimal"/>
      <w:lvlText w:val="%1.%2.%3.%4.%5"/>
      <w:lvlJc w:val="left"/>
      <w:pPr>
        <w:tabs>
          <w:tab w:val="left" w:pos="1008"/>
        </w:tabs>
        <w:ind w:left="996" w:hanging="1008"/>
      </w:pPr>
    </w:lvl>
    <w:lvl w:ilvl="5" w:tentative="0">
      <w:start w:val="1"/>
      <w:numFmt w:val="decimal"/>
      <w:lvlText w:val="%1.%2.%3.%4.%5.%6"/>
      <w:lvlJc w:val="left"/>
      <w:pPr>
        <w:tabs>
          <w:tab w:val="left" w:pos="1152"/>
        </w:tabs>
        <w:ind w:left="1140" w:hanging="1152"/>
      </w:pPr>
    </w:lvl>
    <w:lvl w:ilvl="6" w:tentative="0">
      <w:start w:val="1"/>
      <w:numFmt w:val="decimal"/>
      <w:lvlText w:val="%1.%2.%3.%4.%5.%6.%7"/>
      <w:lvlJc w:val="left"/>
      <w:pPr>
        <w:tabs>
          <w:tab w:val="left" w:pos="1296"/>
        </w:tabs>
        <w:ind w:left="1284" w:hanging="1296"/>
      </w:pPr>
    </w:lvl>
    <w:lvl w:ilvl="7" w:tentative="0">
      <w:start w:val="1"/>
      <w:numFmt w:val="decimal"/>
      <w:lvlText w:val="%1.%2.%3.%4.%5.%6.%7.%8"/>
      <w:lvlJc w:val="left"/>
      <w:pPr>
        <w:tabs>
          <w:tab w:val="left" w:pos="1440"/>
        </w:tabs>
        <w:ind w:left="1428" w:hanging="1440"/>
      </w:pPr>
    </w:lvl>
    <w:lvl w:ilvl="8" w:tentative="0">
      <w:start w:val="1"/>
      <w:numFmt w:val="decimal"/>
      <w:lvlText w:val="%1.%2.%3.%4.%5.%6.%7.%8.%9"/>
      <w:lvlJc w:val="left"/>
      <w:pPr>
        <w:tabs>
          <w:tab w:val="left" w:pos="1584"/>
        </w:tabs>
        <w:ind w:left="1572" w:hanging="1584"/>
      </w:pPr>
    </w:lvl>
  </w:abstractNum>
  <w:abstractNum w:abstractNumId="5">
    <w:nsid w:val="4F541BB4"/>
    <w:multiLevelType w:val="multilevel"/>
    <w:tmpl w:val="4F541BB4"/>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5"/>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6">
    <w:nsid w:val="6F97673D"/>
    <w:multiLevelType w:val="singleLevel"/>
    <w:tmpl w:val="6F97673D"/>
    <w:lvl w:ilvl="0" w:tentative="0">
      <w:start w:val="1"/>
      <w:numFmt w:val="decimal"/>
      <w:suff w:val="nothing"/>
      <w:lvlText w:val="（%1）"/>
      <w:lvlJc w:val="left"/>
    </w:lvl>
  </w:abstractNum>
  <w:num w:numId="1">
    <w:abstractNumId w:val="4"/>
  </w:num>
  <w:num w:numId="2">
    <w:abstractNumId w:val="5"/>
  </w:num>
  <w:num w:numId="3">
    <w:abstractNumId w:val="3"/>
  </w:num>
  <w:num w:numId="4">
    <w:abstractNumId w:val="2"/>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5ZWYxZmQ4ZTQ1OTg1OWQxNTdmYjEwNzkzMDZhOTQifQ=="/>
  </w:docVars>
  <w:rsids>
    <w:rsidRoot w:val="003E725D"/>
    <w:rsid w:val="00000059"/>
    <w:rsid w:val="00000299"/>
    <w:rsid w:val="00000B3F"/>
    <w:rsid w:val="00000D6E"/>
    <w:rsid w:val="000012B2"/>
    <w:rsid w:val="00001E28"/>
    <w:rsid w:val="00001F1F"/>
    <w:rsid w:val="00002124"/>
    <w:rsid w:val="0000245C"/>
    <w:rsid w:val="00002C37"/>
    <w:rsid w:val="00002FF1"/>
    <w:rsid w:val="0000340E"/>
    <w:rsid w:val="00004374"/>
    <w:rsid w:val="00004A2E"/>
    <w:rsid w:val="000064EB"/>
    <w:rsid w:val="00006DDB"/>
    <w:rsid w:val="00007088"/>
    <w:rsid w:val="0000757E"/>
    <w:rsid w:val="00010513"/>
    <w:rsid w:val="00010DC2"/>
    <w:rsid w:val="00010FA0"/>
    <w:rsid w:val="00011B4E"/>
    <w:rsid w:val="00011F6D"/>
    <w:rsid w:val="00012410"/>
    <w:rsid w:val="00012DB4"/>
    <w:rsid w:val="000133CE"/>
    <w:rsid w:val="00013D5D"/>
    <w:rsid w:val="0001564A"/>
    <w:rsid w:val="00016B89"/>
    <w:rsid w:val="00020B64"/>
    <w:rsid w:val="00021CE2"/>
    <w:rsid w:val="000224B2"/>
    <w:rsid w:val="0002348C"/>
    <w:rsid w:val="00024932"/>
    <w:rsid w:val="00024A76"/>
    <w:rsid w:val="00025147"/>
    <w:rsid w:val="00025CB4"/>
    <w:rsid w:val="000263E9"/>
    <w:rsid w:val="0002721E"/>
    <w:rsid w:val="00030B13"/>
    <w:rsid w:val="00032CE8"/>
    <w:rsid w:val="000337FD"/>
    <w:rsid w:val="00034181"/>
    <w:rsid w:val="0003510D"/>
    <w:rsid w:val="00035715"/>
    <w:rsid w:val="00036C56"/>
    <w:rsid w:val="00037108"/>
    <w:rsid w:val="000379B8"/>
    <w:rsid w:val="00040282"/>
    <w:rsid w:val="000402B1"/>
    <w:rsid w:val="00040360"/>
    <w:rsid w:val="000405A0"/>
    <w:rsid w:val="00040BB5"/>
    <w:rsid w:val="000419B5"/>
    <w:rsid w:val="00043630"/>
    <w:rsid w:val="00043808"/>
    <w:rsid w:val="0004445B"/>
    <w:rsid w:val="000447E0"/>
    <w:rsid w:val="00044F40"/>
    <w:rsid w:val="000464E1"/>
    <w:rsid w:val="00046577"/>
    <w:rsid w:val="0005083B"/>
    <w:rsid w:val="00050D98"/>
    <w:rsid w:val="00051243"/>
    <w:rsid w:val="0005130B"/>
    <w:rsid w:val="00051899"/>
    <w:rsid w:val="00051D07"/>
    <w:rsid w:val="000528A3"/>
    <w:rsid w:val="00052CB4"/>
    <w:rsid w:val="0005386F"/>
    <w:rsid w:val="00053993"/>
    <w:rsid w:val="00053FD6"/>
    <w:rsid w:val="00054EF2"/>
    <w:rsid w:val="0005507B"/>
    <w:rsid w:val="00055A13"/>
    <w:rsid w:val="000566E8"/>
    <w:rsid w:val="00057EE7"/>
    <w:rsid w:val="00060036"/>
    <w:rsid w:val="000604C8"/>
    <w:rsid w:val="00060B81"/>
    <w:rsid w:val="00060DFA"/>
    <w:rsid w:val="00060E2C"/>
    <w:rsid w:val="00060F46"/>
    <w:rsid w:val="00061B67"/>
    <w:rsid w:val="000631D5"/>
    <w:rsid w:val="000649C7"/>
    <w:rsid w:val="00064CE6"/>
    <w:rsid w:val="000651CA"/>
    <w:rsid w:val="0006700A"/>
    <w:rsid w:val="000673AE"/>
    <w:rsid w:val="000675D7"/>
    <w:rsid w:val="0006772D"/>
    <w:rsid w:val="0006779C"/>
    <w:rsid w:val="000678F4"/>
    <w:rsid w:val="00067ECA"/>
    <w:rsid w:val="00067F4A"/>
    <w:rsid w:val="000709B3"/>
    <w:rsid w:val="00071434"/>
    <w:rsid w:val="000730D7"/>
    <w:rsid w:val="0007338F"/>
    <w:rsid w:val="000742D8"/>
    <w:rsid w:val="00074AF3"/>
    <w:rsid w:val="0007643E"/>
    <w:rsid w:val="00077110"/>
    <w:rsid w:val="000774D2"/>
    <w:rsid w:val="000776F1"/>
    <w:rsid w:val="00077EA4"/>
    <w:rsid w:val="00081A6D"/>
    <w:rsid w:val="00081A8F"/>
    <w:rsid w:val="00081EFD"/>
    <w:rsid w:val="0008242F"/>
    <w:rsid w:val="00082ACB"/>
    <w:rsid w:val="00083B7C"/>
    <w:rsid w:val="000842E6"/>
    <w:rsid w:val="000845C3"/>
    <w:rsid w:val="000860FB"/>
    <w:rsid w:val="00086B2C"/>
    <w:rsid w:val="000876E2"/>
    <w:rsid w:val="0009042B"/>
    <w:rsid w:val="00091140"/>
    <w:rsid w:val="000917F1"/>
    <w:rsid w:val="000936B3"/>
    <w:rsid w:val="00093992"/>
    <w:rsid w:val="000951B5"/>
    <w:rsid w:val="00095213"/>
    <w:rsid w:val="00095B28"/>
    <w:rsid w:val="00096D6B"/>
    <w:rsid w:val="0009733D"/>
    <w:rsid w:val="000A0270"/>
    <w:rsid w:val="000A0F8F"/>
    <w:rsid w:val="000A2C1D"/>
    <w:rsid w:val="000A394D"/>
    <w:rsid w:val="000A3B77"/>
    <w:rsid w:val="000A42F3"/>
    <w:rsid w:val="000A4C2B"/>
    <w:rsid w:val="000A62C2"/>
    <w:rsid w:val="000A636F"/>
    <w:rsid w:val="000A645D"/>
    <w:rsid w:val="000B11F8"/>
    <w:rsid w:val="000B22E2"/>
    <w:rsid w:val="000B2849"/>
    <w:rsid w:val="000B2D94"/>
    <w:rsid w:val="000B38A6"/>
    <w:rsid w:val="000B49EE"/>
    <w:rsid w:val="000B547C"/>
    <w:rsid w:val="000C0259"/>
    <w:rsid w:val="000C0EEE"/>
    <w:rsid w:val="000C190A"/>
    <w:rsid w:val="000C2CD1"/>
    <w:rsid w:val="000C30B6"/>
    <w:rsid w:val="000C45C9"/>
    <w:rsid w:val="000C4CB7"/>
    <w:rsid w:val="000C5D32"/>
    <w:rsid w:val="000C6BB5"/>
    <w:rsid w:val="000C75F6"/>
    <w:rsid w:val="000C7D0B"/>
    <w:rsid w:val="000D0451"/>
    <w:rsid w:val="000D08EF"/>
    <w:rsid w:val="000D0B2B"/>
    <w:rsid w:val="000D0E85"/>
    <w:rsid w:val="000D214C"/>
    <w:rsid w:val="000D4D9A"/>
    <w:rsid w:val="000D4EAE"/>
    <w:rsid w:val="000D5A83"/>
    <w:rsid w:val="000D5CE3"/>
    <w:rsid w:val="000D6533"/>
    <w:rsid w:val="000D71C8"/>
    <w:rsid w:val="000E02AF"/>
    <w:rsid w:val="000E02D6"/>
    <w:rsid w:val="000E0E85"/>
    <w:rsid w:val="000E182B"/>
    <w:rsid w:val="000E3CD4"/>
    <w:rsid w:val="000E581D"/>
    <w:rsid w:val="000E67B3"/>
    <w:rsid w:val="000E6F8A"/>
    <w:rsid w:val="000E7635"/>
    <w:rsid w:val="000E7739"/>
    <w:rsid w:val="000F1094"/>
    <w:rsid w:val="000F17EC"/>
    <w:rsid w:val="000F23C3"/>
    <w:rsid w:val="000F36FC"/>
    <w:rsid w:val="000F4691"/>
    <w:rsid w:val="000F4D6A"/>
    <w:rsid w:val="000F67CD"/>
    <w:rsid w:val="000F70F9"/>
    <w:rsid w:val="000F7687"/>
    <w:rsid w:val="0010050D"/>
    <w:rsid w:val="0010121E"/>
    <w:rsid w:val="001013D4"/>
    <w:rsid w:val="0010141E"/>
    <w:rsid w:val="00102443"/>
    <w:rsid w:val="00102CC3"/>
    <w:rsid w:val="00103A1D"/>
    <w:rsid w:val="00103FD8"/>
    <w:rsid w:val="001069B1"/>
    <w:rsid w:val="0011023D"/>
    <w:rsid w:val="00111DB5"/>
    <w:rsid w:val="00113A0B"/>
    <w:rsid w:val="00115027"/>
    <w:rsid w:val="001159E7"/>
    <w:rsid w:val="00115B53"/>
    <w:rsid w:val="001162D8"/>
    <w:rsid w:val="00116D22"/>
    <w:rsid w:val="00121685"/>
    <w:rsid w:val="00121ABD"/>
    <w:rsid w:val="00121B15"/>
    <w:rsid w:val="00121B1E"/>
    <w:rsid w:val="0012200E"/>
    <w:rsid w:val="001227FB"/>
    <w:rsid w:val="00122AC9"/>
    <w:rsid w:val="00123DC3"/>
    <w:rsid w:val="00125555"/>
    <w:rsid w:val="0012594D"/>
    <w:rsid w:val="00126AC2"/>
    <w:rsid w:val="001279BB"/>
    <w:rsid w:val="00130372"/>
    <w:rsid w:val="001304CE"/>
    <w:rsid w:val="00130F91"/>
    <w:rsid w:val="00131EB9"/>
    <w:rsid w:val="00132095"/>
    <w:rsid w:val="00132E66"/>
    <w:rsid w:val="001330D2"/>
    <w:rsid w:val="001335C0"/>
    <w:rsid w:val="00134F11"/>
    <w:rsid w:val="001372C6"/>
    <w:rsid w:val="0014209D"/>
    <w:rsid w:val="00142DBA"/>
    <w:rsid w:val="00145008"/>
    <w:rsid w:val="001458E9"/>
    <w:rsid w:val="00145C66"/>
    <w:rsid w:val="00145FF8"/>
    <w:rsid w:val="00152F08"/>
    <w:rsid w:val="00153BC6"/>
    <w:rsid w:val="00154EF1"/>
    <w:rsid w:val="00156D61"/>
    <w:rsid w:val="0015704F"/>
    <w:rsid w:val="001571B2"/>
    <w:rsid w:val="001573E2"/>
    <w:rsid w:val="00160824"/>
    <w:rsid w:val="001609F3"/>
    <w:rsid w:val="00160A61"/>
    <w:rsid w:val="00162244"/>
    <w:rsid w:val="00163338"/>
    <w:rsid w:val="00163629"/>
    <w:rsid w:val="001640EC"/>
    <w:rsid w:val="00164755"/>
    <w:rsid w:val="00165F2E"/>
    <w:rsid w:val="00170443"/>
    <w:rsid w:val="00170F4B"/>
    <w:rsid w:val="0017164C"/>
    <w:rsid w:val="001718D1"/>
    <w:rsid w:val="001722DC"/>
    <w:rsid w:val="0017287C"/>
    <w:rsid w:val="00173BD1"/>
    <w:rsid w:val="001742D9"/>
    <w:rsid w:val="00174A4F"/>
    <w:rsid w:val="00175824"/>
    <w:rsid w:val="00176A25"/>
    <w:rsid w:val="00177072"/>
    <w:rsid w:val="00181944"/>
    <w:rsid w:val="00181B00"/>
    <w:rsid w:val="00184C01"/>
    <w:rsid w:val="00185BDD"/>
    <w:rsid w:val="00186E05"/>
    <w:rsid w:val="00186F34"/>
    <w:rsid w:val="001873CE"/>
    <w:rsid w:val="0018795C"/>
    <w:rsid w:val="00190E8E"/>
    <w:rsid w:val="00191DE2"/>
    <w:rsid w:val="00191F7B"/>
    <w:rsid w:val="0019201E"/>
    <w:rsid w:val="00194F1D"/>
    <w:rsid w:val="00195339"/>
    <w:rsid w:val="0019582D"/>
    <w:rsid w:val="0019661B"/>
    <w:rsid w:val="00197B70"/>
    <w:rsid w:val="001A1708"/>
    <w:rsid w:val="001A2063"/>
    <w:rsid w:val="001A2742"/>
    <w:rsid w:val="001A30D7"/>
    <w:rsid w:val="001A4BAC"/>
    <w:rsid w:val="001A5D5F"/>
    <w:rsid w:val="001A5D88"/>
    <w:rsid w:val="001A623A"/>
    <w:rsid w:val="001A7A99"/>
    <w:rsid w:val="001B0FA4"/>
    <w:rsid w:val="001B1438"/>
    <w:rsid w:val="001B1B7A"/>
    <w:rsid w:val="001B227E"/>
    <w:rsid w:val="001B34D4"/>
    <w:rsid w:val="001B3AEA"/>
    <w:rsid w:val="001B46D3"/>
    <w:rsid w:val="001B4A2C"/>
    <w:rsid w:val="001B55B7"/>
    <w:rsid w:val="001B566A"/>
    <w:rsid w:val="001B5841"/>
    <w:rsid w:val="001B5E9E"/>
    <w:rsid w:val="001B7103"/>
    <w:rsid w:val="001B79E7"/>
    <w:rsid w:val="001C1449"/>
    <w:rsid w:val="001C1731"/>
    <w:rsid w:val="001C1738"/>
    <w:rsid w:val="001C1F85"/>
    <w:rsid w:val="001C27CA"/>
    <w:rsid w:val="001C3005"/>
    <w:rsid w:val="001C36A7"/>
    <w:rsid w:val="001C408A"/>
    <w:rsid w:val="001C523F"/>
    <w:rsid w:val="001C5F81"/>
    <w:rsid w:val="001C7709"/>
    <w:rsid w:val="001C7C1B"/>
    <w:rsid w:val="001D145E"/>
    <w:rsid w:val="001D1DEC"/>
    <w:rsid w:val="001D34F2"/>
    <w:rsid w:val="001D4569"/>
    <w:rsid w:val="001D538D"/>
    <w:rsid w:val="001D643C"/>
    <w:rsid w:val="001E03D1"/>
    <w:rsid w:val="001E0779"/>
    <w:rsid w:val="001E0AEA"/>
    <w:rsid w:val="001E0D0F"/>
    <w:rsid w:val="001E0E66"/>
    <w:rsid w:val="001E1ADC"/>
    <w:rsid w:val="001E25A6"/>
    <w:rsid w:val="001E5DCA"/>
    <w:rsid w:val="001E719B"/>
    <w:rsid w:val="001E750C"/>
    <w:rsid w:val="001E757C"/>
    <w:rsid w:val="001F024F"/>
    <w:rsid w:val="001F0A0B"/>
    <w:rsid w:val="001F0D98"/>
    <w:rsid w:val="001F0E3C"/>
    <w:rsid w:val="001F1602"/>
    <w:rsid w:val="001F1EB9"/>
    <w:rsid w:val="001F3180"/>
    <w:rsid w:val="001F4744"/>
    <w:rsid w:val="001F4A2F"/>
    <w:rsid w:val="001F6D1D"/>
    <w:rsid w:val="001F724E"/>
    <w:rsid w:val="001F79EA"/>
    <w:rsid w:val="001F7E57"/>
    <w:rsid w:val="00200ADA"/>
    <w:rsid w:val="00200CC0"/>
    <w:rsid w:val="00201B3E"/>
    <w:rsid w:val="00201C19"/>
    <w:rsid w:val="00202320"/>
    <w:rsid w:val="00202A8B"/>
    <w:rsid w:val="00203A30"/>
    <w:rsid w:val="00204C14"/>
    <w:rsid w:val="00205AD0"/>
    <w:rsid w:val="00205BE7"/>
    <w:rsid w:val="00206C55"/>
    <w:rsid w:val="00207967"/>
    <w:rsid w:val="00207C2D"/>
    <w:rsid w:val="00207D7E"/>
    <w:rsid w:val="00207ECF"/>
    <w:rsid w:val="00210B1C"/>
    <w:rsid w:val="00210B6E"/>
    <w:rsid w:val="002132DF"/>
    <w:rsid w:val="00214B7E"/>
    <w:rsid w:val="00215044"/>
    <w:rsid w:val="00215075"/>
    <w:rsid w:val="00217D3C"/>
    <w:rsid w:val="00221207"/>
    <w:rsid w:val="0022161B"/>
    <w:rsid w:val="00221E82"/>
    <w:rsid w:val="00221FF3"/>
    <w:rsid w:val="0022322D"/>
    <w:rsid w:val="00224498"/>
    <w:rsid w:val="00225079"/>
    <w:rsid w:val="00226B89"/>
    <w:rsid w:val="00226FEE"/>
    <w:rsid w:val="00227001"/>
    <w:rsid w:val="002276D1"/>
    <w:rsid w:val="00227965"/>
    <w:rsid w:val="002317D9"/>
    <w:rsid w:val="00231D1B"/>
    <w:rsid w:val="00232272"/>
    <w:rsid w:val="00232540"/>
    <w:rsid w:val="00234446"/>
    <w:rsid w:val="002347E6"/>
    <w:rsid w:val="00235476"/>
    <w:rsid w:val="002363B6"/>
    <w:rsid w:val="002369D4"/>
    <w:rsid w:val="00236AC8"/>
    <w:rsid w:val="00236C24"/>
    <w:rsid w:val="00237957"/>
    <w:rsid w:val="002400B0"/>
    <w:rsid w:val="00240CE7"/>
    <w:rsid w:val="00240F9A"/>
    <w:rsid w:val="002415A4"/>
    <w:rsid w:val="00241AC3"/>
    <w:rsid w:val="00241B6E"/>
    <w:rsid w:val="0024216E"/>
    <w:rsid w:val="002430C2"/>
    <w:rsid w:val="00243773"/>
    <w:rsid w:val="00243B26"/>
    <w:rsid w:val="002440A3"/>
    <w:rsid w:val="00244328"/>
    <w:rsid w:val="00244794"/>
    <w:rsid w:val="002451B4"/>
    <w:rsid w:val="0024582E"/>
    <w:rsid w:val="00245E56"/>
    <w:rsid w:val="00247192"/>
    <w:rsid w:val="00247CCA"/>
    <w:rsid w:val="00250DBF"/>
    <w:rsid w:val="00250DEC"/>
    <w:rsid w:val="00251C9B"/>
    <w:rsid w:val="00251FB6"/>
    <w:rsid w:val="002523A5"/>
    <w:rsid w:val="00252501"/>
    <w:rsid w:val="0025332D"/>
    <w:rsid w:val="0025384E"/>
    <w:rsid w:val="00253AB4"/>
    <w:rsid w:val="00253B58"/>
    <w:rsid w:val="00254CA0"/>
    <w:rsid w:val="00255B56"/>
    <w:rsid w:val="00255CE2"/>
    <w:rsid w:val="0025725F"/>
    <w:rsid w:val="002579F6"/>
    <w:rsid w:val="00260050"/>
    <w:rsid w:val="00261038"/>
    <w:rsid w:val="00261895"/>
    <w:rsid w:val="00261C0D"/>
    <w:rsid w:val="00262228"/>
    <w:rsid w:val="00262299"/>
    <w:rsid w:val="00263DB9"/>
    <w:rsid w:val="002641C2"/>
    <w:rsid w:val="00264542"/>
    <w:rsid w:val="002656D5"/>
    <w:rsid w:val="00266466"/>
    <w:rsid w:val="00267365"/>
    <w:rsid w:val="00267394"/>
    <w:rsid w:val="002678DB"/>
    <w:rsid w:val="00271F13"/>
    <w:rsid w:val="00273E5A"/>
    <w:rsid w:val="00273FD3"/>
    <w:rsid w:val="00275C25"/>
    <w:rsid w:val="00276486"/>
    <w:rsid w:val="0027663B"/>
    <w:rsid w:val="002800EF"/>
    <w:rsid w:val="002817C7"/>
    <w:rsid w:val="00282435"/>
    <w:rsid w:val="00282D32"/>
    <w:rsid w:val="00282E8F"/>
    <w:rsid w:val="0028349D"/>
    <w:rsid w:val="00283B1F"/>
    <w:rsid w:val="0028582F"/>
    <w:rsid w:val="00285D4C"/>
    <w:rsid w:val="002867E9"/>
    <w:rsid w:val="00286977"/>
    <w:rsid w:val="00287470"/>
    <w:rsid w:val="002903CC"/>
    <w:rsid w:val="002906C5"/>
    <w:rsid w:val="00290C54"/>
    <w:rsid w:val="00290EE4"/>
    <w:rsid w:val="002926BC"/>
    <w:rsid w:val="00294842"/>
    <w:rsid w:val="00295256"/>
    <w:rsid w:val="00295AD7"/>
    <w:rsid w:val="00297CB8"/>
    <w:rsid w:val="002A05AC"/>
    <w:rsid w:val="002A1BB4"/>
    <w:rsid w:val="002A32AE"/>
    <w:rsid w:val="002A4A6F"/>
    <w:rsid w:val="002A5724"/>
    <w:rsid w:val="002A5BD5"/>
    <w:rsid w:val="002A6CB1"/>
    <w:rsid w:val="002A72B5"/>
    <w:rsid w:val="002A789C"/>
    <w:rsid w:val="002B0370"/>
    <w:rsid w:val="002B0BAF"/>
    <w:rsid w:val="002B1486"/>
    <w:rsid w:val="002B161F"/>
    <w:rsid w:val="002B19B6"/>
    <w:rsid w:val="002B2C59"/>
    <w:rsid w:val="002B316C"/>
    <w:rsid w:val="002B32C3"/>
    <w:rsid w:val="002B4AEA"/>
    <w:rsid w:val="002B5208"/>
    <w:rsid w:val="002B5A00"/>
    <w:rsid w:val="002B5CDD"/>
    <w:rsid w:val="002B655E"/>
    <w:rsid w:val="002C15CD"/>
    <w:rsid w:val="002C1917"/>
    <w:rsid w:val="002C1E9A"/>
    <w:rsid w:val="002C24F7"/>
    <w:rsid w:val="002C36DD"/>
    <w:rsid w:val="002C5A38"/>
    <w:rsid w:val="002C65B8"/>
    <w:rsid w:val="002C6B3C"/>
    <w:rsid w:val="002C7200"/>
    <w:rsid w:val="002C7792"/>
    <w:rsid w:val="002D07CB"/>
    <w:rsid w:val="002D15DA"/>
    <w:rsid w:val="002D1957"/>
    <w:rsid w:val="002D1FE4"/>
    <w:rsid w:val="002D2569"/>
    <w:rsid w:val="002D3045"/>
    <w:rsid w:val="002D311D"/>
    <w:rsid w:val="002D3F11"/>
    <w:rsid w:val="002D613D"/>
    <w:rsid w:val="002E14AA"/>
    <w:rsid w:val="002E2A37"/>
    <w:rsid w:val="002E2A6D"/>
    <w:rsid w:val="002E30D9"/>
    <w:rsid w:val="002E333B"/>
    <w:rsid w:val="002E37E4"/>
    <w:rsid w:val="002E4C94"/>
    <w:rsid w:val="002E5A7F"/>
    <w:rsid w:val="002E6986"/>
    <w:rsid w:val="002E77AA"/>
    <w:rsid w:val="002E7C2D"/>
    <w:rsid w:val="002F0B51"/>
    <w:rsid w:val="002F0BB8"/>
    <w:rsid w:val="002F0DC4"/>
    <w:rsid w:val="002F190B"/>
    <w:rsid w:val="002F1E5D"/>
    <w:rsid w:val="002F211F"/>
    <w:rsid w:val="002F32B0"/>
    <w:rsid w:val="002F33F8"/>
    <w:rsid w:val="002F3F1C"/>
    <w:rsid w:val="002F5737"/>
    <w:rsid w:val="002F6473"/>
    <w:rsid w:val="002F6568"/>
    <w:rsid w:val="002F6D90"/>
    <w:rsid w:val="002F77C5"/>
    <w:rsid w:val="002F790F"/>
    <w:rsid w:val="002F7E60"/>
    <w:rsid w:val="003010FE"/>
    <w:rsid w:val="0030126C"/>
    <w:rsid w:val="00301AAD"/>
    <w:rsid w:val="0030219F"/>
    <w:rsid w:val="00304C78"/>
    <w:rsid w:val="00305697"/>
    <w:rsid w:val="00305CF4"/>
    <w:rsid w:val="0030718E"/>
    <w:rsid w:val="00307CD3"/>
    <w:rsid w:val="00307D2F"/>
    <w:rsid w:val="0031013D"/>
    <w:rsid w:val="0031093D"/>
    <w:rsid w:val="003111BC"/>
    <w:rsid w:val="00311E0F"/>
    <w:rsid w:val="003124DD"/>
    <w:rsid w:val="00312553"/>
    <w:rsid w:val="00312706"/>
    <w:rsid w:val="00312DDA"/>
    <w:rsid w:val="0031320E"/>
    <w:rsid w:val="00313235"/>
    <w:rsid w:val="00313315"/>
    <w:rsid w:val="00313FAE"/>
    <w:rsid w:val="00315A4B"/>
    <w:rsid w:val="00315F19"/>
    <w:rsid w:val="0031605E"/>
    <w:rsid w:val="00316380"/>
    <w:rsid w:val="00316DA4"/>
    <w:rsid w:val="00317F25"/>
    <w:rsid w:val="00322515"/>
    <w:rsid w:val="003230DE"/>
    <w:rsid w:val="0032378B"/>
    <w:rsid w:val="00323B3B"/>
    <w:rsid w:val="00324F77"/>
    <w:rsid w:val="003250FC"/>
    <w:rsid w:val="00325991"/>
    <w:rsid w:val="00326051"/>
    <w:rsid w:val="00326D27"/>
    <w:rsid w:val="003278CA"/>
    <w:rsid w:val="00333378"/>
    <w:rsid w:val="003349D8"/>
    <w:rsid w:val="00334A2E"/>
    <w:rsid w:val="00334D31"/>
    <w:rsid w:val="00334ED7"/>
    <w:rsid w:val="003354F3"/>
    <w:rsid w:val="00335D0E"/>
    <w:rsid w:val="003361F8"/>
    <w:rsid w:val="00336718"/>
    <w:rsid w:val="00337E3F"/>
    <w:rsid w:val="003408AB"/>
    <w:rsid w:val="00340F6D"/>
    <w:rsid w:val="0034183A"/>
    <w:rsid w:val="00341952"/>
    <w:rsid w:val="00341E04"/>
    <w:rsid w:val="00342A1F"/>
    <w:rsid w:val="00342FC4"/>
    <w:rsid w:val="00345A5E"/>
    <w:rsid w:val="00345BE9"/>
    <w:rsid w:val="0034632E"/>
    <w:rsid w:val="0034697B"/>
    <w:rsid w:val="003507F2"/>
    <w:rsid w:val="00351D65"/>
    <w:rsid w:val="00352A32"/>
    <w:rsid w:val="0035400D"/>
    <w:rsid w:val="003549C0"/>
    <w:rsid w:val="00354FCB"/>
    <w:rsid w:val="00355BBA"/>
    <w:rsid w:val="00355C05"/>
    <w:rsid w:val="003560F0"/>
    <w:rsid w:val="0035633E"/>
    <w:rsid w:val="0035669F"/>
    <w:rsid w:val="00357B39"/>
    <w:rsid w:val="0036047D"/>
    <w:rsid w:val="00360B7F"/>
    <w:rsid w:val="00361596"/>
    <w:rsid w:val="00361A56"/>
    <w:rsid w:val="00362761"/>
    <w:rsid w:val="003646F5"/>
    <w:rsid w:val="0036703A"/>
    <w:rsid w:val="00371887"/>
    <w:rsid w:val="003740E5"/>
    <w:rsid w:val="00374176"/>
    <w:rsid w:val="003749B6"/>
    <w:rsid w:val="003754C4"/>
    <w:rsid w:val="00375A68"/>
    <w:rsid w:val="00376A50"/>
    <w:rsid w:val="00376E5B"/>
    <w:rsid w:val="00380DB9"/>
    <w:rsid w:val="00381026"/>
    <w:rsid w:val="00381127"/>
    <w:rsid w:val="00382B45"/>
    <w:rsid w:val="003830FA"/>
    <w:rsid w:val="00383384"/>
    <w:rsid w:val="00383CF7"/>
    <w:rsid w:val="00384B20"/>
    <w:rsid w:val="00384B7D"/>
    <w:rsid w:val="003850D1"/>
    <w:rsid w:val="003855D7"/>
    <w:rsid w:val="00385A49"/>
    <w:rsid w:val="003868AB"/>
    <w:rsid w:val="003869DF"/>
    <w:rsid w:val="00387FC0"/>
    <w:rsid w:val="00392255"/>
    <w:rsid w:val="00392583"/>
    <w:rsid w:val="003934AF"/>
    <w:rsid w:val="0039384C"/>
    <w:rsid w:val="00393BBA"/>
    <w:rsid w:val="00394C47"/>
    <w:rsid w:val="00395635"/>
    <w:rsid w:val="003962D9"/>
    <w:rsid w:val="0039649E"/>
    <w:rsid w:val="00396FC3"/>
    <w:rsid w:val="00397C85"/>
    <w:rsid w:val="00397F15"/>
    <w:rsid w:val="003A0C11"/>
    <w:rsid w:val="003A1393"/>
    <w:rsid w:val="003A2829"/>
    <w:rsid w:val="003A3576"/>
    <w:rsid w:val="003A37E8"/>
    <w:rsid w:val="003A3FE8"/>
    <w:rsid w:val="003A421E"/>
    <w:rsid w:val="003A4F1D"/>
    <w:rsid w:val="003A5225"/>
    <w:rsid w:val="003A59A0"/>
    <w:rsid w:val="003A5C91"/>
    <w:rsid w:val="003A6181"/>
    <w:rsid w:val="003A63CD"/>
    <w:rsid w:val="003A6DB4"/>
    <w:rsid w:val="003B1DB2"/>
    <w:rsid w:val="003B1EFF"/>
    <w:rsid w:val="003B30EC"/>
    <w:rsid w:val="003B3954"/>
    <w:rsid w:val="003B443F"/>
    <w:rsid w:val="003B5605"/>
    <w:rsid w:val="003B6398"/>
    <w:rsid w:val="003B6F1D"/>
    <w:rsid w:val="003C08CC"/>
    <w:rsid w:val="003C1B51"/>
    <w:rsid w:val="003C2375"/>
    <w:rsid w:val="003C2F5B"/>
    <w:rsid w:val="003C398D"/>
    <w:rsid w:val="003C5198"/>
    <w:rsid w:val="003C52D9"/>
    <w:rsid w:val="003C59FC"/>
    <w:rsid w:val="003C5A6C"/>
    <w:rsid w:val="003C61BA"/>
    <w:rsid w:val="003C7060"/>
    <w:rsid w:val="003C718C"/>
    <w:rsid w:val="003C78A8"/>
    <w:rsid w:val="003C7AF4"/>
    <w:rsid w:val="003D0888"/>
    <w:rsid w:val="003D0EC3"/>
    <w:rsid w:val="003D21A1"/>
    <w:rsid w:val="003D3625"/>
    <w:rsid w:val="003D3B78"/>
    <w:rsid w:val="003D5FEB"/>
    <w:rsid w:val="003D792A"/>
    <w:rsid w:val="003D7C49"/>
    <w:rsid w:val="003E0CBD"/>
    <w:rsid w:val="003E2555"/>
    <w:rsid w:val="003E2CAF"/>
    <w:rsid w:val="003E2F57"/>
    <w:rsid w:val="003E3FCF"/>
    <w:rsid w:val="003E48C2"/>
    <w:rsid w:val="003E4D6B"/>
    <w:rsid w:val="003E4D94"/>
    <w:rsid w:val="003E518B"/>
    <w:rsid w:val="003E5CAD"/>
    <w:rsid w:val="003E68CB"/>
    <w:rsid w:val="003E725D"/>
    <w:rsid w:val="003F092E"/>
    <w:rsid w:val="003F0DFC"/>
    <w:rsid w:val="003F13B1"/>
    <w:rsid w:val="003F19AC"/>
    <w:rsid w:val="003F1D2A"/>
    <w:rsid w:val="003F230E"/>
    <w:rsid w:val="003F3666"/>
    <w:rsid w:val="003F3712"/>
    <w:rsid w:val="003F3BCA"/>
    <w:rsid w:val="003F4877"/>
    <w:rsid w:val="003F5B89"/>
    <w:rsid w:val="003F6C10"/>
    <w:rsid w:val="003F70E4"/>
    <w:rsid w:val="003F7322"/>
    <w:rsid w:val="00400616"/>
    <w:rsid w:val="0040095E"/>
    <w:rsid w:val="00400B84"/>
    <w:rsid w:val="00400C06"/>
    <w:rsid w:val="00401BD8"/>
    <w:rsid w:val="00401E41"/>
    <w:rsid w:val="00402C50"/>
    <w:rsid w:val="00405559"/>
    <w:rsid w:val="00405659"/>
    <w:rsid w:val="00406471"/>
    <w:rsid w:val="00406E84"/>
    <w:rsid w:val="00406F2D"/>
    <w:rsid w:val="00407119"/>
    <w:rsid w:val="00407515"/>
    <w:rsid w:val="00407608"/>
    <w:rsid w:val="004113C8"/>
    <w:rsid w:val="00411C43"/>
    <w:rsid w:val="004144D7"/>
    <w:rsid w:val="00414BF3"/>
    <w:rsid w:val="00414D2F"/>
    <w:rsid w:val="00414EC7"/>
    <w:rsid w:val="00417379"/>
    <w:rsid w:val="004201C4"/>
    <w:rsid w:val="004203C1"/>
    <w:rsid w:val="0042063A"/>
    <w:rsid w:val="00423CD4"/>
    <w:rsid w:val="00424D3F"/>
    <w:rsid w:val="00426BB9"/>
    <w:rsid w:val="00426C0B"/>
    <w:rsid w:val="00426D42"/>
    <w:rsid w:val="00427C16"/>
    <w:rsid w:val="00431E01"/>
    <w:rsid w:val="00431E5B"/>
    <w:rsid w:val="00434907"/>
    <w:rsid w:val="00434D8E"/>
    <w:rsid w:val="0043580C"/>
    <w:rsid w:val="0043599D"/>
    <w:rsid w:val="0043600A"/>
    <w:rsid w:val="004365BA"/>
    <w:rsid w:val="00436888"/>
    <w:rsid w:val="0043786C"/>
    <w:rsid w:val="004409B0"/>
    <w:rsid w:val="00440C76"/>
    <w:rsid w:val="0044118F"/>
    <w:rsid w:val="00442B3F"/>
    <w:rsid w:val="00442EE7"/>
    <w:rsid w:val="00443F78"/>
    <w:rsid w:val="004451CB"/>
    <w:rsid w:val="00445F8D"/>
    <w:rsid w:val="004469DA"/>
    <w:rsid w:val="004473CB"/>
    <w:rsid w:val="00447656"/>
    <w:rsid w:val="004478F8"/>
    <w:rsid w:val="00450A13"/>
    <w:rsid w:val="004512AB"/>
    <w:rsid w:val="00451AED"/>
    <w:rsid w:val="00452706"/>
    <w:rsid w:val="0045363B"/>
    <w:rsid w:val="0045380A"/>
    <w:rsid w:val="004538A6"/>
    <w:rsid w:val="00453A89"/>
    <w:rsid w:val="00454A4C"/>
    <w:rsid w:val="00454F6C"/>
    <w:rsid w:val="004550CE"/>
    <w:rsid w:val="004555EF"/>
    <w:rsid w:val="00455A6D"/>
    <w:rsid w:val="00455E44"/>
    <w:rsid w:val="00456AD0"/>
    <w:rsid w:val="00457140"/>
    <w:rsid w:val="00457BA3"/>
    <w:rsid w:val="00461B34"/>
    <w:rsid w:val="00461D2F"/>
    <w:rsid w:val="00463607"/>
    <w:rsid w:val="00464797"/>
    <w:rsid w:val="00465890"/>
    <w:rsid w:val="00467788"/>
    <w:rsid w:val="00467824"/>
    <w:rsid w:val="00467EB0"/>
    <w:rsid w:val="004706D0"/>
    <w:rsid w:val="00470759"/>
    <w:rsid w:val="0047089F"/>
    <w:rsid w:val="00472908"/>
    <w:rsid w:val="00472B1B"/>
    <w:rsid w:val="00473871"/>
    <w:rsid w:val="004742C6"/>
    <w:rsid w:val="0047432B"/>
    <w:rsid w:val="00475F30"/>
    <w:rsid w:val="00476377"/>
    <w:rsid w:val="004764D2"/>
    <w:rsid w:val="004807FA"/>
    <w:rsid w:val="00480B2E"/>
    <w:rsid w:val="00481511"/>
    <w:rsid w:val="00483370"/>
    <w:rsid w:val="00483CB1"/>
    <w:rsid w:val="004847AC"/>
    <w:rsid w:val="0048544C"/>
    <w:rsid w:val="00485EEB"/>
    <w:rsid w:val="00486287"/>
    <w:rsid w:val="0048735A"/>
    <w:rsid w:val="0049077F"/>
    <w:rsid w:val="00490E7E"/>
    <w:rsid w:val="00490EE5"/>
    <w:rsid w:val="00491ADD"/>
    <w:rsid w:val="0049267C"/>
    <w:rsid w:val="0049287C"/>
    <w:rsid w:val="00492D18"/>
    <w:rsid w:val="00492EFD"/>
    <w:rsid w:val="004937C5"/>
    <w:rsid w:val="004938FB"/>
    <w:rsid w:val="00494A8B"/>
    <w:rsid w:val="00494DEB"/>
    <w:rsid w:val="004A01CE"/>
    <w:rsid w:val="004A0527"/>
    <w:rsid w:val="004A122F"/>
    <w:rsid w:val="004A13B0"/>
    <w:rsid w:val="004A1786"/>
    <w:rsid w:val="004A19A1"/>
    <w:rsid w:val="004A26A7"/>
    <w:rsid w:val="004A2B94"/>
    <w:rsid w:val="004A318A"/>
    <w:rsid w:val="004A3417"/>
    <w:rsid w:val="004A3A27"/>
    <w:rsid w:val="004A46D9"/>
    <w:rsid w:val="004A6C7E"/>
    <w:rsid w:val="004A7073"/>
    <w:rsid w:val="004A7B35"/>
    <w:rsid w:val="004B0498"/>
    <w:rsid w:val="004B19FC"/>
    <w:rsid w:val="004B1C32"/>
    <w:rsid w:val="004B3706"/>
    <w:rsid w:val="004B3708"/>
    <w:rsid w:val="004B3EAF"/>
    <w:rsid w:val="004B43EE"/>
    <w:rsid w:val="004B4933"/>
    <w:rsid w:val="004B672C"/>
    <w:rsid w:val="004B6866"/>
    <w:rsid w:val="004B7047"/>
    <w:rsid w:val="004C14EB"/>
    <w:rsid w:val="004C20CA"/>
    <w:rsid w:val="004C2BC8"/>
    <w:rsid w:val="004C2C8C"/>
    <w:rsid w:val="004C5E10"/>
    <w:rsid w:val="004C5F21"/>
    <w:rsid w:val="004C66C7"/>
    <w:rsid w:val="004C6A9C"/>
    <w:rsid w:val="004C7B9A"/>
    <w:rsid w:val="004C7CC4"/>
    <w:rsid w:val="004D000B"/>
    <w:rsid w:val="004D113E"/>
    <w:rsid w:val="004D192B"/>
    <w:rsid w:val="004D2105"/>
    <w:rsid w:val="004D2204"/>
    <w:rsid w:val="004D2749"/>
    <w:rsid w:val="004D2B8E"/>
    <w:rsid w:val="004D2CA4"/>
    <w:rsid w:val="004D3079"/>
    <w:rsid w:val="004D4784"/>
    <w:rsid w:val="004D4B78"/>
    <w:rsid w:val="004D5F43"/>
    <w:rsid w:val="004E0EC8"/>
    <w:rsid w:val="004E1A25"/>
    <w:rsid w:val="004E1AF9"/>
    <w:rsid w:val="004E2952"/>
    <w:rsid w:val="004E380B"/>
    <w:rsid w:val="004E5324"/>
    <w:rsid w:val="004E5E27"/>
    <w:rsid w:val="004E5E8E"/>
    <w:rsid w:val="004E64C0"/>
    <w:rsid w:val="004E6D82"/>
    <w:rsid w:val="004E7D44"/>
    <w:rsid w:val="004E7EC6"/>
    <w:rsid w:val="004F094B"/>
    <w:rsid w:val="004F1324"/>
    <w:rsid w:val="004F2B68"/>
    <w:rsid w:val="004F2FB8"/>
    <w:rsid w:val="004F3343"/>
    <w:rsid w:val="004F3851"/>
    <w:rsid w:val="004F3C91"/>
    <w:rsid w:val="004F4B1C"/>
    <w:rsid w:val="004F4C25"/>
    <w:rsid w:val="004F4CB4"/>
    <w:rsid w:val="004F4FCB"/>
    <w:rsid w:val="004F6389"/>
    <w:rsid w:val="00500FD8"/>
    <w:rsid w:val="00502558"/>
    <w:rsid w:val="00502B55"/>
    <w:rsid w:val="0050323B"/>
    <w:rsid w:val="00503B9E"/>
    <w:rsid w:val="0050514B"/>
    <w:rsid w:val="0050564F"/>
    <w:rsid w:val="00505C6F"/>
    <w:rsid w:val="00506571"/>
    <w:rsid w:val="005100BD"/>
    <w:rsid w:val="00510663"/>
    <w:rsid w:val="005121F5"/>
    <w:rsid w:val="00512865"/>
    <w:rsid w:val="0051297A"/>
    <w:rsid w:val="00513098"/>
    <w:rsid w:val="00513995"/>
    <w:rsid w:val="00514E1D"/>
    <w:rsid w:val="00515C43"/>
    <w:rsid w:val="005160F0"/>
    <w:rsid w:val="00517792"/>
    <w:rsid w:val="00517B95"/>
    <w:rsid w:val="00522E44"/>
    <w:rsid w:val="00523362"/>
    <w:rsid w:val="00523E0F"/>
    <w:rsid w:val="005240F5"/>
    <w:rsid w:val="00524A42"/>
    <w:rsid w:val="00524ADF"/>
    <w:rsid w:val="00525208"/>
    <w:rsid w:val="005268C8"/>
    <w:rsid w:val="005279EB"/>
    <w:rsid w:val="00530050"/>
    <w:rsid w:val="005303F0"/>
    <w:rsid w:val="005319F4"/>
    <w:rsid w:val="00532D90"/>
    <w:rsid w:val="005331FE"/>
    <w:rsid w:val="005340AF"/>
    <w:rsid w:val="005341FF"/>
    <w:rsid w:val="005349A4"/>
    <w:rsid w:val="00534BE3"/>
    <w:rsid w:val="00534EC8"/>
    <w:rsid w:val="005351AF"/>
    <w:rsid w:val="00535DAC"/>
    <w:rsid w:val="0053649F"/>
    <w:rsid w:val="00536F70"/>
    <w:rsid w:val="0054093E"/>
    <w:rsid w:val="0054151D"/>
    <w:rsid w:val="00541D88"/>
    <w:rsid w:val="005426F3"/>
    <w:rsid w:val="00542EF7"/>
    <w:rsid w:val="005441C3"/>
    <w:rsid w:val="0054444E"/>
    <w:rsid w:val="00544650"/>
    <w:rsid w:val="00544E52"/>
    <w:rsid w:val="00545801"/>
    <w:rsid w:val="00550326"/>
    <w:rsid w:val="00551D4C"/>
    <w:rsid w:val="005524AF"/>
    <w:rsid w:val="0055336A"/>
    <w:rsid w:val="00553E1C"/>
    <w:rsid w:val="00554711"/>
    <w:rsid w:val="0055521F"/>
    <w:rsid w:val="005553D2"/>
    <w:rsid w:val="00555498"/>
    <w:rsid w:val="005555F2"/>
    <w:rsid w:val="00555728"/>
    <w:rsid w:val="00561B97"/>
    <w:rsid w:val="00562CD3"/>
    <w:rsid w:val="0056309B"/>
    <w:rsid w:val="005641A6"/>
    <w:rsid w:val="005644A8"/>
    <w:rsid w:val="005646BC"/>
    <w:rsid w:val="00565555"/>
    <w:rsid w:val="00566895"/>
    <w:rsid w:val="00567919"/>
    <w:rsid w:val="005709A8"/>
    <w:rsid w:val="00571E93"/>
    <w:rsid w:val="00571FB5"/>
    <w:rsid w:val="00572942"/>
    <w:rsid w:val="00573A71"/>
    <w:rsid w:val="005746AD"/>
    <w:rsid w:val="00574C8A"/>
    <w:rsid w:val="0057505A"/>
    <w:rsid w:val="0057507C"/>
    <w:rsid w:val="00576D60"/>
    <w:rsid w:val="005806BA"/>
    <w:rsid w:val="00581643"/>
    <w:rsid w:val="00581AFF"/>
    <w:rsid w:val="00582D54"/>
    <w:rsid w:val="0058398D"/>
    <w:rsid w:val="00583B41"/>
    <w:rsid w:val="005843EF"/>
    <w:rsid w:val="00584741"/>
    <w:rsid w:val="00584F21"/>
    <w:rsid w:val="0058597C"/>
    <w:rsid w:val="005859B5"/>
    <w:rsid w:val="00585AD2"/>
    <w:rsid w:val="00585E77"/>
    <w:rsid w:val="005875E4"/>
    <w:rsid w:val="00587CC3"/>
    <w:rsid w:val="00590959"/>
    <w:rsid w:val="00590E3B"/>
    <w:rsid w:val="00591824"/>
    <w:rsid w:val="00592E69"/>
    <w:rsid w:val="00592E7F"/>
    <w:rsid w:val="00594256"/>
    <w:rsid w:val="005950DC"/>
    <w:rsid w:val="005968BB"/>
    <w:rsid w:val="00597237"/>
    <w:rsid w:val="005A08C0"/>
    <w:rsid w:val="005A0A0C"/>
    <w:rsid w:val="005A542D"/>
    <w:rsid w:val="005A54B3"/>
    <w:rsid w:val="005A70A5"/>
    <w:rsid w:val="005A7B0B"/>
    <w:rsid w:val="005B0913"/>
    <w:rsid w:val="005B32C1"/>
    <w:rsid w:val="005B3CD5"/>
    <w:rsid w:val="005B495B"/>
    <w:rsid w:val="005B4A3F"/>
    <w:rsid w:val="005B5BF2"/>
    <w:rsid w:val="005B6AC6"/>
    <w:rsid w:val="005B7ADF"/>
    <w:rsid w:val="005C0CC5"/>
    <w:rsid w:val="005C0EAD"/>
    <w:rsid w:val="005C10DB"/>
    <w:rsid w:val="005C1126"/>
    <w:rsid w:val="005C1A21"/>
    <w:rsid w:val="005C23BA"/>
    <w:rsid w:val="005C331D"/>
    <w:rsid w:val="005C41E2"/>
    <w:rsid w:val="005C447A"/>
    <w:rsid w:val="005C4A4C"/>
    <w:rsid w:val="005C6434"/>
    <w:rsid w:val="005C6E6A"/>
    <w:rsid w:val="005C6FD3"/>
    <w:rsid w:val="005D00DB"/>
    <w:rsid w:val="005D3405"/>
    <w:rsid w:val="005D3AA5"/>
    <w:rsid w:val="005D449E"/>
    <w:rsid w:val="005D4A1A"/>
    <w:rsid w:val="005D4F34"/>
    <w:rsid w:val="005D5858"/>
    <w:rsid w:val="005D5D57"/>
    <w:rsid w:val="005D5EC4"/>
    <w:rsid w:val="005D6028"/>
    <w:rsid w:val="005D6DB7"/>
    <w:rsid w:val="005D7C95"/>
    <w:rsid w:val="005E0115"/>
    <w:rsid w:val="005E25F6"/>
    <w:rsid w:val="005E4373"/>
    <w:rsid w:val="005E4B1D"/>
    <w:rsid w:val="005E51CF"/>
    <w:rsid w:val="005E56EF"/>
    <w:rsid w:val="005E6309"/>
    <w:rsid w:val="005E6BCD"/>
    <w:rsid w:val="005F047B"/>
    <w:rsid w:val="005F075C"/>
    <w:rsid w:val="005F0E63"/>
    <w:rsid w:val="005F1D60"/>
    <w:rsid w:val="005F275B"/>
    <w:rsid w:val="005F3C0A"/>
    <w:rsid w:val="005F555D"/>
    <w:rsid w:val="005F5700"/>
    <w:rsid w:val="005F5A3F"/>
    <w:rsid w:val="005F5F8B"/>
    <w:rsid w:val="005F6E1B"/>
    <w:rsid w:val="005F7DD4"/>
    <w:rsid w:val="006001C9"/>
    <w:rsid w:val="006009C3"/>
    <w:rsid w:val="006012FF"/>
    <w:rsid w:val="00602F51"/>
    <w:rsid w:val="006042D4"/>
    <w:rsid w:val="00605117"/>
    <w:rsid w:val="0060541D"/>
    <w:rsid w:val="006064D7"/>
    <w:rsid w:val="006070D3"/>
    <w:rsid w:val="0061144C"/>
    <w:rsid w:val="006127A6"/>
    <w:rsid w:val="00614732"/>
    <w:rsid w:val="00614A3F"/>
    <w:rsid w:val="00615431"/>
    <w:rsid w:val="006165C7"/>
    <w:rsid w:val="00616F37"/>
    <w:rsid w:val="00617F8E"/>
    <w:rsid w:val="00622ACF"/>
    <w:rsid w:val="00622D53"/>
    <w:rsid w:val="00622E6B"/>
    <w:rsid w:val="00623D4E"/>
    <w:rsid w:val="0062471A"/>
    <w:rsid w:val="006250DB"/>
    <w:rsid w:val="0062584F"/>
    <w:rsid w:val="00630820"/>
    <w:rsid w:val="00630CC8"/>
    <w:rsid w:val="00631CEB"/>
    <w:rsid w:val="00635428"/>
    <w:rsid w:val="00636388"/>
    <w:rsid w:val="0063690B"/>
    <w:rsid w:val="006422E7"/>
    <w:rsid w:val="0064259C"/>
    <w:rsid w:val="00642C3E"/>
    <w:rsid w:val="006430E3"/>
    <w:rsid w:val="00644407"/>
    <w:rsid w:val="0064479E"/>
    <w:rsid w:val="00644BA2"/>
    <w:rsid w:val="00647263"/>
    <w:rsid w:val="00647B2E"/>
    <w:rsid w:val="006504BC"/>
    <w:rsid w:val="00650A47"/>
    <w:rsid w:val="0065145C"/>
    <w:rsid w:val="00651BD8"/>
    <w:rsid w:val="00651FD9"/>
    <w:rsid w:val="00652E58"/>
    <w:rsid w:val="0065330B"/>
    <w:rsid w:val="00653DBB"/>
    <w:rsid w:val="006544AA"/>
    <w:rsid w:val="00654B6A"/>
    <w:rsid w:val="00655AFA"/>
    <w:rsid w:val="0065664D"/>
    <w:rsid w:val="0065699D"/>
    <w:rsid w:val="006569EF"/>
    <w:rsid w:val="00656BC7"/>
    <w:rsid w:val="006572E6"/>
    <w:rsid w:val="00657B0F"/>
    <w:rsid w:val="00657F8D"/>
    <w:rsid w:val="006603CD"/>
    <w:rsid w:val="00660AC0"/>
    <w:rsid w:val="00662B5A"/>
    <w:rsid w:val="006632CE"/>
    <w:rsid w:val="006634BC"/>
    <w:rsid w:val="0066374A"/>
    <w:rsid w:val="0066644B"/>
    <w:rsid w:val="00666E81"/>
    <w:rsid w:val="0066750D"/>
    <w:rsid w:val="006676FF"/>
    <w:rsid w:val="00667DF6"/>
    <w:rsid w:val="00667F47"/>
    <w:rsid w:val="0067018F"/>
    <w:rsid w:val="00670929"/>
    <w:rsid w:val="00670B1D"/>
    <w:rsid w:val="00670F65"/>
    <w:rsid w:val="00672A45"/>
    <w:rsid w:val="00673885"/>
    <w:rsid w:val="00674C24"/>
    <w:rsid w:val="00674C55"/>
    <w:rsid w:val="00675C2A"/>
    <w:rsid w:val="0068011A"/>
    <w:rsid w:val="00680678"/>
    <w:rsid w:val="00683AFB"/>
    <w:rsid w:val="006848C9"/>
    <w:rsid w:val="0068667E"/>
    <w:rsid w:val="006867EA"/>
    <w:rsid w:val="0068726B"/>
    <w:rsid w:val="00687473"/>
    <w:rsid w:val="00690827"/>
    <w:rsid w:val="00691147"/>
    <w:rsid w:val="006925E4"/>
    <w:rsid w:val="0069281D"/>
    <w:rsid w:val="00692D70"/>
    <w:rsid w:val="0069398C"/>
    <w:rsid w:val="00694693"/>
    <w:rsid w:val="00695213"/>
    <w:rsid w:val="00695DB1"/>
    <w:rsid w:val="00696107"/>
    <w:rsid w:val="0069691D"/>
    <w:rsid w:val="006A02F4"/>
    <w:rsid w:val="006A3225"/>
    <w:rsid w:val="006A4870"/>
    <w:rsid w:val="006A648A"/>
    <w:rsid w:val="006A7864"/>
    <w:rsid w:val="006A791A"/>
    <w:rsid w:val="006B05E7"/>
    <w:rsid w:val="006B1A5D"/>
    <w:rsid w:val="006B1F6B"/>
    <w:rsid w:val="006B3819"/>
    <w:rsid w:val="006B5175"/>
    <w:rsid w:val="006B51D9"/>
    <w:rsid w:val="006B69FD"/>
    <w:rsid w:val="006C0B97"/>
    <w:rsid w:val="006C1845"/>
    <w:rsid w:val="006C18B8"/>
    <w:rsid w:val="006C271D"/>
    <w:rsid w:val="006C31FA"/>
    <w:rsid w:val="006C3FE1"/>
    <w:rsid w:val="006C477B"/>
    <w:rsid w:val="006C4E54"/>
    <w:rsid w:val="006C5591"/>
    <w:rsid w:val="006C5652"/>
    <w:rsid w:val="006C57FC"/>
    <w:rsid w:val="006C5963"/>
    <w:rsid w:val="006C6BF0"/>
    <w:rsid w:val="006C70A0"/>
    <w:rsid w:val="006D0BDA"/>
    <w:rsid w:val="006D1D89"/>
    <w:rsid w:val="006D2777"/>
    <w:rsid w:val="006D32C8"/>
    <w:rsid w:val="006D3597"/>
    <w:rsid w:val="006D4824"/>
    <w:rsid w:val="006D5B09"/>
    <w:rsid w:val="006D5DE6"/>
    <w:rsid w:val="006D66D9"/>
    <w:rsid w:val="006D67D2"/>
    <w:rsid w:val="006D69CC"/>
    <w:rsid w:val="006D6EC9"/>
    <w:rsid w:val="006E05A7"/>
    <w:rsid w:val="006E2014"/>
    <w:rsid w:val="006E4F32"/>
    <w:rsid w:val="006E4FFF"/>
    <w:rsid w:val="006E5FD8"/>
    <w:rsid w:val="006E6A7F"/>
    <w:rsid w:val="006F0430"/>
    <w:rsid w:val="006F063B"/>
    <w:rsid w:val="006F1B0C"/>
    <w:rsid w:val="006F21FA"/>
    <w:rsid w:val="006F397A"/>
    <w:rsid w:val="006F6E3D"/>
    <w:rsid w:val="007003CA"/>
    <w:rsid w:val="00700907"/>
    <w:rsid w:val="00701BF8"/>
    <w:rsid w:val="00703A4F"/>
    <w:rsid w:val="007045C4"/>
    <w:rsid w:val="007046F1"/>
    <w:rsid w:val="00706D30"/>
    <w:rsid w:val="0070701F"/>
    <w:rsid w:val="00707605"/>
    <w:rsid w:val="007111BC"/>
    <w:rsid w:val="00712121"/>
    <w:rsid w:val="0071300B"/>
    <w:rsid w:val="00715703"/>
    <w:rsid w:val="00715A28"/>
    <w:rsid w:val="00716367"/>
    <w:rsid w:val="007176F7"/>
    <w:rsid w:val="00720742"/>
    <w:rsid w:val="00720FD2"/>
    <w:rsid w:val="007226AA"/>
    <w:rsid w:val="00723394"/>
    <w:rsid w:val="00723C84"/>
    <w:rsid w:val="00726EC6"/>
    <w:rsid w:val="00726FE8"/>
    <w:rsid w:val="007302CC"/>
    <w:rsid w:val="007308A4"/>
    <w:rsid w:val="0073098E"/>
    <w:rsid w:val="00730CA8"/>
    <w:rsid w:val="00732AA9"/>
    <w:rsid w:val="00733080"/>
    <w:rsid w:val="00737AB8"/>
    <w:rsid w:val="00741E8E"/>
    <w:rsid w:val="00743637"/>
    <w:rsid w:val="00743A9B"/>
    <w:rsid w:val="00743BBA"/>
    <w:rsid w:val="00743CB4"/>
    <w:rsid w:val="007446B0"/>
    <w:rsid w:val="00744E43"/>
    <w:rsid w:val="00745E0C"/>
    <w:rsid w:val="00746784"/>
    <w:rsid w:val="007508A0"/>
    <w:rsid w:val="00750CB3"/>
    <w:rsid w:val="00752506"/>
    <w:rsid w:val="0075302E"/>
    <w:rsid w:val="00754E54"/>
    <w:rsid w:val="00755297"/>
    <w:rsid w:val="007561EA"/>
    <w:rsid w:val="00756272"/>
    <w:rsid w:val="00760C89"/>
    <w:rsid w:val="0076155D"/>
    <w:rsid w:val="00761852"/>
    <w:rsid w:val="007628CD"/>
    <w:rsid w:val="007636C4"/>
    <w:rsid w:val="00763D49"/>
    <w:rsid w:val="00764224"/>
    <w:rsid w:val="007643AA"/>
    <w:rsid w:val="007649ED"/>
    <w:rsid w:val="00767343"/>
    <w:rsid w:val="007720DA"/>
    <w:rsid w:val="0077357D"/>
    <w:rsid w:val="00775D4B"/>
    <w:rsid w:val="0077706B"/>
    <w:rsid w:val="0078032A"/>
    <w:rsid w:val="00780DA1"/>
    <w:rsid w:val="00780DF4"/>
    <w:rsid w:val="00783A6D"/>
    <w:rsid w:val="00784026"/>
    <w:rsid w:val="007841A0"/>
    <w:rsid w:val="007844A1"/>
    <w:rsid w:val="007846C1"/>
    <w:rsid w:val="0078570C"/>
    <w:rsid w:val="0078795A"/>
    <w:rsid w:val="00787A64"/>
    <w:rsid w:val="007900F9"/>
    <w:rsid w:val="00790410"/>
    <w:rsid w:val="0079055D"/>
    <w:rsid w:val="00790C25"/>
    <w:rsid w:val="00791168"/>
    <w:rsid w:val="007919A8"/>
    <w:rsid w:val="00791B36"/>
    <w:rsid w:val="007924C8"/>
    <w:rsid w:val="00792715"/>
    <w:rsid w:val="007929D6"/>
    <w:rsid w:val="00792A03"/>
    <w:rsid w:val="00794469"/>
    <w:rsid w:val="00796FCE"/>
    <w:rsid w:val="007A0B3A"/>
    <w:rsid w:val="007A104A"/>
    <w:rsid w:val="007A1242"/>
    <w:rsid w:val="007A1DF0"/>
    <w:rsid w:val="007A21F1"/>
    <w:rsid w:val="007A24B5"/>
    <w:rsid w:val="007A2E2F"/>
    <w:rsid w:val="007A3B3D"/>
    <w:rsid w:val="007A3D7F"/>
    <w:rsid w:val="007A4C6B"/>
    <w:rsid w:val="007A53D4"/>
    <w:rsid w:val="007A6B2C"/>
    <w:rsid w:val="007A7BCF"/>
    <w:rsid w:val="007B0905"/>
    <w:rsid w:val="007B0B30"/>
    <w:rsid w:val="007B1B0A"/>
    <w:rsid w:val="007B2C97"/>
    <w:rsid w:val="007B3FC5"/>
    <w:rsid w:val="007B4C47"/>
    <w:rsid w:val="007B4F93"/>
    <w:rsid w:val="007B6874"/>
    <w:rsid w:val="007B693F"/>
    <w:rsid w:val="007B7D96"/>
    <w:rsid w:val="007B7E93"/>
    <w:rsid w:val="007C0233"/>
    <w:rsid w:val="007C1B67"/>
    <w:rsid w:val="007C2060"/>
    <w:rsid w:val="007C2295"/>
    <w:rsid w:val="007C2788"/>
    <w:rsid w:val="007C2CB0"/>
    <w:rsid w:val="007C4325"/>
    <w:rsid w:val="007C46AC"/>
    <w:rsid w:val="007C4704"/>
    <w:rsid w:val="007C4A3A"/>
    <w:rsid w:val="007C5AB0"/>
    <w:rsid w:val="007C5DEA"/>
    <w:rsid w:val="007C6657"/>
    <w:rsid w:val="007D01EF"/>
    <w:rsid w:val="007D0C2B"/>
    <w:rsid w:val="007D0E9F"/>
    <w:rsid w:val="007D19DF"/>
    <w:rsid w:val="007D1D5C"/>
    <w:rsid w:val="007D243C"/>
    <w:rsid w:val="007D3307"/>
    <w:rsid w:val="007D408E"/>
    <w:rsid w:val="007D52F9"/>
    <w:rsid w:val="007D5730"/>
    <w:rsid w:val="007D5F15"/>
    <w:rsid w:val="007E1534"/>
    <w:rsid w:val="007E2BC0"/>
    <w:rsid w:val="007E2F0F"/>
    <w:rsid w:val="007E3495"/>
    <w:rsid w:val="007E3E50"/>
    <w:rsid w:val="007E3F57"/>
    <w:rsid w:val="007E4669"/>
    <w:rsid w:val="007E6ED4"/>
    <w:rsid w:val="007E7298"/>
    <w:rsid w:val="007E756B"/>
    <w:rsid w:val="007E7917"/>
    <w:rsid w:val="007F0A7F"/>
    <w:rsid w:val="007F12ED"/>
    <w:rsid w:val="007F2580"/>
    <w:rsid w:val="007F3058"/>
    <w:rsid w:val="007F3CB0"/>
    <w:rsid w:val="007F4601"/>
    <w:rsid w:val="007F47A0"/>
    <w:rsid w:val="007F4A7E"/>
    <w:rsid w:val="007F4A7F"/>
    <w:rsid w:val="007F6314"/>
    <w:rsid w:val="007F6BD0"/>
    <w:rsid w:val="007F7C4E"/>
    <w:rsid w:val="008007A5"/>
    <w:rsid w:val="008009B1"/>
    <w:rsid w:val="00801647"/>
    <w:rsid w:val="00801AA7"/>
    <w:rsid w:val="00802095"/>
    <w:rsid w:val="00803932"/>
    <w:rsid w:val="008043B9"/>
    <w:rsid w:val="00805209"/>
    <w:rsid w:val="008055DC"/>
    <w:rsid w:val="00805E1C"/>
    <w:rsid w:val="00806041"/>
    <w:rsid w:val="00806538"/>
    <w:rsid w:val="00810D9B"/>
    <w:rsid w:val="0081135F"/>
    <w:rsid w:val="00813571"/>
    <w:rsid w:val="0081367C"/>
    <w:rsid w:val="00813C28"/>
    <w:rsid w:val="0081453D"/>
    <w:rsid w:val="00817245"/>
    <w:rsid w:val="0082257B"/>
    <w:rsid w:val="00822CFB"/>
    <w:rsid w:val="008237B3"/>
    <w:rsid w:val="00825550"/>
    <w:rsid w:val="00825629"/>
    <w:rsid w:val="00825889"/>
    <w:rsid w:val="0082651C"/>
    <w:rsid w:val="0083065E"/>
    <w:rsid w:val="0083076A"/>
    <w:rsid w:val="0083093E"/>
    <w:rsid w:val="0083179F"/>
    <w:rsid w:val="008318CB"/>
    <w:rsid w:val="0083234E"/>
    <w:rsid w:val="008329B9"/>
    <w:rsid w:val="00836D78"/>
    <w:rsid w:val="00837083"/>
    <w:rsid w:val="00840B8D"/>
    <w:rsid w:val="008423A6"/>
    <w:rsid w:val="008431EB"/>
    <w:rsid w:val="00843640"/>
    <w:rsid w:val="00844373"/>
    <w:rsid w:val="00844CA0"/>
    <w:rsid w:val="00844D9F"/>
    <w:rsid w:val="00846370"/>
    <w:rsid w:val="008463D5"/>
    <w:rsid w:val="008503EF"/>
    <w:rsid w:val="008540CB"/>
    <w:rsid w:val="0085421B"/>
    <w:rsid w:val="00854E6B"/>
    <w:rsid w:val="00854FAD"/>
    <w:rsid w:val="008552A0"/>
    <w:rsid w:val="00855B47"/>
    <w:rsid w:val="0085671B"/>
    <w:rsid w:val="00856FF5"/>
    <w:rsid w:val="008573F9"/>
    <w:rsid w:val="008579D0"/>
    <w:rsid w:val="008623F2"/>
    <w:rsid w:val="00862598"/>
    <w:rsid w:val="00862767"/>
    <w:rsid w:val="008646AE"/>
    <w:rsid w:val="00864B0D"/>
    <w:rsid w:val="00865FFE"/>
    <w:rsid w:val="0087015C"/>
    <w:rsid w:val="00871D23"/>
    <w:rsid w:val="00872038"/>
    <w:rsid w:val="0087286A"/>
    <w:rsid w:val="00872DB6"/>
    <w:rsid w:val="008742FF"/>
    <w:rsid w:val="008743A7"/>
    <w:rsid w:val="008767F8"/>
    <w:rsid w:val="00880D4A"/>
    <w:rsid w:val="00881754"/>
    <w:rsid w:val="00883223"/>
    <w:rsid w:val="00883468"/>
    <w:rsid w:val="00883859"/>
    <w:rsid w:val="00884BFE"/>
    <w:rsid w:val="00884F27"/>
    <w:rsid w:val="00884F5E"/>
    <w:rsid w:val="008858B6"/>
    <w:rsid w:val="00891C39"/>
    <w:rsid w:val="00892758"/>
    <w:rsid w:val="008928A9"/>
    <w:rsid w:val="00892DBC"/>
    <w:rsid w:val="00892E1A"/>
    <w:rsid w:val="00893770"/>
    <w:rsid w:val="00896D8F"/>
    <w:rsid w:val="00897047"/>
    <w:rsid w:val="008A0F43"/>
    <w:rsid w:val="008A26EE"/>
    <w:rsid w:val="008A3C32"/>
    <w:rsid w:val="008A51FA"/>
    <w:rsid w:val="008A5BF4"/>
    <w:rsid w:val="008A5D7F"/>
    <w:rsid w:val="008A7FF3"/>
    <w:rsid w:val="008B0E5F"/>
    <w:rsid w:val="008B0EFB"/>
    <w:rsid w:val="008B12B7"/>
    <w:rsid w:val="008B13C2"/>
    <w:rsid w:val="008B1897"/>
    <w:rsid w:val="008B25DE"/>
    <w:rsid w:val="008B31AA"/>
    <w:rsid w:val="008B3916"/>
    <w:rsid w:val="008B46CA"/>
    <w:rsid w:val="008B4980"/>
    <w:rsid w:val="008B54FD"/>
    <w:rsid w:val="008B6B19"/>
    <w:rsid w:val="008B6EE5"/>
    <w:rsid w:val="008B7D31"/>
    <w:rsid w:val="008C0830"/>
    <w:rsid w:val="008C37E7"/>
    <w:rsid w:val="008C45F8"/>
    <w:rsid w:val="008C481A"/>
    <w:rsid w:val="008C4A41"/>
    <w:rsid w:val="008C4BB6"/>
    <w:rsid w:val="008C5203"/>
    <w:rsid w:val="008C54D1"/>
    <w:rsid w:val="008C5F23"/>
    <w:rsid w:val="008C6902"/>
    <w:rsid w:val="008C6ACC"/>
    <w:rsid w:val="008D26E3"/>
    <w:rsid w:val="008D3DC7"/>
    <w:rsid w:val="008D3FD9"/>
    <w:rsid w:val="008D4A29"/>
    <w:rsid w:val="008D50F5"/>
    <w:rsid w:val="008D50FA"/>
    <w:rsid w:val="008E03D7"/>
    <w:rsid w:val="008E0AB1"/>
    <w:rsid w:val="008E103D"/>
    <w:rsid w:val="008E228D"/>
    <w:rsid w:val="008E2482"/>
    <w:rsid w:val="008E35B6"/>
    <w:rsid w:val="008E3F33"/>
    <w:rsid w:val="008E439B"/>
    <w:rsid w:val="008E4770"/>
    <w:rsid w:val="008E6294"/>
    <w:rsid w:val="008E767D"/>
    <w:rsid w:val="008E7D70"/>
    <w:rsid w:val="008F0AA1"/>
    <w:rsid w:val="008F0B4F"/>
    <w:rsid w:val="008F2507"/>
    <w:rsid w:val="008F27CE"/>
    <w:rsid w:val="008F34C0"/>
    <w:rsid w:val="008F3EEC"/>
    <w:rsid w:val="008F4462"/>
    <w:rsid w:val="008F48B0"/>
    <w:rsid w:val="008F576A"/>
    <w:rsid w:val="008F6B8D"/>
    <w:rsid w:val="008F7A95"/>
    <w:rsid w:val="009004A2"/>
    <w:rsid w:val="00900E64"/>
    <w:rsid w:val="00902904"/>
    <w:rsid w:val="00903105"/>
    <w:rsid w:val="00903A89"/>
    <w:rsid w:val="00903D9F"/>
    <w:rsid w:val="00903E89"/>
    <w:rsid w:val="009044F6"/>
    <w:rsid w:val="009055A5"/>
    <w:rsid w:val="00905B26"/>
    <w:rsid w:val="0090630F"/>
    <w:rsid w:val="00906A69"/>
    <w:rsid w:val="00907F6F"/>
    <w:rsid w:val="00910D87"/>
    <w:rsid w:val="00911260"/>
    <w:rsid w:val="00911D91"/>
    <w:rsid w:val="00911F27"/>
    <w:rsid w:val="00912342"/>
    <w:rsid w:val="009127E4"/>
    <w:rsid w:val="00914C4F"/>
    <w:rsid w:val="009159CD"/>
    <w:rsid w:val="009202E7"/>
    <w:rsid w:val="00920C14"/>
    <w:rsid w:val="00921FC8"/>
    <w:rsid w:val="00922841"/>
    <w:rsid w:val="00922BDB"/>
    <w:rsid w:val="00922D15"/>
    <w:rsid w:val="00923141"/>
    <w:rsid w:val="00923B0C"/>
    <w:rsid w:val="00923DBF"/>
    <w:rsid w:val="00924AE6"/>
    <w:rsid w:val="0092512F"/>
    <w:rsid w:val="00925CC1"/>
    <w:rsid w:val="009261C5"/>
    <w:rsid w:val="00926210"/>
    <w:rsid w:val="00926773"/>
    <w:rsid w:val="0092713C"/>
    <w:rsid w:val="00931929"/>
    <w:rsid w:val="00931C67"/>
    <w:rsid w:val="009323C9"/>
    <w:rsid w:val="009326F7"/>
    <w:rsid w:val="00934339"/>
    <w:rsid w:val="00934932"/>
    <w:rsid w:val="00934E03"/>
    <w:rsid w:val="00935341"/>
    <w:rsid w:val="0093579E"/>
    <w:rsid w:val="00935B14"/>
    <w:rsid w:val="009363AE"/>
    <w:rsid w:val="00936D16"/>
    <w:rsid w:val="00936FA3"/>
    <w:rsid w:val="009370CD"/>
    <w:rsid w:val="00937665"/>
    <w:rsid w:val="00937771"/>
    <w:rsid w:val="009377D9"/>
    <w:rsid w:val="009409FB"/>
    <w:rsid w:val="00940C5D"/>
    <w:rsid w:val="009410A8"/>
    <w:rsid w:val="00941933"/>
    <w:rsid w:val="0094458C"/>
    <w:rsid w:val="00946C30"/>
    <w:rsid w:val="0094734A"/>
    <w:rsid w:val="009478E3"/>
    <w:rsid w:val="009506C9"/>
    <w:rsid w:val="009509A2"/>
    <w:rsid w:val="00950A5E"/>
    <w:rsid w:val="00951178"/>
    <w:rsid w:val="00952611"/>
    <w:rsid w:val="0095292D"/>
    <w:rsid w:val="00953B89"/>
    <w:rsid w:val="00953CC9"/>
    <w:rsid w:val="00953FBE"/>
    <w:rsid w:val="00954009"/>
    <w:rsid w:val="009545A3"/>
    <w:rsid w:val="0095471E"/>
    <w:rsid w:val="00954A15"/>
    <w:rsid w:val="00954D97"/>
    <w:rsid w:val="00954FFE"/>
    <w:rsid w:val="00957ADC"/>
    <w:rsid w:val="009615E0"/>
    <w:rsid w:val="009626D3"/>
    <w:rsid w:val="00962BBB"/>
    <w:rsid w:val="00963B12"/>
    <w:rsid w:val="00965512"/>
    <w:rsid w:val="00965C0B"/>
    <w:rsid w:val="009667CE"/>
    <w:rsid w:val="00966A56"/>
    <w:rsid w:val="00966F20"/>
    <w:rsid w:val="00967537"/>
    <w:rsid w:val="0097005E"/>
    <w:rsid w:val="00970120"/>
    <w:rsid w:val="00970CAB"/>
    <w:rsid w:val="009714FA"/>
    <w:rsid w:val="00972A57"/>
    <w:rsid w:val="00973E0F"/>
    <w:rsid w:val="00973F27"/>
    <w:rsid w:val="0097436E"/>
    <w:rsid w:val="0097452B"/>
    <w:rsid w:val="00975690"/>
    <w:rsid w:val="00975D90"/>
    <w:rsid w:val="00976D00"/>
    <w:rsid w:val="00976E5B"/>
    <w:rsid w:val="009774E7"/>
    <w:rsid w:val="009776B4"/>
    <w:rsid w:val="00977A77"/>
    <w:rsid w:val="00980037"/>
    <w:rsid w:val="00981744"/>
    <w:rsid w:val="00981961"/>
    <w:rsid w:val="0098558E"/>
    <w:rsid w:val="00986148"/>
    <w:rsid w:val="00986513"/>
    <w:rsid w:val="009865BD"/>
    <w:rsid w:val="00986765"/>
    <w:rsid w:val="009874F4"/>
    <w:rsid w:val="009910E9"/>
    <w:rsid w:val="00991476"/>
    <w:rsid w:val="0099197A"/>
    <w:rsid w:val="00991CB0"/>
    <w:rsid w:val="00992659"/>
    <w:rsid w:val="00993457"/>
    <w:rsid w:val="00993521"/>
    <w:rsid w:val="0099457A"/>
    <w:rsid w:val="0099461F"/>
    <w:rsid w:val="00995B85"/>
    <w:rsid w:val="00995C11"/>
    <w:rsid w:val="00996ADA"/>
    <w:rsid w:val="00997AB9"/>
    <w:rsid w:val="009A0526"/>
    <w:rsid w:val="009A1C49"/>
    <w:rsid w:val="009A2918"/>
    <w:rsid w:val="009A2C00"/>
    <w:rsid w:val="009A3258"/>
    <w:rsid w:val="009A369E"/>
    <w:rsid w:val="009A3F88"/>
    <w:rsid w:val="009A7A26"/>
    <w:rsid w:val="009B1F72"/>
    <w:rsid w:val="009B2534"/>
    <w:rsid w:val="009B2768"/>
    <w:rsid w:val="009B3DD8"/>
    <w:rsid w:val="009B3DE5"/>
    <w:rsid w:val="009B3F83"/>
    <w:rsid w:val="009B463F"/>
    <w:rsid w:val="009B4891"/>
    <w:rsid w:val="009B6E9F"/>
    <w:rsid w:val="009B74D2"/>
    <w:rsid w:val="009B7F99"/>
    <w:rsid w:val="009C17BB"/>
    <w:rsid w:val="009C3682"/>
    <w:rsid w:val="009C56E3"/>
    <w:rsid w:val="009C5F41"/>
    <w:rsid w:val="009C687F"/>
    <w:rsid w:val="009C7D29"/>
    <w:rsid w:val="009D000F"/>
    <w:rsid w:val="009D0F29"/>
    <w:rsid w:val="009D12B1"/>
    <w:rsid w:val="009D1574"/>
    <w:rsid w:val="009D175E"/>
    <w:rsid w:val="009D19A9"/>
    <w:rsid w:val="009D3462"/>
    <w:rsid w:val="009D38D2"/>
    <w:rsid w:val="009D39C3"/>
    <w:rsid w:val="009D4095"/>
    <w:rsid w:val="009D4F6F"/>
    <w:rsid w:val="009D6DA8"/>
    <w:rsid w:val="009D7F8D"/>
    <w:rsid w:val="009E06AC"/>
    <w:rsid w:val="009E1879"/>
    <w:rsid w:val="009E1BBD"/>
    <w:rsid w:val="009E250B"/>
    <w:rsid w:val="009E25D1"/>
    <w:rsid w:val="009E28FE"/>
    <w:rsid w:val="009E2CE8"/>
    <w:rsid w:val="009E4AE1"/>
    <w:rsid w:val="009E5B5C"/>
    <w:rsid w:val="009E7036"/>
    <w:rsid w:val="009E7DC6"/>
    <w:rsid w:val="009F0327"/>
    <w:rsid w:val="009F189B"/>
    <w:rsid w:val="009F2B9F"/>
    <w:rsid w:val="009F478D"/>
    <w:rsid w:val="009F4A2C"/>
    <w:rsid w:val="009F4FBE"/>
    <w:rsid w:val="009F5363"/>
    <w:rsid w:val="009F5D7A"/>
    <w:rsid w:val="009F61DE"/>
    <w:rsid w:val="009F6322"/>
    <w:rsid w:val="00A00BA6"/>
    <w:rsid w:val="00A02265"/>
    <w:rsid w:val="00A02946"/>
    <w:rsid w:val="00A0321A"/>
    <w:rsid w:val="00A036A6"/>
    <w:rsid w:val="00A03E78"/>
    <w:rsid w:val="00A04BC6"/>
    <w:rsid w:val="00A04C44"/>
    <w:rsid w:val="00A04C54"/>
    <w:rsid w:val="00A053AE"/>
    <w:rsid w:val="00A066DD"/>
    <w:rsid w:val="00A1090D"/>
    <w:rsid w:val="00A10945"/>
    <w:rsid w:val="00A1157C"/>
    <w:rsid w:val="00A12047"/>
    <w:rsid w:val="00A12A24"/>
    <w:rsid w:val="00A13040"/>
    <w:rsid w:val="00A15881"/>
    <w:rsid w:val="00A202BF"/>
    <w:rsid w:val="00A219CF"/>
    <w:rsid w:val="00A21B2B"/>
    <w:rsid w:val="00A22945"/>
    <w:rsid w:val="00A22F09"/>
    <w:rsid w:val="00A23000"/>
    <w:rsid w:val="00A24578"/>
    <w:rsid w:val="00A24730"/>
    <w:rsid w:val="00A2482A"/>
    <w:rsid w:val="00A25FD9"/>
    <w:rsid w:val="00A25FF3"/>
    <w:rsid w:val="00A267BD"/>
    <w:rsid w:val="00A301A6"/>
    <w:rsid w:val="00A30D21"/>
    <w:rsid w:val="00A31CDC"/>
    <w:rsid w:val="00A31D1E"/>
    <w:rsid w:val="00A31F87"/>
    <w:rsid w:val="00A321F3"/>
    <w:rsid w:val="00A343D8"/>
    <w:rsid w:val="00A34CB0"/>
    <w:rsid w:val="00A35104"/>
    <w:rsid w:val="00A35831"/>
    <w:rsid w:val="00A36601"/>
    <w:rsid w:val="00A36AF9"/>
    <w:rsid w:val="00A36DD8"/>
    <w:rsid w:val="00A3766F"/>
    <w:rsid w:val="00A40938"/>
    <w:rsid w:val="00A4238F"/>
    <w:rsid w:val="00A434CB"/>
    <w:rsid w:val="00A43668"/>
    <w:rsid w:val="00A44D5C"/>
    <w:rsid w:val="00A46C57"/>
    <w:rsid w:val="00A47A07"/>
    <w:rsid w:val="00A5025C"/>
    <w:rsid w:val="00A502A0"/>
    <w:rsid w:val="00A51951"/>
    <w:rsid w:val="00A537F6"/>
    <w:rsid w:val="00A545D7"/>
    <w:rsid w:val="00A546C6"/>
    <w:rsid w:val="00A549A9"/>
    <w:rsid w:val="00A54B0B"/>
    <w:rsid w:val="00A55DD1"/>
    <w:rsid w:val="00A56206"/>
    <w:rsid w:val="00A56EC7"/>
    <w:rsid w:val="00A578C0"/>
    <w:rsid w:val="00A627D5"/>
    <w:rsid w:val="00A62F34"/>
    <w:rsid w:val="00A6305E"/>
    <w:rsid w:val="00A6376C"/>
    <w:rsid w:val="00A63F93"/>
    <w:rsid w:val="00A65D2F"/>
    <w:rsid w:val="00A65F70"/>
    <w:rsid w:val="00A6610B"/>
    <w:rsid w:val="00A6667B"/>
    <w:rsid w:val="00A66900"/>
    <w:rsid w:val="00A70903"/>
    <w:rsid w:val="00A70F61"/>
    <w:rsid w:val="00A70FA4"/>
    <w:rsid w:val="00A7131F"/>
    <w:rsid w:val="00A71839"/>
    <w:rsid w:val="00A71C2A"/>
    <w:rsid w:val="00A71D05"/>
    <w:rsid w:val="00A729A8"/>
    <w:rsid w:val="00A734D0"/>
    <w:rsid w:val="00A73772"/>
    <w:rsid w:val="00A76666"/>
    <w:rsid w:val="00A773E2"/>
    <w:rsid w:val="00A77F74"/>
    <w:rsid w:val="00A80CF9"/>
    <w:rsid w:val="00A819A1"/>
    <w:rsid w:val="00A81F8E"/>
    <w:rsid w:val="00A82C73"/>
    <w:rsid w:val="00A839D6"/>
    <w:rsid w:val="00A83AA9"/>
    <w:rsid w:val="00A83B51"/>
    <w:rsid w:val="00A840C1"/>
    <w:rsid w:val="00A84C61"/>
    <w:rsid w:val="00A85730"/>
    <w:rsid w:val="00A857A3"/>
    <w:rsid w:val="00A86292"/>
    <w:rsid w:val="00A868C1"/>
    <w:rsid w:val="00A8776A"/>
    <w:rsid w:val="00A90E3B"/>
    <w:rsid w:val="00A91DC8"/>
    <w:rsid w:val="00A920F7"/>
    <w:rsid w:val="00A92567"/>
    <w:rsid w:val="00A927DB"/>
    <w:rsid w:val="00A93370"/>
    <w:rsid w:val="00A93E87"/>
    <w:rsid w:val="00A963EF"/>
    <w:rsid w:val="00A9669D"/>
    <w:rsid w:val="00A97F65"/>
    <w:rsid w:val="00AA0956"/>
    <w:rsid w:val="00AA0D8E"/>
    <w:rsid w:val="00AA0DA5"/>
    <w:rsid w:val="00AA15BF"/>
    <w:rsid w:val="00AA2D75"/>
    <w:rsid w:val="00AA3CB0"/>
    <w:rsid w:val="00AA5625"/>
    <w:rsid w:val="00AA56F4"/>
    <w:rsid w:val="00AA6375"/>
    <w:rsid w:val="00AA65EC"/>
    <w:rsid w:val="00AA7406"/>
    <w:rsid w:val="00AA7CDD"/>
    <w:rsid w:val="00AA7D15"/>
    <w:rsid w:val="00AB1ABD"/>
    <w:rsid w:val="00AB1F23"/>
    <w:rsid w:val="00AB2033"/>
    <w:rsid w:val="00AB3D7A"/>
    <w:rsid w:val="00AB4882"/>
    <w:rsid w:val="00AB4FEF"/>
    <w:rsid w:val="00AB5422"/>
    <w:rsid w:val="00AB566A"/>
    <w:rsid w:val="00AB56BA"/>
    <w:rsid w:val="00AB58A7"/>
    <w:rsid w:val="00AB5C73"/>
    <w:rsid w:val="00AB71F4"/>
    <w:rsid w:val="00AC0263"/>
    <w:rsid w:val="00AC1264"/>
    <w:rsid w:val="00AC1476"/>
    <w:rsid w:val="00AC3575"/>
    <w:rsid w:val="00AC6366"/>
    <w:rsid w:val="00AC6FC7"/>
    <w:rsid w:val="00AC7503"/>
    <w:rsid w:val="00AD0487"/>
    <w:rsid w:val="00AD0871"/>
    <w:rsid w:val="00AD1A68"/>
    <w:rsid w:val="00AD22C5"/>
    <w:rsid w:val="00AD25EF"/>
    <w:rsid w:val="00AD2F61"/>
    <w:rsid w:val="00AD3211"/>
    <w:rsid w:val="00AD40AC"/>
    <w:rsid w:val="00AD5382"/>
    <w:rsid w:val="00AD577C"/>
    <w:rsid w:val="00AD78A7"/>
    <w:rsid w:val="00AE04C1"/>
    <w:rsid w:val="00AE1CB1"/>
    <w:rsid w:val="00AE2462"/>
    <w:rsid w:val="00AE2676"/>
    <w:rsid w:val="00AE2F45"/>
    <w:rsid w:val="00AE3FDC"/>
    <w:rsid w:val="00AE43AA"/>
    <w:rsid w:val="00AE4F03"/>
    <w:rsid w:val="00AE6857"/>
    <w:rsid w:val="00AE6D6A"/>
    <w:rsid w:val="00AE773F"/>
    <w:rsid w:val="00AF022C"/>
    <w:rsid w:val="00AF0846"/>
    <w:rsid w:val="00AF0F43"/>
    <w:rsid w:val="00AF1480"/>
    <w:rsid w:val="00AF157E"/>
    <w:rsid w:val="00AF21A7"/>
    <w:rsid w:val="00AF21E6"/>
    <w:rsid w:val="00AF2C89"/>
    <w:rsid w:val="00AF3B38"/>
    <w:rsid w:val="00AF3BB1"/>
    <w:rsid w:val="00AF433E"/>
    <w:rsid w:val="00AF509C"/>
    <w:rsid w:val="00AF51D5"/>
    <w:rsid w:val="00AF5CEF"/>
    <w:rsid w:val="00AF5EB6"/>
    <w:rsid w:val="00B003CC"/>
    <w:rsid w:val="00B00823"/>
    <w:rsid w:val="00B00C70"/>
    <w:rsid w:val="00B01A1E"/>
    <w:rsid w:val="00B03EB9"/>
    <w:rsid w:val="00B0533E"/>
    <w:rsid w:val="00B053EC"/>
    <w:rsid w:val="00B054F7"/>
    <w:rsid w:val="00B0592B"/>
    <w:rsid w:val="00B05DE2"/>
    <w:rsid w:val="00B0624B"/>
    <w:rsid w:val="00B063A9"/>
    <w:rsid w:val="00B074A7"/>
    <w:rsid w:val="00B113E9"/>
    <w:rsid w:val="00B119EF"/>
    <w:rsid w:val="00B1253B"/>
    <w:rsid w:val="00B1325B"/>
    <w:rsid w:val="00B13295"/>
    <w:rsid w:val="00B13B03"/>
    <w:rsid w:val="00B1461D"/>
    <w:rsid w:val="00B14B8E"/>
    <w:rsid w:val="00B14EA2"/>
    <w:rsid w:val="00B173DC"/>
    <w:rsid w:val="00B20108"/>
    <w:rsid w:val="00B2087F"/>
    <w:rsid w:val="00B21A83"/>
    <w:rsid w:val="00B226C7"/>
    <w:rsid w:val="00B226EA"/>
    <w:rsid w:val="00B23D8C"/>
    <w:rsid w:val="00B23F22"/>
    <w:rsid w:val="00B244EA"/>
    <w:rsid w:val="00B257B2"/>
    <w:rsid w:val="00B25C06"/>
    <w:rsid w:val="00B26476"/>
    <w:rsid w:val="00B30494"/>
    <w:rsid w:val="00B304EE"/>
    <w:rsid w:val="00B30682"/>
    <w:rsid w:val="00B3072C"/>
    <w:rsid w:val="00B31ADC"/>
    <w:rsid w:val="00B32A79"/>
    <w:rsid w:val="00B33437"/>
    <w:rsid w:val="00B33978"/>
    <w:rsid w:val="00B351E0"/>
    <w:rsid w:val="00B35E8E"/>
    <w:rsid w:val="00B3693D"/>
    <w:rsid w:val="00B373AD"/>
    <w:rsid w:val="00B37798"/>
    <w:rsid w:val="00B378CC"/>
    <w:rsid w:val="00B37BE4"/>
    <w:rsid w:val="00B37BEB"/>
    <w:rsid w:val="00B406EC"/>
    <w:rsid w:val="00B40FEC"/>
    <w:rsid w:val="00B414C3"/>
    <w:rsid w:val="00B429E5"/>
    <w:rsid w:val="00B42DBC"/>
    <w:rsid w:val="00B43EE0"/>
    <w:rsid w:val="00B4430B"/>
    <w:rsid w:val="00B44A1D"/>
    <w:rsid w:val="00B44A4C"/>
    <w:rsid w:val="00B46052"/>
    <w:rsid w:val="00B4605A"/>
    <w:rsid w:val="00B47FFD"/>
    <w:rsid w:val="00B51954"/>
    <w:rsid w:val="00B51EE4"/>
    <w:rsid w:val="00B5289A"/>
    <w:rsid w:val="00B52EF8"/>
    <w:rsid w:val="00B54781"/>
    <w:rsid w:val="00B549B9"/>
    <w:rsid w:val="00B54AA9"/>
    <w:rsid w:val="00B5515B"/>
    <w:rsid w:val="00B558B3"/>
    <w:rsid w:val="00B56E0D"/>
    <w:rsid w:val="00B57185"/>
    <w:rsid w:val="00B57C7F"/>
    <w:rsid w:val="00B60CB0"/>
    <w:rsid w:val="00B6245F"/>
    <w:rsid w:val="00B629C8"/>
    <w:rsid w:val="00B62B84"/>
    <w:rsid w:val="00B62DCB"/>
    <w:rsid w:val="00B64264"/>
    <w:rsid w:val="00B64F61"/>
    <w:rsid w:val="00B65C5F"/>
    <w:rsid w:val="00B65D02"/>
    <w:rsid w:val="00B66E3F"/>
    <w:rsid w:val="00B6765C"/>
    <w:rsid w:val="00B67835"/>
    <w:rsid w:val="00B67D00"/>
    <w:rsid w:val="00B7162B"/>
    <w:rsid w:val="00B71C7F"/>
    <w:rsid w:val="00B71EDD"/>
    <w:rsid w:val="00B721F2"/>
    <w:rsid w:val="00B72B24"/>
    <w:rsid w:val="00B72E13"/>
    <w:rsid w:val="00B7341A"/>
    <w:rsid w:val="00B73731"/>
    <w:rsid w:val="00B73766"/>
    <w:rsid w:val="00B76285"/>
    <w:rsid w:val="00B76B55"/>
    <w:rsid w:val="00B81769"/>
    <w:rsid w:val="00B825BC"/>
    <w:rsid w:val="00B8297F"/>
    <w:rsid w:val="00B82AD2"/>
    <w:rsid w:val="00B82CA8"/>
    <w:rsid w:val="00B82CC4"/>
    <w:rsid w:val="00B83014"/>
    <w:rsid w:val="00B84B83"/>
    <w:rsid w:val="00B84DCA"/>
    <w:rsid w:val="00B86A99"/>
    <w:rsid w:val="00B86DC1"/>
    <w:rsid w:val="00B87180"/>
    <w:rsid w:val="00B87FC2"/>
    <w:rsid w:val="00B9096E"/>
    <w:rsid w:val="00B924D7"/>
    <w:rsid w:val="00B926A3"/>
    <w:rsid w:val="00B9347D"/>
    <w:rsid w:val="00B93C1E"/>
    <w:rsid w:val="00B93E69"/>
    <w:rsid w:val="00B93F5B"/>
    <w:rsid w:val="00B946A5"/>
    <w:rsid w:val="00B95167"/>
    <w:rsid w:val="00B955A1"/>
    <w:rsid w:val="00B95B77"/>
    <w:rsid w:val="00B967B4"/>
    <w:rsid w:val="00B96B28"/>
    <w:rsid w:val="00B97889"/>
    <w:rsid w:val="00BA11AF"/>
    <w:rsid w:val="00BA22F8"/>
    <w:rsid w:val="00BA2CBE"/>
    <w:rsid w:val="00BA3B52"/>
    <w:rsid w:val="00BA4FD2"/>
    <w:rsid w:val="00BA5FF9"/>
    <w:rsid w:val="00BA71B9"/>
    <w:rsid w:val="00BA773B"/>
    <w:rsid w:val="00BA7D1C"/>
    <w:rsid w:val="00BB0411"/>
    <w:rsid w:val="00BB0E1D"/>
    <w:rsid w:val="00BB18D4"/>
    <w:rsid w:val="00BB1B95"/>
    <w:rsid w:val="00BB29C6"/>
    <w:rsid w:val="00BB353C"/>
    <w:rsid w:val="00BB3D84"/>
    <w:rsid w:val="00BB4BF9"/>
    <w:rsid w:val="00BB5E36"/>
    <w:rsid w:val="00BB5ED9"/>
    <w:rsid w:val="00BB6D81"/>
    <w:rsid w:val="00BB7683"/>
    <w:rsid w:val="00BB787D"/>
    <w:rsid w:val="00BB7BD4"/>
    <w:rsid w:val="00BC04A5"/>
    <w:rsid w:val="00BC1EDD"/>
    <w:rsid w:val="00BC2337"/>
    <w:rsid w:val="00BC3569"/>
    <w:rsid w:val="00BC35CC"/>
    <w:rsid w:val="00BC4245"/>
    <w:rsid w:val="00BC5A97"/>
    <w:rsid w:val="00BC61DD"/>
    <w:rsid w:val="00BC65F2"/>
    <w:rsid w:val="00BC7718"/>
    <w:rsid w:val="00BC7788"/>
    <w:rsid w:val="00BC7B6D"/>
    <w:rsid w:val="00BC7F19"/>
    <w:rsid w:val="00BD078D"/>
    <w:rsid w:val="00BD258B"/>
    <w:rsid w:val="00BD2B5E"/>
    <w:rsid w:val="00BD2F49"/>
    <w:rsid w:val="00BD35F0"/>
    <w:rsid w:val="00BD457F"/>
    <w:rsid w:val="00BD5C38"/>
    <w:rsid w:val="00BD69C7"/>
    <w:rsid w:val="00BD7902"/>
    <w:rsid w:val="00BD7FD0"/>
    <w:rsid w:val="00BE1032"/>
    <w:rsid w:val="00BE1204"/>
    <w:rsid w:val="00BE1240"/>
    <w:rsid w:val="00BE2D10"/>
    <w:rsid w:val="00BE4A4C"/>
    <w:rsid w:val="00BE6761"/>
    <w:rsid w:val="00BF260D"/>
    <w:rsid w:val="00BF30C6"/>
    <w:rsid w:val="00BF4B81"/>
    <w:rsid w:val="00BF4EDD"/>
    <w:rsid w:val="00BF5694"/>
    <w:rsid w:val="00BF5E4F"/>
    <w:rsid w:val="00BF6DFC"/>
    <w:rsid w:val="00BF6E50"/>
    <w:rsid w:val="00BF74CF"/>
    <w:rsid w:val="00C003FE"/>
    <w:rsid w:val="00C013D7"/>
    <w:rsid w:val="00C0142F"/>
    <w:rsid w:val="00C02C5C"/>
    <w:rsid w:val="00C05290"/>
    <w:rsid w:val="00C0540E"/>
    <w:rsid w:val="00C06ECF"/>
    <w:rsid w:val="00C07ABB"/>
    <w:rsid w:val="00C07DCC"/>
    <w:rsid w:val="00C103A7"/>
    <w:rsid w:val="00C10D40"/>
    <w:rsid w:val="00C11602"/>
    <w:rsid w:val="00C122F1"/>
    <w:rsid w:val="00C12497"/>
    <w:rsid w:val="00C130FA"/>
    <w:rsid w:val="00C144F3"/>
    <w:rsid w:val="00C15448"/>
    <w:rsid w:val="00C1574D"/>
    <w:rsid w:val="00C15DCE"/>
    <w:rsid w:val="00C16F30"/>
    <w:rsid w:val="00C175DE"/>
    <w:rsid w:val="00C1784F"/>
    <w:rsid w:val="00C17AE6"/>
    <w:rsid w:val="00C223CA"/>
    <w:rsid w:val="00C22BB9"/>
    <w:rsid w:val="00C2328A"/>
    <w:rsid w:val="00C24472"/>
    <w:rsid w:val="00C252EC"/>
    <w:rsid w:val="00C254FA"/>
    <w:rsid w:val="00C25825"/>
    <w:rsid w:val="00C25F09"/>
    <w:rsid w:val="00C26726"/>
    <w:rsid w:val="00C26840"/>
    <w:rsid w:val="00C27615"/>
    <w:rsid w:val="00C30458"/>
    <w:rsid w:val="00C33145"/>
    <w:rsid w:val="00C34457"/>
    <w:rsid w:val="00C37261"/>
    <w:rsid w:val="00C402BA"/>
    <w:rsid w:val="00C41B4B"/>
    <w:rsid w:val="00C42907"/>
    <w:rsid w:val="00C43142"/>
    <w:rsid w:val="00C43183"/>
    <w:rsid w:val="00C431C1"/>
    <w:rsid w:val="00C43DA0"/>
    <w:rsid w:val="00C44FFF"/>
    <w:rsid w:val="00C45134"/>
    <w:rsid w:val="00C45329"/>
    <w:rsid w:val="00C45C29"/>
    <w:rsid w:val="00C468D5"/>
    <w:rsid w:val="00C50164"/>
    <w:rsid w:val="00C50C16"/>
    <w:rsid w:val="00C50EFA"/>
    <w:rsid w:val="00C53868"/>
    <w:rsid w:val="00C53CB0"/>
    <w:rsid w:val="00C54C0B"/>
    <w:rsid w:val="00C55BDC"/>
    <w:rsid w:val="00C55C81"/>
    <w:rsid w:val="00C5614C"/>
    <w:rsid w:val="00C56155"/>
    <w:rsid w:val="00C566DA"/>
    <w:rsid w:val="00C56AC0"/>
    <w:rsid w:val="00C57FDA"/>
    <w:rsid w:val="00C610AF"/>
    <w:rsid w:val="00C61F64"/>
    <w:rsid w:val="00C62696"/>
    <w:rsid w:val="00C6283C"/>
    <w:rsid w:val="00C62905"/>
    <w:rsid w:val="00C62AC4"/>
    <w:rsid w:val="00C62EA0"/>
    <w:rsid w:val="00C641A3"/>
    <w:rsid w:val="00C6448A"/>
    <w:rsid w:val="00C64EF7"/>
    <w:rsid w:val="00C650F5"/>
    <w:rsid w:val="00C66428"/>
    <w:rsid w:val="00C668D8"/>
    <w:rsid w:val="00C66D9B"/>
    <w:rsid w:val="00C67596"/>
    <w:rsid w:val="00C67701"/>
    <w:rsid w:val="00C67B7F"/>
    <w:rsid w:val="00C70837"/>
    <w:rsid w:val="00C70E78"/>
    <w:rsid w:val="00C7131B"/>
    <w:rsid w:val="00C71859"/>
    <w:rsid w:val="00C7330B"/>
    <w:rsid w:val="00C73CAC"/>
    <w:rsid w:val="00C73E4C"/>
    <w:rsid w:val="00C73EEA"/>
    <w:rsid w:val="00C7443C"/>
    <w:rsid w:val="00C75359"/>
    <w:rsid w:val="00C75664"/>
    <w:rsid w:val="00C75922"/>
    <w:rsid w:val="00C76106"/>
    <w:rsid w:val="00C77B27"/>
    <w:rsid w:val="00C80A2B"/>
    <w:rsid w:val="00C81AE4"/>
    <w:rsid w:val="00C82C0B"/>
    <w:rsid w:val="00C82F9B"/>
    <w:rsid w:val="00C840E7"/>
    <w:rsid w:val="00C84E51"/>
    <w:rsid w:val="00C85187"/>
    <w:rsid w:val="00C8574F"/>
    <w:rsid w:val="00C86456"/>
    <w:rsid w:val="00C9048E"/>
    <w:rsid w:val="00C91098"/>
    <w:rsid w:val="00C91533"/>
    <w:rsid w:val="00C91E75"/>
    <w:rsid w:val="00C92DAA"/>
    <w:rsid w:val="00C93323"/>
    <w:rsid w:val="00C94C25"/>
    <w:rsid w:val="00C94C8A"/>
    <w:rsid w:val="00CA024B"/>
    <w:rsid w:val="00CA03E9"/>
    <w:rsid w:val="00CA209E"/>
    <w:rsid w:val="00CA265B"/>
    <w:rsid w:val="00CA3BCF"/>
    <w:rsid w:val="00CA4462"/>
    <w:rsid w:val="00CA4645"/>
    <w:rsid w:val="00CA4BB5"/>
    <w:rsid w:val="00CA4C22"/>
    <w:rsid w:val="00CA5131"/>
    <w:rsid w:val="00CA5FFB"/>
    <w:rsid w:val="00CA6003"/>
    <w:rsid w:val="00CA6D55"/>
    <w:rsid w:val="00CB09D6"/>
    <w:rsid w:val="00CB2271"/>
    <w:rsid w:val="00CB3A66"/>
    <w:rsid w:val="00CB3DD2"/>
    <w:rsid w:val="00CB5219"/>
    <w:rsid w:val="00CB594E"/>
    <w:rsid w:val="00CB7AF5"/>
    <w:rsid w:val="00CC0033"/>
    <w:rsid w:val="00CC0836"/>
    <w:rsid w:val="00CC131B"/>
    <w:rsid w:val="00CC158C"/>
    <w:rsid w:val="00CC1615"/>
    <w:rsid w:val="00CC364F"/>
    <w:rsid w:val="00CC3EF3"/>
    <w:rsid w:val="00CC489B"/>
    <w:rsid w:val="00CC5043"/>
    <w:rsid w:val="00CC5E57"/>
    <w:rsid w:val="00CC6D9B"/>
    <w:rsid w:val="00CC7FF0"/>
    <w:rsid w:val="00CD080F"/>
    <w:rsid w:val="00CD0F01"/>
    <w:rsid w:val="00CD2682"/>
    <w:rsid w:val="00CD2B12"/>
    <w:rsid w:val="00CD33AB"/>
    <w:rsid w:val="00CD3415"/>
    <w:rsid w:val="00CD3EE9"/>
    <w:rsid w:val="00CD5809"/>
    <w:rsid w:val="00CD635A"/>
    <w:rsid w:val="00CD6C7A"/>
    <w:rsid w:val="00CD73D1"/>
    <w:rsid w:val="00CE02F0"/>
    <w:rsid w:val="00CE0675"/>
    <w:rsid w:val="00CE0DEE"/>
    <w:rsid w:val="00CE174B"/>
    <w:rsid w:val="00CE1944"/>
    <w:rsid w:val="00CE1983"/>
    <w:rsid w:val="00CE22F7"/>
    <w:rsid w:val="00CE2314"/>
    <w:rsid w:val="00CE31C3"/>
    <w:rsid w:val="00CE3AC4"/>
    <w:rsid w:val="00CE400E"/>
    <w:rsid w:val="00CE42E6"/>
    <w:rsid w:val="00CE4C23"/>
    <w:rsid w:val="00CE5BD6"/>
    <w:rsid w:val="00CE5FDF"/>
    <w:rsid w:val="00CE7283"/>
    <w:rsid w:val="00CF24DB"/>
    <w:rsid w:val="00CF2D79"/>
    <w:rsid w:val="00CF3448"/>
    <w:rsid w:val="00CF48B4"/>
    <w:rsid w:val="00CF5D33"/>
    <w:rsid w:val="00CF6408"/>
    <w:rsid w:val="00CF7B3B"/>
    <w:rsid w:val="00D007B2"/>
    <w:rsid w:val="00D0193D"/>
    <w:rsid w:val="00D019E7"/>
    <w:rsid w:val="00D0338A"/>
    <w:rsid w:val="00D03DCF"/>
    <w:rsid w:val="00D05B05"/>
    <w:rsid w:val="00D0611C"/>
    <w:rsid w:val="00D06E81"/>
    <w:rsid w:val="00D07D72"/>
    <w:rsid w:val="00D101CD"/>
    <w:rsid w:val="00D10F90"/>
    <w:rsid w:val="00D111D5"/>
    <w:rsid w:val="00D111F1"/>
    <w:rsid w:val="00D114A4"/>
    <w:rsid w:val="00D13FF1"/>
    <w:rsid w:val="00D146F9"/>
    <w:rsid w:val="00D1534E"/>
    <w:rsid w:val="00D17BEC"/>
    <w:rsid w:val="00D17EFC"/>
    <w:rsid w:val="00D202EA"/>
    <w:rsid w:val="00D204F5"/>
    <w:rsid w:val="00D21D69"/>
    <w:rsid w:val="00D23F1F"/>
    <w:rsid w:val="00D25CA4"/>
    <w:rsid w:val="00D26056"/>
    <w:rsid w:val="00D26A76"/>
    <w:rsid w:val="00D26AB9"/>
    <w:rsid w:val="00D26BEC"/>
    <w:rsid w:val="00D27AC7"/>
    <w:rsid w:val="00D27B13"/>
    <w:rsid w:val="00D27DED"/>
    <w:rsid w:val="00D27E47"/>
    <w:rsid w:val="00D30932"/>
    <w:rsid w:val="00D30E99"/>
    <w:rsid w:val="00D31C87"/>
    <w:rsid w:val="00D3277D"/>
    <w:rsid w:val="00D3280B"/>
    <w:rsid w:val="00D32A78"/>
    <w:rsid w:val="00D32F1E"/>
    <w:rsid w:val="00D33AC8"/>
    <w:rsid w:val="00D33DA7"/>
    <w:rsid w:val="00D34C01"/>
    <w:rsid w:val="00D360E4"/>
    <w:rsid w:val="00D36A23"/>
    <w:rsid w:val="00D373EE"/>
    <w:rsid w:val="00D40575"/>
    <w:rsid w:val="00D413DF"/>
    <w:rsid w:val="00D419A2"/>
    <w:rsid w:val="00D41A57"/>
    <w:rsid w:val="00D41D54"/>
    <w:rsid w:val="00D423E0"/>
    <w:rsid w:val="00D427F5"/>
    <w:rsid w:val="00D4302E"/>
    <w:rsid w:val="00D4629E"/>
    <w:rsid w:val="00D465EE"/>
    <w:rsid w:val="00D4695B"/>
    <w:rsid w:val="00D50469"/>
    <w:rsid w:val="00D5076C"/>
    <w:rsid w:val="00D5142B"/>
    <w:rsid w:val="00D51CD8"/>
    <w:rsid w:val="00D51D8E"/>
    <w:rsid w:val="00D5227B"/>
    <w:rsid w:val="00D54DE5"/>
    <w:rsid w:val="00D55B56"/>
    <w:rsid w:val="00D55D5E"/>
    <w:rsid w:val="00D56814"/>
    <w:rsid w:val="00D6009E"/>
    <w:rsid w:val="00D60249"/>
    <w:rsid w:val="00D619F3"/>
    <w:rsid w:val="00D62692"/>
    <w:rsid w:val="00D62DD4"/>
    <w:rsid w:val="00D637D7"/>
    <w:rsid w:val="00D63800"/>
    <w:rsid w:val="00D64C0A"/>
    <w:rsid w:val="00D65B16"/>
    <w:rsid w:val="00D66BF7"/>
    <w:rsid w:val="00D70A50"/>
    <w:rsid w:val="00D71878"/>
    <w:rsid w:val="00D725D9"/>
    <w:rsid w:val="00D7291A"/>
    <w:rsid w:val="00D737DA"/>
    <w:rsid w:val="00D7424E"/>
    <w:rsid w:val="00D75097"/>
    <w:rsid w:val="00D754AF"/>
    <w:rsid w:val="00D75B54"/>
    <w:rsid w:val="00D768B0"/>
    <w:rsid w:val="00D77CF2"/>
    <w:rsid w:val="00D8070E"/>
    <w:rsid w:val="00D80711"/>
    <w:rsid w:val="00D80E59"/>
    <w:rsid w:val="00D82824"/>
    <w:rsid w:val="00D8291D"/>
    <w:rsid w:val="00D82AE8"/>
    <w:rsid w:val="00D82C49"/>
    <w:rsid w:val="00D836F8"/>
    <w:rsid w:val="00D840C8"/>
    <w:rsid w:val="00D8526F"/>
    <w:rsid w:val="00D8588D"/>
    <w:rsid w:val="00D86C1D"/>
    <w:rsid w:val="00D86CA7"/>
    <w:rsid w:val="00D876DF"/>
    <w:rsid w:val="00D87918"/>
    <w:rsid w:val="00D87EFB"/>
    <w:rsid w:val="00D908E7"/>
    <w:rsid w:val="00D90CA7"/>
    <w:rsid w:val="00D90D07"/>
    <w:rsid w:val="00D92071"/>
    <w:rsid w:val="00D94A42"/>
    <w:rsid w:val="00D94ACE"/>
    <w:rsid w:val="00D95439"/>
    <w:rsid w:val="00D965F6"/>
    <w:rsid w:val="00D97A65"/>
    <w:rsid w:val="00DA0C99"/>
    <w:rsid w:val="00DA21B9"/>
    <w:rsid w:val="00DA2EA7"/>
    <w:rsid w:val="00DA401D"/>
    <w:rsid w:val="00DA460A"/>
    <w:rsid w:val="00DA487E"/>
    <w:rsid w:val="00DA48F2"/>
    <w:rsid w:val="00DA5564"/>
    <w:rsid w:val="00DA5EB7"/>
    <w:rsid w:val="00DA72D5"/>
    <w:rsid w:val="00DB0571"/>
    <w:rsid w:val="00DB1962"/>
    <w:rsid w:val="00DB1A81"/>
    <w:rsid w:val="00DB2292"/>
    <w:rsid w:val="00DB2868"/>
    <w:rsid w:val="00DB33BF"/>
    <w:rsid w:val="00DB39E8"/>
    <w:rsid w:val="00DB3A25"/>
    <w:rsid w:val="00DB3CFC"/>
    <w:rsid w:val="00DB40BC"/>
    <w:rsid w:val="00DB4DAE"/>
    <w:rsid w:val="00DB5888"/>
    <w:rsid w:val="00DB64E6"/>
    <w:rsid w:val="00DB6F3D"/>
    <w:rsid w:val="00DC065D"/>
    <w:rsid w:val="00DC08E0"/>
    <w:rsid w:val="00DC1305"/>
    <w:rsid w:val="00DC3B17"/>
    <w:rsid w:val="00DC3B1A"/>
    <w:rsid w:val="00DC5395"/>
    <w:rsid w:val="00DC5AA4"/>
    <w:rsid w:val="00DC62E2"/>
    <w:rsid w:val="00DC6765"/>
    <w:rsid w:val="00DC700C"/>
    <w:rsid w:val="00DD0838"/>
    <w:rsid w:val="00DD08AA"/>
    <w:rsid w:val="00DD2F73"/>
    <w:rsid w:val="00DD35E4"/>
    <w:rsid w:val="00DD3FF2"/>
    <w:rsid w:val="00DD565D"/>
    <w:rsid w:val="00DD5EC7"/>
    <w:rsid w:val="00DD64ED"/>
    <w:rsid w:val="00DD6A5F"/>
    <w:rsid w:val="00DD7530"/>
    <w:rsid w:val="00DE0E39"/>
    <w:rsid w:val="00DE1AAC"/>
    <w:rsid w:val="00DE1CF9"/>
    <w:rsid w:val="00DE1DEA"/>
    <w:rsid w:val="00DE2567"/>
    <w:rsid w:val="00DE3DFF"/>
    <w:rsid w:val="00DE4006"/>
    <w:rsid w:val="00DE483E"/>
    <w:rsid w:val="00DE5164"/>
    <w:rsid w:val="00DE5DDF"/>
    <w:rsid w:val="00DE60DF"/>
    <w:rsid w:val="00DE72DC"/>
    <w:rsid w:val="00DE79E0"/>
    <w:rsid w:val="00DF060D"/>
    <w:rsid w:val="00DF0E68"/>
    <w:rsid w:val="00DF0E93"/>
    <w:rsid w:val="00DF245A"/>
    <w:rsid w:val="00DF43B4"/>
    <w:rsid w:val="00DF4524"/>
    <w:rsid w:val="00DF4F4E"/>
    <w:rsid w:val="00DF5043"/>
    <w:rsid w:val="00DF62A5"/>
    <w:rsid w:val="00DF6EA7"/>
    <w:rsid w:val="00E0156F"/>
    <w:rsid w:val="00E01A4F"/>
    <w:rsid w:val="00E03AB9"/>
    <w:rsid w:val="00E03BE3"/>
    <w:rsid w:val="00E03D5B"/>
    <w:rsid w:val="00E049F4"/>
    <w:rsid w:val="00E04D92"/>
    <w:rsid w:val="00E068DB"/>
    <w:rsid w:val="00E07622"/>
    <w:rsid w:val="00E07704"/>
    <w:rsid w:val="00E07A39"/>
    <w:rsid w:val="00E07A52"/>
    <w:rsid w:val="00E07E54"/>
    <w:rsid w:val="00E101E6"/>
    <w:rsid w:val="00E10828"/>
    <w:rsid w:val="00E11895"/>
    <w:rsid w:val="00E122BA"/>
    <w:rsid w:val="00E1373A"/>
    <w:rsid w:val="00E1379F"/>
    <w:rsid w:val="00E13F5C"/>
    <w:rsid w:val="00E14C46"/>
    <w:rsid w:val="00E150BB"/>
    <w:rsid w:val="00E17DD9"/>
    <w:rsid w:val="00E2113A"/>
    <w:rsid w:val="00E21FF7"/>
    <w:rsid w:val="00E22959"/>
    <w:rsid w:val="00E25B99"/>
    <w:rsid w:val="00E26FDE"/>
    <w:rsid w:val="00E27550"/>
    <w:rsid w:val="00E27D06"/>
    <w:rsid w:val="00E30627"/>
    <w:rsid w:val="00E30FCD"/>
    <w:rsid w:val="00E31C2C"/>
    <w:rsid w:val="00E31D3C"/>
    <w:rsid w:val="00E32634"/>
    <w:rsid w:val="00E337F3"/>
    <w:rsid w:val="00E33CD2"/>
    <w:rsid w:val="00E344CA"/>
    <w:rsid w:val="00E35660"/>
    <w:rsid w:val="00E365A4"/>
    <w:rsid w:val="00E36653"/>
    <w:rsid w:val="00E40C59"/>
    <w:rsid w:val="00E40FF2"/>
    <w:rsid w:val="00E41BFB"/>
    <w:rsid w:val="00E41CB2"/>
    <w:rsid w:val="00E42684"/>
    <w:rsid w:val="00E42727"/>
    <w:rsid w:val="00E42ADA"/>
    <w:rsid w:val="00E42E39"/>
    <w:rsid w:val="00E43152"/>
    <w:rsid w:val="00E439B7"/>
    <w:rsid w:val="00E43F22"/>
    <w:rsid w:val="00E44093"/>
    <w:rsid w:val="00E45097"/>
    <w:rsid w:val="00E453BC"/>
    <w:rsid w:val="00E45712"/>
    <w:rsid w:val="00E45C1D"/>
    <w:rsid w:val="00E46497"/>
    <w:rsid w:val="00E50B1A"/>
    <w:rsid w:val="00E516B5"/>
    <w:rsid w:val="00E531F8"/>
    <w:rsid w:val="00E539ED"/>
    <w:rsid w:val="00E53C47"/>
    <w:rsid w:val="00E55982"/>
    <w:rsid w:val="00E56965"/>
    <w:rsid w:val="00E56971"/>
    <w:rsid w:val="00E57055"/>
    <w:rsid w:val="00E60A82"/>
    <w:rsid w:val="00E61A97"/>
    <w:rsid w:val="00E63010"/>
    <w:rsid w:val="00E6381E"/>
    <w:rsid w:val="00E653F4"/>
    <w:rsid w:val="00E65A84"/>
    <w:rsid w:val="00E65CA4"/>
    <w:rsid w:val="00E66EB0"/>
    <w:rsid w:val="00E671AF"/>
    <w:rsid w:val="00E705D5"/>
    <w:rsid w:val="00E718F2"/>
    <w:rsid w:val="00E72AE5"/>
    <w:rsid w:val="00E73E71"/>
    <w:rsid w:val="00E74160"/>
    <w:rsid w:val="00E74E20"/>
    <w:rsid w:val="00E754CF"/>
    <w:rsid w:val="00E757FE"/>
    <w:rsid w:val="00E75A02"/>
    <w:rsid w:val="00E76E16"/>
    <w:rsid w:val="00E76E98"/>
    <w:rsid w:val="00E76FDB"/>
    <w:rsid w:val="00E77066"/>
    <w:rsid w:val="00E80277"/>
    <w:rsid w:val="00E80B7B"/>
    <w:rsid w:val="00E80E95"/>
    <w:rsid w:val="00E83854"/>
    <w:rsid w:val="00E8392F"/>
    <w:rsid w:val="00E842AC"/>
    <w:rsid w:val="00E845D3"/>
    <w:rsid w:val="00E85099"/>
    <w:rsid w:val="00E85108"/>
    <w:rsid w:val="00E85A94"/>
    <w:rsid w:val="00E862BA"/>
    <w:rsid w:val="00E864F6"/>
    <w:rsid w:val="00E864FE"/>
    <w:rsid w:val="00E8680E"/>
    <w:rsid w:val="00E86D87"/>
    <w:rsid w:val="00E86EC6"/>
    <w:rsid w:val="00E87FA3"/>
    <w:rsid w:val="00E930EE"/>
    <w:rsid w:val="00E9329C"/>
    <w:rsid w:val="00E9469C"/>
    <w:rsid w:val="00E946ED"/>
    <w:rsid w:val="00E94957"/>
    <w:rsid w:val="00E95FC8"/>
    <w:rsid w:val="00E97213"/>
    <w:rsid w:val="00EA0D60"/>
    <w:rsid w:val="00EA1414"/>
    <w:rsid w:val="00EA2215"/>
    <w:rsid w:val="00EA33A5"/>
    <w:rsid w:val="00EA33B6"/>
    <w:rsid w:val="00EA43FF"/>
    <w:rsid w:val="00EA4673"/>
    <w:rsid w:val="00EA486B"/>
    <w:rsid w:val="00EA52AD"/>
    <w:rsid w:val="00EA5597"/>
    <w:rsid w:val="00EA6DF9"/>
    <w:rsid w:val="00EA7B3D"/>
    <w:rsid w:val="00EB130E"/>
    <w:rsid w:val="00EB1C65"/>
    <w:rsid w:val="00EB3229"/>
    <w:rsid w:val="00EB3980"/>
    <w:rsid w:val="00EB5E61"/>
    <w:rsid w:val="00EB64EB"/>
    <w:rsid w:val="00EB6C4C"/>
    <w:rsid w:val="00EB7609"/>
    <w:rsid w:val="00EC0982"/>
    <w:rsid w:val="00EC0A48"/>
    <w:rsid w:val="00EC0C97"/>
    <w:rsid w:val="00EC3CF9"/>
    <w:rsid w:val="00EC3D0E"/>
    <w:rsid w:val="00EC3D5C"/>
    <w:rsid w:val="00EC4170"/>
    <w:rsid w:val="00EC46E2"/>
    <w:rsid w:val="00EC5D52"/>
    <w:rsid w:val="00EC652D"/>
    <w:rsid w:val="00EC658C"/>
    <w:rsid w:val="00EC7873"/>
    <w:rsid w:val="00ED0B97"/>
    <w:rsid w:val="00ED15CA"/>
    <w:rsid w:val="00ED1A49"/>
    <w:rsid w:val="00ED2D04"/>
    <w:rsid w:val="00ED461D"/>
    <w:rsid w:val="00ED4659"/>
    <w:rsid w:val="00ED4923"/>
    <w:rsid w:val="00ED4945"/>
    <w:rsid w:val="00ED569A"/>
    <w:rsid w:val="00ED66B2"/>
    <w:rsid w:val="00ED6A46"/>
    <w:rsid w:val="00ED6B97"/>
    <w:rsid w:val="00ED6D59"/>
    <w:rsid w:val="00EE2479"/>
    <w:rsid w:val="00EE27DF"/>
    <w:rsid w:val="00EE2B13"/>
    <w:rsid w:val="00EE526B"/>
    <w:rsid w:val="00EE5D76"/>
    <w:rsid w:val="00EE6B2F"/>
    <w:rsid w:val="00EE78BD"/>
    <w:rsid w:val="00EF054D"/>
    <w:rsid w:val="00EF0B8E"/>
    <w:rsid w:val="00EF0F67"/>
    <w:rsid w:val="00EF14A0"/>
    <w:rsid w:val="00EF1ADE"/>
    <w:rsid w:val="00EF1BA3"/>
    <w:rsid w:val="00EF1EE4"/>
    <w:rsid w:val="00EF294E"/>
    <w:rsid w:val="00EF346D"/>
    <w:rsid w:val="00EF44C5"/>
    <w:rsid w:val="00EF47AD"/>
    <w:rsid w:val="00EF5325"/>
    <w:rsid w:val="00EF552B"/>
    <w:rsid w:val="00EF573B"/>
    <w:rsid w:val="00EF69B3"/>
    <w:rsid w:val="00EF780F"/>
    <w:rsid w:val="00F005DD"/>
    <w:rsid w:val="00F00B25"/>
    <w:rsid w:val="00F00F40"/>
    <w:rsid w:val="00F01F42"/>
    <w:rsid w:val="00F02739"/>
    <w:rsid w:val="00F035CC"/>
    <w:rsid w:val="00F042F5"/>
    <w:rsid w:val="00F04728"/>
    <w:rsid w:val="00F04C88"/>
    <w:rsid w:val="00F05368"/>
    <w:rsid w:val="00F076CE"/>
    <w:rsid w:val="00F103B7"/>
    <w:rsid w:val="00F10D10"/>
    <w:rsid w:val="00F1531C"/>
    <w:rsid w:val="00F16564"/>
    <w:rsid w:val="00F169A7"/>
    <w:rsid w:val="00F16BF7"/>
    <w:rsid w:val="00F17626"/>
    <w:rsid w:val="00F2092B"/>
    <w:rsid w:val="00F21404"/>
    <w:rsid w:val="00F23386"/>
    <w:rsid w:val="00F23E80"/>
    <w:rsid w:val="00F24702"/>
    <w:rsid w:val="00F249DF"/>
    <w:rsid w:val="00F256D7"/>
    <w:rsid w:val="00F25EB1"/>
    <w:rsid w:val="00F267C1"/>
    <w:rsid w:val="00F27910"/>
    <w:rsid w:val="00F304E4"/>
    <w:rsid w:val="00F304F2"/>
    <w:rsid w:val="00F305D1"/>
    <w:rsid w:val="00F31B4E"/>
    <w:rsid w:val="00F32789"/>
    <w:rsid w:val="00F339D6"/>
    <w:rsid w:val="00F346E8"/>
    <w:rsid w:val="00F34CAB"/>
    <w:rsid w:val="00F35397"/>
    <w:rsid w:val="00F35BA6"/>
    <w:rsid w:val="00F35DF0"/>
    <w:rsid w:val="00F35E48"/>
    <w:rsid w:val="00F3726B"/>
    <w:rsid w:val="00F42743"/>
    <w:rsid w:val="00F437C3"/>
    <w:rsid w:val="00F4400E"/>
    <w:rsid w:val="00F45274"/>
    <w:rsid w:val="00F46136"/>
    <w:rsid w:val="00F4716B"/>
    <w:rsid w:val="00F47906"/>
    <w:rsid w:val="00F47C6C"/>
    <w:rsid w:val="00F47F1F"/>
    <w:rsid w:val="00F500E8"/>
    <w:rsid w:val="00F5111A"/>
    <w:rsid w:val="00F51131"/>
    <w:rsid w:val="00F51E0D"/>
    <w:rsid w:val="00F5347A"/>
    <w:rsid w:val="00F53A4A"/>
    <w:rsid w:val="00F54062"/>
    <w:rsid w:val="00F545FA"/>
    <w:rsid w:val="00F55192"/>
    <w:rsid w:val="00F558D5"/>
    <w:rsid w:val="00F55A8D"/>
    <w:rsid w:val="00F57430"/>
    <w:rsid w:val="00F6065C"/>
    <w:rsid w:val="00F60AE1"/>
    <w:rsid w:val="00F60BDA"/>
    <w:rsid w:val="00F63BFF"/>
    <w:rsid w:val="00F63FDC"/>
    <w:rsid w:val="00F64677"/>
    <w:rsid w:val="00F64EEF"/>
    <w:rsid w:val="00F65471"/>
    <w:rsid w:val="00F66235"/>
    <w:rsid w:val="00F66F71"/>
    <w:rsid w:val="00F67A38"/>
    <w:rsid w:val="00F70B17"/>
    <w:rsid w:val="00F717A0"/>
    <w:rsid w:val="00F725C6"/>
    <w:rsid w:val="00F72EB6"/>
    <w:rsid w:val="00F72F9D"/>
    <w:rsid w:val="00F74498"/>
    <w:rsid w:val="00F74812"/>
    <w:rsid w:val="00F74907"/>
    <w:rsid w:val="00F75A47"/>
    <w:rsid w:val="00F75ECA"/>
    <w:rsid w:val="00F81791"/>
    <w:rsid w:val="00F821C8"/>
    <w:rsid w:val="00F82D29"/>
    <w:rsid w:val="00F84ACB"/>
    <w:rsid w:val="00F85282"/>
    <w:rsid w:val="00F87509"/>
    <w:rsid w:val="00F87C1E"/>
    <w:rsid w:val="00F87D22"/>
    <w:rsid w:val="00F91293"/>
    <w:rsid w:val="00F92695"/>
    <w:rsid w:val="00F935D2"/>
    <w:rsid w:val="00F93BFE"/>
    <w:rsid w:val="00F93D08"/>
    <w:rsid w:val="00F94406"/>
    <w:rsid w:val="00F94BDC"/>
    <w:rsid w:val="00F95801"/>
    <w:rsid w:val="00F967E1"/>
    <w:rsid w:val="00F96CCE"/>
    <w:rsid w:val="00F971A6"/>
    <w:rsid w:val="00F97C40"/>
    <w:rsid w:val="00FA10E1"/>
    <w:rsid w:val="00FA1923"/>
    <w:rsid w:val="00FA1C2E"/>
    <w:rsid w:val="00FA3345"/>
    <w:rsid w:val="00FA33B8"/>
    <w:rsid w:val="00FA4EC5"/>
    <w:rsid w:val="00FA5112"/>
    <w:rsid w:val="00FA5ACF"/>
    <w:rsid w:val="00FB0523"/>
    <w:rsid w:val="00FB0841"/>
    <w:rsid w:val="00FB084C"/>
    <w:rsid w:val="00FB0928"/>
    <w:rsid w:val="00FB109B"/>
    <w:rsid w:val="00FB1903"/>
    <w:rsid w:val="00FB436D"/>
    <w:rsid w:val="00FB4BFB"/>
    <w:rsid w:val="00FB5408"/>
    <w:rsid w:val="00FB5A39"/>
    <w:rsid w:val="00FB6028"/>
    <w:rsid w:val="00FB77BB"/>
    <w:rsid w:val="00FB78E6"/>
    <w:rsid w:val="00FB7EB4"/>
    <w:rsid w:val="00FC0BD0"/>
    <w:rsid w:val="00FC15B3"/>
    <w:rsid w:val="00FC1753"/>
    <w:rsid w:val="00FC1FFF"/>
    <w:rsid w:val="00FC534E"/>
    <w:rsid w:val="00FC60BC"/>
    <w:rsid w:val="00FC64E1"/>
    <w:rsid w:val="00FC66A9"/>
    <w:rsid w:val="00FC6918"/>
    <w:rsid w:val="00FC7BB9"/>
    <w:rsid w:val="00FC7D3B"/>
    <w:rsid w:val="00FC7EEE"/>
    <w:rsid w:val="00FD02AD"/>
    <w:rsid w:val="00FD08A1"/>
    <w:rsid w:val="00FD29FC"/>
    <w:rsid w:val="00FD4C71"/>
    <w:rsid w:val="00FD6388"/>
    <w:rsid w:val="00FD6C9B"/>
    <w:rsid w:val="00FD6D66"/>
    <w:rsid w:val="00FD7B5D"/>
    <w:rsid w:val="00FE3D28"/>
    <w:rsid w:val="00FE3E79"/>
    <w:rsid w:val="00FE3F9C"/>
    <w:rsid w:val="00FE400B"/>
    <w:rsid w:val="00FE59DA"/>
    <w:rsid w:val="00FE7AC2"/>
    <w:rsid w:val="00FE7DD8"/>
    <w:rsid w:val="00FE7E8F"/>
    <w:rsid w:val="00FF0079"/>
    <w:rsid w:val="00FF096E"/>
    <w:rsid w:val="00FF0AA6"/>
    <w:rsid w:val="00FF304E"/>
    <w:rsid w:val="00FF3653"/>
    <w:rsid w:val="00FF4944"/>
    <w:rsid w:val="00FF4E7D"/>
    <w:rsid w:val="00FF5525"/>
    <w:rsid w:val="00FF5CF5"/>
    <w:rsid w:val="00FF694D"/>
    <w:rsid w:val="010D41CE"/>
    <w:rsid w:val="01303AC5"/>
    <w:rsid w:val="01680E4D"/>
    <w:rsid w:val="01D161E2"/>
    <w:rsid w:val="01D44067"/>
    <w:rsid w:val="01F66ABD"/>
    <w:rsid w:val="023A4BFB"/>
    <w:rsid w:val="027125E7"/>
    <w:rsid w:val="028B18FB"/>
    <w:rsid w:val="02A470E4"/>
    <w:rsid w:val="02CE6340"/>
    <w:rsid w:val="02DF57A3"/>
    <w:rsid w:val="02FF6FFC"/>
    <w:rsid w:val="0361003C"/>
    <w:rsid w:val="037F5AB6"/>
    <w:rsid w:val="03C350C4"/>
    <w:rsid w:val="03E06E1E"/>
    <w:rsid w:val="04277401"/>
    <w:rsid w:val="04675057"/>
    <w:rsid w:val="04C37F66"/>
    <w:rsid w:val="04E604A3"/>
    <w:rsid w:val="0503127E"/>
    <w:rsid w:val="05556BA2"/>
    <w:rsid w:val="05830E11"/>
    <w:rsid w:val="05B567E9"/>
    <w:rsid w:val="05CF7D50"/>
    <w:rsid w:val="05F146D3"/>
    <w:rsid w:val="05F93719"/>
    <w:rsid w:val="06007F0A"/>
    <w:rsid w:val="06A24354"/>
    <w:rsid w:val="06CD24AD"/>
    <w:rsid w:val="06E4782C"/>
    <w:rsid w:val="06FC4B75"/>
    <w:rsid w:val="070E3F93"/>
    <w:rsid w:val="072F46D6"/>
    <w:rsid w:val="07AA7CFB"/>
    <w:rsid w:val="07E8709B"/>
    <w:rsid w:val="083640B7"/>
    <w:rsid w:val="083B628C"/>
    <w:rsid w:val="08683CDA"/>
    <w:rsid w:val="089808CE"/>
    <w:rsid w:val="08B33959"/>
    <w:rsid w:val="09005541"/>
    <w:rsid w:val="09106D7D"/>
    <w:rsid w:val="0928797B"/>
    <w:rsid w:val="094238FF"/>
    <w:rsid w:val="09880710"/>
    <w:rsid w:val="09B325E0"/>
    <w:rsid w:val="09E776AE"/>
    <w:rsid w:val="09EB20A5"/>
    <w:rsid w:val="09F56528"/>
    <w:rsid w:val="0A4C1970"/>
    <w:rsid w:val="0A6071C9"/>
    <w:rsid w:val="0A7219B3"/>
    <w:rsid w:val="0AA277E2"/>
    <w:rsid w:val="0AA95014"/>
    <w:rsid w:val="0ABB08A3"/>
    <w:rsid w:val="0AC66E29"/>
    <w:rsid w:val="0ADF0A36"/>
    <w:rsid w:val="0B0E131B"/>
    <w:rsid w:val="0B9038DD"/>
    <w:rsid w:val="0B927856"/>
    <w:rsid w:val="0BC2628A"/>
    <w:rsid w:val="0BC47C2C"/>
    <w:rsid w:val="0C1C2D09"/>
    <w:rsid w:val="0C5B5961"/>
    <w:rsid w:val="0C617287"/>
    <w:rsid w:val="0C9910B8"/>
    <w:rsid w:val="0CBD0903"/>
    <w:rsid w:val="0CFC11DA"/>
    <w:rsid w:val="0D2210AE"/>
    <w:rsid w:val="0D2C17C2"/>
    <w:rsid w:val="0D751EE0"/>
    <w:rsid w:val="0DAE46EF"/>
    <w:rsid w:val="0E197D32"/>
    <w:rsid w:val="0E6B3E0A"/>
    <w:rsid w:val="0E7211D3"/>
    <w:rsid w:val="0E83792A"/>
    <w:rsid w:val="0E8B67DF"/>
    <w:rsid w:val="0EB16245"/>
    <w:rsid w:val="0EC46190"/>
    <w:rsid w:val="0ED71A24"/>
    <w:rsid w:val="0EDB7766"/>
    <w:rsid w:val="0EFD592E"/>
    <w:rsid w:val="0F0C6A6F"/>
    <w:rsid w:val="0F8336F9"/>
    <w:rsid w:val="0F8F3094"/>
    <w:rsid w:val="0FC66900"/>
    <w:rsid w:val="0FD13499"/>
    <w:rsid w:val="102C70F6"/>
    <w:rsid w:val="10824299"/>
    <w:rsid w:val="108C5E9A"/>
    <w:rsid w:val="10B94E09"/>
    <w:rsid w:val="10FD1C16"/>
    <w:rsid w:val="11145777"/>
    <w:rsid w:val="11641C95"/>
    <w:rsid w:val="117348AC"/>
    <w:rsid w:val="11BC1333"/>
    <w:rsid w:val="11C24EF4"/>
    <w:rsid w:val="121B67F6"/>
    <w:rsid w:val="12533063"/>
    <w:rsid w:val="12900781"/>
    <w:rsid w:val="130C2528"/>
    <w:rsid w:val="132A2A6A"/>
    <w:rsid w:val="138D7D0A"/>
    <w:rsid w:val="139525D9"/>
    <w:rsid w:val="13FA243C"/>
    <w:rsid w:val="142614ED"/>
    <w:rsid w:val="14370EBA"/>
    <w:rsid w:val="156F45F1"/>
    <w:rsid w:val="15DE2AE9"/>
    <w:rsid w:val="164A5010"/>
    <w:rsid w:val="16704C38"/>
    <w:rsid w:val="169C7970"/>
    <w:rsid w:val="177842FC"/>
    <w:rsid w:val="178C5AA1"/>
    <w:rsid w:val="17AD3976"/>
    <w:rsid w:val="18694035"/>
    <w:rsid w:val="187C5B16"/>
    <w:rsid w:val="189A3639"/>
    <w:rsid w:val="18A4506D"/>
    <w:rsid w:val="18DA3276"/>
    <w:rsid w:val="18E41F8A"/>
    <w:rsid w:val="18F445A3"/>
    <w:rsid w:val="193F3540"/>
    <w:rsid w:val="19415D98"/>
    <w:rsid w:val="194707E4"/>
    <w:rsid w:val="19474AC2"/>
    <w:rsid w:val="1967034D"/>
    <w:rsid w:val="197902A7"/>
    <w:rsid w:val="19A867CC"/>
    <w:rsid w:val="19F6550C"/>
    <w:rsid w:val="1A152EDB"/>
    <w:rsid w:val="1A287852"/>
    <w:rsid w:val="1A3509EA"/>
    <w:rsid w:val="1A576475"/>
    <w:rsid w:val="1A78230D"/>
    <w:rsid w:val="1A903AFB"/>
    <w:rsid w:val="1ADC477B"/>
    <w:rsid w:val="1B125001"/>
    <w:rsid w:val="1B1453A9"/>
    <w:rsid w:val="1B3A5814"/>
    <w:rsid w:val="1B59702C"/>
    <w:rsid w:val="1B622BAA"/>
    <w:rsid w:val="1B6C0B33"/>
    <w:rsid w:val="1B90378F"/>
    <w:rsid w:val="1BDD1D30"/>
    <w:rsid w:val="1C0C0F5F"/>
    <w:rsid w:val="1C521E49"/>
    <w:rsid w:val="1C6953CD"/>
    <w:rsid w:val="1C931680"/>
    <w:rsid w:val="1CBB1E75"/>
    <w:rsid w:val="1CEE4B08"/>
    <w:rsid w:val="1CF8604A"/>
    <w:rsid w:val="1CFF2329"/>
    <w:rsid w:val="1D0D7DFD"/>
    <w:rsid w:val="1D70551D"/>
    <w:rsid w:val="1DA629DC"/>
    <w:rsid w:val="1DE5480D"/>
    <w:rsid w:val="1E4E3AB1"/>
    <w:rsid w:val="1E721AEE"/>
    <w:rsid w:val="1E7A32D3"/>
    <w:rsid w:val="1FBF278C"/>
    <w:rsid w:val="1FC37DB3"/>
    <w:rsid w:val="1FDF3083"/>
    <w:rsid w:val="1FF64618"/>
    <w:rsid w:val="200855D2"/>
    <w:rsid w:val="203171E6"/>
    <w:rsid w:val="20342AE8"/>
    <w:rsid w:val="208F0285"/>
    <w:rsid w:val="20900380"/>
    <w:rsid w:val="20E2105B"/>
    <w:rsid w:val="213C277F"/>
    <w:rsid w:val="21D56A9D"/>
    <w:rsid w:val="21F506E7"/>
    <w:rsid w:val="224241CC"/>
    <w:rsid w:val="22590C76"/>
    <w:rsid w:val="228D16AD"/>
    <w:rsid w:val="22BB320F"/>
    <w:rsid w:val="22E70030"/>
    <w:rsid w:val="23351E2F"/>
    <w:rsid w:val="2346188D"/>
    <w:rsid w:val="23580B17"/>
    <w:rsid w:val="238D507B"/>
    <w:rsid w:val="23973D57"/>
    <w:rsid w:val="23AC0626"/>
    <w:rsid w:val="23B62F21"/>
    <w:rsid w:val="24002F86"/>
    <w:rsid w:val="2412732E"/>
    <w:rsid w:val="242001F6"/>
    <w:rsid w:val="244D7128"/>
    <w:rsid w:val="24A1592C"/>
    <w:rsid w:val="24CD5D18"/>
    <w:rsid w:val="24FB7DC2"/>
    <w:rsid w:val="2503311B"/>
    <w:rsid w:val="25A86511"/>
    <w:rsid w:val="25B45D9C"/>
    <w:rsid w:val="263B0A89"/>
    <w:rsid w:val="26451C3D"/>
    <w:rsid w:val="26633E71"/>
    <w:rsid w:val="26921582"/>
    <w:rsid w:val="26C46CF3"/>
    <w:rsid w:val="26D1527F"/>
    <w:rsid w:val="26F372DF"/>
    <w:rsid w:val="26F751E4"/>
    <w:rsid w:val="27266514"/>
    <w:rsid w:val="27473793"/>
    <w:rsid w:val="274C18F4"/>
    <w:rsid w:val="27C73393"/>
    <w:rsid w:val="27D03FCC"/>
    <w:rsid w:val="27D412D2"/>
    <w:rsid w:val="27DD5EA5"/>
    <w:rsid w:val="286E4D4F"/>
    <w:rsid w:val="28A3240B"/>
    <w:rsid w:val="28E67221"/>
    <w:rsid w:val="29005ED5"/>
    <w:rsid w:val="292C3CA3"/>
    <w:rsid w:val="29676BE2"/>
    <w:rsid w:val="297A6225"/>
    <w:rsid w:val="29A15F9B"/>
    <w:rsid w:val="29D86924"/>
    <w:rsid w:val="2A0107BE"/>
    <w:rsid w:val="2A0C4820"/>
    <w:rsid w:val="2A5A43B6"/>
    <w:rsid w:val="2A756869"/>
    <w:rsid w:val="2A886554"/>
    <w:rsid w:val="2AFF4553"/>
    <w:rsid w:val="2B1971F4"/>
    <w:rsid w:val="2B692324"/>
    <w:rsid w:val="2B8F5708"/>
    <w:rsid w:val="2B9663E9"/>
    <w:rsid w:val="2BC35524"/>
    <w:rsid w:val="2BDF043E"/>
    <w:rsid w:val="2BE75544"/>
    <w:rsid w:val="2BEA293F"/>
    <w:rsid w:val="2C051084"/>
    <w:rsid w:val="2C1B6F9C"/>
    <w:rsid w:val="2D1E6CA3"/>
    <w:rsid w:val="2D3F7A7B"/>
    <w:rsid w:val="2D9127FD"/>
    <w:rsid w:val="2D9A62E3"/>
    <w:rsid w:val="2DC33E42"/>
    <w:rsid w:val="2DD0758F"/>
    <w:rsid w:val="2E073A69"/>
    <w:rsid w:val="2E3D2880"/>
    <w:rsid w:val="2E423187"/>
    <w:rsid w:val="2E826F2C"/>
    <w:rsid w:val="2E9C5B4F"/>
    <w:rsid w:val="2E9F5C62"/>
    <w:rsid w:val="2EC27BA3"/>
    <w:rsid w:val="2EC3582C"/>
    <w:rsid w:val="2EF22236"/>
    <w:rsid w:val="2F6A44C2"/>
    <w:rsid w:val="2F793DD9"/>
    <w:rsid w:val="2F8224C8"/>
    <w:rsid w:val="2F8D1F5F"/>
    <w:rsid w:val="2FD33142"/>
    <w:rsid w:val="30247EF6"/>
    <w:rsid w:val="302C0A9A"/>
    <w:rsid w:val="303D4E30"/>
    <w:rsid w:val="30627A0A"/>
    <w:rsid w:val="306C5A3B"/>
    <w:rsid w:val="3138467B"/>
    <w:rsid w:val="3142583B"/>
    <w:rsid w:val="31637664"/>
    <w:rsid w:val="319D26EE"/>
    <w:rsid w:val="31ED4F37"/>
    <w:rsid w:val="32A355C7"/>
    <w:rsid w:val="33AF4564"/>
    <w:rsid w:val="34D04DC8"/>
    <w:rsid w:val="3531162A"/>
    <w:rsid w:val="35CD07DD"/>
    <w:rsid w:val="36033B1B"/>
    <w:rsid w:val="361909F0"/>
    <w:rsid w:val="366511FC"/>
    <w:rsid w:val="36714388"/>
    <w:rsid w:val="369762E5"/>
    <w:rsid w:val="37B61998"/>
    <w:rsid w:val="37BB76A1"/>
    <w:rsid w:val="37D33959"/>
    <w:rsid w:val="382244D2"/>
    <w:rsid w:val="38247691"/>
    <w:rsid w:val="3838124C"/>
    <w:rsid w:val="3838759F"/>
    <w:rsid w:val="38635F53"/>
    <w:rsid w:val="389B5548"/>
    <w:rsid w:val="38A317E0"/>
    <w:rsid w:val="391C2A93"/>
    <w:rsid w:val="393F076E"/>
    <w:rsid w:val="397D7DDC"/>
    <w:rsid w:val="39EA7366"/>
    <w:rsid w:val="3A137C35"/>
    <w:rsid w:val="3A8D375B"/>
    <w:rsid w:val="3AA02BFE"/>
    <w:rsid w:val="3C40376A"/>
    <w:rsid w:val="3C42190A"/>
    <w:rsid w:val="3C532476"/>
    <w:rsid w:val="3C8539FB"/>
    <w:rsid w:val="3CC46811"/>
    <w:rsid w:val="3D2120BA"/>
    <w:rsid w:val="3D2739F3"/>
    <w:rsid w:val="3D9B5219"/>
    <w:rsid w:val="3E2E20CC"/>
    <w:rsid w:val="3E9809BD"/>
    <w:rsid w:val="3EB013C8"/>
    <w:rsid w:val="3EE651E8"/>
    <w:rsid w:val="3F013CA7"/>
    <w:rsid w:val="3F2D6A74"/>
    <w:rsid w:val="3F6330AC"/>
    <w:rsid w:val="3F7C7A44"/>
    <w:rsid w:val="3FA54FA1"/>
    <w:rsid w:val="3FD73E3E"/>
    <w:rsid w:val="401A06BA"/>
    <w:rsid w:val="40273D0A"/>
    <w:rsid w:val="40403F24"/>
    <w:rsid w:val="404E6AA0"/>
    <w:rsid w:val="40552625"/>
    <w:rsid w:val="4071452C"/>
    <w:rsid w:val="40771707"/>
    <w:rsid w:val="40A67F99"/>
    <w:rsid w:val="40E55071"/>
    <w:rsid w:val="41083C0B"/>
    <w:rsid w:val="41164BA6"/>
    <w:rsid w:val="414E2E62"/>
    <w:rsid w:val="415D1BD8"/>
    <w:rsid w:val="41856F3A"/>
    <w:rsid w:val="41E8730F"/>
    <w:rsid w:val="42073013"/>
    <w:rsid w:val="421765B5"/>
    <w:rsid w:val="424E7184"/>
    <w:rsid w:val="42587E57"/>
    <w:rsid w:val="42607D18"/>
    <w:rsid w:val="42693382"/>
    <w:rsid w:val="429B68D2"/>
    <w:rsid w:val="433A025B"/>
    <w:rsid w:val="437600F7"/>
    <w:rsid w:val="43E82A91"/>
    <w:rsid w:val="441D16AC"/>
    <w:rsid w:val="44973D85"/>
    <w:rsid w:val="44AD39BA"/>
    <w:rsid w:val="44DC7733"/>
    <w:rsid w:val="450C41E0"/>
    <w:rsid w:val="452A0524"/>
    <w:rsid w:val="45367EB1"/>
    <w:rsid w:val="45570BED"/>
    <w:rsid w:val="45A81449"/>
    <w:rsid w:val="45D56B03"/>
    <w:rsid w:val="463F2877"/>
    <w:rsid w:val="46B06807"/>
    <w:rsid w:val="46B64604"/>
    <w:rsid w:val="46FD6387"/>
    <w:rsid w:val="47017063"/>
    <w:rsid w:val="472D7E58"/>
    <w:rsid w:val="4760622B"/>
    <w:rsid w:val="48456F4F"/>
    <w:rsid w:val="487F45E4"/>
    <w:rsid w:val="48CB5E73"/>
    <w:rsid w:val="49BD0313"/>
    <w:rsid w:val="49C02EB0"/>
    <w:rsid w:val="49C55E30"/>
    <w:rsid w:val="4A253068"/>
    <w:rsid w:val="4A280EE3"/>
    <w:rsid w:val="4A5042D8"/>
    <w:rsid w:val="4A5874F7"/>
    <w:rsid w:val="4A677B24"/>
    <w:rsid w:val="4A9552EC"/>
    <w:rsid w:val="4A990E3C"/>
    <w:rsid w:val="4ABD4946"/>
    <w:rsid w:val="4AD7236F"/>
    <w:rsid w:val="4B296B88"/>
    <w:rsid w:val="4B49722A"/>
    <w:rsid w:val="4B4A10CE"/>
    <w:rsid w:val="4B5D2F1E"/>
    <w:rsid w:val="4B6A0F72"/>
    <w:rsid w:val="4B7D226C"/>
    <w:rsid w:val="4B9744D1"/>
    <w:rsid w:val="4B99798D"/>
    <w:rsid w:val="4B9A04A9"/>
    <w:rsid w:val="4BBE33D4"/>
    <w:rsid w:val="4BF74ED8"/>
    <w:rsid w:val="4BFC5547"/>
    <w:rsid w:val="4C4A14AC"/>
    <w:rsid w:val="4C7E1A72"/>
    <w:rsid w:val="4CB47948"/>
    <w:rsid w:val="4CBA35E0"/>
    <w:rsid w:val="4CC90623"/>
    <w:rsid w:val="4CD60FEC"/>
    <w:rsid w:val="4CE80AAD"/>
    <w:rsid w:val="4CFD41F4"/>
    <w:rsid w:val="4DC43168"/>
    <w:rsid w:val="4E21448E"/>
    <w:rsid w:val="4E514C04"/>
    <w:rsid w:val="4E5B34FC"/>
    <w:rsid w:val="4E9365FA"/>
    <w:rsid w:val="4EE378FE"/>
    <w:rsid w:val="4F02649B"/>
    <w:rsid w:val="4F1315B6"/>
    <w:rsid w:val="4F147B4F"/>
    <w:rsid w:val="4F4C72E9"/>
    <w:rsid w:val="501F632F"/>
    <w:rsid w:val="506C612D"/>
    <w:rsid w:val="507D7715"/>
    <w:rsid w:val="512322CB"/>
    <w:rsid w:val="514552F3"/>
    <w:rsid w:val="5175184D"/>
    <w:rsid w:val="51B36318"/>
    <w:rsid w:val="51C879B1"/>
    <w:rsid w:val="51F50B94"/>
    <w:rsid w:val="521E0C47"/>
    <w:rsid w:val="52371FDC"/>
    <w:rsid w:val="5272788C"/>
    <w:rsid w:val="52846D9A"/>
    <w:rsid w:val="529B4BB3"/>
    <w:rsid w:val="52A52567"/>
    <w:rsid w:val="52A92133"/>
    <w:rsid w:val="52EC1E29"/>
    <w:rsid w:val="531243A6"/>
    <w:rsid w:val="53153739"/>
    <w:rsid w:val="533D7674"/>
    <w:rsid w:val="534D1101"/>
    <w:rsid w:val="534E5E76"/>
    <w:rsid w:val="537A72CF"/>
    <w:rsid w:val="539F3E8B"/>
    <w:rsid w:val="53E1785D"/>
    <w:rsid w:val="54344F61"/>
    <w:rsid w:val="54DA39ED"/>
    <w:rsid w:val="54E038BE"/>
    <w:rsid w:val="55240090"/>
    <w:rsid w:val="555366AF"/>
    <w:rsid w:val="55A734CB"/>
    <w:rsid w:val="55CE18C4"/>
    <w:rsid w:val="55DC2650"/>
    <w:rsid w:val="563C14CF"/>
    <w:rsid w:val="56A17F1A"/>
    <w:rsid w:val="56E337D4"/>
    <w:rsid w:val="572C2028"/>
    <w:rsid w:val="572F4716"/>
    <w:rsid w:val="57325016"/>
    <w:rsid w:val="574E6F76"/>
    <w:rsid w:val="57784BC6"/>
    <w:rsid w:val="57AD74D6"/>
    <w:rsid w:val="57E732C7"/>
    <w:rsid w:val="58122E1F"/>
    <w:rsid w:val="581F5E6E"/>
    <w:rsid w:val="58487A15"/>
    <w:rsid w:val="588C0756"/>
    <w:rsid w:val="58906498"/>
    <w:rsid w:val="58D37BAC"/>
    <w:rsid w:val="58E72C67"/>
    <w:rsid w:val="58E96F20"/>
    <w:rsid w:val="58ED7447"/>
    <w:rsid w:val="58F06F37"/>
    <w:rsid w:val="58FA6008"/>
    <w:rsid w:val="59266DFD"/>
    <w:rsid w:val="59570FCF"/>
    <w:rsid w:val="59A26483"/>
    <w:rsid w:val="59B83EF9"/>
    <w:rsid w:val="59D14218"/>
    <w:rsid w:val="59F34F31"/>
    <w:rsid w:val="5A027809"/>
    <w:rsid w:val="5A146EC6"/>
    <w:rsid w:val="5A2B0C2A"/>
    <w:rsid w:val="5A76162F"/>
    <w:rsid w:val="5AC739CB"/>
    <w:rsid w:val="5B2A7597"/>
    <w:rsid w:val="5B481F6D"/>
    <w:rsid w:val="5BAD55B3"/>
    <w:rsid w:val="5BC14BBB"/>
    <w:rsid w:val="5C9923EB"/>
    <w:rsid w:val="5CC2508E"/>
    <w:rsid w:val="5D6A3ACC"/>
    <w:rsid w:val="5D8A06C1"/>
    <w:rsid w:val="5D8F575B"/>
    <w:rsid w:val="5D9814D6"/>
    <w:rsid w:val="5D9B3F6D"/>
    <w:rsid w:val="5E6107D9"/>
    <w:rsid w:val="5E875719"/>
    <w:rsid w:val="5E966037"/>
    <w:rsid w:val="5EA41668"/>
    <w:rsid w:val="5EBC59BB"/>
    <w:rsid w:val="5EE63413"/>
    <w:rsid w:val="5EE674E7"/>
    <w:rsid w:val="5F2142EE"/>
    <w:rsid w:val="5F651970"/>
    <w:rsid w:val="5FA41AA4"/>
    <w:rsid w:val="5FA665A1"/>
    <w:rsid w:val="5FE72053"/>
    <w:rsid w:val="6008626E"/>
    <w:rsid w:val="602C1FA5"/>
    <w:rsid w:val="603363F5"/>
    <w:rsid w:val="605E0A05"/>
    <w:rsid w:val="606E57FF"/>
    <w:rsid w:val="60934D78"/>
    <w:rsid w:val="60C81BF4"/>
    <w:rsid w:val="613F4108"/>
    <w:rsid w:val="6151253D"/>
    <w:rsid w:val="61736957"/>
    <w:rsid w:val="617A1A94"/>
    <w:rsid w:val="61CA5D13"/>
    <w:rsid w:val="61F47A98"/>
    <w:rsid w:val="628B6743"/>
    <w:rsid w:val="62CA18D1"/>
    <w:rsid w:val="62D00C75"/>
    <w:rsid w:val="62E034D9"/>
    <w:rsid w:val="62FC4DE5"/>
    <w:rsid w:val="633345F0"/>
    <w:rsid w:val="633B5253"/>
    <w:rsid w:val="63640C4D"/>
    <w:rsid w:val="63690012"/>
    <w:rsid w:val="63D0465A"/>
    <w:rsid w:val="64065BAD"/>
    <w:rsid w:val="640815D9"/>
    <w:rsid w:val="644665A5"/>
    <w:rsid w:val="647F284C"/>
    <w:rsid w:val="64882719"/>
    <w:rsid w:val="649821F6"/>
    <w:rsid w:val="652F332F"/>
    <w:rsid w:val="655960A7"/>
    <w:rsid w:val="658729D1"/>
    <w:rsid w:val="658F7996"/>
    <w:rsid w:val="65C85C1B"/>
    <w:rsid w:val="65F04A1A"/>
    <w:rsid w:val="662216EA"/>
    <w:rsid w:val="662965A9"/>
    <w:rsid w:val="665E7C6E"/>
    <w:rsid w:val="66796968"/>
    <w:rsid w:val="66817059"/>
    <w:rsid w:val="66864FFF"/>
    <w:rsid w:val="669663A0"/>
    <w:rsid w:val="66A03D4A"/>
    <w:rsid w:val="66A7157D"/>
    <w:rsid w:val="66B57E5F"/>
    <w:rsid w:val="66FB3304"/>
    <w:rsid w:val="67041B93"/>
    <w:rsid w:val="673A04B6"/>
    <w:rsid w:val="67712EE1"/>
    <w:rsid w:val="677D408C"/>
    <w:rsid w:val="677F3CA3"/>
    <w:rsid w:val="67C65708"/>
    <w:rsid w:val="67FD26B9"/>
    <w:rsid w:val="680268D6"/>
    <w:rsid w:val="6820646A"/>
    <w:rsid w:val="68344D55"/>
    <w:rsid w:val="687234C5"/>
    <w:rsid w:val="68731FC1"/>
    <w:rsid w:val="68A33FC6"/>
    <w:rsid w:val="68CD3EDF"/>
    <w:rsid w:val="68D878FA"/>
    <w:rsid w:val="68E115F5"/>
    <w:rsid w:val="69155448"/>
    <w:rsid w:val="69711424"/>
    <w:rsid w:val="69880BA2"/>
    <w:rsid w:val="699833FF"/>
    <w:rsid w:val="69A71894"/>
    <w:rsid w:val="69A8503A"/>
    <w:rsid w:val="69C43D7F"/>
    <w:rsid w:val="69DD7064"/>
    <w:rsid w:val="6A3F7A39"/>
    <w:rsid w:val="6A4E7C00"/>
    <w:rsid w:val="6AA81A82"/>
    <w:rsid w:val="6AB843CA"/>
    <w:rsid w:val="6ACC331B"/>
    <w:rsid w:val="6AED00D5"/>
    <w:rsid w:val="6B0F2187"/>
    <w:rsid w:val="6B4D303F"/>
    <w:rsid w:val="6BE4292B"/>
    <w:rsid w:val="6C0E5BFA"/>
    <w:rsid w:val="6C2131F0"/>
    <w:rsid w:val="6C291BE9"/>
    <w:rsid w:val="6C2C71F5"/>
    <w:rsid w:val="6CD27434"/>
    <w:rsid w:val="6CD53355"/>
    <w:rsid w:val="6CE54D97"/>
    <w:rsid w:val="6CE60C44"/>
    <w:rsid w:val="6D815B49"/>
    <w:rsid w:val="6D8F2D6B"/>
    <w:rsid w:val="6DAF4BDE"/>
    <w:rsid w:val="6DE22E9A"/>
    <w:rsid w:val="6DFB3F5C"/>
    <w:rsid w:val="6E4B5091"/>
    <w:rsid w:val="6E4E22DE"/>
    <w:rsid w:val="6E5F44EB"/>
    <w:rsid w:val="6EA1078E"/>
    <w:rsid w:val="6EF70E51"/>
    <w:rsid w:val="6EF80CCB"/>
    <w:rsid w:val="6EFC7F8C"/>
    <w:rsid w:val="6F651FD5"/>
    <w:rsid w:val="6FA14AD0"/>
    <w:rsid w:val="6FBB7992"/>
    <w:rsid w:val="6FBD3BBF"/>
    <w:rsid w:val="705B6F34"/>
    <w:rsid w:val="70886B63"/>
    <w:rsid w:val="70AC13A2"/>
    <w:rsid w:val="70B45D12"/>
    <w:rsid w:val="70EA64BE"/>
    <w:rsid w:val="711F7F62"/>
    <w:rsid w:val="717F6E42"/>
    <w:rsid w:val="71997D14"/>
    <w:rsid w:val="71CB3530"/>
    <w:rsid w:val="728E489C"/>
    <w:rsid w:val="72F5096B"/>
    <w:rsid w:val="72FB2AE9"/>
    <w:rsid w:val="731F20C0"/>
    <w:rsid w:val="73262011"/>
    <w:rsid w:val="73382273"/>
    <w:rsid w:val="73B17E2F"/>
    <w:rsid w:val="73D8040D"/>
    <w:rsid w:val="740B407E"/>
    <w:rsid w:val="741C3823"/>
    <w:rsid w:val="74275786"/>
    <w:rsid w:val="743B60B0"/>
    <w:rsid w:val="746F197A"/>
    <w:rsid w:val="74CF3D6B"/>
    <w:rsid w:val="75140FAB"/>
    <w:rsid w:val="75506C29"/>
    <w:rsid w:val="75670E83"/>
    <w:rsid w:val="759C412B"/>
    <w:rsid w:val="759E7FEF"/>
    <w:rsid w:val="762845D8"/>
    <w:rsid w:val="762B1157"/>
    <w:rsid w:val="76607052"/>
    <w:rsid w:val="767C00B9"/>
    <w:rsid w:val="76DB492B"/>
    <w:rsid w:val="76ED08D4"/>
    <w:rsid w:val="771A03BB"/>
    <w:rsid w:val="777032C5"/>
    <w:rsid w:val="77950F7E"/>
    <w:rsid w:val="77B86EDF"/>
    <w:rsid w:val="77BC475C"/>
    <w:rsid w:val="780610BD"/>
    <w:rsid w:val="782F3180"/>
    <w:rsid w:val="78B17DCC"/>
    <w:rsid w:val="78B6564F"/>
    <w:rsid w:val="78FC60B2"/>
    <w:rsid w:val="79121E37"/>
    <w:rsid w:val="794A4877"/>
    <w:rsid w:val="795310F0"/>
    <w:rsid w:val="797869A1"/>
    <w:rsid w:val="79E66E3D"/>
    <w:rsid w:val="7A04063C"/>
    <w:rsid w:val="7A5C657F"/>
    <w:rsid w:val="7AA91281"/>
    <w:rsid w:val="7AAF67FA"/>
    <w:rsid w:val="7B1623D5"/>
    <w:rsid w:val="7B245E4E"/>
    <w:rsid w:val="7B73328B"/>
    <w:rsid w:val="7B854E3B"/>
    <w:rsid w:val="7BBF2C71"/>
    <w:rsid w:val="7BC2430B"/>
    <w:rsid w:val="7BD87F12"/>
    <w:rsid w:val="7BFE2B33"/>
    <w:rsid w:val="7C4225A4"/>
    <w:rsid w:val="7CA3413D"/>
    <w:rsid w:val="7CC17B1D"/>
    <w:rsid w:val="7CC61BD9"/>
    <w:rsid w:val="7CC70EB7"/>
    <w:rsid w:val="7D2D1C58"/>
    <w:rsid w:val="7D3A3228"/>
    <w:rsid w:val="7DC67BD8"/>
    <w:rsid w:val="7DEA7937"/>
    <w:rsid w:val="7E064983"/>
    <w:rsid w:val="7E094A54"/>
    <w:rsid w:val="7E213B52"/>
    <w:rsid w:val="7E287710"/>
    <w:rsid w:val="7E383347"/>
    <w:rsid w:val="7E8B0402"/>
    <w:rsid w:val="7EEE14C7"/>
    <w:rsid w:val="7F133AFB"/>
    <w:rsid w:val="7F250E39"/>
    <w:rsid w:val="7F7D0C75"/>
    <w:rsid w:val="7FA95426"/>
    <w:rsid w:val="7FBE4DEA"/>
    <w:rsid w:val="7FD17F42"/>
    <w:rsid w:val="7FDD7966"/>
    <w:rsid w:val="7FDE17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qFormat="1"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05"/>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48"/>
    <w:autoRedefine/>
    <w:qFormat/>
    <w:uiPriority w:val="0"/>
    <w:pPr>
      <w:keepNext/>
      <w:keepLines/>
      <w:numPr>
        <w:ilvl w:val="0"/>
        <w:numId w:val="1"/>
      </w:numPr>
      <w:autoSpaceDE w:val="0"/>
      <w:autoSpaceDN w:val="0"/>
      <w:adjustRightInd w:val="0"/>
      <w:snapToGrid w:val="0"/>
      <w:spacing w:before="340" w:after="330" w:line="578" w:lineRule="auto"/>
      <w:outlineLvl w:val="0"/>
    </w:pPr>
    <w:rPr>
      <w:rFonts w:ascii="宋体"/>
      <w:b/>
      <w:color w:val="000000"/>
      <w:kern w:val="44"/>
      <w:sz w:val="44"/>
      <w:szCs w:val="20"/>
    </w:rPr>
  </w:style>
  <w:style w:type="paragraph" w:styleId="3">
    <w:name w:val="heading 2"/>
    <w:basedOn w:val="1"/>
    <w:next w:val="1"/>
    <w:autoRedefine/>
    <w:qFormat/>
    <w:uiPriority w:val="0"/>
    <w:pPr>
      <w:ind w:left="3062"/>
      <w:jc w:val="left"/>
      <w:outlineLvl w:val="1"/>
    </w:pPr>
    <w:rPr>
      <w:rFonts w:ascii="楷体" w:hAnsi="楷体" w:eastAsia="楷体"/>
      <w:kern w:val="0"/>
      <w:sz w:val="44"/>
      <w:szCs w:val="44"/>
      <w:lang w:eastAsia="en-US"/>
    </w:rPr>
  </w:style>
  <w:style w:type="paragraph" w:styleId="4">
    <w:name w:val="heading 3"/>
    <w:basedOn w:val="1"/>
    <w:next w:val="1"/>
    <w:link w:val="49"/>
    <w:autoRedefine/>
    <w:qFormat/>
    <w:uiPriority w:val="0"/>
    <w:pPr>
      <w:keepNext/>
      <w:keepLines/>
      <w:numPr>
        <w:ilvl w:val="2"/>
        <w:numId w:val="1"/>
      </w:numPr>
      <w:autoSpaceDE w:val="0"/>
      <w:autoSpaceDN w:val="0"/>
      <w:adjustRightInd w:val="0"/>
      <w:snapToGrid w:val="0"/>
      <w:spacing w:before="260" w:after="260" w:line="416" w:lineRule="auto"/>
      <w:outlineLvl w:val="2"/>
    </w:pPr>
    <w:rPr>
      <w:rFonts w:ascii="宋体"/>
      <w:b/>
      <w:color w:val="000000"/>
      <w:sz w:val="32"/>
      <w:szCs w:val="20"/>
    </w:rPr>
  </w:style>
  <w:style w:type="paragraph" w:styleId="5">
    <w:name w:val="heading 4"/>
    <w:basedOn w:val="1"/>
    <w:next w:val="1"/>
    <w:link w:val="47"/>
    <w:autoRedefine/>
    <w:qFormat/>
    <w:uiPriority w:val="0"/>
    <w:pPr>
      <w:keepNext/>
      <w:keepLines/>
      <w:numPr>
        <w:ilvl w:val="3"/>
        <w:numId w:val="2"/>
      </w:numPr>
      <w:spacing w:before="280" w:after="290" w:line="376" w:lineRule="auto"/>
      <w:outlineLvl w:val="3"/>
    </w:pPr>
    <w:rPr>
      <w:rFonts w:ascii="Arial" w:hAnsi="Arial" w:eastAsia="黑体"/>
      <w:b/>
      <w:bCs/>
      <w:sz w:val="28"/>
      <w:szCs w:val="28"/>
    </w:rPr>
  </w:style>
  <w:style w:type="character" w:default="1" w:styleId="29">
    <w:name w:val="Default Paragraph Font"/>
    <w:autoRedefine/>
    <w:semiHidden/>
    <w:qFormat/>
    <w:uiPriority w:val="0"/>
  </w:style>
  <w:style w:type="table" w:default="1" w:styleId="27">
    <w:name w:val="Normal Table"/>
    <w:autoRedefine/>
    <w:semiHidden/>
    <w:qFormat/>
    <w:uiPriority w:val="0"/>
    <w:tblPr>
      <w:tblCellMar>
        <w:top w:w="0" w:type="dxa"/>
        <w:left w:w="108" w:type="dxa"/>
        <w:bottom w:w="0" w:type="dxa"/>
        <w:right w:w="108" w:type="dxa"/>
      </w:tblCellMar>
    </w:tblPr>
  </w:style>
  <w:style w:type="paragraph" w:styleId="6">
    <w:name w:val="Normal Indent"/>
    <w:basedOn w:val="1"/>
    <w:autoRedefine/>
    <w:qFormat/>
    <w:uiPriority w:val="0"/>
    <w:pPr>
      <w:ind w:firstLine="420"/>
    </w:pPr>
    <w:rPr>
      <w:szCs w:val="20"/>
    </w:rPr>
  </w:style>
  <w:style w:type="paragraph" w:styleId="7">
    <w:name w:val="Document Map"/>
    <w:basedOn w:val="1"/>
    <w:link w:val="50"/>
    <w:autoRedefine/>
    <w:semiHidden/>
    <w:qFormat/>
    <w:uiPriority w:val="0"/>
    <w:pPr>
      <w:shd w:val="clear" w:color="auto" w:fill="000080"/>
    </w:pPr>
  </w:style>
  <w:style w:type="paragraph" w:styleId="8">
    <w:name w:val="annotation text"/>
    <w:basedOn w:val="1"/>
    <w:next w:val="9"/>
    <w:link w:val="51"/>
    <w:autoRedefine/>
    <w:qFormat/>
    <w:uiPriority w:val="0"/>
    <w:pPr>
      <w:jc w:val="left"/>
    </w:pPr>
    <w:rPr>
      <w:szCs w:val="20"/>
    </w:rPr>
  </w:style>
  <w:style w:type="paragraph" w:customStyle="1" w:styleId="9">
    <w:name w:val="正文缩进4"/>
    <w:next w:val="1"/>
    <w:qFormat/>
    <w:uiPriority w:val="0"/>
    <w:pPr>
      <w:wordWrap w:val="0"/>
      <w:ind w:left="3400"/>
      <w:jc w:val="both"/>
    </w:pPr>
    <w:rPr>
      <w:rFonts w:ascii="Times New Roman" w:hAnsi="Times New Roman" w:eastAsia="宋体" w:cs="Times New Roman"/>
      <w:sz w:val="21"/>
      <w:lang w:val="en-US" w:eastAsia="zh-CN" w:bidi="ar-SA"/>
    </w:rPr>
  </w:style>
  <w:style w:type="paragraph" w:styleId="10">
    <w:name w:val="Body Text"/>
    <w:basedOn w:val="1"/>
    <w:link w:val="52"/>
    <w:autoRedefine/>
    <w:qFormat/>
    <w:uiPriority w:val="0"/>
    <w:pPr>
      <w:spacing w:after="120"/>
    </w:pPr>
  </w:style>
  <w:style w:type="paragraph" w:styleId="11">
    <w:name w:val="Body Text Indent"/>
    <w:basedOn w:val="1"/>
    <w:autoRedefine/>
    <w:qFormat/>
    <w:uiPriority w:val="0"/>
    <w:pPr>
      <w:spacing w:after="120"/>
      <w:ind w:left="420" w:leftChars="200"/>
    </w:pPr>
    <w:rPr>
      <w:kern w:val="0"/>
      <w:sz w:val="24"/>
    </w:rPr>
  </w:style>
  <w:style w:type="paragraph" w:styleId="12">
    <w:name w:val="index 4"/>
    <w:basedOn w:val="1"/>
    <w:next w:val="1"/>
    <w:autoRedefine/>
    <w:unhideWhenUsed/>
    <w:qFormat/>
    <w:uiPriority w:val="0"/>
    <w:pPr>
      <w:ind w:left="1260"/>
    </w:pPr>
  </w:style>
  <w:style w:type="paragraph" w:styleId="13">
    <w:name w:val="toc 3"/>
    <w:basedOn w:val="1"/>
    <w:next w:val="1"/>
    <w:autoRedefine/>
    <w:qFormat/>
    <w:uiPriority w:val="39"/>
    <w:pPr>
      <w:ind w:left="840" w:leftChars="400"/>
    </w:pPr>
  </w:style>
  <w:style w:type="paragraph" w:styleId="14">
    <w:name w:val="Plain Text"/>
    <w:basedOn w:val="1"/>
    <w:link w:val="53"/>
    <w:autoRedefine/>
    <w:unhideWhenUsed/>
    <w:qFormat/>
    <w:uiPriority w:val="0"/>
    <w:rPr>
      <w:rFonts w:ascii="宋体" w:hAnsi="Courier New"/>
      <w:szCs w:val="21"/>
    </w:rPr>
  </w:style>
  <w:style w:type="paragraph" w:styleId="15">
    <w:name w:val="Date"/>
    <w:basedOn w:val="1"/>
    <w:next w:val="1"/>
    <w:link w:val="54"/>
    <w:autoRedefine/>
    <w:qFormat/>
    <w:uiPriority w:val="0"/>
    <w:pPr>
      <w:ind w:left="100" w:leftChars="2500"/>
    </w:pPr>
  </w:style>
  <w:style w:type="paragraph" w:styleId="16">
    <w:name w:val="Body Text Indent 2"/>
    <w:basedOn w:val="1"/>
    <w:next w:val="1"/>
    <w:link w:val="55"/>
    <w:autoRedefine/>
    <w:qFormat/>
    <w:uiPriority w:val="0"/>
    <w:pPr>
      <w:ind w:left="630" w:firstLine="645"/>
    </w:pPr>
    <w:rPr>
      <w:rFonts w:ascii="Arial" w:hAnsi="Arial" w:eastAsia="仿宋_GB2312"/>
      <w:sz w:val="32"/>
      <w:szCs w:val="20"/>
    </w:rPr>
  </w:style>
  <w:style w:type="paragraph" w:styleId="17">
    <w:name w:val="Balloon Text"/>
    <w:basedOn w:val="1"/>
    <w:link w:val="56"/>
    <w:autoRedefine/>
    <w:semiHidden/>
    <w:qFormat/>
    <w:uiPriority w:val="0"/>
    <w:rPr>
      <w:sz w:val="18"/>
      <w:szCs w:val="18"/>
    </w:rPr>
  </w:style>
  <w:style w:type="paragraph" w:styleId="18">
    <w:name w:val="footer"/>
    <w:basedOn w:val="1"/>
    <w:link w:val="57"/>
    <w:autoRedefine/>
    <w:qFormat/>
    <w:uiPriority w:val="0"/>
    <w:pPr>
      <w:tabs>
        <w:tab w:val="center" w:pos="4153"/>
        <w:tab w:val="right" w:pos="8306"/>
      </w:tabs>
      <w:snapToGrid w:val="0"/>
      <w:jc w:val="left"/>
    </w:pPr>
    <w:rPr>
      <w:sz w:val="18"/>
      <w:szCs w:val="18"/>
    </w:rPr>
  </w:style>
  <w:style w:type="paragraph" w:styleId="19">
    <w:name w:val="header"/>
    <w:basedOn w:val="1"/>
    <w:link w:val="58"/>
    <w:autoRedefine/>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autoRedefine/>
    <w:qFormat/>
    <w:uiPriority w:val="39"/>
  </w:style>
  <w:style w:type="paragraph" w:styleId="21">
    <w:name w:val="index heading"/>
    <w:basedOn w:val="1"/>
    <w:next w:val="22"/>
    <w:autoRedefine/>
    <w:semiHidden/>
    <w:qFormat/>
    <w:uiPriority w:val="0"/>
    <w:rPr>
      <w:szCs w:val="20"/>
    </w:rPr>
  </w:style>
  <w:style w:type="paragraph" w:styleId="22">
    <w:name w:val="index 1"/>
    <w:basedOn w:val="1"/>
    <w:next w:val="1"/>
    <w:autoRedefine/>
    <w:semiHidden/>
    <w:qFormat/>
    <w:uiPriority w:val="0"/>
    <w:pPr>
      <w:jc w:val="center"/>
    </w:pPr>
    <w:rPr>
      <w:bCs/>
      <w:szCs w:val="20"/>
    </w:rPr>
  </w:style>
  <w:style w:type="paragraph" w:styleId="23">
    <w:name w:val="toc 2"/>
    <w:basedOn w:val="1"/>
    <w:next w:val="1"/>
    <w:autoRedefine/>
    <w:qFormat/>
    <w:uiPriority w:val="39"/>
    <w:pPr>
      <w:ind w:left="420" w:leftChars="200"/>
    </w:pPr>
  </w:style>
  <w:style w:type="paragraph" w:styleId="24">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25">
    <w:name w:val="Title"/>
    <w:basedOn w:val="1"/>
    <w:next w:val="1"/>
    <w:link w:val="59"/>
    <w:autoRedefine/>
    <w:qFormat/>
    <w:uiPriority w:val="0"/>
    <w:pPr>
      <w:spacing w:before="240" w:after="60"/>
      <w:jc w:val="center"/>
      <w:outlineLvl w:val="0"/>
    </w:pPr>
    <w:rPr>
      <w:rFonts w:ascii="Cambria" w:hAnsi="Cambria"/>
      <w:b/>
      <w:bCs/>
      <w:sz w:val="32"/>
      <w:szCs w:val="32"/>
    </w:rPr>
  </w:style>
  <w:style w:type="paragraph" w:styleId="26">
    <w:name w:val="annotation subject"/>
    <w:basedOn w:val="8"/>
    <w:next w:val="8"/>
    <w:link w:val="60"/>
    <w:autoRedefine/>
    <w:qFormat/>
    <w:uiPriority w:val="0"/>
    <w:rPr>
      <w:b/>
      <w:bCs/>
      <w:szCs w:val="24"/>
    </w:rPr>
  </w:style>
  <w:style w:type="table" w:styleId="28">
    <w:name w:val="Table Grid"/>
    <w:basedOn w:val="2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autoRedefine/>
    <w:qFormat/>
    <w:uiPriority w:val="0"/>
    <w:rPr>
      <w:b/>
      <w:bCs/>
    </w:rPr>
  </w:style>
  <w:style w:type="character" w:styleId="31">
    <w:name w:val="page number"/>
    <w:autoRedefine/>
    <w:qFormat/>
    <w:uiPriority w:val="0"/>
  </w:style>
  <w:style w:type="character" w:styleId="32">
    <w:name w:val="FollowedHyperlink"/>
    <w:autoRedefine/>
    <w:unhideWhenUsed/>
    <w:qFormat/>
    <w:uiPriority w:val="99"/>
    <w:rPr>
      <w:color w:val="000000"/>
      <w:sz w:val="18"/>
      <w:szCs w:val="18"/>
      <w:u w:val="none"/>
    </w:rPr>
  </w:style>
  <w:style w:type="character" w:styleId="33">
    <w:name w:val="Emphasis"/>
    <w:autoRedefine/>
    <w:qFormat/>
    <w:uiPriority w:val="0"/>
  </w:style>
  <w:style w:type="character" w:styleId="34">
    <w:name w:val="Hyperlink"/>
    <w:autoRedefine/>
    <w:qFormat/>
    <w:uiPriority w:val="99"/>
    <w:rPr>
      <w:color w:val="000000"/>
      <w:sz w:val="18"/>
      <w:szCs w:val="18"/>
      <w:u w:val="none"/>
    </w:rPr>
  </w:style>
  <w:style w:type="character" w:styleId="35">
    <w:name w:val="HTML Code"/>
    <w:autoRedefine/>
    <w:qFormat/>
    <w:uiPriority w:val="0"/>
    <w:rPr>
      <w:rFonts w:ascii="Courier New" w:hAnsi="Courier New"/>
      <w:sz w:val="20"/>
    </w:rPr>
  </w:style>
  <w:style w:type="character" w:styleId="36">
    <w:name w:val="annotation reference"/>
    <w:autoRedefine/>
    <w:qFormat/>
    <w:uiPriority w:val="0"/>
    <w:rPr>
      <w:sz w:val="21"/>
      <w:szCs w:val="21"/>
    </w:rPr>
  </w:style>
  <w:style w:type="paragraph" w:customStyle="1" w:styleId="37">
    <w:name w:val="正文首行缩进 21"/>
    <w:basedOn w:val="38"/>
    <w:next w:val="1"/>
    <w:qFormat/>
    <w:uiPriority w:val="0"/>
    <w:pPr>
      <w:spacing w:line="360" w:lineRule="auto"/>
      <w:ind w:firstLine="200"/>
    </w:pPr>
    <w:rPr>
      <w:rFonts w:ascii="宋体"/>
    </w:rPr>
  </w:style>
  <w:style w:type="paragraph" w:customStyle="1" w:styleId="38">
    <w:name w:val="正文文本缩进11"/>
    <w:basedOn w:val="1"/>
    <w:next w:val="39"/>
    <w:unhideWhenUsed/>
    <w:qFormat/>
    <w:uiPriority w:val="0"/>
    <w:pPr>
      <w:spacing w:after="120"/>
      <w:ind w:left="420"/>
    </w:pPr>
  </w:style>
  <w:style w:type="paragraph" w:customStyle="1" w:styleId="39">
    <w:name w:val="寄信人地址1"/>
    <w:basedOn w:val="1"/>
    <w:qFormat/>
    <w:uiPriority w:val="0"/>
    <w:rPr>
      <w:rFonts w:ascii="Arial" w:hAnsi="Arial" w:eastAsia="宋体" w:cs="宋体"/>
    </w:rPr>
  </w:style>
  <w:style w:type="paragraph" w:customStyle="1" w:styleId="40">
    <w:name w:val="首行缩进"/>
    <w:basedOn w:val="1"/>
    <w:autoRedefine/>
    <w:qFormat/>
    <w:uiPriority w:val="0"/>
    <w:pPr>
      <w:spacing w:line="360" w:lineRule="auto"/>
      <w:ind w:firstLine="480" w:firstLineChars="200"/>
      <w:jc w:val="left"/>
    </w:pPr>
    <w:rPr>
      <w:rFonts w:ascii="宋体" w:hAnsi="宋体"/>
      <w:sz w:val="24"/>
      <w:szCs w:val="24"/>
    </w:rPr>
  </w:style>
  <w:style w:type="paragraph" w:customStyle="1" w:styleId="41">
    <w:name w:val="正文文本缩进1"/>
    <w:basedOn w:val="1"/>
    <w:unhideWhenUsed/>
    <w:qFormat/>
    <w:uiPriority w:val="0"/>
    <w:pPr>
      <w:spacing w:line="360" w:lineRule="auto"/>
      <w:ind w:firstLine="420"/>
    </w:pPr>
    <w:rPr>
      <w:rFonts w:ascii="宋体" w:hAnsi="Times New Roman"/>
      <w:sz w:val="24"/>
      <w:szCs w:val="20"/>
    </w:rPr>
  </w:style>
  <w:style w:type="paragraph" w:customStyle="1" w:styleId="42">
    <w:name w:val="正文文本1"/>
    <w:basedOn w:val="1"/>
    <w:next w:val="1"/>
    <w:autoRedefine/>
    <w:unhideWhenUsed/>
    <w:qFormat/>
    <w:uiPriority w:val="99"/>
    <w:pPr>
      <w:spacing w:after="120"/>
    </w:pPr>
  </w:style>
  <w:style w:type="paragraph" w:customStyle="1" w:styleId="43">
    <w:name w:val="正文文本11"/>
    <w:basedOn w:val="1"/>
    <w:next w:val="1"/>
    <w:qFormat/>
    <w:uiPriority w:val="99"/>
    <w:rPr>
      <w:sz w:val="20"/>
    </w:rPr>
  </w:style>
  <w:style w:type="paragraph" w:customStyle="1" w:styleId="44">
    <w:name w:val="一级条标题"/>
    <w:next w:val="45"/>
    <w:autoRedefine/>
    <w:qFormat/>
    <w:uiPriority w:val="0"/>
    <w:pPr>
      <w:tabs>
        <w:tab w:val="left" w:pos="810"/>
        <w:tab w:val="left" w:pos="907"/>
        <w:tab w:val="left" w:pos="1265"/>
      </w:tabs>
      <w:ind w:left="907" w:hanging="907"/>
      <w:jc w:val="both"/>
      <w:outlineLvl w:val="2"/>
    </w:pPr>
    <w:rPr>
      <w:rFonts w:hint="default" w:ascii="黑体" w:hAnsi="宋体" w:eastAsia="黑体" w:cs="Times New Roman"/>
      <w:lang w:val="en-US" w:eastAsia="zh-CN" w:bidi="ar-SA"/>
    </w:rPr>
  </w:style>
  <w:style w:type="paragraph" w:customStyle="1" w:styleId="45">
    <w:name w:val="段"/>
    <w:next w:val="1"/>
    <w:autoRedefine/>
    <w:qFormat/>
    <w:uiPriority w:val="0"/>
    <w:pPr>
      <w:ind w:firstLine="200"/>
      <w:jc w:val="both"/>
    </w:pPr>
    <w:rPr>
      <w:rFonts w:hint="default" w:ascii="宋体" w:hAnsi="Times New Roman" w:eastAsia="宋体" w:cs="Times New Roman"/>
      <w:sz w:val="21"/>
      <w:lang w:val="en-US" w:eastAsia="zh-CN" w:bidi="ar-SA"/>
    </w:rPr>
  </w:style>
  <w:style w:type="paragraph" w:customStyle="1" w:styleId="4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PMingLiU" w:eastAsia="PMingLiU" w:cs="Times New Roman"/>
      <w:kern w:val="0"/>
      <w:sz w:val="16"/>
      <w:szCs w:val="16"/>
      <w:lang w:eastAsia="zh-TW"/>
    </w:rPr>
  </w:style>
  <w:style w:type="character" w:customStyle="1" w:styleId="47">
    <w:name w:val="标题 4 Char"/>
    <w:link w:val="5"/>
    <w:autoRedefine/>
    <w:qFormat/>
    <w:uiPriority w:val="0"/>
    <w:rPr>
      <w:rFonts w:ascii="Arial" w:hAnsi="Arial" w:eastAsia="黑体"/>
      <w:b/>
      <w:bCs/>
      <w:kern w:val="2"/>
      <w:sz w:val="28"/>
      <w:szCs w:val="28"/>
    </w:rPr>
  </w:style>
  <w:style w:type="character" w:customStyle="1" w:styleId="48">
    <w:name w:val="标题 1 Char"/>
    <w:link w:val="2"/>
    <w:autoRedefine/>
    <w:qFormat/>
    <w:uiPriority w:val="0"/>
    <w:rPr>
      <w:rFonts w:ascii="宋体"/>
      <w:b/>
      <w:color w:val="000000"/>
      <w:kern w:val="44"/>
      <w:sz w:val="44"/>
    </w:rPr>
  </w:style>
  <w:style w:type="character" w:customStyle="1" w:styleId="49">
    <w:name w:val="标题 3 Char"/>
    <w:link w:val="4"/>
    <w:autoRedefine/>
    <w:qFormat/>
    <w:uiPriority w:val="0"/>
    <w:rPr>
      <w:rFonts w:ascii="宋体"/>
      <w:b/>
      <w:color w:val="000000"/>
      <w:kern w:val="2"/>
      <w:sz w:val="32"/>
    </w:rPr>
  </w:style>
  <w:style w:type="character" w:customStyle="1" w:styleId="50">
    <w:name w:val="文档结构图 Char"/>
    <w:link w:val="7"/>
    <w:autoRedefine/>
    <w:semiHidden/>
    <w:qFormat/>
    <w:uiPriority w:val="0"/>
    <w:rPr>
      <w:kern w:val="2"/>
      <w:sz w:val="21"/>
      <w:szCs w:val="24"/>
      <w:shd w:val="clear" w:color="auto" w:fill="000080"/>
    </w:rPr>
  </w:style>
  <w:style w:type="character" w:customStyle="1" w:styleId="51">
    <w:name w:val="批注文字 Char"/>
    <w:link w:val="8"/>
    <w:autoRedefine/>
    <w:qFormat/>
    <w:uiPriority w:val="0"/>
    <w:rPr>
      <w:kern w:val="2"/>
      <w:sz w:val="21"/>
    </w:rPr>
  </w:style>
  <w:style w:type="character" w:customStyle="1" w:styleId="52">
    <w:name w:val="正文文本 Char"/>
    <w:link w:val="10"/>
    <w:autoRedefine/>
    <w:qFormat/>
    <w:uiPriority w:val="0"/>
    <w:rPr>
      <w:kern w:val="2"/>
      <w:sz w:val="21"/>
      <w:szCs w:val="24"/>
    </w:rPr>
  </w:style>
  <w:style w:type="character" w:customStyle="1" w:styleId="53">
    <w:name w:val="纯文本 Char1"/>
    <w:link w:val="14"/>
    <w:autoRedefine/>
    <w:qFormat/>
    <w:locked/>
    <w:uiPriority w:val="0"/>
    <w:rPr>
      <w:rFonts w:ascii="宋体" w:hAnsi="Courier New" w:cs="金山简魏碑"/>
      <w:kern w:val="2"/>
      <w:sz w:val="21"/>
      <w:szCs w:val="21"/>
    </w:rPr>
  </w:style>
  <w:style w:type="character" w:customStyle="1" w:styleId="54">
    <w:name w:val="日期 Char"/>
    <w:link w:val="15"/>
    <w:autoRedefine/>
    <w:qFormat/>
    <w:uiPriority w:val="0"/>
    <w:rPr>
      <w:kern w:val="2"/>
      <w:sz w:val="21"/>
      <w:szCs w:val="24"/>
    </w:rPr>
  </w:style>
  <w:style w:type="character" w:customStyle="1" w:styleId="55">
    <w:name w:val="正文文本缩进 2 Char"/>
    <w:link w:val="16"/>
    <w:autoRedefine/>
    <w:qFormat/>
    <w:uiPriority w:val="0"/>
    <w:rPr>
      <w:rFonts w:ascii="Arial" w:hAnsi="Arial" w:eastAsia="仿宋_GB2312"/>
      <w:kern w:val="2"/>
      <w:sz w:val="32"/>
    </w:rPr>
  </w:style>
  <w:style w:type="character" w:customStyle="1" w:styleId="56">
    <w:name w:val="批注框文本 Char"/>
    <w:link w:val="17"/>
    <w:autoRedefine/>
    <w:semiHidden/>
    <w:qFormat/>
    <w:uiPriority w:val="0"/>
    <w:rPr>
      <w:kern w:val="2"/>
      <w:sz w:val="18"/>
      <w:szCs w:val="18"/>
    </w:rPr>
  </w:style>
  <w:style w:type="character" w:customStyle="1" w:styleId="57">
    <w:name w:val="页脚 Char"/>
    <w:link w:val="18"/>
    <w:autoRedefine/>
    <w:qFormat/>
    <w:uiPriority w:val="0"/>
    <w:rPr>
      <w:kern w:val="2"/>
      <w:sz w:val="18"/>
      <w:szCs w:val="18"/>
    </w:rPr>
  </w:style>
  <w:style w:type="character" w:customStyle="1" w:styleId="58">
    <w:name w:val="页眉 Char"/>
    <w:link w:val="19"/>
    <w:autoRedefine/>
    <w:qFormat/>
    <w:uiPriority w:val="0"/>
    <w:rPr>
      <w:kern w:val="2"/>
      <w:sz w:val="18"/>
      <w:szCs w:val="18"/>
    </w:rPr>
  </w:style>
  <w:style w:type="character" w:customStyle="1" w:styleId="59">
    <w:name w:val="标题 Char"/>
    <w:link w:val="25"/>
    <w:autoRedefine/>
    <w:qFormat/>
    <w:uiPriority w:val="0"/>
    <w:rPr>
      <w:rFonts w:ascii="Cambria" w:hAnsi="Cambria" w:cs="Times New Roman"/>
      <w:b/>
      <w:bCs/>
      <w:kern w:val="2"/>
      <w:sz w:val="32"/>
      <w:szCs w:val="32"/>
    </w:rPr>
  </w:style>
  <w:style w:type="character" w:customStyle="1" w:styleId="60">
    <w:name w:val="批注主题 Char"/>
    <w:link w:val="26"/>
    <w:autoRedefine/>
    <w:qFormat/>
    <w:uiPriority w:val="0"/>
    <w:rPr>
      <w:b/>
      <w:bCs/>
      <w:kern w:val="2"/>
      <w:sz w:val="21"/>
      <w:szCs w:val="24"/>
    </w:rPr>
  </w:style>
  <w:style w:type="character" w:customStyle="1" w:styleId="61">
    <w:name w:val="标题 4 Char1"/>
    <w:autoRedefine/>
    <w:semiHidden/>
    <w:qFormat/>
    <w:uiPriority w:val="0"/>
    <w:rPr>
      <w:rFonts w:ascii="Cambria" w:hAnsi="Cambria" w:eastAsia="宋体" w:cs="Times New Roman"/>
      <w:b/>
      <w:bCs/>
      <w:kern w:val="2"/>
      <w:sz w:val="28"/>
      <w:szCs w:val="28"/>
    </w:rPr>
  </w:style>
  <w:style w:type="character" w:customStyle="1" w:styleId="62">
    <w:name w:val="纯文本 Char"/>
    <w:autoRedefine/>
    <w:qFormat/>
    <w:uiPriority w:val="0"/>
    <w:rPr>
      <w:rFonts w:ascii="宋体" w:hAnsi="Courier New" w:cs="Courier New"/>
      <w:kern w:val="2"/>
      <w:sz w:val="21"/>
      <w:szCs w:val="21"/>
    </w:rPr>
  </w:style>
  <w:style w:type="character" w:customStyle="1" w:styleId="63">
    <w:name w:val="标题 1 Char1"/>
    <w:autoRedefine/>
    <w:qFormat/>
    <w:uiPriority w:val="0"/>
    <w:rPr>
      <w:b/>
      <w:bCs/>
      <w:kern w:val="44"/>
      <w:sz w:val="44"/>
      <w:szCs w:val="44"/>
    </w:rPr>
  </w:style>
  <w:style w:type="character" w:customStyle="1" w:styleId="64">
    <w:name w:val=" Char Char9"/>
    <w:autoRedefine/>
    <w:qFormat/>
    <w:uiPriority w:val="0"/>
    <w:rPr>
      <w:kern w:val="2"/>
      <w:sz w:val="21"/>
      <w:szCs w:val="24"/>
    </w:rPr>
  </w:style>
  <w:style w:type="character" w:customStyle="1" w:styleId="65">
    <w:name w:val="标题 3 Char1"/>
    <w:autoRedefine/>
    <w:semiHidden/>
    <w:qFormat/>
    <w:uiPriority w:val="0"/>
    <w:rPr>
      <w:b/>
      <w:bCs/>
      <w:kern w:val="2"/>
      <w:sz w:val="32"/>
      <w:szCs w:val="32"/>
    </w:rPr>
  </w:style>
  <w:style w:type="paragraph" w:customStyle="1" w:styleId="66">
    <w:name w:val="样式 小四 段前: 5 磅 段后: 5 磅 首行缩进:  2 字符"/>
    <w:basedOn w:val="1"/>
    <w:autoRedefine/>
    <w:qFormat/>
    <w:uiPriority w:val="0"/>
    <w:pPr>
      <w:spacing w:line="360" w:lineRule="auto"/>
    </w:pPr>
    <w:rPr>
      <w:rFonts w:ascii="宋体" w:hAnsi="宋体"/>
      <w:szCs w:val="21"/>
    </w:rPr>
  </w:style>
  <w:style w:type="paragraph" w:customStyle="1" w:styleId="6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68">
    <w:name w:val="Char7"/>
    <w:basedOn w:val="7"/>
    <w:autoRedefine/>
    <w:qFormat/>
    <w:uiPriority w:val="0"/>
    <w:pPr>
      <w:adjustRightInd w:val="0"/>
      <w:snapToGrid w:val="0"/>
      <w:spacing w:line="360" w:lineRule="auto"/>
    </w:pPr>
    <w:rPr>
      <w:rFonts w:ascii="Tahoma" w:hAnsi="Tahoma"/>
      <w:sz w:val="24"/>
    </w:rPr>
  </w:style>
  <w:style w:type="paragraph" w:customStyle="1" w:styleId="69">
    <w:name w:val="默认段落字体 Para Char Char Char Char Char Char Char"/>
    <w:basedOn w:val="1"/>
    <w:autoRedefine/>
    <w:qFormat/>
    <w:uiPriority w:val="0"/>
    <w:rPr>
      <w:rFonts w:ascii="Tahoma" w:hAnsi="Tahoma"/>
      <w:sz w:val="24"/>
      <w:szCs w:val="20"/>
    </w:rPr>
  </w:style>
  <w:style w:type="paragraph" w:customStyle="1" w:styleId="70">
    <w:name w:val="pa-2"/>
    <w:basedOn w:val="1"/>
    <w:autoRedefine/>
    <w:qFormat/>
    <w:uiPriority w:val="0"/>
    <w:pPr>
      <w:widowControl/>
      <w:spacing w:line="320" w:lineRule="atLeast"/>
      <w:ind w:firstLine="700"/>
    </w:pPr>
    <w:rPr>
      <w:rFonts w:ascii="宋体" w:hAnsi="宋体" w:cs="宋体"/>
      <w:kern w:val="0"/>
      <w:sz w:val="24"/>
    </w:rPr>
  </w:style>
  <w:style w:type="paragraph" w:customStyle="1" w:styleId="71">
    <w:name w:val="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2">
    <w:name w:val="表格无间距"/>
    <w:basedOn w:val="1"/>
    <w:autoRedefine/>
    <w:qFormat/>
    <w:uiPriority w:val="0"/>
    <w:pPr>
      <w:widowControl/>
      <w:spacing w:line="240" w:lineRule="atLeast"/>
      <w:jc w:val="center"/>
    </w:pPr>
    <w:rPr>
      <w:rFonts w:ascii="宋体" w:hAnsi="宋体" w:cs="宋体"/>
      <w:bCs/>
      <w:kern w:val="0"/>
      <w:sz w:val="18"/>
      <w:szCs w:val="18"/>
    </w:rPr>
  </w:style>
  <w:style w:type="paragraph" w:styleId="73">
    <w:name w:val="List Paragraph"/>
    <w:basedOn w:val="1"/>
    <w:next w:val="1"/>
    <w:autoRedefine/>
    <w:qFormat/>
    <w:uiPriority w:val="99"/>
    <w:pPr>
      <w:spacing w:line="360" w:lineRule="auto"/>
      <w:ind w:firstLine="420" w:firstLineChars="200"/>
    </w:pPr>
    <w:rPr>
      <w:sz w:val="28"/>
    </w:rPr>
  </w:style>
  <w:style w:type="paragraph" w:customStyle="1" w:styleId="74">
    <w:name w:val="_Style 2"/>
    <w:basedOn w:val="1"/>
    <w:autoRedefine/>
    <w:qFormat/>
    <w:uiPriority w:val="0"/>
    <w:pPr>
      <w:widowControl/>
      <w:ind w:firstLine="420" w:firstLineChars="200"/>
      <w:jc w:val="left"/>
    </w:pPr>
    <w:rPr>
      <w:kern w:val="0"/>
      <w:szCs w:val="22"/>
    </w:rPr>
  </w:style>
  <w:style w:type="paragraph" w:customStyle="1" w:styleId="75">
    <w:name w:val="Char Char Char Char Char Char Char Char Char Char Char Char Char Char Char Char"/>
    <w:basedOn w:val="1"/>
    <w:autoRedefine/>
    <w:qFormat/>
    <w:uiPriority w:val="0"/>
    <w:pPr>
      <w:tabs>
        <w:tab w:val="left" w:pos="360"/>
      </w:tabs>
      <w:spacing w:line="360" w:lineRule="auto"/>
      <w:ind w:left="482" w:firstLine="200" w:firstLineChars="200"/>
    </w:pPr>
    <w:rPr>
      <w:rFonts w:ascii="宋体"/>
      <w:sz w:val="24"/>
    </w:rPr>
  </w:style>
  <w:style w:type="paragraph" w:customStyle="1" w:styleId="76">
    <w:name w:val=" Char7"/>
    <w:basedOn w:val="7"/>
    <w:autoRedefine/>
    <w:qFormat/>
    <w:uiPriority w:val="0"/>
    <w:pPr>
      <w:adjustRightInd w:val="0"/>
      <w:snapToGrid w:val="0"/>
      <w:spacing w:line="360" w:lineRule="auto"/>
    </w:pPr>
    <w:rPr>
      <w:rFonts w:ascii="Tahoma" w:hAnsi="Tahoma"/>
      <w:sz w:val="24"/>
    </w:rPr>
  </w:style>
  <w:style w:type="paragraph" w:customStyle="1" w:styleId="77">
    <w:name w:val="p8"/>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78">
    <w:name w:val="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9">
    <w:name w:val="列出段落1"/>
    <w:basedOn w:val="1"/>
    <w:autoRedefine/>
    <w:qFormat/>
    <w:uiPriority w:val="0"/>
    <w:pPr>
      <w:ind w:firstLine="420" w:firstLineChars="200"/>
    </w:pPr>
    <w:rPr>
      <w:szCs w:val="22"/>
    </w:rPr>
  </w:style>
  <w:style w:type="paragraph" w:customStyle="1" w:styleId="80">
    <w:name w:val="Table Paragraph"/>
    <w:basedOn w:val="1"/>
    <w:autoRedefine/>
    <w:qFormat/>
    <w:uiPriority w:val="1"/>
    <w:pPr>
      <w:jc w:val="left"/>
    </w:pPr>
    <w:rPr>
      <w:kern w:val="0"/>
      <w:sz w:val="22"/>
      <w:szCs w:val="22"/>
      <w:lang w:eastAsia="en-US"/>
    </w:rPr>
  </w:style>
  <w:style w:type="paragraph" w:customStyle="1" w:styleId="81">
    <w:name w:val="列出段落11"/>
    <w:basedOn w:val="1"/>
    <w:autoRedefine/>
    <w:qFormat/>
    <w:uiPriority w:val="0"/>
    <w:pPr>
      <w:ind w:firstLine="420" w:firstLineChars="200"/>
    </w:pPr>
  </w:style>
  <w:style w:type="paragraph" w:customStyle="1" w:styleId="82">
    <w:name w:val="标题1，章节第一层"/>
    <w:basedOn w:val="83"/>
    <w:next w:val="83"/>
    <w:autoRedefine/>
    <w:qFormat/>
    <w:uiPriority w:val="0"/>
    <w:pPr>
      <w:widowControl/>
      <w:tabs>
        <w:tab w:val="left" w:pos="693"/>
      </w:tabs>
      <w:adjustRightInd w:val="0"/>
      <w:snapToGrid w:val="0"/>
      <w:spacing w:line="360" w:lineRule="auto"/>
      <w:ind w:left="272" w:right="44" w:rightChars="21" w:hanging="272" w:hangingChars="85"/>
      <w:jc w:val="center"/>
      <w:textAlignment w:val="baseline"/>
      <w:outlineLvl w:val="0"/>
    </w:pPr>
    <w:rPr>
      <w:rFonts w:ascii="宋体" w:hAnsi="宋体" w:eastAsia="黑体"/>
      <w:color w:val="000000"/>
      <w:kern w:val="0"/>
      <w:sz w:val="32"/>
      <w:szCs w:val="24"/>
      <w:lang w:val="zh-CN"/>
    </w:rPr>
  </w:style>
  <w:style w:type="paragraph" w:customStyle="1" w:styleId="83">
    <w:name w:val="正文格式"/>
    <w:basedOn w:val="1"/>
    <w:autoRedefine/>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character" w:customStyle="1" w:styleId="84">
    <w:name w:val="NormalCharacter"/>
    <w:autoRedefine/>
    <w:semiHidden/>
    <w:qFormat/>
    <w:uiPriority w:val="0"/>
  </w:style>
  <w:style w:type="paragraph" w:customStyle="1" w:styleId="85">
    <w:name w:val="样式 样式 样式 左侧:  2 字符1 + 首行缩进:  2 字符1 + 首行缩进:  2 字符"/>
    <w:basedOn w:val="1"/>
    <w:autoRedefine/>
    <w:qFormat/>
    <w:uiPriority w:val="0"/>
    <w:pPr>
      <w:widowControl/>
      <w:adjustRightInd w:val="0"/>
      <w:spacing w:before="60" w:after="120" w:line="440" w:lineRule="atLeast"/>
      <w:ind w:firstLine="480"/>
      <w:textAlignment w:val="baseline"/>
    </w:pPr>
    <w:rPr>
      <w:rFonts w:ascii="Times New Roman" w:hAnsi="Times New Roman" w:eastAsia="微软雅黑"/>
      <w:sz w:val="24"/>
    </w:rPr>
  </w:style>
  <w:style w:type="paragraph" w:customStyle="1" w:styleId="86">
    <w:name w:val="普通(网站)1"/>
    <w:basedOn w:val="1"/>
    <w:autoRedefine/>
    <w:qFormat/>
    <w:uiPriority w:val="0"/>
    <w:pPr>
      <w:widowControl/>
      <w:spacing w:before="100" w:beforeAutospacing="1" w:after="100" w:afterAutospacing="1"/>
      <w:jc w:val="left"/>
    </w:pPr>
    <w:rPr>
      <w:rFonts w:ascii="宋体" w:cs="宋体"/>
      <w:kern w:val="0"/>
      <w:sz w:val="24"/>
    </w:rPr>
  </w:style>
  <w:style w:type="paragraph" w:customStyle="1" w:styleId="87">
    <w:name w:val="正文文本首行缩进"/>
    <w:basedOn w:val="42"/>
    <w:autoRedefine/>
    <w:unhideWhenUsed/>
    <w:qFormat/>
    <w:uiPriority w:val="99"/>
    <w:pPr>
      <w:ind w:firstLine="420"/>
    </w:pPr>
  </w:style>
  <w:style w:type="character" w:customStyle="1" w:styleId="88">
    <w:name w:val="font11"/>
    <w:basedOn w:val="29"/>
    <w:autoRedefine/>
    <w:qFormat/>
    <w:uiPriority w:val="0"/>
    <w:rPr>
      <w:rFonts w:hint="eastAsia" w:ascii="宋体" w:hAnsi="宋体" w:eastAsia="宋体" w:cs="宋体"/>
      <w:color w:val="000000"/>
      <w:sz w:val="32"/>
      <w:szCs w:val="32"/>
      <w:u w:val="none"/>
    </w:rPr>
  </w:style>
  <w:style w:type="character" w:customStyle="1" w:styleId="89">
    <w:name w:val="font21"/>
    <w:basedOn w:val="29"/>
    <w:autoRedefine/>
    <w:qFormat/>
    <w:uiPriority w:val="0"/>
    <w:rPr>
      <w:rFonts w:hint="eastAsia" w:ascii="宋体" w:hAnsi="宋体" w:eastAsia="宋体" w:cs="宋体"/>
      <w:color w:val="000000"/>
      <w:sz w:val="22"/>
      <w:szCs w:val="22"/>
      <w:u w:val="none"/>
    </w:rPr>
  </w:style>
  <w:style w:type="paragraph" w:customStyle="1" w:styleId="90">
    <w:name w:val="Normal"/>
    <w:autoRedefine/>
    <w:qFormat/>
    <w:uiPriority w:val="0"/>
    <w:pPr>
      <w:widowControl w:val="0"/>
      <w:jc w:val="both"/>
    </w:pPr>
    <w:rPr>
      <w:rFonts w:ascii="Times New Roman" w:hAnsi="Times New Roman" w:eastAsia="宋体" w:cs="Times New Roman"/>
      <w:lang w:val="en-US" w:eastAsia="zh-CN" w:bidi="ar-SA"/>
    </w:rPr>
  </w:style>
  <w:style w:type="table" w:customStyle="1" w:styleId="91">
    <w:name w:val="Table Normal"/>
    <w:semiHidden/>
    <w:unhideWhenUsed/>
    <w:qFormat/>
    <w:uiPriority w:val="0"/>
    <w:tblPr>
      <w:tblCellMar>
        <w:top w:w="0" w:type="dxa"/>
        <w:left w:w="0" w:type="dxa"/>
        <w:bottom w:w="0" w:type="dxa"/>
        <w:right w:w="0" w:type="dxa"/>
      </w:tblCellMar>
    </w:tblPr>
  </w:style>
  <w:style w:type="paragraph" w:customStyle="1" w:styleId="92">
    <w:name w:val="Table Text"/>
    <w:basedOn w:val="1"/>
    <w:semiHidden/>
    <w:qFormat/>
    <w:uiPriority w:val="0"/>
    <w:rPr>
      <w:rFonts w:ascii="宋体" w:hAnsi="宋体" w:cs="宋体"/>
      <w:szCs w:val="21"/>
      <w:lang w:eastAsia="en-US"/>
    </w:rPr>
  </w:style>
  <w:style w:type="paragraph" w:customStyle="1" w:styleId="93">
    <w:name w:val="其他"/>
    <w:basedOn w:val="1"/>
    <w:qFormat/>
    <w:uiPriority w:val="0"/>
    <w:pPr>
      <w:spacing w:line="480" w:lineRule="auto"/>
      <w:ind w:firstLine="400"/>
    </w:pPr>
    <w:rPr>
      <w:rFonts w:ascii="宋体" w:hAnsi="宋体" w:cs="Times New Roman"/>
      <w:sz w:val="20"/>
      <w:szCs w:val="20"/>
    </w:rPr>
  </w:style>
  <w:style w:type="paragraph" w:customStyle="1" w:styleId="94">
    <w:name w:val="_Style 1"/>
    <w:qFormat/>
    <w:uiPriority w:val="1"/>
    <w:rPr>
      <w:rFonts w:ascii="宋体" w:hAnsi="宋体" w:eastAsia="宋体" w:cs="宋体"/>
      <w:sz w:val="21"/>
      <w:szCs w:val="24"/>
      <w:lang w:val="en-US" w:eastAsia="zh-CN" w:bidi="ar-SA"/>
    </w:rPr>
  </w:style>
  <w:style w:type="character" w:customStyle="1" w:styleId="95">
    <w:name w:val="rvts9"/>
    <w:qFormat/>
    <w:uiPriority w:val="0"/>
    <w:rPr>
      <w:rFonts w:hint="default" w:ascii="KNLe" w:hAnsi="KNLe"/>
    </w:rPr>
  </w:style>
  <w:style w:type="paragraph" w:customStyle="1" w:styleId="96">
    <w:name w:val="批注文字11"/>
    <w:basedOn w:val="1"/>
    <w:unhideWhenUsed/>
    <w:qFormat/>
    <w:uiPriority w:val="99"/>
    <w:pPr>
      <w:jc w:val="left"/>
    </w:pPr>
  </w:style>
  <w:style w:type="paragraph" w:customStyle="1" w:styleId="97">
    <w:name w:val="标题11"/>
    <w:basedOn w:val="1"/>
    <w:next w:val="1"/>
    <w:qFormat/>
    <w:uiPriority w:val="0"/>
    <w:pPr>
      <w:spacing w:before="240" w:after="60"/>
      <w:jc w:val="center"/>
      <w:outlineLvl w:val="0"/>
    </w:pPr>
    <w:rPr>
      <w:rFonts w:ascii="Cambria" w:hAnsi="Cambria"/>
      <w:b/>
      <w:bCs/>
      <w:sz w:val="44"/>
      <w:szCs w:val="32"/>
    </w:rPr>
  </w:style>
  <w:style w:type="paragraph" w:customStyle="1" w:styleId="98">
    <w:name w:val="普通正文"/>
    <w:basedOn w:val="1"/>
    <w:qFormat/>
    <w:uiPriority w:val="0"/>
    <w:pPr>
      <w:spacing w:before="120" w:after="120" w:line="360" w:lineRule="auto"/>
      <w:ind w:firstLine="480"/>
      <w:jc w:val="left"/>
    </w:pPr>
    <w:rPr>
      <w:rFonts w:ascii="Arial" w:hAnsi="Arial"/>
      <w:sz w:val="24"/>
    </w:rPr>
  </w:style>
  <w:style w:type="paragraph" w:customStyle="1" w:styleId="99">
    <w:name w:val="目录 11"/>
    <w:basedOn w:val="1"/>
    <w:next w:val="1"/>
    <w:qFormat/>
    <w:uiPriority w:val="39"/>
    <w:pPr>
      <w:tabs>
        <w:tab w:val="right" w:leader="dot" w:pos="9440"/>
      </w:tabs>
      <w:spacing w:before="120" w:after="120" w:line="480" w:lineRule="auto"/>
      <w:jc w:val="left"/>
    </w:pPr>
    <w:rPr>
      <w:rFonts w:ascii="黑体" w:eastAsia="黑体"/>
      <w:b/>
      <w:caps/>
      <w:sz w:val="18"/>
      <w:szCs w:val="28"/>
    </w:rPr>
  </w:style>
  <w:style w:type="paragraph" w:customStyle="1" w:styleId="100">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01">
    <w:name w:val="页脚1"/>
    <w:basedOn w:val="1"/>
    <w:qFormat/>
    <w:uiPriority w:val="99"/>
    <w:pPr>
      <w:tabs>
        <w:tab w:val="center" w:pos="4153"/>
        <w:tab w:val="right" w:pos="8306"/>
      </w:tabs>
      <w:jc w:val="left"/>
    </w:pPr>
    <w:rPr>
      <w:sz w:val="18"/>
      <w:szCs w:val="18"/>
    </w:rPr>
  </w:style>
  <w:style w:type="table" w:customStyle="1" w:styleId="102">
    <w:name w:val="网格型1"/>
    <w:basedOn w:val="103"/>
    <w:qFormat/>
    <w:uiPriority w:val="0"/>
    <w:pPr>
      <w:widowControl w:val="0"/>
      <w:jc w:val="both"/>
    </w:pPr>
  </w:style>
  <w:style w:type="table" w:customStyle="1" w:styleId="103">
    <w:name w:val="普通表格1"/>
    <w:semiHidden/>
    <w:qFormat/>
    <w:uiPriority w:val="0"/>
  </w:style>
  <w:style w:type="paragraph" w:customStyle="1" w:styleId="104">
    <w:name w:val="正文首行缩进1"/>
    <w:basedOn w:val="42"/>
    <w:qFormat/>
    <w:uiPriority w:val="99"/>
    <w:pPr>
      <w:tabs>
        <w:tab w:val="left" w:pos="0"/>
        <w:tab w:val="left" w:pos="993"/>
        <w:tab w:val="left" w:pos="1134"/>
      </w:tabs>
      <w:ind w:firstLine="420"/>
    </w:pPr>
  </w:style>
  <w:style w:type="character" w:customStyle="1" w:styleId="105">
    <w:name w:val="批注引用1"/>
    <w:link w:val="1"/>
    <w:qFormat/>
    <w:uiPriority w:val="0"/>
    <w:rPr>
      <w:rFonts w:ascii="Calibri" w:hAnsi="Calibri" w:eastAsia="宋体" w:cs="Times New Roman"/>
      <w:kern w:val="2"/>
      <w:sz w:val="21"/>
      <w:szCs w:val="24"/>
      <w:lang w:val="en-US" w:eastAsia="zh-CN" w:bidi="ar-SA"/>
    </w:rPr>
  </w:style>
  <w:style w:type="paragraph" w:customStyle="1" w:styleId="106">
    <w:name w:val="正文首行缩进 211"/>
    <w:basedOn w:val="38"/>
    <w:qFormat/>
    <w:uiPriority w:val="99"/>
    <w:pPr>
      <w:spacing w:after="0" w:line="360" w:lineRule="auto"/>
      <w:ind w:left="0" w:firstLine="420"/>
    </w:pPr>
    <w:rPr>
      <w:rFonts w:ascii="宋体" w:hAnsi="宋体"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46</Pages>
  <Words>8804</Words>
  <Characters>9635</Characters>
  <Lines>1</Lines>
  <Paragraphs>1</Paragraphs>
  <TotalTime>1</TotalTime>
  <ScaleCrop>false</ScaleCrop>
  <LinksUpToDate>false</LinksUpToDate>
  <CharactersWithSpaces>9754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2024-03-20T08:00:00Z</dcterms:created>
  <dc:creator>高 网芹</dc:creator>
  <cp:lastModifiedBy>c x</cp:lastModifiedBy>
  <cp:lastPrinted>2020-11-27T04:59:00Z</cp:lastPrinted>
  <dcterms:modified xsi:type="dcterms:W3CDTF">2026-08-24T07:01:54Z</dcterms:modified>
  <dc:title>磋商文件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4925DAA537CB41D880E0C45923CB689E_13</vt:lpwstr>
  </property>
  <property fmtid="{D5CDD505-2E9C-101B-9397-08002B2CF9AE}" pid="4" name="KSOTemplateDocerSaveRecord">
    <vt:lpwstr>eyJoZGlkIjoiN2M5ZWYxZmQ4ZTQ1OTg1OWQxNTdmYjEwNzkzMDZhOTQiLCJ1c2VySWQiOiI2MzA5MTI0ODgifQ==</vt:lpwstr>
  </property>
</Properties>
</file>