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3C5E8">
      <w:pPr>
        <w:pStyle w:val="8"/>
        <w:spacing w:before="0" w:line="360" w:lineRule="auto"/>
        <w:ind w:left="0"/>
        <w:jc w:val="center"/>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t>采购需求</w:t>
      </w:r>
    </w:p>
    <w:p w14:paraId="6B5B470F">
      <w:pPr>
        <w:pStyle w:val="2"/>
        <w:pageBreakBefore w:val="0"/>
        <w:widowControl/>
        <w:kinsoku/>
        <w:wordWrap/>
        <w:overflowPunct/>
        <w:topLinePunct w:val="0"/>
        <w:autoSpaceDE/>
        <w:autoSpaceDN/>
        <w:bidi w:val="0"/>
        <w:adjustRightInd/>
        <w:snapToGrid/>
        <w:spacing w:before="0" w:after="0" w:line="360" w:lineRule="auto"/>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一、项目概况</w:t>
      </w:r>
    </w:p>
    <w:p w14:paraId="50C291F8">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1.1 项目名称</w:t>
      </w:r>
    </w:p>
    <w:p w14:paraId="0B01F1EB">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b w:val="0"/>
          <w:i w:val="0"/>
          <w:iCs w:val="0"/>
          <w:color w:val="auto"/>
          <w:sz w:val="28"/>
          <w:szCs w:val="28"/>
        </w:rPr>
        <w:t>润州区河湖自动监管能力建设项目</w:t>
      </w:r>
      <w:r>
        <w:rPr>
          <w:rFonts w:hint="eastAsia" w:ascii="楷体" w:hAnsi="楷体" w:eastAsia="楷体" w:cs="楷体"/>
          <w:b w:val="0"/>
          <w:i w:val="0"/>
          <w:iCs w:val="0"/>
          <w:color w:val="auto"/>
          <w:sz w:val="28"/>
          <w:szCs w:val="28"/>
          <w:lang w:eastAsia="zh-CN"/>
        </w:rPr>
        <w:t>。</w:t>
      </w:r>
    </w:p>
    <w:p w14:paraId="61540C5B">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1.2 建设地点</w:t>
      </w:r>
    </w:p>
    <w:p w14:paraId="5AE9C72D">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江苏省镇江市润州区。</w:t>
      </w:r>
    </w:p>
    <w:p w14:paraId="63CA7EF2">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1.3 项目背景</w:t>
      </w:r>
    </w:p>
    <w:p w14:paraId="7F05BB01">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为及时掌握河湖水质变化情况，提升区域水环境管理水平，实现从</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人工巡检、被动处置</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向</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自动监测、智能预警、协同处置、精准治理</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转型升级，本项目拟建设以水质监测微站为基础、以数据集成与智能分析平台为核心、以无人化现场作业设备为手段的河湖自动监管体系。</w:t>
      </w:r>
    </w:p>
    <w:p w14:paraId="74EB645A">
      <w:pPr>
        <w:pStyle w:val="2"/>
        <w:pageBreakBefore w:val="0"/>
        <w:widowControl/>
        <w:kinsoku/>
        <w:wordWrap/>
        <w:overflowPunct/>
        <w:topLinePunct w:val="0"/>
        <w:autoSpaceDE/>
        <w:autoSpaceDN/>
        <w:bidi w:val="0"/>
        <w:adjustRightInd/>
        <w:snapToGrid/>
        <w:spacing w:before="0" w:after="0" w:line="360" w:lineRule="auto"/>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二、采购内容一览表</w:t>
      </w:r>
    </w:p>
    <w:p w14:paraId="75B43D0E">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本项目采购内容</w:t>
      </w:r>
      <w:r>
        <w:rPr>
          <w:rFonts w:hint="eastAsia" w:ascii="楷体" w:hAnsi="楷体" w:eastAsia="楷体" w:cs="楷体"/>
          <w:b w:val="0"/>
          <w:i w:val="0"/>
          <w:iCs w:val="0"/>
          <w:color w:val="auto"/>
          <w:sz w:val="28"/>
          <w:szCs w:val="28"/>
          <w:lang w:val="en-US" w:eastAsia="zh-CN"/>
        </w:rPr>
        <w:t>如下表：</w:t>
      </w:r>
    </w:p>
    <w:tbl>
      <w:tblPr>
        <w:tblStyle w:val="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766"/>
        <w:gridCol w:w="4530"/>
        <w:gridCol w:w="958"/>
        <w:gridCol w:w="1874"/>
      </w:tblGrid>
      <w:tr w14:paraId="1132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Align w:val="center"/>
          </w:tcPr>
          <w:p w14:paraId="02BDCD5F">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lang w:eastAsia="zh-CN"/>
              </w:rPr>
            </w:pPr>
            <w:r>
              <w:rPr>
                <w:rFonts w:hint="eastAsia" w:ascii="楷体" w:hAnsi="楷体" w:eastAsia="楷体" w:cs="楷体"/>
                <w:b/>
                <w:i w:val="0"/>
                <w:iCs w:val="0"/>
                <w:color w:val="auto"/>
                <w:sz w:val="28"/>
                <w:szCs w:val="28"/>
                <w:lang w:val="en-US" w:eastAsia="zh-CN"/>
              </w:rPr>
              <w:t>序号</w:t>
            </w:r>
          </w:p>
        </w:tc>
        <w:tc>
          <w:tcPr>
            <w:tcW w:w="3162" w:type="pct"/>
            <w:gridSpan w:val="2"/>
            <w:vAlign w:val="center"/>
          </w:tcPr>
          <w:p w14:paraId="75310498">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采购内容</w:t>
            </w:r>
          </w:p>
        </w:tc>
        <w:tc>
          <w:tcPr>
            <w:tcW w:w="481" w:type="pct"/>
            <w:vAlign w:val="center"/>
          </w:tcPr>
          <w:p w14:paraId="4A9CC8D0">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数量</w:t>
            </w:r>
          </w:p>
        </w:tc>
        <w:tc>
          <w:tcPr>
            <w:tcW w:w="941" w:type="pct"/>
            <w:vAlign w:val="center"/>
          </w:tcPr>
          <w:p w14:paraId="1B6DDCE0">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备注</w:t>
            </w:r>
          </w:p>
        </w:tc>
      </w:tr>
      <w:tr w14:paraId="20FB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Align w:val="center"/>
          </w:tcPr>
          <w:p w14:paraId="3FC57093">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1</w:t>
            </w:r>
          </w:p>
        </w:tc>
        <w:tc>
          <w:tcPr>
            <w:tcW w:w="887" w:type="pct"/>
            <w:vAlign w:val="center"/>
          </w:tcPr>
          <w:p w14:paraId="576A3CA3">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水质监测基础设施建设</w:t>
            </w:r>
          </w:p>
        </w:tc>
        <w:tc>
          <w:tcPr>
            <w:tcW w:w="2274" w:type="pct"/>
            <w:vAlign w:val="center"/>
          </w:tcPr>
          <w:p w14:paraId="72CDC659">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firstLine="0" w:firstLineChars="0"/>
              <w:jc w:val="both"/>
              <w:textAlignment w:val="auto"/>
              <w:rPr>
                <w:rFonts w:hint="eastAsia" w:ascii="楷体" w:hAnsi="楷体" w:eastAsia="楷体" w:cs="楷体"/>
                <w:i w:val="0"/>
                <w:iCs w:val="0"/>
                <w:color w:val="auto"/>
                <w:kern w:val="0"/>
                <w:sz w:val="28"/>
                <w:szCs w:val="28"/>
                <w:u w:val="none"/>
                <w:lang w:val="en-US" w:eastAsia="zh-CN" w:bidi="ar"/>
              </w:rPr>
            </w:pPr>
            <w:r>
              <w:rPr>
                <w:rFonts w:hint="eastAsia" w:ascii="楷体" w:hAnsi="楷体" w:eastAsia="楷体" w:cs="楷体"/>
                <w:b w:val="0"/>
                <w:i w:val="0"/>
                <w:iCs w:val="0"/>
                <w:color w:val="auto"/>
                <w:sz w:val="28"/>
                <w:szCs w:val="28"/>
              </w:rPr>
              <w:t>水质监测微站</w:t>
            </w:r>
            <w:r>
              <w:rPr>
                <w:rFonts w:hint="eastAsia" w:ascii="楷体" w:hAnsi="楷体" w:eastAsia="楷体" w:cs="楷体"/>
                <w:i w:val="0"/>
                <w:iCs w:val="0"/>
                <w:color w:val="auto"/>
                <w:kern w:val="0"/>
                <w:sz w:val="28"/>
                <w:szCs w:val="28"/>
                <w:u w:val="none"/>
                <w:lang w:val="en-US" w:eastAsia="zh-CN" w:bidi="ar"/>
              </w:rPr>
              <w:t>监测参数为氨氮、总氮、COD、溶解氧、高锰酸盐指数；</w:t>
            </w:r>
          </w:p>
          <w:p w14:paraId="297F775D">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firstLine="0" w:firstLineChars="0"/>
              <w:jc w:val="both"/>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包含</w:t>
            </w:r>
            <w:r>
              <w:rPr>
                <w:rFonts w:hint="eastAsia" w:ascii="楷体" w:hAnsi="楷体" w:eastAsia="楷体" w:cs="楷体"/>
                <w:b w:val="0"/>
                <w:i w:val="0"/>
                <w:iCs w:val="0"/>
                <w:color w:val="auto"/>
                <w:sz w:val="28"/>
                <w:szCs w:val="28"/>
              </w:rPr>
              <w:t>设备采购、安装调试及基础设施建设</w:t>
            </w:r>
            <w:r>
              <w:rPr>
                <w:rFonts w:hint="eastAsia" w:ascii="楷体" w:hAnsi="楷体" w:eastAsia="楷体" w:cs="楷体"/>
                <w:b w:val="0"/>
                <w:i w:val="0"/>
                <w:iCs w:val="0"/>
                <w:color w:val="auto"/>
                <w:sz w:val="28"/>
                <w:szCs w:val="28"/>
                <w:lang w:eastAsia="zh-CN"/>
              </w:rPr>
              <w:t>；</w:t>
            </w:r>
          </w:p>
          <w:p w14:paraId="51C1FC65">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0" w:firstLine="0" w:firstLineChars="0"/>
              <w:jc w:val="both"/>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监测数据通过4G/5G通信网络实时传输至一体化监管平台。</w:t>
            </w:r>
          </w:p>
        </w:tc>
        <w:tc>
          <w:tcPr>
            <w:tcW w:w="481" w:type="pct"/>
            <w:vAlign w:val="center"/>
          </w:tcPr>
          <w:p w14:paraId="2014986A">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18套</w:t>
            </w:r>
          </w:p>
        </w:tc>
        <w:tc>
          <w:tcPr>
            <w:tcW w:w="941" w:type="pct"/>
            <w:vAlign w:val="center"/>
          </w:tcPr>
          <w:p w14:paraId="47675DE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left"/>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含立杆、传感器</w:t>
            </w:r>
            <w:r>
              <w:rPr>
                <w:rFonts w:hint="eastAsia" w:ascii="楷体" w:hAnsi="楷体" w:eastAsia="楷体" w:cs="楷体"/>
                <w:b w:val="0"/>
                <w:i w:val="0"/>
                <w:iCs w:val="0"/>
                <w:color w:val="auto"/>
                <w:sz w:val="28"/>
                <w:szCs w:val="28"/>
                <w:lang w:val="en-US" w:eastAsia="zh-CN"/>
              </w:rPr>
              <w:t>及其备品备件及耗材、</w:t>
            </w:r>
            <w:r>
              <w:rPr>
                <w:rFonts w:hint="eastAsia" w:ascii="楷体" w:hAnsi="楷体" w:eastAsia="楷体" w:cs="楷体"/>
                <w:b w:val="0"/>
                <w:i w:val="0"/>
                <w:iCs w:val="0"/>
                <w:color w:val="auto"/>
                <w:sz w:val="28"/>
                <w:szCs w:val="28"/>
              </w:rPr>
              <w:t>供电、通信、地基施工等</w:t>
            </w:r>
            <w:r>
              <w:rPr>
                <w:rFonts w:hint="eastAsia" w:ascii="楷体" w:hAnsi="楷体" w:eastAsia="楷体" w:cs="楷体"/>
                <w:b w:val="0"/>
                <w:i w:val="0"/>
                <w:iCs w:val="0"/>
                <w:color w:val="auto"/>
                <w:sz w:val="28"/>
                <w:szCs w:val="28"/>
                <w:lang w:eastAsia="zh-CN"/>
              </w:rPr>
              <w:t>；</w:t>
            </w:r>
          </w:p>
        </w:tc>
      </w:tr>
      <w:tr w14:paraId="10EA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Align w:val="center"/>
          </w:tcPr>
          <w:p w14:paraId="56908AC1">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lang w:eastAsia="zh-CN"/>
              </w:rPr>
            </w:pPr>
            <w:r>
              <w:rPr>
                <w:rFonts w:hint="eastAsia" w:ascii="楷体" w:hAnsi="楷体" w:eastAsia="楷体" w:cs="楷体"/>
                <w:b w:val="0"/>
                <w:i w:val="0"/>
                <w:iCs w:val="0"/>
                <w:color w:val="auto"/>
                <w:sz w:val="28"/>
                <w:szCs w:val="28"/>
                <w:lang w:val="en-US" w:eastAsia="zh-CN"/>
              </w:rPr>
              <w:t>2</w:t>
            </w:r>
          </w:p>
        </w:tc>
        <w:tc>
          <w:tcPr>
            <w:tcW w:w="887" w:type="pct"/>
            <w:vAlign w:val="center"/>
          </w:tcPr>
          <w:p w14:paraId="1E444D5D">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数据集成与智能分析</w:t>
            </w:r>
          </w:p>
        </w:tc>
        <w:tc>
          <w:tcPr>
            <w:tcW w:w="2274" w:type="pct"/>
            <w:vAlign w:val="center"/>
          </w:tcPr>
          <w:p w14:paraId="38140E90">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数据集成与智能分析平台软件开发、部署及集成</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lang w:val="en-US" w:eastAsia="zh-CN"/>
              </w:rPr>
              <w:t>实现以下功能</w:t>
            </w:r>
            <w:r>
              <w:rPr>
                <w:rFonts w:hint="eastAsia" w:ascii="楷体" w:hAnsi="楷体" w:eastAsia="楷体" w:cs="楷体"/>
                <w:b w:val="0"/>
                <w:i w:val="0"/>
                <w:iCs w:val="0"/>
                <w:color w:val="auto"/>
                <w:sz w:val="28"/>
                <w:szCs w:val="28"/>
                <w:lang w:eastAsia="zh-CN"/>
              </w:rPr>
              <w:t>：</w:t>
            </w:r>
          </w:p>
          <w:p w14:paraId="30E9216B">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汇集本项目新建水质微站及已有的标准站数据，实现数据集中管理与高效传输；</w:t>
            </w:r>
          </w:p>
          <w:p w14:paraId="0FE73965">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搭建实时可视化一体化系统，运用物联网、云计算等技术，建设河湖水质监管实时可视化系统，实现水质数据实时上图、查询与展示；</w:t>
            </w:r>
          </w:p>
          <w:p w14:paraId="3243D5F0">
            <w:pPr>
              <w:keepNext w:val="0"/>
              <w:keepLines w:val="0"/>
              <w:pageBreakBefore w:val="0"/>
              <w:widowControl/>
              <w:numPr>
                <w:ilvl w:val="0"/>
                <w:numId w:val="2"/>
              </w:numPr>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建立自动监管预测预警模块，通过数据分析，实现水质预警，及时识别潜在水质问题。</w:t>
            </w:r>
          </w:p>
        </w:tc>
        <w:tc>
          <w:tcPr>
            <w:tcW w:w="481" w:type="pct"/>
            <w:vAlign w:val="center"/>
          </w:tcPr>
          <w:p w14:paraId="0B8386F0">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1套</w:t>
            </w:r>
          </w:p>
        </w:tc>
        <w:tc>
          <w:tcPr>
            <w:tcW w:w="941" w:type="pct"/>
            <w:vAlign w:val="center"/>
          </w:tcPr>
          <w:p w14:paraId="48CE1D0F">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p>
        </w:tc>
      </w:tr>
      <w:tr w14:paraId="7762A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Align w:val="center"/>
          </w:tcPr>
          <w:p w14:paraId="2AEBE775">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3</w:t>
            </w:r>
          </w:p>
        </w:tc>
        <w:tc>
          <w:tcPr>
            <w:tcW w:w="887" w:type="pct"/>
            <w:vAlign w:val="center"/>
          </w:tcPr>
          <w:p w14:paraId="54F104FA">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b w:val="0"/>
                <w:i w:val="0"/>
                <w:iCs w:val="0"/>
                <w:color w:val="auto"/>
                <w:sz w:val="28"/>
                <w:szCs w:val="28"/>
              </w:rPr>
            </w:pPr>
            <w:r>
              <w:rPr>
                <w:rFonts w:hint="eastAsia" w:ascii="楷体" w:hAnsi="楷体" w:eastAsia="楷体" w:cs="楷体"/>
                <w:i w:val="0"/>
                <w:iCs w:val="0"/>
                <w:color w:val="auto"/>
                <w:kern w:val="0"/>
                <w:sz w:val="28"/>
                <w:szCs w:val="28"/>
                <w:u w:val="none"/>
                <w:lang w:val="en-US" w:eastAsia="zh-CN" w:bidi="ar"/>
              </w:rPr>
              <w:t>全域水质高光谱卫星反演普查</w:t>
            </w:r>
          </w:p>
        </w:tc>
        <w:tc>
          <w:tcPr>
            <w:tcW w:w="2274" w:type="pct"/>
            <w:vAlign w:val="center"/>
          </w:tcPr>
          <w:p w14:paraId="36D9D5F8">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全年开展4次水质反演普查（每季度1次），覆盖润州区重点河道；</w:t>
            </w:r>
          </w:p>
          <w:p w14:paraId="42BDD80C">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每次普查后形成水质普查分析报告；</w:t>
            </w:r>
          </w:p>
          <w:p w14:paraId="0FF33706">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全年水质反演普查完成后，形成年度水质分析报告，报告内容涵盖全区重点河道的水质状况分布、污染程度评估等信息</w:t>
            </w:r>
          </w:p>
        </w:tc>
        <w:tc>
          <w:tcPr>
            <w:tcW w:w="481" w:type="pct"/>
            <w:vAlign w:val="center"/>
          </w:tcPr>
          <w:p w14:paraId="422E7A17">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4次</w:t>
            </w:r>
          </w:p>
        </w:tc>
        <w:tc>
          <w:tcPr>
            <w:tcW w:w="941" w:type="pct"/>
            <w:vAlign w:val="center"/>
          </w:tcPr>
          <w:p w14:paraId="58560FBD">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p>
        </w:tc>
      </w:tr>
      <w:tr w14:paraId="2C084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 w:type="pct"/>
            <w:vAlign w:val="center"/>
          </w:tcPr>
          <w:p w14:paraId="012F5272">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lang w:eastAsia="zh-CN"/>
              </w:rPr>
            </w:pPr>
            <w:r>
              <w:rPr>
                <w:rFonts w:hint="eastAsia" w:ascii="楷体" w:hAnsi="楷体" w:eastAsia="楷体" w:cs="楷体"/>
                <w:b w:val="0"/>
                <w:i w:val="0"/>
                <w:iCs w:val="0"/>
                <w:color w:val="auto"/>
                <w:sz w:val="28"/>
                <w:szCs w:val="28"/>
                <w:lang w:val="en-US" w:eastAsia="zh-CN"/>
              </w:rPr>
              <w:t>4</w:t>
            </w:r>
          </w:p>
        </w:tc>
        <w:tc>
          <w:tcPr>
            <w:tcW w:w="887" w:type="pct"/>
            <w:vAlign w:val="center"/>
          </w:tcPr>
          <w:p w14:paraId="63664968">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rPr>
              <w:t>无人化现场作业能力</w:t>
            </w:r>
            <w:r>
              <w:rPr>
                <w:rFonts w:hint="eastAsia" w:ascii="楷体" w:hAnsi="楷体" w:eastAsia="楷体" w:cs="楷体"/>
                <w:b w:val="0"/>
                <w:i w:val="0"/>
                <w:iCs w:val="0"/>
                <w:color w:val="auto"/>
                <w:sz w:val="28"/>
                <w:szCs w:val="28"/>
                <w:lang w:val="en-US" w:eastAsia="zh-CN"/>
              </w:rPr>
              <w:t>建设</w:t>
            </w:r>
          </w:p>
        </w:tc>
        <w:tc>
          <w:tcPr>
            <w:tcW w:w="2274" w:type="pct"/>
            <w:vAlign w:val="center"/>
          </w:tcPr>
          <w:p w14:paraId="6889432A">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1.配置1台巡查无人机，搭载高清云台、定位系统，实现河道全域航拍巡查；</w:t>
            </w:r>
          </w:p>
          <w:p w14:paraId="2FE1C71A">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2.配置1艘智能无人船，搭载定位、导航与避障系统，配备高精度水质监测模块，可实时监测氨氮、COD、DO等指标且可自动采集水样，同时搭载高清摄像设备；</w:t>
            </w:r>
          </w:p>
          <w:p w14:paraId="13089BDC">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3.无人机与无人船统一接入一体化监管平台，实现集中管理、统一调度与协同作业。</w:t>
            </w:r>
          </w:p>
        </w:tc>
        <w:tc>
          <w:tcPr>
            <w:tcW w:w="481" w:type="pct"/>
            <w:vAlign w:val="center"/>
          </w:tcPr>
          <w:p w14:paraId="526A060C">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lang w:val="en-US" w:eastAsia="zh-CN"/>
              </w:rPr>
              <w:t>1项</w:t>
            </w:r>
          </w:p>
        </w:tc>
        <w:tc>
          <w:tcPr>
            <w:tcW w:w="941" w:type="pct"/>
            <w:vAlign w:val="center"/>
          </w:tcPr>
          <w:p w14:paraId="6B98523C">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p>
        </w:tc>
      </w:tr>
    </w:tbl>
    <w:p w14:paraId="129051C0">
      <w:pPr>
        <w:pStyle w:val="2"/>
        <w:pageBreakBefore w:val="0"/>
        <w:widowControl/>
        <w:kinsoku/>
        <w:wordWrap/>
        <w:overflowPunct/>
        <w:topLinePunct w:val="0"/>
        <w:autoSpaceDE/>
        <w:autoSpaceDN/>
        <w:bidi w:val="0"/>
        <w:adjustRightInd/>
        <w:snapToGrid/>
        <w:spacing w:before="0" w:after="0" w:line="360" w:lineRule="auto"/>
        <w:ind w:left="0" w:firstLine="560" w:firstLineChars="200"/>
        <w:textAlignment w:val="auto"/>
        <w:rPr>
          <w:rFonts w:hint="eastAsia" w:ascii="楷体" w:hAnsi="楷体" w:eastAsia="楷体" w:cs="楷体"/>
          <w:i w:val="0"/>
          <w:iCs w:val="0"/>
          <w:color w:val="auto"/>
          <w:sz w:val="28"/>
          <w:szCs w:val="28"/>
        </w:rPr>
      </w:pPr>
    </w:p>
    <w:p w14:paraId="07F00FBE">
      <w:pPr>
        <w:pStyle w:val="2"/>
        <w:pageBreakBefore w:val="0"/>
        <w:widowControl/>
        <w:kinsoku/>
        <w:wordWrap/>
        <w:overflowPunct/>
        <w:topLinePunct w:val="0"/>
        <w:autoSpaceDE/>
        <w:autoSpaceDN/>
        <w:bidi w:val="0"/>
        <w:adjustRightInd/>
        <w:snapToGrid/>
        <w:spacing w:before="0" w:after="0" w:line="360" w:lineRule="auto"/>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三、技术规格要求</w:t>
      </w:r>
    </w:p>
    <w:p w14:paraId="36D8446B">
      <w:pPr>
        <w:pStyle w:val="3"/>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lang w:val="en-US" w:eastAsia="zh-CN"/>
        </w:rPr>
        <w:t>3.1</w:t>
      </w:r>
      <w:r>
        <w:rPr>
          <w:rFonts w:hint="eastAsia" w:ascii="楷体" w:hAnsi="楷体" w:eastAsia="楷体" w:cs="楷体"/>
          <w:b/>
          <w:bCs/>
          <w:i w:val="0"/>
          <w:iCs w:val="0"/>
          <w:color w:val="auto"/>
          <w:sz w:val="28"/>
          <w:szCs w:val="28"/>
        </w:rPr>
        <w:t>水质监测微站</w:t>
      </w:r>
    </w:p>
    <w:p w14:paraId="573A512C">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lang w:val="en-US" w:eastAsia="zh-CN"/>
        </w:rPr>
        <w:t>3.1.1</w:t>
      </w:r>
      <w:r>
        <w:rPr>
          <w:rFonts w:hint="eastAsia" w:ascii="楷体" w:hAnsi="楷体" w:eastAsia="楷体" w:cs="楷体"/>
          <w:b/>
          <w:bCs/>
          <w:i w:val="0"/>
          <w:iCs w:val="0"/>
          <w:color w:val="auto"/>
          <w:sz w:val="28"/>
          <w:szCs w:val="28"/>
        </w:rPr>
        <w:t>总体技术要求</w:t>
      </w:r>
    </w:p>
    <w:p w14:paraId="629BDC90">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val="0"/>
          <w:i w:val="0"/>
          <w:iCs w:val="0"/>
          <w:color w:val="auto"/>
          <w:sz w:val="28"/>
          <w:szCs w:val="28"/>
        </w:rPr>
      </w:pPr>
      <w:r>
        <w:rPr>
          <w:rFonts w:hint="eastAsia" w:ascii="楷体" w:hAnsi="楷体" w:eastAsia="楷体" w:cs="楷体"/>
          <w:b w:val="0"/>
          <w:bCs w:val="0"/>
          <w:i w:val="0"/>
          <w:iCs w:val="0"/>
          <w:color w:val="auto"/>
          <w:sz w:val="28"/>
          <w:szCs w:val="28"/>
        </w:rPr>
        <w:t>微站应采用一体化集成设计，将传感器探头、太阳能供电、数据采集与无线通信模块集成于单根立杆，无需建设站房、无需接入市电、无需配套排水设施，占地面积不大于1平方米。</w:t>
      </w:r>
    </w:p>
    <w:p w14:paraId="2B3ABD70">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lang w:val="en-US" w:eastAsia="zh-CN"/>
        </w:rPr>
      </w:pPr>
      <w:r>
        <w:rPr>
          <w:rFonts w:hint="eastAsia" w:ascii="楷体" w:hAnsi="楷体" w:eastAsia="楷体" w:cs="楷体"/>
          <w:b/>
          <w:bCs/>
          <w:i w:val="0"/>
          <w:iCs w:val="0"/>
          <w:color w:val="auto"/>
          <w:sz w:val="28"/>
          <w:szCs w:val="28"/>
          <w:lang w:val="en-US" w:eastAsia="zh-CN"/>
        </w:rPr>
        <w:t>3.1.2水质监测微站拟布设点位</w:t>
      </w:r>
    </w:p>
    <w:tbl>
      <w:tblPr>
        <w:tblStyle w:val="5"/>
        <w:tblW w:w="99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2"/>
        <w:gridCol w:w="2023"/>
        <w:gridCol w:w="1682"/>
        <w:gridCol w:w="1485"/>
        <w:gridCol w:w="4201"/>
      </w:tblGrid>
      <w:tr w14:paraId="1ECD7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2595" w:type="dxa"/>
            <w:gridSpan w:val="2"/>
            <w:tcBorders>
              <w:top w:val="single" w:color="000000" w:sz="4" w:space="0"/>
              <w:left w:val="single" w:color="000000" w:sz="4" w:space="0"/>
              <w:bottom w:val="single" w:color="000000" w:sz="4" w:space="0"/>
              <w:right w:val="single" w:color="000000" w:sz="4" w:space="0"/>
            </w:tcBorders>
            <w:noWrap/>
            <w:vAlign w:val="center"/>
          </w:tcPr>
          <w:p w14:paraId="6BD4D48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bCs/>
                <w:color w:val="auto"/>
                <w:kern w:val="2"/>
                <w:sz w:val="28"/>
                <w:szCs w:val="28"/>
                <w:highlight w:val="none"/>
                <w:lang w:val="en-US" w:eastAsia="zh-CN" w:bidi="ar-SA"/>
              </w:rPr>
            </w:pPr>
            <w:r>
              <w:rPr>
                <w:rFonts w:hint="eastAsia" w:ascii="楷体" w:hAnsi="楷体" w:eastAsia="楷体" w:cs="楷体"/>
                <w:b/>
                <w:bCs/>
                <w:color w:val="auto"/>
                <w:kern w:val="2"/>
                <w:sz w:val="28"/>
                <w:szCs w:val="28"/>
                <w:highlight w:val="none"/>
                <w:lang w:val="en-US" w:eastAsia="zh-CN" w:bidi="ar-SA"/>
              </w:rPr>
              <w:t>序号/名称</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56396B9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bCs/>
                <w:color w:val="auto"/>
                <w:kern w:val="2"/>
                <w:sz w:val="28"/>
                <w:szCs w:val="28"/>
                <w:highlight w:val="none"/>
                <w:lang w:val="en-US" w:eastAsia="zh-CN" w:bidi="ar-SA"/>
              </w:rPr>
            </w:pPr>
            <w:r>
              <w:rPr>
                <w:rFonts w:hint="eastAsia" w:ascii="楷体" w:hAnsi="楷体" w:eastAsia="楷体" w:cs="楷体"/>
                <w:b/>
                <w:bCs/>
                <w:color w:val="auto"/>
                <w:kern w:val="2"/>
                <w:sz w:val="28"/>
                <w:szCs w:val="28"/>
                <w:highlight w:val="none"/>
                <w:lang w:val="en-US" w:eastAsia="zh-CN" w:bidi="ar-SA"/>
              </w:rPr>
              <w:t>经度</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466A784">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bCs/>
                <w:color w:val="auto"/>
                <w:kern w:val="2"/>
                <w:sz w:val="28"/>
                <w:szCs w:val="28"/>
                <w:highlight w:val="none"/>
                <w:lang w:val="en-US" w:eastAsia="zh-CN" w:bidi="ar-SA"/>
              </w:rPr>
            </w:pPr>
            <w:r>
              <w:rPr>
                <w:rFonts w:hint="eastAsia" w:ascii="楷体" w:hAnsi="楷体" w:eastAsia="楷体" w:cs="楷体"/>
                <w:b/>
                <w:bCs/>
                <w:color w:val="auto"/>
                <w:kern w:val="2"/>
                <w:sz w:val="28"/>
                <w:szCs w:val="28"/>
                <w:highlight w:val="none"/>
                <w:lang w:val="en-US" w:eastAsia="zh-CN" w:bidi="ar-SA"/>
              </w:rPr>
              <w:t>纬度</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5DFBDDE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bCs/>
                <w:color w:val="auto"/>
                <w:kern w:val="2"/>
                <w:sz w:val="28"/>
                <w:szCs w:val="28"/>
                <w:highlight w:val="none"/>
                <w:lang w:val="en-US" w:eastAsia="zh-CN" w:bidi="ar-SA"/>
              </w:rPr>
            </w:pPr>
            <w:r>
              <w:rPr>
                <w:rFonts w:hint="eastAsia" w:ascii="楷体" w:hAnsi="楷体" w:eastAsia="楷体" w:cs="楷体"/>
                <w:b/>
                <w:bCs/>
                <w:color w:val="auto"/>
                <w:kern w:val="2"/>
                <w:sz w:val="28"/>
                <w:szCs w:val="28"/>
                <w:highlight w:val="none"/>
                <w:lang w:val="en-US" w:eastAsia="zh-CN" w:bidi="ar-SA"/>
              </w:rPr>
              <w:t>位置</w:t>
            </w:r>
          </w:p>
        </w:tc>
      </w:tr>
      <w:tr w14:paraId="502EA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1C38501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347B204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四圩铁路河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16D4D5C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119.401118</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74C03DC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32.200510</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2E30D9F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四圩铁路河篮球场对面</w:t>
            </w:r>
          </w:p>
        </w:tc>
      </w:tr>
      <w:tr w14:paraId="1E3BD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62B188F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2</w:t>
            </w:r>
          </w:p>
        </w:tc>
        <w:tc>
          <w:tcPr>
            <w:tcW w:w="2023" w:type="dxa"/>
            <w:vMerge w:val="restart"/>
            <w:tcBorders>
              <w:top w:val="single" w:color="000000" w:sz="4" w:space="0"/>
              <w:left w:val="single" w:color="000000" w:sz="4" w:space="0"/>
              <w:right w:val="single" w:color="000000" w:sz="4" w:space="0"/>
            </w:tcBorders>
            <w:noWrap/>
            <w:vAlign w:val="center"/>
          </w:tcPr>
          <w:p w14:paraId="0A74F0B0">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金山湖路河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7E261F04">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119.403072</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1B400FF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32.216013</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70DA99B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滨湖湾·誉园东大门</w:t>
            </w:r>
          </w:p>
        </w:tc>
      </w:tr>
      <w:tr w14:paraId="672A4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13D6D1EF">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w:t>
            </w:r>
          </w:p>
        </w:tc>
        <w:tc>
          <w:tcPr>
            <w:tcW w:w="2023" w:type="dxa"/>
            <w:vMerge w:val="continue"/>
            <w:tcBorders>
              <w:left w:val="single" w:color="000000" w:sz="4" w:space="0"/>
              <w:bottom w:val="single" w:color="000000" w:sz="4" w:space="0"/>
              <w:right w:val="single" w:color="000000" w:sz="4" w:space="0"/>
            </w:tcBorders>
            <w:noWrap/>
            <w:vAlign w:val="center"/>
          </w:tcPr>
          <w:p w14:paraId="7B809A40">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123D54B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119.394217</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0DF3148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32.218120</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074EA3F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中泠路与京江路交叉口南侧</w:t>
            </w:r>
          </w:p>
        </w:tc>
      </w:tr>
      <w:tr w14:paraId="62515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40308C4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4</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0656C5A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东风河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7EEDD94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119.493167</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3AE4C64F">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32.138501</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1683953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金润大道北侧</w:t>
            </w:r>
          </w:p>
        </w:tc>
      </w:tr>
      <w:tr w14:paraId="6E40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09E6A4A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5</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52025EC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凤凰河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43D3043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119.418476</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6DF10D2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32.165513</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3A14122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亚东紫檀东南角</w:t>
            </w:r>
          </w:p>
        </w:tc>
      </w:tr>
      <w:tr w14:paraId="5EC00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3C05950C">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6</w:t>
            </w:r>
          </w:p>
        </w:tc>
        <w:tc>
          <w:tcPr>
            <w:tcW w:w="2023" w:type="dxa"/>
            <w:vMerge w:val="restart"/>
            <w:tcBorders>
              <w:top w:val="single" w:color="000000" w:sz="4" w:space="0"/>
              <w:left w:val="single" w:color="000000" w:sz="4" w:space="0"/>
              <w:right w:val="single" w:color="000000" w:sz="4" w:space="0"/>
            </w:tcBorders>
            <w:noWrap/>
            <w:vAlign w:val="center"/>
          </w:tcPr>
          <w:p w14:paraId="26E9C242">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四明河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0D787B84">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119.467285</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045D46E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32.177899</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48CE747C">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官塘绿苑3期南院、北院之间</w:t>
            </w:r>
          </w:p>
        </w:tc>
      </w:tr>
      <w:tr w14:paraId="1D8A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16DBEE2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7</w:t>
            </w:r>
          </w:p>
        </w:tc>
        <w:tc>
          <w:tcPr>
            <w:tcW w:w="2023" w:type="dxa"/>
            <w:vMerge w:val="continue"/>
            <w:tcBorders>
              <w:left w:val="single" w:color="000000" w:sz="4" w:space="0"/>
              <w:right w:val="single" w:color="000000" w:sz="4" w:space="0"/>
            </w:tcBorders>
            <w:noWrap/>
            <w:vAlign w:val="center"/>
          </w:tcPr>
          <w:p w14:paraId="690A4A9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2FB7C7D2">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119.447206</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5FC917F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32.144111</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2E3F6EE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四明河上游，与丹徒区交界处</w:t>
            </w:r>
          </w:p>
        </w:tc>
      </w:tr>
      <w:tr w14:paraId="5964E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2955EBF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8</w:t>
            </w:r>
          </w:p>
        </w:tc>
        <w:tc>
          <w:tcPr>
            <w:tcW w:w="2023" w:type="dxa"/>
            <w:vMerge w:val="continue"/>
            <w:tcBorders>
              <w:left w:val="single" w:color="000000" w:sz="4" w:space="0"/>
              <w:bottom w:val="single" w:color="000000" w:sz="4" w:space="0"/>
              <w:right w:val="single" w:color="000000" w:sz="4" w:space="0"/>
            </w:tcBorders>
            <w:noWrap/>
            <w:vAlign w:val="center"/>
          </w:tcPr>
          <w:p w14:paraId="2DDDBD7F">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356CEF9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119.465307</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77A1758F">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32.163147</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4DFCD13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莱山路桥下西北侧</w:t>
            </w:r>
          </w:p>
        </w:tc>
      </w:tr>
      <w:tr w14:paraId="7BB93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0A78D67F">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9</w:t>
            </w:r>
          </w:p>
        </w:tc>
        <w:tc>
          <w:tcPr>
            <w:tcW w:w="2023" w:type="dxa"/>
            <w:vMerge w:val="restart"/>
            <w:tcBorders>
              <w:top w:val="single" w:color="000000" w:sz="4" w:space="0"/>
              <w:left w:val="single" w:color="000000" w:sz="4" w:space="0"/>
              <w:right w:val="single" w:color="000000" w:sz="4" w:space="0"/>
            </w:tcBorders>
            <w:noWrap/>
            <w:vAlign w:val="center"/>
          </w:tcPr>
          <w:p w14:paraId="5B83968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光明河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31119FD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119.412099</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8084A8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32.189349</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00EDC570">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七里甸街道附近</w:t>
            </w:r>
          </w:p>
          <w:p w14:paraId="249888A0">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（FHZJGMH004排口附近）</w:t>
            </w:r>
          </w:p>
        </w:tc>
      </w:tr>
      <w:tr w14:paraId="7990D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33434CE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10</w:t>
            </w:r>
          </w:p>
        </w:tc>
        <w:tc>
          <w:tcPr>
            <w:tcW w:w="2023" w:type="dxa"/>
            <w:vMerge w:val="continue"/>
            <w:tcBorders>
              <w:left w:val="single" w:color="000000" w:sz="4" w:space="0"/>
              <w:bottom w:val="single" w:color="000000" w:sz="4" w:space="0"/>
              <w:right w:val="single" w:color="000000" w:sz="4" w:space="0"/>
            </w:tcBorders>
            <w:noWrap/>
            <w:vAlign w:val="center"/>
          </w:tcPr>
          <w:p w14:paraId="7B52C266">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65E5EE44">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119.408645</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31D32B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32.193748</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702B58B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七里甸消防中队附近（FYZJGMH007）</w:t>
            </w:r>
          </w:p>
        </w:tc>
      </w:tr>
      <w:tr w14:paraId="52216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27A35FC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w:t>
            </w:r>
          </w:p>
        </w:tc>
        <w:tc>
          <w:tcPr>
            <w:tcW w:w="2023" w:type="dxa"/>
            <w:vMerge w:val="restart"/>
            <w:tcBorders>
              <w:top w:val="single" w:color="000000" w:sz="4" w:space="0"/>
              <w:left w:val="single" w:color="000000" w:sz="4" w:space="0"/>
              <w:right w:val="single" w:color="000000" w:sz="4" w:space="0"/>
            </w:tcBorders>
            <w:noWrap/>
            <w:vAlign w:val="center"/>
          </w:tcPr>
          <w:p w14:paraId="165F43F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御桥港</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31A6D307">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119.405326</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6EFB7CD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32.170267</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027DE1AC">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御桥港，与凤凰河交汇处</w:t>
            </w:r>
          </w:p>
        </w:tc>
      </w:tr>
      <w:tr w14:paraId="079FE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7769527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12</w:t>
            </w:r>
          </w:p>
        </w:tc>
        <w:tc>
          <w:tcPr>
            <w:tcW w:w="2023" w:type="dxa"/>
            <w:vMerge w:val="continue"/>
            <w:tcBorders>
              <w:left w:val="single" w:color="000000" w:sz="4" w:space="0"/>
              <w:right w:val="single" w:color="000000" w:sz="4" w:space="0"/>
            </w:tcBorders>
            <w:noWrap/>
            <w:vAlign w:val="center"/>
          </w:tcPr>
          <w:p w14:paraId="69F40C4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2E8F103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119.402305</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1D41E4C6">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32.186307</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141E5BDF">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南徐大道长山灌渠桥北侧</w:t>
            </w:r>
          </w:p>
        </w:tc>
      </w:tr>
      <w:tr w14:paraId="78977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6A7D487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13</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53064F9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金山河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135E793D">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119.398038</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56B3CF9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32.209668</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6EE457E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镜天路和长江路交汇处</w:t>
            </w:r>
          </w:p>
        </w:tc>
      </w:tr>
      <w:tr w14:paraId="38AA7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59A4E0D7">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14</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51421AF3">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枣林水库泄洪道</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2F99E71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119.411567</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3A5FB9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32.179652</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11F0676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早餐疏导点</w:t>
            </w:r>
          </w:p>
        </w:tc>
      </w:tr>
      <w:tr w14:paraId="48A06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31BA339A">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15</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21DD3C6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环湖河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60E7776E">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119.403161</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11DC2E5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32.208789</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4141D4E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原视频监控位置</w:t>
            </w:r>
          </w:p>
        </w:tc>
      </w:tr>
      <w:tr w14:paraId="4FC4D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4C2119A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16</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46CA3819">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西古河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46C0937C">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119.324674</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7B8BB3FC">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32.110424</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0CFA2A8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大学城下游与船山河交汇处</w:t>
            </w:r>
          </w:p>
        </w:tc>
      </w:tr>
      <w:tr w14:paraId="349B8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7DFE7106">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17</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40206CEB">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周家河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52867A75">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119.462084</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518D429C">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32.183396</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4974D2D4">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五凤口高架下</w:t>
            </w:r>
          </w:p>
        </w:tc>
      </w:tr>
      <w:tr w14:paraId="7D375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jc w:val="center"/>
        </w:trPr>
        <w:tc>
          <w:tcPr>
            <w:tcW w:w="572" w:type="dxa"/>
            <w:tcBorders>
              <w:top w:val="single" w:color="000000" w:sz="4" w:space="0"/>
              <w:left w:val="single" w:color="000000" w:sz="4" w:space="0"/>
              <w:bottom w:val="single" w:color="000000" w:sz="4" w:space="0"/>
              <w:right w:val="single" w:color="000000" w:sz="4" w:space="0"/>
            </w:tcBorders>
            <w:noWrap/>
            <w:vAlign w:val="center"/>
          </w:tcPr>
          <w:p w14:paraId="095760D7">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18</w:t>
            </w:r>
          </w:p>
        </w:tc>
        <w:tc>
          <w:tcPr>
            <w:tcW w:w="2023" w:type="dxa"/>
            <w:tcBorders>
              <w:top w:val="single" w:color="000000" w:sz="4" w:space="0"/>
              <w:left w:val="single" w:color="000000" w:sz="4" w:space="0"/>
              <w:bottom w:val="single" w:color="000000" w:sz="4" w:space="0"/>
              <w:right w:val="single" w:color="000000" w:sz="4" w:space="0"/>
            </w:tcBorders>
            <w:noWrap/>
            <w:vAlign w:val="center"/>
          </w:tcPr>
          <w:p w14:paraId="7089684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润湖河</w:t>
            </w:r>
          </w:p>
        </w:tc>
        <w:tc>
          <w:tcPr>
            <w:tcW w:w="1682" w:type="dxa"/>
            <w:tcBorders>
              <w:top w:val="single" w:color="000000" w:sz="4" w:space="0"/>
              <w:left w:val="single" w:color="000000" w:sz="4" w:space="0"/>
              <w:bottom w:val="single" w:color="000000" w:sz="4" w:space="0"/>
              <w:right w:val="single" w:color="000000" w:sz="4" w:space="0"/>
            </w:tcBorders>
            <w:noWrap/>
            <w:vAlign w:val="center"/>
          </w:tcPr>
          <w:p w14:paraId="59394798">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119.395329</w:t>
            </w:r>
          </w:p>
        </w:tc>
        <w:tc>
          <w:tcPr>
            <w:tcW w:w="1485" w:type="dxa"/>
            <w:tcBorders>
              <w:top w:val="single" w:color="000000" w:sz="4" w:space="0"/>
              <w:left w:val="single" w:color="000000" w:sz="4" w:space="0"/>
              <w:bottom w:val="single" w:color="000000" w:sz="4" w:space="0"/>
              <w:right w:val="single" w:color="000000" w:sz="4" w:space="0"/>
            </w:tcBorders>
            <w:noWrap/>
            <w:vAlign w:val="center"/>
          </w:tcPr>
          <w:p w14:paraId="490E08A1">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32.216133</w:t>
            </w:r>
          </w:p>
        </w:tc>
        <w:tc>
          <w:tcPr>
            <w:tcW w:w="4201" w:type="dxa"/>
            <w:tcBorders>
              <w:top w:val="single" w:color="000000" w:sz="4" w:space="0"/>
              <w:left w:val="single" w:color="000000" w:sz="4" w:space="0"/>
              <w:bottom w:val="single" w:color="000000" w:sz="4" w:space="0"/>
              <w:right w:val="single" w:color="000000" w:sz="4" w:space="0"/>
            </w:tcBorders>
            <w:noWrap/>
            <w:vAlign w:val="center"/>
          </w:tcPr>
          <w:p w14:paraId="064F6E87">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eastAsia" w:ascii="楷体" w:hAnsi="楷体" w:eastAsia="楷体" w:cs="楷体"/>
                <w:b w:val="0"/>
                <w:bCs w:val="0"/>
                <w:color w:val="auto"/>
                <w:kern w:val="2"/>
                <w:sz w:val="28"/>
                <w:szCs w:val="28"/>
                <w:highlight w:val="none"/>
                <w:lang w:val="en-US" w:eastAsia="zh-CN" w:bidi="ar-SA"/>
              </w:rPr>
            </w:pPr>
            <w:r>
              <w:rPr>
                <w:rFonts w:hint="eastAsia" w:ascii="楷体" w:hAnsi="楷体" w:eastAsia="楷体" w:cs="楷体"/>
                <w:b w:val="0"/>
                <w:bCs w:val="0"/>
                <w:color w:val="auto"/>
                <w:kern w:val="2"/>
                <w:sz w:val="28"/>
                <w:szCs w:val="28"/>
                <w:highlight w:val="none"/>
                <w:lang w:val="en-US" w:eastAsia="zh-CN" w:bidi="ar-SA"/>
              </w:rPr>
              <w:t>汇入金山湖路河处</w:t>
            </w:r>
          </w:p>
        </w:tc>
      </w:tr>
    </w:tbl>
    <w:p w14:paraId="7B14D19E">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lang w:val="en-US" w:eastAsia="zh-CN"/>
        </w:rPr>
      </w:pPr>
      <w:r>
        <w:rPr>
          <w:rFonts w:hint="eastAsia" w:ascii="楷体" w:hAnsi="楷体" w:eastAsia="楷体" w:cs="楷体"/>
          <w:i w:val="0"/>
          <w:iCs w:val="0"/>
          <w:color w:val="auto"/>
          <w:sz w:val="28"/>
          <w:szCs w:val="28"/>
        </w:rPr>
        <w:t>3.1.</w:t>
      </w:r>
      <w:r>
        <w:rPr>
          <w:rFonts w:hint="eastAsia" w:ascii="楷体" w:hAnsi="楷体" w:eastAsia="楷体" w:cs="楷体"/>
          <w:i w:val="0"/>
          <w:iCs w:val="0"/>
          <w:color w:val="auto"/>
          <w:sz w:val="28"/>
          <w:szCs w:val="28"/>
          <w:lang w:val="en-US" w:eastAsia="zh-CN"/>
        </w:rPr>
        <w:t>3技术指标</w:t>
      </w:r>
    </w:p>
    <w:p w14:paraId="2CD4CB2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i w:val="0"/>
          <w:iCs w:val="0"/>
          <w:color w:val="auto"/>
          <w:sz w:val="28"/>
          <w:szCs w:val="28"/>
        </w:rPr>
      </w:pPr>
      <w:r>
        <w:rPr>
          <w:rFonts w:hint="eastAsia" w:ascii="楷体" w:hAnsi="楷体" w:eastAsia="楷体" w:cs="楷体"/>
          <w:b w:val="0"/>
          <w:bCs/>
          <w:i w:val="0"/>
          <w:iCs w:val="0"/>
          <w:color w:val="auto"/>
          <w:sz w:val="28"/>
          <w:szCs w:val="28"/>
        </w:rPr>
        <w:t>监测指标：氨氮、总氮、化学需氧量（COD）、溶解氧（DO）、高锰酸盐指数，</w:t>
      </w:r>
      <w:r>
        <w:rPr>
          <w:rFonts w:hint="eastAsia" w:ascii="楷体" w:hAnsi="楷体" w:eastAsia="楷体" w:cs="楷体"/>
          <w:b w:val="0"/>
          <w:bCs/>
          <w:i w:val="0"/>
          <w:iCs w:val="0"/>
          <w:color w:val="auto"/>
          <w:sz w:val="28"/>
          <w:szCs w:val="28"/>
          <w:lang w:val="en-US" w:eastAsia="zh-CN"/>
        </w:rPr>
        <w:t>五</w:t>
      </w:r>
      <w:r>
        <w:rPr>
          <w:rFonts w:hint="eastAsia" w:ascii="楷体" w:hAnsi="楷体" w:eastAsia="楷体" w:cs="楷体"/>
          <w:b w:val="0"/>
          <w:bCs/>
          <w:i w:val="0"/>
          <w:iCs w:val="0"/>
          <w:color w:val="auto"/>
          <w:sz w:val="28"/>
          <w:szCs w:val="28"/>
        </w:rPr>
        <w:t>项参数同时在线监测。</w:t>
      </w:r>
    </w:p>
    <w:p w14:paraId="763F864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i w:val="0"/>
          <w:iCs w:val="0"/>
          <w:color w:val="auto"/>
          <w:sz w:val="28"/>
          <w:szCs w:val="28"/>
        </w:rPr>
      </w:pPr>
      <w:r>
        <w:rPr>
          <w:rFonts w:hint="eastAsia" w:ascii="楷体" w:hAnsi="楷体" w:eastAsia="楷体" w:cs="楷体"/>
          <w:b w:val="0"/>
          <w:bCs/>
          <w:i w:val="0"/>
          <w:iCs w:val="0"/>
          <w:color w:val="auto"/>
          <w:sz w:val="28"/>
          <w:szCs w:val="28"/>
        </w:rPr>
        <w:t>监测频次：五项核心指标同步采集，采集频率不低于1次/分钟，支持远程可调。</w:t>
      </w:r>
    </w:p>
    <w:p w14:paraId="1FDF9F2C">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i w:val="0"/>
          <w:iCs w:val="0"/>
          <w:color w:val="auto"/>
          <w:sz w:val="28"/>
          <w:szCs w:val="28"/>
          <w:lang w:eastAsia="zh-CN"/>
        </w:rPr>
      </w:pPr>
      <w:r>
        <w:rPr>
          <w:rFonts w:hint="eastAsia" w:ascii="楷体" w:hAnsi="楷体" w:eastAsia="楷体" w:cs="楷体"/>
          <w:b w:val="0"/>
          <w:bCs/>
          <w:i w:val="0"/>
          <w:iCs w:val="0"/>
          <w:color w:val="auto"/>
          <w:sz w:val="28"/>
          <w:szCs w:val="28"/>
        </w:rPr>
        <w:t>供电方式：太阳能+户外宽温磷酸铁锂蓄电池(支持-20~60°C充放电)，连续阴雨续航≥7天</w:t>
      </w:r>
      <w:r>
        <w:rPr>
          <w:rFonts w:hint="eastAsia" w:ascii="楷体" w:hAnsi="楷体" w:eastAsia="楷体" w:cs="楷体"/>
          <w:b w:val="0"/>
          <w:bCs/>
          <w:i w:val="0"/>
          <w:iCs w:val="0"/>
          <w:color w:val="auto"/>
          <w:sz w:val="28"/>
          <w:szCs w:val="28"/>
          <w:lang w:eastAsia="zh-CN"/>
        </w:rPr>
        <w:t>。</w:t>
      </w:r>
    </w:p>
    <w:p w14:paraId="34DC222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i w:val="0"/>
          <w:iCs w:val="0"/>
          <w:color w:val="auto"/>
          <w:sz w:val="28"/>
          <w:szCs w:val="28"/>
        </w:rPr>
      </w:pPr>
      <w:r>
        <w:rPr>
          <w:rFonts w:hint="eastAsia" w:ascii="楷体" w:hAnsi="楷体" w:eastAsia="楷体" w:cs="楷体"/>
          <w:b w:val="0"/>
          <w:bCs/>
          <w:i w:val="0"/>
          <w:iCs w:val="0"/>
          <w:color w:val="auto"/>
          <w:sz w:val="28"/>
          <w:szCs w:val="28"/>
        </w:rPr>
        <w:t>通信方式：采用4G/5G物联网通信，接入运营商物联网专用APN通道，支持数据实时上传至</w:t>
      </w:r>
      <w:r>
        <w:rPr>
          <w:rFonts w:hint="eastAsia" w:ascii="楷体" w:hAnsi="楷体" w:eastAsia="楷体" w:cs="楷体"/>
          <w:b w:val="0"/>
          <w:bCs/>
          <w:i w:val="0"/>
          <w:iCs w:val="0"/>
          <w:color w:val="auto"/>
          <w:sz w:val="28"/>
          <w:szCs w:val="28"/>
          <w:lang w:val="en-US" w:eastAsia="zh-CN"/>
        </w:rPr>
        <w:t>一体化监管</w:t>
      </w:r>
      <w:r>
        <w:rPr>
          <w:rFonts w:hint="eastAsia" w:ascii="楷体" w:hAnsi="楷体" w:eastAsia="楷体" w:cs="楷体"/>
          <w:b w:val="0"/>
          <w:bCs/>
          <w:i w:val="0"/>
          <w:iCs w:val="0"/>
          <w:color w:val="auto"/>
          <w:sz w:val="28"/>
          <w:szCs w:val="28"/>
        </w:rPr>
        <w:t>平台。</w:t>
      </w:r>
    </w:p>
    <w:p w14:paraId="57DC4FD6">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3.1.</w:t>
      </w:r>
      <w:r>
        <w:rPr>
          <w:rFonts w:hint="eastAsia" w:ascii="楷体" w:hAnsi="楷体" w:eastAsia="楷体" w:cs="楷体"/>
          <w:i w:val="0"/>
          <w:iCs w:val="0"/>
          <w:color w:val="auto"/>
          <w:sz w:val="28"/>
          <w:szCs w:val="28"/>
          <w:lang w:val="en-US" w:eastAsia="zh-CN"/>
        </w:rPr>
        <w:t>4</w:t>
      </w:r>
      <w:r>
        <w:rPr>
          <w:rFonts w:hint="eastAsia" w:ascii="楷体" w:hAnsi="楷体" w:eastAsia="楷体" w:cs="楷体"/>
          <w:i w:val="0"/>
          <w:iCs w:val="0"/>
          <w:color w:val="auto"/>
          <w:sz w:val="28"/>
          <w:szCs w:val="28"/>
        </w:rPr>
        <w:t>硬件设备技术参数</w:t>
      </w:r>
    </w:p>
    <w:p w14:paraId="7B5F12CB">
      <w:pPr>
        <w:pageBreakBefore w:val="0"/>
        <w:widowControl/>
        <w:kinsoku/>
        <w:wordWrap/>
        <w:overflowPunct/>
        <w:topLinePunct w:val="0"/>
        <w:autoSpaceDE/>
        <w:autoSpaceDN/>
        <w:bidi w:val="0"/>
        <w:adjustRightInd/>
        <w:snapToGrid/>
        <w:spacing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（1）立杆及支架</w:t>
      </w:r>
    </w:p>
    <w:p w14:paraId="14DE67C9">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材质：热镀锌钢管，材质Q235B</w:t>
      </w:r>
      <w:r>
        <w:rPr>
          <w:rFonts w:hint="eastAsia" w:ascii="楷体" w:hAnsi="楷体" w:eastAsia="楷体" w:cs="楷体"/>
          <w:b w:val="0"/>
          <w:i w:val="0"/>
          <w:iCs w:val="0"/>
          <w:color w:val="auto"/>
          <w:sz w:val="28"/>
          <w:szCs w:val="28"/>
          <w:lang w:eastAsia="zh-CN"/>
        </w:rPr>
        <w:t>；</w:t>
      </w:r>
    </w:p>
    <w:p w14:paraId="53135EA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规格：直径≥114mm，壁厚≥4mm</w:t>
      </w:r>
      <w:r>
        <w:rPr>
          <w:rFonts w:hint="eastAsia" w:ascii="楷体" w:hAnsi="楷体" w:eastAsia="楷体" w:cs="楷体"/>
          <w:b w:val="0"/>
          <w:i w:val="0"/>
          <w:iCs w:val="0"/>
          <w:color w:val="auto"/>
          <w:sz w:val="28"/>
          <w:szCs w:val="28"/>
          <w:lang w:eastAsia="zh-CN"/>
        </w:rPr>
        <w:t>；</w:t>
      </w:r>
    </w:p>
    <w:p w14:paraId="6FADBEDE">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防腐：表面热镀锌处理，使用寿命≥15年</w:t>
      </w:r>
      <w:r>
        <w:rPr>
          <w:rFonts w:hint="eastAsia" w:ascii="楷体" w:hAnsi="楷体" w:eastAsia="楷体" w:cs="楷体"/>
          <w:b w:val="0"/>
          <w:i w:val="0"/>
          <w:iCs w:val="0"/>
          <w:color w:val="auto"/>
          <w:sz w:val="28"/>
          <w:szCs w:val="28"/>
          <w:lang w:eastAsia="zh-CN"/>
        </w:rPr>
        <w:t>；</w:t>
      </w:r>
    </w:p>
    <w:p w14:paraId="544F786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高度：根据点位历史最高水位确定，最低不低于1.5米，确保控制箱、太阳能板架设高度高于历史最高水位1米以上</w:t>
      </w:r>
      <w:r>
        <w:rPr>
          <w:rFonts w:hint="eastAsia" w:ascii="楷体" w:hAnsi="楷体" w:eastAsia="楷体" w:cs="楷体"/>
          <w:b w:val="0"/>
          <w:i w:val="0"/>
          <w:iCs w:val="0"/>
          <w:color w:val="auto"/>
          <w:sz w:val="28"/>
          <w:szCs w:val="28"/>
          <w:lang w:eastAsia="zh-CN"/>
        </w:rPr>
        <w:t>。</w:t>
      </w:r>
    </w:p>
    <w:p w14:paraId="457370A8">
      <w:pPr>
        <w:pageBreakBefore w:val="0"/>
        <w:widowControl/>
        <w:kinsoku/>
        <w:wordWrap/>
        <w:overflowPunct/>
        <w:topLinePunct w:val="0"/>
        <w:autoSpaceDE/>
        <w:autoSpaceDN/>
        <w:bidi w:val="0"/>
        <w:adjustRightInd/>
        <w:snapToGrid/>
        <w:spacing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（2）供电系统</w:t>
      </w:r>
    </w:p>
    <w:p w14:paraId="258AF9DB">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太阳能板：单块功率≥300W，防水等级≥IP65</w:t>
      </w:r>
      <w:r>
        <w:rPr>
          <w:rFonts w:hint="eastAsia" w:ascii="楷体" w:hAnsi="楷体" w:eastAsia="楷体" w:cs="楷体"/>
          <w:b w:val="0"/>
          <w:i w:val="0"/>
          <w:iCs w:val="0"/>
          <w:color w:val="auto"/>
          <w:sz w:val="28"/>
          <w:szCs w:val="28"/>
          <w:lang w:eastAsia="zh-CN"/>
        </w:rPr>
        <w:t>，优先朝南</w:t>
      </w:r>
      <w:r>
        <w:rPr>
          <w:rFonts w:hint="eastAsia" w:ascii="楷体" w:hAnsi="楷体" w:eastAsia="楷体" w:cs="楷体"/>
          <w:b w:val="0"/>
          <w:i w:val="0"/>
          <w:iCs w:val="0"/>
          <w:color w:val="auto"/>
          <w:sz w:val="28"/>
          <w:szCs w:val="28"/>
          <w:lang w:val="en-US" w:eastAsia="zh-CN"/>
        </w:rPr>
        <w:t>安装</w:t>
      </w:r>
      <w:r>
        <w:rPr>
          <w:rFonts w:hint="eastAsia" w:ascii="楷体" w:hAnsi="楷体" w:eastAsia="楷体" w:cs="楷体"/>
          <w:b w:val="0"/>
          <w:i w:val="0"/>
          <w:iCs w:val="0"/>
          <w:color w:val="auto"/>
          <w:sz w:val="28"/>
          <w:szCs w:val="28"/>
          <w:lang w:eastAsia="zh-CN"/>
        </w:rPr>
        <w:t>，保证采光充足；</w:t>
      </w:r>
    </w:p>
    <w:p w14:paraId="5C42426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蓄电池：户外宽温磷酸铁锂电池，支持-20℃~60</w:t>
      </w:r>
      <w:r>
        <w:rPr>
          <w:rFonts w:hint="eastAsia" w:ascii="楷体" w:hAnsi="楷体" w:eastAsia="楷体" w:cs="楷体"/>
          <w:b w:val="0"/>
          <w:i w:val="0"/>
          <w:iCs w:val="0"/>
          <w:color w:val="auto"/>
          <w:sz w:val="28"/>
          <w:szCs w:val="28"/>
          <w:lang w:val="en-US" w:eastAsia="zh-CN"/>
        </w:rPr>
        <w:t>℃</w:t>
      </w:r>
      <w:r>
        <w:rPr>
          <w:rFonts w:hint="eastAsia" w:ascii="楷体" w:hAnsi="楷体" w:eastAsia="楷体" w:cs="楷体"/>
          <w:b w:val="0"/>
          <w:i w:val="0"/>
          <w:iCs w:val="0"/>
          <w:color w:val="auto"/>
          <w:sz w:val="28"/>
          <w:szCs w:val="28"/>
        </w:rPr>
        <w:t>充放电，规格12V/50Ah，密封式免维护，防水防晒</w:t>
      </w:r>
      <w:r>
        <w:rPr>
          <w:rFonts w:hint="eastAsia" w:ascii="楷体" w:hAnsi="楷体" w:eastAsia="楷体" w:cs="楷体"/>
          <w:b w:val="0"/>
          <w:i w:val="0"/>
          <w:iCs w:val="0"/>
          <w:color w:val="auto"/>
          <w:sz w:val="28"/>
          <w:szCs w:val="28"/>
          <w:lang w:eastAsia="zh-CN"/>
        </w:rPr>
        <w:t>；</w:t>
      </w:r>
    </w:p>
    <w:p w14:paraId="59D3DAF7">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续航能力：蓄电池冗余设计，确保阴雨天气连续供电不低于7天</w:t>
      </w:r>
      <w:r>
        <w:rPr>
          <w:rFonts w:hint="eastAsia" w:ascii="楷体" w:hAnsi="楷体" w:eastAsia="楷体" w:cs="楷体"/>
          <w:b w:val="0"/>
          <w:i w:val="0"/>
          <w:iCs w:val="0"/>
          <w:color w:val="auto"/>
          <w:sz w:val="28"/>
          <w:szCs w:val="28"/>
          <w:lang w:eastAsia="zh-CN"/>
        </w:rPr>
        <w:t>；</w:t>
      </w:r>
    </w:p>
    <w:p w14:paraId="359D6D3F">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充电控制器：具备过充、过放、短路保护功能</w:t>
      </w:r>
      <w:r>
        <w:rPr>
          <w:rFonts w:hint="eastAsia" w:ascii="楷体" w:hAnsi="楷体" w:eastAsia="楷体" w:cs="楷体"/>
          <w:b w:val="0"/>
          <w:i w:val="0"/>
          <w:iCs w:val="0"/>
          <w:color w:val="auto"/>
          <w:sz w:val="28"/>
          <w:szCs w:val="28"/>
          <w:lang w:eastAsia="zh-CN"/>
        </w:rPr>
        <w:t>；</w:t>
      </w:r>
    </w:p>
    <w:p w14:paraId="04213F04">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lang w:eastAsia="zh-CN"/>
        </w:rPr>
        <w:t>配套防水接线盒、防雷器。</w:t>
      </w:r>
    </w:p>
    <w:p w14:paraId="6AC74ED5">
      <w:pPr>
        <w:pageBreakBefore w:val="0"/>
        <w:widowControl/>
        <w:kinsoku/>
        <w:wordWrap/>
        <w:overflowPunct/>
        <w:topLinePunct w:val="0"/>
        <w:autoSpaceDE/>
        <w:autoSpaceDN/>
        <w:bidi w:val="0"/>
        <w:adjustRightInd/>
        <w:snapToGrid/>
        <w:spacing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（3）水质监测传感器</w:t>
      </w:r>
    </w:p>
    <w:p w14:paraId="7E97AAE2">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防水等级：≥IP68；</w:t>
      </w:r>
    </w:p>
    <w:p w14:paraId="34F512AA">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耐腐蚀性：适应河道复杂水质环境，探头具备防生物附着设计；</w:t>
      </w:r>
    </w:p>
    <w:p w14:paraId="2CE9391F">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线缆：防水耐磨专用线缆，长度根据立杆高度适配并预留1~2米冗余</w:t>
      </w:r>
      <w:r>
        <w:rPr>
          <w:rFonts w:hint="eastAsia" w:ascii="楷体" w:hAnsi="楷体" w:eastAsia="楷体" w:cs="楷体"/>
          <w:b w:val="0"/>
          <w:i w:val="0"/>
          <w:iCs w:val="0"/>
          <w:color w:val="auto"/>
          <w:sz w:val="28"/>
          <w:szCs w:val="28"/>
          <w:lang w:eastAsia="zh-CN"/>
        </w:rPr>
        <w:t>。</w:t>
      </w:r>
    </w:p>
    <w:p w14:paraId="53F3807E">
      <w:pPr>
        <w:pageBreakBefore w:val="0"/>
        <w:widowControl/>
        <w:kinsoku/>
        <w:wordWrap/>
        <w:overflowPunct/>
        <w:topLinePunct w:val="0"/>
        <w:autoSpaceDE/>
        <w:autoSpaceDN/>
        <w:bidi w:val="0"/>
        <w:adjustRightInd/>
        <w:snapToGrid/>
        <w:spacing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（4）控制箱</w:t>
      </w:r>
    </w:p>
    <w:p w14:paraId="7ED5E397">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防水等级：≥IP65，耐腐蚀；</w:t>
      </w:r>
    </w:p>
    <w:p w14:paraId="525787A2">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内置模块：蓄电池、数据采集模块、通信模块、数据缓存模块（支持断网本地存储、恢复后自动补传）；</w:t>
      </w:r>
    </w:p>
    <w:p w14:paraId="0BC3B3D9">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安装位置：固定于立杆中部。</w:t>
      </w:r>
    </w:p>
    <w:p w14:paraId="5A1522A1">
      <w:pPr>
        <w:pageBreakBefore w:val="0"/>
        <w:widowControl/>
        <w:kinsoku/>
        <w:wordWrap/>
        <w:overflowPunct/>
        <w:topLinePunct w:val="0"/>
        <w:autoSpaceDE/>
        <w:autoSpaceDN/>
        <w:bidi w:val="0"/>
        <w:adjustRightInd/>
        <w:snapToGrid/>
        <w:spacing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（5）地基与防护</w:t>
      </w:r>
    </w:p>
    <w:p w14:paraId="5F50F172">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地基：混凝土底座+预埋件（钢板+螺栓，Q235B热镀锌），螺栓外露长度≥100mm；</w:t>
      </w:r>
    </w:p>
    <w:p w14:paraId="1E2C0BD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防冲刷：临近河道、易冲刷点位，地基周围铺设鹅卵石或碎石（粒径20~100mm）；边坡点位增设浆砌石护脚；</w:t>
      </w:r>
    </w:p>
    <w:p w14:paraId="114CD25A">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接地：接地电阻≤4Ω，配套防雷器；</w:t>
      </w:r>
    </w:p>
    <w:p w14:paraId="7D9DA804">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抗风能力：能抵御8级大风及汛期最大水流冲击。</w:t>
      </w:r>
    </w:p>
    <w:p w14:paraId="7B43EAEA">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3.1.</w:t>
      </w:r>
      <w:r>
        <w:rPr>
          <w:rFonts w:hint="eastAsia" w:ascii="楷体" w:hAnsi="楷体" w:eastAsia="楷体" w:cs="楷体"/>
          <w:i w:val="0"/>
          <w:iCs w:val="0"/>
          <w:color w:val="auto"/>
          <w:sz w:val="28"/>
          <w:szCs w:val="28"/>
          <w:lang w:val="en-US" w:eastAsia="zh-CN"/>
        </w:rPr>
        <w:t>5</w:t>
      </w:r>
      <w:r>
        <w:rPr>
          <w:rFonts w:hint="eastAsia" w:ascii="楷体" w:hAnsi="楷体" w:eastAsia="楷体" w:cs="楷体"/>
          <w:i w:val="0"/>
          <w:iCs w:val="0"/>
          <w:color w:val="auto"/>
          <w:sz w:val="28"/>
          <w:szCs w:val="28"/>
        </w:rPr>
        <w:t>建设施工要求</w:t>
      </w:r>
    </w:p>
    <w:p w14:paraId="1D49E1E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投标人需负责18个点位的地基施工、立杆安装、设备调试及现场收尾，包括但不限于：</w:t>
      </w:r>
    </w:p>
    <w:p w14:paraId="6ACBD0CD">
      <w:pPr>
        <w:pageBreakBefore w:val="0"/>
        <w:widowControl/>
        <w:numPr>
          <w:ilvl w:val="0"/>
          <w:numId w:val="4"/>
        </w:numPr>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点位踏勘与复核（确认历史最高水位、地质条件、供电通信条件）；</w:t>
      </w:r>
    </w:p>
    <w:p w14:paraId="6BF3E781">
      <w:pPr>
        <w:pageBreakBefore w:val="0"/>
        <w:widowControl/>
        <w:numPr>
          <w:ilvl w:val="0"/>
          <w:numId w:val="4"/>
        </w:numPr>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地基开挖、夯实、预埋件安装、混凝土浇筑</w:t>
      </w:r>
      <w:r>
        <w:rPr>
          <w:rFonts w:hint="eastAsia" w:ascii="楷体" w:hAnsi="楷体" w:eastAsia="楷体" w:cs="楷体"/>
          <w:b w:val="0"/>
          <w:i w:val="0"/>
          <w:iCs w:val="0"/>
          <w:color w:val="auto"/>
          <w:sz w:val="28"/>
          <w:szCs w:val="28"/>
          <w:lang w:eastAsia="zh-CN"/>
        </w:rPr>
        <w:t>；</w:t>
      </w:r>
    </w:p>
    <w:p w14:paraId="5E9DFDCA">
      <w:pPr>
        <w:pageBreakBefore w:val="0"/>
        <w:widowControl/>
        <w:numPr>
          <w:ilvl w:val="0"/>
          <w:numId w:val="4"/>
        </w:numPr>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立杆吊装、垂直度校正、双螺母锁紧、斜撑固定（地质条件较差点位）</w:t>
      </w:r>
      <w:r>
        <w:rPr>
          <w:rFonts w:hint="eastAsia" w:ascii="楷体" w:hAnsi="楷体" w:eastAsia="楷体" w:cs="楷体"/>
          <w:b w:val="0"/>
          <w:i w:val="0"/>
          <w:iCs w:val="0"/>
          <w:color w:val="auto"/>
          <w:sz w:val="28"/>
          <w:szCs w:val="28"/>
          <w:lang w:eastAsia="zh-CN"/>
        </w:rPr>
        <w:t>；</w:t>
      </w:r>
    </w:p>
    <w:p w14:paraId="6BA82E22">
      <w:pPr>
        <w:pageBreakBefore w:val="0"/>
        <w:widowControl/>
        <w:numPr>
          <w:ilvl w:val="0"/>
          <w:numId w:val="4"/>
        </w:numPr>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设备安装、系统调试、防水防雷测试</w:t>
      </w:r>
      <w:r>
        <w:rPr>
          <w:rFonts w:hint="eastAsia" w:ascii="楷体" w:hAnsi="楷体" w:eastAsia="楷体" w:cs="楷体"/>
          <w:b w:val="0"/>
          <w:i w:val="0"/>
          <w:iCs w:val="0"/>
          <w:color w:val="auto"/>
          <w:sz w:val="28"/>
          <w:szCs w:val="28"/>
          <w:lang w:eastAsia="zh-CN"/>
        </w:rPr>
        <w:t>；</w:t>
      </w:r>
    </w:p>
    <w:p w14:paraId="481C6E78">
      <w:pPr>
        <w:pageBreakBefore w:val="0"/>
        <w:widowControl/>
        <w:numPr>
          <w:ilvl w:val="0"/>
          <w:numId w:val="4"/>
        </w:numPr>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现场清理、警示标识张贴</w:t>
      </w:r>
      <w:r>
        <w:rPr>
          <w:rFonts w:hint="eastAsia" w:ascii="楷体" w:hAnsi="楷体" w:eastAsia="楷体" w:cs="楷体"/>
          <w:b w:val="0"/>
          <w:i w:val="0"/>
          <w:iCs w:val="0"/>
          <w:color w:val="auto"/>
          <w:sz w:val="28"/>
          <w:szCs w:val="28"/>
          <w:lang w:eastAsia="zh-CN"/>
        </w:rPr>
        <w:t>。</w:t>
      </w:r>
    </w:p>
    <w:p w14:paraId="4A0B74A5">
      <w:pPr>
        <w:pStyle w:val="3"/>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3.2 数据集成与智能分析平台</w:t>
      </w:r>
    </w:p>
    <w:p w14:paraId="7A34BC82">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3.2.1 总体架构要求</w:t>
      </w:r>
    </w:p>
    <w:p w14:paraId="62248B0F">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平台采用</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云-边-端</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协同+分层分布式架构，自上而下划分为用户访问层、应用服务层、数据支撑层、网络传输层、数据采集层五大核心层级，同步构建安全保障体系、标准规范体系、运维管理体系。</w:t>
      </w:r>
    </w:p>
    <w:p w14:paraId="179CE656">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平台需部署于政务云环境，符合网络安全等级保护2.0二级要求，服务器配备双链路冗余备份。</w:t>
      </w:r>
    </w:p>
    <w:p w14:paraId="7A2FC1D0">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3.2.</w:t>
      </w:r>
      <w:r>
        <w:rPr>
          <w:rFonts w:hint="eastAsia" w:ascii="楷体" w:hAnsi="楷体" w:eastAsia="楷体" w:cs="楷体"/>
          <w:i w:val="0"/>
          <w:iCs w:val="0"/>
          <w:color w:val="auto"/>
          <w:sz w:val="28"/>
          <w:szCs w:val="28"/>
          <w:lang w:val="en-US" w:eastAsia="zh-CN"/>
        </w:rPr>
        <w:t>2</w:t>
      </w:r>
      <w:r>
        <w:rPr>
          <w:rFonts w:hint="eastAsia" w:ascii="楷体" w:hAnsi="楷体" w:eastAsia="楷体" w:cs="楷体"/>
          <w:i w:val="0"/>
          <w:iCs w:val="0"/>
          <w:color w:val="auto"/>
          <w:sz w:val="28"/>
          <w:szCs w:val="28"/>
        </w:rPr>
        <w:t xml:space="preserve"> </w:t>
      </w:r>
      <w:r>
        <w:rPr>
          <w:rFonts w:hint="eastAsia" w:ascii="楷体" w:hAnsi="楷体" w:eastAsia="楷体" w:cs="楷体"/>
          <w:i w:val="0"/>
          <w:iCs w:val="0"/>
          <w:color w:val="auto"/>
          <w:sz w:val="28"/>
          <w:szCs w:val="28"/>
          <w:lang w:val="en-US" w:eastAsia="zh-CN"/>
        </w:rPr>
        <w:t>核心</w:t>
      </w:r>
      <w:r>
        <w:rPr>
          <w:rFonts w:hint="eastAsia" w:ascii="楷体" w:hAnsi="楷体" w:eastAsia="楷体" w:cs="楷体"/>
          <w:i w:val="0"/>
          <w:iCs w:val="0"/>
          <w:color w:val="auto"/>
          <w:sz w:val="28"/>
          <w:szCs w:val="28"/>
        </w:rPr>
        <w:t>功能要求</w:t>
      </w:r>
    </w:p>
    <w:p w14:paraId="121963A9">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平台建设以下7大核心功能模块：</w:t>
      </w:r>
    </w:p>
    <w:tbl>
      <w:tblPr>
        <w:tblStyle w:val="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7"/>
        <w:gridCol w:w="7023"/>
      </w:tblGrid>
      <w:tr w14:paraId="2D9FA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4D24747D">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模块</w:t>
            </w:r>
          </w:p>
        </w:tc>
        <w:tc>
          <w:tcPr>
            <w:tcW w:w="3525" w:type="pct"/>
            <w:vAlign w:val="center"/>
          </w:tcPr>
          <w:p w14:paraId="35D88C6D">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i w:val="0"/>
                <w:iCs w:val="0"/>
                <w:color w:val="auto"/>
                <w:sz w:val="28"/>
                <w:szCs w:val="28"/>
              </w:rPr>
              <w:t>核心功能要求</w:t>
            </w:r>
          </w:p>
        </w:tc>
      </w:tr>
      <w:tr w14:paraId="167C1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71A9FFB4">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水质实时监测</w:t>
            </w:r>
          </w:p>
        </w:tc>
        <w:tc>
          <w:tcPr>
            <w:tcW w:w="3525" w:type="pct"/>
            <w:vAlign w:val="center"/>
          </w:tcPr>
          <w:p w14:paraId="40C35C8E">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lang w:val="en-US" w:eastAsia="zh-CN"/>
              </w:rPr>
              <w:t>水质</w:t>
            </w:r>
            <w:r>
              <w:rPr>
                <w:rFonts w:hint="eastAsia" w:ascii="楷体" w:hAnsi="楷体" w:eastAsia="楷体" w:cs="楷体"/>
                <w:b w:val="0"/>
                <w:i w:val="0"/>
                <w:iCs w:val="0"/>
                <w:color w:val="auto"/>
                <w:sz w:val="28"/>
                <w:szCs w:val="28"/>
              </w:rPr>
              <w:t>数据实时展示；GIS地图一张图展示；历史数据查询；数据质量监控（缺失、异常、突变自动标记）；数据导出（Excel/CSV）。</w:t>
            </w:r>
          </w:p>
        </w:tc>
      </w:tr>
      <w:tr w14:paraId="44E1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393FA172">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水质预测预警</w:t>
            </w:r>
          </w:p>
        </w:tc>
        <w:tc>
          <w:tcPr>
            <w:tcW w:w="3525" w:type="pct"/>
            <w:vAlign w:val="center"/>
          </w:tcPr>
          <w:p w14:paraId="759C4965">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构建黄橙红三级预警模型，实现水质异常自动识别、智能研判、分级预警、快速推送；趋势预测与污染溯源分析；预警闭环管理（记录、查询、销号）。</w:t>
            </w:r>
          </w:p>
        </w:tc>
      </w:tr>
      <w:tr w14:paraId="59C08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702C3667">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空天地协同作业</w:t>
            </w:r>
          </w:p>
        </w:tc>
        <w:tc>
          <w:tcPr>
            <w:tcW w:w="3525" w:type="pct"/>
            <w:vAlign w:val="center"/>
          </w:tcPr>
          <w:p w14:paraId="158E1CD9">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实现</w:t>
            </w:r>
            <w:r>
              <w:rPr>
                <w:rFonts w:hint="eastAsia" w:ascii="楷体" w:hAnsi="楷体" w:eastAsia="楷体" w:cs="楷体"/>
                <w:i w:val="0"/>
                <w:iCs w:val="0"/>
                <w:color w:val="auto"/>
                <w:sz w:val="28"/>
                <w:szCs w:val="28"/>
                <w:lang w:val="en-US" w:eastAsia="zh-CN"/>
              </w:rPr>
              <w:t>水质</w:t>
            </w:r>
            <w:r>
              <w:rPr>
                <w:rFonts w:hint="eastAsia" w:ascii="楷体" w:hAnsi="楷体" w:eastAsia="楷体" w:cs="楷体"/>
                <w:i w:val="0"/>
                <w:iCs w:val="0"/>
                <w:color w:val="auto"/>
                <w:sz w:val="28"/>
                <w:szCs w:val="28"/>
              </w:rPr>
              <w:t>微站、无人机</w:t>
            </w:r>
            <w:r>
              <w:rPr>
                <w:rFonts w:hint="eastAsia" w:ascii="楷体" w:hAnsi="楷体" w:eastAsia="楷体" w:cs="楷体"/>
                <w:i w:val="0"/>
                <w:iCs w:val="0"/>
                <w:color w:val="auto"/>
                <w:sz w:val="28"/>
                <w:szCs w:val="28"/>
                <w:lang w:eastAsia="zh-CN"/>
              </w:rPr>
              <w:t>、</w:t>
            </w:r>
            <w:r>
              <w:rPr>
                <w:rFonts w:hint="eastAsia" w:ascii="楷体" w:hAnsi="楷体" w:eastAsia="楷体" w:cs="楷体"/>
                <w:i w:val="0"/>
                <w:iCs w:val="0"/>
                <w:color w:val="auto"/>
                <w:sz w:val="28"/>
                <w:szCs w:val="28"/>
              </w:rPr>
              <w:t>无人船一体化智能调度与协同作业</w:t>
            </w:r>
            <w:r>
              <w:rPr>
                <w:rFonts w:hint="eastAsia" w:ascii="楷体" w:hAnsi="楷体" w:eastAsia="楷体" w:cs="楷体"/>
                <w:i w:val="0"/>
                <w:iCs w:val="0"/>
                <w:color w:val="auto"/>
                <w:sz w:val="28"/>
                <w:szCs w:val="28"/>
                <w:lang w:eastAsia="zh-CN"/>
              </w:rPr>
              <w:t>：</w:t>
            </w:r>
            <w:r>
              <w:rPr>
                <w:rFonts w:hint="eastAsia" w:ascii="楷体" w:hAnsi="楷体" w:eastAsia="楷体" w:cs="楷体"/>
                <w:i w:val="0"/>
                <w:iCs w:val="0"/>
                <w:color w:val="auto"/>
                <w:sz w:val="28"/>
                <w:szCs w:val="28"/>
                <w:lang w:val="en-US" w:eastAsia="zh-CN"/>
              </w:rPr>
              <w:t>微站数据</w:t>
            </w:r>
            <w:r>
              <w:rPr>
                <w:rFonts w:hint="eastAsia" w:ascii="楷体" w:hAnsi="楷体" w:eastAsia="楷体" w:cs="楷体"/>
                <w:b w:val="0"/>
                <w:i w:val="0"/>
                <w:iCs w:val="0"/>
                <w:color w:val="auto"/>
                <w:sz w:val="28"/>
                <w:szCs w:val="28"/>
                <w:lang w:val="en-US" w:eastAsia="zh-CN"/>
              </w:rPr>
              <w:t>异常</w:t>
            </w:r>
            <w:r>
              <w:rPr>
                <w:rFonts w:hint="eastAsia" w:ascii="楷体" w:hAnsi="楷体" w:eastAsia="楷体" w:cs="楷体"/>
                <w:b w:val="0"/>
                <w:i w:val="0"/>
                <w:iCs w:val="0"/>
                <w:color w:val="auto"/>
                <w:sz w:val="28"/>
                <w:szCs w:val="28"/>
              </w:rPr>
              <w:t>触发</w:t>
            </w:r>
            <w:r>
              <w:rPr>
                <w:rFonts w:hint="eastAsia" w:ascii="楷体" w:hAnsi="楷体" w:eastAsia="楷体" w:cs="楷体"/>
                <w:b w:val="0"/>
                <w:i w:val="0"/>
                <w:iCs w:val="0"/>
                <w:color w:val="auto"/>
                <w:sz w:val="28"/>
                <w:szCs w:val="28"/>
                <w:lang w:val="en-US" w:eastAsia="zh-CN"/>
              </w:rPr>
              <w:t>后，</w:t>
            </w:r>
            <w:r>
              <w:rPr>
                <w:rFonts w:hint="eastAsia" w:ascii="楷体" w:hAnsi="楷体" w:eastAsia="楷体" w:cs="楷体"/>
                <w:b w:val="0"/>
                <w:i w:val="0"/>
                <w:iCs w:val="0"/>
                <w:color w:val="auto"/>
                <w:sz w:val="28"/>
                <w:szCs w:val="28"/>
              </w:rPr>
              <w:t>无人机</w:t>
            </w:r>
            <w:r>
              <w:rPr>
                <w:rFonts w:hint="eastAsia" w:ascii="楷体" w:hAnsi="楷体" w:eastAsia="楷体" w:cs="楷体"/>
                <w:b w:val="0"/>
                <w:i w:val="0"/>
                <w:iCs w:val="0"/>
                <w:color w:val="auto"/>
                <w:sz w:val="28"/>
                <w:szCs w:val="28"/>
                <w:lang w:val="en-US" w:eastAsia="zh-CN"/>
              </w:rPr>
              <w:t>和无人船能够实现</w:t>
            </w:r>
            <w:r>
              <w:rPr>
                <w:rFonts w:hint="eastAsia" w:ascii="楷体" w:hAnsi="楷体" w:eastAsia="楷体" w:cs="楷体"/>
                <w:b w:val="0"/>
                <w:i w:val="0"/>
                <w:iCs w:val="0"/>
                <w:color w:val="auto"/>
                <w:sz w:val="28"/>
                <w:szCs w:val="28"/>
              </w:rPr>
              <w:t>远程调度、航线规划、实时</w:t>
            </w:r>
            <w:r>
              <w:rPr>
                <w:rFonts w:hint="eastAsia" w:ascii="楷体" w:hAnsi="楷体" w:eastAsia="楷体" w:cs="楷体"/>
                <w:b w:val="0"/>
                <w:i w:val="0"/>
                <w:iCs w:val="0"/>
                <w:color w:val="auto"/>
                <w:sz w:val="28"/>
                <w:szCs w:val="28"/>
                <w:lang w:val="en-US" w:eastAsia="zh-CN"/>
              </w:rPr>
              <w:t>数据</w:t>
            </w:r>
            <w:r>
              <w:rPr>
                <w:rFonts w:hint="eastAsia" w:ascii="楷体" w:hAnsi="楷体" w:eastAsia="楷体" w:cs="楷体"/>
                <w:b w:val="0"/>
                <w:i w:val="0"/>
                <w:iCs w:val="0"/>
                <w:color w:val="auto"/>
                <w:sz w:val="28"/>
                <w:szCs w:val="28"/>
              </w:rPr>
              <w:t>回传。</w:t>
            </w:r>
          </w:p>
        </w:tc>
      </w:tr>
      <w:tr w14:paraId="7DB6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1AEC6BF1">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综合可视化监管</w:t>
            </w:r>
          </w:p>
        </w:tc>
        <w:tc>
          <w:tcPr>
            <w:tcW w:w="3525" w:type="pct"/>
            <w:vAlign w:val="center"/>
          </w:tcPr>
          <w:p w14:paraId="3BFBB4A5">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全域水质态势</w:t>
            </w:r>
            <w:r>
              <w:rPr>
                <w:rFonts w:hint="eastAsia" w:ascii="楷体" w:hAnsi="楷体" w:eastAsia="楷体" w:cs="楷体"/>
                <w:b w:val="0"/>
                <w:i w:val="0"/>
                <w:iCs w:val="0"/>
                <w:color w:val="auto"/>
                <w:sz w:val="28"/>
                <w:szCs w:val="28"/>
                <w:lang w:val="en-US" w:eastAsia="zh-CN"/>
              </w:rPr>
              <w:t>可视化</w:t>
            </w:r>
            <w:r>
              <w:rPr>
                <w:rFonts w:hint="eastAsia" w:ascii="楷体" w:hAnsi="楷体" w:eastAsia="楷体" w:cs="楷体"/>
                <w:b w:val="0"/>
                <w:i w:val="0"/>
                <w:iCs w:val="0"/>
                <w:color w:val="auto"/>
                <w:sz w:val="28"/>
                <w:szCs w:val="28"/>
              </w:rPr>
              <w:t>；实时监测</w:t>
            </w:r>
            <w:r>
              <w:rPr>
                <w:rFonts w:hint="eastAsia" w:ascii="楷体" w:hAnsi="楷体" w:eastAsia="楷体" w:cs="楷体"/>
                <w:b w:val="0"/>
                <w:i w:val="0"/>
                <w:iCs w:val="0"/>
                <w:color w:val="auto"/>
                <w:sz w:val="28"/>
                <w:szCs w:val="28"/>
                <w:lang w:val="en-US" w:eastAsia="zh-CN"/>
              </w:rPr>
              <w:t>可视化</w:t>
            </w:r>
            <w:r>
              <w:rPr>
                <w:rFonts w:hint="eastAsia" w:ascii="楷体" w:hAnsi="楷体" w:eastAsia="楷体" w:cs="楷体"/>
                <w:b w:val="0"/>
                <w:i w:val="0"/>
                <w:iCs w:val="0"/>
                <w:color w:val="auto"/>
                <w:sz w:val="28"/>
                <w:szCs w:val="28"/>
              </w:rPr>
              <w:t>；协同作业</w:t>
            </w:r>
            <w:r>
              <w:rPr>
                <w:rFonts w:hint="eastAsia" w:ascii="楷体" w:hAnsi="楷体" w:eastAsia="楷体" w:cs="楷体"/>
                <w:b w:val="0"/>
                <w:i w:val="0"/>
                <w:iCs w:val="0"/>
                <w:color w:val="auto"/>
                <w:sz w:val="28"/>
                <w:szCs w:val="28"/>
                <w:lang w:val="en-US" w:eastAsia="zh-CN"/>
              </w:rPr>
              <w:t>可视化：</w:t>
            </w:r>
            <w:r>
              <w:rPr>
                <w:rFonts w:hint="eastAsia" w:ascii="楷体" w:hAnsi="楷体" w:eastAsia="楷体" w:cs="楷体"/>
                <w:b w:val="0"/>
                <w:i w:val="0"/>
                <w:iCs w:val="0"/>
                <w:color w:val="auto"/>
                <w:sz w:val="28"/>
                <w:szCs w:val="28"/>
              </w:rPr>
              <w:t>实时位置、轨迹、视频展示。</w:t>
            </w:r>
          </w:p>
        </w:tc>
      </w:tr>
      <w:tr w14:paraId="204F5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1ED24CE9">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数据统计分析</w:t>
            </w:r>
          </w:p>
        </w:tc>
        <w:tc>
          <w:tcPr>
            <w:tcW w:w="3525" w:type="pct"/>
            <w:vAlign w:val="center"/>
          </w:tcPr>
          <w:p w14:paraId="681D8BDC">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1.水质数据统计分析： 按日/周/月/季/年统计水质均值、达标率及超标次数，支持多维度对比与排名；</w:t>
            </w:r>
          </w:p>
          <w:p w14:paraId="30266133">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2.水质综合评价：依据国标进行水质等级与污染指数评价；</w:t>
            </w:r>
          </w:p>
          <w:p w14:paraId="1F8009FA">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lang w:val="en-US" w:eastAsia="zh-CN"/>
              </w:rPr>
              <w:t>3.污染溯源分析：结合时空数据、上下游关系及降雨事件，智能研判污染来源与路径。</w:t>
            </w:r>
          </w:p>
        </w:tc>
      </w:tr>
      <w:tr w14:paraId="73FB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6D0C089F">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运维管理</w:t>
            </w:r>
          </w:p>
        </w:tc>
        <w:tc>
          <w:tcPr>
            <w:tcW w:w="3525" w:type="pct"/>
            <w:vAlign w:val="center"/>
          </w:tcPr>
          <w:p w14:paraId="1BD34116">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保障平台与设备长期稳定运行、规范运维、高效管理</w:t>
            </w:r>
            <w:r>
              <w:rPr>
                <w:rFonts w:hint="eastAsia" w:ascii="楷体" w:hAnsi="楷体" w:eastAsia="楷体" w:cs="楷体"/>
                <w:b w:val="0"/>
                <w:i w:val="0"/>
                <w:iCs w:val="0"/>
                <w:color w:val="auto"/>
                <w:sz w:val="28"/>
                <w:szCs w:val="28"/>
                <w:lang w:eastAsia="zh-CN"/>
              </w:rPr>
              <w:t>：</w:t>
            </w:r>
          </w:p>
          <w:p w14:paraId="54F735D8">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1. </w:t>
            </w:r>
            <w:r>
              <w:rPr>
                <w:rFonts w:hint="eastAsia" w:ascii="楷体" w:hAnsi="楷体" w:eastAsia="楷体" w:cs="楷体"/>
                <w:i w:val="0"/>
                <w:iCs w:val="0"/>
                <w:color w:val="auto"/>
                <w:sz w:val="28"/>
                <w:szCs w:val="28"/>
                <w:lang w:val="en-US" w:eastAsia="zh-CN"/>
              </w:rPr>
              <w:t>设备管理：</w:t>
            </w:r>
            <w:r>
              <w:rPr>
                <w:rFonts w:hint="eastAsia" w:ascii="楷体" w:hAnsi="楷体" w:eastAsia="楷体" w:cs="楷体"/>
                <w:i w:val="0"/>
                <w:iCs w:val="0"/>
                <w:color w:val="auto"/>
                <w:sz w:val="28"/>
                <w:szCs w:val="28"/>
              </w:rPr>
              <w:t>微站、无人机、无人船及平台系统全生命周期</w:t>
            </w:r>
            <w:r>
              <w:rPr>
                <w:rFonts w:hint="eastAsia" w:ascii="楷体" w:hAnsi="楷体" w:eastAsia="楷体" w:cs="楷体"/>
                <w:i w:val="0"/>
                <w:iCs w:val="0"/>
                <w:color w:val="auto"/>
                <w:sz w:val="28"/>
                <w:szCs w:val="28"/>
                <w:lang w:val="en-US" w:eastAsia="zh-CN"/>
              </w:rPr>
              <w:t>管理；</w:t>
            </w:r>
          </w:p>
          <w:p w14:paraId="17A83AD1">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2. </w:t>
            </w:r>
            <w:r>
              <w:rPr>
                <w:rFonts w:hint="eastAsia" w:ascii="楷体" w:hAnsi="楷体" w:eastAsia="楷体" w:cs="楷体"/>
                <w:i w:val="0"/>
                <w:iCs w:val="0"/>
                <w:color w:val="auto"/>
                <w:sz w:val="28"/>
                <w:szCs w:val="28"/>
                <w:lang w:val="en-US" w:eastAsia="zh-CN"/>
              </w:rPr>
              <w:t>巡检与校准管理：</w:t>
            </w:r>
            <w:r>
              <w:rPr>
                <w:rFonts w:hint="eastAsia" w:ascii="楷体" w:hAnsi="楷体" w:eastAsia="楷体" w:cs="楷体"/>
                <w:i w:val="0"/>
                <w:iCs w:val="0"/>
                <w:color w:val="auto"/>
                <w:sz w:val="28"/>
                <w:szCs w:val="28"/>
              </w:rPr>
              <w:t>制定巡检/校准计划并自动派单，支持移动端打卡、拍照及轨迹留存。</w:t>
            </w:r>
          </w:p>
          <w:p w14:paraId="6EE0E7E4">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 xml:space="preserve">3. </w:t>
            </w:r>
            <w:r>
              <w:rPr>
                <w:rFonts w:hint="eastAsia" w:ascii="楷体" w:hAnsi="楷体" w:eastAsia="楷体" w:cs="楷体"/>
                <w:i w:val="0"/>
                <w:iCs w:val="0"/>
                <w:color w:val="auto"/>
                <w:sz w:val="28"/>
                <w:szCs w:val="28"/>
                <w:lang w:val="en-US" w:eastAsia="zh-CN"/>
              </w:rPr>
              <w:t>故障报修与处理：设备</w:t>
            </w:r>
            <w:r>
              <w:rPr>
                <w:rFonts w:hint="eastAsia" w:ascii="楷体" w:hAnsi="楷体" w:eastAsia="楷体" w:cs="楷体"/>
                <w:i w:val="0"/>
                <w:iCs w:val="0"/>
                <w:color w:val="auto"/>
                <w:sz w:val="28"/>
                <w:szCs w:val="28"/>
              </w:rPr>
              <w:t>故障自动告警或人工上报，4小时内响应、24小时内修复，保障设备运行率≥95%。</w:t>
            </w:r>
          </w:p>
        </w:tc>
      </w:tr>
      <w:tr w14:paraId="2386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pct"/>
            <w:vAlign w:val="center"/>
          </w:tcPr>
          <w:p w14:paraId="7A1CE7FC">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center"/>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系统管理</w:t>
            </w:r>
          </w:p>
        </w:tc>
        <w:tc>
          <w:tcPr>
            <w:tcW w:w="3525" w:type="pct"/>
            <w:vAlign w:val="center"/>
          </w:tcPr>
          <w:p w14:paraId="0AB8BAF3">
            <w:pPr>
              <w:keepNext w:val="0"/>
              <w:keepLines w:val="0"/>
              <w:pageBreakBefore w:val="0"/>
              <w:widowControl/>
              <w:kinsoku/>
              <w:wordWrap/>
              <w:overflowPunct/>
              <w:topLinePunct w:val="0"/>
              <w:autoSpaceDE/>
              <w:autoSpaceDN/>
              <w:bidi w:val="0"/>
              <w:adjustRightInd/>
              <w:snapToGrid/>
              <w:spacing w:after="0" w:line="360" w:lineRule="auto"/>
              <w:ind w:left="0" w:firstLine="0" w:firstLineChars="0"/>
              <w:jc w:val="left"/>
              <w:textAlignment w:val="auto"/>
              <w:rPr>
                <w:rFonts w:hint="eastAsia" w:ascii="楷体" w:hAnsi="楷体" w:eastAsia="楷体" w:cs="楷体"/>
                <w:i w:val="0"/>
                <w:iCs w:val="0"/>
                <w:color w:val="auto"/>
                <w:sz w:val="28"/>
                <w:szCs w:val="28"/>
              </w:rPr>
            </w:pPr>
            <w:r>
              <w:rPr>
                <w:rFonts w:hint="eastAsia" w:ascii="楷体" w:hAnsi="楷体" w:eastAsia="楷体" w:cs="楷体"/>
                <w:b w:val="0"/>
                <w:i w:val="0"/>
                <w:iCs w:val="0"/>
                <w:color w:val="auto"/>
                <w:sz w:val="28"/>
                <w:szCs w:val="28"/>
              </w:rPr>
              <w:t>用户与权限管理；组织机构管理；日志</w:t>
            </w:r>
            <w:r>
              <w:rPr>
                <w:rFonts w:hint="eastAsia" w:ascii="楷体" w:hAnsi="楷体" w:eastAsia="楷体" w:cs="楷体"/>
                <w:b w:val="0"/>
                <w:i w:val="0"/>
                <w:iCs w:val="0"/>
                <w:color w:val="auto"/>
                <w:sz w:val="28"/>
                <w:szCs w:val="28"/>
                <w:lang w:val="en-US" w:eastAsia="zh-CN"/>
              </w:rPr>
              <w:t>管理</w:t>
            </w:r>
            <w:r>
              <w:rPr>
                <w:rFonts w:hint="eastAsia" w:ascii="楷体" w:hAnsi="楷体" w:eastAsia="楷体" w:cs="楷体"/>
                <w:b w:val="0"/>
                <w:i w:val="0"/>
                <w:iCs w:val="0"/>
                <w:color w:val="auto"/>
                <w:sz w:val="28"/>
                <w:szCs w:val="28"/>
              </w:rPr>
              <w:t>；</w:t>
            </w:r>
            <w:r>
              <w:rPr>
                <w:rFonts w:hint="eastAsia" w:ascii="楷体" w:hAnsi="楷体" w:eastAsia="楷体" w:cs="楷体"/>
                <w:b w:val="0"/>
                <w:i w:val="0"/>
                <w:iCs w:val="0"/>
                <w:color w:val="auto"/>
                <w:sz w:val="28"/>
                <w:szCs w:val="28"/>
                <w:lang w:val="en-US" w:eastAsia="zh-CN"/>
              </w:rPr>
              <w:t>接口管理</w:t>
            </w:r>
            <w:r>
              <w:rPr>
                <w:rFonts w:hint="eastAsia" w:ascii="楷体" w:hAnsi="楷体" w:eastAsia="楷体" w:cs="楷体"/>
                <w:b w:val="0"/>
                <w:i w:val="0"/>
                <w:iCs w:val="0"/>
                <w:color w:val="auto"/>
                <w:sz w:val="28"/>
                <w:szCs w:val="28"/>
              </w:rPr>
              <w:t>；系统配置与备份。</w:t>
            </w:r>
          </w:p>
        </w:tc>
      </w:tr>
    </w:tbl>
    <w:p w14:paraId="0D8880ED">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lang w:val="en-US" w:eastAsia="zh-CN"/>
        </w:rPr>
      </w:pPr>
      <w:r>
        <w:rPr>
          <w:rFonts w:hint="eastAsia" w:ascii="楷体" w:hAnsi="楷体" w:eastAsia="楷体" w:cs="楷体"/>
          <w:b/>
          <w:bCs/>
          <w:i w:val="0"/>
          <w:iCs w:val="0"/>
          <w:color w:val="auto"/>
          <w:sz w:val="28"/>
          <w:szCs w:val="28"/>
          <w:lang w:val="en-US" w:eastAsia="zh-CN"/>
        </w:rPr>
        <w:t>3.3全域水质高光谱卫星反演普查</w:t>
      </w:r>
    </w:p>
    <w:p w14:paraId="448994E2">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全年开展4次水质高光谱卫星反演普查工作，每3个月实施1次。在每次普查时，形成详细的水质普查分析报告；全年水质反演普查完成后，形成年度水质分析报告，报告内容涵盖润州区重点河道的水质状况分布、污染程度评估等信息。</w:t>
      </w:r>
    </w:p>
    <w:p w14:paraId="133B052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季度普查成果：每次普查完成后须提交《水质普查分析报告》，内容包括：普查区域概况、卫星数据源说明、反演方法与技术路线、各河道水质参数空间分布图、异常点位识别与分析、与地面微站数据对比验证结果、结论与建议等。</w:t>
      </w:r>
    </w:p>
    <w:p w14:paraId="53421ED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年度综合成果：全年4次普查完成后须提交《年度水质综合分析报告》，内容包括：年度水质变化趋势分析、季节性变化特征、重点污染河段识别、年度监测建议等。</w:t>
      </w:r>
    </w:p>
    <w:p w14:paraId="2D6CC462">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3.</w:t>
      </w:r>
      <w:r>
        <w:rPr>
          <w:rFonts w:hint="eastAsia" w:ascii="楷体" w:hAnsi="楷体" w:eastAsia="楷体" w:cs="楷体"/>
          <w:b/>
          <w:bCs/>
          <w:i w:val="0"/>
          <w:iCs w:val="0"/>
          <w:color w:val="auto"/>
          <w:sz w:val="28"/>
          <w:szCs w:val="28"/>
          <w:lang w:val="en-US" w:eastAsia="zh-CN"/>
        </w:rPr>
        <w:t>4</w:t>
      </w:r>
      <w:r>
        <w:rPr>
          <w:rFonts w:hint="eastAsia" w:ascii="楷体" w:hAnsi="楷体" w:eastAsia="楷体" w:cs="楷体"/>
          <w:b/>
          <w:bCs/>
          <w:i w:val="0"/>
          <w:iCs w:val="0"/>
          <w:color w:val="auto"/>
          <w:sz w:val="28"/>
          <w:szCs w:val="28"/>
        </w:rPr>
        <w:t xml:space="preserve"> 无人化现场作业设备</w:t>
      </w:r>
    </w:p>
    <w:p w14:paraId="4E8222B5">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3.</w:t>
      </w:r>
      <w:r>
        <w:rPr>
          <w:rFonts w:hint="eastAsia" w:ascii="楷体" w:hAnsi="楷体" w:eastAsia="楷体" w:cs="楷体"/>
          <w:i w:val="0"/>
          <w:iCs w:val="0"/>
          <w:color w:val="auto"/>
          <w:sz w:val="28"/>
          <w:szCs w:val="28"/>
          <w:lang w:val="en-US" w:eastAsia="zh-CN"/>
        </w:rPr>
        <w:t>4</w:t>
      </w:r>
      <w:r>
        <w:rPr>
          <w:rFonts w:hint="eastAsia" w:ascii="楷体" w:hAnsi="楷体" w:eastAsia="楷体" w:cs="楷体"/>
          <w:i w:val="0"/>
          <w:iCs w:val="0"/>
          <w:color w:val="auto"/>
          <w:sz w:val="28"/>
          <w:szCs w:val="28"/>
        </w:rPr>
        <w:t>.1 智能无人船</w:t>
      </w:r>
    </w:p>
    <w:p w14:paraId="18647399">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i w:val="0"/>
          <w:iCs w:val="0"/>
          <w:color w:val="auto"/>
          <w:sz w:val="28"/>
          <w:szCs w:val="28"/>
          <w:lang w:val="en-US" w:eastAsia="zh-CN"/>
        </w:rPr>
      </w:pPr>
      <w:r>
        <w:rPr>
          <w:rFonts w:hint="eastAsia" w:ascii="楷体" w:hAnsi="楷体" w:eastAsia="楷体" w:cs="楷体"/>
          <w:b w:val="0"/>
          <w:bCs/>
          <w:i w:val="0"/>
          <w:iCs w:val="0"/>
          <w:color w:val="auto"/>
          <w:sz w:val="28"/>
          <w:szCs w:val="28"/>
          <w:lang w:val="en-US" w:eastAsia="zh-CN"/>
        </w:rPr>
        <w:t>本项目须配置智能无人船</w:t>
      </w:r>
      <w:r>
        <w:rPr>
          <w:rFonts w:hint="eastAsia" w:ascii="楷体" w:hAnsi="楷体" w:eastAsia="楷体" w:cs="楷体"/>
          <w:b w:val="0"/>
          <w:bCs/>
          <w:i w:val="0"/>
          <w:iCs w:val="0"/>
          <w:color w:val="auto"/>
          <w:sz w:val="28"/>
          <w:szCs w:val="28"/>
        </w:rPr>
        <w:t>1艘</w:t>
      </w:r>
      <w:r>
        <w:rPr>
          <w:rFonts w:hint="eastAsia" w:ascii="楷体" w:hAnsi="楷体" w:eastAsia="楷体" w:cs="楷体"/>
          <w:b w:val="0"/>
          <w:bCs/>
          <w:i w:val="0"/>
          <w:iCs w:val="0"/>
          <w:color w:val="auto"/>
          <w:sz w:val="28"/>
          <w:szCs w:val="28"/>
          <w:lang w:eastAsia="zh-CN"/>
        </w:rPr>
        <w:t>，</w:t>
      </w:r>
      <w:r>
        <w:rPr>
          <w:rFonts w:hint="eastAsia" w:ascii="楷体" w:hAnsi="楷体" w:eastAsia="楷体" w:cs="楷体"/>
          <w:b w:val="0"/>
          <w:bCs/>
          <w:i w:val="0"/>
          <w:iCs w:val="0"/>
          <w:color w:val="auto"/>
          <w:sz w:val="28"/>
          <w:szCs w:val="28"/>
          <w:lang w:val="en-US" w:eastAsia="zh-CN"/>
        </w:rPr>
        <w:t>技术要求如下：</w:t>
      </w:r>
    </w:p>
    <w:p w14:paraId="647F8072">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航行方式：自主巡航/遥控双模式，支持自动避障、自动返航；</w:t>
      </w:r>
    </w:p>
    <w:p w14:paraId="5CB08F2C">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续航能力：经济航速下连续作业续航≥6小时，经济航速≥1.2m/s，最大航速≥5m/s；</w:t>
      </w:r>
    </w:p>
    <w:p w14:paraId="1CAA2584">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尺寸要求：无人船应具备良好便携性，外形尺寸不大于 1.15m（长）×0.6m（宽）×0.4m（高），可方便放入轿车后备箱运输；</w:t>
      </w:r>
    </w:p>
    <w:p w14:paraId="01C16343">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rPr>
        <w:t>★</w:t>
      </w:r>
      <w:r>
        <w:rPr>
          <w:rFonts w:hint="eastAsia" w:ascii="楷体" w:hAnsi="楷体" w:eastAsia="楷体" w:cs="楷体"/>
          <w:b w:val="0"/>
          <w:i w:val="0"/>
          <w:iCs w:val="0"/>
          <w:color w:val="auto"/>
          <w:sz w:val="28"/>
          <w:szCs w:val="28"/>
          <w:lang w:val="en-US" w:eastAsia="zh-CN"/>
        </w:rPr>
        <w:t>搭载能力：支持多参数水质监测模块、自动取水器、侧扫声呐；其中水质监测模块，可实时监测氨氮、COD、DO等指标；自动取水器单航次采样瓶数≥6个，单瓶容积≥0.5L；侧扫声呐最大侧扫宽度≥180m，最大垂扫深度≥90m。（供应商须提供产品检测报告或彩页并加盖公章）</w:t>
      </w:r>
    </w:p>
    <w:p w14:paraId="67BB3119">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定位方式：GPS/北斗双模定位；</w:t>
      </w:r>
    </w:p>
    <w:p w14:paraId="1987FDEB">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RTK高精度导航接收器：水平定位精度≤0.1m，速度精度≤0.05m/s；</w:t>
      </w:r>
    </w:p>
    <w:p w14:paraId="47FB22ED">
      <w:pPr>
        <w:pageBreakBefore w:val="0"/>
        <w:widowControl/>
        <w:numPr>
          <w:ilvl w:val="0"/>
          <w:numId w:val="5"/>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协同能力：</w:t>
      </w:r>
      <w:r>
        <w:rPr>
          <w:rFonts w:hint="eastAsia" w:ascii="楷体" w:hAnsi="楷体" w:eastAsia="楷体" w:cs="楷体"/>
          <w:i w:val="0"/>
          <w:iCs w:val="0"/>
          <w:caps w:val="0"/>
          <w:spacing w:val="0"/>
          <w:sz w:val="28"/>
          <w:szCs w:val="28"/>
          <w:shd w:val="clear" w:fill="FFFFFF"/>
        </w:rPr>
        <w:t>接入一体化监管平台，实现集中管理、统一调度与协同作业。</w:t>
      </w:r>
    </w:p>
    <w:p w14:paraId="3C6EC468">
      <w:pPr>
        <w:pStyle w:val="4"/>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i w:val="0"/>
          <w:iCs w:val="0"/>
          <w:color w:val="auto"/>
          <w:sz w:val="28"/>
          <w:szCs w:val="28"/>
        </w:rPr>
      </w:pPr>
      <w:r>
        <w:rPr>
          <w:rFonts w:hint="eastAsia" w:ascii="楷体" w:hAnsi="楷体" w:eastAsia="楷体" w:cs="楷体"/>
          <w:i w:val="0"/>
          <w:iCs w:val="0"/>
          <w:color w:val="auto"/>
          <w:sz w:val="28"/>
          <w:szCs w:val="28"/>
        </w:rPr>
        <w:t>3.</w:t>
      </w:r>
      <w:r>
        <w:rPr>
          <w:rFonts w:hint="eastAsia" w:ascii="楷体" w:hAnsi="楷体" w:eastAsia="楷体" w:cs="楷体"/>
          <w:i w:val="0"/>
          <w:iCs w:val="0"/>
          <w:color w:val="auto"/>
          <w:sz w:val="28"/>
          <w:szCs w:val="28"/>
          <w:lang w:val="en-US" w:eastAsia="zh-CN"/>
        </w:rPr>
        <w:t>4</w:t>
      </w:r>
      <w:r>
        <w:rPr>
          <w:rFonts w:hint="eastAsia" w:ascii="楷体" w:hAnsi="楷体" w:eastAsia="楷体" w:cs="楷体"/>
          <w:i w:val="0"/>
          <w:iCs w:val="0"/>
          <w:color w:val="auto"/>
          <w:sz w:val="28"/>
          <w:szCs w:val="28"/>
        </w:rPr>
        <w:t>.2 巡查无人机</w:t>
      </w:r>
    </w:p>
    <w:p w14:paraId="7BE39F6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bCs/>
          <w:i w:val="0"/>
          <w:iCs w:val="0"/>
          <w:color w:val="auto"/>
          <w:sz w:val="28"/>
          <w:szCs w:val="28"/>
          <w:lang w:val="en-US" w:eastAsia="zh-CN"/>
        </w:rPr>
      </w:pPr>
      <w:r>
        <w:rPr>
          <w:rFonts w:hint="eastAsia" w:ascii="楷体" w:hAnsi="楷体" w:eastAsia="楷体" w:cs="楷体"/>
          <w:b w:val="0"/>
          <w:bCs/>
          <w:i w:val="0"/>
          <w:iCs w:val="0"/>
          <w:color w:val="auto"/>
          <w:sz w:val="28"/>
          <w:szCs w:val="28"/>
          <w:lang w:val="en-US" w:eastAsia="zh-CN"/>
        </w:rPr>
        <w:t>本项目须配置无人机</w:t>
      </w:r>
      <w:r>
        <w:rPr>
          <w:rFonts w:hint="eastAsia" w:ascii="楷体" w:hAnsi="楷体" w:eastAsia="楷体" w:cs="楷体"/>
          <w:b w:val="0"/>
          <w:bCs/>
          <w:i w:val="0"/>
          <w:iCs w:val="0"/>
          <w:color w:val="auto"/>
          <w:sz w:val="28"/>
          <w:szCs w:val="28"/>
        </w:rPr>
        <w:t>1</w:t>
      </w:r>
      <w:r>
        <w:rPr>
          <w:rFonts w:hint="eastAsia" w:ascii="楷体" w:hAnsi="楷体" w:eastAsia="楷体" w:cs="楷体"/>
          <w:b w:val="0"/>
          <w:bCs/>
          <w:i w:val="0"/>
          <w:iCs w:val="0"/>
          <w:color w:val="auto"/>
          <w:sz w:val="28"/>
          <w:szCs w:val="28"/>
          <w:lang w:val="en-US" w:eastAsia="zh-CN"/>
        </w:rPr>
        <w:t>台</w:t>
      </w:r>
      <w:r>
        <w:rPr>
          <w:rFonts w:hint="eastAsia" w:ascii="楷体" w:hAnsi="楷体" w:eastAsia="楷体" w:cs="楷体"/>
          <w:b w:val="0"/>
          <w:bCs/>
          <w:i w:val="0"/>
          <w:iCs w:val="0"/>
          <w:color w:val="auto"/>
          <w:sz w:val="28"/>
          <w:szCs w:val="28"/>
          <w:lang w:eastAsia="zh-CN"/>
        </w:rPr>
        <w:t>，</w:t>
      </w:r>
      <w:r>
        <w:rPr>
          <w:rFonts w:hint="eastAsia" w:ascii="楷体" w:hAnsi="楷体" w:eastAsia="楷体" w:cs="楷体"/>
          <w:b w:val="0"/>
          <w:bCs/>
          <w:i w:val="0"/>
          <w:iCs w:val="0"/>
          <w:color w:val="auto"/>
          <w:sz w:val="28"/>
          <w:szCs w:val="28"/>
          <w:lang w:val="en-US" w:eastAsia="zh-CN"/>
        </w:rPr>
        <w:t>技术要求如下：</w:t>
      </w:r>
    </w:p>
    <w:p w14:paraId="59CB86B1">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eastAsia="zh-CN"/>
        </w:rPr>
      </w:pPr>
      <w:r>
        <w:rPr>
          <w:rFonts w:hint="eastAsia" w:ascii="楷体" w:hAnsi="楷体" w:eastAsia="楷体" w:cs="楷体"/>
          <w:b w:val="0"/>
          <w:i w:val="0"/>
          <w:iCs w:val="0"/>
          <w:color w:val="auto"/>
          <w:sz w:val="28"/>
          <w:szCs w:val="28"/>
        </w:rPr>
        <w:t>类型：多旋翼无人机</w:t>
      </w:r>
      <w:r>
        <w:rPr>
          <w:rFonts w:hint="eastAsia" w:ascii="楷体" w:hAnsi="楷体" w:eastAsia="楷体" w:cs="楷体"/>
          <w:b w:val="0"/>
          <w:i w:val="0"/>
          <w:iCs w:val="0"/>
          <w:color w:val="auto"/>
          <w:sz w:val="28"/>
          <w:szCs w:val="28"/>
          <w:lang w:eastAsia="zh-CN"/>
        </w:rPr>
        <w:t>；</w:t>
      </w:r>
    </w:p>
    <w:p w14:paraId="03A93052">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续航时间：空载续航≥40分钟，满载续航≥25分钟</w:t>
      </w:r>
      <w:r>
        <w:rPr>
          <w:rFonts w:hint="eastAsia" w:ascii="楷体" w:hAnsi="楷体" w:eastAsia="楷体" w:cs="楷体"/>
          <w:b w:val="0"/>
          <w:i w:val="0"/>
          <w:iCs w:val="0"/>
          <w:color w:val="auto"/>
          <w:sz w:val="28"/>
          <w:szCs w:val="28"/>
          <w:lang w:eastAsia="zh-CN"/>
        </w:rPr>
        <w:t>；</w:t>
      </w:r>
    </w:p>
    <w:p w14:paraId="24FF33A5">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图传距离：最大图传距离≥5km，信号稳定无中断</w:t>
      </w:r>
      <w:r>
        <w:rPr>
          <w:rFonts w:hint="eastAsia" w:ascii="楷体" w:hAnsi="楷体" w:eastAsia="楷体" w:cs="楷体"/>
          <w:b w:val="0"/>
          <w:i w:val="0"/>
          <w:iCs w:val="0"/>
          <w:color w:val="auto"/>
          <w:sz w:val="28"/>
          <w:szCs w:val="28"/>
          <w:lang w:eastAsia="zh-CN"/>
        </w:rPr>
        <w:t>；</w:t>
      </w:r>
    </w:p>
    <w:p w14:paraId="45CC82FF">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定位精度：垂直±0.1m，水平±0.3m</w:t>
      </w:r>
      <w:r>
        <w:rPr>
          <w:rFonts w:hint="eastAsia" w:ascii="楷体" w:hAnsi="楷体" w:eastAsia="楷体" w:cs="楷体"/>
          <w:b w:val="0"/>
          <w:i w:val="0"/>
          <w:iCs w:val="0"/>
          <w:color w:val="auto"/>
          <w:sz w:val="28"/>
          <w:szCs w:val="28"/>
          <w:lang w:eastAsia="zh-CN"/>
        </w:rPr>
        <w:t>；</w:t>
      </w:r>
    </w:p>
    <w:p w14:paraId="6E534A7C">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摄像能力：4K高清航拍、支持变焦、夜视</w:t>
      </w:r>
      <w:r>
        <w:rPr>
          <w:rFonts w:hint="eastAsia" w:ascii="楷体" w:hAnsi="楷体" w:eastAsia="楷体" w:cs="楷体"/>
          <w:b w:val="0"/>
          <w:i w:val="0"/>
          <w:iCs w:val="0"/>
          <w:color w:val="auto"/>
          <w:sz w:val="28"/>
          <w:szCs w:val="28"/>
          <w:lang w:eastAsia="zh-CN"/>
        </w:rPr>
        <w:t>；</w:t>
      </w:r>
    </w:p>
    <w:p w14:paraId="5F42FF7A">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抗风等级：抗风等级≥4级，适应户外河道巡查环境</w:t>
      </w:r>
      <w:r>
        <w:rPr>
          <w:rFonts w:hint="eastAsia" w:ascii="楷体" w:hAnsi="楷体" w:eastAsia="楷体" w:cs="楷体"/>
          <w:b w:val="0"/>
          <w:i w:val="0"/>
          <w:iCs w:val="0"/>
          <w:color w:val="auto"/>
          <w:sz w:val="28"/>
          <w:szCs w:val="28"/>
          <w:lang w:eastAsia="zh-CN"/>
        </w:rPr>
        <w:t>；</w:t>
      </w:r>
    </w:p>
    <w:p w14:paraId="416FFA63">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rPr>
        <w:t>通信：5G/4G图传，支持影像实时回传</w:t>
      </w:r>
      <w:r>
        <w:rPr>
          <w:rFonts w:hint="eastAsia" w:ascii="楷体" w:hAnsi="楷体" w:eastAsia="楷体" w:cs="楷体"/>
          <w:b w:val="0"/>
          <w:i w:val="0"/>
          <w:iCs w:val="0"/>
          <w:color w:val="auto"/>
          <w:sz w:val="28"/>
          <w:szCs w:val="28"/>
          <w:lang w:eastAsia="zh-CN"/>
        </w:rPr>
        <w:t>；</w:t>
      </w:r>
    </w:p>
    <w:p w14:paraId="23135B92">
      <w:pPr>
        <w:pageBreakBefore w:val="0"/>
        <w:widowControl/>
        <w:numPr>
          <w:ilvl w:val="0"/>
          <w:numId w:val="6"/>
        </w:numPr>
        <w:kinsoku/>
        <w:wordWrap/>
        <w:overflowPunct/>
        <w:topLinePunct w:val="0"/>
        <w:autoSpaceDE/>
        <w:autoSpaceDN/>
        <w:bidi w:val="0"/>
        <w:adjustRightInd/>
        <w:snapToGrid/>
        <w:spacing w:after="0" w:line="360" w:lineRule="auto"/>
        <w:ind w:left="440" w:leftChars="0"/>
        <w:textAlignment w:val="auto"/>
        <w:rPr>
          <w:rFonts w:hint="eastAsia" w:ascii="楷体" w:hAnsi="楷体" w:eastAsia="楷体" w:cs="楷体"/>
          <w:b w:val="0"/>
          <w:i w:val="0"/>
          <w:iCs w:val="0"/>
          <w:color w:val="auto"/>
          <w:sz w:val="28"/>
          <w:szCs w:val="28"/>
          <w:lang w:val="en-US" w:eastAsia="zh-CN"/>
        </w:rPr>
      </w:pPr>
      <w:r>
        <w:rPr>
          <w:rFonts w:hint="eastAsia" w:ascii="楷体" w:hAnsi="楷体" w:eastAsia="楷体" w:cs="楷体"/>
          <w:b w:val="0"/>
          <w:i w:val="0"/>
          <w:iCs w:val="0"/>
          <w:color w:val="auto"/>
          <w:sz w:val="28"/>
          <w:szCs w:val="28"/>
          <w:lang w:val="en-US" w:eastAsia="zh-CN"/>
        </w:rPr>
        <w:t>协同能力：</w:t>
      </w:r>
      <w:r>
        <w:rPr>
          <w:rFonts w:hint="eastAsia" w:ascii="楷体" w:hAnsi="楷体" w:eastAsia="楷体" w:cs="楷体"/>
          <w:i w:val="0"/>
          <w:iCs w:val="0"/>
          <w:caps w:val="0"/>
          <w:spacing w:val="0"/>
          <w:sz w:val="28"/>
          <w:szCs w:val="28"/>
          <w:shd w:val="clear" w:fill="FFFFFF"/>
        </w:rPr>
        <w:t>接入一体化监管平台，实现集中管理、统一调度与协同作业。</w:t>
      </w:r>
    </w:p>
    <w:p w14:paraId="74FDB692">
      <w:pPr>
        <w:pageBreakBefore w:val="0"/>
        <w:widowControl/>
        <w:kinsoku/>
        <w:wordWrap/>
        <w:overflowPunct/>
        <w:topLinePunct w:val="0"/>
        <w:autoSpaceDE/>
        <w:autoSpaceDN/>
        <w:bidi w:val="0"/>
        <w:adjustRightInd/>
        <w:snapToGrid/>
        <w:spacing w:after="0" w:line="360" w:lineRule="auto"/>
        <w:ind w:left="0" w:firstLine="562" w:firstLineChars="200"/>
        <w:textAlignment w:val="auto"/>
        <w:rPr>
          <w:rFonts w:hint="eastAsia"/>
          <w:lang w:val="en-US" w:eastAsia="zh-CN"/>
        </w:rPr>
      </w:pPr>
      <w:r>
        <w:rPr>
          <w:rFonts w:hint="eastAsia" w:ascii="楷体" w:hAnsi="楷体" w:eastAsia="楷体" w:cs="楷体"/>
          <w:b/>
          <w:bCs w:val="0"/>
          <w:i w:val="0"/>
          <w:iCs w:val="0"/>
          <w:color w:val="auto"/>
          <w:sz w:val="28"/>
          <w:szCs w:val="28"/>
        </w:rPr>
        <w:t>注：</w:t>
      </w:r>
      <w:r>
        <w:rPr>
          <w:rFonts w:hint="eastAsia" w:ascii="楷体" w:hAnsi="楷体" w:eastAsia="楷体" w:cs="楷体"/>
          <w:b/>
          <w:bCs w:val="0"/>
          <w:i w:val="0"/>
          <w:iCs w:val="0"/>
          <w:color w:val="auto"/>
          <w:sz w:val="28"/>
          <w:szCs w:val="28"/>
          <w:lang w:eastAsia="zh-CN"/>
        </w:rPr>
        <w:t>技术要求</w:t>
      </w:r>
      <w:r>
        <w:rPr>
          <w:rFonts w:hint="eastAsia" w:ascii="楷体" w:hAnsi="楷体" w:eastAsia="楷体" w:cs="楷体"/>
          <w:b/>
          <w:bCs w:val="0"/>
          <w:i w:val="0"/>
          <w:iCs w:val="0"/>
          <w:color w:val="auto"/>
          <w:sz w:val="28"/>
          <w:szCs w:val="28"/>
        </w:rPr>
        <w:t>中标注</w:t>
      </w:r>
      <w:r>
        <w:rPr>
          <w:rFonts w:hint="eastAsia" w:ascii="楷体" w:hAnsi="楷体" w:eastAsia="楷体" w:cs="楷体"/>
          <w:b/>
          <w:bCs w:val="0"/>
          <w:i w:val="0"/>
          <w:iCs w:val="0"/>
          <w:color w:val="auto"/>
          <w:sz w:val="28"/>
          <w:szCs w:val="28"/>
          <w:lang w:eastAsia="zh-CN"/>
        </w:rPr>
        <w:t>“</w:t>
      </w:r>
      <w:r>
        <w:rPr>
          <w:rFonts w:hint="eastAsia" w:ascii="楷体" w:hAnsi="楷体" w:eastAsia="楷体" w:cs="楷体"/>
          <w:b/>
          <w:bCs w:val="0"/>
          <w:i w:val="0"/>
          <w:iCs w:val="0"/>
          <w:color w:val="auto"/>
          <w:sz w:val="28"/>
          <w:szCs w:val="28"/>
        </w:rPr>
        <w:t>★</w:t>
      </w:r>
      <w:r>
        <w:rPr>
          <w:rFonts w:hint="eastAsia" w:ascii="楷体" w:hAnsi="楷体" w:eastAsia="楷体" w:cs="楷体"/>
          <w:b/>
          <w:bCs w:val="0"/>
          <w:i w:val="0"/>
          <w:iCs w:val="0"/>
          <w:color w:val="auto"/>
          <w:sz w:val="28"/>
          <w:szCs w:val="28"/>
          <w:lang w:eastAsia="zh-CN"/>
        </w:rPr>
        <w:t>”</w:t>
      </w:r>
      <w:r>
        <w:rPr>
          <w:rFonts w:hint="eastAsia" w:ascii="楷体" w:hAnsi="楷体" w:eastAsia="楷体" w:cs="楷体"/>
          <w:b/>
          <w:bCs w:val="0"/>
          <w:i w:val="0"/>
          <w:iCs w:val="0"/>
          <w:color w:val="auto"/>
          <w:sz w:val="28"/>
          <w:szCs w:val="28"/>
        </w:rPr>
        <w:t>的条款为实质性条款，</w:t>
      </w:r>
      <w:r>
        <w:rPr>
          <w:rFonts w:hint="eastAsia" w:ascii="楷体" w:hAnsi="楷体" w:eastAsia="楷体" w:cs="楷体"/>
          <w:b/>
          <w:bCs w:val="0"/>
          <w:i w:val="0"/>
          <w:iCs w:val="0"/>
          <w:color w:val="auto"/>
          <w:sz w:val="28"/>
          <w:szCs w:val="28"/>
          <w:lang w:eastAsia="zh-CN"/>
        </w:rPr>
        <w:t>供应商</w:t>
      </w:r>
      <w:r>
        <w:rPr>
          <w:rFonts w:hint="eastAsia" w:ascii="楷体" w:hAnsi="楷体" w:eastAsia="楷体" w:cs="楷体"/>
          <w:b/>
          <w:bCs w:val="0"/>
          <w:i w:val="0"/>
          <w:iCs w:val="0"/>
          <w:color w:val="auto"/>
          <w:sz w:val="28"/>
          <w:szCs w:val="28"/>
        </w:rPr>
        <w:t>必须完全响应，</w:t>
      </w:r>
      <w:r>
        <w:rPr>
          <w:rFonts w:hint="eastAsia" w:ascii="楷体" w:hAnsi="楷体" w:eastAsia="楷体" w:cs="楷体"/>
          <w:b/>
          <w:bCs w:val="0"/>
          <w:i w:val="0"/>
          <w:iCs w:val="0"/>
          <w:color w:val="auto"/>
          <w:sz w:val="28"/>
          <w:szCs w:val="28"/>
          <w:lang w:eastAsia="zh-CN"/>
        </w:rPr>
        <w:t>如有</w:t>
      </w:r>
      <w:r>
        <w:rPr>
          <w:rFonts w:hint="eastAsia" w:ascii="楷体" w:hAnsi="楷体" w:eastAsia="楷体" w:cs="楷体"/>
          <w:b/>
          <w:bCs w:val="0"/>
          <w:i w:val="0"/>
          <w:iCs w:val="0"/>
          <w:color w:val="auto"/>
          <w:sz w:val="28"/>
          <w:szCs w:val="28"/>
        </w:rPr>
        <w:t>负偏离</w:t>
      </w:r>
      <w:r>
        <w:rPr>
          <w:rFonts w:hint="eastAsia" w:ascii="楷体" w:hAnsi="楷体" w:eastAsia="楷体" w:cs="楷体"/>
          <w:b/>
          <w:bCs w:val="0"/>
          <w:i w:val="0"/>
          <w:iCs w:val="0"/>
          <w:color w:val="auto"/>
          <w:sz w:val="28"/>
          <w:szCs w:val="28"/>
          <w:lang w:eastAsia="zh-CN"/>
        </w:rPr>
        <w:t>按</w:t>
      </w:r>
      <w:r>
        <w:rPr>
          <w:rFonts w:hint="eastAsia" w:ascii="楷体" w:hAnsi="楷体" w:eastAsia="楷体" w:cs="楷体"/>
          <w:b/>
          <w:bCs w:val="0"/>
          <w:i w:val="0"/>
          <w:iCs w:val="0"/>
          <w:color w:val="auto"/>
          <w:sz w:val="28"/>
          <w:szCs w:val="28"/>
        </w:rPr>
        <w:t>无效</w:t>
      </w:r>
      <w:r>
        <w:rPr>
          <w:rFonts w:hint="eastAsia" w:ascii="楷体" w:hAnsi="楷体" w:eastAsia="楷体" w:cs="楷体"/>
          <w:b/>
          <w:bCs w:val="0"/>
          <w:i w:val="0"/>
          <w:iCs w:val="0"/>
          <w:color w:val="auto"/>
          <w:sz w:val="28"/>
          <w:szCs w:val="28"/>
          <w:lang w:eastAsia="zh-CN"/>
        </w:rPr>
        <w:t>磋商响应处理</w:t>
      </w:r>
      <w:r>
        <w:rPr>
          <w:rFonts w:hint="eastAsia" w:ascii="楷体" w:hAnsi="楷体" w:eastAsia="楷体" w:cs="楷体"/>
          <w:b/>
          <w:bCs w:val="0"/>
          <w:i w:val="0"/>
          <w:iCs w:val="0"/>
          <w:color w:val="auto"/>
          <w:sz w:val="28"/>
          <w:szCs w:val="28"/>
        </w:rPr>
        <w:t>。</w:t>
      </w:r>
    </w:p>
    <w:p w14:paraId="1610D44D">
      <w:pPr>
        <w:pStyle w:val="2"/>
        <w:pageBreakBefore w:val="0"/>
        <w:widowControl/>
        <w:kinsoku/>
        <w:wordWrap/>
        <w:overflowPunct/>
        <w:topLinePunct w:val="0"/>
        <w:autoSpaceDE/>
        <w:autoSpaceDN/>
        <w:bidi w:val="0"/>
        <w:adjustRightInd/>
        <w:snapToGrid/>
        <w:spacing w:before="0" w:after="0" w:line="360" w:lineRule="auto"/>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四、商务与服务要求</w:t>
      </w:r>
    </w:p>
    <w:p w14:paraId="4E904471">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4.1 项目实施要求</w:t>
      </w:r>
    </w:p>
    <w:p w14:paraId="2F35567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工期要求：自合同签订之日起，</w:t>
      </w:r>
      <w:r>
        <w:rPr>
          <w:rFonts w:hint="eastAsia" w:ascii="楷体" w:hAnsi="楷体" w:eastAsia="楷体" w:cs="楷体"/>
          <w:b w:val="0"/>
          <w:i w:val="0"/>
          <w:iCs w:val="0"/>
          <w:color w:val="auto"/>
          <w:sz w:val="28"/>
          <w:szCs w:val="28"/>
          <w:lang w:val="en-US" w:eastAsia="zh-CN"/>
        </w:rPr>
        <w:t>180</w:t>
      </w:r>
      <w:r>
        <w:rPr>
          <w:rFonts w:hint="eastAsia" w:ascii="楷体" w:hAnsi="楷体" w:eastAsia="楷体" w:cs="楷体"/>
          <w:b w:val="0"/>
          <w:i w:val="0"/>
          <w:iCs w:val="0"/>
          <w:color w:val="auto"/>
          <w:sz w:val="28"/>
          <w:szCs w:val="28"/>
        </w:rPr>
        <w:t>个日历日内完成全部设备供货、安装调试、平台部署</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系统联调、数据接入、培训及最终验收。</w:t>
      </w:r>
    </w:p>
    <w:p w14:paraId="73B5877A">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安全要求：施工期间严格遵守安全生产规范，因施工造成的人身伤害及财产损失由</w:t>
      </w:r>
      <w:r>
        <w:rPr>
          <w:rFonts w:hint="eastAsia" w:ascii="楷体" w:hAnsi="楷体" w:eastAsia="楷体" w:cs="楷体"/>
          <w:b w:val="0"/>
          <w:i w:val="0"/>
          <w:iCs w:val="0"/>
          <w:color w:val="auto"/>
          <w:sz w:val="28"/>
          <w:szCs w:val="28"/>
          <w:lang w:eastAsia="zh-CN"/>
        </w:rPr>
        <w:t>供应商</w:t>
      </w:r>
      <w:r>
        <w:rPr>
          <w:rFonts w:hint="eastAsia" w:ascii="楷体" w:hAnsi="楷体" w:eastAsia="楷体" w:cs="楷体"/>
          <w:b w:val="0"/>
          <w:i w:val="0"/>
          <w:iCs w:val="0"/>
          <w:color w:val="auto"/>
          <w:sz w:val="28"/>
          <w:szCs w:val="28"/>
        </w:rPr>
        <w:t>承担全部责任。</w:t>
      </w:r>
    </w:p>
    <w:p w14:paraId="24AEEB56">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4.</w:t>
      </w:r>
      <w:r>
        <w:rPr>
          <w:rFonts w:hint="eastAsia" w:ascii="楷体" w:hAnsi="楷体" w:eastAsia="楷体" w:cs="楷体"/>
          <w:b/>
          <w:bCs/>
          <w:i w:val="0"/>
          <w:iCs w:val="0"/>
          <w:color w:val="auto"/>
          <w:sz w:val="28"/>
          <w:szCs w:val="28"/>
          <w:lang w:val="en-US" w:eastAsia="zh-CN"/>
        </w:rPr>
        <w:t>2</w:t>
      </w:r>
      <w:r>
        <w:rPr>
          <w:rFonts w:hint="eastAsia" w:ascii="楷体" w:hAnsi="楷体" w:eastAsia="楷体" w:cs="楷体"/>
          <w:b/>
          <w:bCs/>
          <w:i w:val="0"/>
          <w:iCs w:val="0"/>
          <w:color w:val="auto"/>
          <w:sz w:val="28"/>
          <w:szCs w:val="28"/>
        </w:rPr>
        <w:t xml:space="preserve"> 售后服务与运维</w:t>
      </w:r>
    </w:p>
    <w:p w14:paraId="2E7A547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质保期：3年</w:t>
      </w:r>
      <w:r>
        <w:rPr>
          <w:rFonts w:hint="eastAsia" w:ascii="楷体" w:hAnsi="楷体" w:eastAsia="楷体" w:cs="楷体"/>
          <w:b w:val="0"/>
          <w:i w:val="0"/>
          <w:iCs w:val="0"/>
          <w:color w:val="auto"/>
          <w:sz w:val="28"/>
          <w:szCs w:val="28"/>
          <w:lang w:eastAsia="zh-CN"/>
        </w:rPr>
        <w:t>，</w:t>
      </w:r>
      <w:r>
        <w:rPr>
          <w:rFonts w:hint="eastAsia" w:ascii="楷体" w:hAnsi="楷体" w:eastAsia="楷体" w:cs="楷体"/>
          <w:b w:val="0"/>
          <w:i w:val="0"/>
          <w:iCs w:val="0"/>
          <w:color w:val="auto"/>
          <w:sz w:val="28"/>
          <w:szCs w:val="28"/>
        </w:rPr>
        <w:t>免费运维服务（运维期自项目通过验收之日起计算）。</w:t>
      </w:r>
    </w:p>
    <w:p w14:paraId="23B26AE2">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运维服务：质保期内提供7×24小时远程技术支持，重大故障4小时内响应、24小时内到达现场修复。</w:t>
      </w:r>
    </w:p>
    <w:p w14:paraId="1F38350A">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数据校准：质保期内每季度对18个微站进行一次现场校准比对，确保监测数据准确可靠。</w:t>
      </w:r>
    </w:p>
    <w:p w14:paraId="78161375">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软件升级：质保期内提供免费软件升级、功能优化及安全补丁服务。</w:t>
      </w:r>
    </w:p>
    <w:p w14:paraId="37C67285">
      <w:pPr>
        <w:pStyle w:val="3"/>
        <w:pageBreakBefore w:val="0"/>
        <w:widowControl/>
        <w:kinsoku/>
        <w:wordWrap/>
        <w:overflowPunct/>
        <w:topLinePunct w:val="0"/>
        <w:autoSpaceDE/>
        <w:autoSpaceDN/>
        <w:bidi w:val="0"/>
        <w:adjustRightInd/>
        <w:snapToGrid/>
        <w:spacing w:before="0" w:after="0" w:line="360" w:lineRule="auto"/>
        <w:ind w:left="0" w:firstLine="562" w:firstLineChars="200"/>
        <w:textAlignment w:val="auto"/>
        <w:rPr>
          <w:rFonts w:hint="eastAsia" w:ascii="楷体" w:hAnsi="楷体" w:eastAsia="楷体" w:cs="楷体"/>
          <w:b/>
          <w:bCs/>
          <w:i w:val="0"/>
          <w:iCs w:val="0"/>
          <w:color w:val="auto"/>
          <w:sz w:val="28"/>
          <w:szCs w:val="28"/>
        </w:rPr>
      </w:pPr>
      <w:r>
        <w:rPr>
          <w:rFonts w:hint="eastAsia" w:ascii="楷体" w:hAnsi="楷体" w:eastAsia="楷体" w:cs="楷体"/>
          <w:b/>
          <w:bCs/>
          <w:i w:val="0"/>
          <w:iCs w:val="0"/>
          <w:color w:val="auto"/>
          <w:sz w:val="28"/>
          <w:szCs w:val="28"/>
        </w:rPr>
        <w:t>4.</w:t>
      </w:r>
      <w:r>
        <w:rPr>
          <w:rFonts w:hint="eastAsia" w:ascii="楷体" w:hAnsi="楷体" w:eastAsia="楷体" w:cs="楷体"/>
          <w:b/>
          <w:bCs/>
          <w:i w:val="0"/>
          <w:iCs w:val="0"/>
          <w:color w:val="auto"/>
          <w:sz w:val="28"/>
          <w:szCs w:val="28"/>
          <w:lang w:val="en-US" w:eastAsia="zh-CN"/>
        </w:rPr>
        <w:t>3</w:t>
      </w:r>
      <w:r>
        <w:rPr>
          <w:rFonts w:hint="eastAsia" w:ascii="楷体" w:hAnsi="楷体" w:eastAsia="楷体" w:cs="楷体"/>
          <w:b/>
          <w:bCs/>
          <w:i w:val="0"/>
          <w:iCs w:val="0"/>
          <w:color w:val="auto"/>
          <w:sz w:val="28"/>
          <w:szCs w:val="28"/>
        </w:rPr>
        <w:t>培训要求</w:t>
      </w:r>
    </w:p>
    <w:p w14:paraId="3881AB8D">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提供不少于3次集中培训（管理员培训、操作员培训、运维人员培训</w:t>
      </w:r>
      <w:r>
        <w:rPr>
          <w:rFonts w:hint="eastAsia" w:ascii="楷体" w:hAnsi="楷体" w:eastAsia="楷体" w:cs="楷体"/>
          <w:b w:val="0"/>
          <w:i w:val="0"/>
          <w:iCs w:val="0"/>
          <w:color w:val="auto"/>
          <w:sz w:val="28"/>
          <w:szCs w:val="28"/>
          <w:lang w:val="en-US" w:eastAsia="zh-CN"/>
        </w:rPr>
        <w:t>等</w:t>
      </w:r>
      <w:r>
        <w:rPr>
          <w:rFonts w:hint="eastAsia" w:ascii="楷体" w:hAnsi="楷体" w:eastAsia="楷体" w:cs="楷体"/>
          <w:b w:val="0"/>
          <w:i w:val="0"/>
          <w:iCs w:val="0"/>
          <w:color w:val="auto"/>
          <w:sz w:val="28"/>
          <w:szCs w:val="28"/>
        </w:rPr>
        <w:t>）。</w:t>
      </w:r>
    </w:p>
    <w:p w14:paraId="3A9AFD7F">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提供全套中文用户手册、运维手册、安装手册、安全配置手册。</w:t>
      </w:r>
    </w:p>
    <w:p w14:paraId="055C9028">
      <w:pPr>
        <w:pageBreakBefore w:val="0"/>
        <w:widowControl/>
        <w:kinsoku/>
        <w:wordWrap/>
        <w:overflowPunct/>
        <w:topLinePunct w:val="0"/>
        <w:autoSpaceDE/>
        <w:autoSpaceDN/>
        <w:bidi w:val="0"/>
        <w:adjustRightInd/>
        <w:snapToGrid/>
        <w:spacing w:after="0" w:line="360" w:lineRule="auto"/>
        <w:ind w:left="0" w:firstLine="560" w:firstLineChars="200"/>
        <w:textAlignment w:val="auto"/>
        <w:rPr>
          <w:rFonts w:hint="eastAsia" w:ascii="楷体" w:hAnsi="楷体" w:eastAsia="楷体" w:cs="楷体"/>
          <w:b w:val="0"/>
          <w:i w:val="0"/>
          <w:iCs w:val="0"/>
          <w:color w:val="auto"/>
          <w:sz w:val="28"/>
          <w:szCs w:val="28"/>
        </w:rPr>
      </w:pPr>
      <w:r>
        <w:rPr>
          <w:rFonts w:hint="eastAsia" w:ascii="楷体" w:hAnsi="楷体" w:eastAsia="楷体" w:cs="楷体"/>
          <w:b w:val="0"/>
          <w:i w:val="0"/>
          <w:iCs w:val="0"/>
          <w:color w:val="auto"/>
          <w:sz w:val="28"/>
          <w:szCs w:val="28"/>
        </w:rPr>
        <w:t>培训地点由采购人指定。</w:t>
      </w:r>
    </w:p>
    <w:p w14:paraId="60198D75">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五</w:t>
      </w:r>
      <w:r>
        <w:rPr>
          <w:rFonts w:hint="eastAsia" w:ascii="楷体" w:hAnsi="楷体" w:eastAsia="楷体" w:cs="楷体"/>
          <w:b/>
          <w:bCs/>
          <w:color w:val="auto"/>
          <w:sz w:val="28"/>
          <w:szCs w:val="28"/>
          <w:highlight w:val="none"/>
          <w:lang w:val="en-US"/>
        </w:rPr>
        <w:t>、</w:t>
      </w:r>
      <w:r>
        <w:rPr>
          <w:rFonts w:hint="eastAsia" w:ascii="楷体" w:hAnsi="楷体" w:eastAsia="楷体" w:cs="楷体"/>
          <w:b/>
          <w:bCs/>
          <w:color w:val="auto"/>
          <w:sz w:val="28"/>
          <w:szCs w:val="28"/>
          <w:highlight w:val="none"/>
          <w:lang w:val="en-US" w:eastAsia="zh-CN"/>
        </w:rPr>
        <w:t>其他</w:t>
      </w:r>
      <w:r>
        <w:rPr>
          <w:rFonts w:hint="eastAsia" w:ascii="楷体" w:hAnsi="楷体" w:eastAsia="楷体" w:cs="楷体"/>
          <w:b/>
          <w:bCs/>
          <w:color w:val="auto"/>
          <w:sz w:val="28"/>
          <w:szCs w:val="28"/>
          <w:highlight w:val="none"/>
          <w:lang w:val="en-US"/>
        </w:rPr>
        <w:t>服务要求</w:t>
      </w:r>
    </w:p>
    <w:p w14:paraId="1316755B">
      <w:pPr>
        <w:spacing w:line="360" w:lineRule="auto"/>
        <w:ind w:firstLine="562" w:firstLineChars="200"/>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5.1</w:t>
      </w:r>
      <w:r>
        <w:rPr>
          <w:rFonts w:hint="eastAsia" w:ascii="楷体" w:hAnsi="楷体" w:eastAsia="楷体" w:cs="楷体"/>
          <w:color w:val="auto"/>
          <w:sz w:val="28"/>
          <w:szCs w:val="28"/>
          <w:highlight w:val="none"/>
          <w:lang w:val="en-US"/>
        </w:rPr>
        <w:t>供应商</w:t>
      </w:r>
      <w:r>
        <w:rPr>
          <w:rFonts w:hint="eastAsia" w:ascii="楷体" w:hAnsi="楷体" w:eastAsia="楷体" w:cs="楷体"/>
          <w:color w:val="auto"/>
          <w:sz w:val="28"/>
          <w:szCs w:val="28"/>
          <w:highlight w:val="none"/>
          <w:lang w:val="en-US" w:eastAsia="zh-CN"/>
        </w:rPr>
        <w:t>可以</w:t>
      </w:r>
      <w:r>
        <w:rPr>
          <w:rFonts w:hint="eastAsia" w:ascii="楷体" w:hAnsi="楷体" w:eastAsia="楷体" w:cs="楷体"/>
          <w:color w:val="auto"/>
          <w:sz w:val="28"/>
          <w:szCs w:val="28"/>
          <w:highlight w:val="none"/>
          <w:lang w:val="en-US"/>
        </w:rPr>
        <w:t>在响应磋商文件前</w:t>
      </w:r>
      <w:r>
        <w:rPr>
          <w:rFonts w:hint="eastAsia" w:ascii="楷体" w:hAnsi="楷体" w:eastAsia="楷体" w:cs="楷体"/>
          <w:color w:val="auto"/>
          <w:sz w:val="28"/>
          <w:szCs w:val="28"/>
          <w:highlight w:val="none"/>
          <w:lang w:val="en-US" w:eastAsia="zh-CN"/>
        </w:rPr>
        <w:t>联系采购人</w:t>
      </w:r>
      <w:r>
        <w:rPr>
          <w:rFonts w:hint="eastAsia" w:ascii="楷体" w:hAnsi="楷体" w:eastAsia="楷体" w:cs="楷体"/>
          <w:color w:val="auto"/>
          <w:sz w:val="28"/>
          <w:szCs w:val="28"/>
          <w:highlight w:val="none"/>
          <w:lang w:val="en-US"/>
        </w:rPr>
        <w:t>进行现场踏勘。</w:t>
      </w:r>
    </w:p>
    <w:p w14:paraId="6F7DEAB8">
      <w:pPr>
        <w:spacing w:line="360" w:lineRule="auto"/>
        <w:ind w:firstLine="562" w:firstLineChars="200"/>
        <w:rPr>
          <w:rFonts w:hint="eastAsia" w:ascii="楷体" w:hAnsi="楷体" w:eastAsia="楷体" w:cs="楷体"/>
          <w:bCs/>
          <w:color w:val="auto"/>
          <w:sz w:val="28"/>
          <w:szCs w:val="28"/>
          <w:highlight w:val="none"/>
        </w:rPr>
      </w:pPr>
      <w:r>
        <w:rPr>
          <w:rFonts w:hint="eastAsia" w:ascii="楷体" w:hAnsi="楷体" w:eastAsia="楷体" w:cs="楷体"/>
          <w:b/>
          <w:bCs/>
          <w:color w:val="auto"/>
          <w:sz w:val="28"/>
          <w:szCs w:val="28"/>
          <w:highlight w:val="none"/>
          <w:lang w:val="en-US" w:eastAsia="zh-CN"/>
        </w:rPr>
        <w:t>5.2</w:t>
      </w:r>
      <w:r>
        <w:rPr>
          <w:rFonts w:hint="eastAsia" w:ascii="楷体" w:hAnsi="楷体" w:eastAsia="楷体" w:cs="楷体"/>
          <w:color w:val="auto"/>
          <w:sz w:val="28"/>
          <w:szCs w:val="28"/>
          <w:highlight w:val="none"/>
        </w:rPr>
        <w:t>本工程质量应达到最新国家质量评定合格标准。</w:t>
      </w:r>
      <w:r>
        <w:rPr>
          <w:rFonts w:hint="eastAsia" w:ascii="楷体" w:hAnsi="楷体" w:eastAsia="楷体" w:cs="楷体"/>
          <w:bCs/>
          <w:color w:val="auto"/>
          <w:sz w:val="28"/>
          <w:szCs w:val="28"/>
          <w:highlight w:val="none"/>
        </w:rPr>
        <w:t>所供的项目服务必须遵守国家颁布标准和有关规定。</w:t>
      </w:r>
    </w:p>
    <w:p w14:paraId="0ADF314D">
      <w:pPr>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5.3</w:t>
      </w:r>
      <w:r>
        <w:rPr>
          <w:rFonts w:hint="eastAsia" w:ascii="楷体" w:hAnsi="楷体" w:eastAsia="楷体" w:cs="楷体"/>
          <w:color w:val="auto"/>
          <w:sz w:val="28"/>
          <w:szCs w:val="28"/>
          <w:highlight w:val="none"/>
        </w:rPr>
        <w:t>成交供应商的项目经理必须每天要在现场全面负责本项目的施工。</w:t>
      </w:r>
    </w:p>
    <w:p w14:paraId="3227ADD1">
      <w:pPr>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5.4</w:t>
      </w:r>
      <w:r>
        <w:rPr>
          <w:rFonts w:hint="eastAsia" w:ascii="楷体" w:hAnsi="楷体" w:eastAsia="楷体" w:cs="楷体"/>
          <w:color w:val="auto"/>
          <w:sz w:val="28"/>
          <w:szCs w:val="28"/>
          <w:highlight w:val="none"/>
        </w:rPr>
        <w:t>在免费质保期内，供应商须对由于工程本身质量原因造成的任何缺损进行免费修补或更换。</w:t>
      </w:r>
    </w:p>
    <w:p w14:paraId="3BCD86EA">
      <w:pPr>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5.5</w:t>
      </w:r>
      <w:r>
        <w:rPr>
          <w:rFonts w:hint="eastAsia" w:ascii="楷体" w:hAnsi="楷体" w:eastAsia="楷体" w:cs="楷体"/>
          <w:color w:val="auto"/>
          <w:sz w:val="28"/>
          <w:szCs w:val="28"/>
          <w:highlight w:val="none"/>
        </w:rPr>
        <w:t>双方应及时办理隐蔽工程和中间工程的检查与验收手续。采购人不按时参加隐蔽工程和中间工程验收，成交供应商可自行验收，采购人应予承认。若采购人要求复验，成交供应商应按要求办理复验。若复验合格，采购人应承担复验费用由此造成停工，工期顺延；若复验不合格，其复验及返工费用由成交供应商承担，但工期也予顺延。</w:t>
      </w:r>
      <w:r>
        <w:rPr>
          <w:rFonts w:hint="eastAsia" w:ascii="楷体" w:hAnsi="楷体" w:eastAsia="楷体" w:cs="楷体"/>
          <w:bCs/>
          <w:color w:val="auto"/>
          <w:sz w:val="28"/>
          <w:szCs w:val="28"/>
          <w:highlight w:val="none"/>
        </w:rPr>
        <w:t>须按采购人要求项目的所有工作内容在规定的时间内实施完毕。</w:t>
      </w:r>
    </w:p>
    <w:p w14:paraId="366E75F5">
      <w:pPr>
        <w:tabs>
          <w:tab w:val="left" w:pos="0"/>
        </w:tabs>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5.6</w:t>
      </w:r>
      <w:r>
        <w:rPr>
          <w:rFonts w:hint="eastAsia" w:ascii="楷体" w:hAnsi="楷体" w:eastAsia="楷体" w:cs="楷体"/>
          <w:color w:val="auto"/>
          <w:sz w:val="28"/>
          <w:szCs w:val="28"/>
          <w:highlight w:val="none"/>
        </w:rPr>
        <w:t>由于成交供应商原因造成质量事故，其返工费用由成交供应商承担，工期不顺延。</w:t>
      </w:r>
    </w:p>
    <w:p w14:paraId="5DA13D96">
      <w:pPr>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5.7</w:t>
      </w:r>
      <w:r>
        <w:rPr>
          <w:rFonts w:hint="eastAsia" w:ascii="楷体" w:hAnsi="楷体" w:eastAsia="楷体" w:cs="楷体"/>
          <w:color w:val="auto"/>
          <w:sz w:val="28"/>
          <w:szCs w:val="28"/>
          <w:highlight w:val="none"/>
        </w:rPr>
        <w:t>工程竣工后，成交供应商应通知采购人验收，采购人自接到验收通知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日内组织验收，并办理验收、移交手续。如采购人在规定时间内未能组织验收，需及时通知成交供应商，另定验收日期。但采购人应承认成交供应商竣工日期。</w:t>
      </w:r>
      <w:r>
        <w:rPr>
          <w:rFonts w:hint="eastAsia" w:ascii="楷体" w:hAnsi="楷体" w:eastAsia="楷体" w:cs="楷体"/>
          <w:bCs/>
          <w:color w:val="auto"/>
          <w:sz w:val="28"/>
          <w:szCs w:val="28"/>
          <w:highlight w:val="none"/>
        </w:rPr>
        <w:t>提交项目验收的所需的全部技术资料。</w:t>
      </w:r>
    </w:p>
    <w:p w14:paraId="4EB761F2">
      <w:pPr>
        <w:tabs>
          <w:tab w:val="left" w:pos="0"/>
        </w:tabs>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5.8</w:t>
      </w:r>
      <w:r>
        <w:rPr>
          <w:rFonts w:hint="eastAsia" w:ascii="楷体" w:hAnsi="楷体" w:eastAsia="楷体" w:cs="楷体"/>
          <w:color w:val="auto"/>
          <w:sz w:val="28"/>
          <w:szCs w:val="28"/>
          <w:highlight w:val="none"/>
        </w:rPr>
        <w:t>本工程应符合国家环保质量要求,否则应承担违约责任并赔偿采购人损失。</w:t>
      </w:r>
    </w:p>
    <w:p w14:paraId="240D33A8">
      <w:pPr>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5.9</w:t>
      </w:r>
      <w:r>
        <w:rPr>
          <w:rFonts w:hint="eastAsia" w:ascii="楷体" w:hAnsi="楷体" w:eastAsia="楷体" w:cs="楷体"/>
          <w:bCs/>
          <w:color w:val="auto"/>
          <w:sz w:val="28"/>
          <w:szCs w:val="28"/>
          <w:highlight w:val="none"/>
        </w:rPr>
        <w:t>对采购人发现的问题及时补充修改。</w:t>
      </w:r>
      <w:r>
        <w:rPr>
          <w:rFonts w:hint="eastAsia" w:ascii="楷体" w:hAnsi="楷体" w:eastAsia="楷体" w:cs="楷体"/>
          <w:color w:val="auto"/>
          <w:sz w:val="28"/>
          <w:szCs w:val="28"/>
          <w:highlight w:val="none"/>
        </w:rPr>
        <w:t>工程交付尚未使用期间凡属工程遗留问题，成交供应商在接到采购人书面通知后三天内组织整改。逾期采购人将组织整改，一切费用由成交供应商承担。</w:t>
      </w:r>
    </w:p>
    <w:p w14:paraId="212E117D">
      <w:pPr>
        <w:spacing w:line="360" w:lineRule="auto"/>
        <w:ind w:firstLine="562" w:firstLineChars="200"/>
        <w:rPr>
          <w:rFonts w:hint="eastAsia" w:ascii="楷体" w:hAnsi="楷体" w:eastAsia="楷体" w:cs="楷体"/>
          <w:bCs/>
          <w:color w:val="auto"/>
          <w:sz w:val="28"/>
          <w:szCs w:val="28"/>
          <w:highlight w:val="none"/>
        </w:rPr>
      </w:pPr>
      <w:r>
        <w:rPr>
          <w:rFonts w:hint="eastAsia" w:ascii="楷体" w:hAnsi="楷体" w:eastAsia="楷体" w:cs="楷体"/>
          <w:b/>
          <w:bCs/>
          <w:color w:val="auto"/>
          <w:sz w:val="28"/>
          <w:szCs w:val="28"/>
          <w:highlight w:val="none"/>
          <w:lang w:val="en-US" w:eastAsia="zh-CN"/>
        </w:rPr>
        <w:t>5.10</w:t>
      </w:r>
      <w:r>
        <w:rPr>
          <w:rFonts w:hint="eastAsia" w:ascii="楷体" w:hAnsi="楷体" w:eastAsia="楷体" w:cs="楷体"/>
          <w:bCs/>
          <w:color w:val="auto"/>
          <w:sz w:val="28"/>
          <w:szCs w:val="28"/>
          <w:highlight w:val="none"/>
        </w:rPr>
        <w:t>成交供应商在履行合同过程中，一切事故的责任由成交供应商自行承担。</w:t>
      </w:r>
    </w:p>
    <w:p w14:paraId="40B5DDA2">
      <w:pPr>
        <w:spacing w:line="360" w:lineRule="auto"/>
        <w:ind w:firstLine="562" w:firstLineChars="200"/>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5.11</w:t>
      </w:r>
      <w:r>
        <w:rPr>
          <w:rFonts w:hint="eastAsia" w:ascii="楷体" w:hAnsi="楷体" w:eastAsia="楷体" w:cs="楷体"/>
          <w:color w:val="auto"/>
          <w:sz w:val="28"/>
          <w:szCs w:val="28"/>
          <w:highlight w:val="none"/>
        </w:rPr>
        <w:t>供应商对该工程所使用的全部材料、配件及工程质量负责，提供免费质保</w:t>
      </w:r>
      <w:r>
        <w:rPr>
          <w:rFonts w:hint="eastAsia" w:ascii="楷体" w:hAnsi="楷体" w:eastAsia="楷体" w:cs="楷体"/>
          <w:b/>
          <w:bCs/>
          <w:color w:val="auto"/>
          <w:sz w:val="28"/>
          <w:szCs w:val="28"/>
          <w:highlight w:val="none"/>
          <w:lang w:val="en-US" w:eastAsia="zh-CN"/>
        </w:rPr>
        <w:t>三</w:t>
      </w:r>
      <w:r>
        <w:rPr>
          <w:rFonts w:hint="eastAsia" w:ascii="楷体" w:hAnsi="楷体" w:eastAsia="楷体" w:cs="楷体"/>
          <w:b/>
          <w:bCs/>
          <w:color w:val="auto"/>
          <w:sz w:val="28"/>
          <w:szCs w:val="28"/>
          <w:highlight w:val="none"/>
        </w:rPr>
        <w:t>年</w:t>
      </w:r>
      <w:r>
        <w:rPr>
          <w:rFonts w:hint="eastAsia" w:ascii="楷体" w:hAnsi="楷体" w:eastAsia="楷体" w:cs="楷体"/>
          <w:color w:val="auto"/>
          <w:sz w:val="28"/>
          <w:szCs w:val="28"/>
          <w:highlight w:val="none"/>
        </w:rPr>
        <w:t>（请具体注明子项质保年限），从工程验收合格之日起计算，免费质保期间除人为损坏，其他质量问题 24 小时内到位维修。</w:t>
      </w:r>
    </w:p>
    <w:p w14:paraId="643D00A2">
      <w:pPr>
        <w:spacing w:line="360" w:lineRule="auto"/>
        <w:ind w:firstLine="562" w:firstLineChars="200"/>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5.12</w:t>
      </w:r>
      <w:r>
        <w:rPr>
          <w:rFonts w:hint="eastAsia" w:ascii="楷体" w:hAnsi="楷体" w:eastAsia="楷体" w:cs="楷体"/>
          <w:color w:val="auto"/>
          <w:sz w:val="28"/>
          <w:szCs w:val="28"/>
          <w:highlight w:val="none"/>
        </w:rPr>
        <w:t>通过验收后5个工作日内成交供应商必须将施工队伍、施工机具、周转材料等全部撤清，所有建筑垃圾等必须清运，保持施工现场平整、整洁，塔吊、井架基础等清理完成，如不清运，采购人委托清运，费用由成交供应商承担在决算中扣除；采购人提供的现场设施应完好，损坏需赔偿</w:t>
      </w:r>
      <w:r>
        <w:rPr>
          <w:rFonts w:hint="eastAsia" w:ascii="楷体" w:hAnsi="楷体" w:eastAsia="楷体" w:cs="楷体"/>
          <w:color w:val="auto"/>
          <w:sz w:val="28"/>
          <w:szCs w:val="28"/>
          <w:highlight w:val="none"/>
          <w:lang w:val="en-US"/>
        </w:rPr>
        <w:t>。</w:t>
      </w:r>
    </w:p>
    <w:p w14:paraId="15F65DCF">
      <w:pPr>
        <w:spacing w:line="360" w:lineRule="auto"/>
        <w:jc w:val="both"/>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六、</w:t>
      </w:r>
      <w:r>
        <w:rPr>
          <w:rFonts w:hint="eastAsia" w:ascii="楷体" w:hAnsi="楷体" w:eastAsia="楷体" w:cs="楷体"/>
          <w:b/>
          <w:bCs/>
          <w:color w:val="auto"/>
          <w:sz w:val="28"/>
          <w:szCs w:val="28"/>
          <w:highlight w:val="none"/>
          <w:lang w:val="en-US"/>
        </w:rPr>
        <w:t>安全施工要求</w:t>
      </w:r>
    </w:p>
    <w:p w14:paraId="286F4432">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6.1</w:t>
      </w:r>
      <w:r>
        <w:rPr>
          <w:rFonts w:hint="eastAsia" w:ascii="楷体" w:hAnsi="楷体" w:eastAsia="楷体" w:cs="楷体"/>
          <w:color w:val="auto"/>
          <w:sz w:val="28"/>
          <w:szCs w:val="28"/>
          <w:highlight w:val="none"/>
          <w:lang w:val="en-US"/>
        </w:rPr>
        <w:t>工程开工前应做好施工方案，严格遵守国家现行的有关安全技术规程、文件，针对本工程特点，制定专项安全防护管理制度和措施，消除事故隐患。</w:t>
      </w:r>
    </w:p>
    <w:p w14:paraId="7F478EB7">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6.2</w:t>
      </w:r>
      <w:r>
        <w:rPr>
          <w:rFonts w:hint="eastAsia" w:ascii="楷体" w:hAnsi="楷体" w:eastAsia="楷体" w:cs="楷体"/>
          <w:color w:val="auto"/>
          <w:sz w:val="28"/>
          <w:szCs w:val="28"/>
          <w:highlight w:val="none"/>
          <w:lang w:val="en-US"/>
        </w:rPr>
        <w:t>施工现场要采用全封闭施工，现场应有防止闲人进入的围栏，属于危险作业的地带应加上明显的标志，必要时派专人看管。</w:t>
      </w:r>
    </w:p>
    <w:p w14:paraId="3F24840F">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6.3</w:t>
      </w:r>
      <w:r>
        <w:rPr>
          <w:rFonts w:hint="eastAsia" w:ascii="楷体" w:hAnsi="楷体" w:eastAsia="楷体" w:cs="楷体"/>
          <w:color w:val="auto"/>
          <w:sz w:val="28"/>
          <w:szCs w:val="28"/>
          <w:highlight w:val="none"/>
          <w:lang w:val="en-US"/>
        </w:rPr>
        <w:t>同一现场有多单位配合施工时，应由总包单位与各有关单位共同议定安全工作制度，共同遵照执行。</w:t>
      </w:r>
    </w:p>
    <w:p w14:paraId="27BB047A">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6.4</w:t>
      </w:r>
      <w:r>
        <w:rPr>
          <w:rFonts w:hint="eastAsia" w:ascii="楷体" w:hAnsi="楷体" w:eastAsia="楷体" w:cs="楷体"/>
          <w:color w:val="auto"/>
          <w:sz w:val="28"/>
          <w:szCs w:val="28"/>
          <w:highlight w:val="none"/>
          <w:lang w:val="en-US"/>
        </w:rPr>
        <w:t>现场内的沟、坑、池、井和及各种预留洞口等其他危险部位，应设置防护栏或防护挡板，并设危险标志，在可能范围内加以封闭。</w:t>
      </w:r>
    </w:p>
    <w:p w14:paraId="0BEF2489">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6.5</w:t>
      </w:r>
      <w:r>
        <w:rPr>
          <w:rFonts w:hint="eastAsia" w:ascii="楷体" w:hAnsi="楷体" w:eastAsia="楷体" w:cs="楷体"/>
          <w:color w:val="auto"/>
          <w:sz w:val="28"/>
          <w:szCs w:val="28"/>
          <w:highlight w:val="none"/>
          <w:lang w:val="en-US"/>
        </w:rPr>
        <w:t>一切脚手架或棚架、防护设施、安全标志和警告牌等，一经架设后，不得擅自拆动。如需拆动时，必须经现场施工负责人同意。</w:t>
      </w:r>
    </w:p>
    <w:p w14:paraId="6D3E339D">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6.6</w:t>
      </w:r>
      <w:r>
        <w:rPr>
          <w:rFonts w:hint="eastAsia" w:ascii="楷体" w:hAnsi="楷体" w:eastAsia="楷体" w:cs="楷体"/>
          <w:color w:val="auto"/>
          <w:sz w:val="28"/>
          <w:szCs w:val="28"/>
          <w:highlight w:val="none"/>
          <w:lang w:val="en-US"/>
        </w:rPr>
        <w:t>不应在拆落的模板上行走，以防钉伤和模板失稳坠落伤人。</w:t>
      </w:r>
    </w:p>
    <w:p w14:paraId="55DAA0D7">
      <w:pPr>
        <w:spacing w:line="360" w:lineRule="auto"/>
        <w:ind w:firstLine="562" w:firstLineChars="200"/>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6.7</w:t>
      </w:r>
      <w:r>
        <w:rPr>
          <w:rFonts w:hint="eastAsia" w:ascii="楷体" w:hAnsi="楷体" w:eastAsia="楷体" w:cs="楷体"/>
          <w:color w:val="auto"/>
          <w:sz w:val="28"/>
          <w:szCs w:val="28"/>
          <w:highlight w:val="none"/>
          <w:lang w:val="en-US"/>
        </w:rPr>
        <w:t>在施工过程中，主要材料的技术参数及性能等不得低于编标依据，供货前主要材料设备须经采购人认可并书面确认，否则，采购人有权拒收且保留甲供材的权利。</w:t>
      </w:r>
    </w:p>
    <w:p w14:paraId="15DD57CD">
      <w:pPr>
        <w:spacing w:line="360" w:lineRule="auto"/>
        <w:ind w:firstLine="562" w:firstLineChars="200"/>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6.8</w:t>
      </w:r>
      <w:r>
        <w:rPr>
          <w:rFonts w:hint="eastAsia" w:ascii="楷体" w:hAnsi="楷体" w:eastAsia="楷体" w:cs="楷体"/>
          <w:color w:val="auto"/>
          <w:sz w:val="28"/>
          <w:szCs w:val="28"/>
          <w:highlight w:val="none"/>
          <w:lang w:val="en-US"/>
        </w:rPr>
        <w:t>质量要求：符合国家、江苏省相关规范、标准，满足采购人使用需求，达到本项目甲方各项要求及工程质量达到国家规范标准要求。</w:t>
      </w:r>
    </w:p>
    <w:p w14:paraId="24029006">
      <w:pPr>
        <w:spacing w:line="360" w:lineRule="auto"/>
        <w:ind w:firstLine="562" w:firstLineChars="200"/>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6.9</w:t>
      </w:r>
      <w:r>
        <w:rPr>
          <w:rFonts w:hint="eastAsia" w:ascii="楷体" w:hAnsi="楷体" w:eastAsia="楷体" w:cs="楷体"/>
          <w:color w:val="auto"/>
          <w:sz w:val="28"/>
          <w:szCs w:val="28"/>
          <w:highlight w:val="none"/>
          <w:lang w:val="en-US"/>
        </w:rPr>
        <w:t>供应商对该工程所使用的全部材料及工程质量负责，工程的质量保修期应按《建设工程质量管理条例》及有关规定执行，请具体注明子项质保年限。从工程验收合格之日起计算，免费质保期间除人为损坏，其他质量问题 48 小时内到位维修。</w:t>
      </w:r>
    </w:p>
    <w:p w14:paraId="08F2D270">
      <w:pPr>
        <w:spacing w:line="360" w:lineRule="auto"/>
        <w:jc w:val="both"/>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七</w:t>
      </w:r>
      <w:r>
        <w:rPr>
          <w:rFonts w:hint="eastAsia" w:ascii="楷体" w:hAnsi="楷体" w:eastAsia="楷体" w:cs="楷体"/>
          <w:b/>
          <w:bCs/>
          <w:color w:val="auto"/>
          <w:sz w:val="28"/>
          <w:szCs w:val="28"/>
          <w:highlight w:val="none"/>
          <w:lang w:val="en-US"/>
        </w:rPr>
        <w:t>、施工环境保护</w:t>
      </w:r>
    </w:p>
    <w:p w14:paraId="50B5AD3C">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7.1</w:t>
      </w:r>
      <w:r>
        <w:rPr>
          <w:rFonts w:hint="eastAsia" w:ascii="楷体" w:hAnsi="楷体" w:eastAsia="楷体" w:cs="楷体"/>
          <w:color w:val="auto"/>
          <w:sz w:val="28"/>
          <w:szCs w:val="28"/>
          <w:highlight w:val="none"/>
          <w:lang w:val="en-US"/>
        </w:rPr>
        <w:t>严格遵守国家环境保护法律、法规，在合同规定施工区外的生态环境绿色植物、树木等，尽量维护原状，尽力保护施工区内林木、植被，同时注意保护地下文物。</w:t>
      </w:r>
    </w:p>
    <w:p w14:paraId="4F1B4E39">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7.2</w:t>
      </w:r>
      <w:r>
        <w:rPr>
          <w:rFonts w:hint="eastAsia" w:ascii="楷体" w:hAnsi="楷体" w:eastAsia="楷体" w:cs="楷体"/>
          <w:color w:val="auto"/>
          <w:sz w:val="28"/>
          <w:szCs w:val="28"/>
          <w:highlight w:val="none"/>
          <w:lang w:val="en-US"/>
        </w:rPr>
        <w:t>制定环境保护管理规定，保护和改善施工现场的生活环境和生态环境。工程项目文明施工总的原则和要求是：文明施工，人人有责；分工负责，逐级监督；场地整洁，存放有序；创造安全、整洁、有序的施工环境与条件，以适应现代管理的需要。</w:t>
      </w:r>
    </w:p>
    <w:p w14:paraId="34F811B5">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7.3</w:t>
      </w:r>
      <w:r>
        <w:rPr>
          <w:rFonts w:hint="eastAsia" w:ascii="楷体" w:hAnsi="楷体" w:eastAsia="楷体" w:cs="楷体"/>
          <w:color w:val="auto"/>
          <w:sz w:val="28"/>
          <w:szCs w:val="28"/>
          <w:highlight w:val="none"/>
          <w:lang w:val="en-US"/>
        </w:rPr>
        <w:t>施工期间要定期清扫、洒水，以减少尘土飞扬。水泥、白灰、粉煤灰等易飞扬的细颗散体材料露天堆放时应下垫上盖，防止飞扬和流失污染。</w:t>
      </w:r>
    </w:p>
    <w:p w14:paraId="552B9627">
      <w:pPr>
        <w:spacing w:line="360" w:lineRule="auto"/>
        <w:ind w:firstLine="562" w:firstLineChars="200"/>
        <w:jc w:val="both"/>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7.4</w:t>
      </w:r>
      <w:r>
        <w:rPr>
          <w:rFonts w:hint="eastAsia" w:ascii="楷体" w:hAnsi="楷体" w:eastAsia="楷体" w:cs="楷体"/>
          <w:color w:val="auto"/>
          <w:sz w:val="28"/>
          <w:szCs w:val="28"/>
          <w:highlight w:val="none"/>
          <w:lang w:val="en-US"/>
        </w:rPr>
        <w:t>施工范围四周应设置样式统一的围挡，全面推行现场施工标准化作业。</w:t>
      </w:r>
    </w:p>
    <w:p w14:paraId="33F8964C">
      <w:pPr>
        <w:pStyle w:val="9"/>
        <w:spacing w:line="360" w:lineRule="auto"/>
        <w:ind w:left="0" w:leftChars="0" w:firstLine="562" w:firstLineChars="200"/>
        <w:rPr>
          <w:rFonts w:hint="eastAsia" w:ascii="楷体" w:hAnsi="楷体" w:eastAsia="楷体" w:cs="楷体"/>
          <w:sz w:val="28"/>
          <w:szCs w:val="28"/>
          <w:lang w:eastAsia="zh-CN"/>
        </w:rPr>
      </w:pPr>
      <w:r>
        <w:rPr>
          <w:rFonts w:hint="eastAsia" w:ascii="楷体" w:hAnsi="楷体" w:eastAsia="楷体" w:cs="楷体"/>
          <w:b/>
          <w:bCs/>
          <w:color w:val="auto"/>
          <w:sz w:val="28"/>
          <w:szCs w:val="28"/>
          <w:highlight w:val="none"/>
          <w:lang w:val="en-US" w:eastAsia="zh-CN"/>
        </w:rPr>
        <w:t>7.5</w:t>
      </w:r>
      <w:r>
        <w:rPr>
          <w:rFonts w:hint="eastAsia" w:ascii="楷体" w:hAnsi="楷体" w:eastAsia="楷体" w:cs="楷体"/>
          <w:color w:val="auto"/>
          <w:sz w:val="28"/>
          <w:szCs w:val="28"/>
          <w:highlight w:val="none"/>
          <w:lang w:val="en-US"/>
        </w:rPr>
        <w:t>对产生噪声、振动的施工机械，采取有效的控制措施，减轻噪声扰民。在施工作业时，除抢险、抢修外，有较大噪声、振动较大的设备不应安排在夜间（22时～次日6时）施工</w:t>
      </w:r>
      <w:r>
        <w:rPr>
          <w:rFonts w:hint="eastAsia" w:ascii="楷体" w:hAnsi="楷体" w:eastAsia="楷体" w:cs="楷体"/>
          <w:color w:val="auto"/>
          <w:sz w:val="28"/>
          <w:szCs w:val="28"/>
          <w:highlight w:val="none"/>
          <w:lang w:val="en-US" w:eastAsia="zh-CN"/>
        </w:rPr>
        <w:t>。</w:t>
      </w:r>
    </w:p>
    <w:p w14:paraId="1DB20721">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八、</w:t>
      </w:r>
      <w:r>
        <w:rPr>
          <w:rFonts w:hint="eastAsia" w:ascii="楷体" w:hAnsi="楷体" w:eastAsia="楷体" w:cs="楷体"/>
          <w:b/>
          <w:bCs/>
          <w:color w:val="auto"/>
          <w:sz w:val="28"/>
          <w:szCs w:val="28"/>
          <w:highlight w:val="none"/>
          <w:lang w:val="en-US"/>
        </w:rPr>
        <w:t>实施方案要求</w:t>
      </w:r>
    </w:p>
    <w:p w14:paraId="7B9F0C18">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8.1</w:t>
      </w:r>
      <w:r>
        <w:rPr>
          <w:rFonts w:hint="eastAsia" w:ascii="楷体" w:hAnsi="楷体" w:eastAsia="楷体" w:cs="楷体"/>
          <w:color w:val="auto"/>
          <w:sz w:val="28"/>
          <w:szCs w:val="28"/>
          <w:highlight w:val="none"/>
          <w:lang w:val="en-US" w:eastAsia="zh-CN"/>
        </w:rPr>
        <w:t>供应商</w:t>
      </w:r>
      <w:r>
        <w:rPr>
          <w:rFonts w:hint="eastAsia" w:ascii="楷体" w:hAnsi="楷体" w:eastAsia="楷体" w:cs="楷体"/>
          <w:color w:val="auto"/>
          <w:sz w:val="28"/>
          <w:szCs w:val="28"/>
          <w:highlight w:val="none"/>
          <w:lang w:val="en-US"/>
        </w:rPr>
        <w:t>中标后需充分了解现状和业务需求，与采购人等相关方充分沟通后，制定详细可行的项目实施方案，对项目计划与进度、项目质量、风险等进行总体管控与协调，经用户认可后方可开始实施。</w:t>
      </w:r>
      <w:r>
        <w:rPr>
          <w:rFonts w:hint="eastAsia" w:ascii="楷体" w:hAnsi="楷体" w:eastAsia="楷体" w:cs="楷体"/>
          <w:color w:val="auto"/>
          <w:sz w:val="28"/>
          <w:szCs w:val="28"/>
          <w:highlight w:val="none"/>
          <w:lang w:val="en-US" w:eastAsia="zh-CN"/>
        </w:rPr>
        <w:t>供应商</w:t>
      </w:r>
      <w:r>
        <w:rPr>
          <w:rFonts w:hint="eastAsia" w:ascii="楷体" w:hAnsi="楷体" w:eastAsia="楷体" w:cs="楷体"/>
          <w:color w:val="auto"/>
          <w:sz w:val="28"/>
          <w:szCs w:val="28"/>
          <w:highlight w:val="none"/>
          <w:lang w:val="en-US"/>
        </w:rPr>
        <w:t>需针对本项目成立专门的项目团队，积极主动与用户单位进行协调沟通，在规定的时间内，保质保量的完成投标所提供应用系统的研发、安装、调试及投入运行，达成项目建设目标。</w:t>
      </w:r>
    </w:p>
    <w:p w14:paraId="125257BD">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8.2</w:t>
      </w:r>
      <w:r>
        <w:rPr>
          <w:rFonts w:hint="eastAsia" w:ascii="楷体" w:hAnsi="楷体" w:eastAsia="楷体" w:cs="楷体"/>
          <w:color w:val="auto"/>
          <w:sz w:val="28"/>
          <w:szCs w:val="28"/>
          <w:highlight w:val="none"/>
          <w:lang w:val="en-US" w:eastAsia="zh-CN"/>
        </w:rPr>
        <w:t>供应商</w:t>
      </w:r>
      <w:r>
        <w:rPr>
          <w:rFonts w:hint="eastAsia" w:ascii="楷体" w:hAnsi="楷体" w:eastAsia="楷体" w:cs="楷体"/>
          <w:color w:val="auto"/>
          <w:sz w:val="28"/>
          <w:szCs w:val="28"/>
          <w:highlight w:val="none"/>
          <w:lang w:val="en-US"/>
        </w:rPr>
        <w:t>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w:t>
      </w:r>
      <w:r>
        <w:rPr>
          <w:rFonts w:hint="eastAsia" w:ascii="楷体" w:hAnsi="楷体" w:eastAsia="楷体" w:cs="楷体"/>
          <w:color w:val="auto"/>
          <w:sz w:val="28"/>
          <w:szCs w:val="28"/>
          <w:highlight w:val="none"/>
          <w:lang w:val="en-US" w:eastAsia="zh-CN"/>
        </w:rPr>
        <w:t>磋商供应商</w:t>
      </w:r>
      <w:r>
        <w:rPr>
          <w:rFonts w:hint="eastAsia" w:ascii="楷体" w:hAnsi="楷体" w:eastAsia="楷体" w:cs="楷体"/>
          <w:color w:val="auto"/>
          <w:sz w:val="28"/>
          <w:szCs w:val="28"/>
          <w:highlight w:val="none"/>
          <w:lang w:val="en-US"/>
        </w:rPr>
        <w:t>自行解决。</w:t>
      </w:r>
    </w:p>
    <w:p w14:paraId="0E04707A">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8.3</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须签订保密协议，承诺在项目实施中凡涉及档案数据管理、保存、迁移等相关工作时须严格遵守档案数据安全保密相关规定。</w:t>
      </w:r>
    </w:p>
    <w:p w14:paraId="37F175EB">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eastAsia="zh-CN"/>
        </w:rPr>
        <w:t>九、</w:t>
      </w:r>
      <w:r>
        <w:rPr>
          <w:rFonts w:hint="eastAsia" w:ascii="楷体" w:hAnsi="楷体" w:eastAsia="楷体" w:cs="楷体"/>
          <w:b/>
          <w:bCs/>
          <w:color w:val="auto"/>
          <w:sz w:val="28"/>
          <w:szCs w:val="28"/>
          <w:highlight w:val="none"/>
          <w:lang w:val="en-US"/>
        </w:rPr>
        <w:t>售后服务方案要求</w:t>
      </w:r>
    </w:p>
    <w:p w14:paraId="6EE93456">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9.1</w:t>
      </w:r>
      <w:r>
        <w:rPr>
          <w:rFonts w:hint="eastAsia" w:ascii="楷体" w:hAnsi="楷体" w:eastAsia="楷体" w:cs="楷体"/>
          <w:color w:val="auto"/>
          <w:sz w:val="28"/>
          <w:szCs w:val="28"/>
          <w:highlight w:val="none"/>
          <w:lang w:val="en-US" w:eastAsia="zh-CN"/>
        </w:rPr>
        <w:t>供应商</w:t>
      </w:r>
      <w:r>
        <w:rPr>
          <w:rFonts w:hint="eastAsia" w:ascii="楷体" w:hAnsi="楷体" w:eastAsia="楷体" w:cs="楷体"/>
          <w:color w:val="auto"/>
          <w:sz w:val="28"/>
          <w:szCs w:val="28"/>
          <w:highlight w:val="none"/>
          <w:lang w:val="en-US"/>
        </w:rPr>
        <w:t>中标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p>
    <w:p w14:paraId="43832FFB">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9.2</w:t>
      </w:r>
      <w:r>
        <w:rPr>
          <w:rFonts w:hint="eastAsia" w:ascii="楷体" w:hAnsi="楷体" w:eastAsia="楷体" w:cs="楷体"/>
          <w:color w:val="auto"/>
          <w:sz w:val="28"/>
          <w:szCs w:val="28"/>
          <w:highlight w:val="none"/>
          <w:lang w:val="en-US"/>
        </w:rPr>
        <w:t>服务期内，本合同项目所有技术和服务发生任何非人为故障，由成交供应商负责恢复。故障报修的响应时间为即时，到达现场的时间为8小时，小型故障恢复时间为12个小时，严重故障恢复时间为48小时内，并及时有效的提供解决方案。</w:t>
      </w:r>
    </w:p>
    <w:p w14:paraId="685DFD40">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9.3</w:t>
      </w:r>
      <w:r>
        <w:rPr>
          <w:rFonts w:hint="eastAsia" w:ascii="楷体" w:hAnsi="楷体" w:eastAsia="楷体" w:cs="楷体"/>
          <w:color w:val="auto"/>
          <w:sz w:val="28"/>
          <w:szCs w:val="28"/>
          <w:highlight w:val="none"/>
          <w:lang w:val="en-US"/>
        </w:rPr>
        <w:t>服务期内，对采购单位提出的合理服务要求，成交供应商必须即时进行电话、邮件及远程网络支持，如以上方式无法解决问题，</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需在8小时内到场服务。如不到场，采购单位有权自行处理，相关费用由</w:t>
      </w:r>
      <w:r>
        <w:rPr>
          <w:rFonts w:hint="eastAsia" w:ascii="楷体" w:hAnsi="楷体" w:eastAsia="楷体" w:cs="楷体"/>
          <w:color w:val="auto"/>
          <w:sz w:val="28"/>
          <w:szCs w:val="28"/>
          <w:highlight w:val="none"/>
          <w:lang w:val="en-US" w:eastAsia="zh-CN"/>
        </w:rPr>
        <w:t>磋商供应商</w:t>
      </w:r>
      <w:r>
        <w:rPr>
          <w:rFonts w:hint="eastAsia" w:ascii="楷体" w:hAnsi="楷体" w:eastAsia="楷体" w:cs="楷体"/>
          <w:color w:val="auto"/>
          <w:sz w:val="28"/>
          <w:szCs w:val="28"/>
          <w:highlight w:val="none"/>
          <w:lang w:val="en-US"/>
        </w:rPr>
        <w:t>负责。</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需提供定期回访服务。</w:t>
      </w:r>
    </w:p>
    <w:p w14:paraId="033E4854">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9.4</w:t>
      </w:r>
      <w:r>
        <w:rPr>
          <w:rFonts w:hint="eastAsia" w:ascii="楷体" w:hAnsi="楷体" w:eastAsia="楷体" w:cs="楷体"/>
          <w:color w:val="auto"/>
          <w:sz w:val="28"/>
          <w:szCs w:val="28"/>
          <w:highlight w:val="none"/>
          <w:lang w:val="en-US"/>
        </w:rPr>
        <w:t>升级保障方案要求</w:t>
      </w:r>
    </w:p>
    <w:p w14:paraId="03A8988A">
      <w:pPr>
        <w:spacing w:line="360" w:lineRule="auto"/>
        <w:ind w:firstLine="560"/>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供应商</w:t>
      </w:r>
      <w:r>
        <w:rPr>
          <w:rFonts w:hint="eastAsia" w:ascii="楷体" w:hAnsi="楷体" w:eastAsia="楷体" w:cs="楷体"/>
          <w:color w:val="auto"/>
          <w:sz w:val="28"/>
          <w:szCs w:val="28"/>
          <w:highlight w:val="none"/>
          <w:lang w:val="en-US"/>
        </w:rPr>
        <w:t>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p>
    <w:p w14:paraId="1F60C385">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十、项目验收</w:t>
      </w:r>
    </w:p>
    <w:p w14:paraId="72D9443B">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10.1</w:t>
      </w:r>
      <w:r>
        <w:rPr>
          <w:rFonts w:hint="eastAsia" w:ascii="楷体" w:hAnsi="楷体" w:eastAsia="楷体" w:cs="楷体"/>
          <w:color w:val="auto"/>
          <w:sz w:val="28"/>
          <w:szCs w:val="28"/>
          <w:highlight w:val="none"/>
          <w:lang w:val="en-US"/>
        </w:rPr>
        <w:t>采购人依法组织履约验收工作。</w:t>
      </w:r>
    </w:p>
    <w:p w14:paraId="334803B7">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10.2</w:t>
      </w:r>
      <w:r>
        <w:rPr>
          <w:rFonts w:hint="eastAsia" w:ascii="楷体" w:hAnsi="楷体" w:eastAsia="楷体" w:cs="楷体"/>
          <w:color w:val="auto"/>
          <w:sz w:val="28"/>
          <w:szCs w:val="28"/>
          <w:highlight w:val="none"/>
          <w:lang w:val="en-US"/>
        </w:rPr>
        <w:t>采购人在组织履约验收前，将根据项目特点制定验收方案，明确履约验收的时间、方式、程序等内容，并可根据项目特点对服务期内的服务实施情况进行分期考核，综合考核情况和服务效果进行验收。</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应根据验收方案内容做好相应配合工作。</w:t>
      </w:r>
    </w:p>
    <w:p w14:paraId="432ABF16">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10.3</w:t>
      </w:r>
      <w:r>
        <w:rPr>
          <w:rFonts w:hint="eastAsia" w:ascii="楷体" w:hAnsi="楷体" w:eastAsia="楷体" w:cs="楷体"/>
          <w:color w:val="auto"/>
          <w:sz w:val="28"/>
          <w:szCs w:val="28"/>
          <w:highlight w:val="none"/>
          <w:lang w:val="en-US"/>
        </w:rPr>
        <w:t>对于实际使用人和采购人分离的项目，采购人邀请实际使用人参与验收。</w:t>
      </w:r>
    </w:p>
    <w:p w14:paraId="11082A0F">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10.4</w:t>
      </w:r>
      <w:r>
        <w:rPr>
          <w:rFonts w:hint="eastAsia" w:ascii="楷体" w:hAnsi="楷体" w:eastAsia="楷体" w:cs="楷体"/>
          <w:color w:val="auto"/>
          <w:sz w:val="28"/>
          <w:szCs w:val="28"/>
          <w:highlight w:val="none"/>
          <w:lang w:val="en-US"/>
        </w:rPr>
        <w:t>如有必要，采购人邀请参加本项目的其他供应商或第三方专业机构及专家参与验收，相关意见将作为验收书的参考资料。</w:t>
      </w:r>
    </w:p>
    <w:p w14:paraId="4EB9B555">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10.5</w:t>
      </w:r>
      <w:r>
        <w:rPr>
          <w:rFonts w:hint="eastAsia" w:ascii="楷体" w:hAnsi="楷体" w:eastAsia="楷体" w:cs="楷体"/>
          <w:color w:val="auto"/>
          <w:sz w:val="28"/>
          <w:szCs w:val="28"/>
          <w:highlight w:val="none"/>
          <w:lang w:val="en-US"/>
        </w:rPr>
        <w:t>采购人成立验收小组，按照采购合同的约定对</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4CE8CCF">
      <w:pPr>
        <w:spacing w:line="360" w:lineRule="auto"/>
        <w:ind w:firstLine="562" w:firstLineChars="200"/>
        <w:rPr>
          <w:rFonts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eastAsia="zh-CN"/>
        </w:rPr>
        <w:t>10.6</w:t>
      </w:r>
      <w:r>
        <w:rPr>
          <w:rFonts w:hint="eastAsia" w:ascii="楷体" w:hAnsi="楷体" w:eastAsia="楷体" w:cs="楷体"/>
          <w:color w:val="auto"/>
          <w:sz w:val="28"/>
          <w:szCs w:val="28"/>
          <w:highlight w:val="none"/>
          <w:lang w:val="en-US"/>
        </w:rPr>
        <w:t>验收合格的项目,采购人根据采购合同的约定及时向</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支付合同款项、退还履约保证金。验收不合格的项目，采购人依法及时处理。采购合同的履行、违约责任和解决争议的方式等适用《民法典》。</w:t>
      </w:r>
      <w:r>
        <w:rPr>
          <w:rFonts w:hint="eastAsia" w:ascii="楷体" w:hAnsi="楷体" w:eastAsia="楷体" w:cs="楷体"/>
          <w:color w:val="auto"/>
          <w:sz w:val="28"/>
          <w:szCs w:val="28"/>
          <w:highlight w:val="none"/>
          <w:lang w:val="en-US" w:eastAsia="zh-CN"/>
        </w:rPr>
        <w:t>成交供应商</w:t>
      </w:r>
      <w:r>
        <w:rPr>
          <w:rFonts w:hint="eastAsia" w:ascii="楷体" w:hAnsi="楷体" w:eastAsia="楷体" w:cs="楷体"/>
          <w:color w:val="auto"/>
          <w:sz w:val="28"/>
          <w:szCs w:val="28"/>
          <w:highlight w:val="none"/>
          <w:lang w:val="en-US"/>
        </w:rPr>
        <w:t>在履约过程中有政府采购法律法规规定的违法违规情形的,采购人将及时报告本级财政部门。</w:t>
      </w:r>
    </w:p>
    <w:p w14:paraId="1C6DED48">
      <w:pPr>
        <w:spacing w:line="360" w:lineRule="auto"/>
        <w:rPr>
          <w:rFonts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十</w:t>
      </w:r>
      <w:r>
        <w:rPr>
          <w:rFonts w:hint="eastAsia" w:ascii="楷体" w:hAnsi="楷体" w:eastAsia="楷体" w:cs="楷体"/>
          <w:b/>
          <w:bCs/>
          <w:color w:val="auto"/>
          <w:sz w:val="28"/>
          <w:szCs w:val="28"/>
          <w:highlight w:val="none"/>
          <w:lang w:val="en-US" w:eastAsia="zh-CN"/>
        </w:rPr>
        <w:t>一</w:t>
      </w:r>
      <w:r>
        <w:rPr>
          <w:rFonts w:hint="eastAsia" w:ascii="楷体" w:hAnsi="楷体" w:eastAsia="楷体" w:cs="楷体"/>
          <w:b/>
          <w:bCs/>
          <w:color w:val="auto"/>
          <w:sz w:val="28"/>
          <w:szCs w:val="28"/>
          <w:highlight w:val="none"/>
          <w:lang w:val="en-US"/>
        </w:rPr>
        <w:t>、报价费用说明</w:t>
      </w:r>
    </w:p>
    <w:p w14:paraId="49F96793">
      <w:pPr>
        <w:spacing w:line="360" w:lineRule="auto"/>
        <w:ind w:firstLine="560"/>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本项目固定总价报价，投标报价应包括磋商文件所确定的招标范围内的全部工作内容，供应商须充分考虑本项目的特殊性和不可预见性在内的所有为完成本项目的设计与实施及由此引起所需的各项应有费用、税金等，以及为完成上述内容所必须的附属设施、临时设施、材料、劳务及所需的全部费用。</w:t>
      </w:r>
    </w:p>
    <w:p w14:paraId="042A18E0">
      <w:pPr>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十</w:t>
      </w:r>
      <w:r>
        <w:rPr>
          <w:rFonts w:hint="eastAsia" w:ascii="楷体" w:hAnsi="楷体" w:eastAsia="楷体" w:cs="楷体"/>
          <w:b/>
          <w:bCs/>
          <w:color w:val="auto"/>
          <w:sz w:val="28"/>
          <w:szCs w:val="28"/>
          <w:highlight w:val="none"/>
          <w:lang w:val="en-US" w:eastAsia="zh-CN"/>
        </w:rPr>
        <w:t>二</w:t>
      </w:r>
      <w:r>
        <w:rPr>
          <w:rFonts w:hint="eastAsia" w:ascii="楷体" w:hAnsi="楷体" w:eastAsia="楷体" w:cs="楷体"/>
          <w:b/>
          <w:bCs/>
          <w:color w:val="auto"/>
          <w:sz w:val="28"/>
          <w:szCs w:val="28"/>
          <w:highlight w:val="none"/>
        </w:rPr>
        <w:t>、付款</w:t>
      </w:r>
      <w:r>
        <w:rPr>
          <w:rFonts w:hint="eastAsia" w:ascii="楷体" w:hAnsi="楷体" w:eastAsia="楷体" w:cs="楷体"/>
          <w:b/>
          <w:bCs/>
          <w:color w:val="auto"/>
          <w:sz w:val="28"/>
          <w:szCs w:val="28"/>
          <w:highlight w:val="none"/>
          <w:lang w:val="en-US"/>
        </w:rPr>
        <w:t>方式</w:t>
      </w:r>
    </w:p>
    <w:p w14:paraId="1614BA56">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12.1 合同签订后甲方自收到发票后10个工作日内预付合同价的30%(如乙方不需支付此项费用的，甲方可不支付，本项费用连同后期一并支付);</w:t>
      </w:r>
    </w:p>
    <w:p w14:paraId="522F8698">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12.2项目竣工验收合格后自收到发票后10个工作日内再支付合同价的50%</w:t>
      </w:r>
    </w:p>
    <w:p w14:paraId="68B34CD3">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12.3.第一年运维期满后，自收到发票后10个工作日内再支付合同价的5%;</w:t>
      </w:r>
    </w:p>
    <w:p w14:paraId="0CB80912">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12.4 第二年运维期满后，自收到发票后10个工作日内再支付合同价的5%;</w:t>
      </w:r>
    </w:p>
    <w:p w14:paraId="1173ACA6">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12.5第三年运维期满后，自收到发票后10个工作日内付清剩余合同款。</w:t>
      </w:r>
    </w:p>
    <w:p w14:paraId="3F17E0CF">
      <w:pPr>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rPr>
        <w:t>十</w:t>
      </w:r>
      <w:r>
        <w:rPr>
          <w:rFonts w:hint="eastAsia" w:ascii="楷体" w:hAnsi="楷体" w:eastAsia="楷体" w:cs="楷体"/>
          <w:b/>
          <w:bCs/>
          <w:sz w:val="28"/>
          <w:szCs w:val="28"/>
          <w:lang w:val="en-US" w:eastAsia="zh-CN"/>
        </w:rPr>
        <w:t>三</w:t>
      </w:r>
      <w:r>
        <w:rPr>
          <w:rFonts w:hint="eastAsia" w:ascii="楷体" w:hAnsi="楷体" w:eastAsia="楷体" w:cs="楷体"/>
          <w:b/>
          <w:bCs/>
          <w:sz w:val="28"/>
          <w:szCs w:val="28"/>
        </w:rPr>
        <w:t>、</w:t>
      </w:r>
      <w:r>
        <w:rPr>
          <w:rFonts w:hint="eastAsia" w:ascii="楷体" w:hAnsi="楷体" w:eastAsia="楷体" w:cs="楷体"/>
          <w:b/>
          <w:bCs/>
          <w:sz w:val="28"/>
          <w:szCs w:val="28"/>
          <w:lang w:val="en-US"/>
        </w:rPr>
        <w:t>其他要求</w:t>
      </w:r>
    </w:p>
    <w:p w14:paraId="46D27267">
      <w:r>
        <w:rPr>
          <w:rFonts w:hint="eastAsia" w:ascii="楷体" w:hAnsi="楷体" w:eastAsia="楷体" w:cs="楷体"/>
          <w:sz w:val="28"/>
          <w:szCs w:val="28"/>
          <w:lang w:val="en-US"/>
        </w:rPr>
        <w:t>在本项目实施过程中，成交供应商需严格遵守</w:t>
      </w:r>
      <w:r>
        <w:rPr>
          <w:rFonts w:hint="eastAsia" w:ascii="楷体" w:hAnsi="楷体" w:eastAsia="楷体" w:cs="楷体"/>
          <w:color w:val="auto"/>
          <w:sz w:val="28"/>
          <w:szCs w:val="28"/>
          <w:highlight w:val="none"/>
          <w:lang w:val="en-US"/>
        </w:rPr>
        <w:t>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72771"/>
    <w:multiLevelType w:val="singleLevel"/>
    <w:tmpl w:val="05772771"/>
    <w:lvl w:ilvl="0" w:tentative="0">
      <w:start w:val="1"/>
      <w:numFmt w:val="decimal"/>
      <w:lvlText w:val="%1."/>
      <w:lvlJc w:val="left"/>
      <w:pPr>
        <w:tabs>
          <w:tab w:val="left" w:pos="312"/>
        </w:tabs>
      </w:pPr>
    </w:lvl>
  </w:abstractNum>
  <w:abstractNum w:abstractNumId="1">
    <w:nsid w:val="0BFBE45E"/>
    <w:multiLevelType w:val="singleLevel"/>
    <w:tmpl w:val="0BFBE45E"/>
    <w:lvl w:ilvl="0" w:tentative="0">
      <w:start w:val="1"/>
      <w:numFmt w:val="decimal"/>
      <w:suff w:val="nothing"/>
      <w:lvlText w:val="（%1）"/>
      <w:lvlJc w:val="left"/>
    </w:lvl>
  </w:abstractNum>
  <w:abstractNum w:abstractNumId="2">
    <w:nsid w:val="0EAD46F1"/>
    <w:multiLevelType w:val="singleLevel"/>
    <w:tmpl w:val="0EAD46F1"/>
    <w:lvl w:ilvl="0" w:tentative="0">
      <w:start w:val="1"/>
      <w:numFmt w:val="decimal"/>
      <w:lvlText w:val="%1."/>
      <w:lvlJc w:val="left"/>
      <w:pPr>
        <w:tabs>
          <w:tab w:val="left" w:pos="312"/>
        </w:tabs>
      </w:pPr>
    </w:lvl>
  </w:abstractNum>
  <w:abstractNum w:abstractNumId="3">
    <w:nsid w:val="30A8529A"/>
    <w:multiLevelType w:val="singleLevel"/>
    <w:tmpl w:val="30A8529A"/>
    <w:lvl w:ilvl="0" w:tentative="0">
      <w:start w:val="1"/>
      <w:numFmt w:val="decimal"/>
      <w:suff w:val="nothing"/>
      <w:lvlText w:val="（%1）"/>
      <w:lvlJc w:val="left"/>
    </w:lvl>
  </w:abstractNum>
  <w:abstractNum w:abstractNumId="4">
    <w:nsid w:val="4268F246"/>
    <w:multiLevelType w:val="singleLevel"/>
    <w:tmpl w:val="4268F246"/>
    <w:lvl w:ilvl="0" w:tentative="0">
      <w:start w:val="1"/>
      <w:numFmt w:val="decimal"/>
      <w:suff w:val="nothing"/>
      <w:lvlText w:val="（%1）"/>
      <w:lvlJc w:val="left"/>
    </w:lvl>
  </w:abstractNum>
  <w:abstractNum w:abstractNumId="5">
    <w:nsid w:val="68E42288"/>
    <w:multiLevelType w:val="singleLevel"/>
    <w:tmpl w:val="68E42288"/>
    <w:lvl w:ilvl="0" w:tentative="0">
      <w:start w:val="1"/>
      <w:numFmt w:val="decimal"/>
      <w:lvlText w:val="%1."/>
      <w:lvlJc w:val="left"/>
      <w:pPr>
        <w:tabs>
          <w:tab w:val="left" w:pos="312"/>
        </w:tabs>
      </w:p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53482"/>
    <w:rsid w:val="1B153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宋体" w:hAnsi="宋体" w:eastAsia="宋体" w:cs="宋体"/>
      <w:sz w:val="22"/>
      <w:szCs w:val="22"/>
      <w:lang w:val="zh-CN"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4">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table" w:styleId="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正文文本11"/>
    <w:basedOn w:val="1"/>
    <w:qFormat/>
    <w:uiPriority w:val="99"/>
    <w:pPr>
      <w:spacing w:before="129"/>
      <w:ind w:left="100"/>
    </w:pPr>
    <w:rPr>
      <w:sz w:val="18"/>
      <w:szCs w:val="18"/>
    </w:rPr>
  </w:style>
  <w:style w:type="paragraph" w:customStyle="1" w:styleId="9">
    <w:name w:val="文本块1"/>
    <w:basedOn w:val="1"/>
    <w:qFormat/>
    <w:uiPriority w:val="6"/>
    <w:pPr>
      <w:spacing w:after="160" w:line="259" w:lineRule="auto"/>
      <w:ind w:left="256" w:right="6" w:firstLine="624"/>
    </w:pPr>
    <w:rPr>
      <w:rFonts w:ascii="Calibri" w:hAnsi="Calibri" w:eastAsia="仿宋_GB2312"/>
      <w:sz w:val="2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2026-09-11T07:18:00Z</dcterms:created>
  <dc:creator>WPS_1748940899</dc:creator>
  <cp:lastModifiedBy>WPS_1748940899</cp:lastModifiedBy>
  <dcterms:modified xsi:type="dcterms:W3CDTF">2026-09-11T07:19:02Z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D922AAA274854AB480C9A0DFE58A69D3_11</vt:lpwstr>
  </property>
  <property fmtid="{D5CDD505-2E9C-101B-9397-08002B2CF9AE}" pid="4" name="KSOTemplateDocerSaveRecord">
    <vt:lpwstr>eyJoZGlkIjoiOTQ5NzY0MDhiNTY4ZGI0NDRlYzMzOGVmMzNhZDljNzciLCJ1c2VySWQiOiIxNzA1OTQyNzYxIn0=</vt:lpwstr>
  </property>
</Properties>
</file>