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项目编号：JSZC-320500-JZCG-G2026-0290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苏州市卫生健康信息中心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苏州市公改示范项目健康医疗大数据中心升级建设、便民惠民应用体系及安全保障体系项目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pPr>
        <w:rPr>
          <w:rFonts w:ascii="Times New Roman" w:hAnsi="Times New Roman" w:cs="Times New Roman"/>
        </w:rPr>
      </w:pPr>
      <w:r>
        <w:rPr>
          <w:rFonts w:ascii="Times New Roman" w:hAnsi="Times New Roman" w:cs="Times New Roman"/>
        </w:rPr>
      </w:r>
      <w:r/>
    </w:p>
    <w:p>
      <w:pPr>
        <w:ind w:left="0"/>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b/>
          <w:sz w:val="32"/>
        </w:rPr>
      </w:pPr>
      <w:r>
        <w:rPr>
          <w:rFonts w:ascii="宋体" w:hAnsi="宋体"/>
          <w:b/>
          <w:sz w:val="32"/>
        </w:rPr>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tabs>
          <w:tab w:val="right" w:pos="9854" w:leader="dot"/>
        </w:tabs>
        <w:rPr>
          <w:rFonts w:ascii="宋体" w:hAnsi="宋体" w:cstheme="minorBidi"/>
          <w:sz w:val="32"/>
          <w:szCs w:val="32"/>
        </w:rPr>
      </w:pP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TOC \o "1-1" \h \z \u </w:instrText>
      </w:r>
      <w:r>
        <w:rPr>
          <w:rStyle w:val="1056"/>
          <w:rFonts w:ascii="宋体" w:hAnsi="宋体" w:cs="Calibri"/>
          <w:bCs/>
          <w:caps/>
          <w:color w:val="auto"/>
          <w:sz w:val="32"/>
          <w:szCs w:val="32"/>
        </w:rPr>
        <w:fldChar w:fldCharType="separate"/>
      </w:r>
      <w:hyperlink w:tooltip="#_Toc235617183" w:anchor="_Toc235617183" w:history="1">
        <w:r>
          <w:rPr>
            <w:rStyle w:val="1056"/>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184" w:anchor="_Toc235617184" w:history="1">
        <w:r>
          <w:rPr>
            <w:rStyle w:val="1056"/>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185" w:anchor="_Toc235617185" w:history="1">
        <w:r>
          <w:rPr>
            <w:rStyle w:val="1056"/>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_Toc235617185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199" w:anchor="_Toc235617199" w:history="1">
        <w:r>
          <w:rPr>
            <w:rStyle w:val="1056"/>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_Toc235617199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202" w:anchor="_Toc235617202" w:history="1">
        <w:r>
          <w:rPr>
            <w:rStyle w:val="1056"/>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66</w:t>
        </w:r>
        <w:r>
          <w:rPr>
            <w:rFonts w:ascii="宋体" w:hAnsi="宋体"/>
            <w:sz w:val="32"/>
            <w:szCs w:val="32"/>
          </w:rPr>
          <w:fldChar w:fldCharType="end"/>
        </w:r>
      </w:hyperlink>
      <w:r/>
      <w:r/>
    </w:p>
    <w:p>
      <w:pPr>
        <w:pStyle w:val="1023"/>
        <w:ind w:firstLine="0"/>
        <w:tabs>
          <w:tab w:val="right" w:pos="9854" w:leader="dot"/>
        </w:tabs>
        <w:rPr>
          <w:rFonts w:ascii="宋体" w:hAnsi="宋体" w:cstheme="minorBidi"/>
          <w:sz w:val="32"/>
          <w:szCs w:val="32"/>
        </w:rPr>
      </w:pPr>
      <w:r/>
      <w:hyperlink w:tooltip="#_Toc235617205" w:anchor="_Toc235617205" w:history="1">
        <w:r>
          <w:rPr>
            <w:rStyle w:val="1056"/>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_Toc235617205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75</w:t>
        </w:r>
        <w:r>
          <w:rPr>
            <w:rFonts w:ascii="宋体" w:hAnsi="宋体"/>
            <w:sz w:val="32"/>
            <w:szCs w:val="32"/>
          </w:rPr>
          <w:fldChar w:fldCharType="end"/>
        </w:r>
      </w:hyperlink>
      <w:r/>
      <w:r/>
    </w:p>
    <w:p>
      <w:pPr>
        <w:pStyle w:val="1023"/>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7166"/>
            <w:r/>
            <w:bookmarkStart w:id="4" w:name="_Toc28592"/>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苏州市公改示范项目健康医疗大数据中心升级建设、便民惠民应用体系及安全保障体系项目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名称：苏州市卫生健康信息中心</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联系人：朱先生</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0512-67539523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月15日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rPr>
          <w:rFonts w:ascii="宋体" w:hAnsi="宋体"/>
          <w:b/>
          <w:sz w:val="44"/>
          <w:szCs w:val="22"/>
        </w:rPr>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0"/>
        <w:ind w:left="431" w:firstLine="17"/>
        <w:jc w:val="center"/>
        <w:spacing w:before="0" w:after="0" w:line="360" w:lineRule="auto"/>
        <w:rPr>
          <w:rStyle w:val="1121"/>
          <w:rFonts w:ascii="宋体" w:hAnsi="宋体"/>
        </w:rPr>
      </w:pPr>
      <w:r>
        <w:rPr>
          <w:rFonts w:hint="eastAsia" w:ascii="宋体" w:hAnsi="宋体"/>
          <w:b/>
          <w:sz w:val="44"/>
          <w:szCs w:val="22"/>
        </w:rPr>
        <w:br w:type="page" w:clear="all"/>
      </w:r>
      <w:bookmarkStart w:id="5" w:name="_Toc23561718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苏州市公改示范项目健康医疗大数据中心升级建设、便民惠民应用体系及安全保障体系项目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年10月</w:t>
      </w:r>
      <w:r>
        <w:rPr>
          <w:rFonts w:hint="eastAsia" w:ascii="宋体" w:hAnsi="宋体" w:cs="Times New Roman"/>
          <w:sz w:val="21"/>
          <w:szCs w:val="21"/>
          <w:u w:val="single"/>
        </w:rPr>
        <w:t xml:space="preserve">15</w:t>
      </w:r>
      <w:r>
        <w:rPr>
          <w:rFonts w:hint="eastAsia" w:ascii="宋体" w:hAnsi="宋体"/>
          <w:b/>
          <w:sz w:val="21"/>
          <w:szCs w:val="21"/>
          <w:u w:val="single"/>
        </w:rPr>
        <w:t xml:space="preserve">日09点30分（北京时间）</w:t>
      </w:r>
      <w:r>
        <w:rPr>
          <w:rFonts w:hint="eastAsia" w:ascii="宋体" w:hAnsi="宋体"/>
          <w:b/>
          <w:sz w:val="21"/>
          <w:szCs w:val="21"/>
        </w:rPr>
        <w:t xml:space="preserve">前递交投标文件。</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JSZC-320500-JZCG-G2026-0290</w:t>
      </w:r>
      <w:bookmarkStart w:id="6" w:name="OLE_LINK18"/>
      <w:r/>
      <w:bookmarkStart w:id="7" w:name="OLE_LINK19"/>
      <w:r/>
      <w:bookmarkEnd w:id="6"/>
      <w:r/>
      <w:bookmarkEnd w:id="7"/>
      <w:r/>
      <w:r/>
    </w:p>
    <w:p>
      <w:pPr>
        <w:pStyle w:val="1008"/>
        <w:ind w:left="0" w:firstLine="420"/>
        <w:spacing w:line="360" w:lineRule="auto"/>
        <w:rPr>
          <w:rFonts w:ascii="宋体" w:hAnsi="宋体"/>
          <w:sz w:val="21"/>
          <w:szCs w:val="21"/>
        </w:rPr>
      </w:pPr>
      <w:r>
        <w:rPr>
          <w:rFonts w:hint="eastAsia" w:ascii="宋体" w:hAnsi="宋体"/>
          <w:sz w:val="21"/>
          <w:szCs w:val="21"/>
        </w:rPr>
        <w:t xml:space="preserve">2.项目名称：苏州市公改示范项目健康医疗大数据中心升级建设、便民惠民应用体系及安全保障体系项目</w:t>
      </w:r>
      <w:r/>
    </w:p>
    <w:p>
      <w:pPr>
        <w:pStyle w:val="100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4.预算金额：</w:t>
      </w:r>
      <w:r>
        <w:rPr>
          <w:rFonts w:hint="eastAsia" w:ascii="宋体" w:hAnsi="宋体"/>
          <w:sz w:val="21"/>
        </w:rPr>
        <w:t xml:space="preserve">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567" w:leader="none"/>
        </w:tabs>
        <w:rPr>
          <w:rFonts w:ascii="宋体" w:hAnsi="宋体"/>
          <w:sz w:val="21"/>
        </w:rPr>
      </w:pPr>
      <w:r>
        <w:rPr>
          <w:rFonts w:hint="eastAsia" w:ascii="宋体" w:hAnsi="宋体"/>
          <w:sz w:val="21"/>
          <w:szCs w:val="21"/>
        </w:rPr>
        <w:t xml:space="preserve">5.最高限价：</w:t>
      </w:r>
      <w:r>
        <w:rPr>
          <w:rFonts w:hint="eastAsia" w:ascii="宋体" w:hAnsi="宋体"/>
          <w:sz w:val="21"/>
        </w:rPr>
        <w:t xml:space="preserve">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本项目在合同签订后，1个月内完成配套软硬件到货、部署实施工作，</w:t>
      </w:r>
      <w:r>
        <w:rPr>
          <w:rFonts w:ascii="宋体" w:hAnsi="宋体"/>
          <w:sz w:val="21"/>
        </w:rPr>
        <w:t xml:space="preserve">6个月内</w:t>
      </w:r>
      <w:r>
        <w:rPr>
          <w:rFonts w:hint="eastAsia" w:ascii="宋体" w:hAnsi="宋体"/>
          <w:sz w:val="21"/>
        </w:rPr>
        <w:t xml:space="preserve">完成项目开发工作以及部署上线工作，上线后进入不少于3个月的试运行期，</w:t>
      </w:r>
      <w:r>
        <w:rPr>
          <w:rFonts w:hint="eastAsia" w:ascii="宋体" w:hAnsi="宋体"/>
          <w:sz w:val="21"/>
        </w:rPr>
        <w:t xml:space="preserve">试运行</w:t>
      </w:r>
      <w:r>
        <w:rPr>
          <w:rFonts w:hint="eastAsia" w:ascii="宋体" w:hAnsi="宋体"/>
          <w:sz w:val="21"/>
        </w:rPr>
        <w:t xml:space="preserve">合格后组织</w:t>
      </w:r>
      <w:r>
        <w:rPr>
          <w:rFonts w:hint="eastAsia" w:ascii="宋体" w:hAnsi="宋体"/>
          <w:sz w:val="21"/>
        </w:rPr>
        <w:t xml:space="preserve">验收</w:t>
      </w:r>
      <w:r>
        <w:rPr>
          <w:rFonts w:hint="eastAsia" w:ascii="宋体" w:hAnsi="宋体"/>
          <w:sz w:val="21"/>
        </w:rPr>
        <w:t xml:space="preserve">，验收通过后提供3年免费运维服务，免费运维期结束后额外提供2年免费升级服务。</w:t>
      </w:r>
      <w:r/>
    </w:p>
    <w:p>
      <w:pPr>
        <w:pStyle w:val="1008"/>
        <w:ind w:left="0" w:firstLine="420"/>
        <w:spacing w:line="360" w:lineRule="auto"/>
        <w:rPr>
          <w:rFonts w:ascii="宋体" w:hAnsi="宋体"/>
          <w:sz w:val="21"/>
          <w:szCs w:val="21"/>
        </w:rPr>
      </w:pPr>
      <w:r>
        <w:rPr>
          <w:rFonts w:hint="eastAsia" w:ascii="宋体" w:hAnsi="宋体"/>
          <w:sz w:val="21"/>
          <w:szCs w:val="21"/>
        </w:rPr>
        <w:t xml:space="preserve">7.采购需求：具体详见招标文件第四章。</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8"/>
        <w:ind w:left="0" w:firstLine="420"/>
        <w:spacing w:line="360" w:lineRule="auto"/>
        <w:rPr>
          <w:rFonts w:ascii="宋体" w:hAnsi="宋体"/>
          <w:sz w:val="21"/>
          <w:szCs w:val="21"/>
        </w:rPr>
      </w:pPr>
      <w:r>
        <w:rPr>
          <w:rFonts w:hint="eastAsia" w:ascii="宋体" w:hAnsi="宋体"/>
          <w:sz w:val="21"/>
          <w:szCs w:val="21"/>
        </w:rPr>
        <w:t xml:space="preserve">3.方式：</w:t>
      </w:r>
      <w:r/>
    </w:p>
    <w:p>
      <w:pPr>
        <w:pStyle w:val="100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w:t>
      </w:r>
      <w:r>
        <w:rPr>
          <w:rFonts w:hint="eastAsia"/>
        </w:rPr>
        <w:t xml:space="preserve"> </w:t>
      </w:r>
      <w:r>
        <w:rPr>
          <w:rFonts w:hint="eastAsia" w:ascii="宋体" w:hAnsi="宋体"/>
          <w:b/>
          <w:sz w:val="21"/>
          <w:szCs w:val="21"/>
        </w:rPr>
        <w:t xml:space="preserve">0512-65737699。</w:t>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日09点30分</w:t>
      </w:r>
      <w:r>
        <w:rPr>
          <w:rFonts w:hint="eastAsia" w:ascii="宋体" w:hAnsi="宋体"/>
          <w:sz w:val="21"/>
          <w:szCs w:val="21"/>
        </w:rPr>
        <w:t xml:space="preserve">（北京时间）；</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15</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名称：苏州市卫生健康信息中心</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1008"/>
        <w:ind w:left="0" w:firstLine="420"/>
        <w:spacing w:line="360" w:lineRule="auto"/>
        <w:rPr>
          <w:rFonts w:ascii="宋体" w:hAnsi="宋体"/>
          <w:sz w:val="21"/>
          <w:szCs w:val="21"/>
        </w:rPr>
      </w:pPr>
      <w:r>
        <w:rPr>
          <w:rFonts w:hint="eastAsia" w:ascii="宋体" w:hAnsi="宋体"/>
          <w:sz w:val="21"/>
          <w:szCs w:val="21"/>
        </w:rPr>
        <w:t xml:space="preserve">联系人：朱先生</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0512-67539523</w:t>
      </w:r>
      <w:r/>
    </w:p>
    <w:p>
      <w:pPr>
        <w:pStyle w:val="100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512-69820921</w:t>
      </w:r>
      <w:r/>
    </w:p>
    <w:p>
      <w:pPr>
        <w:pStyle w:val="100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8"/>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1008"/>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512-69820921</w:t>
      </w:r>
      <w:r/>
    </w:p>
    <w:p>
      <w:pPr>
        <w:pStyle w:val="1002"/>
      </w:pPr>
      <w:r>
        <w:br w:type="page" w:clear="all"/>
      </w:r>
      <w:r/>
    </w:p>
    <w:p>
      <w:pPr>
        <w:pStyle w:val="990"/>
        <w:ind w:left="0" w:firstLine="0"/>
        <w:jc w:val="center"/>
        <w:rPr>
          <w:rFonts w:ascii="宋体" w:hAnsi="宋体"/>
          <w:b/>
          <w:sz w:val="44"/>
          <w:szCs w:val="22"/>
        </w:rPr>
      </w:pPr>
      <w:r/>
      <w:bookmarkStart w:id="8" w:name="_Toc6217"/>
      <w:r/>
      <w:bookmarkStart w:id="9" w:name="_Toc235617184"/>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8"/>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08"/>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8"/>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08"/>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0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8"/>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4"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rPr>
          <w:rFonts w:hint="eastAsia" w:ascii="宋体" w:hAnsi="宋体"/>
          <w:b/>
          <w:sz w:val="21"/>
          <w:szCs w:val="21"/>
        </w:rPr>
        <w:t xml:space="preserve">与质疑函一起递交，否则不予受理。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8"/>
        <w:ind w:left="0" w:firstLine="422"/>
        <w:spacing w:line="360" w:lineRule="auto"/>
        <w:rPr>
          <w:rFonts w:ascii="宋体" w:hAnsi="宋体"/>
          <w:b/>
          <w:sz w:val="21"/>
          <w:szCs w:val="21"/>
        </w:rPr>
      </w:pPr>
      <w:r/>
      <w:bookmarkStart w:id="25" w:name="OLE_LINK35"/>
      <w:r/>
      <w:bookmarkStart w:id="26" w:name="OLE_LINK33"/>
      <w:r/>
      <w:bookmarkStart w:id="27" w:name="OLE_LINK32"/>
      <w:r/>
      <w:bookmarkStart w:id="28" w:name="OLE_LINK41"/>
      <w:r/>
      <w:bookmarkStart w:id="29" w:name="OLE_LINK22"/>
      <w:r>
        <w:rPr>
          <w:rFonts w:hint="eastAsia" w:ascii="宋体" w:hAnsi="宋体"/>
          <w:b/>
          <w:sz w:val="21"/>
          <w:szCs w:val="21"/>
        </w:rPr>
        <w:t xml:space="preserve">联系电话：0512-69826795</w:t>
      </w:r>
      <w:r/>
    </w:p>
    <w:p>
      <w:pPr>
        <w:pStyle w:val="1008"/>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5"/>
      <w:r/>
      <w:bookmarkEnd w:id="26"/>
      <w:r/>
      <w:bookmarkEnd w:id="27"/>
      <w:r/>
      <w:bookmarkEnd w:id="28"/>
      <w:r/>
      <w:bookmarkEnd w:id="29"/>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0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《中小企业声明函》或《残疾人福利性单位声明函》或由省级以上监狱管理局、戒毒管理局（含新疆生产建设兵团）出具的属于监狱企业的证明文件（如有）；</w:t>
      </w:r>
      <w:r/>
    </w:p>
    <w:p>
      <w:pPr>
        <w:ind w:left="0" w:firstLine="408"/>
        <w:spacing w:line="360" w:lineRule="auto"/>
        <w:rPr>
          <w:rFonts w:ascii="宋体" w:hAnsi="宋体"/>
          <w:sz w:val="21"/>
          <w:szCs w:val="21"/>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4.1.10</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4.1.4-14.1.10</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0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w:t>
      </w:r>
      <w:bookmarkStart w:id="37" w:name="OLE_LINK14"/>
      <w:r>
        <w:rPr>
          <w:rFonts w:hint="eastAsia" w:ascii="宋体" w:hAnsi="宋体" w:cs="宋体"/>
          <w:b/>
          <w:color w:val="000000" w:themeColor="text1"/>
          <w:sz w:val="21"/>
          <w:szCs w:val="21"/>
          <w:lang w:val="en-US"/>
        </w:rPr>
        <w:t xml:space="preserve">投标报价低于全部通过符合性审查供应商投标报价平均值50%的，即投标报价&lt;全部通过符合性审查供应商投标报价平均值×50%；</w:t>
      </w:r>
      <w:bookmarkEnd w:id="37"/>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w:t>
      </w:r>
      <w:bookmarkStart w:id="38" w:name="OLE_LINK15"/>
      <w:r/>
      <w:bookmarkStart w:id="39" w:name="OLE_LINK16"/>
      <w:r>
        <w:rPr>
          <w:rFonts w:hint="eastAsia" w:ascii="宋体" w:hAnsi="宋体" w:cs="宋体"/>
          <w:b/>
          <w:color w:val="000000" w:themeColor="text1"/>
          <w:sz w:val="21"/>
          <w:szCs w:val="21"/>
          <w:lang w:val="en-US"/>
        </w:rPr>
        <w:t xml:space="preserve">投标报价低于通过符合性审查的次低报价供应商投标报价50%的，即投标报价&lt;通过符合性审查的次低报价供应商投标报价×50%；</w:t>
      </w:r>
      <w:bookmarkEnd w:id="38"/>
      <w:r/>
      <w:bookmarkEnd w:id="39"/>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w:t>
      </w:r>
      <w:bookmarkStart w:id="40" w:name="OLE_LINK30"/>
      <w:r/>
      <w:bookmarkStart w:id="41" w:name="OLE_LINK29"/>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5"/>
        <w:ind w:left="0" w:firstLine="422"/>
        <w:spacing w:line="360" w:lineRule="auto"/>
        <w:rPr>
          <w:color w:val="333333"/>
          <w:shd w:val="clear" w:color="auto" w:fill="ffffff"/>
        </w:rPr>
      </w:pPr>
      <w:r/>
      <w:bookmarkStart w:id="42" w:name="OLE_LINK4"/>
      <w:r/>
      <w:bookmarkStart w:id="43" w:name="OLE_LINK3"/>
      <w:r/>
      <w:bookmarkStart w:id="44" w:name="OLE_LINK34"/>
      <w:r/>
      <w:bookmarkStart w:id="45" w:name="OLE_LINK31"/>
      <w:r/>
      <w:bookmarkEnd w:id="40"/>
      <w:r/>
      <w:bookmarkEnd w:id="41"/>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6" w:name="OLE_LINK2"/>
      <w:r/>
      <w:bookmarkStart w:id="47" w:name="OLE_LINK1"/>
      <w:r>
        <w:rPr>
          <w:rFonts w:hint="eastAsia" w:ascii="宋体" w:hAnsi="宋体"/>
          <w:b/>
          <w:color w:val="000000" w:themeColor="text1"/>
          <w:sz w:val="21"/>
          <w:szCs w:val="21"/>
        </w:rPr>
        <w:t xml:space="preserve">评标委员会</w:t>
      </w:r>
      <w:bookmarkEnd w:id="46"/>
      <w:r/>
      <w:bookmarkEnd w:id="47"/>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8" w:name="OLE_LINK9"/>
      <w:r/>
      <w:bookmarkStart w:id="49" w:name="OLE_LINK10"/>
      <w:r>
        <w:rPr>
          <w:rFonts w:hint="eastAsia" w:ascii="宋体" w:hAnsi="宋体"/>
          <w:b/>
          <w:color w:val="000000" w:themeColor="text1"/>
          <w:sz w:val="21"/>
          <w:szCs w:val="21"/>
        </w:rPr>
        <w:t xml:space="preserve">，</w:t>
      </w:r>
      <w:bookmarkEnd w:id="48"/>
      <w:r/>
      <w:bookmarkEnd w:id="49"/>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2"/>
      <w:r/>
      <w:bookmarkEnd w:id="43"/>
      <w:r/>
      <w:bookmarkEnd w:id="44"/>
      <w:r/>
      <w:bookmarkEnd w:id="45"/>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0" w:name="_Toc19501"/>
      <w:r/>
      <w:bookmarkStart w:id="51" w:name="_Toc18442"/>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0"/>
      <w:r/>
      <w:bookmarkEnd w:id="51"/>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2" w:name="_Toc21029"/>
      <w:r/>
      <w:bookmarkStart w:id="53"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2"/>
      <w:r/>
      <w:bookmarkEnd w:id="53"/>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0"/>
        <w:ind w:left="0" w:firstLine="0"/>
        <w:jc w:val="center"/>
        <w:rPr>
          <w:rFonts w:ascii="宋体" w:hAnsi="宋体"/>
          <w:sz w:val="21"/>
          <w:szCs w:val="21"/>
          <w:lang w:val="zh-CN"/>
        </w:rPr>
      </w:pPr>
      <w:r/>
      <w:bookmarkStart w:id="54" w:name="_Toc7264"/>
      <w:r/>
      <w:bookmarkStart w:id="55" w:name="_Toc24711"/>
      <w:r>
        <w:rPr>
          <w:rFonts w:hint="eastAsia" w:ascii="宋体" w:hAnsi="宋体"/>
          <w:b/>
          <w:sz w:val="44"/>
          <w:szCs w:val="22"/>
        </w:rPr>
        <w:br w:type="page" w:clear="all"/>
      </w:r>
      <w:bookmarkStart w:id="56" w:name="_Toc235617185"/>
      <w:r>
        <w:rPr>
          <w:rFonts w:hint="eastAsia" w:ascii="宋体" w:hAnsi="宋体"/>
          <w:b/>
          <w:sz w:val="44"/>
          <w:szCs w:val="22"/>
        </w:rPr>
        <w:t xml:space="preserve">第三章  </w:t>
      </w:r>
      <w:bookmarkStart w:id="57" w:name="投标文件格式"/>
      <w:r/>
      <w:bookmarkEnd w:id="57"/>
      <w:r>
        <w:rPr>
          <w:rFonts w:hint="eastAsia" w:ascii="宋体" w:hAnsi="宋体"/>
          <w:b/>
          <w:sz w:val="44"/>
          <w:szCs w:val="22"/>
        </w:rPr>
        <w:t xml:space="preserve">投标文件格式</w:t>
      </w:r>
      <w:bookmarkEnd w:id="54"/>
      <w:r/>
      <w:bookmarkEnd w:id="55"/>
      <w:r/>
      <w:bookmarkEnd w:id="56"/>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8" w:name="_Toc3821"/>
      <w:r/>
      <w:bookmarkStart w:id="59" w:name="_Toc71810480"/>
      <w:r/>
      <w:bookmarkStart w:id="60" w:name="_Toc105397779"/>
      <w:r/>
      <w:bookmarkStart w:id="61" w:name="_Toc17036"/>
      <w:r/>
      <w:bookmarkStart w:id="62" w:name="_Toc235617186"/>
      <w:r>
        <w:rPr>
          <w:rFonts w:hint="eastAsia" w:ascii="宋体" w:hAnsi="宋体"/>
          <w:b/>
          <w:sz w:val="21"/>
          <w:szCs w:val="21"/>
        </w:rPr>
        <w:t xml:space="preserve">附件1.投标函</w:t>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235617187"/>
      <w:r/>
      <w:bookmarkStart w:id="64" w:name="_Toc105397780"/>
      <w:r/>
      <w:bookmarkStart w:id="6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6" w:name="TBR"/>
      <w:r/>
      <w:bookmarkEnd w:id="6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7" w:name="XMBH"/>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8" w:name="FBH"/>
      <w:r/>
      <w:bookmarkEnd w:id="6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9" w:name="XMMC"/>
            <w:r/>
            <w:bookmarkEnd w:id="6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0" w:name="JEXX"/>
            <w:r/>
            <w:bookmarkEnd w:id="7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1" w:name="JEDX"/>
            <w:r/>
            <w:bookmarkEnd w:id="7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2" w:name="NF"/>
      <w:r/>
      <w:bookmarkEnd w:id="72"/>
      <w:r>
        <w:rPr>
          <w:rFonts w:hint="eastAsia" w:ascii="宋体" w:hAnsi="宋体"/>
          <w:sz w:val="21"/>
          <w:szCs w:val="21"/>
        </w:rPr>
        <w:t xml:space="preserve"> 年 </w:t>
      </w:r>
      <w:bookmarkStart w:id="73" w:name="YF"/>
      <w:r/>
      <w:bookmarkEnd w:id="7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4" w:name="RI"/>
      <w:r/>
      <w:bookmarkEnd w:id="7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6"/>
        <w:rPr>
          <w:rFonts w:ascii="宋体" w:hAnsi="宋体"/>
        </w:rPr>
      </w:pPr>
      <w:r>
        <w:rPr>
          <w:rFonts w:ascii="宋体" w:hAnsi="宋体"/>
        </w:rPr>
      </w:r>
      <w:r/>
    </w:p>
    <w:p>
      <w:pPr>
        <w:ind w:left="0"/>
        <w:spacing w:line="440" w:lineRule="exact"/>
        <w:rPr>
          <w:rFonts w:ascii="宋体" w:hAnsi="宋体"/>
          <w:b/>
          <w:sz w:val="21"/>
          <w:szCs w:val="21"/>
        </w:rPr>
      </w:pPr>
      <w:r/>
      <w:bookmarkStart w:id="75" w:name="_Toc241"/>
      <w:r/>
      <w:bookmarkStart w:id="76" w:name="_Toc7945"/>
      <w:r/>
      <w:bookmarkStart w:id="7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8" w:name="_Toc105397781"/>
      <w:r/>
      <w:bookmarkStart w:id="79" w:name="_Toc235617188"/>
      <w:r>
        <w:rPr>
          <w:rFonts w:ascii="宋体" w:hAnsi="宋体"/>
          <w:b/>
          <w:sz w:val="21"/>
          <w:szCs w:val="21"/>
        </w:rPr>
        <w:t xml:space="preserve">附件3</w:t>
      </w:r>
      <w:bookmarkEnd w:id="75"/>
      <w:r/>
      <w:bookmarkEnd w:id="76"/>
      <w:r>
        <w:rPr>
          <w:rFonts w:hint="eastAsia" w:ascii="宋体" w:hAnsi="宋体"/>
          <w:b/>
          <w:sz w:val="21"/>
          <w:szCs w:val="21"/>
        </w:rPr>
        <w:t xml:space="preserve">.公开分项报价</w:t>
      </w:r>
      <w:bookmarkEnd w:id="77"/>
      <w:r/>
      <w:bookmarkEnd w:id="78"/>
      <w:r/>
      <w:bookmarkEnd w:id="79"/>
      <w:r/>
      <w:r/>
    </w:p>
    <w:p>
      <w:pPr>
        <w:ind w:left="0"/>
        <w:jc w:val="center"/>
        <w:rPr>
          <w:rFonts w:ascii="宋体" w:hAnsi="宋体"/>
          <w:b/>
          <w:sz w:val="21"/>
          <w:szCs w:val="21"/>
        </w:rPr>
      </w:pPr>
      <w:r/>
      <w:bookmarkStart w:id="80" w:name="_Toc105397782"/>
      <w:r/>
      <w:bookmarkStart w:id="81" w:name="_Toc71810483"/>
      <w:r>
        <w:rPr>
          <w:rFonts w:hint="eastAsia" w:ascii="宋体" w:hAnsi="宋体"/>
          <w:b/>
          <w:sz w:val="21"/>
          <w:szCs w:val="21"/>
        </w:rPr>
        <w:t xml:space="preserve">公开分项报价</w:t>
      </w:r>
      <w:r/>
    </w:p>
    <w:p>
      <w:pPr>
        <w:pStyle w:val="101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8"/>
        <w:gridCol w:w="845"/>
        <w:gridCol w:w="1134"/>
        <w:gridCol w:w="1275"/>
        <w:gridCol w:w="851"/>
        <w:gridCol w:w="850"/>
        <w:gridCol w:w="851"/>
        <w:gridCol w:w="1134"/>
        <w:gridCol w:w="1138"/>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一、货物报价</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ascii="宋体" w:hAnsi="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货物总报价：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二、服务报价</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w:t>
            </w:r>
            <w:r>
              <w:rPr>
                <w:rFonts w:ascii="宋体" w:hAnsi="宋体"/>
                <w:sz w:val="21"/>
                <w:szCs w:val="21"/>
              </w:rPr>
              <w:t xml:space="preserve">单价</w:t>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分项总价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备注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gridSpan w:val="3"/>
            <w:tcBorders>
              <w:top w:val="single" w:color="auto" w:sz="4" w:space="0"/>
              <w:left w:val="single" w:color="auto" w:sz="4" w:space="0"/>
              <w:bottom w:val="single" w:color="auto" w:sz="4" w:space="0"/>
              <w:right w:val="single" w:color="auto" w:sz="4" w:space="0"/>
            </w:tcBorders>
            <w:tcW w:w="325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rPr>
            </w:pPr>
            <w:r>
              <w:rPr>
                <w:rFonts w:hint="eastAsia" w:ascii="宋体" w:hAnsi="宋体"/>
              </w:rPr>
              <w:t xml:space="preserve">合计</w:t>
            </w:r>
            <w:r/>
          </w:p>
        </w:tc>
        <w:tc>
          <w:tcPr>
            <w:gridSpan w:val="9"/>
            <w:tcBorders>
              <w:top w:val="single" w:color="auto" w:sz="4" w:space="0"/>
              <w:left w:val="single" w:color="auto" w:sz="4" w:space="0"/>
              <w:bottom w:val="single" w:color="auto" w:sz="4" w:space="0"/>
              <w:right w:val="single" w:color="auto" w:sz="4" w:space="0"/>
            </w:tcBorders>
            <w:tcW w:w="935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b/>
                <w:sz w:val="21"/>
                <w:szCs w:val="21"/>
              </w:rPr>
              <w:t xml:space="preserve">服务总报价：</w:t>
            </w:r>
            <w:r>
              <w:rPr>
                <w:rFonts w:hint="eastAsia" w:ascii="宋体" w:hAnsi="宋体"/>
                <w:sz w:val="21"/>
                <w:szCs w:val="21"/>
              </w:rPr>
              <w:t xml:space="preserve">人民币              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 w:val="21"/>
                <w:szCs w:val="21"/>
              </w:rPr>
              <w:t xml:space="preserve">投标总报价</w:t>
            </w:r>
            <w:r>
              <w:rPr>
                <w:rFonts w:hint="eastAsia" w:ascii="宋体" w:hAnsi="宋体"/>
                <w:sz w:val="21"/>
                <w:szCs w:val="21"/>
              </w:rPr>
              <w:t xml:space="preserve">：人民币 </w:t>
            </w:r>
            <w:r>
              <w:rPr>
                <w:rFonts w:ascii="宋体" w:hAnsi="宋体"/>
                <w:sz w:val="21"/>
                <w:szCs w:val="21"/>
              </w:rPr>
              <w:t xml:space="preserve">             </w:t>
            </w:r>
            <w:r>
              <w:rPr>
                <w:rFonts w:hint="eastAsia" w:ascii="宋体" w:hAnsi="宋体"/>
                <w:sz w:val="21"/>
                <w:szCs w:val="21"/>
              </w:rPr>
              <w:t xml:space="preserve">元（投标总报价为货物报价和服务报价之和）</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 w:val="21"/>
                <w:szCs w:val="21"/>
              </w:rPr>
            </w:pPr>
            <w:r>
              <w:rPr>
                <w:rFonts w:hint="eastAsia" w:ascii="宋体" w:hAnsi="宋体"/>
                <w:b/>
                <w:sz w:val="21"/>
                <w:szCs w:val="21"/>
              </w:rPr>
              <w:t xml:space="preserve">本采购包中提供的符合本国产品标准的产品成本之和占该采购包提供的全部产品成本之和的比例为</w:t>
            </w:r>
            <w:r>
              <w:rPr>
                <w:rFonts w:ascii="宋体" w:hAnsi="宋体"/>
                <w:b/>
                <w:sz w:val="21"/>
                <w:szCs w:val="21"/>
                <w:u w:val="single"/>
              </w:rPr>
              <w:t xml:space="preserve">    </w:t>
            </w:r>
            <w:r>
              <w:rPr>
                <w:rFonts w:hint="eastAsia" w:ascii="宋体" w:hAnsi="宋体"/>
                <w:b/>
                <w:sz w:val="21"/>
                <w:szCs w:val="21"/>
              </w:rPr>
              <w:t xml:space="preserve">%。</w:t>
            </w:r>
            <w:r/>
          </w:p>
        </w:tc>
      </w:tr>
    </w:tbl>
    <w:p>
      <w:pPr>
        <w:ind w:right="840" w:firstLine="5250"/>
        <w:spacing w:line="360" w:lineRule="auto"/>
        <w:rPr>
          <w:rFonts w:ascii="宋体" w:hAnsi="宋体"/>
          <w:sz w:val="21"/>
        </w:rPr>
      </w:pPr>
      <w:r>
        <w:rPr>
          <w:rFonts w:ascii="宋体" w:hAnsi="宋体"/>
          <w:sz w:val="21"/>
        </w:rPr>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right="-200"/>
        <w:jc w:val="left"/>
        <w:spacing w:line="360" w:lineRule="auto"/>
        <w:widowControl w:val="off"/>
        <w:rPr>
          <w:rFonts w:ascii="宋体" w:hAnsi="宋体"/>
          <w:b/>
          <w:sz w:val="21"/>
        </w:rPr>
      </w:pPr>
      <w:r>
        <w:rPr>
          <w:rFonts w:hint="eastAsia" w:ascii="宋体" w:hAnsi="宋体"/>
          <w:sz w:val="21"/>
          <w:szCs w:val="21"/>
        </w:rPr>
        <w:t xml:space="preserve"> </w:t>
      </w:r>
      <w:r>
        <w:rPr>
          <w:rFonts w:ascii="宋体" w:hAnsi="宋体"/>
          <w:sz w:val="21"/>
          <w:szCs w:val="21"/>
        </w:rPr>
        <w:t xml:space="preserve">   </w:t>
      </w:r>
      <w:r>
        <w:rPr>
          <w:rFonts w:ascii="宋体" w:hAnsi="宋体"/>
          <w:b/>
          <w:sz w:val="21"/>
          <w:szCs w:val="21"/>
        </w:rPr>
        <w:t xml:space="preserve">5.</w:t>
      </w:r>
      <w:r>
        <w:rPr>
          <w:rFonts w:hint="eastAsia" w:ascii="宋体" w:hAnsi="宋体"/>
          <w:b/>
          <w:sz w:val="21"/>
          <w:szCs w:val="21"/>
        </w:rPr>
        <w:t xml:space="preserve">本采购包中报价需把</w:t>
      </w:r>
      <w:r>
        <w:rPr>
          <w:rFonts w:hint="eastAsia" w:ascii="宋体" w:hAnsi="宋体"/>
          <w:b/>
          <w:sz w:val="21"/>
        </w:rPr>
        <w:t xml:space="preserve">配套硬件及软件、系</w:t>
      </w:r>
      <w:r>
        <w:rPr>
          <w:rFonts w:ascii="宋体" w:hAnsi="宋体"/>
          <w:b/>
          <w:sz w:val="21"/>
        </w:rPr>
        <w:t xml:space="preserve">统建设</w:t>
      </w:r>
      <w:r>
        <w:rPr>
          <w:rFonts w:hint="eastAsia" w:ascii="宋体" w:hAnsi="宋体"/>
          <w:b/>
          <w:sz w:val="21"/>
        </w:rPr>
        <w:t xml:space="preserve">、配套服务三部分按服务报价和货物报价分项报价，且分项报价不得高于各部分最高限价，报价总价不得高于总预算，否则视为无效投标。</w:t>
      </w:r>
      <w:r/>
    </w:p>
    <w:p>
      <w:pPr>
        <w:ind w:left="0" w:right="-200" w:firstLine="422"/>
        <w:jc w:val="left"/>
        <w:spacing w:line="360" w:lineRule="auto"/>
        <w:widowControl w:val="off"/>
        <w:rPr>
          <w:rFonts w:ascii="宋体" w:hAnsi="宋体"/>
          <w:b/>
          <w:sz w:val="21"/>
          <w:szCs w:val="21"/>
        </w:rPr>
      </w:pPr>
      <w:r>
        <w:rPr>
          <w:rFonts w:hint="eastAsia" w:ascii="宋体" w:hAnsi="宋体"/>
          <w:b/>
          <w:sz w:val="21"/>
          <w:szCs w:val="21"/>
        </w:rPr>
        <w:t xml:space="preserve">其中：</w:t>
      </w:r>
      <w:bookmarkStart w:id="82" w:name="OLE_LINK80"/>
      <w:r/>
      <w:bookmarkStart w:id="83" w:name="OLE_LINK79"/>
      <w:r>
        <w:rPr>
          <w:rFonts w:hint="eastAsia" w:ascii="宋体" w:hAnsi="宋体"/>
          <w:b/>
          <w:sz w:val="21"/>
        </w:rPr>
        <w:t xml:space="preserve">货物部分：配套硬件及软件</w:t>
      </w:r>
      <w:r>
        <w:rPr>
          <w:rFonts w:hint="eastAsia" w:ascii="宋体" w:hAnsi="宋体"/>
          <w:b/>
          <w:sz w:val="21"/>
          <w:szCs w:val="21"/>
        </w:rPr>
        <w:t xml:space="preserve">最高限价：</w:t>
      </w:r>
      <w:r>
        <w:rPr>
          <w:rFonts w:ascii="宋体" w:hAnsi="宋体"/>
          <w:b/>
          <w:sz w:val="21"/>
          <w:szCs w:val="21"/>
        </w:rPr>
        <w:t xml:space="preserve">955.33</w:t>
      </w:r>
      <w:r>
        <w:rPr>
          <w:rFonts w:hint="eastAsia" w:ascii="宋体" w:hAnsi="宋体"/>
          <w:b/>
          <w:sz w:val="21"/>
          <w:szCs w:val="21"/>
        </w:rPr>
        <w:t xml:space="preserve">万元。</w:t>
      </w:r>
      <w:r/>
    </w:p>
    <w:p>
      <w:pPr>
        <w:ind w:left="0" w:right="-200" w:firstLine="1054"/>
        <w:jc w:val="left"/>
        <w:spacing w:line="360" w:lineRule="auto"/>
        <w:widowControl w:val="off"/>
        <w:rPr>
          <w:rFonts w:ascii="宋体" w:hAnsi="宋体"/>
          <w:b/>
          <w:sz w:val="21"/>
        </w:rPr>
      </w:pPr>
      <w:r>
        <w:rPr>
          <w:rFonts w:hint="eastAsia" w:ascii="宋体" w:hAnsi="宋体"/>
          <w:b/>
          <w:sz w:val="21"/>
        </w:rPr>
        <w:t xml:space="preserve">服务部分：</w:t>
      </w:r>
      <w:r>
        <w:rPr>
          <w:rFonts w:hint="eastAsia" w:ascii="宋体" w:hAnsi="宋体"/>
          <w:b/>
          <w:sz w:val="21"/>
          <w:szCs w:val="21"/>
        </w:rPr>
        <w:t xml:space="preserve">系统建设最高限价：</w:t>
      </w:r>
      <w:r>
        <w:rPr>
          <w:rFonts w:ascii="宋体" w:hAnsi="宋体"/>
          <w:b/>
          <w:sz w:val="21"/>
          <w:szCs w:val="21"/>
        </w:rPr>
        <w:t xml:space="preserve">926.52</w:t>
      </w:r>
      <w:r>
        <w:rPr>
          <w:rFonts w:hint="eastAsia" w:ascii="宋体" w:hAnsi="宋体"/>
          <w:b/>
          <w:sz w:val="21"/>
          <w:szCs w:val="21"/>
        </w:rPr>
        <w:t xml:space="preserve">万元</w:t>
      </w:r>
      <w:r>
        <w:rPr>
          <w:rFonts w:hint="eastAsia" w:ascii="宋体" w:hAnsi="宋体"/>
          <w:b/>
          <w:sz w:val="21"/>
        </w:rPr>
        <w:t xml:space="preserve">；配套服务</w:t>
      </w:r>
      <w:r>
        <w:rPr>
          <w:rFonts w:hint="eastAsia" w:ascii="宋体" w:hAnsi="宋体"/>
          <w:b/>
          <w:sz w:val="21"/>
          <w:szCs w:val="21"/>
        </w:rPr>
        <w:t xml:space="preserve">最高限价：</w:t>
      </w:r>
      <w:r>
        <w:rPr>
          <w:rFonts w:ascii="宋体" w:hAnsi="宋体"/>
          <w:b/>
          <w:sz w:val="21"/>
          <w:szCs w:val="21"/>
        </w:rPr>
        <w:t xml:space="preserve">31</w:t>
      </w:r>
      <w:r>
        <w:rPr>
          <w:rFonts w:hint="eastAsia" w:ascii="宋体" w:hAnsi="宋体"/>
          <w:b/>
          <w:sz w:val="21"/>
          <w:szCs w:val="21"/>
        </w:rPr>
        <w:t xml:space="preserve">万元。</w:t>
      </w:r>
      <w:bookmarkEnd w:id="82"/>
      <w:r/>
      <w:bookmarkEnd w:id="83"/>
      <w:r/>
      <w:r/>
    </w:p>
    <w:p>
      <w:pPr>
        <w:ind w:left="0"/>
        <w:jc w:val="left"/>
        <w:rPr>
          <w:rFonts w:ascii="宋体" w:hAnsi="宋体"/>
          <w:b/>
          <w:sz w:val="21"/>
          <w:szCs w:val="21"/>
        </w:rPr>
      </w:pPr>
      <w:r/>
      <w:bookmarkStart w:id="84" w:name="_Toc235617189"/>
      <w:r>
        <w:rPr>
          <w:rFonts w:ascii="宋体" w:hAnsi="宋体"/>
          <w:b/>
          <w:sz w:val="21"/>
          <w:szCs w:val="21"/>
        </w:rPr>
        <w:br w:type="page" w:clear="all"/>
      </w:r>
      <w:r/>
    </w:p>
    <w:p>
      <w:pPr>
        <w:ind w:left="0"/>
        <w:rPr>
          <w:rFonts w:ascii="宋体" w:hAnsi="宋体"/>
          <w:sz w:val="21"/>
          <w:szCs w:val="21"/>
        </w:rPr>
        <w:outlineLvl w:val="0"/>
      </w:pPr>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bookmarkEnd w:id="8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5" w:name="_Toc235617190"/>
      <w:r/>
      <w:bookmarkStart w:id="86" w:name="_Toc21574"/>
      <w:r/>
      <w:bookmarkStart w:id="87" w:name="_Toc19621"/>
      <w:r/>
      <w:bookmarkStart w:id="88" w:name="_Toc105397783"/>
      <w:r/>
      <w:bookmarkStart w:id="89"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5"/>
      <w:r/>
      <w:bookmarkEnd w:id="86"/>
      <w:r/>
      <w:bookmarkEnd w:id="87"/>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（苏州市卫生健康信息中心）</w:t>
      </w:r>
      <w:r>
        <w:rPr>
          <w:rFonts w:hint="eastAsia" w:ascii="宋体" w:hAnsi="宋体"/>
          <w:sz w:val="21"/>
          <w:szCs w:val="21"/>
        </w:rPr>
        <w:t xml:space="preserve">的</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（苏州市公改示范项目健康医疗大数据中心升级建设、便民惠民应用体系及安全保障体系项目）</w:t>
      </w:r>
      <w:r>
        <w:rPr>
          <w:rFonts w:hint="eastAsia" w:ascii="宋体" w:hAnsi="宋体"/>
          <w:sz w:val="21"/>
          <w:szCs w:val="21"/>
        </w:rPr>
        <w:t xml:space="preserve">，属于</w:t>
      </w:r>
      <w:r>
        <w:rPr>
          <w:rFonts w:hint="eastAsia" w:ascii="宋体" w:hAnsi="宋体"/>
          <w:sz w:val="21"/>
          <w:szCs w:val="21"/>
          <w:u w:val="single"/>
        </w:rPr>
        <w:t xml:space="preserve">（软件和信息技术服务业）行业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firstLine="420"/>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1" w:name="_Toc105397784"/>
      <w:r/>
      <w:bookmarkStart w:id="92" w:name="_Toc2356171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869"/>
      <w:r/>
      <w:bookmarkStart w:id="94" w:name="_Toc15378"/>
      <w:r/>
      <w:bookmarkStart w:id="9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0" w:firstLine="0"/>
        <w:rPr>
          <w:rFonts w:ascii="宋体" w:hAnsi="宋体"/>
          <w:b/>
          <w:lang w:val="zh-CN"/>
        </w:rPr>
      </w:pPr>
      <w:r>
        <w:rPr>
          <w:rFonts w:ascii="宋体" w:hAnsi="宋体"/>
          <w:b/>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235617192"/>
      <w:r/>
      <w:bookmarkStart w:id="97" w:name="_Toc71810487"/>
      <w:r/>
      <w:bookmarkStart w:id="98" w:name="_Toc105397785"/>
      <w:r>
        <w:rPr>
          <w:rFonts w:hint="eastAsia" w:ascii="宋体" w:hAnsi="宋体"/>
          <w:b/>
          <w:sz w:val="21"/>
          <w:szCs w:val="21"/>
        </w:rPr>
        <w:t xml:space="preserve">附件7.关于符合本国产品标准的声明函</w:t>
      </w:r>
      <w:bookmarkEnd w:id="9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47"/>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4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Style w:val="1055"/>
          <w:rFonts w:hint="eastAsia"/>
          <w:color w:val="333333"/>
          <w:vertAlign w:val="superscript"/>
        </w:rPr>
        <w:t xml:space="preserve">1</w:t>
      </w:r>
      <w:r>
        <w:rPr>
          <w:rFonts w:hint="eastAsia"/>
          <w:color w:val="333333"/>
        </w:rPr>
        <w:t xml:space="preserve">，生产厂为</w:t>
      </w:r>
      <w:r>
        <w:rPr>
          <w:rStyle w:val="1055"/>
          <w:rFonts w:hint="eastAsia"/>
          <w:color w:val="333333"/>
          <w:u w:val="single"/>
        </w:rPr>
        <w:t xml:space="preserve">（厂名）</w:t>
      </w:r>
      <w:r>
        <w:rPr>
          <w:rStyle w:val="1055"/>
          <w:rFonts w:hint="eastAsia"/>
          <w:color w:val="333333"/>
          <w:vertAlign w:val="superscript"/>
        </w:rPr>
        <w:t xml:space="preserve">2</w:t>
      </w:r>
      <w:r>
        <w:rPr>
          <w:rFonts w:hint="eastAsia"/>
          <w:color w:val="333333"/>
        </w:rPr>
        <w:t xml:space="preserve">，厂址为</w:t>
      </w:r>
      <w:r>
        <w:rPr>
          <w:rStyle w:val="1055"/>
          <w:rFonts w:hint="eastAsia"/>
          <w:color w:val="333333"/>
          <w:u w:val="single"/>
        </w:rPr>
        <w:t xml:space="preserve">（生产厂址）</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Fonts w:hint="eastAsia"/>
          <w:color w:val="333333"/>
        </w:rPr>
        <w:t xml:space="preserve">的中国境内生产的组件成本占比≥</w:t>
      </w:r>
      <w:r>
        <w:rPr>
          <w:rStyle w:val="1055"/>
          <w:rFonts w:hint="eastAsia"/>
          <w:color w:val="333333"/>
          <w:u w:val="single"/>
        </w:rPr>
        <w:t xml:space="preserve">（规定比例）</w:t>
      </w:r>
      <w:r>
        <w:rPr>
          <w:rStyle w:val="1055"/>
          <w:rFonts w:hint="eastAsia"/>
          <w:color w:val="333333"/>
          <w:vertAlign w:val="superscript"/>
        </w:rPr>
        <w:t xml:space="preserve">3</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（关键组件）</w:t>
      </w:r>
      <w:r>
        <w:rPr>
          <w:rStyle w:val="1055"/>
          <w:rFonts w:hint="eastAsia"/>
          <w:color w:val="333333"/>
          <w:vertAlign w:val="superscript"/>
        </w:rPr>
        <w:t xml:space="preserve">4</w:t>
      </w:r>
      <w:r>
        <w:rPr>
          <w:rFonts w:hint="eastAsia"/>
          <w:color w:val="333333"/>
        </w:rPr>
        <w:t xml:space="preserve">在中国境内生产。</w:t>
      </w:r>
      <w:r>
        <w:rPr>
          <w:rStyle w:val="1055"/>
          <w:rFonts w:hint="eastAsia"/>
          <w:color w:val="333333"/>
          <w:u w:val="single"/>
        </w:rPr>
        <w:t xml:space="preserve">（产品名称</w:t>
      </w:r>
      <w:r>
        <w:rPr>
          <w:rStyle w:val="1055"/>
          <w:rFonts w:hint="eastAsia"/>
          <w:color w:val="333333"/>
          <w:u w:val="single"/>
        </w:rPr>
        <w:t xml:space="preserve">1</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（关键工序）</w:t>
      </w:r>
      <w:r>
        <w:rPr>
          <w:rStyle w:val="1055"/>
          <w:rFonts w:hint="eastAsia"/>
          <w:color w:val="333333"/>
          <w:vertAlign w:val="superscript"/>
        </w:rPr>
        <w:t xml:space="preserve">5</w:t>
      </w:r>
      <w:r>
        <w:rPr>
          <w:rFonts w:hint="eastAsia"/>
          <w:color w:val="333333"/>
        </w:rPr>
        <w:t xml:space="preserve">在中国境内完成。</w:t>
      </w:r>
      <w:r/>
    </w:p>
    <w:p>
      <w:pPr>
        <w:pStyle w:val="1047"/>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，生产厂为</w:t>
      </w:r>
      <w:r>
        <w:rPr>
          <w:rStyle w:val="1055"/>
          <w:rFonts w:hint="eastAsia"/>
          <w:color w:val="333333"/>
          <w:u w:val="single"/>
        </w:rPr>
        <w:t xml:space="preserve">（厂名）</w:t>
      </w:r>
      <w:r>
        <w:rPr>
          <w:rFonts w:hint="eastAsia"/>
          <w:color w:val="333333"/>
        </w:rPr>
        <w:t xml:space="preserve">，厂址为</w:t>
      </w:r>
      <w:r>
        <w:rPr>
          <w:rStyle w:val="1055"/>
          <w:rFonts w:hint="eastAsia"/>
          <w:color w:val="333333"/>
          <w:u w:val="single"/>
        </w:rPr>
        <w:t xml:space="preserve">（生产厂址）</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的中国境内生产的组件成本占比≥</w:t>
      </w:r>
      <w:r>
        <w:rPr>
          <w:rStyle w:val="1055"/>
          <w:rFonts w:hint="eastAsia"/>
          <w:color w:val="333333"/>
          <w:u w:val="single"/>
        </w:rPr>
        <w:t xml:space="preserve">（规定比例）</w:t>
      </w:r>
      <w:r>
        <w:rPr>
          <w:rFonts w:hint="eastAsia"/>
          <w:color w:val="333333"/>
        </w:rPr>
        <w:t xml:space="preserve">。</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（关键组件）</w:t>
      </w:r>
      <w:r>
        <w:rPr>
          <w:rFonts w:hint="eastAsia"/>
          <w:color w:val="333333"/>
        </w:rPr>
        <w:t xml:space="preserve">在中国境内生产。</w:t>
      </w:r>
      <w:r>
        <w:rPr>
          <w:rStyle w:val="1055"/>
          <w:rFonts w:hint="eastAsia"/>
          <w:color w:val="333333"/>
          <w:u w:val="single"/>
        </w:rPr>
        <w:t xml:space="preserve">（产品名称</w:t>
      </w:r>
      <w:r>
        <w:rPr>
          <w:rStyle w:val="1055"/>
          <w:rFonts w:hint="eastAsia"/>
          <w:color w:val="333333"/>
          <w:u w:val="single"/>
        </w:rPr>
        <w:t xml:space="preserve">2</w:t>
      </w:r>
      <w:r>
        <w:rPr>
          <w:rStyle w:val="1055"/>
          <w:rFonts w:hint="eastAsia"/>
          <w:color w:val="333333"/>
          <w:u w:val="single"/>
        </w:rPr>
        <w:t xml:space="preserve">）</w:t>
      </w:r>
      <w:r>
        <w:rPr>
          <w:rFonts w:hint="eastAsia"/>
          <w:color w:val="333333"/>
        </w:rPr>
        <w:t xml:space="preserve">的</w:t>
      </w:r>
      <w:r>
        <w:rPr>
          <w:rStyle w:val="1055"/>
          <w:rFonts w:hint="eastAsia"/>
          <w:color w:val="333333"/>
          <w:u w:val="single"/>
        </w:rPr>
        <w:t xml:space="preserve">（关键工序）</w:t>
      </w:r>
      <w:r>
        <w:rPr>
          <w:rFonts w:hint="eastAsia"/>
          <w:color w:val="333333"/>
        </w:rPr>
        <w:t xml:space="preserve">在中国境内完成。</w:t>
      </w:r>
      <w:r/>
    </w:p>
    <w:p>
      <w:pPr>
        <w:pStyle w:val="1047"/>
        <w:ind w:firstLine="480"/>
        <w:spacing w:before="30" w:after="30"/>
        <w:shd w:val="clear" w:color="auto" w:fill="ffffff"/>
        <w:rPr>
          <w:color w:val="333333"/>
        </w:rPr>
      </w:pPr>
      <w:r>
        <w:rPr>
          <w:rFonts w:hint="eastAsia"/>
          <w:color w:val="333333"/>
        </w:rPr>
        <w:t xml:space="preserve">……</w:t>
      </w:r>
      <w:r/>
    </w:p>
    <w:p>
      <w:pPr>
        <w:pStyle w:val="1047"/>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47"/>
        <w:spacing w:before="30" w:after="30"/>
        <w:shd w:val="clear" w:color="auto" w:fill="ffffff"/>
        <w:rPr>
          <w:color w:val="333333"/>
        </w:rPr>
      </w:pPr>
      <w:r>
        <w:rPr>
          <w:color w:val="333333"/>
        </w:rPr>
      </w:r>
      <w:r/>
    </w:p>
    <w:p>
      <w:pPr>
        <w:pStyle w:val="1047"/>
        <w:ind w:right="815"/>
        <w:jc w:val="center"/>
        <w:spacing w:before="30" w:after="30"/>
        <w:shd w:val="clear" w:color="auto" w:fill="ffffff"/>
        <w:rPr>
          <w:color w:val="333333"/>
        </w:rPr>
      </w:pPr>
      <w:r>
        <w:rPr>
          <w:rFonts w:hint="eastAsia"/>
          <w:color w:val="333333"/>
        </w:rPr>
        <w:t xml:space="preserve">公司（单位）名称（盖章）：</w:t>
      </w:r>
      <w:r/>
    </w:p>
    <w:p>
      <w:pPr>
        <w:pStyle w:val="1047"/>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47"/>
        <w:jc w:val="right"/>
        <w:spacing w:before="0" w:after="0"/>
        <w:shd w:val="clear" w:color="auto" w:fill="ffffff"/>
        <w:rPr>
          <w:color w:val="333333"/>
        </w:rPr>
      </w:pPr>
      <w:r>
        <w:rPr>
          <w:color w:val="333333"/>
        </w:rPr>
      </w:r>
      <w:r/>
    </w:p>
    <w:p>
      <w:pPr>
        <w:pStyle w:val="1047"/>
        <w:jc w:val="right"/>
        <w:spacing w:before="0" w:after="0"/>
        <w:shd w:val="clear" w:color="auto" w:fill="ffffff"/>
        <w:rPr>
          <w:color w:val="333333"/>
        </w:rPr>
      </w:pPr>
      <w:r>
        <w:rPr>
          <w:color w:val="333333"/>
        </w:rPr>
      </w:r>
      <w:r/>
    </w:p>
    <w:p>
      <w:pPr>
        <w:pStyle w:val="1047"/>
        <w:jc w:val="right"/>
        <w:spacing w:before="0" w:after="0"/>
        <w:shd w:val="clear" w:color="auto" w:fill="ffffff"/>
        <w:rPr>
          <w:color w:val="333333"/>
        </w:rPr>
      </w:pPr>
      <w:r>
        <w:rPr>
          <w:color w:val="333333"/>
        </w:rPr>
      </w:r>
      <w:r/>
    </w:p>
    <w:p>
      <w:pPr>
        <w:pStyle w:val="1047"/>
        <w:jc w:val="right"/>
        <w:spacing w:before="0" w:after="0"/>
        <w:shd w:val="clear" w:color="auto" w:fill="ffffff"/>
        <w:rPr>
          <w:color w:val="333333"/>
        </w:rPr>
      </w:pPr>
      <w:r>
        <w:rPr>
          <w:color w:val="333333"/>
        </w:rPr>
      </w:r>
      <w:r/>
    </w:p>
    <w:p>
      <w:pPr>
        <w:pStyle w:val="1047"/>
        <w:ind w:left="0" w:firstLine="0"/>
        <w:spacing w:before="30" w:after="30"/>
        <w:shd w:val="clear" w:color="auto" w:fill="ffffff"/>
        <w:rPr>
          <w:color w:val="333333"/>
        </w:rPr>
      </w:pPr>
      <w:r>
        <w:rPr>
          <w:rFonts w:hint="eastAsia"/>
          <w:color w:val="333333"/>
        </w:rPr>
        <w:t xml:space="preserve">__________________</w:t>
      </w:r>
      <w:r/>
    </w:p>
    <w:p>
      <w:pPr>
        <w:pStyle w:val="1047"/>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47"/>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47"/>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47"/>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47"/>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47"/>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ind w:left="0"/>
        <w:jc w:val="left"/>
        <w:rPr>
          <w:rFonts w:ascii="宋体" w:hAnsi="宋体"/>
          <w:sz w:val="21"/>
          <w:szCs w:val="21"/>
        </w:rPr>
        <w:outlineLvl w:val="0"/>
      </w:pPr>
      <w:r>
        <w:rPr>
          <w:rFonts w:ascii="宋体" w:hAnsi="宋体"/>
          <w:sz w:val="21"/>
          <w:szCs w:val="21"/>
          <w:lang w:val="zh-CN"/>
        </w:rPr>
        <w:br w:type="page" w:clear="all"/>
      </w:r>
      <w:r/>
    </w:p>
    <w:p>
      <w:pPr>
        <w:ind w:left="0"/>
        <w:jc w:val="left"/>
        <w:rPr>
          <w:rFonts w:ascii="宋体" w:hAnsi="宋体"/>
          <w:b/>
          <w:sz w:val="21"/>
          <w:szCs w:val="21"/>
        </w:rPr>
        <w:outlineLvl w:val="0"/>
      </w:pPr>
      <w:r/>
      <w:bookmarkStart w:id="99" w:name="_Toc235617193"/>
      <w:r>
        <w:rPr>
          <w:rFonts w:ascii="宋体" w:hAnsi="宋体"/>
          <w:b/>
          <w:sz w:val="21"/>
          <w:szCs w:val="21"/>
        </w:rPr>
        <w:t xml:space="preserve">附件8</w:t>
      </w:r>
      <w:r>
        <w:rPr>
          <w:rFonts w:hint="eastAsia" w:ascii="宋体" w:hAnsi="宋体"/>
          <w:b/>
          <w:sz w:val="21"/>
          <w:szCs w:val="21"/>
        </w:rPr>
        <w:t xml:space="preserve">.</w:t>
      </w:r>
      <w:bookmarkEnd w:id="97"/>
      <w:r>
        <w:rPr>
          <w:rFonts w:hint="eastAsia" w:ascii="宋体" w:hAnsi="宋体"/>
          <w:b/>
          <w:sz w:val="21"/>
          <w:szCs w:val="21"/>
        </w:rPr>
        <w:t xml:space="preserve">偏离表（技术、商务）</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27138"/>
      <w:r/>
      <w:bookmarkStart w:id="101" w:name="_Toc31973"/>
      <w:r>
        <w:rPr>
          <w:rFonts w:ascii="宋体" w:hAnsi="宋体"/>
          <w:sz w:val="21"/>
          <w:szCs w:val="21"/>
        </w:rPr>
        <w:t xml:space="preserve"> </w:t>
      </w:r>
      <w:r/>
    </w:p>
    <w:p>
      <w:pPr>
        <w:pStyle w:val="101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235617194"/>
      <w:r/>
      <w:bookmarkStart w:id="103" w:name="_Toc105397786"/>
      <w:r>
        <w:rPr>
          <w:rFonts w:ascii="宋体" w:hAnsi="宋体"/>
          <w:b/>
          <w:sz w:val="21"/>
          <w:szCs w:val="21"/>
        </w:rPr>
        <w:t xml:space="preserve">附件9</w:t>
      </w:r>
      <w:r>
        <w:rPr>
          <w:rFonts w:hint="eastAsia" w:ascii="宋体" w:hAnsi="宋体"/>
          <w:b/>
          <w:sz w:val="21"/>
          <w:szCs w:val="21"/>
        </w:rPr>
        <w:t xml:space="preserve">.项目服务人员配置表</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b/>
        </w:rPr>
        <w:t xml:space="preserve">1</w:t>
      </w:r>
      <w:r>
        <w:rPr>
          <w:b/>
          <w:sz w:val="21"/>
        </w:rPr>
        <w:t xml:space="preserve">.</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2</w:t>
      </w:r>
      <w:r>
        <w:rPr>
          <w:rFonts w:ascii="宋体" w:hAnsi="宋体"/>
          <w:sz w:val="21"/>
          <w:szCs w:val="21"/>
        </w:rPr>
        <w:t xml:space="preserve">.</w:t>
      </w:r>
      <w:r>
        <w:rPr>
          <w:rFonts w:hint="eastAsia" w:ascii="Times New Roman" w:hAnsi="Times New Roman"/>
          <w:sz w:val="21"/>
        </w:rPr>
        <w:t xml:space="preserve">请将相关人员证明材料复印件加盖公章后附在本表后面。</w:t>
      </w:r>
      <w:r>
        <w:rPr>
          <w:rFonts w:ascii="Times New Roman" w:hAnsi="Times New Roman"/>
          <w:sz w:val="21"/>
        </w:rPr>
        <w:t xml:space="preserve">若事项较多，</w:t>
      </w:r>
      <w:r>
        <w:rPr>
          <w:rFonts w:hint="eastAsia" w:ascii="Times New Roman" w:hAnsi="Times New Roman"/>
          <w:sz w:val="21"/>
        </w:rPr>
        <w:t xml:space="preserve">供应商</w:t>
      </w:r>
      <w:r>
        <w:rPr>
          <w:rFonts w:ascii="Times New Roman" w:hAnsi="Times New Roman"/>
          <w:sz w:val="21"/>
        </w:rPr>
        <w:t xml:space="preserve">可根据</w:t>
      </w:r>
      <w:r>
        <w:rPr>
          <w:rFonts w:hint="eastAsia" w:ascii="Times New Roman" w:hAnsi="Times New Roman"/>
          <w:sz w:val="21"/>
        </w:rPr>
        <w:t xml:space="preserve">响应</w:t>
      </w:r>
      <w:r>
        <w:rPr>
          <w:rFonts w:ascii="Times New Roman" w:hAnsi="Times New Roman"/>
          <w:sz w:val="21"/>
        </w:rPr>
        <w:t xml:space="preserve">内容的实际情况另纸说明</w:t>
      </w:r>
      <w:r>
        <w:rPr>
          <w:rFonts w:hint="eastAsia" w:ascii="Times New Roman" w:hAnsi="Times New Roman"/>
          <w:sz w:val="21"/>
        </w:rPr>
        <w:t xml:space="preserve">。</w:t>
      </w:r>
      <w:r/>
    </w:p>
    <w:p>
      <w:pPr>
        <w:ind w:right="840" w:firstLine="5250"/>
        <w:spacing w:line="360" w:lineRule="auto"/>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4" w:name="_Toc71810489"/>
      <w:r/>
      <w:bookmarkStart w:id="105" w:name="_Toc105397787"/>
      <w:r>
        <w:rPr>
          <w:rFonts w:ascii="宋体" w:hAnsi="宋体"/>
          <w:b/>
          <w:sz w:val="21"/>
          <w:szCs w:val="21"/>
        </w:rPr>
        <w:br w:type="page" w:clear="all"/>
      </w:r>
      <w:bookmarkStart w:id="106" w:name="_Toc235617195"/>
      <w:r>
        <w:rPr>
          <w:rFonts w:ascii="宋体" w:hAnsi="宋体"/>
          <w:b/>
          <w:sz w:val="21"/>
          <w:szCs w:val="21"/>
        </w:rPr>
        <w:t xml:space="preserve">附件10</w:t>
      </w:r>
      <w:r>
        <w:rPr>
          <w:rFonts w:hint="eastAsia" w:ascii="宋体" w:hAnsi="宋体"/>
          <w:b/>
          <w:sz w:val="21"/>
          <w:szCs w:val="21"/>
        </w:rPr>
        <w:t xml:space="preserve">.相关业绩一览表</w:t>
      </w:r>
      <w:bookmarkEnd w:id="104"/>
      <w:r/>
      <w:bookmarkEnd w:id="105"/>
      <w:r/>
      <w:bookmarkEnd w:id="10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7" w:name="_Toc105397788"/>
      <w:r/>
      <w:bookmarkStart w:id="108" w:name="_Toc235617196"/>
      <w:r/>
      <w:bookmarkStart w:id="109"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.针对本项目的实施方案</w:t>
      </w:r>
      <w:bookmarkEnd w:id="107"/>
      <w:r/>
      <w:bookmarkEnd w:id="10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0" w:name="_Toc105397789"/>
      <w:r/>
      <w:bookmarkStart w:id="111" w:name="_Toc235617197"/>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关于资格文件的声明函</w:t>
      </w:r>
      <w:bookmarkEnd w:id="109"/>
      <w:r/>
      <w:bookmarkEnd w:id="110"/>
      <w:r/>
      <w:bookmarkEnd w:id="11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2" w:name="_Toc235617198"/>
      <w:r>
        <w:rPr>
          <w:rFonts w:ascii="宋体" w:hAnsi="宋体"/>
          <w:b/>
          <w:sz w:val="21"/>
          <w:szCs w:val="21"/>
        </w:rPr>
        <w:t xml:space="preserve">附件13</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13" w:name="OLE_LINK48"/>
      <w:r/>
      <w:bookmarkStart w:id="114" w:name="OLE_LINK7"/>
      <w:r/>
      <w:bookmarkStart w:id="115" w:name="OLE_LINK8"/>
      <w:r>
        <w:rPr>
          <w:rFonts w:hint="eastAsia" w:ascii="宋体" w:hAnsi="宋体"/>
          <w:b/>
          <w:color w:val="000000" w:themeColor="text1"/>
          <w:sz w:val="21"/>
          <w:szCs w:val="21"/>
          <w:lang w:val="zh-CN"/>
        </w:rPr>
        <w:t xml:space="preserve">备注：根据招标文件第二章“投标人须知”第26.4</w:t>
      </w:r>
      <w:bookmarkStart w:id="11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6"/>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3"/>
      <w:r/>
      <w:bookmarkEnd w:id="114"/>
      <w:r/>
      <w:bookmarkEnd w:id="115"/>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bookmarkStart w:id="117" w:name="_Toc235617199"/>
      <w:r/>
      <w:bookmarkStart w:id="118" w:name="_Toc4098"/>
      <w:r/>
      <w:bookmarkStart w:id="119" w:name="_Toc23660"/>
      <w:r/>
      <w:r/>
    </w:p>
    <w:p>
      <w:pPr>
        <w:pStyle w:val="1002"/>
      </w:pPr>
      <w:r>
        <w:br w:type="page" w:clear="all"/>
      </w:r>
      <w:r/>
    </w:p>
    <w:p>
      <w:pPr>
        <w:pStyle w:val="990"/>
        <w:ind w:left="0" w:firstLine="0"/>
        <w:jc w:val="center"/>
        <w:rPr>
          <w:rFonts w:ascii="宋体" w:hAnsi="宋体"/>
          <w:b/>
          <w:sz w:val="44"/>
          <w:szCs w:val="22"/>
        </w:rPr>
      </w:pPr>
      <w:r>
        <w:rPr>
          <w:rFonts w:hint="eastAsia" w:ascii="宋体" w:hAnsi="宋体"/>
          <w:b/>
          <w:sz w:val="44"/>
          <w:szCs w:val="22"/>
        </w:rPr>
        <w:t xml:space="preserve">第四章  </w:t>
      </w:r>
      <w:bookmarkStart w:id="120" w:name="招标书"/>
      <w:r/>
      <w:bookmarkEnd w:id="120"/>
      <w:r>
        <w:rPr>
          <w:rFonts w:hint="eastAsia" w:ascii="宋体" w:hAnsi="宋体"/>
          <w:b/>
          <w:sz w:val="44"/>
          <w:szCs w:val="22"/>
        </w:rPr>
        <w:t xml:space="preserve">招标书</w:t>
      </w:r>
      <w:bookmarkEnd w:id="117"/>
      <w:r/>
      <w:bookmarkEnd w:id="118"/>
      <w:r/>
      <w:bookmarkEnd w:id="119"/>
      <w:r/>
      <w:r/>
    </w:p>
    <w:p>
      <w:pPr>
        <w:ind w:left="0" w:firstLine="420"/>
        <w:spacing w:line="360" w:lineRule="auto"/>
        <w:tabs>
          <w:tab w:val="left" w:pos="567"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苏州市卫生健康信息中心</w:t>
      </w:r>
      <w:r>
        <w:rPr>
          <w:rFonts w:ascii="宋体" w:hAnsi="宋体"/>
          <w:sz w:val="21"/>
        </w:rPr>
        <w:t xml:space="preserve">的委托，就</w:t>
      </w:r>
      <w:r>
        <w:rPr>
          <w:rFonts w:hint="eastAsia" w:ascii="宋体" w:hAnsi="宋体"/>
          <w:sz w:val="21"/>
          <w:u w:val="single"/>
        </w:rPr>
        <w:t xml:space="preserve">苏州市公改示范项目健康医疗大数据中心升级建设、便民惠民应用体系及安全保障体系项目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567"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JSZC-320500-JZCG-G2026-0290</w:t>
      </w:r>
      <w:r>
        <w:rPr>
          <w:rFonts w:hint="eastAsia" w:ascii="宋体" w:hAnsi="宋体" w:cs="Times New Roman"/>
          <w:sz w:val="21"/>
          <w:szCs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二、项目名称：苏州市公改示范项目健康医疗大数据中心升级建设、便民惠民应用体系及安全保障体系项目</w:t>
      </w:r>
      <w:r/>
    </w:p>
    <w:p>
      <w:pPr>
        <w:ind w:left="0" w:firstLine="420"/>
        <w:spacing w:line="360" w:lineRule="auto"/>
        <w:tabs>
          <w:tab w:val="left" w:pos="567" w:leader="none"/>
        </w:tabs>
        <w:rPr>
          <w:rFonts w:ascii="宋体" w:hAnsi="宋体"/>
          <w:sz w:val="21"/>
        </w:rPr>
      </w:pPr>
      <w:r>
        <w:rPr>
          <w:rFonts w:hint="eastAsia" w:ascii="宋体" w:hAnsi="宋体"/>
          <w:sz w:val="21"/>
        </w:rPr>
        <w:t xml:space="preserve">三、预算金额：人民币壹仟玖佰壹拾贰万捌仟伍佰元整（￥19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567" w:leader="none"/>
        </w:tabs>
        <w:rPr>
          <w:rFonts w:ascii="宋体" w:hAnsi="宋体"/>
          <w:sz w:val="21"/>
        </w:rPr>
      </w:pPr>
      <w:r>
        <w:rPr>
          <w:rFonts w:hint="eastAsia" w:ascii="宋体" w:hAnsi="宋体"/>
          <w:sz w:val="21"/>
        </w:rPr>
        <w:t xml:space="preserve">四、最高限价：人民币壹仟玖佰壹拾贰万捌仟伍佰元整（￥19</w:t>
      </w:r>
      <w:r>
        <w:rPr>
          <w:rFonts w:ascii="宋体" w:hAnsi="宋体"/>
          <w:sz w:val="21"/>
        </w:rPr>
        <w:t xml:space="preserve">,</w:t>
      </w:r>
      <w:r>
        <w:rPr>
          <w:rFonts w:hint="eastAsia" w:ascii="宋体" w:hAnsi="宋体"/>
          <w:sz w:val="21"/>
        </w:rPr>
        <w:t xml:space="preserve">128</w:t>
      </w:r>
      <w:r>
        <w:rPr>
          <w:rFonts w:ascii="宋体" w:hAnsi="宋体"/>
          <w:sz w:val="21"/>
        </w:rPr>
        <w:t xml:space="preserve">,</w:t>
      </w:r>
      <w:r>
        <w:rPr>
          <w:rFonts w:hint="eastAsia" w:ascii="宋体" w:hAnsi="宋体"/>
          <w:sz w:val="21"/>
        </w:rPr>
        <w:t xml:space="preserve">500.00元）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五、合同履行期限：本项目在合同签订后，1个月内完成配套软硬件到货、部署实施工作，</w:t>
      </w:r>
      <w:r>
        <w:rPr>
          <w:rFonts w:ascii="宋体" w:hAnsi="宋体"/>
          <w:sz w:val="21"/>
        </w:rPr>
        <w:t xml:space="preserve">6个月内</w:t>
      </w:r>
      <w:r>
        <w:rPr>
          <w:rFonts w:hint="eastAsia" w:ascii="宋体" w:hAnsi="宋体"/>
          <w:sz w:val="21"/>
        </w:rPr>
        <w:t xml:space="preserve">完成项目开发工作以及部署上线工作，上线后进入不少于3个月的试运行期，</w:t>
      </w:r>
      <w:r>
        <w:rPr>
          <w:rFonts w:hint="eastAsia" w:ascii="宋体" w:hAnsi="宋体"/>
          <w:sz w:val="21"/>
        </w:rPr>
        <w:t xml:space="preserve">试运行</w:t>
      </w:r>
      <w:r>
        <w:rPr>
          <w:rFonts w:hint="eastAsia" w:ascii="宋体" w:hAnsi="宋体"/>
          <w:sz w:val="21"/>
        </w:rPr>
        <w:t xml:space="preserve">合格后组织</w:t>
      </w:r>
      <w:r>
        <w:rPr>
          <w:rFonts w:hint="eastAsia" w:ascii="宋体" w:hAnsi="宋体"/>
          <w:sz w:val="21"/>
        </w:rPr>
        <w:t xml:space="preserve">验收</w:t>
      </w:r>
      <w:r>
        <w:rPr>
          <w:rFonts w:hint="eastAsia" w:ascii="宋体" w:hAnsi="宋体"/>
          <w:sz w:val="21"/>
        </w:rPr>
        <w:t xml:space="preserve">，验收通过后提供3年免费运维服务，免费运维期结束后额外提供2年免费升级服务。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（一）项目概述</w:t>
      </w:r>
      <w:r/>
    </w:p>
    <w:p>
      <w:pPr>
        <w:ind w:left="0" w:firstLine="420"/>
        <w:spacing w:line="360" w:lineRule="auto"/>
        <w:tabs>
          <w:tab w:val="left" w:pos="420" w:leader="none"/>
        </w:tabs>
        <w:rPr>
          <w:rFonts w:ascii="宋体" w:hAnsi="宋体"/>
          <w:sz w:val="21"/>
        </w:rPr>
      </w:pPr>
      <w:r>
        <w:rPr>
          <w:rFonts w:hint="eastAsia" w:ascii="宋体" w:hAnsi="宋体"/>
          <w:sz w:val="21"/>
        </w:rPr>
        <w:t xml:space="preserve">1.建设背景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十四五”以来，国家层面先后出台《“健康中国2030”规划纲要》《“十四五”全民健康信息化规划》等多项政策，对全民健康信息化、智慧医院建设、健康医疗大数据创新应用作出总体规划与明确指引，为地方开展健康医疗数智化建设提供了清晰的行动遵循。围绕国家部署，苏州锚定健康中国典范城市建设目标，2023年6月发布专项实施意见，明确提出打造市级健康大数据中心、建设“健康苏州云”平台，要求深化大数据、人工智能应用，提升健康管理智能化水平，健全健康医疗数据资源体系，为苏州健康医疗数智化发展明确了具体任务。</w:t>
      </w:r>
      <w:r/>
    </w:p>
    <w:p>
      <w:pPr>
        <w:ind w:left="0" w:firstLine="420"/>
        <w:spacing w:line="360" w:lineRule="auto"/>
        <w:tabs>
          <w:tab w:val="left" w:pos="420" w:leader="none"/>
        </w:tabs>
        <w:rPr>
          <w:rFonts w:ascii="宋体" w:hAnsi="宋体"/>
          <w:sz w:val="21"/>
        </w:rPr>
      </w:pPr>
      <w:r>
        <w:rPr>
          <w:rFonts w:hint="eastAsia" w:ascii="宋体" w:hAnsi="宋体"/>
          <w:sz w:val="21"/>
        </w:rPr>
        <w:t xml:space="preserve">2024年9月，苏州成功入选全国第三批公立医院改革与高质量发展示范城市，根据获批实施方案，我市将实施“示范引领12322”行动，本项目正是</w:t>
      </w:r>
      <w:r>
        <w:rPr>
          <w:rFonts w:hint="eastAsia" w:ascii="宋体" w:hAnsi="宋体"/>
          <w:sz w:val="21"/>
        </w:rPr>
        <w:t xml:space="preserve">其中“数智赋能健康医疗水平提升工程”的核心组成部分，承担着构建支撑苏州卫生健康长远发展的数字底座，完善公立医院数智化转型数据协同与赋能体系，激活数据潜能、培育发展新动能的关键使命。项目具体涵盖四大方向：构建全市医疗指标分析体系，提升数据准确性、时效性与决策智能化水平；打造全市统一医疗卫生健康协同平台，打破信息壁垒推动跨机构业务协同与资源共享；整合医疗资源升级便民服务入口，拓展“互联网+医疗”服务能力，提升群众就医获得感；构建覆盖全市二级以上医院的全链条网络与数据安全监测预警体系，保障示范项目全环境安全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当前，推动健康医疗大数据创新应用已是卫生健康高质量发展的核心支撑，苏州将牢牢把握示范项目机遇，推进卫生健康信息化系统性重塑，打造数智赋能健康服务的苏州标志性成果。</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统筹全市健康医疗数智化改革资源配置，深化数智化能力建设，打造支撑苏州卫生健康事业长远发展的数字底座，构建完善的全市公立医院数智化转型数据协同与赋能体系，推动工作机制与业务流程再造，激活健康医疗数据潜能，培育事业发展新动能。</w:t>
      </w:r>
      <w:r/>
    </w:p>
    <w:p>
      <w:pPr>
        <w:ind w:left="0" w:firstLine="420"/>
        <w:spacing w:line="360" w:lineRule="auto"/>
        <w:tabs>
          <w:tab w:val="left" w:pos="420" w:leader="none"/>
        </w:tabs>
        <w:rPr>
          <w:rFonts w:ascii="宋体" w:hAnsi="宋体"/>
          <w:sz w:val="21"/>
        </w:rPr>
      </w:pPr>
      <w:r>
        <w:rPr>
          <w:rFonts w:hint="eastAsia" w:ascii="宋体" w:hAnsi="宋体"/>
          <w:sz w:val="21"/>
        </w:rPr>
        <w:t xml:space="preserve">综合分析升级方面,建成具备指标血缘可视化、口径配置、计算规则配置、多部门协同共享、GPT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协同管理升级方面，建成覆盖全市医疗卫生机构的统一协同平台，实现用户、机构、授权、认证、消息的统一管理，打破机构间信息壁垒，推动远程会诊、双向转诊等业务协同，促进医疗资源高效共享，提升协同效率、降低协作成本，为患者提供连续协同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便民服务升级方面，以微信公众号与预约热线为核心，整合全市优质医疗资源打造智慧整合型服务体系，重构并升级12320公众号、建设卫生热线智能知识中心，拓展服务能力，让居民足不出户享受预约挂号、报告查询、健康管理等便捷服务，提升公众获得感与满意度。</w:t>
      </w:r>
      <w:r/>
    </w:p>
    <w:p>
      <w:pPr>
        <w:ind w:left="0" w:firstLine="420"/>
        <w:spacing w:line="360" w:lineRule="auto"/>
        <w:tabs>
          <w:tab w:val="left" w:pos="420" w:leader="none"/>
        </w:tabs>
        <w:rPr>
          <w:rFonts w:ascii="宋体" w:hAnsi="宋体"/>
          <w:sz w:val="21"/>
        </w:rPr>
      </w:pPr>
      <w:r/>
      <w:bookmarkStart w:id="121" w:name="OLE_LINK68"/>
      <w:r>
        <w:rPr>
          <w:rFonts w:hint="eastAsia" w:ascii="宋体" w:hAnsi="宋体"/>
          <w:sz w:val="21"/>
        </w:rPr>
        <w:t xml:space="preserve">基础设施与网络安全升级方面，在网络安全建设方面，</w:t>
      </w:r>
      <w:r>
        <w:rPr>
          <w:rFonts w:ascii="宋体" w:hAnsi="宋体"/>
          <w:sz w:val="21"/>
        </w:rPr>
        <w:t xml:space="preserve">围绕网络与数据安全全链条、全要素、全周期加强技术防护，提高安全防护能力</w:t>
      </w:r>
      <w:r>
        <w:rPr>
          <w:rFonts w:hint="eastAsia" w:ascii="宋体" w:hAnsi="宋体"/>
          <w:sz w:val="21"/>
        </w:rPr>
        <w:t xml:space="preserve">,通过项目建设，做好示范项目基础设施、网络、数据、AI能力等环境运行保障和安全防护管理。</w:t>
      </w:r>
      <w:bookmarkEnd w:id="121"/>
      <w:r/>
      <w:r/>
    </w:p>
    <w:p>
      <w:pPr>
        <w:ind w:left="0" w:firstLine="420"/>
        <w:spacing w:line="360" w:lineRule="auto"/>
        <w:tabs>
          <w:tab w:val="left" w:pos="420" w:leader="none"/>
        </w:tabs>
        <w:rPr>
          <w:rFonts w:ascii="宋体" w:hAnsi="宋体"/>
          <w:sz w:val="21"/>
        </w:rPr>
      </w:pPr>
      <w:r>
        <w:rPr>
          <w:rFonts w:hint="eastAsia" w:ascii="宋体" w:hAnsi="宋体"/>
          <w:sz w:val="21"/>
        </w:rPr>
        <w:t xml:space="preserve">3.建设内容</w:t>
      </w:r>
      <w:r/>
    </w:p>
    <w:p>
      <w:pPr>
        <w:ind w:left="0" w:firstLine="420"/>
        <w:spacing w:line="360" w:lineRule="auto"/>
        <w:rPr>
          <w:rFonts w:ascii="宋体" w:hAnsi="宋体"/>
          <w:sz w:val="21"/>
        </w:rPr>
      </w:pPr>
      <w:r>
        <w:rPr>
          <w:rFonts w:hint="eastAsia" w:ascii="宋体" w:hAnsi="宋体"/>
          <w:sz w:val="21"/>
        </w:rPr>
        <w:t xml:space="preserve">3.1 构建指标综合分析体系</w:t>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rPr>
          <w:rFonts w:ascii="宋体" w:hAnsi="宋体"/>
          <w:sz w:val="21"/>
        </w:rPr>
        <w:tab/>
      </w:r>
      <w:r/>
    </w:p>
    <w:p>
      <w:pPr>
        <w:ind w:left="0" w:firstLine="420"/>
        <w:spacing w:line="360" w:lineRule="auto"/>
        <w:tabs>
          <w:tab w:val="left" w:pos="420" w:leader="none"/>
        </w:tabs>
        <w:rPr>
          <w:rFonts w:ascii="宋体" w:hAnsi="宋体"/>
          <w:sz w:val="21"/>
        </w:rPr>
      </w:pPr>
      <w:r>
        <w:rPr>
          <w:rFonts w:hint="eastAsia" w:ascii="宋体" w:hAnsi="宋体"/>
          <w:sz w:val="21"/>
        </w:rPr>
        <w:t xml:space="preserve">搭建科学完善的卫生健康指标体系，构建统一的指标库、标准化数据框架及指标管理平台，实现指标数据全生命周期管理。深度挖掘各类医疗业务数据价值，让“用数据服务、用数据治理、用数据决策、用数据创新”成为常态。通过精准的数据洞察，为公立医院的运营管理、医疗质量提升、资源优化配置提供有力支撑，助力管理者做出科学决策，推动公立医院精细化管理水平迈上新台阶。</w:t>
      </w:r>
      <w:r/>
    </w:p>
    <w:p>
      <w:pPr>
        <w:ind w:left="0" w:firstLine="420"/>
        <w:spacing w:line="360" w:lineRule="auto"/>
        <w:tabs>
          <w:tab w:val="left" w:pos="420" w:leader="none"/>
        </w:tabs>
        <w:rPr>
          <w:rFonts w:ascii="宋体" w:hAnsi="宋体"/>
          <w:sz w:val="21"/>
        </w:rPr>
      </w:pPr>
      <w:r>
        <w:rPr>
          <w:rFonts w:hint="eastAsia" w:ascii="宋体" w:hAnsi="宋体"/>
          <w:sz w:val="21"/>
        </w:rPr>
        <w:t xml:space="preserve">3.2构建全市统一卫健业务协同体系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建成覆盖全市医疗卫生机构的协同平台，实现统一用户管理、统一机构管理、统一访问授权、统一身份认证及统一消息管理。打破医疗机构之间的信息壁垒，全面提升医疗卫生体系内协同效率，降低沟通协作成本。推动多机构间的医疗业务协同，如远程会诊、双向转诊等，实现医疗资源的高效共享，为患者提供连续、协同的医疗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3.3构建便民惠民服务体系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以微信公众号和卫生热线为核心入口，整合全市优质医疗服务资源，提升服务效能与智能化水平，为市民提供更便捷、高效、精准的卫生健康服务体验。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3.4基础设施与网络安全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围绕网络、数据、AI大模型安全全链条构建主动全面的安全监测防护体系，提升风险发现、预警处置等能力，建成覆盖全市二级以上医院的安全监测预警平台，做好示范项目全环境的运行保障与安全管理。</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1.总体要求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1.1 总体架构要求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本招标项目具体覆盖范围包括但不限于：投标人按技术规范、合同条款及有关文件提供包括详细设计、系统软件开发、安装调试、测试、试运行、培训等服务。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要求系统整体采用分层模块化分布式架构，遵循标准规范、开放兼容、安全可控、弹性拓展的设计原则。架构层级划分明晰，各功能模块权责边界清晰，实现应用、服务、数据多层解耦。</w:t>
      </w:r>
      <w:r/>
    </w:p>
    <w:p>
      <w:pPr>
        <w:ind w:left="0" w:firstLine="420"/>
        <w:spacing w:line="360" w:lineRule="auto"/>
        <w:tabs>
          <w:tab w:val="left" w:pos="420" w:leader="none"/>
        </w:tabs>
        <w:rPr>
          <w:rFonts w:ascii="宋体" w:hAnsi="宋体"/>
          <w:sz w:val="21"/>
        </w:rPr>
      </w:pPr>
      <w:r>
        <w:rPr>
          <w:rFonts w:hint="eastAsia" w:ascii="宋体" w:hAnsi="宋体"/>
          <w:sz w:val="21"/>
        </w:rPr>
        <w:t xml:space="preserve">可顺畅对接现有各类业务信息系统，保障数据互通、业务联动。架构具备横向扩容、版本迭代与功能增补能力，满足高并发、高稳定运行需求。同时搭建完备安全防护与运维管理体系，既能保障当下业务高效运转，也可适配未来业务规模增长与体系升级改造。</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2.非功能性要求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2.1 适应性需求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考虑到全市居民及医院数量庞大，在用户使用侧应适配多类型操作系统。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电脑端支持主流操作系统包含但不限于国产操作系统，商用操作系统，同时适配主流浏览器。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移动终端适配：适配IOS、安卓系统，满足鸿蒙系统使用。</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2.2 性能需求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系统基础软件性能及相应的系统管理保障基础上，保证80%的数据提交不超过4秒；80%的统计汇总工作处理时间不超过5秒。采用合理的数据库结构和查询算法，80%查询的响应速度在4秒以内，并不随记录数的增长而下降。系统具有良好的并发响应能力，整体响应性能在2秒以内，承担全市各类应用场景访问服务1万次以上的日访问量，在线用户数不低于1000，在500个高并发用户状态下的系统响应时间小于3s性能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2.3 国产适配要求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可适配主流品牌国产CPU处理器，可适配主流品牌国产操作系统，可适配主流品牌国产数据库，可适配主流品牌国产中间件，满足国产化环境部署要求。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2.4 软件质量因素其他需求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（1）可靠性需求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保证系统数据的一致性、完整性、准确性要求达到99.9%。</w:t>
      </w:r>
      <w:r/>
    </w:p>
    <w:p>
      <w:pPr>
        <w:ind w:left="0" w:firstLine="420"/>
        <w:spacing w:line="360" w:lineRule="auto"/>
        <w:tabs>
          <w:tab w:val="left" w:pos="420" w:leader="none"/>
        </w:tabs>
        <w:rPr>
          <w:rFonts w:ascii="宋体" w:hAnsi="宋体"/>
          <w:sz w:val="21"/>
        </w:rPr>
      </w:pPr>
      <w:r>
        <w:rPr>
          <w:rFonts w:hint="eastAsia" w:ascii="宋体" w:hAnsi="宋体"/>
          <w:sz w:val="21"/>
        </w:rPr>
        <w:t xml:space="preserve">在应用软件开发中能够充分利用数据库的安全机制和错误恢复机制，保证数据的准确性和完整性。</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系统能够提供满足7×24小时不宕机、不间断的持续服务能力。系统的投入、退出和异常停止后，不应影响其它系统的正常业务。在出现故障的时候，必须能够及时提供应急措施，以确保整个业务系统的不中断。</w:t>
      </w:r>
      <w:r/>
    </w:p>
    <w:p>
      <w:pPr>
        <w:ind w:left="0" w:firstLine="420"/>
        <w:spacing w:line="360" w:lineRule="auto"/>
        <w:tabs>
          <w:tab w:val="left" w:pos="420" w:leader="none"/>
        </w:tabs>
        <w:rPr>
          <w:rFonts w:ascii="宋体" w:hAnsi="宋体"/>
          <w:sz w:val="21"/>
        </w:rPr>
      </w:pPr>
      <w:r>
        <w:rPr>
          <w:rFonts w:hint="eastAsia" w:ascii="宋体" w:hAnsi="宋体"/>
          <w:sz w:val="21"/>
        </w:rPr>
        <w:t xml:space="preserve">用户界面程序异常停止后，不会影响服务器端系统和其他用户界面的正常运行。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（2）界面需求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系统应当提供操作友好的界面， 使用者通过一定的培训和学习可以熟练使用。</w:t>
      </w:r>
      <w:r/>
    </w:p>
    <w:p>
      <w:pPr>
        <w:ind w:left="0" w:firstLine="420"/>
        <w:spacing w:line="360" w:lineRule="auto"/>
        <w:tabs>
          <w:tab w:val="left" w:pos="420" w:leader="none"/>
        </w:tabs>
        <w:rPr>
          <w:rFonts w:ascii="宋体" w:hAnsi="宋体"/>
          <w:sz w:val="21"/>
        </w:rPr>
      </w:pPr>
      <w:r>
        <w:rPr>
          <w:rFonts w:ascii="宋体" w:hAnsi="宋体"/>
          <w:sz w:val="21"/>
        </w:rPr>
        <w:t xml:space="preserve">1.2.5 软件安全要求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根据《关于印发医疗卫生机构数据</w:t>
      </w:r>
      <w:r>
        <w:rPr>
          <w:rFonts w:hint="eastAsia" w:ascii="宋体" w:hAnsi="宋体"/>
          <w:sz w:val="21"/>
        </w:rPr>
        <w:t xml:space="preserve">安全和个人信息保护管理办法（试行）的通知》《关于进一步加强医疗卫生机构患者医疗信息规范管理和隐私保护工作的通知》要求，身份验证环节采用多因子认证方式，除账号密码外增加扫码等二次校验，确保用户身份真实，防范账号被盗用风险；访问控制遵循最小权限原则，按岗位职责分配权限并定期复核调整，防止越权操作；对敏感信息在存储和传输过程中进行加密保护，防止数据泄露；系统操作日志完整记录、不可篡改，留存时间满足合规审计要求；关键操作全程留痕，对异常访问、批量数据导出等高风险行为能够及时发现、快速定位并处置，保障系统和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2.建设要求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2.1 软件建设要求</w:t>
      </w:r>
      <w:r/>
    </w:p>
    <w:tbl>
      <w:tblPr>
        <w:tblStyle w:val="1442"/>
        <w:tblW w:w="9558" w:type="dxa"/>
        <w:tblLook w:val="04A0" w:firstRow="1" w:lastRow="0" w:firstColumn="1" w:lastColumn="0" w:noHBand="0" w:noVBand="1"/>
      </w:tblPr>
      <w:tblGrid>
        <w:gridCol w:w="846"/>
        <w:gridCol w:w="1417"/>
        <w:gridCol w:w="2694"/>
        <w:gridCol w:w="3402"/>
        <w:gridCol w:w="1199"/>
      </w:tblGrid>
      <w:tr>
        <w:trPr>
          <w:trHeight w:val="650"/>
        </w:trPr>
        <w:tc>
          <w:tcPr>
            <w:tcW w:w="846"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417"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2694"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功能模块</w:t>
            </w:r>
            <w:r/>
          </w:p>
        </w:tc>
        <w:tc>
          <w:tcPr>
            <w:tcW w:w="3402"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199" w:type="dxa"/>
            <w:vAlign w:val="center"/>
            <w:textDirection w:val="lrTb"/>
            <w:noWrap w:val="false"/>
          </w:tcPr>
          <w:p>
            <w:pPr>
              <w:ind w:left="0"/>
              <w:jc w:val="center"/>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综合分析</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卫生健康指标平台</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整合全市医疗数据资源，构建统一指标体系、统一数据口径、统一管理规范、统一分析服务的一体化应用系统</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卫生健康指标应用系统</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卫生健康指标规范体系建设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2</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苏州市卫生健康协同平台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统一组织机构管理</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构建统一机构管理、统一访问授权，打破医疗机构之间的信息壁垒，全面提升医疗卫生体系内协同效率，降低沟通协作成本。</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统一业务协同</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信访管理</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互联网医院协同总线</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双向转诊</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r>
        <w:trPr>
          <w:trHeight w:val="347"/>
        </w:trPr>
        <w:tc>
          <w:tcPr>
            <w:tcW w:w="846"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3</w:t>
            </w:r>
            <w:r/>
          </w:p>
        </w:tc>
        <w:tc>
          <w:tcPr>
            <w:tcW w:w="1417" w:type="dxa"/>
            <w:vAlign w:val="center"/>
            <w:vMerge w:val="restart"/>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便民服务平台</w:t>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12320公众号系统重构</w:t>
            </w:r>
            <w:r/>
          </w:p>
        </w:tc>
        <w:tc>
          <w:tcPr>
            <w:tcW w:w="3402" w:type="dxa"/>
            <w:vAlign w:val="center"/>
            <w:vMerge w:val="restart"/>
            <w:textDirection w:val="lrTb"/>
            <w:noWrap w:val="false"/>
          </w:tcPr>
          <w:p>
            <w:pPr>
              <w:ind w:left="0"/>
              <w:jc w:val="left"/>
              <w:rPr>
                <w:rFonts w:ascii="宋体" w:hAnsi="宋体"/>
                <w:sz w:val="21"/>
                <w:szCs w:val="21"/>
                <w14:ligatures w14:val="standardContextual"/>
              </w:rPr>
            </w:pPr>
            <w:r>
              <w:rPr>
                <w:rFonts w:hint="eastAsia" w:ascii="宋体" w:hAnsi="宋体"/>
                <w:sz w:val="21"/>
                <w:szCs w:val="21"/>
                <w14:ligatures w14:val="standardContextual"/>
              </w:rPr>
              <w:t xml:space="preserve">提升服务效能与智能化水平，为市民提供更便捷、高效、精准的卫生健康服务体验。</w:t>
            </w:r>
            <w:r/>
          </w:p>
        </w:tc>
        <w:tc>
          <w:tcPr>
            <w:tcW w:w="1199" w:type="dxa"/>
            <w:vAlign w:val="center"/>
            <w:vMerge w:val="restart"/>
            <w:textDirection w:val="lrTb"/>
            <w:noWrap w:val="false"/>
          </w:tcPr>
          <w:p>
            <w:pPr>
              <w:ind w:left="0"/>
              <w:jc w:val="center"/>
              <w:rPr>
                <w:rFonts w:ascii="宋体" w:hAnsi="宋体"/>
                <w:sz w:val="21"/>
                <w:szCs w:val="21"/>
                <w14:ligatures w14:val="standardContextual"/>
              </w:rPr>
            </w:pPr>
            <w:r>
              <w:rPr>
                <w:rFonts w:ascii="宋体" w:hAnsi="宋体"/>
                <w:sz w:val="21"/>
                <w:szCs w:val="21"/>
                <w14:ligatures w14:val="standardContextual"/>
              </w:rPr>
              <w:t xml:space="preserve">1套</w:t>
            </w:r>
            <w:r/>
          </w:p>
        </w:tc>
      </w:tr>
      <w:tr>
        <w:trPr>
          <w:trHeight w:val="347"/>
        </w:trPr>
        <w:tc>
          <w:tcPr>
            <w:tcW w:w="846"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c>
          <w:tcPr>
            <w:tcW w:w="1417"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2694" w:type="dxa"/>
            <w:vAlign w:val="center"/>
            <w:textDirection w:val="lrTb"/>
            <w:noWrap w:val="false"/>
          </w:tcPr>
          <w:p>
            <w:pPr>
              <w:ind w:left="0"/>
              <w:jc w:val="left"/>
              <w:rPr>
                <w:rFonts w:ascii="宋体" w:hAnsi="宋体"/>
                <w:sz w:val="21"/>
                <w:szCs w:val="21"/>
                <w14:ligatures w14:val="standardContextual"/>
              </w:rPr>
            </w:pPr>
            <w:r>
              <w:rPr>
                <w:rFonts w:ascii="宋体" w:hAnsi="宋体"/>
                <w:sz w:val="21"/>
                <w:szCs w:val="21"/>
                <w14:ligatures w14:val="standardContextual"/>
              </w:rPr>
              <w:t xml:space="preserve">卫生热线智能知识中心建设</w:t>
            </w:r>
            <w:r/>
          </w:p>
        </w:tc>
        <w:tc>
          <w:tcPr>
            <w:tcW w:w="3402" w:type="dxa"/>
            <w:vAlign w:val="center"/>
            <w:vMerge w:val="continue"/>
            <w:textDirection w:val="lrTb"/>
            <w:noWrap w:val="false"/>
          </w:tcPr>
          <w:p>
            <w:pPr>
              <w:ind w:left="0" w:firstLine="420"/>
              <w:jc w:val="left"/>
              <w:rPr>
                <w:rFonts w:ascii="宋体" w:hAnsi="宋体"/>
                <w:sz w:val="21"/>
                <w:szCs w:val="21"/>
                <w14:ligatures w14:val="standardContextual"/>
              </w:rPr>
            </w:pPr>
            <w:r>
              <w:rPr>
                <w:rFonts w:ascii="宋体" w:hAnsi="宋体"/>
                <w:sz w:val="21"/>
                <w:szCs w:val="21"/>
                <w14:ligatures w14:val="standardContextual"/>
              </w:rPr>
            </w:r>
            <w:r/>
          </w:p>
        </w:tc>
        <w:tc>
          <w:tcPr>
            <w:tcW w:w="1199" w:type="dxa"/>
            <w:vAlign w:val="center"/>
            <w:vMerge w:val="continue"/>
            <w:textDirection w:val="lrTb"/>
            <w:noWrap w:val="false"/>
          </w:tcPr>
          <w:p>
            <w:pPr>
              <w:ind w:left="0" w:firstLine="420"/>
              <w:jc w:val="center"/>
              <w:rPr>
                <w:rFonts w:ascii="宋体" w:hAnsi="宋体"/>
                <w:sz w:val="21"/>
                <w:szCs w:val="21"/>
                <w14:ligatures w14:val="standardContextual"/>
              </w:rPr>
            </w:pPr>
            <w:r>
              <w:rPr>
                <w:rFonts w:ascii="宋体" w:hAnsi="宋体"/>
                <w:sz w:val="21"/>
                <w:szCs w:val="21"/>
                <w14:ligatures w14:val="standardContextual"/>
              </w:rPr>
            </w:r>
            <w:r/>
          </w:p>
        </w:tc>
      </w:tr>
    </w:tbl>
    <w:p>
      <w:pPr>
        <w:ind w:left="0" w:firstLine="400"/>
        <w:spacing w:line="360" w:lineRule="auto"/>
        <w:tabs>
          <w:tab w:val="left" w:pos="420" w:leader="none"/>
        </w:tabs>
      </w:pPr>
      <w:r/>
      <w:r/>
    </w:p>
    <w:p>
      <w:pPr>
        <w:ind w:left="0" w:firstLine="420"/>
        <w:spacing w:line="360" w:lineRule="auto"/>
        <w:tabs>
          <w:tab w:val="left" w:pos="420" w:leader="none"/>
        </w:tabs>
        <w:rPr>
          <w:rFonts w:ascii="宋体" w:hAnsi="宋体"/>
          <w:sz w:val="21"/>
        </w:rPr>
      </w:pPr>
      <w:r>
        <w:rPr>
          <w:rFonts w:hint="eastAsia" w:ascii="宋体" w:hAnsi="宋体"/>
          <w:sz w:val="21"/>
        </w:rPr>
        <w:t xml:space="preserve">2.2 配套设施采购要求</w:t>
      </w:r>
      <w:r/>
    </w:p>
    <w:tbl>
      <w:tblPr>
        <w:tblStyle w:val="1441"/>
        <w:tblW w:w="9640" w:type="dxa"/>
        <w:tblLayout w:type="fixed"/>
        <w:tblLook w:val="04A0" w:firstRow="1" w:lastRow="0" w:firstColumn="1" w:lastColumn="0" w:noHBand="0" w:noVBand="1"/>
      </w:tblPr>
      <w:tblGrid>
        <w:gridCol w:w="846"/>
        <w:gridCol w:w="1417"/>
        <w:gridCol w:w="1985"/>
        <w:gridCol w:w="4394"/>
        <w:gridCol w:w="998"/>
      </w:tblGrid>
      <w:tr>
        <w:trPr>
          <w:trHeight w:val="300"/>
        </w:trPr>
        <w:tc>
          <w:tcPr>
            <w:tcW w:w="846"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W w:w="1417"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建设项目</w:t>
            </w:r>
            <w:r/>
          </w:p>
        </w:tc>
        <w:tc>
          <w:tcPr>
            <w:tcW w:w="1985"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功能模块</w:t>
            </w:r>
            <w:r/>
          </w:p>
        </w:tc>
        <w:tc>
          <w:tcPr>
            <w:tcW w:w="4394"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功能描述</w:t>
            </w:r>
            <w:r/>
          </w:p>
        </w:tc>
        <w:tc>
          <w:tcPr>
            <w:tcW w:w="998" w:type="dxa"/>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数量</w:t>
            </w:r>
            <w:r/>
          </w:p>
        </w:tc>
      </w:tr>
      <w:tr>
        <w:trPr>
          <w:trHeight w:val="78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苏州市卫生健康协同平台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苏卫通APP</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实现医疗体系人员快速沟通、组织会议、快速呼叫、培训协作、协同卡片及协同场景应用建设等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290"/>
        </w:trPr>
        <w:tc>
          <w:tcPr>
            <w:tcW w:w="846"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tcW w:w="1417"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便民服务平台</w:t>
            </w:r>
            <w:r/>
          </w:p>
        </w:tc>
        <w:tc>
          <w:tcPr>
            <w:tcW w:w="1985"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12320密评改造配套软件</w:t>
            </w:r>
            <w:r/>
          </w:p>
        </w:tc>
        <w:tc>
          <w:tcPr>
            <w:tcW w:w="4394" w:type="dxa"/>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保护健康隐私与数据不被窃听、篡改、冒用，满足国家密评标准，包含密码服务平台、数据加解密系统、站点证书、个人数字证书、安全浏览器等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tcW w:w="1417" w:type="dxa"/>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基础支撑应用体系及网络安全升级</w:t>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安全态势与监管一体化平台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建设安全态势与监管一体化平台，捕捉市内医疗机构安全事件与潜在漏洞，实现异常后即时通报、快速预警等。</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特权账号监测与管理系统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建设特权账号监测与管理系统，满足苏州市卫生健康委员会800+服务器资产、30+业务系统、50+数据库特权账号监测和管理需求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网络运维监控管理平台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建设网络运维监控管理平台，打造“业务、软件、网络、设备”多个运维监控视角的运维体系。</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bookmarkStart w:id="122" w:name="OLE_LINK177"/>
            <w:r>
              <w:rPr>
                <w:rFonts w:hint="eastAsia" w:ascii="宋体" w:hAnsi="宋体"/>
                <w:color w:val="000000"/>
                <w:sz w:val="21"/>
                <w:szCs w:val="21"/>
              </w:rPr>
              <w:t xml:space="preserve">数据安全运营监测平台</w:t>
            </w:r>
            <w:bookmarkEnd w:id="122"/>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建设数据安全运营监测平台，满足数据资产管理、数据安全风险监测、数据安全流转监控、数据安全策略统一管控等需求。</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数据库审计平台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建设数据库审计平台，通过对访问数据库的行为进行记录与多角度分析，对异常行为进行告警通知、审计记录和事后追踪分析。</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防统方集中管理平台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建设防统方集中管理平台，实现苏州全市医疗机构统方行为统一监管、违规统方事件统一处理。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防黄牛智能风控系统</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建设防黄牛智能风控系统，智能识别黄牛行为，快速响应黄牛攻击手法，实现精准化、动态化的防护。</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ascii="宋体" w:hAnsi="宋体"/>
                <w:color w:val="000000"/>
                <w:sz w:val="21"/>
                <w:szCs w:val="21"/>
              </w:rPr>
            </w:r>
            <w:r/>
          </w:p>
          <w:p>
            <w:pPr>
              <w:ind w:left="0"/>
              <w:jc w:val="left"/>
              <w:rPr>
                <w:rFonts w:ascii="宋体" w:hAnsi="宋体"/>
                <w:color w:val="000000"/>
                <w:sz w:val="21"/>
                <w:szCs w:val="21"/>
              </w:rPr>
            </w:pPr>
            <w:r>
              <w:rPr>
                <w:rFonts w:hint="eastAsia" w:ascii="宋体" w:hAnsi="宋体"/>
                <w:color w:val="000000"/>
                <w:sz w:val="21"/>
                <w:szCs w:val="21"/>
              </w:rPr>
              <w:t xml:space="preserve">AI大模型安全</w:t>
            </w:r>
            <w:r>
              <w:rPr>
                <w:rFonts w:hint="eastAsia" w:ascii="宋体" w:hAnsi="宋体"/>
                <w:sz w:val="21"/>
              </w:rPr>
              <w:t xml:space="preserve">防护</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1）建设大模型内容安全护栏，实现对输入输出内容高效检测，以及敏感问题安全代答等；</w:t>
            </w:r>
            <w:r/>
          </w:p>
          <w:p>
            <w:pPr>
              <w:ind w:left="0"/>
              <w:jc w:val="left"/>
              <w:rPr>
                <w:rFonts w:ascii="宋体" w:hAnsi="宋体"/>
                <w:color w:val="000000"/>
                <w:sz w:val="21"/>
                <w:szCs w:val="21"/>
              </w:rPr>
            </w:pPr>
            <w:r>
              <w:rPr>
                <w:rFonts w:hint="eastAsia" w:ascii="宋体" w:hAnsi="宋体"/>
                <w:color w:val="000000"/>
                <w:sz w:val="21"/>
                <w:szCs w:val="21"/>
              </w:rPr>
              <w:t xml:space="preserve">2）建设大模型内容安全评测，提供数据集管理、模型管理以及安全评测等；</w:t>
            </w:r>
            <w:r/>
          </w:p>
          <w:p>
            <w:pPr>
              <w:ind w:left="0"/>
              <w:jc w:val="left"/>
            </w:pPr>
            <w:r>
              <w:rPr>
                <w:rFonts w:hint="eastAsia" w:ascii="宋体" w:hAnsi="宋体"/>
                <w:color w:val="000000"/>
                <w:sz w:val="21"/>
                <w:szCs w:val="21"/>
              </w:rPr>
              <w:t xml:space="preserve">3）建设大模型系统安全检测平台，包括组件安全性检测、服务安全检测以及模型文件检测等。</w:t>
            </w:r>
            <w:r/>
          </w:p>
        </w:tc>
        <w:tc>
          <w:tcPr>
            <w:tcW w:w="998" w:type="dxa"/>
            <w:textDirection w:val="lrTb"/>
            <w:noWrap w:val="false"/>
          </w:tcPr>
          <w:p>
            <w:pPr>
              <w:ind w:left="0"/>
              <w:jc w:val="center"/>
              <w:rPr>
                <w:rFonts w:ascii="宋体" w:hAnsi="宋体"/>
                <w:color w:val="000000"/>
                <w:sz w:val="21"/>
                <w:szCs w:val="21"/>
              </w:rPr>
            </w:pPr>
            <w:r>
              <w:rPr>
                <w:rFonts w:ascii="宋体" w:hAnsi="宋体"/>
                <w:color w:val="000000"/>
                <w:sz w:val="21"/>
                <w:szCs w:val="21"/>
              </w:rPr>
            </w:r>
            <w:r/>
          </w:p>
          <w:p>
            <w:pPr>
              <w:ind w:left="0"/>
              <w:jc w:val="center"/>
              <w:rPr>
                <w:rFonts w:ascii="宋体" w:hAnsi="宋体"/>
                <w:color w:val="000000"/>
                <w:sz w:val="21"/>
                <w:szCs w:val="21"/>
              </w:rPr>
            </w:pPr>
            <w:r>
              <w:rPr>
                <w:rFonts w:ascii="宋体" w:hAnsi="宋体"/>
                <w:color w:val="000000"/>
                <w:sz w:val="21"/>
                <w:szCs w:val="21"/>
              </w:rPr>
            </w:r>
            <w:r/>
          </w:p>
          <w:p>
            <w:pPr>
              <w:ind w:left="0" w:firstLine="210"/>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套</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应用服务部署管理平台</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建设容器云平台，容器安全、提供容器安全态势感知、容器云微隔离平台以及功能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1套</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网闸</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设备不依赖规则库对抗协议层攻击，阻断各种潜在攻击路径</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跨境VPN监控设备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提高私自使用跨境VPN的监管力度。</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便携式安全检查工具箱</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快速检查分析对象各类安全要求是否达标，定位分析问题并协助整改。</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数据库运维安全网关设备</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可以对多种攻击场景提供有效防护。</w:t>
            </w:r>
            <w:r/>
          </w:p>
        </w:tc>
        <w:tc>
          <w:tcPr>
            <w:tcW w:w="998" w:type="dxa"/>
            <w:textDirection w:val="lrTb"/>
            <w:noWrap w:val="false"/>
          </w:tcPr>
          <w:p>
            <w:pPr>
              <w:ind w:left="0"/>
              <w:jc w:val="center"/>
              <w:rPr>
                <w:rFonts w:ascii="宋体" w:hAnsi="宋体"/>
                <w:color w:val="000000"/>
                <w:sz w:val="21"/>
                <w:szCs w:val="21"/>
              </w:rPr>
            </w:pPr>
            <w:r/>
            <w:bookmarkStart w:id="123" w:name="RANGE!F19"/>
            <w:r>
              <w:rPr>
                <w:rFonts w:hint="eastAsia" w:ascii="宋体" w:hAnsi="宋体"/>
                <w:color w:val="000000"/>
                <w:sz w:val="21"/>
                <w:szCs w:val="21"/>
              </w:rPr>
              <w:t xml:space="preserve">1台</w:t>
            </w:r>
            <w:bookmarkEnd w:id="123"/>
            <w:r/>
            <w:r/>
          </w:p>
        </w:tc>
      </w:tr>
      <w:tr>
        <w:trPr>
          <w:trHeight w:val="103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应用（API）监测与防护网关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可以实现对异常请求的识别与阻断。</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1台</w:t>
            </w:r>
            <w:r/>
          </w:p>
        </w:tc>
      </w:tr>
      <w:tr>
        <w:trPr>
          <w:trHeight w:val="780"/>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IPSec/SSL VPN综合安全网关</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具有IPSec VPN功能、SSL VPN功能和信息加密功能</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云服务器密码机</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为业务系统提供密钥的安全管理</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签名验签服务器</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提供随机数产生功能，产生的随机数符合要求规范</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2台</w:t>
            </w:r>
            <w:r/>
          </w:p>
        </w:tc>
      </w:tr>
      <w:tr>
        <w:trPr>
          <w:trHeight w:val="525"/>
        </w:trPr>
        <w:tc>
          <w:tcPr>
            <w:tcW w:w="846"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417" w:type="dxa"/>
            <w:vMerge w:val="continue"/>
            <w:textDirection w:val="lrTb"/>
            <w:noWrap w:val="false"/>
          </w:tcPr>
          <w:p>
            <w:pPr>
              <w:ind w:left="0"/>
              <w:jc w:val="left"/>
              <w:rPr>
                <w:rFonts w:ascii="宋体" w:hAnsi="宋体"/>
                <w:color w:val="000000"/>
                <w:sz w:val="21"/>
                <w:szCs w:val="21"/>
              </w:rPr>
            </w:pPr>
            <w:r>
              <w:rPr>
                <w:rFonts w:ascii="宋体" w:hAnsi="宋体"/>
                <w:color w:val="000000"/>
                <w:sz w:val="21"/>
                <w:szCs w:val="21"/>
              </w:rPr>
            </w:r>
            <w:r/>
          </w:p>
        </w:tc>
        <w:tc>
          <w:tcPr>
            <w:tcW w:w="1985"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智能密码钥匙</w:t>
            </w:r>
            <w:r/>
          </w:p>
        </w:tc>
        <w:tc>
          <w:tcPr>
            <w:tcW w:w="4394" w:type="dxa"/>
            <w:textDirection w:val="lrTb"/>
            <w:noWrap w:val="false"/>
          </w:tcPr>
          <w:p>
            <w:pPr>
              <w:ind w:left="0"/>
              <w:jc w:val="left"/>
              <w:rPr>
                <w:rFonts w:ascii="宋体" w:hAnsi="宋体"/>
                <w:color w:val="000000"/>
                <w:sz w:val="21"/>
                <w:szCs w:val="21"/>
              </w:rPr>
            </w:pPr>
            <w:r>
              <w:rPr>
                <w:rFonts w:hint="eastAsia" w:ascii="宋体" w:hAnsi="宋体"/>
                <w:color w:val="000000"/>
                <w:sz w:val="21"/>
                <w:szCs w:val="21"/>
              </w:rPr>
              <w:t xml:space="preserve">USBkey</w:t>
            </w:r>
            <w:r/>
          </w:p>
        </w:tc>
        <w:tc>
          <w:tcPr>
            <w:tcW w:w="998" w:type="dxa"/>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15个</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2.3 配套服务要求</w:t>
      </w:r>
      <w:r/>
    </w:p>
    <w:tbl>
      <w:tblPr>
        <w:tblStyle w:val="1443"/>
        <w:tblW w:w="0" w:type="auto"/>
        <w:jc w:val="center"/>
        <w:tblLook w:val="04A0" w:firstRow="1" w:lastRow="0" w:firstColumn="1" w:lastColumn="0" w:noHBand="0" w:noVBand="1"/>
      </w:tblPr>
      <w:tblGrid>
        <w:gridCol w:w="1129"/>
        <w:gridCol w:w="1276"/>
        <w:gridCol w:w="1848"/>
        <w:gridCol w:w="4377"/>
        <w:gridCol w:w="1026"/>
      </w:tblGrid>
      <w:tr>
        <w:trPr>
          <w:cantSplit/>
          <w:jc w:val="center"/>
        </w:trPr>
        <w:tc>
          <w:tcPr>
            <w:tcW w:w="1129" w:type="dxa"/>
            <w:vAlign w:val="center"/>
            <w:textDirection w:val="lrTb"/>
            <w:noWrap w:val="false"/>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序号</w:t>
            </w:r>
            <w:r/>
          </w:p>
        </w:tc>
        <w:tc>
          <w:tcPr>
            <w:tcW w:w="1276"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建设项目</w:t>
            </w:r>
            <w:r/>
          </w:p>
        </w:tc>
        <w:tc>
          <w:tcPr>
            <w:tcW w:w="1848"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服务名称</w:t>
            </w:r>
            <w:r/>
          </w:p>
        </w:tc>
        <w:tc>
          <w:tcPr>
            <w:tcW w:w="4377" w:type="dxa"/>
            <w:vAlign w:val="center"/>
            <w:textDirection w:val="lrTb"/>
            <w:noWrap w:val="false"/>
          </w:tcPr>
          <w:p>
            <w:pPr>
              <w:ind w:left="0"/>
              <w:jc w:val="left"/>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功能描述</w:t>
            </w:r>
            <w:r/>
          </w:p>
        </w:tc>
        <w:tc>
          <w:tcPr>
            <w:tcW w:w="1026" w:type="dxa"/>
            <w:vAlign w:val="center"/>
            <w:textDirection w:val="lrTb"/>
            <w:noWrap/>
          </w:tcPr>
          <w:p>
            <w:pPr>
              <w:ind w:left="0"/>
              <w:jc w:val="center"/>
              <w:spacing w:line="360" w:lineRule="auto"/>
              <w:rPr>
                <w:rFonts w:ascii="宋体" w:hAnsi="宋体"/>
                <w:b/>
                <w:bCs/>
                <w:sz w:val="21"/>
                <w:szCs w:val="21"/>
                <w14:ligatures w14:val="standardContextual"/>
              </w:rPr>
            </w:pPr>
            <w:r>
              <w:rPr>
                <w:rFonts w:ascii="宋体" w:hAnsi="宋体"/>
                <w:b/>
                <w:bCs/>
                <w:sz w:val="21"/>
                <w:szCs w:val="21"/>
                <w14:ligatures w14:val="standardContextual"/>
              </w:rPr>
              <w:t xml:space="preserve">数量</w:t>
            </w:r>
            <w:r/>
          </w:p>
        </w:tc>
      </w:tr>
      <w:tr>
        <w:trPr>
          <w:cantSplit/>
          <w:jc w:val="center"/>
        </w:trPr>
        <w:tc>
          <w:tcPr>
            <w:tcW w:w="1129" w:type="dxa"/>
            <w:vAlign w:val="center"/>
            <w:vMerge w:val="restart"/>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t xml:space="preserve">1</w:t>
            </w:r>
            <w:r/>
          </w:p>
        </w:tc>
        <w:tc>
          <w:tcPr>
            <w:tcW w:w="1276" w:type="dxa"/>
            <w:vAlign w:val="center"/>
            <w:vMerge w:val="restart"/>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基础设施与网络安全升级</w:t>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数据安全风险评估服务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提供数据安全风险评估服务，包括制定评估计划、信息收集、数据应用场景分析、风险分析与评估等，输出数据安全风险评估报告。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web应用防护服务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通过web防护设备进行web应用威胁识别分析，以及web安全日志查看，基于实际运行数据持续优化防护策略，持续运营。</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r>
        <w:trPr>
          <w:cantSplit/>
          <w:jc w:val="center"/>
        </w:trPr>
        <w:tc>
          <w:tcPr>
            <w:tcW w:w="1129" w:type="dxa"/>
            <w:vAlign w:val="center"/>
            <w:vMerge w:val="continue"/>
            <w:textDirection w:val="lrTb"/>
            <w:noWrap w:val="false"/>
          </w:tcPr>
          <w:p>
            <w:pPr>
              <w:ind w:left="0"/>
              <w:jc w:val="center"/>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276" w:type="dxa"/>
            <w:vAlign w:val="center"/>
            <w:vMerge w:val="continue"/>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c>
          <w:tcPr>
            <w:tcW w:w="1848" w:type="dxa"/>
            <w:vAlign w:val="center"/>
            <w:textDirection w:val="lrTb"/>
            <w:noWrap w:val="false"/>
          </w:tcPr>
          <w:p>
            <w:pPr>
              <w:ind w:left="0"/>
              <w:jc w:val="left"/>
              <w:keepLines/>
              <w:keepNext/>
              <w:spacing w:before="120" w:after="120" w:line="360" w:lineRule="auto"/>
              <w:rPr>
                <w:rFonts w:ascii="宋体" w:hAnsi="宋体"/>
                <w:sz w:val="21"/>
                <w:szCs w:val="21"/>
                <w14:ligatures w14:val="standardContextual"/>
              </w:rPr>
              <w:outlineLvl w:val="4"/>
            </w:pPr>
            <w:r>
              <w:rPr>
                <w:rFonts w:ascii="宋体" w:hAnsi="宋体"/>
                <w:sz w:val="21"/>
                <w:szCs w:val="21"/>
                <w14:ligatures w14:val="standardContextual"/>
              </w:rPr>
              <w:t xml:space="preserve">数据内容安全审核监测服务</w:t>
            </w:r>
            <w:r/>
          </w:p>
        </w:tc>
        <w:tc>
          <w:tcPr>
            <w:tcW w:w="4377"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提供数据内容安全审核监测服务，包括内容监测、外链监测、隐私信息监测、政治性错误以及重点词识别、网站可用性监测等，输出数据内容安全审核监测报告。</w:t>
            </w:r>
            <w:r/>
          </w:p>
        </w:tc>
        <w:tc>
          <w:tcPr>
            <w:tcW w:w="1026" w:type="dxa"/>
            <w:vAlign w:val="center"/>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1项</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3.详细软件建设要求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3.1综合分析平台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以健康医疗大数据中心为底座，整合全市医疗数据资源，构建统一指标体系、统一数据口径、统一管理规范、统一分析服务的一体化应用系统。平台覆盖指标库管理、指标全生命周期配置、数据自动采集、卫统数据导入、指标</w:t>
      </w:r>
      <w:r>
        <w:rPr>
          <w:rFonts w:hint="eastAsia" w:ascii="宋体" w:hAnsi="宋体"/>
          <w:sz w:val="21"/>
        </w:rPr>
        <w:t xml:space="preserve">计算调度、自助分析、驾驶舱可视化、AI 智能问答与报告生成等核心能力，实现从数据汇聚、治理、计算到分析应用的全流程闭环支撑，全面满足市级卫健部门数据治理、业务协同、科学决策与便民服务需求。平台具备指标血缘可视化、口径配置、计算规则配置、多部门协同共享、GPT 自然语言问数等优势功能，支持指标版本追溯、变更影响分析、数据自动校验与审核闭环，可大幅降低人工填报与数据汇总成本，提升数据准确性、时效性与决策智能化水平，同时满足等保合规、数据安全、商用密码应用等安全要求，为苏州市卫生健康高质量发展提供坚实数字化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 卫生健康指标平台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3.1.1.1 指标库子系统建设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作为平台数据字典与资产中心，实现全市卫生健康指标标准化、规范化、全生命周期管理，统一指标定义与口径，为数据治理与资产化提供核心支撑。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3.1.1.2 指标管理子系统建设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指标新建、口径配置、信息管理、变更审批、版本追溯、血缘跟踪、标签管理、共享发布及停用管控，实现指标全生命周期规范化、流程化、可追溯管理。系统应提供可视化指标配置能力，支持通过拖拽方式配置指标计算公式和计算逻辑，支持新增计算指标；支持多维统计口径配置，可按机构标签、行政区划、机构等级、机构类别等维度定义和维护指标口径，实现指标标准化管理和统一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3.1.1.3 指标数据管理子系统建设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支持数据在线填报、进度跟踪、实时校验、修改留痕，提供 API 自动采集、定时计算、数据确认与日志监测，具备自动化审核、待办工作台、状态管理及已入库数据修改申请与审批功能，实现指标数据全流程规范化管理。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3.1.1.4 卫统数据导入管理模块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卫统数据导入管理模块，支撑卫统系统导出数据的规范化接入、解析、校验、预览确认及入库管理，实现外部统计数据与平台统一数据体系的有序衔接。系统应支持授权用户通过指定导入入口上传卫统系统导出的月度、年度 Excel 报表文件，并对上传文件进行格式识别、数据解析、字段匹配和结构化处理。</w:t>
      </w:r>
      <w:r/>
    </w:p>
    <w:p>
      <w:pPr>
        <w:ind w:left="0" w:firstLine="420"/>
        <w:spacing w:line="360" w:lineRule="auto"/>
        <w:tabs>
          <w:tab w:val="left" w:pos="420" w:leader="none"/>
        </w:tabs>
        <w:rPr>
          <w:rFonts w:ascii="宋体" w:hAnsi="宋体"/>
          <w:sz w:val="21"/>
        </w:rPr>
      </w:pPr>
      <w:r>
        <w:rPr>
          <w:rFonts w:hint="eastAsia" w:ascii="宋体" w:hAnsi="宋体"/>
          <w:sz w:val="21"/>
        </w:rPr>
        <w:t xml:space="preserve">解析完成后，系统应以网页表格形式展示导入数据内容，支持用户对数据进行预览、核对和确认。经用户确认后，系统按照预设数据映射关系及入库规则，将数据写入目标数据表，并可根据业务流程联动触发指标计算、报表更新等后续处理任务。通过该模块建设，提升卫统数据导入的标准化、准确性和处理效率，保障卫统数据稳定纳入平台统一分析应用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3.1.1.5 指标计算配置工具</w:t>
      </w:r>
      <w:r/>
    </w:p>
    <w:p>
      <w:pPr>
        <w:ind w:left="0" w:firstLine="420"/>
        <w:spacing w:line="360" w:lineRule="auto"/>
        <w:tabs>
          <w:tab w:val="left" w:pos="420" w:leader="none"/>
        </w:tabs>
        <w:rPr>
          <w:rFonts w:ascii="宋体" w:hAnsi="宋体"/>
          <w:sz w:val="21"/>
        </w:rPr>
      </w:pPr>
      <w:r>
        <w:rPr>
          <w:rFonts w:hint="eastAsia" w:ascii="宋体" w:hAnsi="宋体"/>
          <w:sz w:val="21"/>
        </w:rPr>
        <w:t xml:space="preserve">建设指标计算配置工具，支撑指标计算规则的统一配置、校验、执行和管理，实现指标加工过程的配置化、自动化和可追溯。系统应提供可视化规则编辑、计算公式配置、内置函数调用、规则校验、模拟执行、结果预览等功能，支持用户根据业务口径灵活维护指标计算逻辑，提升指标规则配置和维护效率。系统应支持定时调度，按照配置规则自动执行指标计算任务，并支持对计算结果进行写入。通过该工具建设，提升指标计算工作的规范性、透明度和可管控性，保障指标计算结果准确一致，为业务决策提供稳定可靠的数据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3.1.2 卫生健康指标应用系统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3.1.2.1 平台集成</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作为保障整个数据平台稳定、安全、高效运行的后台中枢，全面提供系统基础配置、用户权限、数据集成与安全合规等核心管理能力，核心涵盖协同平台门户集成相关功能：依据协同平台接口规范，开发 RESTful API等符合要求的接口并完成调试；数据传输前通过 “预处理” 环节实现原始后台数据与目标协同平台格式化消息体的映射转换，避免原始数据直接暴露；严格遵守数据安全与合规要求，对传输共享数据自动加解</w:t>
      </w:r>
      <w:r>
        <w:rPr>
          <w:rFonts w:hint="eastAsia" w:ascii="宋体" w:hAnsi="宋体"/>
          <w:sz w:val="21"/>
        </w:rPr>
        <w:t xml:space="preserve">密，尤其保障姓名、身份证号等敏感字段以密文形式传输，筑牢信息安全防线；基于用户所属角色配置多维度权限，既包含功能模块访问权限，也涵盖核心指标数据可见性权限，实现精细化权限管控，确保平台集成高效、安全、合规。</w:t>
      </w:r>
      <w:r/>
    </w:p>
    <w:p>
      <w:pPr>
        <w:ind w:left="0" w:firstLine="420"/>
        <w:spacing w:line="360" w:lineRule="auto"/>
        <w:tabs>
          <w:tab w:val="left" w:pos="420" w:leader="none"/>
        </w:tabs>
        <w:rPr>
          <w:rFonts w:ascii="宋体" w:hAnsi="宋体"/>
          <w:sz w:val="21"/>
        </w:rPr>
      </w:pPr>
      <w:r>
        <w:rPr>
          <w:rFonts w:hint="eastAsia" w:ascii="宋体" w:hAnsi="宋体"/>
          <w:sz w:val="21"/>
        </w:rPr>
        <w:t xml:space="preserve">3.1.2.2 卫生健康综合分析工具集子系统建设</w:t>
      </w:r>
      <w:r/>
    </w:p>
    <w:p>
      <w:pPr>
        <w:ind w:left="0" w:firstLine="420"/>
        <w:spacing w:line="360" w:lineRule="auto"/>
        <w:tabs>
          <w:tab w:val="left" w:pos="420" w:leader="none"/>
        </w:tabs>
        <w:rPr>
          <w:rFonts w:ascii="宋体" w:hAnsi="宋体"/>
          <w:sz w:val="21"/>
        </w:rPr>
      </w:pPr>
      <w:r>
        <w:rPr>
          <w:rFonts w:hint="eastAsia" w:ascii="宋体" w:hAnsi="宋体"/>
          <w:sz w:val="21"/>
        </w:rPr>
        <w:t xml:space="preserve">作为数据平台核心应用窗口，提供了从宏观监控到微观探索的全链路分析能力，主要由指标数据自助分析、卫健综</w:t>
      </w:r>
      <w:r>
        <w:rPr>
          <w:rFonts w:hint="eastAsia" w:ascii="宋体" w:hAnsi="宋体"/>
          <w:sz w:val="21"/>
        </w:rPr>
        <w:t xml:space="preserve">合分析驾驶舱、主题可视化工具、卫生健康智能问数四大核心模块构成。系统支持按行政区划、机构等级、机构类别及固定机构范围等多维条件灵活筛选数据，自主选择统计周期和分析范围开展数据分析。支持基于自然语言的人机交互式智能问数能力，用户可直接输入业务问题，系统自动完成语义理解、指标匹配、数据检索、分析结果生成及可视化展示，并支持多轮连续追问、上下文理解、关联分析及数据下钻。支持将问数分析结果一键生成可视化驾驶舱，提供图表智能推荐、AI自动布局及拖拽式自定义编排能力，满足领导驾驶舱、专题分析和业务监测等多场景应用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3.1.3 卫生健康指标规范体系建设服务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3.1.3.1 卫健指标体系框架搭建</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采用自上而下拆解宏观目标、自下而上归集基层需求的双向融合方式，通过多维度全局框架分类整合，形成覆盖全面、逻辑严谨、与业务深度融合的系统化指标体系。</w:t>
      </w:r>
      <w:r/>
    </w:p>
    <w:p>
      <w:pPr>
        <w:ind w:left="0" w:firstLine="420"/>
        <w:spacing w:line="360" w:lineRule="auto"/>
        <w:tabs>
          <w:tab w:val="left" w:pos="420" w:leader="none"/>
        </w:tabs>
        <w:rPr>
          <w:rFonts w:ascii="宋体" w:hAnsi="宋体"/>
          <w:sz w:val="21"/>
        </w:rPr>
      </w:pPr>
      <w:r>
        <w:rPr>
          <w:rFonts w:hint="eastAsia" w:ascii="宋体" w:hAnsi="宋体"/>
          <w:sz w:val="21"/>
        </w:rPr>
        <w:t xml:space="preserve">3.1.3.2 卫健指标常态化运营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建立指标全生命周期审核、分级评审、版本控制、权限管控与闭环反馈机制，健全指标定义、分类、数据质量及 API 对接统一规范，实现指标体系动态修订与标准化运维，保障指标口径统一、变更可溯、数据合规安全，全面适配业务发展与政策调整需求，支撑卫健指标体系长效稳定落地运行。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3.2卫生健康协同平台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须实现全市医疗机构组织架构统一管理、医务人员唯一数字身份单点通行、标准化数据接口互联互通及跨机构业务协同范式统一；打通跨层级业务线上闭环流转，提供“Web端+PC端+移动端”三位一体多端融合入口。整合碎片化服务资源，提供全生命周期连贯、精准的医疗健康协同服务，满足建设高效、智慧、整合型城市级医疗新体系的技术架构、数据治理与业务协同规范。</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通过整合各个系统的入口，实现全市卫健委信息化系统的统一入口。实现组织机构管理、用户管理、应用管理、角色管理、通知公告、集成接入、统一待办等功能。实现业务协同卡片应用、单聊、群聊、视频、线上会议、消息提醒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平台集成了包含数据统计的工作台、支持全流程操作的转诊协同与信访管理模块，并内置苏卫通IM即时通讯功能，实现了业务处理与沟通协作的一体化。</w:t>
      </w:r>
      <w:r/>
    </w:p>
    <w:p>
      <w:pPr>
        <w:ind w:left="0" w:firstLine="420"/>
        <w:spacing w:line="360" w:lineRule="auto"/>
        <w:tabs>
          <w:tab w:val="left" w:pos="420" w:leader="none"/>
        </w:tabs>
        <w:rPr>
          <w:rFonts w:ascii="宋体" w:hAnsi="宋体"/>
          <w:sz w:val="21"/>
        </w:rPr>
      </w:pPr>
      <w:r>
        <w:rPr>
          <w:rFonts w:hint="eastAsia" w:ascii="宋体" w:hAnsi="宋体"/>
          <w:sz w:val="21"/>
        </w:rPr>
        <w:t xml:space="preserve">3.2.1 统一组织机构管理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统一的身份认证与组织架构管控体系，实现组织机构树动态配置、用户全生命周期管理及跨系统基础数据实时同步治理；提供细粒度权限引擎，支持分级分域管理员授权、角色权限集中管控及应用资源灵活调度；提供多模式统一登录与单点登录（SSO）能力，完成与AI慢病助手系统、跨院MDT平台、公立医院治理管理平台、健康档案系统、临床科研综合服务系统、区域慢病管理系统、区域处方前置审核系统、生物医</w:t>
      </w:r>
      <w:r>
        <w:rPr>
          <w:rFonts w:hint="eastAsia" w:ascii="宋体" w:hAnsi="宋体"/>
          <w:sz w:val="21"/>
        </w:rPr>
        <w:t xml:space="preserve">药临床研究公共服务平台、数据治理平台、苏州市健康医疗大数据中心驾驶舱、肿瘤防治平台、智医助理、综合分析平台等外部系统的认证对接，并提供技术咨询和联调测试服务；打造集成化个人工作台，聚合今日事项、待办事项、通知公告、我的应用、功能直达及个人账户管理功能；提供统计分析操作日志模块，满足平台集约化管理、多系统安全互联、数据一致性保障与高效协同办公的总体技术要求，并以数据统计图表的形式进行展示。</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2</w:t>
      </w:r>
      <w:r>
        <w:rPr>
          <w:rFonts w:hint="eastAsia" w:ascii="宋体" w:hAnsi="宋体"/>
          <w:sz w:val="21"/>
        </w:rPr>
        <w:t xml:space="preserve">统一业务协同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需构建统一消息推送引擎，支持多通道集成与精准定向调度，保障业务提醒、待办通知及系统告警高可靠触达；实现协同事项与场景全</w:t>
      </w:r>
      <w:r>
        <w:rPr>
          <w:rFonts w:hint="eastAsia" w:ascii="宋体" w:hAnsi="宋体"/>
          <w:sz w:val="21"/>
        </w:rPr>
        <w:t xml:space="preserve">生命周期管理，涵盖事项注册/发布/下架管控、场景全局属性定义、PC/移动端（苏卫通APP）灵活适配及执行效果多维统计分析；通过标准化流程与系统集成，落地AI全科医生、慢病管理、处方审核等典型应用，支撑跨部门/机构高效协同；通过协同卡片实现上转转诊操作、转诊记录查询等协同应用；制定统一场景接入规范并提供全流程实施支撑服务，重点围绕健康档案、慢病管理、区域处方前置审核、AI辅助诊断、跨院MDT、临床科研综合服务及肿瘤防治等七大核心场景开展规范化接入与可视化管控，全面实现医疗业务协同的标准化、高效化与智能化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3</w:t>
      </w:r>
      <w:r>
        <w:rPr>
          <w:rFonts w:hint="eastAsia" w:ascii="宋体" w:hAnsi="宋体"/>
          <w:sz w:val="21"/>
        </w:rPr>
        <w:t xml:space="preserve">信访管理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全流程闭环的信访管理模块，实现对信访事项的登记、事项批转、办结等功能。支持12345政务平台数据导入与手工登记，实现全量信访事项统一纳管；须按委级与部门级管理权限实现签收、批转、退回、延期、过程跟踪及办结审核等全生命周期流程管控，并提供多条件组合检索与信息导出功能；须内置延期申请与退回操作专项审核机制，确保流转合规、权责清晰、过程可溯；须配备多维度统计分析引擎，支持按办理状态、信访类型及业务领域进行数据归档、归类分析，全面满足信访事项高效协同流转、合规审计追溯与治理决策支撑的总体业务与技术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4</w:t>
      </w:r>
      <w:r>
        <w:rPr>
          <w:rFonts w:hint="eastAsia" w:ascii="宋体" w:hAnsi="宋体"/>
          <w:sz w:val="21"/>
        </w:rPr>
        <w:t xml:space="preserve"> 互联网医院协同总线</w:t>
      </w:r>
      <w:r/>
    </w:p>
    <w:p>
      <w:pPr>
        <w:ind w:left="0" w:firstLine="420"/>
        <w:spacing w:line="360" w:lineRule="auto"/>
        <w:tabs>
          <w:tab w:val="left" w:pos="420" w:leader="none"/>
        </w:tabs>
        <w:rPr>
          <w:rFonts w:ascii="宋体" w:hAnsi="宋体"/>
          <w:sz w:val="21"/>
        </w:rPr>
      </w:pPr>
      <w:r>
        <w:rPr>
          <w:rFonts w:hint="eastAsia" w:ascii="宋体" w:hAnsi="宋体"/>
          <w:sz w:val="21"/>
        </w:rPr>
        <w:t xml:space="preserve"> 构建“苏州市互联网医院协同总线”，作为全市统一的协同中枢，实现“统一标准、统一入口、集中对接、服务聚合”。通过标准化接口，与互联网医院系统的对接，提供统一API接口，支持第三方应用接入互联网医院协同总线。推动互联网医疗从“单体智能”迈向“系统协同”。通过对接互联网医院系统，获取患者在院内的个人档案信息，支持查询实时号源、联动患者建档状态、获取院区与科室信息，并提供按医院、科室、医生及时间段检索号源列表等功能，便于第三方系统实现跨医院的统一预约挂号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5</w:t>
      </w:r>
      <w:r>
        <w:rPr>
          <w:rFonts w:hint="eastAsia" w:ascii="宋体" w:hAnsi="宋体"/>
          <w:sz w:val="21"/>
        </w:rPr>
        <w:t xml:space="preserve"> 双向转诊</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要求通过</w:t>
      </w:r>
      <w:r>
        <w:rPr>
          <w:rFonts w:hint="eastAsia" w:ascii="宋体" w:hAnsi="宋体"/>
          <w:sz w:val="21"/>
        </w:rPr>
        <w:t xml:space="preserve">标准化接口全面对接12320预约平台及第三方系统，实现号源数据实时同步与门诊转诊全流程贯通，支持转诊预约增删改操作及绿色通道服务，支持通过转诊模块对患者接收操作；内置可配置规则引擎，支持跨机构转诊关系设定、上下级分级转诊规则与优先级管理，结合外部系统参数智能校验保障流程规范与安全可控；提供按患者、医疗机构、医生等多维度的转诊业务综合查询与统计分析，配套开发PC/移动端转诊数字看板，动态汇聚市域各级医疗机构转诊申请与接收数据，实现转诊业务“一屏统览、全程可溯”，全面支撑分级诊疗制度落地与区域医疗资源高效协同。</w:t>
      </w:r>
      <w:r/>
    </w:p>
    <w:p>
      <w:pPr>
        <w:ind w:left="0" w:firstLine="420"/>
        <w:spacing w:line="360" w:lineRule="auto"/>
        <w:tabs>
          <w:tab w:val="left" w:pos="420" w:leader="none"/>
        </w:tabs>
        <w:rPr>
          <w:rFonts w:ascii="宋体" w:hAnsi="宋体"/>
          <w:sz w:val="21"/>
        </w:rPr>
      </w:pPr>
      <w:r>
        <w:rPr>
          <w:rFonts w:hint="eastAsia" w:ascii="宋体" w:hAnsi="宋体"/>
          <w:sz w:val="21"/>
        </w:rPr>
        <w:t xml:space="preserve">3.2.</w:t>
      </w:r>
      <w:r>
        <w:rPr>
          <w:rFonts w:ascii="宋体" w:hAnsi="宋体"/>
          <w:sz w:val="21"/>
        </w:rPr>
        <w:t xml:space="preserve">6</w:t>
      </w:r>
      <w:r>
        <w:rPr>
          <w:rFonts w:hint="eastAsia" w:ascii="宋体" w:hAnsi="宋体"/>
          <w:sz w:val="21"/>
        </w:rPr>
        <w:t xml:space="preserve"> 应用集成服务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须</w:t>
      </w:r>
      <w:r>
        <w:rPr>
          <w:rFonts w:hint="eastAsia" w:ascii="宋体" w:hAnsi="宋体"/>
          <w:sz w:val="21"/>
        </w:rPr>
        <w:t xml:space="preserve">提供完整的应用集成与协同支撑服务，构建统一动态的用户与组织机构治理体系，实现业务科室、成本科室与国家标准科室的智能对照映射与双向数据同步，建立用户全生命周期授权变更自动推送机制，并完成机构人员数据标准化API输出；完成其他业务系统接入统一用户认证体系支撑工作，涵盖技术规范指导、身份认证/组织同步/数据接口联调测试及上线切换保障；制定协同场景标准化接入规范，提供技术咨询、协同消息卡片与弹窗等关键交互功能的联调验证及平稳运行保障，全面满足跨系统数据一致性管控、标准化身份互联与多场景高效集成的总体技术与服务要求。</w:t>
      </w:r>
      <w:r/>
    </w:p>
    <w:p>
      <w:pPr>
        <w:ind w:left="0" w:firstLine="420"/>
        <w:spacing w:line="360" w:lineRule="auto"/>
        <w:tabs>
          <w:tab w:val="left" w:pos="420" w:leader="none"/>
        </w:tabs>
        <w:rPr>
          <w:rFonts w:ascii="宋体" w:hAnsi="宋体"/>
          <w:sz w:val="21"/>
        </w:rPr>
      </w:pPr>
      <w:r>
        <w:rPr>
          <w:rFonts w:ascii="宋体" w:hAnsi="宋体"/>
          <w:sz w:val="21"/>
        </w:rPr>
        <w:t xml:space="preserve">3.2.7 </w:t>
      </w:r>
      <w:r>
        <w:rPr>
          <w:rFonts w:hint="eastAsia" w:ascii="宋体" w:hAnsi="宋体"/>
          <w:sz w:val="21"/>
        </w:rPr>
        <w:t xml:space="preserve">数据安全与个人信息保护</w:t>
      </w:r>
      <w:r/>
    </w:p>
    <w:p>
      <w:pPr>
        <w:ind w:left="0" w:firstLine="420"/>
        <w:spacing w:line="360" w:lineRule="auto"/>
        <w:tabs>
          <w:tab w:val="left" w:pos="420" w:leader="none"/>
        </w:tabs>
        <w:rPr>
          <w:rFonts w:ascii="宋体" w:hAnsi="宋体"/>
          <w:sz w:val="21"/>
        </w:rPr>
      </w:pPr>
      <w:r>
        <w:rPr>
          <w:rFonts w:hint="eastAsia" w:ascii="宋体" w:hAnsi="宋体"/>
          <w:sz w:val="21"/>
        </w:rPr>
        <w:t xml:space="preserve">严格遵循《数据安全法》《个人信息保护法》及医疗健康数据分级分类管理要求，落实数据安全与个人信息保护最小化原则，构建面向跨场景应用对接的数据安全适配层。医院将原始消息推送至协同平台后，平台支持按不同对接场景可视化配置脱敏、去隐私与匿名化策略，并依托苏州市健康医疗大数据中心底座能力将人员身份标识转为不可识别代号，避免原始身份信息跨应用扩散。</w:t>
      </w:r>
      <w:r/>
    </w:p>
    <w:p>
      <w:pPr>
        <w:ind w:left="0" w:firstLine="420"/>
        <w:spacing w:line="360" w:lineRule="auto"/>
        <w:tabs>
          <w:tab w:val="left" w:pos="420" w:leader="none"/>
        </w:tabs>
        <w:rPr>
          <w:rFonts w:ascii="宋体" w:hAnsi="宋体"/>
          <w:sz w:val="21"/>
        </w:rPr>
      </w:pPr>
      <w:r>
        <w:rPr>
          <w:rFonts w:hint="eastAsia" w:ascii="宋体" w:hAnsi="宋体"/>
          <w:sz w:val="21"/>
        </w:rPr>
        <w:t xml:space="preserve">3.3便民服务平台升级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 以微信公众号和卫生热线为主要入口，整合全市优质医疗服务资源，提升服务效能与智能化水平，为市民提供更便捷、高效、精准的卫生健康服务体验。重构12320微信公众号和建设卫生热线智能知识中心，拓展服务渠道和能力。让居民足不出户即可享受预约挂号、报告查询、健康管理等便捷服务，提升公众的健康服务获得感和满意度。</w:t>
      </w:r>
      <w:r/>
    </w:p>
    <w:p>
      <w:pPr>
        <w:ind w:left="0" w:firstLine="420"/>
        <w:spacing w:line="360" w:lineRule="auto"/>
        <w:tabs>
          <w:tab w:val="left" w:pos="420" w:leader="none"/>
        </w:tabs>
        <w:rPr>
          <w:rFonts w:ascii="宋体" w:hAnsi="宋体"/>
          <w:sz w:val="21"/>
        </w:rPr>
      </w:pPr>
      <w:r>
        <w:rPr>
          <w:rFonts w:hint="eastAsia" w:ascii="宋体" w:hAnsi="宋体"/>
          <w:sz w:val="21"/>
        </w:rPr>
        <w:t xml:space="preserve">3.3.1 12320微信公众号系统重构</w:t>
      </w:r>
      <w:r/>
    </w:p>
    <w:p>
      <w:pPr>
        <w:ind w:left="0" w:firstLine="420"/>
        <w:spacing w:line="360" w:lineRule="auto"/>
        <w:tabs>
          <w:tab w:val="left" w:pos="420" w:leader="none"/>
        </w:tabs>
        <w:rPr>
          <w:rFonts w:ascii="宋体" w:hAnsi="宋体"/>
          <w:sz w:val="21"/>
        </w:rPr>
      </w:pPr>
      <w:r>
        <w:rPr>
          <w:rFonts w:hint="eastAsia" w:ascii="宋体" w:hAnsi="宋体"/>
          <w:sz w:val="21"/>
        </w:rPr>
        <w:t xml:space="preserve">为解决现有系统架构老化、体验不佳、支撑不足等问题，拟从用户端和管理端开展全面升级、优化服务流程、提升系统效率与稳定性。重点打造苏州卫生 12320 公众号用户端，市民完成注册绑定后可使用预约挂号、报告查询、预防接种、体检、健康百科等服务，围绕预约挂号核心业务对接平台数据，实现线上就医便捷化；后台基于现有平台整合功能，打通微信接口，搭建统一管理后台与可视化监测看板，支持医院预约挂号服务快速配置，具备用户及医院信息管理、数据统计、运维监控等能力，为公众号提供全流程运维与数据监管支撑。</w:t>
      </w:r>
      <w:r/>
    </w:p>
    <w:p>
      <w:pPr>
        <w:ind w:left="0" w:firstLine="420"/>
        <w:spacing w:line="360" w:lineRule="auto"/>
        <w:tabs>
          <w:tab w:val="left" w:pos="420" w:leader="none"/>
        </w:tabs>
        <w:rPr>
          <w:rFonts w:ascii="宋体" w:hAnsi="宋体"/>
          <w:sz w:val="21"/>
        </w:rPr>
      </w:pPr>
      <w:r>
        <w:rPr>
          <w:rFonts w:hint="eastAsia" w:ascii="宋体" w:hAnsi="宋体"/>
          <w:sz w:val="21"/>
        </w:rPr>
        <w:t xml:space="preserve">1、用户端：需完成 12320 微信公众号用户端升级改造，重构预约挂号功能与流程。优化医院、科室、专家信息展示样式，支持多维度筛选，简化操作步骤。对首页、预约挂号、报告查询、预防接种、体检服务、健康百科等功能模块进行优化重构，适配老年人及特殊人群使用习惯，提升系统稳定性与用户体验。</w:t>
      </w:r>
      <w:r/>
    </w:p>
    <w:p>
      <w:pPr>
        <w:ind w:left="0" w:firstLine="420"/>
        <w:spacing w:line="360" w:lineRule="auto"/>
        <w:tabs>
          <w:tab w:val="left" w:pos="420" w:leader="none"/>
        </w:tabs>
        <w:rPr>
          <w:rFonts w:ascii="宋体" w:hAnsi="宋体"/>
          <w:sz w:val="21"/>
        </w:rPr>
      </w:pPr>
      <w:r>
        <w:rPr>
          <w:rFonts w:hint="eastAsia" w:ascii="宋体" w:hAnsi="宋体"/>
          <w:sz w:val="21"/>
        </w:rPr>
        <w:t xml:space="preserve">2、管理后台：需基于现有平台整合功能模块、打通微信相关接口，搭建统一运营管理后台及可视化监测看板，实现系统状态实时监控与医院预约挂号服务一键生成。需涵盖登录认证、查询统计、用户管理、医院信息管理、微信配置、预约规则设置、问卷管理、信息发布、集群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 12320卫生热线智能知识中心</w:t>
      </w:r>
      <w:r/>
    </w:p>
    <w:p>
      <w:pPr>
        <w:ind w:left="0" w:firstLine="420"/>
        <w:spacing w:line="360" w:lineRule="auto"/>
        <w:tabs>
          <w:tab w:val="left" w:pos="420" w:leader="none"/>
        </w:tabs>
        <w:rPr>
          <w:rFonts w:ascii="宋体" w:hAnsi="宋体"/>
          <w:sz w:val="21"/>
        </w:rPr>
      </w:pPr>
      <w:r>
        <w:rPr>
          <w:rFonts w:hint="eastAsia" w:ascii="宋体" w:hAnsi="宋体"/>
          <w:sz w:val="21"/>
        </w:rPr>
        <w:t xml:space="preserve">构建覆盖热线语音、在线文本、坐席辅助及知识管理的全渠道智能客服体系。语音/文本客服支持7×24小时智能交互与自动化处理，具备大小模型定制及多轮对话能力，支持人机协作；坐席辅助系统实现实时语音转写、智能推荐、知识搜索及通话摘要生成等功能；业务问答库管理平台作为中枢支撑，涵盖FAQ、流程</w:t>
      </w:r>
      <w:r>
        <w:rPr>
          <w:rFonts w:hint="eastAsia" w:ascii="宋体" w:hAnsi="宋体"/>
          <w:sz w:val="21"/>
        </w:rPr>
        <w:t xml:space="preserve">库及推理图谱的全生命周期管理；数据运营模块实现需求预判、热点分析及决策支持。系统全面提升12320热线服务效率与智能化水平。</w:t>
      </w:r>
      <w:r/>
    </w:p>
    <w:p>
      <w:pPr>
        <w:ind w:left="0" w:firstLine="420"/>
        <w:spacing w:line="360" w:lineRule="auto"/>
        <w:tabs>
          <w:tab w:val="left" w:pos="420" w:leader="none"/>
        </w:tabs>
        <w:rPr>
          <w:rFonts w:ascii="宋体" w:hAnsi="宋体"/>
          <w:sz w:val="21"/>
        </w:rPr>
      </w:pPr>
      <w:r>
        <w:rPr>
          <w:rFonts w:hint="eastAsia" w:ascii="宋体" w:hAnsi="宋体"/>
          <w:sz w:val="21"/>
        </w:rPr>
        <w:t xml:space="preserve">3.3.2.1 12320热线语音智能客服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需要与现有12320热线平台完成对接，支持智能话务路由、快速转人工服务，具备语音识别、语音合成优化及语音线路监控能力。系统能够支持大、小模型深度定制，实现领域语义理解、意图处理、多轮对话引导。系统支持对来电进行智能交互、流程引导及对话数据分析，能够实现7×24小时智能语音交互服务，实现来电问题自动化处理、智能转接，确保语音交互稳定、高效，满足12320热线服务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3.3.2.2 12320坐席辅助系统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依托语音识别、语义分析、RAG增强检索生成及数据分析技术，对接热线平台获取实时通话语音流，对坐席与用户的通话开展全方位实时智能分析，为坐席提供即时业务指导，为管理人员提供高效的实时业务监控手段。</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会话内容实时转译展示，并持续优化语音识别效果，同时具备业务问答智能推荐与便捷检索能力。可实时抓取访客意图、解析用户画像并展示历史来电信息。能够对通话服务状态、客服规范用语进行智能预警提醒，精准识别通话中的挂号关键信息。通话结束后系统可自动生成通话内容摘要、智能判定话务类型，同时配备热点问题排名、知识收藏夹等辅助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3.3.2.3 在线文本智能客服</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系统基于自然语言理解、意图识别与知识图谱技术，为微信公众号等渠道提供即时文字咨询服务，支持多轮对话、意图澄清、上下文理解及人机协作。</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系统具备基础对话能力，包括QA问答、知识图谱问答、多轮任务对话、闲聊对话，支持意图跳转与实体识别，提供图形化对话管理工具，实现智能问答配置。系统支持全渠道接入，可适配 H5、微信公众号及API对接方式，并具备运营监控功能，支持人机协作模式。</w:t>
      </w:r>
      <w:r/>
    </w:p>
    <w:p>
      <w:pPr>
        <w:ind w:left="0" w:firstLine="420"/>
        <w:spacing w:line="360" w:lineRule="auto"/>
        <w:tabs>
          <w:tab w:val="left" w:pos="420" w:leader="none"/>
        </w:tabs>
        <w:rPr>
          <w:rFonts w:ascii="宋体" w:hAnsi="宋体"/>
          <w:sz w:val="21"/>
        </w:rPr>
      </w:pPr>
      <w:r>
        <w:rPr>
          <w:rFonts w:hint="eastAsia" w:ascii="宋体" w:hAnsi="宋体"/>
          <w:sz w:val="21"/>
        </w:rPr>
        <w:t xml:space="preserve">3.3.2.4 数据智能化运营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智能问答入口对于热点问题，可以输出实时的统计分析图表，对于关注的热点、突发性问题能够尽快反馈，便于相关业务部门了解和指导相关工作。 </w:t>
      </w:r>
      <w:r/>
    </w:p>
    <w:p>
      <w:pPr>
        <w:ind w:left="0" w:firstLine="420"/>
        <w:spacing w:line="360" w:lineRule="auto"/>
        <w:tabs>
          <w:tab w:val="left" w:pos="420" w:leader="none"/>
        </w:tabs>
        <w:rPr>
          <w:rFonts w:ascii="宋体" w:hAnsi="宋体"/>
          <w:sz w:val="21"/>
        </w:rPr>
      </w:pPr>
      <w:r>
        <w:rPr>
          <w:rFonts w:hint="eastAsia" w:ascii="宋体" w:hAnsi="宋体"/>
          <w:sz w:val="21"/>
        </w:rPr>
        <w:t xml:space="preserve">系统支持对于业务问答的热度、问题来源、月度数据咨询量多维度统计。</w:t>
      </w:r>
      <w:r/>
    </w:p>
    <w:p>
      <w:pPr>
        <w:ind w:left="0" w:firstLine="420"/>
        <w:spacing w:line="360" w:lineRule="auto"/>
        <w:tabs>
          <w:tab w:val="left" w:pos="420" w:leader="none"/>
        </w:tabs>
        <w:rPr>
          <w:rFonts w:ascii="宋体" w:hAnsi="宋体"/>
          <w:sz w:val="21"/>
        </w:rPr>
      </w:pPr>
      <w:r>
        <w:rPr>
          <w:rFonts w:hint="eastAsia" w:ascii="宋体" w:hAnsi="宋体"/>
          <w:sz w:val="21"/>
        </w:rPr>
        <w:t xml:space="preserve">3.3.2.5 语音识别与合成引擎模块</w:t>
      </w:r>
      <w:r/>
    </w:p>
    <w:p>
      <w:pPr>
        <w:ind w:left="0" w:firstLine="420"/>
        <w:spacing w:line="360" w:lineRule="auto"/>
        <w:tabs>
          <w:tab w:val="left" w:pos="420" w:leader="none"/>
        </w:tabs>
        <w:rPr>
          <w:rFonts w:ascii="宋体" w:hAnsi="宋体"/>
          <w:sz w:val="21"/>
        </w:rPr>
      </w:pPr>
      <w:r>
        <w:rPr>
          <w:rFonts w:hint="eastAsia" w:ascii="宋体" w:hAnsi="宋体"/>
          <w:sz w:val="21"/>
        </w:rPr>
        <w:t xml:space="preserve">对于用户来电，提供ASR语音转换文本、TTS文本合成自然语音的引擎功能。上线前针对本地热线咨询内容进行模型调优。语音识别和合成引擎模块本地部署，30路并发，提供20路智能语音处理，10路人工坐席辅助应用。</w:t>
      </w:r>
      <w:r/>
    </w:p>
    <w:p>
      <w:pPr>
        <w:ind w:left="0" w:firstLine="420"/>
        <w:spacing w:line="360" w:lineRule="auto"/>
        <w:tabs>
          <w:tab w:val="left" w:pos="420" w:leader="none"/>
        </w:tabs>
        <w:rPr>
          <w:rFonts w:ascii="宋体" w:hAnsi="宋体"/>
          <w:sz w:val="21"/>
        </w:rPr>
      </w:pPr>
      <w:r>
        <w:rPr>
          <w:rFonts w:hint="eastAsia" w:ascii="宋体" w:hAnsi="宋体"/>
          <w:sz w:val="21"/>
        </w:rPr>
        <w:t xml:space="preserve">3.3.2.6 业务问答库管理平台</w:t>
      </w:r>
      <w:r/>
    </w:p>
    <w:p>
      <w:pPr>
        <w:ind w:left="0" w:firstLine="420"/>
        <w:spacing w:line="360" w:lineRule="auto"/>
        <w:tabs>
          <w:tab w:val="left" w:pos="420" w:leader="none"/>
        </w:tabs>
        <w:rPr>
          <w:rFonts w:ascii="宋体" w:hAnsi="宋体"/>
          <w:sz w:val="21"/>
        </w:rPr>
      </w:pPr>
      <w:r>
        <w:rPr>
          <w:rFonts w:ascii="宋体" w:hAnsi="宋体"/>
          <w:sz w:val="21"/>
        </w:rPr>
        <w:t xml:space="preserve">作为平台知识核心底座，完成业务知识标准化沉淀与便捷调用。搭建三大知识库体系：FAQ 问答库支持问答内容编辑检索，实现知识统一运维；场景流程库可视化搭建多轮对话流程，灵活适配各类业务场景；文件库统筹资料存储、版本管控与权限划分，守护知识资产。同时配备平台通用权限体系，覆盖人员、部门、项目多级权限管控，支持批量操作与多角色协同办公，全方位满足知识管理、业务适配与团队协作需求。</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配套设施采购要求</w:t>
      </w:r>
      <w:r/>
    </w:p>
    <w:p>
      <w:pPr>
        <w:ind w:left="0" w:firstLine="420"/>
        <w:spacing w:line="360" w:lineRule="auto"/>
        <w:tabs>
          <w:tab w:val="left" w:pos="420" w:leader="none"/>
        </w:tabs>
        <w:rPr>
          <w:rFonts w:ascii="宋体" w:hAnsi="宋体"/>
          <w:sz w:val="21"/>
        </w:rPr>
      </w:pPr>
      <w:r>
        <w:rPr>
          <w:rFonts w:ascii="宋体" w:hAnsi="宋体"/>
          <w:color w:val="000000"/>
          <w:sz w:val="21"/>
          <w:szCs w:val="21"/>
        </w:rPr>
        <w:t xml:space="preserve">4.1</w:t>
      </w:r>
      <w:r>
        <w:rPr>
          <w:rFonts w:hint="eastAsia" w:ascii="宋体" w:hAnsi="宋体"/>
          <w:sz w:val="21"/>
        </w:rPr>
        <w:t xml:space="preserve"> 苏卫通APP</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全面的即时通讯功能，支持用户进行单人聊天和群组聊天，具备消息已读/未读状态显示、消息撤回、文件传输、图片发送、群公告发布及群成员管理等能力。系统配备完整的通讯录功能，支持会话管理、会话设置、黑白名单控制以及信息检索。同时，集成音视频会议功能，支持最多30人同时在线的并发会议，提供会议录制和即时发起会议等功能，提供第三方拉起内部实时会议，满足高效沟通与远程协作需求。</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 </w:t>
      </w:r>
      <w:r>
        <w:rPr>
          <w:rFonts w:ascii="宋体" w:hAnsi="宋体"/>
          <w:sz w:val="21"/>
        </w:rPr>
        <w:t xml:space="preserve">12320密评改</w:t>
      </w:r>
      <w:r>
        <w:rPr>
          <w:rFonts w:hint="eastAsia" w:ascii="宋体" w:hAnsi="宋体"/>
          <w:sz w:val="21"/>
        </w:rPr>
        <w:t xml:space="preserve">造配套</w:t>
      </w:r>
      <w:r>
        <w:rPr>
          <w:rFonts w:ascii="宋体" w:hAnsi="宋体"/>
          <w:sz w:val="21"/>
          <w:szCs w:val="21"/>
          <w14:ligatures w14:val="standardContextual"/>
        </w:rPr>
        <w:t xml:space="preserve">软件</w:t>
      </w:r>
      <w:r/>
    </w:p>
    <w:p>
      <w:pPr>
        <w:ind w:left="0" w:firstLine="420"/>
        <w:spacing w:line="360" w:lineRule="auto"/>
        <w:tabs>
          <w:tab w:val="left" w:pos="420" w:leader="none"/>
        </w:tabs>
        <w:rPr>
          <w:rFonts w:ascii="宋体" w:hAnsi="宋体"/>
          <w:sz w:val="21"/>
        </w:rPr>
      </w:pPr>
      <w:r>
        <w:rPr>
          <w:rFonts w:ascii="宋体" w:hAnsi="宋体"/>
          <w:sz w:val="21"/>
        </w:rPr>
        <w:t xml:space="preserve">4.2.1</w:t>
      </w:r>
      <w:r>
        <w:rPr>
          <w:rFonts w:hint="eastAsia" w:ascii="宋体" w:hAnsi="宋体"/>
          <w:sz w:val="21"/>
        </w:rPr>
        <w:t xml:space="preserve"> 密码服务平台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云密码资源池管理：实现密码设备资源的最大化利用、密码设备的集成管理、高效分配，支持HSM管理、VSM管理、驱动管理、分组管理等功能。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态势感知：利用数据分析和可视化技术，支持大屏展示，为用户呈现出全局安全态势，提供强大的事前、事中、事后安全管理能力，展示密码资源的运行状态和使用情况、密码服务的调用情况、密码服务的运行状态等。</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密钥管理：支持集中的应用密钥管理功能，包括对称密钥管理、非对称密钥管理、密钥状态查看、密钥销毁、密钥导入、密钥备份，便于进行密钥管理审计。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应用管理：规范化应用管理，支持应用接入，可以灵活为应用系统启用、禁用调用的密码服务等。</w:t>
      </w:r>
      <w:r/>
    </w:p>
    <w:p>
      <w:pPr>
        <w:ind w:left="0" w:firstLine="420"/>
        <w:spacing w:line="360" w:lineRule="auto"/>
        <w:tabs>
          <w:tab w:val="left" w:pos="420" w:leader="none"/>
        </w:tabs>
        <w:rPr>
          <w:rFonts w:ascii="宋体" w:hAnsi="宋体"/>
          <w:sz w:val="21"/>
        </w:rPr>
      </w:pPr>
      <w:r>
        <w:rPr>
          <w:rFonts w:hint="eastAsia" w:ascii="宋体" w:hAnsi="宋体"/>
          <w:sz w:val="21"/>
        </w:rPr>
        <w:t xml:space="preserve">租户管理：实现每个租户之间的计算和服务隔离，支持按照租户维度添加业务应用、应用审批、分配密码服务。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密码服务负载：支持将密码服务或密码服务分组与应用进行动态配置，通过虚拟密码网关实现应用与密码服务或密码服务分组的动态调度和负载，防止密码服务单点故障导致应用瘫痪。</w:t>
      </w:r>
      <w:r/>
    </w:p>
    <w:p>
      <w:pPr>
        <w:ind w:left="0" w:firstLine="420"/>
        <w:spacing w:line="360" w:lineRule="auto"/>
        <w:tabs>
          <w:tab w:val="left" w:pos="420" w:leader="none"/>
        </w:tabs>
        <w:rPr>
          <w:rFonts w:ascii="宋体" w:hAnsi="宋体"/>
          <w:sz w:val="21"/>
        </w:rPr>
      </w:pPr>
      <w:r>
        <w:rPr>
          <w:rFonts w:hint="eastAsia" w:ascii="宋体" w:hAnsi="宋体"/>
          <w:sz w:val="21"/>
        </w:rPr>
        <w:t xml:space="preserve">密码服务调度：支持查看已注册的密码服务及运行状态，同时可以对密码服务进行分组。密码服务或密码服务分组根据需要可以动态分配给不同的应用或者租户进行调用。</w:t>
      </w:r>
      <w:r/>
    </w:p>
    <w:p>
      <w:pPr>
        <w:ind w:left="0" w:firstLine="420"/>
        <w:spacing w:line="360" w:lineRule="auto"/>
        <w:tabs>
          <w:tab w:val="left" w:pos="420" w:leader="none"/>
        </w:tabs>
        <w:rPr>
          <w:rFonts w:ascii="宋体" w:hAnsi="宋体"/>
          <w:sz w:val="21"/>
        </w:rPr>
      </w:pPr>
      <w:r>
        <w:rPr>
          <w:rFonts w:hint="eastAsia" w:ascii="宋体" w:hAnsi="宋体"/>
          <w:sz w:val="21"/>
        </w:rPr>
        <w:t xml:space="preserve">基础密码服务：支持封装不同厂家的密码机硬件接口，面向业务系统提供统一、规范的接口。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支持通过设置基于标识或IP的白名单为应用系统接入授权，可以灵活为应用系统开通允许调用的密码服务，已经开通授权的应用允许调用相应的密码接口，被禁用业务应用会失去密码服务调用权限。</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记录平台用户的登录日志、管理员在后台系统的操作日志、以及业务系统调用密码服务的调用日志；支持三员管理模式，日志只针对审计员开放；提供根据操作方、IP地址等查询方式，可以根据业务系统、时间段、密码服务等维度进行统计。</w:t>
      </w:r>
      <w:r/>
    </w:p>
    <w:p>
      <w:pPr>
        <w:ind w:left="0" w:firstLine="420"/>
        <w:spacing w:line="360" w:lineRule="auto"/>
        <w:tabs>
          <w:tab w:val="left" w:pos="420" w:leader="none"/>
        </w:tabs>
        <w:rPr>
          <w:rFonts w:ascii="宋体" w:hAnsi="宋体"/>
          <w:sz w:val="21"/>
        </w:rPr>
      </w:pPr>
      <w:r>
        <w:rPr>
          <w:rFonts w:ascii="宋体" w:hAnsi="宋体"/>
          <w:sz w:val="21"/>
        </w:rPr>
        <w:t xml:space="preserve">4.2.2</w:t>
      </w:r>
      <w:r>
        <w:rPr>
          <w:rFonts w:hint="eastAsia" w:ascii="宋体" w:hAnsi="宋体"/>
          <w:sz w:val="21"/>
        </w:rPr>
        <w:t xml:space="preserve"> 数据加解密系统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密钥配置：可以配置应用系统签名使用的密钥对的索引。</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密钥预生成：系统可以预生成密钥共用应用系统使用，可以手动预生成密钥或者设置定时任务自动生成密钥。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密钥归档：针对在系统中留存时间较长的密钥可以归档密钥，归档以后密钥状态失效，不允许继续使用，可以按年份、按应用、按时间范围归档密钥，可以通过归档恢复功能重新启用密钥。</w:t>
      </w:r>
      <w:r/>
    </w:p>
    <w:p>
      <w:pPr>
        <w:ind w:left="0" w:firstLine="420"/>
        <w:spacing w:line="360" w:lineRule="auto"/>
        <w:tabs>
          <w:tab w:val="left" w:pos="420" w:leader="none"/>
        </w:tabs>
        <w:rPr>
          <w:rFonts w:ascii="宋体" w:hAnsi="宋体"/>
          <w:sz w:val="21"/>
        </w:rPr>
      </w:pPr>
      <w:r>
        <w:rPr>
          <w:rFonts w:hint="eastAsia" w:ascii="宋体" w:hAnsi="宋体"/>
          <w:sz w:val="21"/>
        </w:rPr>
        <w:t xml:space="preserve">日志管理：日志管理包括登录日志、操作日志和服务日志，并提供对日志的查看功能。可根据IP地址进行查询。</w:t>
      </w:r>
      <w:r/>
    </w:p>
    <w:p>
      <w:pPr>
        <w:ind w:left="0" w:firstLine="420"/>
        <w:spacing w:line="360" w:lineRule="auto"/>
        <w:tabs>
          <w:tab w:val="left" w:pos="420" w:leader="none"/>
        </w:tabs>
        <w:rPr>
          <w:rFonts w:ascii="宋体" w:hAnsi="宋体"/>
          <w:sz w:val="21"/>
        </w:rPr>
      </w:pPr>
      <w:r>
        <w:rPr>
          <w:rFonts w:hint="eastAsia" w:ascii="宋体" w:hAnsi="宋体"/>
          <w:sz w:val="21"/>
        </w:rPr>
        <w:t xml:space="preserve">菜单管理：系统管理包括用户管理、角色管理和菜单管理，均实现了对系统内的维护功能。其中包含的具体功能有：新增、编辑、删除。</w:t>
      </w:r>
      <w:r/>
    </w:p>
    <w:p>
      <w:pPr>
        <w:ind w:left="0" w:firstLine="420"/>
        <w:spacing w:line="360" w:lineRule="auto"/>
        <w:tabs>
          <w:tab w:val="left" w:pos="420" w:leader="none"/>
        </w:tabs>
        <w:rPr>
          <w:rFonts w:ascii="宋体" w:hAnsi="宋体"/>
          <w:sz w:val="21"/>
        </w:rPr>
      </w:pPr>
      <w:r>
        <w:rPr>
          <w:rFonts w:hint="eastAsia" w:ascii="宋体" w:hAnsi="宋体"/>
          <w:sz w:val="21"/>
        </w:rPr>
        <w:t xml:space="preserve">数据加解密：对于一些重要的用户信息、组织机构信息、日志信息等可以使用该接口对相关的数据进行加密。在应用系统的数据进行页面展示时，调用此接口将数据解密后展示明文。</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加解密：此服务一般用在大批量处理用户信息的场景中，例如大量的历史用户信息需要进行处理，可以使用该接口进行批量的处理，简化调用流程。当有大量的密文数据信息需要展示，可调用此接口实现批量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文件加解密：为了保证存储安全，服务器内部存放的文件应该都是密文，因此在文件的收发文过程产生的文件，都应该进行加密，使文件以密文的形式在服务器上存储。当用户需要查看文件内容时，必须调用文件的解密接口将文件解密。</w:t>
      </w:r>
      <w:r/>
    </w:p>
    <w:p>
      <w:pPr>
        <w:ind w:left="0" w:firstLine="420"/>
        <w:spacing w:line="360" w:lineRule="auto"/>
        <w:tabs>
          <w:tab w:val="left" w:pos="420" w:leader="none"/>
        </w:tabs>
        <w:rPr>
          <w:rFonts w:ascii="宋体" w:hAnsi="宋体"/>
          <w:sz w:val="21"/>
        </w:rPr>
      </w:pPr>
      <w:r>
        <w:rPr>
          <w:rFonts w:hint="eastAsia" w:ascii="宋体" w:hAnsi="宋体"/>
          <w:sz w:val="21"/>
        </w:rPr>
        <w:t xml:space="preserve">签名验签：支持应用系统调用此服务对数据、文件签名和验签，验证数据在流转和存储过程中的真实性。</w:t>
      </w:r>
      <w:r/>
    </w:p>
    <w:p>
      <w:pPr>
        <w:ind w:left="0" w:firstLine="420"/>
        <w:spacing w:line="360" w:lineRule="auto"/>
        <w:tabs>
          <w:tab w:val="left" w:pos="420" w:leader="none"/>
        </w:tabs>
        <w:rPr>
          <w:rFonts w:ascii="宋体" w:hAnsi="宋体"/>
          <w:sz w:val="21"/>
        </w:rPr>
      </w:pPr>
      <w:r>
        <w:rPr>
          <w:rFonts w:ascii="宋体" w:hAnsi="宋体"/>
          <w:sz w:val="21"/>
        </w:rPr>
        <w:t xml:space="preserve">4.2.3</w:t>
      </w:r>
      <w:r>
        <w:rPr>
          <w:rFonts w:hint="eastAsia" w:ascii="宋体" w:hAnsi="宋体"/>
          <w:sz w:val="21"/>
        </w:rPr>
        <w:t xml:space="preserve"> 站点证书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第三方CA机构颁发，国密站点通配符证书（三年期），支持国密和普通浏览器，支持1个授权。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4 个人数字证书</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第三方CA机构颁发，国密个人数字证书（三年期），支持15个用户授权。</w:t>
      </w:r>
      <w:r/>
    </w:p>
    <w:p>
      <w:pPr>
        <w:ind w:left="0" w:firstLine="420"/>
        <w:spacing w:line="360" w:lineRule="auto"/>
        <w:tabs>
          <w:tab w:val="left" w:pos="420" w:leader="none"/>
        </w:tabs>
        <w:rPr>
          <w:rFonts w:ascii="宋体" w:hAnsi="宋体"/>
          <w:sz w:val="21"/>
        </w:rPr>
      </w:pPr>
      <w:r>
        <w:rPr>
          <w:rFonts w:ascii="宋体" w:hAnsi="宋体"/>
          <w:sz w:val="21"/>
        </w:rPr>
        <w:t xml:space="preserve">4.2.</w:t>
      </w:r>
      <w:r>
        <w:rPr>
          <w:rFonts w:hint="eastAsia" w:ascii="宋体" w:hAnsi="宋体"/>
          <w:sz w:val="21"/>
        </w:rPr>
        <w:t xml:space="preserve">5 安全浏览器</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浏览器支持 GMSSL 单向及双向链接；支持地址栏功能，提供输入地址、网页搜索快速访问对应网址的功能。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浏览器的任何操作行为数据都不会向外部（如：境外Chrome 后台）发送，确保数据安全。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支持与DNS服务器的安全通讯功能，支持安全浏览器客户端软件与DNS服务器间建立基于国密算法的加密数据传输安全通道，实现域名解析请求和返回的IP地址信息的加密传输。</w:t>
      </w:r>
      <w:r/>
    </w:p>
    <w:p>
      <w:pPr>
        <w:ind w:left="0" w:firstLine="420"/>
        <w:spacing w:line="360" w:lineRule="auto"/>
        <w:tabs>
          <w:tab w:val="left" w:pos="420" w:leader="none"/>
        </w:tabs>
        <w:rPr>
          <w:rFonts w:ascii="宋体" w:hAnsi="宋体"/>
          <w:sz w:val="21"/>
        </w:rPr>
      </w:pPr>
      <w:r>
        <w:rPr>
          <w:rFonts w:hint="eastAsia" w:ascii="宋体" w:hAnsi="宋体"/>
          <w:sz w:val="21"/>
        </w:rPr>
        <w:t xml:space="preserve">在SSL隧道下，吞吐率为≥100Mbps，单向SSL连接性能达到 ≥240 次/秒，CBC 解密模式下，SM4 算法的性能可达到≥8Gb/s。</w:t>
      </w:r>
      <w:r/>
    </w:p>
    <w:p>
      <w:pPr>
        <w:ind w:left="0" w:firstLine="420"/>
        <w:spacing w:line="360" w:lineRule="auto"/>
        <w:tabs>
          <w:tab w:val="left" w:pos="420" w:leader="none"/>
        </w:tabs>
        <w:rPr>
          <w:rFonts w:ascii="宋体" w:hAnsi="宋体"/>
          <w:sz w:val="21"/>
        </w:rPr>
      </w:pPr>
      <w:r>
        <w:rPr>
          <w:rFonts w:hint="eastAsia" w:ascii="宋体" w:hAnsi="宋体"/>
          <w:sz w:val="21"/>
        </w:rPr>
        <w:t xml:space="preserve">浏览器兼容互认国产操作系统。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提供15个用户授权。</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基础设施与网络安全升级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依托加速推进多维能力</w:t>
      </w:r>
      <w:r>
        <w:rPr>
          <w:rFonts w:hint="eastAsia" w:ascii="宋体" w:hAnsi="宋体"/>
          <w:sz w:val="21"/>
        </w:rPr>
        <w:t xml:space="preserve">深度融合的安全态势与监管一体化平台，全面统筹特权账号监测与管理、网络运维监控以及数据安全运营监测，协同部署数据库审计、防统方与智能风控系统以强化敏感数据流转与内部操作风险的精准管控，并集中配置网闸、跨境VPN监控设备、应用（API）防护网关及IPSec/SSL VPN综合安全网关等硬件设施与便携式安全检查工具箱，同时结合云服务器密码机、签名验签服务器及USBkey等关键密码基础设施夯实身份认证与数据加密底座，最终构建起一套集边界防护、数据治理与合规监管于一体的立体化安全防御体系，显著提高了整体安全防护能力。</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.1 安全态势与监管一体化软件升级  </w:t>
      </w:r>
      <w:r/>
    </w:p>
    <w:p>
      <w:pPr>
        <w:ind w:left="0" w:firstLine="420"/>
        <w:spacing w:line="360" w:lineRule="auto"/>
        <w:tabs>
          <w:tab w:val="left" w:pos="420" w:leader="none"/>
        </w:tabs>
        <w:rPr>
          <w:rFonts w:ascii="宋体" w:hAnsi="宋体"/>
          <w:sz w:val="21"/>
        </w:rPr>
      </w:pPr>
      <w:r>
        <w:rPr>
          <w:rFonts w:ascii="宋体" w:hAnsi="宋体"/>
          <w:sz w:val="21"/>
        </w:rPr>
        <w:t xml:space="preserve">要求为全市90个数据采集点部署探针，捕捉市内医疗机构出现的安全事件与潜在漏洞，要求发现异常后中心能够迅速开展通报、预警等工作，实现安全风险的及时管控。</w:t>
      </w:r>
      <w:r>
        <w:rPr>
          <w:rFonts w:ascii="宋体" w:hAnsi="宋体"/>
          <w:sz w:val="21"/>
        </w:rPr>
        <w:br/>
        <w:t xml:space="preserve">支持日志威胁分析管理和脆弱性发现管理，对辖区内网络攻击、漏洞信息进行识别研判，并通过推送发送给应急指挥。支持完成漏洞预警和事件通报。支持分布式部署方式，支持平台系统集群部署，能够平滑扩展平台处理能力。</w:t>
      </w:r>
      <w:r>
        <w:rPr>
          <w:rFonts w:ascii="宋体" w:hAnsi="宋体"/>
          <w:sz w:val="21"/>
        </w:rPr>
        <w:br/>
      </w:r>
      <w:r>
        <w:rPr>
          <w:rFonts w:hint="eastAsia" w:ascii="宋体" w:hAnsi="宋体"/>
          <w:sz w:val="21"/>
        </w:rPr>
        <w:t xml:space="preserve">  </w:t>
      </w:r>
      <w:r>
        <w:rPr>
          <w:rFonts w:ascii="宋体" w:hAnsi="宋体"/>
          <w:sz w:val="21"/>
        </w:rPr>
        <w:t xml:space="preserve">其中2个数据采集点检测性能不小于5Gbps，最大并发TCP会话数不小于200万，每秒新增TCP会话数不小于30000</w:t>
      </w:r>
      <w:r>
        <w:rPr>
          <w:rFonts w:hint="eastAsia" w:ascii="宋体" w:hAnsi="宋体"/>
          <w:sz w:val="21"/>
        </w:rPr>
        <w:t xml:space="preserve">。</w:t>
      </w:r>
      <w:r>
        <w:rPr>
          <w:rFonts w:ascii="宋体" w:hAnsi="宋体"/>
          <w:sz w:val="21"/>
        </w:rPr>
        <w:br/>
        <w:t xml:space="preserve"> 20个数据采集点检测性能不小于2Gbps，最大并发TCP会话数不小于180万，每秒新增TCP会话数不小于25000</w:t>
      </w:r>
      <w:r>
        <w:rPr>
          <w:rFonts w:hint="eastAsia" w:ascii="宋体" w:hAnsi="宋体"/>
          <w:sz w:val="21"/>
        </w:rPr>
        <w:t xml:space="preserve">。</w:t>
      </w:r>
      <w:r>
        <w:rPr>
          <w:rFonts w:ascii="宋体" w:hAnsi="宋体"/>
          <w:sz w:val="21"/>
        </w:rPr>
        <w:br/>
        <w:t xml:space="preserve"> 68个数据采集点检测性能不小于1Gbps，最大并发TCP会话数不小于50万，每秒新增TCP会话数不小于18000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.2 特权账号监测和管理系统升级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苏州市卫生健康委员会800+服务器资产、30+业务系统、50+数据库特权账号监测和管理需求，要求使用内建Web服务、数据库、中间件，形成整套自运行的集群环境，支持纯信创环境交付，提供800资产授权，20个管理账号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支持纳管的资产包括但不限于：</w:t>
      </w:r>
      <w:r>
        <w:rPr>
          <w:rFonts w:ascii="宋体" w:hAnsi="宋体"/>
          <w:sz w:val="21"/>
        </w:rPr>
        <w:t xml:space="preserve">通过RDP、VNC、SSH管理的Windows、Linux等服务器；通过SSH、Telnet管理的路由器、交换机、防火墙、上网行为管理等设备；Oracle、MySQL、SQLServer、PostgreSQL、人大金仓、达梦等数据库；通过WEB进行管理的OA、CRM等业务系统</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支持远程应用发布功能，实现对</w:t>
      </w:r>
      <w:r>
        <w:rPr>
          <w:rFonts w:ascii="宋体" w:hAnsi="宋体"/>
          <w:sz w:val="21"/>
        </w:rPr>
        <w:t xml:space="preserve">C/S架构资产的访问，支持远程应用发布调用的客户端工具包括但不限于Dbevaer、navicat、WinSCP、MobaXterm、SecureCRT、Radmin、SSMS、DBeaver、SSMS、Xshell、putty等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w:t>
      </w:r>
      <w:r>
        <w:rPr>
          <w:rFonts w:ascii="宋体" w:hAnsi="宋体"/>
          <w:sz w:val="21"/>
        </w:rPr>
        <w:t xml:space="preserve">SSH、HTTP、HTTPS、VNC、RDP、Telnet、Oracle、MySQL、SQLServer、PostgreSQL、人大金仓、达梦数据库、远程应用资产连接操作会话的录屏回放、下载及日志查询，管理员可以通过录屏回放功能，查看用户在会话期间的所有操作，包括输入命令、执行结果等</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支持多种认证方式，包括AD、LDAP认证，硬件口令认证，OTP动态口令认证，企业微信认证。</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支持批量导入用户，可以通过Excel批量导入的方式更新或添加用户。</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用户角色管理，内置系统管理员、审计管理员、安全管理员、操作员等角色，支持自定义角色，可对用户角色进行系统功能项级别的细颗粒度权限（包括查看、修改等）配置，适应不同管理要求下的三权分立标准。</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.3 网络运维监控管理升级 </w:t>
      </w:r>
      <w:r/>
    </w:p>
    <w:p>
      <w:pPr>
        <w:ind w:left="0" w:firstLine="420"/>
        <w:spacing w:line="360" w:lineRule="auto"/>
        <w:tabs>
          <w:tab w:val="left" w:pos="420" w:leader="none"/>
        </w:tabs>
        <w:rPr>
          <w:rFonts w:ascii="宋体" w:hAnsi="宋体"/>
          <w:sz w:val="21"/>
        </w:rPr>
      </w:pPr>
      <w:r>
        <w:rPr>
          <w:rFonts w:hint="eastAsia" w:ascii="宋体" w:hAnsi="宋体"/>
          <w:sz w:val="21"/>
        </w:rPr>
        <w:t xml:space="preserve">以业务系统监控为主线，基于“业务、软件、网络、设备”多个运维监控视角的运维体系架构，打造集业务、软件、网络、设备为一体的多层次立体化信息化运维监控平台，网络监控全覆盖所需节点授权：实现对卫健委网络、云资源、数据库、中间件、应用进程、业务接口不小于2000个节点的监控覆盖。</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.4 数据安全运营监测平台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提供内网、外网数据流量探针，利用api识别、敏感信息识别以及传统的流量储存与分析能力等，满足数据资产管理、数据安全风险监测、数据安全流转监控、数据安全策略统一管控等需求。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支持多维度资产管理，支持网络资产进行发现探测，资产策略管理。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支持基于大数据架构横向平滑扩展能力。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支持应用和数据间流转监控、主客体间访问监控。</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w:t>
      </w:r>
      <w:r>
        <w:rPr>
          <w:rFonts w:ascii="宋体" w:hAnsi="宋体"/>
          <w:sz w:val="21"/>
        </w:rPr>
        <w:t xml:space="preserve">1个内网点位检测性能不小于5Gbps，最大并发TCP会话数不小于200万，每秒新增TCP会话数不小于30000。</w:t>
      </w:r>
      <w:r>
        <w:rPr>
          <w:rFonts w:ascii="宋体" w:hAnsi="宋体"/>
          <w:sz w:val="21"/>
        </w:rPr>
        <w:br/>
        <w:t xml:space="preserve"> </w:t>
      </w:r>
      <w:r>
        <w:rPr>
          <w:rFonts w:hint="eastAsia" w:ascii="宋体" w:hAnsi="宋体"/>
          <w:sz w:val="21"/>
        </w:rPr>
        <w:t xml:space="preserve">  </w:t>
      </w:r>
      <w:r>
        <w:rPr>
          <w:rFonts w:ascii="宋体" w:hAnsi="宋体"/>
          <w:sz w:val="21"/>
        </w:rPr>
        <w:t xml:space="preserve">1个外网点检测性能不小于1Gbps，最大并发TCP会话数不小于50万，每秒新增TCP会话数不小于18000。</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.5 数据库审计平台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为满足当前的数据流量监测需求，并预留流量冗余，以应对可能出现的流量波动情况，需要部署3套数据库审计软件针对数据库进行审计软件基于数据库网络流量采集，针对健康医疗大数据中心的数据库，进行协议解析与还原，通过对访问数据库的行为进行记录与多角度分析，对异常行为进行告警通知、审计记录和事后追踪分析，帮助用户规范数据使用行为，保障数据资产安全，提供风险防范和溯源依据，提供节点授权不少于100个。</w:t>
      </w:r>
      <w:r/>
    </w:p>
    <w:p>
      <w:pPr>
        <w:ind w:left="0" w:firstLine="420"/>
        <w:spacing w:line="360" w:lineRule="auto"/>
        <w:tabs>
          <w:tab w:val="left" w:pos="420" w:leader="none"/>
        </w:tabs>
        <w:rPr>
          <w:rFonts w:ascii="宋体" w:hAnsi="宋体"/>
          <w:sz w:val="21"/>
        </w:rPr>
      </w:pPr>
      <w:r>
        <w:rPr>
          <w:rFonts w:hint="eastAsia" w:ascii="宋体" w:hAnsi="宋体"/>
          <w:sz w:val="21"/>
        </w:rPr>
        <w:t xml:space="preserve">全量审计与满足审计规则审计模式切换。审计内容支持记录客户端</w:t>
      </w:r>
      <w:r>
        <w:rPr>
          <w:rFonts w:ascii="宋体" w:hAnsi="宋体"/>
          <w:sz w:val="21"/>
        </w:rPr>
        <w:t xml:space="preserve">IP、客户端端口、数据库用户、操作系统用户、MAC、工具或应用、客户端主机等访问来源信息。漏洞攻击监测、SQL注入检测。</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支持旁路镜像部署，混合部署方式。支持Oracle、SQLServer、MySQL、DB2、Sybase、Informix、PostgreSQL、MariaDB、Caché、Teradata、Impala、Greeplum等主流数据库审计，支持DM、kingbase、OSCAR、Gbase、Highgo、Guass DB、TDSQL-MySQL、TDSQL-PostgreSQL等国产数据库审计。</w:t>
      </w:r>
      <w:r/>
    </w:p>
    <w:p>
      <w:pPr>
        <w:ind w:left="0" w:firstLine="420"/>
        <w:spacing w:line="360" w:lineRule="auto"/>
        <w:tabs>
          <w:tab w:val="left" w:pos="420" w:leader="none"/>
        </w:tabs>
        <w:rPr>
          <w:rFonts w:ascii="宋体" w:hAnsi="宋体"/>
          <w:sz w:val="21"/>
        </w:rPr>
      </w:pPr>
      <w:r>
        <w:rPr>
          <w:rFonts w:hint="eastAsia" w:ascii="宋体" w:hAnsi="宋体"/>
          <w:sz w:val="21"/>
        </w:rPr>
        <w:t xml:space="preserve">审计日志包含数据库用户名、</w:t>
      </w:r>
      <w:r>
        <w:rPr>
          <w:rFonts w:ascii="宋体" w:hAnsi="宋体"/>
          <w:sz w:val="21"/>
        </w:rPr>
        <w:t xml:space="preserve">SQL语句、表、字段、存储过程、应用程序名、IP、MAC、端口、数据库名、计算机名、起止时间、超长语句、注释内容、多嵌套语句、绑定变量、RPC等；</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.6 防统方集中管理平台升级</w:t>
      </w:r>
      <w:r/>
    </w:p>
    <w:p>
      <w:pPr>
        <w:ind w:left="0" w:firstLine="420"/>
        <w:spacing w:line="360" w:lineRule="auto"/>
        <w:tabs>
          <w:tab w:val="left" w:pos="420" w:leader="none"/>
        </w:tabs>
        <w:rPr>
          <w:rFonts w:ascii="宋体" w:hAnsi="宋体"/>
          <w:sz w:val="21"/>
        </w:rPr>
      </w:pPr>
      <w:r/>
      <w:bookmarkStart w:id="124" w:name="OLE_LINK69"/>
      <w:r>
        <w:rPr>
          <w:rFonts w:hint="eastAsia" w:ascii="宋体" w:hAnsi="宋体"/>
          <w:sz w:val="21"/>
        </w:rPr>
        <w:t xml:space="preserve">基于原有环境基础情况下，通过在卫健委部署统一监管中心，可支持下辖医院的防统方设备纳入统一管理。监管中心能够集中收集各医院的统方日志，制定并下发统一的防统方策略，实现区域内的综合分析与分级管理，建立了多层次的防范体系，涵盖事前主动预防、事中实时报警与安全阻断、事后定位取证及处置等环节。它能对可疑的统方行为进行实时监控和智能甄别，一旦发现违规操作，不仅会触发告警，还能直接阻断非法操作，实现苏州全市医疗机构统方行为统一监管、违规统方事件统一处理，风险处置响应时间≤1 小时，满足政策合规要求，保障医疗数据安全。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采用旁路监听技术，不改变现有网络环境，不在核心业务系统上安装额外软件，确保不影响医院HIS、PACS等系统的正常运行。此外，系统广泛兼容市面上主流的HIS系统和各类关系型/非关系型数据库，能够快速适配不同医疗机构的业务环境。支持在Docker环境中部署系统。支持主流业务协议操作的审计，如：Samba、NFS、Portal、Http、Https、pop3、ssh、SMTP、Telnet、FTP协议审计。</w:t>
      </w:r>
      <w:bookmarkEnd w:id="124"/>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.7 防黄牛智能风控系统升级</w:t>
      </w:r>
      <w:r/>
    </w:p>
    <w:p>
      <w:pPr>
        <w:ind w:left="0" w:firstLine="420"/>
        <w:spacing w:line="360" w:lineRule="auto"/>
        <w:tabs>
          <w:tab w:val="left" w:pos="420" w:leader="none"/>
        </w:tabs>
        <w:rPr>
          <w:rFonts w:ascii="宋体" w:hAnsi="宋体"/>
          <w:sz w:val="21"/>
        </w:rPr>
      </w:pPr>
      <w:r>
        <w:rPr>
          <w:rFonts w:hint="eastAsia" w:ascii="宋体" w:hAnsi="宋体"/>
          <w:sz w:val="21"/>
        </w:rPr>
        <w:t xml:space="preserve">对现网门户数据功能升级，针对12320挂号门户，12320公众号，健康苏州掌上行APP，要求提供多端无感数据采集功能，并对采集的数据进行实时分析，智能识别黄牛行为，要求具备跨会话、跨IP追踪恶意设备的能力，并实现Web与APP端的风险情报共享，提供可编程交互窗口和管理界面，赋予安全运维人员高度的灵活性和自动化能力，使其能够快速响应变化多端的黄牛攻击手法，实现精准化、动态化的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 AI大模型安全防护</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.8.1 大模型安全检测系统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针对当前大模型软件生态系统的安全问题，通过构建基础技术原子</w:t>
      </w:r>
      <w:r>
        <w:rPr>
          <w:rFonts w:hint="eastAsia" w:ascii="宋体" w:hAnsi="宋体"/>
          <w:sz w:val="21"/>
        </w:rPr>
        <w:t xml:space="preserve">能力解决常见问题，如配置审查、代码审计等。大模型服务中特有的安全风险，基于现有的系统能力以及新型检测能力相结合的方式升级，实现整个大模型安全检测系统。共同构成了从开发到部署、从云端到边缘、从基础设施到上层应用的“纵深防御”体系，体现了系统设计的全面性，彰显了系统的专业性和前瞻性。避免了安全团队在海量、分散的告警信息中迷失方向，确保了评估结果能够转化为切实可行的改进措施，对大模型资产自动识别并进行运行状态监测，包括模型名称、基础模型、运行框架、模型参数、运行进程及其他环境信息。实时统计输入输出token情况。</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.8.2大模型内容安全防护系统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安全防护系统对用户 Prompt 做有害内容识别，对模型 Response 做有害内容识别，对模型生成结果进行二次把关，不仅满足GB/T 45654-2025 中要求的5大类31小类合法合规内容检测，还应支持提示词注入攻击、越狱攻击、模型窃取等安全防护能力。</w:t>
      </w:r>
      <w:r/>
    </w:p>
    <w:p>
      <w:pPr>
        <w:ind w:left="0" w:firstLine="420"/>
        <w:spacing w:line="360" w:lineRule="auto"/>
        <w:tabs>
          <w:tab w:val="left" w:pos="420" w:leader="none"/>
        </w:tabs>
        <w:rPr>
          <w:rFonts w:ascii="宋体" w:hAnsi="宋体"/>
          <w:sz w:val="21"/>
        </w:rPr>
      </w:pPr>
      <w:r>
        <w:rPr>
          <w:rFonts w:hint="eastAsia" w:ascii="宋体" w:hAnsi="宋体"/>
          <w:sz w:val="21"/>
        </w:rPr>
        <w:t xml:space="preserve">其中对输入和输出内容中的PII数据（身份证号、手机号、地址信息等）进行实时检测，对内容中的PII数据进行脱敏传输，在保障服务可用性的同时保护个人隐私不被泄露。</w:t>
      </w:r>
      <w:r/>
    </w:p>
    <w:p>
      <w:pPr>
        <w:ind w:left="0" w:firstLine="420"/>
        <w:spacing w:line="360" w:lineRule="auto"/>
        <w:tabs>
          <w:tab w:val="left" w:pos="420" w:leader="none"/>
        </w:tabs>
        <w:rPr>
          <w:rFonts w:ascii="宋体" w:hAnsi="宋体"/>
          <w:sz w:val="21"/>
        </w:rPr>
      </w:pPr>
      <w:r>
        <w:rPr>
          <w:rFonts w:hint="eastAsia" w:ascii="宋体" w:hAnsi="宋体"/>
          <w:sz w:val="21"/>
        </w:rPr>
        <w:t xml:space="preserve">另外对用户提示词（输入阶段）根据语义模糊匹配内置及自定义必答题库，在命中预设问题时，不调用大模型自由生成，而是返回企业审核过的标准答案（自定义必答题库）或统一安全话术（内置必答题库），实现可控应答、代答替代。</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支持开启及关闭检测资源占用及拦截率过高告警，支持开启及关闭各工作流（接入）的用量控制告警，支持按当日、本周、本月以及自选时间段导出Word版运营报告。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(1)风险内容识别</w:t>
      </w:r>
      <w:r/>
    </w:p>
    <w:p>
      <w:pPr>
        <w:ind w:left="0" w:firstLine="420"/>
        <w:spacing w:line="360" w:lineRule="auto"/>
        <w:tabs>
          <w:tab w:val="left" w:pos="420" w:leader="none"/>
        </w:tabs>
        <w:rPr>
          <w:rFonts w:ascii="宋体" w:hAnsi="宋体"/>
          <w:sz w:val="21"/>
        </w:rPr>
      </w:pPr>
      <w:r>
        <w:rPr>
          <w:rFonts w:ascii="宋体" w:hAnsi="宋体"/>
          <w:sz w:val="21"/>
        </w:rPr>
        <w:t xml:space="preserve">负责对输入内容（用户输入或模型生成的输出）进行全面检测，通过词库匹配和AI技术全面检测输入内容或模型生成内容中的潜在的敏感内容、涉政涉黄等高风险内容，生成风险标签。</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支持对智能体在工具调用、函数执行、Skills 使用、知识库检索等场景下的全生命周期（包括声明、调用、返回及回溯阶段）进行风险检测与拦截，覆盖以下风险类别：非授权访问/越权、异常或畸形参数、Agent 安全（间接提示词注入/越狱）、Agent 安全（敏感信息泄露）。投标文件中提供具有相关检测资质的检测机构出具的检测报告复印件，并加盖投标单位公章。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(2)敏感问题安全代答</w:t>
      </w:r>
      <w:r/>
    </w:p>
    <w:p>
      <w:pPr>
        <w:ind w:left="0" w:firstLine="420"/>
        <w:spacing w:line="360" w:lineRule="auto"/>
        <w:tabs>
          <w:tab w:val="left" w:pos="420" w:leader="none"/>
        </w:tabs>
        <w:rPr>
          <w:rFonts w:ascii="宋体" w:hAnsi="宋体"/>
          <w:sz w:val="21"/>
        </w:rPr>
      </w:pPr>
      <w:r>
        <w:rPr>
          <w:rFonts w:hint="eastAsia" w:ascii="宋体" w:hAnsi="宋体"/>
          <w:sz w:val="21"/>
        </w:rPr>
        <w:t xml:space="preserve">满足敏感非拒答问题如涉及高危的政治人物、意识形态等问题，要求提供主动干预机制能够给出安全向善的回答，要求既能保证回答的广覆盖，也能提供精准匹配回答。</w:t>
      </w:r>
      <w:r/>
    </w:p>
    <w:p>
      <w:pPr>
        <w:ind w:left="0" w:firstLine="420"/>
        <w:spacing w:line="360" w:lineRule="auto"/>
        <w:tabs>
          <w:tab w:val="left" w:pos="420" w:leader="none"/>
        </w:tabs>
        <w:rPr>
          <w:rFonts w:ascii="宋体" w:hAnsi="宋体"/>
          <w:sz w:val="21"/>
        </w:rPr>
      </w:pPr>
      <w:r>
        <w:rPr>
          <w:rFonts w:hint="eastAsia" w:ascii="宋体" w:hAnsi="宋体"/>
          <w:sz w:val="21"/>
        </w:rPr>
        <w:t xml:space="preserve">(3)可视化页面</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要求提供一整套前端可视化页面，方便运营人员在页面上对敏感词库、干预库、规则引擎，方便查询风险防护日志数据，提高整体运营效率。</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.8.3大模型内容安全测评系统</w:t>
      </w:r>
      <w:r/>
    </w:p>
    <w:p>
      <w:pPr>
        <w:ind w:left="0" w:firstLine="420"/>
        <w:spacing w:line="360" w:lineRule="auto"/>
        <w:tabs>
          <w:tab w:val="left" w:pos="420" w:leader="none"/>
        </w:tabs>
        <w:rPr>
          <w:rFonts w:ascii="宋体" w:hAnsi="宋体"/>
          <w:sz w:val="21"/>
        </w:rPr>
      </w:pPr>
      <w:r>
        <w:rPr>
          <w:rFonts w:hint="eastAsia" w:ascii="宋体" w:hAnsi="宋体"/>
          <w:sz w:val="21"/>
        </w:rPr>
        <w:t xml:space="preserve">(1)模型接入与管理功能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要求支持标准化的模型接入方式，能够快速无缝对接多种类型的大模型，避免繁琐的适配过程，提供灵活的权限控制与模型访问管理机制，确保模型接入的安全性和合规性。</w:t>
      </w:r>
      <w:r/>
    </w:p>
    <w:p>
      <w:pPr>
        <w:ind w:left="0" w:firstLine="420"/>
        <w:spacing w:line="360" w:lineRule="auto"/>
        <w:tabs>
          <w:tab w:val="left" w:pos="420" w:leader="none"/>
        </w:tabs>
        <w:rPr>
          <w:rFonts w:ascii="宋体" w:hAnsi="宋体"/>
          <w:sz w:val="21"/>
        </w:rPr>
      </w:pPr>
      <w:r>
        <w:rPr>
          <w:rFonts w:hint="eastAsia" w:ascii="宋体" w:hAnsi="宋体"/>
          <w:sz w:val="21"/>
        </w:rPr>
        <w:t xml:space="preserve">(2)数据集管理功能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提供多维度的标准数据集，全面覆盖国家安全、公共安全、伦理安全等多种安全场景，支持用户根据实际需求定制和扩展数据集，充分满足单位的个性化评测需求。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(3)模型自动化评测功能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提供智能自动化的任务创建和执行机制，可自动抓取和分析大模型的输出内容，结合算法技术，精准识别安全风险问题，提高评测的效率和准确性，能够自动生成结构化且可交互的评测报告，方便单位快速决策。</w:t>
      </w:r>
      <w:r/>
    </w:p>
    <w:p>
      <w:pPr>
        <w:ind w:left="0" w:firstLine="420"/>
        <w:spacing w:line="360" w:lineRule="auto"/>
        <w:tabs>
          <w:tab w:val="left" w:pos="420" w:leader="none"/>
        </w:tabs>
        <w:rPr>
          <w:rFonts w:ascii="宋体" w:hAnsi="宋体"/>
          <w:sz w:val="21"/>
        </w:rPr>
      </w:pPr>
      <w:r>
        <w:rPr>
          <w:rFonts w:hint="eastAsia" w:ascii="宋体" w:hAnsi="宋体"/>
          <w:sz w:val="21"/>
        </w:rPr>
        <w:t xml:space="preserve">(4)任务管理功能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提供高效的任务管理与实时监控能力，支持任务批量创建与执行，配备实时进度追踪和异常告警机制，显著提升团队的协同效率，降低管理成本。</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提供跨模型、跨任务、跨时间维度的评测结果对比分析，帮助企业快速识别模型性能变化趋势，支持详细的数据导出以便进一步分析和利用。</w:t>
      </w:r>
      <w:r/>
    </w:p>
    <w:p>
      <w:pPr>
        <w:ind w:left="0" w:firstLine="420"/>
        <w:spacing w:line="360" w:lineRule="auto"/>
        <w:tabs>
          <w:tab w:val="left" w:pos="420" w:leader="none"/>
        </w:tabs>
        <w:rPr>
          <w:rFonts w:ascii="宋体" w:hAnsi="宋体"/>
          <w:sz w:val="21"/>
        </w:rPr>
      </w:pPr>
      <w:r>
        <w:rPr>
          <w:rFonts w:hint="eastAsia" w:ascii="宋体" w:hAnsi="宋体"/>
          <w:sz w:val="21"/>
        </w:rPr>
        <w:t xml:space="preserve">(5)自动化构建动态安全评估基准功能</w:t>
      </w:r>
      <w:r/>
    </w:p>
    <w:p>
      <w:pPr>
        <w:ind w:left="0" w:firstLine="420"/>
        <w:spacing w:line="360" w:lineRule="auto"/>
        <w:tabs>
          <w:tab w:val="left" w:pos="420" w:leader="none"/>
        </w:tabs>
        <w:rPr>
          <w:rFonts w:ascii="宋体" w:hAnsi="宋体"/>
          <w:sz w:val="21"/>
        </w:rPr>
      </w:pPr>
      <w:r>
        <w:rPr>
          <w:rFonts w:hint="eastAsia" w:ascii="宋体" w:hAnsi="宋体"/>
          <w:sz w:val="21"/>
        </w:rPr>
        <w:t xml:space="preserve">传统的静态安全评测集由于数据内容固定，存在多个局限：一方面容易被模型或测试人员提前获取，导致评测数据“泄题”或被拟合，从而降低评测的客观性与区分度；另一方面，静态数据集难以及时反映外部环境中新出现的风险类型、攻击手法和敏感语境，无法对模型在真实动态场景下的安全鲁棒性进行有效检验。为应对上述挑战，本系统构建基于攻击大模型驱动的动态安全评估基准。系统可结合最新的风险素材或信号、内容趋势与领域知识，持续生成新颖、多样且对抗性强的安全评测样本，实现动态更新、实时生成、自动演化的评测数据流。</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.9应用服务部署管理平台</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提供不少于50颗CPU授权，含容器安全模块授权。</w:t>
      </w:r>
      <w:r/>
    </w:p>
    <w:p>
      <w:pPr>
        <w:ind w:left="0" w:firstLine="420"/>
        <w:spacing w:line="360" w:lineRule="auto"/>
        <w:tabs>
          <w:tab w:val="left" w:pos="420" w:leader="none"/>
        </w:tabs>
        <w:rPr>
          <w:rFonts w:ascii="宋体" w:hAnsi="宋体"/>
          <w:sz w:val="21"/>
        </w:rPr>
      </w:pPr>
      <w:r>
        <w:rPr>
          <w:rFonts w:hint="eastAsia" w:ascii="宋体" w:hAnsi="宋体"/>
          <w:sz w:val="21"/>
        </w:rPr>
        <w:t xml:space="preserve">基于现有服务器设备构建容器化资源池，实现计算资源的统一调度和管理，支持容器化和虚拟化两种资源形态。</w:t>
      </w:r>
      <w:r/>
    </w:p>
    <w:p>
      <w:pPr>
        <w:ind w:left="0" w:firstLine="420"/>
        <w:spacing w:line="360" w:lineRule="auto"/>
        <w:tabs>
          <w:tab w:val="left" w:pos="420" w:leader="none"/>
        </w:tabs>
        <w:rPr>
          <w:rFonts w:ascii="宋体" w:hAnsi="宋体"/>
          <w:sz w:val="21"/>
        </w:rPr>
      </w:pPr>
      <w:r>
        <w:rPr>
          <w:rFonts w:hint="eastAsia" w:ascii="宋体" w:hAnsi="宋体"/>
          <w:sz w:val="21"/>
        </w:rPr>
        <w:t xml:space="preserve">在基础设施层，将基于现有服务器设备构建容器化资源池，实现计算资源的统一调度和管理。存储系统采用分层设计架构，高性能存储层用于承载核心业务数据，容量型存储层用于存放备份和日志数据。网络架构将升级为软件定义网络模式，支持Overlay和Underlay双模组网，确保不同业务间的网络隔离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平台服务层建设重点包括三个方面：一是构建完整的容器化应用支撑体系，提供镜像仓库、编排调度等核心功能；二是实现虚拟化资源的统一纳管，将虚拟机逐步迁移至新平台；三是建立智能运维中心，集成监控告警、日志分析、自动化运维等工具链，提升运维效率。</w:t>
      </w:r>
      <w:r/>
    </w:p>
    <w:p>
      <w:pPr>
        <w:ind w:left="0" w:firstLine="420"/>
        <w:spacing w:line="360" w:lineRule="auto"/>
        <w:tabs>
          <w:tab w:val="left" w:pos="420" w:leader="none"/>
        </w:tabs>
        <w:rPr>
          <w:rFonts w:ascii="宋体" w:hAnsi="宋体"/>
          <w:sz w:val="21"/>
        </w:rPr>
      </w:pPr>
      <w:r>
        <w:rPr>
          <w:rFonts w:hint="eastAsia" w:ascii="宋体" w:hAnsi="宋体"/>
          <w:sz w:val="21"/>
        </w:rPr>
        <w:t xml:space="preserve">业务迁移方案采用评估-改造-迁移三阶段策略，对现有虚拟机进行全面评估，制定容器化改造优先级后进行分批次实施迁移，最终完成全部核心业务的迁移工作。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可以实现双栈应用统一管理，虚拟机和容器应用统一可视化管理，同时支持容器和虚拟化两种资源，虚拟机未使用时，可以一键清理未使用的虚拟机磁盘以释放存储资源，并且展示磁盘所属存储池、存储策略及关联存储卷，便于存储位置跟踪与问题排查，</w:t>
      </w:r>
      <w:r>
        <w:rPr>
          <w:rFonts w:ascii="宋体" w:hAnsi="宋体"/>
          <w:sz w:val="21"/>
        </w:rPr>
        <w:t xml:space="preserve">不同vpc的网络通信需求，需支持VPC对等连接创建，支持同项目、异项目下VPC资源的内网互通，其中异项目下的对等连接需经对端账号授权同意后方可生效。</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 集群管理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为方便数据盘更换，数据盘拔盘时，平台访问正常，虚拟机业务和容器业务正常运。 </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虚拟化和容器支持的计算节点或工作节点数量达5000个,投标文件中提供具有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集群中任一物理节点掉电，集群内应用发生切换至其他正常节点，业务恢复；同时平台告警中心发出紧急告警，投标文件中提供具有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2</w:t>
      </w:r>
      <w:r>
        <w:rPr>
          <w:rFonts w:hint="eastAsia" w:ascii="宋体" w:hAnsi="宋体"/>
          <w:sz w:val="21"/>
        </w:rPr>
        <w:t xml:space="preserve"> 虚拟机和存储管理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支持虚拟机回收站管理，可在回收站进行虚拟机还原；支持销毁回收站虚拟机释放计算资源，可以查看回收站列表项信息，包括虚拟机名称/ID、所属项目、创建时间和删除时间。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支持虚拟机快照管理和还原，且单卷快照数量可支持≥250个。</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支持为每个虚拟机配置一个或多个网卡，且可以指定IP地址。</w:t>
      </w:r>
      <w:r/>
    </w:p>
    <w:p>
      <w:pPr>
        <w:ind w:left="0" w:firstLine="422"/>
        <w:spacing w:line="360" w:lineRule="auto"/>
        <w:tabs>
          <w:tab w:val="left" w:pos="420" w:leader="none"/>
        </w:tabs>
        <w:rPr>
          <w:rFonts w:ascii="宋体" w:hAnsi="宋体"/>
          <w:b/>
          <w:sz w:val="21"/>
        </w:rPr>
      </w:pPr>
      <w:r>
        <w:rPr>
          <w:rFonts w:hint="eastAsia" w:ascii="宋体" w:hAnsi="宋体"/>
          <w:b/>
          <w:bCs/>
          <w:sz w:val="21"/>
          <w:szCs w:val="21"/>
        </w:rPr>
        <w:t xml:space="preserve">★</w:t>
      </w:r>
      <w:r>
        <w:rPr>
          <w:rFonts w:hint="eastAsia" w:ascii="宋体" w:hAnsi="宋体"/>
          <w:b/>
          <w:sz w:val="21"/>
        </w:rPr>
        <w:t xml:space="preserve">支持硬盘或存储节点故障时，系统在集群内硬盘的剩余空间中自动进行数据重建，所有硬盘并发重构，提升重构效率。在无人工干预条件下，1TB 数据恢复时间不超过5分钟，投标文件中提供具有</w:t>
      </w:r>
      <w:r>
        <w:rPr>
          <w:rFonts w:hint="eastAsia" w:ascii="宋体" w:hAnsi="宋体"/>
          <w:b/>
          <w:sz w:val="21"/>
          <w:szCs w:val="21"/>
          <w:lang w:bidi="ar"/>
        </w:rPr>
        <w:t xml:space="preserve">检测资质的检测机构出具的检测报告复印件并加盖投标单位公章。</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支持秒级快照，对虚拟机连续进行不低于10 次快照操作，虚拟机前后读写 IOPS性能下降不超过 5%。</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w:t>
      </w:r>
      <w:r>
        <w:rPr>
          <w:rFonts w:ascii="宋体" w:hAnsi="宋体"/>
          <w:sz w:val="21"/>
        </w:rPr>
        <w:t xml:space="preserve">3</w:t>
      </w:r>
      <w:r>
        <w:rPr>
          <w:rFonts w:hint="eastAsia" w:ascii="宋体" w:hAnsi="宋体"/>
          <w:sz w:val="21"/>
        </w:rPr>
        <w:t xml:space="preserve"> 应用仓库</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支持Jar包、War包、Helm包、前端资源包等类型应用包上传、下载，应用包支持本地上传、同时支持FTP、SFTP、Http等协议进行远端上传。支持自动清理闲置应用包，保留时长支持1—180天。</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.9.4 应用全生命周期管理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为实现资源的更高利用、系统的高可用性和容错性，应用部署时支持配置亲和性和反亲和性。</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.9.5 容器管理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批量创建不少于100个容器时实例耗时不高于90s。</w:t>
      </w:r>
      <w:r/>
    </w:p>
    <w:p>
      <w:pPr>
        <w:ind w:left="0" w:firstLine="420"/>
        <w:spacing w:line="360" w:lineRule="auto"/>
        <w:tabs>
          <w:tab w:val="left" w:pos="420" w:leader="none"/>
        </w:tabs>
        <w:rPr>
          <w:rFonts w:ascii="宋体" w:hAnsi="宋体"/>
          <w:sz w:val="21"/>
        </w:rPr>
      </w:pPr>
      <w:r>
        <w:rPr>
          <w:rFonts w:hint="eastAsia" w:ascii="宋体" w:hAnsi="宋体"/>
          <w:sz w:val="21"/>
        </w:rPr>
        <w:t xml:space="preserve">不同服务器上的容器和虚拟机互相访问，双向打流带宽可达≥36Gbps。</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支持容器GPU&amp;vGPU工作负载创建，并支持配额管理。 </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.9.6 镜像仓库</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支持基于已有镜像进行可视化镜像构建，支持实时预览Dockerfile文件内容，支持直接上传Dockerfile文件进行镜像构建。</w:t>
      </w:r>
      <w:r>
        <w:rPr>
          <w:rFonts w:hint="eastAsia" w:ascii="MS Gothic" w:hAnsi="MS Gothic" w:eastAsia="MS Gothic" w:cs="MS Gothic"/>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.9.7 容器存储</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支持基于块存储动态卷和静态卷；可基于集群本地卷、</w:t>
      </w:r>
      <w:r>
        <w:rPr>
          <w:rFonts w:ascii="宋体" w:hAnsi="宋体"/>
          <w:sz w:val="21"/>
        </w:rPr>
        <w:t xml:space="preserve">NFS进行存储PV的创建。</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.9.8 备份恢复</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支持备份平台上</w:t>
      </w:r>
      <w:r>
        <w:rPr>
          <w:rFonts w:ascii="宋体" w:hAnsi="宋体"/>
          <w:sz w:val="21"/>
        </w:rPr>
        <w:t xml:space="preserve"> K8S 资源和数据卷，并恢复至指定集群；支持备份策略管理如选择备份仓库、备份资源，支持一次性备份和周期性备份，支持选择多达30天的备份保留时长。</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.9.9 内置容器安全</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支持容器镜像仓中的镜像漏洞扫描并进行报告统计，包括危急、严重漏洞占比，每个缺陷码对应的镜像。</w:t>
      </w:r>
      <w:r/>
    </w:p>
    <w:p>
      <w:pPr>
        <w:ind w:left="0" w:firstLine="420"/>
        <w:spacing w:line="360" w:lineRule="auto"/>
        <w:tabs>
          <w:tab w:val="left" w:pos="420" w:leader="none"/>
        </w:tabs>
        <w:rPr>
          <w:rFonts w:ascii="宋体" w:hAnsi="宋体"/>
          <w:sz w:val="21"/>
        </w:rPr>
      </w:pPr>
      <w:r>
        <w:rPr>
          <w:rFonts w:hint="eastAsia" w:ascii="宋体" w:hAnsi="宋体"/>
          <w:sz w:val="21"/>
        </w:rPr>
        <w:t xml:space="preserve">支持容器安全防护，支持自动对容器集群中的容器安全事件进行检测并统计包括容器逃逸风险统计，进程异常行为统计，容器环境检测统计等信息。</w:t>
      </w:r>
      <w:r/>
    </w:p>
    <w:p>
      <w:pPr>
        <w:ind w:left="0" w:firstLine="420"/>
        <w:spacing w:line="360" w:lineRule="auto"/>
        <w:tabs>
          <w:tab w:val="left" w:pos="420" w:leader="none"/>
        </w:tabs>
        <w:rPr>
          <w:rFonts w:ascii="宋体" w:hAnsi="宋体"/>
          <w:sz w:val="21"/>
        </w:rPr>
      </w:pPr>
      <w:r>
        <w:rPr>
          <w:rFonts w:ascii="宋体" w:hAnsi="宋体"/>
          <w:sz w:val="21"/>
        </w:rPr>
        <w:t xml:space="preserve">4.3</w:t>
      </w:r>
      <w:r>
        <w:rPr>
          <w:rFonts w:hint="eastAsia" w:ascii="宋体" w:hAnsi="宋体"/>
          <w:sz w:val="21"/>
        </w:rPr>
        <w:t xml:space="preserve">.9.10 权限管理</w:t>
      </w:r>
      <w:r/>
    </w:p>
    <w:p>
      <w:pPr>
        <w:ind w:left="0" w:firstLine="420"/>
        <w:spacing w:line="360" w:lineRule="auto"/>
        <w:tabs>
          <w:tab w:val="left" w:pos="420" w:leader="none"/>
        </w:tabs>
        <w:rPr>
          <w:rFonts w:ascii="宋体" w:hAnsi="宋体"/>
          <w:sz w:val="21"/>
        </w:rPr>
      </w:pPr>
      <w:r>
        <w:rPr>
          <w:rFonts w:hint="eastAsia" w:ascii="MS Gothic" w:hAnsi="MS Gothic" w:eastAsia="MS Gothic" w:cs="MS Gothic"/>
          <w:sz w:val="21"/>
        </w:rPr>
        <w:t xml:space="preserve">‌</w:t>
      </w:r>
      <w:r>
        <w:rPr>
          <w:rFonts w:hint="eastAsia" w:ascii="宋体" w:hAnsi="宋体"/>
          <w:sz w:val="21"/>
        </w:rPr>
        <w:t xml:space="preserve">为满足多租户应用场景需求，需提供多租户细粒度权限管控，通过RBAC权限管理模型来做用户的权限控制，通过角色定义来进行权限控制。</w:t>
      </w:r>
      <w:r/>
    </w:p>
    <w:p>
      <w:pPr>
        <w:ind w:left="0" w:firstLine="420"/>
        <w:spacing w:line="360" w:lineRule="auto"/>
        <w:tabs>
          <w:tab w:val="left" w:pos="420" w:leader="none"/>
        </w:tabs>
        <w:rPr>
          <w:rFonts w:ascii="宋体" w:hAnsi="宋体"/>
          <w:sz w:val="21"/>
        </w:rPr>
      </w:pPr>
      <w:r>
        <w:rPr>
          <w:rFonts w:ascii="宋体" w:hAnsi="宋体"/>
          <w:sz w:val="21"/>
        </w:rPr>
        <w:t xml:space="preserve">4.3.10</w:t>
      </w:r>
      <w:r>
        <w:rPr>
          <w:rFonts w:hint="eastAsia" w:ascii="宋体" w:hAnsi="宋体"/>
          <w:sz w:val="21"/>
        </w:rPr>
        <w:t xml:space="preserve">网闸</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提供网闸1台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ascii="宋体" w:hAnsi="宋体"/>
                <w:b/>
                <w:sz w:val="21"/>
                <w:szCs w:val="21"/>
                <w14:ligatures w14:val="standardContextual"/>
              </w:rPr>
              <w:t xml:space="preserve">≥</w:t>
            </w:r>
            <w:r>
              <w:rPr>
                <w:rFonts w:hint="eastAsia" w:ascii="宋体" w:hAnsi="宋体"/>
                <w:b/>
                <w:sz w:val="21"/>
                <w:szCs w:val="21"/>
                <w14:ligatures w14:val="standardContextual"/>
              </w:rPr>
              <w:t xml:space="preserve">1</w:t>
            </w:r>
            <w:r>
              <w:rPr>
                <w:rFonts w:ascii="宋体" w:hAnsi="宋体"/>
                <w:b/>
                <w:sz w:val="21"/>
                <w:szCs w:val="21"/>
                <w14:ligatures w14:val="standardContextual"/>
              </w:rPr>
              <w:t xml:space="preserve">U机架式设备，≥</w:t>
            </w:r>
            <w:r>
              <w:rPr>
                <w:rFonts w:hint="eastAsia" w:ascii="宋体" w:hAnsi="宋体"/>
                <w:b/>
                <w:sz w:val="21"/>
                <w:szCs w:val="21"/>
                <w14:ligatures w14:val="standardContextual"/>
              </w:rPr>
              <w:t xml:space="preserve">6</w:t>
            </w:r>
            <w:r>
              <w:rPr>
                <w:rFonts w:ascii="宋体" w:hAnsi="宋体"/>
                <w:b/>
                <w:sz w:val="21"/>
                <w:szCs w:val="21"/>
                <w14:ligatures w14:val="standardContextual"/>
              </w:rPr>
              <w:t xml:space="preserve">个千兆电口，≥2个万兆光口，冗余电源</w:t>
            </w:r>
            <w:r>
              <w:rPr>
                <w:rFonts w:hint="eastAsia" w:ascii="宋体" w:hAnsi="宋体"/>
                <w:b/>
                <w:sz w:val="21"/>
              </w:rPr>
              <w:t xml:space="preserve">，</w:t>
            </w:r>
            <w:bookmarkStart w:id="125" w:name="OLE_LINK93"/>
            <w:r/>
            <w:bookmarkStart w:id="126" w:name="OLE_LINK92"/>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25"/>
            <w:r/>
            <w:bookmarkEnd w:id="126"/>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网络层吞吐量≥9.6 Gbps，最大新建连接数≥8w，最大并发连接数≥60w，数据库同步速率≥</w:t>
            </w:r>
            <w:r>
              <w:rPr>
                <w:rFonts w:hint="eastAsia" w:ascii="宋体" w:hAnsi="宋体"/>
                <w:sz w:val="21"/>
                <w:szCs w:val="21"/>
                <w14:ligatures w14:val="standardContextual"/>
              </w:rPr>
              <w:t xml:space="preserve">8</w:t>
            </w:r>
            <w:r>
              <w:rPr>
                <w:rFonts w:ascii="宋体" w:hAnsi="宋体"/>
                <w:sz w:val="21"/>
                <w:szCs w:val="21"/>
                <w14:ligatures w14:val="standardContextual"/>
              </w:rPr>
              <w:t xml:space="preserve">000条/秒，文件同步速率≥7个/秒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检测通道</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提供HTTP、SMTP、POP3、FTP、ORACLE、RTSP、SIP等应用级检测通道。在屏蔽会话层以下网络威胁的前提下，对内外网交互数据进行严格的访问控制和日志审计。提供安全的上网访问，支持HTTP协议及代理等</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支持代理、路由、透明、混合等模式，管理员可依据实际网络状况进行相应的部署。</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支持网页访问、邮件访问、文件访问、数据库访问、远程访问、视频交换、文件、数据库的同步。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基本信息</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支持展示设备基本信息，主要但不限于设备运行状态、运行时长、版本信息等。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4.3.11</w:t>
      </w:r>
      <w:r>
        <w:rPr>
          <w:rFonts w:hint="eastAsia" w:ascii="宋体" w:hAnsi="宋体"/>
          <w:sz w:val="21"/>
        </w:rPr>
        <w:t xml:space="preserve"> 跨境VPN</w:t>
      </w:r>
      <w:bookmarkStart w:id="127" w:name="OLE_LINK88"/>
      <w:r/>
      <w:bookmarkStart w:id="128" w:name="OLE_LINK89"/>
      <w:r>
        <w:rPr>
          <w:rFonts w:hint="eastAsia" w:ascii="宋体" w:hAnsi="宋体"/>
          <w:sz w:val="21"/>
        </w:rPr>
        <w:t xml:space="preserve">监控设备</w:t>
      </w:r>
      <w:bookmarkEnd w:id="127"/>
      <w:r/>
      <w:bookmarkEnd w:id="128"/>
      <w:r/>
      <w:r/>
    </w:p>
    <w:p>
      <w:pPr>
        <w:ind w:left="0" w:firstLine="420"/>
        <w:spacing w:line="360" w:lineRule="auto"/>
        <w:tabs>
          <w:tab w:val="left" w:pos="420" w:leader="none"/>
        </w:tabs>
        <w:rPr>
          <w:rFonts w:ascii="宋体" w:hAnsi="宋体"/>
          <w:sz w:val="21"/>
        </w:rPr>
      </w:pPr>
      <w:r>
        <w:rPr>
          <w:rFonts w:hint="eastAsia" w:ascii="宋体" w:hAnsi="宋体"/>
          <w:sz w:val="21"/>
        </w:rPr>
        <w:t xml:space="preserve">提供跨境VPN监控设备1台</w:t>
      </w:r>
      <w:r/>
    </w:p>
    <w:tbl>
      <w:tblPr>
        <w:tblStyle w:val="1440"/>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bCs/>
                <w:sz w:val="21"/>
                <w:szCs w:val="21"/>
              </w:rPr>
              <w:t xml:space="preserve">★</w:t>
            </w:r>
            <w:r>
              <w:rPr>
                <w:rFonts w:hint="eastAsia" w:ascii="宋体" w:hAnsi="宋体"/>
                <w:b/>
                <w:sz w:val="21"/>
                <w:szCs w:val="21"/>
                <w14:ligatures w14:val="standardContextual"/>
              </w:rPr>
              <w:t xml:space="preserve">≥</w:t>
            </w:r>
            <w:r>
              <w:rPr>
                <w:rFonts w:ascii="宋体" w:hAnsi="宋体"/>
                <w:b/>
                <w:sz w:val="21"/>
                <w:szCs w:val="21"/>
                <w14:ligatures w14:val="standardContextual"/>
              </w:rPr>
              <w:t xml:space="preserve">1U</w:t>
            </w:r>
            <w:r>
              <w:rPr>
                <w:rFonts w:hint="eastAsia" w:ascii="宋体" w:hAnsi="宋体"/>
                <w:b/>
                <w:sz w:val="21"/>
                <w:szCs w:val="21"/>
                <w14:ligatures w14:val="standardContextual"/>
              </w:rPr>
              <w:t xml:space="preserve">标准机架式机箱，≥</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电口，≥</w:t>
            </w:r>
            <w:r>
              <w:rPr>
                <w:rFonts w:ascii="宋体" w:hAnsi="宋体"/>
                <w:b/>
                <w:sz w:val="21"/>
                <w:szCs w:val="21"/>
                <w14:ligatures w14:val="standardContextual"/>
              </w:rPr>
              <w:t xml:space="preserve">2</w:t>
            </w:r>
            <w:r>
              <w:rPr>
                <w:rFonts w:hint="eastAsia" w:ascii="宋体" w:hAnsi="宋体"/>
                <w:b/>
                <w:sz w:val="21"/>
                <w:szCs w:val="21"/>
                <w14:ligatures w14:val="standardContextual"/>
              </w:rPr>
              <w:t xml:space="preserve">个</w:t>
            </w:r>
            <w:r>
              <w:rPr>
                <w:rFonts w:ascii="宋体" w:hAnsi="宋体"/>
                <w:b/>
                <w:sz w:val="21"/>
                <w:szCs w:val="21"/>
                <w14:ligatures w14:val="standardContextual"/>
              </w:rPr>
              <w:t xml:space="preserve">GE</w:t>
            </w:r>
            <w:r>
              <w:rPr>
                <w:rFonts w:hint="eastAsia" w:ascii="宋体" w:hAnsi="宋体"/>
                <w:b/>
                <w:sz w:val="21"/>
                <w:szCs w:val="21"/>
                <w14:ligatures w14:val="standardContextual"/>
              </w:rPr>
              <w:t xml:space="preserve">光口，≥</w:t>
            </w:r>
            <w:r>
              <w:rPr>
                <w:rFonts w:ascii="宋体" w:hAnsi="宋体"/>
                <w:b/>
                <w:sz w:val="21"/>
                <w:szCs w:val="21"/>
                <w14:ligatures w14:val="standardContextual"/>
              </w:rPr>
              <w:t xml:space="preserve">1T</w:t>
            </w:r>
            <w:r>
              <w:rPr>
                <w:rFonts w:hint="eastAsia" w:ascii="宋体" w:hAnsi="宋体"/>
                <w:b/>
                <w:sz w:val="21"/>
                <w:szCs w:val="21"/>
                <w14:ligatures w14:val="standardContextual"/>
              </w:rPr>
              <w:t xml:space="preserve">硬盘存储，</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网络层吞吐量≥</w:t>
            </w:r>
            <w:r>
              <w:rPr>
                <w:rFonts w:ascii="宋体" w:hAnsi="宋体"/>
                <w:sz w:val="21"/>
                <w:szCs w:val="21"/>
                <w14:ligatures w14:val="standardContextual"/>
              </w:rPr>
              <w:t xml:space="preserve">10G，监控IP地址数量≥3万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支持多台集群堆叠和管理，支持国产化操作系统。</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协议识别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支持违规跨境通信主流加密代理协议识别，需至少包括</w:t>
            </w:r>
            <w:r>
              <w:rPr>
                <w:rFonts w:ascii="宋体" w:hAnsi="宋体"/>
                <w:sz w:val="21"/>
                <w:szCs w:val="21"/>
                <w14:ligatures w14:val="standardContextual"/>
              </w:rPr>
              <w:t xml:space="preserve">PPTP、L2TP、OpenVPN、IPSec、Wireguard、ANYCONNECT、N2NVPN、SHADOWSOCKS、SHADOWSOCKS_TLS、V2RAY、V2RAY_TLS、V2RAY_HTTP、V2RAY_MKCP、Trojan、Brook、NaiveProxy、WSS、Anytls等协议，情报库可自动匹配跨境通信行为</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检测方式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支持检测方式主被动相结合，基于互联网公开信息，通过人工或者特殊工具获取加密代理节点信息，包括收集加密代理节点服务器</w:t>
            </w:r>
            <w:r>
              <w:rPr>
                <w:rFonts w:ascii="宋体" w:hAnsi="宋体"/>
                <w:sz w:val="21"/>
                <w:szCs w:val="21"/>
                <w14:ligatures w14:val="standardContextual"/>
              </w:rPr>
              <w:t xml:space="preserve">IP、域名、端口、协议类型、密钥等关键信息</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跨境通信结果</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支持记录跨境通信结果，包括源</w:t>
            </w:r>
            <w:r>
              <w:rPr>
                <w:rFonts w:ascii="宋体" w:hAnsi="宋体"/>
                <w:sz w:val="21"/>
                <w:szCs w:val="21"/>
                <w14:ligatures w14:val="standardContextual"/>
              </w:rPr>
              <w:t xml:space="preserve">IP、源端口、协议类型、目的IP、目的端口、VPN域名、开始和结束时间、源IP国家、目的IP国家等。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拦截模式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采用旁路架构检测跨境</w:t>
            </w:r>
            <w:r>
              <w:rPr>
                <w:rFonts w:ascii="宋体" w:hAnsi="宋体"/>
                <w:sz w:val="21"/>
                <w:szCs w:val="21"/>
                <w14:ligatures w14:val="standardContextual"/>
              </w:rPr>
              <w:t xml:space="preserve"> VPN 违规外联，支持本地拦截、联动第三方安全设备两种拦截模式；可结合自动研判结果配置自动拦截策略。具备多维度风险检测、风险评分与高中低等级划分能力，配套标准化人工研判处置流程，支持IP 封堵、流量限速、RESET功能，实现违规外联行为全流程闭环管控</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情报质量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支持监测情报质量分析能力，实时统计平台代理节点数、违规账号数、重点</w:t>
            </w:r>
            <w:r>
              <w:rPr>
                <w:rFonts w:ascii="宋体" w:hAnsi="宋体"/>
                <w:sz w:val="21"/>
                <w:szCs w:val="21"/>
                <w14:ligatures w14:val="standardContextual"/>
              </w:rPr>
              <w:t xml:space="preserve">IP访问次数、翻墙行为次数等核心指标，实现动态更新与状态感知。通过全球访问地图、24小时行为趋势、代理节点分析、异常用户TOP排行、境外应用与协议类型分布、行为热力图等可视化模块，实现跨境访问流向、时段特征、节点状态、用户行为、工具与协议偏好的全维度分析</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4.3.12</w:t>
      </w:r>
      <w:r>
        <w:rPr>
          <w:rFonts w:hint="eastAsia" w:ascii="宋体" w:hAnsi="宋体"/>
          <w:sz w:val="21"/>
        </w:rPr>
        <w:t xml:space="preserve"> </w:t>
      </w:r>
      <w:r>
        <w:rPr>
          <w:rFonts w:ascii="宋体" w:hAnsi="宋体"/>
          <w:sz w:val="21"/>
        </w:rPr>
        <w:t xml:space="preserve">便携式安全检查工具箱</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便携式安全检查工具箱</w:t>
      </w:r>
      <w:r>
        <w:rPr>
          <w:rFonts w:hint="eastAsia" w:ascii="宋体" w:hAnsi="宋体"/>
          <w:sz w:val="21"/>
        </w:rPr>
        <w:t xml:space="preserve">1台</w:t>
      </w:r>
      <w:r/>
    </w:p>
    <w:tbl>
      <w:tblPr>
        <w:tblStyle w:val="1440"/>
        <w:tblW w:w="0" w:type="auto"/>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CPU型号海光C86-4G，内置银河麒麟操作系统及数据安全检查工具软件，CPU性能不低于8核16线程，基础频率不低于2.8GHz，最大睿频不低于3.2GHz，不少于32G运行内存，不少于1T硬盘存储。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快速生成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提供检查项、检查要点编排，通过知识库导入导出、调用及管理，快速生成检查方案。</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全生命周期管理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对检查任务全生命周期管理，包括：任务创建、修改、启动、执行、暂停、结束、删除、查询、导入、导出、处理、回滚、跳过、备注、评分、确认、分析、统计、修复建议等。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数据安全检查项包括数据安全组织体系、数据安全制度建设、数据分类分级、人员管理等。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检查对象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支持检查对象信息录入，知识库规则调取，敏感区网络隔离，检测项状态、数量、结果显示和查看，结果确认和打分等。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jc w:val="left"/>
        <w:spacing w:line="360" w:lineRule="auto"/>
        <w:rPr>
          <w:rFonts w:ascii="宋体" w:hAnsi="宋体"/>
          <w:sz w:val="21"/>
          <w:szCs w:val="21"/>
          <w14:ligatures w14:val="standardContextual"/>
        </w:rPr>
      </w:pPr>
      <w:r>
        <w:rPr>
          <w:rFonts w:ascii="宋体" w:hAnsi="宋体"/>
          <w:sz w:val="21"/>
          <w:szCs w:val="21"/>
          <w14:ligatures w14:val="standardContextual"/>
        </w:rPr>
      </w:r>
      <w:r/>
    </w:p>
    <w:p>
      <w:pPr>
        <w:ind w:left="0" w:firstLine="420"/>
        <w:spacing w:line="360" w:lineRule="auto"/>
        <w:tabs>
          <w:tab w:val="left" w:pos="420" w:leader="none"/>
        </w:tabs>
        <w:rPr>
          <w:rFonts w:ascii="宋体" w:hAnsi="宋体"/>
          <w:sz w:val="21"/>
        </w:rPr>
      </w:pPr>
      <w:r>
        <w:rPr>
          <w:rFonts w:ascii="宋体" w:hAnsi="宋体"/>
          <w:sz w:val="21"/>
        </w:rPr>
        <w:t xml:space="preserve">4.3.13</w:t>
      </w:r>
      <w:r>
        <w:rPr>
          <w:rFonts w:hint="eastAsia" w:ascii="宋体" w:hAnsi="宋体"/>
          <w:sz w:val="21"/>
        </w:rPr>
        <w:t xml:space="preserve"> 数据库运维安全网关设备</w:t>
      </w:r>
      <w:r/>
    </w:p>
    <w:p>
      <w:pPr>
        <w:ind w:left="0" w:firstLine="420"/>
        <w:spacing w:line="360" w:lineRule="auto"/>
        <w:tabs>
          <w:tab w:val="left" w:pos="420" w:leader="none"/>
        </w:tabs>
        <w:rPr>
          <w:rFonts w:ascii="宋体" w:hAnsi="宋体"/>
          <w:sz w:val="21"/>
        </w:rPr>
      </w:pPr>
      <w:r/>
      <w:bookmarkStart w:id="129" w:name="OLE_LINK66"/>
      <w:r>
        <w:rPr>
          <w:rFonts w:hint="eastAsia" w:ascii="宋体" w:hAnsi="宋体"/>
          <w:sz w:val="21"/>
        </w:rPr>
        <w:t xml:space="preserve">提供</w:t>
      </w:r>
      <w:bookmarkStart w:id="130" w:name="OLE_LINK70"/>
      <w:r/>
      <w:bookmarkStart w:id="131" w:name="OLE_LINK72"/>
      <w:r>
        <w:rPr>
          <w:rFonts w:hint="eastAsia" w:ascii="宋体" w:hAnsi="宋体"/>
          <w:sz w:val="21"/>
        </w:rPr>
        <w:t xml:space="preserve">数</w:t>
      </w:r>
      <w:bookmarkStart w:id="132" w:name="OLE_LINK71"/>
      <w:r>
        <w:rPr>
          <w:rFonts w:hint="eastAsia" w:ascii="宋体" w:hAnsi="宋体"/>
          <w:sz w:val="21"/>
        </w:rPr>
        <w:t xml:space="preserve">据库运维安全</w:t>
      </w:r>
      <w:bookmarkEnd w:id="130"/>
      <w:r>
        <w:rPr>
          <w:rFonts w:hint="eastAsia" w:ascii="宋体" w:hAnsi="宋体"/>
          <w:sz w:val="21"/>
        </w:rPr>
        <w:t xml:space="preserve">网关设备</w:t>
      </w:r>
      <w:bookmarkEnd w:id="131"/>
      <w:r/>
      <w:bookmarkEnd w:id="132"/>
      <w:r>
        <w:rPr>
          <w:rFonts w:hint="eastAsia" w:ascii="宋体" w:hAnsi="宋体"/>
          <w:sz w:val="21"/>
        </w:rPr>
        <w:t xml:space="preserve">1台</w:t>
      </w:r>
      <w:bookmarkEnd w:id="129"/>
      <w:r/>
      <w:r/>
    </w:p>
    <w:tbl>
      <w:tblPr>
        <w:tblStyle w:val="1440"/>
        <w:tblW w:w="0" w:type="auto"/>
        <w:tblLook w:val="04A0" w:firstRow="1" w:lastRow="0" w:firstColumn="1" w:lastColumn="0" w:noHBand="0" w:noVBand="1"/>
      </w:tblPr>
      <w:tblGrid>
        <w:gridCol w:w="1271"/>
        <w:gridCol w:w="7088"/>
        <w:gridCol w:w="1417"/>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≥1U 机架式设备，SQL处理量≥25000 sql/s，固化≥6个千兆电口，≥4个千兆光口，≥1个扩展插槽，≥4T硬盘存储。</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部署模式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支持反向代理和网桥的方式部署。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权限管控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支撑数据库进行精细化权限管控，访问控制策略组的新建、复制、编辑和删除。</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运维审批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避免运维过程中账号管理混乱、运维操作不透明等一系列不合规现象造成的数据泄露</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总体状况</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根据告警的严重级别自动给系统进行评分，实时显示系统的安全</w:t>
            </w:r>
            <w:bookmarkStart w:id="133" w:name="OLE_LINK74"/>
            <w:r>
              <w:rPr>
                <w:rFonts w:hint="eastAsia" w:ascii="宋体" w:hAnsi="宋体"/>
                <w:sz w:val="21"/>
                <w:szCs w:val="21"/>
                <w14:ligatures w14:val="standardContextual"/>
              </w:rPr>
              <w:t xml:space="preserve">总体状况</w:t>
            </w:r>
            <w:bookmarkEnd w:id="133"/>
            <w:r>
              <w:rPr>
                <w:rFonts w:hint="eastAsia" w:ascii="宋体" w:hAnsi="宋体"/>
                <w:sz w:val="21"/>
                <w:szCs w:val="21"/>
                <w14:ligatures w14:val="standardContextual"/>
              </w:rPr>
              <w:t xml:space="preserve">，数据库的安全更加直观、可视、简单。</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实现了精细化的</w:t>
            </w:r>
            <w:bookmarkStart w:id="134" w:name="OLE_LINK73"/>
            <w:r>
              <w:rPr>
                <w:rFonts w:hint="eastAsia" w:ascii="宋体" w:hAnsi="宋体"/>
                <w:sz w:val="21"/>
                <w:szCs w:val="21"/>
                <w14:ligatures w14:val="standardContextual"/>
              </w:rPr>
              <w:t xml:space="preserve">访问控制</w:t>
            </w:r>
            <w:bookmarkEnd w:id="134"/>
            <w:r>
              <w:rPr>
                <w:rFonts w:hint="eastAsia" w:ascii="宋体" w:hAnsi="宋体"/>
                <w:sz w:val="21"/>
                <w:szCs w:val="21"/>
                <w14:ligatures w14:val="standardContextual"/>
              </w:rPr>
              <w:t xml:space="preserve">，对维护人员和业务系统的请求进行有效的访问控制</w:t>
            </w:r>
            <w:r/>
          </w:p>
        </w:tc>
        <w:tc>
          <w:tcPr>
            <w:tcW w:w="1417"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4.3.14</w:t>
      </w:r>
      <w:r>
        <w:rPr>
          <w:rFonts w:hint="eastAsia" w:ascii="宋体" w:hAnsi="宋体"/>
          <w:sz w:val="21"/>
        </w:rPr>
        <w:t xml:space="preserve"> </w:t>
      </w:r>
      <w:r>
        <w:rPr>
          <w:rFonts w:ascii="宋体" w:hAnsi="宋体"/>
          <w:sz w:val="21"/>
        </w:rPr>
        <w:t xml:space="preserve">应用（API）监测与防护网关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w:t>
      </w:r>
      <w:r>
        <w:rPr>
          <w:rFonts w:ascii="宋体" w:hAnsi="宋体"/>
          <w:sz w:val="21"/>
        </w:rPr>
        <w:t xml:space="preserve">应用（API）监测与防护网关</w:t>
      </w:r>
      <w:r>
        <w:rPr>
          <w:rFonts w:hint="eastAsia" w:ascii="宋体" w:hAnsi="宋体"/>
          <w:sz w:val="21"/>
        </w:rPr>
        <w:t xml:space="preserve">1台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★≥1U机架式设备，≥6个千兆电口，≥4个千兆光口，≥2个扩展槽，≥8T企业级存储，内存≥1</w:t>
            </w:r>
            <w:r>
              <w:rPr>
                <w:rFonts w:ascii="宋体" w:hAnsi="宋体"/>
                <w:b/>
                <w:sz w:val="21"/>
                <w:szCs w:val="21"/>
                <w14:ligatures w14:val="standardContextual"/>
              </w:rPr>
              <w:t xml:space="preserve">6</w:t>
            </w:r>
            <w:r>
              <w:rPr>
                <w:rFonts w:hint="eastAsia" w:ascii="宋体" w:hAnsi="宋体"/>
                <w:b/>
                <w:sz w:val="21"/>
                <w:szCs w:val="21"/>
                <w14:ligatures w14:val="standardContextual"/>
              </w:rPr>
              <w:t xml:space="preserve">G，配置冗余电源</w:t>
            </w:r>
            <w:bookmarkStart w:id="135" w:name="OLE_LINK24"/>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bookmarkEnd w:id="135"/>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支持最大网络吞吐量</w:t>
            </w:r>
            <w:r>
              <w:rPr>
                <w:rFonts w:ascii="宋体" w:hAnsi="宋体"/>
                <w:sz w:val="21"/>
                <w:szCs w:val="21"/>
                <w14:ligatures w14:val="standardContextual"/>
              </w:rPr>
              <w:t xml:space="preserve">22Gbps、最大HTTP流量吞吐5Gbps、最大网络并发会话数400万、最大HTTP新建连接数40000个/秒</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支持对发布的API服务协议类型进行配置管理，包括但不限于HTTP、websocket等。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自定义解析</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支持自定义TCP socket的解析，包括base64解密、解压缩等。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安全配置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支持对SSL协议配置、长连接配置、请求头最大长度、上传文件最大长度等通用安全配置</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结构组织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t xml:space="preserve">支持资产网站类型、接入方式、防护状态展示，支持对API资产按网站树形结构组织</w:t>
            </w:r>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4.3.15</w:t>
      </w:r>
      <w:r>
        <w:rPr>
          <w:rFonts w:hint="eastAsia" w:ascii="宋体" w:hAnsi="宋体"/>
          <w:sz w:val="21"/>
        </w:rPr>
        <w:t xml:space="preserve"> IPSec/SSL VPN 综合安全网关</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提供综合安全网关3台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bookmarkStart w:id="136" w:name="OLE_LINK64"/>
            <w:r>
              <w:rPr>
                <w:rFonts w:hint="eastAsia" w:ascii="宋体" w:hAnsi="宋体"/>
                <w:b/>
                <w:sz w:val="21"/>
                <w:szCs w:val="21"/>
                <w14:ligatures w14:val="standardContextual"/>
              </w:rPr>
              <w:t xml:space="preserve">★CPU型号海光C86-4G，内置银河麒麟操作系统，≥1U</w:t>
            </w:r>
            <w:bookmarkEnd w:id="136"/>
            <w:r>
              <w:rPr>
                <w:rFonts w:hint="eastAsia" w:ascii="宋体" w:hAnsi="宋体"/>
                <w:b/>
                <w:sz w:val="21"/>
                <w:szCs w:val="21"/>
                <w14:ligatures w14:val="standardContextual"/>
              </w:rPr>
              <w:t xml:space="preserve">机架式设备，国产化设备，内存≥8G，硬盘≥128G；电源：冗余电源；网口：电口≥6，千兆光口≥4</w:t>
            </w:r>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SSL最大并发连接≥100000；SSL加密吞度≥1Gbps，IPSec最大并发隧道数≥3000。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支持国密SSLv1.1和TLCP协议，满足《GB/T 38636-2020信息安全技术传输层密码协议》。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传输模式</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支持SSL代理模式以及隧道模式，支持IPSEC 隧道和传输模式。</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访问控制</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支持简单防火墙访问控制，可根据客户端 IP/服务端 IP、端口、URL 地址以及应用进行连接有效性控制。</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身份鉴别</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支持数字证书双向身份鉴别，可扩展其他鉴别手段或者与其他鉴别系统集成 (Radius、LDAP、ActiveDirectory、动态令牌等) 。并支持多个服务证书应用。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数据加密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具备数据路由、负载均衡功能，支持数据传输加密，支持国密算法。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权限分级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支持用户基于角色的权限分级管理，支持信息审计功能，能够对用户对系统的访问进行详细的记录和审计。</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架构</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 B/S 架构进行 WEB 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高可靠性，支持双机热备。</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4.3.16</w:t>
      </w:r>
      <w:r>
        <w:rPr>
          <w:rFonts w:hint="eastAsia" w:ascii="宋体" w:hAnsi="宋体"/>
          <w:sz w:val="21"/>
        </w:rPr>
        <w:t xml:space="preserve"> 云服务器密码机</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提供云服务器密码机 2台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37" w:name="OLE_LINK49"/>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★CPU型号海光C86-4G，内置银河麒麟操作系统，≥1U机架式，内存≥64G；硬盘≥64G；千兆电口≥6，万兆光口≥2</w:t>
            </w:r>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虚拟密码机数量（VSM）≥32；SM2密钥对生成(Tps) ≥ 300,000，SM2签名(Tps) ≥300,500，SM2验签(Tps)≥ 130,200，SM2加密(Tps)≥ 78,000，SM2解密(Tps) ≥97,500。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支持DES、3DES、AES、SHA1、MD5、RSA、SM1、SM2、SM3、SM4等国际及国密算法。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实例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支持镜像实例的管理，并能够对镜像进行数字签名以验证其完整性。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完整性</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支持使用商用密码算法对设备日志信息和访问控制信息执行</w:t>
            </w:r>
            <w:bookmarkStart w:id="138" w:name="OLE_LINK44"/>
            <w:r>
              <w:rPr>
                <w:rFonts w:hint="eastAsia" w:ascii="宋体" w:hAnsi="宋体"/>
                <w:sz w:val="21"/>
                <w:szCs w:val="21"/>
                <w14:ligatures w14:val="standardContextual"/>
              </w:rPr>
              <w:t xml:space="preserve">完</w:t>
            </w:r>
            <w:bookmarkEnd w:id="138"/>
            <w:r>
              <w:rPr>
                <w:rFonts w:hint="eastAsia" w:ascii="宋体" w:hAnsi="宋体"/>
                <w:sz w:val="21"/>
                <w:szCs w:val="21"/>
                <w14:ligatures w14:val="standardContextual"/>
              </w:rPr>
              <w:t xml:space="preserve">整性保护，确保这些信息未被未授权篡改。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健康状态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支持具备检测虚拟密码机网络</w:t>
            </w:r>
            <w:bookmarkStart w:id="139" w:name="OLE_LINK45"/>
            <w:r>
              <w:rPr>
                <w:rFonts w:hint="eastAsia" w:ascii="宋体" w:hAnsi="宋体"/>
                <w:sz w:val="21"/>
                <w:szCs w:val="21"/>
                <w14:ligatures w14:val="standardContextual"/>
              </w:rPr>
              <w:t xml:space="preserve">健康状态</w:t>
            </w:r>
            <w:bookmarkEnd w:id="139"/>
            <w:r>
              <w:rPr>
                <w:rFonts w:hint="eastAsia" w:ascii="宋体" w:hAnsi="宋体"/>
                <w:sz w:val="21"/>
                <w:szCs w:val="21"/>
                <w14:ligatures w14:val="standardContextual"/>
              </w:rPr>
              <w:t xml:space="preserve">的能力，可以检查虚拟机至目标地址间的网络连通性。</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时间协议</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支持网络时间协议（NTP）功能，能够自动同步系统时间。</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集成标准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支持多种编程接口和集成标准，支持符合GM/T 0088-2020《云服务器密码机管理接口规范》要求的管理接口。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虚拟密码机提供B/S、C/S两种配置管理方式，具有完善的系统监测功能，可监测设备硬件及软件的运行状态，并可对故障进行自动恢复或者报警。</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创建</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支持创建不同规格与性能的虚拟密码机，且可以对VSM中算法性能、密钥数量进行单独配置。</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37"/>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4.3.17</w:t>
      </w:r>
      <w:r>
        <w:rPr>
          <w:rFonts w:hint="eastAsia" w:ascii="宋体" w:hAnsi="宋体"/>
          <w:sz w:val="21"/>
        </w:rPr>
        <w:t xml:space="preserve"> 签名验签服务器</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提供签名验签服务器2台</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bookmarkStart w:id="140" w:name="OLE_LINK58"/>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配置要求</w:t>
            </w:r>
            <w:r/>
          </w:p>
        </w:tc>
        <w:tc>
          <w:tcPr>
            <w:tcW w:w="7088" w:type="dxa"/>
            <w:textDirection w:val="lrTb"/>
            <w:noWrap w:val="false"/>
          </w:tcPr>
          <w:p>
            <w:pPr>
              <w:ind w:left="0" w:firstLine="380"/>
              <w:jc w:val="left"/>
              <w:spacing w:line="360" w:lineRule="auto"/>
              <w:rPr>
                <w:rFonts w:ascii="宋体" w:hAnsi="宋体"/>
                <w:b/>
                <w:sz w:val="21"/>
                <w:szCs w:val="21"/>
                <w14:ligatures w14:val="standardContextual"/>
              </w:rPr>
            </w:pPr>
            <w:r>
              <w:rPr>
                <w:rFonts w:hint="eastAsia" w:ascii="宋体" w:hAnsi="宋体"/>
                <w:b/>
                <w:sz w:val="21"/>
                <w:szCs w:val="21"/>
                <w14:ligatures w14:val="standardContextual"/>
              </w:rPr>
              <w:t xml:space="preserve">★CPU型号海光C86-4G，内置银河麒麟操作系统，2U机架式；国产化设备；内存≥16G，硬盘≥240G；千兆电口≥4个，千兆光口≥4个</w:t>
            </w:r>
            <w:r>
              <w:rPr>
                <w:rFonts w:ascii="宋体" w:hAnsi="宋体"/>
                <w:b/>
                <w:sz w:val="21"/>
                <w:szCs w:val="21"/>
                <w14:ligatures w14:val="standardContextual"/>
              </w:rPr>
              <w:t xml:space="preserve">，</w:t>
            </w:r>
            <w:r>
              <w:rPr>
                <w:rFonts w:hint="eastAsia" w:ascii="宋体" w:hAnsi="宋体"/>
                <w:b/>
                <w:sz w:val="21"/>
              </w:rPr>
              <w:t xml:space="preserve">投标文件中提供产品功能截图</w:t>
            </w:r>
            <w:r>
              <w:rPr>
                <w:rFonts w:hint="eastAsia" w:ascii="宋体" w:hAnsi="宋体"/>
                <w:b/>
                <w:sz w:val="21"/>
                <w:szCs w:val="21"/>
                <w:lang w:bidi="ar"/>
              </w:rPr>
              <w:t xml:space="preserve">复印件并加盖投标单位公章</w:t>
            </w:r>
            <w:r>
              <w:rPr>
                <w:rFonts w:hint="eastAsia" w:ascii="宋体" w:hAnsi="宋体"/>
                <w:b/>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性能要求</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SM2 签名≥85000 次/秒；SM2 验签≥37500 次/秒；SM2 P1签名≥40850次/秒；SM2 P1验签≥15000次/秒</w:t>
            </w:r>
            <w:bookmarkStart w:id="141" w:name="OLE_LINK50"/>
            <w:r>
              <w:rPr>
                <w:rFonts w:hint="eastAsia" w:ascii="宋体" w:hAnsi="宋体"/>
                <w:sz w:val="21"/>
                <w:szCs w:val="21"/>
                <w14:ligatures w14:val="standardContextual"/>
              </w:rPr>
              <w:t xml:space="preserve">。</w:t>
            </w:r>
            <w:bookmarkEnd w:id="141"/>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w:t>
            </w:r>
            <w:bookmarkStart w:id="142" w:name="OLE_LINK51"/>
            <w:r>
              <w:rPr>
                <w:rFonts w:hint="eastAsia" w:ascii="宋体" w:hAnsi="宋体"/>
                <w:sz w:val="21"/>
                <w:szCs w:val="21"/>
                <w14:ligatures w14:val="standardContextual"/>
              </w:rPr>
              <w:t xml:space="preserve">算法</w:t>
            </w:r>
            <w:bookmarkEnd w:id="142"/>
            <w:r>
              <w:rPr>
                <w:rFonts w:hint="eastAsia" w:ascii="宋体" w:hAnsi="宋体"/>
                <w:sz w:val="21"/>
                <w:szCs w:val="21"/>
                <w14:ligatures w14:val="standardContextual"/>
              </w:rPr>
              <w:t xml:space="preserve">和国密，如：RSA/SM系列等算法；支持对称算法AES、3DES等多种算法，支持ECB、CBC、OFB、MAC、SM3-HMAC等多种算法模式，杂凑算法支持SHA256、SHA384、SHA512等。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密钥</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支持设备内部</w:t>
            </w:r>
            <w:bookmarkStart w:id="143" w:name="OLE_LINK52"/>
            <w:r>
              <w:rPr>
                <w:rFonts w:hint="eastAsia" w:ascii="宋体" w:hAnsi="宋体"/>
                <w:sz w:val="21"/>
                <w:szCs w:val="21"/>
                <w14:ligatures w14:val="standardContextual"/>
              </w:rPr>
              <w:t xml:space="preserve">密钥</w:t>
            </w:r>
            <w:bookmarkEnd w:id="143"/>
            <w:r>
              <w:rPr>
                <w:rFonts w:hint="eastAsia" w:ascii="宋体" w:hAnsi="宋体"/>
                <w:sz w:val="21"/>
                <w:szCs w:val="21"/>
                <w14:ligatures w14:val="standardContextual"/>
              </w:rPr>
              <w:t xml:space="preserve">以密文形式备份，备份密钥可恢复到相同型号的其他签名验签服务器中。</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地址过滤</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支持客户端访问签名验签服务器IP</w:t>
            </w:r>
            <w:bookmarkStart w:id="144" w:name="OLE_LINK53"/>
            <w:r>
              <w:rPr>
                <w:rFonts w:hint="eastAsia" w:ascii="宋体" w:hAnsi="宋体"/>
                <w:sz w:val="21"/>
                <w:szCs w:val="21"/>
                <w14:ligatures w14:val="standardContextual"/>
              </w:rPr>
              <w:t xml:space="preserve">地址过滤</w:t>
            </w:r>
            <w:bookmarkEnd w:id="144"/>
            <w:r>
              <w:rPr>
                <w:rFonts w:hint="eastAsia" w:ascii="宋体" w:hAnsi="宋体"/>
                <w:sz w:val="21"/>
                <w:szCs w:val="21"/>
                <w14:ligatures w14:val="standardContextual"/>
              </w:rPr>
              <w:t xml:space="preserve">功能(白名单)。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审计</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支持完善的系统日志</w:t>
            </w:r>
            <w:bookmarkStart w:id="145" w:name="OLE_LINK54"/>
            <w:r>
              <w:rPr>
                <w:rFonts w:hint="eastAsia" w:ascii="宋体" w:hAnsi="宋体"/>
                <w:sz w:val="21"/>
                <w:szCs w:val="21"/>
                <w14:ligatures w14:val="standardContextual"/>
              </w:rPr>
              <w:t xml:space="preserve">审计</w:t>
            </w:r>
            <w:bookmarkEnd w:id="145"/>
            <w:r>
              <w:rPr>
                <w:rFonts w:hint="eastAsia" w:ascii="宋体" w:hAnsi="宋体"/>
                <w:sz w:val="21"/>
                <w:szCs w:val="21"/>
                <w14:ligatures w14:val="standardContextual"/>
              </w:rPr>
              <w:t xml:space="preserve">功能,对签名验签服务器运行情况进行审查。</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监测</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支持完善的系统</w:t>
            </w:r>
            <w:bookmarkStart w:id="146" w:name="OLE_LINK55"/>
            <w:r>
              <w:rPr>
                <w:rFonts w:hint="eastAsia" w:ascii="宋体" w:hAnsi="宋体"/>
                <w:sz w:val="21"/>
                <w:szCs w:val="21"/>
                <w14:ligatures w14:val="standardContextual"/>
              </w:rPr>
              <w:t xml:space="preserve">监测</w:t>
            </w:r>
            <w:bookmarkEnd w:id="146"/>
            <w:r>
              <w:rPr>
                <w:rFonts w:hint="eastAsia" w:ascii="宋体" w:hAnsi="宋体"/>
                <w:sz w:val="21"/>
                <w:szCs w:val="21"/>
                <w14:ligatures w14:val="standardContextual"/>
              </w:rPr>
              <w:t xml:space="preserve">功能，可监测硬件及软件的运行状态。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配置管理</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支持WEB方式进行</w:t>
            </w:r>
            <w:bookmarkStart w:id="147" w:name="OLE_LINK56"/>
            <w:r>
              <w:rPr>
                <w:rFonts w:hint="eastAsia" w:ascii="宋体" w:hAnsi="宋体"/>
                <w:sz w:val="21"/>
                <w:szCs w:val="21"/>
                <w14:ligatures w14:val="standardContextual"/>
              </w:rPr>
              <w:t xml:space="preserve">配置管理</w:t>
            </w:r>
            <w:bookmarkEnd w:id="147"/>
            <w:r>
              <w:rPr>
                <w:rFonts w:hint="eastAsia" w:ascii="宋体" w:hAnsi="宋体"/>
                <w:sz w:val="21"/>
                <w:szCs w:val="21"/>
                <w14:ligatures w14:val="standardContextual"/>
              </w:rPr>
              <w:t xml:space="preserve">，实现对设备的配置管理、密钥管理操作。</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双机热备</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支持负载均衡、支持</w:t>
            </w:r>
            <w:bookmarkStart w:id="148" w:name="OLE_LINK57"/>
            <w:r>
              <w:rPr>
                <w:rFonts w:hint="eastAsia" w:ascii="宋体" w:hAnsi="宋体"/>
                <w:sz w:val="21"/>
                <w:szCs w:val="21"/>
                <w14:ligatures w14:val="standardContextual"/>
              </w:rPr>
              <w:t xml:space="preserve">双机热备</w:t>
            </w:r>
            <w:bookmarkEnd w:id="148"/>
            <w:r>
              <w:rPr>
                <w:rFonts w:hint="eastAsia" w:ascii="宋体" w:hAnsi="宋体"/>
                <w:sz w:val="21"/>
                <w:szCs w:val="21"/>
                <w14:ligatures w14:val="standardContextual"/>
              </w:rPr>
              <w:t xml:space="preserve">。</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证书验证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支持不同CA的用户证书验证，提供CRL/OCSP/LDAP等多种方式的证书有效性验证。</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bookmarkEnd w:id="140"/>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4.3.18</w:t>
      </w:r>
      <w:r>
        <w:rPr>
          <w:rFonts w:hint="eastAsia" w:ascii="宋体" w:hAnsi="宋体"/>
          <w:sz w:val="21"/>
        </w:rPr>
        <w:t xml:space="preserve"> 智能密码钥匙</w:t>
      </w:r>
      <w:r/>
    </w:p>
    <w:p>
      <w:pPr>
        <w:ind w:left="0" w:firstLine="420"/>
        <w:spacing w:line="360" w:lineRule="auto"/>
        <w:tabs>
          <w:tab w:val="left" w:pos="420" w:leader="none"/>
        </w:tabs>
        <w:rPr>
          <w:rFonts w:ascii="宋体" w:hAnsi="宋体"/>
          <w:sz w:val="21"/>
        </w:rPr>
      </w:pPr>
      <w:r>
        <w:rPr>
          <w:rFonts w:hint="eastAsia" w:ascii="宋体" w:hAnsi="宋体"/>
          <w:sz w:val="21"/>
        </w:rPr>
        <w:t xml:space="preserve">提供数量：15个</w:t>
      </w:r>
      <w:r/>
    </w:p>
    <w:tbl>
      <w:tblPr>
        <w:tblStyle w:val="1440"/>
        <w:tblW w:w="9634" w:type="dxa"/>
        <w:tblLook w:val="04A0" w:firstRow="1" w:lastRow="0" w:firstColumn="1" w:lastColumn="0" w:noHBand="0" w:noVBand="1"/>
      </w:tblPr>
      <w:tblGrid>
        <w:gridCol w:w="1271"/>
        <w:gridCol w:w="7088"/>
        <w:gridCol w:w="1275"/>
      </w:tblGrid>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招标项</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招标内容</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备注</w:t>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性能</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SM1加密≥2.33Mbps，SM1解密≥2.33Mbps，SM4加密≥2.72Mbps，SM4解密≥2.72Mbps</w:t>
            </w:r>
            <w:bookmarkStart w:id="149" w:name="OLE_LINK65"/>
            <w:r>
              <w:rPr>
                <w:rFonts w:hint="eastAsia" w:ascii="宋体" w:hAnsi="宋体"/>
                <w:sz w:val="21"/>
                <w:szCs w:val="21"/>
                <w14:ligatures w14:val="standardContextual"/>
              </w:rPr>
              <w:t xml:space="preserve">。</w:t>
            </w:r>
            <w:bookmarkEnd w:id="149"/>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USB</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支持USB2.0/3.0。</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算法</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支持的</w:t>
            </w:r>
            <w:bookmarkStart w:id="150" w:name="OLE_LINK59"/>
            <w:r>
              <w:rPr>
                <w:rFonts w:hint="eastAsia" w:ascii="宋体" w:hAnsi="宋体"/>
                <w:sz w:val="21"/>
                <w:szCs w:val="21"/>
                <w14:ligatures w14:val="standardContextual"/>
              </w:rPr>
              <w:t xml:space="preserve">算法</w:t>
            </w:r>
            <w:bookmarkEnd w:id="150"/>
            <w:r>
              <w:rPr>
                <w:rFonts w:hint="eastAsia" w:ascii="宋体" w:hAnsi="宋体"/>
                <w:sz w:val="21"/>
                <w:szCs w:val="21"/>
                <w14:ligatures w14:val="standardContextual"/>
              </w:rPr>
              <w:t xml:space="preserve">包含：支持SM1/SM2/SM3/SM4/SM9并兼容支持RSA等算法。</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接口</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支持国际通用</w:t>
            </w:r>
            <w:bookmarkStart w:id="151" w:name="OLE_LINK60"/>
            <w:r>
              <w:rPr>
                <w:rFonts w:hint="eastAsia" w:ascii="宋体" w:hAnsi="宋体"/>
                <w:sz w:val="21"/>
                <w:szCs w:val="21"/>
                <w14:ligatures w14:val="standardContextual"/>
              </w:rPr>
              <w:t xml:space="preserve">接口</w:t>
            </w:r>
            <w:bookmarkEnd w:id="151"/>
            <w:r>
              <w:rPr>
                <w:rFonts w:hint="eastAsia" w:ascii="宋体" w:hAnsi="宋体"/>
                <w:sz w:val="21"/>
                <w:szCs w:val="21"/>
                <w14:ligatures w14:val="standardContextual"/>
              </w:rPr>
              <w:t xml:space="preserve">：如PKCS#11、CSP等。</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智能密码</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支持国密局</w:t>
            </w:r>
            <w:bookmarkStart w:id="152" w:name="OLE_LINK61"/>
            <w:r>
              <w:rPr>
                <w:rFonts w:hint="eastAsia" w:ascii="宋体" w:hAnsi="宋体"/>
                <w:sz w:val="21"/>
                <w:szCs w:val="21"/>
                <w14:ligatures w14:val="standardContextual"/>
              </w:rPr>
              <w:t xml:space="preserve">智能密码</w:t>
            </w:r>
            <w:bookmarkEnd w:id="152"/>
            <w:r>
              <w:rPr>
                <w:rFonts w:hint="eastAsia" w:ascii="宋体" w:hAnsi="宋体"/>
                <w:sz w:val="21"/>
                <w:szCs w:val="21"/>
                <w14:ligatures w14:val="standardContextual"/>
              </w:rPr>
              <w:t xml:space="preserve">钥匙SKF接口。</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操作系统</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支持客户端国产</w:t>
            </w:r>
            <w:bookmarkStart w:id="153" w:name="OLE_LINK62"/>
            <w:r>
              <w:rPr>
                <w:rFonts w:hint="eastAsia" w:ascii="宋体" w:hAnsi="宋体"/>
                <w:sz w:val="21"/>
                <w:szCs w:val="21"/>
                <w14:ligatures w14:val="standardContextual"/>
              </w:rPr>
              <w:t xml:space="preserve">操作系统</w:t>
            </w:r>
            <w:bookmarkEnd w:id="153"/>
            <w:r>
              <w:rPr>
                <w:rFonts w:hint="eastAsia" w:ascii="宋体" w:hAnsi="宋体"/>
                <w:sz w:val="21"/>
                <w:szCs w:val="21"/>
                <w14:ligatures w14:val="standardContextual"/>
              </w:rPr>
              <w:t xml:space="preserve">环境下使用。</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r>
        <w:trPr/>
        <w:tc>
          <w:tcPr>
            <w:tcW w:w="1271" w:type="dxa"/>
            <w:textDirection w:val="lrTb"/>
            <w:noWrap w:val="false"/>
          </w:tcPr>
          <w:p>
            <w:pPr>
              <w:ind w:left="0"/>
              <w:jc w:val="left"/>
              <w:spacing w:line="360" w:lineRule="auto"/>
              <w:rPr>
                <w:rFonts w:ascii="宋体" w:hAnsi="宋体"/>
                <w:sz w:val="21"/>
                <w:szCs w:val="21"/>
                <w14:ligatures w14:val="standardContextual"/>
              </w:rPr>
            </w:pPr>
            <w:r>
              <w:rPr>
                <w:rFonts w:hint="eastAsia" w:ascii="宋体" w:hAnsi="宋体"/>
                <w:sz w:val="21"/>
                <w:szCs w:val="21"/>
                <w14:ligatures w14:val="standardContextual"/>
              </w:rPr>
              <w:t xml:space="preserve">存储空间</w:t>
            </w:r>
            <w:r/>
          </w:p>
        </w:tc>
        <w:tc>
          <w:tcPr>
            <w:tcW w:w="7088" w:type="dxa"/>
            <w:textDirection w:val="lrTb"/>
            <w:noWrap w:val="false"/>
          </w:tcPr>
          <w:p>
            <w:pPr>
              <w:ind w:left="0" w:firstLine="380"/>
              <w:jc w:val="left"/>
              <w:spacing w:line="360" w:lineRule="auto"/>
              <w:rPr>
                <w:rFonts w:ascii="宋体" w:hAnsi="宋体"/>
                <w:sz w:val="21"/>
                <w:szCs w:val="21"/>
                <w14:ligatures w14:val="standardContextual"/>
              </w:rPr>
            </w:pPr>
            <w:r/>
            <w:bookmarkStart w:id="154" w:name="OLE_LINK63"/>
            <w:r>
              <w:rPr>
                <w:rFonts w:hint="eastAsia" w:ascii="宋体" w:hAnsi="宋体"/>
                <w:sz w:val="21"/>
                <w:szCs w:val="21"/>
                <w14:ligatures w14:val="standardContextual"/>
              </w:rPr>
              <w:t xml:space="preserve">存储空间</w:t>
            </w:r>
            <w:bookmarkEnd w:id="154"/>
            <w:r>
              <w:rPr>
                <w:rFonts w:hint="eastAsia" w:ascii="宋体" w:hAnsi="宋体"/>
                <w:sz w:val="21"/>
                <w:szCs w:val="21"/>
                <w14:ligatures w14:val="standardContextual"/>
              </w:rPr>
              <w:t xml:space="preserve">≥128K。</w:t>
            </w:r>
            <w:r/>
          </w:p>
        </w:tc>
        <w:tc>
          <w:tcPr>
            <w:tcW w:w="1275" w:type="dxa"/>
            <w:textDirection w:val="lrTb"/>
            <w:noWrap w:val="false"/>
          </w:tcPr>
          <w:p>
            <w:pPr>
              <w:ind w:left="0" w:firstLine="380"/>
              <w:jc w:val="left"/>
              <w:spacing w:line="360" w:lineRule="auto"/>
              <w:rPr>
                <w:rFonts w:ascii="宋体" w:hAnsi="宋体"/>
                <w:sz w:val="21"/>
                <w:szCs w:val="21"/>
                <w14:ligatures w14:val="standardContextual"/>
              </w:rPr>
            </w:pPr>
            <w:r>
              <w:rPr>
                <w:rFonts w:ascii="宋体" w:hAnsi="宋体"/>
                <w:sz w:val="21"/>
                <w:szCs w:val="21"/>
                <w14:ligatures w14:val="standardContextual"/>
              </w:rPr>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配套服务需求</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.1 数据安全风险评估服务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需要了解项目实施背景、项目相关方、项目期望等内容，制定项目整体工作方案, 编制必要信息收集清单，协助确认所需信息对应材料,沟通确认信息收集结果，确保必要信息的完备性, 结合数据资产测绘、数据流转测绘结果，进行数据安全风险评估分析，发现数据分类分级问题、敏感数据存储分布问题、敏感数据异常使用问题、大数据组件安全漏洞问题、安全配置问题等。基于应用场景对风险点进行整合，设计处置措施，编制数据安全风险评估报告。</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.2 web应用防护服务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在全面了解中心业务环境及潜在风险的基础上，选择合适的web应用防护部署模式，针对中心内网部分应用系统访问中所面临的CSRF、SQL注入、爬虫、信息泄漏、恶意扫描等提供基本防护能力，并完成基础环境搭建和策略调试，通过web防护设备进行web应用威胁识别分析，以及web安全日志查看，基于实际运行数据持续优化防护策略，持续运营。</w:t>
      </w:r>
      <w:r/>
    </w:p>
    <w:p>
      <w:pPr>
        <w:ind w:left="0" w:firstLine="420"/>
        <w:spacing w:line="360" w:lineRule="auto"/>
        <w:tabs>
          <w:tab w:val="left" w:pos="420" w:leader="none"/>
        </w:tabs>
        <w:rPr>
          <w:rFonts w:ascii="宋体" w:hAnsi="宋体"/>
          <w:sz w:val="21"/>
        </w:rPr>
      </w:pPr>
      <w:r>
        <w:rPr>
          <w:rFonts w:hint="eastAsia" w:ascii="宋体" w:hAnsi="宋体"/>
          <w:sz w:val="21"/>
        </w:rPr>
        <w:t xml:space="preserve">进行Web网站流量报表、Web应用防护安全报表的输出。</w:t>
      </w:r>
      <w:r/>
    </w:p>
    <w:p>
      <w:pPr>
        <w:ind w:left="0" w:firstLine="420"/>
        <w:spacing w:line="360" w:lineRule="auto"/>
        <w:tabs>
          <w:tab w:val="left" w:pos="420" w:leader="none"/>
        </w:tabs>
        <w:rPr>
          <w:rFonts w:ascii="宋体" w:hAnsi="宋体"/>
          <w:sz w:val="21"/>
        </w:rPr>
      </w:pPr>
      <w:r>
        <w:rPr>
          <w:rFonts w:ascii="宋体" w:hAnsi="宋体"/>
          <w:sz w:val="21"/>
        </w:rPr>
        <w:t xml:space="preserve">5</w:t>
      </w:r>
      <w:r>
        <w:rPr>
          <w:rFonts w:hint="eastAsia" w:ascii="宋体" w:hAnsi="宋体"/>
          <w:sz w:val="21"/>
        </w:rPr>
        <w:t xml:space="preserve">.3 数据内容安全审核监测服务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需要对12320网站和微信公众号等媒体平台的目标内容进行监测，通过敏感词库匹配，对不良信息进行监测识别，支持主流格式违规文本识别监测，支持网页中的图片识别，支持网页中的附件识别。可提供违规内容明细，支持违规证据的固化留存及内容溯源追踪，全方位满足问题核查与整改落地需求，违规截图标明在页面及源代码中错误所在位置，高亮标注。</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（三）项目实施与管理要求</w:t>
      </w:r>
      <w:r/>
    </w:p>
    <w:p>
      <w:pPr>
        <w:ind w:left="0" w:firstLine="420"/>
        <w:spacing w:line="360" w:lineRule="auto"/>
        <w:tabs>
          <w:tab w:val="left" w:pos="420" w:leader="none"/>
        </w:tabs>
        <w:rPr>
          <w:rFonts w:ascii="宋体" w:hAnsi="宋体"/>
          <w:sz w:val="21"/>
        </w:rPr>
      </w:pPr>
      <w:r>
        <w:rPr>
          <w:rFonts w:ascii="宋体" w:hAnsi="宋体"/>
          <w:sz w:val="21"/>
        </w:rPr>
        <w:t xml:space="preserve">1.项目团队要求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投标单位必须承诺在中标后，立刻提供本项目的详细工作进度安排，组建不少于20人的项目组人员配备方案，其中至少10人驻场服务。投标文件中须提供承诺函，未提供视为非实质性响应。</w:t>
      </w:r>
      <w:r/>
    </w:p>
    <w:p>
      <w:pPr>
        <w:ind w:left="0" w:firstLine="420"/>
        <w:spacing w:line="360" w:lineRule="auto"/>
        <w:tabs>
          <w:tab w:val="left" w:pos="420" w:leader="none"/>
        </w:tabs>
        <w:rPr>
          <w:rFonts w:ascii="宋体" w:hAnsi="宋体"/>
          <w:sz w:val="21"/>
        </w:rPr>
      </w:pPr>
      <w:r>
        <w:rPr>
          <w:rFonts w:hint="eastAsia" w:ascii="宋体" w:hAnsi="宋体"/>
          <w:sz w:val="21"/>
        </w:rPr>
        <w:t xml:space="preserve">为保证本项目建设过程中，沟通和协调的便利，中标人必须指定一名项目总负责人。项目建设过程中一旦出现重大问题，项目总负责人应该能及时赶到现场。</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中标后应根据本项目建设要求组织一支由资深项目负责人带领的经验丰富、开发能力强的项目团队，确保在系统调研、分析设计、开发测试和培训实施等各个阶段项目团队的稳定性，项目团队成员变更时，须事先征得项目采购人的同意后，方可进行变更。</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.方案评审</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w:t>
      </w:r>
      <w:r>
        <w:rPr>
          <w:rFonts w:ascii="宋体" w:hAnsi="宋体"/>
          <w:sz w:val="21"/>
        </w:rPr>
        <w:t xml:space="preserve">单位在完成系统设计后，设计方案需要经过业务部门确认。确认后，才可以进行系统的开发。</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.软件合法性和可用性</w:t>
      </w:r>
      <w:r/>
    </w:p>
    <w:p>
      <w:pPr>
        <w:ind w:left="0" w:firstLine="420"/>
        <w:spacing w:line="360" w:lineRule="auto"/>
        <w:tabs>
          <w:tab w:val="left" w:pos="420" w:leader="none"/>
        </w:tabs>
        <w:rPr>
          <w:rFonts w:ascii="宋体" w:hAnsi="宋体"/>
          <w:sz w:val="21"/>
        </w:rPr>
      </w:pPr>
      <w:r>
        <w:rPr>
          <w:rFonts w:ascii="宋体" w:hAnsi="宋体"/>
          <w:sz w:val="21"/>
        </w:rPr>
        <w:t xml:space="preserve">本项目中</w:t>
      </w:r>
      <w:r>
        <w:rPr>
          <w:rFonts w:hint="eastAsia" w:ascii="宋体" w:hAnsi="宋体"/>
          <w:sz w:val="21"/>
        </w:rPr>
        <w:t xml:space="preserve">中标人</w:t>
      </w:r>
      <w:r>
        <w:rPr>
          <w:rFonts w:ascii="宋体" w:hAnsi="宋体"/>
          <w:sz w:val="21"/>
        </w:rPr>
        <w:t xml:space="preserve">项目实施过程中使用及交付的所有成品软件和定制软件，要保证是永久、合法可用，并且不需要另行支付费用。如出现相关纠纷，由</w:t>
      </w:r>
      <w:r>
        <w:rPr>
          <w:rFonts w:hint="eastAsia" w:ascii="宋体" w:hAnsi="宋体"/>
          <w:sz w:val="21"/>
        </w:rPr>
        <w:t xml:space="preserve">中标人</w:t>
      </w:r>
      <w:r>
        <w:rPr>
          <w:rFonts w:ascii="宋体" w:hAnsi="宋体"/>
          <w:sz w:val="21"/>
        </w:rPr>
        <w:t xml:space="preserve">负责解决。</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.系统文档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中标人应严格按照国家软件工程规范进行，定制化开发系统必须根据开发进度及时提供有关文档，包括:</w:t>
      </w:r>
      <w:r/>
    </w:p>
    <w:p>
      <w:pPr>
        <w:ind w:left="0" w:firstLine="420"/>
        <w:spacing w:line="360" w:lineRule="auto"/>
        <w:tabs>
          <w:tab w:val="left" w:pos="420" w:leader="none"/>
        </w:tabs>
        <w:rPr>
          <w:rFonts w:ascii="宋体" w:hAnsi="宋体"/>
          <w:sz w:val="21"/>
        </w:rPr>
      </w:pPr>
      <w:r>
        <w:rPr>
          <w:rFonts w:hint="eastAsia" w:ascii="宋体" w:hAnsi="宋体"/>
          <w:sz w:val="21"/>
        </w:rPr>
        <w:t xml:space="preserve">（1）准备阶段:《实施计划》;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（2）需求分析阶段:《需求分析说明书》;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（3）设计阶段:《概要设计说明书》、《数据库设计说明书》、《系统内外部接口说明书》;</w:t>
      </w:r>
      <w:r/>
    </w:p>
    <w:p>
      <w:pPr>
        <w:ind w:left="0" w:firstLine="420"/>
        <w:spacing w:line="360" w:lineRule="auto"/>
        <w:tabs>
          <w:tab w:val="left" w:pos="420" w:leader="none"/>
        </w:tabs>
        <w:rPr>
          <w:rFonts w:ascii="宋体" w:hAnsi="宋体"/>
          <w:sz w:val="21"/>
        </w:rPr>
      </w:pPr>
      <w:r>
        <w:rPr>
          <w:rFonts w:hint="eastAsia" w:ascii="宋体" w:hAnsi="宋体"/>
          <w:sz w:val="21"/>
        </w:rPr>
        <w:t xml:space="preserve">（4）测试阶段:《测试计划》、《测试方案》、《测试报告》;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（5）上线阶段:《试运行/上线报告》，所有开发软件的源代码;</w:t>
      </w:r>
      <w:r/>
    </w:p>
    <w:p>
      <w:pPr>
        <w:ind w:left="0" w:firstLine="420"/>
        <w:spacing w:line="360" w:lineRule="auto"/>
        <w:tabs>
          <w:tab w:val="left" w:pos="420" w:leader="none"/>
        </w:tabs>
        <w:rPr>
          <w:rFonts w:ascii="宋体" w:hAnsi="宋体"/>
          <w:sz w:val="21"/>
        </w:rPr>
      </w:pPr>
      <w:r>
        <w:rPr>
          <w:rFonts w:hint="eastAsia" w:ascii="宋体" w:hAnsi="宋体"/>
          <w:sz w:val="21"/>
        </w:rPr>
        <w:t xml:space="preserve">（6）培训文档:《培训计划》;</w:t>
      </w:r>
      <w:r/>
    </w:p>
    <w:p>
      <w:pPr>
        <w:ind w:left="0" w:firstLine="420"/>
        <w:spacing w:line="360" w:lineRule="auto"/>
        <w:tabs>
          <w:tab w:val="left" w:pos="420" w:leader="none"/>
        </w:tabs>
        <w:rPr>
          <w:rFonts w:ascii="宋体" w:hAnsi="宋体"/>
          <w:sz w:val="21"/>
        </w:rPr>
      </w:pPr>
      <w:r>
        <w:rPr>
          <w:rFonts w:hint="eastAsia" w:ascii="宋体" w:hAnsi="宋体"/>
          <w:sz w:val="21"/>
        </w:rPr>
        <w:t xml:space="preserve">（7）交付使用:《用户手册》、《运维手册》，内容包含但不仅限于所有软硬件配置参数及相关说明;;</w:t>
      </w:r>
      <w:r/>
    </w:p>
    <w:p>
      <w:pPr>
        <w:ind w:left="0" w:firstLine="420"/>
        <w:spacing w:line="360" w:lineRule="auto"/>
        <w:tabs>
          <w:tab w:val="left" w:pos="420" w:leader="none"/>
        </w:tabs>
        <w:rPr>
          <w:rFonts w:ascii="宋体" w:hAnsi="宋体"/>
          <w:sz w:val="21"/>
        </w:rPr>
      </w:pPr>
      <w:r>
        <w:rPr>
          <w:rFonts w:hint="eastAsia" w:ascii="宋体" w:hAnsi="宋体"/>
          <w:sz w:val="21"/>
        </w:rPr>
        <w:t xml:space="preserve">（8）与项目相关的其他文档。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投标人须保证所提供产品具有合法的版权或使用权，本项目采购的产品，如在本项目范围内使用过程中出现版权或使用权纠纷，应由中标人负责。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.项目过程管控</w:t>
      </w:r>
      <w:r/>
    </w:p>
    <w:p>
      <w:pPr>
        <w:ind w:left="0" w:firstLine="420"/>
        <w:spacing w:line="360" w:lineRule="auto"/>
        <w:tabs>
          <w:tab w:val="left" w:pos="420" w:leader="none"/>
        </w:tabs>
        <w:rPr>
          <w:rFonts w:ascii="宋体" w:hAnsi="宋体"/>
          <w:sz w:val="21"/>
        </w:rPr>
      </w:pPr>
      <w:r>
        <w:rPr>
          <w:rFonts w:ascii="宋体" w:hAnsi="宋体"/>
          <w:sz w:val="21"/>
        </w:rPr>
        <w:t xml:space="preserve">项目</w:t>
      </w:r>
      <w:r>
        <w:rPr>
          <w:rFonts w:hint="eastAsia" w:ascii="宋体" w:hAnsi="宋体"/>
          <w:sz w:val="21"/>
        </w:rPr>
        <w:t xml:space="preserve">中标人</w:t>
      </w:r>
      <w:r>
        <w:rPr>
          <w:rFonts w:ascii="宋体" w:hAnsi="宋体"/>
          <w:sz w:val="21"/>
        </w:rPr>
        <w:t xml:space="preserve">在整个项目承建过程中，需要接受项目采购单位对项目的整体管控要求，项目采购单位可针对</w:t>
      </w:r>
      <w:r>
        <w:rPr>
          <w:rFonts w:hint="eastAsia" w:ascii="宋体" w:hAnsi="宋体"/>
          <w:sz w:val="21"/>
        </w:rPr>
        <w:t xml:space="preserve">中标人</w:t>
      </w:r>
      <w:r>
        <w:rPr>
          <w:rFonts w:ascii="宋体" w:hAnsi="宋体"/>
          <w:sz w:val="21"/>
        </w:rPr>
        <w:t xml:space="preserve">在项目实施过程中的失误发出项目整改通知单，</w:t>
      </w:r>
      <w:r>
        <w:rPr>
          <w:rFonts w:hint="eastAsia" w:ascii="宋体" w:hAnsi="宋体"/>
          <w:sz w:val="21"/>
        </w:rPr>
        <w:t xml:space="preserve">中标人</w:t>
      </w:r>
      <w:r>
        <w:rPr>
          <w:rFonts w:ascii="宋体" w:hAnsi="宋体"/>
          <w:sz w:val="21"/>
        </w:rPr>
        <w:t xml:space="preserve">应在收到整改通知单后 2 个工作日内向项目采购单位以书面方式提交整改计划，并在项目采购单位规定的期限内整改完毕，否则，项目采购单位可根据合同相关条款进行处罚。</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.保密要求</w:t>
      </w:r>
      <w:r/>
    </w:p>
    <w:p>
      <w:pPr>
        <w:ind w:left="0" w:firstLine="420"/>
        <w:spacing w:line="360" w:lineRule="auto"/>
        <w:tabs>
          <w:tab w:val="left" w:pos="420" w:leader="none"/>
        </w:tabs>
        <w:rPr>
          <w:rFonts w:ascii="宋体" w:hAnsi="宋体"/>
          <w:sz w:val="21"/>
        </w:rPr>
      </w:pPr>
      <w:r>
        <w:rPr>
          <w:rFonts w:ascii="宋体" w:hAnsi="宋体"/>
          <w:sz w:val="21"/>
        </w:rPr>
        <w:t xml:space="preserve">本项目要求实施方在实施方案中针对本项目建设内容制定保密措施并在项目实施过程中严格执行，以保证项目的成功实施。实施方必须提供对本项目的保密承诺。</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实施进度要求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本项目在合同签订后，1个月内完成配套软硬件到货、部署实施工作，</w:t>
      </w:r>
      <w:r>
        <w:rPr>
          <w:rFonts w:ascii="宋体" w:hAnsi="宋体"/>
          <w:sz w:val="21"/>
        </w:rPr>
        <w:t xml:space="preserve">6个月内</w:t>
      </w:r>
      <w:r>
        <w:rPr>
          <w:rFonts w:hint="eastAsia" w:ascii="宋体" w:hAnsi="宋体"/>
          <w:sz w:val="21"/>
        </w:rPr>
        <w:t xml:space="preserve">完成项目开发工作以及部署上线工作，上线后进入不少于3个月的试运行期，</w:t>
      </w:r>
      <w:r>
        <w:rPr>
          <w:rFonts w:hint="eastAsia" w:ascii="宋体" w:hAnsi="宋体"/>
          <w:sz w:val="21"/>
        </w:rPr>
        <w:t xml:space="preserve">试运行</w:t>
      </w:r>
      <w:r>
        <w:rPr>
          <w:rFonts w:hint="eastAsia" w:ascii="宋体" w:hAnsi="宋体"/>
          <w:sz w:val="21"/>
        </w:rPr>
        <w:t xml:space="preserve">合格后组织</w:t>
      </w:r>
      <w:r>
        <w:rPr>
          <w:rFonts w:hint="eastAsia" w:ascii="宋体" w:hAnsi="宋体"/>
          <w:sz w:val="21"/>
        </w:rPr>
        <w:t xml:space="preserve">验收</w:t>
      </w:r>
      <w:r>
        <w:rPr>
          <w:rFonts w:hint="eastAsia" w:ascii="宋体" w:hAnsi="宋体"/>
          <w:sz w:val="21"/>
        </w:rPr>
        <w:t xml:space="preserve">，验收通过后提供3年免费运维服务，免费运维期结束后额外提供2年免费升级服务。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应根据时间节点要求，明确整个实施过程及系统开发各阶段任务说明；明确项目进度管理措施、进度计划；明确在项目实施的各个阶段工作结束后，应提交相关的详细说明文档。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w:t>
      </w:r>
      <w:r>
        <w:rPr>
          <w:rFonts w:ascii="宋体" w:hAnsi="宋体"/>
          <w:b/>
          <w:sz w:val="21"/>
        </w:rPr>
        <w:t xml:space="preserve">验收要求</w:t>
      </w:r>
      <w:r>
        <w:rPr>
          <w:rFonts w:hint="eastAsia" w:ascii="宋体" w:hAnsi="宋体"/>
          <w:b/>
          <w:sz w:val="21"/>
        </w:rPr>
        <w:t xml:space="preserve">及付款标准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4.1验收标准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各模块独立验收，验收工作先由中标人提出书面验收申请，由采购人确认后，组织验收小组进行验收。验收小组对各模块的履约情况进行验收，各模块在满足合同约定验收条件的情况下，并获得采购人书面确认，视为验收通过。</w:t>
      </w:r>
      <w:r/>
    </w:p>
    <w:p>
      <w:pPr>
        <w:ind w:left="0" w:firstLine="420"/>
        <w:spacing w:line="360" w:lineRule="auto"/>
        <w:tabs>
          <w:tab w:val="left" w:pos="420" w:leader="none"/>
        </w:tabs>
        <w:rPr>
          <w:rFonts w:ascii="宋体" w:hAnsi="宋体"/>
          <w:sz w:val="21"/>
        </w:rPr>
      </w:pPr>
      <w:r>
        <w:rPr>
          <w:rFonts w:hint="eastAsia" w:ascii="宋体" w:hAnsi="宋体"/>
          <w:sz w:val="21"/>
        </w:rPr>
        <w:t xml:space="preserve">4.2付款标准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配套硬件及软件部分：合同生效后支付该部分合同金额的30%，配套硬件及软件送达现场并经甲方确认接收后，支付该部分款项至对应合同金额的80%，验收通过后支付至对应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（2）系统建设部分：合同生效后支付该部分金额的30%，</w:t>
      </w:r>
      <w:r>
        <w:rPr>
          <w:rFonts w:hint="eastAsia" w:ascii="宋体" w:hAnsi="宋体"/>
          <w:sz w:val="21"/>
          <w:szCs w:val="21"/>
        </w:rPr>
        <w:t xml:space="preserve">系统建设部分上线试运行后</w:t>
      </w:r>
      <w:r>
        <w:rPr>
          <w:rFonts w:hint="eastAsia" w:ascii="宋体" w:hAnsi="宋体"/>
          <w:sz w:val="21"/>
        </w:rPr>
        <w:t xml:space="preserve">，支付该部分款项至对应合同金额的80%，验收通过后支付至对应合同金额的95%，稳定运行一年内结清对应部分余款；</w:t>
      </w:r>
      <w:r/>
    </w:p>
    <w:p>
      <w:pPr>
        <w:ind w:left="0" w:firstLine="420"/>
        <w:spacing w:line="360" w:lineRule="auto"/>
        <w:tabs>
          <w:tab w:val="left" w:pos="420" w:leader="none"/>
        </w:tabs>
        <w:rPr>
          <w:rFonts w:ascii="宋体" w:hAnsi="宋体"/>
          <w:sz w:val="21"/>
        </w:rPr>
      </w:pPr>
      <w:r>
        <w:rPr>
          <w:rFonts w:hint="eastAsia" w:ascii="宋体" w:hAnsi="宋体"/>
          <w:sz w:val="21"/>
        </w:rPr>
        <w:t xml:space="preserve">（3）配套服务部分：合同生效后支付该部分金额的30%，配套服务于合同签订后开始执行,数据安全风险评估服务、数据内容安全审核监测服务、web应用防护服务，出具服务报告,经甲方确认后支付该部分尾款。 </w:t>
      </w:r>
      <w:r>
        <w:rPr>
          <w:rFonts w:ascii="宋体" w:hAnsi="宋体"/>
          <w:sz w:val="21"/>
        </w:rPr>
        <w:t xml:space="preserve"> </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五</w:t>
      </w:r>
      <w:r>
        <w:rPr>
          <w:rFonts w:ascii="宋体" w:hAnsi="宋体"/>
          <w:b/>
          <w:sz w:val="21"/>
        </w:rPr>
        <w:t xml:space="preserve">）系统培训要求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必须向</w:t>
      </w:r>
      <w:r>
        <w:rPr>
          <w:rFonts w:hint="eastAsia" w:ascii="宋体" w:hAnsi="宋体"/>
          <w:sz w:val="21"/>
        </w:rPr>
        <w:t xml:space="preserve">采购人</w:t>
      </w:r>
      <w:r>
        <w:rPr>
          <w:rFonts w:ascii="宋体" w:hAnsi="宋体"/>
          <w:sz w:val="21"/>
        </w:rPr>
        <w:t xml:space="preserve">提供免费培训，培训方式应包括理论培训和现场培训。</w:t>
      </w:r>
      <w:r>
        <w:rPr>
          <w:rFonts w:hint="eastAsia" w:ascii="宋体" w:hAnsi="宋体"/>
          <w:sz w:val="21"/>
        </w:rPr>
        <w:t xml:space="preserve">中标人</w:t>
      </w:r>
      <w:r>
        <w:rPr>
          <w:rFonts w:ascii="宋体" w:hAnsi="宋体"/>
          <w:sz w:val="21"/>
        </w:rPr>
        <w:t xml:space="preserve">须针对不同的培训对象，包括对领导、管理者、各级最终用户和系统管理员等相关技术人员，在投标文件中提出全面、详细的培训计划，包括但不限于培训内容、培训时间、地点、授课老师等，并提供课程体系、培训方法和考核方法等，培训讲师费用由</w:t>
      </w:r>
      <w:r>
        <w:rPr>
          <w:rFonts w:hint="eastAsia" w:ascii="宋体" w:hAnsi="宋体"/>
          <w:sz w:val="21"/>
        </w:rPr>
        <w:t xml:space="preserve">中标人</w:t>
      </w:r>
      <w:r>
        <w:rPr>
          <w:rFonts w:ascii="宋体" w:hAnsi="宋体"/>
          <w:sz w:val="21"/>
        </w:rPr>
        <w:t xml:space="preserve">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派出的培训教员应具备丰富的相同课程教学经验，所有的培训教员必须中文授课，成交单位必须为所有被培训人员提供培训用文字资料和讲义等相关用品。</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应按</w:t>
      </w:r>
      <w:r>
        <w:rPr>
          <w:rFonts w:hint="eastAsia" w:ascii="宋体" w:hAnsi="宋体"/>
          <w:sz w:val="21"/>
        </w:rPr>
        <w:t xml:space="preserve">采购人</w:t>
      </w:r>
      <w:r>
        <w:rPr>
          <w:rFonts w:ascii="宋体" w:hAnsi="宋体"/>
          <w:sz w:val="21"/>
        </w:rPr>
        <w:t xml:space="preserve">约定合理地安排培训时间。</w:t>
      </w:r>
      <w:r/>
    </w:p>
    <w:p>
      <w:pPr>
        <w:ind w:left="0" w:firstLine="420"/>
        <w:spacing w:line="360" w:lineRule="auto"/>
        <w:tabs>
          <w:tab w:val="left" w:pos="420" w:leader="none"/>
        </w:tabs>
        <w:rPr>
          <w:rFonts w:ascii="宋体" w:hAnsi="宋体"/>
          <w:sz w:val="21"/>
        </w:rPr>
      </w:pPr>
      <w:r>
        <w:rPr>
          <w:rFonts w:hint="eastAsia" w:ascii="宋体" w:hAnsi="宋体"/>
          <w:sz w:val="21"/>
        </w:rPr>
        <w:t xml:space="preserve">中标人</w:t>
      </w:r>
      <w:r>
        <w:rPr>
          <w:rFonts w:ascii="宋体" w:hAnsi="宋体"/>
          <w:sz w:val="21"/>
        </w:rPr>
        <w:t xml:space="preserve">需在投标书中说明培训的计划、内容和深度，原则上要求</w:t>
      </w:r>
      <w:r>
        <w:rPr>
          <w:rFonts w:hint="eastAsia" w:ascii="宋体" w:hAnsi="宋体"/>
          <w:sz w:val="21"/>
        </w:rPr>
        <w:t xml:space="preserve">采购人</w:t>
      </w:r>
      <w:r>
        <w:rPr>
          <w:rFonts w:ascii="宋体" w:hAnsi="宋体"/>
          <w:sz w:val="21"/>
        </w:rPr>
        <w:t xml:space="preserve">的相关人员要完全学会系统的知识技能。</w:t>
      </w:r>
      <w:r/>
    </w:p>
    <w:p>
      <w:pPr>
        <w:ind w:left="0" w:firstLine="422"/>
        <w:spacing w:line="360" w:lineRule="auto"/>
        <w:tabs>
          <w:tab w:val="left" w:pos="420" w:leader="none"/>
        </w:tabs>
        <w:rPr>
          <w:rFonts w:ascii="宋体" w:hAnsi="宋体"/>
          <w:b/>
          <w:sz w:val="21"/>
        </w:rPr>
      </w:pPr>
      <w:r>
        <w:rPr>
          <w:rFonts w:ascii="宋体" w:hAnsi="宋体"/>
          <w:b/>
          <w:sz w:val="21"/>
        </w:rPr>
        <w:t xml:space="preserve">（</w:t>
      </w:r>
      <w:r>
        <w:rPr>
          <w:rFonts w:hint="eastAsia" w:ascii="宋体" w:hAnsi="宋体"/>
          <w:b/>
          <w:sz w:val="21"/>
        </w:rPr>
        <w:t xml:space="preserve">六</w:t>
      </w:r>
      <w:r>
        <w:rPr>
          <w:rFonts w:ascii="宋体" w:hAnsi="宋体"/>
          <w:b/>
          <w:sz w:val="21"/>
        </w:rPr>
        <w:t xml:space="preserve">）质量保证及售后服务要求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人对所有产品需提供自项目验收完成后3年免费运维服务，免费运维期结束后额外2年免费升级服务。投标人应对所投标的产品售后服务体系、售后服务年限、技术支持情况做出说明。质保期内应提供不少于2人的本地驻场服务人员</w:t>
      </w:r>
      <w:r>
        <w:rPr>
          <w:rFonts w:ascii="宋体" w:hAnsi="宋体"/>
          <w:sz w:val="21"/>
        </w:rPr>
        <w:t xml:space="preserve">，负责软件系统维护服务</w:t>
      </w:r>
      <w:r>
        <w:rPr>
          <w:rFonts w:hint="eastAsia" w:ascii="宋体" w:hAnsi="宋体"/>
          <w:sz w:val="21"/>
        </w:rPr>
        <w:t xml:space="preserve">，</w:t>
      </w:r>
      <w:r>
        <w:rPr>
          <w:rFonts w:ascii="宋体" w:hAnsi="宋体"/>
          <w:sz w:val="21"/>
        </w:rPr>
        <w:t xml:space="preserve">服务内容包括：使用指导，</w:t>
      </w:r>
      <w:r>
        <w:rPr>
          <w:rFonts w:hint="eastAsia" w:ascii="宋体" w:hAnsi="宋体"/>
          <w:sz w:val="21"/>
        </w:rPr>
        <w:t xml:space="preserve">BUG修复</w:t>
      </w:r>
      <w:r>
        <w:rPr>
          <w:rFonts w:ascii="宋体" w:hAnsi="宋体"/>
          <w:sz w:val="21"/>
        </w:rPr>
        <w:t xml:space="preserve">，对隐含的错误进行纠正，新版本的升级。</w:t>
      </w:r>
      <w:r>
        <w:rPr>
          <w:rFonts w:hint="eastAsia" w:ascii="宋体" w:hAnsi="宋体"/>
          <w:sz w:val="21"/>
        </w:rPr>
        <w:t xml:space="preserve">维护方式包括：电话解答，远程维护，技术人员现场解决问题。对故障在 1 小时内响应，2 小时以内到现场，4 小时以内提出问题解决方案并采取相应措施保障用户正常使用。</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在维护期内，按采购人要求提供质量保证及售后服务，不再另外收取费用。投标人必须明确提出维护期内软件的升级、维修、维护内容及服务方式。</w:t>
      </w:r>
      <w:r/>
    </w:p>
    <w:p>
      <w:pPr>
        <w:ind w:left="0" w:firstLine="420"/>
        <w:spacing w:line="360" w:lineRule="auto"/>
        <w:tabs>
          <w:tab w:val="left" w:pos="420" w:leader="none"/>
        </w:tabs>
        <w:rPr>
          <w:rFonts w:ascii="宋体" w:hAnsi="宋体"/>
          <w:sz w:val="21"/>
        </w:rPr>
      </w:pPr>
      <w:r>
        <w:rPr>
          <w:rFonts w:ascii="宋体" w:hAnsi="宋体"/>
          <w:sz w:val="21"/>
        </w:rPr>
        <w:t xml:space="preserve">3、具备专业的本地化售后服务团队，能保证提供每天 24 小时不间断的售后服务。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、遇有重大活动需要确保系统正常运作的，成交单位在接到通知后，应当在活动期间提供人员现场保障。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、在安装调试过程中，应满足采购单位提出的合理要求。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、所有软件产品的维护期自本项目</w:t>
      </w:r>
      <w:r>
        <w:rPr>
          <w:rFonts w:hint="eastAsia" w:ascii="宋体" w:hAnsi="宋体"/>
          <w:sz w:val="21"/>
        </w:rPr>
        <w:t xml:space="preserve">验收</w:t>
      </w:r>
      <w:r>
        <w:rPr>
          <w:rFonts w:ascii="宋体" w:hAnsi="宋体"/>
          <w:sz w:val="21"/>
        </w:rPr>
        <w:t xml:space="preserve">合格书签订之日起开始计算。项目建设期间及维护期均属于免费服务期，该期限内的所有售后服务，包括软件维护、应用软件升级、提供替代品等所产生的费用（不包含更换硬件和系统软件的费用）均由</w:t>
      </w:r>
      <w:r>
        <w:rPr>
          <w:rFonts w:hint="eastAsia" w:ascii="宋体" w:hAnsi="宋体"/>
          <w:sz w:val="21"/>
        </w:rPr>
        <w:t xml:space="preserve">中标人</w:t>
      </w:r>
      <w:r>
        <w:rPr>
          <w:rFonts w:ascii="宋体" w:hAnsi="宋体"/>
          <w:sz w:val="21"/>
        </w:rPr>
        <w:t xml:space="preserve">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中标人</w:t>
      </w:r>
      <w:r>
        <w:rPr>
          <w:rFonts w:ascii="宋体" w:hAnsi="宋体"/>
          <w:sz w:val="21"/>
        </w:rPr>
        <w:t xml:space="preserve">在维护期满后应继续向</w:t>
      </w:r>
      <w:r>
        <w:rPr>
          <w:rFonts w:hint="eastAsia" w:ascii="宋体" w:hAnsi="宋体"/>
          <w:sz w:val="21"/>
        </w:rPr>
        <w:t xml:space="preserve">采购人</w:t>
      </w:r>
      <w:r>
        <w:rPr>
          <w:rFonts w:ascii="宋体" w:hAnsi="宋体"/>
          <w:sz w:val="21"/>
        </w:rPr>
        <w:t xml:space="preserve">提供保证质量的售后服务， 以维持系统正常运作，售后服务定价不得偏离市场价格规律。</w:t>
      </w:r>
      <w:r/>
    </w:p>
    <w:p>
      <w:pPr>
        <w:ind w:left="0" w:firstLine="420"/>
        <w:spacing w:line="360" w:lineRule="auto"/>
        <w:tabs>
          <w:tab w:val="left" w:pos="420" w:leader="none"/>
        </w:tabs>
        <w:rPr>
          <w:rFonts w:ascii="宋体" w:hAnsi="宋体"/>
          <w:sz w:val="21"/>
          <w:szCs w:val="21"/>
          <w:highlight w:val="none"/>
        </w:rPr>
      </w:pPr>
      <w:r>
        <w:rPr>
          <w:rFonts w:hint="eastAsia" w:ascii="宋体" w:hAnsi="宋体"/>
          <w:sz w:val="21"/>
        </w:rPr>
        <w:t xml:space="preserve">8</w:t>
      </w:r>
      <w:r>
        <w:rPr>
          <w:rFonts w:ascii="宋体" w:hAnsi="宋体"/>
          <w:sz w:val="21"/>
        </w:rPr>
        <w:t xml:space="preserve">、投标人应根据自身条件和能力提交详细的售后服务方案和计划。售后服务方案和计划应包括提供售后服务的保障措施，必须明确所能提供的包括但不限于以上几项的服务内容及维护细则。</w:t>
      </w:r>
      <w:r/>
    </w:p>
    <w:p>
      <w:pPr>
        <w:ind w:left="0" w:right="0" w:firstLine="422"/>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注：本项目为JSZC-320500-JZCG-G2026-0175项目第二标段作废重新立项采购，JSZC-320500-JZCG-G2026-0175项目第一标段中标单位不进入本项目评审程序，特此说明。</w:t>
      </w:r>
      <w:r/>
      <w:r>
        <w:rPr>
          <w:rFonts w:ascii="宋体" w:hAnsi="宋体"/>
          <w:sz w:val="21"/>
          <w:highlight w:val="none"/>
        </w:rPr>
      </w:r>
      <w:r>
        <w:rPr>
          <w:rFonts w:ascii="宋体" w:hAnsi="宋体"/>
          <w:sz w:val="21"/>
          <w:highlight w:val="none"/>
        </w:rPr>
      </w:r>
      <w:r>
        <w:rPr>
          <w:sz w:val="20"/>
        </w:rPr>
      </w:r>
    </w:p>
    <w:p>
      <w:pPr>
        <w:pStyle w:val="1016"/>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ascii="宋体" w:hAnsi="宋体"/>
          <w:sz w:val="21"/>
        </w:rPr>
        <w:t xml:space="preserve">投标人须对本项目中的所有系统及服务进行投报，不得漏报，否则作无效投标处理。</w:t>
      </w:r>
      <w:r>
        <w:rPr>
          <w:rFonts w:hint="eastAsia" w:ascii="宋体" w:hAnsi="宋体"/>
          <w:sz w:val="21"/>
        </w:rPr>
        <w:t xml:space="preserve">投标应以人民币报价，投标总价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.投标人应该保证为本项目提供的软件代码编译、发布及运行，不依赖于其他任何付费服务。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采购人对本项目实施过程中产生的知识成果（包括但不限于目标代码、源代码、版权、专利权、设计、专有知识、派生知识、方法、技术、工艺及文档材料等）共同享有所有的产权、所有权及其它知识产权和权益。</w:t>
      </w:r>
      <w:r/>
    </w:p>
    <w:p>
      <w:pPr>
        <w:pStyle w:val="101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6号）及《中小企业划型标准规定》（工信部联企业〔2011〕300号），本采购标的对应的中小企业划分标准所属行业为：软件和信息技术服务业。</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55" w:name="OLE_LINK36"/>
      <w:r/>
      <w:bookmarkStart w:id="156" w:name="OLE_LINK37"/>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bookmarkEnd w:id="155"/>
      <w:r/>
      <w:bookmarkEnd w:id="156"/>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b/>
          <w:sz w:val="21"/>
          <w:szCs w:val="21"/>
        </w:rPr>
      </w:pPr>
      <w:r/>
      <w:bookmarkStart w:id="157" w:name="OLE_LINK46"/>
      <w:r/>
      <w:bookmarkStart w:id="158" w:name="OLE_LINK47"/>
      <w:r>
        <w:rPr>
          <w:rFonts w:hint="eastAsia"/>
          <w:b/>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57"/>
      <w:r/>
      <w:bookmarkEnd w:id="158"/>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0"/>
        <w:ind w:left="0" w:firstLine="0"/>
        <w:jc w:val="center"/>
        <w:rPr>
          <w:rFonts w:ascii="宋体" w:hAnsi="宋体"/>
          <w:b/>
          <w:sz w:val="44"/>
          <w:szCs w:val="22"/>
        </w:rPr>
      </w:pPr>
      <w:r/>
      <w:bookmarkStart w:id="159" w:name="_Toc5111"/>
      <w:r/>
      <w:bookmarkStart w:id="160" w:name="_Toc11789"/>
      <w:r/>
      <w:bookmarkStart w:id="161" w:name="_Hlk55741158"/>
      <w:r>
        <w:rPr>
          <w:rFonts w:hint="eastAsia" w:ascii="宋体" w:hAnsi="宋体"/>
          <w:b/>
          <w:sz w:val="44"/>
          <w:szCs w:val="22"/>
        </w:rPr>
        <w:br w:type="page" w:clear="all"/>
      </w:r>
      <w:bookmarkStart w:id="162" w:name="_Toc235617202"/>
      <w:r>
        <w:rPr>
          <w:rFonts w:hint="eastAsia" w:ascii="宋体" w:hAnsi="宋体"/>
          <w:b/>
          <w:sz w:val="44"/>
          <w:szCs w:val="22"/>
        </w:rPr>
        <w:t xml:space="preserve">第五章 </w:t>
      </w:r>
      <w:bookmarkStart w:id="163" w:name="合同的特殊条款"/>
      <w:r/>
      <w:bookmarkEnd w:id="163"/>
      <w:r>
        <w:rPr>
          <w:rFonts w:hint="eastAsia" w:ascii="宋体" w:hAnsi="宋体"/>
          <w:b/>
          <w:sz w:val="44"/>
          <w:szCs w:val="22"/>
        </w:rPr>
        <w:t xml:space="preserve"> 合同及主要条款</w:t>
      </w:r>
      <w:bookmarkEnd w:id="159"/>
      <w:r/>
      <w:bookmarkEnd w:id="160"/>
      <w:r/>
      <w:bookmarkEnd w:id="162"/>
      <w:r/>
      <w:r/>
    </w:p>
    <w:p>
      <w:pPr>
        <w:ind w:left="0"/>
        <w:jc w:val="center"/>
        <w:rPr>
          <w:rFonts w:ascii="宋体" w:hAnsi="宋体"/>
          <w:b/>
          <w:sz w:val="32"/>
          <w:szCs w:val="32"/>
        </w:rPr>
      </w:pPr>
      <w:r/>
      <w:bookmarkStart w:id="164" w:name="OLE_LINK13"/>
      <w:r/>
      <w:bookmarkStart w:id="165" w:name="_Toc8564"/>
      <w:r/>
      <w:bookmarkStart w:id="166" w:name="_Toc57376410"/>
      <w:r/>
      <w:bookmarkStart w:id="167" w:name="_Toc27667"/>
      <w:r/>
      <w:bookmarkEnd w:id="161"/>
      <w:r>
        <w:rPr>
          <w:rFonts w:hint="eastAsia" w:ascii="宋体" w:hAnsi="宋体"/>
          <w:b/>
          <w:sz w:val="32"/>
          <w:szCs w:val="32"/>
        </w:rPr>
        <w:t xml:space="preserve">政府采购合同</w:t>
      </w:r>
      <w:bookmarkEnd w:id="164"/>
      <w:r/>
      <w:r/>
    </w:p>
    <w:p>
      <w:pPr>
        <w:ind w:left="0"/>
        <w:jc w:val="left"/>
        <w:spacing w:line="480" w:lineRule="exact"/>
        <w:rPr>
          <w:rFonts w:ascii="宋体" w:hAnsi="宋体"/>
          <w:b/>
          <w:sz w:val="21"/>
          <w:szCs w:val="21"/>
        </w:rPr>
      </w:pPr>
      <w:r>
        <w:rPr>
          <w:rFonts w:hint="eastAsia" w:ascii="宋体" w:hAnsi="宋体"/>
          <w:b/>
          <w:sz w:val="21"/>
          <w:szCs w:val="21"/>
        </w:rPr>
        <w:t xml:space="preserve">项目名称：苏州市公改示范项目健康医疗大数据中心升级建设、便民惠民应用体系及安全保障体系项目</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JSZC-320500-JZCG-G2026-0290</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bookmarkStart w:id="168" w:name="OLE_LINK117"/>
      <w:r>
        <w:rPr>
          <w:rFonts w:hint="eastAsia" w:ascii="宋体" w:hAnsi="宋体"/>
          <w:b/>
          <w:sz w:val="21"/>
          <w:szCs w:val="21"/>
        </w:rPr>
        <w:t xml:space="preserve">三、合同总价款及支付</w:t>
      </w:r>
      <w:r/>
    </w:p>
    <w:p>
      <w:pPr>
        <w:ind w:left="0" w:firstLine="420"/>
        <w:jc w:val="left"/>
        <w:spacing w:line="360" w:lineRule="auto"/>
        <w:widowControl w:val="off"/>
        <w:rPr>
          <w:rFonts w:ascii="宋体" w:hAnsi="宋体"/>
          <w:sz w:val="21"/>
          <w:szCs w:val="24"/>
          <w14:ligatures w14:val="standardContextual"/>
        </w:rPr>
      </w:pPr>
      <w:r>
        <w:rPr>
          <w:rFonts w:hint="eastAsia" w:ascii="宋体" w:hAnsi="宋体"/>
          <w:sz w:val="21"/>
          <w:szCs w:val="21"/>
          <w14:ligatures w14:val="standardContextual"/>
        </w:rPr>
        <w:t xml:space="preserve">1</w:t>
      </w:r>
      <w:r>
        <w:rPr>
          <w:rFonts w:ascii="宋体" w:hAnsi="宋体"/>
          <w:sz w:val="21"/>
          <w:szCs w:val="21"/>
          <w14:ligatures w14:val="standardContextual"/>
        </w:rPr>
        <w:t xml:space="preserve">.</w:t>
      </w:r>
      <w:r>
        <w:rPr>
          <w:rFonts w:hint="eastAsia" w:ascii="宋体" w:hAnsi="宋体"/>
          <w:sz w:val="21"/>
          <w:szCs w:val="21"/>
          <w14:ligatures w14:val="standardContextual"/>
        </w:rPr>
        <w:t xml:space="preserve">合同总价款：大写人民币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元整，小写￥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14:ligatures w14:val="standardContextual"/>
        </w:rPr>
        <w:t xml:space="preserve">。其中</w:t>
      </w:r>
      <w:r>
        <w:rPr>
          <w:rFonts w:hint="eastAsia" w:ascii="宋体" w:hAnsi="宋体"/>
          <w:sz w:val="21"/>
        </w:rPr>
        <w:t xml:space="preserve">配套硬件及软件金额</w:t>
      </w:r>
      <w:r>
        <w:rPr>
          <w:rFonts w:hint="eastAsia" w:ascii="宋体" w:hAnsi="宋体"/>
          <w:sz w:val="21"/>
          <w:szCs w:val="21"/>
          <w14:ligatures w14:val="standardContextual"/>
        </w:rPr>
        <w:t xml:space="preserve">（含税）为人民币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元整，增值税税率为13%，不含税金额为人民币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系</w:t>
      </w:r>
      <w:r>
        <w:rPr>
          <w:rFonts w:ascii="宋体" w:hAnsi="宋体"/>
          <w:sz w:val="21"/>
        </w:rPr>
        <w:t xml:space="preserve">统建设</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w:t>
      </w:r>
      <w:r>
        <w:rPr>
          <w:rFonts w:hint="eastAsia" w:ascii="宋体" w:hAnsi="宋体"/>
          <w:sz w:val="21"/>
        </w:rPr>
        <w:t xml:space="preserve">配套服务</w:t>
      </w:r>
      <w:r>
        <w:rPr>
          <w:rFonts w:hint="eastAsia" w:ascii="宋体" w:hAnsi="宋体"/>
          <w:sz w:val="21"/>
          <w:szCs w:val="21"/>
          <w14:ligatures w14:val="standardContextual"/>
        </w:rPr>
        <w:t xml:space="preserve">金额（含税）为人民币</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元（以下简称“合同总金额”），大写：</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元整，增值税税率为6%，不含税金额为人民币</w:t>
      </w:r>
      <w:r>
        <w:rPr>
          <w:rFonts w:hint="eastAsia" w:ascii="宋体" w:hAnsi="宋体"/>
          <w:sz w:val="21"/>
          <w:szCs w:val="21"/>
          <w:u w:val="single"/>
          <w14:ligatures w14:val="standardContextual"/>
        </w:rPr>
        <w:t xml:space="preserve">     </w:t>
      </w:r>
      <w:r>
        <w:rPr>
          <w:rFonts w:ascii="宋体" w:hAnsi="宋体"/>
          <w:sz w:val="21"/>
          <w:szCs w:val="21"/>
          <w:u w:val="single"/>
          <w14:ligatures w14:val="standardContextual"/>
        </w:rPr>
        <w:t xml:space="preserve"> </w:t>
      </w:r>
      <w:r>
        <w:rPr>
          <w:rFonts w:hint="eastAsia" w:ascii="宋体" w:hAnsi="宋体"/>
          <w:sz w:val="21"/>
          <w:szCs w:val="21"/>
          <w:u w:val="single"/>
          <w14:ligatures w14:val="standardContextual"/>
        </w:rPr>
        <w:t xml:space="preserve">  </w:t>
      </w:r>
      <w:r>
        <w:rPr>
          <w:rFonts w:hint="eastAsia" w:ascii="宋体" w:hAnsi="宋体"/>
          <w:sz w:val="21"/>
          <w:szCs w:val="21"/>
          <w14:ligatures w14:val="standardContextual"/>
        </w:rPr>
        <w:t xml:space="preserve">元。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bookmarkEnd w:id="168"/>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2"/>
        <w:spacing w:line="480" w:lineRule="exact"/>
        <w:widowControl w:val="off"/>
        <w:rPr>
          <w:rFonts w:ascii="宋体" w:hAnsi="宋体"/>
          <w:sz w:val="21"/>
          <w:szCs w:val="21"/>
          <w:u w:val="single"/>
        </w:rPr>
      </w:pPr>
      <w:r>
        <w:rPr>
          <w:rFonts w:ascii="Wingdings 2" w:hAnsi="Wingdings 2" w:eastAsia="Wingdings 2" w:cs="Wingdings 2"/>
          <w:b/>
          <w:sz w:val="21"/>
          <w:szCs w:val="21"/>
        </w:rPr>
        <w:t xml:space="preserve">R</w:t>
      </w:r>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合同总金额：</w:t>
      </w:r>
      <w:r>
        <w:rPr>
          <w:rFonts w:hint="eastAsia" w:ascii="宋体" w:hAnsi="宋体"/>
          <w:sz w:val="21"/>
          <w:szCs w:val="21"/>
          <w:u w:val="single"/>
        </w:rPr>
        <w:t xml:space="preserve">             </w:t>
      </w:r>
      <w:r>
        <w:rPr>
          <w:rFonts w:hint="eastAsia" w:ascii="宋体" w:hAnsi="宋体"/>
          <w:sz w:val="21"/>
          <w:szCs w:val="21"/>
        </w:rPr>
        <w:t xml:space="preserve">元，其中：配套硬件</w:t>
      </w:r>
      <w:r>
        <w:rPr>
          <w:rFonts w:hint="eastAsia" w:ascii="宋体" w:hAnsi="宋体"/>
          <w:sz w:val="21"/>
        </w:rPr>
        <w:t xml:space="preserve">及软件</w:t>
      </w:r>
      <w:r>
        <w:rPr>
          <w:rFonts w:hint="eastAsia" w:ascii="宋体" w:hAnsi="宋体"/>
          <w:sz w:val="21"/>
          <w:szCs w:val="21"/>
        </w:rPr>
        <w:t xml:space="preserve">金额：</w:t>
      </w:r>
      <w:r>
        <w:rPr>
          <w:rFonts w:hint="eastAsia" w:ascii="宋体" w:hAnsi="宋体"/>
          <w:sz w:val="21"/>
          <w:szCs w:val="21"/>
          <w:u w:val="single"/>
        </w:rPr>
        <w:t xml:space="preserve">             </w:t>
      </w:r>
      <w:r>
        <w:rPr>
          <w:rFonts w:hint="eastAsia" w:ascii="宋体" w:hAnsi="宋体"/>
          <w:sz w:val="21"/>
          <w:szCs w:val="21"/>
        </w:rPr>
        <w:t xml:space="preserve">元，系统建设金额：</w:t>
      </w:r>
      <w:r>
        <w:rPr>
          <w:rFonts w:hint="eastAsia" w:ascii="宋体" w:hAnsi="宋体"/>
          <w:sz w:val="21"/>
          <w:szCs w:val="21"/>
          <w:u w:val="single"/>
        </w:rPr>
        <w:t xml:space="preserve">             </w:t>
      </w:r>
      <w:r>
        <w:rPr>
          <w:rFonts w:hint="eastAsia" w:ascii="宋体" w:hAnsi="宋体"/>
          <w:sz w:val="21"/>
          <w:szCs w:val="21"/>
        </w:rPr>
        <w:t xml:space="preserve">元，配套服务金额：</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（1）配套硬件及软件部分：合同生效后支付该部分合同金额的30%，配套硬件及软件送达现场并经甲方确认接收后</w:t>
      </w:r>
      <w:bookmarkStart w:id="169" w:name="OLE_LINK118"/>
      <w:r>
        <w:rPr>
          <w:rFonts w:hint="eastAsia" w:ascii="宋体" w:hAnsi="宋体"/>
          <w:sz w:val="21"/>
          <w:szCs w:val="21"/>
        </w:rPr>
        <w:t xml:space="preserve">，支付该部分款项至对应合同金额的80%，</w:t>
      </w:r>
      <w:bookmarkEnd w:id="169"/>
      <w:r>
        <w:rPr>
          <w:rFonts w:hint="eastAsia" w:ascii="宋体" w:hAnsi="宋体"/>
          <w:sz w:val="21"/>
          <w:szCs w:val="21"/>
        </w:rPr>
        <w:t xml:space="preserve">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（2）系统建设部分：合同生效后支付该部分金额的30%，</w:t>
      </w:r>
      <w:r>
        <w:rPr>
          <w:rFonts w:hint="eastAsia" w:ascii="宋体" w:hAnsi="宋体"/>
          <w:sz w:val="21"/>
          <w:szCs w:val="21"/>
        </w:rPr>
        <w:t xml:space="preserve">系统建设部分上线试运行后</w:t>
      </w:r>
      <w:r>
        <w:rPr>
          <w:rFonts w:hint="eastAsia" w:ascii="宋体" w:hAnsi="宋体"/>
          <w:sz w:val="21"/>
          <w:szCs w:val="21"/>
        </w:rPr>
        <w:t xml:space="preserve">，支付该部分款项至对应合同金额的80%，验收通过后支付至对应合同金额的95%，稳定运行一年内结清对应部分余款；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（3）配套服务部分：合同生效后支付该部分金额的30%，配套服务于合同签订后开始执行,数据安全风险评估服务、数据内容安全审核监测服务、web应用防护服务，出具服务报告,经甲方确认后支付该部分尾款。 </w:t>
      </w:r>
      <w:r>
        <w:rPr>
          <w:rFonts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供应商提出验收申请之日起十五日内组织验收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p>
    <w:p>
      <w:pPr>
        <w:spacing w:line="480" w:lineRule="exact"/>
        <w:rPr>
          <w:rFonts w:ascii="宋体" w:hAnsi="宋体"/>
          <w:bCs/>
          <w:sz w:val="21"/>
          <w:szCs w:val="21"/>
          <w:u w:val="single"/>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（1）配套货物部分：</w:t>
      </w:r>
      <w:bookmarkStart w:id="170" w:name="OLE_LINK113"/>
      <w:r>
        <w:rPr>
          <w:rFonts w:hint="eastAsia" w:ascii="宋体" w:hAnsi="宋体"/>
          <w:bCs/>
          <w:sz w:val="21"/>
          <w:szCs w:val="21"/>
          <w:u w:val="single"/>
        </w:rPr>
        <w:t xml:space="preserve">配套硬件货物完成到货现场并签收确认</w:t>
      </w:r>
      <w:bookmarkEnd w:id="170"/>
      <w:r>
        <w:rPr>
          <w:rFonts w:hint="eastAsia" w:ascii="宋体" w:hAnsi="宋体"/>
          <w:bCs/>
          <w:sz w:val="21"/>
          <w:szCs w:val="21"/>
          <w:u w:val="single"/>
        </w:rPr>
        <w:t xml:space="preserve">，上架试运行1个月，试运行合格后组织验收；配套软件货物部署、激活、授权绑定并</w:t>
      </w:r>
      <w:bookmarkStart w:id="171" w:name="OLE_LINK114"/>
      <w:r>
        <w:rPr>
          <w:rFonts w:hint="eastAsia" w:ascii="宋体" w:hAnsi="宋体"/>
          <w:bCs/>
          <w:sz w:val="21"/>
          <w:szCs w:val="21"/>
          <w:u w:val="single"/>
        </w:rPr>
        <w:t xml:space="preserve">进行1个月试运行</w:t>
      </w:r>
      <w:bookmarkEnd w:id="171"/>
      <w:r>
        <w:rPr>
          <w:rFonts w:hint="eastAsia" w:ascii="宋体" w:hAnsi="宋体"/>
          <w:bCs/>
          <w:sz w:val="21"/>
          <w:szCs w:val="21"/>
          <w:u w:val="single"/>
        </w:rPr>
        <w:t xml:space="preserve">，</w:t>
      </w:r>
      <w:bookmarkStart w:id="172" w:name="OLE_LINK115"/>
      <w:r>
        <w:rPr>
          <w:rFonts w:hint="eastAsia" w:ascii="宋体" w:hAnsi="宋体"/>
          <w:bCs/>
          <w:sz w:val="21"/>
          <w:szCs w:val="21"/>
          <w:u w:val="single"/>
        </w:rPr>
        <w:t xml:space="preserve">试运行合格后组</w:t>
      </w:r>
      <w:bookmarkEnd w:id="172"/>
      <w:r>
        <w:rPr>
          <w:rFonts w:hint="eastAsia" w:ascii="宋体" w:hAnsi="宋体"/>
          <w:bCs/>
          <w:sz w:val="21"/>
          <w:szCs w:val="21"/>
          <w:u w:val="single"/>
        </w:rPr>
        <w:t xml:space="preserve">织验收；</w:t>
      </w:r>
      <w:r/>
    </w:p>
    <w:p>
      <w:pPr>
        <w:spacing w:line="480" w:lineRule="exact"/>
        <w:rPr>
          <w:rFonts w:ascii="宋体" w:hAnsi="宋体"/>
          <w:bCs/>
          <w:sz w:val="21"/>
          <w:szCs w:val="21"/>
          <w:u w:val="single"/>
        </w:rPr>
      </w:pPr>
      <w:r>
        <w:rPr>
          <w:rFonts w:hint="eastAsia" w:ascii="宋体" w:hAnsi="宋体"/>
          <w:bCs/>
          <w:sz w:val="21"/>
          <w:szCs w:val="21"/>
          <w:u w:val="single"/>
        </w:rPr>
        <w:t xml:space="preserve"> （2）系统建设部分：完成各系统主要功能模块开发工作和实际网络运行环境部署工作后，进入不少于3个月的试运行期，试运行期结束后，以专家组验收方式对软件建设成果进行验收；</w:t>
      </w:r>
      <w:r/>
    </w:p>
    <w:p>
      <w:pPr>
        <w:spacing w:line="480" w:lineRule="exact"/>
        <w:rPr>
          <w:rFonts w:ascii="宋体" w:hAnsi="宋体"/>
          <w:bCs/>
          <w:sz w:val="21"/>
          <w:szCs w:val="21"/>
        </w:rPr>
      </w:pPr>
      <w:r>
        <w:rPr>
          <w:rFonts w:hint="eastAsia" w:ascii="宋体" w:hAnsi="宋体"/>
          <w:bCs/>
          <w:sz w:val="21"/>
          <w:szCs w:val="21"/>
          <w:u w:val="single"/>
        </w:rPr>
        <w:t xml:space="preserve">（3）配套服务部分：配套服务完成服务内容并出具对应的服务报告，经甲方确认后，组织验收。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bookmarkStart w:id="173" w:name="OLE_LINK179"/>
      <w:r>
        <w:rPr>
          <w:rFonts w:hint="eastAsia" w:ascii="宋体" w:hAnsi="宋体"/>
          <w:bCs/>
          <w:sz w:val="21"/>
          <w:szCs w:val="21"/>
          <w:u w:val="single"/>
        </w:rPr>
        <w:t xml:space="preserve">包括但不限于组成合同文件所要求的服务内容或承诺，具</w:t>
      </w:r>
      <w:bookmarkEnd w:id="173"/>
      <w:r>
        <w:rPr>
          <w:rFonts w:hint="eastAsia" w:ascii="宋体" w:hAnsi="宋体"/>
          <w:bCs/>
          <w:sz w:val="21"/>
          <w:szCs w:val="21"/>
          <w:u w:val="single"/>
        </w:rPr>
        <w:t xml:space="preserve">体为本项目设备配备情况、</w:t>
      </w:r>
      <w:bookmarkStart w:id="174" w:name="OLE_LINK180"/>
      <w:r>
        <w:rPr>
          <w:rFonts w:hint="eastAsia" w:ascii="宋体" w:hAnsi="宋体"/>
          <w:bCs/>
          <w:sz w:val="21"/>
          <w:szCs w:val="21"/>
          <w:u w:val="single"/>
        </w:rPr>
        <w:t xml:space="preserve">清单数量、交付的软件资料以及成果、配套验收资料、服务承诺等。</w:t>
      </w:r>
      <w:bookmarkEnd w:id="174"/>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p>
    <w:p>
      <w:pPr>
        <w:ind w:left="0" w:firstLine="420"/>
        <w:spacing w:line="480" w:lineRule="exact"/>
        <w:rPr>
          <w:rFonts w:ascii="宋体" w:hAnsi="宋体"/>
          <w:bCs/>
          <w:sz w:val="21"/>
          <w:szCs w:val="21"/>
          <w:u w:val="single"/>
        </w:rPr>
      </w:pPr>
      <w:r>
        <w:rPr>
          <w:rFonts w:hint="eastAsia" w:ascii="宋体" w:hAnsi="宋体"/>
          <w:bCs/>
          <w:sz w:val="21"/>
          <w:szCs w:val="21"/>
          <w:u w:val="single"/>
        </w:rPr>
        <w:t xml:space="preserve">本</w:t>
      </w:r>
      <w:bookmarkStart w:id="175" w:name="OLE_LINK178"/>
      <w:r>
        <w:rPr>
          <w:rFonts w:hint="eastAsia" w:ascii="宋体" w:hAnsi="宋体"/>
          <w:bCs/>
          <w:sz w:val="21"/>
          <w:szCs w:val="21"/>
          <w:u w:val="single"/>
        </w:rPr>
        <w:t xml:space="preserve">合同内各软件模块独立上线验收，项目完成软件部署上线试运行后，组织软件验收。先由乙方提出书面验收申请，甲方接到书面申请后，在满足合同约定验收条件的情况下，组织项目验收，按照验收标准，对平台每一服务的履约情况进行验收，最终交付成果物符合合同和甲</w:t>
      </w:r>
      <w:bookmarkEnd w:id="175"/>
      <w:r>
        <w:rPr>
          <w:rFonts w:hint="eastAsia" w:ascii="宋体" w:hAnsi="宋体"/>
          <w:bCs/>
          <w:sz w:val="21"/>
          <w:szCs w:val="21"/>
          <w:u w:val="single"/>
        </w:rPr>
        <w:t xml:space="preserve">方要求，并获得甲方确认。</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w:t>
      </w:r>
      <w:r>
        <w:rPr>
          <w:rFonts w:ascii="宋体" w:hAnsi="宋体"/>
          <w:b/>
          <w:color w:val="000000" w:themeColor="text1"/>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w:t>
      </w:r>
      <w:r>
        <w:rPr>
          <w:rFonts w:hint="eastAsia" w:ascii="宋体" w:hAnsi="宋体"/>
          <w:sz w:val="21"/>
          <w:szCs w:val="21"/>
        </w:rPr>
        <w:t xml:space="preserve">一</w:t>
      </w:r>
      <w:r>
        <w:rPr>
          <w:rFonts w:ascii="宋体" w:hAnsi="宋体"/>
          <w:sz w:val="21"/>
          <w:szCs w:val="21"/>
        </w:rPr>
        <w:t xml:space="preserve">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02"/>
        <w:ind w:left="0" w:firstLine="0"/>
      </w:pPr>
      <w:r/>
      <w:r/>
    </w:p>
    <w:p>
      <w:pPr>
        <w:ind w:left="0"/>
        <w:jc w:val="left"/>
        <w:rPr>
          <w:rFonts w:ascii="宋体" w:hAnsi="宋体"/>
          <w:b/>
          <w:sz w:val="44"/>
          <w:szCs w:val="22"/>
        </w:rPr>
      </w:pPr>
      <w:r>
        <w:rPr>
          <w:rFonts w:ascii="宋体" w:hAnsi="宋体"/>
          <w:b/>
          <w:sz w:val="44"/>
          <w:szCs w:val="22"/>
        </w:rPr>
        <w:br w:type="page" w:clear="all"/>
      </w:r>
      <w:r/>
    </w:p>
    <w:p>
      <w:pPr>
        <w:pStyle w:val="990"/>
        <w:ind w:left="0" w:firstLine="0"/>
        <w:jc w:val="center"/>
        <w:rPr>
          <w:rFonts w:ascii="宋体" w:hAnsi="宋体"/>
          <w:b/>
          <w:sz w:val="44"/>
          <w:szCs w:val="22"/>
        </w:rPr>
      </w:pPr>
      <w:r/>
      <w:bookmarkStart w:id="176" w:name="_Toc235617205"/>
      <w:r/>
      <w:bookmarkStart w:id="177" w:name="_GoBack"/>
      <w:r/>
      <w:bookmarkEnd w:id="177"/>
      <w:r>
        <w:rPr>
          <w:rFonts w:hint="eastAsia" w:ascii="宋体" w:hAnsi="宋体"/>
          <w:b/>
          <w:sz w:val="44"/>
          <w:szCs w:val="22"/>
        </w:rPr>
        <w:t xml:space="preserve">第六章 </w:t>
      </w:r>
      <w:bookmarkStart w:id="178" w:name="评分要点"/>
      <w:r/>
      <w:bookmarkEnd w:id="178"/>
      <w:r>
        <w:rPr>
          <w:rFonts w:hint="eastAsia" w:ascii="宋体" w:hAnsi="宋体"/>
          <w:b/>
          <w:sz w:val="44"/>
          <w:szCs w:val="22"/>
        </w:rPr>
        <w:t xml:space="preserve"> 评标办法和评分标准</w:t>
      </w:r>
      <w:bookmarkEnd w:id="165"/>
      <w:r/>
      <w:bookmarkEnd w:id="166"/>
      <w:r/>
      <w:bookmarkEnd w:id="167"/>
      <w:r/>
      <w:bookmarkEnd w:id="176"/>
      <w:r/>
      <w:r/>
    </w:p>
    <w:p>
      <w:pPr>
        <w:ind w:left="0" w:firstLine="422"/>
        <w:spacing w:line="360" w:lineRule="auto"/>
        <w:rPr>
          <w:rFonts w:ascii="宋体" w:hAnsi="宋体"/>
          <w:b/>
          <w:sz w:val="21"/>
          <w:szCs w:val="21"/>
        </w:rPr>
      </w:pPr>
      <w:r/>
      <w:bookmarkStart w:id="179" w:name="_Toc698"/>
      <w:r/>
      <w:bookmarkStart w:id="180" w:name="_Toc16264"/>
      <w:r/>
      <w:bookmarkStart w:id="181" w:name="_Toc17476"/>
      <w:r>
        <w:rPr>
          <w:rFonts w:hint="eastAsia" w:ascii="宋体" w:hAnsi="宋体"/>
          <w:b/>
          <w:sz w:val="21"/>
          <w:szCs w:val="21"/>
        </w:rPr>
        <w:t xml:space="preserve">一、评标办法：</w:t>
      </w:r>
      <w:bookmarkEnd w:id="179"/>
      <w:r/>
      <w:bookmarkEnd w:id="180"/>
      <w:r/>
      <w:bookmarkEnd w:id="18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采购本国产品的支持政策</w:t>
      </w:r>
      <w:r/>
    </w:p>
    <w:p>
      <w:pPr>
        <w:ind w:left="0" w:firstLine="422"/>
        <w:spacing w:line="360" w:lineRule="auto"/>
        <w:rPr>
          <w:rFonts w:ascii="宋体" w:hAnsi="宋体"/>
          <w:sz w:val="21"/>
        </w:rPr>
      </w:pPr>
      <w:r>
        <w:rPr>
          <w:rFonts w:hint="eastAsia"/>
          <w:b/>
          <w:sz w:val="2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Start w:id="182" w:name="OLE_LINK17"/>
      <w:r/>
      <w:bookmarkStart w:id="183" w:name="OLE_LINK25"/>
      <w:r/>
      <w:r/>
    </w:p>
    <w:p>
      <w:pPr>
        <w:ind w:left="0" w:firstLine="420"/>
        <w:spacing w:line="360" w:lineRule="auto"/>
        <w:tabs>
          <w:tab w:val="left" w:pos="567" w:leader="none"/>
        </w:tabs>
        <w:rPr>
          <w:b/>
          <w:sz w:val="21"/>
          <w:szCs w:val="21"/>
        </w:rPr>
      </w:pPr>
      <w:r>
        <w:rPr>
          <w:rFonts w:ascii="宋体" w:hAnsi="宋体"/>
          <w:sz w:val="21"/>
          <w:szCs w:val="21"/>
        </w:rPr>
        <w:t xml:space="preserve">5.1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5.2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8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82"/>
      <w:r/>
      <w:bookmarkEnd w:id="183"/>
      <w:r/>
      <w:bookmarkEnd w:id="184"/>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pStyle w:val="1359"/>
        <w:numPr>
          <w:ilvl w:val="0"/>
          <w:numId w:val="1"/>
        </w:numPr>
        <w:spacing w:line="360" w:lineRule="auto"/>
        <w:rPr>
          <w:rFonts w:ascii="宋体" w:hAnsi="宋体"/>
          <w:b/>
          <w:sz w:val="21"/>
          <w:szCs w:val="21"/>
        </w:rPr>
      </w:pPr>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2"/>
      </w:pPr>
      <w:r>
        <w:br w:type="page" w:clear="all"/>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373"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134"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1</w:t>
            </w:r>
            <w:r>
              <w:rPr>
                <w:rFonts w:hint="eastAsia" w:ascii="宋体" w:hAnsi="宋体" w:cs="Tahoma"/>
                <w:b/>
                <w:sz w:val="21"/>
                <w:szCs w:val="21"/>
              </w:rPr>
              <w:t xml:space="preserve">0分）</w:t>
            </w:r>
            <w:r/>
          </w:p>
        </w:tc>
        <w:tc>
          <w:tcPr>
            <w:tcW w:w="1418" w:type="dxa"/>
            <w:vAlign w:val="center"/>
            <w:textDirection w:val="lrTb"/>
            <w:noWrap/>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rPr>
              <w:t xml:space="preserve">投标报价得分＝（评标基准价/投标报价）×</w:t>
            </w:r>
            <w:r>
              <w:rPr>
                <w:rFonts w:ascii="宋体" w:hAnsi="宋体"/>
                <w:sz w:val="21"/>
                <w:szCs w:val="21"/>
              </w:rPr>
              <w:t xml:space="preserve">10</w:t>
            </w:r>
            <w:r>
              <w:rPr>
                <w:rFonts w:hint="eastAsia" w:ascii="宋体" w:hAnsi="宋体"/>
                <w:sz w:val="21"/>
                <w:szCs w:val="21"/>
              </w:rPr>
              <w:t xml:space="preserve">％×100</w:t>
            </w:r>
            <w:r/>
          </w:p>
        </w:tc>
        <w:tc>
          <w:tcPr>
            <w:tcW w:w="1134" w:type="dxa"/>
            <w:vAlign w:val="center"/>
            <w:textDirection w:val="lrTb"/>
            <w:noWrap/>
          </w:tcPr>
          <w:p>
            <w:pPr>
              <w:ind w:left="0"/>
              <w:jc w:val="center"/>
              <w:widowControl w:val="off"/>
              <w:rPr>
                <w:rFonts w:ascii="宋体" w:hAnsi="宋体" w:cs="Tahoma"/>
                <w:sz w:val="21"/>
                <w:szCs w:val="21"/>
              </w:rPr>
            </w:pPr>
            <w:r>
              <w:rPr>
                <w:rFonts w:ascii="宋体" w:hAnsi="宋体"/>
                <w:sz w:val="21"/>
                <w:szCs w:val="21"/>
              </w:rPr>
              <w:t xml:space="preserve">1</w:t>
            </w:r>
            <w:r>
              <w:rPr>
                <w:rFonts w:hint="eastAsia" w:ascii="宋体" w:hAnsi="宋体"/>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9</w:t>
            </w:r>
            <w:r>
              <w:rPr>
                <w:rFonts w:hint="eastAsia" w:ascii="宋体" w:hAnsi="宋体" w:cs="Tahoma"/>
                <w:b/>
                <w:sz w:val="21"/>
                <w:szCs w:val="21"/>
              </w:rPr>
              <w:t xml:space="preserve">0分）</w:t>
            </w:r>
            <w:r/>
          </w:p>
        </w:tc>
        <w:tc>
          <w:tcPr>
            <w:tcW w:w="1418" w:type="dxa"/>
            <w:vAlign w:val="center"/>
            <w:textDirection w:val="lrTb"/>
            <w:noWrap/>
          </w:tcPr>
          <w:p>
            <w:pPr>
              <w:ind w:left="0"/>
              <w:jc w:val="center"/>
              <w:rPr>
                <w:rFonts w:ascii="宋体" w:hAnsi="宋体" w:cs="Tahoma"/>
                <w:b/>
                <w:sz w:val="21"/>
                <w:szCs w:val="21"/>
              </w:rPr>
            </w:pPr>
            <w:r>
              <w:rPr>
                <w:rFonts w:hint="eastAsia"/>
                <w:b/>
                <w:sz w:val="21"/>
                <w:szCs w:val="21"/>
              </w:rPr>
              <w:t xml:space="preserve">背景及现状理解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投标单位基于采购要求和理解程度，对</w:t>
            </w:r>
            <w:r>
              <w:rPr>
                <w:rFonts w:hint="eastAsia" w:ascii="宋体" w:hAnsi="宋体"/>
                <w:sz w:val="21"/>
                <w:szCs w:val="21"/>
              </w:rPr>
              <w:t xml:space="preserve">本</w:t>
            </w:r>
            <w:r>
              <w:rPr>
                <w:rFonts w:hint="eastAsia" w:ascii="宋体" w:hAnsi="宋体"/>
                <w:sz w:val="21"/>
                <w:szCs w:val="21"/>
              </w:rPr>
              <w:t xml:space="preserve">项目的背景</w:t>
            </w:r>
            <w:r>
              <w:rPr>
                <w:rFonts w:hint="eastAsia" w:ascii="宋体" w:hAnsi="宋体"/>
                <w:sz w:val="21"/>
                <w:szCs w:val="21"/>
              </w:rPr>
              <w:t xml:space="preserve">及</w:t>
            </w:r>
            <w:r>
              <w:rPr>
                <w:rFonts w:hint="eastAsia" w:ascii="宋体" w:hAnsi="宋体"/>
                <w:sz w:val="21"/>
                <w:szCs w:val="21"/>
              </w:rPr>
              <w:t xml:space="preserve">现状</w:t>
            </w:r>
            <w:r>
              <w:rPr>
                <w:rFonts w:hint="eastAsia" w:ascii="宋体" w:hAnsi="宋体"/>
                <w:sz w:val="21"/>
                <w:szCs w:val="21"/>
              </w:rPr>
              <w:t xml:space="preserve">内容</w:t>
            </w:r>
            <w:r>
              <w:rPr>
                <w:rFonts w:hint="eastAsia" w:ascii="宋体" w:hAnsi="宋体"/>
                <w:sz w:val="21"/>
                <w:szCs w:val="21"/>
              </w:rPr>
              <w:t xml:space="preserve">进行阐述,内容包括但不限于：</w:t>
            </w:r>
            <w:r/>
          </w:p>
          <w:p>
            <w:pPr>
              <w:ind w:left="0"/>
              <w:widowControl w:val="off"/>
              <w:rPr>
                <w:rFonts w:ascii="宋体" w:hAnsi="宋体"/>
                <w:sz w:val="21"/>
                <w:szCs w:val="21"/>
              </w:rPr>
            </w:pPr>
            <w:r>
              <w:rPr>
                <w:rFonts w:hint="eastAsia" w:ascii="宋体" w:hAnsi="宋体"/>
                <w:sz w:val="21"/>
                <w:szCs w:val="21"/>
              </w:rPr>
              <w:t xml:space="preserve">（1）项目背景；</w:t>
            </w:r>
            <w:r/>
          </w:p>
          <w:p>
            <w:pPr>
              <w:ind w:left="0"/>
              <w:widowControl w:val="off"/>
              <w:rPr>
                <w:rFonts w:ascii="宋体" w:hAnsi="宋体"/>
                <w:sz w:val="21"/>
                <w:szCs w:val="21"/>
              </w:rPr>
            </w:pPr>
            <w:r>
              <w:rPr>
                <w:rFonts w:hint="eastAsia" w:ascii="宋体" w:hAnsi="宋体"/>
                <w:sz w:val="21"/>
                <w:szCs w:val="21"/>
              </w:rPr>
              <w:t xml:space="preserve">（2）实施单位信息化现状；</w:t>
            </w:r>
            <w:r/>
          </w:p>
          <w:p>
            <w:pPr>
              <w:ind w:left="0"/>
              <w:widowControl w:val="off"/>
              <w:rPr>
                <w:rFonts w:ascii="宋体" w:hAnsi="宋体"/>
                <w:sz w:val="21"/>
                <w:szCs w:val="21"/>
              </w:rPr>
            </w:pPr>
            <w:r>
              <w:rPr>
                <w:rFonts w:hint="eastAsia" w:ascii="宋体" w:hAnsi="宋体"/>
                <w:sz w:val="21"/>
                <w:szCs w:val="21"/>
              </w:rPr>
              <w:t xml:space="preserve">（3）存在的主要问题与差距；</w:t>
            </w:r>
            <w:r/>
          </w:p>
          <w:p>
            <w:pPr>
              <w:ind w:left="0"/>
              <w:widowControl w:val="off"/>
              <w:rPr>
                <w:rFonts w:ascii="宋体" w:hAnsi="宋体"/>
                <w:sz w:val="21"/>
                <w:szCs w:val="21"/>
              </w:rPr>
            </w:pPr>
            <w:r>
              <w:rPr>
                <w:rFonts w:hint="eastAsia" w:ascii="宋体" w:hAnsi="宋体"/>
                <w:sz w:val="21"/>
                <w:szCs w:val="21"/>
              </w:rPr>
              <w:t xml:space="preserve">（4）项目实施必要性分析；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上述每项应逐条叙述，内容科学合理、全面详实、条理清晰、切实可行的得3分；内容基本完整，条理较为清晰、具有一定的可行性的得1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分；每项叙述内容完全脱离采购需求或未作完整叙述的不得分。各子项单独计分，本项最高得12分。</w:t>
            </w:r>
            <w:r/>
          </w:p>
        </w:tc>
        <w:tc>
          <w:tcPr>
            <w:tcW w:w="113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sz w:val="21"/>
                <w:szCs w:val="21"/>
              </w:rPr>
            </w:pPr>
            <w:r>
              <w:rPr>
                <w:rFonts w:hint="eastAsia"/>
                <w:b/>
                <w:sz w:val="21"/>
                <w:szCs w:val="21"/>
              </w:rPr>
              <w:t xml:space="preserve">业务需求及目标理解</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投标单位基于采购要求和理解程度，对</w:t>
            </w:r>
            <w:r>
              <w:rPr>
                <w:rFonts w:hint="eastAsia" w:ascii="宋体" w:hAnsi="宋体"/>
                <w:sz w:val="21"/>
                <w:szCs w:val="21"/>
              </w:rPr>
              <w:t xml:space="preserve">本</w:t>
            </w:r>
            <w:r>
              <w:rPr>
                <w:rFonts w:hint="eastAsia" w:ascii="宋体" w:hAnsi="宋体"/>
                <w:sz w:val="21"/>
                <w:szCs w:val="21"/>
              </w:rPr>
              <w:t xml:space="preserve">项目的</w:t>
            </w:r>
            <w:r>
              <w:rPr>
                <w:rFonts w:hint="eastAsia" w:ascii="宋体" w:hAnsi="宋体"/>
                <w:sz w:val="21"/>
                <w:szCs w:val="21"/>
              </w:rPr>
              <w:t xml:space="preserve">业务</w:t>
            </w:r>
            <w:r>
              <w:rPr>
                <w:rFonts w:hint="eastAsia" w:ascii="宋体" w:hAnsi="宋体"/>
                <w:sz w:val="21"/>
                <w:szCs w:val="21"/>
              </w:rPr>
              <w:t xml:space="preserve">需求</w:t>
            </w:r>
            <w:r>
              <w:rPr>
                <w:rFonts w:hint="eastAsia" w:ascii="宋体" w:hAnsi="宋体"/>
                <w:sz w:val="21"/>
                <w:szCs w:val="21"/>
              </w:rPr>
              <w:t xml:space="preserve">及目标</w:t>
            </w:r>
            <w:r>
              <w:rPr>
                <w:rFonts w:hint="eastAsia" w:ascii="宋体" w:hAnsi="宋体"/>
                <w:sz w:val="21"/>
                <w:szCs w:val="21"/>
              </w:rPr>
              <w:t xml:space="preserve">内容进行阐述，内容包括但不限于：</w:t>
            </w:r>
            <w:r/>
          </w:p>
          <w:p>
            <w:pPr>
              <w:ind w:left="0"/>
              <w:widowControl w:val="off"/>
              <w:rPr>
                <w:rFonts w:ascii="宋体" w:hAnsi="宋体"/>
                <w:sz w:val="21"/>
                <w:szCs w:val="21"/>
              </w:rPr>
            </w:pPr>
            <w:r>
              <w:rPr>
                <w:rFonts w:hint="eastAsia" w:ascii="宋体" w:hAnsi="宋体"/>
                <w:sz w:val="21"/>
                <w:szCs w:val="21"/>
              </w:rPr>
              <w:t xml:space="preserve">（1）业务需求分析；</w:t>
            </w:r>
            <w:r/>
          </w:p>
          <w:p>
            <w:pPr>
              <w:ind w:left="0"/>
              <w:widowControl w:val="off"/>
              <w:rPr>
                <w:rFonts w:ascii="宋体" w:hAnsi="宋体"/>
                <w:sz w:val="21"/>
                <w:szCs w:val="21"/>
              </w:rPr>
            </w:pPr>
            <w:r>
              <w:rPr>
                <w:rFonts w:hint="eastAsia" w:ascii="宋体" w:hAnsi="宋体"/>
                <w:sz w:val="21"/>
                <w:szCs w:val="21"/>
              </w:rPr>
              <w:t xml:space="preserve">（2）目标分析；</w:t>
            </w:r>
            <w:r/>
          </w:p>
          <w:p>
            <w:pPr>
              <w:ind w:left="0"/>
              <w:widowControl w:val="off"/>
              <w:rPr>
                <w:rFonts w:ascii="宋体" w:hAnsi="宋体"/>
                <w:sz w:val="21"/>
                <w:szCs w:val="21"/>
              </w:rPr>
            </w:pPr>
            <w:r>
              <w:rPr>
                <w:rFonts w:hint="eastAsia" w:ascii="宋体" w:hAnsi="宋体"/>
                <w:sz w:val="21"/>
                <w:szCs w:val="21"/>
              </w:rPr>
              <w:t xml:space="preserve">（3）功能和性能分析；</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w:t>
            </w:r>
            <w:r>
              <w:rPr>
                <w:rFonts w:ascii="宋体" w:hAnsi="宋体"/>
                <w:sz w:val="21"/>
                <w:szCs w:val="21"/>
              </w:rPr>
              <w:t xml:space="preserve">3</w:t>
            </w:r>
            <w:r>
              <w:rPr>
                <w:rFonts w:hint="eastAsia" w:ascii="宋体" w:hAnsi="宋体"/>
                <w:sz w:val="21"/>
                <w:szCs w:val="21"/>
              </w:rPr>
              <w:t xml:space="preserve">分；内容基本完整，条理较为清晰、具有一定的可行性的得</w:t>
            </w:r>
            <w:r>
              <w:rPr>
                <w:rFonts w:ascii="宋体" w:hAnsi="宋体"/>
                <w:sz w:val="21"/>
                <w:szCs w:val="21"/>
              </w:rPr>
              <w:t xml:space="preserve">1.5</w:t>
            </w:r>
            <w:r>
              <w:rPr>
                <w:rFonts w:hint="eastAsia" w:ascii="宋体" w:hAnsi="宋体"/>
                <w:sz w:val="21"/>
                <w:szCs w:val="21"/>
              </w:rPr>
              <w:t xml:space="preserve">分；每项叙述内容完全脱离采购需求或未作完整叙述的不得分。各子项单独计分，本项最高得</w:t>
            </w:r>
            <w:r>
              <w:rPr>
                <w:rFonts w:ascii="宋体" w:hAnsi="宋体"/>
                <w:sz w:val="21"/>
                <w:szCs w:val="21"/>
              </w:rPr>
              <w:t xml:space="preserve">9</w:t>
            </w:r>
            <w:r>
              <w:rPr>
                <w:rFonts w:hint="eastAsia" w:ascii="宋体" w:hAnsi="宋体"/>
                <w:sz w:val="21"/>
                <w:szCs w:val="21"/>
              </w:rPr>
              <w:t xml:space="preserve">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b/>
                <w:sz w:val="21"/>
                <w:szCs w:val="21"/>
              </w:rPr>
            </w:pPr>
            <w:r>
              <w:rPr>
                <w:rFonts w:hint="eastAsia"/>
                <w:b/>
                <w:sz w:val="21"/>
                <w:szCs w:val="21"/>
              </w:rPr>
              <w:t xml:space="preserve">建设方案</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投标单位基于采购要求和理解程度，对</w:t>
            </w:r>
            <w:r>
              <w:rPr>
                <w:rFonts w:hint="eastAsia" w:ascii="宋体" w:hAnsi="宋体"/>
                <w:sz w:val="21"/>
                <w:szCs w:val="21"/>
              </w:rPr>
              <w:t xml:space="preserve">本</w:t>
            </w:r>
            <w:r>
              <w:rPr>
                <w:rFonts w:hint="eastAsia" w:ascii="宋体" w:hAnsi="宋体"/>
                <w:sz w:val="21"/>
                <w:szCs w:val="21"/>
              </w:rPr>
              <w:t xml:space="preserve">项目的建设方案进行阐述，内容包括但不限于：</w:t>
            </w:r>
            <w:r/>
          </w:p>
          <w:p>
            <w:pPr>
              <w:ind w:left="0"/>
              <w:widowControl w:val="off"/>
              <w:rPr>
                <w:rFonts w:ascii="宋体" w:hAnsi="宋体"/>
                <w:sz w:val="21"/>
                <w:szCs w:val="21"/>
              </w:rPr>
            </w:pPr>
            <w:r>
              <w:rPr>
                <w:rFonts w:hint="eastAsia" w:ascii="宋体" w:hAnsi="宋体"/>
                <w:sz w:val="21"/>
                <w:szCs w:val="21"/>
              </w:rPr>
              <w:t xml:space="preserve">（1）总体架构；</w:t>
            </w:r>
            <w:r/>
          </w:p>
          <w:p>
            <w:pPr>
              <w:ind w:left="0"/>
              <w:widowControl w:val="off"/>
              <w:rPr>
                <w:rFonts w:ascii="宋体" w:hAnsi="宋体"/>
                <w:sz w:val="21"/>
                <w:szCs w:val="21"/>
              </w:rPr>
            </w:pPr>
            <w:r>
              <w:rPr>
                <w:rFonts w:hint="eastAsia" w:ascii="宋体" w:hAnsi="宋体"/>
                <w:sz w:val="21"/>
                <w:szCs w:val="21"/>
              </w:rPr>
              <w:t xml:space="preserve">（2）网络架构以及各模块部署位置；</w:t>
            </w:r>
            <w:r/>
          </w:p>
          <w:p>
            <w:pPr>
              <w:ind w:left="0"/>
              <w:widowControl w:val="off"/>
              <w:rPr>
                <w:rFonts w:ascii="宋体" w:hAnsi="宋体"/>
                <w:sz w:val="21"/>
                <w:szCs w:val="21"/>
              </w:rPr>
            </w:pPr>
            <w:r>
              <w:rPr>
                <w:rFonts w:hint="eastAsia" w:ascii="宋体" w:hAnsi="宋体"/>
                <w:sz w:val="21"/>
                <w:szCs w:val="21"/>
              </w:rPr>
              <w:t xml:space="preserve">（3）功能建设方案；</w:t>
            </w:r>
            <w:r/>
          </w:p>
          <w:p>
            <w:pPr>
              <w:ind w:left="0"/>
              <w:widowControl w:val="off"/>
              <w:rPr>
                <w:rFonts w:ascii="宋体" w:hAnsi="宋体"/>
                <w:sz w:val="21"/>
                <w:szCs w:val="21"/>
              </w:rPr>
            </w:pPr>
            <w:r>
              <w:rPr>
                <w:rFonts w:hint="eastAsia" w:ascii="宋体" w:hAnsi="宋体"/>
                <w:sz w:val="21"/>
                <w:szCs w:val="21"/>
              </w:rPr>
              <w:t xml:space="preserve">（4）用户体系；</w:t>
            </w:r>
            <w:r/>
          </w:p>
          <w:p>
            <w:pPr>
              <w:ind w:left="0"/>
              <w:widowControl w:val="off"/>
              <w:rPr>
                <w:rFonts w:ascii="宋体" w:hAnsi="宋体"/>
                <w:sz w:val="21"/>
                <w:szCs w:val="21"/>
              </w:rPr>
            </w:pPr>
            <w:r>
              <w:rPr>
                <w:rFonts w:hint="eastAsia" w:ascii="宋体" w:hAnsi="宋体"/>
                <w:sz w:val="21"/>
                <w:szCs w:val="21"/>
              </w:rPr>
              <w:t xml:space="preserve">上述每项应逐条叙述，内容科学合理、全面详实、条理清晰、切实可行的得3分；内容基本完整，条理较为清晰、具有一定的可行性的得1</w:t>
            </w:r>
            <w:r>
              <w:rPr>
                <w:rFonts w:ascii="宋体" w:hAnsi="宋体"/>
                <w:sz w:val="21"/>
                <w:szCs w:val="21"/>
              </w:rPr>
              <w:t xml:space="preserve">.5</w:t>
            </w:r>
            <w:r>
              <w:rPr>
                <w:rFonts w:hint="eastAsia" w:ascii="宋体" w:hAnsi="宋体"/>
                <w:sz w:val="21"/>
                <w:szCs w:val="21"/>
              </w:rPr>
              <w:t xml:space="preserve">分；每项叙述内容完全脱离采购需求或未作完整叙述的不得分。各子项单独计分，本项最高得12分。</w:t>
            </w:r>
            <w:r/>
          </w:p>
        </w:tc>
        <w:tc>
          <w:tcPr>
            <w:tcW w:w="1134" w:type="dxa"/>
            <w:vAlign w:val="center"/>
            <w:textDirection w:val="lrTb"/>
            <w:noWrap/>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实施方案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w:t>
            </w:r>
            <w:r>
              <w:rPr>
                <w:rFonts w:hint="eastAsia" w:ascii="宋体" w:hAnsi="宋体"/>
                <w:bCs/>
                <w:sz w:val="21"/>
                <w:szCs w:val="21"/>
              </w:rPr>
              <w:t xml:space="preserve">本</w:t>
            </w:r>
            <w:r>
              <w:rPr>
                <w:rFonts w:hint="eastAsia" w:ascii="宋体" w:hAnsi="宋体"/>
                <w:bCs/>
                <w:sz w:val="21"/>
                <w:szCs w:val="21"/>
              </w:rPr>
              <w:t xml:space="preserve">项目的实施方案</w:t>
            </w:r>
            <w:r>
              <w:rPr>
                <w:rFonts w:hint="eastAsia" w:ascii="宋体" w:hAnsi="宋体"/>
                <w:sz w:val="21"/>
                <w:szCs w:val="21"/>
              </w:rPr>
              <w:t xml:space="preserve">进行阐述</w:t>
            </w:r>
            <w:r>
              <w:rPr>
                <w:rFonts w:hint="eastAsia" w:ascii="宋体" w:hAnsi="宋体"/>
                <w:bCs/>
                <w:sz w:val="21"/>
                <w:szCs w:val="21"/>
              </w:rPr>
              <w:t xml:space="preserve">，</w:t>
            </w:r>
            <w:r>
              <w:rPr>
                <w:rFonts w:hint="eastAsia" w:ascii="宋体" w:hAnsi="宋体"/>
                <w:bCs/>
                <w:sz w:val="21"/>
                <w:szCs w:val="21"/>
              </w:rPr>
              <w:t xml:space="preserve">内容包括但不限于：</w:t>
            </w:r>
            <w:r/>
          </w:p>
          <w:p>
            <w:pPr>
              <w:ind w:left="0"/>
              <w:widowControl w:val="off"/>
              <w:rPr>
                <w:rFonts w:ascii="宋体" w:hAnsi="宋体"/>
                <w:bCs/>
                <w:sz w:val="21"/>
                <w:szCs w:val="21"/>
              </w:rPr>
            </w:pPr>
            <w:r>
              <w:rPr>
                <w:rFonts w:hint="eastAsia" w:ascii="宋体" w:hAnsi="宋体"/>
                <w:bCs/>
                <w:sz w:val="21"/>
                <w:szCs w:val="21"/>
              </w:rPr>
              <w:t xml:space="preserve">（1）项目组织管理；</w:t>
            </w:r>
            <w:r/>
          </w:p>
          <w:p>
            <w:pPr>
              <w:ind w:left="0"/>
              <w:widowControl w:val="off"/>
              <w:rPr>
                <w:rFonts w:ascii="宋体" w:hAnsi="宋体"/>
                <w:bCs/>
                <w:sz w:val="21"/>
                <w:szCs w:val="21"/>
              </w:rPr>
            </w:pPr>
            <w:r>
              <w:rPr>
                <w:rFonts w:hint="eastAsia" w:ascii="宋体" w:hAnsi="宋体"/>
                <w:bCs/>
                <w:sz w:val="21"/>
                <w:szCs w:val="21"/>
              </w:rPr>
              <w:t xml:space="preserve">（2）实施过程管理；</w:t>
            </w:r>
            <w:r/>
          </w:p>
          <w:p>
            <w:pPr>
              <w:ind w:left="0"/>
              <w:widowControl w:val="off"/>
              <w:rPr>
                <w:rFonts w:ascii="宋体" w:hAnsi="宋体"/>
                <w:bCs/>
                <w:sz w:val="21"/>
                <w:szCs w:val="21"/>
              </w:rPr>
            </w:pPr>
            <w:r>
              <w:rPr>
                <w:rFonts w:hint="eastAsia" w:ascii="宋体" w:hAnsi="宋体"/>
                <w:bCs/>
                <w:sz w:val="21"/>
                <w:szCs w:val="21"/>
              </w:rPr>
              <w:t xml:space="preserve">（3）项目文档管理；</w:t>
            </w:r>
            <w:r/>
          </w:p>
          <w:p>
            <w:pPr>
              <w:ind w:left="0"/>
              <w:widowControl w:val="off"/>
              <w:rPr>
                <w:rFonts w:ascii="宋体" w:hAnsi="宋体"/>
                <w:bCs/>
                <w:sz w:val="21"/>
                <w:szCs w:val="21"/>
              </w:rPr>
            </w:pPr>
            <w:r>
              <w:rPr>
                <w:rFonts w:hint="eastAsia" w:ascii="宋体" w:hAnsi="宋体"/>
                <w:bCs/>
                <w:sz w:val="21"/>
                <w:szCs w:val="21"/>
              </w:rPr>
              <w:t xml:space="preserve">（4）项目质量管理保障方案；</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sz w:val="21"/>
                <w:szCs w:val="21"/>
              </w:rPr>
              <w:t xml:space="preserve">2</w:t>
            </w:r>
            <w:r>
              <w:rPr>
                <w:rFonts w:hint="eastAsia" w:ascii="宋体" w:hAnsi="宋体"/>
                <w:sz w:val="21"/>
                <w:szCs w:val="21"/>
              </w:rPr>
              <w:t xml:space="preserve">分</w:t>
            </w:r>
            <w:r>
              <w:rPr>
                <w:rFonts w:hint="eastAsia" w:ascii="宋体" w:hAnsi="宋体"/>
                <w:bCs/>
                <w:sz w:val="21"/>
                <w:szCs w:val="21"/>
              </w:rPr>
              <w:t xml:space="preserve">；内容基本完整，条理较为清晰、具有一定的可行性的得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w:t>
            </w:r>
            <w:r>
              <w:rPr>
                <w:rFonts w:hint="eastAsia" w:ascii="宋体" w:hAnsi="宋体"/>
                <w:sz w:val="21"/>
                <w:szCs w:val="21"/>
              </w:rPr>
              <w:t xml:space="preserve">不得分</w:t>
            </w:r>
            <w:r>
              <w:rPr>
                <w:rFonts w:hint="eastAsia" w:ascii="宋体" w:hAnsi="宋体"/>
                <w:bCs/>
                <w:sz w:val="21"/>
                <w:szCs w:val="21"/>
              </w:rPr>
              <w:t xml:space="preserve">。</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8</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8</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培训方案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w:t>
            </w:r>
            <w:r>
              <w:rPr>
                <w:rFonts w:hint="eastAsia" w:ascii="宋体" w:hAnsi="宋体"/>
                <w:bCs/>
                <w:sz w:val="21"/>
                <w:szCs w:val="21"/>
              </w:rPr>
              <w:t xml:space="preserve">本</w:t>
            </w:r>
            <w:r>
              <w:rPr>
                <w:rFonts w:hint="eastAsia" w:ascii="宋体" w:hAnsi="宋体"/>
                <w:bCs/>
                <w:sz w:val="21"/>
                <w:szCs w:val="21"/>
              </w:rPr>
              <w:t xml:space="preserve">项目</w:t>
            </w:r>
            <w:r>
              <w:rPr>
                <w:rFonts w:hint="eastAsia" w:ascii="宋体" w:hAnsi="宋体"/>
                <w:bCs/>
                <w:sz w:val="21"/>
                <w:szCs w:val="21"/>
              </w:rPr>
              <w:t xml:space="preserve">制定</w:t>
            </w:r>
            <w:r>
              <w:rPr>
                <w:rFonts w:hint="eastAsia" w:ascii="宋体" w:hAnsi="宋体"/>
                <w:bCs/>
                <w:sz w:val="21"/>
                <w:szCs w:val="21"/>
              </w:rPr>
              <w:t xml:space="preserve">培训方案，内容包括但不限于：</w:t>
            </w:r>
            <w:r/>
          </w:p>
          <w:p>
            <w:pPr>
              <w:ind w:left="0"/>
              <w:widowControl w:val="off"/>
              <w:rPr>
                <w:rFonts w:ascii="宋体" w:hAnsi="宋体"/>
                <w:bCs/>
                <w:sz w:val="21"/>
                <w:szCs w:val="21"/>
              </w:rPr>
            </w:pPr>
            <w:r>
              <w:rPr>
                <w:rFonts w:hint="eastAsia" w:ascii="宋体" w:hAnsi="宋体"/>
                <w:bCs/>
                <w:sz w:val="21"/>
                <w:szCs w:val="21"/>
              </w:rPr>
              <w:t xml:space="preserve">（1）充分理解本项目培训需求，准确掌握培训内容要点，并针对性做出培训方案；</w:t>
            </w:r>
            <w:r/>
          </w:p>
          <w:p>
            <w:pPr>
              <w:ind w:left="0"/>
              <w:widowControl w:val="off"/>
              <w:rPr>
                <w:rFonts w:ascii="宋体" w:hAnsi="宋体"/>
                <w:bCs/>
                <w:sz w:val="21"/>
                <w:szCs w:val="21"/>
              </w:rPr>
            </w:pPr>
            <w:r>
              <w:rPr>
                <w:rFonts w:hint="eastAsia" w:ascii="宋体" w:hAnsi="宋体"/>
                <w:bCs/>
                <w:sz w:val="21"/>
                <w:szCs w:val="21"/>
              </w:rPr>
              <w:t xml:space="preserve">（2）明确培训对象、计划、方式，提出有效建议；</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分；每项叙述内容完全脱离采购需求或未作完整叙述的不得分。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b/>
                <w:sz w:val="21"/>
                <w:szCs w:val="21"/>
              </w:rPr>
              <w:t xml:space="preserve">售后服务方案</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sz w:val="21"/>
                <w:szCs w:val="21"/>
              </w:rPr>
              <w:t xml:space="preserve">投标单位</w:t>
            </w:r>
            <w:r>
              <w:rPr>
                <w:rFonts w:hint="eastAsia" w:ascii="宋体" w:hAnsi="宋体"/>
                <w:bCs/>
                <w:sz w:val="21"/>
                <w:szCs w:val="21"/>
              </w:rPr>
              <w:t xml:space="preserve">基于采购要求和理解程度，对</w:t>
            </w:r>
            <w:r>
              <w:rPr>
                <w:rFonts w:hint="eastAsia" w:ascii="宋体" w:hAnsi="宋体"/>
                <w:bCs/>
                <w:sz w:val="21"/>
                <w:szCs w:val="21"/>
              </w:rPr>
              <w:t xml:space="preserve">本</w:t>
            </w:r>
            <w:r>
              <w:rPr>
                <w:rFonts w:hint="eastAsia" w:ascii="宋体" w:hAnsi="宋体"/>
                <w:bCs/>
                <w:sz w:val="21"/>
                <w:szCs w:val="21"/>
              </w:rPr>
              <w:t xml:space="preserve">项目</w:t>
            </w:r>
            <w:r>
              <w:rPr>
                <w:rFonts w:hint="eastAsia" w:ascii="宋体" w:hAnsi="宋体"/>
                <w:bCs/>
                <w:sz w:val="21"/>
                <w:szCs w:val="21"/>
              </w:rPr>
              <w:t xml:space="preserve">制定</w:t>
            </w:r>
            <w:r>
              <w:rPr>
                <w:rFonts w:hint="eastAsia"/>
                <w:sz w:val="21"/>
                <w:szCs w:val="21"/>
              </w:rPr>
              <w:t xml:space="preserve">售后服务方案</w:t>
            </w:r>
            <w:r>
              <w:rPr>
                <w:rFonts w:hint="eastAsia" w:ascii="宋体" w:hAnsi="宋体"/>
                <w:bCs/>
                <w:sz w:val="21"/>
                <w:szCs w:val="21"/>
              </w:rPr>
              <w:t xml:space="preserve">，内容包括但不限于：</w:t>
            </w:r>
            <w:r/>
          </w:p>
          <w:p>
            <w:pPr>
              <w:ind w:left="0"/>
              <w:widowControl w:val="off"/>
              <w:rPr>
                <w:rFonts w:ascii="宋体" w:hAnsi="宋体"/>
                <w:bCs/>
                <w:sz w:val="21"/>
                <w:szCs w:val="21"/>
              </w:rPr>
            </w:pPr>
            <w:r/>
            <w:bookmarkStart w:id="185" w:name="OLE_LINK81"/>
            <w:r/>
            <w:bookmarkStart w:id="186" w:name="OLE_LINK82"/>
            <w:r>
              <w:rPr>
                <w:rFonts w:hint="eastAsia" w:ascii="宋体" w:hAnsi="宋体"/>
                <w:bCs/>
                <w:sz w:val="21"/>
                <w:szCs w:val="21"/>
              </w:rPr>
              <w:t xml:space="preserve">（1）</w:t>
            </w:r>
            <w:bookmarkEnd w:id="185"/>
            <w:r/>
            <w:bookmarkEnd w:id="186"/>
            <w:r>
              <w:rPr>
                <w:rFonts w:hint="eastAsia" w:ascii="宋体" w:hAnsi="宋体"/>
                <w:bCs/>
                <w:sz w:val="21"/>
                <w:szCs w:val="21"/>
              </w:rPr>
              <w:t xml:space="preserve">详细售后服务内容、售后支撑团队服务；</w:t>
            </w:r>
            <w:r/>
          </w:p>
          <w:p>
            <w:pPr>
              <w:ind w:left="0"/>
              <w:widowControl w:val="off"/>
              <w:rPr>
                <w:rFonts w:ascii="宋体" w:hAnsi="宋体"/>
                <w:bCs/>
                <w:sz w:val="21"/>
                <w:szCs w:val="21"/>
              </w:rPr>
            </w:pPr>
            <w:r>
              <w:rPr>
                <w:rFonts w:hint="eastAsia" w:ascii="宋体" w:hAnsi="宋体"/>
                <w:bCs/>
                <w:sz w:val="21"/>
                <w:szCs w:val="21"/>
              </w:rPr>
              <w:t xml:space="preserve">（2）详细售后服务范围、售后服务响应方式等内容；</w:t>
            </w:r>
            <w:r/>
          </w:p>
          <w:p>
            <w:pPr>
              <w:ind w:left="0"/>
              <w:widowControl w:val="off"/>
              <w:rPr>
                <w:rFonts w:ascii="宋体" w:hAnsi="宋体"/>
                <w:bCs/>
                <w:sz w:val="21"/>
                <w:szCs w:val="21"/>
              </w:rPr>
            </w:pPr>
            <w:r>
              <w:rPr>
                <w:rFonts w:hint="eastAsia" w:ascii="宋体" w:hAnsi="宋体"/>
                <w:bCs/>
                <w:sz w:val="21"/>
                <w:szCs w:val="21"/>
              </w:rPr>
              <w:t xml:space="preserve">上述每项应逐条叙述，内容科学合理、全面详实、条理清晰、切实可行的得</w:t>
            </w:r>
            <w:r>
              <w:rPr>
                <w:rFonts w:ascii="宋体" w:hAnsi="宋体"/>
                <w:bCs/>
                <w:sz w:val="21"/>
                <w:szCs w:val="21"/>
              </w:rPr>
              <w:t xml:space="preserve">2</w:t>
            </w:r>
            <w:r>
              <w:rPr>
                <w:rFonts w:hint="eastAsia" w:ascii="宋体" w:hAnsi="宋体"/>
                <w:bCs/>
                <w:sz w:val="21"/>
                <w:szCs w:val="21"/>
              </w:rPr>
              <w:t xml:space="preserve">分；内容基本完整，条理较为清晰、具有一定的可行性的得</w:t>
            </w:r>
            <w:r>
              <w:rPr>
                <w:rFonts w:ascii="宋体" w:hAnsi="宋体"/>
                <w:bCs/>
                <w:sz w:val="21"/>
                <w:szCs w:val="21"/>
              </w:rPr>
              <w:t xml:space="preserve">1</w:t>
            </w:r>
            <w:r>
              <w:rPr>
                <w:rFonts w:hint="eastAsia" w:ascii="宋体" w:hAnsi="宋体"/>
                <w:bCs/>
                <w:sz w:val="21"/>
                <w:szCs w:val="21"/>
              </w:rPr>
              <w:t xml:space="preserve">分；每项叙述内容完全脱离采购需求或未作完整叙述的不得分。</w:t>
            </w:r>
            <w:r>
              <w:rPr>
                <w:rFonts w:hint="eastAsia" w:ascii="宋体" w:hAnsi="宋体"/>
                <w:sz w:val="21"/>
                <w:szCs w:val="21"/>
              </w:rPr>
              <w:t xml:space="preserve">各子项单独计分，</w:t>
            </w:r>
            <w:r>
              <w:rPr>
                <w:rFonts w:hint="eastAsia" w:ascii="宋体" w:hAnsi="宋体"/>
                <w:bCs/>
                <w:sz w:val="21"/>
                <w:szCs w:val="21"/>
              </w:rPr>
              <w:t xml:space="preserve">本项最高得</w:t>
            </w:r>
            <w:r>
              <w:rPr>
                <w:rFonts w:ascii="宋体" w:hAnsi="宋体"/>
                <w:bCs/>
                <w:sz w:val="21"/>
                <w:szCs w:val="21"/>
              </w:rPr>
              <w:t xml:space="preserve">4</w:t>
            </w:r>
            <w:r>
              <w:rPr>
                <w:rFonts w:hint="eastAsia" w:ascii="宋体" w:hAnsi="宋体"/>
                <w:bCs/>
                <w:sz w:val="21"/>
                <w:szCs w:val="21"/>
              </w:rPr>
              <w:t xml:space="preserve">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4</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b/>
                <w:sz w:val="21"/>
                <w:szCs w:val="21"/>
              </w:rPr>
              <w:t xml:space="preserve">▲</w:t>
            </w:r>
            <w:r>
              <w:rPr>
                <w:rFonts w:hint="eastAsia"/>
                <w:b/>
                <w:sz w:val="21"/>
                <w:szCs w:val="21"/>
              </w:rPr>
              <w:t xml:space="preserve">建设要求响应</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投标文件中带“★”项的技术参数完全符合或优于采购文件的技术参数要求的，每提供一项证明材料的得</w:t>
            </w:r>
            <w:r>
              <w:rPr>
                <w:rFonts w:ascii="宋体" w:hAnsi="宋体"/>
                <w:bCs/>
                <w:sz w:val="21"/>
                <w:szCs w:val="21"/>
              </w:rPr>
              <w:t xml:space="preserve">1</w:t>
            </w:r>
            <w:r>
              <w:rPr>
                <w:rFonts w:hint="eastAsia" w:ascii="宋体" w:hAnsi="宋体"/>
                <w:bCs/>
                <w:sz w:val="21"/>
                <w:szCs w:val="21"/>
              </w:rPr>
              <w:t xml:space="preserve">分；最高得</w:t>
            </w:r>
            <w:r>
              <w:rPr>
                <w:rFonts w:ascii="宋体" w:hAnsi="宋体"/>
                <w:bCs/>
                <w:sz w:val="21"/>
                <w:szCs w:val="21"/>
              </w:rPr>
              <w:t xml:space="preserve">10</w:t>
            </w:r>
            <w:r>
              <w:rPr>
                <w:rFonts w:hint="eastAsia" w:ascii="宋体" w:hAnsi="宋体"/>
                <w:bCs/>
                <w:sz w:val="21"/>
                <w:szCs w:val="21"/>
              </w:rPr>
              <w:t xml:space="preserve">分。</w:t>
            </w:r>
            <w:r/>
          </w:p>
          <w:p>
            <w:pPr>
              <w:ind w:left="0"/>
              <w:widowControl w:val="off"/>
              <w:rPr>
                <w:rFonts w:ascii="宋体" w:hAnsi="宋体"/>
                <w:b/>
                <w:bCs/>
                <w:sz w:val="21"/>
                <w:szCs w:val="21"/>
              </w:rPr>
            </w:pPr>
            <w:r>
              <w:rPr>
                <w:rFonts w:hint="eastAsia" w:ascii="宋体" w:hAnsi="宋体"/>
                <w:b/>
                <w:bCs/>
                <w:sz w:val="21"/>
                <w:szCs w:val="21"/>
              </w:rPr>
              <w:t xml:space="preserve">注：带“★”项技术参数投标文件中需按第四章采购需求提供证明材料并加盖投标单位公章。未按要求提供证明材料的不得分。）</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0</w:t>
            </w:r>
            <w:r/>
          </w:p>
        </w:tc>
      </w:tr>
      <w:tr>
        <w:trPr>
          <w:trHeight w:val="113"/>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rPr>
                <w:rFonts w:ascii="宋体" w:hAnsi="宋体" w:cs="Times New Roman"/>
                <w:b/>
                <w:bCs/>
                <w:sz w:val="21"/>
                <w:szCs w:val="21"/>
              </w:rPr>
            </w:pPr>
            <w:r>
              <w:rPr>
                <w:rFonts w:hint="eastAsia" w:ascii="宋体" w:hAnsi="宋体" w:cs="Times New Roman"/>
                <w:b/>
                <w:bCs/>
                <w:sz w:val="21"/>
                <w:szCs w:val="21"/>
              </w:rPr>
              <w:t xml:space="preserve">功能演示</w:t>
            </w:r>
            <w:r/>
          </w:p>
        </w:tc>
        <w:tc>
          <w:tcPr>
            <w:tcW w:w="6373" w:type="dxa"/>
            <w:vAlign w:val="center"/>
            <w:textDirection w:val="lrTb"/>
            <w:noWrap/>
          </w:tcPr>
          <w:p>
            <w:pPr>
              <w:ind w:left="0"/>
              <w:widowControl w:val="off"/>
              <w:rPr>
                <w:rFonts w:ascii="宋体" w:hAnsi="宋体"/>
                <w:bCs/>
                <w:sz w:val="21"/>
                <w:szCs w:val="21"/>
              </w:rPr>
            </w:pPr>
            <w:r>
              <w:rPr>
                <w:rFonts w:hint="eastAsia" w:ascii="宋体" w:hAnsi="宋体"/>
                <w:bCs/>
                <w:sz w:val="21"/>
                <w:szCs w:val="21"/>
              </w:rPr>
              <w:t xml:space="preserve">围绕平台核心功能进行</w:t>
            </w:r>
            <w:r>
              <w:rPr>
                <w:rFonts w:hint="eastAsia" w:ascii="宋体" w:hAnsi="宋体"/>
                <w:bCs/>
                <w:sz w:val="21"/>
                <w:szCs w:val="21"/>
              </w:rPr>
              <w:t xml:space="preserve">演示，主要演示要求如下：</w:t>
            </w:r>
            <w:r/>
          </w:p>
          <w:p>
            <w:pPr>
              <w:ind w:left="0"/>
              <w:widowControl w:val="off"/>
              <w:rPr>
                <w:rFonts w:ascii="宋体" w:hAnsi="宋体"/>
                <w:bCs/>
                <w:sz w:val="21"/>
                <w:szCs w:val="21"/>
              </w:rPr>
            </w:pPr>
            <w:r>
              <w:rPr>
                <w:rFonts w:hint="eastAsia" w:ascii="宋体" w:hAnsi="宋体"/>
                <w:bCs/>
                <w:sz w:val="21"/>
                <w:szCs w:val="21"/>
              </w:rPr>
              <w:t xml:space="preserve">1．综合分析平台演示</w:t>
            </w:r>
            <w:r/>
          </w:p>
          <w:p>
            <w:pPr>
              <w:ind w:left="0"/>
              <w:widowControl w:val="off"/>
              <w:rPr>
                <w:rFonts w:ascii="宋体" w:hAnsi="宋体"/>
                <w:bCs/>
                <w:sz w:val="21"/>
                <w:szCs w:val="21"/>
              </w:rPr>
            </w:pPr>
            <w:r>
              <w:rPr>
                <w:rFonts w:hint="eastAsia" w:ascii="宋体" w:hAnsi="宋体"/>
                <w:bCs/>
                <w:sz w:val="21"/>
                <w:szCs w:val="21"/>
              </w:rPr>
              <w:t xml:space="preserve">（1）指标管理的计算指标配置功能：演示通过拖拽方式配置指标计算公式，完成计算指标新增，并结合不同维度配置统计口径。</w:t>
            </w:r>
            <w:r/>
          </w:p>
          <w:p>
            <w:pPr>
              <w:ind w:left="0"/>
              <w:widowControl w:val="off"/>
              <w:rPr>
                <w:rFonts w:ascii="宋体" w:hAnsi="宋体"/>
                <w:bCs/>
                <w:sz w:val="21"/>
                <w:szCs w:val="21"/>
              </w:rPr>
            </w:pPr>
            <w:r>
              <w:rPr>
                <w:rFonts w:hint="eastAsia" w:ascii="宋体" w:hAnsi="宋体"/>
                <w:bCs/>
                <w:sz w:val="21"/>
                <w:szCs w:val="21"/>
              </w:rPr>
              <w:t xml:space="preserve">（2）指标管理的自助分析功能：演示按机构标签、行政区、等级等次或固定机构等条件灵活筛选，自主选择统计周期与机构范围开展数据分析。</w:t>
            </w:r>
            <w:r/>
          </w:p>
          <w:p>
            <w:pPr>
              <w:ind w:left="0"/>
              <w:widowControl w:val="off"/>
              <w:rPr>
                <w:rFonts w:ascii="宋体" w:hAnsi="宋体"/>
                <w:bCs/>
                <w:sz w:val="21"/>
                <w:szCs w:val="21"/>
              </w:rPr>
            </w:pPr>
            <w:r>
              <w:rPr>
                <w:rFonts w:hint="eastAsia" w:ascii="宋体" w:hAnsi="宋体"/>
                <w:bCs/>
                <w:sz w:val="21"/>
                <w:szCs w:val="21"/>
              </w:rPr>
              <w:t xml:space="preserve">（3）</w:t>
            </w:r>
            <w:r>
              <w:rPr>
                <w:rFonts w:hint="eastAsia" w:ascii="宋体" w:hAnsi="宋体"/>
                <w:bCs/>
                <w:sz w:val="21"/>
                <w:szCs w:val="21"/>
              </w:rPr>
              <w:t xml:space="preserve">AI</w:t>
            </w:r>
            <w:r>
              <w:rPr>
                <w:rFonts w:hint="eastAsia" w:ascii="宋体" w:hAnsi="宋体"/>
                <w:bCs/>
                <w:sz w:val="21"/>
                <w:szCs w:val="21"/>
              </w:rPr>
              <w:t xml:space="preserve">问数的自然语言分析内容：演示通过自然语言直接提问，由系统转译为数据检索请求，并生成分析结论及可视化图表，支持多轮追问和数据下钻。</w:t>
            </w:r>
            <w:r/>
          </w:p>
          <w:p>
            <w:pPr>
              <w:ind w:left="0"/>
              <w:widowControl w:val="off"/>
              <w:rPr>
                <w:rFonts w:ascii="宋体" w:hAnsi="宋体"/>
                <w:bCs/>
                <w:sz w:val="21"/>
                <w:szCs w:val="21"/>
              </w:rPr>
            </w:pPr>
            <w:r>
              <w:rPr>
                <w:rFonts w:hint="eastAsia" w:ascii="宋体" w:hAnsi="宋体"/>
                <w:bCs/>
                <w:sz w:val="21"/>
                <w:szCs w:val="21"/>
              </w:rPr>
              <w:t xml:space="preserve">（4）</w:t>
            </w:r>
            <w:r>
              <w:rPr>
                <w:rFonts w:hint="eastAsia" w:ascii="宋体" w:hAnsi="宋体"/>
                <w:bCs/>
                <w:sz w:val="21"/>
                <w:szCs w:val="21"/>
              </w:rPr>
              <w:t xml:space="preserve">AI</w:t>
            </w:r>
            <w:r>
              <w:rPr>
                <w:rFonts w:hint="eastAsia" w:ascii="宋体" w:hAnsi="宋体"/>
                <w:bCs/>
                <w:sz w:val="21"/>
                <w:szCs w:val="21"/>
              </w:rPr>
              <w:t xml:space="preserve">问数的可视化大屏生成内容：演示将问数结果生成可视化大</w:t>
            </w:r>
            <w:r>
              <w:rPr>
                <w:rFonts w:hint="eastAsia" w:ascii="宋体" w:hAnsi="宋体"/>
                <w:bCs/>
                <w:sz w:val="21"/>
                <w:szCs w:val="21"/>
              </w:rPr>
              <w:t xml:space="preserve">屏，并支持手动调整图表布局及 AI 智能推荐展示样式。</w:t>
            </w:r>
            <w:r/>
          </w:p>
          <w:p>
            <w:pPr>
              <w:ind w:left="0"/>
              <w:widowControl w:val="off"/>
              <w:rPr>
                <w:rFonts w:ascii="宋体" w:hAnsi="宋体"/>
                <w:bCs/>
                <w:sz w:val="21"/>
                <w:szCs w:val="21"/>
              </w:rPr>
            </w:pPr>
            <w:r>
              <w:rPr>
                <w:rFonts w:hint="eastAsia" w:ascii="宋体" w:hAnsi="宋体"/>
                <w:bCs/>
                <w:sz w:val="21"/>
                <w:szCs w:val="21"/>
              </w:rPr>
              <w:t xml:space="preserve">2.卫生健康协同平台演示</w:t>
            </w:r>
            <w:r/>
          </w:p>
          <w:p>
            <w:pPr>
              <w:ind w:left="0"/>
              <w:widowControl w:val="off"/>
              <w:rPr>
                <w:rFonts w:ascii="宋体" w:hAnsi="宋体"/>
                <w:bCs/>
                <w:sz w:val="21"/>
                <w:szCs w:val="21"/>
              </w:rPr>
            </w:pPr>
            <w:r>
              <w:rPr>
                <w:rFonts w:hint="eastAsia" w:ascii="宋体" w:hAnsi="宋体"/>
                <w:bCs/>
                <w:sz w:val="21"/>
                <w:szCs w:val="21"/>
              </w:rPr>
              <w:t xml:space="preserve">（1）演示平台主界面核心功能，可查看日常事项提醒、待办任务清单，支持常用功能快速访问、个人应用管理，展示业务统计图表。</w:t>
            </w:r>
            <w:r/>
          </w:p>
          <w:p>
            <w:pPr>
              <w:ind w:left="0"/>
              <w:widowControl w:val="off"/>
              <w:rPr>
                <w:rFonts w:ascii="宋体" w:hAnsi="宋体"/>
                <w:bCs/>
                <w:sz w:val="21"/>
                <w:szCs w:val="21"/>
              </w:rPr>
            </w:pPr>
            <w:r>
              <w:rPr>
                <w:rFonts w:hint="eastAsia" w:ascii="宋体" w:hAnsi="宋体"/>
                <w:bCs/>
                <w:sz w:val="21"/>
                <w:szCs w:val="21"/>
              </w:rPr>
              <w:t xml:space="preserve">（2）演示转诊业务协同办理流程，可发起转诊申请、查询转诊记录，支持接收转诊患者操作，支持转诊业务数据进行统计分析。</w:t>
            </w:r>
            <w:r/>
          </w:p>
          <w:p>
            <w:pPr>
              <w:ind w:left="0"/>
              <w:widowControl w:val="off"/>
              <w:rPr>
                <w:rFonts w:ascii="宋体" w:hAnsi="宋体"/>
                <w:bCs/>
                <w:sz w:val="21"/>
                <w:szCs w:val="21"/>
              </w:rPr>
            </w:pPr>
            <w:r>
              <w:rPr>
                <w:rFonts w:hint="eastAsia" w:ascii="宋体" w:hAnsi="宋体"/>
                <w:bCs/>
                <w:sz w:val="21"/>
                <w:szCs w:val="21"/>
              </w:rPr>
              <w:t xml:space="preserve">（3）演示信访事项办理流程，支持信访事项登记录入、事项批转分派等核心操作，实现信访业务线上规范流转。</w:t>
            </w:r>
            <w:r/>
          </w:p>
          <w:p>
            <w:pPr>
              <w:ind w:left="0"/>
              <w:widowControl w:val="off"/>
              <w:rPr>
                <w:rFonts w:ascii="宋体" w:hAnsi="宋体"/>
                <w:bCs/>
                <w:sz w:val="21"/>
                <w:szCs w:val="21"/>
              </w:rPr>
            </w:pPr>
            <w:r>
              <w:rPr>
                <w:rFonts w:hint="eastAsia" w:ascii="宋体" w:hAnsi="宋体"/>
                <w:bCs/>
                <w:sz w:val="21"/>
                <w:szCs w:val="21"/>
              </w:rPr>
              <w:t xml:space="preserve">（4）演示移动端协同能力，支持单人、群组即时沟通，可发送文字、图片消息，满足移动办公场景下的协同交互需求。</w:t>
            </w:r>
            <w:r/>
          </w:p>
          <w:p>
            <w:pPr>
              <w:ind w:left="0"/>
              <w:widowControl w:val="off"/>
              <w:rPr>
                <w:rFonts w:ascii="宋体" w:hAnsi="宋体"/>
                <w:bCs/>
                <w:sz w:val="21"/>
                <w:szCs w:val="21"/>
              </w:rPr>
            </w:pPr>
            <w:r>
              <w:rPr>
                <w:rFonts w:hint="eastAsia" w:ascii="宋体" w:hAnsi="宋体"/>
                <w:bCs/>
                <w:sz w:val="21"/>
                <w:szCs w:val="21"/>
              </w:rPr>
              <w:t xml:space="preserve">3.便民服务平台演示</w:t>
            </w:r>
            <w:r/>
          </w:p>
          <w:p>
            <w:pPr>
              <w:ind w:left="0"/>
              <w:widowControl w:val="off"/>
              <w:rPr>
                <w:rFonts w:ascii="宋体" w:hAnsi="宋体"/>
                <w:bCs/>
                <w:sz w:val="21"/>
                <w:szCs w:val="21"/>
              </w:rPr>
            </w:pPr>
            <w:r>
              <w:rPr>
                <w:rFonts w:hint="eastAsia" w:ascii="宋体" w:hAnsi="宋体"/>
                <w:bCs/>
                <w:sz w:val="21"/>
                <w:szCs w:val="21"/>
              </w:rPr>
              <w:t xml:space="preserve">（1）演示用户电话接入后的实时对话转写内容，客服可以查看该号码历史来电信息及以往来电记录及通话小结。</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2</w:t>
            </w:r>
            <w:r>
              <w:rPr>
                <w:rFonts w:hint="eastAsia" w:ascii="宋体" w:hAnsi="宋体"/>
                <w:bCs/>
                <w:sz w:val="21"/>
                <w:szCs w:val="21"/>
              </w:rPr>
              <w:t xml:space="preserve">）根据对话内容，系统自动提取挂号信息（包含医生、医院、科室、时间信息），检测用户提出的问题并输出推荐答案。</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3</w:t>
            </w:r>
            <w:r>
              <w:rPr>
                <w:rFonts w:hint="eastAsia" w:ascii="宋体" w:hAnsi="宋体"/>
                <w:bCs/>
                <w:sz w:val="21"/>
                <w:szCs w:val="21"/>
              </w:rPr>
              <w:t xml:space="preserve">）支持客服人员收藏答案，支持查看当前坐席历史通话记录智能检测结果。</w:t>
            </w:r>
            <w:r/>
          </w:p>
          <w:p>
            <w:pPr>
              <w:ind w:left="0"/>
              <w:widowControl w:val="off"/>
              <w:rPr>
                <w:rFonts w:ascii="宋体" w:hAnsi="宋体"/>
                <w:bCs/>
                <w:sz w:val="21"/>
                <w:szCs w:val="21"/>
              </w:rPr>
            </w:pPr>
            <w:r>
              <w:rPr>
                <w:rFonts w:hint="eastAsia" w:ascii="宋体" w:hAnsi="宋体"/>
                <w:bCs/>
                <w:sz w:val="21"/>
                <w:szCs w:val="21"/>
              </w:rPr>
              <w:t xml:space="preserve">（</w:t>
            </w:r>
            <w:r>
              <w:rPr>
                <w:rFonts w:ascii="宋体" w:hAnsi="宋体"/>
                <w:bCs/>
                <w:sz w:val="21"/>
                <w:szCs w:val="21"/>
              </w:rPr>
              <w:t xml:space="preserve">4</w:t>
            </w:r>
            <w:r>
              <w:rPr>
                <w:rFonts w:hint="eastAsia" w:ascii="宋体" w:hAnsi="宋体"/>
                <w:bCs/>
                <w:sz w:val="21"/>
                <w:szCs w:val="21"/>
              </w:rPr>
              <w:t xml:space="preserve">）在通话中实时检测访客情绪异常并及时告警，根据输入问题智能搜索知识库，支持点击聊天记录智能搜索。</w:t>
            </w:r>
            <w:r/>
          </w:p>
          <w:p>
            <w:pPr>
              <w:ind w:left="0"/>
              <w:widowControl w:val="off"/>
              <w:rPr>
                <w:rFonts w:ascii="宋体" w:hAnsi="宋体"/>
                <w:bCs/>
                <w:sz w:val="21"/>
                <w:szCs w:val="21"/>
              </w:rPr>
            </w:pPr>
            <w:r>
              <w:rPr>
                <w:rFonts w:hint="eastAsia" w:ascii="宋体" w:hAnsi="宋体"/>
                <w:bCs/>
                <w:sz w:val="21"/>
                <w:szCs w:val="21"/>
              </w:rPr>
              <w:t xml:space="preserve">上述演示内容，每有一项演示内容齐全、操作流畅、界面清晰、实现功能要求的得1分；演示内容基本完整，可实现基本功能要求的得0.5分，演示内容不全或未提供演示的不得分。本项最高得12分。</w:t>
            </w:r>
            <w:r/>
          </w:p>
          <w:p>
            <w:pPr>
              <w:ind w:left="0"/>
              <w:widowControl w:val="off"/>
              <w:rPr>
                <w:rFonts w:ascii="宋体" w:hAnsi="宋体"/>
                <w:b/>
                <w:bCs/>
                <w:sz w:val="21"/>
                <w:szCs w:val="21"/>
              </w:rPr>
            </w:pPr>
            <w:r>
              <w:rPr>
                <w:rFonts w:hint="eastAsia" w:ascii="宋体" w:hAnsi="宋体"/>
                <w:b/>
                <w:bCs/>
                <w:sz w:val="21"/>
                <w:szCs w:val="21"/>
              </w:rPr>
              <w:t xml:space="preserve">注：1.投标单位根据招标文件要求进行演示，演示时间不超过1</w:t>
            </w:r>
            <w:r>
              <w:rPr>
                <w:rFonts w:ascii="宋体" w:hAnsi="宋体"/>
                <w:b/>
                <w:bCs/>
                <w:sz w:val="21"/>
                <w:szCs w:val="21"/>
              </w:rPr>
              <w:t xml:space="preserve">5</w:t>
            </w:r>
            <w:r>
              <w:rPr>
                <w:rFonts w:hint="eastAsia" w:ascii="宋体" w:hAnsi="宋体"/>
                <w:b/>
                <w:bCs/>
                <w:sz w:val="21"/>
                <w:szCs w:val="21"/>
              </w:rPr>
              <w:t xml:space="preserve">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投标单位上传文件本身损坏等自身原因导致演示资料无法正常读取的视为无效演示，本项不得分，由投标单位自行承担责任。</w:t>
            </w:r>
            <w:r/>
          </w:p>
        </w:tc>
        <w:tc>
          <w:tcPr>
            <w:tcW w:w="1134" w:type="dxa"/>
            <w:vAlign w:val="center"/>
            <w:textDirection w:val="lrTb"/>
            <w:noWrap/>
          </w:tcPr>
          <w:p>
            <w:pPr>
              <w:ind w:left="0"/>
              <w:jc w:val="center"/>
              <w:widowControl w:val="off"/>
              <w:rPr>
                <w:rFonts w:ascii="宋体" w:hAnsi="宋体"/>
                <w:bCs/>
                <w:sz w:val="21"/>
                <w:szCs w:val="21"/>
              </w:rPr>
            </w:pPr>
            <w:r>
              <w:rPr>
                <w:rFonts w:hint="eastAsia" w:ascii="宋体" w:hAnsi="宋体"/>
                <w:bCs/>
                <w:sz w:val="21"/>
                <w:szCs w:val="21"/>
              </w:rPr>
              <w:t xml:space="preserve">1</w:t>
            </w:r>
            <w:r>
              <w:rPr>
                <w:rFonts w:ascii="宋体" w:hAnsi="宋体"/>
                <w:bCs/>
                <w:sz w:val="21"/>
                <w:szCs w:val="21"/>
              </w:rPr>
              <w:t xml:space="preserve">2</w:t>
            </w:r>
            <w:r/>
          </w:p>
        </w:tc>
      </w:tr>
      <w:tr>
        <w:trPr>
          <w:trHeight w:val="416"/>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w:t>
            </w:r>
            <w:r>
              <w:rPr>
                <w:rFonts w:hint="eastAsia"/>
                <w:b/>
                <w:sz w:val="21"/>
                <w:szCs w:val="21"/>
              </w:rPr>
              <w:t xml:space="preserve">投标单位技术人员</w:t>
            </w:r>
            <w:r/>
          </w:p>
        </w:tc>
        <w:tc>
          <w:tcPr>
            <w:tcW w:w="6373" w:type="dxa"/>
            <w:vAlign w:val="center"/>
            <w:textDirection w:val="lrTb"/>
            <w:noWrap/>
          </w:tcPr>
          <w:p>
            <w:pPr>
              <w:ind w:left="0"/>
              <w:widowControl w:val="off"/>
              <w:rPr>
                <w:rFonts w:ascii="宋体" w:hAnsi="宋体"/>
                <w:sz w:val="21"/>
                <w:szCs w:val="21"/>
              </w:rPr>
            </w:pPr>
            <w:r>
              <w:rPr>
                <w:rFonts w:hint="eastAsia" w:ascii="宋体" w:hAnsi="宋体"/>
                <w:sz w:val="21"/>
                <w:szCs w:val="21"/>
              </w:rPr>
              <w:t xml:space="preserve">1.项目负责人（1人）：具有信息系统项目管理师的，得</w:t>
            </w:r>
            <w:r>
              <w:rPr>
                <w:rFonts w:ascii="宋体" w:hAnsi="宋体"/>
                <w:sz w:val="21"/>
                <w:szCs w:val="21"/>
              </w:rPr>
              <w:t xml:space="preserve">2</w:t>
            </w:r>
            <w:r>
              <w:rPr>
                <w:rFonts w:hint="eastAsia" w:ascii="宋体" w:hAnsi="宋体"/>
                <w:sz w:val="21"/>
                <w:szCs w:val="21"/>
              </w:rPr>
              <w:t xml:space="preserve">分，本项最高</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项目组成员（除项目负责人外）：具有系统集成项目管理工程师、数据库系统工程师、电子计算机专业或网络技术应用专业中级或以上工程师职称、注册信息安全工程师（CISP）等相关证书的，每具备1项得1分，最高得</w:t>
            </w:r>
            <w:r>
              <w:rPr>
                <w:rFonts w:ascii="宋体" w:hAnsi="宋体"/>
                <w:sz w:val="21"/>
                <w:szCs w:val="21"/>
              </w:rPr>
              <w:t xml:space="preserve">4</w:t>
            </w:r>
            <w:r>
              <w:rPr>
                <w:rFonts w:hint="eastAsia" w:ascii="宋体" w:hAnsi="宋体"/>
                <w:sz w:val="21"/>
                <w:szCs w:val="21"/>
              </w:rPr>
              <w:t xml:space="preserve">分。（同一人拥有多项证书的，仅按一项计算；同类证书，仅按一项计算）</w:t>
            </w:r>
            <w:r/>
          </w:p>
          <w:p>
            <w:pPr>
              <w:ind w:left="0"/>
              <w:widowControl w:val="off"/>
              <w:rPr>
                <w:rFonts w:ascii="宋体" w:hAnsi="宋体"/>
                <w:b/>
                <w:sz w:val="21"/>
                <w:szCs w:val="21"/>
              </w:rPr>
            </w:pPr>
            <w:r>
              <w:rPr>
                <w:rFonts w:hint="eastAsia" w:ascii="宋体" w:hAnsi="宋体"/>
                <w:b/>
                <w:sz w:val="21"/>
                <w:szCs w:val="21"/>
              </w:rPr>
              <w:t xml:space="preserve">注：以上人员不重复计分。投标文件中提供相关人员证书扫描件及投标单位为其缴纳的最近一期社保证明材料，</w:t>
            </w:r>
            <w:r>
              <w:rPr>
                <w:rFonts w:hint="eastAsia" w:ascii="宋体" w:hAnsi="宋体" w:cs="Times New Roman"/>
                <w:b/>
                <w:sz w:val="21"/>
                <w:szCs w:val="21"/>
              </w:rPr>
              <w:t xml:space="preserve">未提供不得分</w:t>
            </w:r>
            <w:r>
              <w:rPr>
                <w:rFonts w:hint="eastAsia" w:ascii="宋体" w:hAnsi="宋体"/>
                <w:b/>
                <w:sz w:val="21"/>
                <w:szCs w:val="21"/>
              </w:rPr>
              <w:t xml:space="preserve">。</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276" w:type="dxa"/>
            <w:vAlign w:val="center"/>
            <w:vMerge w:val="continue"/>
            <w:textDirection w:val="lrTb"/>
            <w:noWrap/>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8" w:type="dxa"/>
            <w:vAlign w:val="center"/>
            <w:textDirection w:val="lrTb"/>
            <w:noWrap/>
          </w:tcPr>
          <w:p>
            <w:pPr>
              <w:ind w:left="0"/>
              <w:jc w:val="center"/>
              <w:widowControl w:val="off"/>
              <w:rPr>
                <w:rFonts w:ascii="宋体" w:hAnsi="宋体"/>
                <w:b/>
                <w:sz w:val="21"/>
                <w:szCs w:val="21"/>
              </w:rPr>
            </w:pPr>
            <w:r>
              <w:rPr>
                <w:rFonts w:hint="eastAsia" w:ascii="宋体" w:hAnsi="宋体"/>
                <w:b/>
                <w:sz w:val="21"/>
                <w:szCs w:val="21"/>
              </w:rPr>
              <w:t xml:space="preserve">▲投标单位履约能力</w:t>
            </w:r>
            <w:r/>
          </w:p>
        </w:tc>
        <w:tc>
          <w:tcPr>
            <w:tcW w:w="6373" w:type="dxa"/>
            <w:vAlign w:val="center"/>
            <w:textDirection w:val="lrTb"/>
            <w:noWrap/>
          </w:tcPr>
          <w:p>
            <w:pPr>
              <w:ind w:left="0"/>
              <w:widowControl w:val="off"/>
              <w:rPr>
                <w:rFonts w:ascii="宋体" w:hAnsi="宋体" w:cs="Times New Roman"/>
                <w:sz w:val="21"/>
                <w:szCs w:val="21"/>
              </w:rPr>
            </w:pPr>
            <w:r>
              <w:rPr>
                <w:rFonts w:hint="eastAsia" w:ascii="宋体" w:hAnsi="宋体" w:cs="Times New Roman"/>
                <w:sz w:val="21"/>
                <w:szCs w:val="21"/>
              </w:rPr>
              <w:t xml:space="preserve">1.认证证书（</w:t>
            </w:r>
            <w:r>
              <w:rPr>
                <w:rFonts w:ascii="宋体" w:hAnsi="宋体" w:cs="Times New Roman"/>
                <w:sz w:val="21"/>
                <w:szCs w:val="21"/>
              </w:rPr>
              <w:t xml:space="preserve">8</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sz w:val="21"/>
                <w:szCs w:val="21"/>
              </w:rPr>
              <w:t xml:space="preserve">投标单位</w:t>
            </w:r>
            <w:r>
              <w:rPr>
                <w:rFonts w:hint="eastAsia" w:ascii="宋体" w:hAnsi="宋体" w:cs="Times New Roman"/>
                <w:sz w:val="21"/>
                <w:szCs w:val="21"/>
              </w:rPr>
              <w:t xml:space="preserve">具有质量管理体系认证证书，得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具有环境管理体系证书，得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具有信息安全管理体系证书，得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具有信息技术服务管理体系证书，得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sz w:val="21"/>
                <w:szCs w:val="21"/>
              </w:rPr>
              <w:t xml:space="preserve">投标单位</w:t>
            </w:r>
            <w:r>
              <w:rPr>
                <w:rFonts w:hint="eastAsia" w:ascii="宋体" w:hAnsi="宋体" w:cs="Times New Roman"/>
                <w:sz w:val="21"/>
                <w:szCs w:val="21"/>
              </w:rPr>
              <w:t xml:space="preserve">具有ITSS信息技术服务运行维护证书，得</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注：投标文件中需提供有效期内的证书的复印件并加盖投标单位公章，未按要求提供相关证明不得分。</w:t>
            </w:r>
            <w:r/>
          </w:p>
          <w:p>
            <w:pPr>
              <w:ind w:left="0"/>
              <w:widowControl w:val="off"/>
              <w:rPr>
                <w:rFonts w:ascii="宋体" w:hAnsi="宋体" w:cs="Times New Roman"/>
                <w:sz w:val="21"/>
                <w:szCs w:val="21"/>
              </w:rPr>
            </w:pPr>
            <w:r>
              <w:rPr>
                <w:rFonts w:hint="eastAsia" w:ascii="宋体" w:hAnsi="宋体" w:cs="Times New Roman"/>
                <w:sz w:val="21"/>
                <w:szCs w:val="21"/>
              </w:rPr>
              <w:t xml:space="preserve">2.软件著作权（</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sz w:val="21"/>
                <w:szCs w:val="21"/>
              </w:rPr>
              <w:t xml:space="preserve">投标单位</w:t>
            </w:r>
            <w:r>
              <w:rPr>
                <w:rFonts w:hint="eastAsia" w:ascii="宋体" w:hAnsi="宋体" w:cs="Times New Roman"/>
                <w:sz w:val="21"/>
                <w:szCs w:val="21"/>
              </w:rPr>
              <w:t xml:space="preserve">具有与本项目软件相关的软件著作权证书，每提供一个得1分，最高得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注：投标文件中需提供证书的复印件并加盖投标单位公章，未按要求提供相关证明不得分。</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类似项目业绩（</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投标单位</w:t>
            </w:r>
            <w:r>
              <w:rPr>
                <w:rFonts w:hint="eastAsia" w:ascii="宋体" w:hAnsi="宋体" w:cs="Times New Roman"/>
                <w:sz w:val="21"/>
                <w:szCs w:val="21"/>
              </w:rPr>
              <w:t xml:space="preserve">提供202</w:t>
            </w:r>
            <w:r>
              <w:rPr>
                <w:rFonts w:ascii="宋体" w:hAnsi="宋体" w:cs="Times New Roman"/>
                <w:sz w:val="21"/>
                <w:szCs w:val="21"/>
              </w:rPr>
              <w:t xml:space="preserve">3</w:t>
            </w:r>
            <w:r>
              <w:rPr>
                <w:rFonts w:hint="eastAsia" w:ascii="宋体" w:hAnsi="宋体" w:cs="Times New Roman"/>
                <w:sz w:val="21"/>
                <w:szCs w:val="21"/>
              </w:rPr>
              <w:t xml:space="preserve">年1月1日（以合同签订日期为准）以来的类似项目业绩，每提供一份得1分，最高</w:t>
            </w:r>
            <w:r>
              <w:rPr>
                <w:rFonts w:ascii="宋体" w:hAnsi="宋体" w:cs="Times New Roman"/>
                <w:sz w:val="21"/>
                <w:szCs w:val="21"/>
              </w:rPr>
              <w:t xml:space="preserve">2</w:t>
            </w:r>
            <w:r>
              <w:rPr>
                <w:rFonts w:hint="eastAsia" w:ascii="宋体" w:hAnsi="宋体" w:cs="Times New Roman"/>
                <w:sz w:val="21"/>
                <w:szCs w:val="21"/>
              </w:rPr>
              <w:t xml:space="preserve">分。</w:t>
            </w:r>
            <w:r/>
          </w:p>
          <w:p>
            <w:pPr>
              <w:pStyle w:val="1002"/>
              <w:ind w:left="0" w:firstLine="0"/>
            </w:pPr>
            <w:r>
              <w:rPr>
                <w:rFonts w:hint="eastAsia" w:ascii="宋体" w:hAnsi="宋体"/>
                <w:b/>
                <w:sz w:val="21"/>
                <w:szCs w:val="21"/>
              </w:rPr>
              <w:t xml:space="preserve">注：投标文件中提供合同复印件并加盖投标单位公章，未提供或提供不全不得分。</w:t>
            </w:r>
            <w:r/>
          </w:p>
        </w:tc>
        <w:tc>
          <w:tcPr>
            <w:tcW w:w="1134" w:type="dxa"/>
            <w:vAlign w:val="center"/>
            <w:textDirection w:val="lrTb"/>
            <w:noWrap/>
          </w:tcPr>
          <w:p>
            <w:pPr>
              <w:ind w:left="0"/>
              <w:jc w:val="center"/>
              <w:widowControl w:val="off"/>
              <w:rPr>
                <w:rFonts w:ascii="宋体" w:hAnsi="宋体"/>
                <w:sz w:val="21"/>
                <w:szCs w:val="21"/>
              </w:rPr>
            </w:pPr>
            <w:r>
              <w:rPr>
                <w:rFonts w:ascii="宋体" w:hAnsi="宋体"/>
                <w:sz w:val="21"/>
                <w:szCs w:val="21"/>
              </w:rPr>
              <w:t xml:space="preserve">13</w:t>
            </w:r>
            <w:r/>
          </w:p>
        </w:tc>
      </w:tr>
    </w:tbl>
    <w:p>
      <w:pPr>
        <w:ind w:left="0" w:firstLine="422"/>
        <w:spacing w:line="360" w:lineRule="auto"/>
        <w:rPr>
          <w:rFonts w:ascii="宋体" w:hAnsi="宋体"/>
          <w:b/>
          <w:sz w:val="21"/>
        </w:rPr>
      </w:pPr>
      <w:r>
        <w:rPr>
          <w:rFonts w:hint="eastAsia" w:ascii="宋体" w:hAnsi="宋体"/>
          <w:b/>
          <w:bCs/>
          <w:sz w:val="21"/>
        </w:rPr>
        <w:t xml:space="preserve">注：表格中标▲项为客观分</w:t>
      </w:r>
      <w:r>
        <w:rPr>
          <w:rFonts w:hint="eastAsia" w:ascii="宋体" w:hAnsi="宋体"/>
          <w:b/>
          <w:sz w:val="21"/>
        </w:rPr>
        <w:t xml:space="preserve">。</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华文楷体">
    <w:panose1 w:val="02010600040101010101"/>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等线 Light">
    <w:panose1 w:val="02010600030101010101"/>
  </w:font>
  <w:font w:name="等线">
    <w:panose1 w:val="0201060003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80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999"/>
    <w:link w:val="990"/>
    <w:uiPriority w:val="9"/>
    <w:rPr>
      <w:rFonts w:ascii="Arial" w:hAnsi="Arial" w:eastAsia="Arial" w:cs="Arial"/>
      <w:sz w:val="40"/>
      <w:szCs w:val="40"/>
    </w:rPr>
  </w:style>
  <w:style w:type="character" w:styleId="843">
    <w:name w:val="Heading 2 Char"/>
    <w:basedOn w:val="999"/>
    <w:link w:val="991"/>
    <w:uiPriority w:val="9"/>
    <w:rPr>
      <w:rFonts w:ascii="Arial" w:hAnsi="Arial" w:eastAsia="Arial" w:cs="Arial"/>
      <w:sz w:val="34"/>
    </w:rPr>
  </w:style>
  <w:style w:type="character" w:styleId="844">
    <w:name w:val="Heading 3 Char"/>
    <w:basedOn w:val="999"/>
    <w:link w:val="992"/>
    <w:uiPriority w:val="9"/>
    <w:rPr>
      <w:rFonts w:ascii="Arial" w:hAnsi="Arial" w:eastAsia="Arial" w:cs="Arial"/>
      <w:sz w:val="30"/>
      <w:szCs w:val="30"/>
    </w:rPr>
  </w:style>
  <w:style w:type="character" w:styleId="845">
    <w:name w:val="Heading 4 Char"/>
    <w:basedOn w:val="999"/>
    <w:link w:val="993"/>
    <w:uiPriority w:val="9"/>
    <w:rPr>
      <w:rFonts w:ascii="Arial" w:hAnsi="Arial" w:eastAsia="Arial" w:cs="Arial"/>
      <w:b/>
      <w:bCs/>
      <w:sz w:val="26"/>
      <w:szCs w:val="26"/>
    </w:rPr>
  </w:style>
  <w:style w:type="character" w:styleId="846">
    <w:name w:val="Heading 5 Char"/>
    <w:basedOn w:val="999"/>
    <w:link w:val="994"/>
    <w:uiPriority w:val="9"/>
    <w:rPr>
      <w:rFonts w:ascii="Arial" w:hAnsi="Arial" w:eastAsia="Arial" w:cs="Arial"/>
      <w:b/>
      <w:bCs/>
      <w:sz w:val="24"/>
      <w:szCs w:val="24"/>
    </w:rPr>
  </w:style>
  <w:style w:type="character" w:styleId="847">
    <w:name w:val="Heading 6 Char"/>
    <w:basedOn w:val="999"/>
    <w:link w:val="995"/>
    <w:uiPriority w:val="9"/>
    <w:rPr>
      <w:rFonts w:ascii="Arial" w:hAnsi="Arial" w:eastAsia="Arial" w:cs="Arial"/>
      <w:b/>
      <w:bCs/>
      <w:sz w:val="22"/>
      <w:szCs w:val="22"/>
    </w:rPr>
  </w:style>
  <w:style w:type="character" w:styleId="848">
    <w:name w:val="Heading 7 Char"/>
    <w:basedOn w:val="999"/>
    <w:link w:val="996"/>
    <w:uiPriority w:val="9"/>
    <w:rPr>
      <w:rFonts w:ascii="Arial" w:hAnsi="Arial" w:eastAsia="Arial" w:cs="Arial"/>
      <w:b/>
      <w:bCs/>
      <w:i/>
      <w:iCs/>
      <w:sz w:val="22"/>
      <w:szCs w:val="22"/>
    </w:rPr>
  </w:style>
  <w:style w:type="character" w:styleId="849">
    <w:name w:val="Heading 8 Char"/>
    <w:basedOn w:val="999"/>
    <w:link w:val="997"/>
    <w:uiPriority w:val="9"/>
    <w:rPr>
      <w:rFonts w:ascii="Arial" w:hAnsi="Arial" w:eastAsia="Arial" w:cs="Arial"/>
      <w:i/>
      <w:iCs/>
      <w:sz w:val="22"/>
      <w:szCs w:val="22"/>
    </w:rPr>
  </w:style>
  <w:style w:type="character" w:styleId="850">
    <w:name w:val="Heading 9 Char"/>
    <w:basedOn w:val="999"/>
    <w:link w:val="998"/>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character" w:styleId="852">
    <w:name w:val="Title Char"/>
    <w:basedOn w:val="999"/>
    <w:link w:val="1049"/>
    <w:uiPriority w:val="10"/>
    <w:rPr>
      <w:sz w:val="48"/>
      <w:szCs w:val="48"/>
    </w:rPr>
  </w:style>
  <w:style w:type="character" w:styleId="853">
    <w:name w:val="Subtitle Char"/>
    <w:basedOn w:val="999"/>
    <w:link w:val="1036"/>
    <w:uiPriority w:val="11"/>
    <w:rPr>
      <w:sz w:val="24"/>
      <w:szCs w:val="24"/>
    </w:rPr>
  </w:style>
  <w:style w:type="character" w:styleId="854">
    <w:name w:val="Quote Char"/>
    <w:link w:val="1242"/>
    <w:uiPriority w:val="29"/>
    <w:rPr>
      <w:i/>
    </w:rPr>
  </w:style>
  <w:style w:type="character" w:styleId="855">
    <w:name w:val="Intense Quote Char"/>
    <w:link w:val="1368"/>
    <w:uiPriority w:val="30"/>
    <w:rPr>
      <w:i/>
    </w:rPr>
  </w:style>
  <w:style w:type="character" w:styleId="856">
    <w:name w:val="Header Char"/>
    <w:basedOn w:val="999"/>
    <w:link w:val="1034"/>
    <w:uiPriority w:val="99"/>
  </w:style>
  <w:style w:type="character" w:styleId="857">
    <w:name w:val="Footer Char"/>
    <w:basedOn w:val="999"/>
    <w:link w:val="1032"/>
    <w:uiPriority w:val="99"/>
  </w:style>
  <w:style w:type="character" w:styleId="858">
    <w:name w:val="Caption Char"/>
    <w:basedOn w:val="1009"/>
    <w:link w:val="1032"/>
    <w:uiPriority w:val="99"/>
  </w:style>
  <w:style w:type="table" w:styleId="859">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Footnote Text Char"/>
    <w:link w:val="1039"/>
    <w:uiPriority w:val="99"/>
    <w:rPr>
      <w:sz w:val="18"/>
    </w:rPr>
  </w:style>
  <w:style w:type="character" w:styleId="985">
    <w:name w:val="Endnote Text Char"/>
    <w:link w:val="1029"/>
    <w:uiPriority w:val="99"/>
    <w:rPr>
      <w:sz w:val="20"/>
    </w:rPr>
  </w:style>
  <w:style w:type="character" w:styleId="986">
    <w:name w:val="endnote reference"/>
    <w:basedOn w:val="999"/>
    <w:uiPriority w:val="99"/>
    <w:semiHidden/>
    <w:unhideWhenUsed/>
    <w:rPr>
      <w:vertAlign w:val="superscript"/>
    </w:r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2"/>
    <w:qFormat/>
    <w:pPr>
      <w:ind w:left="1024"/>
      <w:jc w:val="both"/>
    </w:pPr>
    <w:rPr>
      <w:rFonts w:ascii="Calibri" w:hAnsi="Calibri"/>
    </w:rPr>
  </w:style>
  <w:style w:type="paragraph" w:styleId="990">
    <w:name w:val="Heading 1"/>
    <w:basedOn w:val="989"/>
    <w:next w:val="989"/>
    <w:link w:val="1412"/>
    <w:uiPriority w:val="9"/>
    <w:qFormat/>
    <w:pPr>
      <w:ind w:left="432" w:firstLine="18"/>
      <w:spacing w:before="340" w:after="330" w:line="578" w:lineRule="auto"/>
      <w:outlineLvl w:val="0"/>
    </w:pPr>
  </w:style>
  <w:style w:type="paragraph" w:styleId="991">
    <w:name w:val="Heading 2"/>
    <w:basedOn w:val="989"/>
    <w:next w:val="989"/>
    <w:link w:val="1413"/>
    <w:uiPriority w:val="9"/>
    <w:qFormat/>
    <w:pPr>
      <w:ind w:left="576" w:firstLine="24"/>
      <w:spacing w:before="260" w:after="260" w:line="416" w:lineRule="auto"/>
      <w:outlineLvl w:val="1"/>
    </w:pPr>
    <w:rPr>
      <w:rFonts w:ascii="Times New Roman" w:hAnsi="Times New Roman" w:cs="Times New Roman"/>
    </w:rPr>
  </w:style>
  <w:style w:type="paragraph" w:styleId="992">
    <w:name w:val="Heading 3"/>
    <w:basedOn w:val="989"/>
    <w:next w:val="1003"/>
    <w:link w:val="1414"/>
    <w:uiPriority w:val="9"/>
    <w:qFormat/>
    <w:pPr>
      <w:ind w:left="720"/>
      <w:spacing w:before="260" w:after="260" w:line="416" w:lineRule="auto"/>
      <w:outlineLvl w:val="2"/>
    </w:pPr>
    <w:rPr>
      <w:rFonts w:ascii="Times New Roman" w:hAnsi="Times New Roman" w:cs="Times New Roman"/>
    </w:rPr>
  </w:style>
  <w:style w:type="paragraph" w:styleId="993">
    <w:name w:val="Heading 4"/>
    <w:basedOn w:val="990"/>
    <w:next w:val="989"/>
    <w:link w:val="1415"/>
    <w:uiPriority w:val="9"/>
    <w:qFormat/>
    <w:pPr>
      <w:ind w:left="864" w:firstLine="24"/>
      <w:spacing w:before="280" w:after="290" w:line="376" w:lineRule="auto"/>
      <w:outlineLvl w:val="3"/>
    </w:pPr>
    <w:rPr>
      <w:rFonts w:ascii="Times New Roman" w:hAnsi="Times New Roman" w:cs="Times New Roman"/>
    </w:rPr>
  </w:style>
  <w:style w:type="paragraph" w:styleId="994">
    <w:name w:val="Heading 5"/>
    <w:basedOn w:val="990"/>
    <w:next w:val="989"/>
    <w:link w:val="1416"/>
    <w:uiPriority w:val="9"/>
    <w:qFormat/>
    <w:pPr>
      <w:ind w:left="1008"/>
      <w:spacing w:before="280" w:after="290" w:line="376" w:lineRule="auto"/>
      <w:outlineLvl w:val="4"/>
    </w:pPr>
    <w:rPr>
      <w:rFonts w:ascii="Times New Roman" w:hAnsi="Times New Roman" w:cs="Times New Roman"/>
    </w:rPr>
  </w:style>
  <w:style w:type="paragraph" w:styleId="995">
    <w:name w:val="Heading 6"/>
    <w:basedOn w:val="990"/>
    <w:next w:val="989"/>
    <w:link w:val="1417"/>
    <w:uiPriority w:val="9"/>
    <w:qFormat/>
    <w:pPr>
      <w:ind w:left="1152" w:firstLine="20"/>
      <w:spacing w:before="240" w:after="64" w:line="320" w:lineRule="auto"/>
      <w:outlineLvl w:val="5"/>
    </w:pPr>
    <w:rPr>
      <w:rFonts w:ascii="Times New Roman" w:hAnsi="Times New Roman" w:cs="Times New Roman"/>
    </w:rPr>
  </w:style>
  <w:style w:type="paragraph" w:styleId="996">
    <w:name w:val="Heading 7"/>
    <w:basedOn w:val="990"/>
    <w:next w:val="989"/>
    <w:link w:val="1418"/>
    <w:uiPriority w:val="9"/>
    <w:qFormat/>
    <w:pPr>
      <w:ind w:left="1296" w:firstLine="14"/>
      <w:spacing w:before="240" w:after="64" w:line="320" w:lineRule="auto"/>
      <w:outlineLvl w:val="6"/>
    </w:pPr>
    <w:rPr>
      <w:rFonts w:ascii="Times New Roman" w:hAnsi="Times New Roman" w:cs="Times New Roman"/>
    </w:rPr>
  </w:style>
  <w:style w:type="paragraph" w:styleId="997">
    <w:name w:val="Heading 8"/>
    <w:basedOn w:val="990"/>
    <w:next w:val="989"/>
    <w:link w:val="1419"/>
    <w:uiPriority w:val="9"/>
    <w:qFormat/>
    <w:pPr>
      <w:ind w:left="1440"/>
      <w:spacing w:before="240" w:after="64" w:line="320" w:lineRule="auto"/>
      <w:outlineLvl w:val="7"/>
    </w:pPr>
    <w:rPr>
      <w:rFonts w:ascii="Times New Roman" w:hAnsi="Times New Roman" w:cs="Times New Roman"/>
    </w:rPr>
  </w:style>
  <w:style w:type="paragraph" w:styleId="998">
    <w:name w:val="Heading 9"/>
    <w:basedOn w:val="990"/>
    <w:next w:val="989"/>
    <w:link w:val="1420"/>
    <w:uiPriority w:val="9"/>
    <w:qFormat/>
    <w:pPr>
      <w:ind w:left="1584" w:firstLine="22"/>
      <w:spacing w:before="240" w:after="64" w:line="320" w:lineRule="auto"/>
      <w:outlineLvl w:val="8"/>
    </w:pPr>
    <w:rPr>
      <w:rFonts w:ascii="Times New Roman" w:hAnsi="Times New Roman" w:cs="Times New Roman"/>
    </w:rPr>
  </w:style>
  <w:style w:type="character" w:styleId="999" w:default="1">
    <w:name w:val="Default Paragraph Font"/>
    <w:uiPriority w:val="1"/>
    <w:semiHidden/>
    <w:unhideWhenUsed/>
  </w:style>
  <w:style w:type="table" w:styleId="1000" w:default="1">
    <w:name w:val="Normal Table"/>
    <w:uiPriority w:val="99"/>
    <w:semiHidden/>
    <w:unhideWhenUsed/>
    <w:tblPr>
      <w:tblInd w:w="0" w:type="dxa"/>
      <w:tblCellMar>
        <w:left w:w="108" w:type="dxa"/>
        <w:top w:w="0" w:type="dxa"/>
        <w:right w:w="108" w:type="dxa"/>
        <w:bottom w:w="0" w:type="dxa"/>
      </w:tblCellMar>
    </w:tblPr>
  </w:style>
  <w:style w:type="numbering" w:styleId="1001" w:default="1">
    <w:name w:val="No List"/>
    <w:uiPriority w:val="99"/>
    <w:semiHidden/>
    <w:unhideWhenUsed/>
  </w:style>
  <w:style w:type="paragraph" w:styleId="1002">
    <w:name w:val="Body Text Indent"/>
    <w:basedOn w:val="989"/>
    <w:next w:val="989"/>
    <w:link w:val="1411"/>
    <w:uiPriority w:val="99"/>
    <w:qFormat/>
    <w:pPr>
      <w:ind w:left="420" w:firstLine="1188"/>
      <w:spacing w:line="360" w:lineRule="exact"/>
    </w:pPr>
    <w:rPr>
      <w:rFonts w:ascii="Times New Roman" w:hAnsi="Times New Roman" w:cs="Times New Roman"/>
    </w:rPr>
  </w:style>
  <w:style w:type="paragraph" w:styleId="1003" w:customStyle="1">
    <w:name w:val="正文2"/>
    <w:basedOn w:val="989"/>
    <w:next w:val="989"/>
    <w:qFormat/>
    <w:pPr>
      <w:ind w:left="0" w:hanging="2155"/>
      <w:spacing w:line="360" w:lineRule="auto"/>
      <w:shd w:val="clear" w:color="auto" w:fill="ffffff"/>
    </w:pPr>
    <w:rPr>
      <w:rFonts w:ascii="宋体" w:hAnsi="宋体"/>
    </w:rPr>
  </w:style>
  <w:style w:type="paragraph" w:styleId="1004">
    <w:name w:val="toc 7"/>
    <w:basedOn w:val="990"/>
    <w:next w:val="989"/>
    <w:qFormat/>
    <w:pPr>
      <w:ind w:left="1640" w:firstLine="3784"/>
      <w:spacing w:before="0" w:after="0" w:line="360" w:lineRule="auto"/>
    </w:pPr>
    <w:rPr>
      <w:rFonts w:ascii="Times New Roman" w:hAnsi="Times New Roman" w:cs="Times New Roman"/>
    </w:rPr>
  </w:style>
  <w:style w:type="paragraph" w:styleId="1005">
    <w:name w:val="List Bullet 4"/>
    <w:basedOn w:val="990"/>
    <w:next w:val="1006"/>
    <w:qFormat/>
    <w:pPr>
      <w:ind w:left="1620" w:firstLine="2652"/>
      <w:spacing w:before="0" w:after="0" w:line="360" w:lineRule="auto"/>
    </w:pPr>
    <w:rPr>
      <w:rFonts w:ascii="Times New Roman" w:hAnsi="Times New Roman" w:cs="Times New Roman"/>
    </w:rPr>
  </w:style>
  <w:style w:type="paragraph" w:styleId="1006">
    <w:name w:val="List Bullet 2"/>
    <w:basedOn w:val="990"/>
    <w:next w:val="989"/>
    <w:qFormat/>
    <w:pPr>
      <w:ind w:left="900" w:firstLine="2652"/>
      <w:spacing w:before="0" w:after="0" w:line="360" w:lineRule="auto"/>
    </w:pPr>
    <w:rPr>
      <w:rFonts w:ascii="Times New Roman" w:hAnsi="Times New Roman" w:cs="Times New Roman"/>
    </w:rPr>
  </w:style>
  <w:style w:type="paragraph" w:styleId="1007">
    <w:name w:val="List Number"/>
    <w:basedOn w:val="990"/>
    <w:next w:val="989"/>
    <w:qFormat/>
    <w:pPr>
      <w:ind w:left="454" w:firstLine="2788"/>
      <w:spacing w:before="0" w:after="0" w:line="240" w:lineRule="auto"/>
    </w:pPr>
    <w:rPr>
      <w:rFonts w:ascii="Times New Roman" w:hAnsi="Times New Roman" w:cs="Times New Roman"/>
    </w:rPr>
  </w:style>
  <w:style w:type="paragraph" w:styleId="1008">
    <w:name w:val="Normal Indent"/>
    <w:basedOn w:val="989"/>
    <w:next w:val="989"/>
    <w:link w:val="1059"/>
    <w:qFormat/>
    <w:pPr>
      <w:ind w:left="420" w:firstLine="4772"/>
    </w:pPr>
  </w:style>
  <w:style w:type="paragraph" w:styleId="1009">
    <w:name w:val="Caption"/>
    <w:basedOn w:val="990"/>
    <w:next w:val="989"/>
    <w:qFormat/>
    <w:pPr>
      <w:ind w:left="200" w:firstLine="2248"/>
      <w:jc w:val="center"/>
      <w:spacing w:before="0" w:after="0" w:line="240" w:lineRule="auto"/>
    </w:pPr>
    <w:rPr>
      <w:rFonts w:ascii="Times New Roman" w:hAnsi="Times New Roman" w:cs="Times New Roman"/>
    </w:rPr>
  </w:style>
  <w:style w:type="paragraph" w:styleId="1010">
    <w:name w:val="List Bullet"/>
    <w:basedOn w:val="990"/>
    <w:next w:val="989"/>
    <w:qFormat/>
    <w:pPr>
      <w:ind w:left="900" w:firstLine="2652"/>
      <w:spacing w:before="0" w:after="0" w:line="360" w:lineRule="auto"/>
    </w:pPr>
    <w:rPr>
      <w:rFonts w:ascii="Times New Roman" w:hAnsi="Times New Roman" w:cs="Times New Roman"/>
    </w:rPr>
  </w:style>
  <w:style w:type="paragraph" w:styleId="1011">
    <w:name w:val="Document Map"/>
    <w:basedOn w:val="990"/>
    <w:next w:val="1012"/>
    <w:qFormat/>
    <w:pPr>
      <w:ind w:left="0" w:firstLine="4"/>
      <w:spacing w:before="0" w:after="0" w:line="240" w:lineRule="auto"/>
      <w:shd w:val="clear" w:color="000000" w:fill="000080"/>
    </w:pPr>
    <w:rPr>
      <w:rFonts w:ascii="Times New Roman" w:hAnsi="Times New Roman" w:cs="Times New Roman"/>
    </w:rPr>
  </w:style>
  <w:style w:type="paragraph" w:styleId="1012">
    <w:name w:val="annotation subject"/>
    <w:next w:val="989"/>
    <w:uiPriority w:val="99"/>
    <w:qFormat/>
    <w:pPr>
      <w:ind w:firstLine="4608"/>
      <w:spacing w:line="360" w:lineRule="auto"/>
    </w:pPr>
    <w:rPr>
      <w:rFonts w:ascii="Calibri" w:hAnsi="Calibri"/>
    </w:rPr>
  </w:style>
  <w:style w:type="paragraph" w:styleId="1013">
    <w:name w:val="annotation text"/>
    <w:basedOn w:val="990"/>
    <w:next w:val="989"/>
    <w:uiPriority w:val="99"/>
    <w:qFormat/>
    <w:pPr>
      <w:ind w:left="0" w:firstLine="3584"/>
      <w:spacing w:before="0" w:after="0" w:line="360" w:lineRule="auto"/>
    </w:pPr>
    <w:rPr>
      <w:rFonts w:ascii="Times New Roman" w:hAnsi="Times New Roman" w:cs="Times New Roman"/>
    </w:rPr>
  </w:style>
  <w:style w:type="paragraph" w:styleId="1014">
    <w:name w:val="Body Text 3"/>
    <w:basedOn w:val="990"/>
    <w:next w:val="989"/>
    <w:link w:val="1421"/>
    <w:qFormat/>
    <w:pPr>
      <w:ind w:left="0" w:firstLine="2048"/>
      <w:spacing w:before="0" w:after="0" w:line="500" w:lineRule="exact"/>
    </w:pPr>
    <w:rPr>
      <w:rFonts w:ascii="Times New Roman" w:hAnsi="Times New Roman" w:cs="Times New Roman"/>
    </w:rPr>
  </w:style>
  <w:style w:type="paragraph" w:styleId="1015">
    <w:name w:val="List Bullet 3"/>
    <w:basedOn w:val="990"/>
    <w:next w:val="989"/>
    <w:qFormat/>
    <w:pPr>
      <w:ind w:left="900" w:firstLine="2652"/>
      <w:spacing w:before="0" w:after="0" w:line="360" w:lineRule="auto"/>
    </w:pPr>
    <w:rPr>
      <w:rFonts w:ascii="Times New Roman" w:hAnsi="Times New Roman" w:cs="Times New Roman"/>
    </w:rPr>
  </w:style>
  <w:style w:type="paragraph" w:styleId="1016">
    <w:name w:val="Body Text"/>
    <w:basedOn w:val="989"/>
    <w:next w:val="989"/>
    <w:qFormat/>
    <w:pPr>
      <w:ind w:left="0" w:firstLine="2560"/>
    </w:pPr>
    <w:rPr>
      <w:rFonts w:ascii="Times New Roman" w:hAnsi="Times New Roman" w:cs="Times New Roman"/>
    </w:rPr>
  </w:style>
  <w:style w:type="paragraph" w:styleId="1017">
    <w:name w:val="List Number 3"/>
    <w:basedOn w:val="990"/>
    <w:next w:val="989"/>
    <w:qFormat/>
    <w:pPr>
      <w:ind w:left="420" w:firstLine="3584"/>
      <w:spacing w:before="0" w:after="0" w:line="240" w:lineRule="auto"/>
    </w:pPr>
    <w:rPr>
      <w:rFonts w:ascii="Times New Roman" w:hAnsi="Times New Roman" w:cs="Times New Roman"/>
    </w:rPr>
  </w:style>
  <w:style w:type="paragraph" w:styleId="1018">
    <w:name w:val="List 2"/>
    <w:basedOn w:val="990"/>
    <w:next w:val="1004"/>
    <w:qFormat/>
    <w:pPr>
      <w:ind w:left="100" w:firstLine="3640"/>
      <w:spacing w:before="0" w:after="0" w:line="240" w:lineRule="auto"/>
    </w:pPr>
    <w:rPr>
      <w:rFonts w:ascii="Times New Roman" w:hAnsi="Times New Roman" w:cs="Times New Roman"/>
    </w:rPr>
  </w:style>
  <w:style w:type="paragraph" w:styleId="1019">
    <w:name w:val="Block Text"/>
    <w:basedOn w:val="990"/>
    <w:next w:val="989"/>
    <w:qFormat/>
    <w:pPr>
      <w:ind w:left="420" w:right="33" w:firstLine="2560"/>
      <w:spacing w:before="0" w:after="0" w:line="240" w:lineRule="auto"/>
    </w:pPr>
    <w:rPr>
      <w:rFonts w:ascii="Times New Roman" w:hAnsi="Times New Roman" w:cs="Times New Roman"/>
    </w:rPr>
  </w:style>
  <w:style w:type="paragraph" w:styleId="1020">
    <w:name w:val="toc 5"/>
    <w:basedOn w:val="990"/>
    <w:next w:val="989"/>
    <w:qFormat/>
    <w:pPr>
      <w:ind w:left="1160" w:firstLine="3784"/>
      <w:spacing w:before="0" w:after="0" w:line="360" w:lineRule="auto"/>
    </w:pPr>
    <w:rPr>
      <w:rFonts w:ascii="Times New Roman" w:hAnsi="Times New Roman" w:cs="Times New Roman"/>
    </w:rPr>
  </w:style>
  <w:style w:type="paragraph" w:styleId="1021">
    <w:name w:val="toc 3"/>
    <w:basedOn w:val="990"/>
    <w:next w:val="989"/>
    <w:qFormat/>
    <w:pPr>
      <w:ind w:left="0" w:firstLine="1024"/>
      <w:spacing w:before="0" w:after="0" w:line="360" w:lineRule="auto"/>
    </w:pPr>
    <w:rPr>
      <w:rFonts w:ascii="Times New Roman" w:hAnsi="Times New Roman" w:cs="Times New Roman"/>
    </w:rPr>
  </w:style>
  <w:style w:type="paragraph" w:styleId="1022">
    <w:name w:val="Plain Text"/>
    <w:basedOn w:val="990"/>
    <w:next w:val="1023"/>
    <w:link w:val="1422"/>
    <w:qFormat/>
    <w:pPr>
      <w:ind w:left="0" w:firstLine="2048"/>
      <w:spacing w:before="0" w:after="0" w:line="240" w:lineRule="auto"/>
    </w:pPr>
    <w:rPr>
      <w:rFonts w:ascii="Times New Roman" w:hAnsi="Times New Roman" w:cs="Times New Roman"/>
    </w:rPr>
  </w:style>
  <w:style w:type="paragraph" w:styleId="1023">
    <w:name w:val="toc 1"/>
    <w:basedOn w:val="990"/>
    <w:next w:val="989"/>
    <w:uiPriority w:val="39"/>
    <w:qFormat/>
    <w:pPr>
      <w:ind w:left="0" w:firstLine="4608"/>
      <w:spacing w:before="0" w:after="0" w:line="240" w:lineRule="auto"/>
    </w:pPr>
    <w:rPr>
      <w:rFonts w:ascii="Times New Roman" w:hAnsi="Times New Roman" w:cs="Times New Roman"/>
    </w:rPr>
  </w:style>
  <w:style w:type="paragraph" w:styleId="1024">
    <w:name w:val="List Bullet 5"/>
    <w:basedOn w:val="990"/>
    <w:next w:val="1025"/>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qFormat/>
    <w:pPr>
      <w:ind w:left="420" w:firstLine="2724"/>
      <w:spacing w:after="120" w:line="360" w:lineRule="auto"/>
    </w:pPr>
    <w:rPr>
      <w:rFonts w:ascii="Calibri" w:hAnsi="Calibri"/>
    </w:rPr>
  </w:style>
  <w:style w:type="paragraph" w:styleId="1026">
    <w:name w:val="toc 8"/>
    <w:basedOn w:val="990"/>
    <w:next w:val="989"/>
    <w:qFormat/>
    <w:pPr>
      <w:ind w:left="1880" w:firstLine="3784"/>
      <w:spacing w:before="0" w:after="0" w:line="360" w:lineRule="auto"/>
    </w:pPr>
    <w:rPr>
      <w:rFonts w:ascii="Times New Roman" w:hAnsi="Times New Roman" w:cs="Times New Roman"/>
    </w:rPr>
  </w:style>
  <w:style w:type="paragraph" w:styleId="1027">
    <w:name w:val="Date"/>
    <w:basedOn w:val="990"/>
    <w:next w:val="989"/>
    <w:link w:val="1423"/>
    <w:qFormat/>
    <w:pPr>
      <w:ind w:left="0" w:firstLine="2560"/>
      <w:spacing w:before="0" w:after="0" w:line="240" w:lineRule="auto"/>
    </w:pPr>
    <w:rPr>
      <w:rFonts w:ascii="Times New Roman" w:hAnsi="Times New Roman" w:cs="Times New Roman"/>
    </w:rPr>
  </w:style>
  <w:style w:type="paragraph" w:styleId="1028">
    <w:name w:val="Body Text Indent 2"/>
    <w:basedOn w:val="990"/>
    <w:next w:val="1002"/>
    <w:link w:val="1424"/>
    <w:qFormat/>
    <w:pPr>
      <w:ind w:left="481" w:firstLine="2784"/>
      <w:spacing w:before="0" w:after="0" w:line="400" w:lineRule="exact"/>
    </w:pPr>
    <w:rPr>
      <w:rFonts w:ascii="Times New Roman" w:hAnsi="Times New Roman" w:cs="Times New Roman"/>
    </w:rPr>
  </w:style>
  <w:style w:type="paragraph" w:styleId="1029">
    <w:name w:val="endnote text"/>
    <w:basedOn w:val="990"/>
    <w:next w:val="1030"/>
    <w:link w:val="1425"/>
    <w:qFormat/>
    <w:pPr>
      <w:ind w:left="0" w:firstLine="2560"/>
      <w:spacing w:before="0" w:after="0" w:line="360" w:lineRule="auto"/>
    </w:pPr>
    <w:rPr>
      <w:rFonts w:ascii="Times New Roman" w:hAnsi="Times New Roman" w:cs="Times New Roman"/>
    </w:rPr>
  </w:style>
  <w:style w:type="paragraph" w:styleId="1030" w:customStyle="1">
    <w:name w:val="Char11"/>
    <w:basedOn w:val="990"/>
    <w:next w:val="989"/>
    <w:qFormat/>
    <w:pPr>
      <w:ind w:left="0" w:firstLine="3584"/>
      <w:spacing w:before="0" w:after="0" w:line="240" w:lineRule="auto"/>
    </w:pPr>
    <w:rPr>
      <w:rFonts w:ascii="Times New Roman" w:hAnsi="Times New Roman" w:cs="Times New Roman"/>
    </w:rPr>
  </w:style>
  <w:style w:type="paragraph" w:styleId="1031">
    <w:name w:val="Balloon Text"/>
    <w:basedOn w:val="990"/>
    <w:next w:val="1007"/>
    <w:qFormat/>
    <w:pPr>
      <w:ind w:left="0" w:firstLine="2048"/>
      <w:spacing w:before="0" w:after="0" w:line="240" w:lineRule="auto"/>
    </w:pPr>
    <w:rPr>
      <w:rFonts w:ascii="Times New Roman" w:hAnsi="Times New Roman" w:cs="Times New Roman"/>
    </w:rPr>
  </w:style>
  <w:style w:type="paragraph" w:styleId="1032">
    <w:name w:val="Footer"/>
    <w:basedOn w:val="989"/>
    <w:next w:val="1033"/>
    <w:link w:val="1060"/>
    <w:uiPriority w:val="99"/>
    <w:qFormat/>
    <w:pPr>
      <w:ind w:left="0" w:firstLine="3584"/>
    </w:pPr>
  </w:style>
  <w:style w:type="paragraph" w:styleId="1033" w:customStyle="1">
    <w:name w:val="Char Char Char Char Char Char Char Char Char Char Char Char Char"/>
    <w:basedOn w:val="990"/>
    <w:next w:val="989"/>
    <w:qFormat/>
    <w:pPr>
      <w:ind w:left="0" w:firstLine="3584"/>
      <w:spacing w:before="0" w:after="160" w:line="240" w:lineRule="exact"/>
    </w:pPr>
    <w:rPr>
      <w:rFonts w:ascii="Times New Roman" w:hAnsi="Times New Roman" w:cs="Times New Roman"/>
    </w:rPr>
  </w:style>
  <w:style w:type="paragraph" w:styleId="1034">
    <w:name w:val="Header"/>
    <w:basedOn w:val="990"/>
    <w:next w:val="1027"/>
    <w:link w:val="1061"/>
    <w:uiPriority w:val="99"/>
    <w:qFormat/>
    <w:pPr>
      <w:ind w:left="0" w:firstLine="3584"/>
      <w:jc w:val="center"/>
      <w:spacing w:before="0" w:after="0" w:line="240" w:lineRule="auto"/>
    </w:pPr>
  </w:style>
  <w:style w:type="paragraph" w:styleId="1035">
    <w:name w:val="toc 4"/>
    <w:basedOn w:val="990"/>
    <w:next w:val="989"/>
    <w:qFormat/>
    <w:pPr>
      <w:ind w:left="1260" w:firstLine="1024"/>
      <w:spacing w:before="0" w:after="0" w:line="240" w:lineRule="auto"/>
    </w:pPr>
    <w:rPr>
      <w:rFonts w:ascii="Times New Roman" w:hAnsi="Times New Roman" w:cs="Times New Roman"/>
    </w:rPr>
  </w:style>
  <w:style w:type="paragraph" w:styleId="1036">
    <w:name w:val="Subtitle"/>
    <w:next w:val="989"/>
    <w:link w:val="1426"/>
    <w:uiPriority w:val="11"/>
    <w:qFormat/>
    <w:pPr>
      <w:ind w:left="1024"/>
      <w:jc w:val="center"/>
      <w:spacing w:after="60"/>
    </w:pPr>
    <w:rPr>
      <w:rFonts w:ascii="Calibri" w:hAnsi="Calibri"/>
    </w:rPr>
  </w:style>
  <w:style w:type="paragraph" w:styleId="1037">
    <w:name w:val="List"/>
    <w:basedOn w:val="990"/>
    <w:next w:val="1038"/>
    <w:qFormat/>
    <w:pPr>
      <w:ind w:left="200" w:firstLine="3640"/>
      <w:spacing w:before="0" w:after="0" w:line="240" w:lineRule="auto"/>
    </w:pPr>
    <w:rPr>
      <w:rFonts w:ascii="Times New Roman" w:hAnsi="Times New Roman" w:cs="Times New Roman"/>
    </w:rPr>
  </w:style>
  <w:style w:type="paragraph" w:styleId="1038">
    <w:name w:val="Body Text First Indent"/>
    <w:next w:val="989"/>
    <w:link w:val="1427"/>
    <w:qFormat/>
    <w:pPr>
      <w:ind w:left="420" w:firstLine="3748"/>
      <w:spacing w:after="120"/>
    </w:pPr>
    <w:rPr>
      <w:rFonts w:ascii="Calibri" w:hAnsi="Calibri"/>
    </w:rPr>
  </w:style>
  <w:style w:type="paragraph" w:styleId="1039">
    <w:name w:val="footnote text"/>
    <w:basedOn w:val="990"/>
    <w:next w:val="1019"/>
    <w:link w:val="1410"/>
    <w:qFormat/>
    <w:pPr>
      <w:ind w:left="0" w:firstLine="3584"/>
      <w:spacing w:before="0" w:after="0" w:line="360" w:lineRule="auto"/>
    </w:pPr>
    <w:rPr>
      <w:rFonts w:ascii="Times New Roman" w:hAnsi="Times New Roman" w:cs="Times New Roman"/>
    </w:rPr>
  </w:style>
  <w:style w:type="paragraph" w:styleId="1040">
    <w:name w:val="toc 6"/>
    <w:basedOn w:val="990"/>
    <w:next w:val="989"/>
    <w:qFormat/>
    <w:pPr>
      <w:ind w:left="1400" w:firstLine="3784"/>
      <w:spacing w:before="0" w:after="0" w:line="360" w:lineRule="auto"/>
    </w:pPr>
    <w:rPr>
      <w:rFonts w:ascii="Times New Roman" w:hAnsi="Times New Roman" w:cs="Times New Roman"/>
    </w:rPr>
  </w:style>
  <w:style w:type="paragraph" w:styleId="1041">
    <w:name w:val="List 5"/>
    <w:basedOn w:val="990"/>
    <w:next w:val="1016"/>
    <w:qFormat/>
    <w:pPr>
      <w:ind w:left="2100" w:firstLine="3676"/>
      <w:spacing w:before="0" w:after="0" w:line="240" w:lineRule="auto"/>
    </w:pPr>
    <w:rPr>
      <w:rFonts w:ascii="Times New Roman" w:hAnsi="Times New Roman" w:cs="Times New Roman"/>
    </w:rPr>
  </w:style>
  <w:style w:type="paragraph" w:styleId="1042">
    <w:name w:val="Body Text Indent 3"/>
    <w:basedOn w:val="990"/>
    <w:next w:val="1040"/>
    <w:qFormat/>
    <w:pPr>
      <w:ind w:left="480" w:firstLine="2784"/>
      <w:spacing w:before="0" w:after="0" w:line="400" w:lineRule="exact"/>
    </w:pPr>
    <w:rPr>
      <w:rFonts w:ascii="Times New Roman" w:hAnsi="Times New Roman" w:cs="Times New Roman"/>
    </w:rPr>
  </w:style>
  <w:style w:type="paragraph" w:styleId="1043">
    <w:name w:val="toc 2"/>
    <w:basedOn w:val="990"/>
    <w:next w:val="989"/>
    <w:qFormat/>
    <w:pPr>
      <w:ind w:left="0" w:firstLine="1024"/>
      <w:spacing w:before="0" w:after="0" w:line="360" w:lineRule="auto"/>
    </w:pPr>
    <w:rPr>
      <w:rFonts w:ascii="Times New Roman" w:hAnsi="Times New Roman" w:cs="Times New Roman"/>
    </w:rPr>
  </w:style>
  <w:style w:type="paragraph" w:styleId="1044">
    <w:name w:val="toc 9"/>
    <w:basedOn w:val="990"/>
    <w:next w:val="989"/>
    <w:qFormat/>
    <w:pPr>
      <w:ind w:left="2120" w:firstLine="3784"/>
      <w:spacing w:before="0" w:after="0" w:line="360" w:lineRule="auto"/>
    </w:pPr>
    <w:rPr>
      <w:rFonts w:ascii="Times New Roman" w:hAnsi="Times New Roman" w:cs="Times New Roman"/>
    </w:rPr>
  </w:style>
  <w:style w:type="paragraph" w:styleId="1045">
    <w:name w:val="Body Text 2"/>
    <w:basedOn w:val="990"/>
    <w:next w:val="1010"/>
    <w:link w:val="1428"/>
    <w:qFormat/>
    <w:pPr>
      <w:ind w:left="0" w:firstLine="1024"/>
      <w:spacing w:before="0" w:after="120" w:line="480" w:lineRule="auto"/>
    </w:pPr>
    <w:rPr>
      <w:rFonts w:ascii="Times New Roman" w:hAnsi="Times New Roman" w:cs="Times New Roman"/>
    </w:rPr>
  </w:style>
  <w:style w:type="paragraph" w:styleId="1046">
    <w:name w:val="HTML Preformatted"/>
    <w:basedOn w:val="990"/>
    <w:next w:val="1009"/>
    <w:link w:val="1429"/>
    <w:qFormat/>
    <w:pPr>
      <w:ind w:left="0" w:firstLine="2048"/>
      <w:spacing w:before="0" w:after="0" w:line="253" w:lineRule="atLeast"/>
    </w:pPr>
    <w:rPr>
      <w:rFonts w:ascii="Times New Roman" w:hAnsi="Times New Roman" w:cs="Times New Roman"/>
    </w:rPr>
  </w:style>
  <w:style w:type="paragraph" w:styleId="1047">
    <w:name w:val="Normal (Web)"/>
    <w:basedOn w:val="989"/>
    <w:next w:val="1018"/>
    <w:qFormat/>
    <w:pPr>
      <w:ind w:left="15" w:right="15" w:firstLine="4608"/>
      <w:spacing w:before="60" w:after="60" w:line="312" w:lineRule="auto"/>
    </w:pPr>
    <w:rPr>
      <w:rFonts w:ascii="Times New Roman" w:hAnsi="Times New Roman" w:cs="Times New Roman"/>
    </w:rPr>
  </w:style>
  <w:style w:type="paragraph" w:styleId="1048">
    <w:name w:val="index 1"/>
    <w:basedOn w:val="990"/>
    <w:next w:val="989"/>
    <w:qFormat/>
    <w:pPr>
      <w:ind w:left="0" w:firstLine="3584"/>
      <w:spacing w:before="0" w:after="0" w:line="240" w:lineRule="auto"/>
    </w:pPr>
    <w:rPr>
      <w:rFonts w:ascii="Times New Roman" w:hAnsi="Times New Roman" w:cs="Times New Roman"/>
    </w:rPr>
  </w:style>
  <w:style w:type="paragraph" w:styleId="1049">
    <w:name w:val="Title"/>
    <w:basedOn w:val="989"/>
    <w:next w:val="989"/>
    <w:link w:val="1433"/>
    <w:uiPriority w:val="10"/>
    <w:qFormat/>
    <w:pPr>
      <w:jc w:val="center"/>
      <w:spacing w:before="240" w:after="60"/>
      <w:outlineLvl w:val="0"/>
    </w:pPr>
    <w:rPr>
      <w:rFonts w:ascii="等线 Light" w:hAnsi="等线 Light" w:eastAsia="等线 Light" w:cs="Times New Roman"/>
      <w:spacing w:val="-10"/>
      <w:sz w:val="56"/>
      <w:szCs w:val="56"/>
      <w14:ligatures w14:val="standardContextual"/>
    </w:rPr>
  </w:style>
  <w:style w:type="paragraph" w:styleId="1050">
    <w:name w:val="Body Text First Indent 2"/>
    <w:basedOn w:val="1002"/>
    <w:link w:val="1409"/>
    <w:uiPriority w:val="99"/>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8"/>
    <w:qFormat/>
    <w:rPr>
      <w:rFonts w:ascii="Calibri" w:hAnsi="Calibri" w:eastAsia="宋体" w:cs="Times New Roman"/>
    </w:rPr>
  </w:style>
  <w:style w:type="character" w:styleId="1060" w:customStyle="1">
    <w:name w:val="页脚 字符"/>
    <w:link w:val="1032"/>
    <w:uiPriority w:val="99"/>
    <w:qFormat/>
    <w:rPr>
      <w:rFonts w:ascii="Calibri" w:hAnsi="Calibri" w:eastAsia="宋体" w:cs="Times New Roman"/>
    </w:rPr>
  </w:style>
  <w:style w:type="character" w:styleId="1061" w:customStyle="1">
    <w:name w:val="页眉 字符"/>
    <w:link w:val="1034"/>
    <w:uiPriority w:val="99"/>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uiPriority w:val="99"/>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uiPriority w:val="99"/>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0"/>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6"/>
    <w:next w:val="989"/>
    <w:qFormat/>
    <w:pPr>
      <w:ind w:left="1134" w:firstLine="20"/>
      <w:spacing w:before="280" w:after="280" w:line="360" w:lineRule="auto"/>
      <w:outlineLvl w:val="5"/>
    </w:pPr>
  </w:style>
  <w:style w:type="paragraph" w:styleId="1173" w:customStyle="1">
    <w:name w:val="正文段"/>
    <w:basedOn w:val="990"/>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89"/>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0"/>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0"/>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2"/>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0"/>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0"/>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0"/>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0"/>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3"/>
    <w:next w:val="1048"/>
    <w:qFormat/>
    <w:pPr>
      <w:ind w:left="200" w:firstLine="18"/>
      <w:spacing w:before="0" w:after="0" w:line="360" w:lineRule="auto"/>
      <w:outlineLvl w:val="2"/>
    </w:pPr>
  </w:style>
  <w:style w:type="paragraph" w:styleId="1187" w:customStyle="1">
    <w:name w:val="xl76"/>
    <w:basedOn w:val="990"/>
    <w:next w:val="1045"/>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0"/>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0"/>
    <w:next w:val="1028"/>
    <w:qFormat/>
    <w:pPr>
      <w:ind w:left="0" w:firstLine="2560"/>
      <w:spacing w:before="0" w:after="0" w:line="240" w:lineRule="auto"/>
    </w:pPr>
    <w:rPr>
      <w:rFonts w:ascii="Times New Roman" w:hAnsi="Times New Roman" w:cs="Times New Roman"/>
    </w:rPr>
  </w:style>
  <w:style w:type="paragraph" w:styleId="1190" w:customStyle="1">
    <w:name w:val="纯文本2"/>
    <w:basedOn w:val="990"/>
    <w:next w:val="1191"/>
    <w:qFormat/>
    <w:pPr>
      <w:ind w:left="0" w:firstLine="3584"/>
      <w:spacing w:before="0" w:after="0" w:line="240" w:lineRule="auto"/>
    </w:pPr>
    <w:rPr>
      <w:rFonts w:ascii="Times New Roman" w:hAnsi="Times New Roman" w:cs="Times New Roman"/>
    </w:rPr>
  </w:style>
  <w:style w:type="paragraph" w:styleId="1191" w:customStyle="1">
    <w:name w:val="xl69"/>
    <w:basedOn w:val="990"/>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0"/>
    <w:next w:val="1193"/>
    <w:qFormat/>
    <w:pPr>
      <w:ind w:left="0" w:firstLine="2560"/>
      <w:spacing w:before="0" w:after="0" w:line="240" w:lineRule="auto"/>
    </w:pPr>
    <w:rPr>
      <w:rFonts w:ascii="Times New Roman" w:hAnsi="Times New Roman" w:cs="Times New Roman"/>
    </w:rPr>
  </w:style>
  <w:style w:type="paragraph" w:styleId="1193" w:customStyle="1">
    <w:name w:val="表格"/>
    <w:basedOn w:val="990"/>
    <w:next w:val="1188"/>
    <w:qFormat/>
    <w:pPr>
      <w:ind w:left="0" w:firstLine="2560"/>
      <w:spacing w:before="0" w:after="0" w:line="360" w:lineRule="auto"/>
    </w:pPr>
    <w:rPr>
      <w:rFonts w:ascii="Times New Roman" w:hAnsi="Times New Roman" w:cs="Times New Roman"/>
    </w:rPr>
  </w:style>
  <w:style w:type="paragraph" w:styleId="1194" w:customStyle="1">
    <w:name w:val="xl68"/>
    <w:basedOn w:val="990"/>
    <w:next w:val="1195"/>
    <w:qFormat/>
    <w:pPr>
      <w:ind w:left="100" w:firstLine="5220"/>
      <w:spacing w:before="280" w:after="280" w:line="240" w:lineRule="auto"/>
    </w:pPr>
    <w:rPr>
      <w:rFonts w:ascii="Times New Roman" w:hAnsi="Times New Roman" w:cs="Times New Roman"/>
    </w:rPr>
  </w:style>
  <w:style w:type="paragraph" w:styleId="1195" w:customStyle="1">
    <w:name w:val="Char1"/>
    <w:basedOn w:val="990"/>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0"/>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0"/>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0"/>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0"/>
    <w:next w:val="1044"/>
    <w:qFormat/>
    <w:pPr>
      <w:ind w:left="0" w:firstLine="1024"/>
      <w:spacing w:before="280" w:after="280" w:line="240" w:lineRule="auto"/>
    </w:pPr>
    <w:rPr>
      <w:rFonts w:ascii="Times New Roman" w:hAnsi="Times New Roman" w:cs="Times New Roman"/>
    </w:rPr>
  </w:style>
  <w:style w:type="paragraph" w:styleId="1200" w:customStyle="1">
    <w:name w:val="文档标题5"/>
    <w:basedOn w:val="995"/>
    <w:next w:val="989"/>
    <w:qFormat/>
    <w:pPr>
      <w:ind w:left="992" w:firstLine="18"/>
      <w:spacing w:before="280" w:after="280" w:line="360" w:lineRule="auto"/>
      <w:outlineLvl w:val="4"/>
    </w:pPr>
  </w:style>
  <w:style w:type="paragraph" w:styleId="1201" w:customStyle="1">
    <w:name w:val="样式 加粗 居中"/>
    <w:basedOn w:val="990"/>
    <w:next w:val="1202"/>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0"/>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0"/>
    <w:next w:val="1046"/>
    <w:qFormat/>
    <w:pPr>
      <w:ind w:left="1200" w:firstLine="2712"/>
      <w:spacing w:before="0" w:after="0" w:line="360" w:lineRule="auto"/>
    </w:pPr>
    <w:rPr>
      <w:rFonts w:ascii="Times New Roman" w:hAnsi="Times New Roman" w:cs="Times New Roman"/>
    </w:rPr>
  </w:style>
  <w:style w:type="paragraph" w:styleId="1205" w:customStyle="1">
    <w:name w:val="三号 居中"/>
    <w:basedOn w:val="990"/>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0"/>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0"/>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0"/>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0"/>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0"/>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0"/>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0"/>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0"/>
    <w:next w:val="989"/>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0"/>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0"/>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0"/>
    <w:next w:val="989"/>
    <w:qFormat/>
    <w:pPr>
      <w:ind w:left="425" w:firstLine="1111"/>
      <w:spacing w:before="0" w:after="0" w:line="360" w:lineRule="auto"/>
    </w:pPr>
    <w:rPr>
      <w:rFonts w:ascii="Times New Roman" w:hAnsi="Times New Roman" w:cs="Times New Roman"/>
    </w:rPr>
  </w:style>
  <w:style w:type="paragraph" w:styleId="1220" w:customStyle="1">
    <w:name w:val="Default"/>
    <w:next w:val="1024"/>
    <w:qFormat/>
    <w:pPr>
      <w:ind w:firstLine="5120"/>
      <w:widowControl w:val="off"/>
    </w:pPr>
    <w:rPr>
      <w:rFonts w:ascii="Calibri" w:hAnsi="Calibri"/>
    </w:rPr>
  </w:style>
  <w:style w:type="paragraph" w:styleId="1221" w:customStyle="1">
    <w:name w:val="xl84"/>
    <w:basedOn w:val="990"/>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2"/>
    <w:next w:val="1223"/>
    <w:qFormat/>
    <w:pPr>
      <w:ind w:left="0" w:firstLine="24"/>
      <w:jc w:val="center"/>
      <w:spacing w:before="0" w:after="0" w:line="360" w:lineRule="auto"/>
      <w:outlineLvl w:val="1"/>
    </w:pPr>
  </w:style>
  <w:style w:type="paragraph" w:styleId="1223" w:customStyle="1">
    <w:name w:val="应答文本"/>
    <w:basedOn w:val="990"/>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0"/>
    <w:next w:val="989"/>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89"/>
    <w:qFormat/>
    <w:pPr>
      <w:ind w:firstLine="480"/>
    </w:pPr>
    <w:rPr>
      <w:rFonts w:ascii="Times New Roman" w:hAnsi="Times New Roman" w:cs="Times New Roman"/>
      <w:lang w:val="zh-CN"/>
    </w:rPr>
  </w:style>
  <w:style w:type="paragraph" w:styleId="1226" w:customStyle="1">
    <w:name w:val="font9"/>
    <w:basedOn w:val="990"/>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3"/>
    <w:next w:val="1228"/>
    <w:qFormat/>
    <w:pPr>
      <w:ind w:left="0"/>
      <w:spacing w:before="0" w:after="0" w:line="400" w:lineRule="exact"/>
      <w:outlineLvl w:val="2"/>
    </w:pPr>
  </w:style>
  <w:style w:type="paragraph" w:styleId="1228" w:customStyle="1">
    <w:name w:val="标书正文"/>
    <w:basedOn w:val="990"/>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0"/>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0"/>
    <w:next w:val="989"/>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0"/>
    <w:next w:val="989"/>
    <w:qFormat/>
    <w:pPr>
      <w:ind w:left="419" w:firstLine="5283"/>
      <w:spacing w:before="0" w:after="0" w:line="317" w:lineRule="atLeast"/>
    </w:pPr>
    <w:rPr>
      <w:rFonts w:ascii="Times New Roman" w:hAnsi="Times New Roman" w:cs="Times New Roman"/>
    </w:rPr>
  </w:style>
  <w:style w:type="paragraph" w:styleId="1232" w:customStyle="1">
    <w:name w:val="xl90"/>
    <w:basedOn w:val="990"/>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1"/>
    <w:next w:val="1213"/>
    <w:qFormat/>
    <w:pPr>
      <w:ind w:left="0" w:firstLine="18"/>
      <w:jc w:val="center"/>
      <w:spacing w:before="0" w:after="0" w:line="240" w:lineRule="auto"/>
      <w:outlineLvl w:val="0"/>
    </w:pPr>
  </w:style>
  <w:style w:type="paragraph" w:styleId="1235" w:customStyle="1">
    <w:name w:val="索引 81"/>
    <w:basedOn w:val="990"/>
    <w:next w:val="989"/>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89"/>
    <w:next w:val="989"/>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0"/>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0"/>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0"/>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0"/>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0"/>
    <w:next w:val="990"/>
    <w:qFormat/>
    <w:pPr>
      <w:ind w:left="0" w:firstLine="5120"/>
      <w:jc w:val="center"/>
      <w:spacing w:before="187" w:after="175" w:line="374" w:lineRule="atLeast"/>
    </w:pPr>
    <w:rPr>
      <w:rFonts w:ascii="Times New Roman" w:hAnsi="Times New Roman" w:cs="Times New Roman"/>
    </w:rPr>
  </w:style>
  <w:style w:type="paragraph" w:styleId="1242">
    <w:name w:val="Quote"/>
    <w:next w:val="989"/>
    <w:link w:val="1430"/>
    <w:uiPriority w:val="29"/>
    <w:qFormat/>
    <w:pPr>
      <w:ind w:left="3680" w:right="864"/>
      <w:jc w:val="center"/>
      <w:spacing w:before="200" w:after="160"/>
    </w:pPr>
    <w:rPr>
      <w:rFonts w:ascii="Calibri" w:hAnsi="Calibri"/>
      <w:i/>
    </w:rPr>
  </w:style>
  <w:style w:type="paragraph" w:styleId="1243" w:customStyle="1">
    <w:name w:val="Default Paragraph Font Para Char Char Char Char Char Char"/>
    <w:basedOn w:val="990"/>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0"/>
    <w:next w:val="1026"/>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0"/>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2"/>
    <w:next w:val="1247"/>
    <w:qFormat/>
    <w:pPr>
      <w:ind w:left="0" w:firstLine="24"/>
      <w:jc w:val="center"/>
      <w:spacing w:line="412" w:lineRule="auto"/>
      <w:outlineLvl w:val="1"/>
    </w:pPr>
  </w:style>
  <w:style w:type="paragraph" w:styleId="1247" w:customStyle="1">
    <w:name w:val="页脚 Char Char"/>
    <w:basedOn w:val="990"/>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1"/>
    <w:next w:val="1249"/>
    <w:qFormat/>
    <w:pPr>
      <w:ind w:left="0" w:firstLine="18"/>
      <w:jc w:val="center"/>
      <w:spacing w:before="120" w:after="0" w:line="360" w:lineRule="auto"/>
      <w:outlineLvl w:val="0"/>
    </w:pPr>
  </w:style>
  <w:style w:type="paragraph" w:styleId="1249" w:customStyle="1">
    <w:name w:val="Char1 Char Char Char Char Char Char"/>
    <w:basedOn w:val="990"/>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4"/>
    <w:next w:val="989"/>
    <w:qFormat/>
    <w:pPr>
      <w:ind w:left="851" w:firstLine="30"/>
      <w:spacing w:after="280" w:line="360" w:lineRule="auto"/>
      <w:outlineLvl w:val="3"/>
    </w:pPr>
  </w:style>
  <w:style w:type="paragraph" w:styleId="1251" w:customStyle="1">
    <w:name w:val="font0"/>
    <w:basedOn w:val="990"/>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0"/>
    <w:next w:val="989"/>
    <w:qFormat/>
    <w:pPr>
      <w:ind w:left="200" w:firstLine="2760"/>
      <w:spacing w:before="0" w:after="0" w:line="400" w:lineRule="atLeast"/>
    </w:pPr>
    <w:rPr>
      <w:rFonts w:ascii="Times New Roman" w:hAnsi="Times New Roman" w:cs="Times New Roman"/>
    </w:rPr>
  </w:style>
  <w:style w:type="paragraph" w:styleId="1253" w:customStyle="1">
    <w:name w:val="Pa0"/>
    <w:basedOn w:val="990"/>
    <w:next w:val="989"/>
    <w:qFormat/>
    <w:pPr>
      <w:ind w:left="0" w:firstLine="4608"/>
      <w:spacing w:before="0" w:after="0" w:line="241" w:lineRule="atLeast"/>
    </w:pPr>
    <w:rPr>
      <w:rFonts w:ascii="Times New Roman" w:hAnsi="Times New Roman" w:cs="Times New Roman"/>
    </w:rPr>
  </w:style>
  <w:style w:type="paragraph" w:styleId="1254" w:customStyle="1">
    <w:name w:val="招标文件》"/>
    <w:basedOn w:val="990"/>
    <w:next w:val="1190"/>
    <w:qFormat/>
    <w:pPr>
      <w:ind w:left="420" w:firstLine="2140"/>
      <w:spacing w:before="120" w:after="120" w:line="300" w:lineRule="auto"/>
    </w:pPr>
    <w:rPr>
      <w:rFonts w:ascii="Times New Roman" w:hAnsi="Times New Roman" w:cs="Times New Roman"/>
    </w:rPr>
  </w:style>
  <w:style w:type="paragraph" w:styleId="1255" w:customStyle="1">
    <w:name w:val="段"/>
    <w:next w:val="989"/>
    <w:qFormat/>
    <w:pPr>
      <w:ind w:firstLine="200"/>
      <w:jc w:val="both"/>
      <w:spacing w:line="360" w:lineRule="auto"/>
    </w:pPr>
    <w:rPr>
      <w:sz w:val="24"/>
      <w:szCs w:val="22"/>
    </w:rPr>
  </w:style>
  <w:style w:type="paragraph" w:styleId="1256" w:customStyle="1">
    <w:name w:val="标书_正文"/>
    <w:basedOn w:val="990"/>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2"/>
    <w:next w:val="1205"/>
    <w:qFormat/>
    <w:pPr>
      <w:ind w:left="0" w:firstLine="24"/>
      <w:spacing w:before="100" w:after="0" w:line="400" w:lineRule="exact"/>
      <w:outlineLvl w:val="1"/>
    </w:pPr>
  </w:style>
  <w:style w:type="paragraph" w:styleId="1258" w:customStyle="1">
    <w:name w:val="图片0"/>
    <w:basedOn w:val="990"/>
    <w:next w:val="1037"/>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0"/>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0"/>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0"/>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0"/>
    <w:next w:val="989"/>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0"/>
    <w:next w:val="1265"/>
    <w:qFormat/>
    <w:pPr>
      <w:ind w:left="200" w:firstLine="2248"/>
      <w:spacing w:before="0" w:after="0" w:line="360" w:lineRule="auto"/>
    </w:pPr>
    <w:rPr>
      <w:rFonts w:ascii="Times New Roman" w:hAnsi="Times New Roman" w:cs="Times New Roman"/>
    </w:rPr>
  </w:style>
  <w:style w:type="paragraph" w:styleId="1265" w:customStyle="1">
    <w:name w:val="2ji"/>
    <w:basedOn w:val="992"/>
    <w:next w:val="1032"/>
    <w:qFormat/>
    <w:pPr>
      <w:ind w:left="0" w:firstLine="24"/>
      <w:spacing w:before="0" w:after="0" w:line="360" w:lineRule="auto"/>
      <w:outlineLvl w:val="1"/>
    </w:pPr>
  </w:style>
  <w:style w:type="paragraph" w:styleId="1266" w:customStyle="1">
    <w:name w:val="xl91"/>
    <w:basedOn w:val="990"/>
    <w:next w:val="1187"/>
    <w:qFormat/>
    <w:pPr>
      <w:ind w:left="0" w:firstLine="3584"/>
      <w:spacing w:before="280" w:after="280" w:line="240" w:lineRule="auto"/>
    </w:pPr>
    <w:rPr>
      <w:rFonts w:ascii="Times New Roman" w:hAnsi="Times New Roman" w:cs="Times New Roman"/>
    </w:rPr>
  </w:style>
  <w:style w:type="paragraph" w:styleId="1267" w:customStyle="1">
    <w:name w:val="Text Body"/>
    <w:basedOn w:val="990"/>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0"/>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0"/>
    <w:next w:val="989"/>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3"/>
    <w:next w:val="1271"/>
    <w:qFormat/>
    <w:pPr>
      <w:ind w:left="1429" w:firstLine="18"/>
      <w:spacing w:before="100" w:after="100" w:line="360" w:lineRule="auto"/>
      <w:outlineLvl w:val="2"/>
    </w:pPr>
  </w:style>
  <w:style w:type="paragraph" w:styleId="1271" w:customStyle="1">
    <w:name w:val="xl22"/>
    <w:basedOn w:val="990"/>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0"/>
    <w:next w:val="989"/>
    <w:qFormat/>
    <w:pPr>
      <w:ind w:left="0"/>
      <w:spacing w:before="0" w:after="0" w:line="360" w:lineRule="auto"/>
    </w:pPr>
    <w:rPr>
      <w:rFonts w:ascii="Times New Roman" w:hAnsi="Times New Roman" w:cs="Times New Roman"/>
    </w:rPr>
  </w:style>
  <w:style w:type="paragraph" w:styleId="1273" w:customStyle="1">
    <w:name w:val="xl78"/>
    <w:basedOn w:val="990"/>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qFormat/>
    <w:pPr>
      <w:ind w:firstLine="4608"/>
      <w:jc w:val="center"/>
      <w:spacing w:line="360" w:lineRule="auto"/>
    </w:pPr>
    <w:rPr>
      <w:rFonts w:ascii="Calibri" w:hAnsi="Calibri"/>
    </w:rPr>
  </w:style>
  <w:style w:type="paragraph" w:styleId="1275" w:customStyle="1">
    <w:name w:val="_Style 169"/>
    <w:next w:val="989"/>
    <w:qFormat/>
    <w:pPr>
      <w:ind w:left="2560"/>
    </w:pPr>
    <w:rPr>
      <w:rFonts w:ascii="Calibri" w:hAnsi="Calibri"/>
    </w:rPr>
  </w:style>
  <w:style w:type="paragraph" w:styleId="1276" w:customStyle="1">
    <w:name w:val="样式 小四 行距: 1.5 倍行距 首行缩进:  2 字符"/>
    <w:basedOn w:val="990"/>
    <w:next w:val="1221"/>
    <w:qFormat/>
    <w:pPr>
      <w:ind w:left="480" w:firstLine="2784"/>
      <w:spacing w:before="0" w:after="0" w:line="360" w:lineRule="auto"/>
    </w:pPr>
    <w:rPr>
      <w:rFonts w:ascii="Times New Roman" w:hAnsi="Times New Roman" w:cs="Times New Roman"/>
    </w:rPr>
  </w:style>
  <w:style w:type="paragraph" w:styleId="1277" w:customStyle="1">
    <w:name w:val="小节标题"/>
    <w:basedOn w:val="990"/>
    <w:next w:val="989"/>
    <w:qFormat/>
    <w:pPr>
      <w:ind w:left="0" w:firstLine="7168"/>
      <w:spacing w:before="175" w:after="102" w:line="351" w:lineRule="atLeast"/>
    </w:pPr>
    <w:rPr>
      <w:rFonts w:ascii="Times New Roman" w:hAnsi="Times New Roman" w:cs="Times New Roman"/>
    </w:rPr>
  </w:style>
  <w:style w:type="paragraph" w:styleId="1278" w:customStyle="1">
    <w:name w:val="TOC 标题2"/>
    <w:basedOn w:val="990"/>
    <w:next w:val="98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0"/>
    <w:next w:val="1280"/>
    <w:qFormat/>
    <w:pPr>
      <w:ind w:left="0" w:firstLine="3584"/>
      <w:spacing w:before="0" w:after="0" w:line="240" w:lineRule="auto"/>
    </w:pPr>
    <w:rPr>
      <w:rFonts w:ascii="Times New Roman" w:hAnsi="Times New Roman" w:cs="Times New Roman"/>
    </w:rPr>
  </w:style>
  <w:style w:type="paragraph" w:styleId="1280" w:customStyle="1">
    <w:name w:val="Char"/>
    <w:basedOn w:val="990"/>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0"/>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0"/>
    <w:next w:val="989"/>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0"/>
    <w:next w:val="1002"/>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0"/>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0"/>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0"/>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0"/>
    <w:next w:val="989"/>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0"/>
    <w:next w:val="989"/>
    <w:qFormat/>
    <w:pPr>
      <w:ind w:left="629" w:firstLine="5237"/>
      <w:spacing w:before="0" w:after="0" w:line="317" w:lineRule="atLeast"/>
    </w:pPr>
    <w:rPr>
      <w:rFonts w:ascii="Times New Roman" w:hAnsi="Times New Roman" w:cs="Times New Roman"/>
    </w:rPr>
  </w:style>
  <w:style w:type="paragraph" w:styleId="1290" w:customStyle="1">
    <w:name w:val="p15"/>
    <w:basedOn w:val="989"/>
    <w:qFormat/>
    <w:pPr>
      <w:ind w:left="0"/>
    </w:pPr>
    <w:rPr>
      <w:rFonts w:ascii="宋体" w:hAnsi="宋体"/>
      <w:sz w:val="28"/>
      <w:szCs w:val="28"/>
    </w:rPr>
  </w:style>
  <w:style w:type="paragraph" w:styleId="1291" w:customStyle="1">
    <w:name w:val="四号 居中"/>
    <w:basedOn w:val="990"/>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89"/>
    <w:qFormat/>
    <w:pPr>
      <w:ind w:firstLine="2048"/>
      <w:spacing w:line="360" w:lineRule="auto"/>
    </w:pPr>
    <w:rPr>
      <w:rFonts w:ascii="Calibri" w:hAnsi="Calibri"/>
    </w:rPr>
  </w:style>
  <w:style w:type="paragraph" w:styleId="1293" w:customStyle="1">
    <w:name w:val="列表编号 21"/>
    <w:basedOn w:val="990"/>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0"/>
    <w:next w:val="1175"/>
    <w:qFormat/>
    <w:pPr>
      <w:ind w:left="0" w:firstLine="2560"/>
      <w:jc w:val="center"/>
      <w:spacing w:before="0" w:after="120" w:line="480" w:lineRule="auto"/>
    </w:pPr>
    <w:rPr>
      <w:rFonts w:ascii="Times New Roman" w:hAnsi="Times New Roman" w:cs="Times New Roman"/>
    </w:rPr>
  </w:style>
  <w:style w:type="paragraph" w:styleId="1295" w:customStyle="1">
    <w:name w:val="a2"/>
    <w:basedOn w:val="990"/>
    <w:next w:val="1029"/>
    <w:qFormat/>
    <w:pPr>
      <w:ind w:left="0" w:firstLine="1024"/>
      <w:spacing w:before="280" w:after="280" w:line="240" w:lineRule="auto"/>
    </w:pPr>
    <w:rPr>
      <w:rFonts w:ascii="Times New Roman" w:hAnsi="Times New Roman" w:cs="Times New Roman"/>
    </w:rPr>
  </w:style>
  <w:style w:type="paragraph" w:styleId="1296" w:customStyle="1">
    <w:name w:val="font8"/>
    <w:basedOn w:val="990"/>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0"/>
    <w:next w:val="1298"/>
    <w:qFormat/>
    <w:pPr>
      <w:ind w:left="0" w:firstLine="2560"/>
      <w:spacing w:before="0" w:after="0" w:line="240" w:lineRule="auto"/>
    </w:pPr>
    <w:rPr>
      <w:rFonts w:ascii="Times New Roman" w:hAnsi="Times New Roman" w:cs="Times New Roman"/>
    </w:rPr>
  </w:style>
  <w:style w:type="paragraph" w:styleId="1298" w:customStyle="1">
    <w:name w:val="xl87"/>
    <w:basedOn w:val="990"/>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0"/>
    <w:next w:val="1011"/>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0"/>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0"/>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0"/>
    <w:next w:val="1022"/>
    <w:qFormat/>
    <w:pPr>
      <w:ind w:left="0" w:firstLine="3584"/>
      <w:spacing w:before="280" w:after="280" w:line="240" w:lineRule="auto"/>
    </w:pPr>
    <w:rPr>
      <w:rFonts w:ascii="Times New Roman" w:hAnsi="Times New Roman" w:cs="Times New Roman"/>
    </w:rPr>
  </w:style>
  <w:style w:type="paragraph" w:styleId="1305" w:customStyle="1">
    <w:name w:val="纯文本1"/>
    <w:basedOn w:val="990"/>
    <w:next w:val="1034"/>
    <w:qFormat/>
    <w:pPr>
      <w:ind w:left="0" w:firstLine="3584"/>
      <w:spacing w:before="0" w:after="0" w:line="240" w:lineRule="auto"/>
    </w:pPr>
    <w:rPr>
      <w:rFonts w:ascii="Times New Roman" w:hAnsi="Times New Roman" w:cs="Times New Roman"/>
    </w:rPr>
  </w:style>
  <w:style w:type="paragraph" w:styleId="1306" w:customStyle="1">
    <w:name w:val="索引 91"/>
    <w:basedOn w:val="990"/>
    <w:next w:val="989"/>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0"/>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0"/>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0"/>
    <w:next w:val="1035"/>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0"/>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0"/>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0"/>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0"/>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4"/>
    <w:next w:val="1316"/>
    <w:qFormat/>
    <w:pPr>
      <w:ind w:left="426" w:firstLine="24"/>
      <w:spacing w:before="0" w:after="0" w:line="360" w:lineRule="auto"/>
      <w:outlineLvl w:val="3"/>
    </w:pPr>
  </w:style>
  <w:style w:type="paragraph" w:styleId="1316" w:customStyle="1">
    <w:name w:val="xl82"/>
    <w:basedOn w:val="990"/>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0"/>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0"/>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0"/>
    <w:next w:val="989"/>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0"/>
    <w:next w:val="989"/>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0"/>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0"/>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0"/>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0"/>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0"/>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89"/>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0"/>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0"/>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1"/>
    <w:next w:val="1334"/>
    <w:qFormat/>
    <w:pPr>
      <w:ind w:left="432" w:firstLine="18"/>
      <w:spacing w:before="40" w:after="40" w:line="360" w:lineRule="auto"/>
      <w:outlineLvl w:val="0"/>
    </w:pPr>
  </w:style>
  <w:style w:type="paragraph" w:styleId="1334" w:customStyle="1">
    <w:name w:val="表格用"/>
    <w:basedOn w:val="990"/>
    <w:next w:val="1291"/>
    <w:qFormat/>
    <w:pPr>
      <w:ind w:left="0" w:firstLine="1024"/>
      <w:spacing w:before="0" w:after="0" w:line="360" w:lineRule="auto"/>
    </w:pPr>
    <w:rPr>
      <w:rFonts w:ascii="Times New Roman" w:hAnsi="Times New Roman" w:cs="Times New Roman"/>
    </w:rPr>
  </w:style>
  <w:style w:type="paragraph" w:styleId="1335" w:customStyle="1">
    <w:name w:val="xl71"/>
    <w:basedOn w:val="990"/>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0"/>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0"/>
    <w:next w:val="1273"/>
    <w:qFormat/>
    <w:pPr>
      <w:ind w:left="420" w:firstLine="3748"/>
      <w:spacing w:before="0" w:after="0" w:line="240" w:lineRule="auto"/>
    </w:pPr>
    <w:rPr>
      <w:rFonts w:ascii="Times New Roman" w:hAnsi="Times New Roman" w:cs="Times New Roman"/>
    </w:rPr>
  </w:style>
  <w:style w:type="paragraph" w:styleId="1338" w:customStyle="1">
    <w:name w:val="修订1"/>
    <w:uiPriority w:val="99"/>
    <w:qFormat/>
    <w:rPr>
      <w:rFonts w:ascii="Calibri" w:hAnsi="Calibri"/>
    </w:rPr>
  </w:style>
  <w:style w:type="paragraph" w:styleId="1339" w:customStyle="1">
    <w:name w:val="正文文本缩进 21"/>
    <w:basedOn w:val="990"/>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0"/>
    <w:next w:val="1289"/>
    <w:qFormat/>
    <w:pPr>
      <w:ind w:left="0" w:firstLine="2560"/>
      <w:spacing w:before="0" w:after="0" w:line="240" w:lineRule="auto"/>
    </w:pPr>
    <w:rPr>
      <w:rFonts w:ascii="Times New Roman" w:hAnsi="Times New Roman" w:cs="Times New Roman"/>
    </w:rPr>
  </w:style>
  <w:style w:type="paragraph" w:styleId="1341" w:customStyle="1">
    <w:name w:val="样式"/>
    <w:next w:val="989"/>
    <w:qFormat/>
    <w:pPr>
      <w:ind w:firstLine="3584"/>
      <w:widowControl w:val="off"/>
    </w:pPr>
    <w:rPr>
      <w:rFonts w:ascii="Calibri" w:hAnsi="Calibri"/>
    </w:rPr>
  </w:style>
  <w:style w:type="paragraph" w:styleId="1342" w:customStyle="1">
    <w:name w:val="TOC 标题1"/>
    <w:basedOn w:val="991"/>
    <w:next w:val="989"/>
    <w:qFormat/>
    <w:pPr>
      <w:ind w:left="0" w:firstLine="6144"/>
      <w:spacing w:before="480" w:after="0" w:line="276" w:lineRule="auto"/>
    </w:pPr>
    <w:rPr>
      <w:b/>
      <w:sz w:val="30"/>
    </w:rPr>
  </w:style>
  <w:style w:type="paragraph" w:styleId="1343" w:customStyle="1">
    <w:name w:val="纯文本3"/>
    <w:basedOn w:val="989"/>
    <w:qFormat/>
    <w:rPr>
      <w:rFonts w:ascii="宋体" w:hAnsi="Courier New" w:cs="Times New Roman"/>
    </w:rPr>
  </w:style>
  <w:style w:type="paragraph" w:styleId="1344" w:customStyle="1">
    <w:name w:val="afont"/>
    <w:basedOn w:val="990"/>
    <w:next w:val="1015"/>
    <w:qFormat/>
    <w:pPr>
      <w:ind w:left="0" w:firstLine="2048"/>
      <w:spacing w:before="100" w:after="100" w:line="285" w:lineRule="atLeast"/>
    </w:pPr>
    <w:rPr>
      <w:rFonts w:ascii="Times New Roman" w:hAnsi="Times New Roman" w:cs="Times New Roman"/>
    </w:rPr>
  </w:style>
  <w:style w:type="paragraph" w:styleId="1345" w:customStyle="1">
    <w:name w:val="xl85"/>
    <w:basedOn w:val="990"/>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0"/>
    <w:next w:val="1347"/>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0"/>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0"/>
    <w:next w:val="989"/>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89"/>
    <w:qFormat/>
    <w:pPr>
      <w:ind w:left="0"/>
      <w:jc w:val="left"/>
    </w:pPr>
    <w:rPr>
      <w:rFonts w:ascii="宋体" w:hAnsi="宋体" w:eastAsia="楷体_GB2312" w:cs="Courier New"/>
      <w:sz w:val="26"/>
      <w:lang w:val="zh-CN"/>
    </w:rPr>
  </w:style>
  <w:style w:type="paragraph" w:styleId="1350" w:customStyle="1">
    <w:name w:val="样式 加粗 居中2"/>
    <w:basedOn w:val="990"/>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0"/>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0"/>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0"/>
    <w:next w:val="1232"/>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0"/>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0"/>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0"/>
    <w:next w:val="989"/>
    <w:qFormat/>
    <w:pPr>
      <w:ind w:left="209" w:firstLine="5329"/>
      <w:spacing w:before="0" w:after="0" w:line="317" w:lineRule="atLeast"/>
    </w:pPr>
    <w:rPr>
      <w:rFonts w:ascii="Times New Roman" w:hAnsi="Times New Roman" w:cs="Times New Roman"/>
    </w:rPr>
  </w:style>
  <w:style w:type="paragraph" w:styleId="1357" w:customStyle="1">
    <w:name w:val="图表目录1"/>
    <w:basedOn w:val="990"/>
    <w:next w:val="989"/>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0"/>
    <w:next w:val="1308"/>
    <w:qFormat/>
    <w:pPr>
      <w:ind w:left="0" w:firstLine="5120"/>
      <w:spacing w:before="280" w:after="280" w:line="240" w:lineRule="auto"/>
    </w:pPr>
    <w:rPr>
      <w:rFonts w:ascii="Times New Roman" w:hAnsi="Times New Roman" w:cs="Times New Roman"/>
    </w:rPr>
  </w:style>
  <w:style w:type="paragraph" w:styleId="1359">
    <w:name w:val="List Paragraph"/>
    <w:basedOn w:val="989"/>
    <w:next w:val="1266"/>
    <w:qFormat/>
    <w:pPr>
      <w:ind w:left="420" w:firstLine="3748"/>
    </w:pPr>
    <w:rPr>
      <w:rFonts w:ascii="Times New Roman" w:hAnsi="Times New Roman" w:cs="Times New Roman"/>
    </w:rPr>
  </w:style>
  <w:style w:type="paragraph" w:styleId="1360" w:customStyle="1">
    <w:name w:val="xl73"/>
    <w:basedOn w:val="990"/>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0"/>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5"/>
    <w:next w:val="1363"/>
    <w:qFormat/>
    <w:pPr>
      <w:ind w:left="1134" w:firstLine="18"/>
      <w:spacing w:before="0" w:after="0" w:line="360" w:lineRule="auto"/>
      <w:outlineLvl w:val="4"/>
    </w:pPr>
  </w:style>
  <w:style w:type="paragraph" w:styleId="1363" w:customStyle="1">
    <w:name w:val="日期1"/>
    <w:basedOn w:val="990"/>
    <w:next w:val="989"/>
    <w:qFormat/>
    <w:pPr>
      <w:ind w:left="100" w:firstLine="6144"/>
      <w:spacing w:before="0" w:after="0" w:line="240" w:lineRule="auto"/>
    </w:pPr>
    <w:rPr>
      <w:rFonts w:ascii="Times New Roman" w:hAnsi="Times New Roman" w:cs="Times New Roman"/>
    </w:rPr>
  </w:style>
  <w:style w:type="paragraph" w:styleId="1364" w:customStyle="1">
    <w:name w:val="图1"/>
    <w:basedOn w:val="990"/>
    <w:next w:val="989"/>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0"/>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0"/>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0"/>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89"/>
    <w:link w:val="1431"/>
    <w:uiPriority w:val="30"/>
    <w:qFormat/>
    <w:pPr>
      <w:ind w:left="3766" w:right="950"/>
      <w:jc w:val="center"/>
      <w:spacing w:before="360" w:after="360"/>
    </w:pPr>
    <w:rPr>
      <w:rFonts w:ascii="Calibri" w:hAnsi="Calibri"/>
      <w:i/>
    </w:rPr>
  </w:style>
  <w:style w:type="paragraph" w:styleId="1369" w:customStyle="1">
    <w:name w:val="索引 51"/>
    <w:basedOn w:val="990"/>
    <w:next w:val="989"/>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0"/>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0"/>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0"/>
    <w:next w:val="1376"/>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2"/>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0"/>
    <w:qFormat/>
    <w:pPr>
      <w:ind w:firstLine="3584"/>
      <w:jc w:val="both"/>
      <w:widowControl w:val="off"/>
    </w:pPr>
    <w:rPr>
      <w:rFonts w:ascii="Calibri" w:hAnsi="Calibri"/>
    </w:rPr>
  </w:style>
  <w:style w:type="paragraph" w:styleId="1379" w:customStyle="1">
    <w:name w:val="font7"/>
    <w:basedOn w:val="990"/>
    <w:next w:val="138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0"/>
    <w:next w:val="1381"/>
    <w:qFormat/>
    <w:pPr>
      <w:ind w:left="0" w:firstLine="2560"/>
      <w:spacing w:before="0" w:after="0" w:line="240" w:lineRule="auto"/>
    </w:pPr>
    <w:rPr>
      <w:rFonts w:ascii="Times New Roman" w:hAnsi="Times New Roman" w:cs="Times New Roman"/>
    </w:rPr>
  </w:style>
  <w:style w:type="paragraph" w:styleId="1381" w:customStyle="1">
    <w:name w:val="xl64"/>
    <w:basedOn w:val="990"/>
    <w:next w:val="1348"/>
    <w:qFormat/>
    <w:pPr>
      <w:ind w:left="0" w:firstLine="3584"/>
      <w:spacing w:before="280" w:after="280" w:line="240" w:lineRule="auto"/>
    </w:pPr>
    <w:rPr>
      <w:rFonts w:ascii="Times New Roman" w:hAnsi="Times New Roman" w:cs="Times New Roman"/>
    </w:rPr>
  </w:style>
  <w:style w:type="paragraph" w:styleId="1382" w:customStyle="1">
    <w:name w:val="style16"/>
    <w:basedOn w:val="990"/>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0"/>
    <w:next w:val="989"/>
    <w:qFormat/>
    <w:pPr>
      <w:ind w:left="0" w:firstLine="3584"/>
      <w:spacing w:before="0" w:after="0" w:line="240" w:lineRule="auto"/>
    </w:pPr>
    <w:rPr>
      <w:rFonts w:ascii="Times New Roman" w:hAnsi="Times New Roman" w:cs="Times New Roman"/>
    </w:rPr>
  </w:style>
  <w:style w:type="paragraph" w:styleId="1384" w:customStyle="1">
    <w:name w:val="H 3"/>
    <w:basedOn w:val="993"/>
    <w:next w:val="1385"/>
    <w:qFormat/>
    <w:pPr>
      <w:ind w:left="1429" w:firstLine="18"/>
      <w:spacing w:before="0" w:after="0" w:line="360" w:lineRule="auto"/>
      <w:outlineLvl w:val="2"/>
    </w:pPr>
  </w:style>
  <w:style w:type="paragraph" w:styleId="1385" w:customStyle="1">
    <w:name w:val="xl83"/>
    <w:basedOn w:val="990"/>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0"/>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0"/>
    <w:next w:val="1369"/>
    <w:qFormat/>
    <w:pPr>
      <w:ind w:left="200" w:firstLine="3784"/>
      <w:spacing w:before="0" w:after="0" w:line="360" w:lineRule="auto"/>
    </w:pPr>
    <w:rPr>
      <w:rFonts w:ascii="Times New Roman" w:hAnsi="Times New Roman" w:cs="Times New Roman"/>
    </w:rPr>
  </w:style>
  <w:style w:type="paragraph" w:styleId="1388" w:customStyle="1">
    <w:name w:val="1"/>
    <w:basedOn w:val="990"/>
    <w:next w:val="1023"/>
    <w:qFormat/>
    <w:pPr>
      <w:ind w:left="0" w:firstLine="2048"/>
      <w:spacing w:before="0" w:after="0" w:line="240" w:lineRule="auto"/>
    </w:pPr>
    <w:rPr>
      <w:rFonts w:ascii="Times New Roman" w:hAnsi="Times New Roman" w:cs="Times New Roman"/>
    </w:rPr>
  </w:style>
  <w:style w:type="paragraph" w:styleId="1389" w:customStyle="1">
    <w:name w:val="_Style 398"/>
    <w:basedOn w:val="990"/>
    <w:next w:val="98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89"/>
    <w:uiPriority w:val="1"/>
    <w:qFormat/>
    <w:rPr>
      <w:rFonts w:ascii="宋体" w:hAnsi="宋体"/>
      <w:lang w:val="zh-CN" w:bidi="zh-CN"/>
    </w:rPr>
  </w:style>
  <w:style w:type="paragraph" w:styleId="1391" w:customStyle="1">
    <w:name w:val="_Style 400"/>
    <w:qFormat/>
    <w:rPr>
      <w:rFonts w:ascii="Calibri" w:hAnsi="Calibri"/>
    </w:rPr>
  </w:style>
  <w:style w:type="paragraph" w:styleId="1392" w:customStyle="1">
    <w:name w:val="Style1"/>
    <w:basedOn w:val="989"/>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0"/>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0"/>
    <w:next w:val="1395"/>
    <w:qFormat/>
    <w:pPr>
      <w:ind w:left="0" w:firstLine="2560"/>
      <w:spacing w:before="0" w:after="0" w:line="240" w:lineRule="auto"/>
    </w:pPr>
    <w:rPr>
      <w:rFonts w:ascii="Times New Roman" w:hAnsi="Times New Roman" w:cs="Times New Roman"/>
    </w:rPr>
  </w:style>
  <w:style w:type="paragraph" w:styleId="1395" w:customStyle="1">
    <w:name w:val="xl24"/>
    <w:basedOn w:val="990"/>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0"/>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89"/>
    <w:qFormat/>
    <w:pPr>
      <w:ind w:firstLine="4608"/>
      <w:jc w:val="center"/>
    </w:pPr>
    <w:rPr>
      <w:rFonts w:ascii="Calibri" w:hAnsi="Calibri"/>
    </w:rPr>
  </w:style>
  <w:style w:type="paragraph" w:styleId="1399" w:customStyle="1">
    <w:name w:val="列出段落3"/>
    <w:basedOn w:val="990"/>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0"/>
    <w:next w:val="989"/>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0"/>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0"/>
    <w:next w:val="1031"/>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0"/>
    <w:next w:val="1386"/>
    <w:qFormat/>
    <w:pPr>
      <w:ind w:left="0" w:firstLine="3584"/>
      <w:spacing w:before="280" w:after="280" w:line="240" w:lineRule="auto"/>
    </w:pPr>
    <w:rPr>
      <w:rFonts w:ascii="Times New Roman" w:hAnsi="Times New Roman" w:cs="Times New Roman"/>
    </w:rPr>
  </w:style>
  <w:style w:type="paragraph" w:styleId="1405" w:customStyle="1">
    <w:name w:val="*正文"/>
    <w:basedOn w:val="989"/>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0"/>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 w:type="character" w:styleId="1409" w:customStyle="1">
    <w:name w:val="正文首行缩进 2 字符"/>
    <w:basedOn w:val="999"/>
    <w:link w:val="1050"/>
    <w:uiPriority w:val="99"/>
    <w:qFormat/>
    <w:rPr>
      <w:rFonts w:ascii="Times New Roman" w:hAnsi="Times New Roman" w:cs="Times New Roman"/>
    </w:rPr>
  </w:style>
  <w:style w:type="character" w:styleId="1410" w:customStyle="1">
    <w:name w:val="脚注文本 字符"/>
    <w:basedOn w:val="999"/>
    <w:link w:val="1039"/>
    <w:rPr>
      <w:rFonts w:ascii="Times New Roman" w:hAnsi="Times New Roman" w:cs="Times New Roman"/>
    </w:rPr>
  </w:style>
  <w:style w:type="character" w:styleId="1411" w:customStyle="1">
    <w:name w:val="正文文本缩进 字符"/>
    <w:basedOn w:val="999"/>
    <w:link w:val="1002"/>
    <w:uiPriority w:val="99"/>
    <w:rPr>
      <w:rFonts w:ascii="Times New Roman" w:hAnsi="Times New Roman" w:cs="Times New Roman"/>
    </w:rPr>
  </w:style>
  <w:style w:type="character" w:styleId="1412" w:customStyle="1">
    <w:name w:val="标题 1 字符"/>
    <w:basedOn w:val="999"/>
    <w:link w:val="990"/>
    <w:uiPriority w:val="9"/>
    <w:qFormat/>
    <w:rPr>
      <w:rFonts w:ascii="Calibri" w:hAnsi="Calibri"/>
    </w:rPr>
  </w:style>
  <w:style w:type="character" w:styleId="1413" w:customStyle="1">
    <w:name w:val="标题 2 字符"/>
    <w:basedOn w:val="999"/>
    <w:link w:val="991"/>
    <w:uiPriority w:val="9"/>
    <w:qFormat/>
    <w:rPr>
      <w:rFonts w:ascii="Times New Roman" w:hAnsi="Times New Roman" w:cs="Times New Roman"/>
    </w:rPr>
  </w:style>
  <w:style w:type="character" w:styleId="1414" w:customStyle="1">
    <w:name w:val="标题 3 字符"/>
    <w:basedOn w:val="999"/>
    <w:link w:val="992"/>
    <w:uiPriority w:val="9"/>
    <w:qFormat/>
    <w:rPr>
      <w:rFonts w:ascii="Times New Roman" w:hAnsi="Times New Roman" w:cs="Times New Roman"/>
    </w:rPr>
  </w:style>
  <w:style w:type="character" w:styleId="1415" w:customStyle="1">
    <w:name w:val="标题 4 字符"/>
    <w:basedOn w:val="999"/>
    <w:link w:val="993"/>
    <w:uiPriority w:val="9"/>
    <w:qFormat/>
    <w:rPr>
      <w:rFonts w:ascii="Times New Roman" w:hAnsi="Times New Roman" w:cs="Times New Roman"/>
    </w:rPr>
  </w:style>
  <w:style w:type="character" w:styleId="1416" w:customStyle="1">
    <w:name w:val="标题 5 字符"/>
    <w:basedOn w:val="999"/>
    <w:link w:val="994"/>
    <w:uiPriority w:val="9"/>
    <w:qFormat/>
    <w:rPr>
      <w:rFonts w:ascii="Times New Roman" w:hAnsi="Times New Roman" w:cs="Times New Roman"/>
    </w:rPr>
  </w:style>
  <w:style w:type="character" w:styleId="1417" w:customStyle="1">
    <w:name w:val="标题 6 字符"/>
    <w:basedOn w:val="999"/>
    <w:link w:val="995"/>
    <w:uiPriority w:val="9"/>
    <w:qFormat/>
    <w:rPr>
      <w:rFonts w:ascii="Times New Roman" w:hAnsi="Times New Roman" w:cs="Times New Roman"/>
    </w:rPr>
  </w:style>
  <w:style w:type="character" w:styleId="1418" w:customStyle="1">
    <w:name w:val="标题 7 字符"/>
    <w:basedOn w:val="999"/>
    <w:link w:val="996"/>
    <w:uiPriority w:val="9"/>
    <w:qFormat/>
    <w:rPr>
      <w:rFonts w:ascii="Times New Roman" w:hAnsi="Times New Roman" w:cs="Times New Roman"/>
    </w:rPr>
  </w:style>
  <w:style w:type="character" w:styleId="1419" w:customStyle="1">
    <w:name w:val="标题 8 字符"/>
    <w:basedOn w:val="999"/>
    <w:link w:val="997"/>
    <w:uiPriority w:val="9"/>
    <w:qFormat/>
    <w:rPr>
      <w:rFonts w:ascii="Times New Roman" w:hAnsi="Times New Roman" w:cs="Times New Roman"/>
    </w:rPr>
  </w:style>
  <w:style w:type="character" w:styleId="1420" w:customStyle="1">
    <w:name w:val="标题 9 字符"/>
    <w:basedOn w:val="999"/>
    <w:link w:val="998"/>
    <w:uiPriority w:val="9"/>
    <w:qFormat/>
    <w:rPr>
      <w:rFonts w:ascii="Times New Roman" w:hAnsi="Times New Roman" w:cs="Times New Roman"/>
    </w:rPr>
  </w:style>
  <w:style w:type="character" w:styleId="1421" w:customStyle="1">
    <w:name w:val="正文文本 3 字符"/>
    <w:basedOn w:val="999"/>
    <w:link w:val="1014"/>
    <w:rPr>
      <w:rFonts w:ascii="Times New Roman" w:hAnsi="Times New Roman" w:cs="Times New Roman"/>
    </w:rPr>
  </w:style>
  <w:style w:type="character" w:styleId="1422" w:customStyle="1">
    <w:name w:val="纯文本 字符"/>
    <w:basedOn w:val="999"/>
    <w:link w:val="1022"/>
    <w:rPr>
      <w:rFonts w:ascii="Times New Roman" w:hAnsi="Times New Roman" w:cs="Times New Roman"/>
    </w:rPr>
  </w:style>
  <w:style w:type="character" w:styleId="1423" w:customStyle="1">
    <w:name w:val="日期 字符"/>
    <w:basedOn w:val="999"/>
    <w:link w:val="1027"/>
    <w:rPr>
      <w:rFonts w:ascii="Times New Roman" w:hAnsi="Times New Roman" w:cs="Times New Roman"/>
    </w:rPr>
  </w:style>
  <w:style w:type="character" w:styleId="1424" w:customStyle="1">
    <w:name w:val="正文文本缩进 2 字符"/>
    <w:basedOn w:val="999"/>
    <w:link w:val="1028"/>
    <w:rPr>
      <w:rFonts w:ascii="Times New Roman" w:hAnsi="Times New Roman" w:cs="Times New Roman"/>
    </w:rPr>
  </w:style>
  <w:style w:type="character" w:styleId="1425" w:customStyle="1">
    <w:name w:val="尾注文本 字符"/>
    <w:basedOn w:val="999"/>
    <w:link w:val="1029"/>
    <w:rPr>
      <w:rFonts w:ascii="Times New Roman" w:hAnsi="Times New Roman" w:cs="Times New Roman"/>
    </w:rPr>
  </w:style>
  <w:style w:type="character" w:styleId="1426" w:customStyle="1">
    <w:name w:val="副标题 字符"/>
    <w:basedOn w:val="999"/>
    <w:link w:val="1036"/>
    <w:uiPriority w:val="11"/>
    <w:rPr>
      <w:rFonts w:ascii="Calibri" w:hAnsi="Calibri"/>
    </w:rPr>
  </w:style>
  <w:style w:type="character" w:styleId="1427" w:customStyle="1">
    <w:name w:val="正文首行缩进 字符"/>
    <w:basedOn w:val="1069"/>
    <w:link w:val="1038"/>
    <w:rPr>
      <w:rFonts w:ascii="Calibri" w:hAnsi="Calibri" w:eastAsia="宋体" w:cs="Times New Roman"/>
      <w:sz w:val="21"/>
    </w:rPr>
  </w:style>
  <w:style w:type="character" w:styleId="1428" w:customStyle="1">
    <w:name w:val="正文文本 2 字符"/>
    <w:basedOn w:val="999"/>
    <w:link w:val="1045"/>
    <w:rPr>
      <w:rFonts w:ascii="Times New Roman" w:hAnsi="Times New Roman" w:cs="Times New Roman"/>
    </w:rPr>
  </w:style>
  <w:style w:type="character" w:styleId="1429" w:customStyle="1">
    <w:name w:val="HTML 预设格式 字符"/>
    <w:basedOn w:val="999"/>
    <w:link w:val="1046"/>
    <w:rPr>
      <w:rFonts w:ascii="Times New Roman" w:hAnsi="Times New Roman" w:cs="Times New Roman"/>
    </w:rPr>
  </w:style>
  <w:style w:type="character" w:styleId="1430" w:customStyle="1">
    <w:name w:val="引用 字符"/>
    <w:basedOn w:val="999"/>
    <w:link w:val="1242"/>
    <w:uiPriority w:val="29"/>
    <w:rPr>
      <w:rFonts w:ascii="Calibri" w:hAnsi="Calibri"/>
      <w:i/>
    </w:rPr>
  </w:style>
  <w:style w:type="character" w:styleId="1431" w:customStyle="1">
    <w:name w:val="明显引用 字符"/>
    <w:basedOn w:val="999"/>
    <w:link w:val="1368"/>
    <w:uiPriority w:val="30"/>
    <w:rPr>
      <w:rFonts w:ascii="Calibri" w:hAnsi="Calibri"/>
      <w:i/>
    </w:rPr>
  </w:style>
  <w:style w:type="paragraph" w:styleId="1432" w:customStyle="1">
    <w:name w:val="标题1"/>
    <w:basedOn w:val="989"/>
    <w:next w:val="989"/>
    <w:uiPriority w:val="10"/>
    <w:qFormat/>
    <w:pPr>
      <w:contextualSpacing/>
      <w:ind w:left="0" w:firstLine="200"/>
      <w:jc w:val="center"/>
      <w:spacing w:after="80"/>
    </w:pPr>
    <w:rPr>
      <w:rFonts w:ascii="等线 Light" w:hAnsi="等线 Light" w:eastAsia="等线 Light" w:cs="Times New Roman"/>
      <w:spacing w:val="-10"/>
      <w:sz w:val="56"/>
      <w:szCs w:val="56"/>
      <w14:ligatures w14:val="standardContextual"/>
    </w:rPr>
  </w:style>
  <w:style w:type="character" w:styleId="1433" w:customStyle="1">
    <w:name w:val="标题 字符"/>
    <w:basedOn w:val="999"/>
    <w:link w:val="1049"/>
    <w:uiPriority w:val="10"/>
    <w:rPr>
      <w:rFonts w:ascii="等线 Light" w:hAnsi="等线 Light" w:eastAsia="等线 Light" w:cs="Times New Roman"/>
      <w:spacing w:val="-10"/>
      <w:sz w:val="56"/>
      <w:szCs w:val="56"/>
      <w14:ligatures w14:val="standardContextual"/>
    </w:rPr>
  </w:style>
  <w:style w:type="table" w:styleId="1434" w:customStyle="1">
    <w:name w:val="网格型2"/>
    <w:basedOn w:val="1000"/>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5" w:customStyle="1">
    <w:name w:val="明显强调1"/>
    <w:basedOn w:val="999"/>
    <w:uiPriority w:val="21"/>
    <w:qFormat/>
    <w:rPr>
      <w:i/>
      <w:iCs/>
      <w:color w:val="2f5496"/>
    </w:rPr>
  </w:style>
  <w:style w:type="character" w:styleId="1436" w:customStyle="1">
    <w:name w:val="明显参考1"/>
    <w:basedOn w:val="999"/>
    <w:uiPriority w:val="32"/>
    <w:qFormat/>
    <w:rPr>
      <w:b/>
      <w:bCs/>
      <w:smallCaps/>
      <w:color w:val="2f5496"/>
      <w:spacing w:val="5"/>
    </w:rPr>
  </w:style>
  <w:style w:type="table" w:styleId="1437" w:customStyle="1">
    <w:name w:val="Table Normal"/>
    <w:uiPriority w:val="2"/>
    <w:semiHidden/>
    <w:unhideWhenUsed/>
    <w:qFormat/>
    <w:pPr>
      <w:widowControl w:val="off"/>
    </w:pPr>
    <w:rPr>
      <w:rFonts w:ascii="等线" w:hAnsi="等线" w:eastAsia="等线" w:cs="Times New Roman"/>
      <w:szCs w:val="22"/>
      <w:lang w:eastAsia="en-US"/>
    </w:rPr>
    <w:tblPr>
      <w:tblCellMar>
        <w:left w:w="0" w:type="dxa"/>
        <w:top w:w="0" w:type="dxa"/>
        <w:right w:w="0" w:type="dxa"/>
        <w:bottom w:w="0" w:type="dxa"/>
      </w:tblCellMar>
    </w:tblPr>
  </w:style>
  <w:style w:type="paragraph" w:styleId="1438" w:customStyle="1">
    <w:name w:val="修订3"/>
    <w:hidden/>
    <w:uiPriority w:val="99"/>
    <w:unhideWhenUsed/>
    <w:qFormat/>
    <w:rPr>
      <w:sz w:val="21"/>
      <w:szCs w:val="24"/>
      <w14:ligatures w14:val="standardContextual"/>
    </w:rPr>
  </w:style>
  <w:style w:type="character" w:styleId="1439" w:customStyle="1">
    <w:name w:val="标题 字符1"/>
    <w:basedOn w:val="999"/>
    <w:uiPriority w:val="10"/>
    <w:qFormat/>
    <w:rPr>
      <w:rFonts w:asciiTheme="majorHAnsi" w:hAnsiTheme="majorHAnsi" w:eastAsiaTheme="majorEastAsia" w:cstheme="majorBidi"/>
      <w:b/>
      <w:bCs/>
      <w:sz w:val="32"/>
      <w:szCs w:val="32"/>
    </w:rPr>
  </w:style>
  <w:style w:type="table" w:styleId="1440" w:customStyle="1">
    <w:name w:val="网格型3"/>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1" w:customStyle="1">
    <w:name w:val="网格型4"/>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2" w:customStyle="1">
    <w:name w:val="网格型5"/>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3" w:customStyle="1">
    <w:name w:val="网格型6"/>
    <w:basedOn w:val="1000"/>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44" w:customStyle="1">
    <w:name w:val="修订4"/>
    <w:hidden/>
    <w:uiPriority w:val="99"/>
    <w:semiHidden/>
    <w:rPr>
      <w:rFonts w:ascii="Calibri" w:hAnsi="Calibri"/>
    </w:rPr>
  </w:style>
  <w:style w:type="paragraph" w:styleId="1445">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622E05D-9D53-4A2D-A1F3-F18140F89C8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24</cp:revision>
  <dcterms:created xsi:type="dcterms:W3CDTF">2026-09-22T01:11:00Z</dcterms:created>
  <dcterms:modified xsi:type="dcterms:W3CDTF">2026-09-22T08:21:48Z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DEDD45F9D8FB408CB6352FAC209D40E2_13</vt:lpwstr>
  </property>
  <property fmtid="{D5CDD505-2E9C-101B-9397-08002B2CF9AE}" pid="4" name="commondata">
    <vt:lpwstr>eyJoZGlkIjoiMmU4NDdkODk2MjZlOTI5YjA5ZDk0Y2IwMDEyMjA1NGUifQ==</vt:lpwstr>
  </property>
  <property fmtid="{D5CDD505-2E9C-101B-9397-08002B2CF9AE}" pid="5" name="KSOTemplateDocerSaveRecord">
    <vt:lpwstr>eyJoZGlkIjoiMzNkY2UyMWE5OWExY2I1NzExZWQ1Yjc4MWYzMWNiODAiLCJ1c2VySWQiOiI0MDY0OTI0MDAifQ==</vt:lpwstr>
  </property>
</Properties>
</file>