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844"/>
        <w:ind w:firstLine="300"/>
        <w:spacing w:line="360" w:lineRule="auto"/>
        <w:rPr>
          <w:color w:val="000000"/>
          <w:sz w:val="60"/>
          <w:szCs w:val="60"/>
          <w:highlight w:val="none"/>
        </w:rPr>
      </w:pPr>
      <w:r>
        <w:rPr>
          <w:color w:val="000000"/>
          <w:sz w:val="60"/>
          <w:szCs w:val="60"/>
          <w:highlight w:val="none"/>
        </w:rPr>
      </w:r>
      <w:r/>
    </w:p>
    <w:p>
      <w:pPr>
        <w:pStyle w:val="84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44"/>
        <w:jc w:val="center"/>
        <w:rPr>
          <w:b/>
          <w:bCs/>
          <w:color w:val="000000"/>
          <w:sz w:val="60"/>
          <w:szCs w:val="60"/>
          <w:highlight w:val="none"/>
        </w:rPr>
      </w:pPr>
      <w:r>
        <w:rPr>
          <w:b/>
          <w:bCs/>
          <w:color w:val="000000"/>
          <w:sz w:val="60"/>
          <w:szCs w:val="60"/>
          <w:highlight w:val="none"/>
        </w:rPr>
        <w:t xml:space="preserve">竞争性磋商文件示范文本</w:t>
      </w:r>
      <w:r>
        <w:rPr>
          <w:b/>
          <w:bCs/>
          <w:color w:val="000000"/>
          <w:sz w:val="60"/>
          <w:szCs w:val="60"/>
          <w:highlight w:val="none"/>
        </w:rPr>
      </w:r>
      <w:r/>
    </w:p>
    <w:p>
      <w:pPr>
        <w:pStyle w:val="844"/>
        <w:jc w:val="center"/>
        <w:spacing w:line="360" w:lineRule="auto"/>
        <w:rPr>
          <w:rFonts w:ascii="宋体" w:hAnsi="宋体"/>
          <w:b/>
          <w:bCs/>
          <w:color w:val="000000"/>
          <w:sz w:val="60"/>
          <w:szCs w:val="60"/>
          <w:highlight w:val="none"/>
        </w:rPr>
      </w:pPr>
      <w:r>
        <w:rPr>
          <w:rFonts w:hint="eastAsia" w:ascii="方正仿宋_GBK" w:hAnsi="方正仿宋_GBK" w:eastAsia="方正仿宋_GBK" w:cs="方正仿宋_GBK"/>
          <w:b/>
          <w:bCs/>
          <w:color w:val="000000"/>
          <w:sz w:val="60"/>
          <w:szCs w:val="60"/>
          <w:highlight w:val="none"/>
        </w:rPr>
        <w:t xml:space="preserve">（试行）（2022年版）</w:t>
      </w:r>
      <w:r>
        <w:rPr>
          <w:rFonts w:ascii="宋体" w:hAnsi="宋体"/>
          <w:b/>
          <w:bCs/>
          <w:color w:val="000000"/>
          <w:sz w:val="60"/>
          <w:szCs w:val="60"/>
          <w:highlight w:val="none"/>
        </w:rPr>
      </w:r>
      <w:r/>
    </w:p>
    <w:p>
      <w:pPr>
        <w:pStyle w:val="844"/>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847"/>
        <w:rPr>
          <w:rFonts w:hint="eastAsia"/>
          <w:color w:val="000000"/>
          <w:highlight w:val="none"/>
        </w:rPr>
      </w:pPr>
      <w:r>
        <w:rPr>
          <w:rFonts w:hint="eastAsia"/>
          <w:color w:val="000000"/>
          <w:highlight w:val="none"/>
        </w:rPr>
      </w:r>
      <w:r/>
    </w:p>
    <w:p>
      <w:pPr>
        <w:pStyle w:val="844"/>
        <w:rPr>
          <w:rFonts w:hint="eastAsia"/>
          <w:color w:val="000000"/>
          <w:highlight w:val="none"/>
        </w:rPr>
      </w:pPr>
      <w:r>
        <w:rPr>
          <w:rFonts w:hint="eastAsia"/>
          <w:color w:val="000000"/>
          <w:highlight w:val="none"/>
        </w:rPr>
      </w:r>
      <w:r/>
    </w:p>
    <w:p>
      <w:pPr>
        <w:pStyle w:val="847"/>
        <w:rPr>
          <w:rFonts w:hint="eastAsia"/>
          <w:color w:val="000000"/>
          <w:highlight w:val="none"/>
        </w:rPr>
      </w:pPr>
      <w:r>
        <w:rPr>
          <w:rFonts w:hint="eastAsia"/>
          <w:color w:val="000000"/>
          <w:highlight w:val="none"/>
        </w:rPr>
      </w:r>
      <w:r/>
    </w:p>
    <w:p>
      <w:pPr>
        <w:pStyle w:val="844"/>
        <w:rPr>
          <w:rFonts w:hint="eastAsia"/>
          <w:color w:val="000000"/>
          <w:highlight w:val="none"/>
        </w:rPr>
      </w:pPr>
      <w:r>
        <w:rPr>
          <w:rFonts w:hint="eastAsia"/>
          <w:color w:val="000000"/>
          <w:highlight w:val="none"/>
        </w:rPr>
      </w:r>
      <w:r/>
    </w:p>
    <w:p>
      <w:pPr>
        <w:pStyle w:val="847"/>
        <w:rPr>
          <w:rFonts w:hint="eastAsia"/>
          <w:color w:val="000000"/>
          <w:highlight w:val="none"/>
        </w:rPr>
      </w:pPr>
      <w:r>
        <w:rPr>
          <w:rFonts w:hint="eastAsia"/>
          <w:color w:val="000000"/>
          <w:highlight w:val="none"/>
        </w:rPr>
      </w:r>
      <w:r/>
    </w:p>
    <w:p>
      <w:pPr>
        <w:pStyle w:val="844"/>
        <w:rPr>
          <w:color w:val="000000"/>
          <w:highlight w:val="none"/>
        </w:rPr>
      </w:pPr>
      <w:r>
        <w:rPr>
          <w:color w:val="000000"/>
          <w:highlight w:val="none"/>
        </w:rPr>
      </w:r>
      <w:r/>
    </w:p>
    <w:p>
      <w:pPr>
        <w:pStyle w:val="844"/>
        <w:ind w:left="0" w:firstLine="0"/>
        <w:jc w:val="left"/>
        <w:spacing w:line="360" w:lineRule="auto"/>
        <w:tabs>
          <w:tab w:val="left" w:pos="5609"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rPr>
        <w:t xml:space="preserve">项目名称：</w:t>
      </w:r>
      <w:r>
        <w:rPr>
          <w:rFonts w:hint="eastAsia" w:ascii="Times New Roman" w:hAnsi="Times New Roman" w:eastAsia="宋体" w:cs="Times New Roman"/>
          <w:bCs/>
          <w:color w:val="000000"/>
          <w:sz w:val="36"/>
          <w:szCs w:val="36"/>
          <w:highlight w:val="none"/>
          <w:lang w:eastAsia="zh-CN"/>
        </w:rPr>
        <w:t xml:space="preserve">2026年-2027年溧阳市农村生活污水处理设施及城镇污水处理厂等运维监管项目</w:t>
      </w:r>
      <w:r>
        <w:rPr>
          <w:rFonts w:hint="eastAsia" w:ascii="Times New Roman" w:hAnsi="Times New Roman" w:eastAsia="宋体" w:cs="Times New Roman"/>
          <w:bCs/>
          <w:color w:val="000000"/>
          <w:sz w:val="36"/>
          <w:szCs w:val="36"/>
          <w:highlight w:val="none"/>
          <w:lang w:eastAsia="zh-CN"/>
        </w:rPr>
      </w:r>
      <w:r/>
    </w:p>
    <w:p>
      <w:pPr>
        <w:pStyle w:val="844"/>
        <w:ind w:left="0" w:firstLine="0"/>
        <w:jc w:val="left"/>
        <w:spacing w:line="360" w:lineRule="auto"/>
        <w:tabs>
          <w:tab w:val="left" w:pos="5609"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rPr>
        <w:t xml:space="preserve">项目编号：</w:t>
      </w:r>
      <w:r>
        <w:rPr>
          <w:rFonts w:hint="eastAsia" w:ascii="Times New Roman" w:hAnsi="Times New Roman" w:eastAsia="宋体" w:cs="Times New Roman"/>
          <w:bCs/>
          <w:i w:val="0"/>
          <w:iCs w:val="0"/>
          <w:caps w:val="0"/>
          <w:color w:val="000000"/>
          <w:spacing w:val="0"/>
          <w:sz w:val="36"/>
          <w:szCs w:val="36"/>
          <w:highlight w:val="none"/>
          <w:shd w:val="clear" w:color="auto" w:fill="auto"/>
        </w:rPr>
        <w:t xml:space="preserve">JSZC-320481-LCGL-C2026-0025</w:t>
      </w:r>
      <w:r>
        <w:rPr>
          <w:rFonts w:hint="eastAsia" w:ascii="Times New Roman" w:hAnsi="Times New Roman" w:eastAsia="宋体" w:cs="Times New Roman"/>
          <w:bCs/>
          <w:color w:val="000000"/>
          <w:sz w:val="36"/>
          <w:szCs w:val="36"/>
          <w:highlight w:val="none"/>
          <w:lang w:eastAsia="zh-CN"/>
        </w:rPr>
      </w:r>
      <w:r/>
    </w:p>
    <w:p>
      <w:pPr>
        <w:pStyle w:val="844"/>
        <w:ind w:left="0" w:firstLine="0"/>
        <w:jc w:val="left"/>
        <w:spacing w:line="360" w:lineRule="auto"/>
        <w:tabs>
          <w:tab w:val="left" w:pos="5609" w:leader="none"/>
        </w:tabs>
        <w:rPr>
          <w:rFonts w:hint="eastAsia" w:ascii="Times New Roman" w:hAnsi="Times New Roman" w:eastAsia="宋体" w:cs="Times New Roman"/>
          <w:bCs/>
          <w:color w:val="000000"/>
          <w:sz w:val="36"/>
          <w:szCs w:val="36"/>
          <w:highlight w:val="none"/>
        </w:rPr>
      </w:pPr>
      <w:r>
        <w:rPr>
          <w:rFonts w:hint="eastAsia" w:ascii="Times New Roman" w:hAnsi="Times New Roman" w:eastAsia="宋体" w:cs="Times New Roman"/>
          <w:bCs/>
          <w:color w:val="000000"/>
          <w:sz w:val="36"/>
          <w:szCs w:val="36"/>
          <w:highlight w:val="none"/>
        </w:rPr>
        <w:t xml:space="preserve">采 购 人：溧阳市水利局</w:t>
      </w:r>
      <w:r>
        <w:rPr>
          <w:rFonts w:hint="eastAsia" w:ascii="Times New Roman" w:hAnsi="Times New Roman" w:eastAsia="宋体" w:cs="Times New Roman"/>
          <w:bCs/>
          <w:color w:val="000000"/>
          <w:sz w:val="36"/>
          <w:szCs w:val="36"/>
          <w:highlight w:val="none"/>
        </w:rPr>
      </w:r>
      <w:r/>
    </w:p>
    <w:p>
      <w:pPr>
        <w:pStyle w:val="844"/>
        <w:ind w:left="0" w:firstLine="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江苏立诚建设项目管理咨询有限公司</w:t>
      </w:r>
      <w:r>
        <w:rPr>
          <w:bCs/>
          <w:color w:val="000000"/>
          <w:sz w:val="36"/>
          <w:szCs w:val="36"/>
          <w:highlight w:val="none"/>
        </w:rPr>
      </w:r>
      <w:r/>
    </w:p>
    <w:p>
      <w:pPr>
        <w:pStyle w:val="844"/>
        <w:jc w:val="left"/>
        <w:widowControl/>
        <w:rPr>
          <w:color w:val="000000"/>
          <w:sz w:val="24"/>
          <w:highlight w:val="none"/>
        </w:rPr>
      </w:pPr>
      <w:r>
        <w:rPr>
          <w:b/>
          <w:bCs/>
          <w:color w:val="000000"/>
          <w:sz w:val="44"/>
          <w:highlight w:val="none"/>
        </w:rPr>
        <w:br w:type="page" w:clear="all"/>
      </w:r>
      <w:r>
        <w:rPr>
          <w:rFonts w:hint="eastAsia"/>
          <w:b/>
          <w:bCs/>
          <w:color w:val="000000"/>
          <w:sz w:val="44"/>
          <w:highlight w:val="none"/>
        </w:rPr>
        <w:t xml:space="preserve"> </w:t>
      </w:r>
      <w:r>
        <w:rPr>
          <w:color w:val="000000"/>
          <w:sz w:val="24"/>
          <w:highlight w:val="none"/>
        </w:rPr>
      </w:r>
      <w:r/>
    </w:p>
    <w:p>
      <w:pPr>
        <w:pStyle w:val="844"/>
        <w:jc w:val="center"/>
        <w:spacing w:line="360" w:lineRule="auto"/>
        <w:rPr>
          <w:b/>
          <w:color w:val="000000"/>
          <w:sz w:val="36"/>
          <w:szCs w:val="36"/>
          <w:highlight w:val="none"/>
        </w:rPr>
        <w:outlineLvl w:val="0"/>
      </w:pPr>
      <w:r/>
      <w:bookmarkStart w:id="0" w:name="_Toc104818925"/>
      <w:r>
        <w:rPr>
          <w:b/>
          <w:color w:val="000000"/>
          <w:sz w:val="36"/>
          <w:szCs w:val="36"/>
          <w:highlight w:val="none"/>
        </w:rPr>
        <w:t xml:space="preserve">第一章   采购邀请</w:t>
      </w:r>
      <w:bookmarkEnd w:id="0"/>
      <w:r/>
      <w:bookmarkStart w:id="1" w:name="_Toc35393790"/>
      <w:r/>
      <w:bookmarkStart w:id="2" w:name="_Toc28359079"/>
      <w:r/>
      <w:bookmarkStart w:id="3" w:name="_Toc28359002"/>
      <w:r/>
      <w:bookmarkStart w:id="4" w:name="_Toc35393621"/>
      <w:r/>
      <w:bookmarkStart w:id="5" w:name="_Hlk24379207"/>
      <w:r>
        <w:rPr>
          <w:b/>
          <w:color w:val="000000"/>
          <w:sz w:val="36"/>
          <w:szCs w:val="36"/>
          <w:highlight w:val="none"/>
        </w:rPr>
      </w:r>
      <w:r/>
    </w:p>
    <w:p>
      <w:pPr>
        <w:pStyle w:val="844"/>
        <w:ind w:firstLine="480"/>
        <w:spacing w:line="360" w:lineRule="auto"/>
        <w:rPr>
          <w:color w:val="000000"/>
          <w:sz w:val="24"/>
          <w:highlight w:val="none"/>
        </w:rPr>
      </w:pPr>
      <w:r>
        <w:rPr>
          <w:color w:val="000000"/>
          <w:sz w:val="24"/>
          <w:highlight w:val="none"/>
        </w:rPr>
      </w:r>
      <w:r/>
    </w:p>
    <w:p>
      <w:pPr>
        <w:pStyle w:val="84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
      <w:r/>
      <w:bookmarkEnd w:id="2"/>
      <w:r/>
      <w:bookmarkEnd w:id="3"/>
      <w:r/>
      <w:bookmarkEnd w:id="4"/>
      <w:r>
        <w:rPr>
          <w:rFonts w:ascii="Times New Roman" w:hAnsi="Times New Roman" w:eastAsia="宋体"/>
          <w:color w:val="000000"/>
          <w:sz w:val="24"/>
          <w:szCs w:val="24"/>
          <w:highlight w:val="none"/>
        </w:rPr>
      </w:r>
      <w:r/>
    </w:p>
    <w:p>
      <w:pPr>
        <w:pStyle w:val="844"/>
        <w:ind w:firstLine="480"/>
        <w:spacing w:line="360" w:lineRule="auto"/>
        <w:rPr>
          <w:rFonts w:ascii="Times New Roman" w:hAnsi="Times New Roman" w:eastAsia="宋体" w:cs="Times New Roman"/>
          <w:color w:val="000000"/>
          <w:sz w:val="24"/>
          <w:highlight w:val="none"/>
          <w:lang w:eastAsia="zh-CN"/>
        </w:rPr>
      </w:pPr>
      <w:r>
        <w:rPr>
          <w:color w:val="000000"/>
          <w:sz w:val="24"/>
          <w:highlight w:val="none"/>
        </w:rPr>
        <w:t xml:space="preserve">1.项目编号</w:t>
      </w:r>
      <w:r>
        <w:rPr>
          <w:rFonts w:ascii="Times New Roman" w:hAnsi="Times New Roman" w:eastAsia="宋体" w:cs="Times New Roman"/>
          <w:color w:val="000000"/>
          <w:sz w:val="24"/>
          <w:highlight w:val="none"/>
        </w:rPr>
        <w:t xml:space="preserve">：</w:t>
      </w:r>
      <w:r>
        <w:rPr>
          <w:rFonts w:ascii="Times New Roman" w:hAnsi="Times New Roman" w:eastAsia="宋体" w:cs="Times New Roman"/>
          <w:i w:val="0"/>
          <w:iCs w:val="0"/>
          <w:caps w:val="0"/>
          <w:color w:val="000000"/>
          <w:spacing w:val="0"/>
          <w:sz w:val="24"/>
          <w:szCs w:val="24"/>
          <w:highlight w:val="none"/>
          <w:shd w:val="clear" w:color="auto" w:fill="auto"/>
        </w:rPr>
        <w:t xml:space="preserve">JSZC-320481-LCGL-C2026-0025</w:t>
      </w:r>
      <w:r>
        <w:rPr>
          <w:rFonts w:ascii="Times New Roman" w:hAnsi="Times New Roman" w:eastAsia="宋体" w:cs="Times New Roman"/>
          <w:color w:val="000000"/>
          <w:sz w:val="24"/>
          <w:highlight w:val="none"/>
          <w:lang w:eastAsia="zh-CN"/>
        </w:rPr>
      </w:r>
      <w:r/>
    </w:p>
    <w:p>
      <w:pPr>
        <w:pStyle w:val="844"/>
        <w:ind w:firstLine="480"/>
        <w:spacing w:line="360" w:lineRule="auto"/>
        <w:rPr>
          <w:rFonts w:hint="eastAsia" w:eastAsia="宋体"/>
          <w:color w:val="000000"/>
          <w:sz w:val="24"/>
          <w:highlight w:val="none"/>
          <w:lang w:eastAsia="zh-CN"/>
        </w:rPr>
      </w:pPr>
      <w:r>
        <w:rPr>
          <w:rFonts w:ascii="Times New Roman" w:hAnsi="Times New Roman" w:eastAsia="宋体" w:cs="Times New Roman"/>
          <w:color w:val="000000"/>
          <w:sz w:val="24"/>
          <w:highlight w:val="none"/>
        </w:rPr>
        <w:t xml:space="preserve">2.项目名称：</w:t>
      </w:r>
      <w:r>
        <w:rPr>
          <w:rFonts w:ascii="Times New Roman" w:hAnsi="Times New Roman" w:eastAsia="宋体" w:cs="Times New Roman"/>
          <w:color w:val="000000"/>
          <w:sz w:val="24"/>
          <w:highlight w:val="none"/>
          <w:lang w:eastAsia="zh-CN"/>
        </w:rPr>
        <w:t xml:space="preserve">2026年-2027年溧阳市农村</w:t>
      </w:r>
      <w:r>
        <w:rPr>
          <w:rFonts w:hint="eastAsia"/>
          <w:color w:val="000000"/>
          <w:sz w:val="24"/>
          <w:highlight w:val="none"/>
          <w:lang w:eastAsia="zh-CN"/>
        </w:rPr>
        <w:t xml:space="preserve">生活污水处理设施及城镇污水处理厂等运维监管项目</w:t>
      </w:r>
      <w:r>
        <w:rPr>
          <w:rFonts w:hint="eastAsia" w:eastAsia="宋体"/>
          <w:color w:val="000000"/>
          <w:sz w:val="24"/>
          <w:highlight w:val="none"/>
          <w:lang w:eastAsia="zh-CN"/>
        </w:rPr>
      </w:r>
      <w:r/>
    </w:p>
    <w:p>
      <w:pPr>
        <w:pStyle w:val="844"/>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844"/>
        <w:ind w:firstLine="482"/>
        <w:spacing w:line="360" w:lineRule="auto"/>
        <w:rPr>
          <w:rFonts w:hint="eastAsia" w:eastAsia="宋体"/>
          <w:b/>
          <w:bCs/>
          <w:color w:val="000000"/>
          <w:sz w:val="24"/>
          <w:highlight w:val="none"/>
          <w:lang w:eastAsia="zh-CN"/>
        </w:rPr>
      </w:pPr>
      <w:r/>
      <w:bookmarkEnd w:id="5"/>
      <w:r>
        <w:rPr>
          <w:b/>
          <w:bCs/>
          <w:color w:val="000000"/>
          <w:sz w:val="24"/>
          <w:highlight w:val="none"/>
        </w:rPr>
        <w:t xml:space="preserve">4.项目预算金额：</w:t>
      </w:r>
      <w:r>
        <w:rPr>
          <w:rFonts w:hint="eastAsia"/>
          <w:b/>
          <w:bCs/>
          <w:color w:val="000000"/>
          <w:sz w:val="24"/>
          <w:highlight w:val="none"/>
          <w:lang w:val="en-US" w:eastAsia="zh-CN"/>
        </w:rPr>
        <w:t xml:space="preserve">323</w:t>
      </w:r>
      <w:r>
        <w:rPr>
          <w:b/>
          <w:bCs/>
          <w:color w:val="000000"/>
          <w:sz w:val="24"/>
          <w:highlight w:val="none"/>
        </w:rPr>
        <w:t xml:space="preserve">万元、</w:t>
      </w:r>
      <w:r>
        <w:rPr>
          <w:b/>
          <w:bCs/>
          <w:color w:val="000000"/>
          <w:sz w:val="24"/>
          <w:highlight w:val="none"/>
        </w:rPr>
        <w:t xml:space="preserve">项目最高限价：</w:t>
      </w:r>
      <w:r>
        <w:rPr>
          <w:rFonts w:hint="eastAsia"/>
          <w:b/>
          <w:bCs/>
          <w:color w:val="000000"/>
          <w:sz w:val="24"/>
          <w:highlight w:val="none"/>
          <w:lang w:val="en-US" w:eastAsia="zh-CN"/>
        </w:rPr>
        <w:t xml:space="preserve">3</w:t>
      </w:r>
      <w:r>
        <w:rPr>
          <w:rFonts w:hint="eastAsia"/>
          <w:b/>
          <w:bCs/>
          <w:color w:val="000000"/>
          <w:sz w:val="24"/>
          <w:highlight w:val="none"/>
          <w:lang w:val="en-US" w:eastAsia="zh-CN"/>
        </w:rPr>
        <w:t xml:space="preserve">23</w:t>
      </w:r>
      <w:r>
        <w:rPr>
          <w:rFonts w:hint="eastAsia" w:ascii="宋体" w:hAnsi="宋体"/>
          <w:b/>
          <w:bCs/>
          <w:color w:val="000000"/>
          <w:sz w:val="24"/>
          <w:highlight w:val="none"/>
        </w:rPr>
        <w:t xml:space="preserve">万元</w:t>
      </w:r>
      <w:r>
        <w:rPr>
          <w:rFonts w:hint="eastAsia" w:eastAsia="宋体"/>
          <w:b/>
          <w:bCs/>
          <w:color w:val="000000"/>
          <w:sz w:val="24"/>
          <w:highlight w:val="none"/>
          <w:lang w:eastAsia="zh-CN"/>
        </w:rPr>
      </w:r>
      <w:r/>
    </w:p>
    <w:p>
      <w:pPr>
        <w:pStyle w:val="844"/>
        <w:ind w:firstLine="480"/>
        <w:spacing w:line="360" w:lineRule="auto"/>
        <w:rPr>
          <w:rFonts w:hint="eastAsia"/>
          <w:color w:val="000000"/>
          <w:sz w:val="24"/>
          <w:highlight w:val="none"/>
        </w:rPr>
      </w:pPr>
      <w:r>
        <w:rPr>
          <w:rFonts w:hint="eastAsia"/>
          <w:color w:val="000000"/>
          <w:sz w:val="24"/>
          <w:highlight w:val="none"/>
        </w:rPr>
        <w:t xml:space="preserve">5.</w:t>
      </w:r>
      <w:r>
        <w:rPr>
          <w:color w:val="000000"/>
          <w:sz w:val="24"/>
          <w:highlight w:val="none"/>
        </w:rPr>
        <w:t xml:space="preserve">采购需求：</w:t>
      </w:r>
      <w:r>
        <w:rPr>
          <w:rFonts w:ascii="Times New Roman" w:hAnsi="Times New Roman" w:eastAsia="宋体" w:cs="Times New Roman"/>
          <w:color w:val="000000"/>
          <w:sz w:val="24"/>
          <w:highlight w:val="none"/>
        </w:rPr>
        <w:t xml:space="preserve">按照溧阳市农村生活污水综合治理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含集镇区雨污分流</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PPP项目和区域治污PPP项目绩效考核要求，共包含农污考核6次及区污考核3次。其中，农污考核时间为：2026年第三、第四季度以及2027年全年，共计6次考核</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并每半年</w:t>
      </w:r>
      <w:r>
        <w:rPr>
          <w:rFonts w:ascii="Times New Roman" w:hAnsi="Times New Roman" w:eastAsia="宋体" w:cs="Times New Roman"/>
          <w:color w:val="000000"/>
          <w:sz w:val="24"/>
          <w:highlight w:val="none"/>
        </w:rPr>
        <w:t xml:space="preserve">出具</w:t>
      </w:r>
      <w:r>
        <w:rPr>
          <w:rFonts w:hint="eastAsia" w:ascii="Times New Roman" w:hAnsi="Times New Roman" w:eastAsia="宋体" w:cs="Times New Roman"/>
          <w:color w:val="000000"/>
          <w:sz w:val="24"/>
          <w:highlight w:val="none"/>
          <w:lang w:val="en-US" w:eastAsia="zh-CN"/>
        </w:rPr>
        <w:t xml:space="preserve">绩效考核报告</w:t>
      </w:r>
      <w:r>
        <w:rPr>
          <w:rFonts w:ascii="Times New Roman" w:hAnsi="Times New Roman" w:eastAsia="宋体" w:cs="Times New Roman"/>
          <w:color w:val="000000"/>
          <w:sz w:val="24"/>
          <w:highlight w:val="none"/>
        </w:rPr>
        <w:t xml:space="preserve">；区污考核时间为2026年下半年及2027年全年，共计3次考核。农污考核考核范围为全市1435套农污设施、集镇区雨污分流项目32座泵站/截流井全覆盖式考核。区污考核范围为：污水纳管的4座城镇污水处理厂、设施配套污水收集管网、泵站等。最终对农污和区污项目的运维情况进行考核并</w:t>
      </w:r>
      <w:r>
        <w:rPr>
          <w:rFonts w:hint="eastAsia" w:ascii="Times New Roman" w:hAnsi="Times New Roman" w:eastAsia="宋体" w:cs="Times New Roman"/>
          <w:color w:val="000000"/>
          <w:sz w:val="24"/>
          <w:highlight w:val="none"/>
          <w:lang w:val="en-US" w:eastAsia="zh-CN"/>
        </w:rPr>
        <w:t xml:space="preserve">每半年</w:t>
      </w:r>
      <w:r>
        <w:rPr>
          <w:rFonts w:ascii="Times New Roman" w:hAnsi="Times New Roman" w:eastAsia="宋体" w:cs="Times New Roman"/>
          <w:color w:val="000000"/>
          <w:sz w:val="24"/>
          <w:highlight w:val="none"/>
        </w:rPr>
        <w:t xml:space="preserve">出具考核报告</w:t>
      </w:r>
      <w:r>
        <w:rPr>
          <w:rFonts w:hint="eastAsia"/>
          <w:color w:val="000000"/>
          <w:sz w:val="24"/>
          <w:highlight w:val="none"/>
        </w:rPr>
        <w:t xml:space="preserve">。</w:t>
      </w:r>
      <w:r>
        <w:rPr>
          <w:rFonts w:hint="eastAsia"/>
          <w:color w:val="000000"/>
          <w:sz w:val="24"/>
          <w:highlight w:val="none"/>
        </w:rPr>
      </w:r>
      <w:r/>
    </w:p>
    <w:p>
      <w:pPr>
        <w:pStyle w:val="844"/>
        <w:ind w:firstLine="480"/>
        <w:spacing w:line="360" w:lineRule="auto"/>
        <w:rPr>
          <w:rFonts w:hint="eastAsia"/>
          <w:b/>
          <w:bCs/>
          <w:color w:val="000000"/>
          <w:sz w:val="24"/>
          <w:highlight w:val="none"/>
        </w:rPr>
      </w:pPr>
      <w:r>
        <w:rPr>
          <w:rFonts w:hint="eastAsia"/>
          <w:color w:val="000000"/>
          <w:sz w:val="24"/>
          <w:highlight w:val="none"/>
        </w:rPr>
        <w:t xml:space="preserve">6.合同履行期限：</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8个月</w:t>
      </w:r>
      <w:r>
        <w:rPr>
          <w:rFonts w:hint="eastAsia" w:ascii="宋体" w:hAnsi="宋体"/>
          <w:b/>
          <w:bCs/>
          <w:color w:val="000000"/>
          <w:sz w:val="24"/>
          <w:highlight w:val="none"/>
        </w:rPr>
        <w:t xml:space="preserve">（具体时间以合同</w:t>
      </w:r>
      <w:r>
        <w:rPr>
          <w:rFonts w:hint="eastAsia" w:ascii="宋体" w:hAnsi="宋体"/>
          <w:b/>
          <w:bCs/>
          <w:color w:val="000000"/>
          <w:sz w:val="24"/>
          <w:highlight w:val="none"/>
          <w:lang w:val="en-US" w:eastAsia="zh-CN"/>
        </w:rPr>
        <w:t xml:space="preserve">约定</w:t>
      </w:r>
      <w:r>
        <w:rPr>
          <w:rFonts w:hint="eastAsia" w:ascii="宋体" w:hAnsi="宋体"/>
          <w:b/>
          <w:bCs/>
          <w:color w:val="000000"/>
          <w:sz w:val="24"/>
          <w:highlight w:val="none"/>
        </w:rPr>
        <w:t xml:space="preserve">时间为准）</w:t>
      </w:r>
      <w:r>
        <w:rPr>
          <w:rFonts w:hint="eastAsia"/>
          <w:b/>
          <w:bCs/>
          <w:color w:val="000000"/>
          <w:sz w:val="24"/>
          <w:highlight w:val="none"/>
        </w:rPr>
        <w:t xml:space="preserve">。</w:t>
      </w:r>
      <w:r>
        <w:rPr>
          <w:rFonts w:hint="eastAsia"/>
          <w:b/>
          <w:bCs/>
          <w:color w:val="000000"/>
          <w:sz w:val="24"/>
          <w:highlight w:val="none"/>
        </w:rPr>
      </w:r>
      <w:r/>
    </w:p>
    <w:p>
      <w:pPr>
        <w:pStyle w:val="844"/>
        <w:ind w:firstLine="480"/>
        <w:spacing w:line="360" w:lineRule="auto"/>
        <w:rPr>
          <w:color w:val="000000"/>
          <w:sz w:val="24"/>
          <w:highlight w:val="none"/>
        </w:rPr>
      </w:pPr>
      <w:r>
        <w:rPr>
          <w:color w:val="000000"/>
          <w:sz w:val="24"/>
          <w:highlight w:val="none"/>
        </w:rPr>
        <w:t xml:space="preserve">7.本项目是否接受联合体：否。</w:t>
      </w:r>
      <w:r>
        <w:rPr>
          <w:color w:val="000000"/>
          <w:sz w:val="24"/>
          <w:highlight w:val="none"/>
        </w:rPr>
      </w:r>
      <w:r/>
    </w:p>
    <w:p>
      <w:pPr>
        <w:pStyle w:val="846"/>
        <w:jc w:val="left"/>
        <w:spacing w:before="0" w:line="360" w:lineRule="auto"/>
        <w:rPr>
          <w:rFonts w:ascii="Times New Roman" w:hAnsi="Times New Roman" w:eastAsia="宋体"/>
          <w:color w:val="000000"/>
          <w:sz w:val="24"/>
          <w:szCs w:val="24"/>
          <w:highlight w:val="none"/>
        </w:rPr>
      </w:pPr>
      <w:r/>
      <w:bookmarkStart w:id="6" w:name="_Toc28359080"/>
      <w:r/>
      <w:bookmarkStart w:id="7" w:name="_Toc35393622"/>
      <w:r/>
      <w:bookmarkStart w:id="8" w:name="_Toc35393791"/>
      <w:r/>
      <w:bookmarkStart w:id="9" w:name="_Toc28359003"/>
      <w:r>
        <w:rPr>
          <w:rFonts w:ascii="Times New Roman" w:hAnsi="Times New Roman" w:eastAsia="宋体"/>
          <w:color w:val="000000"/>
          <w:sz w:val="24"/>
          <w:szCs w:val="24"/>
          <w:highlight w:val="none"/>
        </w:rPr>
        <w:t xml:space="preserve">二、</w:t>
      </w:r>
      <w:r>
        <w:rPr>
          <w:rFonts w:hint="eastAsia" w:ascii="Times New Roman" w:hAnsi="Times New Roman" w:eastAsia="宋体"/>
          <w:color w:val="000000"/>
          <w:sz w:val="24"/>
          <w:szCs w:val="24"/>
          <w:highlight w:val="none"/>
          <w:lang w:val="en-US" w:eastAsia="zh-CN"/>
        </w:rPr>
        <w:t xml:space="preserve">供应商</w:t>
      </w:r>
      <w:r>
        <w:rPr>
          <w:rFonts w:ascii="Times New Roman" w:hAnsi="Times New Roman" w:eastAsia="宋体"/>
          <w:color w:val="000000"/>
          <w:sz w:val="24"/>
          <w:szCs w:val="24"/>
          <w:highlight w:val="none"/>
        </w:rPr>
        <w:t xml:space="preserve">的资格要求（须同时满足）</w:t>
      </w:r>
      <w:bookmarkEnd w:id="6"/>
      <w:r/>
      <w:bookmarkEnd w:id="7"/>
      <w:r/>
      <w:bookmarkEnd w:id="8"/>
      <w:r/>
      <w:bookmarkEnd w:id="9"/>
      <w:r>
        <w:rPr>
          <w:rFonts w:ascii="Times New Roman" w:hAnsi="Times New Roman" w:eastAsia="宋体"/>
          <w:color w:val="000000"/>
          <w:sz w:val="24"/>
          <w:szCs w:val="24"/>
          <w:highlight w:val="none"/>
        </w:rPr>
      </w:r>
      <w:r/>
    </w:p>
    <w:p>
      <w:pPr>
        <w:pStyle w:val="844"/>
        <w:ind w:firstLine="480"/>
        <w:spacing w:line="360" w:lineRule="auto"/>
        <w:rPr>
          <w:rFonts w:hint="eastAsia"/>
          <w:color w:val="000000"/>
          <w:sz w:val="24"/>
          <w:highlight w:val="none"/>
        </w:rPr>
      </w:pPr>
      <w:r/>
      <w:bookmarkStart w:id="10" w:name="_Toc28359081"/>
      <w:r/>
      <w:bookmarkStart w:id="11"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844"/>
        <w:ind w:firstLine="480"/>
        <w:spacing w:line="360" w:lineRule="auto"/>
        <w:rPr>
          <w:color w:val="000000"/>
          <w:sz w:val="24"/>
          <w:highlight w:val="none"/>
        </w:rPr>
      </w:pPr>
      <w:r>
        <w:rPr>
          <w:rFonts w:hint="eastAsia"/>
          <w:color w:val="000000"/>
          <w:sz w:val="24"/>
          <w:highlight w:val="none"/>
        </w:rPr>
        <w:t xml:space="preserve">1.1未被“信用中国”网站（WWW.creditchina.gov.cn）</w:t>
      </w:r>
      <w:r>
        <w:rPr>
          <w:rFonts w:hint="eastAsia"/>
          <w:color w:val="000000"/>
          <w:sz w:val="24"/>
          <w:highlight w:val="none"/>
          <w:lang w:eastAsia="zh-CN"/>
        </w:rPr>
        <w:t xml:space="preserve">、</w:t>
      </w:r>
      <w:r>
        <w:rPr>
          <w:rFonts w:hint="eastAsia"/>
          <w:color w:val="000000"/>
          <w:sz w:val="24"/>
          <w:highlight w:val="none"/>
        </w:rPr>
        <w:t xml:space="preserve">“中国政府采购网”网站（www.ccgp.gov.cn）列入失信被执行人、重大税收违法案件当事人名单、政府采购严重失信行为记录名单；</w:t>
      </w:r>
      <w:r>
        <w:rPr>
          <w:color w:val="000000"/>
          <w:sz w:val="24"/>
          <w:highlight w:val="none"/>
        </w:rPr>
      </w:r>
      <w:r/>
    </w:p>
    <w:p>
      <w:pPr>
        <w:pStyle w:val="84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1.2单位负责人为同一人或者存在直接控股、管理关系的不同供应商不得参加同一合同项下的政府采购活动。</w:t>
      </w:r>
      <w:r>
        <w:rPr>
          <w:color w:val="000000"/>
          <w:sz w:val="24"/>
          <w:highlight w:val="none"/>
        </w:rPr>
      </w:r>
      <w:r/>
    </w:p>
    <w:p>
      <w:pPr>
        <w:pStyle w:val="844"/>
        <w:ind w:firstLine="480"/>
        <w:spacing w:line="360" w:lineRule="auto"/>
        <w:rPr>
          <w:b/>
          <w:bCs/>
          <w:color w:val="000000"/>
          <w:sz w:val="24"/>
          <w:highlight w:val="none"/>
        </w:rPr>
      </w:pPr>
      <w:r>
        <w:rPr>
          <w:color w:val="000000"/>
          <w:sz w:val="24"/>
          <w:highlight w:val="none"/>
        </w:rPr>
        <w:t xml:space="preserve">2.落实政府采购政策需满足的资格要求：</w:t>
      </w:r>
      <w:r>
        <w:rPr>
          <w:b/>
          <w:bCs/>
          <w:color w:val="000000"/>
          <w:sz w:val="24"/>
          <w:highlight w:val="none"/>
        </w:rPr>
        <w:t xml:space="preserve">本项目专门面向中小</w:t>
      </w:r>
      <w:r>
        <w:rPr>
          <w:rFonts w:hint="eastAsia"/>
          <w:b/>
          <w:bCs/>
          <w:color w:val="000000"/>
          <w:sz w:val="24"/>
          <w:highlight w:val="none"/>
        </w:rPr>
        <w:t xml:space="preserve">企业</w:t>
      </w:r>
      <w:r>
        <w:rPr>
          <w:b/>
          <w:bCs/>
          <w:color w:val="000000"/>
          <w:sz w:val="24"/>
          <w:highlight w:val="none"/>
        </w:rPr>
        <w:t xml:space="preserve">采购。即提供的服务全部由符合政策要求的中小企业承接。</w:t>
      </w:r>
      <w:r>
        <w:rPr>
          <w:rFonts w:hint="eastAsia"/>
          <w:b/>
          <w:bCs/>
          <w:color w:val="000000"/>
          <w:sz w:val="24"/>
          <w:highlight w:val="none"/>
        </w:rPr>
        <w:t xml:space="preserve">监狱企业和残疾人福利性单位视同小微企业。</w:t>
      </w:r>
      <w:r>
        <w:rPr>
          <w:b/>
          <w:bCs/>
          <w:color w:val="000000"/>
          <w:sz w:val="24"/>
          <w:highlight w:val="none"/>
        </w:rPr>
      </w:r>
      <w:r/>
    </w:p>
    <w:p>
      <w:pPr>
        <w:pStyle w:val="84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84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3.1本项目是否接受分支机构参与响应：否；</w:t>
      </w:r>
      <w:r>
        <w:rPr>
          <w:color w:val="000000"/>
          <w:sz w:val="24"/>
          <w:highlight w:val="none"/>
        </w:rPr>
      </w:r>
      <w:r/>
    </w:p>
    <w:p>
      <w:pPr>
        <w:pStyle w:val="84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w:t>
      </w:r>
      <w:r>
        <w:rPr>
          <w:b/>
          <w:bCs/>
          <w:color w:val="000000"/>
          <w:sz w:val="24"/>
          <w:highlight w:val="none"/>
        </w:rPr>
        <w:t xml:space="preserve">是，公益一类事业单位、使用事业编制且由财政拨款保障的群团组织，不得作为承接主体；</w:t>
      </w:r>
      <w:r>
        <w:rPr>
          <w:color w:val="000000"/>
          <w:sz w:val="24"/>
          <w:highlight w:val="none"/>
        </w:rPr>
      </w:r>
      <w:r/>
    </w:p>
    <w:p>
      <w:pPr>
        <w:pStyle w:val="844"/>
        <w:ind w:firstLine="480"/>
        <w:spacing w:line="360" w:lineRule="auto"/>
        <w:tabs>
          <w:tab w:val="left" w:pos="900" w:leader="none"/>
          <w:tab w:val="left" w:pos="1134" w:leader="none"/>
          <w:tab w:val="left" w:pos="1589" w:leader="none"/>
          <w:tab w:val="left" w:pos="5521" w:leader="none"/>
        </w:tabs>
        <w:rPr>
          <w:b/>
          <w:bCs/>
          <w:color w:val="000000"/>
          <w:sz w:val="24"/>
          <w:highlight w:val="none"/>
          <w:u w:val="single"/>
        </w:rPr>
      </w:pPr>
      <w:r>
        <w:rPr>
          <w:color w:val="000000"/>
          <w:sz w:val="24"/>
          <w:highlight w:val="none"/>
        </w:rPr>
        <w:t xml:space="preserve">3.3其他特定资格要求：</w:t>
      </w:r>
      <w:r>
        <w:rPr>
          <w:rFonts w:hint="eastAsia"/>
          <w:b/>
          <w:bCs/>
          <w:color w:val="000000"/>
          <w:sz w:val="24"/>
          <w:highlight w:val="none"/>
          <w:lang w:val="en-US" w:eastAsia="zh-CN"/>
        </w:rPr>
        <w:t xml:space="preserve">/</w:t>
      </w:r>
      <w:r>
        <w:rPr>
          <w:b/>
          <w:bCs/>
          <w:color w:val="000000"/>
          <w:sz w:val="24"/>
          <w:highlight w:val="none"/>
        </w:rPr>
        <w:t xml:space="preserve">。</w:t>
      </w:r>
      <w:r>
        <w:rPr>
          <w:b/>
          <w:bCs/>
          <w:color w:val="000000"/>
          <w:sz w:val="24"/>
          <w:highlight w:val="none"/>
          <w:u w:val="single"/>
        </w:rPr>
      </w:r>
      <w:r/>
    </w:p>
    <w:p>
      <w:pPr>
        <w:pStyle w:val="844"/>
        <w:ind w:firstLine="480"/>
        <w:spacing w:line="360" w:lineRule="auto"/>
        <w:rPr>
          <w:i/>
          <w:iCs/>
          <w:color w:val="000000"/>
          <w:sz w:val="24"/>
          <w:highlight w:val="none"/>
          <w:u w:val="single"/>
        </w:rPr>
      </w:pPr>
      <w:r>
        <w:rPr>
          <w:i/>
          <w:iCs/>
          <w:color w:val="000000"/>
          <w:sz w:val="24"/>
          <w:highlight w:val="none"/>
          <w:u w:val="single"/>
        </w:rPr>
      </w:r>
      <w:r/>
    </w:p>
    <w:p>
      <w:pPr>
        <w:pStyle w:val="846"/>
        <w:jc w:val="left"/>
        <w:spacing w:before="0" w:line="360" w:lineRule="auto"/>
        <w:widowControl/>
        <w:rPr>
          <w:rFonts w:ascii="Times New Roman" w:hAnsi="Times New Roman" w:eastAsia="宋体"/>
          <w:color w:val="000000"/>
          <w:sz w:val="24"/>
          <w:szCs w:val="24"/>
          <w:highlight w:val="none"/>
        </w:rPr>
      </w:pPr>
      <w:r/>
      <w:bookmarkEnd w:id="10"/>
      <w:r/>
      <w:bookmarkEnd w:id="11"/>
      <w:r/>
      <w:bookmarkStart w:id="12" w:name="_Toc35393623"/>
      <w:r/>
      <w:bookmarkStart w:id="13" w:name="_Toc35393792"/>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lang w:val="en-US" w:eastAsia="zh-CN"/>
        </w:rPr>
        <w:t xml:space="preserve">磋商</w:t>
      </w:r>
      <w:r>
        <w:rPr>
          <w:rFonts w:ascii="Times New Roman" w:hAnsi="Times New Roman" w:eastAsia="宋体"/>
          <w:color w:val="000000"/>
          <w:sz w:val="24"/>
          <w:szCs w:val="24"/>
          <w:highlight w:val="none"/>
        </w:rPr>
        <w:t xml:space="preserve">文件</w:t>
      </w:r>
      <w:bookmarkEnd w:id="12"/>
      <w:r/>
      <w:bookmarkEnd w:id="13"/>
      <w:r>
        <w:rPr>
          <w:rFonts w:ascii="Times New Roman" w:hAnsi="Times New Roman" w:eastAsia="宋体"/>
          <w:color w:val="000000"/>
          <w:sz w:val="24"/>
          <w:szCs w:val="24"/>
          <w:highlight w:val="none"/>
        </w:rPr>
      </w:r>
      <w:r/>
    </w:p>
    <w:p>
      <w:pPr>
        <w:pStyle w:val="844"/>
        <w:ind w:firstLine="480"/>
        <w:spacing w:line="360" w:lineRule="auto"/>
        <w:rPr>
          <w:color w:val="000000"/>
          <w:sz w:val="24"/>
          <w:highlight w:val="none"/>
          <w:lang w:bidi="ar"/>
        </w:rPr>
      </w:pPr>
      <w:r>
        <w:rPr>
          <w:color w:val="000000"/>
          <w:sz w:val="24"/>
          <w:highlight w:val="none"/>
          <w:lang w:bidi="ar"/>
        </w:rPr>
        <w:t xml:space="preserve">1.时间：</w:t>
      </w:r>
      <w:r>
        <w:rPr>
          <w:rFonts w:hint="eastAsia" w:ascii="Times New Roman" w:eastAsia="宋体"/>
          <w:color w:val="000000"/>
          <w:sz w:val="24"/>
          <w:highlight w:val="none"/>
          <w:lang w:val="en-US" w:eastAsia="zh-CN"/>
        </w:rPr>
        <w:t xml:space="preserve">公告发布</w:t>
      </w:r>
      <w:r>
        <w:rPr>
          <w:rFonts w:hint="eastAsia" w:ascii="Times New Roman" w:eastAsia="宋体"/>
          <w:color w:val="000000"/>
          <w:sz w:val="24"/>
          <w:highlight w:val="none"/>
          <w:lang w:val="en-US" w:eastAsia="zh-CN" w:bidi="ar"/>
        </w:rPr>
        <w:t xml:space="preserve">之日起5个工作日</w:t>
      </w:r>
      <w:r>
        <w:rPr>
          <w:color w:val="000000"/>
          <w:sz w:val="24"/>
          <w:highlight w:val="none"/>
          <w:lang w:bidi="ar"/>
        </w:rPr>
        <w:t xml:space="preserve">。</w:t>
      </w:r>
      <w:r>
        <w:rPr>
          <w:color w:val="000000"/>
          <w:sz w:val="24"/>
          <w:highlight w:val="none"/>
          <w:lang w:bidi="ar"/>
        </w:rPr>
      </w:r>
      <w:r/>
    </w:p>
    <w:p>
      <w:pPr>
        <w:pStyle w:val="844"/>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w:t>
      </w:r>
      <w:r>
        <w:rPr>
          <w:rFonts w:hint="eastAsia" w:eastAsia="宋体"/>
          <w:color w:val="000000"/>
          <w:sz w:val="24"/>
          <w:highlight w:val="none"/>
          <w:lang w:eastAsia="zh-CN"/>
        </w:rPr>
      </w:r>
      <w:r/>
    </w:p>
    <w:p>
      <w:pPr>
        <w:pStyle w:val="844"/>
        <w:ind w:firstLine="480"/>
        <w:jc w:val="left"/>
        <w:spacing w:line="360" w:lineRule="auto"/>
        <w:widowControl/>
        <w:rPr>
          <w:color w:val="000000"/>
          <w:sz w:val="24"/>
          <w:highlight w:val="none"/>
          <w:lang w:bidi="ar"/>
        </w:rPr>
      </w:pPr>
      <w:r>
        <w:rPr>
          <w:color w:val="000000"/>
          <w:sz w:val="24"/>
          <w:highlight w:val="none"/>
          <w:lang w:bidi="ar"/>
        </w:rPr>
        <w:t xml:space="preserve">3.方式：</w:t>
      </w:r>
      <w:r>
        <w:rPr>
          <w:rFonts w:hint="eastAsia"/>
          <w:color w:val="000000"/>
          <w:sz w:val="24"/>
          <w:highlight w:val="none"/>
          <w:lang w:eastAsia="zh-CN" w:bidi="ar"/>
        </w:rPr>
        <w:t xml:space="preserve">供应商持CA数字认证证书登录“苏采云”系统获取电子版磋商文件</w:t>
      </w:r>
      <w:r>
        <w:rPr>
          <w:color w:val="000000"/>
          <w:sz w:val="24"/>
          <w:highlight w:val="none"/>
          <w:lang w:bidi="ar"/>
        </w:rPr>
        <w:t xml:space="preserve">。</w:t>
      </w:r>
      <w:r>
        <w:rPr>
          <w:color w:val="000000"/>
          <w:sz w:val="24"/>
          <w:highlight w:val="none"/>
          <w:lang w:bidi="ar"/>
        </w:rPr>
      </w:r>
      <w:r/>
    </w:p>
    <w:p>
      <w:pPr>
        <w:pStyle w:val="844"/>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44"/>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846"/>
        <w:jc w:val="left"/>
        <w:spacing w:before="0" w:line="360" w:lineRule="auto"/>
        <w:widowControl/>
        <w:rPr>
          <w:rFonts w:ascii="Times New Roman" w:hAnsi="Times New Roman" w:eastAsia="宋体"/>
          <w:color w:val="000000"/>
          <w:sz w:val="24"/>
          <w:szCs w:val="24"/>
          <w:highlight w:val="none"/>
        </w:rPr>
      </w:pPr>
      <w:r/>
      <w:bookmarkStart w:id="14" w:name="_Toc28359005"/>
      <w:r/>
      <w:bookmarkStart w:id="15" w:name="_Toc35393793"/>
      <w:r/>
      <w:bookmarkStart w:id="16" w:name="_Toc35393624"/>
      <w:r/>
      <w:bookmarkStart w:id="17" w:name="_Toc28359082"/>
      <w:r>
        <w:rPr>
          <w:rFonts w:ascii="Times New Roman" w:hAnsi="Times New Roman" w:eastAsia="宋体"/>
          <w:color w:val="000000"/>
          <w:sz w:val="24"/>
          <w:szCs w:val="24"/>
          <w:highlight w:val="none"/>
        </w:rPr>
        <w:t xml:space="preserve">四、</w:t>
      </w:r>
      <w:bookmarkEnd w:id="14"/>
      <w:r/>
      <w:bookmarkEnd w:id="15"/>
      <w:r/>
      <w:bookmarkEnd w:id="16"/>
      <w:r/>
      <w:bookmarkEnd w:id="17"/>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844"/>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rPr>
        <w:t xml:space="preserve">202</w:t>
      </w:r>
      <w:r>
        <w:rPr>
          <w:rFonts w:hint="eastAsia" w:ascii="Times New Roman" w:eastAsia="宋体"/>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bidi="ar"/>
        </w:rPr>
        <w:t xml:space="preserve">9</w:t>
      </w:r>
      <w:r>
        <w:rPr>
          <w:color w:val="000000"/>
          <w:sz w:val="24"/>
          <w:highlight w:val="none"/>
          <w:lang w:bidi="ar"/>
        </w:rPr>
        <w:t xml:space="preserve">月</w:t>
      </w:r>
      <w:r>
        <w:rPr>
          <w:rFonts w:hint="eastAsia"/>
          <w:color w:val="000000"/>
          <w:sz w:val="24"/>
          <w:highlight w:val="none"/>
          <w:lang w:val="en-US" w:eastAsia="zh-CN" w:bidi="ar"/>
        </w:rPr>
        <w:t xml:space="preserve">28</w:t>
      </w:r>
      <w:r>
        <w:rPr>
          <w:color w:val="000000"/>
          <w:sz w:val="24"/>
          <w:highlight w:val="none"/>
          <w:lang w:bidi="ar"/>
        </w:rPr>
        <w:t xml:space="preserve">日</w:t>
      </w:r>
      <w:r>
        <w:rPr>
          <w:rFonts w:hint="eastAsia" w:ascii="Times New Roman" w:eastAsia="宋体"/>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44"/>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本项目采用不见面交易方式，无需到现场提交，供应商登录</w:t>
      </w:r>
      <w:r>
        <w:rPr>
          <w:rFonts w:hint="eastAsia" w:ascii="宋体" w:hAnsi="宋体"/>
          <w:color w:val="000000"/>
          <w:sz w:val="24"/>
          <w:highlight w:val="none"/>
          <w:lang w:eastAsia="zh-CN"/>
        </w:rPr>
        <w:t xml:space="preserve">苏采云</w:t>
      </w:r>
      <w:r>
        <w:rPr>
          <w:rFonts w:hint="eastAsia" w:ascii="宋体" w:hAnsi="宋体"/>
          <w:color w:val="000000"/>
          <w:sz w:val="24"/>
          <w:highlight w:val="none"/>
        </w:rPr>
        <w:t xml:space="preserve">供应商端，通过系统在线提交电子响应文件</w:t>
      </w:r>
      <w:r>
        <w:rPr>
          <w:color w:val="000000"/>
          <w:sz w:val="24"/>
          <w:highlight w:val="none"/>
          <w:lang w:val="zh-TW" w:bidi="ar"/>
        </w:rPr>
        <w:t xml:space="preserve">。</w:t>
      </w:r>
      <w:r>
        <w:rPr>
          <w:color w:val="000000"/>
          <w:sz w:val="24"/>
          <w:highlight w:val="none"/>
          <w:lang w:val="zh-TW" w:bidi="ar"/>
        </w:rPr>
      </w:r>
      <w:r/>
    </w:p>
    <w:p>
      <w:pPr>
        <w:pStyle w:val="844"/>
        <w:ind w:firstLine="480"/>
        <w:spacing w:line="360" w:lineRule="auto"/>
        <w:rPr>
          <w:color w:val="000000"/>
          <w:sz w:val="24"/>
          <w:highlight w:val="none"/>
          <w:lang w:val="zh-TW" w:bidi="ar"/>
        </w:rPr>
      </w:pPr>
      <w:r>
        <w:rPr>
          <w:color w:val="000000"/>
          <w:sz w:val="24"/>
          <w:highlight w:val="none"/>
          <w:lang w:val="zh-TW" w:bidi="ar"/>
        </w:rPr>
      </w:r>
      <w:r/>
    </w:p>
    <w:p>
      <w:pPr>
        <w:pStyle w:val="84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844"/>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rPr>
        <w:t xml:space="preserve">202</w:t>
      </w:r>
      <w:r>
        <w:rPr>
          <w:rFonts w:hint="eastAsia" w:ascii="Times New Roman" w:eastAsia="宋体"/>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bidi="ar"/>
        </w:rPr>
        <w:t xml:space="preserve">9</w:t>
      </w:r>
      <w:r>
        <w:rPr>
          <w:color w:val="000000"/>
          <w:sz w:val="24"/>
          <w:highlight w:val="none"/>
          <w:lang w:bidi="ar"/>
        </w:rPr>
        <w:t xml:space="preserve">月</w:t>
      </w:r>
      <w:r>
        <w:rPr>
          <w:rFonts w:hint="eastAsia"/>
          <w:color w:val="000000"/>
          <w:sz w:val="24"/>
          <w:highlight w:val="none"/>
          <w:lang w:val="en-US" w:eastAsia="zh-CN" w:bidi="ar"/>
        </w:rPr>
        <w:t xml:space="preserve">28</w:t>
      </w:r>
      <w:r>
        <w:rPr>
          <w:color w:val="000000"/>
          <w:sz w:val="24"/>
          <w:highlight w:val="none"/>
          <w:lang w:bidi="ar"/>
        </w:rPr>
        <w:t xml:space="preserve">日</w:t>
      </w:r>
      <w:r>
        <w:rPr>
          <w:rFonts w:hint="eastAsia" w:ascii="Times New Roman" w:eastAsia="宋体"/>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44"/>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本项目采用不见面交易方式，供应商登录</w:t>
      </w:r>
      <w:r>
        <w:rPr>
          <w:rFonts w:hint="eastAsia" w:ascii="宋体" w:hAnsi="宋体"/>
          <w:color w:val="000000"/>
          <w:sz w:val="24"/>
          <w:highlight w:val="none"/>
          <w:lang w:eastAsia="zh-CN"/>
        </w:rPr>
        <w:t xml:space="preserve">苏采云</w:t>
      </w:r>
      <w:r>
        <w:rPr>
          <w:rFonts w:hint="eastAsia" w:ascii="宋体" w:hAnsi="宋体"/>
          <w:color w:val="000000"/>
          <w:sz w:val="24"/>
          <w:highlight w:val="none"/>
        </w:rPr>
        <w:t xml:space="preserve">供应商端，通过系统在线解密电子响应文件</w:t>
      </w:r>
      <w:r>
        <w:rPr>
          <w:color w:val="000000"/>
          <w:sz w:val="24"/>
          <w:highlight w:val="none"/>
          <w:lang w:val="zh-TW" w:bidi="ar"/>
        </w:rPr>
        <w:t xml:space="preserve">。</w:t>
      </w:r>
      <w:r>
        <w:rPr>
          <w:color w:val="000000"/>
          <w:sz w:val="24"/>
          <w:highlight w:val="none"/>
          <w:lang w:val="zh-TW" w:bidi="ar"/>
        </w:rPr>
      </w:r>
      <w:r/>
    </w:p>
    <w:p>
      <w:pPr>
        <w:pStyle w:val="844"/>
        <w:ind w:firstLine="480"/>
        <w:spacing w:line="360" w:lineRule="auto"/>
        <w:rPr>
          <w:bCs/>
          <w:color w:val="000000"/>
          <w:sz w:val="24"/>
          <w:highlight w:val="none"/>
          <w:u w:val="single"/>
        </w:rPr>
      </w:pPr>
      <w:r>
        <w:rPr>
          <w:bCs/>
          <w:color w:val="000000"/>
          <w:sz w:val="24"/>
          <w:highlight w:val="none"/>
          <w:u w:val="single"/>
        </w:rPr>
      </w:r>
      <w:r/>
    </w:p>
    <w:p>
      <w:pPr>
        <w:pStyle w:val="846"/>
        <w:jc w:val="left"/>
        <w:spacing w:before="0" w:line="360" w:lineRule="auto"/>
        <w:rPr>
          <w:rFonts w:ascii="Times New Roman" w:hAnsi="Times New Roman" w:eastAsia="宋体"/>
          <w:color w:val="000000"/>
          <w:sz w:val="24"/>
          <w:szCs w:val="24"/>
          <w:highlight w:val="none"/>
        </w:rPr>
      </w:pPr>
      <w:r/>
      <w:bookmarkStart w:id="18" w:name="_Toc28359007"/>
      <w:r/>
      <w:bookmarkStart w:id="19" w:name="_Toc35393794"/>
      <w:r/>
      <w:bookmarkStart w:id="20" w:name="_Toc35393625"/>
      <w:r/>
      <w:bookmarkStart w:id="21" w:name="_Toc28359084"/>
      <w:r>
        <w:rPr>
          <w:rFonts w:ascii="Times New Roman" w:hAnsi="Times New Roman" w:eastAsia="宋体"/>
          <w:color w:val="000000"/>
          <w:sz w:val="24"/>
          <w:szCs w:val="24"/>
          <w:highlight w:val="none"/>
        </w:rPr>
        <w:t xml:space="preserve">六、公告期限</w:t>
      </w:r>
      <w:bookmarkEnd w:id="18"/>
      <w:r/>
      <w:bookmarkEnd w:id="19"/>
      <w:r/>
      <w:bookmarkEnd w:id="20"/>
      <w:r/>
      <w:bookmarkEnd w:id="21"/>
      <w:r>
        <w:rPr>
          <w:rFonts w:ascii="Times New Roman" w:hAnsi="Times New Roman" w:eastAsia="宋体"/>
          <w:color w:val="000000"/>
          <w:sz w:val="24"/>
          <w:szCs w:val="24"/>
          <w:highlight w:val="none"/>
        </w:rPr>
      </w:r>
      <w:r/>
    </w:p>
    <w:p>
      <w:pPr>
        <w:pStyle w:val="844"/>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844"/>
        <w:ind w:firstLine="480"/>
        <w:spacing w:line="360" w:lineRule="auto"/>
        <w:rPr>
          <w:color w:val="000000"/>
          <w:sz w:val="24"/>
          <w:highlight w:val="none"/>
        </w:rPr>
      </w:pPr>
      <w:r>
        <w:rPr>
          <w:color w:val="000000"/>
          <w:sz w:val="24"/>
          <w:highlight w:val="none"/>
        </w:rPr>
      </w:r>
      <w:r/>
    </w:p>
    <w:p>
      <w:pPr>
        <w:pStyle w:val="846"/>
        <w:jc w:val="left"/>
        <w:spacing w:before="0" w:line="360" w:lineRule="auto"/>
        <w:rPr>
          <w:rFonts w:ascii="Times New Roman" w:hAnsi="Times New Roman" w:eastAsia="宋体"/>
          <w:color w:val="000000"/>
          <w:sz w:val="24"/>
          <w:szCs w:val="24"/>
          <w:highlight w:val="none"/>
        </w:rPr>
      </w:pPr>
      <w:r/>
      <w:bookmarkStart w:id="22" w:name="_Toc35393626"/>
      <w:r/>
      <w:bookmarkStart w:id="23" w:name="_Toc35393795"/>
      <w:r>
        <w:rPr>
          <w:rFonts w:ascii="Times New Roman" w:hAnsi="Times New Roman" w:eastAsia="宋体"/>
          <w:color w:val="000000"/>
          <w:sz w:val="24"/>
          <w:szCs w:val="24"/>
          <w:highlight w:val="none"/>
        </w:rPr>
        <w:t xml:space="preserve">七、其他补充事宜</w:t>
      </w:r>
      <w:bookmarkEnd w:id="22"/>
      <w:r/>
      <w:bookmarkEnd w:id="23"/>
      <w:r>
        <w:rPr>
          <w:rFonts w:ascii="Times New Roman" w:hAnsi="Times New Roman" w:eastAsia="宋体"/>
          <w:color w:val="000000"/>
          <w:sz w:val="24"/>
          <w:szCs w:val="24"/>
          <w:highlight w:val="none"/>
        </w:rPr>
      </w:r>
      <w:r/>
    </w:p>
    <w:p>
      <w:pPr>
        <w:pStyle w:val="844"/>
        <w:ind w:firstLine="48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1.本项目需要落实的政府采购政策：扶持中小企业、监狱企业、残疾人福利单位。</w:t>
      </w:r>
      <w:r>
        <w:rPr>
          <w:rFonts w:ascii="宋体" w:hAnsi="宋体" w:eastAsia="宋体" w:cs="宋体"/>
          <w:color w:val="000000"/>
          <w:sz w:val="24"/>
          <w:szCs w:val="24"/>
          <w:highlight w:val="none"/>
        </w:rPr>
      </w:r>
      <w:r/>
    </w:p>
    <w:p>
      <w:pPr>
        <w:pStyle w:val="844"/>
        <w:ind w:firstLine="48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2.本项目采用不见面交易方式，请供应商认真学习常州市政府采购</w:t>
      </w:r>
      <w:r>
        <w:rPr>
          <w:rFonts w:hint="eastAsia" w:ascii="宋体" w:hAnsi="宋体" w:eastAsia="宋体" w:cs="宋体"/>
          <w:color w:val="000000"/>
          <w:sz w:val="24"/>
          <w:szCs w:val="24"/>
          <w:highlight w:val="none"/>
          <w:lang w:val="en-US" w:eastAsia="zh-CN"/>
        </w:rPr>
        <w:t xml:space="preserve">网</w:t>
      </w:r>
      <w:r>
        <w:rPr>
          <w:rFonts w:ascii="宋体" w:hAnsi="宋体" w:eastAsia="宋体" w:cs="宋体"/>
          <w:color w:val="000000"/>
          <w:sz w:val="24"/>
          <w:szCs w:val="24"/>
          <w:highlight w:val="none"/>
        </w:rPr>
        <w:t xml:space="preserve">发布的相关操作手册，办理CA认证证书、进行“苏采云”系统注册绑定，并认真核实数字认证证书情况确认是否符合本项目电子化采购流程要求。</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技术支持服务热线</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0519-85588210</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CA认证证书办理（可邮寄）联系电话</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0519</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85588120</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2.1办理CA认证证书</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供应商登录常州市政府采购网“下载中心”下载并查阅 “江苏省政府采购数字证书CA及电子签章办理指南”，按照程序要求办理。</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2.2注册</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供应商登录常州市政府采购网“下载中心”-““苏采云”系统供应商操作手册”下载相关操作手册、操作视频等，查阅后进行自助注册。</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2.3控件、客户端下载</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供应商登录常州市政府采购网“下载中心”-“政府采购管理交易系统（苏采云）CA及签章控件驱动”下载相关控件和客户端。</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2.4 获取电子磋商文件</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供应商持CA数字认证证书登录“苏采云”获取电子磋商文件。未在规定期限内通过“苏采云”获取磋商文件的响应无效。</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2.5编制电子响应文件</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2.6提交电子响应文件</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供应商应于响应截止时间前在“苏采云”提交电子响应文件，上传电子响应文件过程中请保持与互联网的连接畅通。</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2.7电子开标</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供应商使用CA认证证书登录“苏采云”进行电子化不见面开标。</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2.8注意事项</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ascii="宋体" w:hAnsi="宋体" w:eastAsia="宋体" w:cs="宋体"/>
          <w:color w:val="000000"/>
          <w:sz w:val="24"/>
          <w:szCs w:val="24"/>
          <w:highlight w:val="none"/>
        </w:rPr>
      </w:r>
      <w:r/>
    </w:p>
    <w:p>
      <w:pPr>
        <w:pStyle w:val="844"/>
        <w:ind w:left="479" w:firstLine="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3.关于常州市中小企业政府采购信用融资：</w:t>
      </w:r>
      <w:r>
        <w:rPr>
          <w:rFonts w:ascii="宋体" w:hAnsi="宋体" w:eastAsia="宋体" w:cs="宋体"/>
          <w:color w:val="000000"/>
          <w:sz w:val="24"/>
          <w:szCs w:val="24"/>
          <w:highlight w:val="none"/>
        </w:rPr>
      </w:r>
      <w:r/>
    </w:p>
    <w:p>
      <w:pPr>
        <w:pStyle w:val="844"/>
        <w:ind w:firstLine="480"/>
        <w:jc w:val="left"/>
        <w:spacing w:line="360" w:lineRule="auto"/>
        <w:widowControl/>
        <w:rPr>
          <w:rFonts w:hint="eastAsia"/>
          <w:color w:val="000000"/>
          <w:sz w:val="24"/>
          <w:highlight w:val="none"/>
          <w:lang w:val="zh-TW" w:bidi="ar"/>
        </w:rPr>
      </w:pPr>
      <w:r>
        <w:rPr>
          <w:rFonts w:ascii="宋体" w:hAnsi="宋体" w:eastAsia="宋体" w:cs="宋体"/>
          <w:color w:val="000000"/>
          <w:sz w:val="24"/>
          <w:szCs w:val="24"/>
          <w:highlight w:val="none"/>
        </w:rPr>
        <w:t xml:space="preserve">根据《常州市财政局</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rFonts w:hint="eastAsia"/>
          <w:color w:val="000000"/>
          <w:sz w:val="24"/>
          <w:highlight w:val="none"/>
          <w:lang w:val="zh-TW" w:bidi="ar"/>
        </w:rPr>
        <w:t xml:space="preserve">。</w:t>
      </w:r>
      <w:r>
        <w:rPr>
          <w:rFonts w:hint="eastAsia"/>
          <w:color w:val="000000"/>
          <w:sz w:val="24"/>
          <w:highlight w:val="none"/>
          <w:lang w:val="zh-TW" w:bidi="ar"/>
        </w:rPr>
      </w:r>
      <w:r/>
    </w:p>
    <w:p>
      <w:pPr>
        <w:pStyle w:val="846"/>
        <w:jc w:val="left"/>
        <w:spacing w:before="0" w:line="360" w:lineRule="auto"/>
        <w:rPr>
          <w:rFonts w:ascii="Times New Roman" w:hAnsi="Times New Roman" w:eastAsia="宋体"/>
          <w:color w:val="000000"/>
          <w:sz w:val="24"/>
          <w:szCs w:val="24"/>
          <w:highlight w:val="none"/>
        </w:rPr>
      </w:pPr>
      <w:r/>
      <w:bookmarkStart w:id="24" w:name="_Toc35393627"/>
      <w:r/>
      <w:bookmarkStart w:id="25" w:name="_Toc28359085"/>
      <w:r/>
      <w:bookmarkStart w:id="26" w:name="_Toc28359008"/>
      <w:r/>
      <w:bookmarkStart w:id="27" w:name="_Toc35393796"/>
      <w:r>
        <w:rPr>
          <w:rFonts w:ascii="Times New Roman" w:hAnsi="Times New Roman" w:eastAsia="宋体"/>
          <w:color w:val="000000"/>
          <w:sz w:val="24"/>
          <w:szCs w:val="24"/>
          <w:highlight w:val="none"/>
        </w:rPr>
        <w:t xml:space="preserve">八、对本项目提出询问，请按以下方式联系。</w:t>
      </w:r>
      <w:bookmarkEnd w:id="24"/>
      <w:r/>
      <w:bookmarkEnd w:id="25"/>
      <w:r/>
      <w:bookmarkEnd w:id="26"/>
      <w:r/>
      <w:bookmarkEnd w:id="27"/>
      <w:r>
        <w:rPr>
          <w:rFonts w:ascii="Times New Roman" w:hAnsi="Times New Roman" w:eastAsia="宋体"/>
          <w:color w:val="000000"/>
          <w:sz w:val="24"/>
          <w:szCs w:val="24"/>
          <w:highlight w:val="none"/>
        </w:rPr>
      </w:r>
      <w:r/>
    </w:p>
    <w:p>
      <w:pPr>
        <w:pStyle w:val="844"/>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844"/>
        <w:ind w:firstLine="480"/>
        <w:jc w:val="left"/>
        <w:spacing w:line="360" w:lineRule="auto"/>
        <w:widowControl/>
        <w:rPr>
          <w:rFonts w:hint="eastAsia"/>
          <w:bCs/>
          <w:color w:val="000000"/>
          <w:sz w:val="24"/>
          <w:highlight w:val="none"/>
        </w:rPr>
      </w:pPr>
      <w:r>
        <w:rPr>
          <w:rFonts w:hint="eastAsia"/>
          <w:bCs/>
          <w:color w:val="000000"/>
          <w:sz w:val="24"/>
          <w:highlight w:val="none"/>
        </w:rPr>
        <w:t xml:space="preserve">名    称：溧阳市水利局</w:t>
      </w:r>
      <w:r>
        <w:rPr>
          <w:rFonts w:hint="eastAsia"/>
          <w:bCs/>
          <w:color w:val="000000"/>
          <w:sz w:val="24"/>
          <w:highlight w:val="none"/>
        </w:rPr>
      </w:r>
      <w:r/>
    </w:p>
    <w:p>
      <w:pPr>
        <w:pStyle w:val="844"/>
        <w:ind w:firstLine="480"/>
        <w:jc w:val="left"/>
        <w:spacing w:line="360" w:lineRule="auto"/>
        <w:widowControl/>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地    址：溧阳市南大街135号</w:t>
      </w:r>
      <w:r>
        <w:rPr>
          <w:rFonts w:hint="eastAsia" w:ascii="Times New Roman" w:hAnsi="Times New Roman" w:eastAsia="宋体" w:cs="Times New Roman"/>
          <w:bCs/>
          <w:color w:val="000000"/>
          <w:sz w:val="24"/>
          <w:highlight w:val="none"/>
        </w:rPr>
      </w:r>
      <w:r/>
    </w:p>
    <w:p>
      <w:pPr>
        <w:pStyle w:val="844"/>
        <w:ind w:firstLine="480"/>
        <w:jc w:val="left"/>
        <w:spacing w:line="360" w:lineRule="auto"/>
        <w:widowControl/>
        <w:rPr>
          <w:rFonts w:hint="eastAsia" w:eastAsia="宋体"/>
          <w:bCs/>
          <w:strike/>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联系方式：</w:t>
      </w:r>
      <w:r>
        <w:rPr>
          <w:rFonts w:hint="eastAsia" w:ascii="Times New Roman" w:hAnsi="Times New Roman" w:eastAsia="宋体" w:cs="Times New Roman"/>
          <w:bCs/>
          <w:color w:val="000000"/>
          <w:sz w:val="24"/>
          <w:highlight w:val="none"/>
          <w:lang w:val="en-US" w:eastAsia="zh-CN"/>
        </w:rPr>
        <w:t xml:space="preserve">陆女士  </w:t>
      </w:r>
      <w:r>
        <w:rPr>
          <w:rFonts w:hint="eastAsia" w:ascii="Times New Roman" w:hAnsi="Times New Roman" w:eastAsia="宋体" w:cs="Times New Roman"/>
          <w:bCs/>
          <w:color w:val="000000"/>
          <w:sz w:val="24"/>
          <w:highlight w:val="none"/>
          <w:lang w:val="en-US" w:eastAsia="zh-CN"/>
        </w:rPr>
        <w:t xml:space="preserve">0519-87221728</w:t>
      </w:r>
      <w:r>
        <w:rPr>
          <w:rFonts w:hint="eastAsia" w:eastAsia="宋体"/>
          <w:bCs/>
          <w:strike/>
          <w:color w:val="000000"/>
          <w:sz w:val="24"/>
          <w:highlight w:val="none"/>
          <w:lang w:val="en-US" w:eastAsia="zh-CN"/>
        </w:rPr>
      </w:r>
      <w:r/>
    </w:p>
    <w:p>
      <w:pPr>
        <w:pStyle w:val="844"/>
        <w:ind w:firstLine="482"/>
        <w:jc w:val="left"/>
        <w:spacing w:line="360" w:lineRule="auto"/>
        <w:widowControl/>
        <w:rPr>
          <w:rFonts w:hint="eastAsia"/>
          <w:b/>
          <w:color w:val="000000"/>
          <w:sz w:val="24"/>
          <w:highlight w:val="none"/>
        </w:rPr>
      </w:pPr>
      <w:r>
        <w:rPr>
          <w:rFonts w:hint="eastAsia"/>
          <w:b/>
          <w:color w:val="000000"/>
          <w:sz w:val="24"/>
          <w:highlight w:val="none"/>
        </w:rPr>
        <w:t xml:space="preserve">2.采购代理机构信息</w:t>
      </w:r>
      <w:r>
        <w:rPr>
          <w:rFonts w:hint="eastAsia"/>
          <w:b/>
          <w:color w:val="000000"/>
          <w:sz w:val="24"/>
          <w:highlight w:val="none"/>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称：江苏立诚建设项目管理咨询有限公司</w:t>
      </w:r>
      <w:r>
        <w:rPr>
          <w:rFonts w:hint="eastAsia" w:ascii="宋体" w:hAnsi="宋体" w:cs="宋体"/>
          <w:color w:val="000000"/>
          <w:sz w:val="24"/>
          <w:highlight w:val="none"/>
        </w:rPr>
      </w:r>
      <w:r/>
    </w:p>
    <w:p>
      <w:pPr>
        <w:pStyle w:val="84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溧阳市古县街道奥体大道3001号贝桥嘉苑36幢101室2层-2</w:t>
      </w:r>
      <w:r>
        <w:rPr>
          <w:rFonts w:hint="eastAsia" w:ascii="宋体" w:hAnsi="宋体" w:eastAsia="宋体" w:cs="宋体"/>
          <w:color w:val="000000"/>
          <w:sz w:val="24"/>
          <w:highlight w:val="none"/>
          <w:lang w:eastAsia="zh-CN"/>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bookmarkStart w:id="28" w:name="_Toc28359087"/>
      <w:r/>
      <w:bookmarkStart w:id="29" w:name="_Toc28359010"/>
      <w:r>
        <w:rPr>
          <w:rFonts w:hint="eastAsia" w:ascii="宋体" w:hAnsi="宋体" w:cs="宋体"/>
          <w:color w:val="000000"/>
          <w:sz w:val="24"/>
          <w:highlight w:val="none"/>
        </w:rPr>
        <w:t xml:space="preserve">0519-87925608</w:t>
      </w:r>
      <w:r>
        <w:rPr>
          <w:rFonts w:hint="eastAsia" w:ascii="宋体" w:hAnsi="宋体" w:cs="宋体"/>
          <w:color w:val="000000"/>
          <w:sz w:val="24"/>
          <w:highlight w:val="none"/>
        </w:rPr>
      </w:r>
      <w:r/>
    </w:p>
    <w:p>
      <w:pPr>
        <w:pStyle w:val="844"/>
        <w:ind w:firstLine="482"/>
        <w:jc w:val="left"/>
        <w:spacing w:line="360" w:lineRule="auto"/>
        <w:widowControl/>
        <w:rPr>
          <w:rFonts w:hint="eastAsia"/>
          <w:b/>
          <w:color w:val="000000"/>
          <w:sz w:val="24"/>
          <w:highlight w:val="none"/>
        </w:rPr>
      </w:pPr>
      <w:r>
        <w:rPr>
          <w:rFonts w:hint="eastAsia"/>
          <w:b/>
          <w:color w:val="000000"/>
          <w:sz w:val="24"/>
          <w:highlight w:val="none"/>
        </w:rPr>
        <w:t xml:space="preserve">3.项目联系方式</w:t>
      </w:r>
      <w:bookmarkEnd w:id="28"/>
      <w:r/>
      <w:bookmarkEnd w:id="29"/>
      <w:r>
        <w:rPr>
          <w:rFonts w:hint="eastAsia"/>
          <w:b/>
          <w:color w:val="000000"/>
          <w:sz w:val="24"/>
          <w:highlight w:val="none"/>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项目联系人：包</w:t>
      </w:r>
      <w:r>
        <w:rPr>
          <w:rFonts w:hint="eastAsia" w:ascii="宋体" w:hAnsi="宋体" w:cs="宋体"/>
          <w:color w:val="000000"/>
          <w:sz w:val="24"/>
          <w:highlight w:val="none"/>
          <w:lang w:val="en-US" w:eastAsia="zh-CN"/>
        </w:rPr>
        <w:t xml:space="preserve">丽红</w:t>
      </w:r>
      <w:r>
        <w:rPr>
          <w:rFonts w:hint="eastAsia" w:ascii="宋体" w:hAnsi="宋体" w:cs="宋体"/>
          <w:color w:val="000000"/>
          <w:sz w:val="24"/>
          <w:highlight w:val="none"/>
        </w:rPr>
      </w:r>
      <w:r/>
    </w:p>
    <w:p>
      <w:pPr>
        <w:pStyle w:val="84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　话：0519-87925608</w:t>
      </w:r>
      <w:r>
        <w:rPr>
          <w:rFonts w:hint="eastAsia" w:ascii="宋体" w:hAnsi="宋体" w:cs="宋体"/>
          <w:color w:val="000000"/>
          <w:sz w:val="24"/>
          <w:highlight w:val="none"/>
          <w:u w:val="single"/>
        </w:rPr>
      </w:r>
      <w:r/>
    </w:p>
    <w:p>
      <w:pPr>
        <w:pStyle w:val="844"/>
        <w:ind w:firstLine="5880"/>
        <w:jc w:val="right"/>
        <w:spacing w:line="360" w:lineRule="auto"/>
        <w:rPr>
          <w:color w:val="000000"/>
          <w:sz w:val="24"/>
          <w:highlight w:val="none"/>
        </w:rPr>
      </w:pPr>
      <w:r>
        <w:rPr>
          <w:color w:val="000000"/>
          <w:sz w:val="24"/>
          <w:highlight w:val="none"/>
        </w:rPr>
      </w:r>
      <w:r/>
    </w:p>
    <w:p>
      <w:pPr>
        <w:pStyle w:val="844"/>
        <w:jc w:val="center"/>
        <w:spacing w:line="360" w:lineRule="auto"/>
        <w:rPr>
          <w:b/>
          <w:color w:val="000000"/>
          <w:sz w:val="32"/>
          <w:szCs w:val="32"/>
          <w:highlight w:val="none"/>
        </w:rPr>
        <w:outlineLvl w:val="0"/>
      </w:pPr>
      <w:r>
        <w:rPr>
          <w:color w:val="000000"/>
          <w:sz w:val="24"/>
          <w:highlight w:val="none"/>
        </w:rPr>
        <w:br w:type="page" w:clear="all"/>
      </w:r>
      <w:bookmarkStart w:id="30" w:name="_Toc104818926"/>
      <w:r/>
      <w:bookmarkStart w:id="31" w:name="_Toc195842950"/>
      <w:r/>
      <w:bookmarkStart w:id="32" w:name="_Toc150774783"/>
      <w:r/>
      <w:bookmarkStart w:id="33" w:name="_Toc264969275"/>
      <w:r/>
      <w:bookmarkStart w:id="34" w:name="_Toc305158928"/>
      <w:r/>
      <w:bookmarkStart w:id="35" w:name="_Toc353825548"/>
      <w:r/>
      <w:bookmarkStart w:id="36" w:name="_Toc265228423"/>
      <w:r/>
      <w:bookmarkStart w:id="37" w:name="_Toc512937850"/>
      <w:r/>
      <w:bookmarkStart w:id="38" w:name="_Toc353873938"/>
      <w:r/>
      <w:bookmarkStart w:id="39" w:name="_Toc226965856"/>
      <w:r/>
      <w:bookmarkStart w:id="40" w:name="_Toc127151777"/>
      <w:r/>
      <w:bookmarkStart w:id="41" w:name="_Toc127161488"/>
      <w:r/>
      <w:bookmarkStart w:id="42" w:name="_Toc305158854"/>
      <w:r>
        <w:rPr>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b/>
          <w:color w:val="000000"/>
          <w:sz w:val="32"/>
          <w:szCs w:val="32"/>
          <w:highlight w:val="none"/>
        </w:rPr>
      </w:r>
      <w:r/>
    </w:p>
    <w:p>
      <w:pPr>
        <w:pStyle w:val="846"/>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3" w:name="_Toc164608633"/>
      <w:r/>
      <w:bookmarkStart w:id="44" w:name="_Toc151193907"/>
      <w:r/>
      <w:bookmarkStart w:id="45" w:name="_Toc164351613"/>
      <w:r/>
      <w:bookmarkStart w:id="46" w:name="_Toc164608788"/>
      <w:r/>
      <w:bookmarkStart w:id="47" w:name="_Toc226337215"/>
      <w:r/>
      <w:bookmarkStart w:id="48" w:name="_Toc149720812"/>
      <w:r/>
      <w:bookmarkStart w:id="49" w:name="_Toc150480757"/>
      <w:r/>
      <w:bookmarkStart w:id="50" w:name="_Toc151193833"/>
      <w:r/>
      <w:bookmarkStart w:id="51" w:name="_Toc151190146"/>
      <w:r/>
      <w:bookmarkStart w:id="52" w:name="_Toc127151720"/>
      <w:r/>
      <w:bookmarkStart w:id="53" w:name="_Toc127161433"/>
      <w:r/>
      <w:bookmarkStart w:id="54" w:name="_Toc226309763"/>
      <w:r/>
      <w:bookmarkStart w:id="55" w:name="_Toc226965792"/>
      <w:r/>
      <w:bookmarkStart w:id="56" w:name="_Toc151193617"/>
      <w:r/>
      <w:bookmarkStart w:id="57" w:name="_Toc151193689"/>
      <w:r/>
      <w:bookmarkStart w:id="58" w:name="_Toc164229360"/>
      <w:r/>
      <w:bookmarkStart w:id="59" w:name="_Toc150774619"/>
      <w:r/>
      <w:bookmarkStart w:id="60" w:name="_Toc520356144"/>
      <w:r/>
      <w:bookmarkStart w:id="61" w:name="_Toc151193761"/>
      <w:r/>
      <w:bookmarkStart w:id="62" w:name="_Toc195842884"/>
      <w:r/>
      <w:bookmarkStart w:id="63" w:name="_Toc127151519"/>
      <w:r/>
      <w:bookmarkStart w:id="64" w:name="_Toc226965709"/>
      <w:r/>
      <w:bookmarkStart w:id="65" w:name="_Toc150774724"/>
      <w:r/>
      <w:bookmarkStart w:id="66" w:name="_Toc142311021"/>
      <w:r/>
      <w:bookmarkStart w:id="67" w:name="_Toc164229214"/>
      <w:r/>
      <w:bookmarkStart w:id="68" w:name="_Toc150509270"/>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844"/>
        <w:jc w:val="center"/>
        <w:rPr>
          <w:b/>
          <w:color w:val="000000"/>
          <w:sz w:val="28"/>
          <w:szCs w:val="28"/>
          <w:highlight w:val="none"/>
        </w:rPr>
      </w:pPr>
      <w:r>
        <w:rPr>
          <w:b/>
          <w:color w:val="000000"/>
          <w:sz w:val="28"/>
          <w:szCs w:val="28"/>
          <w:highlight w:val="none"/>
        </w:rPr>
      </w:r>
      <w:r/>
    </w:p>
    <w:p>
      <w:pPr>
        <w:pStyle w:val="844"/>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680" w:hRule="exact"/>
          <w:tblHeader/>
        </w:trPr>
        <w:tc>
          <w:tcPr>
            <w:tcW w:w="988" w:type="dxa"/>
            <w:vAlign w:val="center"/>
            <w:textDirection w:val="lrTb"/>
            <w:noWrap w:val="false"/>
          </w:tcPr>
          <w:p>
            <w:pPr>
              <w:pStyle w:val="84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84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84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844"/>
              <w:jc w:val="left"/>
              <w:rPr>
                <w:color w:val="000000"/>
                <w:sz w:val="24"/>
                <w:highlight w:val="none"/>
                <w:u w:val="single"/>
              </w:rPr>
            </w:pPr>
            <w:r>
              <w:rPr>
                <w:color w:val="000000"/>
                <w:sz w:val="24"/>
                <w:highlight w:val="none"/>
              </w:rPr>
              <w:t xml:space="preserve">项目属性：</w:t>
            </w:r>
            <w:r>
              <w:rPr>
                <w:b/>
                <w:bCs/>
                <w:color w:val="000000"/>
                <w:sz w:val="24"/>
                <w:highlight w:val="none"/>
              </w:rPr>
              <w:t xml:space="preserve">服务</w:t>
            </w:r>
            <w:r>
              <w:rPr>
                <w:color w:val="000000"/>
                <w:sz w:val="24"/>
                <w:highlight w:val="none"/>
                <w:u w:val="singl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680" w:hRule="exact"/>
        </w:trPr>
        <w:tc>
          <w:tcPr>
            <w:tcW w:w="988" w:type="dxa"/>
            <w:vAlign w:val="center"/>
            <w:vMerge w:val="restart"/>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不组织</w:t>
            </w:r>
            <w:r>
              <w:rPr>
                <w:color w:val="000000"/>
                <w:sz w:val="24"/>
                <w:highlight w:val="none"/>
              </w:rPr>
            </w:r>
            <w:r/>
          </w:p>
        </w:tc>
      </w:tr>
      <w:tr>
        <w:trPr>
          <w:trHeight w:val="680" w:hRule="exact"/>
        </w:trPr>
        <w:tc>
          <w:tcPr>
            <w:tcW w:w="988" w:type="dxa"/>
            <w:vAlign w:val="center"/>
            <w:vMerge w:val="continue"/>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不召开</w:t>
            </w:r>
            <w:r>
              <w:rPr>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本项目采购标的对应的中小企业划分标准所属行业：</w:t>
            </w:r>
            <w:r>
              <w:rPr>
                <w:rFonts w:hint="eastAsia"/>
                <w:b/>
                <w:bCs/>
                <w:color w:val="000000"/>
                <w:sz w:val="24"/>
                <w:highlight w:val="none"/>
                <w:u w:val="single"/>
              </w:rPr>
              <w:t xml:space="preserve">其他未列明行业</w:t>
            </w:r>
            <w:r>
              <w:rPr>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844"/>
              <w:jc w:val="left"/>
              <w:rPr>
                <w:rFonts w:hint="eastAsia"/>
                <w:color w:val="000000"/>
                <w:sz w:val="24"/>
                <w:highlight w:val="none"/>
              </w:rPr>
            </w:pPr>
            <w:r>
              <w:rPr>
                <w:color w:val="000000"/>
                <w:sz w:val="24"/>
                <w:highlight w:val="none"/>
              </w:rPr>
              <w:t xml:space="preserve">报价的特殊规定：</w:t>
            </w:r>
            <w:r>
              <w:rPr>
                <w:rFonts w:hint="eastAsia"/>
                <w:color w:val="000000"/>
                <w:sz w:val="24"/>
                <w:highlight w:val="none"/>
              </w:rPr>
              <w:t xml:space="preserve">无</w:t>
            </w:r>
            <w:r>
              <w:rPr>
                <w:rFonts w:hint="eastAsia"/>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844"/>
              <w:jc w:val="left"/>
              <w:rPr>
                <w:color w:val="000000"/>
                <w:sz w:val="24"/>
                <w:highlight w:val="none"/>
                <w:u w:val="single"/>
              </w:rPr>
            </w:pPr>
            <w:r>
              <w:rPr>
                <w:color w:val="000000"/>
                <w:sz w:val="24"/>
                <w:highlight w:val="none"/>
              </w:rPr>
              <w:t xml:space="preserve">本项目是否允许分包： 不允许</w:t>
            </w:r>
            <w:r>
              <w:rPr>
                <w:color w:val="000000"/>
                <w:sz w:val="24"/>
                <w:highlight w:val="none"/>
                <w:u w:val="single"/>
              </w:rPr>
            </w:r>
            <w:r/>
          </w:p>
        </w:tc>
      </w:tr>
      <w:tr>
        <w:trPr>
          <w:trHeight w:val="68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84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21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844"/>
              <w:jc w:val="left"/>
              <w:spacing w:line="360" w:lineRule="auto"/>
              <w:rPr>
                <w:color w:val="000000"/>
                <w:sz w:val="24"/>
                <w:highlight w:val="none"/>
              </w:rPr>
            </w:pPr>
            <w:r>
              <w:rPr>
                <w:color w:val="000000"/>
                <w:sz w:val="24"/>
                <w:highlight w:val="none"/>
              </w:rPr>
              <w:t xml:space="preserve">接收询问和质疑的联系方式</w:t>
            </w:r>
            <w:r>
              <w:rPr>
                <w:color w:val="000000"/>
                <w:sz w:val="24"/>
                <w:highlight w:val="none"/>
              </w:rPr>
            </w:r>
            <w:r/>
          </w:p>
          <w:p>
            <w:pPr>
              <w:pStyle w:val="844"/>
              <w:jc w:val="left"/>
              <w:spacing w:line="360" w:lineRule="auto"/>
              <w:rPr>
                <w:color w:val="000000"/>
                <w:sz w:val="24"/>
                <w:highlight w:val="none"/>
              </w:rPr>
            </w:pPr>
            <w:r>
              <w:rPr>
                <w:color w:val="000000"/>
                <w:sz w:val="24"/>
                <w:highlight w:val="none"/>
              </w:rPr>
              <w:t xml:space="preserve">联系部门：</w:t>
            </w:r>
            <w:r>
              <w:rPr>
                <w:rFonts w:hint="eastAsia"/>
                <w:color w:val="000000"/>
                <w:sz w:val="24"/>
                <w:highlight w:val="none"/>
              </w:rPr>
              <w:t xml:space="preserve">江苏立诚建设项目管理咨询有限公司</w:t>
            </w:r>
            <w:r>
              <w:rPr>
                <w:color w:val="000000"/>
                <w:sz w:val="24"/>
                <w:highlight w:val="none"/>
              </w:rPr>
              <w:t xml:space="preserve">；</w:t>
            </w:r>
            <w:r>
              <w:rPr>
                <w:color w:val="000000"/>
                <w:sz w:val="24"/>
                <w:highlight w:val="none"/>
              </w:rPr>
            </w:r>
            <w:r/>
          </w:p>
          <w:p>
            <w:pPr>
              <w:pStyle w:val="844"/>
              <w:jc w:val="left"/>
              <w:spacing w:line="360" w:lineRule="auto"/>
              <w:rPr>
                <w:color w:val="000000"/>
                <w:sz w:val="24"/>
                <w:highlight w:val="none"/>
              </w:rPr>
            </w:pPr>
            <w:r>
              <w:rPr>
                <w:color w:val="000000"/>
                <w:sz w:val="24"/>
                <w:highlight w:val="none"/>
              </w:rPr>
              <w:t xml:space="preserve">联系电话：</w:t>
            </w:r>
            <w:r>
              <w:rPr>
                <w:rFonts w:hint="eastAsia" w:ascii="宋体" w:hAnsi="宋体"/>
                <w:color w:val="000000"/>
                <w:sz w:val="24"/>
                <w:highlight w:val="none"/>
              </w:rPr>
              <w:t xml:space="preserve">0519-87925608</w:t>
            </w:r>
            <w:r>
              <w:rPr>
                <w:color w:val="000000"/>
                <w:sz w:val="24"/>
                <w:highlight w:val="none"/>
              </w:rPr>
              <w:t xml:space="preserve">；</w:t>
            </w:r>
            <w:r>
              <w:rPr>
                <w:color w:val="000000"/>
                <w:sz w:val="24"/>
                <w:highlight w:val="none"/>
              </w:rPr>
            </w:r>
            <w:r/>
          </w:p>
          <w:p>
            <w:pPr>
              <w:pStyle w:val="844"/>
              <w:jc w:val="left"/>
              <w:spacing w:line="360" w:lineRule="auto"/>
              <w:rPr>
                <w:color w:val="000000"/>
                <w:sz w:val="24"/>
                <w:highlight w:val="none"/>
              </w:rPr>
            </w:pPr>
            <w:r>
              <w:rPr>
                <w:color w:val="000000"/>
                <w:sz w:val="24"/>
                <w:highlight w:val="none"/>
              </w:rPr>
              <w:t xml:space="preserve">通讯地址：</w:t>
            </w:r>
            <w:r>
              <w:rPr>
                <w:rFonts w:hint="eastAsia"/>
                <w:color w:val="000000"/>
                <w:sz w:val="24"/>
                <w:highlight w:val="none"/>
                <w:lang w:eastAsia="zh-CN"/>
              </w:rPr>
              <w:t xml:space="preserve">溧阳市古县街道奥体大道3001号贝桥嘉苑36幢101室2层-2</w:t>
            </w:r>
            <w:r>
              <w:rPr>
                <w:color w:val="000000"/>
                <w:sz w:val="24"/>
                <w:highlight w:val="none"/>
              </w:rPr>
              <w:t xml:space="preserve">。</w:t>
            </w:r>
            <w:r>
              <w:rPr>
                <w:color w:val="000000"/>
                <w:sz w:val="24"/>
                <w:highlight w:val="none"/>
              </w:rPr>
            </w:r>
            <w:r/>
          </w:p>
        </w:tc>
      </w:tr>
      <w:tr>
        <w:trPr>
          <w:trHeight w:val="2220" w:hRule="exact"/>
        </w:trPr>
        <w:tc>
          <w:tcPr>
            <w:tcW w:w="988" w:type="dxa"/>
            <w:vAlign w:val="center"/>
            <w:textDirection w:val="lrTb"/>
            <w:noWrap w:val="false"/>
          </w:tcPr>
          <w:p>
            <w:pPr>
              <w:pStyle w:val="88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84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844"/>
              <w:jc w:val="left"/>
              <w:spacing w:line="360" w:lineRule="auto"/>
              <w:rPr>
                <w:color w:val="000000"/>
                <w:sz w:val="24"/>
                <w:highlight w:val="none"/>
              </w:rPr>
            </w:pPr>
            <w:r>
              <w:rPr>
                <w:color w:val="000000"/>
                <w:sz w:val="24"/>
                <w:highlight w:val="none"/>
              </w:rPr>
              <w:t xml:space="preserve">收费对象：成交供应商</w:t>
            </w:r>
            <w:r>
              <w:rPr>
                <w:color w:val="000000"/>
                <w:sz w:val="24"/>
                <w:highlight w:val="none"/>
              </w:rPr>
            </w:r>
            <w:r/>
          </w:p>
          <w:p>
            <w:pPr>
              <w:pStyle w:val="844"/>
              <w:jc w:val="left"/>
              <w:spacing w:line="360" w:lineRule="auto"/>
              <w:rPr>
                <w:color w:val="000000"/>
                <w:sz w:val="24"/>
                <w:highlight w:val="none"/>
              </w:rPr>
            </w:pPr>
            <w:r>
              <w:rPr>
                <w:color w:val="000000"/>
                <w:sz w:val="24"/>
                <w:highlight w:val="none"/>
              </w:rPr>
              <w:t xml:space="preserve">收费标准：</w:t>
            </w:r>
            <w:r>
              <w:rPr>
                <w:rFonts w:hint="eastAsia"/>
                <w:color w:val="000000"/>
                <w:sz w:val="24"/>
                <w:highlight w:val="none"/>
              </w:rPr>
              <w:t xml:space="preserve">按苏</w:t>
            </w:r>
            <w:r>
              <w:rPr>
                <w:rFonts w:hint="eastAsia"/>
                <w:color w:val="000000"/>
                <w:sz w:val="24"/>
                <w:highlight w:val="none"/>
                <w:lang w:val="en-US" w:eastAsia="zh-CN"/>
              </w:rPr>
              <w:t xml:space="preserve">政采协[2024]20</w:t>
            </w:r>
            <w:r>
              <w:rPr>
                <w:rFonts w:hint="eastAsia"/>
                <w:color w:val="000000"/>
                <w:sz w:val="24"/>
                <w:highlight w:val="none"/>
              </w:rPr>
              <w:t xml:space="preserve">号文收取；</w:t>
            </w:r>
            <w:r>
              <w:rPr>
                <w:color w:val="000000"/>
                <w:sz w:val="24"/>
                <w:highlight w:val="none"/>
              </w:rPr>
            </w:r>
            <w:r/>
          </w:p>
          <w:p>
            <w:pPr>
              <w:pStyle w:val="844"/>
              <w:jc w:val="left"/>
              <w:spacing w:line="360" w:lineRule="auto"/>
              <w:rPr>
                <w:color w:val="000000"/>
                <w:sz w:val="24"/>
                <w:highlight w:val="none"/>
              </w:rPr>
            </w:pPr>
            <w:r>
              <w:rPr>
                <w:color w:val="000000"/>
                <w:sz w:val="24"/>
                <w:highlight w:val="none"/>
              </w:rPr>
              <w:t xml:space="preserve">缴纳时间：</w:t>
            </w:r>
            <w:r>
              <w:rPr>
                <w:rFonts w:hint="eastAsia"/>
                <w:color w:val="000000"/>
                <w:sz w:val="24"/>
                <w:highlight w:val="none"/>
              </w:rPr>
              <w:t xml:space="preserve">领取</w:t>
            </w:r>
            <w:r>
              <w:rPr>
                <w:color w:val="000000"/>
                <w:sz w:val="24"/>
                <w:highlight w:val="none"/>
              </w:rPr>
              <w:t xml:space="preserve">成交通知书的同时。</w:t>
            </w:r>
            <w:r>
              <w:rPr>
                <w:color w:val="000000"/>
                <w:sz w:val="24"/>
                <w:highlight w:val="none"/>
              </w:rPr>
            </w:r>
            <w:r/>
          </w:p>
          <w:p>
            <w:pPr>
              <w:pStyle w:val="844"/>
              <w:jc w:val="left"/>
              <w:spacing w:line="360" w:lineRule="auto"/>
              <w:rPr>
                <w:color w:val="000000"/>
                <w:sz w:val="24"/>
                <w:highlight w:val="none"/>
              </w:rPr>
            </w:pPr>
            <w:r>
              <w:rPr>
                <w:rFonts w:hint="eastAsia"/>
                <w:b/>
                <w:bCs/>
                <w:color w:val="000000"/>
                <w:sz w:val="24"/>
                <w:highlight w:val="none"/>
                <w:lang w:val="en-US" w:eastAsia="zh-CN"/>
              </w:rPr>
              <w:t xml:space="preserve">注：依据代理合同约定，中标报价中已包含代理费，由供应商在投标时自行测算并计入投标报价。</w:t>
            </w:r>
            <w:r>
              <w:rPr>
                <w:color w:val="000000"/>
                <w:sz w:val="24"/>
                <w:highlight w:val="none"/>
              </w:rPr>
            </w:r>
            <w:r/>
          </w:p>
        </w:tc>
      </w:tr>
    </w:tbl>
    <w:p>
      <w:pPr>
        <w:pStyle w:val="844"/>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844"/>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84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9" w:name="_Toc520356143"/>
      <w:r/>
      <w:bookmarkStart w:id="70" w:name="_Toc127151518"/>
      <w:r>
        <w:rPr>
          <w:rFonts w:ascii="Times New Roman" w:hAnsi="Times New Roman" w:eastAsia="宋体"/>
          <w:color w:val="000000"/>
          <w:sz w:val="28"/>
          <w:highlight w:val="none"/>
        </w:rPr>
        <w:tab/>
      </w:r>
      <w:bookmarkStart w:id="71" w:name="_Toc305158860"/>
      <w:r/>
      <w:bookmarkStart w:id="72" w:name="_Toc151190145"/>
      <w:r/>
      <w:bookmarkStart w:id="73" w:name="_Toc264969208"/>
      <w:r/>
      <w:bookmarkStart w:id="74" w:name="_Toc150480756"/>
      <w:r/>
      <w:bookmarkStart w:id="75" w:name="_Toc151193760"/>
      <w:r/>
      <w:bookmarkStart w:id="76" w:name="_Toc150774723"/>
      <w:r/>
      <w:bookmarkStart w:id="77" w:name="_Toc226309762"/>
      <w:r/>
      <w:bookmarkStart w:id="78" w:name="_Toc226337214"/>
      <w:r/>
      <w:bookmarkStart w:id="79" w:name="_Toc305158786"/>
      <w:r/>
      <w:bookmarkStart w:id="80" w:name="_Toc226965708"/>
      <w:r/>
      <w:bookmarkStart w:id="81" w:name="_Toc151193832"/>
      <w:r/>
      <w:bookmarkStart w:id="82" w:name="_Toc151193616"/>
      <w:r/>
      <w:bookmarkStart w:id="83" w:name="_Toc150774618"/>
      <w:r/>
      <w:bookmarkStart w:id="84" w:name="_Toc195842883"/>
      <w:r/>
      <w:bookmarkStart w:id="85" w:name="_Toc151193906"/>
      <w:r/>
      <w:bookmarkStart w:id="86" w:name="_Toc150509269"/>
      <w:r/>
      <w:bookmarkStart w:id="87" w:name="_Toc226965791"/>
      <w:r/>
      <w:bookmarkStart w:id="88" w:name="_Toc142311020"/>
      <w:r/>
      <w:bookmarkStart w:id="89" w:name="_Toc151193688"/>
      <w:r/>
      <w:bookmarkStart w:id="90" w:name="_Toc265228356"/>
      <w:r>
        <w:rPr>
          <w:rFonts w:ascii="Times New Roman" w:hAnsi="Times New Roman" w:eastAsia="宋体"/>
          <w:color w:val="000000"/>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s>
        <w:rPr>
          <w:color w:val="000000"/>
          <w:sz w:val="24"/>
          <w:highlight w:val="none"/>
        </w:rPr>
        <w:outlineLvl w:val="1"/>
      </w:pPr>
      <w:r/>
      <w:bookmarkStart w:id="91" w:name="_Toc264969209"/>
      <w:r/>
      <w:bookmarkStart w:id="92" w:name="_Toc305158787"/>
      <w:r/>
      <w:bookmarkStart w:id="93" w:name="_Toc305158861"/>
      <w:r/>
      <w:bookmarkStart w:id="94" w:name="_Toc265228357"/>
      <w:r>
        <w:rPr>
          <w:color w:val="000000"/>
          <w:sz w:val="24"/>
          <w:highlight w:val="none"/>
        </w:rPr>
        <w:t xml:space="preserve">采购人、采购代理机构、供应商</w:t>
      </w:r>
      <w:bookmarkEnd w:id="91"/>
      <w:r/>
      <w:bookmarkEnd w:id="92"/>
      <w:r/>
      <w:bookmarkEnd w:id="93"/>
      <w:r/>
      <w:bookmarkEnd w:id="94"/>
      <w:r>
        <w:rPr>
          <w:color w:val="000000"/>
          <w:sz w:val="24"/>
          <w:highlight w:val="none"/>
        </w:rPr>
        <w:t xml:space="preserve">、联合体</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供应商（也称“申请人”）：指向采购人提供服务的法人、其他组织或者自然人。</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44"/>
        <w:numPr>
          <w:ilvl w:val="0"/>
          <w:numId w:val="8"/>
        </w:numPr>
        <w:ind w:left="357" w:hanging="357"/>
        <w:spacing w:line="360" w:lineRule="auto"/>
        <w:tabs>
          <w:tab w:val="left" w:pos="360" w:leader="none"/>
        </w:tabs>
        <w:rPr>
          <w:color w:val="000000"/>
          <w:sz w:val="24"/>
          <w:highlight w:val="none"/>
        </w:rPr>
        <w:outlineLvl w:val="1"/>
      </w:pPr>
      <w:r/>
      <w:bookmarkStart w:id="95" w:name="_Toc265228358"/>
      <w:r/>
      <w:bookmarkStart w:id="96" w:name="_Toc151193834"/>
      <w:r/>
      <w:bookmarkStart w:id="97" w:name="_Toc164608634"/>
      <w:r/>
      <w:bookmarkStart w:id="98" w:name="_Toc305158788"/>
      <w:r/>
      <w:bookmarkStart w:id="99" w:name="_Toc142311022"/>
      <w:r/>
      <w:bookmarkStart w:id="100" w:name="_Toc127151520"/>
      <w:r/>
      <w:bookmarkStart w:id="101" w:name="_Toc151193762"/>
      <w:r/>
      <w:bookmarkStart w:id="102" w:name="_Toc151193908"/>
      <w:r/>
      <w:bookmarkStart w:id="103" w:name="_Toc127151721"/>
      <w:r/>
      <w:bookmarkStart w:id="104" w:name="_Toc226337216"/>
      <w:r/>
      <w:bookmarkStart w:id="105" w:name="_Toc127161434"/>
      <w:r/>
      <w:bookmarkStart w:id="106" w:name="_Toc149720813"/>
      <w:r/>
      <w:bookmarkStart w:id="107" w:name="_Toc226965793"/>
      <w:r/>
      <w:bookmarkStart w:id="108" w:name="_Toc226965710"/>
      <w:r/>
      <w:bookmarkStart w:id="109" w:name="_Toc305158862"/>
      <w:r/>
      <w:bookmarkStart w:id="110" w:name="_Toc151193690"/>
      <w:r/>
      <w:bookmarkStart w:id="111" w:name="_Toc264969210"/>
      <w:r/>
      <w:bookmarkStart w:id="112" w:name="_Toc150480758"/>
      <w:r/>
      <w:bookmarkStart w:id="113" w:name="_Toc226309764"/>
      <w:r/>
      <w:bookmarkStart w:id="114" w:name="_Toc164229361"/>
      <w:r/>
      <w:bookmarkStart w:id="115" w:name="_Toc150774725"/>
      <w:r/>
      <w:bookmarkStart w:id="116" w:name="_Toc151190147"/>
      <w:r/>
      <w:bookmarkStart w:id="117" w:name="_Toc164351614"/>
      <w:r/>
      <w:bookmarkStart w:id="118" w:name="_Toc151193618"/>
      <w:r/>
      <w:bookmarkStart w:id="119" w:name="_Toc150509271"/>
      <w:r/>
      <w:bookmarkStart w:id="120" w:name="_Toc150774620"/>
      <w:r/>
      <w:bookmarkStart w:id="121" w:name="_Toc164608789"/>
      <w:r/>
      <w:bookmarkStart w:id="122" w:name="_Toc164229215"/>
      <w:r/>
      <w:bookmarkStart w:id="123" w:name="_Toc195842885"/>
      <w:r>
        <w:rPr>
          <w:color w:val="000000"/>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color w:val="000000"/>
          <w:sz w:val="24"/>
          <w:highlight w:val="none"/>
        </w:rPr>
        <w:t xml:space="preserve">、项目属性、科研仪器设备采购</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资金来源为财政性资金和本项目采购中无法与财政性资金分割的非财政性资金。</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4" w:name="_Toc151193620"/>
      <w:r/>
      <w:bookmarkStart w:id="125" w:name="_Toc305158790"/>
      <w:r/>
      <w:bookmarkStart w:id="126" w:name="_Toc226337218"/>
      <w:r/>
      <w:bookmarkStart w:id="127" w:name="_Toc151193764"/>
      <w:r/>
      <w:bookmarkStart w:id="128" w:name="_Toc226309766"/>
      <w:r/>
      <w:bookmarkStart w:id="129" w:name="_Toc265228360"/>
      <w:r/>
      <w:bookmarkStart w:id="130" w:name="_Toc195842887"/>
      <w:r/>
      <w:bookmarkStart w:id="131" w:name="_Toc151193910"/>
      <w:r/>
      <w:bookmarkStart w:id="132" w:name="_Toc150774727"/>
      <w:r/>
      <w:bookmarkStart w:id="133" w:name="_Toc151193836"/>
      <w:r/>
      <w:bookmarkStart w:id="134" w:name="_Toc150774622"/>
      <w:r/>
      <w:bookmarkStart w:id="135" w:name="_Toc226965712"/>
      <w:r/>
      <w:bookmarkStart w:id="136" w:name="_Toc226965795"/>
      <w:r/>
      <w:bookmarkStart w:id="137" w:name="_Toc305158864"/>
      <w:r/>
      <w:bookmarkStart w:id="138" w:name="_Toc150509273"/>
      <w:r/>
      <w:bookmarkStart w:id="139" w:name="_Toc151190149"/>
      <w:r/>
      <w:bookmarkStart w:id="140" w:name="_Toc264969212"/>
      <w:r/>
      <w:bookmarkStart w:id="141" w:name="_Toc142311024"/>
      <w:r/>
      <w:bookmarkStart w:id="142" w:name="_Toc151193692"/>
      <w:r/>
      <w:bookmarkStart w:id="143" w:name="_Toc127151522"/>
      <w:r/>
      <w:bookmarkStart w:id="144" w:name="_Toc520356146"/>
      <w:r/>
      <w:bookmarkStart w:id="145" w:name="_Toc150480760"/>
      <w:r>
        <w:rPr>
          <w:color w:val="000000"/>
          <w:sz w:val="28"/>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844"/>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844"/>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供应商提供的服务符合下列情形的，享受中小企业扶持政策：</w:t>
      </w:r>
      <w:r>
        <w:rPr>
          <w:color w:val="000000"/>
          <w:sz w:val="24"/>
          <w:highlight w:val="none"/>
        </w:rPr>
      </w:r>
      <w:r/>
    </w:p>
    <w:p>
      <w:pPr>
        <w:pStyle w:val="844"/>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在服务采购项目中，服务由中小企业承接，即提供服务的人员为中小企业依照《中华人民共和国劳动合同法》订立劳动合同的从业人员。</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44"/>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844"/>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本项目不适用。</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844"/>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844"/>
        <w:numPr>
          <w:ilvl w:val="2"/>
          <w:numId w:val="8"/>
        </w:numPr>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本项目不适用</w:t>
      </w:r>
      <w:r>
        <w:rPr>
          <w:color w:val="000000"/>
          <w:sz w:val="24"/>
          <w:highlight w:val="none"/>
        </w:rPr>
        <w:t xml:space="preserve">。</w:t>
      </w:r>
      <w:r>
        <w:rPr>
          <w:rFonts w:hint="eastAsia"/>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844"/>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本项目不适用。</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844"/>
        <w:ind w:left="1080"/>
        <w:spacing w:line="360" w:lineRule="auto"/>
        <w:tabs>
          <w:tab w:val="left" w:pos="1080" w:leader="none"/>
        </w:tabs>
        <w:rPr>
          <w:color w:val="000000"/>
          <w:sz w:val="28"/>
          <w:highlight w:val="none"/>
        </w:rPr>
      </w:pPr>
      <w:r/>
      <w:bookmarkStart w:id="146" w:name="_1.8_计量单位"/>
      <w:r/>
      <w:bookmarkEnd w:id="146"/>
      <w:r>
        <w:rPr>
          <w:color w:val="000000"/>
          <w:sz w:val="28"/>
          <w:highlight w:val="none"/>
        </w:rPr>
      </w:r>
      <w:r/>
    </w:p>
    <w:p>
      <w:pPr>
        <w:pStyle w:val="8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47" w:name="_Toc151190150"/>
      <w:r/>
      <w:bookmarkStart w:id="148" w:name="_Toc150774728"/>
      <w:r/>
      <w:bookmarkStart w:id="149" w:name="_Toc150480761"/>
      <w:r/>
      <w:bookmarkStart w:id="150" w:name="_Toc195842888"/>
      <w:r/>
      <w:bookmarkStart w:id="151" w:name="_Toc226309767"/>
      <w:r/>
      <w:bookmarkStart w:id="152" w:name="_Toc164229218"/>
      <w:r/>
      <w:bookmarkStart w:id="153" w:name="_Toc127161437"/>
      <w:r/>
      <w:bookmarkStart w:id="154" w:name="_Toc164229364"/>
      <w:r/>
      <w:bookmarkStart w:id="155" w:name="_Toc151193693"/>
      <w:r/>
      <w:bookmarkStart w:id="156" w:name="_Toc226965713"/>
      <w:r/>
      <w:bookmarkStart w:id="157" w:name="_Toc127151724"/>
      <w:r/>
      <w:bookmarkStart w:id="158" w:name="_Toc150509274"/>
      <w:r/>
      <w:bookmarkStart w:id="159" w:name="_Toc151193621"/>
      <w:r/>
      <w:bookmarkStart w:id="160" w:name="_Toc226965796"/>
      <w:r/>
      <w:bookmarkStart w:id="161" w:name="_Toc151193837"/>
      <w:r/>
      <w:bookmarkStart w:id="162" w:name="_Toc127151523"/>
      <w:r/>
      <w:bookmarkStart w:id="163" w:name="_Toc520356147"/>
      <w:r/>
      <w:bookmarkStart w:id="164" w:name="_Toc305158865"/>
      <w:r/>
      <w:bookmarkStart w:id="165" w:name="_Toc226337219"/>
      <w:r/>
      <w:bookmarkStart w:id="166" w:name="_Toc265228361"/>
      <w:r/>
      <w:bookmarkStart w:id="167" w:name="_Toc164608792"/>
      <w:r/>
      <w:bookmarkStart w:id="168" w:name="_Toc151193765"/>
      <w:r/>
      <w:bookmarkStart w:id="169" w:name="_Toc164608637"/>
      <w:r/>
      <w:bookmarkStart w:id="170" w:name="_Toc150774623"/>
      <w:r/>
      <w:bookmarkStart w:id="171" w:name="_Toc264969213"/>
      <w:r/>
      <w:bookmarkStart w:id="172" w:name="_Toc305158791"/>
      <w:r/>
      <w:bookmarkStart w:id="173" w:name="_Toc151193911"/>
      <w:r/>
      <w:bookmarkStart w:id="174" w:name="_Toc149720816"/>
      <w:r/>
      <w:bookmarkStart w:id="175" w:name="_Toc164351617"/>
      <w:r/>
      <w:bookmarkStart w:id="176" w:name="_Toc142311025"/>
      <w:r>
        <w:rPr>
          <w:color w:val="000000"/>
          <w:sz w:val="24"/>
          <w:highlight w:val="none"/>
        </w:rPr>
        <w:t xml:space="preserve">竞争性磋商文件构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color w:val="000000"/>
          <w:sz w:val="24"/>
          <w:highlight w:val="none"/>
        </w:rPr>
        <w:t xml:space="preserve">成</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84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844"/>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844"/>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844"/>
        <w:ind w:left="1080"/>
        <w:spacing w:line="360" w:lineRule="auto"/>
        <w:tabs>
          <w:tab w:val="left" w:pos="1080" w:leader="none"/>
          <w:tab w:val="left" w:pos="1561" w:leader="none"/>
        </w:tabs>
        <w:rPr>
          <w:color w:val="000000"/>
          <w:sz w:val="28"/>
          <w:highlight w:val="none"/>
        </w:rPr>
      </w:pPr>
      <w:r/>
      <w:bookmarkStart w:id="177" w:name="_Toc264969216"/>
      <w:r/>
      <w:bookmarkStart w:id="178" w:name="_Toc142311028"/>
      <w:r/>
      <w:bookmarkStart w:id="179" w:name="_Toc305158794"/>
      <w:r/>
      <w:bookmarkStart w:id="180" w:name="_Toc150509277"/>
      <w:r/>
      <w:bookmarkStart w:id="181" w:name="_Toc150480764"/>
      <w:r/>
      <w:bookmarkStart w:id="182" w:name="_Toc226309770"/>
      <w:r/>
      <w:bookmarkStart w:id="183" w:name="_Toc265228364"/>
      <w:r/>
      <w:bookmarkStart w:id="184" w:name="_Toc226965716"/>
      <w:r/>
      <w:bookmarkStart w:id="185" w:name="_Toc151190153"/>
      <w:r/>
      <w:bookmarkStart w:id="186" w:name="_Toc305158868"/>
      <w:r/>
      <w:bookmarkStart w:id="187" w:name="_Toc226965799"/>
      <w:r/>
      <w:bookmarkStart w:id="188" w:name="_Toc195842891"/>
      <w:r/>
      <w:bookmarkStart w:id="189" w:name="_Toc516367020"/>
      <w:r/>
      <w:bookmarkStart w:id="190" w:name="_Toc151193624"/>
      <w:r/>
      <w:bookmarkStart w:id="191" w:name="_Toc151193696"/>
      <w:r/>
      <w:bookmarkStart w:id="192" w:name="_Toc150774626"/>
      <w:r/>
      <w:bookmarkStart w:id="193" w:name="_Toc127151526"/>
      <w:r/>
      <w:bookmarkStart w:id="194" w:name="_Toc151193768"/>
      <w:r/>
      <w:bookmarkStart w:id="195" w:name="_Toc520356150"/>
      <w:r/>
      <w:bookmarkStart w:id="196" w:name="_Toc151193914"/>
      <w:r/>
      <w:bookmarkStart w:id="197" w:name="_Toc150774731"/>
      <w:r/>
      <w:bookmarkStart w:id="198" w:name="_Toc226337222"/>
      <w:r/>
      <w:bookmarkStart w:id="199" w:name="_Toc151193840"/>
      <w:r>
        <w:rPr>
          <w:color w:val="000000"/>
          <w:sz w:val="28"/>
          <w:highlight w:val="none"/>
        </w:rPr>
      </w:r>
      <w:r/>
    </w:p>
    <w:p>
      <w:pPr>
        <w:pStyle w:val="8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9"/>
      <w:r>
        <w:rPr>
          <w:rFonts w:ascii="Times New Roman" w:hAnsi="Times New Roman" w:eastAsia="宋体"/>
          <w:color w:val="000000"/>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00" w:name="_Toc142311029"/>
      <w:r/>
      <w:bookmarkStart w:id="201" w:name="_Toc164229368"/>
      <w:r/>
      <w:bookmarkStart w:id="202" w:name="_Toc226965800"/>
      <w:r/>
      <w:bookmarkStart w:id="203" w:name="_Toc151193697"/>
      <w:r/>
      <w:bookmarkStart w:id="204" w:name="_Toc226337223"/>
      <w:r/>
      <w:bookmarkStart w:id="205" w:name="_Toc151193915"/>
      <w:r/>
      <w:bookmarkStart w:id="206" w:name="_Toc151193625"/>
      <w:r/>
      <w:bookmarkStart w:id="207" w:name="_Toc516367021"/>
      <w:r/>
      <w:bookmarkStart w:id="208" w:name="_Toc305158869"/>
      <w:r/>
      <w:bookmarkStart w:id="209" w:name="_Toc150480765"/>
      <w:r/>
      <w:bookmarkStart w:id="210" w:name="_Toc150509278"/>
      <w:r/>
      <w:bookmarkStart w:id="211" w:name="_Toc149720820"/>
      <w:r/>
      <w:bookmarkStart w:id="212" w:name="_Toc265228365"/>
      <w:r/>
      <w:bookmarkStart w:id="213" w:name="_Toc195842892"/>
      <w:r/>
      <w:bookmarkStart w:id="214" w:name="_Toc127151527"/>
      <w:r/>
      <w:bookmarkStart w:id="215" w:name="_Toc164229222"/>
      <w:r/>
      <w:bookmarkStart w:id="216" w:name="_Toc520356151"/>
      <w:r/>
      <w:bookmarkStart w:id="217" w:name="_Toc151193769"/>
      <w:r/>
      <w:bookmarkStart w:id="218" w:name="_Toc164351621"/>
      <w:r/>
      <w:bookmarkStart w:id="219" w:name="_Toc305158795"/>
      <w:r/>
      <w:bookmarkStart w:id="220" w:name="_Toc151193841"/>
      <w:r/>
      <w:bookmarkStart w:id="221" w:name="_Toc150774627"/>
      <w:r/>
      <w:bookmarkStart w:id="222" w:name="_Toc264969217"/>
      <w:r/>
      <w:bookmarkStart w:id="223" w:name="_Toc127151728"/>
      <w:r/>
      <w:bookmarkStart w:id="224" w:name="_Toc127161441"/>
      <w:r/>
      <w:bookmarkStart w:id="225" w:name="_Toc151190154"/>
      <w:r/>
      <w:bookmarkStart w:id="226" w:name="_Toc164608641"/>
      <w:r/>
      <w:bookmarkStart w:id="227" w:name="_Toc226309771"/>
      <w:r/>
      <w:bookmarkStart w:id="228" w:name="_Toc164608796"/>
      <w:r/>
      <w:bookmarkStart w:id="229" w:name="_Toc226965717"/>
      <w:r/>
      <w:bookmarkStart w:id="230" w:name="_Toc150774732"/>
      <w:r>
        <w:rPr>
          <w:color w:val="000000"/>
          <w:sz w:val="24"/>
          <w:highlight w:val="none"/>
        </w:rPr>
        <w:t xml:space="preserve">响应范围、竞争性磋商文件中计量单位的使用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color w:val="000000"/>
          <w:sz w:val="24"/>
          <w:highlight w:val="none"/>
        </w:rPr>
        <w:t xml:space="preserve">及磋商语言</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31" w:name="_Toc305158796"/>
      <w:r/>
      <w:bookmarkStart w:id="232" w:name="_Toc520356152"/>
      <w:r/>
      <w:bookmarkStart w:id="233" w:name="_Toc164229369"/>
      <w:r/>
      <w:bookmarkStart w:id="234" w:name="_Toc226965801"/>
      <w:r/>
      <w:bookmarkStart w:id="235" w:name="_Toc150509279"/>
      <w:r/>
      <w:bookmarkStart w:id="236" w:name="_Toc142311030"/>
      <w:r/>
      <w:bookmarkStart w:id="237" w:name="_Toc151193842"/>
      <w:r/>
      <w:bookmarkStart w:id="238" w:name="_Toc150774628"/>
      <w:r/>
      <w:bookmarkStart w:id="239" w:name="_Toc151193770"/>
      <w:r/>
      <w:bookmarkStart w:id="240" w:name="_Toc127151528"/>
      <w:r/>
      <w:bookmarkStart w:id="241" w:name="_Toc164229223"/>
      <w:r/>
      <w:bookmarkStart w:id="242" w:name="_Toc151190155"/>
      <w:r/>
      <w:bookmarkStart w:id="243" w:name="_Toc150480766"/>
      <w:r/>
      <w:bookmarkStart w:id="244" w:name="_Ref467306195"/>
      <w:r/>
      <w:bookmarkStart w:id="245" w:name="_Toc516367022"/>
      <w:r/>
      <w:bookmarkStart w:id="246" w:name="_Toc150774733"/>
      <w:r/>
      <w:bookmarkStart w:id="247" w:name="_Ref467306676"/>
      <w:r/>
      <w:bookmarkStart w:id="248" w:name="_Toc226965718"/>
      <w:r/>
      <w:bookmarkStart w:id="249" w:name="_Toc265228366"/>
      <w:r/>
      <w:bookmarkStart w:id="250" w:name="_Toc195842893"/>
      <w:r/>
      <w:bookmarkStart w:id="251" w:name="_Toc264969218"/>
      <w:r/>
      <w:bookmarkStart w:id="252" w:name="_Toc151193916"/>
      <w:r/>
      <w:bookmarkStart w:id="253" w:name="_Toc305158870"/>
      <w:r/>
      <w:bookmarkStart w:id="254" w:name="_Toc151193626"/>
      <w:r/>
      <w:bookmarkStart w:id="255" w:name="_Toc149720821"/>
      <w:r/>
      <w:bookmarkStart w:id="256" w:name="_Toc164608797"/>
      <w:r/>
      <w:bookmarkStart w:id="257" w:name="_Toc164608642"/>
      <w:r/>
      <w:bookmarkStart w:id="258" w:name="_Toc127161442"/>
      <w:r/>
      <w:bookmarkStart w:id="259" w:name="_Toc151193698"/>
      <w:r/>
      <w:bookmarkStart w:id="260" w:name="_Toc226337224"/>
      <w:r/>
      <w:bookmarkStart w:id="261" w:name="_Toc127151729"/>
      <w:r/>
      <w:bookmarkStart w:id="262" w:name="_Toc226309772"/>
      <w:r/>
      <w:bookmarkStart w:id="263" w:name="_Toc164351622"/>
      <w:r>
        <w:rPr>
          <w:color w:val="000000"/>
          <w:sz w:val="24"/>
          <w:highlight w:val="none"/>
        </w:rPr>
        <w:t xml:space="preserve">响应文件</w:t>
      </w:r>
      <w:bookmarkEnd w:id="244"/>
      <w:r/>
      <w:bookmarkEnd w:id="245"/>
      <w:r/>
      <w:bookmarkEnd w:id="247"/>
      <w:r>
        <w:rPr>
          <w:color w:val="000000"/>
          <w:sz w:val="24"/>
          <w:highlight w:val="none"/>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6"/>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64"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64"/>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65" w:name="_Toc151193844"/>
      <w:r/>
      <w:bookmarkStart w:id="266" w:name="_Toc127161444"/>
      <w:r/>
      <w:bookmarkStart w:id="267" w:name="_Toc151193628"/>
      <w:r/>
      <w:bookmarkStart w:id="268" w:name="_Toc151193772"/>
      <w:r/>
      <w:bookmarkStart w:id="269" w:name="_Toc150774735"/>
      <w:r/>
      <w:bookmarkStart w:id="270" w:name="_Toc164229371"/>
      <w:r/>
      <w:bookmarkStart w:id="271" w:name="_Toc195842895"/>
      <w:r/>
      <w:bookmarkStart w:id="272" w:name="_Toc150774630"/>
      <w:r/>
      <w:bookmarkStart w:id="273" w:name="_Toc142311032"/>
      <w:r/>
      <w:bookmarkStart w:id="274" w:name="_Toc151193918"/>
      <w:r/>
      <w:bookmarkStart w:id="275" w:name="_Toc164608644"/>
      <w:r/>
      <w:bookmarkStart w:id="276" w:name="_Toc164229225"/>
      <w:r/>
      <w:bookmarkStart w:id="277" w:name="_Toc520356155"/>
      <w:r/>
      <w:bookmarkStart w:id="278" w:name="_Toc164608799"/>
      <w:r/>
      <w:bookmarkStart w:id="279" w:name="_Toc151193700"/>
      <w:r/>
      <w:bookmarkStart w:id="280" w:name="_Toc149720823"/>
      <w:r/>
      <w:bookmarkStart w:id="281" w:name="_Toc150480768"/>
      <w:r/>
      <w:bookmarkStart w:id="282" w:name="_Toc151190157"/>
      <w:r/>
      <w:bookmarkStart w:id="283" w:name="_Toc127151731"/>
      <w:r/>
      <w:bookmarkStart w:id="284" w:name="_Toc127151530"/>
      <w:r/>
      <w:bookmarkStart w:id="285" w:name="_Toc150509281"/>
      <w:r/>
      <w:bookmarkStart w:id="286" w:name="_Toc164351624"/>
      <w:r>
        <w:rPr>
          <w:color w:val="000000"/>
          <w:sz w:val="24"/>
          <w:highlight w:val="none"/>
        </w:rPr>
        <w:t xml:space="preserve">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844"/>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目的全部服务费用。</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844"/>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7" w:name="_Toc195842898"/>
      <w:r/>
      <w:bookmarkStart w:id="288" w:name="_Toc142311035"/>
      <w:r/>
      <w:bookmarkStart w:id="289" w:name="_Toc226337229"/>
      <w:r/>
      <w:bookmarkStart w:id="290" w:name="_Toc149720826"/>
      <w:r/>
      <w:bookmarkStart w:id="291" w:name="_Toc151190160"/>
      <w:r/>
      <w:bookmarkStart w:id="292" w:name="_Toc151193847"/>
      <w:r/>
      <w:bookmarkStart w:id="293" w:name="_Toc151193703"/>
      <w:r/>
      <w:bookmarkStart w:id="294" w:name="_Toc164608802"/>
      <w:r/>
      <w:bookmarkStart w:id="295" w:name="_Toc226309777"/>
      <w:r/>
      <w:bookmarkStart w:id="296" w:name="_Toc164229374"/>
      <w:r/>
      <w:bookmarkStart w:id="297" w:name="_Toc127151734"/>
      <w:r/>
      <w:bookmarkStart w:id="298" w:name="_Toc151193921"/>
      <w:r/>
      <w:bookmarkStart w:id="299" w:name="_Toc164229228"/>
      <w:r/>
      <w:bookmarkStart w:id="300" w:name="_Toc127161447"/>
      <w:r/>
      <w:bookmarkStart w:id="301" w:name="_Toc150509284"/>
      <w:r/>
      <w:bookmarkStart w:id="302" w:name="_Toc226965806"/>
      <w:r/>
      <w:bookmarkStart w:id="303" w:name="_Toc150480771"/>
      <w:r/>
      <w:bookmarkStart w:id="304" w:name="_Toc264969223"/>
      <w:r/>
      <w:bookmarkStart w:id="305" w:name="_Toc164351627"/>
      <w:r/>
      <w:bookmarkStart w:id="306" w:name="_Toc127151533"/>
      <w:r/>
      <w:bookmarkStart w:id="307" w:name="_Toc151193775"/>
      <w:r/>
      <w:bookmarkStart w:id="308" w:name="_Toc265228371"/>
      <w:r/>
      <w:bookmarkStart w:id="309" w:name="_Toc164608647"/>
      <w:r/>
      <w:bookmarkStart w:id="310" w:name="_Toc305158801"/>
      <w:r/>
      <w:bookmarkStart w:id="311" w:name="_Toc151193631"/>
      <w:r/>
      <w:bookmarkStart w:id="312" w:name="_Toc520356158"/>
      <w:r/>
      <w:bookmarkStart w:id="313" w:name="_Toc305158875"/>
      <w:r/>
      <w:bookmarkStart w:id="314" w:name="_Toc226965723"/>
      <w:r/>
      <w:bookmarkStart w:id="315" w:name="_Toc150774633"/>
      <w:r/>
      <w:bookmarkStart w:id="316" w:name="_Toc150774738"/>
      <w:r>
        <w:rPr>
          <w:color w:val="000000"/>
          <w:sz w:val="24"/>
          <w:highlight w:val="none"/>
        </w:rPr>
        <w:t xml:space="preserve">响应文件的签署</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color w:val="000000"/>
          <w:sz w:val="24"/>
          <w:highlight w:val="none"/>
        </w:rPr>
        <w:t xml:space="preserve">、盖章</w:t>
      </w:r>
      <w:r>
        <w:rPr>
          <w:color w:val="000000"/>
          <w:sz w:val="24"/>
          <w:highlight w:val="none"/>
        </w:rPr>
      </w:r>
      <w:r/>
    </w:p>
    <w:p>
      <w:pPr>
        <w:pStyle w:val="844"/>
        <w:numPr>
          <w:ilvl w:val="1"/>
          <w:numId w:val="8"/>
        </w:numPr>
        <w:spacing w:line="360" w:lineRule="auto"/>
        <w:tabs>
          <w:tab w:val="left" w:pos="1080" w:leader="none"/>
          <w:tab w:val="left" w:pos="1589" w:leader="none"/>
        </w:tabs>
        <w:rPr>
          <w:color w:val="000000"/>
          <w:sz w:val="24"/>
          <w:highlight w:val="none"/>
        </w:rPr>
      </w:pPr>
      <w:r/>
      <w:bookmarkStart w:id="317" w:name="_Toc226965724"/>
      <w:r/>
      <w:bookmarkStart w:id="318" w:name="_Toc226309778"/>
      <w:r/>
      <w:bookmarkStart w:id="319" w:name="_Toc226965807"/>
      <w:r/>
      <w:bookmarkStart w:id="320" w:name="_Toc151193632"/>
      <w:r/>
      <w:bookmarkStart w:id="321" w:name="_Toc151193848"/>
      <w:r/>
      <w:bookmarkStart w:id="322" w:name="_Toc127151534"/>
      <w:r/>
      <w:bookmarkStart w:id="323" w:name="_Toc150774739"/>
      <w:r/>
      <w:bookmarkStart w:id="324" w:name="_Toc142311036"/>
      <w:r/>
      <w:bookmarkStart w:id="325" w:name="_Toc151190161"/>
      <w:r/>
      <w:bookmarkStart w:id="326" w:name="_Toc150480772"/>
      <w:r/>
      <w:bookmarkStart w:id="327" w:name="_Toc264969224"/>
      <w:r/>
      <w:bookmarkStart w:id="328" w:name="_Toc305158802"/>
      <w:r/>
      <w:bookmarkStart w:id="329" w:name="_Toc305158876"/>
      <w:r/>
      <w:bookmarkStart w:id="330" w:name="_Toc265228372"/>
      <w:r/>
      <w:bookmarkStart w:id="331" w:name="_Toc150774634"/>
      <w:r/>
      <w:bookmarkStart w:id="332" w:name="_Toc520356159"/>
      <w:r/>
      <w:bookmarkStart w:id="333" w:name="_Toc151193704"/>
      <w:r/>
      <w:bookmarkStart w:id="334" w:name="_Toc151193776"/>
      <w:r/>
      <w:bookmarkStart w:id="335" w:name="_Toc195842899"/>
      <w:r/>
      <w:bookmarkStart w:id="336" w:name="_Toc150509285"/>
      <w:r/>
      <w:bookmarkStart w:id="337" w:name="_Toc226337230"/>
      <w:r/>
      <w:bookmarkStart w:id="338" w:name="_Toc151193922"/>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44"/>
        <w:ind w:left="357"/>
        <w:spacing w:line="360" w:lineRule="auto"/>
        <w:tabs>
          <w:tab w:val="left" w:pos="900" w:leader="none"/>
          <w:tab w:val="left" w:pos="1080" w:leader="none"/>
        </w:tabs>
        <w:rPr>
          <w:color w:val="000000"/>
          <w:highlight w:val="none"/>
        </w:rPr>
      </w:pPr>
      <w:r>
        <w:rPr>
          <w:color w:val="000000"/>
          <w:highlight w:val="none"/>
        </w:rPr>
      </w:r>
      <w:r/>
    </w:p>
    <w:p>
      <w:pPr>
        <w:pStyle w:val="8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39" w:name="_Toc149720828"/>
      <w:r/>
      <w:bookmarkStart w:id="340" w:name="_Toc226337231"/>
      <w:r/>
      <w:bookmarkStart w:id="341" w:name="_Toc164608649"/>
      <w:r/>
      <w:bookmarkStart w:id="342" w:name="_Toc520356160"/>
      <w:r/>
      <w:bookmarkStart w:id="343" w:name="_Toc127151736"/>
      <w:r/>
      <w:bookmarkStart w:id="344" w:name="_Toc164229376"/>
      <w:r/>
      <w:bookmarkStart w:id="345" w:name="_Toc305158803"/>
      <w:r/>
      <w:bookmarkStart w:id="346" w:name="_Toc150480773"/>
      <w:r/>
      <w:bookmarkStart w:id="347" w:name="_Toc127161449"/>
      <w:r/>
      <w:bookmarkStart w:id="348" w:name="_Toc164608804"/>
      <w:r/>
      <w:bookmarkStart w:id="349" w:name="_Toc226965725"/>
      <w:r/>
      <w:bookmarkStart w:id="350" w:name="_Toc265228373"/>
      <w:r/>
      <w:bookmarkStart w:id="351" w:name="_Toc151193705"/>
      <w:r/>
      <w:bookmarkStart w:id="352" w:name="_Toc150509286"/>
      <w:r/>
      <w:bookmarkStart w:id="353" w:name="_Toc151193777"/>
      <w:r/>
      <w:bookmarkStart w:id="354" w:name="_Toc151193633"/>
      <w:r/>
      <w:bookmarkStart w:id="355" w:name="_Toc226309779"/>
      <w:r/>
      <w:bookmarkStart w:id="356" w:name="_Toc264969225"/>
      <w:r/>
      <w:bookmarkStart w:id="357" w:name="_Toc164351629"/>
      <w:r/>
      <w:bookmarkStart w:id="358" w:name="_Toc305158877"/>
      <w:r/>
      <w:bookmarkStart w:id="359" w:name="_Toc195842900"/>
      <w:r/>
      <w:bookmarkStart w:id="360" w:name="_Toc151193849"/>
      <w:r/>
      <w:bookmarkStart w:id="361" w:name="_Toc142311037"/>
      <w:r/>
      <w:bookmarkStart w:id="362" w:name="_Toc164229230"/>
      <w:r/>
      <w:bookmarkStart w:id="363" w:name="_Toc226965808"/>
      <w:r/>
      <w:bookmarkStart w:id="364" w:name="_Toc150774740"/>
      <w:r/>
      <w:bookmarkStart w:id="365" w:name="_Toc151190162"/>
      <w:r/>
      <w:bookmarkStart w:id="366" w:name="_Toc151193923"/>
      <w:r/>
      <w:bookmarkStart w:id="367" w:name="_Toc127151535"/>
      <w:r/>
      <w:bookmarkStart w:id="368" w:name="_Toc150774635"/>
      <w:r>
        <w:rPr>
          <w:color w:val="000000"/>
          <w:sz w:val="24"/>
          <w:highlight w:val="none"/>
        </w:rPr>
        <w:t xml:space="preserve">响应文件的</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t xml:space="preserve">提交</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苏采云</w:t>
      </w:r>
      <w:r>
        <w:rPr>
          <w:color w:val="000000"/>
          <w:sz w:val="24"/>
          <w:highlight w:val="none"/>
        </w:rPr>
        <w:t xml:space="preserve">。供应商根据竞争性磋商文件及</w:t>
      </w:r>
      <w:r>
        <w:rPr>
          <w:rFonts w:hint="eastAsia"/>
          <w:color w:val="000000"/>
          <w:sz w:val="24"/>
          <w:highlight w:val="none"/>
          <w:lang w:eastAsia="zh-CN"/>
        </w:rPr>
        <w:t xml:space="preserve">苏采云</w:t>
      </w:r>
      <w:r>
        <w:rPr>
          <w:color w:val="000000"/>
          <w:sz w:val="24"/>
          <w:highlight w:val="none"/>
        </w:rPr>
        <w:t xml:space="preserve">供应商操作手册要求编制、生成并提交电子响应文件。</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9" w:name="_Toc151193634"/>
      <w:r/>
      <w:bookmarkStart w:id="370" w:name="_Toc151193706"/>
      <w:r/>
      <w:bookmarkStart w:id="371" w:name="_Toc226337232"/>
      <w:r/>
      <w:bookmarkStart w:id="372" w:name="_Toc265228374"/>
      <w:r/>
      <w:bookmarkStart w:id="373" w:name="_Toc127161450"/>
      <w:r/>
      <w:bookmarkStart w:id="374" w:name="_Toc264969226"/>
      <w:r/>
      <w:bookmarkStart w:id="375" w:name="_Toc305158804"/>
      <w:r/>
      <w:bookmarkStart w:id="376" w:name="_Toc520356161"/>
      <w:r/>
      <w:bookmarkStart w:id="377" w:name="_Toc142311038"/>
      <w:r/>
      <w:bookmarkStart w:id="378" w:name="_Toc127151737"/>
      <w:r/>
      <w:bookmarkStart w:id="379" w:name="_Toc151190163"/>
      <w:r/>
      <w:bookmarkStart w:id="380" w:name="_Toc150480774"/>
      <w:r/>
      <w:bookmarkStart w:id="381" w:name="_Toc150774741"/>
      <w:r/>
      <w:bookmarkStart w:id="382" w:name="_Toc164608650"/>
      <w:r/>
      <w:bookmarkStart w:id="383" w:name="_Toc226309780"/>
      <w:r/>
      <w:bookmarkStart w:id="384" w:name="_Toc226965809"/>
      <w:r/>
      <w:bookmarkStart w:id="385" w:name="_Toc164608805"/>
      <w:r/>
      <w:bookmarkStart w:id="386" w:name="_Toc164229231"/>
      <w:r/>
      <w:bookmarkStart w:id="387" w:name="_Toc164351630"/>
      <w:r/>
      <w:bookmarkStart w:id="388" w:name="_Toc149720829"/>
      <w:r/>
      <w:bookmarkStart w:id="389" w:name="_Toc127151536"/>
      <w:r/>
      <w:bookmarkStart w:id="390" w:name="_Toc151193924"/>
      <w:r/>
      <w:bookmarkStart w:id="391" w:name="_Toc305158878"/>
      <w:r/>
      <w:bookmarkStart w:id="392" w:name="_Toc226965726"/>
      <w:r/>
      <w:bookmarkStart w:id="393" w:name="_Toc151193778"/>
      <w:r/>
      <w:bookmarkStart w:id="394" w:name="_Toc150774636"/>
      <w:r/>
      <w:bookmarkStart w:id="395" w:name="_Toc195842901"/>
      <w:r/>
      <w:bookmarkStart w:id="396" w:name="_Toc151193850"/>
      <w:r/>
      <w:bookmarkStart w:id="397" w:name="_Toc164229377"/>
      <w:r/>
      <w:bookmarkStart w:id="398" w:name="_Toc150509287"/>
      <w:r>
        <w:rPr>
          <w:color w:val="000000"/>
          <w:sz w:val="24"/>
          <w:highlight w:val="none"/>
        </w:rPr>
        <w:t xml:space="preserve">响应文件截止</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时间</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苏采云</w:t>
      </w:r>
      <w:r>
        <w:rPr>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99" w:name="_Toc127161451"/>
      <w:r/>
      <w:bookmarkStart w:id="400" w:name="_Toc265228375"/>
      <w:r/>
      <w:bookmarkStart w:id="401" w:name="_Toc226965727"/>
      <w:r/>
      <w:bookmarkStart w:id="402" w:name="_Toc264969227"/>
      <w:r/>
      <w:bookmarkStart w:id="403" w:name="_Toc164608651"/>
      <w:r/>
      <w:bookmarkStart w:id="404" w:name="_Toc150509288"/>
      <w:r/>
      <w:bookmarkStart w:id="405" w:name="_Toc520356162"/>
      <w:r/>
      <w:bookmarkStart w:id="406" w:name="_Toc195842902"/>
      <w:r/>
      <w:bookmarkStart w:id="407" w:name="_Toc127151537"/>
      <w:r/>
      <w:bookmarkStart w:id="408" w:name="_Toc305158805"/>
      <w:r/>
      <w:bookmarkStart w:id="409" w:name="_Toc151190164"/>
      <w:r/>
      <w:bookmarkStart w:id="410" w:name="_Toc164229232"/>
      <w:r/>
      <w:bookmarkStart w:id="411" w:name="_Toc149720830"/>
      <w:r/>
      <w:bookmarkStart w:id="412" w:name="_Toc150480775"/>
      <w:r/>
      <w:bookmarkStart w:id="413" w:name="_Toc164351631"/>
      <w:r/>
      <w:bookmarkStart w:id="414" w:name="_Toc150774637"/>
      <w:r/>
      <w:bookmarkStart w:id="415" w:name="_Toc150774742"/>
      <w:r/>
      <w:bookmarkStart w:id="416" w:name="_Toc151193925"/>
      <w:r/>
      <w:bookmarkStart w:id="417" w:name="_Toc226337233"/>
      <w:r/>
      <w:bookmarkStart w:id="418" w:name="_Toc127151738"/>
      <w:r/>
      <w:bookmarkStart w:id="419" w:name="_Toc164229378"/>
      <w:r/>
      <w:bookmarkStart w:id="420" w:name="_Toc151193635"/>
      <w:r/>
      <w:bookmarkStart w:id="421" w:name="_Toc226965810"/>
      <w:r/>
      <w:bookmarkStart w:id="422" w:name="_Toc164608806"/>
      <w:r/>
      <w:bookmarkStart w:id="423" w:name="_Toc151193779"/>
      <w:r/>
      <w:bookmarkStart w:id="424" w:name="_Toc305158879"/>
      <w:r/>
      <w:bookmarkStart w:id="425" w:name="_Toc151193851"/>
      <w:r/>
      <w:bookmarkStart w:id="426" w:name="_Toc226309781"/>
      <w:r/>
      <w:bookmarkStart w:id="427" w:name="_Toc142311039"/>
      <w:r/>
      <w:bookmarkStart w:id="428" w:name="_Toc151193707"/>
      <w:r>
        <w:rPr>
          <w:color w:val="000000"/>
          <w:sz w:val="24"/>
          <w:highlight w:val="none"/>
        </w:rPr>
        <w:t xml:space="preserve">响应文件的修改与撤回</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844"/>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846"/>
        <w:spacing w:before="0" w:line="360" w:lineRule="auto"/>
        <w:rPr>
          <w:rFonts w:ascii="Times New Roman" w:hAnsi="Times New Roman" w:eastAsia="宋体"/>
          <w:color w:val="000000"/>
          <w:sz w:val="28"/>
          <w:highlight w:val="none"/>
        </w:rPr>
      </w:pPr>
      <w:r/>
      <w:bookmarkStart w:id="429" w:name="_Toc264969228"/>
      <w:r/>
      <w:bookmarkStart w:id="430" w:name="_Toc150774743"/>
      <w:r/>
      <w:bookmarkStart w:id="431" w:name="_Toc226337234"/>
      <w:r/>
      <w:bookmarkStart w:id="432" w:name="_Toc151193780"/>
      <w:r/>
      <w:bookmarkStart w:id="433" w:name="_Toc265228376"/>
      <w:r/>
      <w:bookmarkStart w:id="434" w:name="_Toc151190165"/>
      <w:r/>
      <w:bookmarkStart w:id="435" w:name="_Toc150480776"/>
      <w:r/>
      <w:bookmarkStart w:id="436" w:name="_Toc150774638"/>
      <w:r/>
      <w:bookmarkStart w:id="437" w:name="_Toc142311040"/>
      <w:r/>
      <w:bookmarkStart w:id="438" w:name="_Toc127151538"/>
      <w:r/>
      <w:bookmarkStart w:id="439" w:name="_Toc151193852"/>
      <w:r/>
      <w:bookmarkStart w:id="440" w:name="_Toc151193636"/>
      <w:r/>
      <w:bookmarkStart w:id="441" w:name="_Toc151193708"/>
      <w:r/>
      <w:bookmarkStart w:id="442" w:name="_Toc226965811"/>
      <w:r/>
      <w:bookmarkStart w:id="443" w:name="_Toc520356163"/>
      <w:r/>
      <w:bookmarkStart w:id="444" w:name="_Toc195842903"/>
      <w:r/>
      <w:bookmarkStart w:id="445" w:name="_Toc150509289"/>
      <w:r/>
      <w:bookmarkStart w:id="446" w:name="_Toc226965728"/>
      <w:r/>
      <w:bookmarkStart w:id="447" w:name="_Toc305158880"/>
      <w:r/>
      <w:bookmarkStart w:id="448" w:name="_Toc226309782"/>
      <w:r/>
      <w:bookmarkStart w:id="449" w:name="_Toc151193926"/>
      <w:r/>
      <w:bookmarkStart w:id="450" w:name="_Toc305158806"/>
      <w:r>
        <w:rPr>
          <w:rFonts w:ascii="Times New Roman" w:hAnsi="Times New Roman" w:eastAsia="宋体"/>
          <w:color w:val="000000"/>
          <w:sz w:val="28"/>
          <w:highlight w:val="none"/>
        </w:rPr>
        <w:t xml:space="preserve">五   </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844"/>
        <w:ind w:left="357"/>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51" w:name="_Toc520356165"/>
      <w:r>
        <w:rPr>
          <w:color w:val="000000"/>
          <w:sz w:val="24"/>
          <w:highlight w:val="none"/>
        </w:rPr>
        <w:t xml:space="preserve">本项目不公开报价。</w:t>
      </w:r>
      <w:r>
        <w:rPr>
          <w:rFonts w:hint="eastAsia"/>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4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4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4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44"/>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44"/>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51"/>
      <w:r>
        <w:rPr>
          <w:color w:val="000000"/>
          <w:sz w:val="24"/>
          <w:highlight w:val="none"/>
        </w:rPr>
        <w:t xml:space="preserve">磋商小组</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2" w:name="_Toc520356166"/>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2"/>
      <w:r/>
      <w:bookmarkStart w:id="453" w:name="_Toc520356169"/>
      <w:r>
        <w:rPr>
          <w:color w:val="000000"/>
          <w:sz w:val="24"/>
          <w:highlight w:val="none"/>
        </w:rPr>
      </w:r>
      <w:r/>
    </w:p>
    <w:p>
      <w:pPr>
        <w:pStyle w:val="844"/>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84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46"/>
        <w:spacing w:before="0" w:line="360" w:lineRule="auto"/>
        <w:rPr>
          <w:rFonts w:ascii="Times New Roman" w:hAnsi="Times New Roman" w:eastAsia="宋体"/>
          <w:color w:val="000000"/>
          <w:sz w:val="28"/>
          <w:highlight w:val="none"/>
        </w:rPr>
      </w:pPr>
      <w:r/>
      <w:bookmarkStart w:id="454" w:name="_Toc226965735"/>
      <w:r/>
      <w:bookmarkStart w:id="455" w:name="_Toc151190172"/>
      <w:r/>
      <w:bookmarkStart w:id="456" w:name="_Toc151193643"/>
      <w:r/>
      <w:bookmarkStart w:id="457" w:name="_Toc226965818"/>
      <w:r/>
      <w:bookmarkStart w:id="458" w:name="_Toc151193859"/>
      <w:r/>
      <w:bookmarkStart w:id="459" w:name="_Toc151193933"/>
      <w:r/>
      <w:bookmarkStart w:id="460" w:name="_Toc142311047"/>
      <w:r/>
      <w:bookmarkStart w:id="461" w:name="_Toc150480783"/>
      <w:r/>
      <w:bookmarkStart w:id="462" w:name="_Toc150509296"/>
      <w:r/>
      <w:bookmarkStart w:id="463" w:name="_Toc264969235"/>
      <w:r/>
      <w:bookmarkStart w:id="464" w:name="_Toc151193715"/>
      <w:r/>
      <w:bookmarkStart w:id="465" w:name="_Toc226309789"/>
      <w:r/>
      <w:bookmarkStart w:id="466" w:name="_Toc150774645"/>
      <w:r/>
      <w:bookmarkStart w:id="467" w:name="_Toc127151545"/>
      <w:r/>
      <w:bookmarkStart w:id="468" w:name="_Toc226337241"/>
      <w:r/>
      <w:bookmarkStart w:id="469" w:name="_Toc305158887"/>
      <w:r/>
      <w:bookmarkStart w:id="470" w:name="_Toc195842910"/>
      <w:r/>
      <w:bookmarkStart w:id="471" w:name="_Toc150774750"/>
      <w:r/>
      <w:bookmarkStart w:id="472" w:name="_Toc151193787"/>
      <w:r/>
      <w:bookmarkStart w:id="473" w:name="_Toc305158813"/>
      <w:r/>
      <w:bookmarkStart w:id="474" w:name="_Toc265228383"/>
      <w:r>
        <w:rPr>
          <w:rFonts w:ascii="Times New Roman" w:hAnsi="Times New Roman" w:eastAsia="宋体"/>
          <w:color w:val="000000"/>
          <w:sz w:val="28"/>
          <w:highlight w:val="none"/>
        </w:rPr>
        <w:t xml:space="preserve">六   </w:t>
      </w:r>
      <w:bookmarkEnd w:id="453"/>
      <w:r>
        <w:rPr>
          <w:rFonts w:ascii="Times New Roman" w:hAnsi="Times New Roman" w:eastAsia="宋体"/>
          <w:color w:val="000000"/>
          <w:sz w:val="28"/>
          <w:highlight w:val="none"/>
        </w:rPr>
        <w:t xml:space="preserve">确定</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75" w:name="_Toc151193789"/>
      <w:r/>
      <w:bookmarkStart w:id="476" w:name="_Toc164229242"/>
      <w:r/>
      <w:bookmarkStart w:id="477" w:name="_Toc226337243"/>
      <w:r/>
      <w:bookmarkStart w:id="478" w:name="_Toc305158889"/>
      <w:r/>
      <w:bookmarkStart w:id="479" w:name="_Toc226965737"/>
      <w:r/>
      <w:bookmarkStart w:id="480" w:name="_Toc265228385"/>
      <w:r/>
      <w:bookmarkStart w:id="481" w:name="_Toc150509298"/>
      <w:r/>
      <w:bookmarkStart w:id="482" w:name="_Toc150774647"/>
      <w:r/>
      <w:bookmarkStart w:id="483" w:name="_Toc151193645"/>
      <w:r/>
      <w:bookmarkStart w:id="484" w:name="_Toc151193717"/>
      <w:r/>
      <w:bookmarkStart w:id="485" w:name="_Toc164351641"/>
      <w:r/>
      <w:bookmarkStart w:id="486" w:name="_Toc164608661"/>
      <w:r/>
      <w:bookmarkStart w:id="487" w:name="_Toc226965820"/>
      <w:r/>
      <w:bookmarkStart w:id="488" w:name="_Toc150774752"/>
      <w:r/>
      <w:bookmarkStart w:id="489" w:name="_Toc264969237"/>
      <w:r/>
      <w:bookmarkStart w:id="490" w:name="_Toc127151547"/>
      <w:r/>
      <w:bookmarkStart w:id="491" w:name="_Toc164229388"/>
      <w:r/>
      <w:bookmarkStart w:id="492" w:name="_Toc226309791"/>
      <w:r/>
      <w:bookmarkStart w:id="493" w:name="_Toc142311049"/>
      <w:r/>
      <w:bookmarkStart w:id="494" w:name="_Toc151193861"/>
      <w:r/>
      <w:bookmarkStart w:id="495" w:name="_Toc151190174"/>
      <w:r/>
      <w:bookmarkStart w:id="496" w:name="_Toc151193935"/>
      <w:r/>
      <w:bookmarkStart w:id="497" w:name="_Toc127161461"/>
      <w:r/>
      <w:bookmarkStart w:id="498" w:name="_Toc127151748"/>
      <w:r/>
      <w:bookmarkStart w:id="499" w:name="_Toc150480785"/>
      <w:r/>
      <w:bookmarkStart w:id="500" w:name="_Toc164608816"/>
      <w:r/>
      <w:bookmarkStart w:id="501" w:name="_Toc195842912"/>
      <w:r/>
      <w:bookmarkStart w:id="502" w:name="_Toc305158815"/>
      <w:r/>
      <w:bookmarkStart w:id="503" w:name="_Toc149720840"/>
      <w:r>
        <w:rPr>
          <w:color w:val="000000"/>
          <w:sz w:val="24"/>
          <w:highlight w:val="none"/>
        </w:rPr>
        <w:t xml:space="preserve">确定成交供应商</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04" w:name="_Toc226309793"/>
      <w:r/>
      <w:bookmarkStart w:id="505" w:name="_Toc150509300"/>
      <w:r/>
      <w:bookmarkStart w:id="506" w:name="_Toc164608663"/>
      <w:r/>
      <w:bookmarkStart w:id="507" w:name="_Toc305158817"/>
      <w:r/>
      <w:bookmarkStart w:id="508" w:name="_Toc164229244"/>
      <w:r/>
      <w:bookmarkStart w:id="509" w:name="_Toc149720842"/>
      <w:r/>
      <w:bookmarkStart w:id="510" w:name="_Toc151190176"/>
      <w:r/>
      <w:bookmarkStart w:id="511" w:name="_Toc127151549"/>
      <w:r/>
      <w:bookmarkStart w:id="512" w:name="_Toc264969239"/>
      <w:r/>
      <w:bookmarkStart w:id="513" w:name="_Ref467306425"/>
      <w:r/>
      <w:bookmarkStart w:id="514" w:name="_Ref467307090"/>
      <w:r/>
      <w:bookmarkStart w:id="515" w:name="_Toc151193863"/>
      <w:r/>
      <w:bookmarkStart w:id="516" w:name="_Toc151193791"/>
      <w:r/>
      <w:bookmarkStart w:id="517" w:name="_Toc226337245"/>
      <w:r/>
      <w:bookmarkStart w:id="518" w:name="_Toc164351643"/>
      <w:r/>
      <w:bookmarkStart w:id="519" w:name="_Toc164608818"/>
      <w:r/>
      <w:bookmarkStart w:id="520" w:name="_Toc151193937"/>
      <w:r/>
      <w:bookmarkStart w:id="521" w:name="_Toc150774649"/>
      <w:r/>
      <w:bookmarkStart w:id="522" w:name="_Toc195842914"/>
      <w:r/>
      <w:bookmarkStart w:id="523" w:name="_Toc127161463"/>
      <w:r/>
      <w:bookmarkStart w:id="524" w:name="_Toc150480787"/>
      <w:r/>
      <w:bookmarkStart w:id="525" w:name="_Toc520356176"/>
      <w:r/>
      <w:bookmarkStart w:id="526" w:name="_Toc151193719"/>
      <w:r/>
      <w:bookmarkStart w:id="527" w:name="_Toc265228387"/>
      <w:r/>
      <w:bookmarkStart w:id="528" w:name="_Toc142311051"/>
      <w:r/>
      <w:bookmarkStart w:id="529" w:name="_Toc127151750"/>
      <w:r/>
      <w:bookmarkStart w:id="530" w:name="_Toc226965822"/>
      <w:r/>
      <w:bookmarkStart w:id="531" w:name="_Toc226965739"/>
      <w:r/>
      <w:bookmarkStart w:id="532" w:name="_Toc305158891"/>
      <w:r/>
      <w:bookmarkStart w:id="533" w:name="_Toc151193647"/>
      <w:r/>
      <w:bookmarkStart w:id="534" w:name="_Toc150774754"/>
      <w:r/>
      <w:bookmarkStart w:id="535" w:name="_Toc164229390"/>
      <w:r>
        <w:rPr>
          <w:color w:val="000000"/>
          <w:sz w:val="24"/>
          <w:highlight w:val="none"/>
        </w:rPr>
        <w:t xml:space="preserve">成交公告与成交通知书</w:t>
      </w:r>
      <w:bookmarkEnd w:id="507"/>
      <w:r/>
      <w:bookmarkEnd w:id="532"/>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844"/>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844"/>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844"/>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4"/>
      <w:r/>
      <w:bookmarkEnd w:id="505"/>
      <w:r/>
      <w:bookmarkEnd w:id="506"/>
      <w:r/>
      <w:bookmarkEnd w:id="508"/>
      <w:r/>
      <w:bookmarkEnd w:id="509"/>
      <w:r/>
      <w:bookmarkEnd w:id="510"/>
      <w:r/>
      <w:bookmarkEnd w:id="511"/>
      <w:r/>
      <w:bookmarkEnd w:id="512"/>
      <w:r/>
      <w:bookmarkEnd w:id="515"/>
      <w:r/>
      <w:bookmarkEnd w:id="516"/>
      <w:r/>
      <w:bookmarkEnd w:id="517"/>
      <w:r/>
      <w:bookmarkEnd w:id="518"/>
      <w:r/>
      <w:bookmarkEnd w:id="519"/>
      <w:r/>
      <w:bookmarkEnd w:id="520"/>
      <w:r/>
      <w:bookmarkEnd w:id="521"/>
      <w:r/>
      <w:bookmarkEnd w:id="522"/>
      <w:r/>
      <w:bookmarkEnd w:id="523"/>
      <w:r/>
      <w:bookmarkEnd w:id="524"/>
      <w:r/>
      <w:bookmarkEnd w:id="526"/>
      <w:r/>
      <w:bookmarkEnd w:id="527"/>
      <w:r/>
      <w:bookmarkEnd w:id="528"/>
      <w:r/>
      <w:bookmarkEnd w:id="529"/>
      <w:r/>
      <w:bookmarkEnd w:id="530"/>
      <w:r/>
      <w:bookmarkEnd w:id="531"/>
      <w:r/>
      <w:bookmarkEnd w:id="533"/>
      <w:r/>
      <w:bookmarkEnd w:id="534"/>
      <w:r/>
      <w:bookmarkEnd w:id="535"/>
      <w:r/>
      <w:bookmarkStart w:id="536" w:name="_Toc226337246"/>
      <w:r/>
      <w:bookmarkStart w:id="537" w:name="_Toc520356175"/>
      <w:r/>
      <w:bookmarkStart w:id="538" w:name="_Toc151193792"/>
      <w:r/>
      <w:bookmarkStart w:id="539" w:name="_Toc127151550"/>
      <w:r/>
      <w:bookmarkStart w:id="540" w:name="_Ref467307062"/>
      <w:r/>
      <w:bookmarkStart w:id="541" w:name="_Toc195842915"/>
      <w:r/>
      <w:bookmarkStart w:id="542" w:name="_Toc265228388"/>
      <w:r/>
      <w:bookmarkStart w:id="543" w:name="_Toc151193720"/>
      <w:r/>
      <w:bookmarkStart w:id="544" w:name="_Toc264969240"/>
      <w:r/>
      <w:bookmarkStart w:id="545" w:name="_Toc305158818"/>
      <w:r/>
      <w:bookmarkStart w:id="546" w:name="_Toc127161464"/>
      <w:r/>
      <w:bookmarkStart w:id="547" w:name="_Toc164229245"/>
      <w:r/>
      <w:bookmarkStart w:id="548" w:name="_Toc226965740"/>
      <w:r/>
      <w:bookmarkStart w:id="549" w:name="_Ref467306377"/>
      <w:r/>
      <w:bookmarkStart w:id="550" w:name="_Toc226309794"/>
      <w:r/>
      <w:bookmarkStart w:id="551" w:name="_Toc164608819"/>
      <w:r/>
      <w:bookmarkStart w:id="552" w:name="_Toc164608664"/>
      <w:r/>
      <w:bookmarkStart w:id="553" w:name="_Toc151193864"/>
      <w:r/>
      <w:bookmarkStart w:id="554" w:name="_Toc127151751"/>
      <w:r/>
      <w:bookmarkStart w:id="555" w:name="_Toc150480788"/>
      <w:r/>
      <w:bookmarkStart w:id="556" w:name="_Toc150509301"/>
      <w:r/>
      <w:bookmarkStart w:id="557" w:name="_Toc151193648"/>
      <w:r/>
      <w:bookmarkStart w:id="558" w:name="_Toc142311052"/>
      <w:r/>
      <w:bookmarkStart w:id="559" w:name="_Toc164229391"/>
      <w:r/>
      <w:bookmarkStart w:id="560" w:name="_Toc151190177"/>
      <w:r/>
      <w:bookmarkStart w:id="561" w:name="_Toc164351644"/>
      <w:r/>
      <w:bookmarkStart w:id="562" w:name="_Ref467307204"/>
      <w:r/>
      <w:bookmarkStart w:id="563" w:name="_Toc150774755"/>
      <w:r/>
      <w:bookmarkStart w:id="564" w:name="_Toc226965823"/>
      <w:r/>
      <w:bookmarkStart w:id="565" w:name="_Toc151193938"/>
      <w:r/>
      <w:bookmarkStart w:id="566" w:name="_Toc150774650"/>
      <w:r/>
      <w:bookmarkStart w:id="567" w:name="_Ref467306978"/>
      <w:r/>
      <w:bookmarkStart w:id="568" w:name="_Toc305158892"/>
      <w:r/>
      <w:bookmarkStart w:id="569" w:name="_Toc149720843"/>
      <w:r>
        <w:rPr>
          <w:color w:val="000000"/>
          <w:sz w:val="24"/>
          <w:highlight w:val="none"/>
        </w:rPr>
        <w:t xml:space="preserve">签订合同</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13"/>
      <w:r/>
      <w:bookmarkEnd w:id="514"/>
      <w:r/>
      <w:bookmarkEnd w:id="525"/>
      <w:r>
        <w:rPr>
          <w:color w:val="000000"/>
          <w:sz w:val="24"/>
          <w:highlight w:val="none"/>
        </w:rPr>
        <w:t xml:space="preserve">询问与质疑</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20"/>
          <w:color w:val="000000"/>
          <w:highlight w:val="none"/>
        </w:rPr>
        <w:t xml:space="preserve">http://gk</w:t>
      </w:r>
      <w:bookmarkStart w:id="570" w:name="_Hlt100654014"/>
      <w:r>
        <w:rPr>
          <w:rStyle w:val="920"/>
          <w:color w:val="000000"/>
          <w:highlight w:val="none"/>
        </w:rPr>
        <w:t xml:space="preserve">s</w:t>
      </w:r>
      <w:bookmarkEnd w:id="570"/>
      <w:r>
        <w:rPr>
          <w:rStyle w:val="920"/>
          <w:color w:val="000000"/>
          <w:highlight w:val="none"/>
        </w:rPr>
        <w:t xml:space="preserve">.m</w:t>
      </w:r>
      <w:bookmarkStart w:id="571" w:name="_Hlt100653994"/>
      <w:r/>
      <w:bookmarkStart w:id="572" w:name="_Hlt100653993"/>
      <w:r>
        <w:rPr>
          <w:rStyle w:val="920"/>
          <w:color w:val="000000"/>
          <w:highlight w:val="none"/>
        </w:rPr>
        <w:t xml:space="preserve">o</w:t>
      </w:r>
      <w:bookmarkEnd w:id="571"/>
      <w:r/>
      <w:bookmarkEnd w:id="572"/>
      <w:r/>
      <w:bookmarkStart w:id="573" w:name="_Hlt101169156"/>
      <w:r>
        <w:rPr>
          <w:rStyle w:val="920"/>
          <w:color w:val="000000"/>
          <w:highlight w:val="none"/>
        </w:rPr>
        <w:t xml:space="preserve">f</w:t>
      </w:r>
      <w:bookmarkEnd w:id="573"/>
      <w:r>
        <w:rPr>
          <w:rStyle w:val="920"/>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844"/>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844"/>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color w:val="000000"/>
          <w:sz w:val="24"/>
          <w:highlight w:val="none"/>
        </w:rPr>
      </w:r>
      <w:r/>
    </w:p>
    <w:p>
      <w:pPr>
        <w:pStyle w:val="844"/>
        <w:numPr>
          <w:ilvl w:val="1"/>
          <w:numId w:val="8"/>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bookmarkStart w:id="574" w:name="_Toc226965827"/>
      <w:r/>
      <w:bookmarkStart w:id="575" w:name="_Toc353873664"/>
      <w:r/>
      <w:bookmarkStart w:id="576" w:name="_Toc265228392"/>
      <w:r/>
      <w:bookmarkStart w:id="577" w:name="_Toc264969244"/>
      <w:r/>
      <w:bookmarkStart w:id="578" w:name="_Toc353825544"/>
      <w:r/>
      <w:bookmarkStart w:id="579" w:name="_Toc353873934"/>
      <w:r/>
      <w:bookmarkStart w:id="580" w:name="_Toc142311056"/>
      <w:r/>
      <w:bookmarkStart w:id="581" w:name="_Toc305158822"/>
      <w:r/>
      <w:bookmarkStart w:id="582" w:name="_Toc150774759"/>
      <w:r/>
      <w:bookmarkStart w:id="583" w:name="_Toc305158896"/>
      <w:r/>
      <w:bookmarkStart w:id="584" w:name="_Toc127151554"/>
      <w:r/>
      <w:bookmarkStart w:id="585" w:name="_Toc226337250"/>
      <w:r/>
      <w:bookmarkStart w:id="586" w:name="_Toc150480792"/>
      <w:r>
        <w:rPr>
          <w:color w:val="000000"/>
          <w:sz w:val="24"/>
          <w:highlight w:val="none"/>
        </w:rPr>
      </w:r>
      <w:r/>
    </w:p>
    <w:p>
      <w:pPr>
        <w:pStyle w:val="844"/>
        <w:jc w:val="center"/>
        <w:spacing w:line="360" w:lineRule="auto"/>
        <w:rPr>
          <w:b/>
          <w:color w:val="000000"/>
          <w:sz w:val="36"/>
          <w:szCs w:val="36"/>
          <w:highlight w:val="none"/>
        </w:rPr>
        <w:outlineLvl w:val="0"/>
      </w:pPr>
      <w:r/>
      <w:bookmarkStart w:id="587" w:name="_Toc104818927"/>
      <w:r>
        <w:rPr>
          <w:b/>
          <w:color w:val="000000"/>
          <w:sz w:val="36"/>
          <w:szCs w:val="36"/>
          <w:highlight w:val="none"/>
        </w:rPr>
        <w:t xml:space="preserve">第三章   </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87"/>
      <w:r/>
      <w:bookmarkStart w:id="588" w:name="_Toc487900382"/>
      <w:r>
        <w:rPr>
          <w:b/>
          <w:color w:val="000000"/>
          <w:sz w:val="36"/>
          <w:szCs w:val="36"/>
          <w:highlight w:val="none"/>
        </w:rPr>
      </w:r>
      <w:r/>
    </w:p>
    <w:p>
      <w:pPr>
        <w:pStyle w:val="846"/>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844"/>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588"/>
      <w:r/>
      <w:bookmarkStart w:id="589" w:name="_Toc226965814"/>
      <w:r/>
      <w:bookmarkStart w:id="590" w:name="_Toc127151541"/>
      <w:r/>
      <w:bookmarkStart w:id="591" w:name="_Toc142311043"/>
      <w:r/>
      <w:bookmarkStart w:id="592" w:name="_Toc305158809"/>
      <w:r/>
      <w:bookmarkStart w:id="593" w:name="_Toc265228379"/>
      <w:r/>
      <w:bookmarkStart w:id="594" w:name="_Toc195842906"/>
      <w:r/>
      <w:bookmarkStart w:id="595" w:name="_Toc164608655"/>
      <w:r/>
      <w:bookmarkStart w:id="596" w:name="_Toc164229382"/>
      <w:r/>
      <w:bookmarkStart w:id="597" w:name="_Toc226337237"/>
      <w:r/>
      <w:bookmarkStart w:id="598" w:name="_Toc151193929"/>
      <w:r/>
      <w:bookmarkStart w:id="599" w:name="_Toc151190168"/>
      <w:r/>
      <w:bookmarkStart w:id="600" w:name="_Toc151193639"/>
      <w:r/>
      <w:bookmarkStart w:id="601" w:name="_Toc151193711"/>
      <w:r/>
      <w:bookmarkStart w:id="602" w:name="_Toc151193783"/>
      <w:r/>
      <w:bookmarkStart w:id="603" w:name="_Toc149720834"/>
      <w:r/>
      <w:bookmarkStart w:id="604" w:name="_Toc164351635"/>
      <w:r/>
      <w:bookmarkStart w:id="605" w:name="_Toc264969231"/>
      <w:r/>
      <w:bookmarkStart w:id="606" w:name="_Toc150774746"/>
      <w:r/>
      <w:bookmarkStart w:id="607" w:name="_Toc127161455"/>
      <w:r/>
      <w:bookmarkStart w:id="608" w:name="_Toc226309785"/>
      <w:r/>
      <w:bookmarkStart w:id="609" w:name="_Toc164229236"/>
      <w:r/>
      <w:bookmarkStart w:id="610" w:name="_Toc150774641"/>
      <w:r/>
      <w:bookmarkStart w:id="611" w:name="_Toc305158883"/>
      <w:r/>
      <w:bookmarkStart w:id="612" w:name="_Toc150480779"/>
      <w:r/>
      <w:bookmarkStart w:id="613" w:name="_Toc150509292"/>
      <w:r/>
      <w:bookmarkStart w:id="614" w:name="_Toc151193855"/>
      <w:r/>
      <w:bookmarkStart w:id="615" w:name="_Toc127151742"/>
      <w:r/>
      <w:bookmarkStart w:id="616" w:name="_Toc164608810"/>
      <w:r/>
      <w:bookmarkStart w:id="617" w:name="_Toc226965731"/>
      <w:r/>
      <w:bookmarkStart w:id="618" w:name="_Toc353825551"/>
      <w:r/>
      <w:bookmarkStart w:id="619" w:name="_Toc353873941"/>
      <w:r/>
      <w:bookmarkStart w:id="620" w:name="_Toc142311057"/>
      <w:r/>
      <w:bookmarkStart w:id="621" w:name="_Toc226965828"/>
      <w:r/>
      <w:bookmarkStart w:id="622" w:name="_Toc305158897"/>
      <w:r/>
      <w:bookmarkStart w:id="623" w:name="_Toc353825545"/>
      <w:r/>
      <w:bookmarkStart w:id="624" w:name="_Toc150774760"/>
      <w:r/>
      <w:bookmarkStart w:id="625" w:name="_Toc195842920"/>
      <w:r/>
      <w:bookmarkStart w:id="626" w:name="_Toc353873665"/>
      <w:r/>
      <w:bookmarkStart w:id="627" w:name="_Toc127151555"/>
      <w:r/>
      <w:bookmarkStart w:id="628" w:name="_Toc353873935"/>
      <w:r/>
      <w:bookmarkStart w:id="629" w:name="_Toc226337251"/>
      <w:r/>
      <w:bookmarkStart w:id="630" w:name="_Toc305158823"/>
      <w:r/>
      <w:bookmarkStart w:id="631" w:name="_Toc264969245"/>
      <w:r/>
      <w:bookmarkStart w:id="632" w:name="_Toc150480793"/>
      <w:r/>
      <w:bookmarkStart w:id="633" w:name="_Toc265228393"/>
      <w:r>
        <w:rPr>
          <w:color w:val="000000"/>
          <w:sz w:val="24"/>
          <w:highlight w:val="none"/>
        </w:rPr>
        <w:t xml:space="preserve">响应文件的</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Pr>
          <w:color w:val="000000"/>
          <w:sz w:val="24"/>
          <w:highlight w:val="none"/>
        </w:rPr>
        <w:t xml:space="preserve">资格性检查和符合性审查</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844"/>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pStyle w:val="844"/>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2435" w:type="dxa"/>
            <w:vAlign w:val="center"/>
            <w:textDirection w:val="lrTb"/>
            <w:noWrap w:val="false"/>
          </w:tcPr>
          <w:p>
            <w:pPr>
              <w:pStyle w:val="844"/>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508" w:type="dxa"/>
            <w:vAlign w:val="center"/>
            <w:textDirection w:val="lrTb"/>
            <w:noWrap w:val="false"/>
          </w:tcPr>
          <w:p>
            <w:pPr>
              <w:pStyle w:val="844"/>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37" w:type="dxa"/>
            <w:vAlign w:val="center"/>
            <w:textDirection w:val="lrTb"/>
            <w:noWrap w:val="false"/>
          </w:tcPr>
          <w:p>
            <w:pPr>
              <w:pStyle w:val="844"/>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cantSplit/>
          <w:trHeight w:val="471"/>
        </w:trPr>
        <w:tc>
          <w:tcPr>
            <w:tcW w:w="708" w:type="dxa"/>
            <w:vAlign w:val="center"/>
            <w:textDirection w:val="lrTb"/>
            <w:noWrap w:val="false"/>
          </w:tcPr>
          <w:p>
            <w:pPr>
              <w:pStyle w:val="844"/>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rPr>
            </w:r>
            <w:r/>
          </w:p>
        </w:tc>
        <w:tc>
          <w:tcPr>
            <w:gridSpan w:val="3"/>
            <w:tcW w:w="8580" w:type="dxa"/>
            <w:vAlign w:val="center"/>
            <w:textDirection w:val="lrTb"/>
            <w:noWrap w:val="false"/>
          </w:tcPr>
          <w:p>
            <w:pPr>
              <w:pStyle w:val="844"/>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满足《中华人民共和国政府采购法》第二十二条规定及法律法规的其他规定</w:t>
            </w:r>
            <w:r>
              <w:rPr>
                <w:rFonts w:hint="eastAsia" w:ascii="宋体" w:hAnsi="宋体" w:eastAsia="宋体" w:cs="宋体"/>
                <w:b/>
                <w:bCs/>
                <w:color w:val="000000"/>
                <w:sz w:val="24"/>
                <w:highlight w:val="none"/>
              </w:rPr>
            </w:r>
            <w:r/>
          </w:p>
        </w:tc>
      </w:tr>
      <w:tr>
        <w:trPr>
          <w:cantSplit/>
          <w:trHeight w:val="471"/>
        </w:trPr>
        <w:tc>
          <w:tcPr>
            <w:tcW w:w="708" w:type="dxa"/>
            <w:vAlign w:val="center"/>
            <w:textDirection w:val="lrTb"/>
            <w:noWrap w:val="false"/>
          </w:tcPr>
          <w:p>
            <w:pPr>
              <w:pStyle w:val="844"/>
              <w:jc w:val="center"/>
              <w:spacing w:line="360" w:lineRule="auto"/>
              <w:tabs>
                <w:tab w:val="left" w:pos="1080" w:leader="none"/>
              </w:tabs>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1-1</w:t>
            </w:r>
            <w:r>
              <w:rPr>
                <w:rFonts w:ascii="宋体" w:hAnsi="宋体" w:eastAsia="宋体" w:cs="宋体"/>
                <w:b w:val="0"/>
                <w:bCs w:val="0"/>
                <w:color w:val="000000"/>
                <w:sz w:val="24"/>
                <w:highlight w:val="none"/>
                <w:lang w:val="en-US" w:eastAsia="zh-CN"/>
              </w:rPr>
            </w:r>
            <w:r/>
          </w:p>
        </w:tc>
        <w:tc>
          <w:tcPr>
            <w:tcW w:w="2435" w:type="dxa"/>
            <w:vAlign w:val="center"/>
            <w:textDirection w:val="lrTb"/>
            <w:noWrap w:val="false"/>
          </w:tcPr>
          <w:p>
            <w:pPr>
              <w:pStyle w:val="844"/>
              <w:spacing w:line="360" w:lineRule="auto"/>
              <w:tabs>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满足《中华人民共和国政府采购法》第二十二条规定</w:t>
            </w:r>
            <w:r>
              <w:rPr>
                <w:rFonts w:hint="eastAsia" w:ascii="宋体" w:hAnsi="宋体" w:eastAsia="宋体" w:cs="宋体"/>
                <w:b w:val="0"/>
                <w:bCs w:val="0"/>
                <w:color w:val="000000"/>
                <w:sz w:val="24"/>
                <w:highlight w:val="none"/>
              </w:rPr>
            </w:r>
            <w:r/>
          </w:p>
        </w:tc>
        <w:tc>
          <w:tcPr>
            <w:tcW w:w="4508" w:type="dxa"/>
            <w:vAlign w:val="center"/>
            <w:textDirection w:val="lrTb"/>
            <w:noWrap w:val="false"/>
          </w:tcPr>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具有良好的商业信誉和健全的财务会计制度；须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2025年度</w:t>
            </w:r>
            <w:r>
              <w:rPr>
                <w:rFonts w:hint="eastAsia" w:ascii="宋体" w:hAnsi="宋体" w:eastAsia="宋体" w:cs="宋体"/>
                <w:color w:val="000000"/>
                <w:sz w:val="24"/>
                <w:highlight w:val="none"/>
              </w:rPr>
              <w:t xml:space="preserve">的财务</w:t>
            </w:r>
            <w:r>
              <w:rPr>
                <w:rFonts w:hint="eastAsia" w:ascii="宋体" w:hAnsi="宋体" w:eastAsia="宋体" w:cs="宋体"/>
                <w:color w:val="000000"/>
                <w:sz w:val="24"/>
                <w:highlight w:val="none"/>
                <w:lang w:val="en-US" w:eastAsia="zh-CN"/>
              </w:rPr>
              <w:t xml:space="preserve">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内容至少须包含</w:t>
            </w:r>
            <w:r>
              <w:rPr>
                <w:rFonts w:hint="eastAsia" w:ascii="宋体" w:hAnsi="宋体" w:eastAsia="宋体" w:cs="宋体"/>
                <w:color w:val="000000"/>
                <w:sz w:val="24"/>
                <w:highlight w:val="none"/>
                <w:lang w:eastAsia="zh-CN"/>
              </w:rPr>
              <w:t xml:space="preserve">资产负债表和利润表；</w:t>
            </w:r>
            <w:r>
              <w:rPr>
                <w:rFonts w:hint="eastAsia" w:ascii="宋体" w:hAnsi="宋体" w:eastAsia="宋体" w:cs="宋体"/>
                <w:color w:val="000000"/>
                <w:sz w:val="24"/>
                <w:highlight w:val="none"/>
              </w:rPr>
              <w:t xml:space="preserve">成立时间至提交投标文件截止时间不足一年的</w:t>
            </w:r>
            <w:r>
              <w:rPr>
                <w:rFonts w:hint="eastAsia" w:ascii="宋体" w:hAnsi="宋体" w:eastAsia="宋体" w:cs="宋体"/>
                <w:color w:val="000000"/>
                <w:sz w:val="24"/>
                <w:highlight w:val="none"/>
                <w:lang w:val="en-US" w:eastAsia="zh-CN"/>
              </w:rPr>
              <w:t xml:space="preserve">无需提供。</w:t>
            </w:r>
            <w:r>
              <w:rPr>
                <w:rFonts w:hint="eastAsia" w:ascii="宋体" w:hAnsi="宋体" w:eastAsia="宋体" w:cs="宋体"/>
                <w:color w:val="000000"/>
                <w:sz w:val="24"/>
                <w:highlight w:val="none"/>
              </w:rPr>
            </w:r>
            <w:r/>
          </w:p>
          <w:p>
            <w:pPr>
              <w:pStyle w:val="844"/>
              <w:spacing w:line="360" w:lineRule="auto"/>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具有履行合同所必需的设备和专业技术能力；须提供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（4）有依法缴纳税收和社会保障资金的良好记录；须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近期</w:t>
            </w:r>
            <w:r>
              <w:rPr>
                <w:rFonts w:hint="eastAsia" w:ascii="宋体" w:hAnsi="宋体" w:eastAsia="宋体" w:cs="宋体"/>
                <w:color w:val="000000"/>
                <w:sz w:val="24"/>
                <w:highlight w:val="none"/>
              </w:rPr>
              <w:t xml:space="preserve">依法缴纳税收</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社会保障资金的</w:t>
            </w:r>
            <w:r>
              <w:rPr>
                <w:rFonts w:hint="eastAsia" w:ascii="宋体" w:hAnsi="宋体" w:eastAsia="宋体" w:cs="宋体"/>
                <w:color w:val="000000"/>
                <w:sz w:val="24"/>
                <w:highlight w:val="none"/>
                <w:lang w:val="en-US" w:eastAsia="zh-CN"/>
              </w:rPr>
              <w:t xml:space="preserve">相关</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相关材料应是：</w:t>
            </w:r>
            <w:r>
              <w:rPr>
                <w:rFonts w:hint="eastAsia" w:ascii="宋体" w:hAnsi="宋体" w:eastAsia="宋体" w:cs="宋体"/>
                <w:color w:val="000000"/>
                <w:sz w:val="24"/>
                <w:highlight w:val="none"/>
              </w:rPr>
              <w:t xml:space="preserve">相关主管部门</w:t>
            </w:r>
            <w:r>
              <w:rPr>
                <w:rFonts w:hint="eastAsia" w:ascii="宋体" w:hAnsi="宋体" w:eastAsia="宋体" w:cs="宋体"/>
                <w:color w:val="000000"/>
                <w:sz w:val="24"/>
                <w:highlight w:val="none"/>
                <w:lang w:val="en-US" w:eastAsia="zh-CN"/>
              </w:rPr>
              <w:t xml:space="preserve">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或银行代扣证明</w:t>
            </w:r>
            <w:r>
              <w:rPr>
                <w:rFonts w:hint="eastAsia" w:ascii="宋体" w:hAnsi="宋体" w:eastAsia="宋体" w:cs="宋体"/>
                <w:color w:val="000000"/>
                <w:sz w:val="24"/>
                <w:highlight w:val="none"/>
                <w:lang w:val="en-US" w:eastAsia="zh-CN"/>
              </w:rPr>
              <w:t xml:space="preserve">或缴纳流水明细</w:t>
            </w:r>
            <w:r>
              <w:rPr>
                <w:rFonts w:hint="eastAsia" w:ascii="宋体" w:hAnsi="宋体" w:eastAsia="宋体" w:cs="宋体"/>
                <w:color w:val="000000"/>
                <w:sz w:val="24"/>
                <w:highlight w:val="none"/>
              </w:rPr>
              <w:t xml:space="preserve">。投标人依法享受缓缴、免缴税收、社会保障资金的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相关主管部门出具的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44"/>
              <w:spacing w:line="360" w:lineRule="auto"/>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在经营活动中没有重大违</w:t>
            </w:r>
            <w:r>
              <w:rPr>
                <w:rFonts w:hint="eastAsia" w:ascii="宋体" w:hAnsi="宋体" w:eastAsia="宋体" w:cs="宋体"/>
                <w:color w:val="000000"/>
                <w:sz w:val="24"/>
                <w:highlight w:val="none"/>
                <w:lang w:val="en-US" w:eastAsia="zh-CN"/>
              </w:rPr>
              <w:t xml:space="preserve">法记录；须提供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color w:val="000000"/>
                <w:sz w:val="24"/>
                <w:highlight w:val="none"/>
              </w:rPr>
            </w:r>
            <w:r/>
          </w:p>
        </w:tc>
        <w:tc>
          <w:tcPr>
            <w:tcW w:w="1637" w:type="dxa"/>
            <w:vAlign w:val="center"/>
            <w:textDirection w:val="lrTb"/>
            <w:noWrap w:val="false"/>
          </w:tcPr>
          <w:p>
            <w:pPr>
              <w:pStyle w:val="844"/>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b/>
                <w:color w:val="000000"/>
                <w:sz w:val="24"/>
                <w:highlight w:val="none"/>
              </w:rPr>
            </w:r>
            <w:r/>
          </w:p>
        </w:tc>
      </w:tr>
      <w:tr>
        <w:trPr>
          <w:cantSplit/>
          <w:trHeight w:val="5658"/>
        </w:trPr>
        <w:tc>
          <w:tcPr>
            <w:tcW w:w="708" w:type="dxa"/>
            <w:vAlign w:val="center"/>
            <w:textDirection w:val="lrTb"/>
            <w:noWrap w:val="false"/>
          </w:tcPr>
          <w:p>
            <w:pPr>
              <w:pStyle w:val="844"/>
              <w:jc w:val="center"/>
              <w:spacing w:line="360" w:lineRule="auto"/>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2435" w:type="dxa"/>
            <w:vAlign w:val="center"/>
            <w:textDirection w:val="lrTb"/>
            <w:noWrap w:val="false"/>
          </w:tcPr>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未被“信用中国”网站、“中国政府采购网”网站列入失信被执行人、重大税收违法案件当事人名单、政府采购严重失信行为记录名单；</w:t>
            </w:r>
            <w:r>
              <w:rPr>
                <w:rFonts w:hint="eastAsia" w:ascii="宋体" w:hAnsi="宋体" w:eastAsia="宋体" w:cs="宋体"/>
                <w:color w:val="000000"/>
                <w:sz w:val="24"/>
                <w:highlight w:val="none"/>
              </w:rPr>
            </w:r>
            <w:r/>
          </w:p>
        </w:tc>
        <w:tc>
          <w:tcPr>
            <w:tcW w:w="4508" w:type="dxa"/>
            <w:vAlign w:val="center"/>
            <w:textDirection w:val="lrTb"/>
            <w:noWrap w:val="false"/>
          </w:tcPr>
          <w:p>
            <w:pPr>
              <w:pStyle w:val="844"/>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投标截止时间以后、资格审查阶段采购代理机构的实际查询</w:t>
            </w:r>
            <w:r>
              <w:rPr>
                <w:rFonts w:hint="eastAsia" w:ascii="宋体" w:hAnsi="宋体" w:eastAsia="宋体" w:cs="宋体"/>
                <w:color w:val="000000"/>
                <w:sz w:val="24"/>
                <w:highlight w:val="none"/>
                <w:lang w:val="en-US" w:eastAsia="zh-CN"/>
              </w:rPr>
              <w:t xml:space="preserve">结果</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44"/>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查询结果网页打印页作为查询记录和证据，与其他</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一并保存；</w:t>
            </w:r>
            <w:r>
              <w:rPr>
                <w:rFonts w:hint="eastAsia" w:ascii="宋体" w:hAnsi="宋体" w:eastAsia="宋体" w:cs="宋体"/>
                <w:color w:val="000000"/>
                <w:sz w:val="24"/>
                <w:highlight w:val="none"/>
              </w:rPr>
            </w:r>
            <w:r/>
          </w:p>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637"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无须供应商提供，由采购</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查询。</w:t>
            </w: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pStyle w:val="844"/>
              <w:jc w:val="center"/>
              <w:spacing w:line="360" w:lineRule="auto"/>
              <w:tabs>
                <w:tab w:val="left" w:pos="1080" w:leader="none"/>
              </w:tabs>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highlight w:val="none"/>
                <w:lang w:val="en-US" w:eastAsia="zh-CN"/>
              </w:rPr>
              <w:t xml:space="preserve">1-3</w:t>
            </w:r>
            <w:r>
              <w:rPr>
                <w:rFonts w:ascii="Times New Roman" w:hAnsi="Times New Roman" w:eastAsia="宋体" w:cs="Times New Roman"/>
                <w:color w:val="000000"/>
                <w:highlight w:val="none"/>
                <w:lang w:val="en-US" w:eastAsia="zh-CN"/>
              </w:rPr>
            </w:r>
            <w:r/>
          </w:p>
        </w:tc>
        <w:tc>
          <w:tcPr>
            <w:tcW w:w="2435" w:type="dxa"/>
            <w:vAlign w:val="center"/>
            <w:textDirection w:val="lrTb"/>
            <w:noWrap w:val="false"/>
          </w:tcPr>
          <w:p>
            <w:pPr>
              <w:pStyle w:val="844"/>
              <w:spacing w:line="360" w:lineRule="auto"/>
              <w:tabs>
                <w:tab w:val="left" w:pos="1080" w:leader="none"/>
              </w:tabs>
              <w:rPr>
                <w:rFonts w:ascii="宋体" w:hAnsi="宋体" w:eastAsia="宋体" w:cs="宋体"/>
                <w:color w:val="000000"/>
                <w:sz w:val="24"/>
                <w:highlight w:val="none"/>
                <w:lang w:val="en-US" w:eastAsia="zh-CN"/>
              </w:rPr>
            </w:pPr>
            <w:r>
              <w:rPr>
                <w:rFonts w:hint="eastAsia" w:ascii="Times New Roman" w:hAnsi="Times New Roman" w:eastAsia="宋体" w:cs="Times New Roman"/>
                <w:color w:val="000000"/>
                <w:sz w:val="24"/>
                <w:highlight w:val="none"/>
              </w:rPr>
              <w:t xml:space="preserve">单位负责人为同一人或者存在直接控股、管理关系的不同供应商不得参加同一合同项下的政府采购活动</w:t>
            </w:r>
            <w:r>
              <w:rPr>
                <w:rFonts w:ascii="宋体" w:hAnsi="宋体" w:eastAsia="宋体" w:cs="宋体"/>
                <w:color w:val="000000"/>
                <w:sz w:val="24"/>
                <w:highlight w:val="none"/>
                <w:lang w:val="en-US" w:eastAsia="zh-CN"/>
              </w:rPr>
            </w:r>
            <w:r/>
          </w:p>
        </w:tc>
        <w:tc>
          <w:tcPr>
            <w:tcW w:w="4508" w:type="dxa"/>
            <w:vAlign w:val="center"/>
            <w:textDirection w:val="lrTb"/>
            <w:noWrap w:val="false"/>
          </w:tcPr>
          <w:p>
            <w:pPr>
              <w:pStyle w:val="84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tc>
        <w:tc>
          <w:tcPr>
            <w:tcW w:w="1637"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pStyle w:val="844"/>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rPr>
            </w:r>
            <w:r/>
          </w:p>
        </w:tc>
        <w:tc>
          <w:tcPr>
            <w:gridSpan w:val="3"/>
            <w:tcW w:w="8580" w:type="dxa"/>
            <w:vAlign w:val="center"/>
            <w:textDirection w:val="lrTb"/>
            <w:noWrap w:val="false"/>
          </w:tcPr>
          <w:p>
            <w:pPr>
              <w:pStyle w:val="844"/>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落实政府采购政策需满足的资格要求</w:t>
            </w:r>
            <w:r>
              <w:rPr>
                <w:rFonts w:hint="eastAsia" w:ascii="宋体" w:hAnsi="宋体" w:eastAsia="宋体" w:cs="宋体"/>
                <w:b/>
                <w:bCs/>
                <w:color w:val="000000"/>
                <w:sz w:val="24"/>
                <w:highlight w:val="none"/>
              </w:rPr>
            </w:r>
            <w:r/>
          </w:p>
        </w:tc>
      </w:tr>
      <w:tr>
        <w:trPr>
          <w:cantSplit/>
          <w:trHeight w:val="471"/>
        </w:trPr>
        <w:tc>
          <w:tcPr>
            <w:tcW w:w="708" w:type="dxa"/>
            <w:vAlign w:val="center"/>
            <w:textDirection w:val="lrTb"/>
            <w:noWrap w:val="false"/>
          </w:tcPr>
          <w:p>
            <w:pPr>
              <w:pStyle w:val="844"/>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2435"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rPr>
            </w:r>
            <w:r/>
          </w:p>
        </w:tc>
        <w:tc>
          <w:tcPr>
            <w:tcW w:w="4508" w:type="dxa"/>
            <w:vAlign w:val="center"/>
            <w:textDirection w:val="lrTb"/>
            <w:noWrap w:val="false"/>
          </w:tcPr>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投标人应提供中小企业声明函；如为监狱企业或残疾人福利性单位，不必提供中小企业声明函，但须按注1或注2要求提供证明材料。</w:t>
            </w:r>
            <w:r>
              <w:rPr>
                <w:rFonts w:hint="eastAsia" w:ascii="宋体" w:hAnsi="宋体" w:eastAsia="宋体" w:cs="宋体"/>
                <w:color w:val="000000"/>
                <w:sz w:val="24"/>
                <w:highlight w:val="none"/>
              </w:rPr>
            </w:r>
            <w:r/>
          </w:p>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highlight w:val="none"/>
              </w:rPr>
            </w:r>
            <w:r/>
          </w:p>
          <w:p>
            <w:pPr>
              <w:pStyle w:val="844"/>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rPr>
                <w:rFonts w:hint="eastAsia" w:ascii="宋体" w:hAnsi="宋体" w:eastAsia="宋体" w:cs="宋体"/>
                <w:color w:val="000000"/>
                <w:sz w:val="24"/>
                <w:highlight w:val="none"/>
              </w:rPr>
            </w:r>
            <w:r/>
          </w:p>
        </w:tc>
        <w:tc>
          <w:tcPr>
            <w:tcW w:w="1637"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pStyle w:val="844"/>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rPr>
            </w:r>
            <w:r/>
          </w:p>
        </w:tc>
        <w:tc>
          <w:tcPr>
            <w:gridSpan w:val="3"/>
            <w:tcW w:w="8580" w:type="dxa"/>
            <w:vAlign w:val="center"/>
            <w:textDirection w:val="lrTb"/>
            <w:noWrap w:val="false"/>
          </w:tcPr>
          <w:p>
            <w:pPr>
              <w:pStyle w:val="844"/>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本项目的特定资格要求</w:t>
            </w:r>
            <w:r>
              <w:rPr>
                <w:rFonts w:hint="eastAsia" w:ascii="宋体" w:hAnsi="宋体" w:eastAsia="宋体" w:cs="宋体"/>
                <w:b/>
                <w:bCs/>
                <w:color w:val="000000"/>
                <w:sz w:val="24"/>
                <w:highlight w:val="none"/>
              </w:rPr>
            </w:r>
            <w:r/>
          </w:p>
        </w:tc>
      </w:tr>
      <w:tr>
        <w:trPr>
          <w:cantSplit/>
          <w:trHeight w:val="471"/>
        </w:trPr>
        <w:tc>
          <w:tcPr>
            <w:tcW w:w="708" w:type="dxa"/>
            <w:vAlign w:val="center"/>
            <w:textDirection w:val="lrTb"/>
            <w:noWrap w:val="false"/>
          </w:tcPr>
          <w:p>
            <w:pPr>
              <w:pStyle w:val="844"/>
              <w:jc w:val="center"/>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w:t>
            </w:r>
            <w:r>
              <w:rPr>
                <w:rFonts w:ascii="宋体" w:hAnsi="宋体" w:eastAsia="宋体" w:cs="宋体"/>
                <w:color w:val="000000"/>
                <w:sz w:val="24"/>
                <w:highlight w:val="none"/>
                <w:lang w:val="en-US" w:eastAsia="zh-CN"/>
              </w:rPr>
            </w:r>
            <w:r/>
          </w:p>
        </w:tc>
        <w:tc>
          <w:tcPr>
            <w:tcW w:w="2435" w:type="dxa"/>
            <w:vAlign w:val="center"/>
            <w:textDirection w:val="lrTb"/>
            <w:noWrap w:val="false"/>
          </w:tcPr>
          <w:p>
            <w:pPr>
              <w:pStyle w:val="844"/>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不接受</w:t>
            </w:r>
            <w:r>
              <w:rPr>
                <w:rFonts w:hint="eastAsia" w:ascii="宋体" w:hAnsi="宋体" w:eastAsia="宋体" w:cs="宋体"/>
                <w:color w:val="000000"/>
                <w:sz w:val="24"/>
                <w:highlight w:val="none"/>
              </w:rPr>
              <w:t xml:space="preserve">分支机构参与投标</w:t>
            </w:r>
            <w:r>
              <w:rPr>
                <w:rFonts w:ascii="宋体" w:hAnsi="宋体" w:eastAsia="宋体" w:cs="宋体"/>
                <w:color w:val="000000"/>
                <w:sz w:val="24"/>
                <w:highlight w:val="none"/>
                <w:lang w:val="en-US" w:eastAsia="zh-CN"/>
              </w:rPr>
            </w:r>
            <w:r/>
          </w:p>
        </w:tc>
        <w:tc>
          <w:tcPr>
            <w:tcW w:w="4508" w:type="dxa"/>
            <w:vAlign w:val="center"/>
            <w:textDirection w:val="lrTb"/>
            <w:noWrap w:val="false"/>
          </w:tcPr>
          <w:p>
            <w:pPr>
              <w:pStyle w:val="844"/>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tc>
        <w:tc>
          <w:tcPr>
            <w:tcW w:w="1637" w:type="dxa"/>
            <w:vAlign w:val="center"/>
            <w:textDirection w:val="lrTb"/>
            <w:noWrap w:val="false"/>
          </w:tcPr>
          <w:p>
            <w:pPr>
              <w:pStyle w:val="844"/>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无需提供材料</w:t>
            </w:r>
            <w:r>
              <w:rPr>
                <w:rFonts w:ascii="宋体" w:hAnsi="宋体" w:eastAsia="宋体" w:cs="宋体"/>
                <w:color w:val="000000"/>
                <w:sz w:val="24"/>
                <w:highlight w:val="none"/>
                <w:lang w:val="en-US" w:eastAsia="zh-CN"/>
              </w:rPr>
            </w:r>
            <w:r/>
          </w:p>
        </w:tc>
      </w:tr>
      <w:tr>
        <w:trPr>
          <w:cantSplit/>
          <w:trHeight w:val="471"/>
        </w:trPr>
        <w:tc>
          <w:tcPr>
            <w:tcW w:w="708" w:type="dxa"/>
            <w:vAlign w:val="center"/>
            <w:textDirection w:val="lrTb"/>
            <w:noWrap w:val="false"/>
          </w:tcPr>
          <w:p>
            <w:pPr>
              <w:pStyle w:val="844"/>
              <w:jc w:val="center"/>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w:t>
            </w:r>
            <w:r>
              <w:rPr>
                <w:rFonts w:ascii="宋体" w:hAnsi="宋体" w:eastAsia="宋体" w:cs="宋体"/>
                <w:color w:val="000000"/>
                <w:sz w:val="24"/>
                <w:highlight w:val="none"/>
                <w:lang w:val="en-US" w:eastAsia="zh-CN"/>
              </w:rPr>
            </w:r>
            <w:r/>
          </w:p>
        </w:tc>
        <w:tc>
          <w:tcPr>
            <w:tcW w:w="2435" w:type="dxa"/>
            <w:vAlign w:val="center"/>
            <w:textDirection w:val="lrTb"/>
            <w:noWrap w:val="false"/>
          </w:tcPr>
          <w:p>
            <w:pPr>
              <w:pStyle w:val="844"/>
              <w:tabs>
                <w:tab w:val="left" w:pos="1080" w:leader="none"/>
              </w:tabs>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bidi="ar-SA"/>
              </w:rPr>
              <w:t xml:space="preserve">属于政府购买服务</w:t>
            </w:r>
            <w:r>
              <w:rPr>
                <w:rFonts w:ascii="宋体" w:hAnsi="宋体" w:eastAsia="宋体" w:cs="宋体"/>
                <w:b/>
                <w:bCs/>
                <w:color w:val="000000"/>
                <w:sz w:val="24"/>
                <w:highlight w:val="none"/>
                <w:lang w:val="en-US" w:eastAsia="zh-CN"/>
              </w:rPr>
            </w:r>
            <w:r/>
          </w:p>
        </w:tc>
        <w:tc>
          <w:tcPr>
            <w:tcW w:w="4508" w:type="dxa"/>
            <w:vAlign w:val="center"/>
            <w:textDirection w:val="lrTb"/>
            <w:noWrap w:val="false"/>
          </w:tcPr>
          <w:p>
            <w:pPr>
              <w:pStyle w:val="844"/>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bidi="ar-SA"/>
              </w:rPr>
              <w:t xml:space="preserve">是。</w:t>
            </w:r>
            <w:r>
              <w:rPr>
                <w:rFonts w:hint="eastAsia" w:ascii="宋体" w:hAnsi="宋体" w:eastAsia="宋体" w:cs="宋体"/>
                <w:b/>
                <w:bCs/>
                <w:color w:val="000000"/>
                <w:sz w:val="24"/>
                <w:highlight w:val="none"/>
                <w:lang w:val="en-US" w:eastAsia="zh-CN"/>
              </w:rPr>
            </w:r>
            <w:r/>
          </w:p>
        </w:tc>
        <w:tc>
          <w:tcPr>
            <w:tcW w:w="1637"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非企业单位须提供相关证明材料。</w:t>
            </w: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pStyle w:val="844"/>
              <w:jc w:val="center"/>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w:t>
            </w:r>
            <w:r>
              <w:rPr>
                <w:rFonts w:ascii="宋体" w:hAnsi="宋体" w:eastAsia="宋体" w:cs="宋体"/>
                <w:color w:val="000000"/>
                <w:sz w:val="24"/>
                <w:highlight w:val="none"/>
                <w:lang w:val="en-US" w:eastAsia="zh-CN"/>
              </w:rPr>
            </w:r>
            <w:r/>
          </w:p>
        </w:tc>
        <w:tc>
          <w:tcPr>
            <w:tcW w:w="2435" w:type="dxa"/>
            <w:vAlign w:val="center"/>
            <w:textDirection w:val="lrTb"/>
            <w:noWrap w:val="false"/>
          </w:tcPr>
          <w:p>
            <w:pPr>
              <w:pStyle w:val="844"/>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tc>
        <w:tc>
          <w:tcPr>
            <w:tcW w:w="4508" w:type="dxa"/>
            <w:vAlign w:val="center"/>
            <w:textDirection w:val="lrTb"/>
            <w:noWrap w:val="false"/>
          </w:tcPr>
          <w:p>
            <w:pPr>
              <w:pStyle w:val="844"/>
              <w:tabs>
                <w:tab w:val="left" w:pos="1080" w:leader="none"/>
              </w:tabs>
              <w:rPr>
                <w:rFonts w:ascii="宋体" w:hAnsi="宋体" w:eastAsia="宋体" w:cs="宋体"/>
                <w:color w:val="000000"/>
                <w:sz w:val="24"/>
                <w:highlight w:val="none"/>
                <w:lang w:val="en-US" w:eastAsia="zh-CN"/>
              </w:rPr>
            </w:pPr>
            <w:r>
              <w:rPr>
                <w:rFonts w:hint="eastAsia" w:ascii="Times New Roman" w:hAnsi="Times New Roman" w:eastAsia="宋体" w:cs="Times New Roman"/>
                <w:color w:val="000000"/>
                <w:sz w:val="24"/>
                <w:highlight w:val="none"/>
                <w:u w:val="none"/>
                <w:lang w:val="en-US" w:eastAsia="zh-CN"/>
              </w:rPr>
              <w:t xml:space="preserve">/</w:t>
            </w:r>
            <w:r>
              <w:rPr>
                <w:rFonts w:ascii="宋体" w:hAnsi="宋体" w:eastAsia="宋体" w:cs="宋体"/>
                <w:color w:val="000000"/>
                <w:sz w:val="24"/>
                <w:highlight w:val="none"/>
                <w:lang w:val="en-US" w:eastAsia="zh-CN"/>
              </w:rPr>
            </w:r>
            <w:r/>
          </w:p>
        </w:tc>
        <w:tc>
          <w:tcPr>
            <w:tcW w:w="1637" w:type="dxa"/>
            <w:vAlign w:val="center"/>
            <w:textDirection w:val="lrTb"/>
            <w:noWrap w:val="false"/>
          </w:tcPr>
          <w:p>
            <w:pPr>
              <w:pStyle w:val="844"/>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无需提供材料</w:t>
            </w:r>
            <w:r>
              <w:rPr>
                <w:rFonts w:ascii="宋体" w:hAnsi="宋体" w:eastAsia="宋体" w:cs="宋体"/>
                <w:color w:val="000000"/>
                <w:sz w:val="24"/>
                <w:highlight w:val="none"/>
                <w:lang w:val="en-US" w:eastAsia="zh-CN"/>
              </w:rPr>
            </w:r>
            <w:r/>
          </w:p>
        </w:tc>
      </w:tr>
    </w:tbl>
    <w:p>
      <w:pPr>
        <w:pStyle w:val="844"/>
        <w:jc w:val="left"/>
        <w:widowControl/>
        <w:rPr>
          <w:color w:val="000000"/>
          <w:sz w:val="24"/>
          <w:highlight w:val="none"/>
        </w:rPr>
      </w:pP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844"/>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84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4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84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b/>
                <w:bCs/>
                <w:color w:val="000000"/>
                <w:sz w:val="24"/>
                <w:highlight w:val="none"/>
              </w:rPr>
              <w:t xml:space="preserve">响应报价</w:t>
            </w:r>
            <w:r>
              <w:rPr>
                <w:rFonts w:hint="eastAsia"/>
                <w:b/>
                <w:bCs/>
                <w:color w:val="000000"/>
                <w:sz w:val="24"/>
                <w:highlight w:val="none"/>
              </w:rPr>
              <w:t xml:space="preserve">未</w:t>
            </w:r>
            <w:r>
              <w:rPr>
                <w:b/>
                <w:bCs/>
                <w:color w:val="000000"/>
                <w:sz w:val="24"/>
                <w:highlight w:val="none"/>
              </w:rPr>
              <w:t xml:space="preserve">超过磋商文件中规定的项目预算金额或者</w:t>
            </w:r>
            <w:r>
              <w:rPr>
                <w:rFonts w:hint="eastAsia"/>
                <w:b/>
                <w:bCs/>
                <w:color w:val="000000"/>
                <w:sz w:val="24"/>
                <w:highlight w:val="none"/>
              </w:rPr>
              <w:t xml:space="preserve">最高限价</w:t>
            </w:r>
            <w:r>
              <w:rPr>
                <w:b/>
                <w:bCs/>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44"/>
              <w:jc w:val="left"/>
              <w:widowControl/>
              <w:rPr>
                <w:b/>
                <w:color w:val="000000"/>
                <w:sz w:val="24"/>
                <w:highlight w:val="none"/>
              </w:rPr>
            </w:pPr>
            <w:r>
              <w:rPr>
                <w:rFonts w:ascii="Segoe UI Symbol" w:hAnsi="Segoe UI Symbol" w:cs="Segoe UI Symbol"/>
                <w:b/>
                <w:color w:val="000000"/>
                <w:sz w:val="24"/>
                <w:highlight w:val="none"/>
              </w:rPr>
              <w:t xml:space="preserve">★</w:t>
            </w:r>
            <w:r>
              <w:rPr>
                <w:b/>
                <w:color w:val="000000"/>
                <w:sz w:val="24"/>
                <w:highlight w:val="none"/>
              </w:rPr>
              <w:t xml:space="preserve">号条款响应</w:t>
            </w:r>
            <w:r>
              <w:rPr>
                <w:b/>
                <w:color w:val="000000"/>
                <w:sz w:val="24"/>
                <w:highlight w:val="none"/>
              </w:rPr>
            </w:r>
            <w:r/>
          </w:p>
        </w:tc>
        <w:tc>
          <w:tcPr>
            <w:tcW w:w="3622" w:type="dxa"/>
            <w:vAlign w:val="center"/>
            <w:textDirection w:val="lrTb"/>
            <w:noWrap w:val="false"/>
          </w:tcPr>
          <w:p>
            <w:pPr>
              <w:pStyle w:val="844"/>
              <w:jc w:val="left"/>
              <w:widowControl/>
              <w:rPr>
                <w:b/>
                <w:color w:val="000000"/>
                <w:sz w:val="24"/>
                <w:highlight w:val="none"/>
              </w:rPr>
            </w:pPr>
            <w:r>
              <w:rPr>
                <w:b/>
                <w:color w:val="000000"/>
                <w:sz w:val="24"/>
                <w:highlight w:val="none"/>
              </w:rPr>
              <w:t xml:space="preserve">响应文件满足磋商文件</w:t>
            </w:r>
            <w:r>
              <w:rPr>
                <w:b/>
                <w:color w:val="000000"/>
                <w:sz w:val="24"/>
                <w:highlight w:val="none"/>
              </w:rPr>
              <w:t xml:space="preserve">第</w:t>
            </w:r>
            <w:r>
              <w:rPr>
                <w:rFonts w:hint="eastAsia"/>
                <w:b/>
                <w:color w:val="000000"/>
                <w:sz w:val="24"/>
                <w:highlight w:val="none"/>
              </w:rPr>
              <w:t xml:space="preserve">四</w:t>
            </w:r>
            <w:r>
              <w:rPr>
                <w:b/>
                <w:color w:val="000000"/>
                <w:sz w:val="24"/>
                <w:highlight w:val="none"/>
              </w:rPr>
              <w:t xml:space="preserve">章《采购需求》</w:t>
            </w:r>
            <w:r>
              <w:rPr>
                <w:b/>
                <w:color w:val="000000"/>
                <w:sz w:val="24"/>
                <w:highlight w:val="none"/>
              </w:rPr>
              <w:t xml:space="preserve">中</w:t>
            </w:r>
            <w:r>
              <w:rPr>
                <w:rFonts w:ascii="Segoe UI Symbol" w:hAnsi="Segoe UI Symbol" w:cs="Segoe UI Symbol"/>
                <w:b/>
                <w:color w:val="000000"/>
                <w:sz w:val="24"/>
                <w:highlight w:val="none"/>
              </w:rPr>
              <w:t xml:space="preserve">★</w:t>
            </w:r>
            <w:r>
              <w:rPr>
                <w:b/>
                <w:color w:val="000000"/>
                <w:sz w:val="24"/>
                <w:highlight w:val="none"/>
              </w:rPr>
              <w:t xml:space="preserve">号条款要求的；</w:t>
            </w:r>
            <w:r>
              <w:rPr>
                <w:b/>
                <w:color w:val="000000"/>
                <w:sz w:val="24"/>
                <w:highlight w:val="none"/>
              </w:rPr>
            </w:r>
            <w:r/>
          </w:p>
        </w:tc>
      </w:tr>
      <w:tr>
        <w:trPr>
          <w:trHeight w:val="685"/>
        </w:trPr>
        <w:tc>
          <w:tcPr>
            <w:tcW w:w="402" w:type="dxa"/>
            <w:vAlign w:val="center"/>
            <w:textDirection w:val="lrTb"/>
            <w:noWrap w:val="false"/>
          </w:tcPr>
          <w:p>
            <w:pPr>
              <w:pStyle w:val="844"/>
              <w:jc w:val="center"/>
              <w:widowControl/>
              <w:rPr>
                <w:rFonts w:hint="eastAsia"/>
                <w:color w:val="000000"/>
                <w:sz w:val="24"/>
                <w:highlight w:val="none"/>
              </w:rPr>
            </w:pPr>
            <w:r>
              <w:rPr>
                <w:rFonts w:hint="eastAsia"/>
                <w:color w:val="000000"/>
                <w:sz w:val="24"/>
                <w:highlight w:val="none"/>
              </w:rPr>
              <w:t xml:space="preserve">9</w:t>
            </w:r>
            <w:r>
              <w:rPr>
                <w:rFonts w:hint="eastAsia"/>
                <w:color w:val="000000"/>
                <w:sz w:val="24"/>
                <w:highlight w:val="none"/>
              </w:rPr>
            </w:r>
            <w:r/>
          </w:p>
        </w:tc>
        <w:tc>
          <w:tcPr>
            <w:tcW w:w="1812" w:type="dxa"/>
            <w:vAlign w:val="center"/>
            <w:textDirection w:val="lrTb"/>
            <w:noWrap w:val="false"/>
          </w:tcPr>
          <w:p>
            <w:pPr>
              <w:pStyle w:val="844"/>
              <w:jc w:val="left"/>
              <w:widowControl/>
              <w:rPr>
                <w:rFonts w:ascii="Segoe UI Symbol" w:hAnsi="Segoe UI Symbol" w:cs="Segoe UI Symbol"/>
                <w:b/>
                <w:color w:val="000000"/>
                <w:sz w:val="24"/>
                <w:highlight w:val="none"/>
              </w:rPr>
            </w:pPr>
            <w:r>
              <w:rPr>
                <w:b/>
                <w:color w:val="000000"/>
                <w:sz w:val="24"/>
                <w:highlight w:val="none"/>
              </w:rPr>
              <w:t xml:space="preserve">报价合理性</w:t>
            </w:r>
            <w:r>
              <w:rPr>
                <w:rFonts w:ascii="Segoe UI Symbol" w:hAnsi="Segoe UI Symbol" w:cs="Segoe UI Symbol"/>
                <w:b/>
                <w:color w:val="000000"/>
                <w:sz w:val="24"/>
                <w:highlight w:val="none"/>
              </w:rPr>
            </w:r>
            <w:r/>
          </w:p>
        </w:tc>
        <w:tc>
          <w:tcPr>
            <w:tcW w:w="6730" w:type="dxa"/>
            <w:vAlign w:val="center"/>
            <w:textDirection w:val="lrTb"/>
            <w:noWrap w:val="false"/>
          </w:tcPr>
          <w:p>
            <w:pPr>
              <w:pStyle w:val="844"/>
              <w:jc w:val="left"/>
              <w:widowControl/>
              <w:rPr>
                <w:b/>
                <w:color w:val="000000"/>
                <w:sz w:val="24"/>
                <w:highlight w:val="none"/>
              </w:rPr>
            </w:pPr>
            <w:r>
              <w:rPr>
                <w:b/>
                <w:color w:val="000000"/>
                <w:sz w:val="24"/>
                <w:highlight w:val="none"/>
              </w:rPr>
              <w:t xml:space="preserve">报价合理，或</w:t>
            </w:r>
            <w:r>
              <w:rPr>
                <w:rFonts w:hint="eastAsia"/>
                <w:b/>
                <w:color w:val="000000"/>
                <w:sz w:val="24"/>
                <w:highlight w:val="none"/>
              </w:rPr>
              <w:t xml:space="preserve">供应商的报价明显低于其他通过符合性审查供应商的报价，</w:t>
            </w:r>
            <w:r>
              <w:rPr>
                <w:b/>
                <w:color w:val="000000"/>
                <w:sz w:val="24"/>
                <w:highlight w:val="none"/>
              </w:rPr>
              <w:t xml:space="preserve">有可能影响</w:t>
            </w:r>
            <w:r>
              <w:rPr>
                <w:rFonts w:hint="eastAsia"/>
                <w:b/>
                <w:color w:val="000000"/>
                <w:sz w:val="24"/>
                <w:highlight w:val="none"/>
              </w:rPr>
              <w:t xml:space="preserve">服务</w:t>
            </w:r>
            <w:r>
              <w:rPr>
                <w:b/>
                <w:color w:val="000000"/>
                <w:sz w:val="24"/>
                <w:highlight w:val="none"/>
              </w:rPr>
              <w:t xml:space="preserve">质量或者不能诚信履约的</w:t>
            </w:r>
            <w:r>
              <w:rPr>
                <w:rFonts w:hint="eastAsia"/>
                <w:b/>
                <w:color w:val="000000"/>
                <w:sz w:val="24"/>
                <w:highlight w:val="none"/>
              </w:rPr>
              <w:t xml:space="preserve">，能够应磋商小组要求在规定时间内证明其报价合理性的</w:t>
            </w:r>
            <w:r>
              <w:rPr>
                <w:b/>
                <w:color w:val="000000"/>
                <w:sz w:val="24"/>
                <w:highlight w:val="none"/>
              </w:rPr>
              <w:t xml:space="preserve">；</w:t>
            </w:r>
            <w:r>
              <w:rPr>
                <w:b/>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11</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14</w:t>
            </w:r>
            <w:r>
              <w:rPr>
                <w:color w:val="000000"/>
                <w:sz w:val="24"/>
                <w:highlight w:val="none"/>
              </w:rPr>
            </w:r>
            <w:r/>
          </w:p>
        </w:tc>
        <w:tc>
          <w:tcPr>
            <w:tcW w:w="1812" w:type="dxa"/>
            <w:vAlign w:val="center"/>
            <w:textDirection w:val="lrTb"/>
            <w:noWrap w:val="false"/>
          </w:tcPr>
          <w:p>
            <w:pPr>
              <w:pStyle w:val="844"/>
              <w:jc w:val="left"/>
              <w:widowControl/>
              <w:rPr>
                <w:b/>
                <w:bCs/>
                <w:color w:val="000000"/>
                <w:sz w:val="24"/>
                <w:highlight w:val="none"/>
              </w:rPr>
            </w:pPr>
            <w:r>
              <w:rPr>
                <w:rFonts w:hint="eastAsia"/>
                <w:b/>
                <w:color w:val="000000"/>
                <w:sz w:val="24"/>
                <w:highlight w:val="none"/>
              </w:rPr>
              <w:t xml:space="preserve">最终报价</w:t>
            </w:r>
            <w:r>
              <w:rPr>
                <w:b/>
                <w:bCs/>
                <w:color w:val="000000"/>
                <w:sz w:val="24"/>
                <w:highlight w:val="none"/>
              </w:rPr>
            </w:r>
            <w:r/>
          </w:p>
        </w:tc>
        <w:tc>
          <w:tcPr>
            <w:tcW w:w="6730" w:type="dxa"/>
            <w:vAlign w:val="center"/>
            <w:textDirection w:val="lrTb"/>
            <w:noWrap w:val="false"/>
          </w:tcPr>
          <w:p>
            <w:pPr>
              <w:pStyle w:val="844"/>
              <w:jc w:val="left"/>
              <w:spacing w:line="360" w:lineRule="auto"/>
              <w:rPr>
                <w:rFonts w:hint="eastAsia"/>
                <w:b/>
                <w:bCs/>
                <w:color w:val="000000"/>
                <w:sz w:val="24"/>
                <w:highlight w:val="none"/>
              </w:rPr>
            </w:pPr>
            <w:r>
              <w:rPr>
                <w:rFonts w:hint="eastAsia" w:ascii="宋体" w:hAnsi="宋体"/>
                <w:b/>
                <w:bCs/>
                <w:color w:val="000000"/>
                <w:sz w:val="24"/>
                <w:highlight w:val="none"/>
              </w:rPr>
              <w:t xml:space="preserve">供应商最终报价未高于首次报价的；</w:t>
            </w:r>
            <w:r>
              <w:rPr>
                <w:rFonts w:hint="eastAsia"/>
                <w:b/>
                <w:bCs/>
                <w:color w:val="000000"/>
                <w:sz w:val="24"/>
                <w:highlight w:val="none"/>
              </w:rPr>
            </w:r>
            <w:r/>
          </w:p>
        </w:tc>
      </w:tr>
      <w:tr>
        <w:trPr>
          <w:trHeight w:val="685"/>
        </w:trPr>
        <w:tc>
          <w:tcPr>
            <w:tcW w:w="402" w:type="dxa"/>
            <w:vAlign w:val="center"/>
            <w:textDirection w:val="lrTb"/>
            <w:noWrap w:val="false"/>
          </w:tcPr>
          <w:p>
            <w:pPr>
              <w:pStyle w:val="844"/>
              <w:jc w:val="center"/>
              <w:widowControl/>
              <w:rPr>
                <w:color w:val="000000"/>
                <w:sz w:val="24"/>
                <w:highlight w:val="none"/>
              </w:rPr>
            </w:pPr>
            <w:r>
              <w:rPr>
                <w:rFonts w:hint="eastAsia"/>
                <w:color w:val="000000"/>
                <w:sz w:val="24"/>
                <w:highlight w:val="none"/>
              </w:rPr>
              <w:t xml:space="preserve">15</w:t>
            </w:r>
            <w:r>
              <w:rPr>
                <w:color w:val="000000"/>
                <w:sz w:val="24"/>
                <w:highlight w:val="none"/>
              </w:rPr>
            </w:r>
            <w:r/>
          </w:p>
        </w:tc>
        <w:tc>
          <w:tcPr>
            <w:tcW w:w="975" w:type="dxa"/>
            <w:vAlign w:val="center"/>
            <w:textDirection w:val="lrTb"/>
            <w:noWrap w:val="false"/>
          </w:tcPr>
          <w:p>
            <w:pPr>
              <w:pStyle w:val="84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844"/>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84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b/>
          <w:bCs/>
          <w:color w:val="000000"/>
          <w:sz w:val="24"/>
          <w:highlight w:val="none"/>
        </w:rPr>
      </w:pPr>
      <w:r>
        <w:rPr>
          <w:color w:val="000000"/>
          <w:sz w:val="24"/>
          <w:highlight w:val="none"/>
        </w:rPr>
        <w:t xml:space="preserve">磋商小组所有成员应当集中与单一供应商分别进行磋商，并给予所有参加磋</w:t>
      </w:r>
      <w:r>
        <w:rPr>
          <w:b/>
          <w:bCs/>
          <w:color w:val="000000"/>
          <w:sz w:val="24"/>
          <w:highlight w:val="none"/>
        </w:rPr>
        <w:t xml:space="preserve">商的供应商平等的磋商机会。</w:t>
      </w:r>
      <w:r>
        <w:rPr>
          <w:b/>
          <w:bCs/>
          <w:color w:val="000000"/>
          <w:sz w:val="24"/>
          <w:highlight w:val="none"/>
        </w:rPr>
      </w:r>
      <w:r>
        <w:rPr>
          <w:b/>
          <w:bCs/>
        </w:rPr>
      </w:r>
    </w:p>
    <w:p>
      <w:pPr>
        <w:pStyle w:val="844"/>
        <w:numPr>
          <w:ilvl w:val="1"/>
          <w:numId w:val="10"/>
        </w:numPr>
        <w:ind w:left="1077" w:hanging="720"/>
        <w:spacing w:line="360" w:lineRule="auto"/>
        <w:tabs>
          <w:tab w:val="left" w:pos="1080" w:leader="none"/>
          <w:tab w:val="left" w:pos="1589"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磋商小组启动异常低价响应审查的情形和具体要求，包括：</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2.2.1评审中出现下列情形之一的，磋商小组应当启动异常低价响应审查程序： </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　  2.2.1.1响应报价低于全部通过符合性审查供应商响应报价平均值</w:t>
      </w:r>
      <w:r>
        <w:rPr>
          <w:rFonts w:hint="eastAsia" w:ascii="宋体" w:hAnsi="宋体" w:eastAsia="宋体" w:cs="宋体"/>
          <w:b/>
          <w:bCs/>
          <w:color w:val="000000"/>
          <w:sz w:val="24"/>
          <w:szCs w:val="24"/>
          <w:highlight w:val="none"/>
          <w:lang w:val="en-US" w:eastAsia="zh-CN" w:bidi="ar-SA"/>
        </w:rPr>
        <w:t xml:space="preserve">50%</w:t>
      </w:r>
      <w:r>
        <w:rPr>
          <w:rFonts w:hint="eastAsia" w:ascii="宋体" w:hAnsi="宋体" w:eastAsia="宋体" w:cs="宋体"/>
          <w:b/>
          <w:bCs/>
          <w:color w:val="000000"/>
          <w:sz w:val="24"/>
          <w:szCs w:val="24"/>
          <w:highlight w:val="none"/>
          <w:lang w:val="en-US" w:eastAsia="zh-CN" w:bidi="ar-SA"/>
        </w:rPr>
        <w:t xml:space="preserve">的，即响应报价&lt;全部通过符合性审查供应商响应报价平均值×50%；</w:t>
      </w:r>
      <w:r>
        <w:rPr>
          <w:rFonts w:hint="eastAsia" w:ascii="宋体" w:hAnsi="宋体" w:eastAsia="宋体" w:cs="宋体"/>
          <w:b/>
          <w:bCs/>
          <w:color w:val="000000"/>
          <w:sz w:val="24"/>
          <w:szCs w:val="24"/>
          <w:highlight w:val="none"/>
          <w:lang w:val="en-US" w:eastAsia="zh-CN" w:bidi="ar-SA"/>
        </w:rPr>
      </w:r>
      <w:r>
        <w:rPr>
          <w:rFonts w:ascii="宋体" w:hAnsi="宋体" w:cs="宋体"/>
          <w:b/>
          <w:bCs/>
        </w:rPr>
      </w:r>
    </w:p>
    <w:p>
      <w:pPr>
        <w:pStyle w:val="844"/>
        <w:numPr>
          <w:ilvl w:val="1"/>
          <w:numId w:val="0"/>
        </w:numPr>
        <w:ind w:firstLine="960"/>
        <w:spacing w:line="360" w:lineRule="auto"/>
        <w:tabs>
          <w:tab w:val="left" w:pos="1080" w:leader="none"/>
          <w:tab w:val="left" w:pos="1872"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　　2.2.1.2响应报价低于通过符合性审查的次低报价供应商响应报价50%的，即响应报价&lt;通过符合性审查的次低报价供应商响应报价×50%；</w:t>
      </w:r>
      <w:r>
        <w:rPr>
          <w:rFonts w:hint="eastAsia" w:ascii="宋体" w:hAnsi="宋体" w:eastAsia="宋体" w:cs="宋体"/>
          <w:b/>
          <w:bCs/>
          <w:color w:val="000000"/>
          <w:sz w:val="24"/>
          <w:szCs w:val="24"/>
          <w:highlight w:val="none"/>
          <w:lang w:val="en-US" w:eastAsia="zh-CN" w:bidi="ar-SA"/>
        </w:rPr>
      </w:r>
      <w:r>
        <w:rPr>
          <w:rFonts w:ascii="宋体" w:hAnsi="宋体" w:cs="宋体"/>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2.2.1.3响应报价低于采购项目最高限价45%的，即响应报价&lt;采购项目最高限价×45%；</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2.2.1.4磋商小组基于专业判断，认为供应商报价过低，有可能影响服务质量或者不能诚信履约的其他情形。</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2.2.2磋商小组启动异常低价响应审查后，属于前述第2.2.1.1项至第　2.2</w:t>
      </w:r>
      <w:r>
        <w:rPr>
          <w:rFonts w:hint="eastAsia" w:ascii="Times New Roman" w:hAnsi="Times New Roman" w:eastAsia="宋体" w:cs="Times New Roman"/>
          <w:b/>
          <w:bCs/>
          <w:color w:val="000000"/>
          <w:sz w:val="24"/>
          <w:szCs w:val="24"/>
          <w:highlight w:val="none"/>
          <w:lang w:val="en-US" w:eastAsia="zh-CN" w:bidi="ar-SA"/>
        </w:rPr>
        <w:t xml:space="preserve">.1.4项情形的，应当要求相关供应商在评审现场30分钟内对响应价格作出解释，提供项目</w:t>
      </w:r>
      <w:r>
        <w:rPr>
          <w:rFonts w:hint="eastAsia" w:ascii="Times New Roman" w:hAnsi="Times New Roman" w:eastAsia="宋体" w:cs="Times New Roman"/>
          <w:b/>
          <w:bCs/>
          <w:color w:val="000000"/>
          <w:sz w:val="24"/>
          <w:szCs w:val="24"/>
          <w:highlight w:val="none"/>
          <w:lang w:val="en-US" w:eastAsia="zh-CN" w:bidi="ar-SA"/>
        </w:rPr>
        <w:t xml:space="preserve">具体成本测算</w:t>
      </w:r>
      <w:r>
        <w:rPr>
          <w:rFonts w:hint="eastAsia" w:ascii="Times New Roman" w:hAnsi="Times New Roman" w:eastAsia="宋体" w:cs="Times New Roman"/>
          <w:b/>
          <w:bCs/>
          <w:color w:val="000000"/>
          <w:sz w:val="24"/>
          <w:szCs w:val="24"/>
          <w:highlight w:val="none"/>
          <w:lang w:val="en-US" w:eastAsia="zh-CN" w:bidi="ar-SA"/>
        </w:rPr>
        <w:t xml:space="preserve">等与</w:t>
      </w:r>
      <w:r>
        <w:rPr>
          <w:rFonts w:hint="eastAsia" w:ascii="Times New Roman" w:hAnsi="Times New Roman" w:eastAsia="宋体" w:cs="Times New Roman"/>
          <w:b/>
          <w:bCs/>
          <w:color w:val="000000"/>
          <w:sz w:val="24"/>
          <w:szCs w:val="24"/>
          <w:highlight w:val="none"/>
          <w:lang w:val="en-US" w:eastAsia="zh-CN" w:bidi="ar-SA"/>
        </w:rPr>
        <w:t xml:space="preserve">报价合理性相关的书面说明及必要的证明材料，包括但不限于人工成本费用等。其中，属于第2.2.1.3项情形，供应商已随响应文件一并提交相关书面说明及必要的证明材料的，在评审现场可不再重复提交。</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Times New Roman" w:hAnsi="Times New Roman" w:eastAsia="宋体" w:cs="Times New Roman"/>
          <w:b/>
          <w:bCs/>
          <w:color w:val="000000"/>
          <w:sz w:val="24"/>
          <w:szCs w:val="24"/>
          <w:highlight w:val="none"/>
          <w:lang w:val="en-US" w:eastAsia="zh-CN" w:bidi="ar-SA"/>
        </w:rPr>
      </w:r>
      <w:r>
        <w:rPr>
          <w:b/>
          <w:bCs/>
        </w:rPr>
      </w:r>
    </w:p>
    <w:p>
      <w:pPr>
        <w:pStyle w:val="844"/>
        <w:numPr>
          <w:ilvl w:val="0"/>
          <w:numId w:val="0"/>
        </w:numPr>
        <w:ind w:left="357" w:firstLine="720"/>
        <w:spacing w:line="360" w:lineRule="auto"/>
        <w:tabs>
          <w:tab w:val="left" w:pos="1080" w:leader="none"/>
          <w:tab w:val="left" w:pos="1872" w:leader="none"/>
        </w:tabs>
        <w:rPr>
          <w:b/>
          <w:bCs/>
          <w:color w:val="000000"/>
          <w:sz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　　2.2.5异常低价响应审查的启动原因、审查意见和审查结果应当在评审报告中记录，并随供应商提供的相关书面说明及证明材料，以及磋商小组有关互联网浏览、查询历史一并归档</w:t>
      </w:r>
      <w:r>
        <w:rPr>
          <w:rFonts w:hint="eastAsia"/>
          <w:b/>
          <w:bCs/>
          <w:color w:val="000000"/>
          <w:sz w:val="24"/>
          <w:highlight w:val="none"/>
        </w:rPr>
        <w:t xml:space="preserve">。</w:t>
      </w:r>
      <w:r>
        <w:rPr>
          <w:b/>
          <w:bCs/>
          <w:color w:val="000000"/>
          <w:sz w:val="24"/>
          <w:highlight w:val="none"/>
        </w:rPr>
      </w:r>
      <w:r>
        <w:rPr>
          <w:b/>
          <w:bCs/>
        </w:rP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844"/>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rFonts w:hint="eastAsia"/>
          <w:b/>
          <w:color w:val="000000"/>
          <w:sz w:val="24"/>
          <w:highlight w:val="none"/>
        </w:rPr>
      </w:pPr>
      <w:r>
        <w:rPr>
          <w:rFonts w:hint="eastAsia" w:ascii="宋体" w:hAnsi="宋体" w:eastAsia="宋体" w:cs="宋体"/>
          <w:b/>
          <w:color w:val="000000"/>
          <w:sz w:val="24"/>
          <w:highlight w:val="none"/>
        </w:rPr>
        <w:t xml:space="preserve">响应文件的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报价作为首次报价，在磋商结束后，磋商小组将要求所有实质性响应的供应商在规定时间内通过</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苏采云</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系统提交最终报价。最终报价不得高于首次报价</w:t>
      </w:r>
      <w:r>
        <w:rPr>
          <w:rFonts w:hint="eastAsia"/>
          <w:b/>
          <w:color w:val="000000"/>
          <w:sz w:val="24"/>
          <w:highlight w:val="none"/>
        </w:rPr>
        <w:t xml:space="preserve">。</w:t>
      </w:r>
      <w:r>
        <w:rPr>
          <w:rFonts w:hint="eastAsia"/>
          <w:b/>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成交人的最终报价即为成交报价。</w:t>
      </w:r>
      <w:r>
        <w:rPr>
          <w:b/>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84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竞争性磋商文件对于报价修正是否另有规定：无，按下述3.2.2-3.2.5项规定修正。</w:t>
      </w:r>
      <w:r>
        <w:rPr>
          <w:color w:val="000000"/>
          <w:sz w:val="24"/>
          <w:highlight w:val="none"/>
        </w:rPr>
      </w:r>
      <w:r/>
    </w:p>
    <w:p>
      <w:pPr>
        <w:pStyle w:val="84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4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844"/>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4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844"/>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落实政府采购政策的价格调整：</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如供应商的最终报价超过竞争性磋商文件中规定的项目预算金额或者项目最高限价的；</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w:t>
      </w:r>
      <w:r>
        <w:rPr>
          <w:rFonts w:hint="eastAsia"/>
          <w:b/>
          <w:color w:val="000000"/>
          <w:sz w:val="24"/>
          <w:highlight w:val="none"/>
        </w:rPr>
        <w:t xml:space="preserve">最终报价高于首次报价</w:t>
      </w:r>
      <w:r>
        <w:rPr>
          <w:color w:val="000000"/>
          <w:sz w:val="24"/>
          <w:highlight w:val="none"/>
        </w:rPr>
        <w:t xml:space="preserve">。</w:t>
      </w:r>
      <w:r>
        <w:rPr>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bookmarkEnd w:id="618"/>
      <w:r/>
      <w:bookmarkEnd w:id="619"/>
      <w:r>
        <w:rPr>
          <w:color w:val="000000"/>
          <w:sz w:val="24"/>
          <w:highlight w:val="none"/>
        </w:rPr>
        <w:t xml:space="preserve">评审方法和评审标准</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4" w:name="_Toc151193644"/>
      <w:r/>
      <w:bookmarkStart w:id="635" w:name="_Toc195842911"/>
      <w:r/>
      <w:bookmarkStart w:id="636" w:name="_Toc226337242"/>
      <w:r/>
      <w:bookmarkStart w:id="637" w:name="_Toc164608660"/>
      <w:r/>
      <w:bookmarkStart w:id="638" w:name="_Toc150509297"/>
      <w:r/>
      <w:bookmarkStart w:id="639" w:name="_Toc142311048"/>
      <w:r/>
      <w:bookmarkStart w:id="640" w:name="_Toc151193788"/>
      <w:r/>
      <w:bookmarkStart w:id="641" w:name="_Toc226965736"/>
      <w:r/>
      <w:bookmarkStart w:id="642" w:name="_Toc151190173"/>
      <w:r/>
      <w:bookmarkStart w:id="643" w:name="_Toc520356170"/>
      <w:r/>
      <w:bookmarkStart w:id="644" w:name="_Toc127161460"/>
      <w:r/>
      <w:bookmarkStart w:id="645" w:name="_Toc151193934"/>
      <w:r/>
      <w:bookmarkStart w:id="646" w:name="_Toc151193860"/>
      <w:r/>
      <w:bookmarkStart w:id="647" w:name="_Toc164608815"/>
      <w:r/>
      <w:bookmarkStart w:id="648" w:name="_Toc127151546"/>
      <w:r/>
      <w:bookmarkStart w:id="649" w:name="_Toc150480784"/>
      <w:r/>
      <w:bookmarkStart w:id="650" w:name="_Toc164351640"/>
      <w:r/>
      <w:bookmarkStart w:id="651" w:name="_Toc164229387"/>
      <w:r/>
      <w:bookmarkStart w:id="652" w:name="_Ref467307010"/>
      <w:r/>
      <w:bookmarkStart w:id="653" w:name="_Toc150774751"/>
      <w:r/>
      <w:bookmarkStart w:id="654" w:name="_Toc127151747"/>
      <w:r/>
      <w:bookmarkStart w:id="655" w:name="_Toc149720839"/>
      <w:r/>
      <w:bookmarkStart w:id="656" w:name="_Toc151193716"/>
      <w:r/>
      <w:bookmarkStart w:id="657" w:name="_Toc264969236"/>
      <w:r/>
      <w:bookmarkStart w:id="658" w:name="_Toc226965819"/>
      <w:r/>
      <w:bookmarkStart w:id="659" w:name="_Toc265228384"/>
      <w:r/>
      <w:bookmarkStart w:id="660" w:name="_Toc164229241"/>
      <w:r/>
      <w:bookmarkStart w:id="661" w:name="_Toc150774646"/>
      <w:r/>
      <w:bookmarkStart w:id="662" w:name="_Toc226309790"/>
      <w:r/>
      <w:bookmarkStart w:id="663" w:name="_Toc305158814"/>
      <w:r/>
      <w:bookmarkStart w:id="664" w:name="_Toc305158888"/>
      <w:r>
        <w:rPr>
          <w:color w:val="000000"/>
          <w:sz w:val="24"/>
          <w:highlight w:val="none"/>
        </w:rPr>
        <w:t xml:space="preserve">成交候选人名单</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w:t>
      </w:r>
      <w:r>
        <w:rPr>
          <w:rFonts w:hint="eastAsia"/>
          <w:color w:val="000000"/>
          <w:sz w:val="24"/>
          <w:highlight w:val="none"/>
          <w:lang w:val="en-US" w:eastAsia="zh-CN"/>
        </w:rPr>
        <w:t xml:space="preserve">由采购人随机抽取顺序排列</w:t>
      </w:r>
      <w:r>
        <w:rPr>
          <w:color w:val="000000"/>
          <w:sz w:val="24"/>
          <w:highlight w:val="none"/>
        </w:rPr>
        <w:t xml:space="preserve">。响应文件满足竞争性磋商文件全部实质性要求，且按照评审因素的量化指标评审得分最高的供应商为排名第一的成交候选人。评分分值计算保留小数点后两位，第三位四舍五入。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844"/>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844"/>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44"/>
        <w:numPr>
          <w:ilvl w:val="1"/>
          <w:numId w:val="10"/>
        </w:numPr>
        <w:ind w:left="1077" w:hanging="720"/>
        <w:jc w:val="left"/>
        <w:spacing w:line="360" w:lineRule="auto"/>
        <w:widowControl/>
        <w:tabs>
          <w:tab w:val="left" w:pos="1080" w:leader="none"/>
          <w:tab w:val="left" w:pos="1589" w:leader="none"/>
          <w:tab w:val="left" w:pos="1872" w:leader="none"/>
        </w:tabs>
        <w:rPr>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color w:val="000000"/>
          <w:sz w:val="24"/>
          <w:highlight w:val="none"/>
        </w:rPr>
      </w:r>
      <w:r/>
    </w:p>
    <w:p>
      <w:pPr>
        <w:pStyle w:val="844"/>
        <w:ind w:left="357"/>
        <w:jc w:val="left"/>
        <w:spacing w:line="360" w:lineRule="auto"/>
        <w:widowControl/>
        <w:tabs>
          <w:tab w:val="left" w:pos="1080" w:leader="none"/>
          <w:tab w:val="left" w:pos="1872" w:leader="none"/>
        </w:tabs>
        <w:rPr>
          <w:color w:val="000000"/>
          <w:sz w:val="24"/>
          <w:highlight w:val="none"/>
        </w:rPr>
      </w:pPr>
      <w:r>
        <w:rPr>
          <w:color w:val="000000"/>
          <w:sz w:val="24"/>
          <w:highlight w:val="none"/>
        </w:rPr>
      </w:r>
      <w:r/>
    </w:p>
    <w:p>
      <w:pPr>
        <w:pStyle w:val="844"/>
        <w:ind w:left="357"/>
        <w:jc w:val="left"/>
        <w:spacing w:line="360" w:lineRule="auto"/>
        <w:widowControl/>
        <w:tabs>
          <w:tab w:val="left" w:pos="1080" w:leader="none"/>
          <w:tab w:val="left" w:pos="1872" w:leader="none"/>
        </w:tabs>
        <w:rPr>
          <w:color w:val="000000"/>
          <w:sz w:val="24"/>
          <w:highlight w:val="none"/>
        </w:rPr>
      </w:pPr>
      <w:r>
        <w:rPr>
          <w:color w:val="000000"/>
          <w:sz w:val="24"/>
          <w:highlight w:val="none"/>
        </w:rPr>
      </w:r>
      <w:r/>
    </w:p>
    <w:p>
      <w:pPr>
        <w:pStyle w:val="844"/>
        <w:ind w:left="357"/>
        <w:jc w:val="left"/>
        <w:spacing w:line="360" w:lineRule="auto"/>
        <w:widowControl/>
        <w:tabs>
          <w:tab w:val="left" w:pos="1080" w:leader="none"/>
          <w:tab w:val="left" w:pos="1872" w:leader="none"/>
        </w:tabs>
        <w:rPr>
          <w:color w:val="000000"/>
          <w:sz w:val="24"/>
          <w:highlight w:val="none"/>
        </w:rPr>
      </w:pPr>
      <w:r>
        <w:rPr>
          <w:color w:val="000000"/>
          <w:sz w:val="24"/>
          <w:highlight w:val="none"/>
        </w:rPr>
      </w:r>
      <w:r/>
    </w:p>
    <w:p>
      <w:pPr>
        <w:pStyle w:val="844"/>
        <w:ind w:left="0"/>
        <w:jc w:val="left"/>
        <w:spacing w:line="360" w:lineRule="auto"/>
        <w:widowControl/>
        <w:tabs>
          <w:tab w:val="left" w:pos="1080" w:leader="none"/>
          <w:tab w:val="left" w:pos="1872" w:leader="none"/>
        </w:tabs>
        <w:rPr>
          <w:color w:val="000000"/>
          <w:sz w:val="24"/>
          <w:highlight w:val="none"/>
        </w:rPr>
      </w:pPr>
      <w:r>
        <w:rPr>
          <w:color w:val="000000"/>
          <w:sz w:val="24"/>
          <w:highlight w:val="none"/>
        </w:rPr>
      </w:r>
      <w:r/>
    </w:p>
    <w:p>
      <w:pPr>
        <w:pStyle w:val="844"/>
        <w:ind w:left="357"/>
        <w:jc w:val="center"/>
        <w:spacing w:line="360" w:lineRule="auto"/>
        <w:widowControl/>
        <w:tabs>
          <w:tab w:val="left" w:pos="1080" w:leader="none"/>
          <w:tab w:val="left" w:pos="1872" w:leader="none"/>
        </w:tabs>
        <w:rPr>
          <w:b/>
          <w:bCs/>
          <w:color w:val="000000"/>
          <w:sz w:val="24"/>
          <w:highlight w:val="none"/>
        </w:rPr>
      </w:pPr>
      <w:r>
        <w:rPr>
          <w:b/>
          <w:bCs/>
          <w:color w:val="000000"/>
          <w:sz w:val="24"/>
          <w:highlight w:val="none"/>
        </w:rPr>
        <w:t xml:space="preserve">二、评</w:t>
      </w:r>
      <w:r>
        <w:rPr>
          <w:rFonts w:hint="eastAsia"/>
          <w:b/>
          <w:bCs/>
          <w:color w:val="000000"/>
          <w:sz w:val="24"/>
          <w:highlight w:val="none"/>
        </w:rPr>
        <w:t xml:space="preserve">审</w:t>
      </w:r>
      <w:r>
        <w:rPr>
          <w:b/>
          <w:bCs/>
          <w:color w:val="000000"/>
          <w:sz w:val="24"/>
          <w:highlight w:val="none"/>
        </w:rPr>
        <w:t xml:space="preserve">标准</w:t>
      </w:r>
      <w:r>
        <w:rPr>
          <w:b/>
          <w:bCs/>
          <w:color w:val="000000"/>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68"/>
        <w:gridCol w:w="913"/>
        <w:gridCol w:w="3978"/>
        <w:gridCol w:w="2440"/>
      </w:tblGrid>
      <w:tr>
        <w:trPr/>
        <w:tc>
          <w:tcPr>
            <w:tcW w:w="829" w:type="dxa"/>
            <w:vAlign w:val="center"/>
            <w:textDirection w:val="lrTb"/>
            <w:noWrap w:val="false"/>
          </w:tcPr>
          <w:p>
            <w:pPr>
              <w:pStyle w:val="844"/>
              <w:ind w:firstLine="28"/>
              <w:jc w:val="center"/>
              <w:spacing w:line="360" w:lineRule="auto"/>
              <w:rPr>
                <w:b/>
                <w:color w:val="000000"/>
                <w:sz w:val="24"/>
                <w:highlight w:val="none"/>
              </w:rPr>
            </w:pPr>
            <w:r>
              <w:rPr>
                <w:b/>
                <w:color w:val="000000"/>
                <w:sz w:val="24"/>
                <w:highlight w:val="none"/>
              </w:rPr>
              <w:t xml:space="preserve">序号</w:t>
            </w:r>
            <w:r>
              <w:rPr>
                <w:b/>
                <w:color w:val="000000"/>
                <w:sz w:val="24"/>
                <w:highlight w:val="none"/>
              </w:rPr>
            </w:r>
            <w:r/>
          </w:p>
        </w:tc>
        <w:tc>
          <w:tcPr>
            <w:tcW w:w="1468" w:type="dxa"/>
            <w:vAlign w:val="center"/>
            <w:textDirection w:val="lrTb"/>
            <w:noWrap w:val="false"/>
          </w:tcPr>
          <w:p>
            <w:pPr>
              <w:pStyle w:val="844"/>
              <w:ind w:firstLine="28"/>
              <w:jc w:val="center"/>
              <w:spacing w:line="360" w:lineRule="auto"/>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844"/>
              <w:ind w:firstLine="28"/>
              <w:jc w:val="center"/>
              <w:spacing w:line="360" w:lineRule="auto"/>
              <w:rPr>
                <w:b/>
                <w:color w:val="000000"/>
                <w:sz w:val="24"/>
                <w:highlight w:val="none"/>
              </w:rPr>
            </w:pPr>
            <w:r>
              <w:rPr>
                <w:b/>
                <w:color w:val="000000"/>
                <w:sz w:val="24"/>
                <w:highlight w:val="none"/>
              </w:rPr>
              <w:t xml:space="preserve">分值</w:t>
            </w:r>
            <w:r>
              <w:rPr>
                <w:b/>
                <w:color w:val="000000"/>
                <w:sz w:val="24"/>
                <w:highlight w:val="none"/>
              </w:rPr>
            </w:r>
            <w:r/>
          </w:p>
        </w:tc>
        <w:tc>
          <w:tcPr>
            <w:tcW w:w="3978" w:type="dxa"/>
            <w:vAlign w:val="center"/>
            <w:textDirection w:val="lrTb"/>
            <w:noWrap w:val="false"/>
          </w:tcPr>
          <w:p>
            <w:pPr>
              <w:pStyle w:val="844"/>
              <w:ind w:firstLine="28"/>
              <w:jc w:val="center"/>
              <w:spacing w:line="360" w:lineRule="auto"/>
              <w:rPr>
                <w:b/>
                <w:color w:val="000000"/>
                <w:sz w:val="24"/>
                <w:highlight w:val="none"/>
              </w:rPr>
            </w:pPr>
            <w:r>
              <w:rPr>
                <w:b/>
                <w:color w:val="000000"/>
                <w:sz w:val="24"/>
                <w:highlight w:val="none"/>
              </w:rPr>
              <w:t xml:space="preserve">评分标准</w:t>
            </w:r>
            <w:r>
              <w:rPr>
                <w:b/>
                <w:color w:val="000000"/>
                <w:sz w:val="24"/>
                <w:highlight w:val="none"/>
              </w:rPr>
            </w:r>
            <w:r/>
          </w:p>
        </w:tc>
        <w:tc>
          <w:tcPr>
            <w:tcW w:w="2440" w:type="dxa"/>
            <w:vAlign w:val="center"/>
            <w:textDirection w:val="lrTb"/>
            <w:noWrap w:val="false"/>
          </w:tcPr>
          <w:p>
            <w:pPr>
              <w:pStyle w:val="1089"/>
              <w:spacing w:before="0" w:after="0"/>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29" w:type="dxa"/>
            <w:vAlign w:val="center"/>
            <w:textDirection w:val="lrTb"/>
            <w:noWrap w:val="false"/>
          </w:tcPr>
          <w:p>
            <w:pPr>
              <w:pStyle w:val="844"/>
              <w:ind w:firstLine="28"/>
              <w:jc w:val="center"/>
              <w:spacing w:line="360" w:lineRule="auto"/>
              <w:rPr>
                <w:b/>
                <w:color w:val="000000"/>
                <w:sz w:val="24"/>
                <w:highlight w:val="none"/>
              </w:rPr>
            </w:pPr>
            <w:r>
              <w:rPr>
                <w:rFonts w:hint="eastAsia" w:ascii="Times New Roman" w:hAnsi="Times New Roman" w:eastAsia="宋体" w:cs="Times New Roman"/>
                <w:b w:val="0"/>
                <w:color w:val="000000"/>
                <w:sz w:val="24"/>
                <w:highlight w:val="none"/>
              </w:rPr>
              <w:t xml:space="preserve">1</w:t>
            </w:r>
            <w:r>
              <w:rPr>
                <w:b/>
                <w:color w:val="000000"/>
                <w:sz w:val="24"/>
                <w:highlight w:val="none"/>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20</w:t>
            </w:r>
            <w:r>
              <w:rPr>
                <w:rFonts w:eastAsia="宋体"/>
                <w:color w:val="000000"/>
                <w:sz w:val="24"/>
                <w:highlight w:val="none"/>
                <w:lang w:val="en-US" w:eastAsia="zh-CN"/>
              </w:rPr>
            </w:r>
            <w:r/>
          </w:p>
        </w:tc>
        <w:tc>
          <w:tcPr>
            <w:tcW w:w="3978" w:type="dxa"/>
            <w:vAlign w:val="center"/>
            <w:textDirection w:val="lrTb"/>
            <w:noWrap w:val="false"/>
          </w:tcPr>
          <w:p>
            <w:pPr>
              <w:pStyle w:val="844"/>
              <w:jc w:val="both"/>
              <w:spacing w:line="360" w:lineRule="auto"/>
              <w:rPr>
                <w:color w:val="000000"/>
                <w:sz w:val="24"/>
                <w:highlight w:val="none"/>
              </w:rPr>
            </w:pPr>
            <w:r>
              <w:rPr>
                <w:color w:val="000000"/>
                <w:sz w:val="24"/>
                <w:highlight w:val="none"/>
              </w:rPr>
              <w:t xml:space="preserve">满足磋商文件要求且</w:t>
            </w:r>
            <w:r>
              <w:rPr>
                <w:rFonts w:hint="eastAsia"/>
                <w:color w:val="000000"/>
                <w:sz w:val="24"/>
                <w:highlight w:val="none"/>
              </w:rPr>
              <w:t xml:space="preserve">最终报价</w:t>
            </w:r>
            <w:r>
              <w:rPr>
                <w:color w:val="000000"/>
                <w:sz w:val="24"/>
                <w:highlight w:val="none"/>
              </w:rPr>
              <w:t xml:space="preserve">最低的报价为评标基准价，其价格分为满分。其他供应商的价格分统一按照下列公式计算：</w:t>
            </w:r>
            <w:r>
              <w:rPr>
                <w:color w:val="000000"/>
                <w:sz w:val="24"/>
                <w:highlight w:val="none"/>
              </w:rPr>
            </w:r>
            <w:r/>
          </w:p>
          <w:p>
            <w:pPr>
              <w:pStyle w:val="844"/>
              <w:jc w:val="both"/>
              <w:spacing w:line="360" w:lineRule="auto"/>
              <w:rPr>
                <w:rFonts w:hint="eastAsia"/>
                <w:color w:val="000000"/>
                <w:sz w:val="24"/>
                <w:highlight w:val="none"/>
              </w:rPr>
            </w:pPr>
            <w:r>
              <w:rPr>
                <w:rFonts w:hint="eastAsia"/>
                <w:color w:val="000000"/>
                <w:sz w:val="24"/>
                <w:highlight w:val="none"/>
              </w:rPr>
              <w:t xml:space="preserve">投标报价得分=（评标基准价/最终报</w:t>
            </w:r>
            <w:r>
              <w:rPr>
                <w:rFonts w:hint="eastAsia"/>
                <w:color w:val="000000"/>
                <w:sz w:val="24"/>
                <w:highlight w:val="none"/>
              </w:rPr>
            </w:r>
            <w:r/>
          </w:p>
          <w:p>
            <w:pPr>
              <w:pStyle w:val="844"/>
              <w:jc w:val="both"/>
              <w:spacing w:line="360" w:lineRule="auto"/>
              <w:rPr>
                <w:rFonts w:eastAsia="宋体"/>
                <w:color w:val="000000"/>
                <w:sz w:val="24"/>
                <w:highlight w:val="none"/>
                <w:lang w:val="en-US" w:eastAsia="zh-CN"/>
              </w:rPr>
            </w:pPr>
            <w:r>
              <w:rPr>
                <w:rFonts w:hint="eastAsia"/>
                <w:color w:val="000000"/>
                <w:sz w:val="24"/>
                <w:highlight w:val="none"/>
              </w:rPr>
              <w:t xml:space="preserve">价）</w:t>
            </w:r>
            <w:r>
              <w:rPr>
                <w:rFonts w:hint="eastAsia"/>
                <w:color w:val="000000"/>
                <w:sz w:val="24"/>
                <w:highlight w:val="none"/>
                <w:lang w:val="en-US" w:eastAsia="zh-CN"/>
              </w:rPr>
              <w:t xml:space="preserve">*20</w:t>
            </w:r>
            <w:r>
              <w:rPr>
                <w:rFonts w:eastAsia="宋体"/>
                <w:color w:val="000000"/>
                <w:sz w:val="24"/>
                <w:highlight w:val="none"/>
                <w:lang w:val="en-US" w:eastAsia="zh-CN"/>
              </w:rPr>
            </w:r>
            <w:r/>
          </w:p>
        </w:tc>
        <w:tc>
          <w:tcPr>
            <w:tcW w:w="2440" w:type="dxa"/>
            <w:vAlign w:val="center"/>
            <w:textDirection w:val="lrTb"/>
            <w:noWrap w:val="false"/>
          </w:tcPr>
          <w:p>
            <w:pPr>
              <w:pStyle w:val="844"/>
              <w:ind w:left="0"/>
              <w:jc w:val="center"/>
              <w:spacing w:line="360" w:lineRule="auto"/>
              <w:rPr>
                <w:color w:val="000000"/>
                <w:sz w:val="24"/>
                <w:highlight w:val="none"/>
              </w:rPr>
            </w:pPr>
            <w:r>
              <w:rPr>
                <w:rFonts w:hint="eastAsia"/>
                <w:color w:val="000000"/>
                <w:sz w:val="24"/>
                <w:highlight w:val="none"/>
              </w:rPr>
              <w:t xml:space="preserve">此处最终报价指经过报价修正，及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最终报价</w:t>
            </w:r>
            <w:r>
              <w:rPr>
                <w:color w:val="000000"/>
                <w:sz w:val="24"/>
                <w:highlight w:val="none"/>
              </w:rPr>
              <w:t xml:space="preserve">，详见第</w:t>
            </w:r>
            <w:r>
              <w:rPr>
                <w:rFonts w:hint="eastAsia"/>
                <w:color w:val="000000"/>
                <w:sz w:val="24"/>
                <w:highlight w:val="none"/>
              </w:rPr>
              <w:t xml:space="preserve">三</w:t>
            </w:r>
            <w:r>
              <w:rPr>
                <w:color w:val="000000"/>
                <w:sz w:val="24"/>
                <w:highlight w:val="none"/>
              </w:rPr>
              <w:t xml:space="preserve">章《评标方法和评标标准》</w:t>
            </w:r>
            <w:r>
              <w:rPr>
                <w:rFonts w:hint="eastAsia"/>
                <w:color w:val="000000"/>
                <w:sz w:val="24"/>
                <w:highlight w:val="none"/>
              </w:rPr>
              <w:t xml:space="preserve">3</w:t>
            </w:r>
            <w:r>
              <w:rPr>
                <w:color w:val="000000"/>
                <w:sz w:val="24"/>
                <w:highlight w:val="none"/>
              </w:rPr>
              <w:t xml:space="preserve">。</w:t>
            </w:r>
            <w:r>
              <w:rPr>
                <w:color w:val="000000"/>
                <w:sz w:val="24"/>
                <w:highlight w:val="none"/>
              </w:rPr>
            </w:r>
            <w:r/>
          </w:p>
        </w:tc>
      </w:tr>
      <w:tr>
        <w:trPr/>
        <w:tc>
          <w:tcPr>
            <w:tcW w:w="829" w:type="dxa"/>
            <w:vAlign w:val="center"/>
            <w:textDirection w:val="lrTb"/>
            <w:noWrap w:val="false"/>
          </w:tcPr>
          <w:p>
            <w:pPr>
              <w:pStyle w:val="844"/>
              <w:ind w:firstLine="28"/>
              <w:jc w:val="center"/>
              <w:spacing w:line="360" w:lineRule="auto"/>
              <w:rPr>
                <w:color w:val="000000"/>
                <w:sz w:val="24"/>
                <w:highlight w:val="none"/>
              </w:rPr>
            </w:pPr>
            <w:r>
              <w:rPr>
                <w:rFonts w:hint="eastAsia" w:ascii="Times New Roman" w:hAnsi="Times New Roman" w:eastAsia="宋体" w:cs="Times New Roman"/>
                <w:color w:val="000000"/>
                <w:sz w:val="24"/>
                <w:highlight w:val="none"/>
              </w:rPr>
              <w:t xml:space="preserve">2</w:t>
            </w:r>
            <w:r>
              <w:rPr>
                <w:color w:val="000000"/>
                <w:sz w:val="24"/>
                <w:highlight w:val="none"/>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主观分</w:t>
            </w:r>
            <w:r>
              <w:rPr>
                <w:color w:val="000000"/>
                <w:sz w:val="24"/>
                <w:highlight w:val="none"/>
              </w:rPr>
            </w:r>
            <w:r/>
          </w:p>
        </w:tc>
        <w:tc>
          <w:tcPr>
            <w:tcW w:w="913"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lang w:val="en-US" w:eastAsia="zh-CN"/>
              </w:rPr>
              <w:t xml:space="preserve">36</w:t>
            </w:r>
            <w:r>
              <w:rPr>
                <w:rFonts w:hint="eastAsia"/>
                <w:color w:val="000000"/>
                <w:sz w:val="24"/>
                <w:highlight w:val="none"/>
              </w:rPr>
              <w:t xml:space="preserve">分</w:t>
            </w:r>
            <w:r>
              <w:rPr>
                <w:color w:val="000000"/>
                <w:sz w:val="24"/>
                <w:highlight w:val="none"/>
              </w:rPr>
            </w:r>
            <w:r/>
          </w:p>
        </w:tc>
        <w:tc>
          <w:tcPr>
            <w:tcW w:w="3978" w:type="dxa"/>
            <w:vAlign w:val="center"/>
            <w:textDirection w:val="lrTb"/>
            <w:noWrap w:val="false"/>
          </w:tcPr>
          <w:p>
            <w:pPr>
              <w:pStyle w:val="844"/>
              <w:spacing w:line="360" w:lineRule="auto"/>
              <w:rPr>
                <w:color w:val="000000"/>
                <w:sz w:val="24"/>
                <w:highlight w:val="none"/>
              </w:rPr>
            </w:pPr>
            <w:r>
              <w:rPr>
                <w:color w:val="000000"/>
                <w:sz w:val="24"/>
                <w:highlight w:val="none"/>
              </w:rPr>
            </w:r>
            <w:r/>
          </w:p>
        </w:tc>
        <w:tc>
          <w:tcPr>
            <w:tcW w:w="2440" w:type="dxa"/>
            <w:vAlign w:val="center"/>
            <w:textDirection w:val="lrTb"/>
            <w:noWrap w:val="false"/>
          </w:tcPr>
          <w:p>
            <w:pPr>
              <w:pStyle w:val="844"/>
              <w:ind w:left="0"/>
              <w:spacing w:line="360" w:lineRule="auto"/>
              <w:rPr>
                <w:color w:val="000000"/>
                <w:sz w:val="24"/>
                <w:highlight w:val="none"/>
              </w:rPr>
            </w:pPr>
            <w:r>
              <w:rPr>
                <w:color w:val="000000"/>
                <w:sz w:val="24"/>
                <w:highlight w:val="none"/>
              </w:rPr>
            </w:r>
            <w:r/>
          </w:p>
        </w:tc>
      </w:tr>
      <w:tr>
        <w:trPr/>
        <w:tc>
          <w:tcPr>
            <w:tcW w:w="829"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2.1</w:t>
            </w:r>
            <w:r>
              <w:rPr>
                <w:rFonts w:eastAsia="宋体"/>
                <w:color w:val="000000"/>
                <w:sz w:val="24"/>
                <w:highlight w:val="none"/>
                <w:lang w:val="en-US" w:eastAsia="zh-CN"/>
              </w:rPr>
            </w:r>
            <w:r/>
          </w:p>
        </w:tc>
        <w:tc>
          <w:tcPr>
            <w:tcW w:w="1468" w:type="dxa"/>
            <w:vAlign w:val="center"/>
            <w:textDirection w:val="lrTb"/>
            <w:noWrap w:val="false"/>
          </w:tcPr>
          <w:p>
            <w:pPr>
              <w:pStyle w:val="844"/>
              <w:ind w:firstLine="28"/>
              <w:jc w:val="center"/>
              <w:spacing w:line="360" w:lineRule="auto"/>
              <w:rPr>
                <w:rFonts w:hint="eastAsia"/>
                <w:color w:val="000000"/>
                <w:sz w:val="24"/>
                <w:highlight w:val="none"/>
              </w:rPr>
            </w:pPr>
            <w:r>
              <w:rPr>
                <w:rFonts w:hint="eastAsia"/>
                <w:color w:val="000000"/>
                <w:sz w:val="24"/>
                <w:highlight w:val="none"/>
              </w:rPr>
              <w:t xml:space="preserve">项目理解及分析方案</w:t>
            </w:r>
            <w:r>
              <w:rPr>
                <w:rFonts w:hint="eastAsia"/>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3978" w:type="dxa"/>
            <w:vAlign w:val="center"/>
            <w:textDirection w:val="lrTb"/>
            <w:noWrap w:val="false"/>
          </w:tcPr>
          <w:p>
            <w:pPr>
              <w:pStyle w:val="844"/>
              <w:ind w:firstLine="28"/>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根据投标人针对本项目采购需求所提供的项目理解及分析方案进行评审</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内容包括：</w:t>
            </w:r>
            <w:r>
              <w:rPr>
                <w:rFonts w:hint="eastAsia" w:ascii="Times New Roman" w:hAnsi="Times New Roman" w:eastAsia="宋体" w:cs="Times New Roman"/>
                <w:color w:val="000000"/>
                <w:sz w:val="24"/>
                <w:highlight w:val="none"/>
              </w:rPr>
            </w:r>
            <w:r/>
          </w:p>
          <w:p>
            <w:pPr>
              <w:pStyle w:val="844"/>
              <w:ind w:firstLine="28"/>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①项目背景、政策、意义的解读</w:t>
            </w:r>
            <w:r>
              <w:rPr>
                <w:rFonts w:hint="eastAsia" w:ascii="Times New Roman" w:hAnsi="Times New Roman" w:eastAsia="宋体" w:cs="Times New Roman"/>
                <w:color w:val="000000"/>
                <w:sz w:val="24"/>
                <w:highlight w:val="none"/>
              </w:rPr>
            </w:r>
            <w:r/>
          </w:p>
          <w:p>
            <w:pPr>
              <w:pStyle w:val="844"/>
              <w:ind w:firstLine="28"/>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②项目需求的认识与分析</w:t>
            </w:r>
            <w:r>
              <w:rPr>
                <w:rFonts w:hint="eastAsia" w:ascii="Times New Roman" w:hAnsi="Times New Roman" w:eastAsia="宋体" w:cs="Times New Roman"/>
                <w:color w:val="000000"/>
                <w:sz w:val="24"/>
                <w:highlight w:val="none"/>
              </w:rPr>
            </w:r>
            <w:r/>
          </w:p>
          <w:p>
            <w:pPr>
              <w:pStyle w:val="844"/>
              <w:ind w:firstLine="28"/>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③项目重点难点分析</w:t>
            </w:r>
            <w:r>
              <w:rPr>
                <w:rFonts w:hint="eastAsia" w:ascii="Times New Roman" w:hAnsi="Times New Roman" w:eastAsia="宋体" w:cs="Times New Roman"/>
                <w:color w:val="000000"/>
                <w:sz w:val="24"/>
                <w:highlight w:val="none"/>
              </w:rPr>
            </w:r>
            <w:r/>
          </w:p>
          <w:p>
            <w:pPr>
              <w:pStyle w:val="844"/>
              <w:ind w:firstLine="28"/>
              <w:jc w:val="left"/>
              <w:spacing w:line="360" w:lineRule="auto"/>
              <w:rPr>
                <w:color w:val="000000"/>
                <w:highlight w:val="none"/>
              </w:rPr>
            </w:pPr>
            <w:r>
              <w:rPr>
                <w:rFonts w:hint="eastAsia" w:ascii="Times New Roman" w:hAnsi="Times New Roman" w:eastAsia="宋体" w:cs="Times New Roman"/>
                <w:color w:val="000000"/>
                <w:sz w:val="24"/>
                <w:highlight w:val="none"/>
              </w:rPr>
              <w:t xml:space="preserve">上述</w:t>
            </w:r>
            <w:r>
              <w:rPr>
                <w:rFonts w:hint="eastAsia" w:ascii="Times New Roman" w:hAnsi="Times New Roman" w:eastAsia="宋体" w:cs="Times New Roman"/>
                <w:color w:val="000000"/>
                <w:sz w:val="24"/>
                <w:highlight w:val="none"/>
                <w:lang w:val="en-US" w:eastAsia="zh-CN"/>
              </w:rPr>
              <w:t xml:space="preserve">①~</w:t>
            </w:r>
            <w:r>
              <w:rPr>
                <w:rFonts w:hint="eastAsia" w:ascii="Times New Roman" w:hAnsi="Times New Roman" w:eastAsia="宋体" w:cs="Times New Roman"/>
                <w:color w:val="000000"/>
                <w:sz w:val="24"/>
                <w:highlight w:val="none"/>
              </w:rPr>
              <w:t xml:space="preserve">③内容齐全且无缺陷（缺陷是指：内容所阐述的项目信息与本项目实际信息不一致、内容涉及的规范或标准错误、套用其他项目内容、内容与本项目无关、内容不利于项目实施、内容描述前后不一致、</w:t>
            </w:r>
            <w:r>
              <w:rPr>
                <w:rFonts w:hint="eastAsia" w:ascii="Times New Roman" w:hAnsi="Times New Roman" w:eastAsia="宋体" w:cs="Times New Roman"/>
                <w:color w:val="000000"/>
                <w:sz w:val="24"/>
                <w:highlight w:val="none"/>
                <w:lang w:eastAsia="zh-CN"/>
              </w:rPr>
              <w:t xml:space="preserve">内容仅有框架或标题的任意一种情形</w:t>
            </w:r>
            <w:r>
              <w:rPr>
                <w:rFonts w:hint="eastAsia" w:ascii="Times New Roman" w:hAnsi="Times New Roman" w:eastAsia="宋体" w:cs="Times New Roman"/>
                <w:color w:val="000000"/>
                <w:sz w:val="24"/>
                <w:highlight w:val="none"/>
              </w:rPr>
              <w:t xml:space="preserve">）的得</w:t>
            </w:r>
            <w:r>
              <w:rPr>
                <w:rFonts w:hint="eastAsia" w:ascii="Times New Roman" w:hAnsi="Times New Roman" w:eastAsia="宋体" w:cs="Times New Roman"/>
                <w:color w:val="000000"/>
                <w:sz w:val="24"/>
                <w:highlight w:val="none"/>
                <w:lang w:val="en-US" w:eastAsia="zh-CN"/>
              </w:rPr>
              <w:t xml:space="preserve">12</w:t>
            </w:r>
            <w:r>
              <w:rPr>
                <w:rFonts w:hint="eastAsia" w:ascii="Times New Roman" w:hAnsi="Times New Roman" w:eastAsia="宋体" w:cs="Times New Roman"/>
                <w:color w:val="000000"/>
                <w:sz w:val="24"/>
                <w:highlight w:val="none"/>
              </w:rPr>
              <w:t xml:space="preserve">分，每缺少一项内容扣</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分，扣完为止；每存在一处缺陷扣</w:t>
            </w:r>
            <w:r>
              <w:rPr>
                <w:rFonts w:hint="eastAsia" w:ascii="Times New Roman" w:hAnsi="Times New Roman" w:eastAsia="宋体" w:cs="Times New Roman"/>
                <w:color w:val="000000"/>
                <w:sz w:val="24"/>
                <w:highlight w:val="none"/>
                <w:lang w:val="en-US" w:eastAsia="zh-CN"/>
              </w:rPr>
              <w:t xml:space="preserve">0.5</w:t>
            </w:r>
            <w:r>
              <w:rPr>
                <w:rFonts w:hint="eastAsia" w:ascii="Times New Roman" w:hAnsi="Times New Roman" w:eastAsia="宋体" w:cs="Times New Roman"/>
                <w:color w:val="000000"/>
                <w:sz w:val="24"/>
                <w:highlight w:val="none"/>
              </w:rPr>
              <w:t xml:space="preserve">分，扣完为止。未提供不得分。</w:t>
            </w:r>
            <w:r>
              <w:rPr>
                <w:color w:val="000000"/>
                <w:highlight w:val="none"/>
              </w:rPr>
            </w:r>
            <w:r/>
          </w:p>
        </w:tc>
        <w:tc>
          <w:tcPr>
            <w:tcW w:w="2440" w:type="dxa"/>
            <w:vAlign w:val="center"/>
            <w:textDirection w:val="lrTb"/>
            <w:noWrap w:val="false"/>
          </w:tcPr>
          <w:p>
            <w:pPr>
              <w:pStyle w:val="844"/>
              <w:ind w:left="0"/>
              <w:spacing w:line="360" w:lineRule="auto"/>
              <w:rPr>
                <w:color w:val="000000"/>
                <w:sz w:val="24"/>
                <w:highlight w:val="none"/>
              </w:rPr>
            </w:pPr>
            <w:r>
              <w:rPr>
                <w:color w:val="000000"/>
                <w:sz w:val="24"/>
                <w:highlight w:val="none"/>
              </w:rPr>
            </w:r>
            <w:r/>
          </w:p>
        </w:tc>
      </w:tr>
      <w:tr>
        <w:trPr/>
        <w:tc>
          <w:tcPr>
            <w:tcW w:w="829" w:type="dxa"/>
            <w:vAlign w:val="center"/>
            <w:textDirection w:val="lrTb"/>
            <w:noWrap w:val="false"/>
          </w:tcPr>
          <w:p>
            <w:pPr>
              <w:pStyle w:val="844"/>
              <w:ind w:firstLine="28"/>
              <w:jc w:val="center"/>
              <w:spacing w:line="360" w:lineRule="auto"/>
              <w:rPr>
                <w:rFonts w:hint="eastAsia" w:eastAsia="宋体"/>
                <w:color w:val="000000"/>
                <w:sz w:val="24"/>
                <w:highlight w:val="none"/>
                <w:lang w:eastAsia="zh-CN"/>
              </w:rPr>
            </w:pPr>
            <w:r>
              <w:rPr>
                <w:rFonts w:hint="eastAsia"/>
                <w:color w:val="000000"/>
                <w:sz w:val="24"/>
                <w:highlight w:val="none"/>
              </w:rPr>
              <w:t xml:space="preserve">2.</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ascii="Times New Roman" w:hAnsi="Times New Roman" w:eastAsia="宋体" w:cs="Times New Roman"/>
                <w:color w:val="000000"/>
                <w:sz w:val="24"/>
                <w:highlight w:val="none"/>
              </w:rPr>
              <w:t xml:space="preserve">考核执行方案</w:t>
            </w:r>
            <w:r>
              <w:rPr>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3978" w:type="dxa"/>
            <w:vAlign w:val="center"/>
            <w:textDirection w:val="lrTb"/>
            <w:noWrap w:val="false"/>
          </w:tcPr>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根据投标人针对本项目采购需求所提供的考核执行方案进行评审</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内容包括：</w:t>
            </w:r>
            <w:r>
              <w:rPr>
                <w:rFonts w:hint="eastAsia" w:ascii="Times New Roman" w:hAnsi="Times New Roman" w:eastAsia="宋体" w:cs="Times New Roman"/>
                <w:color w:val="000000"/>
                <w:sz w:val="24"/>
                <w:highlight w:val="none"/>
              </w:rPr>
            </w:r>
            <w:r/>
          </w:p>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①项目实施总体思路</w:t>
            </w:r>
            <w:r>
              <w:rPr>
                <w:rFonts w:hint="eastAsia" w:ascii="Times New Roman" w:hAnsi="Times New Roman" w:eastAsia="宋体" w:cs="Times New Roman"/>
                <w:color w:val="000000"/>
                <w:sz w:val="24"/>
                <w:highlight w:val="none"/>
              </w:rPr>
            </w:r>
            <w:r/>
          </w:p>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②项目各阶段的工作方案</w:t>
            </w:r>
            <w:r>
              <w:rPr>
                <w:rFonts w:hint="eastAsia" w:ascii="Times New Roman" w:hAnsi="Times New Roman" w:eastAsia="宋体" w:cs="Times New Roman"/>
                <w:color w:val="000000"/>
                <w:sz w:val="24"/>
                <w:highlight w:val="none"/>
              </w:rPr>
            </w:r>
            <w:r/>
          </w:p>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③项目进度安排及应对措施</w:t>
            </w:r>
            <w:r>
              <w:rPr>
                <w:rFonts w:hint="eastAsia" w:ascii="Times New Roman" w:hAnsi="Times New Roman" w:eastAsia="宋体" w:cs="Times New Roman"/>
                <w:color w:val="000000"/>
                <w:sz w:val="24"/>
                <w:highlight w:val="none"/>
              </w:rPr>
            </w:r>
            <w:r/>
          </w:p>
          <w:p>
            <w:pPr>
              <w:pStyle w:val="844"/>
              <w:spacing w:line="360" w:lineRule="auto"/>
              <w:rPr>
                <w:color w:val="000000"/>
                <w:sz w:val="24"/>
                <w:highlight w:val="none"/>
              </w:rPr>
            </w:pPr>
            <w:r>
              <w:rPr>
                <w:rFonts w:hint="eastAsia" w:ascii="Times New Roman" w:hAnsi="Times New Roman" w:eastAsia="宋体" w:cs="Times New Roman"/>
                <w:color w:val="000000"/>
                <w:sz w:val="24"/>
                <w:highlight w:val="none"/>
              </w:rPr>
              <w:t xml:space="preserve">上述</w:t>
            </w:r>
            <w:r>
              <w:rPr>
                <w:rFonts w:hint="eastAsia" w:ascii="Times New Roman" w:hAnsi="Times New Roman" w:eastAsia="宋体" w:cs="Times New Roman"/>
                <w:color w:val="000000"/>
                <w:sz w:val="24"/>
                <w:highlight w:val="none"/>
                <w:lang w:val="en-US" w:eastAsia="zh-CN"/>
              </w:rPr>
              <w:t xml:space="preserve">①~</w:t>
            </w:r>
            <w:r>
              <w:rPr>
                <w:rFonts w:hint="eastAsia" w:ascii="Times New Roman" w:hAnsi="Times New Roman" w:eastAsia="宋体" w:cs="Times New Roman"/>
                <w:color w:val="000000"/>
                <w:sz w:val="24"/>
                <w:highlight w:val="none"/>
              </w:rPr>
              <w:t xml:space="preserve">③内容齐全且无缺陷（缺陷是指：内容所阐述的项目信息与本项目实际信息不一致、内容涉及的规范或标准错误、套用其他项目内容、内容与本项目无关、内容不利于项目实施、内容描述前后不一致、</w:t>
            </w:r>
            <w:r>
              <w:rPr>
                <w:rFonts w:hint="eastAsia" w:ascii="Times New Roman" w:hAnsi="Times New Roman" w:eastAsia="宋体" w:cs="Times New Roman"/>
                <w:color w:val="000000"/>
                <w:sz w:val="24"/>
                <w:highlight w:val="none"/>
                <w:lang w:eastAsia="zh-CN"/>
              </w:rPr>
              <w:t xml:space="preserve">内容仅有框架或标题的任意一种情形</w:t>
            </w:r>
            <w:r>
              <w:rPr>
                <w:rFonts w:hint="eastAsia" w:ascii="Times New Roman" w:hAnsi="Times New Roman" w:eastAsia="宋体" w:cs="Times New Roman"/>
                <w:color w:val="000000"/>
                <w:sz w:val="24"/>
                <w:highlight w:val="none"/>
              </w:rPr>
              <w:t xml:space="preserve">）的得</w:t>
            </w:r>
            <w:r>
              <w:rPr>
                <w:rFonts w:hint="eastAsia" w:ascii="Times New Roman" w:hAnsi="Times New Roman" w:eastAsia="宋体" w:cs="Times New Roman"/>
                <w:color w:val="000000"/>
                <w:sz w:val="24"/>
                <w:highlight w:val="none"/>
                <w:lang w:val="en-US" w:eastAsia="zh-CN"/>
              </w:rPr>
              <w:t xml:space="preserve">12</w:t>
            </w:r>
            <w:r>
              <w:rPr>
                <w:rFonts w:hint="eastAsia" w:ascii="Times New Roman" w:hAnsi="Times New Roman" w:eastAsia="宋体" w:cs="Times New Roman"/>
                <w:color w:val="000000"/>
                <w:sz w:val="24"/>
                <w:highlight w:val="none"/>
              </w:rPr>
              <w:t xml:space="preserve">分，每缺少一项内容扣</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分，扣完为止；每存在一处缺陷扣</w:t>
            </w:r>
            <w:r>
              <w:rPr>
                <w:rFonts w:hint="eastAsia" w:ascii="Times New Roman" w:hAnsi="Times New Roman" w:eastAsia="宋体" w:cs="Times New Roman"/>
                <w:color w:val="000000"/>
                <w:sz w:val="24"/>
                <w:highlight w:val="none"/>
                <w:lang w:val="en-US" w:eastAsia="zh-CN"/>
              </w:rPr>
              <w:t xml:space="preserve">0.5</w:t>
            </w:r>
            <w:r>
              <w:rPr>
                <w:rFonts w:hint="eastAsia" w:ascii="Times New Roman" w:hAnsi="Times New Roman" w:eastAsia="宋体" w:cs="Times New Roman"/>
                <w:color w:val="000000"/>
                <w:sz w:val="24"/>
                <w:highlight w:val="none"/>
              </w:rPr>
              <w:t xml:space="preserve">分，扣完为止。未提供不得分。</w:t>
            </w:r>
            <w:r>
              <w:rPr>
                <w:color w:val="000000"/>
                <w:sz w:val="24"/>
                <w:highlight w:val="none"/>
              </w:rPr>
            </w:r>
            <w:r/>
          </w:p>
        </w:tc>
        <w:tc>
          <w:tcPr>
            <w:tcW w:w="2440" w:type="dxa"/>
            <w:vAlign w:val="center"/>
            <w:vMerge w:val="restart"/>
            <w:textDirection w:val="lrTb"/>
            <w:noWrap w:val="false"/>
          </w:tcPr>
          <w:p>
            <w:pPr>
              <w:pStyle w:val="844"/>
              <w:ind w:left="0"/>
              <w:spacing w:line="360" w:lineRule="auto"/>
              <w:rPr>
                <w:color w:val="000000"/>
                <w:sz w:val="24"/>
                <w:highlight w:val="none"/>
              </w:rPr>
            </w:pPr>
            <w:r>
              <w:rPr>
                <w:color w:val="000000"/>
                <w:sz w:val="24"/>
                <w:highlight w:val="none"/>
              </w:rPr>
            </w:r>
            <w:r/>
          </w:p>
        </w:tc>
      </w:tr>
      <w:tr>
        <w:trPr/>
        <w:tc>
          <w:tcPr>
            <w:tcW w:w="829"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2.3</w:t>
            </w:r>
            <w:r>
              <w:rPr>
                <w:color w:val="000000"/>
                <w:sz w:val="24"/>
                <w:highlight w:val="none"/>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服务质量保障体系及措施</w:t>
            </w:r>
            <w:r>
              <w:rPr>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6</w:t>
            </w:r>
            <w:r>
              <w:rPr>
                <w:rFonts w:eastAsia="宋体"/>
                <w:color w:val="000000"/>
                <w:sz w:val="24"/>
                <w:highlight w:val="none"/>
                <w:lang w:val="en-US" w:eastAsia="zh-CN"/>
              </w:rPr>
            </w:r>
            <w:r/>
          </w:p>
        </w:tc>
        <w:tc>
          <w:tcPr>
            <w:tcW w:w="3978" w:type="dxa"/>
            <w:vAlign w:val="center"/>
            <w:textDirection w:val="lrTb"/>
            <w:noWrap w:val="false"/>
          </w:tcPr>
          <w:p>
            <w:pPr>
              <w:pStyle w:val="844"/>
              <w:spacing w:line="360" w:lineRule="auto"/>
              <w:rPr>
                <w:rFonts w:hint="eastAsia"/>
                <w:color w:val="000000"/>
                <w:sz w:val="24"/>
                <w:highlight w:val="none"/>
              </w:rPr>
            </w:pPr>
            <w:r>
              <w:rPr>
                <w:rFonts w:hint="eastAsia"/>
                <w:color w:val="000000"/>
                <w:sz w:val="24"/>
                <w:highlight w:val="none"/>
              </w:rPr>
              <w:t xml:space="preserve">根据投标人针对本项目采购需求所提供的项目服务质量保障体系及措施进行评审</w:t>
            </w:r>
            <w:r>
              <w:rPr>
                <w:rFonts w:hint="eastAsia"/>
                <w:color w:val="000000"/>
                <w:sz w:val="24"/>
                <w:highlight w:val="none"/>
                <w:lang w:eastAsia="zh-CN"/>
              </w:rPr>
              <w:t xml:space="preserve">，</w:t>
            </w:r>
            <w:r>
              <w:rPr>
                <w:rFonts w:hint="eastAsia"/>
                <w:color w:val="000000"/>
                <w:sz w:val="24"/>
                <w:highlight w:val="none"/>
              </w:rPr>
              <w:t xml:space="preserve">内容包括：</w:t>
            </w:r>
            <w:r>
              <w:rPr>
                <w:rFonts w:hint="eastAsia"/>
                <w:color w:val="000000"/>
                <w:sz w:val="24"/>
                <w:highlight w:val="none"/>
              </w:rPr>
            </w:r>
            <w:r/>
          </w:p>
          <w:p>
            <w:pPr>
              <w:pStyle w:val="844"/>
              <w:spacing w:line="360" w:lineRule="auto"/>
              <w:rPr>
                <w:rFonts w:hint="eastAsia"/>
                <w:color w:val="000000"/>
                <w:sz w:val="24"/>
                <w:highlight w:val="none"/>
              </w:rPr>
            </w:pPr>
            <w:r>
              <w:rPr>
                <w:rFonts w:hint="eastAsia"/>
                <w:color w:val="000000"/>
                <w:sz w:val="24"/>
                <w:highlight w:val="none"/>
              </w:rPr>
              <w:t xml:space="preserve">①服务质量保障体系</w:t>
            </w:r>
            <w:r>
              <w:rPr>
                <w:rFonts w:hint="eastAsia"/>
                <w:color w:val="000000"/>
                <w:sz w:val="24"/>
                <w:highlight w:val="none"/>
              </w:rPr>
            </w:r>
            <w:r/>
          </w:p>
          <w:p>
            <w:pPr>
              <w:pStyle w:val="844"/>
              <w:spacing w:line="360" w:lineRule="auto"/>
              <w:rPr>
                <w:rFonts w:hint="eastAsia"/>
                <w:color w:val="000000"/>
                <w:sz w:val="24"/>
                <w:highlight w:val="none"/>
              </w:rPr>
            </w:pPr>
            <w:r>
              <w:rPr>
                <w:rFonts w:hint="eastAsia"/>
                <w:color w:val="000000"/>
                <w:sz w:val="24"/>
                <w:highlight w:val="none"/>
              </w:rPr>
              <w:t xml:space="preserve">②服务质量保障措施</w:t>
            </w:r>
            <w:r>
              <w:rPr>
                <w:rFonts w:hint="eastAsia"/>
                <w:color w:val="000000"/>
                <w:sz w:val="24"/>
                <w:highlight w:val="none"/>
              </w:rPr>
            </w:r>
            <w:r/>
          </w:p>
          <w:p>
            <w:pPr>
              <w:pStyle w:val="856"/>
              <w:spacing w:line="360" w:lineRule="auto"/>
              <w:tabs>
                <w:tab w:val="left" w:pos="567" w:leader="none"/>
              </w:tabs>
              <w:rPr>
                <w:rFonts w:hint="eastAsia"/>
                <w:color w:val="000000"/>
                <w:highlight w:val="none"/>
              </w:rPr>
            </w:pPr>
            <w:r>
              <w:rPr>
                <w:rFonts w:hint="eastAsia"/>
                <w:color w:val="000000"/>
                <w:highlight w:val="none"/>
              </w:rPr>
              <w:t xml:space="preserve">上述</w:t>
            </w:r>
            <w:r>
              <w:rPr>
                <w:rFonts w:hint="eastAsia"/>
                <w:color w:val="000000"/>
                <w:highlight w:val="none"/>
                <w:lang w:val="en-US" w:eastAsia="zh-CN"/>
              </w:rPr>
              <w:t xml:space="preserve">①~</w:t>
            </w:r>
            <w:r>
              <w:rPr>
                <w:rFonts w:hint="eastAsia"/>
                <w:color w:val="000000"/>
                <w:sz w:val="24"/>
                <w:highlight w:val="none"/>
              </w:rPr>
              <w:t xml:space="preserve">②</w:t>
            </w:r>
            <w:r>
              <w:rPr>
                <w:rFonts w:hint="eastAsia"/>
                <w:color w:val="000000"/>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highlight w:val="none"/>
                <w:lang w:eastAsia="zh-CN"/>
              </w:rPr>
              <w:t xml:space="preserve">内容仅有框架或标题的任意一种情形</w:t>
            </w:r>
            <w:r>
              <w:rPr>
                <w:rFonts w:hint="eastAsia"/>
                <w:color w:val="000000"/>
                <w:highlight w:val="none"/>
              </w:rPr>
              <w:t xml:space="preserve">）的得</w:t>
            </w:r>
            <w:r>
              <w:rPr>
                <w:rFonts w:hint="eastAsia"/>
                <w:color w:val="000000"/>
                <w:highlight w:val="none"/>
                <w:lang w:val="en-US" w:eastAsia="zh-CN"/>
              </w:rPr>
              <w:t xml:space="preserve">6</w:t>
            </w:r>
            <w:r>
              <w:rPr>
                <w:rFonts w:hint="eastAsia"/>
                <w:color w:val="000000"/>
                <w:highlight w:val="none"/>
              </w:rPr>
              <w:t xml:space="preserve">分，每缺少一项内容扣</w:t>
            </w:r>
            <w:r>
              <w:rPr>
                <w:rFonts w:hint="eastAsia"/>
                <w:color w:val="000000"/>
                <w:highlight w:val="none"/>
                <w:lang w:val="en-US" w:eastAsia="zh-CN"/>
              </w:rPr>
              <w:t xml:space="preserve">3</w:t>
            </w:r>
            <w:r>
              <w:rPr>
                <w:rFonts w:hint="eastAsia"/>
                <w:color w:val="000000"/>
                <w:highlight w:val="none"/>
              </w:rPr>
              <w:t xml:space="preserve">分，扣完为止；每存在一处缺陷扣</w:t>
            </w:r>
            <w:r>
              <w:rPr>
                <w:rFonts w:hint="eastAsia"/>
                <w:color w:val="000000"/>
                <w:highlight w:val="none"/>
                <w:lang w:val="en-US" w:eastAsia="zh-CN"/>
              </w:rPr>
              <w:t xml:space="preserve">0.5</w:t>
            </w:r>
            <w:r>
              <w:rPr>
                <w:rFonts w:hint="eastAsia"/>
                <w:color w:val="000000"/>
                <w:highlight w:val="none"/>
              </w:rPr>
              <w:t xml:space="preserve">分，扣完为止。未提供不得分。</w:t>
            </w:r>
            <w:r>
              <w:rPr>
                <w:rFonts w:hint="eastAsia"/>
                <w:color w:val="000000"/>
                <w:highlight w:val="none"/>
              </w:rPr>
            </w:r>
            <w:r/>
          </w:p>
        </w:tc>
        <w:tc>
          <w:tcPr>
            <w:tcW w:w="2440" w:type="dxa"/>
            <w:vAlign w:val="center"/>
            <w:vMerge w:val="continue"/>
            <w:textDirection w:val="lrTb"/>
            <w:noWrap w:val="false"/>
          </w:tcPr>
          <w:p>
            <w:pPr>
              <w:pStyle w:val="844"/>
              <w:ind w:left="0"/>
              <w:spacing w:line="360" w:lineRule="auto"/>
              <w:rPr>
                <w:color w:val="000000"/>
                <w:sz w:val="24"/>
                <w:highlight w:val="none"/>
              </w:rPr>
            </w:pPr>
            <w:r>
              <w:rPr>
                <w:color w:val="000000"/>
                <w:sz w:val="24"/>
                <w:highlight w:val="none"/>
              </w:rPr>
            </w:r>
            <w:r/>
          </w:p>
        </w:tc>
      </w:tr>
      <w:tr>
        <w:trPr>
          <w:trHeight w:val="90"/>
        </w:trPr>
        <w:tc>
          <w:tcPr>
            <w:tcW w:w="829"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2.4</w:t>
            </w:r>
            <w:r>
              <w:rPr>
                <w:color w:val="000000"/>
                <w:sz w:val="24"/>
                <w:highlight w:val="none"/>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ascii="宋体" w:hAnsi="宋体"/>
                <w:color w:val="000000"/>
                <w:sz w:val="24"/>
                <w:highlight w:val="none"/>
              </w:rPr>
              <w:t xml:space="preserve">安全制度体系</w:t>
            </w:r>
            <w:r>
              <w:rPr>
                <w:rFonts w:hint="eastAsia" w:ascii="Times New Roman" w:hAnsi="Times New Roman" w:eastAsia="宋体" w:cs="Times New Roman"/>
                <w:color w:val="000000"/>
                <w:sz w:val="24"/>
                <w:highlight w:val="none"/>
              </w:rPr>
              <w:t xml:space="preserve">及措施</w:t>
            </w:r>
            <w:r>
              <w:rPr>
                <w:rFonts w:hint="eastAsia" w:ascii="宋体" w:hAnsi="宋体"/>
                <w:color w:val="000000"/>
                <w:sz w:val="24"/>
                <w:highlight w:val="none"/>
              </w:rPr>
              <w:t xml:space="preserve"> </w:t>
            </w:r>
            <w:r>
              <w:rPr>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color w:val="000000"/>
                <w:sz w:val="24"/>
                <w:highlight w:val="none"/>
                <w:lang w:val="en-US" w:eastAsia="zh-CN"/>
              </w:rPr>
            </w:pPr>
            <w:r>
              <w:rPr>
                <w:rFonts w:hint="eastAsia"/>
                <w:color w:val="000000"/>
                <w:sz w:val="24"/>
                <w:highlight w:val="none"/>
                <w:lang w:val="en-US" w:eastAsia="zh-CN"/>
              </w:rPr>
              <w:t xml:space="preserve">6</w:t>
            </w:r>
            <w:r>
              <w:rPr>
                <w:rFonts w:eastAsia="宋体"/>
                <w:color w:val="000000"/>
                <w:sz w:val="24"/>
                <w:highlight w:val="none"/>
                <w:lang w:val="en-US" w:eastAsia="zh-CN"/>
              </w:rPr>
            </w:r>
            <w:r/>
          </w:p>
        </w:tc>
        <w:tc>
          <w:tcPr>
            <w:tcW w:w="3978" w:type="dxa"/>
            <w:vAlign w:val="center"/>
            <w:textDirection w:val="lrTb"/>
            <w:noWrap w:val="false"/>
          </w:tcPr>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根据投标人针对本项目采购需求所提供的项目</w:t>
            </w:r>
            <w:r>
              <w:rPr>
                <w:rFonts w:hint="eastAsia" w:ascii="宋体" w:hAnsi="宋体"/>
                <w:color w:val="000000"/>
                <w:sz w:val="24"/>
                <w:highlight w:val="none"/>
              </w:rPr>
              <w:t xml:space="preserve">安全制度体系</w:t>
            </w:r>
            <w:r>
              <w:rPr>
                <w:rFonts w:hint="eastAsia" w:ascii="Times New Roman" w:hAnsi="Times New Roman" w:eastAsia="宋体" w:cs="Times New Roman"/>
                <w:color w:val="000000"/>
                <w:sz w:val="24"/>
                <w:highlight w:val="none"/>
              </w:rPr>
              <w:t xml:space="preserve">及措施进行评审</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内容包括：</w:t>
            </w:r>
            <w:r>
              <w:rPr>
                <w:rFonts w:hint="eastAsia" w:ascii="Times New Roman" w:hAnsi="Times New Roman" w:eastAsia="宋体" w:cs="Times New Roman"/>
                <w:color w:val="000000"/>
                <w:sz w:val="24"/>
                <w:highlight w:val="none"/>
              </w:rPr>
            </w:r>
            <w:r/>
          </w:p>
          <w:p>
            <w:pPr>
              <w:pStyle w:val="844"/>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①</w:t>
            </w:r>
            <w:r>
              <w:rPr>
                <w:rFonts w:hint="eastAsia" w:ascii="宋体" w:hAnsi="宋体"/>
                <w:color w:val="000000"/>
                <w:sz w:val="24"/>
                <w:highlight w:val="none"/>
              </w:rPr>
              <w:t xml:space="preserve">安全制度体系</w:t>
            </w:r>
            <w:r>
              <w:rPr>
                <w:rFonts w:hint="eastAsia" w:ascii="Times New Roman" w:hAnsi="Times New Roman" w:eastAsia="宋体" w:cs="Times New Roman"/>
                <w:color w:val="000000"/>
                <w:sz w:val="24"/>
                <w:highlight w:val="none"/>
              </w:rPr>
            </w:r>
            <w:r/>
          </w:p>
          <w:p>
            <w:pPr>
              <w:pStyle w:val="844"/>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w:t>
            </w:r>
            <w:r>
              <w:rPr>
                <w:rFonts w:hint="eastAsia" w:ascii="宋体" w:hAnsi="宋体" w:eastAsia="宋体" w:cs="Times New Roman"/>
                <w:color w:val="000000"/>
                <w:sz w:val="24"/>
                <w:highlight w:val="none"/>
                <w:lang w:val="en-US" w:eastAsia="zh-CN"/>
              </w:rPr>
              <w:t xml:space="preserve">安全管理</w:t>
            </w:r>
            <w:r>
              <w:rPr>
                <w:rFonts w:hint="eastAsia" w:ascii="宋体" w:hAnsi="宋体" w:eastAsia="宋体" w:cs="Times New Roman"/>
                <w:color w:val="000000"/>
                <w:sz w:val="24"/>
                <w:highlight w:val="none"/>
              </w:rPr>
              <w:t xml:space="preserve">保障措施</w:t>
            </w:r>
            <w:r>
              <w:rPr>
                <w:rFonts w:hint="eastAsia" w:ascii="宋体" w:hAnsi="宋体" w:eastAsia="宋体" w:cs="Times New Roman"/>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上述</w:t>
            </w:r>
            <w:r>
              <w:rPr>
                <w:rFonts w:hint="eastAsia" w:ascii="宋体" w:hAnsi="宋体" w:eastAsia="宋体" w:cs="Times New Roman"/>
                <w:color w:val="000000"/>
                <w:sz w:val="24"/>
                <w:highlight w:val="none"/>
                <w:lang w:val="en-US" w:eastAsia="zh-CN"/>
              </w:rPr>
              <w:t xml:space="preserve">①~</w:t>
            </w:r>
            <w:r>
              <w:rPr>
                <w:rFonts w:hint="eastAsia" w:ascii="宋体" w:hAnsi="宋体" w:eastAsia="宋体" w:cs="Times New Roman"/>
                <w:color w:val="000000"/>
                <w:sz w:val="24"/>
                <w:highlight w:val="none"/>
              </w:rPr>
              <w:t xml:space="preserve">②内容齐全且无缺陷（缺陷是指：内容所阐述的项目信息与本项目实际信息不一致、内容涉及的规范或标准错误、套用其他项目内容、内容与本项目无关、内容不利于项目实施、内容描述前后不一致、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Times New Roman"/>
                <w:color w:val="000000"/>
                <w:sz w:val="24"/>
                <w:highlight w:val="none"/>
                <w:lang w:eastAsia="zh-CN"/>
              </w:rPr>
              <w:t xml:space="preserve">内容仅有框架或标题的任意一种情形</w:t>
            </w:r>
            <w:r>
              <w:rPr>
                <w:rFonts w:hint="eastAsia" w:ascii="宋体" w:hAnsi="宋体" w:eastAsia="宋体" w:cs="Times New Roman"/>
                <w:color w:val="000000"/>
                <w:sz w:val="24"/>
                <w:highlight w:val="none"/>
              </w:rPr>
              <w:t xml:space="preserve">）的得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分，每缺少一项内容扣</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分，扣完为止；每存在一处缺陷扣</w:t>
            </w:r>
            <w:r>
              <w:rPr>
                <w:rFonts w:hint="eastAsia" w:ascii="宋体" w:hAnsi="宋体" w:eastAsia="宋体" w:cs="Times New Roman"/>
                <w:color w:val="000000"/>
                <w:sz w:val="24"/>
                <w:highlight w:val="none"/>
                <w:lang w:val="en-US" w:eastAsia="zh-CN"/>
              </w:rPr>
              <w:t xml:space="preserve">0.5</w:t>
            </w:r>
            <w:r>
              <w:rPr>
                <w:rFonts w:hint="eastAsia" w:ascii="宋体" w:hAnsi="宋体" w:eastAsia="宋体" w:cs="Times New Roman"/>
                <w:color w:val="000000"/>
                <w:sz w:val="24"/>
                <w:highlight w:val="none"/>
              </w:rPr>
              <w:t xml:space="preserve">分，扣完为止。未提供不得分。</w:t>
            </w:r>
            <w:r>
              <w:rPr>
                <w:rFonts w:hint="eastAsia" w:ascii="宋体" w:hAnsi="宋体" w:cs="宋体"/>
                <w:color w:val="000000"/>
                <w:sz w:val="24"/>
                <w:highlight w:val="none"/>
              </w:rPr>
            </w:r>
            <w:r/>
          </w:p>
        </w:tc>
        <w:tc>
          <w:tcPr>
            <w:tcW w:w="2440" w:type="dxa"/>
            <w:vAlign w:val="center"/>
            <w:vMerge w:val="continue"/>
            <w:textDirection w:val="lrTb"/>
            <w:noWrap w:val="false"/>
          </w:tcPr>
          <w:p>
            <w:pPr>
              <w:pStyle w:val="844"/>
              <w:ind w:left="0"/>
              <w:spacing w:line="360" w:lineRule="auto"/>
              <w:rPr>
                <w:color w:val="000000"/>
                <w:sz w:val="24"/>
                <w:highlight w:val="none"/>
              </w:rPr>
            </w:pPr>
            <w:r>
              <w:rPr>
                <w:color w:val="000000"/>
                <w:sz w:val="24"/>
                <w:highlight w:val="none"/>
              </w:rPr>
            </w:r>
            <w:r/>
          </w:p>
        </w:tc>
      </w:tr>
      <w:tr>
        <w:trPr/>
        <w:tc>
          <w:tcPr>
            <w:tcW w:w="829"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3</w:t>
            </w:r>
            <w:r>
              <w:rPr>
                <w:color w:val="000000"/>
                <w:sz w:val="24"/>
                <w:highlight w:val="none"/>
              </w:rPr>
            </w:r>
            <w:r/>
          </w:p>
        </w:tc>
        <w:tc>
          <w:tcPr>
            <w:tcW w:w="1468"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rPr>
              <w:t xml:space="preserve">客观分</w:t>
            </w:r>
            <w:r>
              <w:rPr>
                <w:color w:val="000000"/>
                <w:sz w:val="24"/>
                <w:highlight w:val="none"/>
              </w:rPr>
            </w:r>
            <w:r/>
          </w:p>
        </w:tc>
        <w:tc>
          <w:tcPr>
            <w:tcW w:w="913" w:type="dxa"/>
            <w:vAlign w:val="center"/>
            <w:textDirection w:val="lrTb"/>
            <w:noWrap w:val="false"/>
          </w:tcPr>
          <w:p>
            <w:pPr>
              <w:pStyle w:val="844"/>
              <w:ind w:firstLine="28"/>
              <w:jc w:val="center"/>
              <w:spacing w:line="360" w:lineRule="auto"/>
              <w:rPr>
                <w:color w:val="000000"/>
                <w:sz w:val="24"/>
                <w:highlight w:val="none"/>
              </w:rPr>
            </w:pPr>
            <w:r>
              <w:rPr>
                <w:rFonts w:hint="eastAsia"/>
                <w:color w:val="000000"/>
                <w:sz w:val="24"/>
                <w:highlight w:val="none"/>
                <w:lang w:val="en-US" w:eastAsia="zh-CN"/>
              </w:rPr>
              <w:t xml:space="preserve">44</w:t>
            </w:r>
            <w:r>
              <w:rPr>
                <w:rFonts w:hint="eastAsia"/>
                <w:color w:val="000000"/>
                <w:sz w:val="24"/>
                <w:highlight w:val="none"/>
              </w:rPr>
              <w:t xml:space="preserve">分</w:t>
            </w:r>
            <w:r>
              <w:rPr>
                <w:color w:val="000000"/>
                <w:sz w:val="24"/>
                <w:highlight w:val="none"/>
              </w:rPr>
            </w:r>
            <w:r/>
          </w:p>
        </w:tc>
        <w:tc>
          <w:tcPr>
            <w:tcW w:w="3978" w:type="dxa"/>
            <w:vAlign w:val="center"/>
            <w:textDirection w:val="lrTb"/>
            <w:noWrap w:val="false"/>
          </w:tcPr>
          <w:p>
            <w:pPr>
              <w:pStyle w:val="844"/>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440" w:type="dxa"/>
            <w:vAlign w:val="center"/>
            <w:textDirection w:val="lrTb"/>
            <w:noWrap w:val="false"/>
          </w:tcPr>
          <w:p>
            <w:pPr>
              <w:pStyle w:val="844"/>
              <w:ind w:left="0"/>
              <w:spacing w:line="360" w:lineRule="auto"/>
              <w:rPr>
                <w:color w:val="000000"/>
                <w:sz w:val="24"/>
                <w:highlight w:val="none"/>
              </w:rPr>
            </w:pPr>
            <w:r>
              <w:rPr>
                <w:color w:val="000000"/>
                <w:sz w:val="24"/>
                <w:highlight w:val="none"/>
              </w:rPr>
            </w:r>
            <w:r/>
          </w:p>
        </w:tc>
      </w:tr>
      <w:tr>
        <w:trPr>
          <w:trHeight w:val="90"/>
        </w:trPr>
        <w:tc>
          <w:tcPr>
            <w:tcW w:w="829" w:type="dxa"/>
            <w:vAlign w:val="center"/>
            <w:textDirection w:val="lrTb"/>
            <w:noWrap w:val="false"/>
          </w:tcPr>
          <w:p>
            <w:pPr>
              <w:pStyle w:val="844"/>
              <w:ind w:firstLine="28"/>
              <w:jc w:val="center"/>
              <w:spacing w:line="360" w:lineRule="auto"/>
              <w:rPr>
                <w:rFonts w:hint="eastAsia" w:eastAsia="宋体"/>
                <w:b w:val="0"/>
                <w:bCs w:val="0"/>
                <w:color w:val="000000"/>
                <w:sz w:val="24"/>
                <w:highlight w:val="none"/>
                <w:lang w:eastAsia="zh-CN"/>
              </w:rPr>
            </w:pPr>
            <w:r>
              <w:rPr>
                <w:rFonts w:hint="eastAsia"/>
                <w:b w:val="0"/>
                <w:bCs w:val="0"/>
                <w:color w:val="000000"/>
                <w:sz w:val="24"/>
                <w:highlight w:val="none"/>
              </w:rPr>
              <w:t xml:space="preserve">3.</w:t>
            </w:r>
            <w:r>
              <w:rPr>
                <w:rFonts w:hint="eastAsia"/>
                <w:b w:val="0"/>
                <w:bCs w:val="0"/>
                <w:color w:val="000000"/>
                <w:sz w:val="24"/>
                <w:highlight w:val="none"/>
                <w:lang w:val="en-US" w:eastAsia="zh-CN"/>
              </w:rPr>
              <w:t xml:space="preserve">1</w:t>
            </w:r>
            <w:r>
              <w:rPr>
                <w:rFonts w:hint="eastAsia" w:eastAsia="宋体"/>
                <w:b w:val="0"/>
                <w:bCs w:val="0"/>
                <w:color w:val="000000"/>
                <w:sz w:val="24"/>
                <w:highlight w:val="none"/>
                <w:lang w:eastAsia="zh-CN"/>
              </w:rPr>
            </w:r>
            <w:r/>
          </w:p>
        </w:tc>
        <w:tc>
          <w:tcPr>
            <w:tcW w:w="1468" w:type="dxa"/>
            <w:vAlign w:val="center"/>
            <w:textDirection w:val="lrTb"/>
            <w:noWrap w:val="false"/>
          </w:tcPr>
          <w:p>
            <w:pPr>
              <w:pStyle w:val="844"/>
              <w:ind w:firstLine="28"/>
              <w:jc w:val="cente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类似业绩</w:t>
            </w:r>
            <w:r>
              <w:rPr>
                <w:rFonts w:hint="eastAsia" w:ascii="宋体" w:hAnsi="宋体" w:cs="宋体"/>
                <w:b w:val="0"/>
                <w:bCs w:val="0"/>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b w:val="0"/>
                <w:bCs w:val="0"/>
                <w:color w:val="000000"/>
                <w:sz w:val="24"/>
                <w:highlight w:val="none"/>
                <w:lang w:val="en-US" w:eastAsia="zh-CN"/>
              </w:rPr>
            </w:pPr>
            <w:r>
              <w:rPr>
                <w:rFonts w:hint="eastAsia"/>
                <w:b w:val="0"/>
                <w:bCs w:val="0"/>
                <w:color w:val="000000"/>
                <w:sz w:val="24"/>
                <w:highlight w:val="none"/>
                <w:lang w:val="en-US" w:eastAsia="zh-CN"/>
              </w:rPr>
              <w:t xml:space="preserve">18</w:t>
            </w:r>
            <w:r>
              <w:rPr>
                <w:rFonts w:eastAsia="宋体"/>
                <w:b w:val="0"/>
                <w:bCs w:val="0"/>
                <w:color w:val="000000"/>
                <w:sz w:val="24"/>
                <w:highlight w:val="none"/>
                <w:lang w:val="en-US" w:eastAsia="zh-CN"/>
              </w:rPr>
            </w:r>
            <w:r/>
          </w:p>
        </w:tc>
        <w:tc>
          <w:tcPr>
            <w:tcW w:w="3978" w:type="dxa"/>
            <w:vAlign w:val="center"/>
            <w:textDirection w:val="lrTb"/>
            <w:noWrap w:val="false"/>
          </w:tcPr>
          <w:p>
            <w:pPr>
              <w:pStyle w:val="860"/>
              <w:ind w:firstLine="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自202</w:t>
            </w: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年1月1日以来</w:t>
            </w:r>
            <w:r>
              <w:rPr>
                <w:rFonts w:hint="eastAsia" w:ascii="宋体" w:hAnsi="宋体" w:eastAsia="宋体" w:cs="Times New Roman"/>
                <w:b w:val="0"/>
                <w:bCs w:val="0"/>
                <w:color w:val="000000"/>
                <w:sz w:val="24"/>
                <w:szCs w:val="24"/>
                <w:highlight w:val="none"/>
                <w:lang w:val="en-US"/>
              </w:rPr>
              <w:t xml:space="preserve">承担过类似项目（</w:t>
            </w:r>
            <w:r>
              <w:rPr>
                <w:rFonts w:hint="eastAsia" w:ascii="宋体" w:hAnsi="宋体" w:eastAsia="宋体" w:cs="Times New Roman"/>
                <w:b w:val="0"/>
                <w:bCs w:val="0"/>
                <w:color w:val="000000"/>
                <w:sz w:val="24"/>
                <w:szCs w:val="24"/>
                <w:highlight w:val="none"/>
                <w:lang w:val="en-US" w:eastAsia="zh-CN"/>
              </w:rPr>
              <w:t xml:space="preserve">合同内容须包含污水相关的绩效考核评价或设施运维</w:t>
            </w:r>
            <w:r>
              <w:rPr>
                <w:rFonts w:hint="eastAsia" w:ascii="宋体" w:hAnsi="宋体" w:eastAsia="宋体" w:cs="Times New Roman"/>
                <w:b w:val="0"/>
                <w:bCs w:val="0"/>
                <w:color w:val="000000"/>
                <w:sz w:val="24"/>
                <w:szCs w:val="24"/>
                <w:highlight w:val="none"/>
                <w:lang w:val="en-US"/>
              </w:rPr>
              <w:t xml:space="preserve">）</w:t>
            </w:r>
            <w:r>
              <w:rPr>
                <w:rFonts w:hint="eastAsia" w:ascii="宋体" w:hAnsi="宋体" w:eastAsia="宋体" w:cs="Times New Roman"/>
                <w:b w:val="0"/>
                <w:bCs w:val="0"/>
                <w:color w:val="000000"/>
                <w:sz w:val="24"/>
                <w:szCs w:val="24"/>
                <w:highlight w:val="none"/>
                <w:lang w:val="en-US" w:eastAsia="zh-CN"/>
              </w:rPr>
              <w:t xml:space="preserve">业绩</w:t>
            </w:r>
            <w:r>
              <w:rPr>
                <w:rFonts w:hint="eastAsia" w:ascii="宋体" w:hAnsi="宋体" w:eastAsia="宋体" w:cs="Times New Roman"/>
                <w:b w:val="0"/>
                <w:bCs w:val="0"/>
                <w:color w:val="000000"/>
                <w:sz w:val="24"/>
                <w:szCs w:val="24"/>
                <w:highlight w:val="none"/>
              </w:rPr>
              <w:t xml:space="preserve">的</w:t>
            </w:r>
            <w:r>
              <w:rPr>
                <w:rFonts w:hint="eastAsia" w:ascii="宋体" w:hAnsi="宋体" w:eastAsia="宋体" w:cs="Times New Roman"/>
                <w:b w:val="0"/>
                <w:bCs w:val="0"/>
                <w:color w:val="000000"/>
                <w:sz w:val="24"/>
                <w:szCs w:val="24"/>
                <w:highlight w:val="none"/>
                <w:lang w:val="en-US"/>
              </w:rPr>
              <w:t xml:space="preserve">，有1个得</w:t>
            </w: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strike w:val="0"/>
                <w:color w:val="000000"/>
                <w:sz w:val="24"/>
                <w:szCs w:val="24"/>
                <w:highlight w:val="none"/>
                <w:lang w:val="en-US" w:eastAsia="zh-CN"/>
              </w:rPr>
              <w:t xml:space="preserve">本项最高得18分</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rPr>
            </w:r>
            <w:r/>
          </w:p>
        </w:tc>
        <w:tc>
          <w:tcPr>
            <w:tcW w:w="2440" w:type="dxa"/>
            <w:vAlign w:val="center"/>
            <w:textDirection w:val="lrTb"/>
            <w:noWrap w:val="false"/>
          </w:tcPr>
          <w:p>
            <w:pPr>
              <w:pStyle w:val="844"/>
              <w:ind w:left="0"/>
              <w:spacing w:line="360" w:lineRule="auto"/>
              <w:rPr>
                <w:b/>
                <w:bCs/>
                <w:color w:val="000000"/>
                <w:sz w:val="24"/>
                <w:highlight w:val="none"/>
              </w:rPr>
            </w:pPr>
            <w:r>
              <w:rPr>
                <w:rFonts w:hint="eastAsia"/>
                <w:b/>
                <w:bCs/>
                <w:color w:val="000000"/>
                <w:sz w:val="24"/>
                <w:highlight w:val="none"/>
              </w:rPr>
              <w:t xml:space="preserve">须提供合同</w:t>
            </w:r>
            <w:r>
              <w:rPr>
                <w:rFonts w:hint="eastAsia"/>
                <w:b/>
                <w:bCs/>
                <w:color w:val="000000"/>
                <w:sz w:val="24"/>
                <w:highlight w:val="none"/>
                <w:lang w:val="en-US" w:eastAsia="zh-CN"/>
              </w:rPr>
              <w:t xml:space="preserve">及合同价款部分发票</w:t>
            </w:r>
            <w:r>
              <w:rPr>
                <w:rFonts w:hint="eastAsia"/>
                <w:b/>
                <w:bCs/>
                <w:color w:val="000000"/>
                <w:sz w:val="24"/>
                <w:highlight w:val="none"/>
              </w:rPr>
              <w:t xml:space="preserve">，时间以合同履行期限为准，不提供不得分。</w:t>
            </w:r>
            <w:r>
              <w:rPr>
                <w:b/>
                <w:bCs/>
                <w:color w:val="000000"/>
                <w:sz w:val="24"/>
                <w:highlight w:val="none"/>
              </w:rPr>
            </w:r>
            <w:r/>
          </w:p>
        </w:tc>
      </w:tr>
      <w:tr>
        <w:trPr>
          <w:trHeight w:val="1598"/>
        </w:trPr>
        <w:tc>
          <w:tcPr>
            <w:tcW w:w="829" w:type="dxa"/>
            <w:vAlign w:val="center"/>
            <w:vMerge w:val="restart"/>
            <w:textDirection w:val="lrTb"/>
            <w:noWrap w:val="false"/>
          </w:tcPr>
          <w:p>
            <w:pPr>
              <w:pStyle w:val="844"/>
              <w:ind w:firstLine="28"/>
              <w:jc w:val="center"/>
              <w:spacing w:line="360" w:lineRule="auto"/>
              <w:rPr>
                <w:rFonts w:hint="eastAsia" w:eastAsia="宋体"/>
                <w:b w:val="0"/>
                <w:bCs w:val="0"/>
                <w:color w:val="000000"/>
                <w:sz w:val="24"/>
                <w:highlight w:val="none"/>
                <w:lang w:eastAsia="zh-CN"/>
              </w:rPr>
            </w:pPr>
            <w:r>
              <w:rPr>
                <w:rFonts w:hint="eastAsia"/>
                <w:b w:val="0"/>
                <w:bCs w:val="0"/>
                <w:color w:val="000000"/>
                <w:sz w:val="24"/>
                <w:highlight w:val="none"/>
              </w:rPr>
              <w:t xml:space="preserve">3.</w:t>
            </w:r>
            <w:r>
              <w:rPr>
                <w:rFonts w:hint="eastAsia"/>
                <w:b w:val="0"/>
                <w:bCs w:val="0"/>
                <w:color w:val="000000"/>
                <w:sz w:val="24"/>
                <w:highlight w:val="none"/>
                <w:lang w:val="en-US" w:eastAsia="zh-CN"/>
              </w:rPr>
              <w:t xml:space="preserve">2</w:t>
            </w:r>
            <w:r>
              <w:rPr>
                <w:rFonts w:hint="eastAsia" w:eastAsia="宋体"/>
                <w:b w:val="0"/>
                <w:bCs w:val="0"/>
                <w:color w:val="000000"/>
                <w:sz w:val="24"/>
                <w:highlight w:val="none"/>
                <w:lang w:eastAsia="zh-CN"/>
              </w:rPr>
            </w:r>
            <w:r/>
          </w:p>
        </w:tc>
        <w:tc>
          <w:tcPr>
            <w:tcW w:w="1468" w:type="dxa"/>
            <w:vAlign w:val="center"/>
            <w:vMerge w:val="restart"/>
            <w:textDirection w:val="lrTb"/>
            <w:noWrap w:val="false"/>
          </w:tcPr>
          <w:p>
            <w:pPr>
              <w:pStyle w:val="844"/>
              <w:ind w:firstLine="28"/>
              <w:jc w:val="center"/>
              <w:spacing w:line="360" w:lineRule="auto"/>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项目团队1</w:t>
            </w:r>
            <w:r>
              <w:rPr>
                <w:rFonts w:ascii="宋体" w:hAnsi="宋体" w:eastAsia="宋体" w:cs="宋体"/>
                <w:b w:val="0"/>
                <w:bCs w:val="0"/>
                <w:color w:val="000000"/>
                <w:sz w:val="24"/>
                <w:highlight w:val="none"/>
                <w:lang w:val="en-US" w:eastAsia="zh-CN"/>
              </w:rPr>
            </w:r>
            <w:r/>
          </w:p>
        </w:tc>
        <w:tc>
          <w:tcPr>
            <w:tcW w:w="913" w:type="dxa"/>
            <w:vAlign w:val="center"/>
            <w:textDirection w:val="lrTb"/>
            <w:noWrap w:val="false"/>
          </w:tcPr>
          <w:p>
            <w:pPr>
              <w:pStyle w:val="844"/>
              <w:ind w:firstLine="28"/>
              <w:jc w:val="center"/>
              <w:spacing w:line="360" w:lineRule="auto"/>
              <w:rPr>
                <w:rFonts w:hint="eastAsia" w:eastAsia="宋体"/>
                <w:b w:val="0"/>
                <w:bCs w:val="0"/>
                <w:color w:val="000000"/>
                <w:sz w:val="24"/>
                <w:highlight w:val="none"/>
                <w:lang w:eastAsia="zh-CN"/>
              </w:rPr>
            </w:pPr>
            <w:r>
              <w:rPr>
                <w:rFonts w:hint="eastAsia"/>
                <w:b w:val="0"/>
                <w:bCs w:val="0"/>
                <w:color w:val="000000"/>
                <w:sz w:val="24"/>
                <w:highlight w:val="none"/>
                <w:lang w:val="en-US" w:eastAsia="zh-CN"/>
              </w:rPr>
              <w:t xml:space="preserve">3</w:t>
            </w:r>
            <w:r>
              <w:rPr>
                <w:rFonts w:hint="eastAsia" w:eastAsia="宋体"/>
                <w:b w:val="0"/>
                <w:bCs w:val="0"/>
                <w:color w:val="000000"/>
                <w:sz w:val="24"/>
                <w:highlight w:val="none"/>
                <w:lang w:eastAsia="zh-CN"/>
              </w:rPr>
            </w:r>
            <w:r/>
          </w:p>
        </w:tc>
        <w:tc>
          <w:tcPr>
            <w:tcW w:w="3978" w:type="dxa"/>
            <w:vAlign w:val="center"/>
            <w:textDirection w:val="lrTb"/>
            <w:noWrap w:val="false"/>
          </w:tcPr>
          <w:p>
            <w:pPr>
              <w:pStyle w:val="846"/>
              <w:jc w:val="left"/>
              <w:keepLines w:val="0"/>
              <w:keepNext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拟派项目负责人具有</w:t>
            </w:r>
            <w:r>
              <w:rPr>
                <w:rFonts w:hint="eastAsia" w:ascii="宋体" w:hAnsi="宋体" w:eastAsia="宋体" w:cs="宋体"/>
                <w:b w:val="0"/>
                <w:bCs w:val="0"/>
                <w:color w:val="000000"/>
                <w:sz w:val="24"/>
                <w:szCs w:val="24"/>
                <w:highlight w:val="none"/>
                <w:lang w:val="en-US" w:eastAsia="zh-CN"/>
              </w:rPr>
              <w:t xml:space="preserve">环保类或建设工程类（给水排水或市政工程）</w:t>
            </w:r>
            <w:r>
              <w:rPr>
                <w:rFonts w:hint="eastAsia" w:ascii="宋体" w:hAnsi="宋体" w:eastAsia="宋体" w:cs="宋体"/>
                <w:b w:val="0"/>
                <w:bCs w:val="0"/>
                <w:color w:val="000000"/>
                <w:sz w:val="24"/>
                <w:szCs w:val="24"/>
                <w:highlight w:val="none"/>
              </w:rPr>
              <w:t xml:space="preserve">高级（含）以上技术职称的得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本项最高3分。</w:t>
            </w:r>
            <w:r>
              <w:rPr>
                <w:rFonts w:hint="eastAsia" w:ascii="宋体" w:hAnsi="宋体" w:eastAsia="宋体" w:cs="Times New Roman"/>
                <w:b w:val="0"/>
                <w:bCs w:val="0"/>
                <w:color w:val="000000"/>
                <w:sz w:val="24"/>
                <w:szCs w:val="24"/>
                <w:highlight w:val="none"/>
                <w:lang w:val="en-US" w:eastAsia="zh-CN"/>
              </w:rPr>
            </w:r>
            <w:r/>
          </w:p>
        </w:tc>
        <w:tc>
          <w:tcPr>
            <w:tcW w:w="2440" w:type="dxa"/>
            <w:vAlign w:val="center"/>
            <w:textDirection w:val="lrTb"/>
            <w:noWrap w:val="false"/>
          </w:tcPr>
          <w:p>
            <w:pPr>
              <w:pStyle w:val="844"/>
              <w:ind w:left="0"/>
              <w:spacing w:line="360" w:lineRule="auto"/>
              <w:rPr>
                <w:b/>
                <w:bCs/>
                <w:color w:val="000000"/>
                <w:sz w:val="24"/>
                <w:highlight w:val="none"/>
              </w:rPr>
            </w:pPr>
            <w:r>
              <w:rPr>
                <w:rFonts w:hint="eastAsia"/>
                <w:b/>
                <w:bCs/>
                <w:color w:val="000000"/>
                <w:sz w:val="24"/>
                <w:highlight w:val="none"/>
              </w:rPr>
              <w:t xml:space="preserve">须提供相应证书及供应商为其缴纳的近期</w:t>
            </w:r>
            <w:r>
              <w:rPr>
                <w:rFonts w:hint="eastAsia"/>
                <w:b/>
                <w:bCs/>
                <w:color w:val="000000"/>
                <w:sz w:val="24"/>
                <w:highlight w:val="none"/>
                <w:lang w:val="en-US" w:eastAsia="zh-CN"/>
              </w:rPr>
              <w:t xml:space="preserve">养老保险</w:t>
            </w:r>
            <w:r>
              <w:rPr>
                <w:rFonts w:hint="eastAsia"/>
                <w:b/>
                <w:bCs/>
                <w:color w:val="000000"/>
                <w:sz w:val="24"/>
                <w:highlight w:val="none"/>
              </w:rPr>
              <w:t xml:space="preserve">证明（如为退休人员，须提供</w:t>
            </w:r>
            <w:r>
              <w:rPr>
                <w:rFonts w:hint="eastAsia"/>
                <w:b/>
                <w:bCs/>
                <w:color w:val="000000"/>
                <w:sz w:val="24"/>
                <w:highlight w:val="none"/>
                <w:lang w:val="en-US" w:eastAsia="zh-CN"/>
              </w:rPr>
              <w:t xml:space="preserve">退休证明及</w:t>
            </w:r>
            <w:r>
              <w:rPr>
                <w:rFonts w:hint="eastAsia"/>
                <w:b/>
                <w:bCs/>
                <w:color w:val="000000"/>
                <w:sz w:val="24"/>
                <w:highlight w:val="none"/>
              </w:rPr>
              <w:t xml:space="preserve">返聘合同），不提供不得分。</w:t>
            </w:r>
            <w:r>
              <w:rPr>
                <w:b/>
                <w:bCs/>
                <w:color w:val="000000"/>
                <w:sz w:val="24"/>
                <w:highlight w:val="none"/>
              </w:rPr>
            </w:r>
            <w:r/>
          </w:p>
        </w:tc>
      </w:tr>
      <w:tr>
        <w:trPr>
          <w:trHeight w:val="1598"/>
        </w:trPr>
        <w:tc>
          <w:tcPr>
            <w:tcW w:w="829" w:type="dxa"/>
            <w:vAlign w:val="center"/>
            <w:vMerge w:val="continue"/>
            <w:textDirection w:val="lrTb"/>
            <w:noWrap w:val="false"/>
          </w:tcPr>
          <w:p>
            <w:pPr>
              <w:pStyle w:val="844"/>
              <w:ind w:firstLine="28"/>
              <w:jc w:val="center"/>
              <w:spacing w:line="360" w:lineRule="auto"/>
              <w:rPr>
                <w:rFonts w:hint="eastAsia"/>
                <w:b w:val="0"/>
                <w:bCs w:val="0"/>
                <w:color w:val="000000"/>
                <w:sz w:val="24"/>
                <w:highlight w:val="none"/>
              </w:rPr>
            </w:pPr>
            <w:r>
              <w:rPr>
                <w:rFonts w:hint="eastAsia"/>
                <w:b w:val="0"/>
                <w:bCs w:val="0"/>
                <w:color w:val="000000"/>
                <w:sz w:val="24"/>
                <w:highlight w:val="none"/>
              </w:rPr>
            </w:r>
            <w:r/>
          </w:p>
        </w:tc>
        <w:tc>
          <w:tcPr>
            <w:tcW w:w="1468" w:type="dxa"/>
            <w:vAlign w:val="center"/>
            <w:vMerge w:val="continue"/>
            <w:textDirection w:val="lrTb"/>
            <w:noWrap w:val="false"/>
          </w:tcPr>
          <w:p>
            <w:pPr>
              <w:pStyle w:val="844"/>
              <w:ind w:firstLine="28"/>
              <w:jc w:val="center"/>
              <w:spacing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r>
            <w:r/>
          </w:p>
        </w:tc>
        <w:tc>
          <w:tcPr>
            <w:tcW w:w="913" w:type="dxa"/>
            <w:vAlign w:val="center"/>
            <w:textDirection w:val="lrTb"/>
            <w:noWrap w:val="false"/>
          </w:tcPr>
          <w:p>
            <w:pPr>
              <w:pStyle w:val="844"/>
              <w:ind w:firstLine="28"/>
              <w:jc w:val="center"/>
              <w:spacing w:line="360" w:lineRule="auto"/>
              <w:rPr>
                <w:b w:val="0"/>
                <w:bCs w:val="0"/>
                <w:color w:val="000000"/>
                <w:sz w:val="24"/>
                <w:highlight w:val="none"/>
                <w:lang w:val="en-US" w:eastAsia="zh-CN"/>
              </w:rPr>
            </w:pPr>
            <w:r>
              <w:rPr>
                <w:rFonts w:hint="eastAsia"/>
                <w:b w:val="0"/>
                <w:bCs w:val="0"/>
                <w:color w:val="000000"/>
                <w:sz w:val="24"/>
                <w:highlight w:val="none"/>
                <w:lang w:val="en-US" w:eastAsia="zh-CN"/>
              </w:rPr>
              <w:t xml:space="preserve">6</w:t>
            </w:r>
            <w:r>
              <w:rPr>
                <w:b w:val="0"/>
                <w:bCs w:val="0"/>
                <w:color w:val="000000"/>
                <w:sz w:val="24"/>
                <w:highlight w:val="none"/>
                <w:lang w:val="en-US" w:eastAsia="zh-CN"/>
              </w:rPr>
            </w:r>
            <w:r/>
          </w:p>
        </w:tc>
        <w:tc>
          <w:tcPr>
            <w:tcW w:w="3978" w:type="dxa"/>
            <w:vAlign w:val="center"/>
            <w:textDirection w:val="lrTb"/>
            <w:noWrap w:val="false"/>
          </w:tcPr>
          <w:p>
            <w:pPr>
              <w:pStyle w:val="860"/>
              <w:ind w:firstLine="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拟派项目负责人</w:t>
            </w:r>
            <w:r>
              <w:rPr>
                <w:rFonts w:hint="eastAsia" w:ascii="宋体" w:hAnsi="宋体" w:eastAsia="宋体" w:cs="宋体"/>
                <w:b w:val="0"/>
                <w:bCs w:val="0"/>
                <w:color w:val="000000"/>
                <w:sz w:val="24"/>
                <w:szCs w:val="24"/>
                <w:highlight w:val="none"/>
                <w:lang w:val="en-US" w:eastAsia="zh-CN"/>
              </w:rPr>
              <w:t xml:space="preserve">曾经担任过污水相关绩效考核评价或设施运维服务项目负责人的，有一项得3分，本项最高6分。</w:t>
            </w:r>
            <w:r>
              <w:rPr>
                <w:rFonts w:hint="eastAsia" w:ascii="宋体" w:hAnsi="宋体" w:eastAsia="宋体" w:cs="Times New Roman"/>
                <w:b w:val="0"/>
                <w:bCs w:val="0"/>
                <w:color w:val="000000"/>
                <w:sz w:val="24"/>
                <w:szCs w:val="24"/>
                <w:highlight w:val="none"/>
                <w:lang w:val="en-US" w:eastAsia="zh-CN"/>
              </w:rPr>
            </w:r>
            <w:r/>
          </w:p>
        </w:tc>
        <w:tc>
          <w:tcPr>
            <w:tcW w:w="2440" w:type="dxa"/>
            <w:vAlign w:val="center"/>
            <w:textDirection w:val="lrTb"/>
            <w:noWrap w:val="false"/>
          </w:tcPr>
          <w:p>
            <w:pPr>
              <w:pStyle w:val="844"/>
              <w:ind w:left="0"/>
              <w:spacing w:line="360" w:lineRule="auto"/>
              <w:rPr>
                <w:rFonts w:hint="eastAsia"/>
                <w:b/>
                <w:bCs/>
                <w:color w:val="000000"/>
                <w:sz w:val="24"/>
                <w:highlight w:val="none"/>
              </w:rPr>
            </w:pPr>
            <w:r>
              <w:rPr>
                <w:rFonts w:hint="eastAsia"/>
                <w:b/>
                <w:bCs/>
                <w:color w:val="000000"/>
                <w:sz w:val="24"/>
                <w:highlight w:val="none"/>
              </w:rPr>
              <w:t xml:space="preserve">须提供</w:t>
            </w:r>
            <w:r>
              <w:rPr>
                <w:rFonts w:hint="eastAsia" w:ascii="Times New Roman" w:eastAsia="宋体"/>
                <w:b/>
                <w:bCs/>
                <w:color w:val="000000"/>
                <w:sz w:val="24"/>
                <w:highlight w:val="none"/>
                <w:lang w:val="en-US" w:eastAsia="zh-CN"/>
              </w:rPr>
              <w:t xml:space="preserve">业绩合同</w:t>
            </w:r>
            <w:r>
              <w:rPr>
                <w:rFonts w:hint="eastAsia" w:eastAsia="宋体"/>
                <w:b/>
                <w:bCs/>
                <w:color w:val="000000"/>
                <w:sz w:val="24"/>
                <w:highlight w:val="none"/>
                <w:lang w:val="en-US" w:eastAsia="zh-CN"/>
              </w:rPr>
              <w:t xml:space="preserve">、合同价款部分发票</w:t>
            </w:r>
            <w:r>
              <w:rPr>
                <w:rFonts w:hint="eastAsia" w:eastAsia="宋体"/>
                <w:b/>
                <w:bCs/>
                <w:color w:val="000000"/>
                <w:sz w:val="24"/>
                <w:highlight w:val="none"/>
                <w:lang w:eastAsia="zh-CN"/>
              </w:rPr>
              <w:t xml:space="preserve">，</w:t>
            </w:r>
            <w:r>
              <w:rPr>
                <w:rFonts w:hint="eastAsia"/>
                <w:b/>
                <w:bCs/>
                <w:color w:val="000000"/>
                <w:sz w:val="24"/>
                <w:highlight w:val="none"/>
              </w:rPr>
              <w:t xml:space="preserve">不提供不得分。</w:t>
            </w:r>
            <w:r>
              <w:rPr>
                <w:rFonts w:hint="eastAsia"/>
                <w:b/>
                <w:bCs/>
                <w:color w:val="000000"/>
                <w:sz w:val="24"/>
                <w:highlight w:val="none"/>
              </w:rPr>
            </w:r>
            <w:r/>
          </w:p>
          <w:p>
            <w:pPr>
              <w:pStyle w:val="856"/>
              <w:tabs>
                <w:tab w:val="left" w:pos="567" w:leader="none"/>
              </w:tabs>
              <w:rPr>
                <w:rFonts w:hint="eastAsia"/>
                <w:b/>
                <w:bCs/>
                <w:color w:val="000000"/>
                <w:highlight w:val="none"/>
              </w:rPr>
            </w:pPr>
            <w:r>
              <w:rPr>
                <w:rFonts w:hint="eastAsia" w:ascii="Times New Roman" w:eastAsia="宋体"/>
                <w:b/>
                <w:bCs/>
                <w:color w:val="000000"/>
                <w:sz w:val="24"/>
                <w:highlight w:val="none"/>
                <w:lang w:val="en-US" w:eastAsia="zh-CN"/>
              </w:rPr>
              <w:t xml:space="preserve">合同中须载明项目负责人名称，如未载明，则须提供项目甲方出具的证明材料（加盖项目甲方公章），否则不予认可</w:t>
            </w:r>
            <w:r>
              <w:rPr>
                <w:rFonts w:hint="eastAsia" w:eastAsia="宋体"/>
                <w:b/>
                <w:bCs/>
                <w:color w:val="000000"/>
                <w:sz w:val="24"/>
                <w:highlight w:val="none"/>
                <w:lang w:eastAsia="zh-CN"/>
              </w:rPr>
              <w:t xml:space="preserve">。</w:t>
            </w:r>
            <w:r>
              <w:rPr>
                <w:rFonts w:hint="eastAsia"/>
                <w:b/>
                <w:bCs/>
                <w:color w:val="000000"/>
                <w:highlight w:val="none"/>
              </w:rPr>
            </w:r>
            <w:r/>
          </w:p>
        </w:tc>
      </w:tr>
      <w:tr>
        <w:trPr>
          <w:trHeight w:val="90"/>
        </w:trPr>
        <w:tc>
          <w:tcPr>
            <w:tcW w:w="829" w:type="dxa"/>
            <w:vAlign w:val="center"/>
            <w:textDirection w:val="lrTb"/>
            <w:noWrap w:val="false"/>
          </w:tcPr>
          <w:p>
            <w:pPr>
              <w:pStyle w:val="844"/>
              <w:ind w:firstLine="28"/>
              <w:jc w:val="center"/>
              <w:spacing w:line="360" w:lineRule="auto"/>
              <w:rPr>
                <w:rFonts w:hint="eastAsia" w:eastAsia="宋体"/>
                <w:b w:val="0"/>
                <w:bCs w:val="0"/>
                <w:color w:val="000000"/>
                <w:sz w:val="24"/>
                <w:highlight w:val="none"/>
                <w:lang w:val="en-US" w:eastAsia="zh-CN"/>
              </w:rPr>
            </w:pPr>
            <w:r>
              <w:rPr>
                <w:rFonts w:hint="eastAsia"/>
                <w:b w:val="0"/>
                <w:bCs w:val="0"/>
                <w:color w:val="000000"/>
                <w:sz w:val="24"/>
                <w:highlight w:val="none"/>
              </w:rPr>
              <w:t xml:space="preserve">3.</w:t>
            </w:r>
            <w:r>
              <w:rPr>
                <w:rFonts w:hint="eastAsia"/>
                <w:b w:val="0"/>
                <w:bCs w:val="0"/>
                <w:color w:val="000000"/>
                <w:sz w:val="24"/>
                <w:highlight w:val="none"/>
                <w:lang w:val="en-US" w:eastAsia="zh-CN"/>
              </w:rPr>
              <w:t xml:space="preserve">3</w:t>
            </w:r>
            <w:r>
              <w:rPr>
                <w:rFonts w:hint="eastAsia" w:eastAsia="宋体"/>
                <w:b w:val="0"/>
                <w:bCs w:val="0"/>
                <w:color w:val="000000"/>
                <w:sz w:val="24"/>
                <w:highlight w:val="none"/>
                <w:lang w:val="en-US" w:eastAsia="zh-CN"/>
              </w:rPr>
            </w:r>
            <w:r/>
          </w:p>
        </w:tc>
        <w:tc>
          <w:tcPr>
            <w:tcW w:w="1468" w:type="dxa"/>
            <w:vAlign w:val="center"/>
            <w:textDirection w:val="lrTb"/>
            <w:noWrap w:val="false"/>
          </w:tcPr>
          <w:p>
            <w:pPr>
              <w:pStyle w:val="844"/>
              <w:ind w:firstLine="28"/>
              <w:jc w:val="cente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项目团队</w:t>
            </w: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rPr>
            </w:r>
            <w:r/>
          </w:p>
        </w:tc>
        <w:tc>
          <w:tcPr>
            <w:tcW w:w="913" w:type="dxa"/>
            <w:vAlign w:val="center"/>
            <w:textDirection w:val="lrTb"/>
            <w:noWrap w:val="false"/>
          </w:tcPr>
          <w:p>
            <w:pPr>
              <w:pStyle w:val="844"/>
              <w:ind w:firstLine="28"/>
              <w:jc w:val="center"/>
              <w:spacing w:line="360" w:lineRule="auto"/>
              <w:rPr>
                <w:rFonts w:eastAsia="宋体"/>
                <w:b w:val="0"/>
                <w:bCs w:val="0"/>
                <w:color w:val="000000"/>
                <w:sz w:val="24"/>
                <w:highlight w:val="none"/>
                <w:lang w:val="en-US" w:eastAsia="zh-CN"/>
              </w:rPr>
            </w:pPr>
            <w:r>
              <w:rPr>
                <w:rFonts w:hint="eastAsia"/>
                <w:b w:val="0"/>
                <w:bCs w:val="0"/>
                <w:color w:val="000000"/>
                <w:sz w:val="24"/>
                <w:highlight w:val="none"/>
                <w:lang w:val="en-US" w:eastAsia="zh-CN"/>
              </w:rPr>
              <w:t xml:space="preserve">12</w:t>
            </w:r>
            <w:r>
              <w:rPr>
                <w:rFonts w:eastAsia="宋体"/>
                <w:b w:val="0"/>
                <w:bCs w:val="0"/>
                <w:color w:val="000000"/>
                <w:sz w:val="24"/>
                <w:highlight w:val="none"/>
                <w:lang w:val="en-US" w:eastAsia="zh-CN"/>
              </w:rPr>
            </w:r>
            <w:r/>
          </w:p>
        </w:tc>
        <w:tc>
          <w:tcPr>
            <w:tcW w:w="3978" w:type="dxa"/>
            <w:vAlign w:val="center"/>
            <w:textDirection w:val="lrTb"/>
            <w:noWrap w:val="false"/>
          </w:tcPr>
          <w:p>
            <w:pPr>
              <w:pStyle w:val="860"/>
              <w:ind w:firstLine="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除项目负责人外，拟派人员中具有</w:t>
            </w:r>
            <w:r>
              <w:rPr>
                <w:rFonts w:hint="eastAsia" w:ascii="宋体" w:hAnsi="宋体" w:eastAsia="宋体" w:cs="宋体"/>
                <w:b w:val="0"/>
                <w:bCs w:val="0"/>
                <w:color w:val="000000"/>
                <w:sz w:val="24"/>
                <w:szCs w:val="24"/>
                <w:highlight w:val="none"/>
                <w:lang w:val="en-US" w:eastAsia="zh-CN"/>
              </w:rPr>
              <w:t xml:space="preserve">环保类或建设工程类（给水排水或市政工程）</w:t>
            </w:r>
            <w:r>
              <w:rPr>
                <w:rFonts w:hint="eastAsia" w:ascii="宋体" w:hAnsi="宋体" w:eastAsia="宋体" w:cs="宋体"/>
                <w:b w:val="0"/>
                <w:bCs w:val="0"/>
                <w:color w:val="000000"/>
                <w:sz w:val="24"/>
                <w:szCs w:val="24"/>
                <w:highlight w:val="none"/>
              </w:rPr>
              <w:t xml:space="preserve">中级（含）以上技术职称的，有1</w:t>
            </w:r>
            <w:r>
              <w:rPr>
                <w:rFonts w:hint="eastAsia"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得</w:t>
            </w: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分，本项最高</w:t>
            </w:r>
            <w:r>
              <w:rPr>
                <w:rFonts w:hint="eastAsia"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分</w:t>
            </w:r>
            <w:r>
              <w:rPr>
                <w:rFonts w:hint="eastAsia"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lang w:val="en-US" w:eastAsia="zh-CN"/>
              </w:rPr>
            </w:r>
            <w:r/>
          </w:p>
        </w:tc>
        <w:tc>
          <w:tcPr>
            <w:tcW w:w="2440" w:type="dxa"/>
            <w:vAlign w:val="center"/>
            <w:vMerge w:val="restart"/>
            <w:textDirection w:val="lrTb"/>
            <w:noWrap w:val="false"/>
          </w:tcPr>
          <w:p>
            <w:pPr>
              <w:pStyle w:val="844"/>
              <w:ind w:left="0"/>
              <w:spacing w:line="360" w:lineRule="auto"/>
              <w:rPr>
                <w:rFonts w:hint="eastAsia"/>
                <w:b w:val="0"/>
                <w:bCs w:val="0"/>
                <w:color w:val="000000"/>
                <w:sz w:val="24"/>
                <w:highlight w:val="none"/>
              </w:rPr>
            </w:pPr>
            <w:r>
              <w:rPr>
                <w:rFonts w:hint="eastAsia"/>
                <w:b/>
                <w:bCs/>
                <w:color w:val="000000"/>
                <w:sz w:val="24"/>
                <w:highlight w:val="none"/>
                <w:lang w:val="en-US" w:eastAsia="zh-CN"/>
              </w:rPr>
              <w:t xml:space="preserve">上述人员不得兼任，且均</w:t>
            </w:r>
            <w:r>
              <w:rPr>
                <w:rFonts w:hint="eastAsia"/>
                <w:b/>
                <w:bCs/>
                <w:color w:val="000000"/>
                <w:sz w:val="24"/>
                <w:highlight w:val="none"/>
              </w:rPr>
              <w:t xml:space="preserve">须提供相应证书及供应商为其缴纳的近期</w:t>
            </w:r>
            <w:r>
              <w:rPr>
                <w:rFonts w:hint="eastAsia" w:ascii="Times New Roman" w:eastAsia="宋体"/>
                <w:b/>
                <w:bCs/>
                <w:color w:val="000000"/>
                <w:sz w:val="24"/>
                <w:highlight w:val="none"/>
                <w:lang w:val="en-US" w:eastAsia="zh-CN"/>
              </w:rPr>
              <w:t xml:space="preserve">养老保险</w:t>
            </w:r>
            <w:r>
              <w:rPr>
                <w:rFonts w:hint="eastAsia"/>
                <w:b/>
                <w:bCs/>
                <w:color w:val="000000"/>
                <w:sz w:val="24"/>
                <w:highlight w:val="none"/>
              </w:rPr>
              <w:t xml:space="preserve">证明（如为退休人员，须提供</w:t>
            </w:r>
            <w:r>
              <w:rPr>
                <w:rFonts w:hint="eastAsia" w:ascii="Times New Roman" w:eastAsia="宋体"/>
                <w:b/>
                <w:bCs/>
                <w:color w:val="000000"/>
                <w:sz w:val="24"/>
                <w:highlight w:val="none"/>
                <w:lang w:val="en-US" w:eastAsia="zh-CN"/>
              </w:rPr>
              <w:t xml:space="preserve">退休证明及</w:t>
            </w:r>
            <w:r>
              <w:rPr>
                <w:rFonts w:hint="eastAsia"/>
                <w:b/>
                <w:bCs/>
                <w:color w:val="000000"/>
                <w:sz w:val="24"/>
                <w:highlight w:val="none"/>
              </w:rPr>
              <w:t xml:space="preserve">返聘合同），不提供不得分。</w:t>
            </w:r>
            <w:r>
              <w:rPr>
                <w:rFonts w:hint="eastAsia"/>
                <w:b w:val="0"/>
                <w:bCs w:val="0"/>
                <w:color w:val="000000"/>
                <w:sz w:val="24"/>
                <w:highlight w:val="none"/>
              </w:rPr>
            </w:r>
            <w:r/>
          </w:p>
        </w:tc>
      </w:tr>
      <w:tr>
        <w:trPr>
          <w:trHeight w:val="90"/>
        </w:trPr>
        <w:tc>
          <w:tcPr>
            <w:tcW w:w="829" w:type="dxa"/>
            <w:vAlign w:val="center"/>
            <w:textDirection w:val="lrTb"/>
            <w:noWrap w:val="false"/>
          </w:tcPr>
          <w:p>
            <w:pPr>
              <w:pStyle w:val="844"/>
              <w:ind w:firstLine="28"/>
              <w:jc w:val="center"/>
              <w:spacing w:line="360" w:lineRule="auto"/>
              <w:rPr>
                <w:rFonts w:eastAsia="宋体"/>
                <w:b w:val="0"/>
                <w:bCs w:val="0"/>
                <w:color w:val="000000"/>
                <w:sz w:val="24"/>
                <w:highlight w:val="none"/>
                <w:lang w:val="en-US" w:eastAsia="zh-CN"/>
              </w:rPr>
            </w:pPr>
            <w:r>
              <w:rPr>
                <w:rFonts w:hint="eastAsia"/>
                <w:b w:val="0"/>
                <w:bCs w:val="0"/>
                <w:color w:val="000000"/>
                <w:sz w:val="24"/>
                <w:highlight w:val="none"/>
                <w:lang w:val="en-US" w:eastAsia="zh-CN"/>
              </w:rPr>
              <w:t xml:space="preserve">3.4</w:t>
            </w:r>
            <w:r>
              <w:rPr>
                <w:rFonts w:eastAsia="宋体"/>
                <w:b w:val="0"/>
                <w:bCs w:val="0"/>
                <w:color w:val="000000"/>
                <w:sz w:val="24"/>
                <w:highlight w:val="none"/>
                <w:lang w:val="en-US" w:eastAsia="zh-CN"/>
              </w:rPr>
            </w:r>
            <w:r/>
          </w:p>
        </w:tc>
        <w:tc>
          <w:tcPr>
            <w:tcW w:w="1468" w:type="dxa"/>
            <w:vAlign w:val="center"/>
            <w:textDirection w:val="lrTb"/>
            <w:noWrap w:val="false"/>
          </w:tcPr>
          <w:p>
            <w:pPr>
              <w:pStyle w:val="844"/>
              <w:ind w:firstLine="28"/>
              <w:jc w:val="center"/>
              <w:spacing w:line="360" w:lineRule="auto"/>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项目团队3</w:t>
            </w:r>
            <w:r>
              <w:rPr>
                <w:rFonts w:hint="eastAsia" w:ascii="宋体" w:hAnsi="宋体" w:eastAsia="宋体" w:cs="宋体"/>
                <w:b w:val="0"/>
                <w:bCs w:val="0"/>
                <w:color w:val="000000"/>
                <w:sz w:val="24"/>
                <w:highlight w:val="none"/>
                <w:lang w:val="en-US" w:eastAsia="zh-CN"/>
              </w:rPr>
            </w:r>
            <w:r/>
          </w:p>
        </w:tc>
        <w:tc>
          <w:tcPr>
            <w:tcW w:w="913" w:type="dxa"/>
            <w:vAlign w:val="center"/>
            <w:textDirection w:val="lrTb"/>
            <w:noWrap w:val="false"/>
          </w:tcPr>
          <w:p>
            <w:pPr>
              <w:pStyle w:val="844"/>
              <w:ind w:firstLine="28"/>
              <w:jc w:val="center"/>
              <w:spacing w:line="360" w:lineRule="auto"/>
              <w:rPr>
                <w:rFonts w:hint="eastAsia" w:eastAsia="宋体"/>
                <w:b w:val="0"/>
                <w:bCs w:val="0"/>
                <w:color w:val="000000"/>
                <w:sz w:val="24"/>
                <w:highlight w:val="none"/>
                <w:lang w:val="en-US" w:eastAsia="zh-CN"/>
              </w:rPr>
            </w:pPr>
            <w:r>
              <w:rPr>
                <w:rFonts w:hint="eastAsia"/>
                <w:b w:val="0"/>
                <w:bCs w:val="0"/>
                <w:color w:val="000000"/>
                <w:sz w:val="24"/>
                <w:highlight w:val="none"/>
                <w:lang w:val="en-US" w:eastAsia="zh-CN"/>
              </w:rPr>
              <w:t xml:space="preserve">5</w:t>
            </w:r>
            <w:r>
              <w:rPr>
                <w:rFonts w:hint="eastAsia" w:eastAsia="宋体"/>
                <w:b w:val="0"/>
                <w:bCs w:val="0"/>
                <w:color w:val="000000"/>
                <w:sz w:val="24"/>
                <w:highlight w:val="none"/>
                <w:lang w:val="en-US" w:eastAsia="zh-CN"/>
              </w:rPr>
            </w:r>
            <w:r/>
          </w:p>
        </w:tc>
        <w:tc>
          <w:tcPr>
            <w:tcW w:w="3978" w:type="dxa"/>
            <w:vAlign w:val="center"/>
            <w:textDirection w:val="lrTb"/>
            <w:noWrap w:val="false"/>
          </w:tcPr>
          <w:p>
            <w:pPr>
              <w:pStyle w:val="846"/>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除项目负责人外，拟派人员中具有</w:t>
            </w:r>
            <w:r>
              <w:rPr>
                <w:rFonts w:hint="eastAsia" w:ascii="宋体" w:hAnsi="宋体" w:eastAsia="宋体" w:cs="宋体"/>
                <w:b w:val="0"/>
                <w:bCs w:val="0"/>
                <w:color w:val="000000"/>
                <w:sz w:val="24"/>
                <w:szCs w:val="24"/>
                <w:highlight w:val="none"/>
                <w:lang w:val="en-US" w:eastAsia="zh-CN"/>
              </w:rPr>
              <w:t xml:space="preserve">注册安全工程师证书的得5分，本项最高5分。</w:t>
            </w:r>
            <w:r>
              <w:rPr>
                <w:rFonts w:hint="eastAsia" w:ascii="宋体" w:hAnsi="宋体" w:eastAsia="宋体" w:cs="宋体"/>
                <w:b w:val="0"/>
                <w:bCs w:val="0"/>
                <w:color w:val="000000"/>
                <w:sz w:val="24"/>
                <w:szCs w:val="24"/>
                <w:highlight w:val="none"/>
              </w:rPr>
            </w:r>
            <w:r/>
          </w:p>
        </w:tc>
        <w:tc>
          <w:tcPr>
            <w:tcW w:w="2440" w:type="dxa"/>
            <w:vAlign w:val="center"/>
            <w:vMerge w:val="continue"/>
            <w:textDirection w:val="lrTb"/>
            <w:noWrap w:val="false"/>
          </w:tcPr>
          <w:p>
            <w:pPr>
              <w:pStyle w:val="844"/>
              <w:ind w:left="-38"/>
              <w:spacing w:line="360" w:lineRule="auto"/>
              <w:rPr>
                <w:rFonts w:hint="eastAsia"/>
                <w:b w:val="0"/>
                <w:bCs w:val="0"/>
                <w:color w:val="000000"/>
                <w:sz w:val="24"/>
                <w:highlight w:val="none"/>
              </w:rPr>
            </w:pPr>
            <w:r>
              <w:rPr>
                <w:rFonts w:hint="eastAsia"/>
                <w:b w:val="0"/>
                <w:bCs w:val="0"/>
                <w:color w:val="000000"/>
                <w:sz w:val="24"/>
                <w:highlight w:val="none"/>
              </w:rPr>
            </w:r>
            <w:r/>
          </w:p>
        </w:tc>
      </w:tr>
      <w:tr>
        <w:trPr/>
        <w:tc>
          <w:tcPr>
            <w:gridSpan w:val="2"/>
            <w:tcW w:w="2297" w:type="dxa"/>
            <w:vAlign w:val="center"/>
            <w:textDirection w:val="lrTb"/>
            <w:noWrap w:val="false"/>
          </w:tcPr>
          <w:p>
            <w:pPr>
              <w:pStyle w:val="844"/>
              <w:ind w:firstLine="28"/>
              <w:jc w:val="center"/>
              <w:spacing w:line="360" w:lineRule="auto"/>
              <w:rPr>
                <w:b w:val="0"/>
                <w:bCs w:val="0"/>
                <w:color w:val="000000"/>
                <w:sz w:val="24"/>
                <w:szCs w:val="24"/>
                <w:highlight w:val="none"/>
                <w:lang w:val="en-US" w:eastAsia="zh-CN" w:bidi="ar-SA"/>
              </w:rPr>
            </w:pPr>
            <w:r>
              <w:rPr>
                <w:b w:val="0"/>
                <w:bCs w:val="0"/>
                <w:color w:val="000000"/>
                <w:sz w:val="24"/>
                <w:highlight w:val="none"/>
              </w:rPr>
              <w:t xml:space="preserve">合计</w:t>
            </w:r>
            <w:r>
              <w:rPr>
                <w:b w:val="0"/>
                <w:bCs w:val="0"/>
                <w:color w:val="000000"/>
                <w:sz w:val="24"/>
                <w:szCs w:val="24"/>
                <w:highlight w:val="none"/>
                <w:lang w:val="en-US" w:eastAsia="zh-CN" w:bidi="ar-SA"/>
              </w:rPr>
            </w:r>
            <w:r/>
          </w:p>
        </w:tc>
        <w:tc>
          <w:tcPr>
            <w:tcW w:w="913" w:type="dxa"/>
            <w:vAlign w:val="center"/>
            <w:textDirection w:val="lrTb"/>
            <w:noWrap w:val="false"/>
          </w:tcPr>
          <w:p>
            <w:pPr>
              <w:pStyle w:val="844"/>
              <w:ind w:firstLine="28"/>
              <w:jc w:val="center"/>
              <w:spacing w:line="360" w:lineRule="auto"/>
              <w:rPr>
                <w:b w:val="0"/>
                <w:bCs w:val="0"/>
                <w:color w:val="000000"/>
                <w:sz w:val="24"/>
                <w:szCs w:val="24"/>
                <w:highlight w:val="none"/>
                <w:lang w:val="en-US" w:eastAsia="zh-CN" w:bidi="ar-SA"/>
              </w:rPr>
            </w:pPr>
            <w:r>
              <w:rPr>
                <w:b w:val="0"/>
                <w:bCs w:val="0"/>
                <w:color w:val="000000"/>
                <w:sz w:val="24"/>
                <w:highlight w:val="none"/>
              </w:rPr>
              <w:t xml:space="preserve">100</w:t>
            </w:r>
            <w:r>
              <w:rPr>
                <w:b w:val="0"/>
                <w:bCs w:val="0"/>
                <w:color w:val="000000"/>
                <w:sz w:val="24"/>
                <w:szCs w:val="24"/>
                <w:highlight w:val="none"/>
                <w:lang w:val="en-US" w:eastAsia="zh-CN" w:bidi="ar-SA"/>
              </w:rPr>
            </w:r>
            <w:r/>
          </w:p>
        </w:tc>
        <w:tc>
          <w:tcPr>
            <w:gridSpan w:val="2"/>
            <w:tcW w:w="6418" w:type="dxa"/>
            <w:vAlign w:val="center"/>
            <w:textDirection w:val="lrTb"/>
            <w:noWrap w:val="false"/>
          </w:tcPr>
          <w:p>
            <w:pPr>
              <w:pStyle w:val="844"/>
              <w:spacing w:line="360" w:lineRule="auto"/>
              <w:rPr>
                <w:b w:val="0"/>
                <w:bCs w:val="0"/>
                <w:color w:val="000000"/>
                <w:sz w:val="24"/>
                <w:szCs w:val="24"/>
                <w:highlight w:val="none"/>
                <w:lang w:val="en-US" w:eastAsia="zh-CN" w:bidi="ar-SA"/>
              </w:rPr>
            </w:pPr>
            <w:r>
              <w:rPr>
                <w:b w:val="0"/>
                <w:bCs w:val="0"/>
                <w:color w:val="000000"/>
                <w:sz w:val="24"/>
                <w:szCs w:val="24"/>
                <w:highlight w:val="none"/>
                <w:lang w:val="en-US" w:eastAsia="zh-CN" w:bidi="ar-SA"/>
              </w:rPr>
            </w:r>
            <w:r/>
          </w:p>
        </w:tc>
      </w:tr>
    </w:tbl>
    <w:p>
      <w:pPr>
        <w:pStyle w:val="844"/>
        <w:spacing w:line="360" w:lineRule="auto"/>
        <w:rPr>
          <w:rFonts w:hint="eastAsia"/>
          <w:b/>
          <w:color w:val="000000"/>
          <w:sz w:val="36"/>
          <w:szCs w:val="36"/>
          <w:highlight w:val="none"/>
        </w:rPr>
      </w:pPr>
      <w:r>
        <w:rPr>
          <w:rFonts w:ascii="宋体" w:hAnsi="宋体" w:eastAsia="宋体" w:cs="Times New Roman"/>
          <w:b/>
          <w:bCs/>
          <w:color w:val="000000"/>
          <w:sz w:val="24"/>
          <w:highlight w:val="none"/>
        </w:rPr>
        <w:t xml:space="preserve">注</w:t>
      </w:r>
      <w:r>
        <w:rPr>
          <w:rFonts w:hint="eastAsia" w:ascii="宋体" w:hAnsi="宋体" w:eastAsia="宋体" w:cs="Times New Roman"/>
          <w:b/>
          <w:bCs/>
          <w:color w:val="000000"/>
          <w:sz w:val="24"/>
          <w:highlight w:val="none"/>
        </w:rPr>
        <w:t xml:space="preserve">：证明材料由供应商自行提供，磋商小组根据供应商提供的相关证明材料进行评审，相关证明材料的全面性、有效性、完整性、真实性由供应商自行负责。如发现供应商涉嫌资料造假等，采购人将有权取消其成交资格，并保留进一步追究其法律责任的权利。</w:t>
      </w:r>
      <w:bookmarkStart w:id="665" w:name="_Toc104818928"/>
      <w:r>
        <w:rPr>
          <w:rFonts w:hint="eastAsia"/>
          <w:b/>
          <w:color w:val="000000"/>
          <w:sz w:val="36"/>
          <w:szCs w:val="36"/>
          <w:highlight w:val="none"/>
        </w:rPr>
      </w:r>
      <w:r/>
    </w:p>
    <w:p>
      <w:pPr>
        <w:pStyle w:val="844"/>
        <w:rPr>
          <w:rFonts w:hint="eastAsia"/>
          <w:b/>
          <w:color w:val="000000"/>
          <w:sz w:val="36"/>
          <w:szCs w:val="36"/>
          <w:highlight w:val="none"/>
        </w:rPr>
      </w:pPr>
      <w:r>
        <w:rPr>
          <w:rFonts w:hint="eastAsia"/>
          <w:b/>
          <w:color w:val="000000"/>
          <w:sz w:val="36"/>
          <w:szCs w:val="36"/>
          <w:highlight w:val="none"/>
        </w:rPr>
      </w:r>
      <w:r/>
    </w:p>
    <w:p>
      <w:pPr>
        <w:pStyle w:val="856"/>
        <w:tabs>
          <w:tab w:val="left" w:pos="567" w:leader="none"/>
        </w:tabs>
        <w:rPr>
          <w:rFonts w:hint="eastAsia"/>
          <w:b/>
          <w:color w:val="000000"/>
          <w:sz w:val="36"/>
          <w:szCs w:val="36"/>
          <w:highlight w:val="none"/>
        </w:rPr>
      </w:pPr>
      <w:r>
        <w:rPr>
          <w:rFonts w:hint="eastAsia"/>
          <w:b/>
          <w:color w:val="000000"/>
          <w:sz w:val="36"/>
          <w:szCs w:val="36"/>
          <w:highlight w:val="none"/>
        </w:rPr>
      </w:r>
      <w:r/>
    </w:p>
    <w:p>
      <w:pPr>
        <w:pStyle w:val="844"/>
        <w:rPr>
          <w:rFonts w:hint="eastAsia"/>
          <w:b/>
          <w:color w:val="000000"/>
          <w:sz w:val="36"/>
          <w:szCs w:val="36"/>
          <w:highlight w:val="none"/>
        </w:rPr>
      </w:pPr>
      <w:r>
        <w:rPr>
          <w:rFonts w:hint="eastAsia"/>
          <w:b/>
          <w:color w:val="000000"/>
          <w:sz w:val="36"/>
          <w:szCs w:val="36"/>
          <w:highlight w:val="none"/>
        </w:rPr>
      </w:r>
      <w:r/>
    </w:p>
    <w:p>
      <w:pPr>
        <w:pStyle w:val="856"/>
        <w:tabs>
          <w:tab w:val="left" w:pos="567" w:leader="none"/>
        </w:tabs>
        <w:rPr>
          <w:rFonts w:hint="eastAsia"/>
          <w:b/>
          <w:color w:val="000000"/>
          <w:sz w:val="36"/>
          <w:szCs w:val="36"/>
          <w:highlight w:val="none"/>
        </w:rPr>
      </w:pPr>
      <w:r>
        <w:rPr>
          <w:rFonts w:hint="eastAsia"/>
          <w:b/>
          <w:color w:val="000000"/>
          <w:sz w:val="36"/>
          <w:szCs w:val="36"/>
          <w:highlight w:val="none"/>
        </w:rPr>
      </w:r>
      <w:r/>
    </w:p>
    <w:p>
      <w:pPr>
        <w:pStyle w:val="844"/>
        <w:rPr>
          <w:rFonts w:hint="eastAsia"/>
          <w:b/>
          <w:color w:val="000000"/>
          <w:sz w:val="36"/>
          <w:szCs w:val="36"/>
          <w:highlight w:val="none"/>
        </w:rPr>
      </w:pPr>
      <w:r>
        <w:rPr>
          <w:rFonts w:hint="eastAsia"/>
          <w:b/>
          <w:color w:val="000000"/>
          <w:sz w:val="36"/>
          <w:szCs w:val="36"/>
          <w:highlight w:val="none"/>
        </w:rPr>
      </w:r>
      <w:r/>
    </w:p>
    <w:p>
      <w:pPr>
        <w:pStyle w:val="856"/>
        <w:tabs>
          <w:tab w:val="left" w:pos="567" w:leader="none"/>
        </w:tabs>
        <w:rPr>
          <w:rFonts w:hint="eastAsia"/>
          <w:b/>
          <w:color w:val="000000"/>
          <w:sz w:val="36"/>
          <w:szCs w:val="36"/>
          <w:highlight w:val="none"/>
        </w:rPr>
      </w:pPr>
      <w:r>
        <w:rPr>
          <w:rFonts w:hint="eastAsia"/>
          <w:b/>
          <w:color w:val="000000"/>
          <w:sz w:val="36"/>
          <w:szCs w:val="36"/>
          <w:highlight w:val="none"/>
        </w:rPr>
      </w:r>
      <w:r/>
    </w:p>
    <w:p>
      <w:pPr>
        <w:pStyle w:val="844"/>
        <w:jc w:val="center"/>
        <w:spacing w:line="360" w:lineRule="auto"/>
        <w:rPr>
          <w:color w:val="000000"/>
          <w:sz w:val="24"/>
          <w:highlight w:val="none"/>
        </w:rPr>
        <w:outlineLvl w:val="0"/>
      </w:pPr>
      <w:r>
        <w:rPr>
          <w:rFonts w:hint="eastAsia"/>
          <w:b/>
          <w:color w:val="000000"/>
          <w:sz w:val="36"/>
          <w:szCs w:val="36"/>
          <w:highlight w:val="none"/>
        </w:rPr>
        <w:br w:type="page" w:clear="all"/>
      </w:r>
      <w:r>
        <w:rPr>
          <w:b/>
          <w:color w:val="000000"/>
          <w:sz w:val="36"/>
          <w:szCs w:val="36"/>
          <w:highlight w:val="none"/>
        </w:rPr>
        <w:t xml:space="preserve">第四章   采购需求</w:t>
      </w:r>
      <w:bookmarkEnd w:id="665"/>
      <w:r>
        <w:rPr>
          <w:color w:val="000000"/>
          <w:sz w:val="24"/>
          <w:highlight w:val="none"/>
        </w:rPr>
      </w:r>
      <w:r/>
    </w:p>
    <w:p>
      <w:pPr>
        <w:pStyle w:val="844"/>
        <w:numPr>
          <w:ilvl w:val="0"/>
          <w:numId w:val="0"/>
        </w:numPr>
        <w:contextualSpacing/>
        <w:ind w:firstLine="482"/>
        <w:jc w:val="both"/>
        <w:spacing w:line="360" w:lineRule="auto"/>
        <w:widowControl w:val="off"/>
        <w:rPr>
          <w:rFonts w:ascii="Times New Roman" w:hAnsi="Times New Roman" w:eastAsia="宋体" w:cs="Times New Roman"/>
          <w:b/>
          <w:color w:val="000000"/>
          <w:sz w:val="24"/>
          <w:szCs w:val="24"/>
          <w:highlight w:val="none"/>
          <w:lang w:val="en-US" w:eastAsia="zh-CN" w:bidi="ar-SA"/>
        </w:rPr>
      </w:pPr>
      <w:r>
        <w:rPr>
          <w:rFonts w:hint="eastAsia" w:ascii="Times New Roman" w:hAnsi="Times New Roman" w:eastAsia="宋体" w:cs="Times New Roman"/>
          <w:b/>
          <w:color w:val="000000"/>
          <w:sz w:val="24"/>
          <w:szCs w:val="24"/>
          <w:highlight w:val="none"/>
          <w:lang w:val="en-US" w:eastAsia="zh-CN" w:bidi="ar-SA"/>
        </w:rPr>
        <w:t xml:space="preserve">一、</w:t>
      </w:r>
      <w:r>
        <w:rPr>
          <w:rFonts w:ascii="Times New Roman" w:hAnsi="Times New Roman" w:eastAsia="宋体" w:cs="Times New Roman"/>
          <w:b/>
          <w:color w:val="000000"/>
          <w:sz w:val="24"/>
          <w:szCs w:val="24"/>
          <w:highlight w:val="none"/>
          <w:lang w:val="en-US" w:eastAsia="zh-CN" w:bidi="ar-SA"/>
        </w:rPr>
        <w:t xml:space="preserve">采购标的</w:t>
      </w:r>
      <w:r>
        <w:rPr>
          <w:rFonts w:ascii="Times New Roman" w:hAnsi="Times New Roman" w:eastAsia="宋体" w:cs="Times New Roman"/>
          <w:b/>
          <w:color w:val="000000"/>
          <w:sz w:val="24"/>
          <w:szCs w:val="24"/>
          <w:highlight w:val="none"/>
          <w:lang w:val="en-US" w:eastAsia="zh-CN" w:bidi="ar-SA"/>
        </w:rPr>
      </w:r>
      <w:r/>
    </w:p>
    <w:p>
      <w:pPr>
        <w:pStyle w:val="939"/>
        <w:contextualSpacing/>
        <w:ind w:firstLine="480"/>
        <w:jc w:val="left"/>
        <w:spacing w:line="360" w:lineRule="auto"/>
        <w:rPr>
          <w:rFonts w:ascii="Times New Roman" w:hAnsi="Times New Roman" w:cs="Times New Roman"/>
          <w:color w:val="000000"/>
          <w:sz w:val="24"/>
          <w:szCs w:val="24"/>
          <w:highlight w:val="none"/>
          <w:lang w:val="en-US"/>
        </w:rPr>
      </w:pPr>
      <w:r>
        <w:rPr>
          <w:rFonts w:ascii="Times New Roman" w:hAnsi="Times New Roman" w:eastAsia="宋体" w:cs="Times New Roman"/>
          <w:color w:val="000000"/>
          <w:sz w:val="24"/>
          <w:highlight w:val="none"/>
        </w:rPr>
        <w:t xml:space="preserve">按照溧阳市农村生活污水综合治理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含集镇区雨污分流</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PPP项目和区域治污PPP项目绩效考核要求，共包含农污考核6次及区污考核3次。其中，农污考核时间为：2026年第三、第四季度以及2027年全年，共计6次考核</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并</w:t>
      </w:r>
      <w:r>
        <w:rPr>
          <w:rFonts w:hint="eastAsia" w:ascii="Times New Roman" w:hAnsi="Times New Roman" w:eastAsia="宋体" w:cs="Times New Roman"/>
          <w:color w:val="000000"/>
          <w:sz w:val="24"/>
          <w:highlight w:val="none"/>
          <w:lang w:val="en-US" w:eastAsia="zh-CN"/>
        </w:rPr>
        <w:t xml:space="preserve">每半年</w:t>
      </w:r>
      <w:r>
        <w:rPr>
          <w:rFonts w:ascii="Times New Roman" w:hAnsi="Times New Roman" w:eastAsia="宋体" w:cs="Times New Roman"/>
          <w:color w:val="000000"/>
          <w:sz w:val="24"/>
          <w:highlight w:val="none"/>
        </w:rPr>
        <w:t xml:space="preserve">出具</w:t>
      </w:r>
      <w:r>
        <w:rPr>
          <w:rFonts w:hint="eastAsia" w:ascii="Times New Roman" w:hAnsi="Times New Roman" w:eastAsia="宋体" w:cs="Times New Roman"/>
          <w:color w:val="000000"/>
          <w:sz w:val="24"/>
          <w:highlight w:val="none"/>
          <w:lang w:val="en-US" w:eastAsia="zh-CN"/>
        </w:rPr>
        <w:t xml:space="preserve">绩效考核报告</w:t>
      </w:r>
      <w:r>
        <w:rPr>
          <w:rFonts w:ascii="Times New Roman" w:hAnsi="Times New Roman" w:eastAsia="宋体" w:cs="Times New Roman"/>
          <w:color w:val="000000"/>
          <w:sz w:val="24"/>
          <w:highlight w:val="none"/>
        </w:rPr>
        <w:t xml:space="preserve">；区污考核时间为2026年下半年及2027年全年，共计3次考核。农污考核考核范围为全市1435套农污设施、集镇区雨污分流项目32座泵站/截流井全覆盖式考核。区污考核范围为：污水纳管的4座城镇污水处理厂、设施配套污水收集管网、泵站等。最终对农污和区污项目的运维情况进行考核并</w:t>
      </w:r>
      <w:r>
        <w:rPr>
          <w:rFonts w:hint="eastAsia" w:ascii="Times New Roman" w:hAnsi="Times New Roman" w:eastAsia="宋体" w:cs="Times New Roman"/>
          <w:color w:val="000000"/>
          <w:sz w:val="24"/>
          <w:highlight w:val="none"/>
          <w:lang w:val="en-US" w:eastAsia="zh-CN"/>
        </w:rPr>
        <w:t xml:space="preserve">每半年</w:t>
      </w:r>
      <w:r>
        <w:rPr>
          <w:rFonts w:ascii="Times New Roman" w:hAnsi="Times New Roman" w:eastAsia="宋体" w:cs="Times New Roman"/>
          <w:color w:val="000000"/>
          <w:sz w:val="24"/>
          <w:highlight w:val="none"/>
        </w:rPr>
        <w:t xml:space="preserve">出具</w:t>
      </w:r>
      <w:r>
        <w:rPr>
          <w:rFonts w:ascii="Times New Roman" w:hAnsi="Times New Roman" w:eastAsia="宋体" w:cs="Times New Roman"/>
          <w:color w:val="000000"/>
          <w:sz w:val="24"/>
          <w:highlight w:val="none"/>
        </w:rPr>
        <w:t xml:space="preserve">考核报告。</w:t>
      </w:r>
      <w:r>
        <w:rPr>
          <w:rFonts w:ascii="Times New Roman" w:hAnsi="Times New Roman" w:cs="Times New Roman"/>
          <w:color w:val="000000"/>
          <w:sz w:val="24"/>
          <w:szCs w:val="24"/>
          <w:highlight w:val="none"/>
          <w:lang w:val="en-US"/>
        </w:rPr>
      </w:r>
      <w:r/>
    </w:p>
    <w:p>
      <w:pPr>
        <w:pStyle w:val="844"/>
        <w:numPr>
          <w:ilvl w:val="0"/>
          <w:numId w:val="0"/>
        </w:numPr>
        <w:contextualSpacing/>
        <w:ind w:firstLine="482"/>
        <w:jc w:val="both"/>
        <w:spacing w:line="360" w:lineRule="auto"/>
        <w:widowControl w:val="off"/>
        <w:rPr>
          <w:rFonts w:ascii="Times New Roman" w:hAnsi="Times New Roman" w:eastAsia="宋体" w:cs="Times New Roman"/>
          <w:b/>
          <w:color w:val="000000"/>
          <w:sz w:val="24"/>
          <w:szCs w:val="24"/>
          <w:highlight w:val="none"/>
          <w:lang w:val="en-US" w:eastAsia="zh-CN" w:bidi="ar-SA"/>
        </w:rPr>
      </w:pPr>
      <w:r>
        <w:rPr>
          <w:rFonts w:hint="eastAsia" w:ascii="Times New Roman" w:hAnsi="Times New Roman" w:eastAsia="宋体" w:cs="Times New Roman"/>
          <w:b/>
          <w:color w:val="000000"/>
          <w:sz w:val="24"/>
          <w:szCs w:val="24"/>
          <w:highlight w:val="none"/>
          <w:lang w:val="en-US" w:eastAsia="zh-CN" w:bidi="ar-SA"/>
        </w:rPr>
        <w:t xml:space="preserve">二、</w:t>
      </w:r>
      <w:r>
        <w:rPr>
          <w:rFonts w:ascii="Times New Roman" w:hAnsi="Times New Roman" w:eastAsia="宋体" w:cs="Times New Roman"/>
          <w:b/>
          <w:color w:val="000000"/>
          <w:sz w:val="24"/>
          <w:szCs w:val="24"/>
          <w:highlight w:val="none"/>
          <w:lang w:val="en-US" w:eastAsia="zh-CN" w:bidi="ar-SA"/>
        </w:rPr>
        <w:t xml:space="preserve">商务要求</w:t>
      </w:r>
      <w:r>
        <w:rPr>
          <w:rFonts w:ascii="Times New Roman" w:hAnsi="Times New Roman" w:eastAsia="宋体" w:cs="Times New Roman"/>
          <w:b/>
          <w:color w:val="000000"/>
          <w:sz w:val="24"/>
          <w:szCs w:val="24"/>
          <w:highlight w:val="none"/>
          <w:lang w:val="en-US" w:eastAsia="zh-CN" w:bidi="ar-SA"/>
        </w:rPr>
      </w:r>
      <w:r/>
    </w:p>
    <w:p>
      <w:pPr>
        <w:pStyle w:val="844"/>
        <w:ind w:firstLine="480"/>
        <w:spacing w:line="360" w:lineRule="auto"/>
        <w:rPr>
          <w:rFonts w:hint="eastAsia" w:ascii="Times New Roman" w:hAnsi="Times New Roman" w:eastAsia="宋体" w:cs="Times New Roman"/>
          <w:b/>
          <w:bCs/>
          <w:color w:val="000000"/>
          <w:sz w:val="24"/>
          <w:highlight w:val="none"/>
        </w:rPr>
      </w:pPr>
      <w:r>
        <w:rPr>
          <w:rFonts w:ascii="Segoe UI Symbol" w:hAnsi="Segoe UI Symbol" w:eastAsia="宋体" w:cs="Segoe UI Symbol"/>
          <w:color w:val="000000"/>
          <w:sz w:val="24"/>
          <w:highlight w:val="none"/>
        </w:rPr>
        <w:t xml:space="preserve">★</w:t>
      </w:r>
      <w:r>
        <w:rPr>
          <w:rFonts w:hint="eastAsia" w:ascii="宋体" w:hAnsi="宋体" w:eastAsia="宋体" w:cs="宋体"/>
          <w:b w:val="0"/>
          <w:bCs/>
          <w:color w:val="000000"/>
          <w:sz w:val="24"/>
          <w:highlight w:val="none"/>
          <w:lang w:val="en-US" w:eastAsia="zh-CN"/>
        </w:rPr>
        <w:t xml:space="preserve">1、合同履行期限：</w:t>
      </w:r>
      <w:r>
        <w:rPr>
          <w:rFonts w:hint="eastAsia" w:ascii="宋体" w:hAnsi="宋体" w:eastAsia="宋体" w:cs="Times New Roman"/>
          <w:b/>
          <w:bCs/>
          <w:color w:val="000000"/>
          <w:sz w:val="24"/>
          <w:highlight w:val="none"/>
          <w:lang w:val="en-US" w:eastAsia="zh-CN"/>
        </w:rPr>
        <w:t xml:space="preserve">18个月</w:t>
      </w:r>
      <w:r>
        <w:rPr>
          <w:rFonts w:hint="eastAsia" w:ascii="宋体" w:hAnsi="宋体" w:eastAsia="宋体" w:cs="Times New Roman"/>
          <w:b/>
          <w:bCs/>
          <w:color w:val="000000"/>
          <w:sz w:val="24"/>
          <w:highlight w:val="none"/>
        </w:rPr>
        <w:t xml:space="preserve">（具体时间以合同</w:t>
      </w:r>
      <w:r>
        <w:rPr>
          <w:rFonts w:hint="eastAsia" w:ascii="宋体" w:hAnsi="宋体" w:eastAsia="宋体" w:cs="Times New Roman"/>
          <w:b/>
          <w:bCs/>
          <w:color w:val="000000"/>
          <w:sz w:val="24"/>
          <w:highlight w:val="none"/>
          <w:lang w:val="en-US" w:eastAsia="zh-CN"/>
        </w:rPr>
        <w:t xml:space="preserve">约定</w:t>
      </w:r>
      <w:r>
        <w:rPr>
          <w:rFonts w:hint="eastAsia" w:ascii="宋体" w:hAnsi="宋体" w:eastAsia="宋体" w:cs="Times New Roman"/>
          <w:b/>
          <w:bCs/>
          <w:color w:val="000000"/>
          <w:sz w:val="24"/>
          <w:highlight w:val="none"/>
        </w:rPr>
        <w:t xml:space="preserve">时间为准）</w:t>
      </w: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rPr>
      </w:r>
      <w:r/>
    </w:p>
    <w:p>
      <w:pPr>
        <w:pStyle w:val="844"/>
        <w:ind w:firstLine="480"/>
        <w:spacing w:line="500" w:lineRule="exact"/>
        <w:rPr>
          <w:rFonts w:hint="eastAsia" w:ascii="Times New Roman" w:hAnsi="Times New Roman"/>
          <w:b/>
          <w:color w:val="000000"/>
          <w:sz w:val="24"/>
          <w:szCs w:val="24"/>
          <w:highlight w:val="none"/>
        </w:rPr>
      </w:pPr>
      <w:r>
        <w:rPr>
          <w:rFonts w:hint="eastAsia" w:ascii="宋体" w:hAnsi="宋体" w:eastAsia="宋体" w:cs="宋体"/>
          <w:b w:val="0"/>
          <w:bCs/>
          <w:color w:val="000000"/>
          <w:sz w:val="24"/>
          <w:highlight w:val="none"/>
          <w:lang w:val="en-US" w:eastAsia="zh-CN"/>
        </w:rPr>
        <w:t xml:space="preserve">2、付款方式：</w:t>
      </w:r>
      <w:r>
        <w:rPr>
          <w:rFonts w:hint="eastAsia" w:ascii="宋体" w:hAnsi="宋体" w:eastAsia="宋体" w:cs="宋体"/>
          <w:b/>
          <w:bCs w:val="0"/>
          <w:color w:val="000000"/>
          <w:sz w:val="24"/>
          <w:highlight w:val="none"/>
          <w:lang w:val="en-US" w:eastAsia="zh-CN"/>
        </w:rPr>
        <w:t xml:space="preserve">合同签订后，出具2026年年度考核报告并通过政府审批后一个月内支付合同价款的30%，余款在乙方出具2027年年度考核报告并通过政府审批后一个月内付清</w:t>
      </w:r>
      <w:r>
        <w:rPr>
          <w:rFonts w:hint="eastAsia" w:ascii="宋体" w:hAnsi="宋体" w:eastAsia="宋体" w:cs="Times New Roman"/>
          <w:b/>
          <w:bCs w:val="0"/>
          <w:color w:val="000000"/>
          <w:sz w:val="24"/>
          <w:highlight w:val="none"/>
        </w:rPr>
        <w:t xml:space="preserve">。</w:t>
      </w:r>
      <w:r>
        <w:rPr>
          <w:rFonts w:hint="eastAsia" w:ascii="Times New Roman" w:hAnsi="Times New Roman"/>
          <w:b/>
          <w:color w:val="000000"/>
          <w:sz w:val="24"/>
          <w:szCs w:val="24"/>
          <w:highlight w:val="none"/>
        </w:rPr>
      </w:r>
      <w:r/>
    </w:p>
    <w:p>
      <w:pPr>
        <w:pStyle w:val="844"/>
        <w:numPr>
          <w:ilvl w:val="0"/>
          <w:numId w:val="0"/>
        </w:numPr>
        <w:contextualSpacing/>
        <w:ind w:firstLine="482"/>
        <w:jc w:val="both"/>
        <w:spacing w:line="360" w:lineRule="auto"/>
        <w:widowControl w:val="off"/>
        <w:rPr>
          <w:rFonts w:ascii="Times New Roman" w:hAnsi="Times New Roman" w:eastAsia="宋体" w:cs="Times New Roman"/>
          <w:b/>
          <w:color w:val="000000"/>
          <w:sz w:val="24"/>
          <w:szCs w:val="24"/>
          <w:highlight w:val="none"/>
          <w:lang w:val="en-US" w:eastAsia="zh-CN" w:bidi="ar-SA"/>
        </w:rPr>
      </w:pPr>
      <w:r>
        <w:rPr>
          <w:rFonts w:hint="eastAsia" w:ascii="Times New Roman" w:hAnsi="Times New Roman" w:eastAsia="宋体" w:cs="Times New Roman"/>
          <w:b/>
          <w:color w:val="000000"/>
          <w:sz w:val="24"/>
          <w:szCs w:val="24"/>
          <w:highlight w:val="none"/>
          <w:lang w:val="en-US" w:eastAsia="zh-CN" w:bidi="ar-SA"/>
        </w:rPr>
        <w:t xml:space="preserve">三、服务</w:t>
      </w:r>
      <w:r>
        <w:rPr>
          <w:rFonts w:ascii="Times New Roman" w:hAnsi="Times New Roman" w:eastAsia="宋体" w:cs="Times New Roman"/>
          <w:b/>
          <w:color w:val="000000"/>
          <w:sz w:val="24"/>
          <w:szCs w:val="24"/>
          <w:highlight w:val="none"/>
          <w:lang w:val="en-US" w:eastAsia="zh-CN" w:bidi="ar-SA"/>
        </w:rPr>
        <w:t xml:space="preserve">要求</w:t>
      </w:r>
      <w:r>
        <w:rPr>
          <w:rFonts w:ascii="Times New Roman" w:hAnsi="Times New Roman" w:eastAsia="宋体" w:cs="Times New Roman"/>
          <w:b/>
          <w:color w:val="000000"/>
          <w:sz w:val="24"/>
          <w:szCs w:val="24"/>
          <w:highlight w:val="none"/>
          <w:lang w:val="en-US" w:eastAsia="zh-CN" w:bidi="ar-SA"/>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监管依据</w:t>
      </w:r>
      <w:r>
        <w:rPr>
          <w:rFonts w:hint="eastAsia" w:ascii="Times New Roman" w:hAnsi="Times New Roman" w:eastAsia="宋体" w:cs="Times New Roman"/>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《地表水环境质量标准》（GB3838-2002）；</w:t>
      </w:r>
      <w:r>
        <w:rPr>
          <w:rFonts w:hint="eastAsia" w:ascii="Times New Roman" w:hAnsi="Times New Roman" w:eastAsia="宋体" w:cs="Times New Roman"/>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《城镇污水处理厂污染物排放标准》（GB18918-2002）；</w:t>
      </w:r>
      <w:r>
        <w:rPr>
          <w:rFonts w:hint="eastAsia" w:ascii="Times New Roman" w:hAnsi="Times New Roman" w:eastAsia="宋体" w:cs="Times New Roman"/>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3.《太湖地区城镇污水处理厂及重点工业行业主要水污染物排放限值》(DB32/1072-2018)</w:t>
      </w:r>
      <w:r>
        <w:rPr>
          <w:rFonts w:hint="eastAsia" w:ascii="Times New Roman" w:hAnsi="Times New Roman" w:eastAsia="宋体" w:cs="Times New Roman"/>
          <w:color w:val="000000"/>
          <w:sz w:val="24"/>
          <w:szCs w:val="24"/>
          <w:highlight w:val="none"/>
          <w:lang w:val="en-US" w:eastAsia="zh-CN"/>
        </w:rPr>
      </w:r>
      <w:r/>
    </w:p>
    <w:p>
      <w:pPr>
        <w:pStyle w:val="939"/>
        <w:numPr>
          <w:ilvl w:val="0"/>
          <w:numId w:val="0"/>
        </w:numPr>
        <w:contextualSpacing/>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lang w:val="en-US" w:eastAsia="zh-CN" w:bidi="ar-SA"/>
        </w:rPr>
        <w:t xml:space="preserve">4.</w:t>
      </w:r>
      <w:r>
        <w:rPr>
          <w:rFonts w:hint="eastAsia" w:ascii="Times New Roman" w:hAnsi="Times New Roman" w:eastAsia="宋体" w:cs="Times New Roman"/>
          <w:color w:val="000000"/>
          <w:sz w:val="24"/>
          <w:szCs w:val="24"/>
          <w:highlight w:val="none"/>
          <w:lang w:val="en-US" w:eastAsia="zh-CN"/>
        </w:rPr>
        <w:t xml:space="preserve">《城镇污水处理厂污染物排放标准》（DB32/4440—2022）</w:t>
      </w:r>
      <w:r>
        <w:rPr>
          <w:rFonts w:hint="eastAsia" w:ascii="Times New Roman" w:hAnsi="Times New Roman" w:eastAsia="宋体" w:cs="Times New Roman"/>
          <w:color w:val="000000"/>
          <w:sz w:val="24"/>
          <w:szCs w:val="24"/>
          <w:highlight w:val="none"/>
          <w:lang w:val="en-US" w:eastAsia="zh-CN"/>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《污水排入城市下水道水质标准》（GB/T31962-2015）；</w:t>
      </w:r>
      <w:r>
        <w:rPr>
          <w:rFonts w:hint="eastAsia" w:ascii="Times New Roman" w:hAnsi="Times New Roman" w:eastAsia="宋体" w:cs="Times New Roman"/>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《江苏省太湖水污染防治条例》；</w:t>
      </w:r>
      <w:r>
        <w:rPr>
          <w:rFonts w:hint="eastAsia" w:ascii="Times New Roman" w:hAnsi="Times New Roman" w:eastAsia="宋体" w:cs="Times New Roman"/>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7</w:t>
      </w:r>
      <w:r>
        <w:rPr>
          <w:rFonts w:hint="eastAsia" w:ascii="Times New Roman" w:hAnsi="Times New Roman" w:eastAsia="宋体" w:cs="Times New Roman"/>
          <w:strike w:val="0"/>
          <w:color w:val="000000"/>
          <w:sz w:val="24"/>
          <w:szCs w:val="24"/>
          <w:highlight w:val="none"/>
          <w:lang w:val="en-US" w:eastAsia="zh-CN"/>
        </w:rPr>
        <w:t xml:space="preserve">.</w:t>
      </w:r>
      <w:r>
        <w:rPr>
          <w:rFonts w:hint="eastAsia" w:ascii="Times New Roman" w:hAnsi="Times New Roman" w:eastAsia="宋体" w:cs="Times New Roman"/>
          <w:strike w:val="0"/>
          <w:color w:val="000000"/>
          <w:sz w:val="24"/>
          <w:szCs w:val="24"/>
          <w:highlight w:val="none"/>
        </w:rPr>
        <w:t xml:space="preserve">《江苏省地表水（环境）功能区划》；</w:t>
      </w:r>
      <w:r>
        <w:rPr>
          <w:rFonts w:hint="eastAsia" w:ascii="Times New Roman" w:hAnsi="Times New Roman" w:eastAsia="宋体" w:cs="Times New Roman"/>
          <w:strike w:val="0"/>
          <w:color w:val="000000"/>
          <w:sz w:val="24"/>
          <w:szCs w:val="24"/>
          <w:highlight w:val="none"/>
        </w:rPr>
      </w:r>
      <w:r/>
    </w:p>
    <w:p>
      <w:pPr>
        <w:pStyle w:val="939"/>
        <w:contextualSpacing/>
        <w:ind w:firstLine="480"/>
        <w:jc w:val="left"/>
        <w:spacing w:line="360" w:lineRule="auto"/>
        <w:rPr>
          <w:rFonts w:hint="eastAsia" w:ascii="Times New Roman" w:hAnsi="Times New Roman" w:eastAsia="宋体" w:cs="Times New Roman"/>
          <w:strike w:val="0"/>
          <w:color w:val="000000"/>
          <w:sz w:val="24"/>
          <w:szCs w:val="24"/>
          <w:highlight w:val="none"/>
          <w:lang w:val="en-US" w:eastAsia="zh-CN"/>
        </w:rPr>
      </w:pPr>
      <w:r>
        <w:rPr>
          <w:rFonts w:hint="eastAsia" w:ascii="Times New Roman" w:hAnsi="Times New Roman" w:eastAsia="宋体" w:cs="Times New Roman"/>
          <w:strike w:val="0"/>
          <w:color w:val="000000"/>
          <w:sz w:val="24"/>
          <w:szCs w:val="24"/>
          <w:highlight w:val="none"/>
          <w:lang w:val="en-US" w:eastAsia="zh-CN"/>
        </w:rPr>
        <w:t xml:space="preserve">8.《溧阳市城镇排水与污水处理管理办法》</w:t>
      </w:r>
      <w:r>
        <w:rPr>
          <w:rFonts w:hint="eastAsia" w:ascii="Times New Roman" w:hAnsi="Times New Roman" w:eastAsia="宋体" w:cs="Times New Roman"/>
          <w:strike w:val="0"/>
          <w:color w:val="000000"/>
          <w:sz w:val="24"/>
          <w:szCs w:val="24"/>
          <w:highlight w:val="none"/>
          <w:lang w:val="en-US" w:eastAsia="zh-CN"/>
        </w:rPr>
      </w:r>
      <w:r/>
    </w:p>
    <w:p>
      <w:pPr>
        <w:pStyle w:val="939"/>
        <w:numPr>
          <w:ilvl w:val="0"/>
          <w:numId w:val="0"/>
        </w:numPr>
        <w:contextualSpacing/>
        <w:ind w:firstLine="480"/>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9.《江苏省农村生活污水处理设施水污染物排放标准》（DB32/3462-2020）</w:t>
      </w:r>
      <w:r>
        <w:rPr>
          <w:rFonts w:hint="eastAsia" w:ascii="Times New Roman" w:hAnsi="Times New Roman" w:eastAsia="宋体" w:cs="Times New Roman"/>
          <w:color w:val="000000"/>
          <w:sz w:val="24"/>
          <w:szCs w:val="24"/>
          <w:highlight w:val="none"/>
          <w:lang w:val="en-US" w:eastAsia="zh-CN"/>
        </w:rPr>
      </w:r>
      <w:r/>
    </w:p>
    <w:p>
      <w:pPr>
        <w:pStyle w:val="939"/>
        <w:contextualSpacing/>
        <w:ind w:firstLine="480"/>
        <w:jc w:val="left"/>
        <w:spacing w:line="360" w:lineRule="auto"/>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2、考核内容见下表</w:t>
      </w:r>
      <w:r>
        <w:rPr>
          <w:rFonts w:ascii="Times New Roman" w:hAnsi="Times New Roman" w:eastAsia="宋体"/>
          <w:color w:val="000000"/>
          <w:sz w:val="24"/>
          <w:szCs w:val="24"/>
          <w:highlight w:val="none"/>
          <w:lang w:val="en-US" w:eastAsia="zh-CN"/>
        </w:rPr>
      </w:r>
      <w:r/>
    </w:p>
    <w:p>
      <w:pPr>
        <w:pStyle w:val="844"/>
        <w:spacing w:line="440" w:lineRule="exact"/>
        <w:rPr>
          <w:rFonts w:hint="eastAsia"/>
          <w:b/>
          <w:color w:val="000000"/>
          <w:highlight w:val="none"/>
        </w:rPr>
      </w:pPr>
      <w:r>
        <w:rPr>
          <w:rFonts w:hint="eastAsia"/>
          <w:b/>
          <w:color w:val="000000"/>
          <w:highlight w:val="none"/>
        </w:rPr>
      </w:r>
      <w:r/>
    </w:p>
    <w:p>
      <w:pPr>
        <w:pStyle w:val="856"/>
        <w:jc w:val="center"/>
        <w:tabs>
          <w:tab w:val="left" w:pos="567" w:leader="none"/>
        </w:tabs>
        <w:rPr>
          <w:rFonts w:hint="eastAsia"/>
          <w:b/>
          <w:bCs/>
          <w:color w:val="000000"/>
          <w:highlight w:val="none"/>
          <w:lang w:val="en-US" w:eastAsia="zh-CN"/>
        </w:rPr>
      </w:pPr>
      <w:r>
        <w:rPr>
          <w:rFonts w:hint="eastAsia"/>
          <w:b/>
          <w:bCs/>
          <w:color w:val="000000"/>
          <w:highlight w:val="none"/>
          <w:lang w:val="en-US" w:eastAsia="zh-CN"/>
        </w:rPr>
      </w:r>
      <w:r/>
    </w:p>
    <w:p>
      <w:pPr>
        <w:pStyle w:val="856"/>
        <w:jc w:val="center"/>
        <w:tabs>
          <w:tab w:val="left" w:pos="567" w:leader="none"/>
        </w:tabs>
        <w:rPr>
          <w:rFonts w:hint="eastAsia"/>
          <w:b/>
          <w:bCs/>
          <w:color w:val="000000"/>
          <w:highlight w:val="none"/>
          <w:lang w:val="en-US" w:eastAsia="zh-CN"/>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b/>
          <w:bCs/>
          <w:color w:val="000000"/>
          <w:highlight w:val="none"/>
          <w:lang w:val="en-US" w:eastAsia="zh-CN"/>
        </w:rPr>
      </w:r>
      <w:r/>
    </w:p>
    <w:p>
      <w:pPr>
        <w:pStyle w:val="856"/>
        <w:jc w:val="center"/>
        <w:tabs>
          <w:tab w:val="left" w:pos="567" w:leader="none"/>
        </w:tabs>
        <w:rPr>
          <w:rFonts w:hint="eastAsia"/>
          <w:b/>
          <w:bCs/>
          <w:color w:val="000000"/>
          <w:highlight w:val="none"/>
        </w:rPr>
      </w:pPr>
      <w:r>
        <w:rPr>
          <w:rFonts w:hint="eastAsia"/>
          <w:b/>
          <w:bCs/>
          <w:color w:val="000000"/>
          <w:highlight w:val="none"/>
          <w:lang w:val="en-US" w:eastAsia="zh-CN"/>
        </w:rPr>
        <w:t xml:space="preserve">农</w:t>
      </w:r>
      <w:r>
        <w:rPr>
          <w:rFonts w:hint="eastAsia"/>
          <w:b/>
          <w:bCs/>
          <w:color w:val="000000"/>
          <w:highlight w:val="none"/>
        </w:rPr>
        <w:t xml:space="preserve">污项目绩效考核</w:t>
      </w:r>
      <w:r>
        <w:rPr>
          <w:rFonts w:hint="eastAsia"/>
          <w:b/>
          <w:bCs/>
          <w:color w:val="000000"/>
          <w:highlight w:val="none"/>
        </w:rPr>
      </w:r>
      <w:r/>
    </w:p>
    <w:tbl>
      <w:tblPr>
        <w:tblW w:w="4971"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196"/>
        <w:gridCol w:w="1479"/>
        <w:gridCol w:w="7726"/>
        <w:gridCol w:w="1281"/>
        <w:gridCol w:w="1386"/>
      </w:tblGrid>
      <w:tr>
        <w:trPr>
          <w:trHeight w:val="713"/>
        </w:trPr>
        <w:tc>
          <w:tcPr>
            <w:gridSpan w:val="6"/>
            <w:tcW w:w="14140"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bookmarkStart w:id="666" w:name="_Toc104818929"/>
            <w:r>
              <w:rPr>
                <w:rStyle w:val="1099"/>
                <w:color w:val="000000"/>
                <w:highlight w:val="none"/>
                <w:lang w:val="en-US" w:eastAsia="zh-CN" w:bidi="ar"/>
              </w:rPr>
              <w:t xml:space="preserve">集镇区雨污分流项目</w:t>
            </w:r>
            <w:r>
              <w:rPr>
                <w:rStyle w:val="1100"/>
                <w:color w:val="000000"/>
                <w:highlight w:val="none"/>
                <w:lang w:val="en-US" w:eastAsia="zh-CN" w:bidi="ar"/>
              </w:rPr>
              <w:t xml:space="preserve">     </w:t>
            </w:r>
            <w:r>
              <w:rPr>
                <w:rStyle w:val="1099"/>
                <w:color w:val="000000"/>
                <w:highlight w:val="none"/>
                <w:lang w:val="en-US" w:eastAsia="zh-CN" w:bidi="ar"/>
              </w:rPr>
              <w:t xml:space="preserve">年</w:t>
            </w:r>
            <w:r>
              <w:rPr>
                <w:rStyle w:val="1100"/>
                <w:color w:val="000000"/>
                <w:highlight w:val="none"/>
                <w:lang w:val="en-US" w:eastAsia="zh-CN" w:bidi="ar"/>
              </w:rPr>
              <w:t xml:space="preserve">     </w:t>
            </w:r>
            <w:r>
              <w:rPr>
                <w:rStyle w:val="1099"/>
                <w:rFonts w:hint="eastAsia"/>
                <w:color w:val="000000"/>
                <w:highlight w:val="none"/>
                <w:lang w:val="en-US" w:eastAsia="zh-CN" w:bidi="ar"/>
              </w:rPr>
              <w:t xml:space="preserve">季度</w:t>
            </w:r>
            <w:r>
              <w:rPr>
                <w:rStyle w:val="1099"/>
                <w:color w:val="000000"/>
                <w:highlight w:val="none"/>
                <w:lang w:val="en-US" w:eastAsia="zh-CN" w:bidi="ar"/>
              </w:rPr>
              <w:t xml:space="preserve">运维绩效考核评价得分汇总表</w:t>
            </w:r>
            <w:r>
              <w:rPr>
                <w:rFonts w:hint="eastAsia" w:ascii="宋体" w:hAnsi="宋体" w:eastAsia="宋体" w:cs="宋体"/>
                <w:b/>
                <w:bCs/>
                <w:i w:val="0"/>
                <w:iCs w:val="0"/>
                <w:color w:val="000000"/>
                <w:sz w:val="32"/>
                <w:szCs w:val="32"/>
                <w:highlight w:val="none"/>
                <w:u w:val="none"/>
              </w:rPr>
            </w:r>
            <w:r/>
          </w:p>
        </w:tc>
      </w:tr>
      <w:tr>
        <w:trPr>
          <w:trHeight w:val="312"/>
        </w:trPr>
        <w:tc>
          <w:tcPr>
            <w:gridSpan w:val="6"/>
            <w:tcW w:w="14140" w:type="dxa"/>
            <w:vAlign w:val="center"/>
            <w:vMerge w:val="restart"/>
            <w:textDirection w:val="lrTb"/>
            <w:noWrap/>
          </w:tcPr>
          <w:p>
            <w:pPr>
              <w:pStyle w:val="84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03"/>
        </w:trPr>
        <w:tc>
          <w:tcPr>
            <w:tcW w:w="379"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rPr>
                <w:rFonts w:hint="eastAsia" w:ascii="宋体" w:hAnsi="宋体" w:eastAsia="宋体" w:cs="宋体"/>
                <w:b/>
                <w:bCs/>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rPr>
                <w:rFonts w:hint="eastAsia" w:ascii="宋体" w:hAnsi="宋体" w:eastAsia="宋体" w:cs="宋体"/>
                <w:b/>
                <w:bCs/>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三级指标</w:t>
            </w:r>
            <w:r>
              <w:rPr>
                <w:rFonts w:hint="eastAsia" w:ascii="宋体" w:hAnsi="宋体" w:eastAsia="宋体" w:cs="宋体"/>
                <w:b/>
                <w:bCs/>
                <w:i w:val="0"/>
                <w:iCs w:val="0"/>
                <w:color w:val="000000"/>
                <w:sz w:val="21"/>
                <w:szCs w:val="21"/>
                <w:highlight w:val="none"/>
                <w:u w:val="none"/>
              </w:rPr>
            </w:r>
            <w:r/>
          </w:p>
        </w:tc>
        <w:tc>
          <w:tcPr>
            <w:tcW w:w="2732"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考核办法与评分标准</w:t>
            </w:r>
            <w:r>
              <w:rPr>
                <w:rFonts w:hint="eastAsia" w:ascii="宋体" w:hAnsi="宋体" w:eastAsia="宋体" w:cs="宋体"/>
                <w:b/>
                <w:bCs/>
                <w:i w:val="0"/>
                <w:iCs w:val="0"/>
                <w:color w:val="000000"/>
                <w:sz w:val="21"/>
                <w:szCs w:val="21"/>
                <w:highlight w:val="none"/>
                <w:u w:val="none"/>
              </w:rPr>
            </w:r>
            <w:r/>
          </w:p>
        </w:tc>
        <w:tc>
          <w:tcPr>
            <w:tcW w:w="453"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考核得分</w:t>
            </w:r>
            <w:r>
              <w:rPr>
                <w:rFonts w:hint="eastAsia" w:ascii="宋体" w:hAnsi="宋体" w:eastAsia="宋体" w:cs="宋体"/>
                <w:b/>
                <w:bCs/>
                <w:i w:val="0"/>
                <w:iCs w:val="0"/>
                <w:color w:val="000000"/>
                <w:sz w:val="21"/>
                <w:szCs w:val="21"/>
                <w:highlight w:val="none"/>
                <w:u w:val="none"/>
              </w:rPr>
            </w:r>
            <w:r/>
          </w:p>
        </w:tc>
        <w:tc>
          <w:tcPr>
            <w:tcW w:w="488"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547"/>
        </w:trPr>
        <w:tc>
          <w:tcPr>
            <w:tcW w:w="37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产出</w:t>
            </w:r>
            <w:r>
              <w:rPr>
                <w:rFonts w:hint="eastAsia" w:ascii="宋体" w:hAnsi="宋体" w:eastAsia="宋体" w:cs="宋体"/>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管网养护</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管网清通</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应确保每轮管网清通的质量达到《城镇排水管渠与泵站运行、维护及安全技术规程》（</w:t>
            </w:r>
            <w:r>
              <w:rPr>
                <w:rStyle w:val="1104"/>
                <w:rFonts w:eastAsia="宋体"/>
                <w:color w:val="000000"/>
                <w:highlight w:val="none"/>
                <w:lang w:val="en-US" w:eastAsia="zh-CN" w:bidi="ar"/>
              </w:rPr>
              <w:t xml:space="preserve">2016</w:t>
            </w:r>
            <w:r>
              <w:rPr>
                <w:rStyle w:val="1103"/>
                <w:color w:val="000000"/>
                <w:highlight w:val="none"/>
                <w:lang w:val="en-US" w:eastAsia="zh-CN" w:bidi="ar"/>
              </w:rPr>
              <w:t xml:space="preserve">年）规范要求。</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40.0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未达到清通规范要求的，每次扣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732"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检查井养护</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检查井按不少于</w:t>
            </w:r>
            <w:r>
              <w:rPr>
                <w:rStyle w:val="1104"/>
                <w:rFonts w:eastAsia="宋体"/>
                <w:color w:val="000000"/>
                <w:highlight w:val="none"/>
                <w:lang w:val="en-US" w:eastAsia="zh-CN" w:bidi="ar"/>
              </w:rPr>
              <w:t xml:space="preserve">2</w:t>
            </w:r>
            <w:r>
              <w:rPr>
                <w:rStyle w:val="1103"/>
                <w:color w:val="000000"/>
                <w:highlight w:val="none"/>
                <w:lang w:val="en-US" w:eastAsia="zh-CN" w:bidi="ar"/>
              </w:rPr>
              <w:t xml:space="preserve">次</w:t>
            </w:r>
            <w:r>
              <w:rPr>
                <w:rStyle w:val="1104"/>
                <w:rFonts w:eastAsia="宋体"/>
                <w:color w:val="000000"/>
                <w:highlight w:val="none"/>
                <w:lang w:val="en-US" w:eastAsia="zh-CN" w:bidi="ar"/>
              </w:rPr>
              <w:t xml:space="preserve">/</w:t>
            </w:r>
            <w:r>
              <w:rPr>
                <w:rStyle w:val="1103"/>
                <w:color w:val="000000"/>
                <w:highlight w:val="none"/>
                <w:lang w:val="en-US" w:eastAsia="zh-CN" w:bidi="ar"/>
              </w:rPr>
              <w:t xml:space="preserve">年的频次进行养护考核，每次抽检</w:t>
            </w:r>
            <w:r>
              <w:rPr>
                <w:rStyle w:val="1104"/>
                <w:rFonts w:eastAsia="宋体"/>
                <w:color w:val="000000"/>
                <w:highlight w:val="none"/>
                <w:lang w:val="en-US" w:eastAsia="zh-CN" w:bidi="ar"/>
              </w:rPr>
              <w:t xml:space="preserve">30</w:t>
            </w:r>
            <w:r>
              <w:rPr>
                <w:rStyle w:val="1103"/>
                <w:color w:val="000000"/>
                <w:highlight w:val="none"/>
                <w:lang w:val="en-US" w:eastAsia="zh-CN" w:bidi="ar"/>
              </w:rPr>
              <w:t xml:space="preserve">个子项目。</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val="false"/>
          </w:tcPr>
          <w:p>
            <w:pPr>
              <w:pStyle w:val="844"/>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对抽检的检查井养护状况进行现场检查，并核查养护记录。每发现一处记录不规范，扣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4"/>
        </w:trPr>
        <w:tc>
          <w:tcPr>
            <w:tcW w:w="379" w:type="dxa"/>
            <w:vAlign w:val="center"/>
            <w:textDirection w:val="lrTb"/>
            <w:noWrap w:val="false"/>
          </w:tcPr>
          <w:p>
            <w:pPr>
              <w:pStyle w:val="844"/>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检查井养护状况应符合以下要求：</w:t>
            </w:r>
            <w:r>
              <w:rPr>
                <w:rStyle w:val="1104"/>
                <w:rFonts w:eastAsia="宋体"/>
                <w:color w:val="000000"/>
                <w:highlight w:val="none"/>
                <w:lang w:val="en-US" w:eastAsia="zh-CN" w:bidi="ar"/>
              </w:rPr>
              <w:t xml:space="preserve">1.</w:t>
            </w:r>
            <w:r>
              <w:rPr>
                <w:rStyle w:val="1103"/>
                <w:color w:val="000000"/>
                <w:highlight w:val="none"/>
                <w:lang w:val="en-US" w:eastAsia="zh-CN" w:bidi="ar"/>
              </w:rPr>
              <w:t xml:space="preserve">路面上的污水检查井盖应安装牢固并保持与路面平顺相接。</w:t>
            </w:r>
            <w:r>
              <w:rPr>
                <w:rStyle w:val="1104"/>
                <w:rFonts w:eastAsia="宋体"/>
                <w:color w:val="000000"/>
                <w:highlight w:val="none"/>
                <w:lang w:val="en-US" w:eastAsia="zh-CN" w:bidi="ar"/>
              </w:rPr>
              <w:t xml:space="preserve">2.</w:t>
            </w:r>
            <w:r>
              <w:rPr>
                <w:rStyle w:val="1103"/>
                <w:color w:val="000000"/>
                <w:highlight w:val="none"/>
                <w:lang w:val="en-US" w:eastAsia="zh-CN" w:bidi="ar"/>
              </w:rPr>
              <w:t xml:space="preserve">检查井井座出现松动，或发现井座、井盖、井箅断裂、丢失，应立即维修补装完整。</w:t>
            </w:r>
            <w:r>
              <w:rPr>
                <w:rStyle w:val="1104"/>
                <w:rFonts w:eastAsia="宋体"/>
                <w:color w:val="000000"/>
                <w:highlight w:val="none"/>
                <w:lang w:val="en-US" w:eastAsia="zh-CN" w:bidi="ar"/>
              </w:rPr>
              <w:t xml:space="preserve">3.</w:t>
            </w:r>
            <w:r>
              <w:rPr>
                <w:rStyle w:val="1103"/>
                <w:color w:val="000000"/>
                <w:highlight w:val="none"/>
                <w:lang w:val="en-US" w:eastAsia="zh-CN" w:bidi="ar"/>
              </w:rPr>
              <w:t xml:space="preserve">检查井不得发生堵塞，应及时清理堵塞物；</w:t>
            </w:r>
            <w:r>
              <w:rPr>
                <w:rStyle w:val="1104"/>
                <w:rFonts w:eastAsia="宋体"/>
                <w:color w:val="000000"/>
                <w:highlight w:val="none"/>
                <w:lang w:val="en-US" w:eastAsia="zh-CN" w:bidi="ar"/>
              </w:rPr>
              <w:t xml:space="preserve">4.</w:t>
            </w:r>
            <w:r>
              <w:rPr>
                <w:rStyle w:val="1103"/>
                <w:color w:val="000000"/>
                <w:highlight w:val="none"/>
                <w:lang w:val="en-US" w:eastAsia="zh-CN" w:bidi="ar"/>
              </w:rPr>
              <w:t xml:space="preserve">检查井内应设置防跌落网；</w:t>
            </w:r>
            <w:r>
              <w:rPr>
                <w:rStyle w:val="1104"/>
                <w:rFonts w:eastAsia="宋体"/>
                <w:color w:val="000000"/>
                <w:highlight w:val="none"/>
                <w:lang w:val="en-US" w:eastAsia="zh-CN" w:bidi="ar"/>
              </w:rPr>
              <w:t xml:space="preserve">5.</w:t>
            </w:r>
            <w:r>
              <w:rPr>
                <w:rStyle w:val="1103"/>
                <w:color w:val="000000"/>
                <w:highlight w:val="none"/>
                <w:lang w:val="en-US" w:eastAsia="zh-CN" w:bidi="ar"/>
              </w:rPr>
              <w:t xml:space="preserve">检查井的沉陷处理应符合下列规定：（</w:t>
            </w:r>
            <w:r>
              <w:rPr>
                <w:rStyle w:val="1104"/>
                <w:rFonts w:eastAsia="宋体"/>
                <w:color w:val="000000"/>
                <w:highlight w:val="none"/>
                <w:lang w:val="en-US" w:eastAsia="zh-CN" w:bidi="ar"/>
              </w:rPr>
              <w:t xml:space="preserve">1</w:t>
            </w:r>
            <w:r>
              <w:rPr>
                <w:rStyle w:val="1103"/>
                <w:color w:val="000000"/>
                <w:highlight w:val="none"/>
                <w:lang w:val="en-US" w:eastAsia="zh-CN" w:bidi="ar"/>
              </w:rPr>
              <w:t xml:space="preserve">）井筒腐蚀、损坏或井墙塌帮，应拆除到完好界面重新砌筑；（</w:t>
            </w:r>
            <w:r>
              <w:rPr>
                <w:rStyle w:val="1104"/>
                <w:rFonts w:eastAsia="宋体"/>
                <w:color w:val="000000"/>
                <w:highlight w:val="none"/>
                <w:lang w:val="en-US" w:eastAsia="zh-CN" w:bidi="ar"/>
              </w:rPr>
              <w:t xml:space="preserve">2</w:t>
            </w:r>
            <w:r>
              <w:rPr>
                <w:rStyle w:val="1103"/>
                <w:color w:val="000000"/>
                <w:highlight w:val="none"/>
                <w:lang w:val="en-US" w:eastAsia="zh-CN" w:bidi="ar"/>
              </w:rPr>
              <w:t xml:space="preserve">）砌筑材料宜采用页岩砖、建筑砌块或预制混凝土检查井；（</w:t>
            </w:r>
            <w:r>
              <w:rPr>
                <w:rStyle w:val="1104"/>
                <w:rFonts w:eastAsia="宋体"/>
                <w:color w:val="000000"/>
                <w:highlight w:val="none"/>
                <w:lang w:val="en-US" w:eastAsia="zh-CN" w:bidi="ar"/>
              </w:rPr>
              <w:t xml:space="preserve">3</w:t>
            </w:r>
            <w:r>
              <w:rPr>
                <w:rStyle w:val="1103"/>
                <w:color w:val="000000"/>
                <w:highlight w:val="none"/>
                <w:lang w:val="en-US" w:eastAsia="zh-CN" w:bidi="ar"/>
              </w:rPr>
              <w:t xml:space="preserve">）整平、调整井口高度时不得使用碎砖、卵石或土块支垫。</w:t>
            </w:r>
            <w:r>
              <w:rPr>
                <w:rStyle w:val="1104"/>
                <w:rFonts w:eastAsia="宋体"/>
                <w:color w:val="000000"/>
                <w:highlight w:val="none"/>
                <w:lang w:val="en-US" w:eastAsia="zh-CN" w:bidi="ar"/>
              </w:rPr>
              <w:t xml:space="preserve">6.</w:t>
            </w:r>
            <w:r>
              <w:rPr>
                <w:rStyle w:val="1103"/>
                <w:color w:val="000000"/>
                <w:highlight w:val="none"/>
                <w:lang w:val="en-US" w:eastAsia="zh-CN" w:bidi="ar"/>
              </w:rPr>
              <w:t xml:space="preserve">维修后的检查井，在养生期间应设置围挡和安全标志加以保护。</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val="false"/>
          </w:tcPr>
          <w:p>
            <w:pPr>
              <w:pStyle w:val="844"/>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上述</w:t>
            </w:r>
            <w:r>
              <w:rPr>
                <w:rStyle w:val="1104"/>
                <w:rFonts w:eastAsia="宋体"/>
                <w:color w:val="000000"/>
                <w:highlight w:val="none"/>
                <w:lang w:val="en-US" w:eastAsia="zh-CN" w:bidi="ar"/>
              </w:rPr>
              <w:t xml:space="preserve">1~5</w:t>
            </w:r>
            <w:r>
              <w:rPr>
                <w:rStyle w:val="1103"/>
                <w:color w:val="000000"/>
                <w:highlight w:val="none"/>
                <w:lang w:val="en-US" w:eastAsia="zh-CN" w:bidi="ar"/>
              </w:rPr>
              <w:t xml:space="preserve">条每一条未达到要求时扣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分；第</w:t>
            </w:r>
            <w:r>
              <w:rPr>
                <w:rStyle w:val="1104"/>
                <w:rFonts w:eastAsia="宋体"/>
                <w:color w:val="000000"/>
                <w:highlight w:val="none"/>
                <w:lang w:val="en-US" w:eastAsia="zh-CN" w:bidi="ar"/>
              </w:rPr>
              <w:t xml:space="preserve">6</w:t>
            </w:r>
            <w:r>
              <w:rPr>
                <w:rStyle w:val="1103"/>
                <w:color w:val="000000"/>
                <w:highlight w:val="none"/>
                <w:lang w:val="en-US" w:eastAsia="zh-CN" w:bidi="ar"/>
              </w:rPr>
              <w:t xml:space="preserve">条未做到时，每发现一处扣</w:t>
            </w:r>
            <w:r>
              <w:rPr>
                <w:rStyle w:val="1104"/>
                <w:rFonts w:eastAsia="宋体"/>
                <w:color w:val="000000"/>
                <w:highlight w:val="none"/>
                <w:lang w:val="en-US" w:eastAsia="zh-CN" w:bidi="ar"/>
              </w:rPr>
              <w:t xml:space="preserve">3.0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80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安全生产</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在管网养护过程中应按操作规程进行，应有积极有效地安全防护措施。</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62"/>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5.0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管网养护过程中未按操作规程进行，每发生一次扣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分；因安全防护措施不到位造成事故，每发生一次扣</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维修质量</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受损管网与排水设施应迅速予以维修或更换，维修质量应合格，更换品质应达标。</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62"/>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15.0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未能及时维修或更换的，每次扣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分，维修质量不合格或更换品质未达标的，每次均扣</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管网</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损坏防止</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巡查中，应制止和消弭有可能损坏管网等排水防涝设施的一切行为或隐患。</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2"/>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因未能及时制止或消弭有害行为或隐患而产生不良后果的，每次扣</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分，未产生不良后果的，每次扣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事故处罚</w:t>
            </w:r>
            <w:r>
              <w:rPr>
                <w:rFonts w:hint="eastAsia" w:ascii="宋体" w:hAnsi="宋体" w:eastAsia="宋体" w:cs="宋体"/>
                <w:i w:val="0"/>
                <w:iCs w:val="0"/>
                <w:color w:val="000000"/>
                <w:sz w:val="21"/>
                <w:szCs w:val="21"/>
                <w:highlight w:val="none"/>
                <w:u w:val="none"/>
              </w:rPr>
            </w:r>
            <w:r/>
          </w:p>
        </w:tc>
        <w:tc>
          <w:tcPr>
            <w:tcW w:w="2732" w:type="dxa"/>
            <w:vAlign w:val="center"/>
            <w:vMerge w:val="restart"/>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排水管道设施因巡查维护不力或因巡视不认真而未发现隐藏的问题，导致管网收集系统造成污水冒溢等事故，每发生一次扣</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vMerge w:val="continue"/>
            <w:textDirection w:val="lrTb"/>
            <w:noWrap w:val="false"/>
          </w:tcPr>
          <w:p>
            <w:pPr>
              <w:pStyle w:val="84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产出</w:t>
            </w:r>
            <w:r>
              <w:rPr>
                <w:rFonts w:hint="eastAsia" w:ascii="宋体" w:hAnsi="宋体" w:eastAsia="宋体" w:cs="宋体"/>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截流井与</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运行状态</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污水截流井、污水提升泵站应</w:t>
            </w:r>
            <w:r>
              <w:rPr>
                <w:rStyle w:val="1104"/>
                <w:rFonts w:eastAsia="宋体"/>
                <w:color w:val="000000"/>
                <w:highlight w:val="none"/>
                <w:lang w:val="en-US" w:eastAsia="zh-CN" w:bidi="ar"/>
              </w:rPr>
              <w:t xml:space="preserve">24</w:t>
            </w:r>
            <w:r>
              <w:rPr>
                <w:rStyle w:val="1103"/>
                <w:color w:val="000000"/>
                <w:highlight w:val="none"/>
                <w:lang w:val="en-US" w:eastAsia="zh-CN" w:bidi="ar"/>
              </w:rPr>
              <w:t xml:space="preserve">小时处于运行状态，并及时做好运行的管理台账记录。</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泵站运行</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5.0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每发现一次因远程监控管理不到位而影响污水转输或周边环境的，扣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732"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2"/>
        </w:trPr>
        <w:tc>
          <w:tcPr>
            <w:tcW w:w="37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80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泵站运行</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泵站操作应规范；特殊情况下需服从有关部门的应急指令。运行中应注重安全生产，以及泵站场地的卫生整洁。</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2"/>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15.0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未按规范操作或未服从有关部门的应急指令的，每发生一起扣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分。运行中发生安全事故的，每起扣</w:t>
            </w:r>
            <w:r>
              <w:rPr>
                <w:rStyle w:val="1104"/>
                <w:rFonts w:eastAsia="宋体"/>
                <w:color w:val="000000"/>
                <w:highlight w:val="none"/>
                <w:lang w:val="en-US" w:eastAsia="zh-CN" w:bidi="ar"/>
              </w:rPr>
              <w:t xml:space="preserve">5.0</w:t>
            </w:r>
            <w:r>
              <w:rPr>
                <w:rStyle w:val="1103"/>
                <w:color w:val="000000"/>
                <w:highlight w:val="none"/>
                <w:lang w:val="en-US" w:eastAsia="zh-CN" w:bidi="ar"/>
              </w:rPr>
              <w:t xml:space="preserve">分；场地卫生不整洁，每处每次扣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Style w:val="1103"/>
                <w:color w:val="000000"/>
                <w:highlight w:val="none"/>
                <w:lang w:val="en-US" w:eastAsia="zh-CN" w:bidi="ar"/>
              </w:rPr>
              <w:t xml:space="preserve">效果</w:t>
            </w:r>
            <w:r>
              <w:rPr>
                <w:rFonts w:ascii="Times New Roman" w:hAnsi="Times New Roman" w:eastAsia="宋体" w:cs="Times New Roman"/>
                <w:i w:val="0"/>
                <w:iCs w:val="0"/>
                <w:color w:val="000000"/>
                <w:sz w:val="21"/>
                <w:szCs w:val="21"/>
                <w:highlight w:val="none"/>
                <w:u w:val="none"/>
              </w:rPr>
            </w:r>
            <w:r/>
          </w:p>
        </w:tc>
        <w:tc>
          <w:tcPr>
            <w:tcW w:w="423"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社会影响（</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诉讼舆情</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期间项目不得发生重大被起诉事件和负面舆情事件及群体性事件。</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期间如发生重大诉讼（被告且败诉）、负面公众舆情或负面群体性事件，每发生一次扣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生态影响</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生态影响</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项目运营不可对生态环境造成直接或间接的负面影响。</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1"/>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每发生一起因运营管理不当造成直接或间接的负面影响，导致相关主管部门的行政处罚（含通报），扣</w:t>
            </w:r>
            <w:r>
              <w:rPr>
                <w:rStyle w:val="1104"/>
                <w:rFonts w:eastAsia="宋体"/>
                <w:color w:val="000000"/>
                <w:highlight w:val="none"/>
                <w:lang w:val="en-US" w:eastAsia="zh-CN" w:bidi="ar"/>
              </w:rPr>
              <w:t xml:space="preserve">0.5</w:t>
            </w:r>
            <w:r>
              <w:rPr>
                <w:rStyle w:val="1103"/>
                <w:color w:val="000000"/>
                <w:highlight w:val="none"/>
                <w:lang w:val="en-US" w:eastAsia="zh-CN" w:bidi="ar"/>
              </w:rPr>
              <w:t xml:space="preserve">分；每发生一起公众投诉，扣</w:t>
            </w:r>
            <w:r>
              <w:rPr>
                <w:rStyle w:val="1104"/>
                <w:rFonts w:eastAsia="宋体"/>
                <w:color w:val="000000"/>
                <w:highlight w:val="none"/>
                <w:lang w:val="en-US" w:eastAsia="zh-CN" w:bidi="ar"/>
              </w:rPr>
              <w:t xml:space="preserve">0.5</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2"/>
        </w:trPr>
        <w:tc>
          <w:tcPr>
            <w:tcW w:w="37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23"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可持续性（</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财务指标对比分析</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从财务角度，对项目的成长性与可持续性做出评估。</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11"/>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若各项指标均保持可控或者优化，态势良好，不扣分；若各项指标呈现出轻微下滑或者恶化趋势，但处于平稳范围内（同比变动不超过</w:t>
            </w:r>
            <w:r>
              <w:rPr>
                <w:rStyle w:val="1104"/>
                <w:rFonts w:eastAsia="宋体"/>
                <w:color w:val="000000"/>
                <w:highlight w:val="none"/>
                <w:lang w:val="en-US" w:eastAsia="zh-CN" w:bidi="ar"/>
              </w:rPr>
              <w:t xml:space="preserve">5%</w:t>
            </w:r>
            <w:r>
              <w:rPr>
                <w:rStyle w:val="1103"/>
                <w:color w:val="000000"/>
                <w:highlight w:val="none"/>
                <w:lang w:val="en-US" w:eastAsia="zh-CN" w:bidi="ar"/>
              </w:rPr>
              <w:t xml:space="preserve">），扣</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分；各项指标存在不良趋势，表现出明显下降、恶化等现象，扣</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both"/>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47"/>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公众满意度</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每年应至少</w:t>
            </w:r>
            <w:r>
              <w:rPr>
                <w:rStyle w:val="1104"/>
                <w:rFonts w:eastAsia="宋体"/>
                <w:color w:val="000000"/>
                <w:highlight w:val="none"/>
                <w:lang w:val="en-US" w:eastAsia="zh-CN" w:bidi="ar"/>
              </w:rPr>
              <w:t xml:space="preserve">2</w:t>
            </w:r>
            <w:r>
              <w:rPr>
                <w:rStyle w:val="1103"/>
                <w:color w:val="000000"/>
                <w:highlight w:val="none"/>
                <w:lang w:val="en-US" w:eastAsia="zh-CN" w:bidi="ar"/>
              </w:rPr>
              <w:t xml:space="preserve">次组织进行社会公众满意度问卷调查，并及时向实施机构报告调查结果。</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2"/>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7.0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7.0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每少一次社会公众满意度调查，扣</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分；每次调查满意率</w:t>
            </w:r>
            <w:r>
              <w:rPr>
                <w:rStyle w:val="1104"/>
                <w:rFonts w:eastAsia="宋体"/>
                <w:color w:val="000000"/>
                <w:highlight w:val="none"/>
                <w:lang w:val="en-US" w:eastAsia="zh-CN" w:bidi="ar"/>
              </w:rPr>
              <w:t xml:space="preserve">80%~90%</w:t>
            </w:r>
            <w:r>
              <w:rPr>
                <w:rStyle w:val="1103"/>
                <w:color w:val="000000"/>
                <w:highlight w:val="none"/>
                <w:lang w:val="en-US" w:eastAsia="zh-CN" w:bidi="ar"/>
              </w:rPr>
              <w:t xml:space="preserve">时，扣</w:t>
            </w:r>
            <w:r>
              <w:rPr>
                <w:rStyle w:val="1104"/>
                <w:rFonts w:eastAsia="宋体"/>
                <w:color w:val="000000"/>
                <w:highlight w:val="none"/>
                <w:lang w:val="en-US" w:eastAsia="zh-CN" w:bidi="ar"/>
              </w:rPr>
              <w:t xml:space="preserve">0.25</w:t>
            </w:r>
            <w:r>
              <w:rPr>
                <w:rStyle w:val="1103"/>
                <w:color w:val="000000"/>
                <w:highlight w:val="none"/>
                <w:lang w:val="en-US" w:eastAsia="zh-CN" w:bidi="ar"/>
              </w:rPr>
              <w:t xml:space="preserve">分，为</w:t>
            </w:r>
            <w:r>
              <w:rPr>
                <w:rStyle w:val="1104"/>
                <w:rFonts w:eastAsia="宋体"/>
                <w:color w:val="000000"/>
                <w:highlight w:val="none"/>
                <w:lang w:val="en-US" w:eastAsia="zh-CN" w:bidi="ar"/>
              </w:rPr>
              <w:t xml:space="preserve">70%~79%</w:t>
            </w:r>
            <w:r>
              <w:rPr>
                <w:rStyle w:val="1103"/>
                <w:color w:val="000000"/>
                <w:highlight w:val="none"/>
                <w:lang w:val="en-US" w:eastAsia="zh-CN" w:bidi="ar"/>
              </w:rPr>
              <w:t xml:space="preserve">时扣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分，为</w:t>
            </w:r>
            <w:r>
              <w:rPr>
                <w:rStyle w:val="1104"/>
                <w:rFonts w:eastAsia="宋体"/>
                <w:color w:val="000000"/>
                <w:highlight w:val="none"/>
                <w:lang w:val="en-US" w:eastAsia="zh-CN" w:bidi="ar"/>
              </w:rPr>
              <w:t xml:space="preserve">60%~69%</w:t>
            </w:r>
            <w:r>
              <w:rPr>
                <w:rStyle w:val="1103"/>
                <w:color w:val="000000"/>
                <w:highlight w:val="none"/>
                <w:lang w:val="en-US" w:eastAsia="zh-CN" w:bidi="ar"/>
              </w:rPr>
              <w:t xml:space="preserve">时扣</w:t>
            </w:r>
            <w:r>
              <w:rPr>
                <w:rStyle w:val="1104"/>
                <w:rFonts w:eastAsia="宋体"/>
                <w:color w:val="000000"/>
                <w:highlight w:val="none"/>
                <w:lang w:val="en-US" w:eastAsia="zh-CN" w:bidi="ar"/>
              </w:rPr>
              <w:t xml:space="preserve">0.75</w:t>
            </w:r>
            <w:r>
              <w:rPr>
                <w:rStyle w:val="1103"/>
                <w:color w:val="000000"/>
                <w:highlight w:val="none"/>
                <w:lang w:val="en-US" w:eastAsia="zh-CN" w:bidi="ar"/>
              </w:rPr>
              <w:t xml:space="preserve">分，低于</w:t>
            </w:r>
            <w:r>
              <w:rPr>
                <w:rStyle w:val="1104"/>
                <w:rFonts w:eastAsia="宋体"/>
                <w:color w:val="000000"/>
                <w:highlight w:val="none"/>
                <w:lang w:val="en-US" w:eastAsia="zh-CN" w:bidi="ar"/>
              </w:rPr>
              <w:t xml:space="preserve">60%</w:t>
            </w:r>
            <w:r>
              <w:rPr>
                <w:rStyle w:val="1103"/>
                <w:color w:val="000000"/>
                <w:highlight w:val="none"/>
                <w:lang w:val="en-US" w:eastAsia="zh-CN" w:bidi="ar"/>
              </w:rPr>
              <w:t xml:space="preserve">时扣</w:t>
            </w:r>
            <w:r>
              <w:rPr>
                <w:rStyle w:val="1104"/>
                <w:rFonts w:eastAsia="宋体"/>
                <w:color w:val="000000"/>
                <w:highlight w:val="none"/>
                <w:lang w:val="en-US" w:eastAsia="zh-CN" w:bidi="ar"/>
              </w:rPr>
              <w:t xml:space="preserve">1.00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81"/>
        </w:trPr>
        <w:tc>
          <w:tcPr>
            <w:tcW w:w="379" w:type="dxa"/>
            <w:vAlign w:val="center"/>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Style w:val="1103"/>
                <w:color w:val="000000"/>
                <w:highlight w:val="none"/>
                <w:lang w:val="en-US" w:eastAsia="zh-CN" w:bidi="ar"/>
              </w:rPr>
              <w:t xml:space="preserve">管理</w:t>
            </w: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组织管理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组织与制度规程</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完善的组织机构文件及人员配置文件；有完善的管理制度，主要包括安全管理制度、行政管理制度、财务管理制度、奖惩制度、巡检管理制度、巡检岗位责任制度、维修岗位责任制度等；有完善的各种危险作业安全操作规程等。</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3.0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缺少一项扣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59"/>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计划与总结</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受委托养护单位应制定有切实可行的全年与月度养护计划，并按时完成，及时进行总结，并在约定时间内提交委托单位签收；应在</w:t>
            </w:r>
            <w:r>
              <w:rPr>
                <w:rStyle w:val="1104"/>
                <w:rFonts w:eastAsia="宋体"/>
                <w:color w:val="000000"/>
                <w:highlight w:val="none"/>
                <w:lang w:val="en-US" w:eastAsia="zh-CN" w:bidi="ar"/>
              </w:rPr>
              <w:t xml:space="preserve">5</w:t>
            </w:r>
            <w:r>
              <w:rPr>
                <w:rStyle w:val="1103"/>
                <w:color w:val="000000"/>
                <w:highlight w:val="none"/>
                <w:lang w:val="en-US" w:eastAsia="zh-CN" w:bidi="ar"/>
              </w:rPr>
              <w:t xml:space="preserve">天内对整改情况进行反馈，反馈内容应完整、真实；应按期及时提交内容完整的运营月报表；受委托养护单位需每季度至少召开</w:t>
            </w:r>
            <w:r>
              <w:rPr>
                <w:rStyle w:val="1104"/>
                <w:rFonts w:eastAsia="宋体"/>
                <w:color w:val="000000"/>
                <w:highlight w:val="none"/>
                <w:lang w:val="en-US" w:eastAsia="zh-CN" w:bidi="ar"/>
              </w:rPr>
              <w:t xml:space="preserve">1</w:t>
            </w:r>
            <w:r>
              <w:rPr>
                <w:rStyle w:val="1103"/>
                <w:color w:val="000000"/>
                <w:highlight w:val="none"/>
                <w:lang w:val="en-US" w:eastAsia="zh-CN" w:bidi="ar"/>
              </w:rPr>
              <w:t xml:space="preserve">次污水管网及泵站养护工作会议，研究讨论和布置养护工作。</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25"/>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未制定全年与月度养护计划的，扣</w:t>
            </w:r>
            <w:r>
              <w:rPr>
                <w:rStyle w:val="1104"/>
                <w:rFonts w:eastAsia="宋体"/>
                <w:color w:val="000000"/>
                <w:highlight w:val="none"/>
                <w:lang w:val="en-US" w:eastAsia="zh-CN" w:bidi="ar"/>
              </w:rPr>
              <w:t xml:space="preserve">0.5</w:t>
            </w:r>
            <w:r>
              <w:rPr>
                <w:rStyle w:val="1103"/>
                <w:color w:val="000000"/>
                <w:highlight w:val="none"/>
                <w:lang w:val="en-US" w:eastAsia="zh-CN" w:bidi="ar"/>
              </w:rPr>
              <w:t xml:space="preserve">分；超过约定期限</w:t>
            </w:r>
            <w:r>
              <w:rPr>
                <w:rStyle w:val="1104"/>
                <w:rFonts w:eastAsia="宋体"/>
                <w:color w:val="000000"/>
                <w:highlight w:val="none"/>
                <w:lang w:val="en-US" w:eastAsia="zh-CN" w:bidi="ar"/>
              </w:rPr>
              <w:t xml:space="preserve">3</w:t>
            </w:r>
            <w:r>
              <w:rPr>
                <w:rStyle w:val="1103"/>
                <w:color w:val="000000"/>
                <w:highlight w:val="none"/>
                <w:lang w:val="en-US" w:eastAsia="zh-CN" w:bidi="ar"/>
              </w:rPr>
              <w:t xml:space="preserve">天未提交运营月报表、养护总结、整改反馈报告的，每有一次均扣</w:t>
            </w:r>
            <w:r>
              <w:rPr>
                <w:rStyle w:val="1104"/>
                <w:rFonts w:eastAsia="宋体"/>
                <w:color w:val="000000"/>
                <w:highlight w:val="none"/>
                <w:lang w:val="en-US" w:eastAsia="zh-CN" w:bidi="ar"/>
              </w:rPr>
              <w:t xml:space="preserve">0.5</w:t>
            </w:r>
            <w:r>
              <w:rPr>
                <w:rStyle w:val="1103"/>
                <w:color w:val="000000"/>
                <w:highlight w:val="none"/>
                <w:lang w:val="en-US" w:eastAsia="zh-CN" w:bidi="ar"/>
              </w:rPr>
              <w:t xml:space="preserve">分；受委托养护单位未召开养护工作会议的而项目公司未进行督改的，每有一次扣</w:t>
            </w:r>
            <w:r>
              <w:rPr>
                <w:rStyle w:val="1104"/>
                <w:rFonts w:eastAsia="宋体"/>
                <w:color w:val="000000"/>
                <w:highlight w:val="none"/>
                <w:lang w:val="en-US" w:eastAsia="zh-CN" w:bidi="ar"/>
              </w:rPr>
              <w:t xml:space="preserve">0.5</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1"/>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财务管理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会计核算</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项目公司的财务管理应符合现行财务规定。对运营各年度所发生的收入、成本、费用进行合理、规范的会计核算，对各类费用均应进行凭证管理。</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2"/>
        </w:trPr>
        <w:tc>
          <w:tcPr>
            <w:tcW w:w="379"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3.0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随机抽取</w:t>
            </w:r>
            <w:r>
              <w:rPr>
                <w:rStyle w:val="1104"/>
                <w:rFonts w:eastAsia="宋体"/>
                <w:color w:val="000000"/>
                <w:highlight w:val="none"/>
                <w:lang w:val="en-US" w:eastAsia="zh-CN" w:bidi="ar"/>
              </w:rPr>
              <w:t xml:space="preserve">5</w:t>
            </w:r>
            <w:r>
              <w:rPr>
                <w:rStyle w:val="1103"/>
                <w:color w:val="000000"/>
                <w:highlight w:val="none"/>
                <w:lang w:val="en-US" w:eastAsia="zh-CN" w:bidi="ar"/>
              </w:rPr>
              <w:t xml:space="preserve">笔会计核算处理记录；用顺查法或逆查法检查本期各类凭证及材料。对于成本费用未入账或者虚报等情况，每发现一次扣</w:t>
            </w:r>
            <w:r>
              <w:rPr>
                <w:rStyle w:val="1104"/>
                <w:rFonts w:eastAsia="宋体"/>
                <w:color w:val="000000"/>
                <w:highlight w:val="none"/>
                <w:lang w:val="en-US" w:eastAsia="zh-CN" w:bidi="ar"/>
              </w:rPr>
              <w:t xml:space="preserve">0.25</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2"/>
        </w:trPr>
        <w:tc>
          <w:tcPr>
            <w:tcW w:w="37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10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账簿与报表编制</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项目公司的财务账簿、报表应按现行财务规定及时合理编制。</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7"/>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查核各类财务账簿与报表。如存在账、表未按现行财务规定编制或未及时编制的，每发现一处扣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30"/>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w:t>
            </w:r>
            <w:r>
              <w:rPr>
                <w:rFonts w:hint="eastAsia" w:ascii="宋体" w:hAnsi="宋体" w:eastAsia="宋体" w:cs="宋体"/>
                <w:i w:val="0"/>
                <w:iCs w:val="0"/>
                <w:color w:val="000000"/>
                <w:sz w:val="21"/>
                <w:szCs w:val="21"/>
                <w:highlight w:val="none"/>
                <w:u w:val="none"/>
              </w:rPr>
            </w:r>
            <w:r/>
          </w:p>
        </w:tc>
        <w:tc>
          <w:tcPr>
            <w:tcW w:w="523" w:type="dxa"/>
            <w:vAlign w:val="center"/>
            <w:vMerge w:val="restart"/>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于项目建设、养护等相关方面的档案资料编制的应及时、完整、真实，归集整理应及时、规范；相关档案文件内容应真实，应能真实反映运营、养护状况；档案文件的管理系统应规范，应有专人负责。运营台账记录应完整、清晰，应包括有管网例行巡视记录、管网养护记录、管网维护记录、设施设备维护记录及成本核算文件等。</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若发现有不符合上述要求的任一情形时，则每一种情况均扣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1"/>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信息公开</w:t>
            </w:r>
            <w:r>
              <w:rPr>
                <w:rFonts w:hint="eastAsia" w:ascii="宋体" w:hAnsi="宋体" w:eastAsia="宋体" w:cs="宋体"/>
                <w:i w:val="0"/>
                <w:iCs w:val="0"/>
                <w:color w:val="000000"/>
                <w:sz w:val="21"/>
                <w:szCs w:val="21"/>
                <w:highlight w:val="none"/>
                <w:u w:val="none"/>
              </w:rPr>
            </w:r>
            <w:r/>
          </w:p>
        </w:tc>
        <w:tc>
          <w:tcPr>
            <w:tcW w:w="523" w:type="dxa"/>
            <w:vAlign w:val="center"/>
            <w:vMerge w:val="restart"/>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项目公司应依法履行公开披露相关信息的义务，及时、准确与规范地将项目全部最新信息公开披露到全国</w:t>
            </w:r>
            <w:r>
              <w:rPr>
                <w:rStyle w:val="1104"/>
                <w:rFonts w:eastAsia="宋体"/>
                <w:color w:val="000000"/>
                <w:highlight w:val="none"/>
                <w:lang w:val="en-US" w:eastAsia="zh-CN" w:bidi="ar"/>
              </w:rPr>
              <w:t xml:space="preserve">PPP</w:t>
            </w:r>
            <w:r>
              <w:rPr>
                <w:rStyle w:val="1103"/>
                <w:color w:val="000000"/>
                <w:highlight w:val="none"/>
                <w:lang w:val="en-US" w:eastAsia="zh-CN" w:bidi="ar"/>
              </w:rPr>
              <w:t xml:space="preserve">综合信息平台（新平台）上。</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tcW w:w="379"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23"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w:t>
            </w:r>
            <w:r>
              <w:rPr>
                <w:rStyle w:val="1104"/>
                <w:rFonts w:eastAsia="宋体"/>
                <w:color w:val="000000"/>
                <w:highlight w:val="none"/>
                <w:lang w:val="en-US" w:eastAsia="zh-CN" w:bidi="ar"/>
              </w:rPr>
              <w:t xml:space="preserve">2.0</w:t>
            </w:r>
            <w:r>
              <w:rPr>
                <w:rStyle w:val="1103"/>
                <w:color w:val="000000"/>
                <w:highlight w:val="none"/>
                <w:lang w:val="en-US" w:eastAsia="zh-CN" w:bidi="ar"/>
              </w:rPr>
              <w:t xml:space="preserve">分）</w:t>
            </w:r>
            <w:r>
              <w:rPr>
                <w:rFonts w:hint="eastAsia" w:ascii="宋体" w:hAnsi="宋体" w:eastAsia="宋体" w:cs="宋体"/>
                <w:i w:val="0"/>
                <w:iCs w:val="0"/>
                <w:color w:val="000000"/>
                <w:sz w:val="21"/>
                <w:szCs w:val="21"/>
                <w:highlight w:val="none"/>
                <w:u w:val="none"/>
              </w:rPr>
            </w:r>
            <w:r/>
          </w:p>
        </w:tc>
        <w:tc>
          <w:tcPr>
            <w:tcW w:w="52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3"/>
                <w:color w:val="000000"/>
                <w:highlight w:val="none"/>
                <w:lang w:val="en-US" w:eastAsia="zh-CN" w:bidi="ar"/>
              </w:rPr>
              <w:t xml:space="preserve">未公开披露不得分；披露的信息有一项不符合要求时扣</w:t>
            </w:r>
            <w:r>
              <w:rPr>
                <w:rStyle w:val="1104"/>
                <w:rFonts w:eastAsia="宋体"/>
                <w:color w:val="000000"/>
                <w:highlight w:val="none"/>
                <w:lang w:val="en-US" w:eastAsia="zh-CN" w:bidi="ar"/>
              </w:rPr>
              <w:t xml:space="preserve">0.50</w:t>
            </w:r>
            <w:r>
              <w:rPr>
                <w:rStyle w:val="1103"/>
                <w:color w:val="000000"/>
                <w:highlight w:val="none"/>
                <w:lang w:val="en-US" w:eastAsia="zh-CN" w:bidi="ar"/>
              </w:rPr>
              <w:t xml:space="preserve">分。扣完为止。</w:t>
            </w: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8"/>
        </w:trPr>
        <w:tc>
          <w:tcPr>
            <w:gridSpan w:val="2"/>
            <w:tcW w:w="226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5"/>
                <w:color w:val="000000"/>
                <w:highlight w:val="none"/>
                <w:lang w:val="en-US" w:eastAsia="zh-CN" w:bidi="ar"/>
              </w:rPr>
              <w:t xml:space="preserve">奖罚分部分</w:t>
            </w:r>
            <w:r>
              <w:rPr>
                <w:rFonts w:hint="eastAsia" w:ascii="宋体" w:hAnsi="宋体" w:eastAsia="宋体" w:cs="宋体"/>
                <w:i w:val="0"/>
                <w:iCs w:val="0"/>
                <w:color w:val="000000"/>
                <w:sz w:val="21"/>
                <w:szCs w:val="21"/>
                <w:highlight w:val="none"/>
                <w:u w:val="none"/>
              </w:rPr>
            </w:r>
            <w:r/>
          </w:p>
        </w:tc>
        <w:tc>
          <w:tcPr>
            <w:tcW w:w="523" w:type="dxa"/>
            <w:vAlign w:val="center"/>
            <w:vMerge w:val="restart"/>
            <w:textDirection w:val="lrTb"/>
            <w:noWrap w:val="false"/>
          </w:tcPr>
          <w:p>
            <w:pPr>
              <w:pStyle w:val="844"/>
              <w:jc w:val="both"/>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732"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05"/>
                <w:color w:val="000000"/>
                <w:highlight w:val="none"/>
                <w:lang w:val="en-US" w:eastAsia="zh-CN" w:bidi="ar"/>
              </w:rPr>
              <w:t xml:space="preserve">如发生省级及以上部门通报批评或处罚的，扣罚</w:t>
            </w:r>
            <w:r>
              <w:rPr>
                <w:rStyle w:val="1106"/>
                <w:rFonts w:eastAsia="宋体"/>
                <w:color w:val="000000"/>
                <w:highlight w:val="none"/>
                <w:lang w:val="en-US" w:eastAsia="zh-CN" w:bidi="ar"/>
              </w:rPr>
              <w:t xml:space="preserve">1.00</w:t>
            </w:r>
            <w:r>
              <w:rPr>
                <w:rStyle w:val="1105"/>
                <w:color w:val="000000"/>
                <w:highlight w:val="none"/>
                <w:lang w:val="en-US" w:eastAsia="zh-CN" w:bidi="ar"/>
              </w:rPr>
              <w:t xml:space="preserve">分；常州市级主管部门通报批评或处罚的，扣罚</w:t>
            </w:r>
            <w:r>
              <w:rPr>
                <w:rStyle w:val="1106"/>
                <w:rFonts w:eastAsia="宋体"/>
                <w:color w:val="000000"/>
                <w:highlight w:val="none"/>
                <w:lang w:val="en-US" w:eastAsia="zh-CN" w:bidi="ar"/>
              </w:rPr>
              <w:t xml:space="preserve">0.50</w:t>
            </w:r>
            <w:r>
              <w:rPr>
                <w:rStyle w:val="1105"/>
                <w:color w:val="000000"/>
                <w:highlight w:val="none"/>
                <w:lang w:val="en-US" w:eastAsia="zh-CN" w:bidi="ar"/>
              </w:rPr>
              <w:t xml:space="preserve">分；省级及以上部门表扬或奖励的，奖励</w:t>
            </w:r>
            <w:r>
              <w:rPr>
                <w:rStyle w:val="1106"/>
                <w:rFonts w:eastAsia="宋体"/>
                <w:color w:val="000000"/>
                <w:highlight w:val="none"/>
                <w:lang w:val="en-US" w:eastAsia="zh-CN" w:bidi="ar"/>
              </w:rPr>
              <w:t xml:space="preserve">1.00</w:t>
            </w:r>
            <w:r>
              <w:rPr>
                <w:rStyle w:val="1105"/>
                <w:color w:val="000000"/>
                <w:highlight w:val="none"/>
                <w:lang w:val="en-US" w:eastAsia="zh-CN" w:bidi="ar"/>
              </w:rPr>
              <w:t xml:space="preserve">分；常州市级主管部门表扬或奖励的，奖励</w:t>
            </w:r>
            <w:r>
              <w:rPr>
                <w:rStyle w:val="1106"/>
                <w:rFonts w:eastAsia="宋体"/>
                <w:color w:val="000000"/>
                <w:highlight w:val="none"/>
                <w:lang w:val="en-US" w:eastAsia="zh-CN" w:bidi="ar"/>
              </w:rPr>
              <w:t xml:space="preserve">0.50</w:t>
            </w:r>
            <w:r>
              <w:rPr>
                <w:rStyle w:val="1105"/>
                <w:color w:val="000000"/>
                <w:highlight w:val="none"/>
                <w:lang w:val="en-US" w:eastAsia="zh-CN" w:bidi="ar"/>
              </w:rPr>
              <w:t xml:space="preserve">分。因同一件事件发生的奖励分或扣罚分不予重复计算，取最高值计。</w:t>
            </w:r>
            <w:r>
              <w:rPr>
                <w:rFonts w:hint="eastAsia" w:ascii="宋体" w:hAnsi="宋体" w:eastAsia="宋体" w:cs="宋体"/>
                <w:i w:val="0"/>
                <w:iCs w:val="0"/>
                <w:color w:val="000000"/>
                <w:sz w:val="21"/>
                <w:szCs w:val="21"/>
                <w:highlight w:val="none"/>
                <w:u w:val="none"/>
              </w:rPr>
            </w:r>
            <w:r/>
          </w:p>
        </w:tc>
        <w:tc>
          <w:tcPr>
            <w:tcW w:w="453" w:type="dxa"/>
            <w:vAlign w:val="center"/>
            <w:vMerge w:val="restart"/>
            <w:textDirection w:val="lrTb"/>
            <w:noWrap w:val="false"/>
          </w:tcPr>
          <w:p>
            <w:pPr>
              <w:pStyle w:val="844"/>
              <w:jc w:val="both"/>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restart"/>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20"/>
        </w:trPr>
        <w:tc>
          <w:tcPr>
            <w:gridSpan w:val="2"/>
            <w:tcW w:w="2268" w:type="dxa"/>
            <w:vAlign w:val="center"/>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523" w:type="dxa"/>
            <w:vAlign w:val="center"/>
            <w:vMerge w:val="continue"/>
            <w:textDirection w:val="lrTb"/>
            <w:noWrap w:val="false"/>
          </w:tcPr>
          <w:p>
            <w:pPr>
              <w:pStyle w:val="844"/>
              <w:jc w:val="both"/>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2732"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3" w:type="dxa"/>
            <w:vAlign w:val="center"/>
            <w:vMerge w:val="continue"/>
            <w:textDirection w:val="lrTb"/>
            <w:noWrap w:val="false"/>
          </w:tcPr>
          <w:p>
            <w:pPr>
              <w:pStyle w:val="844"/>
              <w:jc w:val="both"/>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vMerge w:val="continue"/>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362"/>
        </w:trPr>
        <w:tc>
          <w:tcPr>
            <w:gridSpan w:val="2"/>
            <w:tcW w:w="226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523" w:type="dxa"/>
            <w:vAlign w:val="center"/>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2732" w:type="dxa"/>
            <w:vAlign w:val="center"/>
            <w:textDirection w:val="lrTb"/>
            <w:noWrap w:val="false"/>
          </w:tcPr>
          <w:p>
            <w:pPr>
              <w:pStyle w:val="844"/>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c>
          <w:tcPr>
            <w:tcW w:w="453" w:type="dxa"/>
            <w:vAlign w:val="center"/>
            <w:textDirection w:val="lrTb"/>
            <w:noWrap w:val="false"/>
          </w:tcPr>
          <w:p>
            <w:pPr>
              <w:pStyle w:val="844"/>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W w:w="488" w:type="dxa"/>
            <w:vAlign w:val="center"/>
            <w:textDirection w:val="lrTb"/>
            <w:noWrap/>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44"/>
        <w:jc w:val="center"/>
        <w:spacing w:line="360" w:lineRule="auto"/>
        <w:rPr>
          <w:b/>
          <w:color w:val="000000"/>
          <w:sz w:val="36"/>
          <w:szCs w:val="36"/>
          <w:highlight w:val="none"/>
        </w:rPr>
        <w:outlineLvl w:val="0"/>
      </w:pPr>
      <w:r>
        <w:rPr>
          <w:b/>
          <w:color w:val="000000"/>
          <w:sz w:val="36"/>
          <w:szCs w:val="36"/>
          <w:highlight w:val="none"/>
        </w:rPr>
      </w:r>
      <w:r/>
    </w:p>
    <w:p>
      <w:pPr>
        <w:pStyle w:val="844"/>
        <w:jc w:val="center"/>
        <w:spacing w:line="360" w:lineRule="auto"/>
        <w:rPr>
          <w:b/>
          <w:color w:val="000000"/>
          <w:sz w:val="36"/>
          <w:szCs w:val="36"/>
          <w:highlight w:val="none"/>
        </w:rPr>
        <w:sectPr>
          <w:footnotePr/>
          <w:endnotePr/>
          <w:type w:val="nextPage"/>
          <w:pgSz w:w="16840" w:h="11907" w:orient="landscape"/>
          <w:pgMar w:top="1701" w:right="1417" w:bottom="1134" w:left="1417" w:header="851" w:footer="850" w:gutter="0"/>
          <w:cols w:num="1" w:sep="0" w:space="1701" w:equalWidth="1"/>
          <w:docGrid w:linePitch="360"/>
        </w:sectPr>
        <w:outlineLvl w:val="0"/>
      </w:pPr>
      <w:r>
        <w:rPr>
          <w:b/>
          <w:color w:val="000000"/>
          <w:sz w:val="36"/>
          <w:szCs w:val="36"/>
          <w:highlight w:val="none"/>
        </w:rPr>
      </w:r>
      <w:r/>
    </w:p>
    <w:p>
      <w:pPr>
        <w:pStyle w:val="856"/>
        <w:tabs>
          <w:tab w:val="left" w:pos="567" w:leader="none"/>
        </w:tabs>
        <w:rPr>
          <w:b/>
          <w:color w:val="000000"/>
          <w:sz w:val="36"/>
          <w:szCs w:val="36"/>
          <w:highlight w:val="none"/>
        </w:rPr>
      </w:pPr>
      <w:r>
        <w:rPr>
          <w:b/>
          <w:color w:val="000000"/>
          <w:sz w:val="36"/>
          <w:szCs w:val="36"/>
          <w:highlight w:val="none"/>
        </w:rPr>
      </w:r>
      <w:r/>
    </w:p>
    <w:p>
      <w:pPr>
        <w:pStyle w:val="844"/>
        <w:ind w:firstLine="0"/>
        <w:jc w:val="center"/>
        <w:spacing w:line="360" w:lineRule="auto"/>
        <w:rPr>
          <w:rFonts w:hint="eastAsia" w:ascii="Times New Roman" w:hAnsi="Times New Roman" w:eastAsia="宋体" w:cs="Times New Roman"/>
          <w:b/>
          <w:bCs/>
          <w:color w:val="000000"/>
          <w:sz w:val="28"/>
          <w:szCs w:val="28"/>
          <w:highlight w:val="none"/>
        </w:rPr>
      </w:pPr>
      <w:r>
        <w:rPr>
          <w:rFonts w:hint="eastAsia" w:ascii="Times New Roman" w:hAnsi="Times New Roman" w:eastAsia="宋体" w:cs="Times New Roman"/>
          <w:b/>
          <w:bCs/>
          <w:color w:val="000000"/>
          <w:sz w:val="28"/>
          <w:szCs w:val="28"/>
          <w:highlight w:val="none"/>
        </w:rPr>
        <w:t xml:space="preserve">农村生活污水综合治理</w:t>
      </w:r>
      <w:r>
        <w:rPr>
          <w:rFonts w:hint="eastAsia" w:ascii="Times New Roman" w:hAnsi="Times New Roman" w:eastAsia="宋体" w:cs="Times New Roman"/>
          <w:b/>
          <w:bCs/>
          <w:color w:val="000000"/>
          <w:sz w:val="28"/>
          <w:szCs w:val="28"/>
          <w:highlight w:val="none"/>
          <w:lang w:val="en-US" w:eastAsia="zh-CN"/>
        </w:rPr>
        <w:t xml:space="preserve">项目 </w:t>
      </w:r>
      <w:r>
        <w:rPr>
          <w:rFonts w:hint="eastAsia" w:ascii="Times New Roman" w:hAnsi="Times New Roman" w:eastAsia="宋体" w:cs="Times New Roman"/>
          <w:b/>
          <w:bCs/>
          <w:color w:val="000000"/>
          <w:sz w:val="28"/>
          <w:szCs w:val="28"/>
          <w:highlight w:val="none"/>
          <w:u w:val="single"/>
          <w:lang w:val="en-US" w:eastAsia="zh-CN"/>
        </w:rPr>
        <w:t xml:space="preserve">     </w:t>
      </w:r>
      <w:r>
        <w:rPr>
          <w:rFonts w:ascii="Times New Roman" w:hAnsi="Times New Roman" w:eastAsia="宋体" w:cs="Times New Roman"/>
          <w:b/>
          <w:bCs/>
          <w:color w:val="000000"/>
          <w:sz w:val="28"/>
          <w:szCs w:val="28"/>
          <w:highlight w:val="none"/>
        </w:rPr>
        <w:t xml:space="preserve">年</w:t>
      </w:r>
      <w:r>
        <w:rPr>
          <w:rFonts w:hint="eastAsia" w:ascii="Times New Roman" w:hAnsi="Times New Roman" w:eastAsia="宋体" w:cs="Times New Roman"/>
          <w:b/>
          <w:bCs/>
          <w:color w:val="000000"/>
          <w:sz w:val="28"/>
          <w:szCs w:val="28"/>
          <w:highlight w:val="none"/>
          <w:u w:val="single"/>
          <w:lang w:val="en-US" w:eastAsia="zh-CN"/>
        </w:rPr>
        <w:t xml:space="preserve">     </w:t>
      </w:r>
      <w:r>
        <w:rPr>
          <w:rFonts w:hint="eastAsia" w:ascii="Times New Roman" w:hAnsi="Times New Roman" w:eastAsia="宋体" w:cs="Times New Roman"/>
          <w:b/>
          <w:bCs/>
          <w:color w:val="000000"/>
          <w:sz w:val="28"/>
          <w:szCs w:val="28"/>
          <w:highlight w:val="none"/>
          <w:u w:val="none"/>
          <w:lang w:val="en-US" w:eastAsia="zh-CN"/>
        </w:rPr>
        <w:t xml:space="preserve">季度</w:t>
      </w:r>
      <w:r>
        <w:rPr>
          <w:rFonts w:hint="eastAsia" w:ascii="Times New Roman" w:hAnsi="Times New Roman" w:eastAsia="宋体" w:cs="Times New Roman"/>
          <w:b/>
          <w:bCs/>
          <w:color w:val="000000"/>
          <w:sz w:val="28"/>
          <w:szCs w:val="28"/>
          <w:highlight w:val="none"/>
        </w:rPr>
        <w:t xml:space="preserve">运维绩效考核评价得分汇总表</w:t>
      </w:r>
      <w:r>
        <w:rPr>
          <w:rFonts w:hint="eastAsia" w:ascii="Times New Roman" w:hAnsi="Times New Roman" w:eastAsia="宋体" w:cs="Times New Roman"/>
          <w:b/>
          <w:bCs/>
          <w:color w:val="000000"/>
          <w:sz w:val="28"/>
          <w:szCs w:val="28"/>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158"/>
        <w:gridCol w:w="1508"/>
        <w:gridCol w:w="7243"/>
        <w:gridCol w:w="876"/>
        <w:gridCol w:w="2330"/>
      </w:tblGrid>
      <w:tr>
        <w:trPr>
          <w:trHeight w:val="397"/>
          <w:tblHeader/>
        </w:trPr>
        <w:tc>
          <w:tcPr>
            <w:tcW w:w="387"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一级指标</w:t>
            </w:r>
            <w:r>
              <w:rPr>
                <w:rFonts w:ascii="Times New Roman" w:hAnsi="Times New Roman" w:eastAsia="宋体" w:cs="Times New Roman"/>
                <w:b/>
                <w:bCs/>
                <w:color w:val="000000"/>
                <w:sz w:val="21"/>
                <w:szCs w:val="21"/>
                <w:highlight w:val="none"/>
              </w:rPr>
            </w:r>
            <w:r/>
          </w:p>
        </w:tc>
        <w:tc>
          <w:tcPr>
            <w:tcW w:w="406"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二级指标</w:t>
            </w:r>
            <w:r>
              <w:rPr>
                <w:rFonts w:ascii="Times New Roman" w:hAnsi="Times New Roman" w:eastAsia="宋体" w:cs="Times New Roman"/>
                <w:b/>
                <w:bCs/>
                <w:color w:val="000000"/>
                <w:sz w:val="21"/>
                <w:szCs w:val="21"/>
                <w:highlight w:val="none"/>
              </w:rPr>
            </w:r>
            <w:r/>
          </w:p>
        </w:tc>
        <w:tc>
          <w:tcPr>
            <w:tcW w:w="530"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三级指标</w:t>
            </w:r>
            <w:r>
              <w:rPr>
                <w:rFonts w:ascii="Times New Roman" w:hAnsi="Times New Roman" w:eastAsia="宋体" w:cs="Times New Roman"/>
                <w:b/>
                <w:bCs/>
                <w:color w:val="000000"/>
                <w:sz w:val="21"/>
                <w:szCs w:val="21"/>
                <w:highlight w:val="none"/>
              </w:rPr>
            </w:r>
            <w:r/>
          </w:p>
        </w:tc>
        <w:tc>
          <w:tcPr>
            <w:tcW w:w="2546"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考  核  目  标  与  评  分  办  法</w:t>
            </w:r>
            <w:r>
              <w:rPr>
                <w:rFonts w:ascii="Times New Roman" w:hAnsi="Times New Roman" w:eastAsia="宋体" w:cs="Times New Roman"/>
                <w:b/>
                <w:bCs/>
                <w:color w:val="000000"/>
                <w:sz w:val="21"/>
                <w:szCs w:val="21"/>
                <w:highlight w:val="none"/>
              </w:rPr>
            </w:r>
            <w:r/>
          </w:p>
        </w:tc>
        <w:tc>
          <w:tcPr>
            <w:tcW w:w="308"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得分值</w:t>
            </w:r>
            <w:r>
              <w:rPr>
                <w:rFonts w:ascii="Times New Roman" w:hAnsi="Times New Roman" w:eastAsia="宋体" w:cs="Times New Roman"/>
                <w:b/>
                <w:bCs/>
                <w:color w:val="000000"/>
                <w:sz w:val="21"/>
                <w:szCs w:val="21"/>
                <w:highlight w:val="none"/>
              </w:rPr>
            </w:r>
            <w:r/>
          </w:p>
        </w:tc>
        <w:tc>
          <w:tcPr>
            <w:tcW w:w="819" w:type="dxa"/>
            <w:vAlign w:val="center"/>
            <w:textDirection w:val="lrTb"/>
            <w:noWrap w:val="false"/>
          </w:tcPr>
          <w:p>
            <w:pPr>
              <w:pStyle w:val="844"/>
              <w:ind w:firstLine="0"/>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绩效考核说明</w:t>
            </w:r>
            <w:r>
              <w:rPr>
                <w:rFonts w:ascii="Times New Roman" w:hAnsi="Times New Roman" w:eastAsia="宋体" w:cs="Times New Roman"/>
                <w:b/>
                <w:bCs/>
                <w:color w:val="000000"/>
                <w:sz w:val="21"/>
                <w:szCs w:val="21"/>
                <w:highlight w:val="none"/>
              </w:rPr>
            </w:r>
            <w:r/>
          </w:p>
        </w:tc>
      </w:tr>
      <w:tr>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产出</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（80分）</w:t>
            </w: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例行巡视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与维修</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人员配备应充足，应按规定进行</w:t>
            </w:r>
            <w:r>
              <w:rPr>
                <w:rFonts w:ascii="Times New Roman" w:hAnsi="Times New Roman" w:eastAsia="宋体" w:cs="Times New Roman"/>
                <w:color w:val="000000"/>
                <w:sz w:val="21"/>
                <w:szCs w:val="21"/>
                <w:highlight w:val="none"/>
                <w:u w:val="none"/>
                <w:lang w:val="en-US" w:eastAsia="zh-CN" w:bidi="ar"/>
              </w:rPr>
              <w:t xml:space="preserve">例行巡检；巡检中发现问题应有跟踪维修记录；设备不能正常运行时，运营单位应及时记录；运营公司无法完成的维修项目应及时上报相关部门并做好记录。</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u w:val="none"/>
                <w:lang w:val="en-US" w:eastAsia="zh-CN" w:bidi="ar"/>
              </w:rPr>
              <w:t xml:space="preserve">    未例行巡检且无正当原因的，巡检中发现问题未有跟踪维修记录的，设备不能正常运行但运营单位未有记录的，运营公司无法完成的维修项目未及时上报且未并记录的，每一起均扣</w:t>
            </w:r>
            <w:r>
              <w:rPr>
                <w:rFonts w:ascii="Times New Roman" w:hAnsi="Times New Roman" w:eastAsia="宋体" w:cs="Times New Roman"/>
                <w:b/>
                <w:color w:val="000000"/>
                <w:sz w:val="21"/>
                <w:szCs w:val="21"/>
                <w:highlight w:val="none"/>
                <w:u w:val="none"/>
                <w:lang w:val="en-US" w:eastAsia="zh-CN" w:bidi="ar"/>
              </w:rPr>
              <w:t xml:space="preserve">0.5</w:t>
            </w:r>
            <w:r>
              <w:rPr>
                <w:rFonts w:ascii="Times New Roman" w:hAnsi="Times New Roman" w:eastAsia="宋体" w:cs="Times New Roman"/>
                <w:color w:val="000000"/>
                <w:sz w:val="21"/>
                <w:szCs w:val="21"/>
                <w:highlight w:val="none"/>
                <w:u w:val="none"/>
                <w:lang w:val="en-US" w:eastAsia="zh-CN" w:bidi="ar"/>
              </w:rPr>
              <w:t xml:space="preserve">0分。扣完为止。</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水质管理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25.0分</w:t>
            </w:r>
            <w:r>
              <w:rPr>
                <w:rFonts w:hint="eastAsia"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进出水水质检测</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运营单位应按</w:t>
            </w:r>
            <w:r>
              <w:rPr>
                <w:rFonts w:ascii="Times New Roman" w:hAnsi="Times New Roman" w:eastAsia="宋体" w:cs="Times New Roman"/>
                <w:color w:val="000000"/>
                <w:sz w:val="21"/>
                <w:szCs w:val="21"/>
                <w:highlight w:val="none"/>
                <w:lang w:val="en-US" w:eastAsia="zh-CN" w:bidi="ar-SA"/>
              </w:rPr>
              <w:t xml:space="preserve">DB32-3462-2020《农村生活污水处理设施水污染物排放标准》规定，</w:t>
            </w:r>
            <w:r>
              <w:rPr>
                <w:rFonts w:ascii="Times New Roman" w:hAnsi="Times New Roman" w:eastAsia="宋体" w:cs="Times New Roman"/>
                <w:color w:val="000000"/>
                <w:sz w:val="21"/>
                <w:szCs w:val="21"/>
                <w:highlight w:val="none"/>
                <w:lang w:val="en-US" w:eastAsia="zh-CN" w:bidi="ar"/>
              </w:rPr>
              <w:t xml:space="preserve">对分散式污水处理设施进行进出水水质检测。</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按每年全覆盖检测的要求，水质自检频次应至少达到以下要求：20</w:t>
            </w:r>
            <w:r>
              <w:rPr>
                <w:rFonts w:ascii="Times New Roman" w:hAnsi="Times New Roman" w:eastAsia="宋体" w:cs="Times New Roman"/>
                <w:color w:val="000000"/>
                <w:sz w:val="21"/>
                <w:szCs w:val="21"/>
                <w:highlight w:val="none"/>
                <w:u w:val="none"/>
                <w:lang w:val="en-US" w:eastAsia="zh-CN" w:bidi="ar"/>
              </w:rPr>
              <w:t xml:space="preserve">吨（含20</w:t>
            </w:r>
            <w:r>
              <w:rPr>
                <w:rFonts w:ascii="Times New Roman" w:hAnsi="Times New Roman" w:eastAsia="宋体" w:cs="Times New Roman"/>
                <w:color w:val="000000"/>
                <w:sz w:val="21"/>
                <w:szCs w:val="21"/>
                <w:highlight w:val="none"/>
                <w:u w:val="none"/>
                <w:lang w:val="en-US" w:eastAsia="zh-CN" w:bidi="ar-SA"/>
              </w:rPr>
              <w:t xml:space="preserve">吨</w:t>
            </w:r>
            <w:r>
              <w:rPr>
                <w:rFonts w:ascii="Times New Roman" w:hAnsi="Times New Roman" w:eastAsia="宋体" w:cs="Times New Roman"/>
                <w:color w:val="000000"/>
                <w:sz w:val="21"/>
                <w:szCs w:val="21"/>
                <w:highlight w:val="none"/>
                <w:u w:val="none"/>
                <w:lang w:val="en-US" w:eastAsia="zh-CN" w:bidi="ar"/>
              </w:rPr>
              <w:t xml:space="preserve">）以上设施每季度检测一次，5-20吨（含5吨）设施每半年检测一次，每缺一个设施点或</w:t>
            </w:r>
            <w:r>
              <w:rPr>
                <w:rFonts w:ascii="Times New Roman" w:hAnsi="Times New Roman" w:eastAsia="宋体" w:cs="Times New Roman"/>
                <w:color w:val="000000"/>
                <w:sz w:val="21"/>
                <w:szCs w:val="21"/>
                <w:highlight w:val="none"/>
                <w:lang w:val="en-US" w:eastAsia="zh-CN" w:bidi="ar"/>
              </w:rPr>
              <w:t xml:space="preserve">检测频次</w:t>
            </w:r>
            <w:r>
              <w:rPr>
                <w:rFonts w:ascii="Times New Roman" w:hAnsi="Times New Roman" w:eastAsia="宋体" w:cs="Times New Roman"/>
                <w:color w:val="000000"/>
                <w:sz w:val="21"/>
                <w:szCs w:val="21"/>
                <w:highlight w:val="none"/>
                <w:u w:val="none"/>
                <w:lang w:val="en-US" w:eastAsia="zh-CN" w:bidi="ar"/>
              </w:rPr>
              <w:t xml:space="preserve">不足，均扣</w:t>
            </w:r>
            <w:r>
              <w:rPr>
                <w:rFonts w:ascii="Times New Roman" w:hAnsi="Times New Roman" w:eastAsia="宋体" w:cs="Times New Roman"/>
                <w:b/>
                <w:color w:val="000000"/>
                <w:sz w:val="21"/>
                <w:szCs w:val="21"/>
                <w:highlight w:val="none"/>
                <w:u w:val="none"/>
                <w:lang w:val="en-US" w:eastAsia="zh-CN" w:bidi="ar"/>
              </w:rPr>
              <w:t xml:space="preserve">0.50</w:t>
            </w:r>
            <w:r>
              <w:rPr>
                <w:rFonts w:ascii="Times New Roman" w:hAnsi="Times New Roman" w:eastAsia="宋体" w:cs="Times New Roman"/>
                <w:color w:val="000000"/>
                <w:sz w:val="21"/>
                <w:szCs w:val="21"/>
                <w:highlight w:val="none"/>
                <w:u w:val="none"/>
                <w:lang w:val="en-US" w:eastAsia="zh-CN" w:bidi="ar"/>
              </w:rPr>
              <w:t xml:space="preserve">分；5吨以下设施每季按25%的比例抽检，抽检比例每下降</w:t>
            </w:r>
            <w:r>
              <w:rPr>
                <w:rFonts w:ascii="Times New Roman" w:hAnsi="Times New Roman" w:eastAsia="宋体" w:cs="Times New Roman"/>
                <w:b/>
                <w:color w:val="000000"/>
                <w:sz w:val="21"/>
                <w:szCs w:val="21"/>
                <w:highlight w:val="none"/>
                <w:u w:val="none"/>
                <w:lang w:val="en-US" w:eastAsia="zh-CN" w:bidi="ar"/>
              </w:rPr>
              <w:t xml:space="preserve">0.5</w:t>
            </w:r>
            <w:r>
              <w:rPr>
                <w:rFonts w:ascii="Times New Roman" w:hAnsi="Times New Roman" w:eastAsia="宋体" w:cs="Times New Roman"/>
                <w:color w:val="000000"/>
                <w:sz w:val="21"/>
                <w:szCs w:val="21"/>
                <w:highlight w:val="none"/>
                <w:u w:val="none"/>
                <w:lang w:val="en-US" w:eastAsia="zh-CN" w:bidi="ar"/>
              </w:rPr>
              <w:t xml:space="preserve">个百分点，扣</w:t>
            </w:r>
            <w:r>
              <w:rPr>
                <w:rFonts w:ascii="Times New Roman" w:hAnsi="Times New Roman" w:eastAsia="宋体" w:cs="Times New Roman"/>
                <w:b/>
                <w:color w:val="000000"/>
                <w:sz w:val="21"/>
                <w:szCs w:val="21"/>
                <w:highlight w:val="none"/>
                <w:u w:val="none"/>
                <w:lang w:val="en-US" w:eastAsia="zh-CN" w:bidi="ar"/>
              </w:rPr>
              <w:t xml:space="preserve">1.00</w:t>
            </w:r>
            <w:r>
              <w:rPr>
                <w:rFonts w:ascii="Times New Roman" w:hAnsi="Times New Roman" w:eastAsia="宋体" w:cs="Times New Roman"/>
                <w:color w:val="000000"/>
                <w:sz w:val="21"/>
                <w:szCs w:val="21"/>
                <w:highlight w:val="none"/>
                <w:u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进水水质达标率</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根据项目公司水质监测统计数据判定进水水质达标率，进水水质达标率应为90%（含）以上。</w:t>
            </w:r>
            <w:r>
              <w:rPr>
                <w:rFonts w:ascii="Times New Roman" w:hAnsi="Times New Roman" w:eastAsia="宋体" w:cs="Times New Roman"/>
                <w:color w:val="000000"/>
                <w:sz w:val="21"/>
                <w:szCs w:val="21"/>
                <w:highlight w:val="none"/>
                <w:lang w:val="en-US" w:eastAsia="zh-CN" w:bidi="ar"/>
              </w:rPr>
            </w:r>
            <w:r/>
          </w:p>
          <w:p>
            <w:pPr>
              <w:pStyle w:val="844"/>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    进水水质监测达标率90%（含）以上不扣分；达标率每降低1个百分点扣</w:t>
            </w:r>
            <w:r>
              <w:rPr>
                <w:rFonts w:ascii="Times New Roman" w:hAnsi="Times New Roman" w:eastAsia="宋体" w:cs="Times New Roman"/>
                <w:b/>
                <w:color w:val="000000"/>
                <w:sz w:val="21"/>
                <w:szCs w:val="21"/>
                <w:highlight w:val="none"/>
                <w:lang w:bidi="ar"/>
              </w:rPr>
              <w:t xml:space="preserve">1</w:t>
            </w:r>
            <w:r>
              <w:rPr>
                <w:rFonts w:ascii="Times New Roman" w:hAnsi="Times New Roman" w:eastAsia="宋体" w:cs="Times New Roman"/>
                <w:b/>
                <w:color w:val="000000"/>
                <w:sz w:val="21"/>
                <w:szCs w:val="21"/>
                <w:highlight w:val="none"/>
              </w:rPr>
              <w:t xml:space="preserve">.00</w:t>
            </w:r>
            <w:r>
              <w:rPr>
                <w:rFonts w:ascii="Times New Roman" w:hAnsi="Times New Roman" w:eastAsia="宋体" w:cs="Times New Roman"/>
                <w:color w:val="000000"/>
                <w:sz w:val="21"/>
                <w:szCs w:val="21"/>
                <w:highlight w:val="none"/>
                <w:lang w:bidi="ar"/>
              </w:rPr>
              <w:t xml:space="preserve">分；扣完为止。但进水水质达标率低于90%，经核查非管网渗漏原因导致或明显异常时，不扣分。</w:t>
            </w:r>
            <w:r>
              <w:rPr>
                <w:rFonts w:ascii="Times New Roman" w:hAnsi="Times New Roman" w:eastAsia="宋体" w:cs="Times New Roman"/>
                <w:color w:val="000000"/>
                <w:sz w:val="21"/>
                <w:szCs w:val="21"/>
                <w:highlight w:val="none"/>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出水水质达标率</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（10.0分）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监管部门（包括上级行业主管部门、市生态环境部门等）或委托第三方每季度抽测出水水质，出水水质抽测达标率应为90%（含）以上。</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出水水质抽测达标率90%（含）以上不扣分； 达标率每降低1个百分点扣</w:t>
            </w:r>
            <w:r>
              <w:rPr>
                <w:rFonts w:ascii="Times New Roman" w:hAnsi="Times New Roman" w:eastAsia="宋体" w:cs="Times New Roman"/>
                <w:b/>
                <w:color w:val="000000"/>
                <w:sz w:val="21"/>
                <w:szCs w:val="21"/>
                <w:highlight w:val="none"/>
                <w:lang w:val="en-US" w:eastAsia="zh-CN" w:bidi="ar"/>
              </w:rPr>
              <w:t xml:space="preserve">0.50</w:t>
            </w:r>
            <w:r>
              <w:rPr>
                <w:rFonts w:ascii="Times New Roman" w:hAnsi="Times New Roman" w:eastAsia="宋体" w:cs="Times New Roman"/>
                <w:color w:val="000000"/>
                <w:sz w:val="21"/>
                <w:szCs w:val="21"/>
                <w:highlight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此项为硬性指标，如分值扣完，则视为本季度出水水质考核为不合格。</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
              </w:rPr>
            </w:r>
            <w:r/>
          </w:p>
        </w:tc>
      </w:tr>
      <w:tr>
        <w:trPr>
          <w:trHeight w:val="1878"/>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污泥处理、处置</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自行或委托有资质的单位进行污泥处理、处置。应有污泥处置路径或处置合同，污泥处理处置应科学、合理、不造成二次污染，污泥脱水率应符合要求。</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按不少于1次 / 季的频次对备案的污泥处置点进行检查考核。每发现一处次污泥处置路径或污泥脱水率不符合污泥处置方案的，均扣</w:t>
            </w:r>
            <w:r>
              <w:rPr>
                <w:rFonts w:ascii="Times New Roman" w:hAnsi="Times New Roman" w:eastAsia="宋体" w:cs="Times New Roman"/>
                <w:b/>
                <w:color w:val="000000"/>
                <w:sz w:val="21"/>
                <w:szCs w:val="21"/>
                <w:highlight w:val="none"/>
                <w:lang w:val="en-US" w:eastAsia="zh-CN" w:bidi="ar-SA"/>
              </w:rPr>
              <w:t xml:space="preserve">1.00</w:t>
            </w:r>
            <w:r>
              <w:rPr>
                <w:rFonts w:ascii="Times New Roman" w:hAnsi="Times New Roman" w:eastAsia="宋体" w:cs="Times New Roman"/>
                <w:color w:val="000000"/>
                <w:sz w:val="21"/>
                <w:szCs w:val="21"/>
                <w:highlight w:val="none"/>
                <w:lang w:val="en-US" w:eastAsia="zh-CN" w:bidi="ar-SA"/>
              </w:rPr>
              <w:t xml:space="preserve">分；每发现一起</w:t>
            </w:r>
            <w:r>
              <w:rPr>
                <w:rFonts w:ascii="Times New Roman" w:hAnsi="Times New Roman" w:eastAsia="宋体" w:cs="Times New Roman"/>
                <w:color w:val="000000"/>
                <w:sz w:val="21"/>
                <w:szCs w:val="21"/>
                <w:highlight w:val="none"/>
                <w:lang w:val="en-US" w:eastAsia="zh-CN" w:bidi="ar"/>
              </w:rPr>
              <w:t xml:space="preserve">未在规定时间内及时处理污泥或</w:t>
            </w:r>
            <w:r>
              <w:rPr>
                <w:rFonts w:ascii="Times New Roman" w:hAnsi="Times New Roman" w:eastAsia="宋体" w:cs="Times New Roman"/>
                <w:color w:val="000000"/>
                <w:sz w:val="21"/>
                <w:szCs w:val="21"/>
                <w:highlight w:val="none"/>
                <w:lang w:val="en-US" w:eastAsia="zh-CN" w:bidi="ar-SA"/>
              </w:rPr>
              <w:t xml:space="preserve">污泥脱水率不符合要求</w:t>
            </w:r>
            <w:r>
              <w:rPr>
                <w:rFonts w:ascii="Times New Roman" w:hAnsi="Times New Roman" w:eastAsia="宋体" w:cs="Times New Roman"/>
                <w:color w:val="000000"/>
                <w:sz w:val="21"/>
                <w:szCs w:val="21"/>
                <w:highlight w:val="none"/>
                <w:lang w:val="en-US" w:eastAsia="zh-CN" w:bidi="ar"/>
              </w:rPr>
              <w:t xml:space="preserve">的，均扣</w:t>
            </w:r>
            <w:r>
              <w:rPr>
                <w:rFonts w:ascii="Times New Roman" w:hAnsi="Times New Roman" w:eastAsia="宋体" w:cs="Times New Roman"/>
                <w:b/>
                <w:color w:val="000000"/>
                <w:sz w:val="21"/>
                <w:szCs w:val="21"/>
                <w:highlight w:val="none"/>
                <w:lang w:val="en-US" w:eastAsia="zh-CN" w:bidi="ar"/>
              </w:rPr>
              <w:t xml:space="preserve">0.50</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t xml:space="preserve">。扣完为止。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1828"/>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产出</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（80分）</w:t>
            </w:r>
            <w:r>
              <w:rPr>
                <w:rFonts w:ascii="Times New Roman" w:hAnsi="Times New Roman" w:eastAsia="宋体" w:cs="Times New Roman"/>
                <w:color w:val="000000"/>
                <w:sz w:val="21"/>
                <w:szCs w:val="21"/>
                <w:highlight w:val="none"/>
                <w:lang w:val="en-US" w:eastAsia="zh-CN" w:bidi="ar-SA"/>
              </w:rPr>
            </w:r>
            <w:r/>
          </w:p>
        </w:tc>
        <w:tc>
          <w:tcPr>
            <w:tcW w:w="406"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污水收集管</w:t>
            </w:r>
            <w:r>
              <w:rPr>
                <w:rFonts w:ascii="Times New Roman" w:hAnsi="Times New Roman" w:eastAsia="宋体" w:cs="Times New Roman"/>
                <w:color w:val="000000"/>
                <w:sz w:val="21"/>
                <w:szCs w:val="21"/>
                <w:highlight w:val="none"/>
                <w:lang w:val="en-US" w:eastAsia="zh-CN" w:bidi="ar"/>
              </w:rPr>
              <w:t xml:space="preserve">网</w:t>
            </w:r>
            <w:r>
              <w:rPr>
                <w:rFonts w:ascii="Times New Roman" w:hAnsi="Times New Roman" w:eastAsia="宋体" w:cs="Times New Roman"/>
                <w:color w:val="000000"/>
                <w:sz w:val="21"/>
                <w:szCs w:val="21"/>
                <w:highlight w:val="none"/>
                <w:lang w:val="en-US" w:eastAsia="zh-CN" w:bidi="ar-SA"/>
              </w:rPr>
              <w:t xml:space="preserve">运维</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（25</w:t>
            </w:r>
            <w:r>
              <w:rPr>
                <w:rFonts w:ascii="Times New Roman" w:hAnsi="Times New Roman" w:eastAsia="宋体" w:cs="Times New Roman"/>
                <w:color w:val="000000"/>
                <w:sz w:val="21"/>
                <w:szCs w:val="21"/>
                <w:highlight w:val="none"/>
                <w:lang w:val="en-US" w:eastAsia="zh-CN" w:bidi="ar"/>
              </w:rPr>
              <w:t xml:space="preserve">.0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农户庭院内</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污水收集</w:t>
            </w:r>
            <w:r>
              <w:rPr>
                <w:rFonts w:ascii="Times New Roman" w:hAnsi="Times New Roman" w:eastAsia="宋体" w:cs="Times New Roman"/>
                <w:color w:val="000000"/>
                <w:sz w:val="21"/>
                <w:szCs w:val="21"/>
                <w:highlight w:val="none"/>
                <w:u w:val="none"/>
                <w:lang w:val="en-US" w:eastAsia="zh-CN" w:bidi="ar"/>
              </w:rPr>
              <w:t xml:space="preserve">管</w:t>
            </w:r>
            <w:r>
              <w:rPr>
                <w:rFonts w:ascii="Times New Roman" w:hAnsi="Times New Roman" w:eastAsia="宋体" w:cs="Times New Roman"/>
                <w:color w:val="000000"/>
                <w:sz w:val="21"/>
                <w:szCs w:val="21"/>
                <w:highlight w:val="none"/>
                <w:lang w:val="en-US" w:eastAsia="zh-CN" w:bidi="ar-SA"/>
              </w:rPr>
              <w:t xml:space="preserve">网</w:t>
            </w:r>
            <w:r>
              <w:rPr>
                <w:rFonts w:ascii="Times New Roman" w:hAnsi="Times New Roman" w:eastAsia="宋体" w:cs="Times New Roman"/>
                <w:color w:val="000000"/>
                <w:sz w:val="21"/>
                <w:szCs w:val="21"/>
                <w:highlight w:val="none"/>
                <w:u w:val="none"/>
                <w:lang w:val="en-US" w:eastAsia="zh-CN" w:bidi="ar"/>
              </w:rPr>
              <w:t xml:space="preserve">维护</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
              </w:rPr>
              <w:t xml:space="preserve">0.0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污水应收集</w:t>
            </w:r>
            <w:r>
              <w:rPr>
                <w:rFonts w:ascii="Times New Roman" w:hAnsi="Times New Roman" w:eastAsia="宋体" w:cs="Times New Roman"/>
                <w:color w:val="000000"/>
                <w:sz w:val="21"/>
                <w:szCs w:val="21"/>
                <w:highlight w:val="none"/>
                <w:u w:val="none"/>
                <w:lang w:val="en-US" w:eastAsia="zh-CN" w:bidi="ar"/>
              </w:rPr>
              <w:t xml:space="preserve">管</w:t>
            </w:r>
            <w:r>
              <w:rPr>
                <w:rFonts w:ascii="Times New Roman" w:hAnsi="Times New Roman" w:eastAsia="宋体" w:cs="Times New Roman"/>
                <w:color w:val="000000"/>
                <w:sz w:val="21"/>
                <w:szCs w:val="21"/>
                <w:highlight w:val="none"/>
                <w:lang w:val="en-US" w:eastAsia="zh-CN" w:bidi="ar-SA"/>
              </w:rPr>
              <w:t xml:space="preserve">网实现</w:t>
            </w:r>
            <w:r>
              <w:rPr>
                <w:rFonts w:ascii="Times New Roman" w:hAnsi="Times New Roman" w:eastAsia="宋体" w:cs="Times New Roman"/>
                <w:color w:val="000000"/>
                <w:sz w:val="21"/>
                <w:szCs w:val="21"/>
                <w:highlight w:val="none"/>
                <w:lang w:val="en-US" w:eastAsia="zh-CN" w:bidi="ar"/>
              </w:rPr>
              <w:t xml:space="preserve">污水全收集（厨房间、卫生间等），</w:t>
            </w:r>
            <w:r>
              <w:rPr>
                <w:rFonts w:ascii="Times New Roman" w:hAnsi="Times New Roman" w:eastAsia="宋体" w:cs="Times New Roman"/>
                <w:color w:val="000000"/>
                <w:sz w:val="21"/>
                <w:szCs w:val="21"/>
                <w:highlight w:val="none"/>
                <w:u w:val="none"/>
                <w:lang w:val="en-US" w:eastAsia="zh-CN" w:bidi="ar"/>
              </w:rPr>
              <w:t xml:space="preserve">无漏接、雨污混接现象（含出现雨污合流、新增污水未收集、有渗漏现象未及时处理等）；污水管应无堵塞、变形或沉陷，无脱节、断裂；检查井应无沉降，井盖完好。</w:t>
            </w:r>
            <w:r>
              <w:rPr>
                <w:rFonts w:ascii="Times New Roman" w:hAnsi="Times New Roman" w:eastAsia="宋体" w:cs="Times New Roman"/>
                <w:color w:val="000000"/>
                <w:sz w:val="21"/>
                <w:szCs w:val="21"/>
                <w:highlight w:val="none"/>
                <w:lang w:val="en-US" w:eastAsia="zh-CN" w:bidi="ar"/>
              </w:rPr>
              <w:t xml:space="preserve">定期巡视养护每少一次，扣</w:t>
            </w:r>
            <w:r>
              <w:rPr>
                <w:rFonts w:ascii="Times New Roman" w:hAnsi="Times New Roman" w:eastAsia="宋体" w:cs="Times New Roman"/>
                <w:b/>
                <w:color w:val="000000"/>
                <w:sz w:val="21"/>
                <w:szCs w:val="21"/>
                <w:highlight w:val="none"/>
                <w:lang w:val="en-US" w:eastAsia="zh-CN" w:bidi="ar"/>
              </w:rPr>
              <w:t xml:space="preserve">1.00</w:t>
            </w:r>
            <w:r>
              <w:rPr>
                <w:rFonts w:ascii="Times New Roman" w:hAnsi="Times New Roman" w:eastAsia="宋体" w:cs="Times New Roman"/>
                <w:color w:val="000000"/>
                <w:sz w:val="21"/>
                <w:szCs w:val="21"/>
                <w:highlight w:val="none"/>
                <w:lang w:val="en-US" w:eastAsia="zh-CN" w:bidi="ar"/>
              </w:rPr>
              <w:t xml:space="preserve">分；每发现一处隔油池、化粪池未清掏，</w:t>
            </w:r>
            <w:r>
              <w:rPr>
                <w:rFonts w:ascii="Times New Roman" w:hAnsi="Times New Roman" w:eastAsia="宋体" w:cs="Times New Roman"/>
                <w:color w:val="000000"/>
                <w:sz w:val="21"/>
                <w:szCs w:val="21"/>
                <w:highlight w:val="none"/>
                <w:u w:val="none"/>
                <w:lang w:val="en-US" w:eastAsia="zh-CN" w:bidi="ar"/>
              </w:rPr>
              <w:t xml:space="preserve">扣</w:t>
            </w:r>
            <w:r>
              <w:rPr>
                <w:rFonts w:ascii="Times New Roman" w:hAnsi="Times New Roman" w:eastAsia="宋体" w:cs="Times New Roman"/>
                <w:b/>
                <w:color w:val="000000"/>
                <w:sz w:val="21"/>
                <w:szCs w:val="21"/>
                <w:highlight w:val="none"/>
                <w:u w:val="none"/>
                <w:lang w:val="en-US" w:eastAsia="zh-CN" w:bidi="ar"/>
              </w:rPr>
              <w:t xml:space="preserve">0.01</w:t>
            </w:r>
            <w:r>
              <w:rPr>
                <w:rFonts w:ascii="Times New Roman" w:hAnsi="Times New Roman" w:eastAsia="宋体" w:cs="Times New Roman"/>
                <w:color w:val="000000"/>
                <w:sz w:val="21"/>
                <w:szCs w:val="21"/>
                <w:highlight w:val="none"/>
                <w:u w:val="none"/>
                <w:lang w:val="en-US" w:eastAsia="zh-CN" w:bidi="ar"/>
              </w:rPr>
              <w:t xml:space="preserve">分。</w:t>
            </w:r>
            <w:r>
              <w:rPr>
                <w:rFonts w:ascii="Times New Roman" w:hAnsi="Times New Roman" w:eastAsia="宋体" w:cs="Times New Roman"/>
                <w:color w:val="000000"/>
                <w:sz w:val="21"/>
                <w:szCs w:val="21"/>
                <w:highlight w:val="none"/>
                <w:lang w:val="en-US" w:eastAsia="zh-CN" w:bidi="ar"/>
              </w:rPr>
              <w:t xml:space="preserve">扣完为止。</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2197"/>
        </w:trPr>
        <w:tc>
          <w:tcPr>
            <w:tcW w:w="387" w:type="dxa"/>
            <w:vAlign w:val="center"/>
            <w:vMerge w:val="continue"/>
            <w:textDirection w:val="lrTb"/>
            <w:noWrap w:val="false"/>
          </w:tcPr>
          <w:p>
            <w:pPr>
              <w:pStyle w:val="844"/>
              <w:ind w:firstLine="0"/>
              <w:jc w:val="center"/>
              <w:spacing w:before="100" w:beforeAutospacing="1" w:after="100" w:afterAutospacing="1"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100" w:beforeAutospacing="1" w:after="100" w:afterAutospacing="1"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农户庭院外</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公共管网维护</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
              </w:rPr>
              <w:t xml:space="preserve">.0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lang w:val="en-US" w:eastAsia="zh-CN" w:bidi="ar-SA"/>
              </w:rPr>
              <w:t xml:space="preserve">按不少于1次 / 季的频次</w:t>
            </w:r>
            <w:r>
              <w:rPr>
                <w:rFonts w:ascii="Times New Roman" w:hAnsi="Times New Roman" w:eastAsia="宋体" w:cs="Times New Roman"/>
                <w:color w:val="000000"/>
                <w:sz w:val="21"/>
                <w:szCs w:val="21"/>
                <w:highlight w:val="none"/>
                <w:lang w:val="en-US" w:eastAsia="zh-CN" w:bidi="ar"/>
              </w:rPr>
              <w:t xml:space="preserve">定期开展管网巡视养护工作。出现垃圾及其它化学物质进入管网，管网堵塞、井盖损坏等情况应及时按巡视养护规则要求进行处理。管道运维</w:t>
            </w:r>
            <w:r>
              <w:rPr>
                <w:rFonts w:ascii="Times New Roman" w:hAnsi="Times New Roman" w:eastAsia="宋体" w:cs="Times New Roman"/>
                <w:color w:val="000000"/>
                <w:sz w:val="21"/>
                <w:szCs w:val="21"/>
                <w:highlight w:val="none"/>
                <w:lang w:val="en-US" w:eastAsia="zh-CN" w:bidi="ar-SA"/>
              </w:rPr>
              <w:t xml:space="preserve">记录台账应规范齐全。每发现一处</w:t>
            </w:r>
            <w:r>
              <w:rPr>
                <w:rFonts w:ascii="Times New Roman" w:hAnsi="Times New Roman" w:eastAsia="宋体" w:cs="Times New Roman"/>
                <w:color w:val="000000"/>
                <w:sz w:val="21"/>
                <w:szCs w:val="21"/>
                <w:highlight w:val="none"/>
                <w:lang w:val="en-US" w:eastAsia="zh-CN" w:bidi="ar"/>
              </w:rPr>
              <w:t xml:space="preserve">养护处理不符合养护规则规定要求，均</w:t>
            </w:r>
            <w:r>
              <w:rPr>
                <w:rFonts w:ascii="Times New Roman" w:hAnsi="Times New Roman" w:eastAsia="宋体" w:cs="Times New Roman"/>
                <w:color w:val="000000"/>
                <w:sz w:val="21"/>
                <w:szCs w:val="21"/>
                <w:highlight w:val="none"/>
                <w:u w:val="none"/>
                <w:lang w:val="en-US" w:eastAsia="zh-CN" w:bidi="ar"/>
              </w:rPr>
              <w:t xml:space="preserve">扣</w:t>
            </w:r>
            <w:r>
              <w:rPr>
                <w:rFonts w:ascii="Times New Roman" w:hAnsi="Times New Roman" w:eastAsia="宋体" w:cs="Times New Roman"/>
                <w:b/>
                <w:color w:val="000000"/>
                <w:sz w:val="21"/>
                <w:szCs w:val="21"/>
                <w:highlight w:val="none"/>
                <w:u w:val="none"/>
                <w:lang w:val="en-US" w:eastAsia="zh-CN" w:bidi="ar"/>
              </w:rPr>
              <w:t xml:space="preserve">0.01</w:t>
            </w:r>
            <w:r>
              <w:rPr>
                <w:rFonts w:ascii="Times New Roman" w:hAnsi="Times New Roman" w:eastAsia="宋体" w:cs="Times New Roman"/>
                <w:color w:val="000000"/>
                <w:sz w:val="21"/>
                <w:szCs w:val="21"/>
                <w:highlight w:val="none"/>
                <w:u w:val="none"/>
                <w:lang w:val="en-US" w:eastAsia="zh-CN" w:bidi="ar"/>
              </w:rPr>
              <w:t xml:space="preserve">分</w:t>
            </w:r>
            <w:r>
              <w:rPr>
                <w:rFonts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因排水管道设施维护不力造成道路积水或污水冒溢等事故，每发现一次扣</w:t>
            </w:r>
            <w:r>
              <w:rPr>
                <w:rFonts w:ascii="Times New Roman" w:hAnsi="Times New Roman" w:eastAsia="宋体" w:cs="Times New Roman"/>
                <w:b/>
                <w:color w:val="000000"/>
                <w:sz w:val="21"/>
                <w:szCs w:val="21"/>
                <w:highlight w:val="none"/>
                <w:lang w:val="en-US" w:eastAsia="zh-CN" w:bidi="ar"/>
              </w:rPr>
              <w:t xml:space="preserve">0.10</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
              </w:rPr>
              <w:t xml:space="preserve">管道每发现一处渗漏，扣</w:t>
            </w:r>
            <w:r>
              <w:rPr>
                <w:rFonts w:ascii="Times New Roman" w:hAnsi="Times New Roman" w:eastAsia="宋体" w:cs="Times New Roman"/>
                <w:b/>
                <w:color w:val="000000"/>
                <w:sz w:val="21"/>
                <w:szCs w:val="21"/>
                <w:highlight w:val="none"/>
                <w:lang w:val="en-US" w:eastAsia="zh-CN" w:bidi="ar"/>
              </w:rPr>
              <w:t xml:space="preserve">0.10</w:t>
            </w:r>
            <w:r>
              <w:rPr>
                <w:rFonts w:ascii="Times New Roman" w:hAnsi="Times New Roman" w:eastAsia="宋体" w:cs="Times New Roman"/>
                <w:color w:val="000000"/>
                <w:sz w:val="21"/>
                <w:szCs w:val="21"/>
                <w:highlight w:val="none"/>
                <w:lang w:val="en-US" w:eastAsia="zh-CN" w:bidi="ar"/>
              </w:rPr>
              <w:t xml:space="preserve">分；管网运维</w:t>
            </w:r>
            <w:r>
              <w:rPr>
                <w:rFonts w:ascii="Times New Roman" w:hAnsi="Times New Roman" w:eastAsia="宋体" w:cs="Times New Roman"/>
                <w:color w:val="000000"/>
                <w:sz w:val="21"/>
                <w:szCs w:val="21"/>
                <w:highlight w:val="none"/>
                <w:lang w:val="en-US" w:eastAsia="zh-CN" w:bidi="ar-SA"/>
              </w:rPr>
              <w:t xml:space="preserve">记录台账不规范</w:t>
            </w:r>
            <w:r>
              <w:rPr>
                <w:rFonts w:ascii="Times New Roman" w:hAnsi="Times New Roman" w:eastAsia="宋体" w:cs="Times New Roman"/>
                <w:color w:val="000000"/>
                <w:sz w:val="21"/>
                <w:szCs w:val="21"/>
                <w:highlight w:val="none"/>
                <w:lang w:val="en-US" w:eastAsia="zh-CN" w:bidi="ar"/>
              </w:rPr>
              <w:t xml:space="preserve">，每一起扣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t xml:space="preserve">。扣完为止</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1972"/>
        </w:trPr>
        <w:tc>
          <w:tcPr>
            <w:tcW w:w="387" w:type="dxa"/>
            <w:vAlign w:val="center"/>
            <w:vMerge w:val="continue"/>
            <w:textDirection w:val="lrTb"/>
            <w:noWrap w:val="false"/>
          </w:tcPr>
          <w:p>
            <w:pPr>
              <w:pStyle w:val="844"/>
              <w:ind w:firstLine="0"/>
              <w:jc w:val="center"/>
              <w:spacing w:before="100" w:beforeAutospacing="1" w:after="100" w:afterAutospacing="1"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100" w:beforeAutospacing="1" w:after="100" w:afterAutospacing="1"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污水提升</w:t>
            </w:r>
            <w:r>
              <w:rPr>
                <w:rFonts w:ascii="Times New Roman" w:hAnsi="Times New Roman" w:eastAsia="宋体" w:cs="Times New Roman"/>
                <w:color w:val="000000"/>
                <w:sz w:val="21"/>
                <w:szCs w:val="21"/>
                <w:highlight w:val="none"/>
                <w:lang w:val="en-US" w:eastAsia="zh-CN" w:bidi="ar"/>
              </w:rPr>
              <w:t xml:space="preserve">泵站</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运行维护</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
              </w:rPr>
              <w:t xml:space="preserve">.0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color w:val="000000"/>
                <w:sz w:val="21"/>
                <w:szCs w:val="21"/>
                <w:highlight w:val="none"/>
                <w:lang w:val="en-US" w:eastAsia="zh-CN" w:bidi="ar-SA"/>
              </w:rPr>
              <w:t xml:space="preserve">污水提升</w:t>
            </w:r>
            <w:r>
              <w:rPr>
                <w:rFonts w:ascii="Times New Roman" w:hAnsi="Times New Roman" w:eastAsia="宋体" w:cs="Times New Roman"/>
                <w:color w:val="000000"/>
                <w:sz w:val="21"/>
                <w:szCs w:val="21"/>
                <w:highlight w:val="none"/>
                <w:lang w:val="en-US" w:eastAsia="zh-CN" w:bidi="ar"/>
              </w:rPr>
              <w:t xml:space="preserve">泵站在运行中应注重安全生产，以及泵的维护；</w:t>
            </w:r>
            <w:r>
              <w:rPr>
                <w:rFonts w:ascii="Times New Roman" w:hAnsi="Times New Roman" w:eastAsia="宋体" w:cs="Times New Roman"/>
                <w:color w:val="000000"/>
                <w:sz w:val="21"/>
                <w:szCs w:val="21"/>
                <w:highlight w:val="none"/>
                <w:lang w:val="en-US" w:eastAsia="zh-CN" w:bidi="ar-SA"/>
              </w:rPr>
              <w:t xml:space="preserve">运维记录台账应规范齐全。</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    按不少于1次 / 季的频次进行考核，每次抽检至少40个</w:t>
            </w:r>
            <w:r>
              <w:rPr>
                <w:rFonts w:ascii="Times New Roman" w:hAnsi="Times New Roman" w:eastAsia="宋体" w:cs="Times New Roman"/>
                <w:color w:val="000000"/>
                <w:sz w:val="21"/>
                <w:szCs w:val="21"/>
                <w:highlight w:val="none"/>
                <w:lang w:val="en-US" w:eastAsia="zh-CN" w:bidi="ar"/>
              </w:rPr>
              <w:t xml:space="preserve">泵站</w:t>
            </w:r>
            <w:r>
              <w:rPr>
                <w:rFonts w:ascii="Times New Roman" w:hAnsi="Times New Roman" w:eastAsia="宋体" w:cs="Times New Roman"/>
                <w:color w:val="000000"/>
                <w:sz w:val="21"/>
                <w:szCs w:val="21"/>
                <w:highlight w:val="none"/>
                <w:lang w:val="en-US" w:eastAsia="zh-CN" w:bidi="ar-SA"/>
              </w:rPr>
              <w:t xml:space="preserve">；有一个</w:t>
            </w:r>
            <w:r>
              <w:rPr>
                <w:rFonts w:ascii="Times New Roman" w:hAnsi="Times New Roman" w:eastAsia="宋体" w:cs="Times New Roman"/>
                <w:color w:val="000000"/>
                <w:sz w:val="21"/>
                <w:szCs w:val="21"/>
                <w:highlight w:val="none"/>
                <w:lang w:val="en-US" w:eastAsia="zh-CN" w:bidi="ar"/>
              </w:rPr>
              <w:t xml:space="preserve">泵站</w:t>
            </w:r>
            <w:r>
              <w:rPr>
                <w:rFonts w:ascii="Times New Roman" w:hAnsi="Times New Roman" w:eastAsia="宋体" w:cs="Times New Roman"/>
                <w:color w:val="000000"/>
                <w:sz w:val="21"/>
                <w:szCs w:val="21"/>
                <w:highlight w:val="none"/>
                <w:lang w:val="en-US" w:eastAsia="zh-CN" w:bidi="ar-SA"/>
              </w:rPr>
              <w:t xml:space="preserve">运行不正常，未达到要求扣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t xml:space="preserve">泵站运行中出现停运，导致溢污等安全事故，每发生一起扣</w:t>
            </w:r>
            <w:r>
              <w:rPr>
                <w:rFonts w:ascii="Times New Roman" w:hAnsi="Times New Roman" w:eastAsia="宋体" w:cs="Times New Roman"/>
                <w:b/>
                <w:color w:val="000000"/>
                <w:sz w:val="21"/>
                <w:szCs w:val="21"/>
                <w:highlight w:val="none"/>
                <w:lang w:val="en-US" w:eastAsia="zh-CN" w:bidi="ar"/>
              </w:rPr>
              <w:t xml:space="preserve">1.00</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t xml:space="preserve">运维记录台账</w:t>
            </w:r>
            <w:r>
              <w:rPr>
                <w:rFonts w:ascii="Times New Roman" w:hAnsi="Times New Roman" w:eastAsia="宋体" w:cs="Times New Roman"/>
                <w:color w:val="000000"/>
                <w:sz w:val="21"/>
                <w:szCs w:val="21"/>
                <w:highlight w:val="none"/>
                <w:lang w:val="en-US" w:eastAsia="zh-CN" w:bidi="ar"/>
              </w:rPr>
              <w:t xml:space="preserve">每发现一处不合规，扣</w:t>
            </w:r>
            <w:r>
              <w:rPr>
                <w:rFonts w:ascii="Times New Roman" w:hAnsi="Times New Roman" w:eastAsia="宋体" w:cs="Times New Roman"/>
                <w:b/>
                <w:color w:val="000000"/>
                <w:sz w:val="21"/>
                <w:szCs w:val="21"/>
                <w:highlight w:val="none"/>
                <w:lang w:val="en-US" w:eastAsia="zh-CN" w:bidi="ar-SA"/>
              </w:rPr>
              <w:t xml:space="preserve">0.25</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t xml:space="preserve">。扣完为止。</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1098"/>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100" w:beforeAutospacing="1" w:after="100" w:afterAutospacing="1"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污水收集量</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
              </w:rPr>
              <w:t xml:space="preserve">.0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按季度考核系统有效污水收集量。按照80%的用水量复核污水收集处理水量，并结合雨天与晴天的处理水量评估管网的运行状况。收集污水量正常日期低于收集量50%或高于收集量120%的，每发现一处均扣</w:t>
            </w:r>
            <w:r>
              <w:rPr>
                <w:rFonts w:ascii="Times New Roman" w:hAnsi="Times New Roman" w:eastAsia="宋体" w:cs="Times New Roman"/>
                <w:b/>
                <w:color w:val="000000"/>
                <w:sz w:val="21"/>
                <w:szCs w:val="21"/>
                <w:highlight w:val="none"/>
                <w:lang w:val="en-US" w:eastAsia="zh-CN" w:bidi="ar"/>
              </w:rPr>
              <w:t xml:space="preserve">1.00</w:t>
            </w:r>
            <w:r>
              <w:rPr>
                <w:rFonts w:ascii="Times New Roman" w:hAnsi="Times New Roman" w:eastAsia="宋体" w:cs="Times New Roman"/>
                <w:color w:val="000000"/>
                <w:sz w:val="21"/>
                <w:szCs w:val="21"/>
                <w:highlight w:val="none"/>
                <w:lang w:val="en-US" w:eastAsia="zh-CN" w:bidi="ar"/>
              </w:rPr>
              <w:t xml:space="preserve">分。扣完为止。净化槽暂均不予考核。</w:t>
            </w:r>
            <w:r>
              <w:rPr>
                <w:rFonts w:ascii="Times New Roman" w:hAnsi="Times New Roman" w:eastAsia="宋体" w:cs="Times New Roman"/>
                <w:color w:val="000000"/>
                <w:sz w:val="21"/>
                <w:szCs w:val="21"/>
                <w:highlight w:val="none"/>
                <w:lang w:val="en-US" w:eastAsia="zh-CN" w:bidi="ar"/>
              </w:rPr>
            </w:r>
            <w:r/>
          </w:p>
        </w:tc>
        <w:tc>
          <w:tcPr>
            <w:tcW w:w="308" w:type="dxa"/>
            <w:vAlign w:val="center"/>
            <w:textDirection w:val="lrTb"/>
            <w:noWrap w:val="false"/>
          </w:tcPr>
          <w:p>
            <w:pPr>
              <w:pStyle w:val="844"/>
              <w:jc w:val="center"/>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r>
      <w:tr>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产出</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（80分）</w:t>
            </w:r>
            <w:r>
              <w:rPr>
                <w:rFonts w:ascii="Times New Roman" w:hAnsi="Times New Roman" w:eastAsia="宋体" w:cs="Times New Roman"/>
                <w:color w:val="000000"/>
                <w:sz w:val="21"/>
                <w:szCs w:val="21"/>
                <w:highlight w:val="none"/>
                <w:lang w:val="en-US" w:eastAsia="zh-CN" w:bidi="ar-SA"/>
              </w:rPr>
            </w:r>
            <w:r/>
          </w:p>
        </w:tc>
        <w:tc>
          <w:tcPr>
            <w:tcW w:w="406"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污水处理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站点运维</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（25.0分）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设备设施运行状况</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各独立设施站点的整机运行应平稳可靠；格栅、水泵、鼓风机等设备设施应外观整洁，螺栓应齐全牢固；设备应性能完好，无腐蚀，无渗漏，润滑充分；电气设备应符合相关安全要求；仪器仪表应准确灵敏；使用高效节能设备设施应正常运行。</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设备设施正常运行率在95%以下的，每降低1个百分点扣0.50分；设备完好率在95%以下的，每降低1个百分点扣</w:t>
            </w:r>
            <w:r>
              <w:rPr>
                <w:rFonts w:ascii="Times New Roman" w:hAnsi="Times New Roman" w:eastAsia="宋体" w:cs="Times New Roman"/>
                <w:b/>
                <w:color w:val="000000"/>
                <w:sz w:val="21"/>
                <w:szCs w:val="21"/>
                <w:highlight w:val="none"/>
                <w:lang w:val="en-US" w:eastAsia="zh-CN" w:bidi="ar"/>
              </w:rPr>
              <w:t xml:space="preserve">0.50</w:t>
            </w:r>
            <w:r>
              <w:rPr>
                <w:rFonts w:ascii="Times New Roman" w:hAnsi="Times New Roman" w:eastAsia="宋体" w:cs="Times New Roman"/>
                <w:color w:val="000000"/>
                <w:sz w:val="21"/>
                <w:szCs w:val="21"/>
                <w:highlight w:val="none"/>
                <w:lang w:val="en-US" w:eastAsia="zh-CN" w:bidi="ar"/>
              </w:rPr>
              <w:t xml:space="preserve">分；完好率均按期间最低月计算。扣完为止。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r>
      <w:tr>
        <w:trPr>
          <w:trHeight w:val="180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设备设施</w:t>
            </w:r>
            <w:r>
              <w:rPr>
                <w:rFonts w:ascii="Times New Roman" w:hAnsi="Times New Roman" w:eastAsia="宋体" w:cs="Times New Roman"/>
                <w:color w:val="000000"/>
                <w:sz w:val="21"/>
                <w:szCs w:val="21"/>
                <w:highlight w:val="none"/>
                <w:lang w:val="en-US" w:eastAsia="zh-CN" w:bidi="ar-SA"/>
              </w:rPr>
              <w:t xml:space="preserve">维</w:t>
            </w:r>
            <w:r>
              <w:rPr>
                <w:rFonts w:ascii="Times New Roman" w:hAnsi="Times New Roman" w:eastAsia="宋体" w:cs="Times New Roman"/>
                <w:color w:val="000000"/>
                <w:sz w:val="21"/>
                <w:szCs w:val="21"/>
                <w:highlight w:val="none"/>
                <w:lang w:val="en-US" w:eastAsia="zh-CN" w:bidi="ar"/>
              </w:rPr>
              <w:t xml:space="preserve">修状况</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（10.0分）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行业监管部门每季度进行现场检查，发现设施设备不能正常运行、设施设备故障损坏，应及时组织维修。项目公司接到信息化平台通知后，</w:t>
            </w:r>
            <w:r>
              <w:rPr>
                <w:rFonts w:ascii="Times New Roman" w:hAnsi="Times New Roman" w:eastAsia="宋体" w:cs="Times New Roman"/>
                <w:b/>
                <w:color w:val="000000"/>
                <w:sz w:val="21"/>
                <w:szCs w:val="21"/>
                <w:highlight w:val="none"/>
                <w:lang w:val="en-US" w:eastAsia="zh-CN" w:bidi="ar"/>
              </w:rPr>
              <w:t xml:space="preserve">2</w:t>
            </w:r>
            <w:r>
              <w:rPr>
                <w:rFonts w:ascii="Times New Roman" w:hAnsi="Times New Roman" w:eastAsia="宋体" w:cs="Times New Roman"/>
                <w:color w:val="000000"/>
                <w:sz w:val="21"/>
                <w:szCs w:val="21"/>
                <w:highlight w:val="none"/>
                <w:lang w:val="en-US" w:eastAsia="zh-CN" w:bidi="ar"/>
              </w:rPr>
              <w:t xml:space="preserve">小时到达现场，机电设备问题6小时内解决；鼓风机问题应在6小时处理完成；因设备设施未正常运行造成的水质异常问题24小时提出解决方案，</w:t>
            </w:r>
            <w:r>
              <w:rPr>
                <w:rFonts w:ascii="Times New Roman" w:hAnsi="Times New Roman" w:eastAsia="宋体" w:cs="Times New Roman"/>
                <w:b/>
                <w:color w:val="000000"/>
                <w:sz w:val="21"/>
                <w:szCs w:val="21"/>
                <w:highlight w:val="none"/>
                <w:lang w:val="en-US" w:eastAsia="zh-CN" w:bidi="ar"/>
              </w:rPr>
              <w:t xml:space="preserve">3</w:t>
            </w:r>
            <w:r>
              <w:rPr>
                <w:rFonts w:ascii="Times New Roman" w:hAnsi="Times New Roman" w:eastAsia="宋体" w:cs="Times New Roman"/>
                <w:color w:val="000000"/>
                <w:sz w:val="21"/>
                <w:szCs w:val="21"/>
                <w:highlight w:val="none"/>
                <w:lang w:val="en-US" w:eastAsia="zh-CN" w:bidi="ar"/>
              </w:rPr>
              <w:t xml:space="preserve">天内解决相应水质异常问题；管道、处理站溢污等问题48小时解决。未兑现上述服务承诺的，每发现一起均扣</w:t>
            </w:r>
            <w:r>
              <w:rPr>
                <w:rFonts w:ascii="Times New Roman" w:hAnsi="Times New Roman" w:eastAsia="宋体" w:cs="Times New Roman"/>
                <w:b/>
                <w:color w:val="000000"/>
                <w:sz w:val="21"/>
                <w:szCs w:val="21"/>
                <w:highlight w:val="none"/>
                <w:lang w:val="en-US" w:eastAsia="zh-CN" w:bidi="ar"/>
              </w:rPr>
              <w:t xml:space="preserve">0.05</w:t>
            </w:r>
            <w:r>
              <w:rPr>
                <w:rFonts w:ascii="Times New Roman" w:hAnsi="Times New Roman" w:eastAsia="宋体" w:cs="Times New Roman"/>
                <w:color w:val="000000"/>
                <w:sz w:val="21"/>
                <w:szCs w:val="21"/>
                <w:highlight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b/>
                <w:bCs/>
                <w:color w:val="000000"/>
                <w:sz w:val="21"/>
                <w:szCs w:val="21"/>
                <w:highlight w:val="none"/>
                <w:lang w:val="en-US" w:eastAsia="zh-CN" w:bidi="ar"/>
              </w:rPr>
              <w:t xml:space="preserve">若累计扣分达到10.0分，则视本季度</w:t>
            </w:r>
            <w:r>
              <w:rPr>
                <w:rFonts w:ascii="Times New Roman" w:hAnsi="Times New Roman" w:eastAsia="宋体" w:cs="Times New Roman"/>
                <w:b/>
                <w:bCs/>
                <w:color w:val="000000"/>
                <w:sz w:val="21"/>
                <w:szCs w:val="21"/>
                <w:highlight w:val="none"/>
                <w:lang w:val="en-US" w:eastAsia="zh-CN" w:bidi="ar-SA"/>
              </w:rPr>
              <w:t xml:space="preserve">运维</w:t>
            </w:r>
            <w:r>
              <w:rPr>
                <w:rFonts w:ascii="Times New Roman" w:hAnsi="Times New Roman" w:eastAsia="宋体" w:cs="Times New Roman"/>
                <w:b/>
                <w:bCs/>
                <w:color w:val="000000"/>
                <w:sz w:val="21"/>
                <w:szCs w:val="21"/>
                <w:highlight w:val="none"/>
                <w:lang w:val="en-US" w:eastAsia="zh-CN" w:bidi="ar"/>
              </w:rPr>
              <w:t xml:space="preserve">考核为不合格</w:t>
            </w:r>
            <w:r>
              <w:rPr>
                <w:rFonts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1622"/>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站点环境</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各站点的站容站貌情况与环境应卫生整洁；设施简介、运营单位、联系方式等现场公示、标示内容应完整、清晰、美观；在窨井、用电设施、水池及易发安全事故的区域应有必要的安全标示并清晰明了，充分起到警示作用；绿化景观应养护到位，湿地植物应覆盖到位，景观自然优美。</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检查中，每发现一处不符合要求，均扣</w:t>
            </w:r>
            <w:r>
              <w:rPr>
                <w:rFonts w:ascii="Times New Roman" w:hAnsi="Times New Roman" w:eastAsia="宋体" w:cs="Times New Roman"/>
                <w:b/>
                <w:color w:val="000000"/>
                <w:sz w:val="21"/>
                <w:szCs w:val="21"/>
                <w:highlight w:val="none"/>
                <w:lang w:val="en-US" w:eastAsia="zh-CN" w:bidi="ar"/>
              </w:rPr>
              <w:t xml:space="preserve">0.01</w:t>
            </w:r>
            <w:r>
              <w:rPr>
                <w:rFonts w:ascii="Times New Roman" w:hAnsi="Times New Roman" w:eastAsia="宋体" w:cs="Times New Roman"/>
                <w:color w:val="000000"/>
                <w:sz w:val="21"/>
                <w:szCs w:val="21"/>
                <w:highlight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w:t>
            </w:r>
            <w:r>
              <w:rPr>
                <w:rFonts w:ascii="Times New Roman" w:hAnsi="Times New Roman" w:eastAsia="宋体" w:cs="Times New Roman"/>
                <w:bCs/>
                <w:color w:val="000000"/>
                <w:sz w:val="21"/>
                <w:szCs w:val="21"/>
                <w:highlight w:val="none"/>
                <w:lang w:val="en-US" w:eastAsia="zh-CN" w:bidi="ar"/>
              </w:rPr>
              <w:t xml:space="preserve"> </w:t>
            </w:r>
            <w:r>
              <w:rPr>
                <w:rFonts w:ascii="Times New Roman" w:hAnsi="Times New Roman" w:eastAsia="宋体" w:cs="Times New Roman"/>
                <w:b/>
                <w:color w:val="000000"/>
                <w:sz w:val="21"/>
                <w:szCs w:val="21"/>
                <w:highlight w:val="none"/>
                <w:lang w:val="en-US" w:eastAsia="zh-CN" w:bidi="ar"/>
              </w:rPr>
              <w:t xml:space="preserve">若累计扣分达到5.0分，则视本季度运维考核为不合格。</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ind w:firstLine="420"/>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851"/>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信息化管理平台</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（3.0分）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信息化管理平台、维护记录与相应运营站点数据应吻合一致，应能观测流量计读取水量，应能观测水泵（风机）运行状态，应能观测视频图像及维修记录、工单处置等情况。检查中，每发现一处问题，均扣</w:t>
            </w:r>
            <w:r>
              <w:rPr>
                <w:rFonts w:ascii="Times New Roman" w:hAnsi="Times New Roman" w:eastAsia="宋体" w:cs="Times New Roman"/>
                <w:b/>
                <w:color w:val="000000"/>
                <w:sz w:val="21"/>
                <w:szCs w:val="21"/>
                <w:highlight w:val="none"/>
                <w:lang w:val="en-US" w:eastAsia="zh-CN" w:bidi="ar"/>
              </w:rPr>
              <w:t xml:space="preserve">0.50</w:t>
            </w:r>
            <w:r>
              <w:rPr>
                <w:rFonts w:ascii="Times New Roman" w:hAnsi="Times New Roman" w:eastAsia="宋体" w:cs="Times New Roman"/>
                <w:color w:val="000000"/>
                <w:sz w:val="21"/>
                <w:szCs w:val="21"/>
                <w:highlight w:val="none"/>
                <w:lang w:val="en-US" w:eastAsia="zh-CN" w:bidi="ar"/>
              </w:rPr>
              <w:t xml:space="preserve">分；项目信息化管理平台未稳定、可靠地接入溧阳市农污信息系统，扣</w:t>
            </w:r>
            <w:r>
              <w:rPr>
                <w:rFonts w:ascii="Times New Roman" w:hAnsi="Times New Roman" w:eastAsia="宋体" w:cs="Times New Roman"/>
                <w:b/>
                <w:color w:val="000000"/>
                <w:sz w:val="21"/>
                <w:szCs w:val="21"/>
                <w:highlight w:val="none"/>
                <w:lang w:val="en-US" w:eastAsia="zh-CN" w:bidi="ar"/>
              </w:rPr>
              <w:t xml:space="preserve">1.00</w:t>
            </w:r>
            <w:r>
              <w:rPr>
                <w:rFonts w:ascii="Times New Roman" w:hAnsi="Times New Roman" w:eastAsia="宋体" w:cs="Times New Roman"/>
                <w:color w:val="000000"/>
                <w:sz w:val="21"/>
                <w:szCs w:val="21"/>
                <w:highlight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tc>
      </w:tr>
      <w:tr>
        <w:trPr>
          <w:trHeight w:val="1375"/>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备品备件与备品库</w:t>
            </w:r>
            <w:r>
              <w:rPr>
                <w:rFonts w:ascii="Times New Roman" w:hAnsi="Times New Roman" w:eastAsia="宋体" w:cs="Times New Roman"/>
                <w:color w:val="000000"/>
                <w:sz w:val="21"/>
                <w:szCs w:val="21"/>
                <w:highlight w:val="none"/>
                <w:lang w:val="en-US" w:eastAsia="zh-CN" w:bidi="ar"/>
              </w:rPr>
            </w:r>
            <w:r/>
          </w:p>
          <w:p>
            <w:pPr>
              <w:pStyle w:val="844"/>
              <w:jc w:val="center"/>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（2.0分）</w:t>
            </w:r>
            <w:r>
              <w:rPr>
                <w:rFonts w:ascii="Times New Roman" w:hAnsi="Times New Roman" w:eastAsia="宋体" w:cs="Times New Roman"/>
                <w:color w:val="000000"/>
                <w:sz w:val="21"/>
                <w:szCs w:val="21"/>
                <w:highlight w:val="none"/>
                <w:lang w:val="en-US" w:eastAsia="zh-CN" w:bidi="ar"/>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备品备件应遵循留有充分裕量的原则，品种数量均应配备充足；备品备件的盘点清单应准确、可靠，备品备件仓库的进出库记录内容应完整（编号、名称、规格型号、库存量、购买厂商、订货周期等），库内备品备件应账物相符。</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检查中，发现备品备件数量不足或账物不符时，每发现一处扣</w:t>
            </w:r>
            <w:r>
              <w:rPr>
                <w:rFonts w:ascii="Times New Roman" w:hAnsi="Times New Roman" w:eastAsia="宋体" w:cs="Times New Roman"/>
                <w:b/>
                <w:color w:val="000000"/>
                <w:sz w:val="21"/>
                <w:szCs w:val="21"/>
                <w:highlight w:val="none"/>
                <w:lang w:val="en-US" w:eastAsia="zh-CN" w:bidi="ar"/>
              </w:rPr>
              <w:t xml:space="preserve">0.01</w:t>
            </w:r>
            <w:r>
              <w:rPr>
                <w:rFonts w:ascii="Times New Roman" w:hAnsi="Times New Roman" w:eastAsia="宋体" w:cs="Times New Roman"/>
                <w:color w:val="000000"/>
                <w:sz w:val="21"/>
                <w:szCs w:val="21"/>
                <w:highlight w:val="none"/>
                <w:lang w:val="en-US" w:eastAsia="zh-CN" w:bidi="ar"/>
              </w:rPr>
              <w:t xml:space="preserve">分。</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760"/>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效果</w:t>
            </w:r>
            <w:r>
              <w:rPr>
                <w:rFonts w:ascii="Times New Roman" w:hAnsi="Times New Roman" w:eastAsia="宋体" w:cs="Times New Roman"/>
                <w:color w:val="000000"/>
                <w:sz w:val="21"/>
                <w:szCs w:val="21"/>
                <w:highlight w:val="none"/>
                <w:lang w:val="en-US" w:eastAsia="zh-CN" w:bidi="ar-SA"/>
              </w:rPr>
            </w:r>
            <w:r/>
          </w:p>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 分）</w:t>
            </w: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社会影响</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诉讼舆情</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期间项目不得发生重大被起诉事件和负面舆情事件及群体性事件。</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期间如发生重大诉讼（被告且败诉）、负面公众舆情或负面群体性事件，每发生一次扣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
              </w:rPr>
              <w:t xml:space="preserve">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
              </w:rPr>
            </w:r>
            <w:r/>
          </w:p>
        </w:tc>
      </w:tr>
      <w:tr>
        <w:trPr>
          <w:trHeight w:val="678"/>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生态影响</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期间项目运营不得对生态环境造成直接或间接的负面影响。</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每发生一次相关主管部门的行政处罚（含通告），扣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w:t>
            </w:r>
            <w:r>
              <w:rPr>
                <w:rFonts w:ascii="Times New Roman" w:hAnsi="Times New Roman" w:eastAsia="宋体" w:cs="Times New Roman"/>
                <w:color w:val="000000"/>
                <w:sz w:val="21"/>
                <w:szCs w:val="21"/>
                <w:highlight w:val="none"/>
                <w:lang w:val="en-US" w:eastAsia="zh-CN" w:bidi="ar"/>
              </w:rPr>
              <w:t xml:space="preserve">完</w:t>
            </w:r>
            <w:r>
              <w:rPr>
                <w:rFonts w:ascii="Times New Roman" w:hAnsi="Times New Roman" w:eastAsia="宋体" w:cs="Times New Roman"/>
                <w:color w:val="000000"/>
                <w:sz w:val="21"/>
                <w:szCs w:val="21"/>
                <w:highlight w:val="none"/>
                <w:lang w:val="en-US" w:eastAsia="zh-CN" w:bidi="ar-SA"/>
              </w:rPr>
              <w:t xml:space="preserve">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1062"/>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可持续性（1.0分）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从财务角度对项目的成长性与可持续性做出评估。</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若各项指标均保持可控或者优化，态势良好，不扣分；若各项指标呈现出轻微下滑或者恶化趋势，但处于平稳范围内（同比变动不超过5%），扣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分；各项指标存在不良趋势，表现出明显下降、恶化等现象，扣</w:t>
            </w:r>
            <w:r>
              <w:rPr>
                <w:rFonts w:ascii="Times New Roman" w:hAnsi="Times New Roman" w:eastAsia="宋体" w:cs="Times New Roman"/>
                <w:b/>
                <w:color w:val="000000"/>
                <w:sz w:val="21"/>
                <w:szCs w:val="21"/>
                <w:highlight w:val="none"/>
                <w:lang w:val="en-US" w:eastAsia="zh-CN" w:bidi="ar-SA"/>
              </w:rPr>
              <w:t xml:space="preserve">1.00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2400"/>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满意度</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（7.0分</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公众满意度</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（7.0分）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因运维不力，被新闻媒体、12345、数字城管等相关媒体曝光或被再次投诉不满意的，每次有效投诉未及时处理每发生一起扣</w:t>
            </w:r>
            <w:r>
              <w:rPr>
                <w:rFonts w:ascii="Times New Roman" w:hAnsi="Times New Roman" w:eastAsia="宋体" w:cs="Times New Roman"/>
                <w:b/>
                <w:color w:val="000000"/>
                <w:sz w:val="21"/>
                <w:szCs w:val="21"/>
                <w:highlight w:val="none"/>
                <w:lang w:val="en-US" w:eastAsia="zh-CN" w:bidi="ar-SA"/>
              </w:rPr>
              <w:t xml:space="preserve">1.00</w:t>
            </w:r>
            <w:r>
              <w:rPr>
                <w:rFonts w:ascii="Times New Roman" w:hAnsi="Times New Roman" w:eastAsia="宋体" w:cs="Times New Roman"/>
                <w:color w:val="000000"/>
                <w:sz w:val="21"/>
                <w:szCs w:val="21"/>
                <w:highlight w:val="none"/>
                <w:lang w:val="en-US" w:eastAsia="zh-CN" w:bidi="ar-SA"/>
              </w:rPr>
              <w:t xml:space="preserve">分，当季发生</w:t>
            </w:r>
            <w:r>
              <w:rPr>
                <w:rFonts w:ascii="Times New Roman" w:hAnsi="Times New Roman" w:eastAsia="宋体" w:cs="Times New Roman"/>
                <w:b/>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t xml:space="preserve">次（含）以上有效投诉本项不得分；对于群众的有效投诉，如运管单位在接到投诉后48小时内未能解决问题且未上报行业主管部门的，每发生一起扣</w:t>
            </w:r>
            <w:r>
              <w:rPr>
                <w:rFonts w:ascii="Times New Roman" w:hAnsi="Times New Roman" w:eastAsia="宋体" w:cs="Times New Roman"/>
                <w:b/>
                <w:color w:val="000000"/>
                <w:sz w:val="21"/>
                <w:szCs w:val="21"/>
                <w:highlight w:val="none"/>
                <w:lang w:val="en-US" w:eastAsia="zh-CN" w:bidi="ar-SA"/>
              </w:rPr>
              <w:t xml:space="preserve">1.00</w:t>
            </w:r>
            <w:r>
              <w:rPr>
                <w:rFonts w:ascii="Times New Roman" w:hAnsi="Times New Roman" w:eastAsia="宋体" w:cs="Times New Roman"/>
                <w:color w:val="000000"/>
                <w:sz w:val="21"/>
                <w:szCs w:val="21"/>
                <w:highlight w:val="none"/>
                <w:lang w:val="en-US" w:eastAsia="zh-CN" w:bidi="ar-SA"/>
              </w:rPr>
              <w:t xml:space="preserve">分，当季超过</w:t>
            </w:r>
            <w:r>
              <w:rPr>
                <w:rFonts w:ascii="Times New Roman" w:hAnsi="Times New Roman" w:eastAsia="宋体" w:cs="Times New Roman"/>
                <w:b/>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t xml:space="preserve">起（含）本项不得分。此项为硬性指标，如分值扣完，视为本季度考核不合格。</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项目公司每年应至少</w:t>
            </w:r>
            <w:r>
              <w:rPr>
                <w:rFonts w:ascii="Times New Roman" w:hAnsi="Times New Roman" w:eastAsia="宋体" w:cs="Times New Roman"/>
                <w:b/>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次组织进行社会公众满意度问卷调查，并及时向实施机构报告调查结果。调查满意率80%~90%时，扣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分，为70%~79%时扣</w:t>
            </w:r>
            <w:r>
              <w:rPr>
                <w:rFonts w:ascii="Times New Roman" w:hAnsi="Times New Roman" w:eastAsia="宋体" w:cs="Times New Roman"/>
                <w:b/>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分，为60%~69%时扣</w:t>
            </w:r>
            <w:r>
              <w:rPr>
                <w:rFonts w:ascii="Times New Roman" w:hAnsi="Times New Roman" w:eastAsia="宋体" w:cs="Times New Roman"/>
                <w:b/>
                <w:color w:val="000000"/>
                <w:sz w:val="21"/>
                <w:szCs w:val="21"/>
                <w:highlight w:val="none"/>
                <w:lang w:val="en-US" w:eastAsia="zh-CN" w:bidi="ar-SA"/>
              </w:rPr>
              <w:t xml:space="preserve">1.50</w:t>
            </w:r>
            <w:r>
              <w:rPr>
                <w:rFonts w:ascii="Times New Roman" w:hAnsi="Times New Roman" w:eastAsia="宋体" w:cs="Times New Roman"/>
                <w:color w:val="000000"/>
                <w:sz w:val="21"/>
                <w:szCs w:val="21"/>
                <w:highlight w:val="none"/>
                <w:lang w:val="en-US" w:eastAsia="zh-CN" w:bidi="ar-SA"/>
              </w:rPr>
              <w:t xml:space="preserve">分，低于60%时扣</w:t>
            </w:r>
            <w:r>
              <w:rPr>
                <w:rFonts w:ascii="Times New Roman" w:hAnsi="Times New Roman" w:eastAsia="宋体" w:cs="Times New Roman"/>
                <w:b/>
                <w:color w:val="000000"/>
                <w:sz w:val="21"/>
                <w:szCs w:val="21"/>
                <w:highlight w:val="none"/>
                <w:lang w:val="en-US" w:eastAsia="zh-CN" w:bidi="ar-SA"/>
              </w:rPr>
              <w:t xml:space="preserve">2.0</w:t>
            </w:r>
            <w:r>
              <w:rPr>
                <w:rFonts w:ascii="Times New Roman" w:hAnsi="Times New Roman" w:eastAsia="宋体" w:cs="Times New Roman"/>
                <w:color w:val="000000"/>
                <w:sz w:val="21"/>
                <w:szCs w:val="21"/>
                <w:highlight w:val="none"/>
                <w:lang w:val="en-US" w:eastAsia="zh-CN" w:bidi="ar-SA"/>
              </w:rPr>
              <w:t xml:space="preserve">分。扣</w:t>
            </w:r>
            <w:r>
              <w:rPr>
                <w:rFonts w:ascii="Times New Roman" w:hAnsi="Times New Roman" w:eastAsia="宋体" w:cs="Times New Roman"/>
                <w:color w:val="000000"/>
                <w:sz w:val="21"/>
                <w:szCs w:val="21"/>
                <w:highlight w:val="none"/>
                <w:lang w:val="en-US" w:eastAsia="zh-CN" w:bidi="ar"/>
              </w:rPr>
              <w:t xml:space="preserve">完</w:t>
            </w:r>
            <w:r>
              <w:rPr>
                <w:rFonts w:ascii="Times New Roman" w:hAnsi="Times New Roman" w:eastAsia="宋体" w:cs="Times New Roman"/>
                <w:color w:val="000000"/>
                <w:sz w:val="21"/>
                <w:szCs w:val="21"/>
                <w:highlight w:val="none"/>
                <w:lang w:val="en-US" w:eastAsia="zh-CN" w:bidi="ar-SA"/>
              </w:rPr>
              <w:t xml:space="preserve">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b/>
                <w:color w:val="000000"/>
                <w:sz w:val="21"/>
                <w:szCs w:val="21"/>
                <w:highlight w:val="none"/>
                <w:lang w:val="en-US" w:eastAsia="zh-CN" w:bidi="ar-SA"/>
              </w:rPr>
            </w:pPr>
            <w:r>
              <w:rPr>
                <w:rFonts w:ascii="Times New Roman" w:hAnsi="Times New Roman" w:eastAsia="宋体" w:cs="Times New Roman"/>
                <w:b/>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1555"/>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管理</w:t>
            </w:r>
            <w:r>
              <w:rPr>
                <w:rFonts w:ascii="Times New Roman" w:hAnsi="Times New Roman" w:eastAsia="宋体" w:cs="Times New Roman"/>
                <w:color w:val="000000"/>
                <w:sz w:val="21"/>
                <w:szCs w:val="21"/>
                <w:highlight w:val="none"/>
                <w:lang w:val="en-US" w:eastAsia="zh-CN" w:bidi="ar-SA"/>
              </w:rPr>
            </w:r>
            <w:r/>
          </w:p>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406"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组织管理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组织与制度规程</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    有完善的组织机构文件及人员配置文件；建立各职能部门职责；有完善的管理制度，主要包括安全管理制度、行政管理制度、财务管理制度、奖惩制度、运行岗位责任制度、维修岗位责任制度、化验分析岗位责任制度、巡检管理制度等。有完善的安全操作规程，包括各工种操作规程、各种设备设施操作规程，各种危险作业安全操作规程等。</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每缺少一项扣</w:t>
            </w:r>
            <w:r>
              <w:rPr>
                <w:rFonts w:ascii="Times New Roman" w:hAnsi="Times New Roman" w:eastAsia="宋体" w:cs="Times New Roman"/>
                <w:b/>
                <w:color w:val="000000"/>
                <w:sz w:val="21"/>
                <w:szCs w:val="21"/>
                <w:highlight w:val="none"/>
                <w:u w:val="none"/>
                <w:lang w:val="en-US" w:eastAsia="zh-CN" w:bidi="ar"/>
              </w:rPr>
              <w:t xml:space="preserve">0.50</w:t>
            </w:r>
            <w:r>
              <w:rPr>
                <w:rFonts w:ascii="Times New Roman" w:hAnsi="Times New Roman" w:eastAsia="宋体" w:cs="Times New Roman"/>
                <w:color w:val="000000"/>
                <w:sz w:val="21"/>
                <w:szCs w:val="21"/>
                <w:highlight w:val="none"/>
                <w:u w:val="none"/>
                <w:lang w:val="en-US" w:eastAsia="zh-CN" w:bidi="ar"/>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1148"/>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运营报告与</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整改反馈</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
              </w:rPr>
              <w:t xml:space="preserve">    运维方案、运维月报表、运维总结等应在</w:t>
            </w:r>
            <w:r>
              <w:rPr>
                <w:rFonts w:ascii="Times New Roman" w:hAnsi="Times New Roman" w:eastAsia="宋体" w:cs="Times New Roman"/>
                <w:color w:val="000000"/>
                <w:sz w:val="21"/>
                <w:szCs w:val="21"/>
                <w:highlight w:val="none"/>
                <w:lang w:val="en-US" w:eastAsia="zh-CN" w:bidi="ar-SA"/>
              </w:rPr>
              <w:t xml:space="preserve">15天内提交行业监管部门，并在15天内对进行整改反馈，整改反馈报告内容应完整，真实有效。</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超过规定期限15天未提交</w:t>
            </w:r>
            <w:r>
              <w:rPr>
                <w:rFonts w:ascii="Times New Roman" w:hAnsi="Times New Roman" w:eastAsia="宋体" w:cs="Times New Roman"/>
                <w:color w:val="000000"/>
                <w:sz w:val="21"/>
                <w:szCs w:val="21"/>
                <w:highlight w:val="none"/>
                <w:lang w:val="en-US" w:eastAsia="zh-CN" w:bidi="ar"/>
              </w:rPr>
              <w:t xml:space="preserve">运维方案、运维月报表、运维总结及</w:t>
            </w:r>
            <w:r>
              <w:rPr>
                <w:rFonts w:ascii="Times New Roman" w:hAnsi="Times New Roman" w:eastAsia="宋体" w:cs="Times New Roman"/>
                <w:color w:val="000000"/>
                <w:sz w:val="21"/>
                <w:szCs w:val="21"/>
                <w:highlight w:val="none"/>
                <w:lang w:val="en-US" w:eastAsia="zh-CN" w:bidi="ar-SA"/>
              </w:rPr>
              <w:t xml:space="preserve">整改反馈报告的，每一次均扣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b/>
                <w:color w:val="000000"/>
                <w:sz w:val="21"/>
                <w:szCs w:val="21"/>
                <w:highlight w:val="none"/>
                <w:lang w:val="en-US" w:eastAsia="zh-CN" w:bidi="ar-SA"/>
              </w:rPr>
            </w:pPr>
            <w:r>
              <w:rPr>
                <w:rFonts w:ascii="Times New Roman" w:hAnsi="Times New Roman" w:eastAsia="宋体" w:cs="Times New Roman"/>
                <w:b/>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管理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406" w:type="dxa"/>
            <w:vAlign w:val="center"/>
            <w:vMerge w:val="restart"/>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财务管理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会计核算</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项目公司财务管理应符合现行财务规定。对运营各年度所发生的收入、成本、费用进行合理、规范的会计核算，对各类费用进行凭证管理。</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随机抽取5笔会计核算处理记录；用顺查法或逆查法检查本期各类凭证及材料。对于成本费用未入账或者虚报等情况，每发现一处均扣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账簿与报表编制</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项目公司财务账簿、报表按现行财务规定及时合理编制。考核时整体检查本期各类财务账簿与报表。</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如存在账、表未按现行财务规定编制或未及时编制的，每发现一处均扣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运营期履约保函</w:t>
            </w:r>
            <w:r>
              <w:rPr>
                <w:rFonts w:ascii="Times New Roman" w:hAnsi="Times New Roman" w:eastAsia="宋体" w:cs="Times New Roman"/>
                <w:color w:val="000000"/>
                <w:sz w:val="21"/>
                <w:szCs w:val="21"/>
                <w:highlight w:val="none"/>
              </w:rPr>
            </w:r>
            <w:r/>
          </w:p>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（1.0分）</w:t>
            </w:r>
            <w:r>
              <w:rPr>
                <w:rFonts w:ascii="Times New Roman" w:hAnsi="Times New Roman" w:eastAsia="宋体" w:cs="Times New Roman"/>
                <w:color w:val="000000"/>
                <w:sz w:val="21"/>
                <w:szCs w:val="21"/>
                <w:highlight w:val="none"/>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项目公司应按项目合同13章关于运营期履约保函的要求，及时、足额缴纳履约保函，且保函有效期应对运营期全覆盖。</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未提交的，此项不得分；提交但未全覆盖的，扣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hint="eastAsia" w:ascii="Times New Roman" w:hAnsi="Times New Roman" w:eastAsia="宋体" w:cs="Times New Roman"/>
                <w:b/>
                <w:color w:val="000000"/>
                <w:sz w:val="21"/>
                <w:szCs w:val="21"/>
                <w:highlight w:val="none"/>
                <w:lang w:val="en-US" w:eastAsia="zh-CN" w:bidi="ar-SA"/>
              </w:rPr>
            </w:pPr>
            <w:r>
              <w:rPr>
                <w:rFonts w:hint="eastAsia" w:ascii="Times New Roman" w:hAnsi="Times New Roman" w:eastAsia="宋体" w:cs="Times New Roman"/>
                <w:b/>
                <w:color w:val="000000"/>
                <w:sz w:val="21"/>
                <w:szCs w:val="21"/>
                <w:highlight w:val="none"/>
                <w:lang w:val="en-US" w:eastAsia="zh-CN" w:bidi="ar-SA"/>
              </w:rPr>
            </w:r>
            <w:r/>
          </w:p>
        </w:tc>
        <w:tc>
          <w:tcPr>
            <w:tcW w:w="819" w:type="dxa"/>
            <w:vAlign w:val="center"/>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vMerge w:val="continue"/>
            <w:textDirection w:val="lrTb"/>
            <w:noWrap w:val="false"/>
          </w:tcPr>
          <w:p>
            <w:pPr>
              <w:pStyle w:val="844"/>
              <w:ind w:firstLine="0"/>
              <w:jc w:val="center"/>
              <w:spacing w:before="0" w:beforeAutospacing="0" w:after="0" w:afterAutospacing="0" w:line="240" w:lineRule="auto"/>
              <w:widowControl/>
              <w:rPr>
                <w:rFonts w:ascii="Times New Roman" w:hAnsi="Times New Roman" w:eastAsia="宋体" w:cs="Times New Roman"/>
                <w:color w:val="000000"/>
                <w:sz w:val="21"/>
                <w:szCs w:val="21"/>
                <w:highlight w:val="none"/>
                <w:lang w:val="en-US" w:eastAsia="zh-CN" w:bidi="ar-SA"/>
              </w:rPr>
              <w:pBdr>
                <w:left w:val="single" w:color="000000" w:sz="8" w:space="0"/>
                <w:bottom w:val="single" w:color="000000" w:sz="8" w:space="0"/>
                <w:right w:val="single" w:color="000000" w:sz="8" w:space="0"/>
              </w:pBdr>
            </w:pP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成本监审</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（2.0分）</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运营成本应根据财金〔2016〕92号《政府和社会资本合作项目财政管理暂行办法》第二十四条规定和财金〔2017〕1号《政府和社会资本合作（PPP）综合信息平台信息公开管理暂行办法》第八条第（七）款，应逐年配合实施机构进行运营成本合理性监审与说明并公示。</w:t>
            </w:r>
            <w:r>
              <w:rPr>
                <w:rFonts w:ascii="Times New Roman" w:hAnsi="Times New Roman" w:eastAsia="宋体" w:cs="Times New Roman"/>
                <w:color w:val="000000"/>
                <w:sz w:val="21"/>
                <w:szCs w:val="21"/>
                <w:highlight w:val="none"/>
                <w:lang w:val="en-US" w:eastAsia="zh-CN" w:bidi="ar-SA"/>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未配合进行运营成本监审与说明不得分，未公示扣</w:t>
            </w:r>
            <w:r>
              <w:rPr>
                <w:rFonts w:ascii="Times New Roman" w:hAnsi="Times New Roman" w:eastAsia="宋体" w:cs="Times New Roman"/>
                <w:b/>
                <w:color w:val="000000"/>
                <w:sz w:val="21"/>
                <w:szCs w:val="21"/>
                <w:highlight w:val="none"/>
                <w:lang w:val="en-US" w:eastAsia="zh-CN" w:bidi="ar-SA"/>
              </w:rPr>
              <w:t xml:space="preserve">1.00</w:t>
            </w:r>
            <w:r>
              <w:rPr>
                <w:rFonts w:ascii="Times New Roman" w:hAnsi="Times New Roman" w:eastAsia="宋体" w:cs="Times New Roman"/>
                <w:color w:val="000000"/>
                <w:sz w:val="21"/>
                <w:szCs w:val="21"/>
                <w:highlight w:val="none"/>
                <w:lang w:val="en-US" w:eastAsia="zh-CN" w:bidi="ar-SA"/>
              </w:rPr>
              <w:t xml:space="preserve">分。但因实施机构未进行项目公司的运营成本监审时不扣分。</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档案管理</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SA"/>
              </w:rPr>
              <w:t xml:space="preserve">    关于项目建设、运营、维修等相关方面档案资料编制的应及时、完整、真实，归集整理应及时、规范；相关档案文件内容应真实，应能真实反映运营、养护、维修状况；档案文件的管理系统规范，应有专人负责。</w:t>
            </w:r>
            <w:r>
              <w:rPr>
                <w:rFonts w:ascii="Times New Roman" w:hAnsi="Times New Roman" w:eastAsia="宋体" w:cs="Times New Roman"/>
                <w:color w:val="000000"/>
                <w:sz w:val="21"/>
                <w:szCs w:val="21"/>
                <w:highlight w:val="none"/>
                <w:lang w:val="en-US" w:eastAsia="zh-CN" w:bidi="ar"/>
              </w:rPr>
              <w:t xml:space="preserve">运营台账记录应完整、</w:t>
            </w:r>
            <w:r>
              <w:rPr>
                <w:rFonts w:ascii="Times New Roman" w:hAnsi="Times New Roman" w:eastAsia="宋体" w:cs="Times New Roman"/>
                <w:color w:val="000000"/>
                <w:sz w:val="21"/>
                <w:szCs w:val="21"/>
                <w:highlight w:val="none"/>
                <w:lang w:val="en-US" w:eastAsia="zh-CN" w:bidi="ar-SA"/>
              </w:rPr>
              <w:t xml:space="preserve">清晰，</w:t>
            </w:r>
            <w:r>
              <w:rPr>
                <w:rFonts w:ascii="Times New Roman" w:hAnsi="Times New Roman" w:eastAsia="宋体" w:cs="Times New Roman"/>
                <w:color w:val="000000"/>
                <w:sz w:val="21"/>
                <w:szCs w:val="21"/>
                <w:highlight w:val="none"/>
                <w:lang w:val="en-US" w:eastAsia="zh-CN" w:bidi="ar"/>
              </w:rPr>
              <w:t xml:space="preserve">应包括有设施设备运行记录、设施设备维护记录、管网例行巡视记录、管网维护记录及成本核算</w:t>
            </w:r>
            <w:r>
              <w:rPr>
                <w:rFonts w:ascii="Times New Roman" w:hAnsi="Times New Roman" w:eastAsia="宋体" w:cs="Times New Roman"/>
                <w:color w:val="000000"/>
                <w:sz w:val="21"/>
                <w:szCs w:val="21"/>
                <w:highlight w:val="none"/>
                <w:lang w:val="en-US" w:eastAsia="zh-CN" w:bidi="ar-SA"/>
              </w:rPr>
              <w:t xml:space="preserve">文件</w:t>
            </w:r>
            <w:r>
              <w:rPr>
                <w:rFonts w:ascii="Times New Roman" w:hAnsi="Times New Roman" w:eastAsia="宋体" w:cs="Times New Roman"/>
                <w:color w:val="000000"/>
                <w:sz w:val="21"/>
                <w:szCs w:val="21"/>
                <w:highlight w:val="none"/>
                <w:lang w:val="en-US" w:eastAsia="zh-CN" w:bidi="ar"/>
              </w:rPr>
              <w:t xml:space="preserve">等。</w:t>
            </w:r>
            <w:r>
              <w:rPr>
                <w:rFonts w:ascii="Times New Roman" w:hAnsi="Times New Roman" w:eastAsia="宋体" w:cs="Times New Roman"/>
                <w:color w:val="000000"/>
                <w:sz w:val="21"/>
                <w:szCs w:val="21"/>
                <w:highlight w:val="none"/>
                <w:lang w:val="en-US" w:eastAsia="zh-CN" w:bidi="ar"/>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发现有不符合上述要求的任一情形时，则均扣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r>
      <w:tr>
        <w:trPr>
          <w:trHeight w:val="397"/>
        </w:trPr>
        <w:tc>
          <w:tcPr>
            <w:tcW w:w="387" w:type="dxa"/>
            <w:vAlign w:val="center"/>
            <w:vMerge w:val="continue"/>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406"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信息公开</w:t>
            </w:r>
            <w:r>
              <w:rPr>
                <w:rFonts w:ascii="Times New Roman" w:hAnsi="Times New Roman" w:eastAsia="宋体" w:cs="Times New Roman"/>
                <w:color w:val="000000"/>
                <w:sz w:val="21"/>
                <w:szCs w:val="21"/>
                <w:highlight w:val="none"/>
                <w:lang w:val="en-US" w:eastAsia="zh-CN" w:bidi="ar-SA"/>
              </w:rPr>
            </w:r>
            <w:r/>
          </w:p>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（2.0分）</w:t>
            </w:r>
            <w:r>
              <w:rPr>
                <w:rFonts w:ascii="Times New Roman" w:hAnsi="Times New Roman" w:eastAsia="宋体" w:cs="Times New Roman"/>
                <w:color w:val="000000"/>
                <w:sz w:val="21"/>
                <w:szCs w:val="21"/>
                <w:highlight w:val="none"/>
                <w:lang w:val="en-US" w:eastAsia="zh-CN" w:bidi="ar-SA"/>
              </w:rPr>
            </w:r>
            <w:r/>
          </w:p>
        </w:tc>
        <w:tc>
          <w:tcPr>
            <w:tcW w:w="530"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2546" w:type="dxa"/>
            <w:vAlign w:val="center"/>
            <w:textDirection w:val="lrTb"/>
            <w:noWrap w:val="false"/>
          </w:tcPr>
          <w:p>
            <w:pPr>
              <w:pStyle w:val="844"/>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项目公司应依法履行公开披露相关信息的义务，及时、准确与规范地将项目全部最新信息公开披露到全国PPP综合信息平台（新平台）上。</w:t>
            </w:r>
            <w:r>
              <w:rPr>
                <w:rFonts w:ascii="Times New Roman" w:hAnsi="Times New Roman" w:eastAsia="宋体" w:cs="Times New Roman"/>
                <w:color w:val="000000"/>
                <w:sz w:val="21"/>
                <w:szCs w:val="21"/>
                <w:highlight w:val="none"/>
              </w:rPr>
            </w:r>
            <w:r/>
          </w:p>
          <w:p>
            <w:pPr>
              <w:pStyle w:val="844"/>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    未公开披露不得分；每有一项披露不符合要求时均扣</w:t>
            </w:r>
            <w:r>
              <w:rPr>
                <w:rFonts w:ascii="Times New Roman" w:hAnsi="Times New Roman" w:eastAsia="宋体" w:cs="Times New Roman"/>
                <w:b/>
                <w:color w:val="000000"/>
                <w:sz w:val="21"/>
                <w:szCs w:val="21"/>
                <w:highlight w:val="none"/>
                <w:lang w:val="en-US" w:eastAsia="zh-CN" w:bidi="ar-SA"/>
              </w:rPr>
              <w:t xml:space="preserve">0.50</w:t>
            </w:r>
            <w:r>
              <w:rPr>
                <w:rFonts w:ascii="Times New Roman" w:hAnsi="Times New Roman" w:eastAsia="宋体" w:cs="Times New Roman"/>
                <w:color w:val="000000"/>
                <w:sz w:val="21"/>
                <w:szCs w:val="21"/>
                <w:highlight w:val="none"/>
                <w:lang w:val="en-US" w:eastAsia="zh-CN" w:bidi="ar-SA"/>
              </w:rPr>
              <w:t xml:space="preserve">分。扣完为止。</w:t>
            </w:r>
            <w:r>
              <w:rPr>
                <w:rFonts w:ascii="Times New Roman" w:hAnsi="Times New Roman" w:eastAsia="宋体" w:cs="Times New Roman"/>
                <w:color w:val="000000"/>
                <w:sz w:val="21"/>
                <w:szCs w:val="21"/>
                <w:highlight w:val="none"/>
                <w:lang w:val="en-US" w:eastAsia="zh-CN" w:bidi="ar-SA"/>
              </w:rPr>
            </w:r>
            <w:r/>
          </w:p>
        </w:tc>
        <w:tc>
          <w:tcPr>
            <w:tcW w:w="308" w:type="dxa"/>
            <w:vAlign w:val="center"/>
            <w:textDirection w:val="lrTb"/>
            <w:noWrap w:val="false"/>
          </w:tcPr>
          <w:p>
            <w:pPr>
              <w:pStyle w:val="844"/>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819" w:type="dxa"/>
            <w:vAlign w:val="center"/>
            <w:textDirection w:val="lrTb"/>
            <w:noWrap w:val="false"/>
          </w:tcPr>
          <w:p>
            <w:pPr>
              <w:pStyle w:val="844"/>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567"/>
          <w:tblHeader/>
        </w:trPr>
        <w:tc>
          <w:tcPr>
            <w:gridSpan w:val="2"/>
            <w:tcW w:w="2259"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奖罚分</w:t>
            </w:r>
            <w:r>
              <w:rPr>
                <w:rFonts w:ascii="Times New Roman" w:hAnsi="Times New Roman" w:eastAsia="宋体" w:cs="Times New Roman"/>
                <w:bCs/>
                <w:color w:val="000000"/>
                <w:sz w:val="21"/>
                <w:szCs w:val="21"/>
                <w:highlight w:val="none"/>
              </w:rPr>
              <w:t xml:space="preserve">部分</w:t>
            </w:r>
            <w:r>
              <w:rPr>
                <w:rFonts w:ascii="Times New Roman" w:hAnsi="Times New Roman" w:eastAsia="宋体" w:cs="Times New Roman"/>
                <w:color w:val="000000"/>
                <w:sz w:val="21"/>
                <w:szCs w:val="21"/>
                <w:highlight w:val="none"/>
              </w:rPr>
            </w:r>
            <w:r/>
          </w:p>
        </w:tc>
        <w:tc>
          <w:tcPr>
            <w:tcW w:w="530"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2546" w:type="dxa"/>
            <w:vAlign w:val="center"/>
            <w:textDirection w:val="lrTb"/>
            <w:noWrap w:val="false"/>
          </w:tcPr>
          <w:p>
            <w:pPr>
              <w:pStyle w:val="844"/>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如发生省级及以上部门通报批评或处罚的，扣罚</w:t>
            </w:r>
            <w:r>
              <w:rPr>
                <w:rFonts w:ascii="Times New Roman" w:hAnsi="Times New Roman" w:eastAsia="宋体" w:cs="Times New Roman"/>
                <w:b/>
                <w:color w:val="000000"/>
                <w:sz w:val="21"/>
                <w:szCs w:val="21"/>
                <w:highlight w:val="none"/>
              </w:rPr>
              <w:t xml:space="preserve">1.00</w:t>
            </w:r>
            <w:r>
              <w:rPr>
                <w:rFonts w:ascii="Times New Roman" w:hAnsi="Times New Roman" w:eastAsia="宋体" w:cs="Times New Roman"/>
                <w:color w:val="000000"/>
                <w:sz w:val="21"/>
                <w:szCs w:val="21"/>
                <w:highlight w:val="none"/>
              </w:rPr>
              <w:t xml:space="preserve">分；常州市级主管部门通报批评或处罚的，扣罚</w:t>
            </w:r>
            <w:r>
              <w:rPr>
                <w:rFonts w:ascii="Times New Roman" w:hAnsi="Times New Roman" w:eastAsia="宋体" w:cs="Times New Roman"/>
                <w:b/>
                <w:color w:val="000000"/>
                <w:sz w:val="21"/>
                <w:szCs w:val="21"/>
                <w:highlight w:val="none"/>
              </w:rPr>
              <w:t xml:space="preserve">0.50</w:t>
            </w:r>
            <w:r>
              <w:rPr>
                <w:rFonts w:ascii="Times New Roman" w:hAnsi="Times New Roman" w:eastAsia="宋体" w:cs="Times New Roman"/>
                <w:color w:val="000000"/>
                <w:sz w:val="21"/>
                <w:szCs w:val="21"/>
                <w:highlight w:val="none"/>
              </w:rPr>
              <w:t xml:space="preserve">分；省级及以上部门表扬或奖励的，奖励</w:t>
            </w:r>
            <w:r>
              <w:rPr>
                <w:rFonts w:ascii="Times New Roman" w:hAnsi="Times New Roman" w:eastAsia="宋体" w:cs="Times New Roman"/>
                <w:b/>
                <w:color w:val="000000"/>
                <w:sz w:val="21"/>
                <w:szCs w:val="21"/>
                <w:highlight w:val="none"/>
              </w:rPr>
              <w:t xml:space="preserve">1.00</w:t>
            </w:r>
            <w:r>
              <w:rPr>
                <w:rFonts w:ascii="Times New Roman" w:hAnsi="Times New Roman" w:eastAsia="宋体" w:cs="Times New Roman"/>
                <w:color w:val="000000"/>
                <w:sz w:val="21"/>
                <w:szCs w:val="21"/>
                <w:highlight w:val="none"/>
              </w:rPr>
              <w:t xml:space="preserve">分；常州市级主管部门表扬或奖励的，奖励</w:t>
            </w:r>
            <w:r>
              <w:rPr>
                <w:rFonts w:ascii="Times New Roman" w:hAnsi="Times New Roman" w:eastAsia="宋体" w:cs="Times New Roman"/>
                <w:b/>
                <w:color w:val="000000"/>
                <w:sz w:val="21"/>
                <w:szCs w:val="21"/>
                <w:highlight w:val="none"/>
              </w:rPr>
              <w:t xml:space="preserve">0.50</w:t>
            </w:r>
            <w:r>
              <w:rPr>
                <w:rFonts w:ascii="Times New Roman" w:hAnsi="Times New Roman" w:eastAsia="宋体" w:cs="Times New Roman"/>
                <w:color w:val="000000"/>
                <w:sz w:val="21"/>
                <w:szCs w:val="21"/>
                <w:highlight w:val="none"/>
              </w:rPr>
              <w:t xml:space="preserve">分。因同一件事件发生的奖励分或扣罚分不予重复计算，取最高值计。</w:t>
            </w:r>
            <w:r>
              <w:rPr>
                <w:rFonts w:ascii="Times New Roman" w:hAnsi="Times New Roman" w:eastAsia="宋体" w:cs="Times New Roman"/>
                <w:color w:val="000000"/>
                <w:sz w:val="21"/>
                <w:szCs w:val="21"/>
                <w:highlight w:val="none"/>
              </w:rPr>
            </w:r>
            <w:r/>
          </w:p>
        </w:tc>
        <w:tc>
          <w:tcPr>
            <w:tcW w:w="308" w:type="dxa"/>
            <w:vAlign w:val="center"/>
            <w:textDirection w:val="lrTb"/>
            <w:noWrap w:val="false"/>
          </w:tcPr>
          <w:p>
            <w:pPr>
              <w:pStyle w:val="844"/>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r>
            <w:r/>
          </w:p>
        </w:tc>
        <w:tc>
          <w:tcPr>
            <w:tcW w:w="819" w:type="dxa"/>
            <w:vAlign w:val="center"/>
            <w:textDirection w:val="lrTb"/>
            <w:noWrap w:val="false"/>
          </w:tcPr>
          <w:p>
            <w:pPr>
              <w:pStyle w:val="844"/>
              <w:ind w:firstLine="0"/>
              <w:spacing w:line="240" w:lineRule="auto"/>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r>
      <w:tr>
        <w:trPr>
          <w:trHeight w:val="454"/>
          <w:tblHeader/>
        </w:trPr>
        <w:tc>
          <w:tcPr>
            <w:gridSpan w:val="2"/>
            <w:tcW w:w="2259"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合计</w:t>
            </w:r>
            <w:r>
              <w:rPr>
                <w:rFonts w:ascii="Times New Roman" w:hAnsi="Times New Roman" w:eastAsia="宋体" w:cs="Times New Roman"/>
                <w:color w:val="000000"/>
                <w:sz w:val="21"/>
                <w:szCs w:val="21"/>
                <w:highlight w:val="none"/>
              </w:rPr>
            </w:r>
            <w:r/>
          </w:p>
        </w:tc>
        <w:tc>
          <w:tcPr>
            <w:tcW w:w="530"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2546"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308" w:type="dxa"/>
            <w:vAlign w:val="center"/>
            <w:textDirection w:val="lrTb"/>
            <w:noWrap w:val="false"/>
          </w:tcPr>
          <w:p>
            <w:pPr>
              <w:pStyle w:val="844"/>
              <w:ind w:firstLine="0"/>
              <w:jc w:val="center"/>
              <w:spacing w:line="24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c>
          <w:tcPr>
            <w:tcW w:w="819" w:type="dxa"/>
            <w:vAlign w:val="center"/>
            <w:textDirection w:val="lrTb"/>
            <w:noWrap w:val="false"/>
          </w:tcPr>
          <w:p>
            <w:pPr>
              <w:pStyle w:val="844"/>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844"/>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856"/>
        <w:jc w:val="center"/>
        <w:tabs>
          <w:tab w:val="left" w:pos="567" w:leader="none"/>
        </w:tabs>
        <w:rPr>
          <w:rFonts w:hint="eastAsia"/>
          <w:b/>
          <w:bCs/>
          <w:color w:val="000000"/>
          <w:highlight w:val="none"/>
        </w:rPr>
        <w:sectPr>
          <w:footnotePr/>
          <w:endnotePr/>
          <w:type w:val="nextPage"/>
          <w:pgSz w:w="16840" w:h="11907" w:orient="landscape"/>
          <w:pgMar w:top="1701" w:right="1417" w:bottom="1134" w:left="1417" w:header="851" w:footer="850" w:gutter="0"/>
          <w:cols w:num="1" w:sep="0" w:space="1701" w:equalWidth="1"/>
          <w:docGrid w:linePitch="360"/>
        </w:sectPr>
      </w:pPr>
      <w:r>
        <w:rPr>
          <w:rFonts w:hint="eastAsia"/>
          <w:b/>
          <w:bCs/>
          <w:color w:val="000000"/>
          <w:highlight w:val="none"/>
        </w:rPr>
      </w:r>
      <w:r/>
    </w:p>
    <w:p>
      <w:pPr>
        <w:pStyle w:val="856"/>
        <w:jc w:val="center"/>
        <w:tabs>
          <w:tab w:val="left" w:pos="567" w:leader="none"/>
        </w:tabs>
        <w:rPr>
          <w:b/>
          <w:bCs/>
          <w:color w:val="000000"/>
          <w:highlight w:val="none"/>
        </w:rPr>
      </w:pPr>
      <w:r>
        <w:rPr>
          <w:rFonts w:hint="eastAsia"/>
          <w:b/>
          <w:bCs/>
          <w:color w:val="000000"/>
          <w:highlight w:val="none"/>
        </w:rPr>
        <w:t xml:space="preserve">区污项目绩效考核</w:t>
      </w:r>
      <w:r>
        <w:rPr>
          <w:b/>
          <w:bCs/>
          <w:color w:val="000000"/>
          <w:highlight w:val="none"/>
        </w:rPr>
      </w:r>
      <w:r/>
    </w:p>
    <w:p>
      <w:pPr>
        <w:pStyle w:val="844"/>
        <w:rPr>
          <w:b w:val="0"/>
          <w:color w:val="000000"/>
          <w:sz w:val="21"/>
          <w:szCs w:val="24"/>
          <w:highlight w:val="none"/>
        </w:rPr>
      </w:pPr>
      <w:r>
        <w:rPr>
          <w:b w:val="0"/>
          <w:color w:val="000000"/>
          <w:sz w:val="21"/>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159"/>
        <w:gridCol w:w="1105"/>
        <w:gridCol w:w="1543"/>
        <w:gridCol w:w="5730"/>
        <w:gridCol w:w="2539"/>
        <w:gridCol w:w="1270"/>
      </w:tblGrid>
      <w:tr>
        <w:trPr>
          <w:trHeight w:val="460"/>
        </w:trPr>
        <w:tc>
          <w:tcPr>
            <w:gridSpan w:val="7"/>
            <w:tcW w:w="14222"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项目公司运营期年度绩效目标与指标体系汇总表</w:t>
            </w:r>
            <w:r>
              <w:rPr>
                <w:rFonts w:hint="eastAsia" w:ascii="宋体" w:hAnsi="宋体" w:eastAsia="宋体" w:cs="宋体"/>
                <w:b/>
                <w:bCs/>
                <w:i w:val="0"/>
                <w:iCs w:val="0"/>
                <w:color w:val="000000"/>
                <w:sz w:val="22"/>
                <w:szCs w:val="22"/>
                <w:highlight w:val="none"/>
                <w:u w:val="none"/>
              </w:rPr>
            </w:r>
            <w:r/>
          </w:p>
        </w:tc>
      </w:tr>
      <w:tr>
        <w:trPr>
          <w:trHeight w:val="580"/>
        </w:trPr>
        <w:tc>
          <w:tcPr>
            <w:tcW w:w="287"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一级指标</w:t>
            </w:r>
            <w:r>
              <w:rPr>
                <w:rFonts w:hint="eastAsia" w:ascii="宋体" w:hAnsi="宋体" w:eastAsia="宋体" w:cs="宋体"/>
                <w:i w:val="0"/>
                <w:iCs w:val="0"/>
                <w:color w:val="000000"/>
                <w:sz w:val="21"/>
                <w:szCs w:val="21"/>
                <w:highlight w:val="none"/>
                <w:u w:val="none"/>
              </w:rPr>
            </w:r>
            <w:r/>
          </w:p>
        </w:tc>
        <w:tc>
          <w:tcPr>
            <w:tcW w:w="41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二级指标</w:t>
            </w:r>
            <w:r>
              <w:rPr>
                <w:rFonts w:hint="eastAsia" w:ascii="宋体" w:hAnsi="宋体" w:eastAsia="宋体" w:cs="宋体"/>
                <w:i w:val="0"/>
                <w:iCs w:val="0"/>
                <w:color w:val="000000"/>
                <w:sz w:val="21"/>
                <w:szCs w:val="21"/>
                <w:highlight w:val="none"/>
                <w:u w:val="none"/>
              </w:rPr>
            </w:r>
            <w:r/>
          </w:p>
        </w:tc>
        <w:tc>
          <w:tcPr>
            <w:tcW w:w="39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三级指标</w:t>
            </w: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四级目标或内容</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评价扣分说明与解释</w:t>
            </w:r>
            <w:r>
              <w:rPr>
                <w:rFonts w:hint="eastAsia" w:ascii="宋体" w:hAnsi="宋体" w:eastAsia="宋体" w:cs="宋体"/>
                <w:i w:val="0"/>
                <w:iCs w:val="0"/>
                <w:color w:val="000000"/>
                <w:sz w:val="21"/>
                <w:szCs w:val="21"/>
                <w:highlight w:val="none"/>
                <w:u w:val="none"/>
              </w:rPr>
            </w:r>
            <w:r/>
          </w:p>
        </w:tc>
        <w:tc>
          <w:tcPr>
            <w:tcW w:w="89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资料来源</w:t>
            </w: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附表</w:t>
            </w:r>
            <w:r>
              <w:rPr>
                <w:rFonts w:hint="eastAsia" w:ascii="宋体" w:hAnsi="宋体" w:eastAsia="宋体" w:cs="宋体"/>
                <w:i w:val="0"/>
                <w:iCs w:val="0"/>
                <w:color w:val="000000"/>
                <w:sz w:val="22"/>
                <w:szCs w:val="22"/>
                <w:highlight w:val="none"/>
                <w:u w:val="none"/>
              </w:rPr>
            </w:r>
            <w:r/>
          </w:p>
        </w:tc>
      </w:tr>
      <w:tr>
        <w:trPr>
          <w:trHeight w:val="1530"/>
        </w:trPr>
        <w:tc>
          <w:tcPr>
            <w:tcW w:w="287"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（80.5分）</w:t>
            </w:r>
            <w:r>
              <w:rPr>
                <w:rFonts w:hint="eastAsia" w:ascii="宋体" w:hAnsi="宋体" w:eastAsia="宋体" w:cs="宋体"/>
                <w:i w:val="0"/>
                <w:iCs w:val="0"/>
                <w:color w:val="000000"/>
                <w:sz w:val="21"/>
                <w:szCs w:val="21"/>
                <w:highlight w:val="none"/>
                <w:u w:val="none"/>
              </w:rPr>
            </w:r>
            <w:r/>
          </w:p>
        </w:tc>
        <w:tc>
          <w:tcPr>
            <w:tcW w:w="41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运维品质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（42分）</w:t>
            </w:r>
            <w:r>
              <w:rPr>
                <w:rFonts w:hint="eastAsia" w:ascii="宋体" w:hAnsi="宋体" w:eastAsia="宋体" w:cs="宋体"/>
                <w:i w:val="0"/>
                <w:iCs w:val="0"/>
                <w:color w:val="000000"/>
                <w:sz w:val="21"/>
                <w:szCs w:val="21"/>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污水处理质量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（28分）</w:t>
            </w: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进水水量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80%预设水量≤实际处理量，得2分；60%预设水量≤实际处理量＜80%预设水量，得1分；实际处理量＜60%预设水量，不得分。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进水水质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实际年平均进水 BOD5≥100mg/L，得3分；80mg/L≤BOD5＜100mg/L，得2分；50mg/L≤BOD5＜80mg/L，得1分；BOD5＜50mg/L，得0分。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若项目公司记录数据与政府同期抽验数据相差20%以上，则不得分。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7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污水处理质量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污染物每日排放值 CODCr、BOD5、SS、NH3-N、TN、TP 达标，得23分；有一项不达标即认定为一天不达标，一天不达标扣0.8分，扣完为止。每月有一项没做化验项目的，扣0.2分，扣完为止。如果有主管部门、生态环境部门或上级监管部门抽查判定为不合格的就视为对应阶段不达标按规定扣分。对应阶段扣分值规定为23分×对应阶段天数/360天。</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污泥处理质量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（8分）</w:t>
            </w: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污泥处置量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得分=1×污泥安全处置率；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污泥安全处置率=（考核期内采用永久性污泥处置设施安全处置总量/考核期内污泥总产生量）×100%。污泥安全处置率低于60%不得分。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污泥运输及处置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采用永久性污泥处置设施，确保污泥安全稳定处置，处置合同有效、运输规范、处理及时，得2分；未采用永久性污泥处置设施，扣0.5分；处置合同不规范，扣0.5分；运输不规范，未实施GPS等定位跟踪，扣0.5分；处理不及时造成污泥堆积，扣0.5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污泥含水率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（3分）</w:t>
            </w:r>
            <w:r>
              <w:rPr>
                <w:rFonts w:hint="eastAsia" w:ascii="宋体" w:hAnsi="宋体" w:eastAsia="宋体" w:cs="宋体"/>
                <w:i w:val="0"/>
                <w:iCs w:val="0"/>
                <w:color w:val="000000"/>
                <w:sz w:val="21"/>
                <w:szCs w:val="21"/>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年平均污泥含水率&gt;80%，不得分；70%＜含水率≤80%，得1分；60%＜含水率≤70%，得2分，含水率≤60%，得3分。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污泥处理记录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污泥处理台账记录内容齐全，包括脱水机运行、絮凝剂配制及使用、污泥外运处置记录等，得</w:t>
            </w:r>
            <w:r>
              <w:rPr>
                <w:rFonts w:ascii="Times New Roman" w:hAnsi="Times New Roman" w:eastAsia="宋体" w:cs="Times New Roman"/>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分。记录内容每缺失一项扣</w:t>
            </w:r>
            <w:r>
              <w:rPr>
                <w:rFonts w:ascii="Times New Roman" w:hAnsi="Times New Roman" w:eastAsia="宋体" w:cs="Times New Roman"/>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运维实施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运维实施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运维按年度、月度计划有序实施， 得2分；否则不得分。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构筑物、设备、岗位、安全的各项运行与维护、维修操作均按规程执行到位，坚持安全操作，文明生产，得2分；否则不得分。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再生水回用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厂站内回用或厂站外回用，得1分；无再生水回用不得分。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消毒设施正常运行，并有规范的安全运行场所和防护措施，得1分；消毒设施正常运行，有规范的安全运行场所，但无安全防护措施或安全防护措施不完善，得0.5分；消毒设施不能正常运行，不得分。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构筑物及设备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（12分）</w:t>
            </w: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构筑物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构筑物状态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构筑物功能正常，无明显腐蚀渗漏，得1分；否则不得分。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池面与堰口状态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池面清洁，堰口出水均匀，得1分；否则不得分。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曝气状态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池内曝气均匀，无开锅现象，充氧设施正常运行，得2分；有一项不符合时扣1.0分。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设备外观与螺栓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全部设备外观均整洁，固定螺栓均齐全牢固，得1分；螺栓有缺失或松动现象时，每一处扣0.25分。扣完为止。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设备运行状态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全部设备均运行正常，功能良好，无腐蚀渗漏，得1分；有部分设备功能不正常时，每一台套扣0.25分。扣完为止。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计量仪表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计量仪表设备功能正常，得1分，有部分功能不正常时，每一台扣0.25分。扣完为止。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计量仪表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设备检定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计量仪表设备均做到定期检定，得1分；有任何一套计量仪表设备检定逾期则不得分。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进出水在线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监控仪表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均安装有进出水在线监控仪表且能正常运行，并日常维护、校准到位的，得2分；仪表未配备或运行不正常，有一台扣0.2分；进水水质在线监控仪表受返回负荷影响导致数据失真，有一台扣0.2分；扣完为止。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进出水自动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采样装置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均安装有进出水自动采样装置且能正常运行，得1分；否则不得分。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泵站运维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泵站运行与维护、维修操作均按规程执行到位，坚持安全操作，文明生产，得1分；否则不得分。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保养维护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泵站水泵、电机按年度、月度计划定期有序实施保养和维护，定期检查水箱、叶轮状态，检查轴承的油位、油质和温度，各部件的坚固螺丝无松动，得3分；有缺失项时，每一项扣0.25分。扣完为止。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巡视清渣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定期巡视旋转格栅前后的液位差，超过规定值时，及时做好格栅的清渣工作，得1分；否则不得分。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管网运行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管网运行与维护、维修操作均按规程执行到位，坚持安全操作，文明生产，得2分；否则不得分。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保养维护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管网按年度、月度及周计划定期有序组织落实保养和维护，得2分；否则不得分。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化验室配备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配备化验室和相应检测仪器设备，能够正常开展常规项目检测的，得2分；配备化验室和检测仪器设备，但不能正常工作，或检测仪器设备配备不足的，常规项目每缺1项，扣0.25分，扣完为止；未配备化验室的，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化验质量控制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化验室内部应建立健全水质分析质量保证制度；每日样品需定期进行精密度（平行双样）和准确度（加标回收）控制，定期进行标准样品、仪器设备的量值溯源，并完整保存记录，得</w:t>
            </w:r>
            <w:r>
              <w:rPr>
                <w:rFonts w:ascii="Times New Roman" w:hAnsi="Times New Roman" w:eastAsia="宋体" w:cs="Times New Roman"/>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水质分析可按现行的国家或行业检验分析方法检测，得</w:t>
            </w:r>
            <w:r>
              <w:rPr>
                <w:rFonts w:ascii="Times New Roman" w:hAnsi="Times New Roman" w:eastAsia="宋体" w:cs="Times New Roman"/>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分。缺少项目酌减（另见附表），每缺一项，扣</w:t>
            </w:r>
            <w:r>
              <w:rPr>
                <w:rFonts w:ascii="Times New Roman" w:hAnsi="Times New Roman" w:eastAsia="宋体" w:cs="Times New Roman"/>
                <w:i w:val="0"/>
                <w:iCs w:val="0"/>
                <w:color w:val="000000"/>
                <w:sz w:val="22"/>
                <w:szCs w:val="22"/>
                <w:highlight w:val="none"/>
                <w:u w:val="none"/>
                <w:lang w:val="en-US" w:eastAsia="zh-CN" w:bidi="ar"/>
              </w:rPr>
              <w:t xml:space="preserve">0.25</w:t>
            </w:r>
            <w:r>
              <w:rPr>
                <w:rFonts w:hint="eastAsia" w:ascii="宋体" w:hAnsi="宋体" w:eastAsia="宋体" w:cs="宋体"/>
                <w:i w:val="0"/>
                <w:iCs w:val="0"/>
                <w:color w:val="000000"/>
                <w:sz w:val="22"/>
                <w:szCs w:val="22"/>
                <w:highlight w:val="none"/>
                <w:u w:val="none"/>
                <w:lang w:val="en-US" w:eastAsia="zh-CN" w:bidi="ar"/>
              </w:rPr>
              <w:t xml:space="preserve">分。得分</w:t>
            </w:r>
            <w:r>
              <w:rPr>
                <w:rFonts w:ascii="Times New Roman" w:hAnsi="Times New Roman" w:eastAsia="宋体" w:cs="Times New Roman"/>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实际检测频率</w:t>
            </w:r>
            <w:r>
              <w:rPr>
                <w:rFonts w:ascii="Times New Roman" w:hAnsi="Times New Roman" w:eastAsia="宋体" w:cs="Times New Roman"/>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满分；工艺不适用的检测项目不扣分；多项目合并分值计算的，若项目或频率不足</w:t>
            </w:r>
            <w:r>
              <w:rPr>
                <w:rFonts w:ascii="Times New Roman" w:hAnsi="Times New Roman" w:eastAsia="宋体" w:cs="Times New Roman"/>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t xml:space="preserve">的不给分。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污泥分析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泥分析可按现行国家或行业检验分析方法检测，得2分。缺少项目酌减（另见附表），每缺一项，扣0.10分。得分=实际检测频率×满分；工艺不适用的检测项目不扣分；多项目合并分值计算的，若项目或频率不足50%的不给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安全生产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的运行与维护、维修操作均按安全规章制度、有限空间作业制度、安全技术操作规程和文明生产制度等制度执行到位，坚持安全操作，文明生产，考核其内未发生人身伤亡事故，得2分；存在缺失项时项。</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劳动保护用品佩戴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工作人员上岗时，劳动保护用品均佩戴齐备，得1分；个别工作人员上岗劳动保护用品佩戴不齐的，每一人扣0.25分。扣完为止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突发性事故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应急处理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遇突发性事故在接到报告后可于30分钟内到达现场，查清原因并及时制定处理方案和进行事故应急处理，得2分；每发生一次突发性事故未及时处理，扣0.5分，扣完为止。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安全保障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安全管理机构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有健全的专职安全管理机构和具有发现安全隐患积极响应并能及时解决的机制和有效措施，得0.5分；存在缺失项时，每一项扣0.1分。扣完为止。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安全培训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安全培训要按年度、月度计划实施，并结合工作岗位对职工进行安全教育，安全教育台帐应齐全规范；企业法人、厂主管领导、安全负责人及安全管理人员应持有同级或上级颁发的有效安全培训证书，得0.5分；存在缺失项时，每缺失一项扣0.1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安全设备配置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岗位人员有必要的安全保护措施；必要场所有安全警示牌；有毒、有害场所配备有相应安全防护仪器、仪表、器具；人员职业防护到位；危险品、易燃、易爆品按规定管理，得0.5分；存在缺失项时，每一项扣0.1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安全管理规章制度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污水处理设施、泵站、管网均编制有安全规章制度、有限空间作业制度、安全技术操作规程和文明生产制度等制度，以及危险品、易燃、易爆品管理制度，得0.5分；存在缺失项时，每一项扣0.1分。扣完为止。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应急预案及演练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均制定有突发性事件应急预案，应急预案应包括水质、管道、电器、停电等突发事故及火灾、爆炸、中毒等重大安全事故的专项预案，并具有定期组织部门安全技术人员学习、培训和演练的机制与体系，并做到每年至少组织一次综合演练，一次专项演练，得1分；存在缺失项时，每一项扣0.2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（8分）</w:t>
            </w: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经济影响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评价项目运行对经济发展所带来的直接或间接的正负面影响情况。如对产业带动及区域经济影响等。无负面影响，得</w:t>
            </w:r>
            <w:r>
              <w:rPr>
                <w:rFonts w:ascii="Times New Roman" w:hAnsi="Times New Roman" w:eastAsia="宋体" w:cs="Times New Roman"/>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分；每发生一起负面影响区域经济的事件扣</w:t>
            </w:r>
            <w:r>
              <w:rPr>
                <w:rFonts w:ascii="Times New Roman" w:hAnsi="Times New Roman" w:eastAsia="宋体" w:cs="Times New Roman"/>
                <w:i w:val="0"/>
                <w:iCs w:val="0"/>
                <w:color w:val="000000"/>
                <w:sz w:val="22"/>
                <w:szCs w:val="22"/>
                <w:highlight w:val="none"/>
                <w:u w:val="none"/>
                <w:lang w:val="en-US" w:eastAsia="zh-CN" w:bidi="ar"/>
              </w:rPr>
              <w:t xml:space="preserve">0. 5</w:t>
            </w:r>
            <w:r>
              <w:rPr>
                <w:rFonts w:hint="eastAsia" w:ascii="宋体" w:hAnsi="宋体" w:eastAsia="宋体" w:cs="宋体"/>
                <w:i w:val="0"/>
                <w:iCs w:val="0"/>
                <w:color w:val="000000"/>
                <w:sz w:val="22"/>
                <w:szCs w:val="22"/>
                <w:highlight w:val="none"/>
                <w:u w:val="none"/>
                <w:lang w:val="en-US" w:eastAsia="zh-CN" w:bidi="ar"/>
              </w:rPr>
              <w:t xml:space="preserve">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生态影响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生态影响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评价项目运行对生态环境所带来的直接或间接的正负面影响情况。如节能减排、环保处罚等。项目公司每发生一起环保处罚扣0.5分。扣完为止。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废气排放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评价污水厂站的废气是否达标排放。达标排放得0.5分，有一个厂站未达标扣0.25分。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vMerge w:val="restart"/>
            <w:textDirection w:val="lrTb"/>
            <w:noWrap w:val="false"/>
          </w:tcPr>
          <w:p>
            <w:pPr>
              <w:pStyle w:val="8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噪声防治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评价有无噪声防治问题，不存在，得0.5分；若存在，但噪声已作有效防治处理，得0.5分；若存在且未作有效防治处理，不得分。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vMerge w:val="continue"/>
            <w:textDirection w:val="lrTb"/>
            <w:noWrap w:val="false"/>
          </w:tcPr>
          <w:p>
            <w:pPr>
              <w:pStyle w:val="844"/>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社会影响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运行对社会发展所带来的直接或间接的正负面影响情况。如新增就业、社会荣誉、重大诉讼、公众舆情与群体性事件等。每发生一起诉讼扣0.25分，重大诉讼扣0.5分；每发生一起公众舆情事件扣0.25分；每发生一起群体性事件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可持续性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应在发展、运行管理及财务状况等方面做好资源配置、潜在风险防范及沟通协调机制等保障可持续性措施。每一方面不满足要求0.25分。扣完为止。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满意度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政府相关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部门满意度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（0.75分）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考核期间，政府相关部门对项目公司或下辖机构每提出一起违章整改要求扣0.25分。扣完为止。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项目实施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机构满意度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（0.75分）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考核期间，实施机构对项目公司或下辖机构每提出一起违规整改要求扣0.10分。扣完为止。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社会公众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满意度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考核期间，社会公众对项目公司或下辖机构每提出一起投诉扣0.05分，每发生一起诉讼0.25分，扣完为止。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污水接管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配合溧阳市水利局做好污水接管工作，得1分；否则不得分。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tcW w:w="287"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（11.5分）</w:t>
            </w:r>
            <w:r>
              <w:rPr>
                <w:rFonts w:hint="eastAsia" w:ascii="宋体" w:hAnsi="宋体" w:eastAsia="宋体" w:cs="宋体"/>
                <w:i w:val="0"/>
                <w:iCs w:val="0"/>
                <w:color w:val="000000"/>
                <w:sz w:val="22"/>
                <w:szCs w:val="22"/>
                <w:highlight w:val="none"/>
                <w:u w:val="none"/>
              </w:rPr>
            </w:r>
            <w:r/>
          </w:p>
        </w:tc>
        <w:tc>
          <w:tcPr>
            <w:tcW w:w="41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组织管理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（5分）</w:t>
            </w: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机构组织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组织机制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评价项目运营管理实施及组织保障机制等情况。如组织架构、人员管理及决策审批流程与突发事件应急机制等，是否组建有党团工妇组织，并配备专兼职人员，每缺少一项，扣0.25分，扣完为止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不同规模不同工艺的污水处理厂人员配备应符合相应配备表，在规定范围内得1分；人员配备超过或少于1/10得0.75分，1/8得0.50分，1/6得0.25分，1/5不得分。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关键岗位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人员资格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关键岗位人员按相应配备表要求配置并全部按要求持证上岗，得1分；一人不按要求持证上岗，扣0.125分，扣完为止。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技术负责人资格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技术负责人具有中级以上职称，且具有5年以上相关工作经验，得0.25分，否则不得分。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5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运维制度管理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操作规程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的运行与维护、维修操作规程的编制和运行与维护、维修记录体系设计应健全、科学，完善、齐备，规范；操作规程应包括各工艺、工段安全操作规程、防护规程、生产管理制度、设备管理制度、化验室管理制度、岗位责任制度及岗位工作职责制度，还应具有内控制度及执行机制，得1分。每少一项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运维分析与管理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污水处理设施、泵站、管网有全面、详细的工艺运行管理规定、调控方案，应急预案，以及年、季度工艺运行分析报告制度和维修分析报告制度，得1分；每少一项扣0.25分，扣完为止。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70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生产计划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污水处理设施、泵站、管网均有科学、合理的年度、月度及必要的周生产计划，并具有有序实施的组织机制，得0.5分；否则不得分。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厂容厂貌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道路与照明</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各厂站道路畅通，照明齐全完好，得0.25分；否则不得分。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厂站环境与绿化</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污水处理设施厂站、泵房站点内、外的设备、场地、门窗环境保持整洁，绿化达标（可绿化面积均绿化），得0.25分；厂站、泵房内、外设备、场、地、门窗欠整洁和绿化存在欠缺时，每一项扣0.0.5分。扣完为止。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办公室</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办公室、操作室整洁有序，得0.25分；否则不得分。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91"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着装</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人员着装整齐，文明礼貌，得02.5分；否则不得分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保险管理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项目公司按有关规章制度和PPP合同规定，及时、足额购买相关保险，且保险时效符合要求，得0.50分；否则不得分。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运营期履约保函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项目公司应按项目合同12.2.2条运营期的履约保函要求，及时、足额缴纳运营期履约保函，且保函有效期应对运营期全覆盖。未提交扣2分，提交不及时或金额不足或未全覆盖的，扣1分。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财务管理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项目公司财务制度严谨、齐全，公司年度财务审计报告在每年度五月底前及时完成，得1分；否则不得分。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02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gridSpan w:val="2"/>
            <w:tcW w:w="7273"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运营、维护等相关资料的完整性、真实性以及归集整理的及时性。每一厂站应做到一厂站一年度一卷宗，每缺失一项独立卷宗扣0.25分；年度厂站运行记录、维修记录每缺少一项扣0.25分；每发生一次卷宗不完整或资料不真实事件扣0.25分；每一厂站每年3月底前未将前一年度运行记录、维修记录等运维资料及时归档，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信息公开与上报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（1分）</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信息公开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评价项目公司按照财金〔2017〕92号《关于规范政府和社会资本合作（PPP）综合信息平台项目库管理的通知》要求，履行信息公开义务的及时性与准确性。每发生一起逾三个月未及时准确履行信息公开义务事件，扣0.25分。扣完为止。</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信息上报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（0.25分）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按住建部、省住建厅要求准时填报污水处理信息系统，得0. 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tcW w:w="287"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264" w:type="dxa"/>
            <w:vAlign w:val="center"/>
            <w:vMerge w:val="continue"/>
            <w:textDirection w:val="lrTb"/>
            <w:noWrap w:val="false"/>
          </w:tcPr>
          <w:p>
            <w:pPr>
              <w:pStyle w:val="844"/>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年鉴资料上报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（0.25分）</w:t>
            </w:r>
            <w:r>
              <w:rPr>
                <w:rFonts w:hint="eastAsia" w:ascii="宋体" w:hAnsi="宋体" w:eastAsia="宋体" w:cs="宋体"/>
                <w:i w:val="0"/>
                <w:iCs w:val="0"/>
                <w:color w:val="000000"/>
                <w:sz w:val="22"/>
                <w:szCs w:val="22"/>
                <w:highlight w:val="none"/>
                <w:u w:val="none"/>
              </w:rPr>
            </w:r>
            <w:r/>
          </w:p>
        </w:tc>
        <w:tc>
          <w:tcPr>
            <w:tcW w:w="2017" w:type="dxa"/>
            <w:vAlign w:val="center"/>
            <w:textDirection w:val="lrTb"/>
            <w:noWrap w:val="false"/>
          </w:tcPr>
          <w:p>
            <w:pPr>
              <w:pStyle w:val="844"/>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每年按时按要求上报排水统计年鉴资料，得0.25分；否则不得分。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287"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c>
          <w:tcPr>
            <w:gridSpan w:val="4"/>
            <w:tcW w:w="9537"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100分</w:t>
            </w:r>
            <w:r>
              <w:rPr>
                <w:rFonts w:hint="eastAsia" w:ascii="宋体" w:hAnsi="宋体" w:eastAsia="宋体" w:cs="宋体"/>
                <w:i w:val="0"/>
                <w:iCs w:val="0"/>
                <w:color w:val="000000"/>
                <w:sz w:val="22"/>
                <w:szCs w:val="22"/>
                <w:highlight w:val="none"/>
                <w:u w:val="none"/>
              </w:rPr>
            </w:r>
            <w:r/>
          </w:p>
        </w:tc>
        <w:tc>
          <w:tcPr>
            <w:tcW w:w="896"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9" w:type="dxa"/>
            <w:vAlign w:val="center"/>
            <w:textDirection w:val="lrTb"/>
            <w:noWrap w:val="false"/>
          </w:tcPr>
          <w:p>
            <w:pPr>
              <w:pStyle w:val="844"/>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44"/>
        <w:jc w:val="center"/>
        <w:spacing w:line="360" w:lineRule="auto"/>
        <w:rPr>
          <w:b/>
          <w:color w:val="000000"/>
          <w:sz w:val="36"/>
          <w:szCs w:val="36"/>
          <w:highlight w:val="none"/>
        </w:rPr>
        <w:outlineLvl w:val="0"/>
      </w:pPr>
      <w:r>
        <w:rPr>
          <w:b/>
          <w:color w:val="000000"/>
          <w:sz w:val="36"/>
          <w:szCs w:val="36"/>
          <w:highlight w:val="none"/>
        </w:rPr>
      </w:r>
      <w:r/>
    </w:p>
    <w:p>
      <w:pPr>
        <w:pStyle w:val="844"/>
        <w:jc w:val="center"/>
        <w:spacing w:line="360" w:lineRule="auto"/>
        <w:rPr>
          <w:b/>
          <w:color w:val="000000"/>
          <w:sz w:val="36"/>
          <w:szCs w:val="36"/>
          <w:highlight w:val="none"/>
        </w:rPr>
        <w:sectPr>
          <w:footnotePr/>
          <w:endnotePr/>
          <w:type w:val="nextPage"/>
          <w:pgSz w:w="16840" w:h="11907" w:orient="landscape"/>
          <w:pgMar w:top="1701" w:right="1417" w:bottom="1134" w:left="1417" w:header="851" w:footer="850" w:gutter="0"/>
          <w:cols w:num="1" w:sep="0" w:space="1701" w:equalWidth="1"/>
          <w:docGrid w:linePitch="360"/>
        </w:sectPr>
        <w:outlineLvl w:val="0"/>
      </w:pPr>
      <w:r>
        <w:rPr>
          <w:b/>
          <w:color w:val="000000"/>
          <w:sz w:val="36"/>
          <w:szCs w:val="36"/>
          <w:highlight w:val="none"/>
        </w:rPr>
      </w:r>
      <w:r/>
    </w:p>
    <w:p>
      <w:pPr>
        <w:pStyle w:val="856"/>
        <w:tabs>
          <w:tab w:val="left" w:pos="567" w:leader="none"/>
        </w:tabs>
      </w:pPr>
      <w:r/>
      <w:r/>
    </w:p>
    <w:p>
      <w:pPr>
        <w:pStyle w:val="844"/>
        <w:jc w:val="center"/>
        <w:spacing w:line="360" w:lineRule="auto"/>
        <w:rPr>
          <w:b/>
          <w:color w:val="000000"/>
          <w:sz w:val="36"/>
          <w:szCs w:val="36"/>
          <w:highlight w:val="none"/>
        </w:rPr>
        <w:outlineLvl w:val="0"/>
      </w:pPr>
      <w:r>
        <w:rPr>
          <w:b/>
          <w:color w:val="000000"/>
          <w:sz w:val="36"/>
          <w:szCs w:val="36"/>
          <w:highlight w:val="none"/>
        </w:rPr>
      </w:r>
      <w:r/>
    </w:p>
    <w:p>
      <w:pPr>
        <w:pStyle w:val="844"/>
        <w:numPr>
          <w:ilvl w:val="0"/>
          <w:numId w:val="0"/>
        </w:numPr>
        <w:contextualSpacing/>
        <w:ind w:firstLine="420"/>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四、其他要求</w:t>
      </w:r>
      <w:r>
        <w:rPr>
          <w:rFonts w:hint="eastAsia" w:ascii="宋体" w:hAnsi="宋体" w:eastAsia="宋体" w:cs="宋体"/>
          <w:b/>
          <w:color w:val="000000"/>
          <w:sz w:val="24"/>
          <w:szCs w:val="24"/>
          <w:highlight w:val="none"/>
          <w:lang w:val="en-US" w:eastAsia="zh-CN" w:bidi="ar-SA"/>
        </w:rPr>
      </w:r>
      <w:r/>
    </w:p>
    <w:p>
      <w:pPr>
        <w:pStyle w:val="844"/>
        <w:ind w:firstLine="480"/>
        <w:jc w:val="both"/>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4.1、</w:t>
      </w:r>
      <w:r>
        <w:rPr>
          <w:rFonts w:hint="eastAsia" w:ascii="Times New Roman" w:hAnsi="Times New Roman" w:eastAsia="宋体" w:cs="Times New Roman"/>
          <w:b w:val="0"/>
          <w:bCs w:val="0"/>
          <w:color w:val="000000"/>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sz w:val="24"/>
        </w:rPr>
        <w:t xml:space="preserve">项目理解及分析方案</w:t>
      </w:r>
      <w:r>
        <w:rPr>
          <w:rFonts w:hint="eastAsia" w:ascii="Times New Roman" w:hAnsi="Times New Roman" w:eastAsia="宋体" w:cs="Times New Roman"/>
          <w:b w:val="0"/>
          <w:bCs w:val="0"/>
          <w:color w:val="000000"/>
          <w:sz w:val="24"/>
          <w:szCs w:val="24"/>
          <w:highlight w:val="none"/>
          <w:lang w:val="en-US" w:eastAsia="zh-CN" w:bidi="ar-SA"/>
        </w:rPr>
        <w:t xml:space="preserve">（</w:t>
      </w:r>
      <w:r>
        <w:rPr>
          <w:rFonts w:hint="eastAsia" w:ascii="Times New Roman" w:hAnsi="Times New Roman" w:eastAsia="宋体" w:cs="Times New Roman"/>
          <w:sz w:val="24"/>
        </w:rPr>
        <w:t xml:space="preserve">①项目背景、政策、意义的解读</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②项目需求的认识与分析</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③项目重点难点分析</w:t>
      </w:r>
      <w:r>
        <w:rPr>
          <w:rFonts w:hint="eastAsia" w:ascii="Times New Roman" w:hAnsi="Times New Roman" w:eastAsia="宋体" w:cs="Times New Roman"/>
          <w:b w:val="0"/>
          <w:bCs w:val="0"/>
          <w:color w:val="000000"/>
          <w:sz w:val="24"/>
          <w:szCs w:val="24"/>
          <w:highlight w:val="none"/>
          <w:lang w:val="en-US" w:eastAsia="zh-CN" w:bidi="ar-SA"/>
        </w:rPr>
        <w:t xml:space="preserve">）、</w:t>
      </w:r>
      <w:r>
        <w:rPr>
          <w:rFonts w:hint="eastAsia" w:ascii="Times New Roman" w:hAnsi="Times New Roman" w:eastAsia="宋体" w:cs="Times New Roman"/>
          <w:sz w:val="24"/>
        </w:rPr>
        <w:t xml:space="preserve">考核执行方案</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sz w:val="24"/>
        </w:rPr>
        <w:t xml:space="preserve">①项目实施总体思路</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②项目各阶段的工作方案</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③项目进度安排及应对措施</w:t>
      </w:r>
      <w:r>
        <w:rPr>
          <w:rFonts w:hint="eastAsia" w:ascii="宋体" w:hAnsi="宋体" w:eastAsia="宋体" w:cs="宋体"/>
          <w:color w:val="000000"/>
          <w:sz w:val="24"/>
          <w:highlight w:val="none"/>
          <w:lang w:val="en-US" w:eastAsia="zh-CN"/>
        </w:rPr>
        <w:t xml:space="preserve">）、</w:t>
      </w:r>
      <w:r>
        <w:rPr>
          <w:rFonts w:hint="eastAsia"/>
          <w:sz w:val="24"/>
        </w:rPr>
        <w:t xml:space="preserve">服务质量保障体系及措施</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sz w:val="24"/>
        </w:rPr>
        <w:t xml:space="preserve">①服务质量保障体系</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②服务质量保障措施</w:t>
      </w:r>
      <w:r>
        <w:rPr>
          <w:rFonts w:hint="eastAsia" w:ascii="宋体" w:hAnsi="宋体" w:eastAsia="宋体" w:cs="宋体"/>
          <w:color w:val="000000"/>
          <w:sz w:val="24"/>
          <w:highlight w:val="none"/>
          <w:lang w:val="en-US" w:eastAsia="zh-CN"/>
        </w:rPr>
        <w:t xml:space="preserve">）、</w:t>
      </w:r>
      <w:r>
        <w:rPr>
          <w:rFonts w:hint="eastAsia" w:ascii="宋体" w:hAnsi="宋体"/>
          <w:sz w:val="24"/>
        </w:rPr>
        <w:t xml:space="preserve">安全制度体系</w:t>
      </w:r>
      <w:r>
        <w:rPr>
          <w:rFonts w:hint="eastAsia" w:ascii="Times New Roman" w:hAnsi="Times New Roman" w:eastAsia="宋体" w:cs="Times New Roman"/>
          <w:sz w:val="24"/>
        </w:rPr>
        <w:t xml:space="preserve">及措施</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sz w:val="24"/>
        </w:rPr>
        <w:t xml:space="preserve">①</w:t>
      </w:r>
      <w:r>
        <w:rPr>
          <w:rFonts w:hint="eastAsia" w:ascii="宋体" w:hAnsi="宋体" w:eastAsia="宋体" w:cs="Times New Roman"/>
          <w:sz w:val="24"/>
        </w:rPr>
        <w:t xml:space="preserve">安全制度体系</w:t>
      </w:r>
      <w:r>
        <w:rPr>
          <w:rFonts w:hint="eastAsia" w:ascii="Times New Roman" w:hAnsi="Times New Roman" w:eastAsia="宋体" w:cs="Times New Roman"/>
          <w:sz w:val="24"/>
          <w:lang w:eastAsia="zh-CN"/>
        </w:rPr>
        <w:t xml:space="preserve">、</w:t>
      </w:r>
      <w:r>
        <w:rPr>
          <w:rFonts w:hint="eastAsia" w:ascii="宋体" w:hAnsi="宋体" w:eastAsia="宋体" w:cs="Times New Roman"/>
          <w:sz w:val="24"/>
        </w:rPr>
        <w:t xml:space="preserve">②</w:t>
      </w:r>
      <w:r>
        <w:rPr>
          <w:rFonts w:hint="eastAsia" w:ascii="宋体" w:hAnsi="宋体" w:eastAsia="宋体" w:cs="Times New Roman"/>
          <w:sz w:val="24"/>
          <w:lang w:val="en-US" w:eastAsia="zh-CN"/>
        </w:rPr>
        <w:t xml:space="preserve">安全管理</w:t>
      </w:r>
      <w:r>
        <w:rPr>
          <w:rFonts w:hint="eastAsia" w:ascii="宋体" w:hAnsi="宋体" w:eastAsia="宋体" w:cs="Times New Roman"/>
          <w:sz w:val="24"/>
        </w:rPr>
        <w:t xml:space="preserve">保障措施</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844"/>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供应商应提供企业实力相关材料（以往承接类似项目业绩材料）；</w:t>
      </w:r>
      <w:r>
        <w:rPr>
          <w:rFonts w:hint="eastAsia" w:ascii="Times New Roman" w:hAnsi="Times New Roman" w:eastAsia="宋体" w:cs="Times New Roman"/>
          <w:b w:val="0"/>
          <w:bCs w:val="0"/>
          <w:color w:val="000000"/>
          <w:sz w:val="24"/>
          <w:szCs w:val="24"/>
          <w:highlight w:val="none"/>
          <w:lang w:val="en-US" w:eastAsia="zh-CN" w:bidi="ar-SA"/>
        </w:rPr>
      </w:r>
      <w:r/>
    </w:p>
    <w:p>
      <w:pPr>
        <w:pStyle w:val="844"/>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供应商应提供为保障本项目实施所需人员的证明材料。</w:t>
      </w:r>
      <w:r>
        <w:rPr>
          <w:rFonts w:hint="eastAsia" w:ascii="Times New Roman" w:hAnsi="Times New Roman" w:eastAsia="宋体" w:cs="Times New Roman"/>
          <w:b w:val="0"/>
          <w:bCs w:val="0"/>
          <w:color w:val="000000"/>
          <w:sz w:val="24"/>
          <w:szCs w:val="24"/>
          <w:highlight w:val="none"/>
          <w:lang w:val="en-US" w:eastAsia="zh-CN" w:bidi="ar-SA"/>
        </w:rPr>
      </w:r>
      <w:r/>
    </w:p>
    <w:p>
      <w:pPr>
        <w:pStyle w:val="844"/>
        <w:contextualSpacing/>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注：上述内容无需在《偏离表》中标明是否偏离。</w:t>
      </w:r>
      <w:r>
        <w:rPr>
          <w:rFonts w:ascii="Times New Roman" w:hAnsi="Times New Roman" w:eastAsia="宋体" w:cs="Times New Roman"/>
          <w:color w:val="000000"/>
          <w:sz w:val="24"/>
          <w:szCs w:val="24"/>
          <w:highlight w:val="none"/>
          <w:lang w:val="en-US" w:eastAsia="zh-CN"/>
        </w:rPr>
      </w:r>
      <w:r/>
    </w:p>
    <w:p>
      <w:pPr>
        <w:pStyle w:val="844"/>
        <w:ind w:firstLine="480"/>
        <w:jc w:val="both"/>
        <w:spacing w:line="360" w:lineRule="auto"/>
        <w:rPr>
          <w:b/>
          <w:color w:val="000000"/>
          <w:sz w:val="36"/>
          <w:szCs w:val="36"/>
          <w:highlight w:val="none"/>
        </w:rPr>
        <w:outlineLvl w:val="0"/>
      </w:pPr>
      <w:r>
        <w:rPr>
          <w:rFonts w:hint="eastAsia" w:ascii="Times New Roman" w:hAnsi="Times New Roman" w:eastAsia="宋体" w:cs="Times New Roman"/>
          <w:color w:val="000000"/>
          <w:sz w:val="24"/>
          <w:szCs w:val="24"/>
          <w:highlight w:val="none"/>
          <w:lang w:val="en-US" w:eastAsia="zh-CN" w:bidi="ar-SA"/>
        </w:rPr>
        <w:t xml:space="preserve">4.2、按照《政府采购促进中小企业发展管理办法》（财库</w:t>
      </w:r>
      <w:r>
        <w:rPr>
          <w:rFonts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w:t>
      </w:r>
      <w:r>
        <w:rPr>
          <w:rFonts w:hint="eastAsia" w:ascii="Times New Roman" w:hAnsi="Times New Roman" w:eastAsia="宋体" w:cs="Times New Roman"/>
          <w:b w:val="0"/>
          <w:bCs w:val="0"/>
          <w:color w:val="000000"/>
          <w:sz w:val="24"/>
          <w:szCs w:val="24"/>
          <w:highlight w:val="none"/>
          <w:lang w:val="en-US" w:eastAsia="zh-CN" w:bidi="ar-SA"/>
        </w:rPr>
        <w:t xml:space="preserve">求，采购人应当面向中小企业预留采购份额，本项目面向中小企业预留份额</w:t>
      </w:r>
      <w:r>
        <w:rPr>
          <w:rFonts w:hint="eastAsia" w:ascii="宋体" w:hAnsi="宋体" w:eastAsia="宋体" w:cs="Times New Roman"/>
          <w:b w:val="0"/>
          <w:bCs w:val="0"/>
          <w:color w:val="000000"/>
          <w:sz w:val="24"/>
          <w:szCs w:val="24"/>
          <w:highlight w:val="none"/>
          <w:u w:val="single"/>
          <w:lang w:val="en-US" w:eastAsia="zh-CN" w:bidi="ar-SA"/>
        </w:rPr>
        <w:t xml:space="preserve">100</w:t>
      </w:r>
      <w:r>
        <w:rPr>
          <w:rFonts w:hint="eastAsia" w:ascii="Times New Roman" w:hAnsi="Times New Roman" w:eastAsia="宋体" w:cs="Times New Roman"/>
          <w:b w:val="0"/>
          <w:bCs w:val="0"/>
          <w:color w:val="000000"/>
          <w:sz w:val="24"/>
          <w:szCs w:val="24"/>
          <w:highlight w:val="none"/>
          <w:lang w:val="en-US" w:eastAsia="zh-CN" w:bidi="ar-SA"/>
        </w:rPr>
        <w:t xml:space="preserve"> %。</w:t>
      </w:r>
      <w:r>
        <w:rPr>
          <w:b/>
          <w:color w:val="000000"/>
          <w:sz w:val="36"/>
          <w:szCs w:val="36"/>
          <w:highlight w:val="none"/>
        </w:rPr>
      </w:r>
      <w:r/>
    </w:p>
    <w:p>
      <w:pPr>
        <w:pStyle w:val="847"/>
        <w:rPr>
          <w:rFonts w:hint="eastAsia"/>
          <w:color w:val="000000"/>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color w:val="000000"/>
          <w:highlight w:val="none"/>
        </w:rPr>
      </w:r>
      <w:r/>
    </w:p>
    <w:p>
      <w:pPr>
        <w:pStyle w:val="844"/>
        <w:jc w:val="center"/>
        <w:spacing w:line="360" w:lineRule="auto"/>
        <w:rPr>
          <w:b/>
          <w:color w:val="000000"/>
          <w:sz w:val="36"/>
          <w:szCs w:val="36"/>
          <w:highlight w:val="none"/>
        </w:rPr>
        <w:outlineLvl w:val="0"/>
      </w:pPr>
      <w:r>
        <w:rPr>
          <w:b/>
          <w:color w:val="000000"/>
          <w:sz w:val="36"/>
          <w:szCs w:val="36"/>
          <w:highlight w:val="none"/>
        </w:rPr>
        <w:t xml:space="preserve">第五章   合同草案条款</w:t>
      </w:r>
      <w:r>
        <w:rPr>
          <w:b/>
          <w:color w:val="000000"/>
          <w:sz w:val="36"/>
          <w:szCs w:val="36"/>
          <w:highlight w:val="none"/>
        </w:rPr>
      </w:r>
      <w:r/>
    </w:p>
    <w:p>
      <w:pPr>
        <w:pStyle w:val="883"/>
        <w:spacing w:line="460" w:lineRule="exact"/>
        <w:rPr>
          <w:rFonts w:hAnsi="宋体"/>
          <w:b/>
          <w:color w:val="000000"/>
          <w:sz w:val="24"/>
          <w:szCs w:val="24"/>
          <w:highlight w:val="none"/>
        </w:rPr>
      </w:pPr>
      <w:r>
        <w:rPr>
          <w:rFonts w:hAnsi="宋体"/>
          <w:b/>
          <w:color w:val="000000"/>
          <w:sz w:val="24"/>
          <w:szCs w:val="24"/>
          <w:highlight w:val="none"/>
        </w:rPr>
        <w:t xml:space="preserve">甲方（采购人）:                          签订地点：</w:t>
      </w:r>
      <w:r>
        <w:rPr>
          <w:rFonts w:hAnsi="宋体"/>
          <w:b/>
          <w:color w:val="000000"/>
          <w:sz w:val="24"/>
          <w:szCs w:val="24"/>
          <w:highlight w:val="none"/>
          <w:u w:val="single"/>
        </w:rPr>
        <w:t xml:space="preserve">溧阳</w:t>
      </w:r>
      <w:r>
        <w:rPr>
          <w:rFonts w:hAnsi="宋体"/>
          <w:b/>
          <w:color w:val="000000"/>
          <w:sz w:val="24"/>
          <w:szCs w:val="24"/>
          <w:highlight w:val="none"/>
        </w:rPr>
      </w:r>
      <w:r/>
    </w:p>
    <w:p>
      <w:pPr>
        <w:pStyle w:val="883"/>
        <w:spacing w:line="460" w:lineRule="exact"/>
        <w:rPr>
          <w:rFonts w:hAnsi="宋体"/>
          <w:b/>
          <w:color w:val="000000"/>
          <w:sz w:val="24"/>
          <w:szCs w:val="24"/>
          <w:highlight w:val="none"/>
          <w:u w:val="single"/>
        </w:rPr>
      </w:pPr>
      <w:r>
        <w:rPr>
          <w:rFonts w:hAnsi="宋体"/>
          <w:b/>
          <w:color w:val="000000"/>
          <w:sz w:val="24"/>
          <w:szCs w:val="24"/>
          <w:highlight w:val="none"/>
        </w:rPr>
        <w:t xml:space="preserve">乙方（成交人）:                          签订时间: </w:t>
      </w:r>
      <w:r>
        <w:rPr>
          <w:rFonts w:hAnsi="宋体"/>
          <w:b/>
          <w:color w:val="000000"/>
          <w:sz w:val="24"/>
          <w:szCs w:val="24"/>
          <w:highlight w:val="none"/>
          <w:u w:val="single"/>
        </w:rPr>
        <w:t xml:space="preserve">202</w:t>
      </w:r>
      <w:r>
        <w:rPr>
          <w:rFonts w:hint="eastAsia" w:hAnsi="宋体"/>
          <w:b/>
          <w:color w:val="000000"/>
          <w:sz w:val="24"/>
          <w:szCs w:val="24"/>
          <w:highlight w:val="none"/>
          <w:u w:val="single"/>
          <w:lang w:val="en-US" w:eastAsia="zh-CN"/>
        </w:rPr>
        <w:t xml:space="preserve">6</w:t>
      </w:r>
      <w:r>
        <w:rPr>
          <w:rFonts w:hAnsi="宋体"/>
          <w:b/>
          <w:color w:val="000000"/>
          <w:sz w:val="24"/>
          <w:szCs w:val="24"/>
          <w:highlight w:val="none"/>
          <w:u w:val="single"/>
        </w:rPr>
        <w:t xml:space="preserve">年</w:t>
      </w:r>
      <w:r>
        <w:rPr>
          <w:rFonts w:hint="eastAsia" w:hAnsi="宋体"/>
          <w:b/>
          <w:color w:val="000000"/>
          <w:sz w:val="24"/>
          <w:szCs w:val="24"/>
          <w:highlight w:val="none"/>
          <w:u w:val="single"/>
          <w:lang w:val="en-US" w:eastAsia="zh-CN"/>
        </w:rPr>
        <w:t xml:space="preserve">  </w:t>
      </w:r>
      <w:r>
        <w:rPr>
          <w:rFonts w:hAnsi="宋体"/>
          <w:b/>
          <w:color w:val="000000"/>
          <w:sz w:val="24"/>
          <w:szCs w:val="24"/>
          <w:highlight w:val="none"/>
          <w:u w:val="single"/>
        </w:rPr>
        <w:t xml:space="preserve">月</w:t>
      </w:r>
      <w:r>
        <w:rPr>
          <w:rFonts w:hint="eastAsia" w:hAnsi="宋体"/>
          <w:b/>
          <w:color w:val="000000"/>
          <w:sz w:val="24"/>
          <w:szCs w:val="24"/>
          <w:highlight w:val="none"/>
          <w:u w:val="single"/>
          <w:lang w:val="en-US" w:eastAsia="zh-CN"/>
        </w:rPr>
        <w:t xml:space="preserve">  </w:t>
      </w:r>
      <w:r>
        <w:rPr>
          <w:rFonts w:hAnsi="宋体"/>
          <w:b/>
          <w:color w:val="000000"/>
          <w:sz w:val="24"/>
          <w:szCs w:val="24"/>
          <w:highlight w:val="none"/>
          <w:u w:val="single"/>
        </w:rPr>
        <w:t xml:space="preserve">日</w:t>
      </w:r>
      <w:r>
        <w:rPr>
          <w:rFonts w:hAnsi="宋体"/>
          <w:b/>
          <w:color w:val="000000"/>
          <w:sz w:val="24"/>
          <w:szCs w:val="24"/>
          <w:highlight w:val="none"/>
          <w:u w:val="single"/>
        </w:rPr>
      </w:r>
      <w:r/>
    </w:p>
    <w:p>
      <w:pPr>
        <w:pStyle w:val="883"/>
        <w:spacing w:line="460" w:lineRule="exact"/>
        <w:rPr>
          <w:rFonts w:hAnsi="宋体"/>
          <w:color w:val="000000"/>
          <w:sz w:val="24"/>
          <w:szCs w:val="24"/>
          <w:highlight w:val="none"/>
        </w:rPr>
      </w:pPr>
      <w:r>
        <w:rPr>
          <w:rFonts w:hAnsi="宋体"/>
          <w:color w:val="000000"/>
          <w:sz w:val="24"/>
          <w:szCs w:val="24"/>
          <w:highlight w:val="none"/>
        </w:rPr>
      </w:r>
      <w:r/>
    </w:p>
    <w:p>
      <w:pPr>
        <w:pStyle w:val="883"/>
        <w:ind w:firstLine="480"/>
        <w:spacing w:line="460" w:lineRule="exact"/>
        <w:rPr>
          <w:rFonts w:hAnsi="宋体"/>
          <w:color w:val="000000"/>
          <w:sz w:val="24"/>
          <w:szCs w:val="24"/>
          <w:highlight w:val="none"/>
        </w:rPr>
      </w:pPr>
      <w:r>
        <w:rPr>
          <w:rFonts w:hAnsi="宋体"/>
          <w:color w:val="000000"/>
          <w:sz w:val="24"/>
          <w:szCs w:val="24"/>
          <w:highlight w:val="none"/>
        </w:rPr>
        <w:t xml:space="preserve">依据《中华人民共和国政府采购法》</w:t>
      </w:r>
      <w:r>
        <w:rPr>
          <w:rFonts w:hint="eastAsia" w:hAnsi="宋体"/>
          <w:color w:val="000000"/>
          <w:sz w:val="24"/>
          <w:szCs w:val="24"/>
          <w:highlight w:val="none"/>
          <w:lang w:eastAsia="zh-CN"/>
        </w:rPr>
        <w:t xml:space="preserve">、</w:t>
      </w:r>
      <w:r>
        <w:rPr>
          <w:rFonts w:hAnsi="宋体"/>
          <w:color w:val="000000"/>
          <w:sz w:val="24"/>
          <w:szCs w:val="24"/>
          <w:highlight w:val="none"/>
        </w:rPr>
        <w:t xml:space="preserve">《中华人民共和国民法典》以及有关法律、法规的规定，遵循平等、自愿、公平和诚实信用的原则，甲乙双方经协商一致，订立本合同。</w:t>
      </w:r>
      <w:r>
        <w:rPr>
          <w:rFonts w:hAnsi="宋体"/>
          <w:color w:val="000000"/>
          <w:sz w:val="24"/>
          <w:szCs w:val="24"/>
          <w:highlight w:val="none"/>
        </w:rPr>
      </w:r>
      <w:r/>
    </w:p>
    <w:p>
      <w:pPr>
        <w:pStyle w:val="844"/>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一、项目清单及合同金额（详见报价表，附后）</w:t>
      </w:r>
      <w:r>
        <w:rPr>
          <w:rFonts w:ascii="宋体" w:hAnsi="宋体" w:cs="宋体"/>
          <w:color w:val="000000"/>
          <w:sz w:val="24"/>
          <w:highlight w:val="none"/>
        </w:rPr>
      </w:r>
      <w:r/>
    </w:p>
    <w:p>
      <w:pPr>
        <w:pStyle w:val="844"/>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 项目编号：</w:t>
      </w:r>
      <w:r>
        <w:rPr>
          <w:rFonts w:ascii="宋体" w:hAnsi="宋体" w:cs="宋体"/>
          <w:color w:val="000000"/>
          <w:sz w:val="24"/>
          <w:highlight w:val="none"/>
        </w:rPr>
        <w:t xml:space="preserve"> </w:t>
      </w:r>
      <w:r>
        <w:rPr>
          <w:rFonts w:ascii="宋体" w:hAnsi="宋体" w:cs="宋体"/>
          <w:color w:val="000000"/>
          <w:sz w:val="24"/>
          <w:highlight w:val="none"/>
        </w:rPr>
      </w:r>
      <w:r/>
    </w:p>
    <w:p>
      <w:pPr>
        <w:pStyle w:val="844"/>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 项目名称： </w:t>
      </w:r>
      <w:r>
        <w:rPr>
          <w:rFonts w:ascii="宋体" w:hAnsi="宋体" w:cs="宋体"/>
          <w:color w:val="000000"/>
          <w:sz w:val="24"/>
          <w:highlight w:val="none"/>
        </w:rPr>
      </w:r>
      <w:r/>
    </w:p>
    <w:p>
      <w:pPr>
        <w:pStyle w:val="844"/>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 具体内容：。</w:t>
      </w:r>
      <w:r>
        <w:rPr>
          <w:rFonts w:ascii="宋体" w:hAnsi="宋体" w:cs="宋体"/>
          <w:color w:val="000000"/>
          <w:sz w:val="24"/>
          <w:highlight w:val="none"/>
        </w:rPr>
      </w:r>
      <w:r/>
    </w:p>
    <w:p>
      <w:pPr>
        <w:pStyle w:val="844"/>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 合同金额：人民币</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元(大写：</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44"/>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合同金额应为完成本项目服务所需的全部费用。包括但不限于：人工费、管理费、论证费、验收费、评审费、培训费、交通费、住宿费、油耗、五金、保险、福利、利润、各种税费、不可预见费用等一切费用。</w:t>
      </w:r>
      <w:r>
        <w:rPr>
          <w:rFonts w:hint="eastAsia" w:ascii="宋体" w:hAnsi="宋体" w:cs="宋体"/>
          <w:b/>
          <w:color w:val="000000"/>
          <w:sz w:val="24"/>
          <w:highlight w:val="none"/>
        </w:rPr>
      </w:r>
      <w:r/>
    </w:p>
    <w:p>
      <w:pPr>
        <w:pStyle w:val="844"/>
        <w:ind w:firstLine="480"/>
        <w:spacing w:line="500" w:lineRule="exact"/>
        <w:rPr>
          <w:rFonts w:hint="eastAsia" w:ascii="宋体" w:hAnsi="宋体" w:cs="宋体"/>
          <w:b/>
          <w:color w:val="000000"/>
          <w:sz w:val="24"/>
          <w:highlight w:val="none"/>
        </w:rPr>
      </w:pPr>
      <w:r>
        <w:rPr>
          <w:rFonts w:ascii="宋体" w:hAnsi="宋体" w:eastAsia="宋体" w:cs="宋体"/>
          <w:color w:val="000000"/>
          <w:sz w:val="24"/>
          <w:szCs w:val="24"/>
          <w:highlight w:val="none"/>
        </w:rPr>
        <w:t xml:space="preserve">除本合同明确约定情形外，甲方不再向乙方支付任何其他费用。</w:t>
      </w:r>
      <w:r>
        <w:rPr>
          <w:rFonts w:hint="eastAsia" w:ascii="宋体" w:hAnsi="宋体" w:cs="宋体"/>
          <w:b/>
          <w:color w:val="000000"/>
          <w:sz w:val="24"/>
          <w:highlight w:val="none"/>
        </w:rPr>
      </w:r>
      <w:r/>
    </w:p>
    <w:p>
      <w:pPr>
        <w:pStyle w:val="84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 合同履行期限：</w:t>
      </w:r>
      <w:r>
        <w:rPr>
          <w:rFonts w:hint="eastAsia" w:ascii="宋体" w:hAnsi="宋体"/>
          <w:color w:val="000000"/>
          <w:sz w:val="24"/>
          <w:highlight w:val="none"/>
          <w:lang w:val="en-US" w:eastAsia="zh-CN"/>
        </w:rPr>
        <w:t xml:space="preserve">18个月</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日至</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w:t>
      </w:r>
      <w:r>
        <w:rPr>
          <w:rFonts w:hint="eastAsia" w:ascii="宋体" w:hAnsi="宋体" w:cs="宋体"/>
          <w:color w:val="000000"/>
          <w:sz w:val="24"/>
          <w:highlight w:val="none"/>
        </w:rPr>
      </w:r>
      <w:r/>
    </w:p>
    <w:p>
      <w:pPr>
        <w:pStyle w:val="844"/>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highlight w:val="none"/>
          <w:lang w:val="en-US" w:eastAsia="zh-CN"/>
        </w:rPr>
        <w:t xml:space="preserve">结算方式及</w:t>
      </w:r>
      <w:r>
        <w:rPr>
          <w:rFonts w:hint="eastAsia" w:ascii="宋体" w:hAnsi="宋体" w:cs="宋体"/>
          <w:color w:val="000000"/>
          <w:sz w:val="24"/>
          <w:highlight w:val="none"/>
        </w:rPr>
        <w:t xml:space="preserve">付款方式</w:t>
      </w:r>
      <w:r>
        <w:rPr>
          <w:rFonts w:ascii="宋体" w:hAnsi="宋体" w:cs="宋体"/>
          <w:color w:val="000000"/>
          <w:sz w:val="24"/>
          <w:highlight w:val="none"/>
        </w:rPr>
      </w:r>
      <w:r/>
    </w:p>
    <w:p>
      <w:pPr>
        <w:pStyle w:val="844"/>
        <w:ind w:firstLine="482"/>
        <w:spacing w:line="5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本项目采用固定总价，按成交供应商的成交价一次性包干，</w:t>
      </w:r>
      <w:r>
        <w:rPr>
          <w:rFonts w:hint="eastAsia" w:ascii="宋体" w:hAnsi="宋体" w:cs="宋体"/>
          <w:b/>
          <w:color w:val="000000"/>
          <w:sz w:val="24"/>
          <w:highlight w:val="none"/>
          <w:lang w:val="en-US" w:eastAsia="zh-CN"/>
        </w:rPr>
        <w:t xml:space="preserve">除合同约定扣款、违约扣款情形外，</w:t>
      </w:r>
      <w:r>
        <w:rPr>
          <w:rFonts w:hint="eastAsia" w:ascii="宋体" w:hAnsi="宋体" w:eastAsia="宋体" w:cs="宋体"/>
          <w:b/>
          <w:color w:val="000000"/>
          <w:sz w:val="24"/>
          <w:highlight w:val="none"/>
        </w:rPr>
        <w:t xml:space="preserve">结算不做任何调整。</w:t>
      </w:r>
      <w:r>
        <w:rPr>
          <w:rFonts w:ascii="宋体" w:hAnsi="宋体" w:eastAsia="宋体" w:cs="宋体"/>
          <w:b/>
          <w:color w:val="000000"/>
          <w:sz w:val="24"/>
          <w:highlight w:val="none"/>
        </w:rPr>
      </w:r>
      <w:r/>
    </w:p>
    <w:p>
      <w:pPr>
        <w:pStyle w:val="844"/>
        <w:ind w:firstLine="482"/>
        <w:spacing w:line="500" w:lineRule="exact"/>
        <w:rPr>
          <w:rFonts w:hint="eastAsia" w:ascii="宋体" w:hAnsi="宋体" w:cs="宋体"/>
          <w:b w:val="0"/>
          <w:bCs/>
          <w:color w:val="000000"/>
          <w:sz w:val="24"/>
          <w:highlight w:val="none"/>
        </w:rPr>
      </w:pPr>
      <w:r>
        <w:rPr>
          <w:rFonts w:hint="eastAsia" w:ascii="宋体" w:hAnsi="宋体" w:eastAsia="宋体" w:cs="宋体"/>
          <w:b/>
          <w:bCs w:val="0"/>
          <w:color w:val="000000"/>
          <w:sz w:val="24"/>
          <w:highlight w:val="none"/>
          <w:lang w:val="en-US" w:eastAsia="zh-CN"/>
        </w:rPr>
        <w:t xml:space="preserve">合同签订后，出具2026年年度考核报告并通过政府审批后一个月内支付合同价款的30%，余款在乙方出具2027年年度考核报告并通过政府审批后一个月内付清</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rPr>
      </w:r>
      <w:r/>
    </w:p>
    <w:p>
      <w:pPr>
        <w:pStyle w:val="856"/>
        <w:ind w:firstLine="482"/>
        <w:keepLines w:val="0"/>
        <w:keepNext w:val="0"/>
        <w:pageBreakBefore w:val="0"/>
        <w:spacing w:line="500" w:lineRule="atLeast"/>
        <w:widowControl w:val="off"/>
        <w:tabs>
          <w:tab w:val="left" w:pos="567" w:leader="none"/>
        </w:tabs>
        <w:rPr>
          <w:rFonts w:hint="eastAsia" w:cs="宋体"/>
          <w:b w:val="0"/>
          <w:bCs/>
          <w:color w:val="000000"/>
          <w:sz w:val="24"/>
          <w:highlight w:val="none"/>
          <w:lang w:val="en-US" w:eastAsia="zh-CN"/>
        </w:rPr>
      </w:pPr>
      <w:r>
        <w:rPr>
          <w:rFonts w:hint="eastAsia" w:cs="宋体"/>
          <w:b w:val="0"/>
          <w:bCs/>
          <w:color w:val="000000"/>
          <w:sz w:val="24"/>
          <w:highlight w:val="none"/>
          <w:lang w:val="en-US" w:eastAsia="zh-CN"/>
        </w:rPr>
        <w:t xml:space="preserve">在甲方付款前，乙方应提供等额合法有效的发票。如乙方未提供发票或者提供的发票不符合甲方要求的，甲方有权延期付款且不承担任何违约责任。</w:t>
      </w:r>
      <w:r>
        <w:rPr>
          <w:rFonts w:hint="eastAsia" w:cs="宋体"/>
          <w:b w:val="0"/>
          <w:bCs/>
          <w:color w:val="000000"/>
          <w:sz w:val="24"/>
          <w:highlight w:val="none"/>
          <w:lang w:val="en-US" w:eastAsia="zh-CN"/>
        </w:rPr>
      </w:r>
      <w:r/>
    </w:p>
    <w:p>
      <w:pPr>
        <w:pStyle w:val="844"/>
        <w:ind w:firstLine="482"/>
        <w:keepLines w:val="0"/>
        <w:keepNext w:val="0"/>
        <w:pageBreakBefore w:val="0"/>
        <w:spacing w:line="500" w:lineRule="exact"/>
        <w:widowControl w:val="off"/>
        <w:rPr>
          <w:color w:val="000000"/>
          <w:highlight w:val="none"/>
          <w:lang w:val="en-US" w:eastAsia="zh-CN"/>
        </w:rPr>
      </w:pPr>
      <w:r>
        <w:rPr>
          <w:rFonts w:ascii="宋体" w:hAnsi="宋体" w:eastAsia="宋体" w:cs="宋体"/>
          <w:color w:val="000000"/>
          <w:sz w:val="24"/>
          <w:szCs w:val="24"/>
          <w:highlight w:val="none"/>
        </w:rPr>
        <w:t xml:space="preserve">发生本合同项下违约金、赔偿金的，甲方有权直接在应付合同价款中予以抵扣，抵扣不足部分甲方有权继续向乙方追偿。</w:t>
      </w:r>
      <w:r>
        <w:rPr>
          <w:color w:val="000000"/>
          <w:highlight w:val="none"/>
          <w:lang w:val="en-US" w:eastAsia="zh-CN"/>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三、服务地点：甲方指定地点。</w:t>
      </w:r>
      <w:r>
        <w:rPr>
          <w:rFonts w:hint="eastAsia" w:ascii="宋体" w:hAnsi="宋体" w:cs="宋体"/>
          <w:color w:val="000000"/>
          <w:sz w:val="24"/>
          <w:highlight w:val="none"/>
        </w:rPr>
      </w:r>
      <w:r/>
    </w:p>
    <w:p>
      <w:pPr>
        <w:pStyle w:val="844"/>
        <w:ind w:firstLine="560"/>
        <w:spacing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四、相关权利及义务</w:t>
      </w:r>
      <w:r>
        <w:rPr>
          <w:rFonts w:hint="eastAsia" w:ascii="宋体" w:hAnsi="宋体" w:cs="宋体"/>
          <w:color w:val="000000"/>
          <w:sz w:val="28"/>
          <w:szCs w:val="28"/>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4.1甲方权利及义务</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1.代表和维护产权人及使用人的合法权益；</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2.负责处理非乙方原因而产生的各种纠纷；</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3.审定乙方撰写的监督管理服务方案和计划；</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.检查监督乙方管理工作的实施及方案的执行情况</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有权对乙方服务提出建议和意见</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.协助乙方做好监督管理工作；</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.甲方对乙方的技术及商业机密予以保密；</w:t>
      </w:r>
      <w:r>
        <w:rPr>
          <w:rFonts w:hint="eastAsia" w:ascii="宋体" w:hAnsi="宋体" w:cs="宋体"/>
          <w:color w:val="000000"/>
          <w:sz w:val="24"/>
          <w:highlight w:val="none"/>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7</w:t>
      </w:r>
      <w:r>
        <w:rPr>
          <w:rFonts w:hint="eastAsia" w:ascii="宋体" w:hAnsi="宋体" w:eastAsia="宋体" w:cs="宋体"/>
          <w:color w:val="000000"/>
          <w:sz w:val="24"/>
          <w:highlight w:val="none"/>
        </w:rPr>
        <w:t xml:space="preserve">.甲方有权要求乙方更换不能胜任工作或者不认真负责的乙方工作人员，乙方自接到甲方通知后7日内予以更换，更换后的人员条件不得低于更换前的人员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8</w:t>
      </w:r>
      <w:r>
        <w:rPr>
          <w:rFonts w:hint="eastAsia" w:ascii="宋体" w:hAnsi="宋体" w:eastAsia="宋体" w:cs="宋体"/>
          <w:color w:val="000000"/>
          <w:sz w:val="24"/>
          <w:highlight w:val="none"/>
        </w:rPr>
        <w:t xml:space="preserve">.乙方提供的服务以及服务成果所有权以及知识产权归甲方所有，未经甲方书面同意，乙方不得以任何形式提供给第三人或者用于本合同以外的其他目的，否则由此造成损失的，乙方应承担全部责任，造成甲方损失的，乙方应予以赔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4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9</w:t>
      </w:r>
      <w:r>
        <w:rPr>
          <w:rFonts w:hint="eastAsia" w:ascii="宋体" w:hAnsi="宋体" w:eastAsia="宋体" w:cs="宋体"/>
          <w:color w:val="000000"/>
          <w:sz w:val="24"/>
          <w:highlight w:val="none"/>
        </w:rPr>
        <w:t xml:space="preserve">.甲方在乙方提交运维绩效监管报告后30日内组织专家评审，由此产生的专家劳务费、差旅费以及其他相关费用</w:t>
      </w:r>
      <w:r>
        <w:rPr>
          <w:rFonts w:ascii="宋体" w:hAnsi="宋体" w:eastAsia="宋体" w:cs="宋体"/>
          <w:color w:val="000000"/>
          <w:sz w:val="24"/>
          <w:szCs w:val="24"/>
          <w:highlight w:val="none"/>
        </w:rPr>
        <w:t xml:space="preserve">已包含在合同总价内，由乙方承担，</w:t>
      </w:r>
      <w:r>
        <w:rPr>
          <w:rFonts w:hint="eastAsia" w:ascii="宋体" w:hAnsi="宋体" w:eastAsia="宋体" w:cs="宋体"/>
          <w:color w:val="000000"/>
          <w:sz w:val="24"/>
          <w:szCs w:val="24"/>
          <w:highlight w:val="none"/>
        </w:rPr>
        <w:t xml:space="preserve">若报告评审不通过需二次及以上评审，产生的全部专家</w:t>
      </w:r>
      <w:r>
        <w:rPr>
          <w:rFonts w:hint="eastAsia" w:ascii="宋体" w:hAnsi="宋体" w:cs="宋体"/>
          <w:color w:val="000000"/>
          <w:sz w:val="24"/>
          <w:szCs w:val="24"/>
          <w:highlight w:val="none"/>
          <w:lang w:val="en-US" w:eastAsia="zh-CN"/>
        </w:rPr>
        <w:t xml:space="preserve">劳务费、差旅费</w:t>
      </w:r>
      <w:r>
        <w:rPr>
          <w:rFonts w:hint="eastAsia" w:ascii="宋体" w:hAnsi="宋体" w:eastAsia="宋体" w:cs="宋体"/>
          <w:color w:val="000000"/>
          <w:sz w:val="24"/>
          <w:szCs w:val="24"/>
          <w:highlight w:val="none"/>
        </w:rPr>
        <w:t xml:space="preserve">及相关费用仍由乙方承担，</w:t>
      </w:r>
      <w:r>
        <w:rPr>
          <w:rFonts w:ascii="宋体" w:hAnsi="宋体" w:eastAsia="宋体" w:cs="宋体"/>
          <w:color w:val="000000"/>
          <w:sz w:val="24"/>
          <w:szCs w:val="24"/>
          <w:highlight w:val="none"/>
        </w:rPr>
        <w:t xml:space="preserve">甲方无需另行支付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rPr>
        <w:t xml:space="preserve">.未经甲方</w:t>
      </w:r>
      <w:r>
        <w:rPr>
          <w:rFonts w:hint="eastAsia" w:ascii="宋体" w:hAnsi="宋体" w:cs="宋体"/>
          <w:color w:val="000000"/>
          <w:sz w:val="24"/>
          <w:highlight w:val="none"/>
          <w:lang w:val="en-US" w:eastAsia="zh-CN"/>
        </w:rPr>
        <w:t xml:space="preserve">书面</w:t>
      </w:r>
      <w:r>
        <w:rPr>
          <w:rFonts w:hint="eastAsia" w:ascii="宋体" w:hAnsi="宋体" w:eastAsia="宋体" w:cs="宋体"/>
          <w:color w:val="000000"/>
          <w:sz w:val="24"/>
          <w:highlight w:val="none"/>
        </w:rPr>
        <w:t xml:space="preserve">同意，乙方不得擅自变更甲方已确认的乙方工作人员，如确需变更的，应经甲方</w:t>
      </w:r>
      <w:r>
        <w:rPr>
          <w:rFonts w:hint="eastAsia" w:ascii="宋体" w:hAnsi="宋体" w:cs="宋体"/>
          <w:color w:val="000000"/>
          <w:sz w:val="24"/>
          <w:highlight w:val="none"/>
          <w:lang w:val="en-US" w:eastAsia="zh-CN"/>
        </w:rPr>
        <w:t xml:space="preserve">书面</w:t>
      </w:r>
      <w:r>
        <w:rPr>
          <w:rFonts w:hint="eastAsia" w:ascii="宋体" w:hAnsi="宋体" w:eastAsia="宋体" w:cs="宋体"/>
          <w:color w:val="000000"/>
          <w:sz w:val="24"/>
          <w:highlight w:val="none"/>
        </w:rPr>
        <w:t xml:space="preserve">同意后方可变更，更换后的人员条件不得低于更换前的人员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.法规、政策规定由甲方承担的其他责任</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844"/>
        <w:ind w:firstLine="72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4.2乙方权利及义务</w:t>
      </w:r>
      <w:r>
        <w:rPr>
          <w:rFonts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1.根据有关法律、法规、本合同的规定及本项目的实际情况，制定监督管理服务方案、月度管理计划等工作目标；</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2.每月编制设备检查计划，</w:t>
      </w:r>
      <w:r>
        <w:rPr>
          <w:rFonts w:ascii="宋体" w:hAnsi="宋体" w:eastAsia="宋体" w:cs="宋体"/>
          <w:color w:val="000000"/>
          <w:sz w:val="24"/>
          <w:szCs w:val="24"/>
          <w:highlight w:val="none"/>
        </w:rPr>
        <w:t xml:space="preserve">按甲方要求频次开展现场检查</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rPr>
        <w:t xml:space="preserve">协助</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完成对设施的停运、维修、报废等情况现场确认工作；</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3.组建考核小组（不得少于5人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人员资质条件须满足</w:t>
      </w:r>
      <w:r>
        <w:rPr>
          <w:rFonts w:ascii="宋体" w:hAnsi="宋体" w:eastAsia="宋体" w:cs="宋体"/>
          <w:color w:val="000000"/>
          <w:sz w:val="24"/>
          <w:szCs w:val="24"/>
          <w:highlight w:val="none"/>
        </w:rPr>
        <w:t xml:space="preserve">采购文件及甲方要求，人员资质材料</w:t>
      </w:r>
      <w:r>
        <w:rPr>
          <w:rFonts w:hint="eastAsia" w:ascii="宋体" w:hAnsi="宋体" w:eastAsia="宋体" w:cs="宋体"/>
          <w:color w:val="000000"/>
          <w:sz w:val="24"/>
          <w:szCs w:val="24"/>
          <w:highlight w:val="none"/>
          <w:lang w:val="en-US" w:eastAsia="zh-CN"/>
        </w:rPr>
        <w:t xml:space="preserve">需</w:t>
      </w:r>
      <w:r>
        <w:rPr>
          <w:rFonts w:ascii="宋体" w:hAnsi="宋体" w:eastAsia="宋体" w:cs="宋体"/>
          <w:color w:val="000000"/>
          <w:sz w:val="24"/>
          <w:szCs w:val="24"/>
          <w:highlight w:val="none"/>
        </w:rPr>
        <w:t xml:space="preserve">报甲方备案</w:t>
      </w:r>
      <w:r>
        <w:rPr>
          <w:rFonts w:hint="eastAsia" w:ascii="宋体" w:hAnsi="宋体" w:cs="宋体"/>
          <w:color w:val="000000"/>
          <w:sz w:val="24"/>
          <w:highlight w:val="none"/>
        </w:rPr>
        <w:t xml:space="preserve">），负责设施运行阶段性考核的组织安排，汇总编制考核报告及打分</w:t>
      </w:r>
      <w:r>
        <w:rPr>
          <w:rFonts w:hint="eastAsia" w:ascii="宋体" w:hAnsi="宋体" w:cs="宋体"/>
          <w:color w:val="000000"/>
          <w:sz w:val="24"/>
          <w:highlight w:val="none"/>
          <w:lang w:eastAsia="zh-CN"/>
        </w:rPr>
        <w:t xml:space="preserve">，考核小组人员须保障现场到岗率，不得随意缺岗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4.自行或者协助主管部门开展农村分散式污水处理设施运行维护相关技术创新工作；</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5.协助主管部门负责日常运行维护监管信息数据的收集整理和汇总分析工作</w:t>
      </w:r>
      <w:r>
        <w:rPr>
          <w:rFonts w:hint="eastAsia" w:ascii="宋体" w:hAnsi="宋体" w:cs="宋体"/>
          <w:color w:val="000000"/>
          <w:sz w:val="24"/>
          <w:highlight w:val="none"/>
          <w:lang w:eastAsia="zh-CN"/>
        </w:rPr>
        <w:t xml:space="preserve">，</w:t>
      </w:r>
      <w:r>
        <w:rPr>
          <w:rFonts w:ascii="宋体" w:hAnsi="宋体" w:eastAsia="宋体" w:cs="宋体"/>
          <w:color w:val="000000"/>
          <w:sz w:val="24"/>
          <w:szCs w:val="24"/>
          <w:highlight w:val="none"/>
        </w:rPr>
        <w:t xml:space="preserve">按月向甲方报送监管台账资料</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6.在半年度、年度技术评估基础上，对整体工作提供专业性指导意见；</w:t>
      </w:r>
      <w:r>
        <w:rPr>
          <w:rFonts w:hint="eastAsia" w:ascii="宋体" w:hAnsi="宋体" w:cs="宋体"/>
          <w:color w:val="000000"/>
          <w:sz w:val="24"/>
          <w:highlight w:val="none"/>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7.根据国家标准、行业标准和规范要求以及合同约定的服务质量标准和有关要求，积极主动保质保量按时完成各项服务工作</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8.乙方应在甲方要求的时间前提交运维绩效监管报告，一式3份，电子版一份，并对报告文件的质量负责，保证其真实性、完整性、客观性等。如经甲方验收未通过的，乙方应无条件整改至符合要求为止，由此产生的费用和损失由乙方承担，因此导致工期延误的，乙方应承担相关逾期违约责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44"/>
        <w:ind w:firstLine="480"/>
        <w:spacing w:line="500" w:lineRule="exact"/>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9.遵守甲方的规章制度和相关规定，自觉接受甲方的监督检查，及时按照甲方要求进行整改，在不影响溧阳市农村生活污水处理设施及城镇污水处理厂正常运行的情况下开展运维监管工作。乙方对乙方工作人员在服务过程中的行为承担连带责任，如因乙方原因造成设备设施损坏的，乙方应负责及时修理完好或者承担赔偿责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10.乙方自行提供开展服务所需的机械设备设施、检查工具等，自行安排乙方工作人员的交通、住宿、用餐等，并承担相关费用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11.乙方工作人员只与乙方建立劳动关系，由乙方负责支付其工资、福利待遇、保险费等费用，由此产生的劳资纠纷由乙方负责自行处理。</w:t>
      </w:r>
      <w:r>
        <w:rPr>
          <w:rFonts w:hint="eastAsia" w:ascii="宋体" w:hAnsi="宋体" w:cs="宋体"/>
          <w:color w:val="000000"/>
          <w:sz w:val="24"/>
          <w:highlight w:val="none"/>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12.乙方负责乙方工作人员的人身安全和财产安全，加强对其安全教育，并采取必要的安全保护措施，为其购买社会保险、工伤保险、人身意外伤害保险等。在合同履行期间，如因乙方原因发生事故导致任何人员人身损害、财产损失的，由乙方承担全部责</w:t>
      </w:r>
      <w:r>
        <w:rPr>
          <w:rFonts w:hint="eastAsia" w:ascii="宋体" w:hAnsi="宋体" w:eastAsia="宋体" w:cs="宋体"/>
          <w:color w:val="000000"/>
          <w:sz w:val="24"/>
          <w:highlight w:val="none"/>
        </w:rPr>
        <w:t xml:space="preserve">任，造成甲方损失的，乙方应予以赔偿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13.乙方保证所提供的服务以及服务成果文件不得侵犯第三方的专利权、商标权、著作权以及其他知识产权，如因乙方的行为侵犯第三方前述权利的，导致第三方追究甲方责任的，甲方为此受到的损失由乙方承担；</w:t>
      </w:r>
      <w:r>
        <w:rPr>
          <w:rFonts w:hint="eastAsia" w:ascii="宋体" w:hAnsi="宋体" w:eastAsia="宋体" w:cs="宋体"/>
          <w:color w:val="000000"/>
          <w:sz w:val="24"/>
          <w:highlight w:val="none"/>
          <w:lang w:eastAsia="zh-CN"/>
        </w:rPr>
      </w:r>
      <w:r/>
    </w:p>
    <w:p>
      <w:pPr>
        <w:pStyle w:val="84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14.在合同签订以及履行期间，乙方对从甲方以及甲方关联企业获取或者接触到的文件资料、信息数据等负有保密义务，不得复制、泄露或者遗失。未经甲方书面同意，乙方不得以任何形式提供给第三人或者用于本合同以外的其他目的，由此造成损失的，由乙方承担全部责任。乙方根据本合同承担的保密义务不因合同的解除或者终止而失效；</w:t>
      </w:r>
      <w:r>
        <w:rPr>
          <w:rFonts w:hint="eastAsia" w:ascii="宋体" w:hAnsi="宋体" w:eastAsia="宋体" w:cs="宋体"/>
          <w:color w:val="000000"/>
          <w:sz w:val="24"/>
          <w:highlight w:val="none"/>
          <w:lang w:eastAsia="zh-CN"/>
        </w:rPr>
      </w:r>
      <w:r/>
    </w:p>
    <w:p>
      <w:pPr>
        <w:pStyle w:val="844"/>
        <w:ind w:firstLine="480"/>
        <w:keepLines w:val="0"/>
        <w:keepNext w:val="0"/>
        <w:pageBreakBefore w:val="0"/>
        <w:spacing w:line="50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15.未经甲方书面同意，乙方不得将合同约定的权利义务全部或者部分转让给他人；</w:t>
      </w:r>
      <w:r>
        <w:rPr>
          <w:rFonts w:hint="eastAsia" w:ascii="宋体" w:hAnsi="宋体" w:eastAsia="宋体" w:cs="宋体"/>
          <w:color w:val="000000"/>
          <w:sz w:val="24"/>
          <w:highlight w:val="none"/>
          <w:lang w:eastAsia="zh-CN"/>
        </w:rPr>
      </w:r>
      <w:r/>
    </w:p>
    <w:p>
      <w:pPr>
        <w:pStyle w:val="856"/>
        <w:ind w:firstLine="480"/>
        <w:keepLines w:val="0"/>
        <w:keepNext w:val="0"/>
        <w:pageBreakBefore w:val="0"/>
        <w:spacing w:line="500" w:lineRule="atLeast"/>
        <w:widowControl w:val="off"/>
        <w:tabs>
          <w:tab w:val="left" w:pos="567" w:leader="none"/>
        </w:tabs>
        <w:rPr>
          <w:rFonts w:hint="eastAsia" w:cs="宋体"/>
          <w:color w:val="000000"/>
          <w:sz w:val="24"/>
          <w:highlight w:val="none"/>
          <w:lang w:val="en-US" w:eastAsia="zh-CN"/>
        </w:rPr>
      </w:pPr>
      <w:r>
        <w:rPr>
          <w:rFonts w:hint="eastAsia" w:cs="宋体"/>
          <w:color w:val="000000"/>
          <w:sz w:val="24"/>
          <w:highlight w:val="none"/>
          <w:lang w:val="en-US" w:eastAsia="zh-CN"/>
        </w:rPr>
        <w:t xml:space="preserve">16.合同到期、解除或终止的，乙方应当在</w:t>
      </w:r>
      <w:r>
        <w:rPr>
          <w:rFonts w:hint="eastAsia" w:cs="宋体"/>
          <w:color w:val="000000"/>
          <w:sz w:val="24"/>
          <w:highlight w:val="none"/>
          <w:u w:val="single"/>
          <w:lang w:val="en-US" w:eastAsia="zh-CN"/>
        </w:rPr>
        <w:t xml:space="preserve"> 30  </w:t>
      </w:r>
      <w:r>
        <w:rPr>
          <w:rFonts w:hint="eastAsia" w:cs="宋体"/>
          <w:color w:val="000000"/>
          <w:sz w:val="24"/>
          <w:highlight w:val="none"/>
          <w:lang w:val="en-US" w:eastAsia="zh-CN"/>
        </w:rPr>
        <w:t xml:space="preserve">日内向甲方完整移交全部原始数据、台账记录、检查资料、报告成果；逾期移交的，每日支付违约金</w:t>
      </w:r>
      <w:r>
        <w:rPr>
          <w:rFonts w:hint="eastAsia" w:cs="宋体"/>
          <w:color w:val="000000"/>
          <w:sz w:val="24"/>
          <w:highlight w:val="none"/>
          <w:u w:val="single"/>
          <w:lang w:val="en-US" w:eastAsia="zh-CN"/>
        </w:rPr>
        <w:t xml:space="preserve"> 1000 </w:t>
      </w:r>
      <w:r>
        <w:rPr>
          <w:rFonts w:hint="eastAsia" w:cs="宋体"/>
          <w:color w:val="000000"/>
          <w:sz w:val="24"/>
          <w:highlight w:val="none"/>
          <w:lang w:val="en-US" w:eastAsia="zh-CN"/>
        </w:rPr>
        <w:t xml:space="preserve">元。</w:t>
      </w:r>
      <w:r>
        <w:rPr>
          <w:rFonts w:hint="eastAsia" w:cs="宋体"/>
          <w:color w:val="000000"/>
          <w:sz w:val="24"/>
          <w:highlight w:val="none"/>
          <w:lang w:val="en-US" w:eastAsia="zh-CN"/>
        </w:rPr>
      </w:r>
      <w:r/>
    </w:p>
    <w:p>
      <w:pPr>
        <w:pStyle w:val="844"/>
        <w:keepLines w:val="0"/>
        <w:keepNext w:val="0"/>
        <w:pageBreakBefore w:val="0"/>
        <w:spacing w:line="500" w:lineRule="atLeast"/>
        <w:widowControl w:val="off"/>
        <w:rPr>
          <w:color w:val="000000"/>
          <w:highlight w:val="none"/>
          <w:lang w:val="en-US" w:eastAsia="zh-CN"/>
        </w:rPr>
      </w:pPr>
      <w:r>
        <w:rPr>
          <w:rFonts w:hint="eastAsia" w:cs="宋体"/>
          <w:color w:val="000000"/>
          <w:sz w:val="24"/>
          <w:highlight w:val="none"/>
          <w:lang w:val="en-US" w:eastAsia="zh-CN"/>
        </w:rPr>
        <w:t xml:space="preserve">    17.</w:t>
      </w:r>
      <w:r>
        <w:rPr>
          <w:rFonts w:ascii="宋体" w:hAnsi="宋体" w:eastAsia="宋体" w:cs="宋体"/>
          <w:color w:val="000000"/>
          <w:sz w:val="24"/>
          <w:szCs w:val="24"/>
          <w:highlight w:val="none"/>
        </w:rPr>
        <w:t xml:space="preserve">乙方及其工作人员不得收受、索取</w:t>
      </w:r>
      <w:r>
        <w:rPr>
          <w:rFonts w:hint="eastAsia" w:ascii="宋体" w:hAnsi="宋体" w:eastAsia="宋体" w:cs="宋体"/>
          <w:color w:val="000000"/>
          <w:sz w:val="24"/>
          <w:szCs w:val="24"/>
          <w:highlight w:val="none"/>
          <w:lang w:val="en-US" w:eastAsia="zh-CN"/>
        </w:rPr>
        <w:t xml:space="preserve">项目</w:t>
      </w:r>
      <w:r>
        <w:rPr>
          <w:rFonts w:ascii="宋体" w:hAnsi="宋体" w:eastAsia="宋体" w:cs="宋体"/>
          <w:color w:val="000000"/>
          <w:sz w:val="24"/>
          <w:szCs w:val="24"/>
          <w:highlight w:val="none"/>
        </w:rPr>
        <w:t xml:space="preserve">运维服务单位</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礼品、礼金、消费等不正当利益，不得与</w:t>
      </w:r>
      <w:r>
        <w:rPr>
          <w:rFonts w:hint="eastAsia" w:ascii="宋体" w:hAnsi="宋体" w:eastAsia="宋体" w:cs="宋体"/>
          <w:color w:val="000000"/>
          <w:sz w:val="24"/>
          <w:szCs w:val="24"/>
          <w:highlight w:val="none"/>
          <w:lang w:val="en-US" w:eastAsia="zh-CN"/>
        </w:rPr>
        <w:t xml:space="preserve">项目</w:t>
      </w:r>
      <w:r>
        <w:rPr>
          <w:rFonts w:ascii="宋体" w:hAnsi="宋体" w:eastAsia="宋体" w:cs="宋体"/>
          <w:color w:val="000000"/>
          <w:sz w:val="24"/>
          <w:szCs w:val="24"/>
          <w:highlight w:val="none"/>
        </w:rPr>
        <w:t xml:space="preserve">运维</w:t>
      </w:r>
      <w:r>
        <w:rPr>
          <w:rFonts w:hint="eastAsia" w:ascii="宋体" w:hAnsi="宋体" w:eastAsia="宋体" w:cs="宋体"/>
          <w:color w:val="000000"/>
          <w:sz w:val="24"/>
          <w:szCs w:val="24"/>
          <w:highlight w:val="none"/>
          <w:lang w:val="en-US" w:eastAsia="zh-CN"/>
        </w:rPr>
        <w:t xml:space="preserve">服务</w:t>
      </w:r>
      <w:r>
        <w:rPr>
          <w:rFonts w:ascii="宋体" w:hAnsi="宋体" w:eastAsia="宋体" w:cs="宋体"/>
          <w:color w:val="000000"/>
          <w:sz w:val="24"/>
          <w:szCs w:val="24"/>
          <w:highlight w:val="none"/>
        </w:rPr>
        <w:t xml:space="preserve">单位串通弄虚作假，一经查实按本合同违约条款处理。</w:t>
      </w:r>
      <w:r>
        <w:rPr>
          <w:color w:val="000000"/>
          <w:highlight w:val="none"/>
          <w:lang w:val="en-US" w:eastAsia="zh-CN"/>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.法规、</w:t>
      </w:r>
      <w:r>
        <w:rPr>
          <w:rFonts w:hint="eastAsia" w:ascii="宋体" w:hAnsi="宋体" w:cs="宋体"/>
          <w:color w:val="000000"/>
          <w:sz w:val="24"/>
          <w:highlight w:val="none"/>
        </w:rPr>
        <w:t xml:space="preserve">政策规定由乙方承担的其他责任。</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五、违约责任</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1.甲、乙双方应严格遵守本合同规定的各项条款，如有违约的，违约方应向对方支付违约金50000元以及承担由此给对方造成的损失。</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逾期提供服务或者提交服务成果文件的，每逾期一日，应向甲方支付违约金2000元，逾期达15日以上的，甲方有权解除合同，要求乙方返还甲方已支付的费用，并向甲方支付违约金50000元以及承担由此给甲方造成的损失。</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4.乙方无正当理由擅自提前解除或者终止合同的，应返还甲方已支付的费用，并向甲方支付违约金50000元以及承担由此给甲方造成的损失。</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5.乙方在服务过程存在捏造或者隐瞒事实，弄虚作假行为，经甲方查证属实，甲方有权解除合同，要求乙方返还甲方已支付的费用，并向甲方支付违约金</w:t>
      </w:r>
      <w:r>
        <w:rPr>
          <w:rFonts w:hint="eastAsia" w:ascii="宋体" w:hAnsi="宋体" w:cs="宋体"/>
          <w:color w:val="000000"/>
          <w:sz w:val="24"/>
          <w:highlight w:val="none"/>
          <w:u w:val="single"/>
          <w:lang w:val="en-US" w:eastAsia="zh-CN"/>
        </w:rPr>
        <w:t xml:space="preserve"> 20000 </w:t>
      </w:r>
      <w:r>
        <w:rPr>
          <w:rFonts w:hint="eastAsia" w:ascii="宋体" w:hAnsi="宋体" w:cs="宋体"/>
          <w:color w:val="000000"/>
          <w:sz w:val="24"/>
          <w:highlight w:val="none"/>
        </w:rPr>
        <w:t xml:space="preserve">元以及承担由此给甲方造成的损失。</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乙方提交的服务成果文件存在质量问题或者重大错误、遗漏的，由乙方承担全部责任，并及时进行整改至甲方满意为止，由此给甲方或者第三人造成损失的，乙方应予以赔偿，如因此导致工期延误的，乙方应承担相关逾期违约责任。</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7.未经甲方书面同意，乙方擅自将合同约定的权利义务全部或者部分转让给他人的，甲方有权解除合同，要求乙方返还甲方已支付的费用，并向甲方支付违约金50000元以及承担由此给甲方造成的损失。</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8.任何一方因不可抗力不能履行合同的，应及时通报对方不能履行或者不能完全履行的原因，在取得相对方同意后，允许部分履行、延期履行或者不履行，并根据情况部分或者全部免予承担违约责任。</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六、争议</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双方本着友好合作的态度，对合同履行过程中发生的违约行为进行及时的协商解决，如不能协商解决可向合同签约地法院通过法律诉讼解决，由此产生的律师费、诉讼费、保全费、差旅费以及其他必要费用由责任方承担。</w:t>
      </w:r>
      <w:r>
        <w:rPr>
          <w:rFonts w:hint="eastAsia" w:ascii="宋体" w:hAnsi="宋体" w:cs="宋体"/>
          <w:color w:val="000000"/>
          <w:sz w:val="24"/>
          <w:highlight w:val="none"/>
        </w:rPr>
      </w:r>
      <w:r/>
    </w:p>
    <w:p>
      <w:pPr>
        <w:pStyle w:val="84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七、合同标的追加处理</w:t>
      </w:r>
      <w:r>
        <w:rPr>
          <w:rFonts w:hint="eastAsia"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1.在本合同履行中，采购人需要追加与本合同相同服务的，在不改变其他条款的前提下，可与乙方协商签订补充合同，但所有补充合同的金额不得超过本合同的百分之十。</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2.补充合同须采用书面形式。</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八、本项目的磋商文件、响应文件、成交通知书、补充文件等是本合同的附件，与合同具有同等的法律效力。</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九、本合同自</w:t>
      </w:r>
      <w:r>
        <w:rPr>
          <w:rFonts w:hint="eastAsia" w:ascii="宋体" w:hAnsi="宋体" w:cs="宋体"/>
          <w:color w:val="000000"/>
          <w:sz w:val="24"/>
          <w:highlight w:val="none"/>
          <w:lang w:val="en-US" w:eastAsia="zh-CN"/>
        </w:rPr>
        <w:t xml:space="preserve">双方签字并盖章</w:t>
      </w:r>
      <w:r>
        <w:rPr>
          <w:rFonts w:hint="eastAsia" w:ascii="宋体" w:hAnsi="宋体" w:cs="宋体"/>
          <w:color w:val="000000"/>
          <w:sz w:val="24"/>
          <w:highlight w:val="none"/>
        </w:rPr>
        <w:t xml:space="preserve">之日起生效。本合同一式</w:t>
      </w:r>
      <w:r>
        <w:rPr>
          <w:rFonts w:hint="eastAsia" w:ascii="宋体" w:hAnsi="宋体" w:cs="宋体"/>
          <w:color w:val="000000"/>
          <w:sz w:val="24"/>
          <w:highlight w:val="none"/>
          <w:lang w:eastAsia="zh-CN"/>
        </w:rPr>
        <w:t xml:space="preserve">肆</w:t>
      </w:r>
      <w:r>
        <w:rPr>
          <w:rFonts w:hint="eastAsia" w:ascii="宋体" w:hAnsi="宋体" w:cs="宋体"/>
          <w:color w:val="000000"/>
          <w:sz w:val="24"/>
          <w:highlight w:val="none"/>
        </w:rPr>
        <w:t xml:space="preserve">份，甲乙双方各执贰份</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采购人（印章）：                乙方（印章）：           </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法人代表（签字）：              法人代表（签字）：       </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委托代理人（签字）：            委托代理人（签字）：     </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地址：                          地址：</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电话：                          电话：</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w:t>
      </w:r>
      <w:r>
        <w:rPr>
          <w:rFonts w:ascii="宋体" w:hAnsi="宋体" w:cs="宋体"/>
          <w:color w:val="000000"/>
          <w:sz w:val="24"/>
          <w:highlight w:val="none"/>
        </w:rPr>
      </w:r>
      <w:r/>
    </w:p>
    <w:p>
      <w:pPr>
        <w:pStyle w:val="84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844"/>
        <w:jc w:val="left"/>
        <w:widowControl/>
        <w:rPr>
          <w:b/>
          <w:color w:val="000000"/>
          <w:sz w:val="36"/>
          <w:szCs w:val="36"/>
          <w:highlight w:val="none"/>
        </w:rPr>
      </w:pPr>
      <w:r/>
      <w:bookmarkEnd w:id="666"/>
      <w:r>
        <w:rPr>
          <w:b/>
          <w:color w:val="000000"/>
          <w:sz w:val="36"/>
          <w:szCs w:val="36"/>
          <w:highlight w:val="none"/>
        </w:rPr>
      </w:r>
      <w:r/>
    </w:p>
    <w:p>
      <w:pPr>
        <w:pStyle w:val="844"/>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r>
      <w:r/>
    </w:p>
    <w:p>
      <w:pPr>
        <w:pStyle w:val="844"/>
        <w:jc w:val="center"/>
        <w:spacing w:line="360" w:lineRule="auto"/>
        <w:rPr>
          <w:b/>
          <w:color w:val="000000"/>
          <w:sz w:val="36"/>
          <w:szCs w:val="36"/>
          <w:highlight w:val="none"/>
        </w:rPr>
        <w:outlineLvl w:val="0"/>
      </w:pPr>
      <w:r/>
      <w:bookmarkStart w:id="667" w:name="_Toc104818930"/>
      <w:r>
        <w:rPr>
          <w:b/>
          <w:color w:val="000000"/>
          <w:sz w:val="36"/>
          <w:szCs w:val="36"/>
          <w:highlight w:val="none"/>
        </w:rPr>
        <w:t xml:space="preserve">第六章   响应文件格式</w:t>
      </w:r>
      <w:bookmarkEnd w:id="667"/>
      <w:r>
        <w:rPr>
          <w:b/>
          <w:color w:val="000000"/>
          <w:sz w:val="36"/>
          <w:szCs w:val="36"/>
          <w:highlight w:val="none"/>
        </w:rPr>
      </w:r>
      <w:r/>
    </w:p>
    <w:p>
      <w:pPr>
        <w:pStyle w:val="844"/>
        <w:jc w:val="left"/>
        <w:spacing w:line="360" w:lineRule="auto"/>
        <w:widowControl/>
        <w:rPr>
          <w:b/>
          <w:color w:val="000000"/>
          <w:sz w:val="24"/>
          <w:highlight w:val="none"/>
        </w:rPr>
      </w:pPr>
      <w:r>
        <w:rPr>
          <w:b/>
          <w:color w:val="000000"/>
          <w:sz w:val="24"/>
          <w:highlight w:val="none"/>
        </w:rPr>
      </w:r>
      <w:r/>
    </w:p>
    <w:p>
      <w:pPr>
        <w:pStyle w:val="844"/>
        <w:jc w:val="left"/>
        <w:spacing w:line="360" w:lineRule="auto"/>
        <w:widowControl/>
        <w:rPr>
          <w:b/>
          <w:color w:val="000000"/>
          <w:sz w:val="24"/>
          <w:highlight w:val="none"/>
        </w:rPr>
      </w:pPr>
      <w:r>
        <w:rPr>
          <w:b/>
          <w:color w:val="000000"/>
          <w:sz w:val="24"/>
          <w:highlight w:val="none"/>
        </w:rPr>
      </w:r>
      <w:r/>
    </w:p>
    <w:p>
      <w:pPr>
        <w:pStyle w:val="844"/>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844"/>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84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44"/>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44"/>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44"/>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844"/>
        <w:jc w:val="left"/>
        <w:widowControl/>
        <w:rPr>
          <w:color w:val="000000"/>
          <w:sz w:val="24"/>
          <w:highlight w:val="none"/>
        </w:rPr>
      </w:pPr>
      <w:r>
        <w:rPr>
          <w:color w:val="000000"/>
          <w:sz w:val="24"/>
          <w:highlight w:val="none"/>
        </w:rPr>
        <w:br w:type="page" w:clear="all"/>
      </w:r>
      <w:r>
        <w:rPr>
          <w:color w:val="000000"/>
          <w:sz w:val="24"/>
          <w:highlight w:val="none"/>
        </w:rPr>
      </w:r>
      <w:r/>
    </w:p>
    <w:p>
      <w:pPr>
        <w:pStyle w:val="844"/>
        <w:rPr>
          <w:b/>
          <w:color w:val="000000"/>
          <w:spacing w:val="20"/>
          <w:szCs w:val="21"/>
          <w:highlight w:val="none"/>
        </w:rPr>
      </w:pPr>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b/>
          <w:color w:val="000000"/>
          <w:spacing w:val="20"/>
          <w:szCs w:val="21"/>
          <w:highlight w:val="none"/>
        </w:rPr>
      </w:r>
      <w:r/>
    </w:p>
    <w:p>
      <w:pPr>
        <w:pStyle w:val="844"/>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844"/>
        <w:jc w:val="center"/>
        <w:rPr>
          <w:color w:val="000000"/>
          <w:szCs w:val="21"/>
          <w:highlight w:val="none"/>
        </w:rPr>
      </w:pPr>
      <w:r>
        <w:rPr>
          <w:color w:val="000000"/>
          <w:szCs w:val="21"/>
          <w:highlight w:val="none"/>
        </w:rPr>
      </w:r>
      <w:r/>
    </w:p>
    <w:p>
      <w:pPr>
        <w:pStyle w:val="844"/>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844"/>
        <w:jc w:val="center"/>
        <w:rPr>
          <w:b/>
          <w:color w:val="000000"/>
          <w:spacing w:val="60"/>
          <w:sz w:val="52"/>
          <w:szCs w:val="52"/>
          <w:highlight w:val="none"/>
        </w:rPr>
      </w:pPr>
      <w:r>
        <w:rPr>
          <w:b/>
          <w:color w:val="000000"/>
          <w:spacing w:val="60"/>
          <w:sz w:val="52"/>
          <w:szCs w:val="52"/>
          <w:highlight w:val="none"/>
        </w:rPr>
      </w:r>
      <w:r/>
    </w:p>
    <w:p>
      <w:pPr>
        <w:pStyle w:val="844"/>
        <w:ind w:firstLine="542"/>
        <w:rPr>
          <w:b/>
          <w:color w:val="000000"/>
          <w:spacing w:val="20"/>
          <w:sz w:val="32"/>
          <w:szCs w:val="32"/>
          <w:highlight w:val="none"/>
        </w:rPr>
      </w:pPr>
      <w:r>
        <w:rPr>
          <w:b/>
          <w:color w:val="000000"/>
          <w:spacing w:val="20"/>
          <w:sz w:val="32"/>
          <w:szCs w:val="32"/>
          <w:highlight w:val="none"/>
        </w:rPr>
      </w:r>
      <w:r/>
    </w:p>
    <w:p>
      <w:pPr>
        <w:pStyle w:val="844"/>
        <w:ind w:firstLine="542"/>
        <w:rPr>
          <w:b/>
          <w:color w:val="000000"/>
          <w:spacing w:val="20"/>
          <w:sz w:val="32"/>
          <w:szCs w:val="32"/>
          <w:highlight w:val="none"/>
        </w:rPr>
      </w:pPr>
      <w:r>
        <w:rPr>
          <w:b/>
          <w:color w:val="000000"/>
          <w:spacing w:val="20"/>
          <w:sz w:val="32"/>
          <w:szCs w:val="32"/>
          <w:highlight w:val="none"/>
        </w:rPr>
      </w:r>
      <w:r/>
    </w:p>
    <w:p>
      <w:pPr>
        <w:pStyle w:val="84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4"/>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4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44"/>
        <w:jc w:val="center"/>
        <w:rPr>
          <w:b/>
          <w:color w:val="000000"/>
          <w:sz w:val="32"/>
          <w:szCs w:val="32"/>
          <w:highlight w:val="none"/>
        </w:rPr>
      </w:pPr>
      <w:r>
        <w:rPr>
          <w:b/>
          <w:color w:val="000000"/>
          <w:sz w:val="32"/>
          <w:szCs w:val="32"/>
          <w:highlight w:val="none"/>
        </w:rPr>
      </w:r>
      <w:r/>
    </w:p>
    <w:p>
      <w:pPr>
        <w:pStyle w:val="844"/>
        <w:rPr>
          <w:b/>
          <w:color w:val="000000"/>
          <w:highlight w:val="none"/>
        </w:rPr>
      </w:pPr>
      <w:r>
        <w:rPr>
          <w:b/>
          <w:color w:val="000000"/>
          <w:spacing w:val="20"/>
          <w:sz w:val="32"/>
          <w:szCs w:val="32"/>
          <w:highlight w:val="none"/>
        </w:rPr>
        <w:br w:type="page" w:clear="all"/>
      </w:r>
      <w:r>
        <w:rPr>
          <w:b/>
          <w:color w:val="000000"/>
          <w:highlight w:val="none"/>
        </w:rPr>
      </w:r>
      <w:r/>
    </w:p>
    <w:p>
      <w:pPr>
        <w:pStyle w:val="84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4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4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60"/>
        <w:ind w:firstLine="480"/>
        <w:spacing w:line="460" w:lineRule="exact"/>
        <w:rPr>
          <w:color w:val="000000"/>
          <w:highlight w:val="none"/>
        </w:rPr>
      </w:pPr>
      <w:r>
        <w:rPr>
          <w:color w:val="000000"/>
          <w:highlight w:val="none"/>
        </w:rPr>
      </w:r>
      <w:r/>
    </w:p>
    <w:p>
      <w:pPr>
        <w:pStyle w:val="860"/>
        <w:ind w:firstLine="480"/>
        <w:spacing w:line="460" w:lineRule="exact"/>
        <w:rPr>
          <w:color w:val="000000"/>
          <w:highlight w:val="none"/>
          <w:u w:val="single"/>
        </w:rPr>
      </w:pPr>
      <w:r>
        <w:rPr>
          <w:rFonts w:hint="eastAsia"/>
          <w:color w:val="000000"/>
          <w:highlight w:val="none"/>
        </w:rPr>
        <w:t xml:space="preserve">致：</w:t>
      </w:r>
      <w:r>
        <w:rPr>
          <w:rFonts w:hint="eastAsia"/>
          <w:color w:val="000000"/>
          <w:highlight w:val="none"/>
          <w:u w:val="single"/>
        </w:rPr>
        <w:t xml:space="preserve">（采购人名称）</w:t>
      </w:r>
      <w:r>
        <w:rPr>
          <w:color w:val="000000"/>
          <w:highlight w:val="none"/>
          <w:u w:val="single"/>
        </w:rPr>
      </w:r>
      <w:r/>
    </w:p>
    <w:p>
      <w:pPr>
        <w:pStyle w:val="860"/>
        <w:ind w:firstLine="480"/>
        <w:spacing w:line="460" w:lineRule="exact"/>
        <w:rPr>
          <w:color w:val="000000"/>
          <w:highlight w:val="none"/>
        </w:rPr>
      </w:pP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二、我单位具有良好的商业信誉（指供应商经营状况良好，无本资格声明第</w:t>
      </w:r>
      <w:r>
        <w:rPr>
          <w:rFonts w:hint="eastAsia"/>
          <w:color w:val="000000"/>
          <w:highlight w:val="none"/>
          <w:lang w:val="en-US" w:eastAsia="zh-CN"/>
        </w:rPr>
        <w:t xml:space="preserve">九</w:t>
      </w:r>
      <w:r>
        <w:rPr>
          <w:rFonts w:hint="eastAsia"/>
          <w:color w:val="000000"/>
          <w:highlight w:val="none"/>
        </w:rPr>
        <w:t xml:space="preserve">条情形）和健全的财务会计制度。</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三</w:t>
      </w:r>
      <w:r>
        <w:rPr>
          <w:rFonts w:hint="eastAsia"/>
          <w:color w:val="000000"/>
          <w:highlight w:val="none"/>
        </w:rPr>
        <w:t xml:space="preserve">、我单位依法进行纳税和社会保险申报并实际履行了义务。</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四</w:t>
      </w:r>
      <w:r>
        <w:rPr>
          <w:rFonts w:hint="eastAsia"/>
          <w:color w:val="000000"/>
          <w:highlight w:val="none"/>
        </w:rPr>
        <w:t xml:space="preserve">、我单位具有履行本项目采购合同所必需的设备和专业技术能力，并具有履行合同的良好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五</w:t>
      </w:r>
      <w:r>
        <w:rPr>
          <w:rFonts w:hint="eastAsia"/>
          <w:color w:val="000000"/>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六</w:t>
      </w:r>
      <w:r>
        <w:rPr>
          <w:rFonts w:hint="eastAsia"/>
          <w:color w:val="000000"/>
          <w:highlight w:val="none"/>
        </w:rPr>
        <w:t xml:space="preserve">、我单位具备法律、行政法规规定的其他条件。</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七</w:t>
      </w:r>
      <w:r>
        <w:rPr>
          <w:rFonts w:hint="eastAsia"/>
          <w:color w:val="000000"/>
          <w:highlight w:val="none"/>
        </w:rPr>
        <w:t xml:space="preserve">、与我单位存在“单位负责人为同一人或者存在直接控股、管理关系”的其他单位信息如下（如无此情形的，填写“无”）：</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八</w:t>
      </w:r>
      <w:r>
        <w:rPr>
          <w:rFonts w:hint="eastAsia"/>
          <w:color w:val="000000"/>
          <w:highlight w:val="none"/>
        </w:rPr>
        <w:t xml:space="preserve">、</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60"/>
        <w:ind w:firstLine="480"/>
        <w:spacing w:line="460" w:lineRule="exact"/>
        <w:rPr>
          <w:color w:val="000000"/>
          <w:highlight w:val="none"/>
        </w:rPr>
      </w:pPr>
      <w:r>
        <w:rPr>
          <w:rFonts w:hint="eastAsia"/>
          <w:color w:val="000000"/>
          <w:highlight w:val="none"/>
          <w:lang w:val="en-US" w:eastAsia="zh-CN"/>
        </w:rPr>
        <w:t xml:space="preserve">九</w:t>
      </w:r>
      <w:r>
        <w:rPr>
          <w:rFonts w:hint="eastAsia"/>
          <w:color w:val="000000"/>
          <w:highlight w:val="none"/>
        </w:rPr>
        <w:t xml:space="preserve">、</w:t>
      </w:r>
      <w:r>
        <w:rPr>
          <w:color w:val="000000"/>
          <w:highlight w:val="none"/>
        </w:rPr>
        <w:t xml:space="preserve">我单位无以下不良信用记录情形：</w:t>
      </w:r>
      <w:r>
        <w:rPr>
          <w:color w:val="000000"/>
          <w:highlight w:val="none"/>
        </w:rPr>
      </w:r>
      <w:r/>
    </w:p>
    <w:p>
      <w:pPr>
        <w:pStyle w:val="86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6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6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60"/>
        <w:ind w:firstLine="480"/>
        <w:spacing w:line="460" w:lineRule="exact"/>
        <w:rPr>
          <w:color w:val="000000"/>
          <w:highlight w:val="none"/>
        </w:rPr>
      </w:pP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60"/>
        <w:ind w:firstLine="480"/>
        <w:spacing w:line="460" w:lineRule="exact"/>
        <w:rPr>
          <w:color w:val="000000"/>
          <w:highlight w:val="none"/>
        </w:rPr>
      </w:pPr>
      <w:r>
        <w:rPr>
          <w:color w:val="000000"/>
          <w:highlight w:val="none"/>
        </w:rPr>
      </w:r>
      <w:r/>
    </w:p>
    <w:p>
      <w:pPr>
        <w:pStyle w:val="860"/>
        <w:ind w:firstLine="480"/>
        <w:spacing w:line="460" w:lineRule="exact"/>
        <w:rPr>
          <w:color w:val="000000"/>
          <w:highlight w:val="none"/>
        </w:rPr>
      </w:pP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6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60"/>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44"/>
        <w:spacing w:line="360" w:lineRule="auto"/>
        <w:rPr>
          <w:rFonts w:hint="eastAsia"/>
          <w:color w:val="000000"/>
          <w:sz w:val="24"/>
          <w:highlight w:val="none"/>
        </w:rPr>
      </w:pPr>
      <w:r>
        <w:rPr>
          <w:rFonts w:hint="eastAsia"/>
          <w:color w:val="000000"/>
          <w:sz w:val="24"/>
          <w:highlight w:val="none"/>
        </w:rPr>
      </w:r>
      <w:r/>
    </w:p>
    <w:p>
      <w:pPr>
        <w:pStyle w:val="844"/>
        <w:spacing w:line="360" w:lineRule="auto"/>
        <w:rPr>
          <w:rFonts w:hint="eastAsia"/>
          <w:color w:val="000000"/>
          <w:sz w:val="24"/>
          <w:highlight w:val="none"/>
        </w:rPr>
      </w:pPr>
      <w:r>
        <w:rPr>
          <w:rFonts w:hint="eastAsia"/>
          <w:color w:val="000000"/>
          <w:sz w:val="24"/>
          <w:highlight w:val="none"/>
        </w:rPr>
      </w:r>
      <w:r/>
    </w:p>
    <w:p>
      <w:pPr>
        <w:pStyle w:val="844"/>
        <w:spacing w:line="360" w:lineRule="auto"/>
        <w:rPr>
          <w:rFonts w:hint="eastAsia"/>
          <w:color w:val="000000"/>
          <w:sz w:val="24"/>
          <w:highlight w:val="none"/>
        </w:rPr>
      </w:pPr>
      <w:r>
        <w:rPr>
          <w:rFonts w:hint="eastAsia"/>
          <w:color w:val="000000"/>
          <w:sz w:val="24"/>
          <w:highlight w:val="none"/>
        </w:rPr>
      </w:r>
      <w:r/>
    </w:p>
    <w:p>
      <w:pPr>
        <w:pStyle w:val="84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44"/>
        <w:spacing w:line="360" w:lineRule="auto"/>
        <w:tabs>
          <w:tab w:val="left" w:pos="5580" w:leader="none"/>
        </w:tabs>
        <w:rPr>
          <w:color w:val="000000"/>
          <w:sz w:val="24"/>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color w:val="000000"/>
          <w:sz w:val="24"/>
          <w:highlight w:val="none"/>
        </w:rPr>
      </w:r>
      <w:r/>
    </w:p>
    <w:p>
      <w:pPr>
        <w:pStyle w:val="844"/>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44"/>
        <w:spacing w:line="360" w:lineRule="auto"/>
        <w:rPr>
          <w:color w:val="000000"/>
          <w:sz w:val="24"/>
          <w:szCs w:val="20"/>
          <w:highlight w:val="none"/>
        </w:rPr>
        <w:outlineLvl w:val="2"/>
      </w:pPr>
      <w:r>
        <w:rPr>
          <w:color w:val="000000"/>
          <w:sz w:val="24"/>
          <w:szCs w:val="20"/>
          <w:highlight w:val="none"/>
        </w:rPr>
        <w:t xml:space="preserve">2-1 中小企业声明函（实质性格式）</w:t>
      </w:r>
      <w:r>
        <w:rPr>
          <w:color w:val="000000"/>
          <w:sz w:val="24"/>
          <w:szCs w:val="20"/>
          <w:highlight w:val="none"/>
        </w:rPr>
      </w:r>
      <w:r/>
    </w:p>
    <w:p>
      <w:pPr>
        <w:pStyle w:val="844"/>
        <w:spacing w:line="360" w:lineRule="auto"/>
        <w:tabs>
          <w:tab w:val="left" w:pos="5580" w:leader="none"/>
        </w:tabs>
        <w:rPr>
          <w:color w:val="000000"/>
          <w:sz w:val="24"/>
          <w:highlight w:val="none"/>
        </w:rPr>
      </w:pPr>
      <w:r>
        <w:rPr>
          <w:color w:val="000000"/>
          <w:sz w:val="24"/>
          <w:highlight w:val="none"/>
        </w:rPr>
      </w:r>
      <w:r/>
    </w:p>
    <w:p>
      <w:pPr>
        <w:pStyle w:val="844"/>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44"/>
        <w:spacing w:line="360" w:lineRule="auto"/>
        <w:tabs>
          <w:tab w:val="left" w:pos="5580"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）如本项目专门面向中小/小微企业采购，须提供《中小企业声明函》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44"/>
        <w:spacing w:line="360" w:lineRule="auto"/>
        <w:tabs>
          <w:tab w:val="left" w:pos="5580"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844"/>
        <w:spacing w:line="360" w:lineRule="auto"/>
        <w:tabs>
          <w:tab w:val="left" w:pos="5580" w:leader="none"/>
        </w:tabs>
        <w:rPr>
          <w:color w:val="000000"/>
          <w:sz w:val="24"/>
          <w:highlight w:val="none"/>
        </w:rPr>
      </w:pPr>
      <w:r>
        <w:rPr>
          <w:color w:val="000000"/>
          <w:sz w:val="24"/>
          <w:highlight w:val="none"/>
        </w:rPr>
      </w:r>
      <w:r/>
    </w:p>
    <w:p>
      <w:pPr>
        <w:pStyle w:val="844"/>
        <w:jc w:val="left"/>
        <w:widowControl/>
        <w:rPr>
          <w:color w:val="000000"/>
          <w:sz w:val="24"/>
          <w:highlight w:val="none"/>
        </w:rPr>
      </w:pPr>
      <w:r>
        <w:rPr>
          <w:color w:val="000000"/>
          <w:sz w:val="24"/>
          <w:highlight w:val="none"/>
        </w:rPr>
        <w:br w:type="page" w:clear="all"/>
      </w:r>
      <w:r>
        <w:rPr>
          <w:color w:val="000000"/>
          <w:sz w:val="24"/>
          <w:highlight w:val="none"/>
        </w:rPr>
      </w:r>
      <w:r/>
    </w:p>
    <w:p>
      <w:pPr>
        <w:pStyle w:val="844"/>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本公司郑重声明，根据《政府采购促进中小企业发展管理办法》（财库﹝2020﹞46 号）的规定，本公司参加</w:t>
      </w:r>
      <w:r>
        <w:rPr>
          <w:color w:val="000000"/>
          <w:spacing w:val="6"/>
          <w:sz w:val="24"/>
          <w:highlight w:val="none"/>
          <w:u w:val="single"/>
        </w:rPr>
        <w:t xml:space="preserve">（单位名称）</w:t>
      </w:r>
      <w:r>
        <w:rPr>
          <w:color w:val="000000"/>
          <w:spacing w:val="6"/>
          <w:sz w:val="24"/>
          <w:highlight w:val="none"/>
        </w:rPr>
        <w:t xml:space="preserve">的</w:t>
      </w:r>
      <w:r>
        <w:rPr>
          <w:color w:val="000000"/>
          <w:spacing w:val="6"/>
          <w:sz w:val="24"/>
          <w:highlight w:val="none"/>
          <w:u w:val="single"/>
        </w:rPr>
        <w:t xml:space="preserve">（项目名称）</w:t>
      </w:r>
      <w:r>
        <w:rPr>
          <w:color w:val="000000"/>
          <w:spacing w:val="6"/>
          <w:sz w:val="24"/>
          <w:highlight w:val="none"/>
        </w:rPr>
        <w:t xml:space="preserve">采购活动，服务全部由符合政策要求的中小企业承接。相关企业（含联合体中的中小企业、签订分包意向协议的中小企业）的具体情况如下：</w:t>
      </w: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44"/>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44"/>
        <w:ind w:right="360" w:firstLine="480"/>
        <w:jc w:val="right"/>
        <w:spacing w:line="360" w:lineRule="auto"/>
        <w:rPr>
          <w:color w:val="000000"/>
          <w:sz w:val="24"/>
          <w:highlight w:val="none"/>
        </w:rPr>
      </w:pPr>
      <w:r>
        <w:rPr>
          <w:color w:val="000000"/>
          <w:sz w:val="24"/>
          <w:highlight w:val="none"/>
        </w:rPr>
      </w:r>
      <w:r/>
    </w:p>
    <w:p>
      <w:pPr>
        <w:pStyle w:val="84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4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44"/>
        <w:jc w:val="left"/>
        <w:rPr>
          <w:color w:val="000000"/>
          <w:sz w:val="24"/>
          <w:szCs w:val="21"/>
          <w:highlight w:val="none"/>
        </w:rPr>
      </w:pPr>
      <w:r>
        <w:rPr>
          <w:color w:val="000000"/>
          <w:sz w:val="24"/>
          <w:szCs w:val="21"/>
          <w:highlight w:val="none"/>
        </w:rPr>
      </w:r>
      <w:r/>
    </w:p>
    <w:p>
      <w:pPr>
        <w:pStyle w:val="84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44"/>
        <w:jc w:val="left"/>
        <w:rPr>
          <w:color w:val="000000"/>
          <w:szCs w:val="21"/>
          <w:highlight w:val="none"/>
          <w:vertAlign w:val="superscript"/>
        </w:rPr>
      </w:pPr>
      <w:r>
        <w:rPr>
          <w:color w:val="000000"/>
          <w:szCs w:val="21"/>
          <w:highlight w:val="none"/>
          <w:vertAlign w:val="superscript"/>
        </w:rPr>
      </w:r>
      <w:r/>
    </w:p>
    <w:p>
      <w:pPr>
        <w:pStyle w:val="844"/>
        <w:ind w:right="360" w:firstLine="480"/>
        <w:jc w:val="right"/>
        <w:spacing w:line="360" w:lineRule="auto"/>
        <w:rPr>
          <w:color w:val="000000"/>
          <w:sz w:val="24"/>
          <w:highlight w:val="none"/>
        </w:rPr>
      </w:pPr>
      <w:r>
        <w:rPr>
          <w:color w:val="000000"/>
          <w:sz w:val="24"/>
          <w:highlight w:val="none"/>
        </w:rPr>
      </w:r>
      <w:r/>
    </w:p>
    <w:p>
      <w:pPr>
        <w:pStyle w:val="84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4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4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44"/>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44"/>
        <w:jc w:val="center"/>
        <w:spacing w:before="240" w:after="240" w:line="360" w:lineRule="auto"/>
        <w:rPr>
          <w:color w:val="000000"/>
          <w:sz w:val="24"/>
          <w:szCs w:val="20"/>
          <w:highlight w:val="none"/>
        </w:rPr>
      </w:pPr>
      <w:r>
        <w:rPr>
          <w:color w:val="000000"/>
          <w:sz w:val="24"/>
          <w:szCs w:val="20"/>
          <w:highlight w:val="none"/>
        </w:rPr>
      </w:r>
      <w:r/>
    </w:p>
    <w:p>
      <w:pPr>
        <w:pStyle w:val="844"/>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44"/>
        <w:jc w:val="center"/>
        <w:rPr>
          <w:color w:val="000000"/>
          <w:sz w:val="36"/>
          <w:szCs w:val="36"/>
          <w:highlight w:val="none"/>
        </w:rPr>
      </w:pPr>
      <w:r>
        <w:rPr>
          <w:color w:val="000000"/>
          <w:sz w:val="36"/>
          <w:szCs w:val="36"/>
          <w:highlight w:val="none"/>
        </w:rPr>
      </w:r>
      <w:r/>
    </w:p>
    <w:p>
      <w:pPr>
        <w:pStyle w:val="84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4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4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4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44"/>
        <w:ind w:firstLine="504"/>
        <w:spacing w:line="588" w:lineRule="exact"/>
        <w:rPr>
          <w:color w:val="000000"/>
          <w:spacing w:val="6"/>
          <w:sz w:val="24"/>
          <w:highlight w:val="none"/>
        </w:rPr>
      </w:pPr>
      <w:r>
        <w:rPr>
          <w:color w:val="000000"/>
          <w:spacing w:val="6"/>
          <w:sz w:val="24"/>
          <w:highlight w:val="none"/>
        </w:rPr>
      </w:r>
      <w:r/>
    </w:p>
    <w:p>
      <w:pPr>
        <w:pStyle w:val="844"/>
        <w:ind w:firstLine="504"/>
        <w:spacing w:line="588" w:lineRule="exact"/>
        <w:rPr>
          <w:color w:val="000000"/>
          <w:spacing w:val="6"/>
          <w:sz w:val="24"/>
          <w:highlight w:val="none"/>
        </w:rPr>
      </w:pPr>
      <w:r>
        <w:rPr>
          <w:color w:val="000000"/>
          <w:spacing w:val="6"/>
          <w:sz w:val="24"/>
          <w:highlight w:val="none"/>
        </w:rPr>
      </w:r>
      <w:r/>
    </w:p>
    <w:p>
      <w:pPr>
        <w:pStyle w:val="84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84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44"/>
        <w:jc w:val="left"/>
        <w:widowControl/>
        <w:rPr>
          <w:color w:val="000000"/>
          <w:sz w:val="24"/>
          <w:highlight w:val="none"/>
        </w:rPr>
      </w:pPr>
      <w:r>
        <w:rPr>
          <w:color w:val="000000"/>
          <w:sz w:val="24"/>
          <w:szCs w:val="20"/>
          <w:highlight w:val="none"/>
        </w:rPr>
        <w:br w:type="page" w:clear="all"/>
      </w:r>
      <w:r>
        <w:rPr>
          <w:color w:val="000000"/>
          <w:sz w:val="24"/>
          <w:highlight w:val="none"/>
        </w:rPr>
      </w:r>
      <w:r/>
    </w:p>
    <w:p>
      <w:pPr>
        <w:pStyle w:val="844"/>
        <w:rPr>
          <w:rFonts w:hint="eastAsia" w:ascii="宋体" w:hAnsi="宋体" w:cs="宋体"/>
          <w:b/>
          <w:bCs/>
          <w:color w:val="000000"/>
          <w:sz w:val="24"/>
          <w:highlight w:val="none"/>
        </w:rPr>
        <w:outlineLvl w:val="2"/>
      </w:pPr>
      <w:r>
        <w:rPr>
          <w:color w:val="000000"/>
          <w:sz w:val="24"/>
          <w:szCs w:val="20"/>
          <w:highlight w:val="none"/>
        </w:rPr>
        <w:t xml:space="preserve">3 </w:t>
      </w:r>
      <w:r>
        <w:rPr>
          <w:color w:val="000000"/>
          <w:sz w:val="24"/>
          <w:highlight w:val="none"/>
        </w:rPr>
        <w:t xml:space="preserve">本项目的特定资格要求</w:t>
      </w: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44"/>
        <w:spacing w:line="360" w:lineRule="auto"/>
        <w:rPr>
          <w:color w:val="000000"/>
          <w:sz w:val="24"/>
          <w:szCs w:val="20"/>
          <w:highlight w:val="none"/>
        </w:rPr>
        <w:outlineLvl w:val="2"/>
      </w:pPr>
      <w:r/>
      <w:bookmarkStart w:id="668" w:name="_Toc226965747"/>
      <w:r/>
      <w:bookmarkStart w:id="669" w:name="_Toc520356218"/>
      <w:r/>
      <w:bookmarkStart w:id="670" w:name="_Toc142311059"/>
      <w:r/>
      <w:bookmarkStart w:id="671" w:name="_Ref467988705"/>
      <w:r/>
      <w:bookmarkStart w:id="672" w:name="_Toc226337253"/>
      <w:r/>
      <w:bookmarkStart w:id="673" w:name="_Toc195842922"/>
      <w:r/>
      <w:bookmarkStart w:id="674" w:name="_Toc265228395"/>
      <w:r/>
      <w:bookmarkStart w:id="675" w:name="_Toc127151557"/>
      <w:r/>
      <w:bookmarkStart w:id="676" w:name="_Toc226965830"/>
      <w:r/>
      <w:bookmarkStart w:id="677" w:name="_Toc150480795"/>
      <w:r/>
      <w:bookmarkStart w:id="678" w:name="_Toc226309801"/>
      <w:r/>
      <w:bookmarkStart w:id="679" w:name="_Toc305158899"/>
      <w:r/>
      <w:bookmarkStart w:id="680" w:name="_Toc264969247"/>
      <w:r/>
      <w:bookmarkStart w:id="681" w:name="_Toc480942350"/>
      <w:r/>
      <w:bookmarkStart w:id="682" w:name="_Toc150774762"/>
      <w:r/>
      <w:bookmarkStart w:id="683" w:name="_Toc305158825"/>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44"/>
        <w:spacing w:line="360" w:lineRule="auto"/>
        <w:tabs>
          <w:tab w:val="left" w:pos="5580" w:leader="none"/>
        </w:tabs>
        <w:rPr>
          <w:color w:val="000000"/>
          <w:sz w:val="24"/>
          <w:highlight w:val="none"/>
        </w:rPr>
      </w:pPr>
      <w:r>
        <w:rPr>
          <w:color w:val="000000"/>
          <w:sz w:val="24"/>
          <w:highlight w:val="none"/>
        </w:rPr>
      </w:r>
      <w:r/>
    </w:p>
    <w:p>
      <w:pPr>
        <w:pStyle w:val="844"/>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84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w:t>
      </w:r>
      <w:r>
        <w:rPr>
          <w:color w:val="000000"/>
          <w:sz w:val="24"/>
          <w:highlight w:val="none"/>
        </w:rPr>
      </w:r>
      <w:r/>
    </w:p>
    <w:p>
      <w:pPr>
        <w:pStyle w:val="844"/>
        <w:spacing w:line="360" w:lineRule="auto"/>
        <w:tabs>
          <w:tab w:val="left" w:pos="5580" w:leader="none"/>
        </w:tabs>
        <w:rPr>
          <w:color w:val="000000"/>
          <w:sz w:val="24"/>
          <w:szCs w:val="20"/>
          <w:highlight w:val="none"/>
        </w:rPr>
      </w:pPr>
      <w:r>
        <w:rPr>
          <w:color w:val="000000"/>
          <w:sz w:val="24"/>
          <w:szCs w:val="20"/>
          <w:highlight w:val="none"/>
        </w:rPr>
      </w:r>
      <w:r/>
    </w:p>
    <w:p>
      <w:pPr>
        <w:pStyle w:val="84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4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4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4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4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4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84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44"/>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84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4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44"/>
        <w:jc w:val="left"/>
        <w:widowControl/>
        <w:rPr>
          <w:rFonts w:hint="eastAsia"/>
          <w:color w:val="000000"/>
          <w:sz w:val="24"/>
          <w:highlight w:val="none"/>
        </w:rPr>
      </w:pPr>
      <w:r/>
      <w:bookmarkStart w:id="684" w:name="_Hlt520356243"/>
      <w:r/>
      <w:bookmarkEnd w:id="684"/>
      <w:r/>
      <w:bookmarkStart w:id="685" w:name="_Hlt520355938"/>
      <w:r/>
      <w:bookmarkEnd w:id="685"/>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4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ascii="宋体" w:hAnsi="宋体"/>
          <w:color w:val="000000"/>
          <w:sz w:val="24"/>
          <w:highlight w:val="none"/>
        </w:rPr>
      </w:r>
      <w:r/>
    </w:p>
    <w:p>
      <w:pPr>
        <w:pStyle w:val="85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84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4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4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4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4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4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r>
      <w:r/>
    </w:p>
    <w:p>
      <w:pPr>
        <w:pStyle w:val="844"/>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84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4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44"/>
        <w:ind w:firstLine="640"/>
        <w:rPr>
          <w:color w:val="000000"/>
          <w:highlight w:val="none"/>
        </w:rPr>
      </w:pPr>
      <w:r>
        <w:rPr>
          <w:color w:val="000000"/>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4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9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84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报价一览表</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color w:val="000000"/>
          <w:sz w:val="24"/>
          <w:szCs w:val="20"/>
          <w:highlight w:val="none"/>
        </w:rPr>
      </w:r>
      <w:r/>
    </w:p>
    <w:p>
      <w:pPr>
        <w:pStyle w:val="844"/>
        <w:jc w:val="center"/>
        <w:rPr>
          <w:b/>
          <w:color w:val="000000"/>
          <w:sz w:val="36"/>
          <w:szCs w:val="36"/>
          <w:highlight w:val="none"/>
        </w:rPr>
      </w:pPr>
      <w:r/>
      <w:bookmarkStart w:id="686" w:name="_Toc226965748"/>
      <w:r/>
      <w:bookmarkStart w:id="687" w:name="_Toc305158900"/>
      <w:r/>
      <w:bookmarkStart w:id="688" w:name="_Toc226309802"/>
      <w:r/>
      <w:bookmarkStart w:id="689" w:name="_Toc226337254"/>
      <w:r/>
      <w:bookmarkStart w:id="690" w:name="_Toc164608827"/>
      <w:r/>
      <w:bookmarkStart w:id="691" w:name="_Toc195842923"/>
      <w:r/>
      <w:bookmarkStart w:id="692" w:name="_Toc226965831"/>
      <w:r/>
      <w:bookmarkStart w:id="693" w:name="_Toc265228396"/>
      <w:r/>
      <w:bookmarkStart w:id="694" w:name="_Toc264969248"/>
      <w:r/>
      <w:bookmarkStart w:id="695" w:name="_Toc305158826"/>
      <w:r/>
      <w:bookmarkStart w:id="696" w:name="_Toc164608672"/>
      <w:r>
        <w:rPr>
          <w:rFonts w:hint="eastAsia"/>
          <w:b/>
          <w:color w:val="000000"/>
          <w:sz w:val="36"/>
          <w:szCs w:val="36"/>
          <w:highlight w:val="none"/>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rPr>
          <w:b/>
          <w:color w:val="000000"/>
          <w:sz w:val="36"/>
          <w:szCs w:val="36"/>
          <w:highlight w:val="none"/>
        </w:rPr>
      </w:r>
      <w:r/>
    </w:p>
    <w:p>
      <w:pPr>
        <w:pStyle w:val="844"/>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44"/>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trHeight w:val="1215"/>
        </w:trPr>
        <w:tc>
          <w:tcPr>
            <w:tcW w:w="723" w:type="dxa"/>
            <w:vAlign w:val="center"/>
            <w:textDirection w:val="lrTb"/>
            <w:noWrap w:val="false"/>
          </w:tcPr>
          <w:p>
            <w:pPr>
              <w:pStyle w:val="84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785" w:type="dxa"/>
            <w:vAlign w:val="center"/>
            <w:textDirection w:val="lrTb"/>
            <w:noWrap w:val="false"/>
          </w:tcPr>
          <w:p>
            <w:pPr>
              <w:pStyle w:val="844"/>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2492" w:type="dxa"/>
            <w:vAlign w:val="center"/>
            <w:textDirection w:val="lrTb"/>
            <w:noWrap w:val="false"/>
          </w:tcPr>
          <w:p>
            <w:pPr>
              <w:pStyle w:val="844"/>
              <w:jc w:val="center"/>
              <w:tabs>
                <w:tab w:val="left" w:pos="5580" w:leader="none"/>
              </w:tabs>
              <w:rPr>
                <w:b/>
                <w:color w:val="000000"/>
                <w:sz w:val="24"/>
                <w:highlight w:val="none"/>
              </w:rPr>
            </w:pPr>
            <w:r>
              <w:rPr>
                <w:rFonts w:hint="eastAsia"/>
                <w:b/>
                <w:color w:val="000000"/>
                <w:sz w:val="24"/>
                <w:highlight w:val="none"/>
              </w:rPr>
              <w:t xml:space="preserve">投标报价（万元）</w:t>
            </w:r>
            <w:r>
              <w:rPr>
                <w:b/>
                <w:color w:val="000000"/>
                <w:sz w:val="24"/>
                <w:highlight w:val="none"/>
              </w:rPr>
            </w:r>
            <w:r/>
          </w:p>
        </w:tc>
      </w:tr>
      <w:tr>
        <w:trPr>
          <w:trHeight w:val="976"/>
        </w:trPr>
        <w:tc>
          <w:tcPr>
            <w:tcW w:w="723" w:type="dxa"/>
            <w:vAlign w:val="center"/>
            <w:textDirection w:val="lrTb"/>
            <w:noWrap w:val="false"/>
          </w:tcPr>
          <w:p>
            <w:pPr>
              <w:pStyle w:val="844"/>
              <w:jc w:val="center"/>
              <w:tabs>
                <w:tab w:val="left" w:pos="5580" w:leader="none"/>
              </w:tabs>
              <w:rPr>
                <w:color w:val="000000"/>
                <w:sz w:val="24"/>
                <w:highlight w:val="none"/>
              </w:rPr>
            </w:pPr>
            <w:r>
              <w:rPr>
                <w:color w:val="000000"/>
                <w:sz w:val="24"/>
                <w:highlight w:val="none"/>
              </w:rPr>
            </w:r>
            <w:r/>
          </w:p>
        </w:tc>
        <w:tc>
          <w:tcPr>
            <w:tcW w:w="1785" w:type="dxa"/>
            <w:vAlign w:val="center"/>
            <w:textDirection w:val="lrTb"/>
            <w:noWrap w:val="false"/>
          </w:tcPr>
          <w:p>
            <w:pPr>
              <w:pStyle w:val="844"/>
              <w:jc w:val="center"/>
              <w:tabs>
                <w:tab w:val="left" w:pos="5580" w:leader="none"/>
              </w:tabs>
              <w:rPr>
                <w:color w:val="000000"/>
                <w:sz w:val="24"/>
                <w:highlight w:val="none"/>
              </w:rPr>
            </w:pPr>
            <w:r>
              <w:rPr>
                <w:color w:val="000000"/>
                <w:sz w:val="24"/>
                <w:highlight w:val="none"/>
              </w:rPr>
            </w:r>
            <w:r/>
          </w:p>
        </w:tc>
        <w:tc>
          <w:tcPr>
            <w:tcW w:w="2492" w:type="dxa"/>
            <w:vAlign w:val="center"/>
            <w:textDirection w:val="lrTb"/>
            <w:noWrap w:val="false"/>
          </w:tcPr>
          <w:p>
            <w:pPr>
              <w:pStyle w:val="844"/>
              <w:jc w:val="center"/>
              <w:tabs>
                <w:tab w:val="left" w:pos="5580" w:leader="none"/>
              </w:tabs>
              <w:rPr>
                <w:color w:val="000000"/>
                <w:sz w:val="24"/>
                <w:highlight w:val="none"/>
              </w:rPr>
            </w:pPr>
            <w:r>
              <w:rPr>
                <w:color w:val="000000"/>
                <w:sz w:val="24"/>
                <w:highlight w:val="none"/>
              </w:rPr>
            </w:r>
            <w:r/>
          </w:p>
        </w:tc>
      </w:tr>
    </w:tbl>
    <w:p>
      <w:pPr>
        <w:pStyle w:val="844"/>
        <w:jc w:val="left"/>
        <w:rPr>
          <w:color w:val="000000"/>
          <w:sz w:val="24"/>
          <w:highlight w:val="none"/>
        </w:rPr>
      </w:pPr>
      <w:r>
        <w:rPr>
          <w:color w:val="000000"/>
          <w:sz w:val="24"/>
          <w:highlight w:val="none"/>
        </w:rPr>
      </w:r>
      <w:r/>
    </w:p>
    <w:p>
      <w:pPr>
        <w:pStyle w:val="844"/>
        <w:spacing w:before="25" w:after="25" w:line="360" w:lineRule="auto"/>
        <w:rPr>
          <w:color w:val="000000"/>
          <w:sz w:val="24"/>
          <w:highlight w:val="none"/>
          <w:lang w:val="zh-CN"/>
        </w:rPr>
      </w:pP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spacing w:line="360" w:lineRule="auto"/>
        <w:rPr>
          <w:color w:val="000000"/>
          <w:sz w:val="24"/>
          <w:szCs w:val="20"/>
          <w:highlight w:val="none"/>
        </w:rPr>
        <w:outlineLvl w:val="2"/>
      </w:pPr>
      <w:r/>
      <w:bookmarkStart w:id="697" w:name="_Toc195842924"/>
      <w:r/>
      <w:bookmarkStart w:id="698" w:name="_Toc226337255"/>
      <w:r/>
      <w:bookmarkStart w:id="699" w:name="_Toc127151558"/>
      <w:r/>
      <w:bookmarkStart w:id="700" w:name="_Toc265228397"/>
      <w:r/>
      <w:bookmarkStart w:id="701" w:name="_Toc150774763"/>
      <w:r/>
      <w:bookmarkStart w:id="702" w:name="_Toc264969249"/>
      <w:r/>
      <w:bookmarkStart w:id="703" w:name="_Toc150480796"/>
      <w:r/>
      <w:bookmarkStart w:id="704" w:name="_Toc226965749"/>
      <w:r/>
      <w:bookmarkStart w:id="705" w:name="_Toc226309803"/>
      <w:r/>
      <w:bookmarkStart w:id="706" w:name="_Toc142311060"/>
      <w:r/>
      <w:bookmarkStart w:id="707" w:name="_Toc305158901"/>
      <w:r/>
      <w:bookmarkStart w:id="708" w:name="_Toc305158827"/>
      <w:r/>
      <w:bookmarkStart w:id="709" w:name="_Toc226965832"/>
      <w:r>
        <w:rPr>
          <w:color w:val="000000"/>
          <w:sz w:val="24"/>
          <w:szCs w:val="20"/>
          <w:highlight w:val="none"/>
        </w:rPr>
        <w:br w:type="page" w:clear="all"/>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Start w:id="710" w:name="_Toc226337258"/>
      <w:r/>
      <w:bookmarkStart w:id="711" w:name="_Toc265228400"/>
      <w:r/>
      <w:bookmarkStart w:id="712" w:name="_Toc226309806"/>
      <w:r/>
      <w:bookmarkStart w:id="713" w:name="_Toc127151562"/>
      <w:r/>
      <w:bookmarkStart w:id="714" w:name="_Toc150480798"/>
      <w:r/>
      <w:bookmarkStart w:id="715" w:name="_Toc305158830"/>
      <w:r/>
      <w:bookmarkStart w:id="716" w:name="_Toc264969252"/>
      <w:r/>
      <w:bookmarkStart w:id="717" w:name="_Toc305158904"/>
      <w:r/>
      <w:bookmarkStart w:id="718" w:name="_Toc142311062"/>
      <w:r/>
      <w:bookmarkStart w:id="719" w:name="_Toc195842927"/>
      <w:r/>
      <w:bookmarkStart w:id="720" w:name="_Toc226965752"/>
      <w:r/>
      <w:bookmarkStart w:id="721" w:name="_Toc150774765"/>
      <w:r/>
      <w:bookmarkStart w:id="722" w:name="_Toc226965835"/>
      <w:r/>
      <w:bookmarkStart w:id="723" w:name="_Toc226965834"/>
      <w:r/>
      <w:bookmarkStart w:id="724" w:name="_Toc226309805"/>
      <w:r/>
      <w:bookmarkStart w:id="725" w:name="_Toc305158903"/>
      <w:r/>
      <w:bookmarkStart w:id="726" w:name="_Toc226337257"/>
      <w:r/>
      <w:bookmarkStart w:id="727" w:name="_Toc226965751"/>
      <w:r/>
      <w:bookmarkStart w:id="728" w:name="_Toc142311061"/>
      <w:r/>
      <w:bookmarkStart w:id="729" w:name="_Toc305158829"/>
      <w:r/>
      <w:bookmarkStart w:id="730" w:name="_Toc195842926"/>
      <w:r/>
      <w:bookmarkStart w:id="731" w:name="_Toc150480797"/>
      <w:r/>
      <w:bookmarkStart w:id="732" w:name="_Toc150774764"/>
      <w:r/>
      <w:bookmarkStart w:id="733" w:name="_Toc264969251"/>
      <w:r/>
      <w:bookmarkStart w:id="734" w:name="_Toc265228399"/>
      <w:r/>
      <w:bookmarkStart w:id="735" w:name="_Toc127151561"/>
      <w:r>
        <w:rPr>
          <w:rFonts w:hint="eastAsia"/>
          <w:color w:val="000000"/>
          <w:sz w:val="24"/>
          <w:highlight w:val="none"/>
        </w:rPr>
        <w:t xml:space="preserve">5</w:t>
      </w:r>
      <w:r>
        <w:rPr>
          <w:color w:val="000000"/>
          <w:sz w:val="24"/>
          <w:szCs w:val="20"/>
          <w:highlight w:val="none"/>
        </w:rPr>
        <w:t xml:space="preserve">  合同条款偏离表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color w:val="000000"/>
          <w:sz w:val="24"/>
          <w:szCs w:val="20"/>
          <w:highlight w:val="none"/>
        </w:rPr>
        <w:t xml:space="preserve">（实质性格式）</w:t>
      </w:r>
      <w:r>
        <w:rPr>
          <w:color w:val="000000"/>
          <w:sz w:val="24"/>
          <w:szCs w:val="20"/>
          <w:highlight w:val="none"/>
        </w:rPr>
      </w:r>
      <w:r/>
    </w:p>
    <w:p>
      <w:pPr>
        <w:pStyle w:val="844"/>
        <w:spacing w:line="360" w:lineRule="auto"/>
        <w:rPr>
          <w:color w:val="000000"/>
          <w:sz w:val="24"/>
          <w:szCs w:val="20"/>
          <w:highlight w:val="none"/>
        </w:rPr>
      </w:pPr>
      <w:r>
        <w:rPr>
          <w:color w:val="000000"/>
          <w:sz w:val="24"/>
          <w:szCs w:val="20"/>
          <w:highlight w:val="none"/>
        </w:rPr>
      </w:r>
      <w:r/>
    </w:p>
    <w:p>
      <w:pPr>
        <w:pStyle w:val="844"/>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44"/>
        <w:jc w:val="center"/>
        <w:rPr>
          <w:color w:val="000000"/>
          <w:sz w:val="36"/>
          <w:szCs w:val="36"/>
          <w:highlight w:val="none"/>
        </w:rPr>
      </w:pPr>
      <w:r>
        <w:rPr>
          <w:color w:val="000000"/>
          <w:sz w:val="36"/>
          <w:szCs w:val="36"/>
          <w:highlight w:val="none"/>
        </w:rPr>
      </w:r>
      <w:r/>
    </w:p>
    <w:p>
      <w:pPr>
        <w:pStyle w:val="844"/>
        <w:spacing w:line="360" w:lineRule="auto"/>
        <w:rPr>
          <w:color w:val="000000"/>
          <w:sz w:val="24"/>
          <w:szCs w:val="20"/>
          <w:highlight w:val="none"/>
        </w:rPr>
      </w:pPr>
      <w:r>
        <w:rPr>
          <w:color w:val="000000"/>
          <w:sz w:val="24"/>
          <w:szCs w:val="20"/>
          <w:highlight w:val="none"/>
        </w:rPr>
      </w:r>
      <w:r/>
    </w:p>
    <w:p>
      <w:pPr>
        <w:pStyle w:val="84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44"/>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84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4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84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44"/>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44"/>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44"/>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844"/>
              <w:jc w:val="center"/>
              <w:rPr>
                <w:color w:val="000000"/>
                <w:sz w:val="24"/>
                <w:highlight w:val="none"/>
              </w:rPr>
            </w:pPr>
            <w:r>
              <w:rPr>
                <w:color w:val="000000"/>
                <w:sz w:val="24"/>
                <w:highlight w:val="none"/>
              </w:rPr>
              <w:t xml:space="preserve">偏离情况</w:t>
            </w:r>
            <w:r>
              <w:rPr>
                <w:color w:val="000000"/>
                <w:sz w:val="24"/>
                <w:highlight w:val="none"/>
              </w:rPr>
            </w:r>
            <w:r/>
          </w:p>
          <w:p>
            <w:pPr>
              <w:pStyle w:val="844"/>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84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44"/>
              <w:jc w:val="center"/>
              <w:rPr>
                <w:color w:val="000000"/>
                <w:sz w:val="24"/>
                <w:highlight w:val="none"/>
              </w:rPr>
            </w:pPr>
            <w:r>
              <w:rPr>
                <w:color w:val="000000"/>
                <w:sz w:val="24"/>
                <w:highlight w:val="none"/>
              </w:rPr>
            </w:r>
            <w:r/>
          </w:p>
        </w:tc>
        <w:tc>
          <w:tcPr>
            <w:tcW w:w="1301" w:type="dxa"/>
            <w:vAlign w:val="center"/>
            <w:textDirection w:val="lrTb"/>
            <w:noWrap w:val="false"/>
          </w:tcPr>
          <w:p>
            <w:pPr>
              <w:pStyle w:val="844"/>
              <w:jc w:val="center"/>
              <w:rPr>
                <w:color w:val="000000"/>
                <w:sz w:val="24"/>
                <w:highlight w:val="none"/>
              </w:rPr>
            </w:pPr>
            <w:r>
              <w:rPr>
                <w:color w:val="000000"/>
                <w:sz w:val="24"/>
                <w:highlight w:val="none"/>
              </w:rPr>
            </w:r>
            <w:r/>
          </w:p>
        </w:tc>
        <w:tc>
          <w:tcPr>
            <w:tcW w:w="2007" w:type="dxa"/>
            <w:vAlign w:val="center"/>
            <w:textDirection w:val="lrTb"/>
            <w:noWrap w:val="false"/>
          </w:tcPr>
          <w:p>
            <w:pPr>
              <w:pStyle w:val="844"/>
              <w:jc w:val="center"/>
              <w:rPr>
                <w:color w:val="000000"/>
                <w:sz w:val="24"/>
                <w:highlight w:val="none"/>
              </w:rPr>
            </w:pPr>
            <w:r>
              <w:rPr>
                <w:color w:val="000000"/>
                <w:sz w:val="24"/>
                <w:highlight w:val="none"/>
              </w:rPr>
            </w:r>
            <w:r/>
          </w:p>
        </w:tc>
        <w:tc>
          <w:tcPr>
            <w:tcW w:w="2008" w:type="dxa"/>
            <w:vAlign w:val="center"/>
            <w:textDirection w:val="lrTb"/>
            <w:noWrap w:val="false"/>
          </w:tcPr>
          <w:p>
            <w:pPr>
              <w:pStyle w:val="844"/>
              <w:jc w:val="center"/>
              <w:rPr>
                <w:color w:val="000000"/>
                <w:sz w:val="24"/>
                <w:highlight w:val="none"/>
              </w:rPr>
            </w:pPr>
            <w:r>
              <w:rPr>
                <w:color w:val="000000"/>
                <w:sz w:val="24"/>
                <w:highlight w:val="none"/>
              </w:rPr>
            </w:r>
            <w:r/>
          </w:p>
        </w:tc>
        <w:tc>
          <w:tcPr>
            <w:tcW w:w="2458" w:type="dxa"/>
            <w:vAlign w:val="center"/>
            <w:textDirection w:val="lrTb"/>
            <w:noWrap w:val="false"/>
          </w:tcPr>
          <w:p>
            <w:pPr>
              <w:pStyle w:val="844"/>
              <w:jc w:val="center"/>
              <w:rPr>
                <w:color w:val="000000"/>
                <w:sz w:val="24"/>
                <w:highlight w:val="none"/>
              </w:rPr>
            </w:pPr>
            <w:r>
              <w:rPr>
                <w:color w:val="000000"/>
                <w:sz w:val="24"/>
                <w:highlight w:val="none"/>
              </w:rPr>
            </w:r>
            <w:r/>
          </w:p>
        </w:tc>
        <w:tc>
          <w:tcPr>
            <w:tcW w:w="788"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44"/>
              <w:jc w:val="center"/>
              <w:rPr>
                <w:color w:val="000000"/>
                <w:sz w:val="24"/>
                <w:highlight w:val="none"/>
              </w:rPr>
            </w:pPr>
            <w:r>
              <w:rPr>
                <w:color w:val="000000"/>
                <w:sz w:val="24"/>
                <w:highlight w:val="none"/>
              </w:rPr>
            </w:r>
            <w:r/>
          </w:p>
        </w:tc>
        <w:tc>
          <w:tcPr>
            <w:tcW w:w="1301" w:type="dxa"/>
            <w:vAlign w:val="center"/>
            <w:textDirection w:val="lrTb"/>
            <w:noWrap w:val="false"/>
          </w:tcPr>
          <w:p>
            <w:pPr>
              <w:pStyle w:val="844"/>
              <w:jc w:val="center"/>
              <w:rPr>
                <w:color w:val="000000"/>
                <w:sz w:val="24"/>
                <w:highlight w:val="none"/>
              </w:rPr>
            </w:pPr>
            <w:r>
              <w:rPr>
                <w:color w:val="000000"/>
                <w:sz w:val="24"/>
                <w:highlight w:val="none"/>
              </w:rPr>
            </w:r>
            <w:r/>
          </w:p>
        </w:tc>
        <w:tc>
          <w:tcPr>
            <w:tcW w:w="2007" w:type="dxa"/>
            <w:vAlign w:val="center"/>
            <w:textDirection w:val="lrTb"/>
            <w:noWrap w:val="false"/>
          </w:tcPr>
          <w:p>
            <w:pPr>
              <w:pStyle w:val="844"/>
              <w:jc w:val="center"/>
              <w:rPr>
                <w:color w:val="000000"/>
                <w:sz w:val="24"/>
                <w:highlight w:val="none"/>
              </w:rPr>
            </w:pPr>
            <w:r>
              <w:rPr>
                <w:color w:val="000000"/>
                <w:sz w:val="24"/>
                <w:highlight w:val="none"/>
              </w:rPr>
            </w:r>
            <w:r/>
          </w:p>
        </w:tc>
        <w:tc>
          <w:tcPr>
            <w:tcW w:w="2008" w:type="dxa"/>
            <w:vAlign w:val="center"/>
            <w:textDirection w:val="lrTb"/>
            <w:noWrap w:val="false"/>
          </w:tcPr>
          <w:p>
            <w:pPr>
              <w:pStyle w:val="844"/>
              <w:jc w:val="center"/>
              <w:rPr>
                <w:color w:val="000000"/>
                <w:sz w:val="24"/>
                <w:highlight w:val="none"/>
              </w:rPr>
            </w:pPr>
            <w:r>
              <w:rPr>
                <w:color w:val="000000"/>
                <w:sz w:val="24"/>
                <w:highlight w:val="none"/>
              </w:rPr>
            </w:r>
            <w:r/>
          </w:p>
        </w:tc>
        <w:tc>
          <w:tcPr>
            <w:tcW w:w="2458" w:type="dxa"/>
            <w:vAlign w:val="center"/>
            <w:textDirection w:val="lrTb"/>
            <w:noWrap w:val="false"/>
          </w:tcPr>
          <w:p>
            <w:pPr>
              <w:pStyle w:val="844"/>
              <w:jc w:val="center"/>
              <w:rPr>
                <w:color w:val="000000"/>
                <w:sz w:val="24"/>
                <w:highlight w:val="none"/>
              </w:rPr>
            </w:pPr>
            <w:r>
              <w:rPr>
                <w:color w:val="000000"/>
                <w:sz w:val="24"/>
                <w:highlight w:val="none"/>
              </w:rPr>
            </w:r>
            <w:r/>
          </w:p>
        </w:tc>
        <w:tc>
          <w:tcPr>
            <w:tcW w:w="788"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44"/>
              <w:jc w:val="center"/>
              <w:rPr>
                <w:color w:val="000000"/>
                <w:sz w:val="24"/>
                <w:highlight w:val="none"/>
              </w:rPr>
            </w:pPr>
            <w:r>
              <w:rPr>
                <w:color w:val="000000"/>
                <w:sz w:val="24"/>
                <w:highlight w:val="none"/>
              </w:rPr>
            </w:r>
            <w:r/>
          </w:p>
        </w:tc>
        <w:tc>
          <w:tcPr>
            <w:tcW w:w="1301" w:type="dxa"/>
            <w:vAlign w:val="center"/>
            <w:textDirection w:val="lrTb"/>
            <w:noWrap w:val="false"/>
          </w:tcPr>
          <w:p>
            <w:pPr>
              <w:pStyle w:val="844"/>
              <w:jc w:val="center"/>
              <w:rPr>
                <w:color w:val="000000"/>
                <w:sz w:val="24"/>
                <w:highlight w:val="none"/>
              </w:rPr>
            </w:pPr>
            <w:r>
              <w:rPr>
                <w:color w:val="000000"/>
                <w:sz w:val="24"/>
                <w:highlight w:val="none"/>
              </w:rPr>
            </w:r>
            <w:r/>
          </w:p>
        </w:tc>
        <w:tc>
          <w:tcPr>
            <w:tcW w:w="2007" w:type="dxa"/>
            <w:vAlign w:val="center"/>
            <w:textDirection w:val="lrTb"/>
            <w:noWrap w:val="false"/>
          </w:tcPr>
          <w:p>
            <w:pPr>
              <w:pStyle w:val="844"/>
              <w:jc w:val="center"/>
              <w:rPr>
                <w:color w:val="000000"/>
                <w:sz w:val="24"/>
                <w:highlight w:val="none"/>
              </w:rPr>
            </w:pPr>
            <w:r>
              <w:rPr>
                <w:color w:val="000000"/>
                <w:sz w:val="24"/>
                <w:highlight w:val="none"/>
              </w:rPr>
            </w:r>
            <w:r/>
          </w:p>
        </w:tc>
        <w:tc>
          <w:tcPr>
            <w:tcW w:w="2008" w:type="dxa"/>
            <w:vAlign w:val="center"/>
            <w:textDirection w:val="lrTb"/>
            <w:noWrap w:val="false"/>
          </w:tcPr>
          <w:p>
            <w:pPr>
              <w:pStyle w:val="844"/>
              <w:jc w:val="center"/>
              <w:rPr>
                <w:color w:val="000000"/>
                <w:sz w:val="24"/>
                <w:highlight w:val="none"/>
              </w:rPr>
            </w:pPr>
            <w:r>
              <w:rPr>
                <w:color w:val="000000"/>
                <w:sz w:val="24"/>
                <w:highlight w:val="none"/>
              </w:rPr>
            </w:r>
            <w:r/>
          </w:p>
        </w:tc>
        <w:tc>
          <w:tcPr>
            <w:tcW w:w="2458" w:type="dxa"/>
            <w:vAlign w:val="center"/>
            <w:textDirection w:val="lrTb"/>
            <w:noWrap w:val="false"/>
          </w:tcPr>
          <w:p>
            <w:pPr>
              <w:pStyle w:val="844"/>
              <w:jc w:val="center"/>
              <w:rPr>
                <w:color w:val="000000"/>
                <w:sz w:val="24"/>
                <w:highlight w:val="none"/>
              </w:rPr>
            </w:pPr>
            <w:r>
              <w:rPr>
                <w:color w:val="000000"/>
                <w:sz w:val="24"/>
                <w:highlight w:val="none"/>
              </w:rPr>
            </w:r>
            <w:r/>
          </w:p>
        </w:tc>
        <w:tc>
          <w:tcPr>
            <w:tcW w:w="788"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44"/>
              <w:jc w:val="center"/>
              <w:rPr>
                <w:color w:val="000000"/>
                <w:sz w:val="24"/>
                <w:highlight w:val="none"/>
              </w:rPr>
            </w:pPr>
            <w:r>
              <w:rPr>
                <w:color w:val="000000"/>
                <w:sz w:val="24"/>
                <w:highlight w:val="none"/>
              </w:rPr>
            </w:r>
            <w:r/>
          </w:p>
        </w:tc>
        <w:tc>
          <w:tcPr>
            <w:tcW w:w="1301" w:type="dxa"/>
            <w:vAlign w:val="center"/>
            <w:textDirection w:val="lrTb"/>
            <w:noWrap w:val="false"/>
          </w:tcPr>
          <w:p>
            <w:pPr>
              <w:pStyle w:val="844"/>
              <w:jc w:val="center"/>
              <w:rPr>
                <w:color w:val="000000"/>
                <w:sz w:val="24"/>
                <w:highlight w:val="none"/>
              </w:rPr>
            </w:pPr>
            <w:r>
              <w:rPr>
                <w:color w:val="000000"/>
                <w:sz w:val="24"/>
                <w:highlight w:val="none"/>
              </w:rPr>
            </w:r>
            <w:r/>
          </w:p>
        </w:tc>
        <w:tc>
          <w:tcPr>
            <w:tcW w:w="2007" w:type="dxa"/>
            <w:vAlign w:val="center"/>
            <w:textDirection w:val="lrTb"/>
            <w:noWrap w:val="false"/>
          </w:tcPr>
          <w:p>
            <w:pPr>
              <w:pStyle w:val="844"/>
              <w:jc w:val="center"/>
              <w:rPr>
                <w:color w:val="000000"/>
                <w:sz w:val="24"/>
                <w:highlight w:val="none"/>
              </w:rPr>
            </w:pPr>
            <w:r>
              <w:rPr>
                <w:color w:val="000000"/>
                <w:sz w:val="24"/>
                <w:highlight w:val="none"/>
              </w:rPr>
            </w:r>
            <w:r/>
          </w:p>
        </w:tc>
        <w:tc>
          <w:tcPr>
            <w:tcW w:w="2008" w:type="dxa"/>
            <w:vAlign w:val="center"/>
            <w:textDirection w:val="lrTb"/>
            <w:noWrap w:val="false"/>
          </w:tcPr>
          <w:p>
            <w:pPr>
              <w:pStyle w:val="844"/>
              <w:jc w:val="center"/>
              <w:rPr>
                <w:color w:val="000000"/>
                <w:sz w:val="24"/>
                <w:highlight w:val="none"/>
              </w:rPr>
            </w:pPr>
            <w:r>
              <w:rPr>
                <w:color w:val="000000"/>
                <w:sz w:val="24"/>
                <w:highlight w:val="none"/>
              </w:rPr>
            </w:r>
            <w:r/>
          </w:p>
        </w:tc>
        <w:tc>
          <w:tcPr>
            <w:tcW w:w="2458" w:type="dxa"/>
            <w:vAlign w:val="center"/>
            <w:textDirection w:val="lrTb"/>
            <w:noWrap w:val="false"/>
          </w:tcPr>
          <w:p>
            <w:pPr>
              <w:pStyle w:val="844"/>
              <w:jc w:val="center"/>
              <w:rPr>
                <w:color w:val="000000"/>
                <w:sz w:val="24"/>
                <w:highlight w:val="none"/>
              </w:rPr>
            </w:pPr>
            <w:r>
              <w:rPr>
                <w:color w:val="000000"/>
                <w:sz w:val="24"/>
                <w:highlight w:val="none"/>
              </w:rPr>
            </w:r>
            <w:r/>
          </w:p>
        </w:tc>
        <w:tc>
          <w:tcPr>
            <w:tcW w:w="788" w:type="dxa"/>
            <w:vAlign w:val="center"/>
            <w:textDirection w:val="lrTb"/>
            <w:noWrap w:val="false"/>
          </w:tcPr>
          <w:p>
            <w:pPr>
              <w:pStyle w:val="844"/>
              <w:jc w:val="center"/>
              <w:rPr>
                <w:color w:val="000000"/>
                <w:sz w:val="24"/>
                <w:highlight w:val="none"/>
              </w:rPr>
            </w:pPr>
            <w:r>
              <w:rPr>
                <w:color w:val="000000"/>
                <w:sz w:val="24"/>
                <w:highlight w:val="none"/>
              </w:rPr>
            </w:r>
            <w:r/>
          </w:p>
        </w:tc>
      </w:tr>
    </w:tbl>
    <w:p>
      <w:pPr>
        <w:pStyle w:val="844"/>
        <w:jc w:val="left"/>
        <w:tabs>
          <w:tab w:val="left" w:pos="1800" w:leader="none"/>
          <w:tab w:val="left" w:pos="5580" w:leader="none"/>
        </w:tabs>
        <w:rPr>
          <w:color w:val="000000"/>
          <w:sz w:val="24"/>
          <w:highlight w:val="none"/>
        </w:rPr>
      </w:pPr>
      <w:r>
        <w:rPr>
          <w:color w:val="000000"/>
          <w:sz w:val="24"/>
          <w:highlight w:val="none"/>
        </w:rPr>
      </w:r>
      <w:r/>
    </w:p>
    <w:p>
      <w:pPr>
        <w:pStyle w:val="844"/>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844"/>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844"/>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844"/>
        <w:spacing w:line="360" w:lineRule="auto"/>
        <w:rPr>
          <w:color w:val="000000"/>
          <w:sz w:val="24"/>
          <w:szCs w:val="20"/>
          <w:highlight w:val="none"/>
        </w:rPr>
      </w:pPr>
      <w:r>
        <w:rPr>
          <w:color w:val="000000"/>
          <w:sz w:val="24"/>
          <w:szCs w:val="20"/>
          <w:highlight w:val="none"/>
        </w:rPr>
      </w:r>
      <w:r/>
    </w:p>
    <w:p>
      <w:pPr>
        <w:pStyle w:val="84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color w:val="000000"/>
          <w:sz w:val="24"/>
          <w:szCs w:val="20"/>
          <w:highlight w:val="none"/>
        </w:rPr>
        <w:t xml:space="preserve">采购需求偏离表（实质性格式）</w:t>
      </w:r>
      <w:r>
        <w:rPr>
          <w:color w:val="000000"/>
          <w:sz w:val="24"/>
          <w:szCs w:val="20"/>
          <w:highlight w:val="none"/>
        </w:rPr>
      </w:r>
      <w:r/>
    </w:p>
    <w:p>
      <w:pPr>
        <w:pStyle w:val="844"/>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44"/>
        <w:jc w:val="center"/>
        <w:rPr>
          <w:color w:val="000000"/>
          <w:sz w:val="36"/>
          <w:szCs w:val="36"/>
          <w:highlight w:val="none"/>
        </w:rPr>
      </w:pPr>
      <w:r>
        <w:rPr>
          <w:color w:val="000000"/>
          <w:sz w:val="36"/>
          <w:szCs w:val="36"/>
          <w:highlight w:val="none"/>
        </w:rPr>
      </w:r>
      <w:r/>
    </w:p>
    <w:p>
      <w:pPr>
        <w:pStyle w:val="84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44"/>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84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4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844"/>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t xml:space="preserve">偏离情况</w:t>
            </w:r>
            <w:r>
              <w:rPr>
                <w:color w:val="000000"/>
                <w:sz w:val="24"/>
                <w:highlight w:val="none"/>
              </w:rPr>
            </w:r>
            <w:r/>
          </w:p>
          <w:p>
            <w:pPr>
              <w:pStyle w:val="844"/>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44"/>
              <w:jc w:val="center"/>
              <w:rPr>
                <w:color w:val="000000"/>
                <w:sz w:val="24"/>
                <w:highlight w:val="none"/>
              </w:rPr>
            </w:pPr>
            <w:r>
              <w:rPr>
                <w:color w:val="000000"/>
                <w:sz w:val="24"/>
                <w:highlight w:val="none"/>
              </w:rPr>
            </w:r>
            <w:r/>
          </w:p>
        </w:tc>
        <w:tc>
          <w:tcPr>
            <w:tcW w:w="1482" w:type="dxa"/>
            <w:vAlign w:val="center"/>
            <w:textDirection w:val="lrTb"/>
            <w:noWrap w:val="false"/>
          </w:tcPr>
          <w:p>
            <w:pPr>
              <w:pStyle w:val="844"/>
              <w:jc w:val="center"/>
              <w:rPr>
                <w:color w:val="000000"/>
                <w:sz w:val="24"/>
                <w:highlight w:val="none"/>
              </w:rPr>
            </w:pPr>
            <w:r>
              <w:rPr>
                <w:color w:val="000000"/>
                <w:sz w:val="24"/>
                <w:highlight w:val="none"/>
              </w:rPr>
            </w:r>
            <w:r/>
          </w:p>
        </w:tc>
        <w:tc>
          <w:tcPr>
            <w:tcW w:w="2384" w:type="dxa"/>
            <w:vAlign w:val="center"/>
            <w:textDirection w:val="lrTb"/>
            <w:noWrap w:val="false"/>
          </w:tcPr>
          <w:p>
            <w:pPr>
              <w:pStyle w:val="844"/>
              <w:jc w:val="center"/>
              <w:rPr>
                <w:color w:val="000000"/>
                <w:sz w:val="24"/>
                <w:highlight w:val="none"/>
              </w:rPr>
            </w:pPr>
            <w:r>
              <w:rPr>
                <w:color w:val="000000"/>
                <w:sz w:val="24"/>
                <w:highlight w:val="none"/>
              </w:rPr>
            </w:r>
            <w:r/>
          </w:p>
        </w:tc>
        <w:tc>
          <w:tcPr>
            <w:tcW w:w="2126" w:type="dxa"/>
            <w:vAlign w:val="center"/>
            <w:textDirection w:val="lrTb"/>
            <w:noWrap w:val="false"/>
          </w:tcPr>
          <w:p>
            <w:pPr>
              <w:pStyle w:val="844"/>
              <w:jc w:val="center"/>
              <w:rPr>
                <w:color w:val="000000"/>
                <w:sz w:val="24"/>
                <w:highlight w:val="none"/>
              </w:rPr>
            </w:pPr>
            <w:r>
              <w:rPr>
                <w:color w:val="000000"/>
                <w:sz w:val="24"/>
                <w:highlight w:val="none"/>
              </w:rPr>
            </w:r>
            <w:r/>
          </w:p>
        </w:tc>
        <w:tc>
          <w:tcPr>
            <w:tcW w:w="1875" w:type="dxa"/>
            <w:vAlign w:val="center"/>
            <w:textDirection w:val="lrTb"/>
            <w:noWrap w:val="false"/>
          </w:tcPr>
          <w:p>
            <w:pPr>
              <w:pStyle w:val="844"/>
              <w:jc w:val="center"/>
              <w:rPr>
                <w:color w:val="000000"/>
                <w:sz w:val="24"/>
                <w:highlight w:val="none"/>
              </w:rPr>
            </w:pPr>
            <w:r>
              <w:rPr>
                <w:color w:val="000000"/>
                <w:sz w:val="24"/>
                <w:highlight w:val="none"/>
              </w:rPr>
            </w:r>
            <w:r/>
          </w:p>
        </w:tc>
        <w:tc>
          <w:tcPr>
            <w:tcW w:w="1009" w:type="dxa"/>
            <w:vAlign w:val="center"/>
            <w:textDirection w:val="lrTb"/>
            <w:noWrap w:val="false"/>
          </w:tcPr>
          <w:p>
            <w:pPr>
              <w:pStyle w:val="844"/>
              <w:jc w:val="center"/>
              <w:rPr>
                <w:color w:val="000000"/>
                <w:sz w:val="24"/>
                <w:highlight w:val="none"/>
              </w:rPr>
            </w:pPr>
            <w:r>
              <w:rPr>
                <w:color w:val="000000"/>
                <w:sz w:val="24"/>
                <w:highlight w:val="none"/>
              </w:rPr>
            </w:r>
            <w:r/>
          </w:p>
        </w:tc>
      </w:tr>
    </w:tbl>
    <w:p>
      <w:pPr>
        <w:pStyle w:val="84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4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4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4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44"/>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844"/>
        <w:jc w:val="left"/>
        <w:tabs>
          <w:tab w:val="left" w:pos="1800" w:leader="none"/>
          <w:tab w:val="left" w:pos="5580" w:leader="none"/>
        </w:tabs>
        <w:rPr>
          <w:color w:val="000000"/>
          <w:sz w:val="24"/>
          <w:highlight w:val="none"/>
        </w:rPr>
      </w:pPr>
      <w:r>
        <w:rPr>
          <w:color w:val="000000"/>
          <w:sz w:val="24"/>
          <w:highlight w:val="none"/>
        </w:rPr>
      </w:r>
      <w:r/>
    </w:p>
    <w:p>
      <w:pPr>
        <w:pStyle w:val="844"/>
        <w:rPr>
          <w:color w:val="000000"/>
          <w:sz w:val="24"/>
          <w:szCs w:val="20"/>
          <w:highlight w:val="none"/>
        </w:rPr>
      </w:pPr>
      <w:r>
        <w:rPr>
          <w:color w:val="000000"/>
          <w:sz w:val="24"/>
          <w:szCs w:val="20"/>
          <w:highlight w:val="none"/>
        </w:rPr>
      </w:r>
      <w:r/>
    </w:p>
    <w:p>
      <w:pPr>
        <w:pStyle w:val="84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spacing w:line="560" w:lineRule="exact"/>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r>
        <w:rPr>
          <w:rFonts w:hint="eastAsia"/>
          <w:color w:val="000000"/>
          <w:sz w:val="24"/>
          <w:szCs w:val="20"/>
          <w:highlight w:val="none"/>
        </w:rPr>
        <w:t xml:space="preserve">项目实施方案等</w:t>
      </w:r>
      <w:r>
        <w:rPr>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923"/>
        <w:ind w:firstLine="480"/>
        <w:rPr>
          <w:rFonts w:hint="eastAsia"/>
          <w:color w:val="000000"/>
          <w:szCs w:val="20"/>
          <w:highlight w:val="none"/>
        </w:rPr>
      </w:pPr>
      <w:r>
        <w:rPr>
          <w:rFonts w:hint="eastAsia"/>
          <w:color w:val="000000"/>
          <w:szCs w:val="20"/>
          <w:highlight w:val="none"/>
        </w:rPr>
      </w:r>
      <w:r/>
    </w:p>
    <w:p>
      <w:pPr>
        <w:pStyle w:val="844"/>
        <w:rPr>
          <w:rFonts w:hint="eastAsia"/>
          <w:color w:val="000000"/>
          <w:sz w:val="24"/>
          <w:szCs w:val="20"/>
          <w:highlight w:val="none"/>
        </w:rPr>
      </w:pPr>
      <w:r>
        <w:rPr>
          <w:rFonts w:hint="eastAsia"/>
          <w:color w:val="000000"/>
          <w:sz w:val="24"/>
          <w:szCs w:val="20"/>
          <w:highlight w:val="none"/>
        </w:rPr>
      </w:r>
      <w:r/>
    </w:p>
    <w:p>
      <w:pPr>
        <w:pStyle w:val="923"/>
        <w:ind w:firstLine="480"/>
        <w:rPr>
          <w:rFonts w:hint="eastAsia"/>
          <w:color w:val="000000"/>
          <w:szCs w:val="20"/>
          <w:highlight w:val="none"/>
        </w:rPr>
      </w:pPr>
      <w:r>
        <w:rPr>
          <w:rFonts w:hint="eastAsia"/>
          <w:color w:val="000000"/>
          <w:szCs w:val="20"/>
          <w:highlight w:val="none"/>
        </w:rPr>
      </w:r>
      <w:r/>
    </w:p>
    <w:p>
      <w:pPr>
        <w:pStyle w:val="844"/>
        <w:rPr>
          <w:rFonts w:hint="eastAsia"/>
          <w:color w:val="000000"/>
          <w:sz w:val="24"/>
          <w:szCs w:val="20"/>
          <w:highlight w:val="none"/>
        </w:rPr>
      </w:pPr>
      <w:r>
        <w:rPr>
          <w:rFonts w:hint="eastAsia"/>
          <w:color w:val="000000"/>
          <w:sz w:val="24"/>
          <w:szCs w:val="20"/>
          <w:highlight w:val="none"/>
        </w:rPr>
      </w:r>
      <w:r/>
    </w:p>
    <w:p>
      <w:pPr>
        <w:pStyle w:val="923"/>
        <w:ind w:firstLine="480"/>
        <w:rPr>
          <w:rFonts w:hint="eastAsia"/>
          <w:color w:val="000000"/>
          <w:szCs w:val="20"/>
          <w:highlight w:val="none"/>
        </w:rPr>
      </w:pPr>
      <w:r>
        <w:rPr>
          <w:rFonts w:hint="eastAsia"/>
          <w:color w:val="000000"/>
          <w:szCs w:val="20"/>
          <w:highlight w:val="none"/>
        </w:rPr>
      </w:r>
      <w:r/>
    </w:p>
    <w:p>
      <w:pPr>
        <w:pStyle w:val="844"/>
        <w:rPr>
          <w:rFonts w:hint="eastAsia"/>
          <w:color w:val="000000"/>
          <w:sz w:val="24"/>
          <w:szCs w:val="20"/>
          <w:highlight w:val="none"/>
        </w:rPr>
      </w:pPr>
      <w:r>
        <w:rPr>
          <w:rFonts w:hint="eastAsia"/>
          <w:color w:val="000000"/>
          <w:sz w:val="24"/>
          <w:szCs w:val="20"/>
          <w:highlight w:val="none"/>
        </w:rPr>
      </w:r>
      <w:r/>
    </w:p>
    <w:p>
      <w:pPr>
        <w:pStyle w:val="923"/>
        <w:ind w:firstLine="480"/>
        <w:rPr>
          <w:rFonts w:hint="eastAsia"/>
          <w:color w:val="000000"/>
          <w:szCs w:val="20"/>
          <w:highlight w:val="none"/>
        </w:rPr>
      </w:pPr>
      <w:r>
        <w:rPr>
          <w:rFonts w:hint="eastAsia"/>
          <w:color w:val="000000"/>
          <w:szCs w:val="20"/>
          <w:highlight w:val="none"/>
        </w:rPr>
      </w:r>
      <w:r/>
    </w:p>
    <w:p>
      <w:pPr>
        <w:pStyle w:val="844"/>
        <w:rPr>
          <w:rFonts w:hint="eastAsia"/>
          <w:color w:val="000000"/>
          <w:sz w:val="24"/>
          <w:szCs w:val="20"/>
          <w:highlight w:val="none"/>
        </w:rPr>
      </w:pPr>
      <w:r>
        <w:rPr>
          <w:rFonts w:hint="eastAsia"/>
          <w:color w:val="000000"/>
          <w:sz w:val="24"/>
          <w:szCs w:val="20"/>
          <w:highlight w:val="none"/>
        </w:rPr>
      </w:r>
      <w:r/>
    </w:p>
    <w:p>
      <w:pPr>
        <w:pStyle w:val="923"/>
        <w:ind w:firstLine="480"/>
        <w:rPr>
          <w:rFonts w:hint="eastAsia"/>
          <w:color w:val="000000"/>
          <w:highlight w:val="none"/>
        </w:rPr>
      </w:pPr>
      <w:r>
        <w:rPr>
          <w:rFonts w:hint="eastAsia"/>
          <w:color w:val="00000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rPr>
          <w:color w:val="000000"/>
          <w:sz w:val="24"/>
          <w:szCs w:val="20"/>
          <w:highlight w:val="none"/>
        </w:rPr>
      </w:pPr>
      <w:r>
        <w:rPr>
          <w:rFonts w:hint="eastAsia"/>
          <w:color w:val="000000"/>
          <w:sz w:val="24"/>
          <w:szCs w:val="20"/>
          <w:highlight w:val="none"/>
        </w:rPr>
        <w:t xml:space="preserve">8  参加本项目人员一览表</w:t>
      </w:r>
      <w:r>
        <w:rPr>
          <w:color w:val="000000"/>
          <w:sz w:val="24"/>
          <w:szCs w:val="20"/>
          <w:highlight w:val="none"/>
        </w:rPr>
      </w:r>
      <w:r/>
    </w:p>
    <w:p>
      <w:pPr>
        <w:pStyle w:val="84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4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44"/>
        <w:spacing w:line="360" w:lineRule="auto"/>
        <w:rPr>
          <w:rFonts w:ascii="宋体" w:hAnsi="宋体"/>
          <w:color w:val="000000"/>
          <w:sz w:val="22"/>
          <w:highlight w:val="none"/>
        </w:rPr>
      </w:pPr>
      <w:r>
        <w:rPr>
          <w:rFonts w:ascii="宋体" w:hAnsi="宋体"/>
          <w:color w:val="000000"/>
          <w:sz w:val="22"/>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4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4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4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844"/>
        <w:spacing w:line="360" w:lineRule="auto"/>
        <w:rPr>
          <w:rFonts w:ascii="宋体" w:hAnsi="宋体"/>
          <w:color w:val="000000"/>
          <w:sz w:val="24"/>
          <w:highlight w:val="none"/>
        </w:rPr>
      </w:pPr>
      <w:r>
        <w:rPr>
          <w:rFonts w:ascii="宋体" w:hAnsi="宋体"/>
          <w:color w:val="000000"/>
          <w:sz w:val="24"/>
          <w:highlight w:val="none"/>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rPr>
          <w:color w:val="000000"/>
          <w:sz w:val="24"/>
          <w:szCs w:val="20"/>
          <w:highlight w:val="none"/>
        </w:rPr>
      </w:pPr>
      <w:r>
        <w:rPr>
          <w:color w:val="000000"/>
          <w:sz w:val="22"/>
          <w:highlight w:val="none"/>
        </w:rPr>
        <w:br w:type="page" w:clear="all"/>
      </w:r>
      <w:bookmarkStart w:id="736" w:name="_Toc288738397"/>
      <w:r/>
      <w:bookmarkStart w:id="737" w:name="_Toc288738839"/>
      <w:r>
        <w:rPr>
          <w:rFonts w:hint="eastAsia"/>
          <w:color w:val="000000"/>
          <w:sz w:val="22"/>
          <w:highlight w:val="none"/>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844"/>
        <w:rPr>
          <w:color w:val="000000"/>
          <w:sz w:val="24"/>
          <w:szCs w:val="20"/>
          <w:highlight w:val="none"/>
        </w:rPr>
      </w:pPr>
      <w:r>
        <w:rPr>
          <w:color w:val="000000"/>
          <w:sz w:val="24"/>
          <w:szCs w:val="20"/>
          <w:highlight w:val="none"/>
        </w:rPr>
      </w:r>
      <w:r/>
    </w:p>
    <w:p>
      <w:pPr>
        <w:pStyle w:val="84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36"/>
      <w:r/>
      <w:bookmarkEnd w:id="737"/>
      <w:r>
        <w:rPr>
          <w:rFonts w:ascii="宋体" w:hAnsi="宋体"/>
          <w:b/>
          <w:color w:val="000000"/>
          <w:sz w:val="32"/>
          <w:szCs w:val="32"/>
          <w:highlight w:val="none"/>
        </w:rPr>
      </w:r>
      <w:r/>
    </w:p>
    <w:p>
      <w:pPr>
        <w:pStyle w:val="84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4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4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844"/>
        <w:spacing w:line="360" w:lineRule="auto"/>
        <w:rPr>
          <w:rFonts w:hint="eastAsia"/>
          <w:color w:val="000000"/>
          <w:sz w:val="24"/>
          <w:szCs w:val="20"/>
          <w:highlight w:val="none"/>
        </w:rPr>
        <w:outlineLvl w:val="2"/>
      </w:pPr>
      <w:r>
        <w:rPr>
          <w:rFonts w:hint="eastAsia"/>
          <w:color w:val="000000"/>
          <w:sz w:val="24"/>
          <w:szCs w:val="20"/>
          <w:highlight w:val="none"/>
        </w:rPr>
      </w:r>
      <w:r/>
    </w:p>
    <w:p>
      <w:pPr>
        <w:pStyle w:val="923"/>
        <w:ind w:firstLine="480"/>
        <w:rPr>
          <w:rFonts w:hint="eastAsia"/>
          <w:color w:val="000000"/>
          <w:szCs w:val="20"/>
          <w:highlight w:val="none"/>
        </w:rPr>
      </w:pPr>
      <w:r>
        <w:rPr>
          <w:rFonts w:hint="eastAsia"/>
          <w:color w:val="000000"/>
          <w:szCs w:val="20"/>
          <w:highlight w:val="none"/>
        </w:rPr>
      </w:r>
      <w:r/>
    </w:p>
    <w:p>
      <w:pPr>
        <w:pStyle w:val="844"/>
        <w:rPr>
          <w:rFonts w:hint="eastAsia"/>
          <w:color w:val="000000"/>
          <w:highlight w:val="none"/>
        </w:rPr>
      </w:pPr>
      <w:r>
        <w:rPr>
          <w:rFonts w:hint="eastAsia"/>
          <w:color w:val="000000"/>
          <w:highlight w:val="none"/>
        </w:rPr>
      </w:r>
      <w:r/>
    </w:p>
    <w:p>
      <w:pPr>
        <w:pStyle w:val="844"/>
        <w:spacing w:line="360" w:lineRule="auto"/>
        <w:rPr>
          <w:color w:val="000000"/>
          <w:sz w:val="24"/>
          <w:highlight w:val="none"/>
        </w:rPr>
        <w:outlineLvl w:val="2"/>
      </w:pPr>
      <w:r>
        <w:rPr>
          <w:rFonts w:hint="eastAsia"/>
          <w:color w:val="000000"/>
          <w:sz w:val="24"/>
          <w:szCs w:val="20"/>
          <w:highlight w:val="none"/>
        </w:rPr>
        <w:t xml:space="preserve">10</w:t>
      </w:r>
      <w:r>
        <w:rPr>
          <w:color w:val="000000"/>
          <w:sz w:val="24"/>
          <w:szCs w:val="20"/>
          <w:highlight w:val="none"/>
        </w:rPr>
        <w:t xml:space="preserve">  磋商文件要求提供或供应商认为应附的其他材料</w:t>
      </w:r>
      <w:r>
        <w:rPr>
          <w:color w:val="000000"/>
          <w:sz w:val="24"/>
          <w:highlight w:val="none"/>
        </w:rPr>
      </w:r>
      <w:r/>
    </w:p>
    <w:p>
      <w:pPr>
        <w:pStyle w:val="844"/>
        <w:rPr>
          <w:b/>
          <w:color w:val="000000"/>
          <w:sz w:val="36"/>
          <w:szCs w:val="36"/>
          <w:highlight w:val="none"/>
        </w:rPr>
      </w:pPr>
      <w:r>
        <w:rPr>
          <w:b/>
          <w:color w:val="000000"/>
          <w:sz w:val="36"/>
          <w:szCs w:val="36"/>
          <w:highlight w:val="none"/>
        </w:rPr>
      </w:r>
      <w:r/>
    </w:p>
    <w:p>
      <w:pPr>
        <w:pStyle w:val="844"/>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left"/>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jc w:val="left"/>
                            <w:tabs>
                              <w:tab w:val="clear" w:pos="4153" w:leader="none"/>
                              <w:tab w:val="clear" w:pos="8306" w:leader="none"/>
                            </w:tabs>
                          </w:pPr>
                          <w:r/>
                          <w:r/>
                        </w:p>
                        <w:p>
                          <w:pPr>
                            <w:pStyle w:val="844"/>
                          </w:pPr>
                          <w:r/>
                          <w:r/>
                        </w:p>
                        <w:p>
                          <w:pPr>
                            <w:pStyle w:val="84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jc w:val="left"/>
                      <w:tabs>
                        <w:tab w:val="clear" w:pos="4153" w:leader="none"/>
                        <w:tab w:val="clear" w:pos="8306" w:leader="none"/>
                      </w:tabs>
                    </w:pPr>
                    <w:r/>
                    <w:r/>
                  </w:p>
                  <w:p>
                    <w:pPr>
                      <w:pStyle w:val="844"/>
                    </w:pPr>
                    <w:r/>
                    <w:r/>
                  </w:p>
                  <w:p>
                    <w:pPr>
                      <w:pStyle w:val="844"/>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jc w:val="left"/>
                            <w:tabs>
                              <w:tab w:val="clear" w:pos="4153" w:leader="none"/>
                              <w:tab w:val="clear" w:pos="8306" w:leader="none"/>
                            </w:tabs>
                          </w:pPr>
                          <w:r/>
                          <w:r/>
                        </w:p>
                        <w:p>
                          <w:pPr>
                            <w:pStyle w:val="844"/>
                          </w:pPr>
                          <w:r/>
                          <w:r/>
                        </w:p>
                        <w:p>
                          <w:pPr>
                            <w:pStyle w:val="84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jc w:val="left"/>
                      <w:tabs>
                        <w:tab w:val="clear" w:pos="4153" w:leader="none"/>
                        <w:tab w:val="clear" w:pos="8306" w:leader="none"/>
                      </w:tabs>
                    </w:pPr>
                    <w:r/>
                    <w:r/>
                  </w:p>
                  <w:p>
                    <w:pPr>
                      <w:pStyle w:val="844"/>
                    </w:pPr>
                    <w:r/>
                    <w:r/>
                  </w:p>
                  <w:p>
                    <w:pPr>
                      <w:pStyle w:val="8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framePr w:wrap="around" w:vAnchor="text" w:hAnchor="margin" w:xAlign="right" w:y="1"/>
    </w:pPr>
    <w:r>
      <w:rPr>
        <w:rStyle w:val="917"/>
      </w:rPr>
      <w:fldChar w:fldCharType="begin"/>
    </w:r>
    <w:r>
      <w:rPr>
        <w:rStyle w:val="917"/>
      </w:rPr>
      <w:instrText xml:space="preserve">PAGE  </w:instrText>
    </w:r>
    <w:r>
      <w:rPr>
        <w:rStyle w:val="917"/>
      </w:rPr>
      <w:fldChar w:fldCharType="end"/>
    </w:r>
    <w:r>
      <w:rPr>
        <w:rStyle w:val="917"/>
      </w:rPr>
    </w:r>
    <w:r/>
  </w:p>
  <w:p>
    <w:pPr>
      <w:pStyle w:val="89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framePr w:wrap="around" w:vAnchor="text" w:hAnchor="margin" w:xAlign="right" w:y="1"/>
    </w:pPr>
    <w:r>
      <w:rPr>
        <w:rStyle w:val="917"/>
      </w:rPr>
      <w:fldChar w:fldCharType="begin"/>
    </w:r>
    <w:r>
      <w:rPr>
        <w:rStyle w:val="917"/>
      </w:rPr>
      <w:instrText xml:space="preserve">PAGE  </w:instrText>
    </w:r>
    <w:r>
      <w:rPr>
        <w:rStyle w:val="917"/>
      </w:rPr>
      <w:fldChar w:fldCharType="end"/>
    </w:r>
    <w:r>
      <w:rPr>
        <w:rStyle w:val="917"/>
      </w:rPr>
    </w:r>
    <w:r/>
  </w:p>
  <w:p>
    <w:pPr>
      <w:pStyle w:val="892"/>
      <w:ind w:right="360"/>
      <w:tabs>
        <w:tab w:val="center" w:pos="4153" w:leader="none"/>
        <w:tab w:val="right" w:pos="8306" w:leader="none"/>
      </w:tabs>
    </w:pPr>
    <w:r/>
    <w:r/>
  </w:p>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pBdr>
        <w:bottom w:val="single" w:color="000000"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p>
    <w:pPr>
      <w:pStyle w:val="8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44"/>
        <w:ind w:left="4941" w:hanging="1140"/>
        <w:tabs>
          <w:tab w:val="num" w:pos="4941" w:leader="none"/>
        </w:tabs>
      </w:pPr>
      <w:rPr>
        <w:rFonts w:hint="eastAsia"/>
      </w:rPr>
    </w:lvl>
    <w:lvl w:ilvl="1">
      <w:start w:val="1"/>
      <w:numFmt w:val="lowerLetter"/>
      <w:isLgl w:val="false"/>
      <w:suff w:val="tab"/>
      <w:lvlText w:val="%2)"/>
      <w:lvlJc w:val="left"/>
      <w:pPr>
        <w:pStyle w:val="844"/>
        <w:ind w:left="4641" w:hanging="420"/>
        <w:tabs>
          <w:tab w:val="num" w:pos="4641" w:leader="none"/>
        </w:tabs>
      </w:pPr>
    </w:lvl>
    <w:lvl w:ilvl="2">
      <w:start w:val="1"/>
      <w:numFmt w:val="lowerRoman"/>
      <w:isLgl w:val="false"/>
      <w:suff w:val="tab"/>
      <w:lvlText w:val="%3."/>
      <w:lvlJc w:val="right"/>
      <w:pPr>
        <w:pStyle w:val="844"/>
        <w:ind w:left="5061" w:hanging="420"/>
        <w:tabs>
          <w:tab w:val="num" w:pos="5061" w:leader="none"/>
        </w:tabs>
      </w:pPr>
    </w:lvl>
    <w:lvl w:ilvl="3">
      <w:start w:val="1"/>
      <w:numFmt w:val="decimal"/>
      <w:isLgl w:val="false"/>
      <w:suff w:val="tab"/>
      <w:lvlText w:val="%4."/>
      <w:lvlJc w:val="left"/>
      <w:pPr>
        <w:pStyle w:val="844"/>
        <w:ind w:left="5481" w:hanging="420"/>
        <w:tabs>
          <w:tab w:val="num" w:pos="5481" w:leader="none"/>
        </w:tabs>
      </w:pPr>
    </w:lvl>
    <w:lvl w:ilvl="4">
      <w:start w:val="1"/>
      <w:numFmt w:val="lowerLetter"/>
      <w:isLgl w:val="false"/>
      <w:suff w:val="tab"/>
      <w:lvlText w:val="%5)"/>
      <w:lvlJc w:val="left"/>
      <w:pPr>
        <w:pStyle w:val="844"/>
        <w:ind w:left="5901" w:hanging="420"/>
        <w:tabs>
          <w:tab w:val="num" w:pos="5901" w:leader="none"/>
        </w:tabs>
      </w:pPr>
    </w:lvl>
    <w:lvl w:ilvl="5">
      <w:start w:val="1"/>
      <w:numFmt w:val="lowerRoman"/>
      <w:isLgl w:val="false"/>
      <w:suff w:val="tab"/>
      <w:lvlText w:val="%6."/>
      <w:lvlJc w:val="right"/>
      <w:pPr>
        <w:pStyle w:val="844"/>
        <w:ind w:left="6321" w:hanging="420"/>
        <w:tabs>
          <w:tab w:val="num" w:pos="6321" w:leader="none"/>
        </w:tabs>
      </w:pPr>
    </w:lvl>
    <w:lvl w:ilvl="6">
      <w:start w:val="1"/>
      <w:numFmt w:val="decimal"/>
      <w:isLgl w:val="false"/>
      <w:suff w:val="tab"/>
      <w:lvlText w:val="%7."/>
      <w:lvlJc w:val="left"/>
      <w:pPr>
        <w:pStyle w:val="844"/>
        <w:ind w:left="6741" w:hanging="420"/>
        <w:tabs>
          <w:tab w:val="num" w:pos="6741" w:leader="none"/>
        </w:tabs>
      </w:pPr>
    </w:lvl>
    <w:lvl w:ilvl="7">
      <w:start w:val="1"/>
      <w:numFmt w:val="lowerLetter"/>
      <w:isLgl w:val="false"/>
      <w:suff w:val="tab"/>
      <w:lvlText w:val="%8)"/>
      <w:lvlJc w:val="left"/>
      <w:pPr>
        <w:pStyle w:val="844"/>
        <w:ind w:left="7161" w:hanging="420"/>
        <w:tabs>
          <w:tab w:val="num" w:pos="7161" w:leader="none"/>
        </w:tabs>
      </w:pPr>
    </w:lvl>
    <w:lvl w:ilvl="8">
      <w:start w:val="1"/>
      <w:numFmt w:val="lowerRoman"/>
      <w:isLgl w:val="false"/>
      <w:suff w:val="tab"/>
      <w:lvlText w:val="%9."/>
      <w:lvlJc w:val="right"/>
      <w:pPr>
        <w:pStyle w:val="844"/>
        <w:ind w:left="7581" w:hanging="420"/>
        <w:tabs>
          <w:tab w:val="num" w:pos="7581" w:leader="none"/>
        </w:tabs>
      </w:pPr>
    </w:lvl>
  </w:abstractNum>
  <w:abstractNum w:abstractNumId="1">
    <w:multiLevelType w:val="hybridMultilevel"/>
    <w:lvl w:ilvl="0">
      <w:start w:val="1"/>
      <w:numFmt w:val="decimal"/>
      <w:pStyle w:val="953"/>
      <w:isLgl w:val="false"/>
      <w:suff w:val="tab"/>
      <w:lvlText w:val="%1."/>
      <w:lvlJc w:val="left"/>
      <w:pPr>
        <w:pStyle w:val="844"/>
        <w:ind w:left="420" w:hanging="420"/>
      </w:pPr>
    </w:lvl>
    <w:lvl w:ilvl="1">
      <w:start w:val="1"/>
      <w:numFmt w:val="decimal"/>
      <w:isLgl w:val="false"/>
      <w:suff w:val="tab"/>
      <w:lvlText w:val="（%2）"/>
      <w:lvlJc w:val="left"/>
      <w:pPr>
        <w:pStyle w:val="844"/>
        <w:ind w:left="1140" w:hanging="720"/>
        <w:tabs>
          <w:tab w:val="num" w:pos="1140" w:leader="none"/>
        </w:tabs>
      </w:pPr>
      <w:rPr>
        <w:rFonts w:hint="eastAsia"/>
      </w:rPr>
    </w:lvl>
    <w:lvl w:ilvl="2">
      <w:start w:val="1"/>
      <w:numFmt w:val="lowerRoman"/>
      <w:isLgl w:val="false"/>
      <w:suff w:val="tab"/>
      <w:lvlText w:val="%3."/>
      <w:lvlJc w:val="right"/>
      <w:pPr>
        <w:pStyle w:val="844"/>
        <w:ind w:left="1260" w:hanging="420"/>
      </w:pPr>
    </w:lvl>
    <w:lvl w:ilvl="3">
      <w:start w:val="1"/>
      <w:numFmt w:val="decimal"/>
      <w:isLgl w:val="false"/>
      <w:suff w:val="tab"/>
      <w:lvlText w:val="%4."/>
      <w:lvlJc w:val="left"/>
      <w:pPr>
        <w:pStyle w:val="844"/>
        <w:ind w:left="1680" w:hanging="420"/>
      </w:pPr>
    </w:lvl>
    <w:lvl w:ilvl="4">
      <w:start w:val="1"/>
      <w:numFmt w:val="lowerLetter"/>
      <w:isLgl w:val="false"/>
      <w:suff w:val="tab"/>
      <w:lvlText w:val="%5)"/>
      <w:lvlJc w:val="left"/>
      <w:pPr>
        <w:pStyle w:val="844"/>
        <w:ind w:left="2100" w:hanging="420"/>
      </w:pPr>
    </w:lvl>
    <w:lvl w:ilvl="5">
      <w:start w:val="1"/>
      <w:numFmt w:val="lowerRoman"/>
      <w:isLgl w:val="false"/>
      <w:suff w:val="tab"/>
      <w:lvlText w:val="%6."/>
      <w:lvlJc w:val="right"/>
      <w:pPr>
        <w:pStyle w:val="844"/>
        <w:ind w:left="2520" w:hanging="420"/>
      </w:pPr>
    </w:lvl>
    <w:lvl w:ilvl="6">
      <w:start w:val="1"/>
      <w:numFmt w:val="decimal"/>
      <w:isLgl w:val="false"/>
      <w:suff w:val="tab"/>
      <w:lvlText w:val="%7."/>
      <w:lvlJc w:val="left"/>
      <w:pPr>
        <w:pStyle w:val="844"/>
        <w:ind w:left="2940" w:hanging="420"/>
      </w:pPr>
    </w:lvl>
    <w:lvl w:ilvl="7">
      <w:start w:val="1"/>
      <w:numFmt w:val="lowerLetter"/>
      <w:isLgl w:val="false"/>
      <w:suff w:val="tab"/>
      <w:lvlText w:val="%8)"/>
      <w:lvlJc w:val="left"/>
      <w:pPr>
        <w:pStyle w:val="844"/>
        <w:ind w:left="3360" w:hanging="420"/>
      </w:pPr>
    </w:lvl>
    <w:lvl w:ilvl="8">
      <w:start w:val="1"/>
      <w:numFmt w:val="lowerRoman"/>
      <w:isLgl w:val="false"/>
      <w:suff w:val="tab"/>
      <w:lvlText w:val="%9."/>
      <w:lvlJc w:val="right"/>
      <w:pPr>
        <w:pStyle w:val="844"/>
        <w:ind w:left="3780" w:hanging="420"/>
      </w:pPr>
    </w:lvl>
  </w:abstractNum>
  <w:abstractNum w:abstractNumId="2">
    <w:multiLevelType w:val="hybridMultilevel"/>
    <w:lvl w:ilvl="0">
      <w:start w:val="1"/>
      <w:numFmt w:val="lowerLetter"/>
      <w:pStyle w:val="1028"/>
      <w:isLgl w:val="false"/>
      <w:suff w:val="tab"/>
      <w:lvlText w:val="%1)"/>
      <w:lvlJc w:val="left"/>
      <w:pPr>
        <w:pStyle w:val="844"/>
        <w:ind w:left="902" w:hanging="420"/>
      </w:pPr>
      <w:rPr>
        <w:color w:val="000000"/>
      </w:rPr>
    </w:lvl>
    <w:lvl w:ilvl="1">
      <w:start w:val="1"/>
      <w:numFmt w:val="lowerLetter"/>
      <w:isLgl w:val="false"/>
      <w:suff w:val="tab"/>
      <w:lvlText w:val="%2)"/>
      <w:lvlJc w:val="left"/>
      <w:pPr>
        <w:pStyle w:val="844"/>
        <w:ind w:left="1322" w:hanging="420"/>
      </w:pPr>
    </w:lvl>
    <w:lvl w:ilvl="2">
      <w:start w:val="1"/>
      <w:numFmt w:val="lowerRoman"/>
      <w:isLgl w:val="false"/>
      <w:suff w:val="tab"/>
      <w:lvlText w:val="%3."/>
      <w:lvlJc w:val="right"/>
      <w:pPr>
        <w:pStyle w:val="844"/>
        <w:ind w:left="1742" w:hanging="420"/>
      </w:pPr>
    </w:lvl>
    <w:lvl w:ilvl="3">
      <w:start w:val="1"/>
      <w:numFmt w:val="decimal"/>
      <w:isLgl w:val="false"/>
      <w:suff w:val="tab"/>
      <w:lvlText w:val="%4."/>
      <w:lvlJc w:val="left"/>
      <w:pPr>
        <w:pStyle w:val="844"/>
        <w:ind w:left="2162" w:hanging="420"/>
      </w:pPr>
    </w:lvl>
    <w:lvl w:ilvl="4">
      <w:start w:val="1"/>
      <w:numFmt w:val="lowerLetter"/>
      <w:isLgl w:val="false"/>
      <w:suff w:val="tab"/>
      <w:lvlText w:val="%5)"/>
      <w:lvlJc w:val="left"/>
      <w:pPr>
        <w:pStyle w:val="844"/>
        <w:ind w:left="2582" w:hanging="420"/>
      </w:pPr>
    </w:lvl>
    <w:lvl w:ilvl="5">
      <w:start w:val="1"/>
      <w:numFmt w:val="lowerRoman"/>
      <w:isLgl w:val="false"/>
      <w:suff w:val="tab"/>
      <w:lvlText w:val="%6."/>
      <w:lvlJc w:val="right"/>
      <w:pPr>
        <w:pStyle w:val="844"/>
        <w:ind w:left="3002" w:hanging="420"/>
      </w:pPr>
    </w:lvl>
    <w:lvl w:ilvl="6">
      <w:start w:val="1"/>
      <w:numFmt w:val="decimal"/>
      <w:isLgl w:val="false"/>
      <w:suff w:val="tab"/>
      <w:lvlText w:val="%7."/>
      <w:lvlJc w:val="left"/>
      <w:pPr>
        <w:pStyle w:val="844"/>
        <w:ind w:left="3422" w:hanging="420"/>
      </w:pPr>
    </w:lvl>
    <w:lvl w:ilvl="7">
      <w:start w:val="1"/>
      <w:numFmt w:val="lowerLetter"/>
      <w:isLgl w:val="false"/>
      <w:suff w:val="tab"/>
      <w:lvlText w:val="%8)"/>
      <w:lvlJc w:val="left"/>
      <w:pPr>
        <w:pStyle w:val="844"/>
        <w:ind w:left="3842" w:hanging="420"/>
      </w:pPr>
    </w:lvl>
    <w:lvl w:ilvl="8">
      <w:start w:val="1"/>
      <w:numFmt w:val="lowerRoman"/>
      <w:isLgl w:val="false"/>
      <w:suff w:val="tab"/>
      <w:lvlText w:val="%9."/>
      <w:lvlJc w:val="right"/>
      <w:pPr>
        <w:pStyle w:val="844"/>
        <w:ind w:left="4262" w:hanging="420"/>
      </w:pPr>
    </w:lvl>
  </w:abstractNum>
  <w:abstractNum w:abstractNumId="3">
    <w:multiLevelType w:val="hybridMultilevel"/>
    <w:lvl w:ilvl="0">
      <w:start w:val="1"/>
      <w:numFmt w:val="decimal"/>
      <w:pStyle w:val="998"/>
      <w:isLgl w:val="false"/>
      <w:suff w:val="tab"/>
      <w:lvlText w:val="%1."/>
      <w:lvlJc w:val="left"/>
      <w:pPr>
        <w:pStyle w:val="84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7"/>
      <w:isLgl w:val="false"/>
      <w:suff w:val="nothing"/>
      <w:lvlText w:val="%1　"/>
      <w:lvlJc w:val="left"/>
      <w:pPr>
        <w:pStyle w:val="84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4"/>
        <w:ind w:left="-25" w:firstLine="0"/>
      </w:pPr>
      <w:rPr>
        <w:rFonts w:ascii="Times New Roman" w:hAnsi="Times New Roman" w:eastAsia="黑体"/>
        <w:b/>
        <w:i w:val="0"/>
        <w:sz w:val="28"/>
      </w:rPr>
    </w:lvl>
    <w:lvl w:ilvl="3">
      <w:start w:val="1"/>
      <w:numFmt w:val="decimal"/>
      <w:pStyle w:val="983"/>
      <w:isLgl w:val="false"/>
      <w:suff w:val="nothing"/>
      <w:lvlText w:val="%1.%2.%3.%4　"/>
      <w:lvlJc w:val="left"/>
      <w:pPr>
        <w:pStyle w:val="84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4"/>
        <w:ind w:left="-25" w:firstLine="0"/>
      </w:pPr>
      <w:rPr>
        <w:rFonts w:ascii="Times New Roman" w:hAnsi="Times New Roman" w:eastAsia="宋体"/>
        <w:b/>
        <w:i w:val="0"/>
        <w:sz w:val="28"/>
      </w:rPr>
    </w:lvl>
    <w:lvl w:ilvl="6">
      <w:start w:val="1"/>
      <w:numFmt w:val="lowerLetter"/>
      <w:pStyle w:val="1004"/>
      <w:isLgl w:val="false"/>
      <w:suff w:val="tab"/>
      <w:lvlText w:val="%7) "/>
      <w:lvlJc w:val="left"/>
      <w:pPr>
        <w:pStyle w:val="844"/>
        <w:ind w:left="-125" w:firstLine="400"/>
        <w:tabs>
          <w:tab w:val="num" w:pos="635" w:leader="none"/>
        </w:tabs>
      </w:pPr>
      <w:rPr>
        <w:rFonts w:ascii="Times New Roman" w:hAnsi="Times New Roman" w:eastAsia="宋体"/>
        <w:b/>
        <w:i w:val="0"/>
        <w:color w:val="000000"/>
        <w:sz w:val="28"/>
        <w:u w:val="none"/>
      </w:rPr>
    </w:lvl>
    <w:lvl w:ilvl="7">
      <w:start w:val="1"/>
      <w:numFmt w:val="decimal"/>
      <w:pStyle w:val="967"/>
      <w:isLgl w:val="false"/>
      <w:suff w:val="tab"/>
      <w:lvlText w:val="%8) "/>
      <w:lvlJc w:val="left"/>
      <w:pPr>
        <w:pStyle w:val="84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4"/>
        <w:ind w:left="768" w:hanging="360"/>
        <w:tabs>
          <w:tab w:val="num" w:pos="768" w:leader="none"/>
        </w:tabs>
      </w:pPr>
      <w:rPr>
        <w:rFonts w:hint="eastAsia"/>
      </w:rPr>
    </w:lvl>
    <w:lvl w:ilvl="1">
      <w:start w:val="1"/>
      <w:numFmt w:val="decimal"/>
      <w:pStyle w:val="985"/>
      <w:isLgl w:val="false"/>
      <w:suff w:val="tab"/>
      <w:lvlText w:val="%2、"/>
      <w:lvlJc w:val="left"/>
      <w:pPr>
        <w:pStyle w:val="844"/>
        <w:ind w:left="1188" w:hanging="360"/>
        <w:tabs>
          <w:tab w:val="num" w:pos="1188" w:leader="none"/>
        </w:tabs>
      </w:pPr>
      <w:rPr>
        <w:rFonts w:hint="eastAsia"/>
      </w:rPr>
    </w:lvl>
    <w:lvl w:ilvl="2">
      <w:start w:val="1"/>
      <w:numFmt w:val="decimal"/>
      <w:isLgl w:val="false"/>
      <w:suff w:val="tab"/>
      <w:lvlText w:val="（%3）"/>
      <w:lvlJc w:val="left"/>
      <w:pPr>
        <w:pStyle w:val="844"/>
        <w:ind w:left="1968" w:hanging="720"/>
        <w:tabs>
          <w:tab w:val="num" w:pos="1968" w:leader="none"/>
        </w:tabs>
      </w:pPr>
      <w:rPr>
        <w:rFonts w:hint="eastAsia"/>
        <w:u w:val="none"/>
      </w:rPr>
    </w:lvl>
    <w:lvl w:ilvl="3">
      <w:start w:val="1"/>
      <w:numFmt w:val="decimal"/>
      <w:isLgl w:val="false"/>
      <w:suff w:val="tab"/>
      <w:lvlText w:val="%4."/>
      <w:lvlJc w:val="left"/>
      <w:pPr>
        <w:pStyle w:val="844"/>
        <w:ind w:left="2088" w:hanging="420"/>
        <w:tabs>
          <w:tab w:val="num" w:pos="2088" w:leader="none"/>
        </w:tabs>
      </w:pPr>
    </w:lvl>
    <w:lvl w:ilvl="4">
      <w:start w:val="1"/>
      <w:numFmt w:val="lowerLetter"/>
      <w:isLgl w:val="false"/>
      <w:suff w:val="tab"/>
      <w:lvlText w:val="%5)"/>
      <w:lvlJc w:val="left"/>
      <w:pPr>
        <w:pStyle w:val="844"/>
        <w:ind w:left="2508" w:hanging="420"/>
        <w:tabs>
          <w:tab w:val="num" w:pos="2508" w:leader="none"/>
        </w:tabs>
      </w:pPr>
    </w:lvl>
    <w:lvl w:ilvl="5">
      <w:start w:val="1"/>
      <w:numFmt w:val="lowerRoman"/>
      <w:isLgl w:val="false"/>
      <w:suff w:val="tab"/>
      <w:lvlText w:val="%6."/>
      <w:lvlJc w:val="right"/>
      <w:pPr>
        <w:pStyle w:val="844"/>
        <w:ind w:left="2928" w:hanging="420"/>
        <w:tabs>
          <w:tab w:val="num" w:pos="2928" w:leader="none"/>
        </w:tabs>
      </w:pPr>
    </w:lvl>
    <w:lvl w:ilvl="6">
      <w:start w:val="1"/>
      <w:numFmt w:val="decimal"/>
      <w:isLgl w:val="false"/>
      <w:suff w:val="tab"/>
      <w:lvlText w:val="%7."/>
      <w:lvlJc w:val="left"/>
      <w:pPr>
        <w:pStyle w:val="844"/>
        <w:ind w:left="3348" w:hanging="420"/>
        <w:tabs>
          <w:tab w:val="num" w:pos="3348" w:leader="none"/>
        </w:tabs>
      </w:pPr>
    </w:lvl>
    <w:lvl w:ilvl="7">
      <w:start w:val="1"/>
      <w:numFmt w:val="lowerLetter"/>
      <w:isLgl w:val="false"/>
      <w:suff w:val="tab"/>
      <w:lvlText w:val="%8)"/>
      <w:lvlJc w:val="left"/>
      <w:pPr>
        <w:pStyle w:val="844"/>
        <w:ind w:left="3768" w:hanging="420"/>
        <w:tabs>
          <w:tab w:val="num" w:pos="3768" w:leader="none"/>
        </w:tabs>
      </w:pPr>
    </w:lvl>
    <w:lvl w:ilvl="8">
      <w:start w:val="1"/>
      <w:numFmt w:val="lowerRoman"/>
      <w:isLgl w:val="false"/>
      <w:suff w:val="tab"/>
      <w:lvlText w:val="%9."/>
      <w:lvlJc w:val="right"/>
      <w:pPr>
        <w:pStyle w:val="84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44"/>
        <w:ind w:left="900" w:hanging="900"/>
        <w:tabs>
          <w:tab w:val="num" w:pos="900" w:leader="none"/>
        </w:tabs>
      </w:pPr>
      <w:rPr>
        <w:rFonts w:hint="eastAsia"/>
      </w:rPr>
    </w:lvl>
    <w:lvl w:ilvl="1">
      <w:start w:val="1"/>
      <w:numFmt w:val="decimal"/>
      <w:isLgl w:val="false"/>
      <w:suff w:val="tab"/>
      <w:lvlText w:val="%1.%2"/>
      <w:lvlJc w:val="left"/>
      <w:pPr>
        <w:pStyle w:val="84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4"/>
        <w:ind w:left="1980" w:hanging="900"/>
        <w:tabs>
          <w:tab w:val="num" w:pos="1980" w:leader="none"/>
        </w:tabs>
      </w:pPr>
      <w:rPr>
        <w:rFonts w:hint="eastAsia"/>
      </w:rPr>
    </w:lvl>
    <w:lvl w:ilvl="3">
      <w:start w:val="1"/>
      <w:numFmt w:val="decimal"/>
      <w:isLgl w:val="false"/>
      <w:suff w:val="tab"/>
      <w:lvlText w:val="%1.%2.%3.%4"/>
      <w:lvlJc w:val="left"/>
      <w:pPr>
        <w:pStyle w:val="844"/>
        <w:ind w:left="900" w:hanging="900"/>
        <w:tabs>
          <w:tab w:val="num" w:pos="900" w:leader="none"/>
        </w:tabs>
      </w:pPr>
      <w:rPr>
        <w:rFonts w:hint="eastAsia"/>
      </w:rPr>
    </w:lvl>
    <w:lvl w:ilvl="4">
      <w:start w:val="1"/>
      <w:numFmt w:val="decimal"/>
      <w:isLgl w:val="false"/>
      <w:suff w:val="tab"/>
      <w:lvlText w:val="%1.%2.%3.%4.%5"/>
      <w:lvlJc w:val="left"/>
      <w:pPr>
        <w:pStyle w:val="844"/>
        <w:ind w:left="900" w:hanging="900"/>
        <w:tabs>
          <w:tab w:val="num" w:pos="900" w:leader="none"/>
        </w:tabs>
      </w:pPr>
      <w:rPr>
        <w:rFonts w:hint="eastAsia"/>
      </w:rPr>
    </w:lvl>
    <w:lvl w:ilvl="5">
      <w:start w:val="1"/>
      <w:numFmt w:val="decimal"/>
      <w:isLgl w:val="false"/>
      <w:suff w:val="tab"/>
      <w:lvlText w:val="%1.%2.%3.%4.%5.%6"/>
      <w:lvlJc w:val="left"/>
      <w:pPr>
        <w:pStyle w:val="844"/>
        <w:ind w:left="900" w:hanging="900"/>
        <w:tabs>
          <w:tab w:val="num" w:pos="900" w:leader="none"/>
        </w:tabs>
      </w:pPr>
      <w:rPr>
        <w:rFonts w:hint="eastAsia"/>
      </w:rPr>
    </w:lvl>
    <w:lvl w:ilvl="6">
      <w:start w:val="1"/>
      <w:numFmt w:val="decimal"/>
      <w:isLgl w:val="false"/>
      <w:suff w:val="tab"/>
      <w:lvlText w:val="%1.%2.%3.%4.%5.%6.%7"/>
      <w:lvlJc w:val="left"/>
      <w:pPr>
        <w:pStyle w:val="844"/>
        <w:ind w:left="900" w:hanging="900"/>
        <w:tabs>
          <w:tab w:val="num" w:pos="900" w:leader="none"/>
        </w:tabs>
      </w:pPr>
      <w:rPr>
        <w:rFonts w:hint="eastAsia"/>
      </w:rPr>
    </w:lvl>
    <w:lvl w:ilvl="7">
      <w:start w:val="1"/>
      <w:numFmt w:val="decimal"/>
      <w:isLgl w:val="false"/>
      <w:suff w:val="tab"/>
      <w:lvlText w:val="%1.%2.%3.%4.%5.%6.%7.%8"/>
      <w:lvlJc w:val="left"/>
      <w:pPr>
        <w:pStyle w:val="844"/>
        <w:ind w:left="900" w:hanging="900"/>
        <w:tabs>
          <w:tab w:val="num" w:pos="900" w:leader="none"/>
        </w:tabs>
      </w:pPr>
      <w:rPr>
        <w:rFonts w:hint="eastAsia"/>
      </w:rPr>
    </w:lvl>
    <w:lvl w:ilvl="8">
      <w:start w:val="1"/>
      <w:numFmt w:val="decimal"/>
      <w:isLgl w:val="false"/>
      <w:suff w:val="tab"/>
      <w:lvlText w:val="%1.%2.%3.%4.%5.%6.%7.%8.%9"/>
      <w:lvlJc w:val="left"/>
      <w:pPr>
        <w:pStyle w:val="844"/>
        <w:ind w:left="900" w:hanging="900"/>
        <w:tabs>
          <w:tab w:val="num" w:pos="900" w:leader="none"/>
        </w:tabs>
      </w:pPr>
      <w:rPr>
        <w:rFonts w:hint="eastAsia"/>
      </w:rPr>
    </w:lvl>
  </w:abstractNum>
  <w:abstractNum w:abstractNumId="7">
    <w:multiLevelType w:val="hybridMultilevel"/>
    <w:lvl w:ilvl="0">
      <w:start w:val="1"/>
      <w:numFmt w:val="decimal"/>
      <w:pStyle w:val="952"/>
      <w:isLgl w:val="false"/>
      <w:suff w:val="tab"/>
      <w:lvlText w:val="%1)"/>
      <w:lvlJc w:val="left"/>
      <w:pPr>
        <w:pStyle w:val="844"/>
        <w:ind w:left="420" w:hanging="420"/>
      </w:pPr>
    </w:lvl>
    <w:lvl w:ilvl="1">
      <w:start w:val="1"/>
      <w:numFmt w:val="lowerLetter"/>
      <w:isLgl w:val="false"/>
      <w:suff w:val="tab"/>
      <w:lvlText w:val="%2)"/>
      <w:lvlJc w:val="left"/>
      <w:pPr>
        <w:pStyle w:val="844"/>
        <w:ind w:left="840" w:hanging="420"/>
      </w:pPr>
    </w:lvl>
    <w:lvl w:ilvl="2">
      <w:start w:val="1"/>
      <w:numFmt w:val="lowerRoman"/>
      <w:isLgl w:val="false"/>
      <w:suff w:val="tab"/>
      <w:lvlText w:val="%3."/>
      <w:lvlJc w:val="right"/>
      <w:pPr>
        <w:pStyle w:val="844"/>
        <w:ind w:left="1260" w:hanging="420"/>
      </w:pPr>
    </w:lvl>
    <w:lvl w:ilvl="3">
      <w:start w:val="1"/>
      <w:numFmt w:val="decimal"/>
      <w:isLgl w:val="false"/>
      <w:suff w:val="tab"/>
      <w:lvlText w:val="%4."/>
      <w:lvlJc w:val="left"/>
      <w:pPr>
        <w:pStyle w:val="844"/>
        <w:ind w:left="1680" w:hanging="420"/>
      </w:pPr>
    </w:lvl>
    <w:lvl w:ilvl="4">
      <w:start w:val="1"/>
      <w:numFmt w:val="lowerLetter"/>
      <w:isLgl w:val="false"/>
      <w:suff w:val="tab"/>
      <w:lvlText w:val="%5)"/>
      <w:lvlJc w:val="left"/>
      <w:pPr>
        <w:pStyle w:val="844"/>
        <w:ind w:left="2100" w:hanging="420"/>
      </w:pPr>
    </w:lvl>
    <w:lvl w:ilvl="5">
      <w:start w:val="1"/>
      <w:numFmt w:val="lowerRoman"/>
      <w:isLgl w:val="false"/>
      <w:suff w:val="tab"/>
      <w:lvlText w:val="%6."/>
      <w:lvlJc w:val="right"/>
      <w:pPr>
        <w:pStyle w:val="844"/>
        <w:ind w:left="2520" w:hanging="420"/>
      </w:pPr>
    </w:lvl>
    <w:lvl w:ilvl="6">
      <w:start w:val="1"/>
      <w:numFmt w:val="decimal"/>
      <w:isLgl w:val="false"/>
      <w:suff w:val="tab"/>
      <w:lvlText w:val="%7."/>
      <w:lvlJc w:val="left"/>
      <w:pPr>
        <w:pStyle w:val="844"/>
        <w:ind w:left="2940" w:hanging="420"/>
      </w:pPr>
    </w:lvl>
    <w:lvl w:ilvl="7">
      <w:start w:val="1"/>
      <w:numFmt w:val="lowerLetter"/>
      <w:isLgl w:val="false"/>
      <w:suff w:val="tab"/>
      <w:lvlText w:val="%8)"/>
      <w:lvlJc w:val="left"/>
      <w:pPr>
        <w:pStyle w:val="844"/>
        <w:ind w:left="3360" w:hanging="420"/>
      </w:pPr>
    </w:lvl>
    <w:lvl w:ilvl="8">
      <w:start w:val="1"/>
      <w:numFmt w:val="lowerRoman"/>
      <w:isLgl w:val="false"/>
      <w:suff w:val="tab"/>
      <w:lvlText w:val="%9."/>
      <w:lvlJc w:val="right"/>
      <w:pPr>
        <w:pStyle w:val="844"/>
        <w:ind w:left="3780" w:hanging="420"/>
      </w:pPr>
    </w:lvl>
  </w:abstractNum>
  <w:abstractNum w:abstractNumId="8">
    <w:multiLevelType w:val="hybridMultilevel"/>
    <w:lvl w:ilvl="0">
      <w:start w:val="1"/>
      <w:numFmt w:val="decimal"/>
      <w:pStyle w:val="1053"/>
      <w:isLgl w:val="false"/>
      <w:suff w:val="tab"/>
      <w:lvlText w:val="%1"/>
      <w:lvlJc w:val="left"/>
      <w:pPr>
        <w:pStyle w:val="844"/>
        <w:ind w:left="680" w:hanging="680"/>
      </w:pPr>
      <w:rPr>
        <w:rFonts w:hint="eastAsia" w:ascii="宋体" w:hAnsi="宋体" w:eastAsia="宋体"/>
      </w:rPr>
    </w:lvl>
    <w:lvl w:ilvl="1">
      <w:start w:val="1"/>
      <w:numFmt w:val="decimal"/>
      <w:pStyle w:val="1054"/>
      <w:isLgl w:val="false"/>
      <w:suff w:val="tab"/>
      <w:lvlText w:val="%1.%2"/>
      <w:lvlJc w:val="left"/>
      <w:pPr>
        <w:pStyle w:val="844"/>
        <w:ind w:left="851" w:hanging="851"/>
      </w:pPr>
      <w:rPr>
        <w:rFonts w:hint="eastAsia" w:ascii="宋体" w:hAnsi="宋体" w:eastAsia="宋体"/>
        <w:color w:val="000000"/>
      </w:rPr>
    </w:lvl>
    <w:lvl w:ilvl="2">
      <w:start w:val="1"/>
      <w:numFmt w:val="decimal"/>
      <w:pStyle w:val="1055"/>
      <w:isLgl w:val="false"/>
      <w:suff w:val="tab"/>
      <w:lvlText w:val="%1.%2.%3"/>
      <w:lvlJc w:val="left"/>
      <w:pPr>
        <w:pStyle w:val="844"/>
        <w:ind w:left="851" w:hanging="851"/>
      </w:pPr>
      <w:rPr>
        <w:rFonts w:hint="eastAsia"/>
      </w:rPr>
    </w:lvl>
    <w:lvl w:ilvl="3">
      <w:start w:val="1"/>
      <w:numFmt w:val="decimal"/>
      <w:isLgl w:val="false"/>
      <w:suff w:val="tab"/>
      <w:lvlText w:val="%1.%2.%3.%4"/>
      <w:lvlJc w:val="left"/>
      <w:pPr>
        <w:pStyle w:val="844"/>
        <w:ind w:left="680" w:hanging="680"/>
      </w:pPr>
      <w:rPr>
        <w:rFonts w:hint="eastAsia"/>
      </w:rPr>
    </w:lvl>
    <w:lvl w:ilvl="4">
      <w:start w:val="1"/>
      <w:numFmt w:val="decimal"/>
      <w:isLgl w:val="false"/>
      <w:suff w:val="tab"/>
      <w:lvlText w:val="%1.%2.%3.%4.%5"/>
      <w:lvlJc w:val="left"/>
      <w:pPr>
        <w:pStyle w:val="844"/>
        <w:ind w:left="680" w:hanging="680"/>
      </w:pPr>
      <w:rPr>
        <w:rFonts w:hint="eastAsia"/>
      </w:rPr>
    </w:lvl>
    <w:lvl w:ilvl="5">
      <w:start w:val="1"/>
      <w:numFmt w:val="decimal"/>
      <w:isLgl w:val="false"/>
      <w:suff w:val="tab"/>
      <w:lvlText w:val="%1.%2.%3.%4.%5.%6"/>
      <w:lvlJc w:val="left"/>
      <w:pPr>
        <w:pStyle w:val="844"/>
        <w:ind w:left="680" w:hanging="680"/>
      </w:pPr>
      <w:rPr>
        <w:rFonts w:hint="eastAsia"/>
      </w:rPr>
    </w:lvl>
    <w:lvl w:ilvl="6">
      <w:start w:val="1"/>
      <w:numFmt w:val="decimal"/>
      <w:isLgl w:val="false"/>
      <w:suff w:val="tab"/>
      <w:lvlText w:val="%1.%2.%3.%4.%5.%6.%7"/>
      <w:lvlJc w:val="left"/>
      <w:pPr>
        <w:pStyle w:val="844"/>
        <w:ind w:left="680" w:hanging="680"/>
      </w:pPr>
      <w:rPr>
        <w:rFonts w:hint="eastAsia"/>
      </w:rPr>
    </w:lvl>
    <w:lvl w:ilvl="7">
      <w:start w:val="1"/>
      <w:numFmt w:val="decimal"/>
      <w:isLgl w:val="false"/>
      <w:suff w:val="tab"/>
      <w:lvlText w:val="%1.%2.%3.%4.%5.%6.%7.%8"/>
      <w:lvlJc w:val="left"/>
      <w:pPr>
        <w:pStyle w:val="844"/>
        <w:ind w:left="680" w:hanging="680"/>
      </w:pPr>
      <w:rPr>
        <w:rFonts w:hint="eastAsia"/>
      </w:rPr>
    </w:lvl>
    <w:lvl w:ilvl="8">
      <w:start w:val="1"/>
      <w:numFmt w:val="decimal"/>
      <w:isLgl w:val="false"/>
      <w:suff w:val="tab"/>
      <w:lvlText w:val="%1.%2.%3.%4.%5.%6.%7.%8.%9"/>
      <w:lvlJc w:val="left"/>
      <w:pPr>
        <w:pStyle w:val="844"/>
        <w:ind w:left="680" w:hanging="680"/>
      </w:pPr>
      <w:rPr>
        <w:rFonts w:hint="eastAsia"/>
      </w:rPr>
    </w:lvl>
  </w:abstractNum>
  <w:abstractNum w:abstractNumId="9">
    <w:multiLevelType w:val="hybridMultilevel"/>
    <w:lvl w:ilvl="0">
      <w:start w:val="1"/>
      <w:numFmt w:val="decimal"/>
      <w:isLgl w:val="false"/>
      <w:suff w:val="tab"/>
      <w:lvlText w:val="%1"/>
      <w:lvlJc w:val="left"/>
      <w:pPr>
        <w:pStyle w:val="844"/>
        <w:ind w:left="900" w:hanging="900"/>
        <w:tabs>
          <w:tab w:val="num" w:pos="900" w:leader="none"/>
        </w:tabs>
      </w:pPr>
      <w:rPr>
        <w:rFonts w:hint="eastAsia"/>
      </w:rPr>
    </w:lvl>
    <w:lvl w:ilvl="1">
      <w:start w:val="1"/>
      <w:numFmt w:val="decimal"/>
      <w:isLgl w:val="false"/>
      <w:suff w:val="tab"/>
      <w:lvlText w:val="%1.%2"/>
      <w:lvlJc w:val="left"/>
      <w:pPr>
        <w:pStyle w:val="844"/>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44"/>
        <w:ind w:left="1980" w:hanging="900"/>
        <w:tabs>
          <w:tab w:val="num" w:pos="1980" w:leader="none"/>
        </w:tabs>
      </w:pPr>
      <w:rPr>
        <w:rFonts w:hint="eastAsia"/>
      </w:rPr>
    </w:lvl>
    <w:lvl w:ilvl="3">
      <w:start w:val="1"/>
      <w:numFmt w:val="decimal"/>
      <w:isLgl w:val="false"/>
      <w:suff w:val="tab"/>
      <w:lvlText w:val="%1.%2.%3.%4"/>
      <w:lvlJc w:val="left"/>
      <w:pPr>
        <w:pStyle w:val="844"/>
        <w:ind w:left="900" w:hanging="900"/>
        <w:tabs>
          <w:tab w:val="num" w:pos="900" w:leader="none"/>
        </w:tabs>
      </w:pPr>
      <w:rPr>
        <w:rFonts w:hint="eastAsia"/>
      </w:rPr>
    </w:lvl>
    <w:lvl w:ilvl="4">
      <w:start w:val="1"/>
      <w:numFmt w:val="decimal"/>
      <w:isLgl w:val="false"/>
      <w:suff w:val="tab"/>
      <w:lvlText w:val="%1.%2.%3.%4.%5"/>
      <w:lvlJc w:val="left"/>
      <w:pPr>
        <w:pStyle w:val="844"/>
        <w:ind w:left="900" w:hanging="900"/>
        <w:tabs>
          <w:tab w:val="num" w:pos="900" w:leader="none"/>
        </w:tabs>
      </w:pPr>
      <w:rPr>
        <w:rFonts w:hint="eastAsia"/>
      </w:rPr>
    </w:lvl>
    <w:lvl w:ilvl="5">
      <w:start w:val="1"/>
      <w:numFmt w:val="decimal"/>
      <w:isLgl w:val="false"/>
      <w:suff w:val="tab"/>
      <w:lvlText w:val="%1.%2.%3.%4.%5.%6"/>
      <w:lvlJc w:val="left"/>
      <w:pPr>
        <w:pStyle w:val="844"/>
        <w:ind w:left="900" w:hanging="900"/>
        <w:tabs>
          <w:tab w:val="num" w:pos="900" w:leader="none"/>
        </w:tabs>
      </w:pPr>
      <w:rPr>
        <w:rFonts w:hint="eastAsia"/>
      </w:rPr>
    </w:lvl>
    <w:lvl w:ilvl="6">
      <w:start w:val="1"/>
      <w:numFmt w:val="decimal"/>
      <w:isLgl w:val="false"/>
      <w:suff w:val="tab"/>
      <w:lvlText w:val="%1.%2.%3.%4.%5.%6.%7"/>
      <w:lvlJc w:val="left"/>
      <w:pPr>
        <w:pStyle w:val="844"/>
        <w:ind w:left="900" w:hanging="900"/>
        <w:tabs>
          <w:tab w:val="num" w:pos="900" w:leader="none"/>
        </w:tabs>
      </w:pPr>
      <w:rPr>
        <w:rFonts w:hint="eastAsia"/>
      </w:rPr>
    </w:lvl>
    <w:lvl w:ilvl="7">
      <w:start w:val="1"/>
      <w:numFmt w:val="decimal"/>
      <w:isLgl w:val="false"/>
      <w:suff w:val="tab"/>
      <w:lvlText w:val="%1.%2.%3.%4.%5.%6.%7.%8"/>
      <w:lvlJc w:val="left"/>
      <w:pPr>
        <w:pStyle w:val="844"/>
        <w:ind w:left="900" w:hanging="900"/>
        <w:tabs>
          <w:tab w:val="num" w:pos="900" w:leader="none"/>
        </w:tabs>
      </w:pPr>
      <w:rPr>
        <w:rFonts w:hint="eastAsia"/>
      </w:rPr>
    </w:lvl>
    <w:lvl w:ilvl="8">
      <w:start w:val="1"/>
      <w:numFmt w:val="decimal"/>
      <w:isLgl w:val="false"/>
      <w:suff w:val="tab"/>
      <w:lvlText w:val="%1.%2.%3.%4.%5.%6.%7.%8.%9"/>
      <w:lvlJc w:val="left"/>
      <w:pPr>
        <w:pStyle w:val="84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4"/>
    <w:next w:val="8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4"/>
    <w:next w:val="8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4"/>
    <w:next w:val="8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4"/>
    <w:next w:val="8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4"/>
    <w:next w:val="8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4"/>
    <w:next w:val="8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4"/>
    <w:next w:val="8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4"/>
    <w:next w:val="8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4"/>
    <w:next w:val="8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4"/>
    <w:next w:val="8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4"/>
    <w:next w:val="844"/>
    <w:uiPriority w:val="39"/>
    <w:unhideWhenUsed/>
    <w:pPr>
      <w:ind w:left="0" w:right="0" w:firstLine="0"/>
      <w:spacing w:after="57"/>
    </w:pPr>
  </w:style>
  <w:style w:type="paragraph" w:styleId="181">
    <w:name w:val="toc 2"/>
    <w:basedOn w:val="844"/>
    <w:next w:val="844"/>
    <w:uiPriority w:val="39"/>
    <w:unhideWhenUsed/>
    <w:pPr>
      <w:ind w:left="283" w:right="0" w:firstLine="0"/>
      <w:spacing w:after="57"/>
    </w:pPr>
  </w:style>
  <w:style w:type="paragraph" w:styleId="182">
    <w:name w:val="toc 3"/>
    <w:basedOn w:val="844"/>
    <w:next w:val="844"/>
    <w:uiPriority w:val="39"/>
    <w:unhideWhenUsed/>
    <w:pPr>
      <w:ind w:left="567" w:right="0" w:firstLine="0"/>
      <w:spacing w:after="57"/>
    </w:pPr>
  </w:style>
  <w:style w:type="paragraph" w:styleId="183">
    <w:name w:val="toc 4"/>
    <w:basedOn w:val="844"/>
    <w:next w:val="844"/>
    <w:uiPriority w:val="39"/>
    <w:unhideWhenUsed/>
    <w:pPr>
      <w:ind w:left="850" w:right="0" w:firstLine="0"/>
      <w:spacing w:after="57"/>
    </w:pPr>
  </w:style>
  <w:style w:type="paragraph" w:styleId="184">
    <w:name w:val="toc 5"/>
    <w:basedOn w:val="844"/>
    <w:next w:val="844"/>
    <w:uiPriority w:val="39"/>
    <w:unhideWhenUsed/>
    <w:pPr>
      <w:ind w:left="1134" w:right="0" w:firstLine="0"/>
      <w:spacing w:after="57"/>
    </w:pPr>
  </w:style>
  <w:style w:type="paragraph" w:styleId="185">
    <w:name w:val="toc 6"/>
    <w:basedOn w:val="844"/>
    <w:next w:val="844"/>
    <w:uiPriority w:val="39"/>
    <w:unhideWhenUsed/>
    <w:pPr>
      <w:ind w:left="1417" w:right="0" w:firstLine="0"/>
      <w:spacing w:after="57"/>
    </w:pPr>
  </w:style>
  <w:style w:type="paragraph" w:styleId="186">
    <w:name w:val="toc 7"/>
    <w:basedOn w:val="844"/>
    <w:next w:val="844"/>
    <w:uiPriority w:val="39"/>
    <w:unhideWhenUsed/>
    <w:pPr>
      <w:ind w:left="1701" w:right="0" w:firstLine="0"/>
      <w:spacing w:after="57"/>
    </w:pPr>
  </w:style>
  <w:style w:type="paragraph" w:styleId="187">
    <w:name w:val="toc 8"/>
    <w:basedOn w:val="844"/>
    <w:next w:val="844"/>
    <w:uiPriority w:val="39"/>
    <w:unhideWhenUsed/>
    <w:pPr>
      <w:ind w:left="1984" w:right="0" w:firstLine="0"/>
      <w:spacing w:after="57"/>
    </w:pPr>
  </w:style>
  <w:style w:type="paragraph" w:styleId="188">
    <w:name w:val="toc 9"/>
    <w:basedOn w:val="844"/>
    <w:next w:val="8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6"/>
    <w:link w:val="844"/>
    <w:qFormat/>
    <w:pPr>
      <w:jc w:val="both"/>
      <w:widowControl w:val="off"/>
    </w:pPr>
    <w:rPr>
      <w:sz w:val="21"/>
      <w:szCs w:val="24"/>
      <w:lang w:val="en-US" w:eastAsia="zh-CN" w:bidi="ar-SA"/>
    </w:rPr>
  </w:style>
  <w:style w:type="paragraph" w:styleId="845">
    <w:name w:val="标题 1"/>
    <w:basedOn w:val="844"/>
    <w:next w:val="844"/>
    <w:link w:val="858"/>
    <w:qFormat/>
    <w:pPr>
      <w:jc w:val="center"/>
      <w:keepLines/>
      <w:keepNext/>
      <w:spacing w:before="240" w:after="120" w:line="300" w:lineRule="auto"/>
      <w:outlineLvl w:val="0"/>
    </w:pPr>
    <w:rPr>
      <w:rFonts w:ascii="宋体"/>
      <w:b/>
      <w:sz w:val="32"/>
      <w:szCs w:val="20"/>
    </w:rPr>
  </w:style>
  <w:style w:type="paragraph" w:styleId="846">
    <w:name w:val="标题 2"/>
    <w:basedOn w:val="844"/>
    <w:next w:val="860"/>
    <w:link w:val="859"/>
    <w:qFormat/>
    <w:pPr>
      <w:jc w:val="center"/>
      <w:keepLines/>
      <w:keepNext/>
      <w:spacing w:before="120" w:line="300" w:lineRule="auto"/>
      <w:outlineLvl w:val="1"/>
    </w:pPr>
    <w:rPr>
      <w:rFonts w:ascii="Arial" w:hAnsi="Arial" w:eastAsia="黑体"/>
      <w:b/>
      <w:sz w:val="30"/>
      <w:szCs w:val="20"/>
    </w:rPr>
  </w:style>
  <w:style w:type="paragraph" w:styleId="847">
    <w:name w:val="标题 3"/>
    <w:basedOn w:val="844"/>
    <w:next w:val="844"/>
    <w:link w:val="862"/>
    <w:qFormat/>
    <w:pPr>
      <w:jc w:val="left"/>
      <w:keepLines/>
      <w:keepNext/>
      <w:spacing w:before="360" w:after="120"/>
      <w:outlineLvl w:val="2"/>
    </w:pPr>
    <w:rPr>
      <w:rFonts w:ascii="宋体"/>
      <w:b/>
      <w:sz w:val="24"/>
      <w:szCs w:val="20"/>
      <w:u w:val="single"/>
    </w:rPr>
  </w:style>
  <w:style w:type="paragraph" w:styleId="848">
    <w:name w:val="标题 4"/>
    <w:basedOn w:val="844"/>
    <w:next w:val="844"/>
    <w:link w:val="863"/>
    <w:qFormat/>
    <w:pPr>
      <w:keepLines/>
      <w:keepNext/>
      <w:spacing w:before="280" w:after="290" w:line="376" w:lineRule="atLeast"/>
      <w:outlineLvl w:val="3"/>
    </w:pPr>
    <w:rPr>
      <w:rFonts w:ascii="Arial" w:hAnsi="Arial" w:eastAsia="黑体"/>
      <w:b/>
      <w:sz w:val="28"/>
      <w:szCs w:val="20"/>
    </w:rPr>
  </w:style>
  <w:style w:type="paragraph" w:styleId="849">
    <w:name w:val="标题 5"/>
    <w:basedOn w:val="844"/>
    <w:next w:val="844"/>
    <w:link w:val="864"/>
    <w:qFormat/>
    <w:pPr>
      <w:keepLines/>
      <w:keepNext/>
      <w:spacing w:before="280" w:after="290" w:line="376" w:lineRule="atLeast"/>
      <w:outlineLvl w:val="4"/>
    </w:pPr>
    <w:rPr>
      <w:b/>
      <w:sz w:val="28"/>
      <w:szCs w:val="20"/>
    </w:rPr>
  </w:style>
  <w:style w:type="paragraph" w:styleId="850">
    <w:name w:val="标题 6"/>
    <w:basedOn w:val="844"/>
    <w:next w:val="844"/>
    <w:link w:val="865"/>
    <w:qFormat/>
    <w:pPr>
      <w:keepLines/>
      <w:keepNext/>
      <w:spacing w:before="240" w:after="64" w:line="320" w:lineRule="atLeast"/>
      <w:outlineLvl w:val="5"/>
    </w:pPr>
    <w:rPr>
      <w:rFonts w:ascii="Arial" w:hAnsi="Arial" w:eastAsia="黑体"/>
      <w:b/>
      <w:sz w:val="24"/>
      <w:szCs w:val="20"/>
    </w:rPr>
  </w:style>
  <w:style w:type="paragraph" w:styleId="851">
    <w:name w:val="标题 7"/>
    <w:basedOn w:val="844"/>
    <w:next w:val="844"/>
    <w:link w:val="866"/>
    <w:qFormat/>
    <w:pPr>
      <w:keepLines/>
      <w:keepNext/>
      <w:spacing w:before="240" w:after="64" w:line="320" w:lineRule="atLeast"/>
      <w:outlineLvl w:val="6"/>
    </w:pPr>
    <w:rPr>
      <w:b/>
      <w:sz w:val="24"/>
      <w:szCs w:val="20"/>
    </w:rPr>
  </w:style>
  <w:style w:type="paragraph" w:styleId="852">
    <w:name w:val="标题 8"/>
    <w:basedOn w:val="844"/>
    <w:next w:val="844"/>
    <w:link w:val="867"/>
    <w:qFormat/>
    <w:pPr>
      <w:keepLines/>
      <w:keepNext/>
      <w:spacing w:before="240" w:after="64" w:line="320" w:lineRule="atLeast"/>
      <w:outlineLvl w:val="7"/>
    </w:pPr>
    <w:rPr>
      <w:rFonts w:ascii="Arial" w:hAnsi="Arial" w:eastAsia="黑体"/>
      <w:sz w:val="24"/>
      <w:szCs w:val="20"/>
    </w:rPr>
  </w:style>
  <w:style w:type="paragraph" w:styleId="853">
    <w:name w:val="标题 9"/>
    <w:basedOn w:val="844"/>
    <w:next w:val="844"/>
    <w:link w:val="868"/>
    <w:qFormat/>
    <w:pPr>
      <w:keepLines/>
      <w:keepNext/>
      <w:spacing w:before="240" w:after="64" w:line="320" w:lineRule="atLeast"/>
      <w:outlineLvl w:val="8"/>
    </w:pPr>
    <w:rPr>
      <w:rFonts w:ascii="Arial" w:hAnsi="Arial" w:eastAsia="黑体"/>
      <w:szCs w:val="20"/>
    </w:rPr>
  </w:style>
  <w:style w:type="character" w:styleId="854">
    <w:name w:val="默认段落字体"/>
    <w:next w:val="854"/>
    <w:link w:val="844"/>
    <w:uiPriority w:val="1"/>
    <w:unhideWhenUsed/>
    <w:qFormat/>
  </w:style>
  <w:style w:type="table" w:styleId="855">
    <w:name w:val="普通表格"/>
    <w:next w:val="855"/>
    <w:link w:val="844"/>
    <w:uiPriority w:val="99"/>
    <w:unhideWhenUsed/>
    <w:qFormat/>
    <w:tblPr/>
  </w:style>
  <w:style w:type="paragraph" w:styleId="856">
    <w:name w:val="正文文本"/>
    <w:basedOn w:val="844"/>
    <w:next w:val="844"/>
    <w:link w:val="857"/>
    <w:qFormat/>
    <w:pPr>
      <w:spacing w:before="120" w:line="22" w:lineRule="atLeast"/>
      <w:tabs>
        <w:tab w:val="left" w:pos="567" w:leader="none"/>
      </w:tabs>
    </w:pPr>
    <w:rPr>
      <w:rFonts w:ascii="宋体" w:hAnsi="宋体"/>
      <w:sz w:val="24"/>
    </w:rPr>
  </w:style>
  <w:style w:type="character" w:styleId="857">
    <w:name w:val="正文文本 Char"/>
    <w:basedOn w:val="854"/>
    <w:next w:val="857"/>
    <w:link w:val="856"/>
    <w:qFormat/>
    <w:rPr>
      <w:rFonts w:ascii="宋体" w:hAnsi="宋体"/>
      <w:sz w:val="24"/>
      <w:szCs w:val="24"/>
    </w:rPr>
  </w:style>
  <w:style w:type="character" w:styleId="858">
    <w:name w:val="标题 1 Char"/>
    <w:basedOn w:val="854"/>
    <w:next w:val="858"/>
    <w:link w:val="845"/>
    <w:qFormat/>
    <w:rPr>
      <w:rFonts w:ascii="宋体"/>
      <w:b/>
      <w:sz w:val="32"/>
    </w:rPr>
  </w:style>
  <w:style w:type="character" w:styleId="859">
    <w:name w:val="标题 2 Char1"/>
    <w:next w:val="859"/>
    <w:link w:val="846"/>
    <w:qFormat/>
    <w:rPr>
      <w:rFonts w:ascii="Arial" w:hAnsi="Arial" w:eastAsia="黑体"/>
      <w:b/>
      <w:sz w:val="30"/>
      <w:lang w:val="en-US" w:eastAsia="zh-CN" w:bidi="ar-SA"/>
    </w:rPr>
  </w:style>
  <w:style w:type="paragraph" w:styleId="860">
    <w:name w:val="正文缩进"/>
    <w:basedOn w:val="844"/>
    <w:next w:val="860"/>
    <w:link w:val="861"/>
    <w:qFormat/>
    <w:pPr>
      <w:ind w:firstLine="420"/>
      <w:jc w:val="left"/>
    </w:pPr>
    <w:rPr>
      <w:rFonts w:ascii="宋体"/>
      <w:sz w:val="24"/>
    </w:rPr>
  </w:style>
  <w:style w:type="character" w:styleId="861">
    <w:name w:val="正文缩进 Char1"/>
    <w:next w:val="861"/>
    <w:link w:val="860"/>
    <w:qFormat/>
    <w:rPr>
      <w:rFonts w:ascii="宋体" w:eastAsia="宋体"/>
      <w:sz w:val="24"/>
      <w:szCs w:val="24"/>
      <w:lang w:val="en-US" w:eastAsia="zh-CN" w:bidi="ar-SA"/>
    </w:rPr>
  </w:style>
  <w:style w:type="character" w:styleId="862">
    <w:name w:val="标题 3 Char1"/>
    <w:next w:val="862"/>
    <w:link w:val="847"/>
    <w:qFormat/>
    <w:rPr>
      <w:rFonts w:ascii="宋体" w:eastAsia="宋体"/>
      <w:b/>
      <w:sz w:val="24"/>
      <w:u w:val="single"/>
      <w:lang w:val="en-US" w:eastAsia="zh-CN" w:bidi="ar-SA"/>
    </w:rPr>
  </w:style>
  <w:style w:type="character" w:styleId="863">
    <w:name w:val="标题 4 Char"/>
    <w:basedOn w:val="854"/>
    <w:next w:val="863"/>
    <w:link w:val="848"/>
    <w:qFormat/>
    <w:rPr>
      <w:rFonts w:ascii="Arial" w:hAnsi="Arial" w:eastAsia="黑体"/>
      <w:b/>
      <w:sz w:val="28"/>
    </w:rPr>
  </w:style>
  <w:style w:type="character" w:styleId="864">
    <w:name w:val="标题 5 Char"/>
    <w:basedOn w:val="854"/>
    <w:next w:val="864"/>
    <w:link w:val="849"/>
    <w:qFormat/>
    <w:rPr>
      <w:b/>
      <w:sz w:val="28"/>
    </w:rPr>
  </w:style>
  <w:style w:type="character" w:styleId="865">
    <w:name w:val="标题 6 Char"/>
    <w:basedOn w:val="854"/>
    <w:next w:val="865"/>
    <w:link w:val="850"/>
    <w:qFormat/>
    <w:rPr>
      <w:rFonts w:ascii="Arial" w:hAnsi="Arial" w:eastAsia="黑体"/>
      <w:b/>
      <w:sz w:val="24"/>
    </w:rPr>
  </w:style>
  <w:style w:type="character" w:styleId="866">
    <w:name w:val="标题 7 Char"/>
    <w:basedOn w:val="854"/>
    <w:next w:val="866"/>
    <w:link w:val="851"/>
    <w:qFormat/>
    <w:rPr>
      <w:b/>
      <w:sz w:val="24"/>
    </w:rPr>
  </w:style>
  <w:style w:type="character" w:styleId="867">
    <w:name w:val="标题 8 Char"/>
    <w:basedOn w:val="854"/>
    <w:next w:val="867"/>
    <w:link w:val="852"/>
    <w:qFormat/>
    <w:rPr>
      <w:rFonts w:ascii="Arial" w:hAnsi="Arial" w:eastAsia="黑体"/>
      <w:sz w:val="24"/>
    </w:rPr>
  </w:style>
  <w:style w:type="character" w:styleId="868">
    <w:name w:val="标题 9 Char"/>
    <w:basedOn w:val="854"/>
    <w:next w:val="868"/>
    <w:link w:val="853"/>
    <w:qFormat/>
    <w:rPr>
      <w:rFonts w:ascii="Arial" w:hAnsi="Arial" w:eastAsia="黑体"/>
      <w:sz w:val="21"/>
    </w:rPr>
  </w:style>
  <w:style w:type="paragraph" w:styleId="869">
    <w:name w:val="目录 7"/>
    <w:basedOn w:val="844"/>
    <w:next w:val="844"/>
    <w:link w:val="844"/>
    <w:qFormat/>
    <w:pPr>
      <w:ind w:left="2520"/>
    </w:pPr>
  </w:style>
  <w:style w:type="paragraph" w:styleId="870">
    <w:name w:val="题注"/>
    <w:basedOn w:val="844"/>
    <w:next w:val="844"/>
    <w:link w:val="844"/>
    <w:qFormat/>
    <w:pPr>
      <w:spacing w:line="480" w:lineRule="auto"/>
    </w:pPr>
    <w:rPr>
      <w:rFonts w:ascii="华文中宋" w:hAnsi="华文中宋" w:eastAsia="华文中宋"/>
      <w:sz w:val="36"/>
      <w:szCs w:val="20"/>
    </w:rPr>
  </w:style>
  <w:style w:type="paragraph" w:styleId="871">
    <w:name w:val="文档结构图"/>
    <w:basedOn w:val="844"/>
    <w:next w:val="871"/>
    <w:link w:val="872"/>
    <w:qFormat/>
    <w:pPr>
      <w:shd w:val="clear" w:color="auto" w:fill="000080"/>
    </w:pPr>
  </w:style>
  <w:style w:type="character" w:styleId="872">
    <w:name w:val="文档结构图 Char"/>
    <w:basedOn w:val="854"/>
    <w:next w:val="872"/>
    <w:link w:val="871"/>
    <w:qFormat/>
    <w:rPr>
      <w:sz w:val="21"/>
      <w:szCs w:val="24"/>
      <w:shd w:val="clear" w:color="auto" w:fill="000080"/>
    </w:rPr>
  </w:style>
  <w:style w:type="paragraph" w:styleId="873">
    <w:name w:val="批注文字"/>
    <w:basedOn w:val="844"/>
    <w:next w:val="873"/>
    <w:link w:val="874"/>
    <w:uiPriority w:val="99"/>
    <w:qFormat/>
    <w:pPr>
      <w:jc w:val="left"/>
    </w:pPr>
  </w:style>
  <w:style w:type="character" w:styleId="874">
    <w:name w:val="批注文字 Char1"/>
    <w:next w:val="874"/>
    <w:link w:val="873"/>
    <w:uiPriority w:val="99"/>
    <w:qFormat/>
    <w:rPr>
      <w:sz w:val="21"/>
      <w:szCs w:val="24"/>
    </w:rPr>
  </w:style>
  <w:style w:type="paragraph" w:styleId="875">
    <w:name w:val="正文文本 3"/>
    <w:basedOn w:val="844"/>
    <w:next w:val="875"/>
    <w:link w:val="876"/>
    <w:qFormat/>
    <w:pPr>
      <w:spacing w:after="120"/>
    </w:pPr>
    <w:rPr>
      <w:sz w:val="16"/>
      <w:szCs w:val="16"/>
    </w:rPr>
  </w:style>
  <w:style w:type="character" w:styleId="876">
    <w:name w:val="正文文本 3 Char"/>
    <w:basedOn w:val="854"/>
    <w:next w:val="876"/>
    <w:link w:val="875"/>
    <w:qFormat/>
    <w:rPr>
      <w:sz w:val="16"/>
      <w:szCs w:val="16"/>
    </w:rPr>
  </w:style>
  <w:style w:type="paragraph" w:styleId="877">
    <w:name w:val="正文文本缩进"/>
    <w:basedOn w:val="844"/>
    <w:next w:val="877"/>
    <w:link w:val="878"/>
    <w:qFormat/>
    <w:pPr>
      <w:ind w:firstLine="570"/>
      <w:spacing w:line="360" w:lineRule="auto"/>
    </w:pPr>
    <w:rPr>
      <w:sz w:val="24"/>
    </w:rPr>
  </w:style>
  <w:style w:type="character" w:styleId="878">
    <w:name w:val="正文文本缩进 Char2"/>
    <w:next w:val="878"/>
    <w:link w:val="877"/>
    <w:qFormat/>
    <w:rPr>
      <w:rFonts w:eastAsia="宋体"/>
      <w:sz w:val="24"/>
      <w:szCs w:val="24"/>
      <w:lang w:val="en-US" w:eastAsia="zh-CN" w:bidi="ar-SA"/>
    </w:rPr>
  </w:style>
  <w:style w:type="paragraph" w:styleId="879">
    <w:name w:val="列表 2"/>
    <w:basedOn w:val="844"/>
    <w:next w:val="879"/>
    <w:link w:val="844"/>
    <w:qFormat/>
    <w:pPr>
      <w:ind w:left="100" w:hanging="200"/>
    </w:pPr>
  </w:style>
  <w:style w:type="paragraph" w:styleId="880">
    <w:name w:val="文本块"/>
    <w:basedOn w:val="844"/>
    <w:next w:val="880"/>
    <w:link w:val="844"/>
    <w:qFormat/>
    <w:pPr>
      <w:ind w:left="480" w:right="-341" w:firstLine="513"/>
      <w:widowControl/>
    </w:pPr>
    <w:rPr>
      <w:sz w:val="24"/>
      <w:szCs w:val="20"/>
    </w:rPr>
  </w:style>
  <w:style w:type="paragraph" w:styleId="881">
    <w:name w:val="目录 5"/>
    <w:basedOn w:val="844"/>
    <w:next w:val="844"/>
    <w:link w:val="844"/>
    <w:qFormat/>
    <w:pPr>
      <w:ind w:left="1680"/>
    </w:pPr>
  </w:style>
  <w:style w:type="paragraph" w:styleId="882">
    <w:name w:val="目录 3"/>
    <w:basedOn w:val="844"/>
    <w:next w:val="844"/>
    <w:link w:val="844"/>
    <w:uiPriority w:val="39"/>
    <w:qFormat/>
    <w:pPr>
      <w:ind w:left="840"/>
    </w:pPr>
  </w:style>
  <w:style w:type="paragraph" w:styleId="883">
    <w:name w:val="纯文本"/>
    <w:basedOn w:val="844"/>
    <w:next w:val="883"/>
    <w:link w:val="884"/>
    <w:qFormat/>
    <w:rPr>
      <w:rFonts w:hint="eastAsia" w:ascii="宋体" w:hAnsi="Courier New"/>
      <w:szCs w:val="20"/>
    </w:rPr>
  </w:style>
  <w:style w:type="character" w:styleId="884">
    <w:name w:val="纯文本 Char"/>
    <w:basedOn w:val="854"/>
    <w:next w:val="884"/>
    <w:link w:val="883"/>
    <w:qFormat/>
    <w:rPr>
      <w:rFonts w:hint="eastAsia" w:ascii="宋体" w:hAnsi="Courier New" w:eastAsia="宋体" w:cs="宋体"/>
      <w:sz w:val="21"/>
    </w:rPr>
  </w:style>
  <w:style w:type="paragraph" w:styleId="885">
    <w:name w:val="目录 8"/>
    <w:basedOn w:val="844"/>
    <w:next w:val="844"/>
    <w:link w:val="844"/>
    <w:qFormat/>
    <w:pPr>
      <w:ind w:left="2940"/>
    </w:pPr>
  </w:style>
  <w:style w:type="paragraph" w:styleId="886">
    <w:name w:val="日期"/>
    <w:basedOn w:val="844"/>
    <w:next w:val="844"/>
    <w:link w:val="887"/>
    <w:qFormat/>
    <w:pPr>
      <w:ind w:left="100"/>
    </w:pPr>
    <w:rPr>
      <w:rFonts w:ascii="仿宋_GB2312" w:hAnsi="宋体" w:eastAsia="仿宋_GB2312"/>
      <w:color w:val="000000"/>
      <w:sz w:val="24"/>
    </w:rPr>
  </w:style>
  <w:style w:type="character" w:styleId="887">
    <w:name w:val="日期 Char"/>
    <w:basedOn w:val="854"/>
    <w:next w:val="887"/>
    <w:link w:val="886"/>
    <w:qFormat/>
    <w:rPr>
      <w:rFonts w:ascii="仿宋_GB2312" w:hAnsi="宋体" w:eastAsia="仿宋_GB2312"/>
      <w:color w:val="000000"/>
      <w:sz w:val="24"/>
      <w:szCs w:val="24"/>
    </w:rPr>
  </w:style>
  <w:style w:type="paragraph" w:styleId="888">
    <w:name w:val="正文文本缩进 2"/>
    <w:basedOn w:val="844"/>
    <w:next w:val="888"/>
    <w:link w:val="889"/>
    <w:qFormat/>
    <w:pPr>
      <w:ind w:firstLine="480"/>
    </w:pPr>
    <w:rPr>
      <w:rFonts w:ascii="仿宋_GB2312" w:eastAsia="仿宋_GB2312"/>
      <w:sz w:val="24"/>
    </w:rPr>
  </w:style>
  <w:style w:type="character" w:styleId="889">
    <w:name w:val="正文文本缩进 2 Char"/>
    <w:basedOn w:val="854"/>
    <w:next w:val="889"/>
    <w:link w:val="888"/>
    <w:qFormat/>
    <w:rPr>
      <w:rFonts w:ascii="仿宋_GB2312" w:eastAsia="仿宋_GB2312"/>
      <w:sz w:val="24"/>
      <w:szCs w:val="24"/>
    </w:rPr>
  </w:style>
  <w:style w:type="paragraph" w:styleId="890">
    <w:name w:val="批注框文本"/>
    <w:basedOn w:val="844"/>
    <w:next w:val="890"/>
    <w:link w:val="891"/>
    <w:qFormat/>
    <w:rPr>
      <w:sz w:val="18"/>
      <w:szCs w:val="18"/>
    </w:rPr>
  </w:style>
  <w:style w:type="character" w:styleId="891">
    <w:name w:val="批注框文本 Char"/>
    <w:basedOn w:val="854"/>
    <w:next w:val="891"/>
    <w:link w:val="890"/>
    <w:qFormat/>
    <w:rPr>
      <w:sz w:val="18"/>
      <w:szCs w:val="18"/>
    </w:rPr>
  </w:style>
  <w:style w:type="paragraph" w:styleId="892">
    <w:name w:val="页脚"/>
    <w:basedOn w:val="844"/>
    <w:next w:val="892"/>
    <w:link w:val="893"/>
    <w:uiPriority w:val="99"/>
    <w:qFormat/>
    <w:pPr>
      <w:jc w:val="left"/>
      <w:tabs>
        <w:tab w:val="center" w:pos="4153" w:leader="none"/>
        <w:tab w:val="right" w:pos="8306" w:leader="none"/>
      </w:tabs>
    </w:pPr>
    <w:rPr>
      <w:rFonts w:ascii="宋体"/>
      <w:sz w:val="18"/>
      <w:szCs w:val="20"/>
    </w:rPr>
  </w:style>
  <w:style w:type="character" w:styleId="893">
    <w:name w:val="页脚 Char1"/>
    <w:next w:val="893"/>
    <w:link w:val="892"/>
    <w:uiPriority w:val="99"/>
    <w:qFormat/>
    <w:rPr>
      <w:rFonts w:ascii="宋体" w:eastAsia="宋体"/>
      <w:sz w:val="18"/>
      <w:lang w:val="en-US" w:eastAsia="zh-CN" w:bidi="ar-SA"/>
    </w:rPr>
  </w:style>
  <w:style w:type="paragraph" w:styleId="894">
    <w:name w:val="页眉"/>
    <w:basedOn w:val="844"/>
    <w:next w:val="894"/>
    <w:link w:val="895"/>
    <w:qFormat/>
    <w:pPr>
      <w:jc w:val="center"/>
      <w:tabs>
        <w:tab w:val="center" w:pos="4153" w:leader="none"/>
        <w:tab w:val="right" w:pos="8306" w:leader="none"/>
      </w:tabs>
    </w:pPr>
    <w:rPr>
      <w:sz w:val="18"/>
      <w:szCs w:val="18"/>
    </w:rPr>
  </w:style>
  <w:style w:type="character" w:styleId="895">
    <w:name w:val="页眉 Char1"/>
    <w:next w:val="895"/>
    <w:link w:val="894"/>
    <w:qFormat/>
    <w:rPr>
      <w:sz w:val="18"/>
      <w:szCs w:val="18"/>
    </w:rPr>
  </w:style>
  <w:style w:type="paragraph" w:styleId="896">
    <w:name w:val="目录 1"/>
    <w:basedOn w:val="844"/>
    <w:next w:val="844"/>
    <w:link w:val="844"/>
    <w:uiPriority w:val="39"/>
    <w:qFormat/>
    <w:pPr>
      <w:spacing w:line="300" w:lineRule="auto"/>
      <w:tabs>
        <w:tab w:val="left" w:pos="1050" w:leader="none"/>
        <w:tab w:val="right" w:pos="8937" w:leader="dot"/>
      </w:tabs>
    </w:pPr>
    <w:rPr>
      <w:rFonts w:ascii="宋体" w:hAnsi="宋体"/>
      <w:b/>
      <w:sz w:val="24"/>
    </w:rPr>
  </w:style>
  <w:style w:type="paragraph" w:styleId="897">
    <w:name w:val="目录 4"/>
    <w:basedOn w:val="844"/>
    <w:next w:val="844"/>
    <w:link w:val="844"/>
    <w:qFormat/>
    <w:pPr>
      <w:ind w:left="1260"/>
    </w:pPr>
  </w:style>
  <w:style w:type="paragraph" w:styleId="898">
    <w:name w:val="目录 6"/>
    <w:basedOn w:val="844"/>
    <w:next w:val="844"/>
    <w:link w:val="844"/>
    <w:qFormat/>
    <w:pPr>
      <w:ind w:left="2100"/>
    </w:pPr>
  </w:style>
  <w:style w:type="paragraph" w:styleId="899">
    <w:name w:val="正文文本缩进 3"/>
    <w:basedOn w:val="844"/>
    <w:next w:val="899"/>
    <w:link w:val="900"/>
    <w:qFormat/>
    <w:pPr>
      <w:ind w:left="720" w:firstLine="480"/>
      <w:jc w:val="left"/>
      <w:spacing w:before="120" w:line="22" w:lineRule="atLeast"/>
    </w:pPr>
    <w:rPr>
      <w:rFonts w:ascii="宋体"/>
      <w:sz w:val="24"/>
      <w:szCs w:val="20"/>
    </w:rPr>
  </w:style>
  <w:style w:type="character" w:styleId="900">
    <w:name w:val="正文文本缩进 3 Char"/>
    <w:basedOn w:val="854"/>
    <w:next w:val="900"/>
    <w:link w:val="899"/>
    <w:qFormat/>
    <w:rPr>
      <w:rFonts w:ascii="宋体"/>
      <w:sz w:val="24"/>
    </w:rPr>
  </w:style>
  <w:style w:type="paragraph" w:styleId="901">
    <w:name w:val="目录 2"/>
    <w:basedOn w:val="844"/>
    <w:next w:val="844"/>
    <w:link w:val="844"/>
    <w:uiPriority w:val="39"/>
    <w:qFormat/>
    <w:pPr>
      <w:ind w:left="420"/>
      <w:spacing w:line="312" w:lineRule="auto"/>
      <w:tabs>
        <w:tab w:val="right" w:pos="8937" w:leader="dot"/>
      </w:tabs>
    </w:pPr>
  </w:style>
  <w:style w:type="paragraph" w:styleId="902">
    <w:name w:val="目录 9"/>
    <w:basedOn w:val="844"/>
    <w:next w:val="844"/>
    <w:link w:val="844"/>
    <w:qFormat/>
    <w:pPr>
      <w:ind w:left="3360"/>
    </w:pPr>
  </w:style>
  <w:style w:type="paragraph" w:styleId="903">
    <w:name w:val="HTML 预设格式"/>
    <w:basedOn w:val="844"/>
    <w:next w:val="903"/>
    <w:link w:val="9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4">
    <w:name w:val="HTML 预设格式 Char"/>
    <w:basedOn w:val="854"/>
    <w:next w:val="904"/>
    <w:link w:val="903"/>
    <w:qFormat/>
    <w:rPr>
      <w:rFonts w:ascii="宋体" w:hAnsi="宋体" w:cs="宋体"/>
      <w:sz w:val="24"/>
      <w:szCs w:val="24"/>
    </w:rPr>
  </w:style>
  <w:style w:type="paragraph" w:styleId="905">
    <w:name w:val="普通(网站)"/>
    <w:basedOn w:val="844"/>
    <w:next w:val="905"/>
    <w:link w:val="844"/>
    <w:uiPriority w:val="99"/>
    <w:unhideWhenUsed/>
    <w:qFormat/>
    <w:pPr>
      <w:jc w:val="left"/>
      <w:spacing w:before="100" w:beforeAutospacing="1" w:after="100" w:afterAutospacing="1"/>
      <w:widowControl/>
    </w:pPr>
    <w:rPr>
      <w:rFonts w:ascii="宋体" w:hAnsi="宋体" w:cs="宋体"/>
      <w:sz w:val="24"/>
    </w:rPr>
  </w:style>
  <w:style w:type="paragraph" w:styleId="906">
    <w:name w:val="索引 1"/>
    <w:basedOn w:val="844"/>
    <w:next w:val="844"/>
    <w:link w:val="844"/>
    <w:qFormat/>
    <w:rPr>
      <w:szCs w:val="20"/>
    </w:rPr>
  </w:style>
  <w:style w:type="paragraph" w:styleId="907">
    <w:name w:val="标题"/>
    <w:basedOn w:val="844"/>
    <w:next w:val="907"/>
    <w:link w:val="908"/>
    <w:qFormat/>
    <w:pPr>
      <w:jc w:val="center"/>
      <w:outlineLvl w:val="0"/>
    </w:pPr>
    <w:rPr>
      <w:b/>
      <w:sz w:val="32"/>
      <w:szCs w:val="20"/>
    </w:rPr>
  </w:style>
  <w:style w:type="character" w:styleId="908">
    <w:name w:val="标题 Char1"/>
    <w:next w:val="908"/>
    <w:link w:val="907"/>
    <w:qFormat/>
    <w:rPr>
      <w:b/>
      <w:sz w:val="32"/>
    </w:rPr>
  </w:style>
  <w:style w:type="paragraph" w:styleId="909">
    <w:name w:val="批注主题"/>
    <w:basedOn w:val="873"/>
    <w:next w:val="873"/>
    <w:link w:val="910"/>
    <w:qFormat/>
    <w:rPr>
      <w:b/>
      <w:bCs/>
    </w:rPr>
  </w:style>
  <w:style w:type="character" w:styleId="910">
    <w:name w:val="批注主题 Char"/>
    <w:basedOn w:val="911"/>
    <w:next w:val="910"/>
    <w:link w:val="909"/>
    <w:qFormat/>
    <w:rPr>
      <w:rFonts w:ascii="Times New Roman" w:hAnsi="Times New Roman" w:eastAsia="宋体" w:cs="Times New Roman"/>
      <w:b/>
      <w:bCs/>
      <w:sz w:val="21"/>
      <w:szCs w:val="24"/>
      <w:lang w:val="en-US" w:eastAsia="zh-CN" w:bidi="ar-SA"/>
    </w:rPr>
  </w:style>
  <w:style w:type="character" w:styleId="911">
    <w:name w:val="批注文字 字符"/>
    <w:next w:val="911"/>
    <w:link w:val="844"/>
    <w:uiPriority w:val="99"/>
    <w:qFormat/>
    <w:rPr>
      <w:rFonts w:ascii="Times New Roman" w:hAnsi="Times New Roman" w:eastAsia="宋体" w:cs="Times New Roman"/>
      <w:sz w:val="24"/>
      <w:lang w:val="en-US" w:eastAsia="zh-CN" w:bidi="ar-SA"/>
    </w:rPr>
  </w:style>
  <w:style w:type="paragraph" w:styleId="912">
    <w:name w:val="正文首行缩进 2"/>
    <w:basedOn w:val="877"/>
    <w:next w:val="912"/>
    <w:link w:val="913"/>
    <w:qFormat/>
    <w:pPr>
      <w:ind w:left="420" w:firstLine="420"/>
      <w:spacing w:after="120" w:line="480" w:lineRule="exact"/>
    </w:pPr>
    <w:rPr>
      <w:szCs w:val="20"/>
    </w:rPr>
  </w:style>
  <w:style w:type="character" w:styleId="913">
    <w:name w:val="正文首行缩进 2 Char"/>
    <w:basedOn w:val="878"/>
    <w:next w:val="913"/>
    <w:link w:val="912"/>
    <w:qFormat/>
    <w:rPr>
      <w:rFonts w:eastAsia="宋体"/>
      <w:sz w:val="24"/>
      <w:szCs w:val="24"/>
      <w:lang w:val="en-US" w:eastAsia="zh-CN" w:bidi="ar-SA"/>
    </w:rPr>
  </w:style>
  <w:style w:type="table" w:styleId="914">
    <w:name w:val="网格型"/>
    <w:basedOn w:val="855"/>
    <w:next w:val="914"/>
    <w:link w:val="844"/>
    <w:uiPriority w:val="39"/>
    <w:qFormat/>
    <w:tblPr/>
  </w:style>
  <w:style w:type="table" w:styleId="915">
    <w:name w:val="中等深浅网格 1 - 强调文字颜色 2"/>
    <w:basedOn w:val="855"/>
    <w:next w:val="915"/>
    <w:link w:val="844"/>
    <w:qFormat/>
    <w:rPr>
      <w:sz w:val="21"/>
      <w:szCs w:val="24"/>
    </w:rPr>
    <w:tblPr/>
  </w:style>
  <w:style w:type="character" w:styleId="916">
    <w:name w:val="要点"/>
    <w:next w:val="916"/>
    <w:link w:val="844"/>
    <w:qFormat/>
    <w:rPr>
      <w:b/>
      <w:bCs/>
    </w:rPr>
  </w:style>
  <w:style w:type="character" w:styleId="917">
    <w:name w:val="页码"/>
    <w:basedOn w:val="854"/>
    <w:next w:val="917"/>
    <w:link w:val="844"/>
    <w:qFormat/>
  </w:style>
  <w:style w:type="character" w:styleId="918">
    <w:name w:val="已访问的超链接"/>
    <w:next w:val="918"/>
    <w:link w:val="844"/>
    <w:qFormat/>
    <w:rPr>
      <w:color w:val="800080"/>
      <w:u w:val="single"/>
    </w:rPr>
  </w:style>
  <w:style w:type="character" w:styleId="919">
    <w:name w:val="强调"/>
    <w:next w:val="919"/>
    <w:link w:val="844"/>
    <w:qFormat/>
    <w:rPr>
      <w:color w:val="cc0033"/>
    </w:rPr>
  </w:style>
  <w:style w:type="character" w:styleId="920">
    <w:name w:val="超链接"/>
    <w:next w:val="920"/>
    <w:link w:val="844"/>
    <w:uiPriority w:val="99"/>
    <w:qFormat/>
    <w:rPr>
      <w:color w:val="0000ff"/>
      <w:u w:val="single"/>
    </w:rPr>
  </w:style>
  <w:style w:type="character" w:styleId="921">
    <w:name w:val="批注引用"/>
    <w:next w:val="921"/>
    <w:link w:val="844"/>
    <w:uiPriority w:val="99"/>
    <w:qFormat/>
    <w:rPr>
      <w:sz w:val="21"/>
      <w:szCs w:val="21"/>
    </w:rPr>
  </w:style>
  <w:style w:type="character" w:styleId="922">
    <w:name w:val="HTML 引文"/>
    <w:next w:val="922"/>
    <w:link w:val="844"/>
    <w:qFormat/>
    <w:rPr>
      <w:i/>
      <w:iCs/>
    </w:rPr>
  </w:style>
  <w:style w:type="paragraph" w:styleId="923">
    <w:name w:val="段"/>
    <w:next w:val="844"/>
    <w:link w:val="844"/>
    <w:qFormat/>
    <w:pPr>
      <w:ind w:firstLine="200"/>
      <w:jc w:val="both"/>
      <w:spacing w:line="360" w:lineRule="auto"/>
    </w:pPr>
    <w:rPr>
      <w:rFonts w:ascii="宋体"/>
      <w:sz w:val="24"/>
      <w:szCs w:val="22"/>
      <w:lang w:val="en-US" w:eastAsia="zh-CN" w:bidi="ar-SA"/>
    </w:rPr>
  </w:style>
  <w:style w:type="character" w:styleId="924">
    <w:name w:val="c21"/>
    <w:next w:val="924"/>
    <w:link w:val="844"/>
    <w:qFormat/>
    <w:rPr>
      <w:rFonts w:ascii="ˎ̥" w:hAnsi="ˎ̥"/>
      <w:color w:val="000000"/>
      <w:sz w:val="20"/>
      <w:szCs w:val="20"/>
      <w:u w:val="none"/>
    </w:rPr>
  </w:style>
  <w:style w:type="character" w:styleId="925">
    <w:name w:val="title4"/>
    <w:next w:val="925"/>
    <w:link w:val="844"/>
    <w:qFormat/>
    <w:rPr>
      <w:b/>
      <w:bCs/>
      <w:color w:val="1d87b3"/>
      <w:sz w:val="15"/>
      <w:szCs w:val="15"/>
    </w:rPr>
  </w:style>
  <w:style w:type="character" w:styleId="926">
    <w:name w:val="标题 2 Char Char"/>
    <w:next w:val="926"/>
    <w:link w:val="844"/>
    <w:qFormat/>
    <w:rPr>
      <w:rFonts w:ascii="Arial" w:hAnsi="Arial" w:eastAsia="黑体"/>
      <w:b/>
      <w:bCs/>
      <w:sz w:val="32"/>
      <w:szCs w:val="32"/>
      <w:lang w:val="en-US" w:eastAsia="zh-CN" w:bidi="ar-SA"/>
    </w:rPr>
  </w:style>
  <w:style w:type="character" w:styleId="927">
    <w:name w:val="black1"/>
    <w:next w:val="927"/>
    <w:link w:val="844"/>
    <w:qFormat/>
    <w:rPr>
      <w:color w:val="000000"/>
    </w:rPr>
  </w:style>
  <w:style w:type="character" w:styleId="928">
    <w:name w:val="street-address"/>
    <w:basedOn w:val="854"/>
    <w:next w:val="928"/>
    <w:link w:val="844"/>
    <w:qFormat/>
  </w:style>
  <w:style w:type="character" w:styleId="929">
    <w:name w:val="locality"/>
    <w:basedOn w:val="854"/>
    <w:next w:val="929"/>
    <w:link w:val="844"/>
    <w:qFormat/>
  </w:style>
  <w:style w:type="character" w:styleId="930">
    <w:name w:val="正文文本缩进 Char1"/>
    <w:next w:val="930"/>
    <w:link w:val="931"/>
    <w:qFormat/>
    <w:rPr>
      <w:rFonts w:ascii="宋体" w:hAnsi="宋体" w:eastAsia="宋体"/>
      <w:sz w:val="24"/>
      <w:szCs w:val="24"/>
      <w:lang w:bidi="ar-SA"/>
    </w:rPr>
  </w:style>
  <w:style w:type="paragraph" w:styleId="931">
    <w:name w:val="正文文本缩进1"/>
    <w:basedOn w:val="844"/>
    <w:next w:val="931"/>
    <w:link w:val="930"/>
    <w:qFormat/>
    <w:pPr>
      <w:ind w:firstLine="480"/>
      <w:spacing w:line="480" w:lineRule="exact"/>
    </w:pPr>
    <w:rPr>
      <w:rFonts w:ascii="宋体" w:hAnsi="宋体"/>
      <w:sz w:val="24"/>
    </w:rPr>
  </w:style>
  <w:style w:type="character" w:styleId="932">
    <w:name w:val="Char Char11"/>
    <w:next w:val="932"/>
    <w:link w:val="844"/>
    <w:qFormat/>
    <w:rPr>
      <w:rFonts w:ascii="宋体" w:eastAsia="宋体"/>
      <w:b/>
      <w:sz w:val="24"/>
      <w:u w:val="single"/>
      <w:lang w:val="en-US" w:eastAsia="zh-CN" w:bidi="ar-SA"/>
    </w:rPr>
  </w:style>
  <w:style w:type="character" w:styleId="933">
    <w:name w:val="txt"/>
    <w:basedOn w:val="854"/>
    <w:next w:val="933"/>
    <w:link w:val="844"/>
    <w:qFormat/>
  </w:style>
  <w:style w:type="character" w:styleId="934">
    <w:name w:val="正文缩进 Char Char"/>
    <w:next w:val="934"/>
    <w:link w:val="935"/>
    <w:qFormat/>
    <w:rPr>
      <w:rFonts w:ascii="宋体" w:eastAsia="宋体"/>
      <w:color w:val="000000"/>
      <w:sz w:val="28"/>
      <w:lang w:bidi="ar-SA"/>
    </w:rPr>
  </w:style>
  <w:style w:type="paragraph" w:styleId="935">
    <w:name w:val="正文缩进1"/>
    <w:basedOn w:val="844"/>
    <w:next w:val="935"/>
    <w:link w:val="934"/>
    <w:qFormat/>
    <w:pPr>
      <w:ind w:firstLine="567"/>
      <w:spacing w:line="480" w:lineRule="exact"/>
      <w:widowControl/>
    </w:pPr>
    <w:rPr>
      <w:rFonts w:ascii="宋体"/>
      <w:color w:val="000000"/>
      <w:sz w:val="28"/>
      <w:szCs w:val="20"/>
    </w:rPr>
  </w:style>
  <w:style w:type="character" w:styleId="936">
    <w:name w:val="普通文字1 Char1"/>
    <w:next w:val="936"/>
    <w:link w:val="844"/>
    <w:qFormat/>
    <w:rPr>
      <w:rFonts w:ascii="宋体" w:hAnsi="Courier New" w:eastAsia="宋体"/>
      <w:sz w:val="21"/>
      <w:lang w:val="en-US" w:eastAsia="zh-CN" w:bidi="ar-SA"/>
    </w:rPr>
  </w:style>
  <w:style w:type="character" w:styleId="937">
    <w:name w:val="chanpin1"/>
    <w:next w:val="937"/>
    <w:link w:val="844"/>
    <w:qFormat/>
    <w:rPr>
      <w:rFonts w:ascii="ˎ̥" w:hAnsi="ˎ̥"/>
      <w:color w:val="000000"/>
      <w:sz w:val="20"/>
      <w:szCs w:val="20"/>
      <w:u w:val="none"/>
    </w:rPr>
  </w:style>
  <w:style w:type="character" w:styleId="938">
    <w:name w:val="列出段落 Char1"/>
    <w:next w:val="938"/>
    <w:link w:val="939"/>
    <w:uiPriority w:val="34"/>
    <w:qFormat/>
    <w:rPr>
      <w:rFonts w:ascii="Calibri" w:hAnsi="Calibri" w:eastAsia="宋体"/>
      <w:sz w:val="21"/>
      <w:szCs w:val="22"/>
      <w:lang w:val="en-US" w:eastAsia="zh-CN" w:bidi="ar-SA"/>
    </w:rPr>
  </w:style>
  <w:style w:type="paragraph" w:styleId="939">
    <w:name w:val="列出段落"/>
    <w:basedOn w:val="844"/>
    <w:next w:val="939"/>
    <w:link w:val="938"/>
    <w:uiPriority w:val="34"/>
    <w:qFormat/>
    <w:pPr>
      <w:ind w:firstLine="420"/>
    </w:pPr>
    <w:rPr>
      <w:rFonts w:ascii="Calibri" w:hAnsi="Calibri"/>
      <w:szCs w:val="22"/>
    </w:rPr>
  </w:style>
  <w:style w:type="character" w:styleId="940">
    <w:name w:val="标题 3 Char Char"/>
    <w:next w:val="940"/>
    <w:link w:val="844"/>
    <w:qFormat/>
    <w:rPr>
      <w:rFonts w:eastAsia="宋体"/>
      <w:b/>
      <w:bCs/>
      <w:sz w:val="32"/>
      <w:szCs w:val="32"/>
      <w:lang w:val="en-US" w:eastAsia="zh-CN" w:bidi="ar-SA"/>
    </w:rPr>
  </w:style>
  <w:style w:type="character" w:styleId="941">
    <w:name w:val="段1 Char"/>
    <w:next w:val="941"/>
    <w:link w:val="844"/>
    <w:qFormat/>
    <w:rPr>
      <w:rFonts w:ascii="宋体" w:eastAsia="宋体"/>
      <w:sz w:val="24"/>
      <w:lang w:val="en-US" w:eastAsia="zh-CN" w:bidi="ar-SA"/>
    </w:rPr>
  </w:style>
  <w:style w:type="character" w:styleId="942">
    <w:name w:val="chanpin拷贝"/>
    <w:basedOn w:val="854"/>
    <w:next w:val="942"/>
    <w:link w:val="844"/>
    <w:qFormat/>
  </w:style>
  <w:style w:type="character" w:styleId="943">
    <w:name w:val="纯文本 Char1"/>
    <w:next w:val="943"/>
    <w:link w:val="844"/>
    <w:qFormat/>
    <w:rPr>
      <w:rFonts w:ascii="宋体" w:hAnsi="Courier New" w:eastAsia="宋体"/>
      <w:sz w:val="21"/>
      <w:lang w:val="en-US" w:eastAsia="zh-CN" w:bidi="ar-SA"/>
    </w:rPr>
  </w:style>
  <w:style w:type="character" w:styleId="944">
    <w:name w:val="apple-style-span"/>
    <w:next w:val="944"/>
    <w:link w:val="844"/>
    <w:qFormat/>
    <w:rPr>
      <w:rFonts w:cs="Times New Roman"/>
    </w:rPr>
  </w:style>
  <w:style w:type="paragraph" w:styleId="945">
    <w:name w:val="二级条标题"/>
    <w:basedOn w:val="946"/>
    <w:next w:val="844"/>
    <w:link w:val="844"/>
    <w:qFormat/>
    <w:pPr>
      <w:numPr>
        <w:ilvl w:val="0"/>
        <w:numId w:val="0"/>
      </w:numPr>
      <w:ind w:hanging="840"/>
      <w:tabs>
        <w:tab w:val="left" w:pos="360" w:leader="none"/>
        <w:tab w:val="left" w:pos="840" w:leader="none"/>
      </w:tabs>
      <w:outlineLvl w:val="2"/>
    </w:pPr>
    <w:rPr>
      <w:rFonts w:ascii="宋体" w:eastAsia="宋体"/>
      <w:b w:val="0"/>
    </w:rPr>
  </w:style>
  <w:style w:type="paragraph" w:styleId="946">
    <w:name w:val="一级条标题"/>
    <w:basedOn w:val="947"/>
    <w:next w:val="844"/>
    <w:link w:val="844"/>
    <w:qFormat/>
    <w:pPr>
      <w:numPr>
        <w:ilvl w:val="1"/>
      </w:numPr>
      <w:ind w:left="0" w:hanging="840"/>
      <w:tabs>
        <w:tab w:val="left" w:pos="360" w:leader="none"/>
        <w:tab w:val="left" w:pos="840" w:leader="none"/>
      </w:tabs>
      <w:outlineLvl w:val="1"/>
    </w:pPr>
  </w:style>
  <w:style w:type="paragraph" w:styleId="947">
    <w:name w:val="章标题"/>
    <w:next w:val="844"/>
    <w:link w:val="84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8">
    <w:name w:val="font7"/>
    <w:basedOn w:val="844"/>
    <w:next w:val="948"/>
    <w:link w:val="844"/>
    <w:qFormat/>
    <w:pPr>
      <w:jc w:val="left"/>
      <w:spacing w:before="100" w:beforeAutospacing="1" w:after="100" w:afterAutospacing="1"/>
      <w:widowControl/>
    </w:pPr>
    <w:rPr>
      <w:rFonts w:eastAsia="Arial Unicode MS"/>
      <w:b/>
      <w:bCs/>
      <w:color w:val="000000"/>
      <w:sz w:val="20"/>
      <w:szCs w:val="20"/>
    </w:rPr>
  </w:style>
  <w:style w:type="paragraph" w:styleId="949">
    <w:name w:val="字元 字元"/>
    <w:basedOn w:val="844"/>
    <w:next w:val="949"/>
    <w:link w:val="844"/>
    <w:qFormat/>
    <w:rPr>
      <w:rFonts w:ascii="Tahoma" w:hAnsi="Tahoma"/>
      <w:sz w:val="24"/>
      <w:szCs w:val="20"/>
    </w:rPr>
  </w:style>
  <w:style w:type="paragraph" w:styleId="950">
    <w:name w:val="Char3 Char Char Char"/>
    <w:basedOn w:val="844"/>
    <w:next w:val="950"/>
    <w:link w:val="844"/>
    <w:qFormat/>
    <w:rPr>
      <w:rFonts w:ascii="Tahoma" w:hAnsi="Tahoma"/>
      <w:sz w:val="24"/>
      <w:szCs w:val="20"/>
    </w:rPr>
  </w:style>
  <w:style w:type="paragraph" w:styleId="951">
    <w:name w:val="font6"/>
    <w:basedOn w:val="844"/>
    <w:next w:val="951"/>
    <w:link w:val="844"/>
    <w:qFormat/>
    <w:pPr>
      <w:jc w:val="left"/>
      <w:spacing w:before="100" w:beforeAutospacing="1" w:after="100" w:afterAutospacing="1"/>
      <w:widowControl/>
    </w:pPr>
    <w:rPr>
      <w:rFonts w:ascii="宋体" w:hAnsi="宋体" w:cs="宋体"/>
      <w:sz w:val="20"/>
      <w:szCs w:val="20"/>
    </w:rPr>
  </w:style>
  <w:style w:type="paragraph" w:styleId="952">
    <w:name w:val="项目编号2"/>
    <w:basedOn w:val="953"/>
    <w:next w:val="952"/>
    <w:link w:val="844"/>
    <w:qFormat/>
    <w:pPr>
      <w:numPr>
        <w:numId w:val="3"/>
      </w:numPr>
    </w:pPr>
  </w:style>
  <w:style w:type="paragraph" w:styleId="953">
    <w:name w:val="项目编号1"/>
    <w:basedOn w:val="844"/>
    <w:next w:val="953"/>
    <w:link w:val="844"/>
    <w:qFormat/>
    <w:pPr>
      <w:numPr>
        <w:ilvl w:val="0"/>
        <w:numId w:val="2"/>
      </w:numPr>
      <w:spacing w:before="100" w:beforeAutospacing="1" w:after="100" w:afterAutospacing="1" w:line="360" w:lineRule="auto"/>
    </w:pPr>
    <w:rPr>
      <w:sz w:val="24"/>
    </w:rPr>
  </w:style>
  <w:style w:type="paragraph" w:styleId="954">
    <w:name w:val="图中文字"/>
    <w:basedOn w:val="844"/>
    <w:next w:val="954"/>
    <w:link w:val="844"/>
    <w:qFormat/>
    <w:pPr>
      <w:jc w:val="center"/>
      <w:spacing w:line="0" w:lineRule="atLeast"/>
    </w:pPr>
    <w:rPr>
      <w:sz w:val="24"/>
      <w:szCs w:val="20"/>
    </w:rPr>
  </w:style>
  <w:style w:type="paragraph" w:styleId="955">
    <w:name w:val="xl46"/>
    <w:basedOn w:val="844"/>
    <w:next w:val="955"/>
    <w:link w:val="8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6">
    <w:name w:val="xl25"/>
    <w:basedOn w:val="844"/>
    <w:next w:val="956"/>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7">
    <w:name w:val="Char2"/>
    <w:basedOn w:val="844"/>
    <w:next w:val="957"/>
    <w:link w:val="844"/>
    <w:qFormat/>
    <w:rPr>
      <w:rFonts w:ascii="Tahoma" w:hAnsi="Tahoma"/>
      <w:sz w:val="24"/>
      <w:szCs w:val="20"/>
    </w:rPr>
  </w:style>
  <w:style w:type="paragraph" w:styleId="958">
    <w:name w:val="xl35"/>
    <w:basedOn w:val="844"/>
    <w:next w:val="958"/>
    <w:link w:val="8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9">
    <w:name w:val="xl40"/>
    <w:basedOn w:val="844"/>
    <w:next w:val="959"/>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52"/>
    <w:basedOn w:val="844"/>
    <w:next w:val="960"/>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1">
    <w:name w:val="xl43"/>
    <w:basedOn w:val="844"/>
    <w:next w:val="961"/>
    <w:link w:val="8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2">
    <w:name w:val="background1"/>
    <w:basedOn w:val="844"/>
    <w:next w:val="962"/>
    <w:link w:val="844"/>
    <w:qFormat/>
    <w:pPr>
      <w:jc w:val="left"/>
      <w:spacing w:before="100" w:beforeAutospacing="1" w:after="100" w:afterAutospacing="1"/>
      <w:widowControl/>
    </w:pPr>
    <w:rPr>
      <w:rFonts w:ascii="宋体" w:hAnsi="宋体" w:cs="宋体"/>
      <w:sz w:val="24"/>
    </w:rPr>
  </w:style>
  <w:style w:type="paragraph" w:styleId="963">
    <w:name w:val="Char Char Char Char Char Char Char"/>
    <w:basedOn w:val="844"/>
    <w:next w:val="963"/>
    <w:link w:val="844"/>
    <w:qFormat/>
    <w:pPr>
      <w:ind w:firstLine="200"/>
      <w:spacing w:line="360" w:lineRule="auto"/>
    </w:pPr>
    <w:rPr>
      <w:rFonts w:eastAsia="仿宋_GB2312"/>
      <w:sz w:val="24"/>
    </w:rPr>
  </w:style>
  <w:style w:type="paragraph" w:styleId="964">
    <w:name w:val="xl38"/>
    <w:basedOn w:val="844"/>
    <w:next w:val="964"/>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5">
    <w:name w:val="xl36"/>
    <w:basedOn w:val="844"/>
    <w:next w:val="965"/>
    <w:link w:val="8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6">
    <w:name w:val="正文 + 宋体"/>
    <w:basedOn w:val="844"/>
    <w:next w:val="966"/>
    <w:link w:val="844"/>
    <w:qFormat/>
    <w:pPr>
      <w:ind w:left="360" w:hanging="360"/>
      <w:jc w:val="left"/>
      <w:widowControl/>
    </w:pPr>
    <w:rPr>
      <w:rFonts w:ascii="宋体" w:hAnsi="宋体" w:cs="宋体"/>
      <w:b/>
      <w:bCs/>
      <w:color w:val="000000"/>
      <w:sz w:val="18"/>
      <w:szCs w:val="18"/>
    </w:rPr>
  </w:style>
  <w:style w:type="paragraph" w:styleId="967">
    <w:name w:val="正文列项_数字"/>
    <w:basedOn w:val="844"/>
    <w:next w:val="967"/>
    <w:link w:val="844"/>
    <w:qFormat/>
    <w:pPr>
      <w:numPr>
        <w:ilvl w:val="7"/>
        <w:numId w:val="1"/>
      </w:numPr>
      <w:ind w:left="680" w:hanging="150"/>
      <w:spacing w:line="460" w:lineRule="exact"/>
      <w:tabs>
        <w:tab w:val="clear" w:pos="860" w:leader="none"/>
      </w:tabs>
      <w:outlineLvl w:val="7"/>
    </w:pPr>
    <w:rPr>
      <w:rFonts w:ascii="宋体"/>
      <w:sz w:val="28"/>
      <w:szCs w:val="20"/>
    </w:rPr>
  </w:style>
  <w:style w:type="paragraph" w:styleId="968">
    <w:name w:val="xl39"/>
    <w:basedOn w:val="844"/>
    <w:next w:val="96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xl37"/>
    <w:basedOn w:val="844"/>
    <w:next w:val="969"/>
    <w:link w:val="8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xl32"/>
    <w:basedOn w:val="844"/>
    <w:next w:val="970"/>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font8"/>
    <w:basedOn w:val="844"/>
    <w:next w:val="971"/>
    <w:link w:val="844"/>
    <w:qFormat/>
    <w:pPr>
      <w:jc w:val="left"/>
      <w:spacing w:before="100" w:beforeAutospacing="1" w:after="100" w:afterAutospacing="1"/>
      <w:widowControl/>
    </w:pPr>
    <w:rPr>
      <w:sz w:val="36"/>
      <w:szCs w:val="36"/>
    </w:rPr>
  </w:style>
  <w:style w:type="paragraph" w:styleId="972">
    <w:name w:val="Char"/>
    <w:basedOn w:val="844"/>
    <w:next w:val="972"/>
    <w:link w:val="844"/>
    <w:qFormat/>
    <w:pPr>
      <w:tabs>
        <w:tab w:val="left" w:pos="360" w:leader="none"/>
      </w:tabs>
    </w:pPr>
    <w:rPr>
      <w:sz w:val="24"/>
    </w:rPr>
  </w:style>
  <w:style w:type="paragraph" w:styleId="973">
    <w:name w:val="Char Char Char Char Char Char Char Char Char Char Char Char Char Char Char Char"/>
    <w:basedOn w:val="844"/>
    <w:next w:val="973"/>
    <w:link w:val="844"/>
    <w:qFormat/>
    <w:pPr>
      <w:jc w:val="center"/>
      <w:spacing w:after="160" w:line="240" w:lineRule="exact"/>
      <w:widowControl/>
    </w:pPr>
    <w:rPr>
      <w:rFonts w:ascii="宋体" w:hAnsi="宋体"/>
      <w:b/>
      <w:sz w:val="30"/>
      <w:szCs w:val="30"/>
      <w:lang w:eastAsia="en-US"/>
    </w:rPr>
  </w:style>
  <w:style w:type="paragraph" w:styleId="974">
    <w:name w:val="xl45"/>
    <w:basedOn w:val="844"/>
    <w:next w:val="974"/>
    <w:link w:val="8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5">
    <w:name w:val="Char Char1 Char Char Char Char Char Char"/>
    <w:basedOn w:val="844"/>
    <w:next w:val="975"/>
    <w:link w:val="844"/>
    <w:qFormat/>
    <w:pPr>
      <w:jc w:val="left"/>
      <w:spacing w:after="160" w:line="240" w:lineRule="exact"/>
      <w:widowControl/>
    </w:pPr>
    <w:rPr>
      <w:rFonts w:ascii="Verdana" w:hAnsi="Verdana" w:eastAsia="仿宋_GB2312"/>
      <w:sz w:val="24"/>
      <w:szCs w:val="20"/>
      <w:lang w:eastAsia="en-US"/>
    </w:rPr>
  </w:style>
  <w:style w:type="paragraph" w:styleId="976">
    <w:name w:val="Char Char1"/>
    <w:basedOn w:val="871"/>
    <w:next w:val="976"/>
    <w:link w:val="844"/>
    <w:qFormat/>
    <w:rPr>
      <w:rFonts w:ascii="Tahoma" w:hAnsi="Tahoma"/>
      <w:sz w:val="24"/>
    </w:rPr>
  </w:style>
  <w:style w:type="paragraph" w:styleId="977">
    <w:name w:val="xl26"/>
    <w:basedOn w:val="844"/>
    <w:next w:val="97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8">
    <w:name w:val="xl30"/>
    <w:basedOn w:val="844"/>
    <w:next w:val="97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9">
    <w:name w:val="xl41"/>
    <w:basedOn w:val="844"/>
    <w:next w:val="979"/>
    <w:link w:val="8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0">
    <w:name w:val="样式 宋体 五号 行距: 单倍行距"/>
    <w:basedOn w:val="844"/>
    <w:next w:val="980"/>
    <w:link w:val="844"/>
    <w:qFormat/>
    <w:pPr>
      <w:jc w:val="left"/>
    </w:pPr>
    <w:rPr>
      <w:rFonts w:ascii="宋体" w:hAnsi="宋体"/>
      <w:szCs w:val="20"/>
    </w:rPr>
  </w:style>
  <w:style w:type="paragraph" w:styleId="981">
    <w:name w:val="Char1 Char Char Char1"/>
    <w:basedOn w:val="844"/>
    <w:next w:val="981"/>
    <w:link w:val="844"/>
    <w:qFormat/>
    <w:rPr>
      <w:rFonts w:ascii="Tahoma" w:hAnsi="Tahoma" w:cs="仿宋_GB2312"/>
      <w:sz w:val="24"/>
      <w:szCs w:val="28"/>
    </w:rPr>
  </w:style>
  <w:style w:type="paragraph" w:styleId="982">
    <w:name w:val="四级条标题"/>
    <w:basedOn w:val="983"/>
    <w:next w:val="844"/>
    <w:link w:val="844"/>
    <w:qFormat/>
    <w:pPr>
      <w:numPr>
        <w:ilvl w:val="4"/>
      </w:numPr>
      <w:ind w:left="0" w:hanging="840"/>
      <w:tabs>
        <w:tab w:val="left" w:pos="360" w:leader="none"/>
        <w:tab w:val="left" w:pos="840" w:leader="none"/>
      </w:tabs>
      <w:outlineLvl w:val="4"/>
    </w:pPr>
  </w:style>
  <w:style w:type="paragraph" w:styleId="983">
    <w:name w:val="三级条标题"/>
    <w:basedOn w:val="945"/>
    <w:next w:val="844"/>
    <w:link w:val="844"/>
    <w:qFormat/>
    <w:pPr>
      <w:numPr>
        <w:ilvl w:val="3"/>
        <w:numId w:val="1"/>
      </w:numPr>
      <w:ind w:left="0" w:hanging="840"/>
      <w:tabs>
        <w:tab w:val="left" w:pos="360" w:leader="none"/>
        <w:tab w:val="left" w:pos="840" w:leader="none"/>
      </w:tabs>
      <w:outlineLvl w:val="3"/>
    </w:pPr>
  </w:style>
  <w:style w:type="paragraph" w:styleId="984">
    <w:name w:val="??"/>
    <w:next w:val="984"/>
    <w:link w:val="844"/>
    <w:qFormat/>
    <w:pPr>
      <w:jc w:val="both"/>
      <w:widowControl w:val="off"/>
    </w:pPr>
    <w:rPr>
      <w:sz w:val="21"/>
      <w:lang w:val="en-US" w:eastAsia="en-US" w:bidi="ar-SA"/>
    </w:rPr>
  </w:style>
  <w:style w:type="paragraph" w:styleId="985">
    <w:name w:val="样式 标题 2 + 宋体 五号 行距: 单倍行距"/>
    <w:basedOn w:val="846"/>
    <w:next w:val="985"/>
    <w:link w:val="84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86">
    <w:name w:val="List Paragraph1"/>
    <w:basedOn w:val="844"/>
    <w:next w:val="986"/>
    <w:link w:val="844"/>
    <w:qFormat/>
    <w:pPr>
      <w:ind w:firstLine="420"/>
    </w:pPr>
    <w:rPr>
      <w:rFonts w:ascii="Calibri" w:hAnsi="Calibri"/>
      <w:szCs w:val="22"/>
    </w:rPr>
  </w:style>
  <w:style w:type="paragraph" w:styleId="987">
    <w:name w:val="项目符号1"/>
    <w:basedOn w:val="988"/>
    <w:next w:val="987"/>
    <w:link w:val="844"/>
    <w:qFormat/>
    <w:pPr>
      <w:ind w:left="-25" w:firstLine="0"/>
    </w:pPr>
  </w:style>
  <w:style w:type="paragraph" w:styleId="988">
    <w:name w:val="正文文本样式"/>
    <w:basedOn w:val="844"/>
    <w:next w:val="988"/>
    <w:link w:val="844"/>
    <w:qFormat/>
    <w:pPr>
      <w:ind w:firstLine="482"/>
      <w:spacing w:line="360" w:lineRule="auto"/>
    </w:pPr>
    <w:rPr>
      <w:rFonts w:cs="宋体"/>
      <w:sz w:val="24"/>
      <w:szCs w:val="20"/>
    </w:rPr>
  </w:style>
  <w:style w:type="paragraph" w:styleId="989">
    <w:name w:val="xl27"/>
    <w:basedOn w:val="844"/>
    <w:next w:val="989"/>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0">
    <w:name w:val="font5"/>
    <w:basedOn w:val="844"/>
    <w:next w:val="990"/>
    <w:link w:val="844"/>
    <w:qFormat/>
    <w:pPr>
      <w:jc w:val="left"/>
      <w:spacing w:before="100" w:beforeAutospacing="1" w:after="100" w:afterAutospacing="1"/>
      <w:widowControl/>
    </w:pPr>
    <w:rPr>
      <w:rFonts w:ascii="宋体" w:hAnsi="宋体" w:cs="宋体"/>
      <w:sz w:val="18"/>
      <w:szCs w:val="18"/>
    </w:rPr>
  </w:style>
  <w:style w:type="paragraph" w:styleId="991">
    <w:name w:val="五级条标题"/>
    <w:basedOn w:val="982"/>
    <w:next w:val="844"/>
    <w:link w:val="844"/>
    <w:qFormat/>
    <w:pPr>
      <w:numPr>
        <w:ilvl w:val="5"/>
      </w:numPr>
      <w:ind w:left="0" w:hanging="840"/>
      <w:tabs>
        <w:tab w:val="left" w:pos="360" w:leader="none"/>
        <w:tab w:val="left" w:pos="840" w:leader="none"/>
      </w:tabs>
      <w:outlineLvl w:val="5"/>
    </w:pPr>
  </w:style>
  <w:style w:type="paragraph" w:styleId="992">
    <w:name w:val="xl49"/>
    <w:basedOn w:val="844"/>
    <w:next w:val="992"/>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3">
    <w:name w:val="文档正文"/>
    <w:basedOn w:val="844"/>
    <w:next w:val="993"/>
    <w:link w:val="844"/>
    <w:qFormat/>
    <w:pPr>
      <w:spacing w:before="120" w:after="120" w:line="180" w:lineRule="auto"/>
    </w:pPr>
    <w:rPr>
      <w:rFonts w:ascii="Arial" w:hAnsi="Arial"/>
      <w:szCs w:val="20"/>
    </w:rPr>
  </w:style>
  <w:style w:type="paragraph" w:styleId="994">
    <w:name w:val="xl33"/>
    <w:basedOn w:val="844"/>
    <w:next w:val="994"/>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5">
    <w:name w:val="xl42"/>
    <w:basedOn w:val="844"/>
    <w:next w:val="995"/>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6">
    <w:name w:val="Char Char Char1 Char"/>
    <w:basedOn w:val="844"/>
    <w:next w:val="996"/>
    <w:link w:val="844"/>
    <w:qFormat/>
    <w:rPr>
      <w:rFonts w:ascii="Tahoma" w:hAnsi="Tahoma"/>
      <w:sz w:val="24"/>
      <w:szCs w:val="20"/>
    </w:rPr>
  </w:style>
  <w:style w:type="paragraph" w:styleId="997">
    <w:name w:val="xl44"/>
    <w:basedOn w:val="844"/>
    <w:next w:val="997"/>
    <w:link w:val="8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8">
    <w:name w:val="1名"/>
    <w:basedOn w:val="844"/>
    <w:next w:val="998"/>
    <w:link w:val="844"/>
    <w:qFormat/>
    <w:pPr>
      <w:numPr>
        <w:ilvl w:val="0"/>
        <w:numId w:val="5"/>
      </w:numPr>
      <w:spacing w:before="120"/>
      <w:tabs>
        <w:tab w:val="left" w:pos="360" w:leader="none"/>
      </w:tabs>
    </w:pPr>
    <w:rPr>
      <w:rFonts w:ascii="宋体"/>
      <w:sz w:val="28"/>
      <w:szCs w:val="20"/>
    </w:rPr>
  </w:style>
  <w:style w:type="paragraph" w:styleId="999">
    <w:name w:val="font9"/>
    <w:basedOn w:val="844"/>
    <w:next w:val="999"/>
    <w:link w:val="844"/>
    <w:qFormat/>
    <w:pPr>
      <w:jc w:val="left"/>
      <w:spacing w:before="100" w:beforeAutospacing="1" w:after="100" w:afterAutospacing="1"/>
      <w:widowControl/>
    </w:pPr>
    <w:rPr>
      <w:rFonts w:hint="eastAsia" w:ascii="宋体" w:hAnsi="宋体" w:cs="Arial Unicode MS"/>
      <w:color w:val="000000"/>
      <w:sz w:val="20"/>
      <w:szCs w:val="20"/>
    </w:rPr>
  </w:style>
  <w:style w:type="paragraph" w:styleId="1000">
    <w:name w:val="Char Char Char1 Char1"/>
    <w:basedOn w:val="844"/>
    <w:next w:val="1000"/>
    <w:link w:val="844"/>
    <w:qFormat/>
    <w:rPr>
      <w:rFonts w:ascii="Tahoma" w:hAnsi="Tahoma"/>
      <w:sz w:val="24"/>
      <w:szCs w:val="20"/>
    </w:rPr>
  </w:style>
  <w:style w:type="paragraph" w:styleId="1001">
    <w:name w:val="Char Char Char Char Char Char Char Char Char Char"/>
    <w:basedOn w:val="844"/>
    <w:next w:val="1001"/>
    <w:link w:val="844"/>
    <w:qFormat/>
  </w:style>
  <w:style w:type="paragraph" w:styleId="1002">
    <w:name w:val="Char Char1 Char Char Char Char Char Char Char Char"/>
    <w:basedOn w:val="844"/>
    <w:next w:val="1002"/>
    <w:link w:val="844"/>
    <w:qFormat/>
    <w:pPr>
      <w:jc w:val="left"/>
      <w:spacing w:after="160" w:line="240" w:lineRule="exact"/>
      <w:widowControl/>
    </w:pPr>
    <w:rPr>
      <w:rFonts w:ascii="Verdana" w:hAnsi="Verdana"/>
      <w:sz w:val="20"/>
      <w:szCs w:val="20"/>
      <w:lang w:eastAsia="en-US"/>
    </w:rPr>
  </w:style>
  <w:style w:type="paragraph" w:styleId="1003">
    <w:name w:val="Char1"/>
    <w:basedOn w:val="844"/>
    <w:next w:val="1003"/>
    <w:link w:val="844"/>
    <w:qFormat/>
    <w:pPr>
      <w:tabs>
        <w:tab w:val="left" w:pos="360" w:leader="none"/>
      </w:tabs>
    </w:pPr>
    <w:rPr>
      <w:sz w:val="24"/>
    </w:rPr>
  </w:style>
  <w:style w:type="paragraph" w:styleId="1004">
    <w:name w:val="正文列项_字母"/>
    <w:basedOn w:val="844"/>
    <w:next w:val="1004"/>
    <w:link w:val="844"/>
    <w:qFormat/>
    <w:pPr>
      <w:numPr>
        <w:ilvl w:val="6"/>
        <w:numId w:val="1"/>
      </w:numPr>
      <w:ind w:left="480" w:hanging="180"/>
      <w:spacing w:line="460" w:lineRule="exact"/>
      <w:tabs>
        <w:tab w:val="clear" w:pos="635" w:leader="none"/>
      </w:tabs>
      <w:outlineLvl w:val="6"/>
    </w:pPr>
    <w:rPr>
      <w:rFonts w:ascii="宋体"/>
      <w:sz w:val="28"/>
      <w:szCs w:val="20"/>
    </w:rPr>
  </w:style>
  <w:style w:type="paragraph" w:styleId="1005">
    <w:name w:val="xl28"/>
    <w:basedOn w:val="844"/>
    <w:next w:val="1005"/>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6">
    <w:name w:val="xl47"/>
    <w:basedOn w:val="844"/>
    <w:next w:val="1006"/>
    <w:link w:val="8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7">
    <w:name w:val="默认段落字体 Para Char Char Char Char"/>
    <w:basedOn w:val="844"/>
    <w:next w:val="1007"/>
    <w:link w:val="844"/>
    <w:qFormat/>
    <w:rPr>
      <w:rFonts w:ascii="Arial" w:hAnsi="Arial" w:cs="Arial"/>
      <w:szCs w:val="21"/>
    </w:rPr>
  </w:style>
  <w:style w:type="paragraph" w:styleId="1008">
    <w:name w:val="xl48"/>
    <w:basedOn w:val="844"/>
    <w:next w:val="100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9">
    <w:name w:val="xl31"/>
    <w:basedOn w:val="844"/>
    <w:next w:val="1009"/>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xl53"/>
    <w:basedOn w:val="844"/>
    <w:next w:val="1010"/>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Char Char Char"/>
    <w:basedOn w:val="844"/>
    <w:next w:val="1011"/>
    <w:link w:val="844"/>
    <w:qFormat/>
    <w:rPr>
      <w:rFonts w:ascii="Tahoma" w:hAnsi="Tahoma"/>
      <w:sz w:val="24"/>
      <w:szCs w:val="20"/>
    </w:rPr>
  </w:style>
  <w:style w:type="paragraph" w:styleId="1012">
    <w:name w:val="xl50"/>
    <w:basedOn w:val="844"/>
    <w:next w:val="1012"/>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3">
    <w:name w:val="缺省文本"/>
    <w:basedOn w:val="844"/>
    <w:next w:val="1013"/>
    <w:link w:val="844"/>
    <w:qFormat/>
    <w:pPr>
      <w:jc w:val="left"/>
    </w:pPr>
    <w:rPr>
      <w:sz w:val="24"/>
    </w:rPr>
  </w:style>
  <w:style w:type="paragraph" w:styleId="1014">
    <w:name w:val="Char Char Char1"/>
    <w:basedOn w:val="844"/>
    <w:next w:val="1014"/>
    <w:link w:val="844"/>
    <w:qFormat/>
    <w:rPr>
      <w:rFonts w:ascii="Tahoma" w:hAnsi="Tahoma"/>
      <w:sz w:val="24"/>
      <w:szCs w:val="20"/>
    </w:rPr>
  </w:style>
  <w:style w:type="paragraph" w:styleId="1015">
    <w:name w:val="Char Char Char Char Char Char Char1"/>
    <w:basedOn w:val="844"/>
    <w:next w:val="1015"/>
    <w:link w:val="844"/>
    <w:qFormat/>
    <w:pPr>
      <w:ind w:firstLine="200"/>
      <w:spacing w:line="360" w:lineRule="auto"/>
    </w:pPr>
    <w:rPr>
      <w:rFonts w:eastAsia="仿宋_GB2312"/>
      <w:sz w:val="24"/>
    </w:rPr>
  </w:style>
  <w:style w:type="paragraph" w:styleId="1016">
    <w:name w:val="xl51"/>
    <w:basedOn w:val="844"/>
    <w:next w:val="1016"/>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样式2"/>
    <w:basedOn w:val="906"/>
    <w:next w:val="1017"/>
    <w:link w:val="844"/>
    <w:qFormat/>
    <w:pPr>
      <w:jc w:val="center"/>
      <w:spacing w:line="360" w:lineRule="auto"/>
    </w:pPr>
    <w:rPr>
      <w:sz w:val="24"/>
    </w:rPr>
  </w:style>
  <w:style w:type="paragraph" w:styleId="1018">
    <w:name w:val="xl24"/>
    <w:basedOn w:val="844"/>
    <w:next w:val="101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xl29"/>
    <w:basedOn w:val="844"/>
    <w:next w:val="1019"/>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0">
    <w:name w:val="正文 + 楷体_GB2312"/>
    <w:basedOn w:val="844"/>
    <w:next w:val="1020"/>
    <w:link w:val="844"/>
    <w:qFormat/>
    <w:pPr>
      <w:jc w:val="left"/>
      <w:widowControl/>
    </w:pPr>
    <w:rPr>
      <w:rFonts w:ascii="楷体_GB2312" w:eastAsia="楷体_GB2312" w:cs="Arial"/>
      <w:sz w:val="24"/>
    </w:rPr>
  </w:style>
  <w:style w:type="paragraph" w:styleId="1021">
    <w:name w:val="xl34"/>
    <w:basedOn w:val="844"/>
    <w:next w:val="102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2">
    <w:name w:val="1 Char Char Char Char"/>
    <w:basedOn w:val="844"/>
    <w:next w:val="1022"/>
    <w:link w:val="844"/>
    <w:qFormat/>
    <w:rPr>
      <w:rFonts w:ascii="Tahoma" w:hAnsi="Tahoma"/>
      <w:sz w:val="24"/>
      <w:szCs w:val="20"/>
    </w:rPr>
  </w:style>
  <w:style w:type="paragraph" w:styleId="1023">
    <w:name w:val="Default"/>
    <w:next w:val="1023"/>
    <w:link w:val="844"/>
    <w:qFormat/>
    <w:pPr>
      <w:widowControl w:val="off"/>
    </w:pPr>
    <w:rPr>
      <w:rFonts w:ascii="Symbol" w:hAnsi="Symbol" w:cs="Symbol"/>
      <w:color w:val="000000"/>
      <w:sz w:val="24"/>
      <w:szCs w:val="24"/>
      <w:lang w:val="en-US" w:eastAsia="zh-CN" w:bidi="ar-SA"/>
    </w:rPr>
  </w:style>
  <w:style w:type="paragraph" w:styleId="1024">
    <w:name w:val="列出段落1"/>
    <w:basedOn w:val="844"/>
    <w:next w:val="1024"/>
    <w:link w:val="844"/>
    <w:qFormat/>
    <w:pPr>
      <w:ind w:firstLine="420"/>
    </w:pPr>
    <w:rPr>
      <w:rFonts w:ascii="Calibri" w:hAnsi="Calibri"/>
      <w:szCs w:val="22"/>
    </w:rPr>
  </w:style>
  <w:style w:type="paragraph" w:styleId="1025">
    <w:name w:val="default"/>
    <w:basedOn w:val="844"/>
    <w:next w:val="1025"/>
    <w:link w:val="844"/>
    <w:qFormat/>
    <w:pPr>
      <w:jc w:val="left"/>
      <w:spacing w:before="100" w:beforeAutospacing="1" w:after="100" w:afterAutospacing="1"/>
      <w:widowControl/>
    </w:pPr>
    <w:rPr>
      <w:rFonts w:ascii="宋体" w:hAnsi="宋体" w:cs="宋体"/>
      <w:sz w:val="24"/>
    </w:rPr>
  </w:style>
  <w:style w:type="paragraph" w:styleId="1026">
    <w:name w:val="字元 字元1"/>
    <w:basedOn w:val="844"/>
    <w:next w:val="1026"/>
    <w:link w:val="844"/>
    <w:qFormat/>
    <w:rPr>
      <w:rFonts w:ascii="Tahoma" w:hAnsi="Tahoma"/>
      <w:sz w:val="24"/>
      <w:szCs w:val="20"/>
    </w:rPr>
  </w:style>
  <w:style w:type="paragraph" w:styleId="1027">
    <w:name w:val="_Style 160"/>
    <w:next w:val="1027"/>
    <w:link w:val="844"/>
    <w:qFormat/>
    <w:rPr>
      <w:sz w:val="21"/>
      <w:szCs w:val="24"/>
      <w:lang w:val="en-US" w:eastAsia="zh-CN" w:bidi="ar-SA"/>
    </w:rPr>
  </w:style>
  <w:style w:type="paragraph" w:styleId="1028">
    <w:name w:val="项目编号3"/>
    <w:basedOn w:val="988"/>
    <w:next w:val="1028"/>
    <w:link w:val="844"/>
    <w:qFormat/>
    <w:pPr>
      <w:numPr>
        <w:ilvl w:val="0"/>
        <w:numId w:val="6"/>
      </w:numPr>
    </w:pPr>
  </w:style>
  <w:style w:type="paragraph" w:styleId="1029">
    <w:name w:val="Char21"/>
    <w:basedOn w:val="844"/>
    <w:next w:val="1029"/>
    <w:link w:val="844"/>
    <w:qFormat/>
    <w:rPr>
      <w:rFonts w:ascii="Tahoma" w:hAnsi="Tahoma"/>
      <w:sz w:val="24"/>
      <w:szCs w:val="20"/>
    </w:rPr>
  </w:style>
  <w:style w:type="paragraph" w:styleId="1030">
    <w:name w:val="表格文字"/>
    <w:basedOn w:val="877"/>
    <w:next w:val="1030"/>
    <w:link w:val="844"/>
    <w:qFormat/>
    <w:pPr>
      <w:ind w:firstLine="0"/>
      <w:spacing w:before="20" w:after="20" w:line="240" w:lineRule="auto"/>
    </w:pPr>
    <w:rPr>
      <w:rFonts w:ascii="Century Gothic" w:hAnsi="Century Gothic"/>
      <w:sz w:val="20"/>
      <w:szCs w:val="20"/>
    </w:rPr>
  </w:style>
  <w:style w:type="paragraph" w:styleId="1031">
    <w:name w:val="Char Char Char Char Char Char Char Char Char Char1"/>
    <w:basedOn w:val="844"/>
    <w:next w:val="1031"/>
    <w:link w:val="844"/>
    <w:qFormat/>
    <w:rPr>
      <w:rFonts w:ascii="宋体" w:hAnsi="宋体" w:cs="Courier New"/>
      <w:sz w:val="32"/>
      <w:szCs w:val="32"/>
    </w:rPr>
  </w:style>
  <w:style w:type="paragraph" w:styleId="1032">
    <w:name w:val="正文文本样式 加粗"/>
    <w:basedOn w:val="988"/>
    <w:next w:val="1032"/>
    <w:link w:val="844"/>
    <w:qFormat/>
    <w:rPr>
      <w:b/>
    </w:rPr>
  </w:style>
  <w:style w:type="paragraph" w:styleId="1033">
    <w:name w:val="Char2 Char Char Char Char Char Char"/>
    <w:basedOn w:val="844"/>
    <w:next w:val="1033"/>
    <w:link w:val="844"/>
    <w:qFormat/>
    <w:pPr>
      <w:jc w:val="center"/>
      <w:spacing w:line="400" w:lineRule="exact"/>
      <w:widowControl/>
    </w:pPr>
  </w:style>
  <w:style w:type="paragraph" w:styleId="1034">
    <w:name w:val="Char Char4"/>
    <w:basedOn w:val="844"/>
    <w:next w:val="1034"/>
    <w:link w:val="844"/>
    <w:qFormat/>
    <w:pPr>
      <w:jc w:val="center"/>
      <w:spacing w:line="400" w:lineRule="exact"/>
      <w:widowControl/>
    </w:pPr>
  </w:style>
  <w:style w:type="paragraph" w:styleId="1035">
    <w:name w:val="Char3 Char Char Char1"/>
    <w:basedOn w:val="844"/>
    <w:next w:val="1035"/>
    <w:link w:val="844"/>
    <w:qFormat/>
    <w:rPr>
      <w:rFonts w:ascii="Tahoma" w:hAnsi="Tahoma"/>
      <w:sz w:val="24"/>
      <w:szCs w:val="20"/>
    </w:rPr>
  </w:style>
  <w:style w:type="paragraph" w:styleId="1036">
    <w:name w:val="无间隔"/>
    <w:next w:val="1036"/>
    <w:link w:val="844"/>
    <w:qFormat/>
    <w:pPr>
      <w:jc w:val="both"/>
      <w:widowControl w:val="off"/>
    </w:pPr>
    <w:rPr>
      <w:sz w:val="21"/>
      <w:szCs w:val="24"/>
      <w:lang w:val="en-US" w:eastAsia="zh-CN" w:bidi="ar-SA"/>
    </w:rPr>
  </w:style>
  <w:style w:type="paragraph" w:styleId="1037">
    <w:name w:val="22222222222222"/>
    <w:basedOn w:val="844"/>
    <w:next w:val="1037"/>
    <w:link w:val="844"/>
    <w:qFormat/>
    <w:pPr>
      <w:ind w:firstLine="480"/>
      <w:jc w:val="left"/>
      <w:spacing w:line="360" w:lineRule="auto"/>
      <w:widowControl/>
    </w:pPr>
    <w:rPr>
      <w:color w:val="ff0000"/>
      <w:sz w:val="24"/>
      <w:szCs w:val="20"/>
    </w:rPr>
  </w:style>
  <w:style w:type="character" w:styleId="1038">
    <w:name w:val="中等深浅网格 1 - 强调文字颜色 2 Char"/>
    <w:next w:val="1038"/>
    <w:link w:val="1039"/>
    <w:qFormat/>
    <w:rPr>
      <w:sz w:val="21"/>
      <w:szCs w:val="24"/>
      <w:lang w:val="zh-CN" w:eastAsia="zh-CN" w:bidi="ar-SA"/>
    </w:rPr>
  </w:style>
  <w:style w:type="paragraph" w:styleId="1039">
    <w:name w:val="1"/>
    <w:next w:val="1039"/>
    <w:link w:val="1038"/>
    <w:qFormat/>
    <w:rPr>
      <w:sz w:val="21"/>
      <w:szCs w:val="24"/>
      <w:lang w:val="zh-CN" w:eastAsia="zh-CN" w:bidi="ar-SA"/>
    </w:rPr>
  </w:style>
  <w:style w:type="paragraph" w:styleId="1040">
    <w:name w:val="图文"/>
    <w:basedOn w:val="844"/>
    <w:next w:val="1040"/>
    <w:link w:val="844"/>
    <w:qFormat/>
    <w:pPr>
      <w:spacing w:after="50" w:line="360" w:lineRule="auto"/>
    </w:pPr>
    <w:rPr>
      <w:sz w:val="24"/>
    </w:rPr>
  </w:style>
  <w:style w:type="paragraph" w:styleId="1041">
    <w:name w:val="xl23"/>
    <w:basedOn w:val="844"/>
    <w:next w:val="1041"/>
    <w:link w:val="844"/>
    <w:qFormat/>
    <w:pPr>
      <w:spacing w:before="100" w:beforeAutospacing="1" w:after="100" w:afterAutospacing="1" w:line="360" w:lineRule="auto"/>
      <w:widowControl/>
    </w:pPr>
    <w:rPr>
      <w:sz w:val="24"/>
      <w:szCs w:val="20"/>
    </w:rPr>
  </w:style>
  <w:style w:type="paragraph" w:styleId="1042">
    <w:name w:val="正文表格"/>
    <w:basedOn w:val="844"/>
    <w:next w:val="1042"/>
    <w:link w:val="1043"/>
    <w:qFormat/>
    <w:pPr>
      <w:jc w:val="left"/>
    </w:pPr>
    <w:rPr>
      <w:rFonts w:ascii="宋体" w:hAnsi="宋体"/>
      <w:color w:val="000000"/>
      <w:szCs w:val="21"/>
    </w:rPr>
  </w:style>
  <w:style w:type="character" w:styleId="1043">
    <w:name w:val="正文表格 Char"/>
    <w:next w:val="1043"/>
    <w:link w:val="1042"/>
    <w:qFormat/>
    <w:rPr>
      <w:rFonts w:ascii="宋体" w:hAnsi="宋体"/>
      <w:color w:val="000000"/>
      <w:sz w:val="21"/>
      <w:szCs w:val="21"/>
    </w:rPr>
  </w:style>
  <w:style w:type="paragraph" w:styleId="1044">
    <w:name w:val="正文重点"/>
    <w:basedOn w:val="844"/>
    <w:next w:val="1044"/>
    <w:link w:val="1045"/>
    <w:qFormat/>
    <w:pPr>
      <w:ind w:firstLine="482"/>
      <w:jc w:val="left"/>
      <w:spacing w:line="360" w:lineRule="auto"/>
    </w:pPr>
    <w:rPr>
      <w:b/>
      <w:sz w:val="24"/>
      <w:szCs w:val="20"/>
    </w:rPr>
  </w:style>
  <w:style w:type="character" w:styleId="1045">
    <w:name w:val="正文重点 Char"/>
    <w:next w:val="1045"/>
    <w:link w:val="1044"/>
    <w:qFormat/>
    <w:rPr>
      <w:b/>
      <w:sz w:val="24"/>
    </w:rPr>
  </w:style>
  <w:style w:type="paragraph" w:styleId="1046">
    <w:name w:val="标题1-附件"/>
    <w:basedOn w:val="845"/>
    <w:next w:val="1046"/>
    <w:link w:val="844"/>
    <w:qFormat/>
    <w:pPr>
      <w:jc w:val="left"/>
    </w:pPr>
    <w:rPr>
      <w:sz w:val="24"/>
      <w:szCs w:val="24"/>
    </w:rPr>
  </w:style>
  <w:style w:type="paragraph" w:styleId="1047">
    <w:name w:val="正文小标题"/>
    <w:basedOn w:val="844"/>
    <w:next w:val="860"/>
    <w:link w:val="1048"/>
    <w:qFormat/>
    <w:pPr>
      <w:ind w:firstLine="482"/>
      <w:jc w:val="left"/>
      <w:spacing w:before="312" w:after="312"/>
    </w:pPr>
    <w:rPr>
      <w:rFonts w:ascii="宋体" w:hAnsi="宋体"/>
      <w:b/>
      <w:i/>
      <w:color w:val="ff0000"/>
      <w:sz w:val="24"/>
      <w:szCs w:val="20"/>
    </w:rPr>
  </w:style>
  <w:style w:type="character" w:styleId="1048">
    <w:name w:val="正文小标题 Char"/>
    <w:next w:val="1048"/>
    <w:link w:val="1047"/>
    <w:qFormat/>
    <w:rPr>
      <w:rFonts w:ascii="宋体" w:hAnsi="宋体"/>
      <w:b/>
      <w:i/>
      <w:color w:val="ff0000"/>
      <w:sz w:val="24"/>
    </w:rPr>
  </w:style>
  <w:style w:type="paragraph" w:styleId="1049">
    <w:name w:val="正文大标题"/>
    <w:basedOn w:val="1047"/>
    <w:next w:val="860"/>
    <w:link w:val="1050"/>
    <w:qFormat/>
    <w:pPr>
      <w:jc w:val="center"/>
    </w:pPr>
    <w:rPr>
      <w:i w:val="0"/>
      <w:color w:val="000000"/>
      <w:sz w:val="28"/>
      <w:szCs w:val="21"/>
    </w:rPr>
  </w:style>
  <w:style w:type="character" w:styleId="1050">
    <w:name w:val="正文大标题 Char"/>
    <w:next w:val="1050"/>
    <w:link w:val="1049"/>
    <w:qFormat/>
    <w:rPr>
      <w:rFonts w:ascii="宋体" w:hAnsi="宋体"/>
      <w:b/>
      <w:color w:val="000000"/>
      <w:sz w:val="28"/>
      <w:szCs w:val="21"/>
    </w:rPr>
  </w:style>
  <w:style w:type="paragraph" w:styleId="1051">
    <w:name w:val="注释"/>
    <w:basedOn w:val="844"/>
    <w:next w:val="1051"/>
    <w:link w:val="1052"/>
    <w:qFormat/>
    <w:pPr>
      <w:ind w:left="420" w:hanging="420"/>
      <w:jc w:val="left"/>
    </w:pPr>
    <w:rPr>
      <w:rFonts w:ascii="宋体" w:hAnsi="宋体"/>
      <w:szCs w:val="21"/>
    </w:rPr>
  </w:style>
  <w:style w:type="character" w:styleId="1052">
    <w:name w:val="注释 Char"/>
    <w:next w:val="1052"/>
    <w:link w:val="1051"/>
    <w:qFormat/>
    <w:rPr>
      <w:rFonts w:ascii="宋体" w:hAnsi="宋体"/>
      <w:sz w:val="21"/>
      <w:szCs w:val="21"/>
    </w:rPr>
  </w:style>
  <w:style w:type="paragraph" w:styleId="1053">
    <w:name w:val="正文须知-1级"/>
    <w:basedOn w:val="844"/>
    <w:next w:val="844"/>
    <w:link w:val="844"/>
    <w:qFormat/>
    <w:pPr>
      <w:numPr>
        <w:ilvl w:val="0"/>
        <w:numId w:val="7"/>
      </w:numPr>
      <w:spacing w:line="300" w:lineRule="auto"/>
    </w:pPr>
    <w:rPr>
      <w:rFonts w:ascii="宋体" w:hAnsi="Calibri"/>
      <w:sz w:val="24"/>
      <w:szCs w:val="21"/>
    </w:rPr>
  </w:style>
  <w:style w:type="paragraph" w:styleId="1054">
    <w:name w:val="正文须知-2级"/>
    <w:basedOn w:val="844"/>
    <w:next w:val="1054"/>
    <w:link w:val="844"/>
    <w:qFormat/>
    <w:pPr>
      <w:numPr>
        <w:ilvl w:val="1"/>
        <w:numId w:val="7"/>
      </w:numPr>
      <w:spacing w:line="300" w:lineRule="auto"/>
    </w:pPr>
    <w:rPr>
      <w:rFonts w:ascii="宋体" w:hAnsi="Calibri"/>
      <w:sz w:val="24"/>
      <w:szCs w:val="21"/>
    </w:rPr>
  </w:style>
  <w:style w:type="paragraph" w:styleId="1055">
    <w:name w:val="正文须知-3级"/>
    <w:basedOn w:val="844"/>
    <w:next w:val="1055"/>
    <w:link w:val="844"/>
    <w:qFormat/>
    <w:pPr>
      <w:numPr>
        <w:ilvl w:val="2"/>
        <w:numId w:val="7"/>
      </w:numPr>
      <w:ind w:hanging="355"/>
      <w:spacing w:line="300" w:lineRule="auto"/>
    </w:pPr>
    <w:rPr>
      <w:rFonts w:ascii="宋体" w:hAnsi="Calibri"/>
      <w:sz w:val="24"/>
      <w:szCs w:val="21"/>
    </w:rPr>
  </w:style>
  <w:style w:type="character" w:styleId="1056">
    <w:name w:val="纯文本 字符"/>
    <w:next w:val="1056"/>
    <w:link w:val="844"/>
    <w:uiPriority w:val="99"/>
    <w:qFormat/>
    <w:rPr>
      <w:rFonts w:ascii="宋体" w:hAnsi="Courier New" w:eastAsia="宋体" w:cs="Times New Roman"/>
      <w:sz w:val="21"/>
      <w:szCs w:val="21"/>
      <w:lang w:val="en-US" w:eastAsia="zh-CN" w:bidi="ar-SA"/>
    </w:rPr>
  </w:style>
  <w:style w:type="paragraph" w:styleId="1057">
    <w:name w:val="表格1"/>
    <w:basedOn w:val="844"/>
    <w:next w:val="1057"/>
    <w:link w:val="844"/>
    <w:qFormat/>
    <w:pPr>
      <w:ind w:firstLine="480"/>
      <w:jc w:val="center"/>
    </w:pPr>
    <w:rPr>
      <w:sz w:val="24"/>
      <w:szCs w:val="20"/>
    </w:rPr>
  </w:style>
  <w:style w:type="character" w:styleId="1058">
    <w:name w:val="纯文本 字符1"/>
    <w:next w:val="1058"/>
    <w:link w:val="844"/>
    <w:qFormat/>
    <w:rPr>
      <w:rFonts w:ascii="宋体" w:hAnsi="Courier New"/>
    </w:rPr>
  </w:style>
  <w:style w:type="character" w:styleId="1059">
    <w:name w:val="bjh-p"/>
    <w:next w:val="1059"/>
    <w:link w:val="844"/>
    <w:qFormat/>
  </w:style>
  <w:style w:type="paragraph" w:styleId="1060">
    <w:name w:val="无标题条"/>
    <w:next w:val="844"/>
    <w:link w:val="844"/>
    <w:qFormat/>
    <w:pPr>
      <w:jc w:val="both"/>
    </w:pPr>
    <w:rPr>
      <w:sz w:val="21"/>
      <w:lang w:val="en-US" w:eastAsia="zh-CN" w:bidi="ar-SA"/>
    </w:rPr>
  </w:style>
  <w:style w:type="character" w:styleId="1061">
    <w:name w:val="正文格式 Char"/>
    <w:next w:val="1061"/>
    <w:link w:val="1062"/>
    <w:qFormat/>
    <w:rPr>
      <w:rFonts w:ascii="宋体" w:hAnsi="宋体"/>
      <w:sz w:val="24"/>
      <w:szCs w:val="24"/>
      <w:lang w:val="en-GB"/>
    </w:rPr>
  </w:style>
  <w:style w:type="paragraph" w:styleId="1062">
    <w:name w:val="正文格式"/>
    <w:basedOn w:val="844"/>
    <w:next w:val="1062"/>
    <w:link w:val="1061"/>
    <w:qFormat/>
    <w:pPr>
      <w:ind w:firstLine="480"/>
      <w:spacing w:line="360" w:lineRule="auto"/>
    </w:pPr>
    <w:rPr>
      <w:rFonts w:ascii="宋体" w:hAnsi="宋体"/>
      <w:sz w:val="24"/>
      <w:lang w:val="en-GB"/>
    </w:rPr>
  </w:style>
  <w:style w:type="character" w:styleId="1063">
    <w:name w:val="标题 3 Char"/>
    <w:next w:val="1063"/>
    <w:link w:val="844"/>
    <w:qFormat/>
    <w:rPr>
      <w:rFonts w:ascii="宋体" w:eastAsia="宋体"/>
      <w:b/>
      <w:sz w:val="24"/>
      <w:u w:val="single"/>
      <w:lang w:val="en-US" w:eastAsia="zh-CN" w:bidi="ar-SA"/>
    </w:rPr>
  </w:style>
  <w:style w:type="character" w:styleId="1064">
    <w:name w:val="正文缩进 Char"/>
    <w:next w:val="1064"/>
    <w:link w:val="844"/>
    <w:qFormat/>
    <w:rPr>
      <w:rFonts w:ascii="宋体" w:eastAsia="宋体"/>
      <w:sz w:val="24"/>
      <w:szCs w:val="24"/>
      <w:lang w:val="en-US" w:eastAsia="zh-CN" w:bidi="ar-SA"/>
    </w:rPr>
  </w:style>
  <w:style w:type="character" w:styleId="1065">
    <w:name w:val="Char Char111"/>
    <w:next w:val="1065"/>
    <w:link w:val="844"/>
    <w:qFormat/>
    <w:rPr>
      <w:rFonts w:ascii="宋体" w:eastAsia="宋体"/>
      <w:b/>
      <w:sz w:val="24"/>
      <w:u w:val="single"/>
      <w:lang w:val="en-US" w:eastAsia="zh-CN" w:bidi="ar-SA"/>
    </w:rPr>
  </w:style>
  <w:style w:type="character" w:styleId="1066">
    <w:name w:val="正文文本缩进 Char"/>
    <w:next w:val="1066"/>
    <w:link w:val="844"/>
    <w:qFormat/>
    <w:rPr>
      <w:rFonts w:eastAsia="宋体"/>
      <w:sz w:val="24"/>
      <w:szCs w:val="24"/>
      <w:lang w:val="en-US" w:eastAsia="zh-CN" w:bidi="ar-SA"/>
    </w:rPr>
  </w:style>
  <w:style w:type="character" w:styleId="1067">
    <w:name w:val="列出段落 Char"/>
    <w:next w:val="1067"/>
    <w:link w:val="844"/>
    <w:qFormat/>
    <w:rPr>
      <w:rFonts w:ascii="Calibri" w:hAnsi="Calibri" w:eastAsia="宋体"/>
      <w:sz w:val="21"/>
      <w:szCs w:val="22"/>
      <w:lang w:val="en-US" w:eastAsia="zh-CN" w:bidi="ar-SA"/>
    </w:rPr>
  </w:style>
  <w:style w:type="character" w:styleId="1068">
    <w:name w:val="页眉 Char"/>
    <w:next w:val="1068"/>
    <w:link w:val="844"/>
    <w:qFormat/>
    <w:rPr>
      <w:rFonts w:eastAsia="宋体"/>
      <w:sz w:val="18"/>
      <w:szCs w:val="18"/>
      <w:lang w:val="en-US" w:eastAsia="zh-CN" w:bidi="ar-SA"/>
    </w:rPr>
  </w:style>
  <w:style w:type="character" w:styleId="1069">
    <w:name w:val="标题 2 Char"/>
    <w:next w:val="1069"/>
    <w:link w:val="844"/>
    <w:qFormat/>
    <w:rPr>
      <w:rFonts w:ascii="Arial" w:hAnsi="Arial" w:eastAsia="黑体"/>
      <w:b/>
      <w:sz w:val="30"/>
      <w:lang w:val="en-US" w:eastAsia="zh-CN" w:bidi="ar-SA"/>
    </w:rPr>
  </w:style>
  <w:style w:type="paragraph" w:styleId="1070">
    <w:name w:val="字元 字元2"/>
    <w:basedOn w:val="844"/>
    <w:next w:val="1070"/>
    <w:link w:val="844"/>
    <w:qFormat/>
    <w:rPr>
      <w:rFonts w:ascii="Tahoma" w:hAnsi="Tahoma"/>
      <w:sz w:val="24"/>
      <w:szCs w:val="20"/>
    </w:rPr>
  </w:style>
  <w:style w:type="paragraph" w:styleId="1071">
    <w:name w:val="Char3 Char Char Char2"/>
    <w:basedOn w:val="844"/>
    <w:next w:val="1071"/>
    <w:link w:val="844"/>
    <w:qFormat/>
    <w:rPr>
      <w:rFonts w:ascii="Tahoma" w:hAnsi="Tahoma"/>
      <w:sz w:val="24"/>
      <w:szCs w:val="20"/>
    </w:rPr>
  </w:style>
  <w:style w:type="paragraph" w:styleId="1072">
    <w:name w:val="正文文本缩进2"/>
    <w:basedOn w:val="844"/>
    <w:next w:val="1072"/>
    <w:link w:val="844"/>
    <w:qFormat/>
    <w:pPr>
      <w:ind w:firstLine="480"/>
      <w:spacing w:line="480" w:lineRule="exact"/>
    </w:pPr>
    <w:rPr>
      <w:rFonts w:ascii="宋体" w:hAnsi="宋体"/>
      <w:sz w:val="24"/>
      <w:lang w:val="zh-CN" w:eastAsia="zh-CN"/>
    </w:rPr>
  </w:style>
  <w:style w:type="paragraph" w:styleId="1073">
    <w:name w:val="Char3"/>
    <w:basedOn w:val="844"/>
    <w:next w:val="1073"/>
    <w:link w:val="844"/>
    <w:qFormat/>
    <w:pPr>
      <w:tabs>
        <w:tab w:val="left" w:pos="360" w:leader="none"/>
      </w:tabs>
    </w:pPr>
    <w:rPr>
      <w:sz w:val="24"/>
    </w:rPr>
  </w:style>
  <w:style w:type="paragraph" w:styleId="1074">
    <w:name w:val="Char Char Char Char Char Char Char Char Char Char Char Char Char Char Char Char1"/>
    <w:basedOn w:val="844"/>
    <w:next w:val="1074"/>
    <w:link w:val="844"/>
    <w:qFormat/>
    <w:pPr>
      <w:jc w:val="center"/>
      <w:spacing w:after="160" w:line="240" w:lineRule="exact"/>
      <w:widowControl/>
    </w:pPr>
    <w:rPr>
      <w:rFonts w:ascii="宋体" w:hAnsi="宋体"/>
      <w:b/>
      <w:sz w:val="30"/>
      <w:szCs w:val="30"/>
      <w:lang w:eastAsia="en-US"/>
    </w:rPr>
  </w:style>
  <w:style w:type="paragraph" w:styleId="1075">
    <w:name w:val="Char Char1 Char Char Char Char Char Char1"/>
    <w:basedOn w:val="844"/>
    <w:next w:val="1075"/>
    <w:link w:val="844"/>
    <w:qFormat/>
    <w:pPr>
      <w:jc w:val="left"/>
      <w:spacing w:after="160" w:line="240" w:lineRule="exact"/>
      <w:widowControl/>
    </w:pPr>
    <w:rPr>
      <w:rFonts w:ascii="Verdana" w:hAnsi="Verdana" w:eastAsia="仿宋_GB2312"/>
      <w:sz w:val="24"/>
      <w:szCs w:val="20"/>
      <w:lang w:eastAsia="en-US"/>
    </w:rPr>
  </w:style>
  <w:style w:type="paragraph" w:styleId="1076">
    <w:name w:val="列出段落2"/>
    <w:basedOn w:val="844"/>
    <w:next w:val="1076"/>
    <w:link w:val="844"/>
    <w:qFormat/>
    <w:pPr>
      <w:ind w:firstLine="420"/>
    </w:pPr>
    <w:rPr>
      <w:rFonts w:ascii="Calibri" w:hAnsi="Calibri"/>
      <w:szCs w:val="22"/>
    </w:rPr>
  </w:style>
  <w:style w:type="paragraph" w:styleId="1077">
    <w:name w:val="Char Char Char1 Char2"/>
    <w:basedOn w:val="844"/>
    <w:next w:val="1077"/>
    <w:link w:val="844"/>
    <w:qFormat/>
    <w:rPr>
      <w:rFonts w:ascii="Tahoma" w:hAnsi="Tahoma"/>
      <w:sz w:val="24"/>
      <w:szCs w:val="20"/>
    </w:rPr>
  </w:style>
  <w:style w:type="paragraph" w:styleId="1078">
    <w:name w:val="Char Char Char2"/>
    <w:basedOn w:val="844"/>
    <w:next w:val="1078"/>
    <w:link w:val="844"/>
    <w:qFormat/>
    <w:rPr>
      <w:rFonts w:ascii="Tahoma" w:hAnsi="Tahoma"/>
      <w:sz w:val="24"/>
      <w:szCs w:val="20"/>
    </w:rPr>
  </w:style>
  <w:style w:type="paragraph" w:styleId="1079">
    <w:name w:val="Char Char Char Char Char Char Char2"/>
    <w:basedOn w:val="844"/>
    <w:next w:val="1079"/>
    <w:link w:val="844"/>
    <w:qFormat/>
    <w:pPr>
      <w:ind w:firstLine="200"/>
      <w:spacing w:line="360" w:lineRule="auto"/>
    </w:pPr>
    <w:rPr>
      <w:rFonts w:eastAsia="仿宋_GB2312"/>
      <w:sz w:val="24"/>
    </w:rPr>
  </w:style>
  <w:style w:type="paragraph" w:styleId="1080">
    <w:name w:val="正文缩进2"/>
    <w:basedOn w:val="844"/>
    <w:next w:val="1080"/>
    <w:link w:val="844"/>
    <w:qFormat/>
    <w:pPr>
      <w:ind w:firstLine="567"/>
      <w:spacing w:line="480" w:lineRule="exact"/>
      <w:widowControl/>
    </w:pPr>
    <w:rPr>
      <w:rFonts w:ascii="宋体"/>
      <w:color w:val="000000"/>
      <w:sz w:val="28"/>
      <w:szCs w:val="20"/>
      <w:lang w:val="zh-CN" w:eastAsia="zh-CN"/>
    </w:rPr>
  </w:style>
  <w:style w:type="paragraph" w:styleId="1081">
    <w:name w:val="Revision"/>
    <w:next w:val="1081"/>
    <w:link w:val="844"/>
    <w:qFormat/>
    <w:rPr>
      <w:sz w:val="21"/>
      <w:szCs w:val="24"/>
      <w:lang w:val="en-US" w:eastAsia="zh-CN" w:bidi="ar-SA"/>
    </w:rPr>
  </w:style>
  <w:style w:type="paragraph" w:styleId="1082">
    <w:name w:val="Char22"/>
    <w:basedOn w:val="844"/>
    <w:next w:val="1082"/>
    <w:link w:val="844"/>
    <w:qFormat/>
    <w:rPr>
      <w:rFonts w:ascii="Tahoma" w:hAnsi="Tahoma"/>
      <w:sz w:val="24"/>
      <w:szCs w:val="20"/>
    </w:rPr>
  </w:style>
  <w:style w:type="paragraph" w:styleId="1083">
    <w:name w:val="Char Char Char Char Char Char Char Char Char Char2"/>
    <w:basedOn w:val="844"/>
    <w:next w:val="1083"/>
    <w:link w:val="844"/>
    <w:qFormat/>
    <w:rPr>
      <w:rFonts w:ascii="宋体" w:hAnsi="宋体" w:cs="Courier New"/>
      <w:sz w:val="32"/>
      <w:szCs w:val="32"/>
    </w:rPr>
  </w:style>
  <w:style w:type="paragraph" w:styleId="1084">
    <w:name w:val="Char2 Char Char Char Char Char Char1"/>
    <w:basedOn w:val="844"/>
    <w:next w:val="1084"/>
    <w:link w:val="844"/>
    <w:qFormat/>
    <w:pPr>
      <w:jc w:val="center"/>
      <w:spacing w:line="400" w:lineRule="exact"/>
      <w:widowControl/>
    </w:pPr>
  </w:style>
  <w:style w:type="character" w:styleId="1085">
    <w:name w:val="页脚 Char"/>
    <w:next w:val="1085"/>
    <w:link w:val="844"/>
    <w:qFormat/>
    <w:rPr>
      <w:rFonts w:ascii="宋体" w:eastAsia="宋体"/>
      <w:sz w:val="18"/>
      <w:lang w:val="en-US" w:eastAsia="zh-CN" w:bidi="ar-SA"/>
    </w:rPr>
  </w:style>
  <w:style w:type="paragraph" w:styleId="1086">
    <w:name w:val="Char Char41"/>
    <w:basedOn w:val="844"/>
    <w:next w:val="1086"/>
    <w:link w:val="844"/>
    <w:qFormat/>
    <w:pPr>
      <w:jc w:val="center"/>
      <w:spacing w:line="400" w:lineRule="exact"/>
      <w:widowControl/>
    </w:pPr>
  </w:style>
  <w:style w:type="character" w:styleId="1087">
    <w:name w:val="批注文字 Char"/>
    <w:next w:val="1087"/>
    <w:link w:val="844"/>
    <w:uiPriority w:val="99"/>
    <w:qFormat/>
    <w:rPr>
      <w:sz w:val="21"/>
      <w:szCs w:val="24"/>
    </w:rPr>
  </w:style>
  <w:style w:type="character" w:styleId="1088">
    <w:name w:val="标题 Char"/>
    <w:next w:val="1088"/>
    <w:link w:val="844"/>
    <w:qFormat/>
    <w:rPr>
      <w:b/>
      <w:sz w:val="32"/>
    </w:rPr>
  </w:style>
  <w:style w:type="paragraph" w:styleId="1089">
    <w:name w:val="图例"/>
    <w:basedOn w:val="844"/>
    <w:next w:val="1089"/>
    <w:link w:val="844"/>
    <w:qFormat/>
    <w:pPr>
      <w:jc w:val="center"/>
      <w:spacing w:before="120" w:after="120" w:line="360" w:lineRule="auto"/>
    </w:pPr>
    <w:rPr>
      <w:rFonts w:eastAsia="仿宋_GB2312"/>
      <w:b/>
      <w:sz w:val="24"/>
      <w:szCs w:val="20"/>
    </w:rPr>
  </w:style>
  <w:style w:type="paragraph" w:styleId="1090">
    <w:name w:val="Table Paragraph"/>
    <w:basedOn w:val="844"/>
    <w:next w:val="1090"/>
    <w:link w:val="844"/>
    <w:uiPriority w:val="1"/>
    <w:qFormat/>
    <w:pPr>
      <w:jc w:val="left"/>
    </w:pPr>
    <w:rPr>
      <w:rFonts w:ascii="宋体" w:hAnsi="宋体" w:cs="宋体"/>
      <w:sz w:val="22"/>
      <w:szCs w:val="22"/>
      <w:lang w:eastAsia="en-US"/>
    </w:rPr>
  </w:style>
  <w:style w:type="table" w:styleId="1091">
    <w:name w:val="Table Normal"/>
    <w:next w:val="1091"/>
    <w:link w:val="844"/>
    <w:uiPriority w:val="2"/>
    <w:semiHidden/>
    <w:qFormat/>
    <w:pPr>
      <w:widowControl w:val="off"/>
    </w:pPr>
    <w:rPr>
      <w:rFonts w:ascii="Calibri" w:hAnsi="Calibri"/>
      <w:sz w:val="22"/>
      <w:szCs w:val="22"/>
      <w:lang w:val="en-US" w:eastAsia="en-US" w:bidi="ar-SA"/>
    </w:rPr>
    <w:tblPr/>
  </w:style>
  <w:style w:type="paragraph" w:styleId="1092">
    <w:name w:val="成文日期"/>
    <w:basedOn w:val="844"/>
    <w:next w:val="1092"/>
    <w:link w:val="1093"/>
    <w:qFormat/>
    <w:pPr>
      <w:ind w:right="400" w:firstLine="200"/>
      <w:jc w:val="right"/>
      <w:spacing w:line="570" w:lineRule="exact"/>
    </w:pPr>
    <w:rPr>
      <w:rFonts w:ascii="仿宋_GB2312" w:eastAsia="仿宋_GB2312"/>
      <w:sz w:val="32"/>
      <w:szCs w:val="20"/>
    </w:rPr>
  </w:style>
  <w:style w:type="character" w:styleId="1093">
    <w:name w:val="成文日期 Char"/>
    <w:next w:val="1093"/>
    <w:link w:val="1092"/>
    <w:rPr>
      <w:rFonts w:ascii="仿宋_GB2312" w:eastAsia="仿宋_GB2312"/>
      <w:sz w:val="32"/>
    </w:rPr>
  </w:style>
  <w:style w:type="paragraph" w:styleId="1094">
    <w:name w:val="☆ 正文"/>
    <w:basedOn w:val="844"/>
    <w:next w:val="1094"/>
    <w:link w:val="844"/>
    <w:qFormat/>
    <w:rPr>
      <w:szCs w:val="22"/>
    </w:rPr>
  </w:style>
  <w:style w:type="paragraph" w:styleId="1095">
    <w:name w:val="正文_0"/>
    <w:next w:val="1095"/>
    <w:link w:val="844"/>
    <w:qFormat/>
    <w:pPr>
      <w:jc w:val="both"/>
      <w:widowControl w:val="off"/>
    </w:pPr>
    <w:rPr>
      <w:sz w:val="21"/>
      <w:szCs w:val="24"/>
      <w:lang w:val="en-US" w:eastAsia="zh-CN" w:bidi="ar-SA"/>
    </w:rPr>
  </w:style>
  <w:style w:type="paragraph" w:styleId="1096">
    <w:name w:val="Table Text"/>
    <w:basedOn w:val="844"/>
    <w:next w:val="1096"/>
    <w:link w:val="844"/>
    <w:semiHidden/>
    <w:qFormat/>
    <w:rPr>
      <w:rFonts w:ascii="宋体" w:hAnsi="宋体" w:eastAsia="宋体" w:cs="宋体"/>
      <w:sz w:val="24"/>
      <w:szCs w:val="24"/>
      <w:lang w:val="en-US" w:eastAsia="en-US" w:bidi="ar-SA"/>
    </w:rPr>
  </w:style>
  <w:style w:type="paragraph" w:styleId="1097">
    <w:name w:val="标题 21"/>
    <w:basedOn w:val="844"/>
    <w:next w:val="1098"/>
    <w:link w:val="844"/>
    <w:qFormat/>
    <w:pPr>
      <w:jc w:val="center"/>
      <w:keepLines/>
      <w:keepNext/>
      <w:spacing w:before="120" w:line="300" w:lineRule="auto"/>
      <w:outlineLvl w:val="1"/>
    </w:pPr>
    <w:rPr>
      <w:rFonts w:ascii="Arial" w:hAnsi="Arial" w:eastAsia="黑体"/>
      <w:b/>
      <w:sz w:val="30"/>
      <w:szCs w:val="20"/>
    </w:rPr>
  </w:style>
  <w:style w:type="paragraph" w:styleId="1098">
    <w:name w:val="正文缩进11"/>
    <w:basedOn w:val="844"/>
    <w:next w:val="1098"/>
    <w:link w:val="844"/>
    <w:qFormat/>
    <w:pPr>
      <w:ind w:firstLine="420"/>
      <w:jc w:val="left"/>
    </w:pPr>
    <w:rPr>
      <w:rFonts w:ascii="宋体"/>
      <w:sz w:val="24"/>
    </w:rPr>
  </w:style>
  <w:style w:type="character" w:styleId="1099">
    <w:name w:val="font11"/>
    <w:basedOn w:val="854"/>
    <w:next w:val="1099"/>
    <w:link w:val="844"/>
    <w:rPr>
      <w:rFonts w:hint="eastAsia" w:ascii="宋体" w:hAnsi="宋体" w:eastAsia="宋体" w:cs="宋体"/>
      <w:b/>
      <w:bCs/>
      <w:i w:val="0"/>
      <w:iCs w:val="0"/>
      <w:color w:val="000000"/>
      <w:sz w:val="32"/>
      <w:szCs w:val="32"/>
      <w:u w:val="none"/>
    </w:rPr>
  </w:style>
  <w:style w:type="character" w:styleId="1100">
    <w:name w:val="font81"/>
    <w:basedOn w:val="854"/>
    <w:next w:val="1100"/>
    <w:link w:val="844"/>
    <w:rPr>
      <w:rFonts w:hint="eastAsia" w:ascii="宋体" w:hAnsi="宋体" w:eastAsia="宋体" w:cs="宋体"/>
      <w:b/>
      <w:bCs/>
      <w:i w:val="0"/>
      <w:iCs w:val="0"/>
      <w:color w:val="000000"/>
      <w:sz w:val="32"/>
      <w:szCs w:val="32"/>
      <w:u w:val="single"/>
    </w:rPr>
  </w:style>
  <w:style w:type="character" w:styleId="1101">
    <w:name w:val="font21"/>
    <w:basedOn w:val="854"/>
    <w:next w:val="1101"/>
    <w:link w:val="844"/>
    <w:rPr>
      <w:rFonts w:hint="eastAsia" w:ascii="宋体" w:hAnsi="宋体" w:eastAsia="宋体" w:cs="宋体"/>
      <w:b/>
      <w:bCs/>
      <w:i w:val="0"/>
      <w:iCs w:val="0"/>
      <w:color w:val="000000"/>
      <w:sz w:val="24"/>
      <w:szCs w:val="24"/>
      <w:u w:val="none"/>
    </w:rPr>
  </w:style>
  <w:style w:type="character" w:styleId="1102">
    <w:name w:val="font91"/>
    <w:basedOn w:val="854"/>
    <w:next w:val="1102"/>
    <w:link w:val="844"/>
    <w:rPr>
      <w:rFonts w:hint="eastAsia" w:ascii="宋体" w:hAnsi="宋体" w:eastAsia="宋体" w:cs="宋体"/>
      <w:b/>
      <w:bCs/>
      <w:i w:val="0"/>
      <w:iCs w:val="0"/>
      <w:color w:val="000000"/>
      <w:sz w:val="24"/>
      <w:szCs w:val="24"/>
      <w:u w:val="single"/>
    </w:rPr>
  </w:style>
  <w:style w:type="character" w:styleId="1103">
    <w:name w:val="font41"/>
    <w:basedOn w:val="854"/>
    <w:next w:val="1103"/>
    <w:link w:val="844"/>
    <w:rPr>
      <w:rFonts w:hint="eastAsia" w:ascii="宋体" w:hAnsi="宋体" w:eastAsia="宋体" w:cs="宋体"/>
      <w:i w:val="0"/>
      <w:iCs w:val="0"/>
      <w:color w:val="000000"/>
      <w:sz w:val="21"/>
      <w:szCs w:val="21"/>
      <w:u w:val="none"/>
    </w:rPr>
  </w:style>
  <w:style w:type="character" w:styleId="1104">
    <w:name w:val="font51"/>
    <w:basedOn w:val="854"/>
    <w:next w:val="1104"/>
    <w:link w:val="844"/>
    <w:rPr>
      <w:rFonts w:ascii="Times New Roman" w:hAnsi="Times New Roman" w:cs="Times New Roman"/>
      <w:i w:val="0"/>
      <w:iCs w:val="0"/>
      <w:color w:val="000000"/>
      <w:sz w:val="21"/>
      <w:szCs w:val="21"/>
      <w:u w:val="none"/>
    </w:rPr>
  </w:style>
  <w:style w:type="character" w:styleId="1105">
    <w:name w:val="font61"/>
    <w:basedOn w:val="854"/>
    <w:next w:val="1105"/>
    <w:link w:val="844"/>
    <w:rPr>
      <w:rFonts w:hint="eastAsia" w:ascii="宋体" w:hAnsi="宋体" w:eastAsia="宋体" w:cs="宋体"/>
      <w:i w:val="0"/>
      <w:iCs w:val="0"/>
      <w:color w:val="000000"/>
      <w:sz w:val="21"/>
      <w:szCs w:val="21"/>
      <w:u w:val="none"/>
    </w:rPr>
  </w:style>
  <w:style w:type="character" w:styleId="1106">
    <w:name w:val="font101"/>
    <w:basedOn w:val="854"/>
    <w:next w:val="1106"/>
    <w:link w:val="844"/>
    <w:rPr>
      <w:rFonts w:ascii="Times New Roman" w:hAnsi="Times New Roman" w:cs="Times New Roman"/>
      <w:b/>
      <w:bCs/>
      <w:i w:val="0"/>
      <w:iCs w:val="0"/>
      <w:color w:val="000000"/>
      <w:sz w:val="21"/>
      <w:szCs w:val="21"/>
      <w:u w:val="none"/>
    </w:rPr>
  </w:style>
  <w:style w:type="character" w:styleId="1107">
    <w:name w:val="font01"/>
    <w:basedOn w:val="854"/>
    <w:next w:val="1107"/>
    <w:link w:val="844"/>
    <w:rPr>
      <w:rFonts w:hint="eastAsia" w:ascii="宋体" w:hAnsi="宋体" w:eastAsia="宋体" w:cs="宋体"/>
      <w:i w:val="0"/>
      <w:iCs w:val="0"/>
      <w:color w:val="000000"/>
      <w:sz w:val="22"/>
      <w:szCs w:val="22"/>
      <w:u w:val="none"/>
    </w:rPr>
  </w:style>
  <w:style w:type="character" w:styleId="1108">
    <w:name w:val="font71"/>
    <w:basedOn w:val="854"/>
    <w:next w:val="1108"/>
    <w:link w:val="844"/>
    <w:rPr>
      <w:rFonts w:ascii="Times New Roman" w:hAnsi="Times New Roman" w:cs="Times New Roman"/>
      <w:i w:val="0"/>
      <w:iCs w:val="0"/>
      <w:color w:val="000000"/>
      <w:sz w:val="22"/>
      <w:szCs w:val="22"/>
      <w:u w:val="none"/>
    </w:rPr>
  </w:style>
  <w:style w:type="character" w:styleId="23227" w:default="1">
    <w:name w:val="Default Paragraph Font"/>
    <w:uiPriority w:val="1"/>
    <w:semiHidden/>
    <w:unhideWhenUsed/>
  </w:style>
  <w:style w:type="numbering" w:styleId="23228" w:default="1">
    <w:name w:val="No List"/>
    <w:uiPriority w:val="99"/>
    <w:semiHidden/>
    <w:unhideWhenUsed/>
  </w:style>
  <w:style w:type="table" w:styleId="23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3</cp:revision>
  <dcterms:created xsi:type="dcterms:W3CDTF">2023-09-26T02:03:00Z</dcterms:created>
  <dcterms:modified xsi:type="dcterms:W3CDTF">2026-09-16T00:50:34Z</dcterms:modified>
</cp:coreProperties>
</file>