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994CE">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p>
    <w:p w14:paraId="5920F98F">
      <w:pPr>
        <w:ind w:left="660"/>
        <w:rPr>
          <w:rFonts w:ascii="楷体_GB2312" w:eastAsia="楷体_GB2312"/>
          <w:bCs/>
          <w:i w:val="0"/>
          <w:iCs w:val="0"/>
          <w:color w:val="auto"/>
          <w:sz w:val="30"/>
          <w:highlight w:val="none"/>
        </w:rPr>
      </w:pPr>
    </w:p>
    <w:p w14:paraId="6CF60BF7">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无锡市惠山区政府采购</w:t>
      </w:r>
    </w:p>
    <w:p w14:paraId="6D3BE0E1">
      <w:pPr>
        <w:rPr>
          <w:rFonts w:ascii="华文中宋" w:hAnsi="华文中宋" w:eastAsia="华文中宋"/>
          <w:bCs/>
          <w:i w:val="0"/>
          <w:iCs w:val="0"/>
          <w:color w:val="auto"/>
          <w:sz w:val="30"/>
          <w:highlight w:val="none"/>
        </w:rPr>
      </w:pPr>
    </w:p>
    <w:p w14:paraId="174AFCB3">
      <w:pPr>
        <w:rPr>
          <w:rFonts w:ascii="华文中宋" w:hAnsi="华文中宋" w:eastAsia="华文中宋"/>
          <w:bCs/>
          <w:i w:val="0"/>
          <w:iCs w:val="0"/>
          <w:color w:val="auto"/>
          <w:sz w:val="30"/>
          <w:highlight w:val="none"/>
        </w:rPr>
      </w:pPr>
    </w:p>
    <w:p w14:paraId="48965F8C">
      <w:pPr>
        <w:rPr>
          <w:rFonts w:ascii="华文中宋" w:hAnsi="华文中宋" w:eastAsia="华文中宋"/>
          <w:bCs/>
          <w:i w:val="0"/>
          <w:iCs w:val="0"/>
          <w:color w:val="auto"/>
          <w:sz w:val="30"/>
          <w:highlight w:val="none"/>
        </w:rPr>
      </w:pPr>
    </w:p>
    <w:p w14:paraId="56D00B84">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开</w:t>
      </w:r>
    </w:p>
    <w:p w14:paraId="217823F0">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Cs/>
          <w:i w:val="0"/>
          <w:iCs w:val="0"/>
          <w:color w:val="auto"/>
          <w:spacing w:val="20"/>
          <w:sz w:val="52"/>
          <w:szCs w:val="52"/>
          <w:highlight w:val="none"/>
        </w:rPr>
        <w:t>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件</w:t>
      </w:r>
    </w:p>
    <w:p w14:paraId="6C824E72">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p>
    <w:p w14:paraId="7D6EB698">
      <w:pPr>
        <w:tabs>
          <w:tab w:val="left" w:pos="9921"/>
        </w:tabs>
        <w:jc w:val="cente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（全流程电子化）</w:t>
      </w:r>
    </w:p>
    <w:p w14:paraId="7D5A5C52">
      <w:pPr>
        <w:jc w:val="left"/>
        <w:rPr>
          <w:rFonts w:ascii="华文中宋" w:hAnsi="华文中宋" w:eastAsia="华文中宋"/>
          <w:bCs/>
          <w:i w:val="0"/>
          <w:iCs w:val="0"/>
          <w:color w:val="auto"/>
          <w:sz w:val="30"/>
          <w:highlight w:val="none"/>
        </w:rPr>
      </w:pPr>
    </w:p>
    <w:p w14:paraId="06576FF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JSZC-320206-JZCG-G2026-0056</w:t>
      </w:r>
    </w:p>
    <w:p w14:paraId="536301D1">
      <w:pPr>
        <w:keepNext w:val="0"/>
        <w:keepLines w:val="0"/>
        <w:pageBreakBefore w:val="0"/>
        <w:widowControl w:val="0"/>
        <w:kinsoku/>
        <w:wordWrap/>
        <w:overflowPunct/>
        <w:topLinePunct w:val="0"/>
        <w:autoSpaceDE/>
        <w:autoSpaceDN/>
        <w:bidi w:val="0"/>
        <w:adjustRightInd/>
        <w:snapToGrid/>
        <w:spacing w:line="600" w:lineRule="exact"/>
        <w:ind w:left="4200" w:hanging="4200"/>
        <w:textAlignment w:val="auto"/>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无锡市惠山区人民医院网络设备更新和重要网络安全设施建设项目</w:t>
      </w:r>
      <w:r>
        <w:rPr>
          <w:rFonts w:hint="eastAsia" w:ascii="黑体" w:hAnsi="华文中宋" w:eastAsia="黑体"/>
          <w:bCs/>
          <w:i w:val="0"/>
          <w:iCs w:val="0"/>
          <w:color w:val="auto"/>
          <w:sz w:val="30"/>
          <w:szCs w:val="30"/>
          <w:highlight w:val="none"/>
        </w:rPr>
        <w:t xml:space="preserve">      </w:t>
      </w:r>
    </w:p>
    <w:p w14:paraId="0007AF90">
      <w:pPr>
        <w:keepNext w:val="0"/>
        <w:keepLines w:val="0"/>
        <w:pageBreakBefore w:val="0"/>
        <w:widowControl w:val="0"/>
        <w:kinsoku/>
        <w:wordWrap/>
        <w:overflowPunct/>
        <w:topLinePunct w:val="0"/>
        <w:autoSpaceDE/>
        <w:autoSpaceDN/>
        <w:bidi w:val="0"/>
        <w:adjustRightInd/>
        <w:snapToGrid/>
        <w:spacing w:line="600" w:lineRule="exact"/>
        <w:ind w:left="2098" w:hanging="1800"/>
        <w:textAlignment w:val="auto"/>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无锡市惠山区政府采购中心</w:t>
      </w:r>
    </w:p>
    <w:p w14:paraId="5233D220">
      <w:pPr>
        <w:rPr>
          <w:rFonts w:ascii="华文中宋" w:hAnsi="华文中宋" w:eastAsia="华文中宋"/>
          <w:bCs/>
          <w:i w:val="0"/>
          <w:iCs w:val="0"/>
          <w:color w:val="auto"/>
          <w:sz w:val="30"/>
          <w:highlight w:val="none"/>
        </w:rPr>
      </w:pPr>
    </w:p>
    <w:p w14:paraId="4E7FF0BC">
      <w:pPr>
        <w:rPr>
          <w:rFonts w:ascii="华文中宋" w:hAnsi="华文中宋" w:eastAsia="华文中宋"/>
          <w:bCs/>
          <w:i w:val="0"/>
          <w:iCs w:val="0"/>
          <w:color w:val="auto"/>
          <w:sz w:val="30"/>
          <w:highlight w:val="none"/>
        </w:rPr>
      </w:pPr>
    </w:p>
    <w:p w14:paraId="7E98028C">
      <w:pPr>
        <w:rPr>
          <w:rFonts w:hint="eastAsia" w:ascii="华文中宋" w:hAnsi="华文中宋" w:eastAsia="华文中宋"/>
          <w:bCs/>
          <w:i w:val="0"/>
          <w:iCs w:val="0"/>
          <w:color w:val="auto"/>
          <w:sz w:val="30"/>
          <w:highlight w:val="none"/>
        </w:rPr>
      </w:pPr>
    </w:p>
    <w:p w14:paraId="0A56BA7C">
      <w:pPr>
        <w:rPr>
          <w:rFonts w:ascii="华文中宋" w:hAnsi="华文中宋" w:eastAsia="华文中宋"/>
          <w:bCs/>
          <w:i w:val="0"/>
          <w:iCs w:val="0"/>
          <w:color w:val="auto"/>
          <w:sz w:val="30"/>
          <w:highlight w:val="none"/>
        </w:rPr>
      </w:pPr>
    </w:p>
    <w:p w14:paraId="4E85487D">
      <w:pPr>
        <w:rPr>
          <w:rFonts w:ascii="华文中宋" w:hAnsi="华文中宋" w:eastAsia="华文中宋"/>
          <w:bCs/>
          <w:i w:val="0"/>
          <w:iCs w:val="0"/>
          <w:color w:val="auto"/>
          <w:sz w:val="30"/>
          <w:highlight w:val="none"/>
        </w:rPr>
      </w:pPr>
    </w:p>
    <w:p w14:paraId="6EC27DFB">
      <w:pPr>
        <w:jc w:val="center"/>
        <w:rPr>
          <w:rFonts w:ascii="黑体" w:hAnsi="华文中宋" w:eastAsia="黑体"/>
          <w:bCs/>
          <w:i w:val="0"/>
          <w:iCs w:val="0"/>
          <w:color w:val="auto"/>
          <w:sz w:val="44"/>
          <w:szCs w:val="44"/>
          <w:highlight w:val="none"/>
        </w:rPr>
      </w:pPr>
      <w:r>
        <w:rPr>
          <w:rFonts w:hint="eastAsia" w:ascii="黑体" w:hAnsi="华文中宋" w:eastAsia="黑体"/>
          <w:bCs/>
          <w:i w:val="0"/>
          <w:iCs w:val="0"/>
          <w:color w:val="auto"/>
          <w:sz w:val="44"/>
          <w:szCs w:val="44"/>
          <w:highlight w:val="none"/>
        </w:rPr>
        <w:t>二○二</w:t>
      </w:r>
      <w:r>
        <w:rPr>
          <w:rFonts w:hint="eastAsia" w:ascii="黑体" w:hAnsi="华文中宋" w:eastAsia="黑体"/>
          <w:bCs/>
          <w:i w:val="0"/>
          <w:iCs w:val="0"/>
          <w:color w:val="auto"/>
          <w:sz w:val="44"/>
          <w:szCs w:val="44"/>
          <w:highlight w:val="none"/>
          <w:lang w:eastAsia="zh-CN"/>
        </w:rPr>
        <w:t>六</w:t>
      </w:r>
      <w:r>
        <w:rPr>
          <w:rFonts w:hint="eastAsia" w:ascii="黑体" w:hAnsi="华文中宋" w:eastAsia="黑体"/>
          <w:bCs/>
          <w:i w:val="0"/>
          <w:iCs w:val="0"/>
          <w:color w:val="auto"/>
          <w:sz w:val="44"/>
          <w:szCs w:val="44"/>
          <w:highlight w:val="none"/>
        </w:rPr>
        <w:t>年</w:t>
      </w:r>
      <w:r>
        <w:rPr>
          <w:rFonts w:hint="eastAsia" w:ascii="黑体" w:hAnsi="华文中宋" w:eastAsia="黑体"/>
          <w:bCs/>
          <w:i w:val="0"/>
          <w:iCs w:val="0"/>
          <w:color w:val="auto"/>
          <w:sz w:val="44"/>
          <w:szCs w:val="44"/>
          <w:highlight w:val="none"/>
          <w:lang w:eastAsia="zh-CN"/>
        </w:rPr>
        <w:t>九</w:t>
      </w:r>
      <w:r>
        <w:rPr>
          <w:rFonts w:hint="eastAsia" w:ascii="黑体" w:hAnsi="华文中宋" w:eastAsia="黑体"/>
          <w:bCs/>
          <w:i w:val="0"/>
          <w:iCs w:val="0"/>
          <w:color w:val="auto"/>
          <w:sz w:val="44"/>
          <w:szCs w:val="44"/>
          <w:highlight w:val="none"/>
        </w:rPr>
        <w:t>月</w:t>
      </w:r>
    </w:p>
    <w:p w14:paraId="77E7597B">
      <w:pPr>
        <w:jc w:val="center"/>
        <w:rPr>
          <w:rFonts w:ascii="黑体" w:eastAsia="黑体"/>
          <w:bCs/>
          <w:i w:val="0"/>
          <w:iCs w:val="0"/>
          <w:color w:val="auto"/>
          <w:sz w:val="44"/>
          <w:highlight w:val="none"/>
        </w:rPr>
      </w:pPr>
    </w:p>
    <w:p w14:paraId="2C5C7547">
      <w:pPr>
        <w:rPr>
          <w:rFonts w:ascii="华文新魏" w:eastAsia="华文新魏"/>
          <w:bCs/>
          <w:i w:val="0"/>
          <w:iCs w:val="0"/>
          <w:color w:val="auto"/>
          <w:sz w:val="44"/>
          <w:highlight w:val="none"/>
        </w:rPr>
      </w:pPr>
    </w:p>
    <w:p w14:paraId="71C27321">
      <w:pPr>
        <w:rPr>
          <w:rStyle w:val="235"/>
          <w:rFonts w:eastAsia="黑体"/>
          <w:bCs/>
          <w:i w:val="0"/>
          <w:iCs w:val="0"/>
          <w:color w:val="auto"/>
          <w:sz w:val="48"/>
          <w:highlight w:val="none"/>
        </w:rPr>
      </w:pPr>
      <w:r>
        <w:rPr>
          <w:rStyle w:val="235"/>
          <w:rFonts w:eastAsia="黑体"/>
          <w:bCs/>
          <w:i w:val="0"/>
          <w:iCs w:val="0"/>
          <w:color w:val="auto"/>
          <w:sz w:val="48"/>
          <w:highlight w:val="none"/>
        </w:rPr>
        <w:t xml:space="preserve"> </w:t>
      </w:r>
    </w:p>
    <w:p w14:paraId="3F459B5B">
      <w:pPr>
        <w:pageBreakBefore/>
        <w:jc w:val="center"/>
        <w:rPr>
          <w:rStyle w:val="235"/>
          <w:rFonts w:eastAsia="黑体"/>
          <w:bCs/>
          <w:i w:val="0"/>
          <w:iCs w:val="0"/>
          <w:color w:val="auto"/>
          <w:sz w:val="48"/>
          <w:highlight w:val="none"/>
        </w:rPr>
      </w:pPr>
      <w:r>
        <w:rPr>
          <w:rStyle w:val="235"/>
          <w:rFonts w:hint="eastAsia" w:eastAsia="黑体"/>
          <w:bCs/>
          <w:i w:val="0"/>
          <w:iCs w:val="0"/>
          <w:color w:val="auto"/>
          <w:sz w:val="48"/>
          <w:highlight w:val="none"/>
        </w:rPr>
        <w:t>目</w:t>
      </w:r>
      <w:r>
        <w:rPr>
          <w:rStyle w:val="235"/>
          <w:rFonts w:eastAsia="黑体"/>
          <w:bCs/>
          <w:i w:val="0"/>
          <w:iCs w:val="0"/>
          <w:color w:val="auto"/>
          <w:sz w:val="48"/>
          <w:highlight w:val="none"/>
        </w:rPr>
        <w:t xml:space="preserve">     </w:t>
      </w:r>
      <w:r>
        <w:rPr>
          <w:rStyle w:val="235"/>
          <w:rFonts w:hint="eastAsia" w:eastAsia="黑体"/>
          <w:bCs/>
          <w:i w:val="0"/>
          <w:iCs w:val="0"/>
          <w:color w:val="auto"/>
          <w:sz w:val="48"/>
          <w:highlight w:val="none"/>
        </w:rPr>
        <w:t>录</w:t>
      </w:r>
    </w:p>
    <w:p w14:paraId="20DB1218">
      <w:pPr>
        <w:jc w:val="center"/>
        <w:rPr>
          <w:rFonts w:hint="eastAsia" w:ascii="黑体" w:eastAsia="黑体"/>
          <w:bCs/>
          <w:i w:val="0"/>
          <w:iCs w:val="0"/>
          <w:color w:val="auto"/>
          <w:sz w:val="30"/>
          <w:highlight w:val="none"/>
        </w:rPr>
      </w:pPr>
    </w:p>
    <w:p w14:paraId="4166EEC7">
      <w:pPr>
        <w:jc w:val="center"/>
        <w:rPr>
          <w:rFonts w:hint="eastAsia" w:ascii="黑体" w:eastAsia="黑体"/>
          <w:bCs/>
          <w:i w:val="0"/>
          <w:iCs w:val="0"/>
          <w:color w:val="auto"/>
          <w:sz w:val="30"/>
          <w:highlight w:val="none"/>
        </w:rPr>
      </w:pPr>
    </w:p>
    <w:p w14:paraId="2C8BC231">
      <w:pPr>
        <w:jc w:val="center"/>
        <w:rPr>
          <w:rFonts w:hint="eastAsia" w:ascii="黑体" w:eastAsia="黑体"/>
          <w:bCs/>
          <w:i w:val="0"/>
          <w:iCs w:val="0"/>
          <w:color w:val="auto"/>
          <w:sz w:val="30"/>
          <w:highlight w:val="none"/>
        </w:rPr>
      </w:pPr>
    </w:p>
    <w:p w14:paraId="06EC0BF3">
      <w:pPr>
        <w:jc w:val="center"/>
        <w:rPr>
          <w:rFonts w:ascii="黑体" w:eastAsia="黑体"/>
          <w:bCs/>
          <w:i w:val="0"/>
          <w:iCs w:val="0"/>
          <w:color w:val="auto"/>
          <w:sz w:val="30"/>
          <w:highlight w:val="none"/>
        </w:rPr>
      </w:pPr>
    </w:p>
    <w:p w14:paraId="060118DE">
      <w:pPr>
        <w:pStyle w:val="218"/>
        <w:tabs>
          <w:tab w:val="right" w:leader="dot" w:pos="9911"/>
        </w:tabs>
        <w:spacing w:line="720" w:lineRule="auto"/>
        <w:ind w:firstLine="480"/>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一．投标邀请函</w:t>
      </w:r>
      <w:r>
        <w:rPr>
          <w:rFonts w:ascii="宋体" w:hAnsi="宋体"/>
          <w:i w:val="0"/>
          <w:iCs w:val="0"/>
          <w:color w:val="auto"/>
          <w:sz w:val="32"/>
          <w:szCs w:val="32"/>
          <w:highlight w:val="none"/>
        </w:rPr>
        <w:tab/>
      </w:r>
      <w:r>
        <w:rPr>
          <w:rFonts w:ascii="宋体" w:hAnsi="宋体"/>
          <w:i w:val="0"/>
          <w:iCs w:val="0"/>
          <w:color w:val="auto"/>
          <w:sz w:val="32"/>
          <w:szCs w:val="32"/>
          <w:highlight w:val="none"/>
        </w:rPr>
        <w:fldChar w:fldCharType="begin"/>
      </w:r>
      <w:r>
        <w:rPr>
          <w:rFonts w:ascii="宋体" w:hAnsi="宋体"/>
          <w:i w:val="0"/>
          <w:iCs w:val="0"/>
          <w:color w:val="auto"/>
          <w:sz w:val="32"/>
          <w:szCs w:val="32"/>
          <w:highlight w:val="none"/>
        </w:rPr>
        <w:instrText xml:space="preserve"> PAGEREF _Toc61444671 \h </w:instrText>
      </w:r>
      <w:r>
        <w:rPr>
          <w:rFonts w:ascii="宋体" w:hAnsi="宋体"/>
          <w:i w:val="0"/>
          <w:iCs w:val="0"/>
          <w:color w:val="auto"/>
          <w:sz w:val="32"/>
          <w:szCs w:val="32"/>
          <w:highlight w:val="none"/>
        </w:rPr>
        <w:fldChar w:fldCharType="separate"/>
      </w:r>
      <w:r>
        <w:rPr>
          <w:rFonts w:ascii="宋体" w:hAnsi="宋体"/>
          <w:i w:val="0"/>
          <w:iCs w:val="0"/>
          <w:color w:val="auto"/>
          <w:sz w:val="32"/>
          <w:szCs w:val="32"/>
          <w:highlight w:val="none"/>
        </w:rPr>
        <w:t>2</w:t>
      </w:r>
      <w:r>
        <w:rPr>
          <w:rFonts w:ascii="宋体" w:hAnsi="宋体"/>
          <w:i w:val="0"/>
          <w:iCs w:val="0"/>
          <w:color w:val="auto"/>
          <w:sz w:val="32"/>
          <w:szCs w:val="32"/>
          <w:highlight w:val="none"/>
        </w:rPr>
        <w:fldChar w:fldCharType="end"/>
      </w:r>
      <w:r>
        <w:rPr>
          <w:rStyle w:val="237"/>
          <w:rFonts w:ascii="宋体" w:hAnsi="宋体"/>
          <w:i w:val="0"/>
          <w:iCs w:val="0"/>
          <w:color w:val="auto"/>
          <w:sz w:val="32"/>
          <w:szCs w:val="32"/>
          <w:highlight w:val="none"/>
        </w:rPr>
        <w:fldChar w:fldCharType="end"/>
      </w:r>
    </w:p>
    <w:p w14:paraId="0C83014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二．投标人须知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5</w:t>
      </w:r>
      <w:r>
        <w:rPr>
          <w:rStyle w:val="237"/>
          <w:rFonts w:ascii="宋体" w:hAnsi="宋体"/>
          <w:i w:val="0"/>
          <w:iCs w:val="0"/>
          <w:color w:val="auto"/>
          <w:sz w:val="32"/>
          <w:szCs w:val="32"/>
          <w:highlight w:val="none"/>
        </w:rPr>
        <w:fldChar w:fldCharType="end"/>
      </w:r>
    </w:p>
    <w:p w14:paraId="5C0883F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三．项目</w:t>
      </w:r>
      <w:r>
        <w:rPr>
          <w:rStyle w:val="237"/>
          <w:rFonts w:hint="eastAsia" w:ascii="宋体" w:hAnsi="宋体"/>
          <w:i w:val="0"/>
          <w:iCs w:val="0"/>
          <w:color w:val="auto"/>
          <w:sz w:val="32"/>
          <w:szCs w:val="32"/>
          <w:highlight w:val="none"/>
          <w:lang w:eastAsia="zh-CN"/>
        </w:rPr>
        <w:t>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1</w:t>
      </w:r>
      <w:r>
        <w:rPr>
          <w:rFonts w:hint="eastAsia" w:ascii="宋体" w:hAnsi="宋体"/>
          <w:i w:val="0"/>
          <w:iCs w:val="0"/>
          <w:color w:val="auto"/>
          <w:sz w:val="32"/>
          <w:szCs w:val="32"/>
          <w:highlight w:val="none"/>
          <w:lang w:val="en-US" w:eastAsia="zh-CN"/>
        </w:rPr>
        <w:t>9</w:t>
      </w:r>
      <w:r>
        <w:rPr>
          <w:rStyle w:val="237"/>
          <w:rFonts w:ascii="宋体" w:hAnsi="宋体"/>
          <w:i w:val="0"/>
          <w:iCs w:val="0"/>
          <w:color w:val="auto"/>
          <w:sz w:val="32"/>
          <w:szCs w:val="32"/>
          <w:highlight w:val="none"/>
        </w:rPr>
        <w:fldChar w:fldCharType="end"/>
      </w:r>
    </w:p>
    <w:p w14:paraId="06112E6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四．合同书（格式文本）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2</w:t>
      </w:r>
    </w:p>
    <w:p w14:paraId="06DADFAE">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五．</w:t>
      </w:r>
      <w:r>
        <w:rPr>
          <w:rStyle w:val="237"/>
          <w:rFonts w:hint="eastAsia" w:ascii="宋体" w:hAnsi="宋体"/>
          <w:i w:val="0"/>
          <w:iCs w:val="0"/>
          <w:color w:val="auto"/>
          <w:sz w:val="32"/>
          <w:szCs w:val="32"/>
          <w:highlight w:val="none"/>
          <w:lang w:eastAsia="zh-CN"/>
        </w:rPr>
        <w:t>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6</w:t>
      </w:r>
    </w:p>
    <w:p w14:paraId="781FCDB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六</w:t>
      </w:r>
      <w:r>
        <w:rPr>
          <w:rStyle w:val="237"/>
          <w:rFonts w:ascii="宋体" w:hAnsi="宋体"/>
          <w:i w:val="0"/>
          <w:iCs w:val="0"/>
          <w:color w:val="auto"/>
          <w:sz w:val="32"/>
          <w:szCs w:val="32"/>
          <w:highlight w:val="none"/>
        </w:rPr>
        <w:t>.</w:t>
      </w:r>
      <w:r>
        <w:rPr>
          <w:rStyle w:val="237"/>
          <w:rFonts w:hint="eastAsia" w:ascii="宋体" w:hAnsi="宋体"/>
          <w:i w:val="0"/>
          <w:iCs w:val="0"/>
          <w:color w:val="auto"/>
          <w:sz w:val="32"/>
          <w:szCs w:val="32"/>
          <w:highlight w:val="none"/>
          <w:lang w:val="en-US" w:eastAsia="zh-CN"/>
        </w:rPr>
        <w:t xml:space="preserve"> </w:t>
      </w:r>
      <w:r>
        <w:rPr>
          <w:rStyle w:val="237"/>
          <w:rFonts w:hint="eastAsia" w:ascii="宋体" w:hAnsi="宋体"/>
          <w:i w:val="0"/>
          <w:iCs w:val="0"/>
          <w:color w:val="auto"/>
          <w:sz w:val="32"/>
          <w:szCs w:val="32"/>
          <w:highlight w:val="none"/>
          <w:lang w:eastAsia="zh-CN"/>
        </w:rPr>
        <w:t>投标文件内容与格式</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4</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5</w:t>
      </w:r>
    </w:p>
    <w:p w14:paraId="5E95A5E5">
      <w:pPr>
        <w:tabs>
          <w:tab w:val="center" w:pos="5200"/>
          <w:tab w:val="left" w:pos="7980"/>
        </w:tabs>
        <w:spacing w:line="720" w:lineRule="auto"/>
        <w:ind w:firstLine="480"/>
        <w:jc w:val="left"/>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p>
    <w:p w14:paraId="09DD5BE6">
      <w:pPr>
        <w:tabs>
          <w:tab w:val="left" w:pos="1888"/>
        </w:tabs>
        <w:spacing w:line="720" w:lineRule="auto"/>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p>
    <w:p w14:paraId="1D34F527">
      <w:pPr>
        <w:rPr>
          <w:rFonts w:hint="eastAsia" w:ascii="宋体"/>
          <w:bCs/>
          <w:i w:val="0"/>
          <w:iCs w:val="0"/>
          <w:color w:val="auto"/>
          <w:sz w:val="32"/>
          <w:highlight w:val="none"/>
        </w:rPr>
      </w:pPr>
    </w:p>
    <w:p w14:paraId="166B38BF">
      <w:pPr>
        <w:pStyle w:val="186"/>
        <w:keepLines w:val="0"/>
        <w:pageBreakBefore/>
        <w:kinsoku/>
        <w:wordWrap/>
        <w:overflowPunct/>
        <w:topLinePunct w:val="0"/>
        <w:autoSpaceDE/>
        <w:autoSpaceDN/>
        <w:bidi w:val="0"/>
        <w:adjustRightInd/>
        <w:snapToGrid/>
        <w:textAlignment w:val="auto"/>
        <w:rPr>
          <w:rFonts w:ascii="黑体" w:hAnsi="黑体" w:eastAsia="黑体"/>
          <w:b w:val="0"/>
          <w:i w:val="0"/>
          <w:iCs w:val="0"/>
          <w:color w:val="auto"/>
          <w:sz w:val="32"/>
          <w:szCs w:val="32"/>
          <w:highlight w:val="none"/>
        </w:rPr>
      </w:pPr>
      <w:bookmarkStart w:id="0" w:name="报价方须知前附表"/>
      <w:bookmarkEnd w:id="0"/>
      <w:bookmarkStart w:id="1" w:name="_Toc61444671"/>
      <w:r>
        <w:rPr>
          <w:rFonts w:hint="eastAsia" w:ascii="黑体" w:hAnsi="黑体" w:eastAsia="黑体"/>
          <w:b w:val="0"/>
          <w:i w:val="0"/>
          <w:iCs w:val="0"/>
          <w:color w:val="auto"/>
          <w:sz w:val="32"/>
          <w:szCs w:val="32"/>
          <w:highlight w:val="none"/>
        </w:rPr>
        <w:t>一．投标邀请函</w:t>
      </w:r>
      <w:bookmarkEnd w:id="1"/>
    </w:p>
    <w:p w14:paraId="4E31492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我中心受</w:t>
      </w:r>
      <w:r>
        <w:rPr>
          <w:rFonts w:hint="eastAsia" w:ascii="宋体" w:hAnsi="宋体"/>
          <w:color w:val="auto"/>
          <w:sz w:val="24"/>
          <w:highlight w:val="none"/>
          <w:lang w:eastAsia="zh-CN"/>
        </w:rPr>
        <w:t>无锡市惠山区人民医院</w:t>
      </w:r>
      <w:r>
        <w:rPr>
          <w:rFonts w:hint="eastAsia" w:ascii="宋体" w:hAnsi="宋体"/>
          <w:bCs/>
          <w:i w:val="0"/>
          <w:iCs w:val="0"/>
          <w:color w:val="auto"/>
          <w:sz w:val="24"/>
          <w:szCs w:val="24"/>
          <w:highlight w:val="none"/>
        </w:rPr>
        <w:t>的委托，对</w:t>
      </w:r>
      <w:r>
        <w:rPr>
          <w:rFonts w:hint="eastAsia" w:ascii="宋体" w:hAnsi="宋体"/>
          <w:bCs/>
          <w:i w:val="0"/>
          <w:iCs w:val="0"/>
          <w:color w:val="auto"/>
          <w:sz w:val="24"/>
          <w:szCs w:val="24"/>
          <w:highlight w:val="none"/>
          <w:lang w:eastAsia="zh-CN"/>
        </w:rPr>
        <w:t>其网络设备更新和重要网络安全设施建设项目</w:t>
      </w:r>
      <w:r>
        <w:rPr>
          <w:rFonts w:hint="eastAsia" w:ascii="宋体" w:hAnsi="宋体"/>
          <w:bCs/>
          <w:i w:val="0"/>
          <w:iCs w:val="0"/>
          <w:color w:val="auto"/>
          <w:sz w:val="24"/>
          <w:szCs w:val="24"/>
          <w:highlight w:val="none"/>
        </w:rPr>
        <w:t>进行公开招标采购，欢迎符合相关条件的供应商参加投标并提请注意下列相关事项：</w:t>
      </w:r>
    </w:p>
    <w:p w14:paraId="1F1420A0">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（一）</w:t>
      </w:r>
      <w:r>
        <w:rPr>
          <w:rFonts w:hint="eastAsia" w:ascii="黑体" w:hAnsi="黑体" w:eastAsia="黑体" w:cs="黑体"/>
          <w:bCs/>
          <w:i w:val="0"/>
          <w:iCs w:val="0"/>
          <w:color w:val="auto"/>
          <w:sz w:val="24"/>
          <w:szCs w:val="24"/>
          <w:highlight w:val="none"/>
        </w:rPr>
        <w:t>招标项目信息</w:t>
      </w:r>
    </w:p>
    <w:p w14:paraId="39D190E8">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项目名称：</w:t>
      </w:r>
      <w:r>
        <w:rPr>
          <w:rFonts w:hint="eastAsia" w:ascii="宋体" w:hAnsi="宋体"/>
          <w:bCs/>
          <w:i w:val="0"/>
          <w:iCs w:val="0"/>
          <w:color w:val="auto"/>
          <w:sz w:val="24"/>
          <w:szCs w:val="24"/>
          <w:highlight w:val="none"/>
          <w:lang w:eastAsia="zh-CN"/>
        </w:rPr>
        <w:t>无锡市惠山区人民医院网络设备更新和重要网络安全设施建设项目</w:t>
      </w:r>
    </w:p>
    <w:p w14:paraId="702E160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项目编号：</w:t>
      </w:r>
      <w:r>
        <w:rPr>
          <w:rFonts w:hint="eastAsia" w:ascii="宋体" w:hAnsi="宋体"/>
          <w:bCs/>
          <w:i w:val="0"/>
          <w:iCs w:val="0"/>
          <w:color w:val="auto"/>
          <w:sz w:val="24"/>
          <w:szCs w:val="24"/>
          <w:highlight w:val="none"/>
          <w:lang w:eastAsia="zh-CN"/>
        </w:rPr>
        <w:t>JSZC-320206-JZCG-G2026-0056</w:t>
      </w:r>
    </w:p>
    <w:p w14:paraId="4206B7F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3.项目预算：</w:t>
      </w:r>
      <w:r>
        <w:rPr>
          <w:rFonts w:hint="eastAsia" w:ascii="宋体" w:hAnsi="宋体" w:cs="宋体"/>
          <w:color w:val="auto"/>
          <w:sz w:val="24"/>
          <w:highlight w:val="none"/>
          <w:lang w:val="en-US" w:eastAsia="zh-CN"/>
        </w:rPr>
        <w:t>191.35</w:t>
      </w:r>
      <w:r>
        <w:rPr>
          <w:rFonts w:hint="eastAsia" w:ascii="宋体" w:hAnsi="宋体"/>
          <w:bCs/>
          <w:i w:val="0"/>
          <w:iCs w:val="0"/>
          <w:color w:val="auto"/>
          <w:sz w:val="24"/>
          <w:szCs w:val="24"/>
          <w:highlight w:val="none"/>
          <w:lang w:val="en-US" w:eastAsia="zh-CN"/>
        </w:rPr>
        <w:t>万元</w:t>
      </w:r>
    </w:p>
    <w:p w14:paraId="3C155431">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4.最高限价：</w:t>
      </w:r>
      <w:r>
        <w:rPr>
          <w:rFonts w:hint="eastAsia" w:ascii="宋体" w:hAnsi="宋体" w:cs="宋体"/>
          <w:color w:val="auto"/>
          <w:sz w:val="24"/>
          <w:highlight w:val="none"/>
          <w:lang w:val="en-US" w:eastAsia="zh-CN"/>
        </w:rPr>
        <w:t>191.35</w:t>
      </w:r>
      <w:r>
        <w:rPr>
          <w:rFonts w:hint="eastAsia" w:ascii="宋体" w:hAnsi="宋体"/>
          <w:bCs/>
          <w:i w:val="0"/>
          <w:iCs w:val="0"/>
          <w:color w:val="auto"/>
          <w:sz w:val="24"/>
          <w:szCs w:val="24"/>
          <w:highlight w:val="none"/>
          <w:lang w:val="en-US" w:eastAsia="zh-CN"/>
        </w:rPr>
        <w:t>万元</w:t>
      </w:r>
    </w:p>
    <w:p w14:paraId="22AA801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5.采购方式：公开招标</w:t>
      </w:r>
    </w:p>
    <w:p w14:paraId="60790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6.</w:t>
      </w:r>
      <w:r>
        <w:rPr>
          <w:rFonts w:hint="eastAsia" w:ascii="宋体" w:hAnsi="宋体"/>
          <w:bCs/>
          <w:i w:val="0"/>
          <w:iCs w:val="0"/>
          <w:color w:val="auto"/>
          <w:sz w:val="24"/>
          <w:szCs w:val="24"/>
          <w:highlight w:val="none"/>
        </w:rPr>
        <w:t>采购人：</w:t>
      </w:r>
      <w:r>
        <w:rPr>
          <w:rFonts w:hint="eastAsia" w:ascii="宋体" w:hAnsi="宋体"/>
          <w:color w:val="auto"/>
          <w:sz w:val="24"/>
          <w:highlight w:val="none"/>
          <w:lang w:eastAsia="zh-CN"/>
        </w:rPr>
        <w:t>无锡市惠山区人民医院</w:t>
      </w:r>
    </w:p>
    <w:p w14:paraId="3955A453">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7.</w:t>
      </w:r>
      <w:r>
        <w:rPr>
          <w:rFonts w:hint="eastAsia" w:ascii="宋体" w:hAnsi="宋体"/>
          <w:bCs/>
          <w:i w:val="0"/>
          <w:iCs w:val="0"/>
          <w:color w:val="auto"/>
          <w:sz w:val="24"/>
          <w:szCs w:val="24"/>
          <w:highlight w:val="none"/>
        </w:rPr>
        <w:t>本项目标的所属行业</w:t>
      </w:r>
      <w:r>
        <w:rPr>
          <w:rFonts w:hint="eastAsia" w:ascii="宋体" w:hAnsi="宋体"/>
          <w:color w:val="auto"/>
          <w:sz w:val="24"/>
          <w:highlight w:val="none"/>
          <w:lang w:eastAsia="zh-CN"/>
        </w:rPr>
        <w:t>：工业</w:t>
      </w:r>
    </w:p>
    <w:p w14:paraId="04D6D39A">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8.</w:t>
      </w:r>
      <w:r>
        <w:rPr>
          <w:rFonts w:hint="eastAsia" w:ascii="宋体" w:hAnsi="宋体"/>
          <w:bCs/>
          <w:i w:val="0"/>
          <w:iCs w:val="0"/>
          <w:color w:val="auto"/>
          <w:sz w:val="24"/>
          <w:szCs w:val="24"/>
          <w:highlight w:val="none"/>
        </w:rPr>
        <w:t>本项目是否专门面向中小企业：</w:t>
      </w:r>
      <w:r>
        <w:rPr>
          <w:rFonts w:hint="eastAsia" w:ascii="宋体" w:hAnsi="宋体"/>
          <w:bCs/>
          <w:i w:val="0"/>
          <w:iCs w:val="0"/>
          <w:color w:val="auto"/>
          <w:sz w:val="24"/>
          <w:szCs w:val="24"/>
          <w:highlight w:val="none"/>
          <w:lang w:eastAsia="zh-CN"/>
        </w:rPr>
        <w:t>否</w:t>
      </w:r>
    </w:p>
    <w:p w14:paraId="4EA7D2A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（二）</w:t>
      </w:r>
      <w:r>
        <w:rPr>
          <w:rFonts w:hint="eastAsia" w:ascii="黑体" w:hAnsi="黑体" w:eastAsia="黑体" w:cs="黑体"/>
          <w:bCs/>
          <w:i w:val="0"/>
          <w:iCs w:val="0"/>
          <w:color w:val="auto"/>
          <w:sz w:val="24"/>
          <w:szCs w:val="24"/>
          <w:highlight w:val="none"/>
        </w:rPr>
        <w:t>投标人资格要求</w:t>
      </w:r>
    </w:p>
    <w:p w14:paraId="60351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具备《中华人民共和国政府采购法》第二十二条第一款规定的条件；</w:t>
      </w:r>
    </w:p>
    <w:p w14:paraId="6568FD8B">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未被“信用中国”网站（www.creditchina.gov.cn）、中国政府采购网(www.ccgp.gov.cn)列入失信被执行人、重大税收违法案件当事人名单、政府采购严重违法失</w:t>
      </w:r>
      <w:r>
        <w:rPr>
          <w:rFonts w:hint="eastAsia" w:ascii="宋体" w:hAnsi="宋体"/>
          <w:bCs/>
          <w:i w:val="0"/>
          <w:iCs w:val="0"/>
          <w:color w:val="auto"/>
          <w:sz w:val="24"/>
          <w:szCs w:val="24"/>
          <w:highlight w:val="none"/>
          <w:lang w:val="en-US" w:eastAsia="zh-CN"/>
        </w:rPr>
        <w:t>信行为记录名单；</w:t>
      </w:r>
    </w:p>
    <w:p w14:paraId="7DC1221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3.具备采购人根据招标项目的特殊要求规定的以下特定资质：</w:t>
      </w:r>
    </w:p>
    <w:p w14:paraId="1B85018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（1）本项目不接受联合体投标。</w:t>
      </w:r>
    </w:p>
    <w:p w14:paraId="1C661FB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bookmarkStart w:id="2" w:name="_Toc61444672"/>
      <w:r>
        <w:rPr>
          <w:rFonts w:hint="eastAsia" w:ascii="黑体" w:hAnsi="黑体" w:eastAsia="黑体" w:cs="黑体"/>
          <w:bCs/>
          <w:i w:val="0"/>
          <w:iCs w:val="0"/>
          <w:color w:val="auto"/>
          <w:sz w:val="24"/>
          <w:szCs w:val="24"/>
          <w:highlight w:val="none"/>
          <w:lang w:eastAsia="zh-CN"/>
        </w:rPr>
        <w:t>（三）获取招标文件</w:t>
      </w:r>
    </w:p>
    <w:p w14:paraId="41A52F79">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1.时间：本招标文件有效获取期自招标文件公告发布之日起5个工作日，（有效获取期内的）每天上午</w:t>
      </w:r>
      <w:r>
        <w:rPr>
          <w:rFonts w:hint="eastAsia" w:ascii="宋体" w:hAnsi="宋体" w:cs="宋体"/>
          <w:i w:val="0"/>
          <w:iCs w:val="0"/>
          <w:color w:val="auto"/>
          <w:sz w:val="24"/>
          <w:szCs w:val="24"/>
          <w:highlight w:val="none"/>
        </w:rPr>
        <w:t>00:00至12:00，下午12:00至23:59（北京时间，法定节假日除外）。</w:t>
      </w:r>
    </w:p>
    <w:p w14:paraId="2E53994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2.地点：</w:t>
      </w:r>
      <w:r>
        <w:rPr>
          <w:rFonts w:ascii="宋体" w:hAnsi="宋体"/>
          <w:i w:val="0"/>
          <w:iCs w:val="0"/>
          <w:color w:val="auto"/>
          <w:sz w:val="24"/>
          <w:szCs w:val="24"/>
          <w:highlight w:val="none"/>
        </w:rPr>
        <w:t>“江苏省政府采购（苏采云）平台”</w:t>
      </w:r>
      <w:r>
        <w:rPr>
          <w:rFonts w:hint="eastAsia" w:ascii="宋体" w:hAnsi="宋体"/>
          <w:i w:val="0"/>
          <w:iCs w:val="0"/>
          <w:color w:val="auto"/>
          <w:sz w:val="24"/>
          <w:szCs w:val="24"/>
          <w:highlight w:val="none"/>
        </w:rPr>
        <w:t>。</w:t>
      </w:r>
    </w:p>
    <w:p w14:paraId="055E6FDB">
      <w:pPr>
        <w:keepNext w:val="0"/>
        <w:keepLines w:val="0"/>
        <w:pageBreakBefore w:val="0"/>
        <w:kinsoku/>
        <w:wordWrap/>
        <w:overflowPunct/>
        <w:topLinePunct w:val="0"/>
        <w:autoSpaceDE/>
        <w:autoSpaceDN/>
        <w:bidi w:val="0"/>
        <w:adjustRightInd/>
        <w:snapToGrid/>
        <w:spacing w:line="500" w:lineRule="exact"/>
        <w:ind w:firstLine="540"/>
        <w:textAlignment w:val="auto"/>
        <w:rPr>
          <w:rStyle w:val="239"/>
          <w:i w:val="0"/>
          <w:iCs w:val="0"/>
          <w:color w:val="auto"/>
          <w:highlight w:val="none"/>
        </w:rPr>
      </w:pPr>
      <w:r>
        <w:rPr>
          <w:rFonts w:hint="eastAsia" w:ascii="宋体" w:hAnsi="宋体"/>
          <w:bCs/>
          <w:i w:val="0"/>
          <w:iCs w:val="0"/>
          <w:color w:val="auto"/>
          <w:sz w:val="24"/>
          <w:szCs w:val="24"/>
          <w:highlight w:val="none"/>
        </w:rPr>
        <w:t>3.方式：请有投标意向的供应商在招标文件有效获取期内及时至</w:t>
      </w:r>
      <w:r>
        <w:rPr>
          <w:rFonts w:ascii="宋体" w:hAnsi="宋体"/>
          <w:i w:val="0"/>
          <w:iCs w:val="0"/>
          <w:color w:val="auto"/>
          <w:sz w:val="24"/>
          <w:szCs w:val="24"/>
          <w:highlight w:val="none"/>
        </w:rPr>
        <w:t>“江苏省政府采购（苏采云）平台”获取</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在招标文件有效获取期限内，从</w:t>
      </w:r>
      <w:r>
        <w:rPr>
          <w:rFonts w:ascii="宋体" w:hAnsi="宋体"/>
          <w:i w:val="0"/>
          <w:iCs w:val="0"/>
          <w:color w:val="auto"/>
          <w:sz w:val="24"/>
          <w:szCs w:val="24"/>
          <w:highlight w:val="none"/>
        </w:rPr>
        <w:t>“江苏省政府采购（苏采云）平台”获取的</w:t>
      </w:r>
      <w:r>
        <w:rPr>
          <w:rFonts w:hint="eastAsia" w:ascii="宋体" w:hAnsi="宋体"/>
          <w:bCs/>
          <w:i w:val="0"/>
          <w:iCs w:val="0"/>
          <w:color w:val="auto"/>
          <w:sz w:val="24"/>
          <w:szCs w:val="24"/>
          <w:highlight w:val="none"/>
        </w:rPr>
        <w:t>招标文件，视为依法获取的招标文件。</w:t>
      </w:r>
    </w:p>
    <w:p w14:paraId="6B22589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4.售价：本项目招标文件免费。</w:t>
      </w:r>
    </w:p>
    <w:p w14:paraId="05F2581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eastAsia="zh-CN"/>
        </w:rPr>
        <w:t>（四）提交投标文件截至时间、开标时间和地点</w:t>
      </w:r>
    </w:p>
    <w:p w14:paraId="0F045EB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1.时间：202</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年</w:t>
      </w:r>
      <w:r>
        <w:rPr>
          <w:rFonts w:hint="eastAsia" w:ascii="宋体" w:hAnsi="宋体"/>
          <w:i w:val="0"/>
          <w:iCs w:val="0"/>
          <w:color w:val="auto"/>
          <w:sz w:val="24"/>
          <w:szCs w:val="24"/>
          <w:highlight w:val="none"/>
          <w:lang w:val="en-US" w:eastAsia="zh-CN"/>
        </w:rPr>
        <w:t>10</w:t>
      </w:r>
      <w:r>
        <w:rPr>
          <w:rFonts w:hint="eastAsia" w:ascii="宋体" w:hAnsi="宋体" w:eastAsia="宋体" w:cs="Times New Roman"/>
          <w:i w:val="0"/>
          <w:iCs w:val="0"/>
          <w:color w:val="auto"/>
          <w:sz w:val="24"/>
          <w:szCs w:val="24"/>
          <w:highlight w:val="none"/>
        </w:rPr>
        <w:t>月</w:t>
      </w:r>
      <w:r>
        <w:rPr>
          <w:rFonts w:hint="eastAsia" w:ascii="宋体" w:hAnsi="宋体" w:cs="Times New Roman"/>
          <w:i w:val="0"/>
          <w:iCs w:val="0"/>
          <w:color w:val="auto"/>
          <w:sz w:val="24"/>
          <w:szCs w:val="24"/>
          <w:highlight w:val="none"/>
          <w:lang w:val="en-US" w:eastAsia="zh-CN"/>
        </w:rPr>
        <w:t>14</w:t>
      </w:r>
      <w:r>
        <w:rPr>
          <w:rFonts w:hint="eastAsia" w:ascii="宋体" w:hAnsi="宋体" w:eastAsia="宋体" w:cs="Times New Roman"/>
          <w:i w:val="0"/>
          <w:iCs w:val="0"/>
          <w:color w:val="auto"/>
          <w:sz w:val="24"/>
          <w:szCs w:val="24"/>
          <w:highlight w:val="none"/>
        </w:rPr>
        <w:t>日</w:t>
      </w:r>
      <w:r>
        <w:rPr>
          <w:rFonts w:hint="eastAsia" w:ascii="宋体" w:hAnsi="宋体" w:eastAsia="宋体" w:cs="Times New Roman"/>
          <w:i w:val="0"/>
          <w:iCs w:val="0"/>
          <w:color w:val="auto"/>
          <w:sz w:val="24"/>
          <w:szCs w:val="24"/>
          <w:highlight w:val="none"/>
          <w:lang w:val="en-US" w:eastAsia="zh-CN"/>
        </w:rPr>
        <w:t>1</w:t>
      </w:r>
      <w:r>
        <w:rPr>
          <w:rFonts w:hint="eastAsia" w:ascii="宋体" w:hAnsi="宋体" w:cs="Times New Roman"/>
          <w:i w:val="0"/>
          <w:iCs w:val="0"/>
          <w:color w:val="auto"/>
          <w:sz w:val="24"/>
          <w:szCs w:val="24"/>
          <w:highlight w:val="none"/>
          <w:lang w:val="en-US" w:eastAsia="zh-CN"/>
        </w:rPr>
        <w:t>3</w:t>
      </w:r>
      <w:r>
        <w:rPr>
          <w:rFonts w:hint="eastAsia" w:ascii="宋体" w:hAnsi="宋体"/>
          <w:bCs/>
          <w:i w:val="0"/>
          <w:iCs w:val="0"/>
          <w:color w:val="auto"/>
          <w:sz w:val="24"/>
          <w:szCs w:val="24"/>
          <w:highlight w:val="none"/>
        </w:rPr>
        <w:t>点</w:t>
      </w:r>
      <w:r>
        <w:rPr>
          <w:rFonts w:hint="eastAsia" w:ascii="宋体" w:hAnsi="宋体"/>
          <w:bCs/>
          <w:i w:val="0"/>
          <w:iCs w:val="0"/>
          <w:color w:val="auto"/>
          <w:sz w:val="24"/>
          <w:szCs w:val="24"/>
          <w:highlight w:val="none"/>
          <w:lang w:val="en-US" w:eastAsia="zh-CN"/>
        </w:rPr>
        <w:t>15</w:t>
      </w:r>
      <w:r>
        <w:rPr>
          <w:rFonts w:hint="eastAsia" w:ascii="宋体" w:hAnsi="宋体"/>
          <w:bCs/>
          <w:i w:val="0"/>
          <w:iCs w:val="0"/>
          <w:color w:val="auto"/>
          <w:sz w:val="24"/>
          <w:szCs w:val="24"/>
          <w:highlight w:val="none"/>
        </w:rPr>
        <w:t>分（北京时间）</w:t>
      </w:r>
    </w:p>
    <w:p w14:paraId="4AD92F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.地点：“江苏省政府采购（苏采云）平台”网上开标大厅。</w:t>
      </w:r>
    </w:p>
    <w:p w14:paraId="0E03180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（五）公告期限</w:t>
      </w:r>
    </w:p>
    <w:p w14:paraId="1422FF5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（招标公告及招标文件公告期限）自本公告发布之日起5个工作日。</w:t>
      </w:r>
    </w:p>
    <w:p w14:paraId="77BD5E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（六）本项目联系方式</w:t>
      </w:r>
    </w:p>
    <w:p w14:paraId="321778D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1.采购人信息</w:t>
      </w:r>
    </w:p>
    <w:p w14:paraId="7B79AC6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w:t>
      </w:r>
      <w:r>
        <w:rPr>
          <w:rFonts w:hint="eastAsia" w:ascii="宋体" w:hAnsi="宋体"/>
          <w:bCs/>
          <w:i w:val="0"/>
          <w:iCs w:val="0"/>
          <w:color w:val="auto"/>
          <w:sz w:val="24"/>
          <w:szCs w:val="24"/>
          <w:highlight w:val="none"/>
          <w:lang w:eastAsia="zh-CN"/>
        </w:rPr>
        <w:t>无锡市惠山区人民医院</w:t>
      </w:r>
    </w:p>
    <w:p w14:paraId="4E1DCA1B">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w:t>
      </w:r>
      <w:r>
        <w:rPr>
          <w:rFonts w:hint="eastAsia" w:ascii="宋体" w:hAnsi="宋体" w:cs="宋体"/>
          <w:i w:val="0"/>
          <w:iCs w:val="0"/>
          <w:color w:val="auto"/>
          <w:sz w:val="24"/>
          <w:szCs w:val="24"/>
          <w:highlight w:val="none"/>
        </w:rPr>
        <w:t>无锡市惠山区洛社镇站前北路2号</w:t>
      </w:r>
    </w:p>
    <w:p w14:paraId="7B37942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人：刘诗铭</w:t>
      </w:r>
    </w:p>
    <w:p w14:paraId="1CAC99F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联系方式：</w:t>
      </w:r>
      <w:bookmarkStart w:id="3" w:name="_Toc28359009"/>
      <w:bookmarkStart w:id="4" w:name="_Toc28359086"/>
      <w:r>
        <w:rPr>
          <w:rFonts w:hint="eastAsia" w:ascii="宋体" w:hAnsi="宋体" w:eastAsia="宋体" w:cs="宋体"/>
          <w:i w:val="0"/>
          <w:iCs w:val="0"/>
          <w:color w:val="auto"/>
          <w:sz w:val="24"/>
          <w:szCs w:val="24"/>
          <w:highlight w:val="none"/>
          <w:lang w:val="en-US" w:eastAsia="zh-CN"/>
        </w:rPr>
        <w:t>0510-83317751</w:t>
      </w:r>
    </w:p>
    <w:p w14:paraId="74042BB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w:t>
      </w:r>
      <w:bookmarkEnd w:id="3"/>
      <w:bookmarkEnd w:id="4"/>
      <w:r>
        <w:rPr>
          <w:rFonts w:hint="eastAsia" w:ascii="宋体" w:hAnsi="宋体" w:cs="宋体"/>
          <w:i w:val="0"/>
          <w:iCs w:val="0"/>
          <w:color w:val="auto"/>
          <w:sz w:val="24"/>
          <w:szCs w:val="24"/>
          <w:highlight w:val="none"/>
        </w:rPr>
        <w:t>采购代理机构信息</w:t>
      </w:r>
    </w:p>
    <w:p w14:paraId="368B86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称：无锡市</w:t>
      </w:r>
      <w:r>
        <w:rPr>
          <w:rFonts w:hint="eastAsia" w:ascii="宋体" w:hAnsi="宋体" w:cs="宋体"/>
          <w:i w:val="0"/>
          <w:iCs w:val="0"/>
          <w:color w:val="auto"/>
          <w:sz w:val="24"/>
          <w:szCs w:val="24"/>
          <w:highlight w:val="none"/>
          <w:lang w:eastAsia="zh-CN"/>
        </w:rPr>
        <w:t>惠山区政府采购中心</w:t>
      </w:r>
    </w:p>
    <w:p w14:paraId="2E76302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地    址：</w:t>
      </w:r>
      <w:r>
        <w:rPr>
          <w:rFonts w:hint="eastAsia" w:ascii="宋体" w:hAnsi="宋体" w:cs="宋体"/>
          <w:i w:val="0"/>
          <w:iCs w:val="0"/>
          <w:color w:val="auto"/>
          <w:sz w:val="24"/>
          <w:szCs w:val="24"/>
          <w:highlight w:val="none"/>
          <w:lang w:eastAsia="zh-CN"/>
        </w:rPr>
        <w:t>无锡市惠山区政和大道</w:t>
      </w:r>
      <w:r>
        <w:rPr>
          <w:rFonts w:hint="eastAsia" w:ascii="宋体" w:hAnsi="宋体" w:cs="宋体"/>
          <w:i w:val="0"/>
          <w:iCs w:val="0"/>
          <w:color w:val="auto"/>
          <w:sz w:val="24"/>
          <w:szCs w:val="24"/>
          <w:highlight w:val="none"/>
          <w:lang w:val="en-US" w:eastAsia="zh-CN"/>
        </w:rPr>
        <w:t>209号</w:t>
      </w:r>
    </w:p>
    <w:p w14:paraId="373FED9C">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联 系 人：马胜</w:t>
      </w:r>
    </w:p>
    <w:p w14:paraId="6B4A980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联</w:t>
      </w:r>
      <w:r>
        <w:rPr>
          <w:rFonts w:hint="eastAsia" w:ascii="宋体" w:hAnsi="宋体" w:eastAsia="宋体" w:cs="宋体"/>
          <w:i w:val="0"/>
          <w:iCs w:val="0"/>
          <w:color w:val="auto"/>
          <w:sz w:val="24"/>
          <w:szCs w:val="24"/>
          <w:highlight w:val="none"/>
          <w:lang w:val="en-US" w:eastAsia="zh-CN"/>
        </w:rPr>
        <w:t>系方式：0510-83596131</w:t>
      </w:r>
    </w:p>
    <w:p w14:paraId="7AF303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（七）其他</w:t>
      </w:r>
    </w:p>
    <w:p w14:paraId="1462C4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（一）供应商“账号注册”及CA办理</w:t>
      </w:r>
    </w:p>
    <w:p w14:paraId="156B09E9">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1.请有意参加本项</w:t>
      </w:r>
      <w:r>
        <w:rPr>
          <w:rFonts w:ascii="宋体" w:hAnsi="宋体"/>
          <w:i w:val="0"/>
          <w:iCs w:val="0"/>
          <w:color w:val="auto"/>
          <w:sz w:val="24"/>
          <w:szCs w:val="24"/>
          <w:highlight w:val="none"/>
        </w:rPr>
        <w:t>目采购活动的供应商按以下流程进行操作：</w:t>
      </w:r>
    </w:p>
    <w:p w14:paraId="122DC44B">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（1）访问“江苏政府采购网”点击“苏采云”或者直接通过http://jszfcg.jsczt.cn/进入界面。</w:t>
      </w:r>
    </w:p>
    <w:p w14:paraId="792E42C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）办理</w:t>
      </w:r>
      <w:r>
        <w:rPr>
          <w:rFonts w:hint="eastAsia" w:ascii="宋体" w:hAnsi="宋体"/>
          <w:i w:val="0"/>
          <w:iCs w:val="0"/>
          <w:color w:val="auto"/>
          <w:sz w:val="24"/>
          <w:szCs w:val="24"/>
          <w:highlight w:val="none"/>
        </w:rPr>
        <w:t>“意源”CA数字证书和“方正”电子签章</w:t>
      </w:r>
      <w:r>
        <w:rPr>
          <w:rFonts w:ascii="宋体" w:hAnsi="宋体"/>
          <w:i w:val="0"/>
          <w:iCs w:val="0"/>
          <w:color w:val="auto"/>
          <w:sz w:val="24"/>
          <w:szCs w:val="24"/>
          <w:highlight w:val="none"/>
        </w:rPr>
        <w:t>（办理地址：</w:t>
      </w:r>
      <w:r>
        <w:rPr>
          <w:rFonts w:hint="eastAsia" w:ascii="宋体" w:hAnsi="宋体"/>
          <w:i w:val="0"/>
          <w:iCs w:val="0"/>
          <w:color w:val="auto"/>
          <w:sz w:val="24"/>
          <w:szCs w:val="24"/>
          <w:highlight w:val="none"/>
        </w:rPr>
        <w:t>无锡市滨湖区观山路</w:t>
      </w:r>
      <w:r>
        <w:rPr>
          <w:rFonts w:ascii="宋体" w:hAnsi="宋体"/>
          <w:i w:val="0"/>
          <w:iCs w:val="0"/>
          <w:color w:val="auto"/>
          <w:sz w:val="24"/>
          <w:szCs w:val="24"/>
          <w:highlight w:val="none"/>
        </w:rPr>
        <w:t>199</w:t>
      </w:r>
      <w:r>
        <w:rPr>
          <w:rFonts w:hint="eastAsia" w:ascii="宋体" w:hAnsi="宋体"/>
          <w:i w:val="0"/>
          <w:iCs w:val="0"/>
          <w:color w:val="auto"/>
          <w:sz w:val="24"/>
          <w:szCs w:val="24"/>
          <w:highlight w:val="none"/>
        </w:rPr>
        <w:t>号</w:t>
      </w:r>
      <w:r>
        <w:rPr>
          <w:rFonts w:ascii="宋体" w:hAnsi="宋体"/>
          <w:i w:val="0"/>
          <w:iCs w:val="0"/>
          <w:color w:val="auto"/>
          <w:sz w:val="24"/>
          <w:szCs w:val="24"/>
          <w:highlight w:val="none"/>
        </w:rPr>
        <w:t>12</w:t>
      </w:r>
      <w:r>
        <w:rPr>
          <w:rFonts w:hint="eastAsia" w:ascii="宋体" w:hAnsi="宋体"/>
          <w:i w:val="0"/>
          <w:iCs w:val="0"/>
          <w:color w:val="auto"/>
          <w:sz w:val="24"/>
          <w:szCs w:val="24"/>
          <w:highlight w:val="none"/>
        </w:rPr>
        <w:t>号楼</w:t>
      </w:r>
      <w:r>
        <w:rPr>
          <w:rFonts w:hint="eastAsia" w:ascii="宋体" w:hAnsi="宋体"/>
          <w:i w:val="0"/>
          <w:iCs w:val="0"/>
          <w:color w:val="auto"/>
          <w:sz w:val="24"/>
          <w:szCs w:val="24"/>
          <w:highlight w:val="none"/>
          <w:lang w:eastAsia="zh-CN"/>
        </w:rPr>
        <w:t>一</w:t>
      </w:r>
      <w:r>
        <w:rPr>
          <w:rFonts w:hint="eastAsia" w:ascii="宋体" w:hAnsi="宋体"/>
          <w:i w:val="0"/>
          <w:iCs w:val="0"/>
          <w:color w:val="auto"/>
          <w:sz w:val="24"/>
          <w:szCs w:val="24"/>
          <w:highlight w:val="none"/>
        </w:rPr>
        <w:t>楼</w:t>
      </w:r>
      <w:r>
        <w:rPr>
          <w:rFonts w:hint="eastAsia" w:ascii="宋体" w:hAnsi="宋体"/>
          <w:i w:val="0"/>
          <w:iCs w:val="0"/>
          <w:color w:val="auto"/>
          <w:sz w:val="24"/>
          <w:szCs w:val="24"/>
          <w:highlight w:val="none"/>
          <w:lang w:val="en-US" w:eastAsia="zh-CN"/>
        </w:rPr>
        <w:t>D区</w:t>
      </w:r>
      <w:r>
        <w:rPr>
          <w:rFonts w:ascii="宋体" w:hAnsi="宋体"/>
          <w:i w:val="0"/>
          <w:iCs w:val="0"/>
          <w:color w:val="auto"/>
          <w:sz w:val="24"/>
          <w:szCs w:val="24"/>
          <w:highlight w:val="none"/>
        </w:rPr>
        <w:t>），办理指南链接：http://jsxcmm.com/help/help.html。</w:t>
      </w:r>
    </w:p>
    <w:p w14:paraId="01FCA3C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）CA驱动下载：</w:t>
      </w:r>
    </w:p>
    <w:p w14:paraId="60B81C30">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账号登陆页面，点击“驱动下载”链接中的“政务CA、方正签章控件驱动安装包及安装说明”可以直接下载驱动安装包，安装包中附有驱动安装手册。</w:t>
      </w:r>
    </w:p>
    <w:p w14:paraId="1DF0E75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技术服务电话：</w:t>
      </w:r>
      <w:r>
        <w:rPr>
          <w:rFonts w:hint="eastAsia" w:ascii="宋体" w:hAnsi="宋体"/>
          <w:i w:val="0"/>
          <w:iCs w:val="0"/>
          <w:color w:val="auto"/>
          <w:sz w:val="24"/>
          <w:szCs w:val="24"/>
          <w:highlight w:val="none"/>
        </w:rPr>
        <w:t>0510-81827781</w:t>
      </w:r>
      <w:r>
        <w:rPr>
          <w:rFonts w:ascii="宋体" w:hAnsi="宋体"/>
          <w:i w:val="0"/>
          <w:iCs w:val="0"/>
          <w:color w:val="auto"/>
          <w:sz w:val="24"/>
          <w:szCs w:val="24"/>
          <w:highlight w:val="none"/>
        </w:rPr>
        <w:t>（服务时间：工作日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w:t>
      </w:r>
    </w:p>
    <w:p w14:paraId="1D3FA5F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完成</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账号注册</w:t>
      </w:r>
      <w:r>
        <w:rPr>
          <w:rFonts w:ascii="宋体" w:hAnsi="宋体"/>
          <w:i w:val="0"/>
          <w:iCs w:val="0"/>
          <w:color w:val="auto"/>
          <w:sz w:val="24"/>
          <w:szCs w:val="24"/>
          <w:highlight w:val="none"/>
        </w:rPr>
        <w:t>的供应商方可</w:t>
      </w:r>
      <w:r>
        <w:rPr>
          <w:rFonts w:hint="eastAsia"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中进行CA绑定。登录</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，插入CA后，点击【账号设置】——【绑定CA】。</w:t>
      </w:r>
    </w:p>
    <w:p w14:paraId="7CA7443D">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供应商应按上述要求提供相关材料信息，所提供的材料应均是真实的、准确的，若有违背，供应商自行承担由此而产生的一切后果。</w:t>
      </w:r>
    </w:p>
    <w:p w14:paraId="55BCAE6F">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如供应商未按上述要求操作，由此所产生的损失及风险由供应商自行承担。具体操作步骤详见</w:t>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t>（以下简称</w:t>
      </w:r>
      <w:r>
        <w:rPr>
          <w:rFonts w:hint="eastAsia" w:ascii="宋体" w:hAnsi="宋体"/>
          <w:i w:val="0"/>
          <w:iCs w:val="0"/>
          <w:color w:val="auto"/>
          <w:sz w:val="24"/>
          <w:szCs w:val="24"/>
          <w:highlight w:val="none"/>
        </w:rPr>
        <w:t>《操作手册》</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下载地址：无锡市政府采购网——资料下载——</w:t>
      </w:r>
      <w:r>
        <w:rPr>
          <w:rFonts w:hint="eastAsia" w:ascii="宋体" w:hAnsi="宋体"/>
          <w:i w:val="0"/>
          <w:iCs w:val="0"/>
          <w:color w:val="auto"/>
          <w:sz w:val="24"/>
          <w:szCs w:val="24"/>
          <w:highlight w:val="none"/>
        </w:rPr>
        <w:t>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w:t>
      </w:r>
    </w:p>
    <w:p w14:paraId="72F11BF5">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bCs/>
          <w:i w:val="0"/>
          <w:iCs w:val="0"/>
          <w:color w:val="auto"/>
          <w:sz w:val="24"/>
          <w:szCs w:val="24"/>
          <w:highlight w:val="none"/>
        </w:rPr>
        <w:t>技术支持QQ：孙先生：442456465；王先生：1476328133</w:t>
      </w:r>
      <w:r>
        <w:rPr>
          <w:rFonts w:hint="eastAsia" w:ascii="宋体" w:hAnsi="宋体"/>
          <w:bCs/>
          <w:i w:val="0"/>
          <w:iCs w:val="0"/>
          <w:color w:val="auto"/>
          <w:sz w:val="24"/>
          <w:szCs w:val="24"/>
          <w:highlight w:val="none"/>
        </w:rPr>
        <w:t>。</w:t>
      </w:r>
    </w:p>
    <w:p w14:paraId="2737107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（二）完成项目参与，获取招标文件</w:t>
      </w:r>
    </w:p>
    <w:p w14:paraId="099E7162">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供应商可在项目</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公告附件中查看</w:t>
      </w:r>
      <w:r>
        <w:rPr>
          <w:rFonts w:hint="eastAsia" w:ascii="宋体" w:hAnsi="宋体"/>
          <w:i w:val="0"/>
          <w:iCs w:val="0"/>
          <w:color w:val="auto"/>
          <w:sz w:val="24"/>
          <w:szCs w:val="24"/>
          <w:highlight w:val="none"/>
        </w:rPr>
        <w:t>公开招标</w:t>
      </w:r>
      <w:r>
        <w:rPr>
          <w:rFonts w:ascii="宋体" w:hAnsi="宋体"/>
          <w:i w:val="0"/>
          <w:iCs w:val="0"/>
          <w:color w:val="auto"/>
          <w:sz w:val="24"/>
          <w:szCs w:val="24"/>
          <w:highlight w:val="none"/>
        </w:rPr>
        <w:t>文件，如确定参加本次</w:t>
      </w:r>
      <w:r>
        <w:rPr>
          <w:rFonts w:hint="eastAsia" w:ascii="宋体" w:hAnsi="宋体"/>
          <w:i w:val="0"/>
          <w:iCs w:val="0"/>
          <w:color w:val="auto"/>
          <w:sz w:val="24"/>
          <w:szCs w:val="24"/>
          <w:highlight w:val="none"/>
        </w:rPr>
        <w:t>采购</w:t>
      </w:r>
      <w:r>
        <w:rPr>
          <w:rFonts w:ascii="宋体" w:hAnsi="宋体"/>
          <w:i w:val="0"/>
          <w:iCs w:val="0"/>
          <w:color w:val="auto"/>
          <w:sz w:val="24"/>
          <w:szCs w:val="24"/>
          <w:highlight w:val="none"/>
        </w:rPr>
        <w:t>活动，必须在</w:t>
      </w:r>
      <w:r>
        <w:rPr>
          <w:rFonts w:hint="eastAsia" w:ascii="宋体" w:hAnsi="宋体"/>
          <w:bCs/>
          <w:i w:val="0"/>
          <w:iCs w:val="0"/>
          <w:color w:val="auto"/>
          <w:sz w:val="24"/>
          <w:szCs w:val="24"/>
          <w:highlight w:val="none"/>
        </w:rPr>
        <w:t>招标文件提供期限</w:t>
      </w:r>
      <w:r>
        <w:rPr>
          <w:rFonts w:ascii="宋体" w:hAnsi="宋体"/>
          <w:i w:val="0"/>
          <w:iCs w:val="0"/>
          <w:color w:val="auto"/>
          <w:sz w:val="24"/>
          <w:szCs w:val="24"/>
          <w:highlight w:val="none"/>
        </w:rPr>
        <w:t>内</w:t>
      </w:r>
      <w:r>
        <w:rPr>
          <w:rFonts w:hint="eastAsia" w:ascii="宋体" w:hAnsi="宋体"/>
          <w:i w:val="0"/>
          <w:iCs w:val="0"/>
          <w:color w:val="auto"/>
          <w:sz w:val="24"/>
          <w:szCs w:val="24"/>
          <w:highlight w:val="none"/>
        </w:rPr>
        <w:t>从</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中下载文件（“项目参与”——“</w:t>
      </w:r>
      <w:r>
        <w:rPr>
          <w:rFonts w:hint="eastAsia" w:ascii="宋体" w:hAnsi="宋体"/>
          <w:i w:val="0"/>
          <w:iCs w:val="0"/>
          <w:color w:val="auto"/>
          <w:sz w:val="24"/>
          <w:szCs w:val="24"/>
          <w:highlight w:val="none"/>
        </w:rPr>
        <w:t>采购项目参与</w:t>
      </w:r>
      <w:r>
        <w:rPr>
          <w:rFonts w:ascii="宋体" w:hAnsi="宋体"/>
          <w:i w:val="0"/>
          <w:iCs w:val="0"/>
          <w:color w:val="auto"/>
          <w:sz w:val="24"/>
          <w:szCs w:val="24"/>
          <w:highlight w:val="none"/>
        </w:rPr>
        <w:t>”找到需要获取</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文件的项目，点击“我要参与”——“参与投标”</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下载文件</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），完成项目</w:t>
      </w:r>
      <w:r>
        <w:rPr>
          <w:rFonts w:hint="eastAsia" w:ascii="宋体" w:hAnsi="宋体"/>
          <w:i w:val="0"/>
          <w:iCs w:val="0"/>
          <w:color w:val="auto"/>
          <w:sz w:val="24"/>
          <w:szCs w:val="24"/>
          <w:highlight w:val="none"/>
        </w:rPr>
        <w:t>参与</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将</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w:t>
      </w:r>
      <w:r>
        <w:rPr>
          <w:rFonts w:ascii="宋体" w:hAnsi="宋体"/>
          <w:i w:val="0"/>
          <w:iCs w:val="0"/>
          <w:color w:val="auto"/>
          <w:sz w:val="24"/>
          <w:szCs w:val="24"/>
          <w:highlight w:val="none"/>
        </w:rPr>
        <w:t>下载的</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（后缀名为“.kedt”）</w:t>
      </w:r>
      <w:r>
        <w:rPr>
          <w:rFonts w:ascii="宋体" w:hAnsi="宋体"/>
          <w:i w:val="0"/>
          <w:iCs w:val="0"/>
          <w:color w:val="auto"/>
          <w:sz w:val="24"/>
          <w:szCs w:val="24"/>
          <w:highlight w:val="none"/>
        </w:rPr>
        <w:t>导入到“政府采购客户端”，离线按要求</w:t>
      </w:r>
      <w:r>
        <w:rPr>
          <w:rFonts w:hint="eastAsia" w:ascii="宋体" w:hAnsi="宋体"/>
          <w:i w:val="0"/>
          <w:iCs w:val="0"/>
          <w:color w:val="auto"/>
          <w:sz w:val="24"/>
          <w:szCs w:val="24"/>
          <w:highlight w:val="none"/>
        </w:rPr>
        <w:t>编制</w:t>
      </w:r>
      <w:r>
        <w:rPr>
          <w:rFonts w:ascii="宋体" w:hAnsi="宋体"/>
          <w:i w:val="0"/>
          <w:iCs w:val="0"/>
          <w:color w:val="auto"/>
          <w:sz w:val="24"/>
          <w:szCs w:val="24"/>
          <w:highlight w:val="none"/>
        </w:rPr>
        <w:t>并加密</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（使用“CA数字证书”），</w:t>
      </w:r>
      <w:r>
        <w:rPr>
          <w:rFonts w:ascii="宋体" w:hAnsi="宋体"/>
          <w:i w:val="0"/>
          <w:iCs w:val="0"/>
          <w:color w:val="auto"/>
          <w:sz w:val="24"/>
          <w:szCs w:val="24"/>
          <w:highlight w:val="none"/>
        </w:rPr>
        <w:t>导出加密的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（后缀名为zip，不得超过150M）并在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上传该加密的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文件，对</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文件各项内容做出实质性响应，否则其</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文件无效。</w:t>
      </w:r>
    </w:p>
    <w:p w14:paraId="1C133D7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（三）有关本次采购的事项若存在变动或修改，敬请及时关注</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在“江苏政府采购网”发布的更正公告。</w:t>
      </w:r>
    </w:p>
    <w:p w14:paraId="2056DE28">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（四）本次采购不收取投标保证金。</w:t>
      </w:r>
    </w:p>
    <w:bookmarkEnd w:id="2"/>
    <w:p w14:paraId="19F00936">
      <w:pPr>
        <w:pStyle w:val="186"/>
        <w:pageBreakBefore/>
        <w:rPr>
          <w:rFonts w:ascii="黑体" w:eastAsia="黑体"/>
          <w:bCs w:val="0"/>
          <w:i w:val="0"/>
          <w:iCs w:val="0"/>
          <w:color w:val="auto"/>
          <w:sz w:val="28"/>
          <w:szCs w:val="28"/>
          <w:highlight w:val="none"/>
        </w:rPr>
      </w:pPr>
      <w:bookmarkStart w:id="5" w:name="_Toc61444836"/>
      <w:r>
        <w:rPr>
          <w:rFonts w:hint="eastAsia" w:ascii="黑体" w:hAnsi="黑体" w:eastAsia="黑体"/>
          <w:b w:val="0"/>
          <w:i w:val="0"/>
          <w:iCs w:val="0"/>
          <w:color w:val="auto"/>
          <w:sz w:val="32"/>
          <w:szCs w:val="32"/>
          <w:highlight w:val="none"/>
          <w:lang w:eastAsia="zh-CN"/>
        </w:rPr>
        <w:t>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投标人须知</w:t>
      </w:r>
      <w:bookmarkEnd w:id="5"/>
    </w:p>
    <w:p w14:paraId="5C4CADAC">
      <w:pPr>
        <w:pStyle w:val="360"/>
        <w:keepNext w:val="0"/>
        <w:keepLines w:val="0"/>
        <w:spacing w:before="0" w:after="0" w:line="500" w:lineRule="exact"/>
        <w:ind w:left="834" w:hanging="454"/>
        <w:jc w:val="center"/>
        <w:rPr>
          <w:rFonts w:hint="eastAsia"/>
          <w:i w:val="0"/>
          <w:iCs w:val="0"/>
          <w:color w:val="auto"/>
          <w:sz w:val="32"/>
          <w:szCs w:val="32"/>
          <w:highlight w:val="none"/>
        </w:rPr>
      </w:pPr>
      <w:bookmarkStart w:id="6" w:name="_Toc513029203"/>
      <w:bookmarkStart w:id="7" w:name="_Toc20823275"/>
      <w:bookmarkStart w:id="8" w:name="_Toc120614214"/>
      <w:bookmarkStart w:id="9" w:name="_Toc16938519"/>
      <w:r>
        <w:rPr>
          <w:rFonts w:hint="eastAsia"/>
          <w:i w:val="0"/>
          <w:iCs w:val="0"/>
          <w:color w:val="auto"/>
          <w:sz w:val="32"/>
          <w:szCs w:val="32"/>
          <w:highlight w:val="none"/>
        </w:rPr>
        <w:t>一、总则</w:t>
      </w:r>
      <w:bookmarkEnd w:id="6"/>
      <w:bookmarkEnd w:id="7"/>
      <w:bookmarkEnd w:id="8"/>
      <w:bookmarkEnd w:id="9"/>
    </w:p>
    <w:p w14:paraId="0AC8AD17">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 w:name="_Hlt16619475"/>
      <w:bookmarkEnd w:id="10"/>
      <w:bookmarkStart w:id="11" w:name="_Toc513029204"/>
      <w:bookmarkStart w:id="12" w:name="_Toc20823276"/>
      <w:bookmarkStart w:id="13" w:name="_Toc16938520"/>
      <w:r>
        <w:rPr>
          <w:rFonts w:hint="eastAsia" w:ascii="宋体" w:hAnsi="宋体" w:eastAsia="宋体"/>
          <w:bCs w:val="0"/>
          <w:i w:val="0"/>
          <w:iCs w:val="0"/>
          <w:color w:val="auto"/>
          <w:sz w:val="24"/>
          <w:szCs w:val="24"/>
          <w:highlight w:val="none"/>
        </w:rPr>
        <w:t>1.招标方式</w:t>
      </w:r>
      <w:bookmarkEnd w:id="11"/>
      <w:bookmarkEnd w:id="12"/>
      <w:bookmarkEnd w:id="13"/>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4" w:name="_Toc16938521"/>
      <w:bookmarkStart w:id="15" w:name="_Toc513029205"/>
      <w:bookmarkStart w:id="16" w:name="_Toc20823277"/>
      <w:r>
        <w:rPr>
          <w:rFonts w:hint="eastAsia" w:ascii="宋体" w:hAnsi="宋体" w:eastAsia="宋体"/>
          <w:bCs w:val="0"/>
          <w:i w:val="0"/>
          <w:iCs w:val="0"/>
          <w:color w:val="auto"/>
          <w:sz w:val="24"/>
          <w:szCs w:val="24"/>
          <w:highlight w:val="none"/>
        </w:rPr>
        <w:t>2.</w:t>
      </w:r>
      <w:bookmarkEnd w:id="14"/>
      <w:bookmarkEnd w:id="15"/>
      <w:bookmarkEnd w:id="16"/>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7" w:name="_Toc513029206"/>
      <w:bookmarkStart w:id="18" w:name="_Toc20823278"/>
      <w:bookmarkStart w:id="19" w:name="_Toc16938522"/>
      <w:r>
        <w:rPr>
          <w:rFonts w:hint="eastAsia" w:ascii="宋体" w:hAnsi="宋体" w:eastAsia="宋体"/>
          <w:bCs w:val="0"/>
          <w:i w:val="0"/>
          <w:iCs w:val="0"/>
          <w:color w:val="auto"/>
          <w:sz w:val="24"/>
          <w:szCs w:val="24"/>
          <w:highlight w:val="none"/>
        </w:rPr>
        <w:t>3.适用法律</w:t>
      </w:r>
      <w:bookmarkEnd w:id="17"/>
      <w:bookmarkEnd w:id="18"/>
      <w:bookmarkEnd w:id="19"/>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0" w:name="_Toc16938523"/>
      <w:bookmarkStart w:id="21" w:name="_Toc20823279"/>
      <w:bookmarkStart w:id="22" w:name="_Toc513029207"/>
      <w:bookmarkStart w:id="23" w:name="_Toc462564067"/>
      <w:r>
        <w:rPr>
          <w:rFonts w:hint="eastAsia" w:ascii="宋体" w:hAnsi="宋体" w:eastAsia="宋体"/>
          <w:bCs w:val="0"/>
          <w:i w:val="0"/>
          <w:iCs w:val="0"/>
          <w:color w:val="auto"/>
          <w:sz w:val="24"/>
          <w:szCs w:val="24"/>
          <w:highlight w:val="none"/>
        </w:rPr>
        <w:t>4.投标费用</w:t>
      </w:r>
      <w:bookmarkEnd w:id="20"/>
      <w:bookmarkEnd w:id="21"/>
      <w:bookmarkEnd w:id="22"/>
      <w:bookmarkEnd w:id="23"/>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360"/>
        <w:keepNext w:val="0"/>
        <w:keepLines w:val="0"/>
        <w:spacing w:before="0" w:after="0" w:line="500" w:lineRule="exact"/>
        <w:jc w:val="center"/>
        <w:rPr>
          <w:rFonts w:hint="eastAsia"/>
          <w:i w:val="0"/>
          <w:iCs w:val="0"/>
          <w:color w:val="auto"/>
          <w:sz w:val="32"/>
          <w:szCs w:val="32"/>
          <w:highlight w:val="none"/>
        </w:rPr>
      </w:pPr>
      <w:bookmarkStart w:id="24" w:name="_Toc120614215"/>
      <w:bookmarkStart w:id="25" w:name="_Toc20823281"/>
      <w:bookmarkStart w:id="26" w:name="_Toc16938525"/>
      <w:bookmarkStart w:id="27" w:name="_Toc513029209"/>
      <w:r>
        <w:rPr>
          <w:rFonts w:hint="eastAsia"/>
          <w:i w:val="0"/>
          <w:iCs w:val="0"/>
          <w:color w:val="auto"/>
          <w:sz w:val="32"/>
          <w:szCs w:val="32"/>
          <w:highlight w:val="none"/>
        </w:rPr>
        <w:t>二、招标文件</w:t>
      </w:r>
      <w:bookmarkEnd w:id="24"/>
      <w:bookmarkEnd w:id="25"/>
      <w:bookmarkEnd w:id="26"/>
      <w:bookmarkEnd w:id="27"/>
    </w:p>
    <w:p w14:paraId="7C98BEF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8" w:name="_Toc16938526"/>
      <w:bookmarkStart w:id="29" w:name="_Toc513029210"/>
      <w:bookmarkStart w:id="30" w:name="_Toc20823282"/>
      <w:r>
        <w:rPr>
          <w:rFonts w:hint="eastAsia" w:ascii="宋体" w:hAnsi="宋体" w:eastAsia="宋体"/>
          <w:bCs w:val="0"/>
          <w:i w:val="0"/>
          <w:iCs w:val="0"/>
          <w:color w:val="auto"/>
          <w:sz w:val="24"/>
          <w:szCs w:val="24"/>
          <w:highlight w:val="none"/>
        </w:rPr>
        <w:t>6.招标文件构成</w:t>
      </w:r>
      <w:bookmarkEnd w:id="28"/>
      <w:bookmarkEnd w:id="29"/>
      <w:bookmarkEnd w:id="30"/>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1" w:name="_Toc462564070"/>
      <w:bookmarkStart w:id="32" w:name="_Toc20823283"/>
      <w:bookmarkStart w:id="33" w:name="_Toc513029211"/>
      <w:bookmarkStart w:id="34" w:name="_Toc16938527"/>
      <w:r>
        <w:rPr>
          <w:rFonts w:hint="eastAsia" w:ascii="宋体" w:hAnsi="宋体" w:eastAsia="宋体"/>
          <w:bCs w:val="0"/>
          <w:i w:val="0"/>
          <w:iCs w:val="0"/>
          <w:color w:val="auto"/>
          <w:sz w:val="24"/>
          <w:szCs w:val="24"/>
          <w:highlight w:val="none"/>
        </w:rPr>
        <w:t>7.招标文件的澄清</w:t>
      </w:r>
      <w:bookmarkEnd w:id="31"/>
      <w:bookmarkEnd w:id="32"/>
      <w:bookmarkEnd w:id="33"/>
      <w:bookmarkEnd w:id="34"/>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不将</w:t>
      </w:r>
      <w:r>
        <w:rPr>
          <w:rFonts w:hint="eastAsia" w:ascii="宋体" w:hAnsi="宋体"/>
          <w:bCs/>
          <w:i w:val="0"/>
          <w:iCs w:val="0"/>
          <w:color w:val="auto"/>
          <w:sz w:val="24"/>
          <w:szCs w:val="24"/>
          <w:highlight w:val="none"/>
        </w:rPr>
        <w:t>召开开标前</w:t>
      </w:r>
      <w:r>
        <w:rPr>
          <w:rFonts w:hint="eastAsia" w:ascii="宋体" w:hAnsi="宋体"/>
          <w:bCs/>
          <w:i w:val="0"/>
          <w:iCs w:val="0"/>
          <w:color w:val="auto"/>
          <w:sz w:val="24"/>
          <w:szCs w:val="24"/>
          <w:highlight w:val="none"/>
          <w:lang w:eastAsia="zh-CN"/>
        </w:rPr>
        <w:t>现场</w:t>
      </w:r>
      <w:r>
        <w:rPr>
          <w:rFonts w:hint="eastAsia" w:ascii="宋体" w:hAnsi="宋体"/>
          <w:bCs/>
          <w:i w:val="0"/>
          <w:iCs w:val="0"/>
          <w:color w:val="auto"/>
          <w:sz w:val="24"/>
          <w:szCs w:val="24"/>
          <w:highlight w:val="none"/>
        </w:rPr>
        <w:t>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5" w:name="_Toc20823284"/>
      <w:bookmarkStart w:id="36" w:name="_Toc462564071"/>
      <w:bookmarkStart w:id="37" w:name="_Toc16938528"/>
      <w:bookmarkStart w:id="38" w:name="_Toc513029212"/>
      <w:r>
        <w:rPr>
          <w:rFonts w:hint="eastAsia" w:ascii="宋体" w:hAnsi="宋体" w:eastAsia="宋体"/>
          <w:bCs w:val="0"/>
          <w:i w:val="0"/>
          <w:iCs w:val="0"/>
          <w:color w:val="auto"/>
          <w:sz w:val="24"/>
          <w:szCs w:val="24"/>
          <w:highlight w:val="none"/>
        </w:rPr>
        <w:t>8.招标文件的修改</w:t>
      </w:r>
      <w:bookmarkEnd w:id="35"/>
      <w:bookmarkEnd w:id="36"/>
      <w:bookmarkEnd w:id="37"/>
      <w:bookmarkEnd w:id="38"/>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360"/>
        <w:keepNext w:val="0"/>
        <w:keepLines w:val="0"/>
        <w:spacing w:before="0" w:after="0" w:line="500" w:lineRule="exact"/>
        <w:jc w:val="center"/>
        <w:rPr>
          <w:rFonts w:hint="eastAsia"/>
          <w:i w:val="0"/>
          <w:iCs w:val="0"/>
          <w:color w:val="auto"/>
          <w:sz w:val="32"/>
          <w:szCs w:val="32"/>
          <w:highlight w:val="none"/>
        </w:rPr>
      </w:pPr>
      <w:bookmarkStart w:id="39" w:name="_Toc513029213"/>
      <w:bookmarkStart w:id="40" w:name="_Toc120614216"/>
      <w:bookmarkStart w:id="41" w:name="_Toc16938529"/>
      <w:bookmarkStart w:id="42" w:name="_Toc462564072"/>
      <w:bookmarkStart w:id="43" w:name="_Toc20823285"/>
      <w:r>
        <w:rPr>
          <w:rFonts w:hint="eastAsia"/>
          <w:i w:val="0"/>
          <w:iCs w:val="0"/>
          <w:color w:val="auto"/>
          <w:sz w:val="32"/>
          <w:szCs w:val="32"/>
          <w:highlight w:val="none"/>
        </w:rPr>
        <w:t>三、投标文件的编制</w:t>
      </w:r>
      <w:bookmarkEnd w:id="39"/>
      <w:bookmarkEnd w:id="40"/>
      <w:bookmarkEnd w:id="41"/>
      <w:bookmarkEnd w:id="42"/>
      <w:bookmarkEnd w:id="43"/>
    </w:p>
    <w:p w14:paraId="6CA59F8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4" w:name="_Toc16938530"/>
      <w:bookmarkStart w:id="45" w:name="_Toc20823286"/>
      <w:bookmarkStart w:id="46" w:name="_Toc513029214"/>
      <w:bookmarkStart w:id="47" w:name="_Toc462564073"/>
      <w:r>
        <w:rPr>
          <w:rFonts w:hint="eastAsia" w:ascii="宋体" w:hAnsi="宋体" w:eastAsia="宋体"/>
          <w:bCs w:val="0"/>
          <w:i w:val="0"/>
          <w:iCs w:val="0"/>
          <w:color w:val="auto"/>
          <w:sz w:val="24"/>
          <w:szCs w:val="24"/>
          <w:highlight w:val="none"/>
        </w:rPr>
        <w:t>9.投标文件的语言及度量衡单位</w:t>
      </w:r>
      <w:bookmarkEnd w:id="44"/>
      <w:bookmarkEnd w:id="45"/>
      <w:bookmarkEnd w:id="46"/>
      <w:bookmarkEnd w:id="47"/>
    </w:p>
    <w:p w14:paraId="2D5E73C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9.1投标人提交的投标文件以及投标人与</w:t>
      </w:r>
      <w:r>
        <w:rPr>
          <w:rFonts w:hint="eastAsia" w:ascii="宋体" w:hAnsi="宋体" w:eastAsia="宋体" w:cs="Times New Roman"/>
          <w:bCs/>
          <w:color w:val="auto"/>
          <w:sz w:val="24"/>
          <w:szCs w:val="24"/>
          <w:highlight w:val="none"/>
          <w:lang w:val="zh-CN" w:eastAsia="zh-CN"/>
        </w:rPr>
        <w:t>采购中心</w:t>
      </w:r>
      <w:r>
        <w:rPr>
          <w:rFonts w:hint="eastAsia" w:ascii="宋体" w:hAnsi="宋体" w:eastAsia="宋体" w:cs="Times New Roman"/>
          <w:bCs/>
          <w:color w:val="auto"/>
          <w:sz w:val="24"/>
          <w:szCs w:val="24"/>
          <w:highlight w:val="none"/>
          <w:lang w:val="zh-CN"/>
        </w:rPr>
        <w:t>就有关投标的所有来往通知、函件和文件均应使用简体中文（规格、型号辅助符号例外）。</w:t>
      </w:r>
    </w:p>
    <w:p w14:paraId="1C4F21F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9.2除技术性能另有规定外，投标文件所使用的度量衡单位，均须采用国家法定计量单位。</w:t>
      </w:r>
    </w:p>
    <w:p w14:paraId="0AD17D3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9.4如无特别说明，投标人报价一律以人民币为投标结算货币，结算单位为“元”。</w:t>
      </w:r>
    </w:p>
    <w:p w14:paraId="2B66418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9.5投标文件格式部分，应由投标人按给定格式提供，不得更改。</w:t>
      </w:r>
    </w:p>
    <w:p w14:paraId="7ADF886F">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lang w:val="zh-CN"/>
        </w:rPr>
      </w:pPr>
      <w:r>
        <w:rPr>
          <w:rFonts w:hint="eastAsia" w:ascii="宋体" w:hAnsi="宋体" w:eastAsia="宋体" w:cs="Times New Roman"/>
          <w:bCs/>
          <w:i w:val="0"/>
          <w:iCs w:val="0"/>
          <w:color w:val="auto"/>
          <w:sz w:val="24"/>
          <w:szCs w:val="24"/>
          <w:highlight w:val="none"/>
          <w:lang w:val="zh-CN"/>
        </w:rPr>
        <w:t>9.7投标费用自理。</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8" w:name="_Toc20823287"/>
      <w:bookmarkStart w:id="49" w:name="_Toc462564074"/>
      <w:bookmarkStart w:id="50" w:name="_Toc16938531"/>
      <w:bookmarkStart w:id="51" w:name="_Toc513029215"/>
      <w:r>
        <w:rPr>
          <w:rFonts w:hint="eastAsia" w:ascii="宋体" w:hAnsi="宋体" w:eastAsia="宋体" w:cs="宋体"/>
          <w:b/>
          <w:bCs w:val="0"/>
          <w:i w:val="0"/>
          <w:iCs w:val="0"/>
          <w:color w:val="auto"/>
          <w:sz w:val="24"/>
          <w:szCs w:val="24"/>
          <w:highlight w:val="none"/>
        </w:rPr>
        <w:t>10.投标文件构成</w:t>
      </w:r>
      <w:bookmarkEnd w:id="48"/>
      <w:bookmarkEnd w:id="49"/>
      <w:bookmarkEnd w:id="50"/>
      <w:bookmarkEnd w:id="51"/>
    </w:p>
    <w:p w14:paraId="7B1EB53B">
      <w:pPr>
        <w:spacing w:line="500" w:lineRule="exact"/>
        <w:ind w:firstLine="480"/>
        <w:rPr>
          <w:rFonts w:ascii="宋体" w:hAnsi="宋体"/>
          <w:i w:val="0"/>
          <w:iCs w:val="0"/>
          <w:color w:val="auto"/>
          <w:sz w:val="24"/>
          <w:szCs w:val="24"/>
          <w:highlight w:val="none"/>
        </w:rPr>
      </w:pPr>
      <w:r>
        <w:rPr>
          <w:rFonts w:hint="eastAsia" w:ascii="宋体" w:hAnsi="宋体" w:eastAsia="宋体" w:cs="Times New Roman"/>
          <w:bCs/>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10.2投标人所须提供的相关证明文件和要求以及投标文件的部分格式要求，详见第六章《投标文件内容与格式》。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2" w:name="_Hlt26954838"/>
      <w:bookmarkEnd w:id="52"/>
      <w:bookmarkStart w:id="53" w:name="_Hlt26668975"/>
      <w:bookmarkEnd w:id="53"/>
      <w:bookmarkStart w:id="54" w:name="_Hlt26670360"/>
      <w:bookmarkEnd w:id="54"/>
      <w:bookmarkStart w:id="55" w:name="_Toc513029219"/>
      <w:bookmarkStart w:id="56" w:name="_Toc14577357"/>
      <w:bookmarkStart w:id="57" w:name="_Toc49090509"/>
      <w:bookmarkStart w:id="58" w:name="_Toc49090507"/>
      <w:bookmarkStart w:id="59" w:name="_Toc513029216"/>
      <w:bookmarkStart w:id="60" w:name="_Toc14577354"/>
      <w:r>
        <w:rPr>
          <w:rFonts w:hint="eastAsia" w:ascii="宋体" w:hAnsi="宋体" w:eastAsia="宋体"/>
          <w:bCs w:val="0"/>
          <w:i w:val="0"/>
          <w:iCs w:val="0"/>
          <w:color w:val="auto"/>
          <w:sz w:val="24"/>
          <w:szCs w:val="24"/>
          <w:highlight w:val="none"/>
        </w:rPr>
        <w:t>11.证明投标人及投标标的符合招标文件规定的文件</w:t>
      </w:r>
      <w:bookmarkEnd w:id="55"/>
      <w:bookmarkEnd w:id="56"/>
      <w:bookmarkEnd w:id="57"/>
    </w:p>
    <w:bookmarkEnd w:id="58"/>
    <w:bookmarkEnd w:id="59"/>
    <w:bookmarkEnd w:id="60"/>
    <w:p w14:paraId="09C9178E">
      <w:pPr>
        <w:spacing w:line="500" w:lineRule="exact"/>
        <w:ind w:firstLine="480"/>
        <w:rPr>
          <w:rFonts w:hint="eastAsia" w:ascii="宋体" w:hAnsi="宋体"/>
          <w:bCs/>
          <w:i w:val="0"/>
          <w:iCs w:val="0"/>
          <w:color w:val="auto"/>
          <w:sz w:val="24"/>
          <w:szCs w:val="24"/>
          <w:highlight w:val="none"/>
        </w:rPr>
      </w:pPr>
      <w:bookmarkStart w:id="61" w:name="_Toc14577355"/>
      <w:bookmarkStart w:id="62"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3" w:name="_Toc14577359"/>
      <w:bookmarkStart w:id="64"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3"/>
    <w:bookmarkEnd w:id="64"/>
    <w:p w14:paraId="5AD02F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1"/>
      <w:bookmarkEnd w:id="62"/>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5" w:name="_Hlt26954840"/>
      <w:bookmarkEnd w:id="65"/>
      <w:r>
        <w:rPr>
          <w:rFonts w:hint="eastAsia" w:ascii="宋体" w:hAnsi="宋体"/>
          <w:i w:val="0"/>
          <w:iCs w:val="0"/>
          <w:color w:val="auto"/>
          <w:sz w:val="24"/>
          <w:szCs w:val="24"/>
          <w:highlight w:val="none"/>
        </w:rPr>
        <w:t>标人应按照招标文件规定格式填报</w:t>
      </w:r>
      <w:bookmarkStart w:id="66" w:name="_Hlt26670399"/>
      <w:bookmarkEnd w:id="66"/>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7" w:name="_Hlt26670425"/>
      <w:bookmarkEnd w:id="67"/>
      <w:bookmarkStart w:id="68" w:name="_Hlt26670403"/>
      <w:bookmarkEnd w:id="68"/>
      <w:bookmarkStart w:id="69" w:name="_Hlt26670486"/>
      <w:bookmarkEnd w:id="69"/>
      <w:bookmarkStart w:id="70" w:name="_Hlt26954848"/>
      <w:bookmarkEnd w:id="70"/>
      <w:bookmarkStart w:id="71" w:name="_Hlt26954844"/>
      <w:bookmarkEnd w:id="71"/>
      <w:bookmarkStart w:id="72" w:name="_Hlt26954731"/>
      <w:bookmarkEnd w:id="72"/>
      <w:bookmarkStart w:id="73" w:name="_Hlt26954842"/>
      <w:bookmarkEnd w:id="73"/>
      <w:bookmarkStart w:id="74" w:name="_Hlt26668983"/>
      <w:bookmarkEnd w:id="74"/>
      <w:bookmarkStart w:id="75" w:name="_Hlt26670482"/>
      <w:bookmarkEnd w:id="75"/>
      <w:bookmarkStart w:id="76" w:name="_Hlt26954846"/>
      <w:bookmarkEnd w:id="76"/>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7" w:name="_Hlt26670489"/>
      <w:bookmarkEnd w:id="77"/>
      <w:bookmarkStart w:id="78" w:name="_Hlt26954850"/>
      <w:bookmarkEnd w:id="78"/>
      <w:bookmarkStart w:id="79" w:name="_Hlt26954734"/>
      <w:bookmarkEnd w:id="79"/>
      <w:bookmarkStart w:id="80" w:name="_Toc49090511"/>
      <w:bookmarkStart w:id="81" w:name="_Toc14577360"/>
      <w:r>
        <w:rPr>
          <w:rFonts w:hint="eastAsia" w:ascii="宋体" w:hAnsi="宋体" w:eastAsia="宋体"/>
          <w:bCs w:val="0"/>
          <w:i w:val="0"/>
          <w:iCs w:val="0"/>
          <w:color w:val="auto"/>
          <w:sz w:val="24"/>
          <w:szCs w:val="24"/>
          <w:highlight w:val="none"/>
        </w:rPr>
        <w:t>15.投标有效期</w:t>
      </w:r>
      <w:bookmarkEnd w:id="80"/>
      <w:bookmarkEnd w:id="81"/>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360"/>
        <w:keepNext w:val="0"/>
        <w:keepLines w:val="0"/>
        <w:spacing w:before="0" w:after="0" w:line="500" w:lineRule="exact"/>
        <w:jc w:val="center"/>
        <w:rPr>
          <w:rFonts w:hint="eastAsia"/>
          <w:i w:val="0"/>
          <w:iCs w:val="0"/>
          <w:color w:val="auto"/>
          <w:sz w:val="32"/>
          <w:szCs w:val="32"/>
          <w:highlight w:val="none"/>
        </w:rPr>
      </w:pPr>
      <w:bookmarkStart w:id="82" w:name="_Hlt26954852"/>
      <w:bookmarkEnd w:id="82"/>
      <w:bookmarkStart w:id="83" w:name="_Hlt26954739"/>
      <w:bookmarkEnd w:id="83"/>
      <w:bookmarkStart w:id="84" w:name="_Toc16938540"/>
      <w:bookmarkStart w:id="85" w:name="_Toc120614217"/>
      <w:bookmarkStart w:id="86" w:name="_Toc513029224"/>
      <w:bookmarkStart w:id="87" w:name="_Toc20823296"/>
      <w:r>
        <w:rPr>
          <w:rFonts w:hint="eastAsia"/>
          <w:i w:val="0"/>
          <w:iCs w:val="0"/>
          <w:color w:val="auto"/>
          <w:sz w:val="32"/>
          <w:szCs w:val="32"/>
          <w:highlight w:val="none"/>
        </w:rPr>
        <w:t>四、投标文件的递交</w:t>
      </w:r>
      <w:bookmarkEnd w:id="84"/>
      <w:bookmarkEnd w:id="85"/>
      <w:bookmarkEnd w:id="86"/>
      <w:bookmarkEnd w:id="87"/>
    </w:p>
    <w:p w14:paraId="0087F770">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8" w:name="_Toc20823297"/>
      <w:bookmarkStart w:id="89" w:name="_Toc16938541"/>
      <w:bookmarkStart w:id="90" w:name="_Toc462564084"/>
      <w:bookmarkStart w:id="91" w:name="_Toc513029225"/>
      <w:r>
        <w:rPr>
          <w:rFonts w:hint="eastAsia" w:ascii="宋体" w:hAnsi="宋体" w:eastAsia="宋体"/>
          <w:bCs w:val="0"/>
          <w:i w:val="0"/>
          <w:iCs w:val="0"/>
          <w:color w:val="auto"/>
          <w:sz w:val="24"/>
          <w:szCs w:val="24"/>
          <w:highlight w:val="none"/>
        </w:rPr>
        <w:t>17.投标文件</w:t>
      </w:r>
      <w:bookmarkEnd w:id="88"/>
      <w:bookmarkEnd w:id="89"/>
      <w:bookmarkEnd w:id="90"/>
      <w:bookmarkEnd w:id="91"/>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5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2" w:name="_Toc513029226"/>
      <w:bookmarkStart w:id="93" w:name="_Toc16938542"/>
      <w:bookmarkStart w:id="94" w:name="_Toc20823298"/>
    </w:p>
    <w:p w14:paraId="2ECB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2"/>
      <w:bookmarkEnd w:id="93"/>
      <w:bookmarkEnd w:id="94"/>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5" w:name="_Toc513029227"/>
      <w:bookmarkStart w:id="96" w:name="_Toc16938543"/>
      <w:bookmarkStart w:id="97" w:name="_Toc20823299"/>
      <w:r>
        <w:rPr>
          <w:rFonts w:hint="eastAsia" w:ascii="宋体" w:hAnsi="宋体" w:eastAsia="宋体"/>
          <w:bCs w:val="0"/>
          <w:i w:val="0"/>
          <w:iCs w:val="0"/>
          <w:color w:val="auto"/>
          <w:sz w:val="24"/>
          <w:szCs w:val="24"/>
          <w:highlight w:val="none"/>
        </w:rPr>
        <w:t>19.投标文件</w:t>
      </w:r>
      <w:bookmarkEnd w:id="95"/>
      <w:bookmarkEnd w:id="96"/>
      <w:bookmarkEnd w:id="97"/>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8" w:name="_Toc20823300"/>
      <w:bookmarkStart w:id="99" w:name="_Toc16938544"/>
      <w:bookmarkStart w:id="100" w:name="_Toc513029228"/>
      <w:r>
        <w:rPr>
          <w:rFonts w:hint="eastAsia" w:ascii="宋体" w:hAnsi="宋体" w:eastAsia="宋体"/>
          <w:bCs w:val="0"/>
          <w:i w:val="0"/>
          <w:iCs w:val="0"/>
          <w:color w:val="auto"/>
          <w:sz w:val="24"/>
          <w:szCs w:val="24"/>
          <w:highlight w:val="none"/>
        </w:rPr>
        <w:t>20.投标文件的撤回和修改</w:t>
      </w:r>
      <w:bookmarkEnd w:id="98"/>
      <w:bookmarkEnd w:id="99"/>
      <w:bookmarkEnd w:id="100"/>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360"/>
        <w:keepNext w:val="0"/>
        <w:keepLines w:val="0"/>
        <w:spacing w:before="0" w:after="0" w:line="500" w:lineRule="exact"/>
        <w:jc w:val="center"/>
        <w:rPr>
          <w:rFonts w:hint="eastAsia"/>
          <w:i w:val="0"/>
          <w:iCs w:val="0"/>
          <w:color w:val="auto"/>
          <w:sz w:val="32"/>
          <w:szCs w:val="32"/>
          <w:highlight w:val="none"/>
        </w:rPr>
      </w:pPr>
      <w:bookmarkStart w:id="101" w:name="_Toc513029229"/>
      <w:bookmarkStart w:id="102" w:name="_Toc20823301"/>
      <w:bookmarkStart w:id="103" w:name="_Toc120614218"/>
      <w:bookmarkStart w:id="104" w:name="_Toc16938545"/>
      <w:r>
        <w:rPr>
          <w:rFonts w:hint="eastAsia"/>
          <w:i w:val="0"/>
          <w:iCs w:val="0"/>
          <w:color w:val="auto"/>
          <w:sz w:val="32"/>
          <w:szCs w:val="32"/>
          <w:highlight w:val="none"/>
        </w:rPr>
        <w:t>五、开标与评标</w:t>
      </w:r>
      <w:bookmarkEnd w:id="101"/>
      <w:bookmarkEnd w:id="102"/>
      <w:bookmarkEnd w:id="103"/>
      <w:bookmarkEnd w:id="104"/>
    </w:p>
    <w:p w14:paraId="5B13937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5" w:name="_Toc20823302"/>
      <w:bookmarkStart w:id="106" w:name="_Toc513029230"/>
      <w:bookmarkStart w:id="107" w:name="_Toc16938546"/>
      <w:r>
        <w:rPr>
          <w:rFonts w:hint="eastAsia" w:ascii="宋体" w:hAnsi="宋体" w:eastAsia="宋体"/>
          <w:bCs w:val="0"/>
          <w:i w:val="0"/>
          <w:iCs w:val="0"/>
          <w:color w:val="auto"/>
          <w:sz w:val="24"/>
          <w:szCs w:val="24"/>
          <w:highlight w:val="none"/>
        </w:rPr>
        <w:t>21.开标</w:t>
      </w:r>
      <w:bookmarkEnd w:id="105"/>
      <w:bookmarkEnd w:id="106"/>
      <w:bookmarkEnd w:id="107"/>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8" w:name="_Toc16938547"/>
      <w:bookmarkStart w:id="109" w:name="_Toc513029231"/>
      <w:bookmarkStart w:id="110" w:name="_Toc20823303"/>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8"/>
    <w:bookmarkEnd w:id="109"/>
    <w:bookmarkEnd w:id="110"/>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1" w:name="_Toc513029232"/>
      <w:bookmarkStart w:id="112" w:name="_Toc16938548"/>
      <w:bookmarkStart w:id="113" w:name="_Toc20823304"/>
      <w:r>
        <w:rPr>
          <w:rFonts w:hint="eastAsia" w:ascii="宋体" w:hAnsi="宋体" w:eastAsia="宋体"/>
          <w:bCs w:val="0"/>
          <w:i w:val="0"/>
          <w:iCs w:val="0"/>
          <w:color w:val="auto"/>
          <w:sz w:val="24"/>
          <w:szCs w:val="24"/>
          <w:highlight w:val="none"/>
        </w:rPr>
        <w:t>24.投标文件的澄清</w:t>
      </w:r>
      <w:bookmarkEnd w:id="111"/>
      <w:bookmarkEnd w:id="112"/>
      <w:bookmarkEnd w:id="113"/>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4" w:name="_Toc16938549"/>
      <w:bookmarkStart w:id="115" w:name="_Toc20823305"/>
      <w:bookmarkStart w:id="116" w:name="_Toc513029233"/>
      <w:r>
        <w:rPr>
          <w:rFonts w:hint="eastAsia" w:ascii="宋体" w:hAnsi="宋体" w:eastAsia="宋体"/>
          <w:bCs w:val="0"/>
          <w:i w:val="0"/>
          <w:iCs w:val="0"/>
          <w:color w:val="auto"/>
          <w:sz w:val="24"/>
          <w:szCs w:val="24"/>
          <w:highlight w:val="none"/>
        </w:rPr>
        <w:t>25.对投标文件的初审</w:t>
      </w:r>
      <w:bookmarkEnd w:id="114"/>
      <w:bookmarkEnd w:id="115"/>
      <w:bookmarkEnd w:id="116"/>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7" w:name="_Toc20823306"/>
      <w:bookmarkStart w:id="118" w:name="_Toc16938550"/>
      <w:bookmarkStart w:id="119"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7"/>
      <w:bookmarkEnd w:id="118"/>
      <w:bookmarkEnd w:id="119"/>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20" w:name="_Toc16938551"/>
      <w:bookmarkStart w:id="121" w:name="_Toc513029235"/>
      <w:bookmarkStart w:id="122" w:name="_Toc20823307"/>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7CC251DA">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58A7056E">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360"/>
        <w:keepNext w:val="0"/>
        <w:keepLines w:val="0"/>
        <w:spacing w:before="0" w:after="0" w:line="500" w:lineRule="exact"/>
        <w:jc w:val="center"/>
        <w:rPr>
          <w:rFonts w:hint="eastAsia"/>
          <w:i w:val="0"/>
          <w:iCs w:val="0"/>
          <w:color w:val="auto"/>
          <w:sz w:val="32"/>
          <w:szCs w:val="32"/>
          <w:highlight w:val="none"/>
        </w:rPr>
      </w:pPr>
      <w:bookmarkStart w:id="123" w:name="_Toc120614219"/>
      <w:r>
        <w:rPr>
          <w:rFonts w:hint="eastAsia"/>
          <w:i w:val="0"/>
          <w:iCs w:val="0"/>
          <w:color w:val="auto"/>
          <w:sz w:val="32"/>
          <w:szCs w:val="32"/>
          <w:highlight w:val="none"/>
        </w:rPr>
        <w:t>六、</w:t>
      </w:r>
      <w:bookmarkEnd w:id="120"/>
      <w:bookmarkEnd w:id="121"/>
      <w:bookmarkEnd w:id="122"/>
      <w:r>
        <w:rPr>
          <w:rFonts w:hint="eastAsia"/>
          <w:i w:val="0"/>
          <w:iCs w:val="0"/>
          <w:color w:val="auto"/>
          <w:sz w:val="32"/>
          <w:szCs w:val="32"/>
          <w:highlight w:val="none"/>
        </w:rPr>
        <w:t>定标</w:t>
      </w:r>
      <w:bookmarkEnd w:id="123"/>
    </w:p>
    <w:p w14:paraId="1095B43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4" w:name="_Toc513029238"/>
      <w:bookmarkStart w:id="125" w:name="_Toc16938554"/>
      <w:bookmarkStart w:id="126" w:name="_Toc20823310"/>
      <w:r>
        <w:rPr>
          <w:rFonts w:hint="eastAsia" w:ascii="宋体" w:hAnsi="宋体" w:eastAsia="宋体"/>
          <w:bCs w:val="0"/>
          <w:i w:val="0"/>
          <w:iCs w:val="0"/>
          <w:color w:val="auto"/>
          <w:sz w:val="24"/>
          <w:szCs w:val="24"/>
          <w:highlight w:val="none"/>
        </w:rPr>
        <w:t>27、</w:t>
      </w:r>
      <w:bookmarkEnd w:id="124"/>
      <w:r>
        <w:rPr>
          <w:rFonts w:hint="eastAsia" w:ascii="宋体" w:hAnsi="宋体" w:eastAsia="宋体"/>
          <w:bCs w:val="0"/>
          <w:i w:val="0"/>
          <w:iCs w:val="0"/>
          <w:color w:val="auto"/>
          <w:sz w:val="24"/>
          <w:szCs w:val="24"/>
          <w:highlight w:val="none"/>
        </w:rPr>
        <w:t>确定</w:t>
      </w:r>
      <w:bookmarkEnd w:id="125"/>
      <w:bookmarkEnd w:id="126"/>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7"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7"/>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360"/>
        <w:keepNext w:val="0"/>
        <w:keepLines w:val="0"/>
        <w:spacing w:before="0" w:after="0" w:line="500" w:lineRule="exact"/>
        <w:jc w:val="center"/>
        <w:rPr>
          <w:rFonts w:hint="eastAsia"/>
          <w:i w:val="0"/>
          <w:iCs w:val="0"/>
          <w:color w:val="auto"/>
          <w:sz w:val="32"/>
          <w:szCs w:val="32"/>
          <w:highlight w:val="none"/>
        </w:rPr>
      </w:pPr>
      <w:bookmarkStart w:id="128" w:name="_Toc120614220"/>
      <w:bookmarkStart w:id="129" w:name="_Toc16938552"/>
      <w:bookmarkStart w:id="130" w:name="_Toc513029236"/>
      <w:bookmarkStart w:id="131" w:name="_Toc20823308"/>
      <w:r>
        <w:rPr>
          <w:rFonts w:hint="eastAsia"/>
          <w:i w:val="0"/>
          <w:iCs w:val="0"/>
          <w:color w:val="auto"/>
          <w:sz w:val="32"/>
          <w:szCs w:val="32"/>
          <w:highlight w:val="none"/>
        </w:rPr>
        <w:t>七、授予合同</w:t>
      </w:r>
      <w:bookmarkEnd w:id="128"/>
    </w:p>
    <w:bookmarkEnd w:id="129"/>
    <w:bookmarkEnd w:id="130"/>
    <w:bookmarkEnd w:id="131"/>
    <w:p w14:paraId="78ED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31.服务（包含与服务相关的货物）的追加</w:t>
      </w:r>
    </w:p>
    <w:p w14:paraId="6F428A40">
      <w:pPr>
        <w:spacing w:line="500" w:lineRule="exact"/>
        <w:ind w:firstLine="480"/>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BF91588">
      <w:pPr>
        <w:spacing w:line="400" w:lineRule="exact"/>
        <w:jc w:val="center"/>
        <w:rPr>
          <w:rFonts w:hint="eastAsia" w:ascii="黑体" w:eastAsia="黑体"/>
          <w:bCs/>
          <w:i w:val="0"/>
          <w:iCs w:val="0"/>
          <w:color w:val="auto"/>
          <w:sz w:val="30"/>
          <w:szCs w:val="30"/>
          <w:highlight w:val="none"/>
        </w:rPr>
      </w:pPr>
    </w:p>
    <w:p w14:paraId="25EB3406">
      <w:pPr>
        <w:spacing w:line="400" w:lineRule="exact"/>
        <w:rPr>
          <w:rFonts w:hint="eastAsia" w:ascii="黑体" w:eastAsia="黑体"/>
          <w:bCs/>
          <w:i w:val="0"/>
          <w:iCs w:val="0"/>
          <w:color w:val="auto"/>
          <w:sz w:val="30"/>
          <w:szCs w:val="30"/>
          <w:highlight w:val="none"/>
        </w:rPr>
      </w:pPr>
    </w:p>
    <w:p w14:paraId="463BFE41">
      <w:pPr>
        <w:spacing w:line="400" w:lineRule="exact"/>
        <w:rPr>
          <w:rFonts w:hint="eastAsia" w:ascii="黑体" w:eastAsia="黑体"/>
          <w:bCs/>
          <w:i w:val="0"/>
          <w:iCs w:val="0"/>
          <w:color w:val="auto"/>
          <w:sz w:val="30"/>
          <w:szCs w:val="30"/>
          <w:highlight w:val="none"/>
        </w:rPr>
      </w:pPr>
    </w:p>
    <w:p w14:paraId="7218823F">
      <w:pPr>
        <w:spacing w:line="360" w:lineRule="auto"/>
        <w:rPr>
          <w:rFonts w:hint="eastAsia" w:ascii="黑体" w:eastAsia="黑体"/>
          <w:bCs/>
          <w:i w:val="0"/>
          <w:iCs w:val="0"/>
          <w:color w:val="auto"/>
          <w:sz w:val="30"/>
          <w:szCs w:val="30"/>
          <w:highlight w:val="none"/>
        </w:rPr>
      </w:pPr>
    </w:p>
    <w:p w14:paraId="5F2A3C9F">
      <w:pPr>
        <w:pStyle w:val="186"/>
        <w:pageBreakBefore/>
        <w:rPr>
          <w:rFonts w:hint="eastAsia" w:ascii="黑体" w:eastAsia="黑体"/>
          <w:i w:val="0"/>
          <w:iCs w:val="0"/>
          <w:color w:val="auto"/>
          <w:sz w:val="30"/>
          <w:szCs w:val="30"/>
          <w:highlight w:val="none"/>
          <w:lang w:eastAsia="zh-CN"/>
        </w:rPr>
      </w:pPr>
      <w:bookmarkStart w:id="132" w:name="_Toc61444673"/>
      <w:r>
        <w:rPr>
          <w:rFonts w:hint="eastAsia" w:ascii="黑体" w:hAnsi="黑体" w:eastAsia="黑体"/>
          <w:b w:val="0"/>
          <w:i w:val="0"/>
          <w:iCs w:val="0"/>
          <w:color w:val="auto"/>
          <w:sz w:val="32"/>
          <w:szCs w:val="32"/>
          <w:highlight w:val="none"/>
          <w:lang w:eastAsia="zh-CN"/>
        </w:rPr>
        <w:t>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项目需求</w:t>
      </w:r>
    </w:p>
    <w:p w14:paraId="79EED3FE">
      <w:pPr>
        <w:spacing w:line="360" w:lineRule="auto"/>
        <w:ind w:firstLine="480"/>
        <w:rPr>
          <w:i w:val="0"/>
          <w:iCs w:val="0"/>
          <w:color w:val="auto"/>
          <w:highlight w:val="none"/>
        </w:rPr>
      </w:pPr>
      <w:bookmarkStart w:id="133" w:name="_Toc61444674"/>
      <w:r>
        <w:rPr>
          <w:rFonts w:hint="eastAsia" w:ascii="宋体" w:hAnsi="宋体" w:cs="宋体"/>
          <w:bCs/>
          <w:i w:val="0"/>
          <w:iCs w:val="0"/>
          <w:color w:val="auto"/>
          <w:sz w:val="24"/>
          <w:highlight w:val="none"/>
        </w:rPr>
        <w:t>本项目为</w:t>
      </w:r>
      <w:r>
        <w:rPr>
          <w:rFonts w:hint="eastAsia" w:ascii="宋体" w:hAnsi="宋体" w:cs="宋体"/>
          <w:bCs/>
          <w:i w:val="0"/>
          <w:iCs w:val="0"/>
          <w:color w:val="auto"/>
          <w:sz w:val="24"/>
          <w:highlight w:val="none"/>
          <w:lang w:eastAsia="zh-CN"/>
        </w:rPr>
        <w:t>无锡市惠山区人民医院网络设备更新和重要网络安全设施建设项目</w:t>
      </w:r>
      <w:r>
        <w:rPr>
          <w:rFonts w:hint="eastAsia" w:ascii="宋体" w:hAnsi="宋体" w:cs="宋体"/>
          <w:bCs/>
          <w:i w:val="0"/>
          <w:iCs w:val="0"/>
          <w:color w:val="auto"/>
          <w:sz w:val="24"/>
          <w:highlight w:val="none"/>
        </w:rPr>
        <w:t>，投标人所投内容必须满足以下要求，不得有负偏离。</w:t>
      </w:r>
    </w:p>
    <w:p w14:paraId="5D00AE37">
      <w:pPr>
        <w:spacing w:line="360" w:lineRule="auto"/>
        <w:ind w:firstLine="600"/>
        <w:jc w:val="center"/>
        <w:rPr>
          <w:rFonts w:ascii="黑体" w:hAnsi="黑体" w:eastAsia="黑体"/>
          <w:i w:val="0"/>
          <w:iCs w:val="0"/>
          <w:color w:val="auto"/>
          <w:sz w:val="24"/>
          <w:szCs w:val="24"/>
          <w:highlight w:val="none"/>
        </w:rPr>
      </w:pPr>
      <w:r>
        <w:rPr>
          <w:rFonts w:hint="eastAsia" w:ascii="黑体" w:hAnsi="黑体" w:eastAsia="黑体"/>
          <w:i w:val="0"/>
          <w:iCs w:val="0"/>
          <w:color w:val="auto"/>
          <w:sz w:val="24"/>
          <w:szCs w:val="24"/>
          <w:highlight w:val="none"/>
        </w:rPr>
        <w:t>第一部分  项目技术要求</w:t>
      </w:r>
    </w:p>
    <w:p w14:paraId="451BB4E1">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一、项目简介</w:t>
      </w:r>
    </w:p>
    <w:p w14:paraId="6995B2D9">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依据《网络安全法》《数据安全法》《个人信息保护法》《关键信息基础设施安全保护条例》《医疗卫生机构网络安全管理办法》及网络安全等级保护 2.0 相关标准要求，针对医院现有网络架构单点故障突出、设备老化、接入不可管、安全防护缺失、等保合规不达标等问题实施全面升级改造。</w:t>
      </w:r>
    </w:p>
    <w:p w14:paraId="01DB5B91">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医院现有核心交换机单台运行、备用设备闲置，楼宇汇聚与接入交换机超期服役且多为单点、不可管理，互联</w:t>
      </w:r>
      <w:r>
        <w:rPr>
          <w:rFonts w:hint="eastAsia" w:ascii="宋体" w:hAnsi="宋体" w:eastAsia="宋体" w:cs="宋体"/>
          <w:sz w:val="24"/>
          <w:szCs w:val="24"/>
          <w:lang w:val="en-US" w:eastAsia="zh-CN"/>
        </w:rPr>
        <w:t>网出口、隔离网闸、专线接入防火墙均为单设备部署，存在严重业务中断风险；数据中心服务器区缺少南北向安全防护，终端无网络准入控制，未部署数据库审计、上网行为管理等合规设备，无法满足等级保护、数据安全及个人信息保护等监管要求。</w:t>
      </w:r>
    </w:p>
    <w:p w14:paraId="0DAC854B">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本次改造严格落实关键信息基础设施重点保护、三级等保合规、网络冗余高可用、终端接入可控、数据安全可审计等政策要求：网络层面部署双机热备内网核心交换机，新建楼层汇聚交换机，全面替换接入层交换机并实现万兆上行，构建高可用、可管理、高性能内网架构；安全层面采用冗余架构部署内网边界防火墙、数据中心防火墙、网闸，消除关键链路单点故障，同步配齐上网行为管理、数据库审计、终端安全管理等合规设备，补齐等保短板，强化终端接入与数据中心安全防护，全面提升医院网络与安全体系的可靠性、安全性与合规性，保障医疗</w:t>
      </w:r>
      <w:r>
        <w:rPr>
          <w:rFonts w:hint="eastAsia" w:ascii="宋体" w:hAnsi="宋体" w:eastAsia="宋体" w:cs="宋体"/>
          <w:sz w:val="24"/>
          <w:szCs w:val="24"/>
          <w:lang w:val="en-US" w:eastAsia="zh-CN" w:bidi="ar-SA"/>
        </w:rPr>
        <w:t>业务连续稳定运行。</w:t>
      </w:r>
    </w:p>
    <w:p w14:paraId="06C89D17">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二、项目需求</w:t>
      </w:r>
    </w:p>
    <w:p w14:paraId="05C7A569">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2.1需求清单</w:t>
      </w:r>
    </w:p>
    <w:tbl>
      <w:tblPr>
        <w:tblStyle w:val="31"/>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1"/>
        <w:gridCol w:w="3042"/>
        <w:gridCol w:w="1077"/>
        <w:gridCol w:w="871"/>
        <w:gridCol w:w="871"/>
        <w:gridCol w:w="1787"/>
      </w:tblGrid>
      <w:tr w14:paraId="541A9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3959">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C3AA1">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C661">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性能指标</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B1A8">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6375">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0C44">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预算（万元）</w:t>
            </w:r>
          </w:p>
        </w:tc>
      </w:tr>
      <w:tr w14:paraId="3E45C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FA6D">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59D1">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接入交换机1</w:t>
            </w:r>
            <w:r>
              <w:rPr>
                <w:rFonts w:hint="eastAsia" w:ascii="宋体" w:hAnsi="宋体" w:eastAsia="宋体" w:cs="宋体"/>
                <w:b/>
                <w:bCs/>
                <w:i w:val="0"/>
                <w:iCs w:val="0"/>
                <w:color w:val="auto"/>
                <w:kern w:val="0"/>
                <w:sz w:val="24"/>
                <w:szCs w:val="24"/>
                <w:highlight w:val="none"/>
                <w:u w:val="none"/>
                <w:lang w:val="en-US" w:eastAsia="zh-CN" w:bidi="ar"/>
              </w:rPr>
              <w:t>（核心产品）</w:t>
            </w:r>
          </w:p>
        </w:tc>
        <w:tc>
          <w:tcPr>
            <w:tcW w:w="1984" w:type="dxa"/>
            <w:vMerge w:val="restart"/>
            <w:tcBorders>
              <w:top w:val="single" w:color="000000" w:sz="4" w:space="0"/>
              <w:left w:val="single" w:color="000000" w:sz="4" w:space="0"/>
              <w:right w:val="single" w:color="000000" w:sz="4" w:space="0"/>
            </w:tcBorders>
            <w:shd w:val="clear" w:color="auto" w:fill="auto"/>
            <w:vAlign w:val="center"/>
          </w:tcPr>
          <w:p w14:paraId="3E04824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详见“技术规格要求”章节</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7B982">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339F">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restart"/>
            <w:tcBorders>
              <w:top w:val="single" w:color="000000" w:sz="4" w:space="0"/>
              <w:left w:val="single" w:color="000000" w:sz="4" w:space="0"/>
              <w:right w:val="single" w:color="000000" w:sz="4" w:space="0"/>
            </w:tcBorders>
            <w:shd w:val="clear" w:color="auto" w:fill="auto"/>
            <w:noWrap/>
            <w:vAlign w:val="center"/>
          </w:tcPr>
          <w:p w14:paraId="7AD547FE">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191.35</w:t>
            </w:r>
          </w:p>
        </w:tc>
      </w:tr>
      <w:tr w14:paraId="54000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7E75">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33EC">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接入交换机2</w:t>
            </w:r>
          </w:p>
        </w:tc>
        <w:tc>
          <w:tcPr>
            <w:tcW w:w="1984" w:type="dxa"/>
            <w:vMerge w:val="continue"/>
            <w:tcBorders>
              <w:left w:val="single" w:color="000000" w:sz="4" w:space="0"/>
              <w:right w:val="single" w:color="000000" w:sz="4" w:space="0"/>
            </w:tcBorders>
            <w:shd w:val="clear" w:color="auto" w:fill="auto"/>
            <w:vAlign w:val="center"/>
          </w:tcPr>
          <w:p w14:paraId="028CD2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9E44">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C2B19">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10C28D2A">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E3AB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519A">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D8BE">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楼层汇聚交换机</w:t>
            </w:r>
          </w:p>
        </w:tc>
        <w:tc>
          <w:tcPr>
            <w:tcW w:w="1984" w:type="dxa"/>
            <w:vMerge w:val="continue"/>
            <w:tcBorders>
              <w:left w:val="single" w:color="000000" w:sz="4" w:space="0"/>
              <w:right w:val="single" w:color="000000" w:sz="4" w:space="0"/>
            </w:tcBorders>
            <w:shd w:val="clear" w:color="auto" w:fill="auto"/>
            <w:vAlign w:val="center"/>
          </w:tcPr>
          <w:p w14:paraId="58D8AB2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47BA0">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8464E">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50D9D66A">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77B7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9FDF">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11EFA">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内网核心交换机</w:t>
            </w:r>
          </w:p>
        </w:tc>
        <w:tc>
          <w:tcPr>
            <w:tcW w:w="1984" w:type="dxa"/>
            <w:vMerge w:val="continue"/>
            <w:tcBorders>
              <w:left w:val="single" w:color="000000" w:sz="4" w:space="0"/>
              <w:right w:val="single" w:color="000000" w:sz="4" w:space="0"/>
            </w:tcBorders>
            <w:shd w:val="clear" w:color="auto" w:fill="auto"/>
            <w:vAlign w:val="center"/>
          </w:tcPr>
          <w:p w14:paraId="68BD86E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05D8">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53F39">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0A476130">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7A47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AC6D">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2B6A">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上网行为管理</w:t>
            </w:r>
          </w:p>
        </w:tc>
        <w:tc>
          <w:tcPr>
            <w:tcW w:w="1984" w:type="dxa"/>
            <w:vMerge w:val="continue"/>
            <w:tcBorders>
              <w:left w:val="single" w:color="000000" w:sz="4" w:space="0"/>
              <w:right w:val="single" w:color="000000" w:sz="4" w:space="0"/>
            </w:tcBorders>
            <w:shd w:val="clear" w:color="auto" w:fill="auto"/>
            <w:vAlign w:val="center"/>
          </w:tcPr>
          <w:p w14:paraId="1E63B06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07AA3">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B9BCA">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6D432900">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1930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F1626">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F7523">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网闸</w:t>
            </w:r>
          </w:p>
        </w:tc>
        <w:tc>
          <w:tcPr>
            <w:tcW w:w="1984" w:type="dxa"/>
            <w:vMerge w:val="continue"/>
            <w:tcBorders>
              <w:left w:val="single" w:color="000000" w:sz="4" w:space="0"/>
              <w:right w:val="single" w:color="000000" w:sz="4" w:space="0"/>
            </w:tcBorders>
            <w:shd w:val="clear" w:color="auto" w:fill="auto"/>
            <w:vAlign w:val="center"/>
          </w:tcPr>
          <w:p w14:paraId="69A3D58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A4C0">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EA6E">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08DB7BA3">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ADB1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4BC7">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20B74">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内网边界防火墙</w:t>
            </w:r>
          </w:p>
        </w:tc>
        <w:tc>
          <w:tcPr>
            <w:tcW w:w="1984" w:type="dxa"/>
            <w:vMerge w:val="continue"/>
            <w:tcBorders>
              <w:left w:val="single" w:color="000000" w:sz="4" w:space="0"/>
              <w:right w:val="single" w:color="000000" w:sz="4" w:space="0"/>
            </w:tcBorders>
            <w:shd w:val="clear" w:color="auto" w:fill="auto"/>
            <w:vAlign w:val="center"/>
          </w:tcPr>
          <w:p w14:paraId="602EC04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E31C0">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425AB">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563045D7">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91EF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521BD">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62D4">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数据中心防火墙</w:t>
            </w:r>
          </w:p>
        </w:tc>
        <w:tc>
          <w:tcPr>
            <w:tcW w:w="1984" w:type="dxa"/>
            <w:vMerge w:val="continue"/>
            <w:tcBorders>
              <w:left w:val="single" w:color="000000" w:sz="4" w:space="0"/>
              <w:right w:val="single" w:color="000000" w:sz="4" w:space="0"/>
            </w:tcBorders>
            <w:shd w:val="clear" w:color="auto" w:fill="auto"/>
            <w:vAlign w:val="center"/>
          </w:tcPr>
          <w:p w14:paraId="28DCB3C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80B6">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49549">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42E74809">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7DA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6EF2">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B46C">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数据库审计</w:t>
            </w:r>
          </w:p>
        </w:tc>
        <w:tc>
          <w:tcPr>
            <w:tcW w:w="1984" w:type="dxa"/>
            <w:vMerge w:val="continue"/>
            <w:tcBorders>
              <w:left w:val="single" w:color="000000" w:sz="4" w:space="0"/>
              <w:right w:val="single" w:color="000000" w:sz="4" w:space="0"/>
            </w:tcBorders>
            <w:shd w:val="clear" w:color="auto" w:fill="auto"/>
            <w:vAlign w:val="center"/>
          </w:tcPr>
          <w:p w14:paraId="47615A2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69A2F">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850DD">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787" w:type="dxa"/>
            <w:vMerge w:val="continue"/>
            <w:tcBorders>
              <w:left w:val="single" w:color="000000" w:sz="4" w:space="0"/>
              <w:right w:val="single" w:color="000000" w:sz="4" w:space="0"/>
            </w:tcBorders>
            <w:shd w:val="clear" w:color="auto" w:fill="auto"/>
            <w:noWrap/>
            <w:vAlign w:val="center"/>
          </w:tcPr>
          <w:p w14:paraId="537A062C">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D668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7342">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652E5">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终端安全管理软件</w:t>
            </w:r>
          </w:p>
        </w:tc>
        <w:tc>
          <w:tcPr>
            <w:tcW w:w="1984" w:type="dxa"/>
            <w:vMerge w:val="continue"/>
            <w:tcBorders>
              <w:left w:val="single" w:color="000000" w:sz="4" w:space="0"/>
              <w:bottom w:val="single" w:color="000000" w:sz="4" w:space="0"/>
              <w:right w:val="single" w:color="000000" w:sz="4" w:space="0"/>
            </w:tcBorders>
            <w:shd w:val="clear" w:color="auto" w:fill="auto"/>
            <w:vAlign w:val="center"/>
          </w:tcPr>
          <w:p w14:paraId="5196962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9CF9D">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9270D">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87" w:type="dxa"/>
            <w:vMerge w:val="continue"/>
            <w:tcBorders>
              <w:left w:val="single" w:color="000000" w:sz="4" w:space="0"/>
              <w:bottom w:val="single" w:color="000000" w:sz="4" w:space="0"/>
              <w:right w:val="single" w:color="000000" w:sz="4" w:space="0"/>
            </w:tcBorders>
            <w:shd w:val="clear" w:color="auto" w:fill="auto"/>
            <w:noWrap/>
            <w:vAlign w:val="center"/>
          </w:tcPr>
          <w:p w14:paraId="2C579A7C">
            <w:pPr>
              <w:keepNext w:val="0"/>
              <w:keepLines w:val="0"/>
              <w:widowControl/>
              <w:suppressLineNumbers w:val="0"/>
              <w:snapToGrid w:val="0"/>
              <w:spacing w:after="0"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1B5F71F8">
      <w:pPr>
        <w:pStyle w:val="4"/>
        <w:numPr>
          <w:ilvl w:val="2"/>
          <w:numId w:val="0"/>
        </w:numPr>
        <w:bidi w:val="0"/>
        <w:ind w:leftChars="0"/>
        <w:rPr>
          <w:rFonts w:hint="eastAsia" w:ascii="宋体" w:hAnsi="宋体" w:eastAsia="宋体" w:cs="宋体"/>
          <w:sz w:val="24"/>
          <w:szCs w:val="24"/>
          <w:lang w:val="en-US" w:eastAsia="zh-CN"/>
        </w:rPr>
      </w:pPr>
    </w:p>
    <w:p w14:paraId="684CEE16">
      <w:pPr>
        <w:pStyle w:val="4"/>
        <w:numPr>
          <w:ilvl w:val="2"/>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w:t>
      </w:r>
      <w:r>
        <w:rPr>
          <w:rFonts w:hint="eastAsia" w:ascii="宋体" w:hAnsi="宋体" w:eastAsia="宋体" w:cs="宋体"/>
          <w:sz w:val="24"/>
          <w:szCs w:val="24"/>
          <w:lang w:val="en-US" w:eastAsia="zh-CN"/>
        </w:rPr>
        <w:t>技术规格要求</w:t>
      </w:r>
    </w:p>
    <w:p w14:paraId="239F9CC4">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2.2.1</w:t>
      </w:r>
      <w:r>
        <w:rPr>
          <w:rFonts w:hint="eastAsia" w:ascii="宋体" w:hAnsi="宋体" w:eastAsia="宋体" w:cs="宋体"/>
          <w:sz w:val="24"/>
          <w:szCs w:val="24"/>
          <w:lang w:val="en-US" w:eastAsia="zh-CN"/>
        </w:rPr>
        <w:t>接入交换机1</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5"/>
        <w:gridCol w:w="1103"/>
        <w:gridCol w:w="7929"/>
      </w:tblGrid>
      <w:tr w14:paraId="0C467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75" w:hRule="atLeast"/>
        </w:trPr>
        <w:tc>
          <w:tcPr>
            <w:tcW w:w="44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CB2ED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56" w:type="pct"/>
            <w:tcBorders>
              <w:top w:val="single" w:color="000000" w:sz="8" w:space="0"/>
              <w:left w:val="nil"/>
              <w:bottom w:val="single" w:color="000000" w:sz="8" w:space="0"/>
              <w:right w:val="single" w:color="000000" w:sz="8" w:space="0"/>
            </w:tcBorders>
            <w:shd w:val="clear" w:color="auto" w:fill="auto"/>
            <w:vAlign w:val="center"/>
          </w:tcPr>
          <w:p w14:paraId="3ACC484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96" w:type="pct"/>
            <w:tcBorders>
              <w:top w:val="single" w:color="000000" w:sz="8" w:space="0"/>
              <w:left w:val="nil"/>
              <w:bottom w:val="single" w:color="000000" w:sz="8" w:space="0"/>
              <w:right w:val="single" w:color="000000" w:sz="8" w:space="0"/>
            </w:tcBorders>
            <w:shd w:val="clear" w:color="auto" w:fill="auto"/>
            <w:vAlign w:val="center"/>
          </w:tcPr>
          <w:p w14:paraId="45D6FF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0ECAB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46" w:type="pct"/>
            <w:tcBorders>
              <w:top w:val="nil"/>
              <w:left w:val="single" w:color="000000" w:sz="8" w:space="0"/>
              <w:bottom w:val="single" w:color="000000" w:sz="8" w:space="0"/>
              <w:right w:val="single" w:color="000000" w:sz="8" w:space="0"/>
            </w:tcBorders>
            <w:shd w:val="clear" w:color="auto" w:fill="auto"/>
            <w:vAlign w:val="center"/>
          </w:tcPr>
          <w:p w14:paraId="541023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6" w:type="pct"/>
            <w:tcBorders>
              <w:top w:val="nil"/>
              <w:left w:val="nil"/>
              <w:bottom w:val="single" w:color="000000" w:sz="8" w:space="0"/>
              <w:right w:val="single" w:color="000000" w:sz="8" w:space="0"/>
            </w:tcBorders>
            <w:shd w:val="clear" w:color="auto" w:fill="auto"/>
            <w:vAlign w:val="center"/>
          </w:tcPr>
          <w:p w14:paraId="2E8C94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性能及规格要求</w:t>
            </w:r>
          </w:p>
        </w:tc>
        <w:tc>
          <w:tcPr>
            <w:tcW w:w="3996" w:type="pct"/>
            <w:tcBorders>
              <w:top w:val="nil"/>
              <w:left w:val="nil"/>
              <w:bottom w:val="single" w:color="000000" w:sz="8" w:space="0"/>
              <w:right w:val="single" w:color="000000" w:sz="8" w:space="0"/>
            </w:tcBorders>
            <w:shd w:val="clear" w:color="auto" w:fill="auto"/>
            <w:vAlign w:val="center"/>
          </w:tcPr>
          <w:p w14:paraId="16C633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交换容量≥670Gbps，包转发率≥170Mpps，支持≥24个千兆电口，≥4个SFP+光口（含2个万兆单模模块），五年质保服务。</w:t>
            </w:r>
          </w:p>
        </w:tc>
      </w:tr>
    </w:tbl>
    <w:p w14:paraId="0B397F06">
      <w:pPr>
        <w:rPr>
          <w:rFonts w:hint="eastAsia" w:ascii="宋体" w:hAnsi="宋体" w:eastAsia="宋体" w:cs="宋体"/>
          <w:sz w:val="24"/>
          <w:szCs w:val="24"/>
          <w:lang w:val="en-US" w:eastAsia="zh-CN"/>
        </w:rPr>
      </w:pPr>
    </w:p>
    <w:p w14:paraId="116AF906">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2.2.2</w:t>
      </w:r>
      <w:r>
        <w:rPr>
          <w:rFonts w:hint="eastAsia" w:ascii="宋体" w:hAnsi="宋体" w:eastAsia="宋体" w:cs="宋体"/>
          <w:sz w:val="24"/>
          <w:szCs w:val="24"/>
          <w:lang w:val="en-US" w:eastAsia="zh-CN"/>
        </w:rPr>
        <w:t>接入交换机2</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5"/>
        <w:gridCol w:w="1103"/>
        <w:gridCol w:w="7929"/>
      </w:tblGrid>
      <w:tr w14:paraId="3B0F6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75" w:hRule="atLeast"/>
        </w:trPr>
        <w:tc>
          <w:tcPr>
            <w:tcW w:w="44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A79A66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56" w:type="pct"/>
            <w:tcBorders>
              <w:top w:val="single" w:color="000000" w:sz="8" w:space="0"/>
              <w:left w:val="nil"/>
              <w:bottom w:val="single" w:color="000000" w:sz="8" w:space="0"/>
              <w:right w:val="single" w:color="000000" w:sz="8" w:space="0"/>
            </w:tcBorders>
            <w:shd w:val="clear" w:color="auto" w:fill="auto"/>
            <w:vAlign w:val="center"/>
          </w:tcPr>
          <w:p w14:paraId="0D8323E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96" w:type="pct"/>
            <w:tcBorders>
              <w:top w:val="single" w:color="000000" w:sz="8" w:space="0"/>
              <w:left w:val="nil"/>
              <w:bottom w:val="single" w:color="000000" w:sz="8" w:space="0"/>
              <w:right w:val="single" w:color="000000" w:sz="8" w:space="0"/>
            </w:tcBorders>
            <w:shd w:val="clear" w:color="auto" w:fill="auto"/>
            <w:vAlign w:val="center"/>
          </w:tcPr>
          <w:p w14:paraId="68BB394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58EBD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46" w:type="pct"/>
            <w:tcBorders>
              <w:top w:val="nil"/>
              <w:left w:val="single" w:color="000000" w:sz="8" w:space="0"/>
              <w:bottom w:val="single" w:color="000000" w:sz="8" w:space="0"/>
              <w:right w:val="single" w:color="000000" w:sz="8" w:space="0"/>
            </w:tcBorders>
            <w:shd w:val="clear" w:color="auto" w:fill="auto"/>
            <w:vAlign w:val="center"/>
          </w:tcPr>
          <w:p w14:paraId="4172F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6" w:type="pct"/>
            <w:tcBorders>
              <w:top w:val="nil"/>
              <w:left w:val="nil"/>
              <w:bottom w:val="single" w:color="000000" w:sz="8" w:space="0"/>
              <w:right w:val="single" w:color="000000" w:sz="8" w:space="0"/>
            </w:tcBorders>
            <w:shd w:val="clear" w:color="auto" w:fill="auto"/>
            <w:vAlign w:val="center"/>
          </w:tcPr>
          <w:p w14:paraId="1B1DF4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性能及规格要求</w:t>
            </w:r>
          </w:p>
        </w:tc>
        <w:tc>
          <w:tcPr>
            <w:tcW w:w="3996" w:type="pct"/>
            <w:tcBorders>
              <w:top w:val="nil"/>
              <w:left w:val="nil"/>
              <w:bottom w:val="single" w:color="000000" w:sz="8" w:space="0"/>
              <w:right w:val="single" w:color="000000" w:sz="8" w:space="0"/>
            </w:tcBorders>
            <w:shd w:val="clear" w:color="auto" w:fill="auto"/>
            <w:vAlign w:val="center"/>
          </w:tcPr>
          <w:p w14:paraId="1791EB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交换容量≥670Gbps，包转发率≥200Mpps，支持≥48个千兆电口，≥4个SFP+光口（含2个万兆单模模块），五年质保服务。</w:t>
            </w:r>
          </w:p>
        </w:tc>
      </w:tr>
    </w:tbl>
    <w:p w14:paraId="75233421">
      <w:pPr>
        <w:rPr>
          <w:rFonts w:hint="eastAsia" w:ascii="宋体" w:hAnsi="宋体" w:eastAsia="宋体" w:cs="宋体"/>
          <w:sz w:val="24"/>
          <w:szCs w:val="24"/>
          <w:lang w:val="en-US" w:eastAsia="zh-CN"/>
        </w:rPr>
      </w:pPr>
    </w:p>
    <w:p w14:paraId="19D6FAEE">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2.2.3</w:t>
      </w:r>
      <w:r>
        <w:rPr>
          <w:rFonts w:hint="eastAsia" w:ascii="宋体" w:hAnsi="宋体" w:eastAsia="宋体" w:cs="宋体"/>
          <w:sz w:val="24"/>
          <w:szCs w:val="24"/>
          <w:lang w:val="en-US" w:eastAsia="zh-CN"/>
        </w:rPr>
        <w:t>楼层汇聚交换机</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130"/>
        <w:gridCol w:w="7921"/>
      </w:tblGrid>
      <w:tr w14:paraId="17467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72EA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177F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B3FE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7FF42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09A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D1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性能及规格要求</w:t>
            </w: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8CB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交换容量≥4.8Tbps，包转发率≥2000Mpps；48个万兆光口（满配48个万兆单模模块），6个40G光口，风扇个数≥4个，电源≥2个，≥1根40G堆叠线缆；五年质保服务。</w:t>
            </w:r>
          </w:p>
        </w:tc>
      </w:tr>
      <w:tr w14:paraId="18A76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279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5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249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静态路由、RIP V1/2、RIPng、OSPF、OSPFv3、IS-IS、IS-ISv6、BGP、BGP4+、ECMP、路由策略，</w:t>
            </w:r>
            <w:r>
              <w:rPr>
                <w:rFonts w:hint="eastAsia" w:ascii="宋体" w:hAnsi="宋体" w:eastAsia="宋体" w:cs="宋体"/>
                <w:b/>
                <w:bCs/>
                <w:i w:val="0"/>
                <w:iCs w:val="0"/>
                <w:color w:val="000000"/>
                <w:kern w:val="0"/>
                <w:sz w:val="24"/>
                <w:szCs w:val="24"/>
                <w:u w:val="none"/>
                <w:lang w:val="en-US" w:eastAsia="zh-CN" w:bidi="ar"/>
              </w:rPr>
              <w:t>提供第三方测试报告截图证明；</w:t>
            </w:r>
          </w:p>
        </w:tc>
      </w:tr>
      <w:tr w14:paraId="69968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7B4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A284F">
            <w:pPr>
              <w:jc w:val="center"/>
              <w:rPr>
                <w:rFonts w:hint="eastAsia" w:ascii="宋体" w:hAnsi="宋体" w:eastAsia="宋体" w:cs="宋体"/>
                <w:i w:val="0"/>
                <w:iCs w:val="0"/>
                <w:color w:val="000000"/>
                <w:sz w:val="24"/>
                <w:szCs w:val="24"/>
                <w:u w:val="none"/>
              </w:rPr>
            </w:pP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85C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 802.1X 认证、MAC 认证和 Web Portal 认证；</w:t>
            </w:r>
          </w:p>
        </w:tc>
      </w:tr>
      <w:tr w14:paraId="2A9F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FE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969A">
            <w:pPr>
              <w:jc w:val="center"/>
              <w:rPr>
                <w:rFonts w:hint="eastAsia" w:ascii="宋体" w:hAnsi="宋体" w:eastAsia="宋体" w:cs="宋体"/>
                <w:i w:val="0"/>
                <w:iCs w:val="0"/>
                <w:color w:val="000000"/>
                <w:sz w:val="24"/>
                <w:szCs w:val="24"/>
                <w:u w:val="none"/>
              </w:rPr>
            </w:pP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BDB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 VXLAN 特性，支持集中式网关和分布式网关部署方式，支持 BGP-EVPN 协议实现 VXLAN 隧道动态建立；</w:t>
            </w:r>
          </w:p>
        </w:tc>
      </w:tr>
      <w:tr w14:paraId="0FBAB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00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E04E">
            <w:pPr>
              <w:jc w:val="center"/>
              <w:rPr>
                <w:rFonts w:hint="eastAsia" w:ascii="宋体" w:hAnsi="宋体" w:eastAsia="宋体" w:cs="宋体"/>
                <w:i w:val="0"/>
                <w:iCs w:val="0"/>
                <w:color w:val="000000"/>
                <w:sz w:val="24"/>
                <w:szCs w:val="24"/>
                <w:u w:val="none"/>
              </w:rPr>
            </w:pP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7ED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 Telemetry 技术；</w:t>
            </w:r>
          </w:p>
        </w:tc>
      </w:tr>
      <w:tr w14:paraId="5BE40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341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D992">
            <w:pPr>
              <w:jc w:val="center"/>
              <w:rPr>
                <w:rFonts w:hint="eastAsia" w:ascii="宋体" w:hAnsi="宋体" w:eastAsia="宋体" w:cs="宋体"/>
                <w:i w:val="0"/>
                <w:iCs w:val="0"/>
                <w:color w:val="000000"/>
                <w:sz w:val="24"/>
                <w:szCs w:val="24"/>
                <w:u w:val="none"/>
              </w:rPr>
            </w:pP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D33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支持堆叠，将多台支持堆叠特性的交换机组合在一起，从逻辑上组合成一台虚拟交换机；</w:t>
            </w:r>
          </w:p>
        </w:tc>
      </w:tr>
      <w:tr w14:paraId="4C9E5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193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E88D">
            <w:pPr>
              <w:jc w:val="center"/>
              <w:rPr>
                <w:rFonts w:hint="eastAsia" w:ascii="宋体" w:hAnsi="宋体" w:eastAsia="宋体" w:cs="宋体"/>
                <w:i w:val="0"/>
                <w:iCs w:val="0"/>
                <w:color w:val="000000"/>
                <w:sz w:val="24"/>
                <w:szCs w:val="24"/>
                <w:u w:val="none"/>
              </w:rPr>
            </w:pP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783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 SNMPv1/v2/v3、支持网管系统、支持 WEB 网管特性；</w:t>
            </w:r>
          </w:p>
        </w:tc>
      </w:tr>
      <w:tr w14:paraId="3106E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57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E5B0">
            <w:pPr>
              <w:jc w:val="center"/>
              <w:rPr>
                <w:rFonts w:hint="eastAsia" w:ascii="宋体" w:hAnsi="宋体" w:eastAsia="宋体" w:cs="宋体"/>
                <w:i w:val="0"/>
                <w:iCs w:val="0"/>
                <w:color w:val="000000"/>
                <w:sz w:val="24"/>
                <w:szCs w:val="24"/>
                <w:u w:val="none"/>
              </w:rPr>
            </w:pPr>
          </w:p>
        </w:tc>
        <w:tc>
          <w:tcPr>
            <w:tcW w:w="3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216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支持终端识别功能，终端防仿冒功能。</w:t>
            </w:r>
          </w:p>
        </w:tc>
      </w:tr>
    </w:tbl>
    <w:p w14:paraId="2D62AF70">
      <w:pPr>
        <w:rPr>
          <w:rFonts w:hint="eastAsia" w:ascii="宋体" w:hAnsi="宋体" w:eastAsia="宋体" w:cs="宋体"/>
          <w:sz w:val="24"/>
          <w:szCs w:val="24"/>
          <w:lang w:val="en-US" w:eastAsia="zh-CN"/>
        </w:rPr>
      </w:pPr>
    </w:p>
    <w:p w14:paraId="061A065C">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2.2.4</w:t>
      </w:r>
      <w:r>
        <w:rPr>
          <w:rFonts w:hint="eastAsia" w:ascii="宋体" w:hAnsi="宋体" w:eastAsia="宋体" w:cs="宋体"/>
          <w:sz w:val="24"/>
          <w:szCs w:val="24"/>
          <w:lang w:val="en-US" w:eastAsia="zh-CN"/>
        </w:rPr>
        <w:t>内网核心交换机</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101"/>
        <w:gridCol w:w="7935"/>
      </w:tblGrid>
      <w:tr w14:paraId="03B5B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A867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8A64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3DBF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7C1DE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6F3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861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性能及规格要求</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917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交换容量≥900 Tbps，包转发率≥230000Mpps；主控引擎与交换网板物理分离，配置：≥2个主控引擎、≥2块独立交换网板、冗余交流电源、≥1块48口千兆电口板卡、≥2块48口万兆光口板卡（含48个万兆多模、48个万兆单模模块），2根5m堆叠线缆；五年质保服务。</w:t>
            </w:r>
          </w:p>
        </w:tc>
      </w:tr>
      <w:tr w14:paraId="73697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42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392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BAE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支持横向虚拟化技术，将多台设备虚拟为一台，支持长距离集群。</w:t>
            </w:r>
          </w:p>
        </w:tc>
      </w:tr>
      <w:tr w14:paraId="329E4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76A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71E3">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D02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设备支持安全启动，提升系统安全性，防止交换机的主控、线卡、交换网板在启动阶段被入侵。</w:t>
            </w:r>
          </w:p>
        </w:tc>
      </w:tr>
      <w:tr w14:paraId="234AB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B29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D0BAD">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A57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支持VxLAN功能，支持VxLAN二层网关、三层网关，支持BGP EVPN，支持VxLAN Fabric 的自动化部。</w:t>
            </w:r>
          </w:p>
        </w:tc>
      </w:tr>
      <w:tr w14:paraId="0DFF8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C8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33C8E">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F99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支持整机MAC地址≥1M，ARP表项≥384000，IPv4路由转发表≥3M。</w:t>
            </w:r>
          </w:p>
        </w:tc>
      </w:tr>
      <w:tr w14:paraId="66B34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BA9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0E64D">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A3D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支持4K VLAN，支持1：1、N：1 VLAN mapping，支持端口VLAN，支持Voice VLAN。</w:t>
            </w:r>
          </w:p>
        </w:tc>
      </w:tr>
      <w:tr w14:paraId="5F4B8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4A4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7CA3">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236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支持静态路由、RIP、RIPng、OSPF、OSPFv3、BGP、BGP4+、ISIS、ISISv6 。</w:t>
            </w:r>
          </w:p>
        </w:tc>
      </w:tr>
      <w:tr w14:paraId="427A9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15B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C5BC">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E74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支持DHCP snooping binding table (DAI, IP source guard)，防止ARP攻击、DDOS攻击、中间人攻击。</w:t>
            </w:r>
          </w:p>
        </w:tc>
      </w:tr>
      <w:tr w14:paraId="3DE83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C57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ECC3">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E0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支持真实业务流的实时检测技术，实现对IP网络的精确丢包监控和快速故障定界能力。</w:t>
            </w:r>
          </w:p>
        </w:tc>
      </w:tr>
      <w:tr w14:paraId="1194C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9F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33F0B">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95D78">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具备维护便携性，可插拔模块（包含（主控、交换、业务板卡））均支持热插拔。</w:t>
            </w:r>
          </w:p>
        </w:tc>
      </w:tr>
    </w:tbl>
    <w:p w14:paraId="69DBE0CA">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2.2.5</w:t>
      </w:r>
      <w:r>
        <w:rPr>
          <w:rFonts w:hint="eastAsia" w:ascii="宋体" w:hAnsi="宋体" w:eastAsia="宋体" w:cs="宋体"/>
          <w:sz w:val="24"/>
          <w:szCs w:val="24"/>
          <w:lang w:val="en-US" w:eastAsia="zh-CN"/>
        </w:rPr>
        <w:t>上网行为管理</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120"/>
        <w:gridCol w:w="7936"/>
      </w:tblGrid>
      <w:tr w14:paraId="718AA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238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7E0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06D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1B1EF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B2D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A1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性能及规格要求</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D27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网络层吞吐量≥3.6Gb，应用层吞吐量≥450Mb，带宽性能≥300Mb，支持用户数≥1500，每秒新建连接数≥4000，最大并发连接数≥150000。规格：内存≥8G，硬盘容量≥480G SSD，接口：千兆电口≥6个、千兆光口≥4个。提供三年URL&amp;应用识别规则库升级，五年硬件质保。</w:t>
            </w:r>
          </w:p>
        </w:tc>
      </w:tr>
      <w:tr w14:paraId="4CF82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EDA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6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B0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780D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支持路由模式、单臂模式、网桥模式、旁路模式；</w:t>
            </w:r>
          </w:p>
        </w:tc>
      </w:tr>
      <w:tr w14:paraId="2C3A6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A54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AF8DF">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880E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支持用户名密码认证、IP/MAC认证、短信认证、二维码扫码认证、单点登录、第三方认证等多种认证方式；</w:t>
            </w:r>
          </w:p>
        </w:tc>
      </w:tr>
      <w:tr w14:paraId="33F48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CFC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4C4B8">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0FF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支持在设置流量策略后，根据整体线路或者某流量通道内的空闲情况，自动启用和停止使用流量控制策略，以提升带宽的高使用率；线路空闲值可自定义;</w:t>
            </w:r>
          </w:p>
        </w:tc>
      </w:tr>
      <w:tr w14:paraId="7D77A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D14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E2906">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8BF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支持根据IP、端口、协议等自定义应用规则；支持根据端口设定用户不允许访问的目标IP组提供的服务；支持根据不同的应用类型或具体的某种应用设置允许或拒绝;</w:t>
            </w:r>
          </w:p>
        </w:tc>
      </w:tr>
      <w:tr w14:paraId="1B58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E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4C03">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0BC1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通过论坛发帖审计，审计终端用户论坛发帖内容及附件;</w:t>
            </w:r>
          </w:p>
        </w:tc>
      </w:tr>
      <w:tr w14:paraId="657F6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1A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D762">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406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支持基于文件类型的安全策略，限制HTTP与FTP协议的上传与下载行为;</w:t>
            </w:r>
          </w:p>
        </w:tc>
      </w:tr>
      <w:tr w14:paraId="5043F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CB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61EF">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6A9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支持记录全部或者指定类别URL、网页标题、网页内容等信息，支持网页内容审计后的网页快照功能;</w:t>
            </w:r>
          </w:p>
        </w:tc>
      </w:tr>
      <w:tr w14:paraId="0940E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9A1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C63D">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FA72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支持根据源地址和目的地址过滤外发邮件，基于扩展名过滤含指定文件类型的邮件外发行为，根据附件大小、附件个数限制外发邮件，同时匹配三个以上关键字的邮件主题、正文和附件的邮件外发行为；</w:t>
            </w:r>
          </w:p>
        </w:tc>
      </w:tr>
      <w:tr w14:paraId="6E03F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BB6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0CB5">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998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支持对加密HTTPS、SMTP-SSL、SMTP的邮件进行识别；</w:t>
            </w:r>
          </w:p>
        </w:tc>
      </w:tr>
      <w:tr w14:paraId="0C1DB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E65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00929">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A11E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自动发现网络里面的终端，并获取IP、Mac、厂商、操作系统等信息，设备必须支持PC、移动设备、哑终端、专用设备的发现和型号识别：至少支持Windows、Linux、MAC、瘦客户机等PC；至少支持手机、平板等移动设备；</w:t>
            </w:r>
          </w:p>
        </w:tc>
      </w:tr>
      <w:tr w14:paraId="5E7EB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05D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304A9">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C7B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支持WEB/FTP/SMB类型业务的行为和内容审计，对上传/下载文件可选择只审计文件名或同时审计文件内容；</w:t>
            </w:r>
          </w:p>
        </w:tc>
      </w:tr>
      <w:tr w14:paraId="3A7FB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35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9E9D7">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FD9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支持内置、外置日志中心；支持分级配置管理员日志查看权限； </w:t>
            </w:r>
            <w:r>
              <w:rPr>
                <w:rStyle w:val="372"/>
                <w:rFonts w:hint="eastAsia" w:ascii="宋体" w:hAnsi="宋体" w:eastAsia="宋体" w:cs="宋体"/>
                <w:sz w:val="24"/>
                <w:szCs w:val="24"/>
                <w:lang w:val="en-US" w:eastAsia="zh-CN" w:bidi="ar"/>
              </w:rPr>
              <w:t xml:space="preserve">       </w:t>
            </w:r>
          </w:p>
        </w:tc>
      </w:tr>
      <w:tr w14:paraId="4783F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D2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6CAF0">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590C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支持与医院现有互联网防火墙（AF-1000-L2200）实现认证联动，可以转发用户认证信息到防火墙，实现单点登录；</w:t>
            </w:r>
            <w:r>
              <w:rPr>
                <w:rFonts w:hint="eastAsia" w:ascii="宋体" w:hAnsi="宋体" w:eastAsia="宋体" w:cs="宋体"/>
                <w:b/>
                <w:bCs/>
                <w:i w:val="0"/>
                <w:iCs w:val="0"/>
                <w:color w:val="000000"/>
                <w:kern w:val="0"/>
                <w:sz w:val="24"/>
                <w:szCs w:val="24"/>
                <w:u w:val="none"/>
                <w:lang w:val="en-US" w:eastAsia="zh-CN" w:bidi="ar"/>
              </w:rPr>
              <w:t>（提供所投上网行为管理和医院现有互联网防火墙功能截图，加盖公章）</w:t>
            </w:r>
          </w:p>
        </w:tc>
      </w:tr>
      <w:tr w14:paraId="16AEE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69D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A18C">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BF5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支持与医院现有防病毒aES（系统版本为6.0.2）实现联动，当检测到aES终端未安装产品时，禁止上网并提示需要安装aES终端软件；</w:t>
            </w:r>
            <w:r>
              <w:rPr>
                <w:rFonts w:hint="eastAsia" w:ascii="宋体" w:hAnsi="宋体" w:eastAsia="宋体" w:cs="宋体"/>
                <w:b/>
                <w:bCs/>
                <w:i w:val="0"/>
                <w:iCs w:val="0"/>
                <w:color w:val="000000"/>
                <w:kern w:val="0"/>
                <w:sz w:val="24"/>
                <w:szCs w:val="24"/>
                <w:u w:val="none"/>
                <w:lang w:val="en-US" w:eastAsia="zh-CN" w:bidi="ar"/>
              </w:rPr>
              <w:t>（提供所投上网行为管理和医院现有防病毒aES功能截图，加盖公章）</w:t>
            </w:r>
          </w:p>
        </w:tc>
      </w:tr>
      <w:tr w14:paraId="061B7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C24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C02C">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F2CCB3">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内置应用识别规则库，支持超过9000种以上应用规则数、支持超过9000种以上的应用；支持根据标签选择应用，并支持给每个应用自定义标签；支持根据标签选择一类应用做控制；</w:t>
            </w:r>
          </w:p>
        </w:tc>
      </w:tr>
      <w:tr w14:paraId="3457B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93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F42D">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892E30">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检测到终端为windows时，支持SSL中间人解密；</w:t>
            </w:r>
          </w:p>
        </w:tc>
      </w:tr>
      <w:tr w14:paraId="7ABA8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34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2A18">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8ABED2">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检测到终端为windows时，支持SSL加密网页的内容检查，可对SSL加密网页进行解密并识别；</w:t>
            </w:r>
          </w:p>
        </w:tc>
      </w:tr>
    </w:tbl>
    <w:p w14:paraId="44EBDBE4">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2.2.6</w:t>
      </w:r>
      <w:r>
        <w:rPr>
          <w:rFonts w:hint="eastAsia" w:ascii="宋体" w:hAnsi="宋体" w:eastAsia="宋体" w:cs="宋体"/>
          <w:sz w:val="24"/>
          <w:szCs w:val="24"/>
          <w:lang w:val="en-US" w:eastAsia="zh-CN"/>
        </w:rPr>
        <w:t>网闸</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1"/>
        <w:gridCol w:w="1163"/>
        <w:gridCol w:w="7933"/>
      </w:tblGrid>
      <w:tr w14:paraId="0C068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DF30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5E20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2B79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7246D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88F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55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性能及规格要求</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D27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网络吞吐量：≥2Gbps，系统整体时延：&lt;0.1ns；</w:t>
            </w:r>
            <w:r>
              <w:rPr>
                <w:rFonts w:hint="eastAsia" w:ascii="宋体" w:hAnsi="宋体" w:eastAsia="宋体" w:cs="宋体"/>
                <w:i w:val="0"/>
                <w:iCs w:val="0"/>
                <w:color w:val="auto"/>
                <w:kern w:val="0"/>
                <w:sz w:val="24"/>
                <w:szCs w:val="24"/>
                <w:u w:val="none"/>
                <w:lang w:val="en-US" w:eastAsia="zh-CN" w:bidi="ar"/>
              </w:rPr>
              <w:t>最大并发连接数≥800000。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内闸≥6个10/100/1000Base-T(RJ45)接口，≥4光，≥2个SFP+万兆接口（含万兆模模块），内存≥16G，硬盘≥966GSSD，≥1个板液晶面；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外闸≥6个10/100/1000Base-T(RJ45)接口，≥4光，≥2个SFP+万兆接口（含万兆模模块），内存≥16G，硬盘≥966G SSD，≥1个液晶面板；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冗余电源；五年硬件质保服务。</w:t>
            </w:r>
          </w:p>
        </w:tc>
      </w:tr>
      <w:tr w14:paraId="677E3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953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F8A9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556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配置文件以加密的方式导入导出，可对通道及系统、文件同步、数据库同步进行单独配置导入导出；不依赖于整个系统配置，支持通道配置单独导出excel文件格式备份；支持与FTP服务器联动，定时自动备份平台前后置设备配置；</w:t>
            </w:r>
          </w:p>
        </w:tc>
      </w:tr>
      <w:tr w14:paraId="251A5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13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90179">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007D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对多种主流数据库（SQL、Oracle、DB2、MySQL、GBase，PostgreSQL，Kingbase、Sybase、达梦等）数据库系统的安全访问；支持表命令控制，包含CREATE、SELECT、UPDATE、DELETE、ALTER、DROP；支持登录用户的黑白名单过滤；支持数据库的命令控制，包含CREATE、ALTER、DROP；支持各种实例访问；</w:t>
            </w:r>
          </w:p>
        </w:tc>
      </w:tr>
      <w:tr w14:paraId="42A65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66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DBBF4">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C0E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数据库同步支持灵活的数据库冲突处理策略，可对冲突情况下，实行手动解决、软件自主判断、忽略三种处理手段；软件自主判断的依据支持为主键、被改变的数据、旧值、时间戳、版本五种；</w:t>
            </w:r>
          </w:p>
        </w:tc>
      </w:tr>
      <w:tr w14:paraId="433F0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C95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1F942">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7B32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音视频图像</w:t>
            </w:r>
            <w:r>
              <w:rPr>
                <w:rStyle w:val="377"/>
                <w:rFonts w:hint="eastAsia" w:ascii="宋体" w:hAnsi="宋体" w:eastAsia="宋体" w:cs="宋体"/>
                <w:b w:val="0"/>
                <w:bCs w:val="0"/>
                <w:sz w:val="24"/>
                <w:szCs w:val="24"/>
                <w:lang w:val="en-US" w:eastAsia="zh-CN" w:bidi="ar"/>
              </w:rPr>
              <w:t>支持海康、大华、华为、华三、公安一所、天地伟业、天视达、宇视、科达、数码视讯、藏愚、合众、汉邦、东方电子、中星等视频厂商；支持H.263、H.264、H265、MP4、AVI、MOV、WMV、FLV、MKV、ASF、3GP、M-JPEG、MPEG-2、MPEG-4等格式码流接入；支持签名验签，视频业务可以通过匹配用户的认证文件，进行签名验签校验，保证视频设备信令和码流的合法性，提高SIP视频业务的安全性；支持对设备ID、设备国标编号检查，视频业务可以对摄像头的设备ID或设备国标编号进行检查校验，防止非法设备查看；</w:t>
            </w:r>
          </w:p>
        </w:tc>
      </w:tr>
      <w:tr w14:paraId="334D1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BA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14643">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11B3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自带数据分析和网络诊断工具，包含traceroute、ss、抓包等十余种诊断手段；支持日志详细查询、备份和回滚机制；</w:t>
            </w:r>
          </w:p>
        </w:tc>
      </w:tr>
      <w:tr w14:paraId="26DF4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72E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D40B9">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981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可根据异常条件进行报警，如数据库或文件传输存在病毒、系统连接数过高、HA或网卡异常等条件；</w:t>
            </w:r>
          </w:p>
        </w:tc>
      </w:tr>
      <w:tr w14:paraId="7076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CE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3ADE2">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49F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HTTP策略过滤包含HTTP_URL、HTTP响应内容类型、HTTP响应内容敏感词、HTTP请求方法、HTTP请求内容正则过滤、HTTP请求Content-Length最大值限制、HTTP响应Content-Length最大值限制、HTTP自定义头部域检查、HTTP方法/URL正则和请求体过滤。</w:t>
            </w:r>
          </w:p>
        </w:tc>
      </w:tr>
      <w:tr w14:paraId="0B27B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AF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C3413">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93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支持基于WebService进行数据交换的业务应用，并可对SOAP+XML和REST+JSON两种业务交换进行细粒度的安全控制；</w:t>
            </w:r>
          </w:p>
        </w:tc>
      </w:tr>
      <w:tr w14:paraId="2C904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12E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EAB14">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16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支持对格式类型进行特征过滤，并允许用户通过样本文件自定义格式类型；支持对特定文件内容进行过滤；</w:t>
            </w:r>
          </w:p>
        </w:tc>
      </w:tr>
      <w:tr w14:paraId="54525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AFF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2B1E5">
            <w:pPr>
              <w:jc w:val="center"/>
              <w:rPr>
                <w:rFonts w:hint="eastAsia" w:ascii="宋体" w:hAnsi="宋体" w:eastAsia="宋体" w:cs="宋体"/>
                <w:i w:val="0"/>
                <w:iCs w:val="0"/>
                <w:color w:val="000000"/>
                <w:sz w:val="24"/>
                <w:szCs w:val="24"/>
                <w:u w:val="none"/>
              </w:rPr>
            </w:pPr>
          </w:p>
        </w:tc>
        <w:tc>
          <w:tcPr>
            <w:tcW w:w="39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60E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双机热备场景下，支持主机向备机单次同步或自动同步配置；</w:t>
            </w:r>
          </w:p>
        </w:tc>
      </w:tr>
    </w:tbl>
    <w:p w14:paraId="5CB261F1">
      <w:pPr>
        <w:rPr>
          <w:rFonts w:hint="eastAsia" w:ascii="宋体" w:hAnsi="宋体" w:eastAsia="宋体" w:cs="宋体"/>
          <w:sz w:val="24"/>
          <w:szCs w:val="24"/>
          <w:lang w:val="en-US" w:eastAsia="zh-CN"/>
        </w:rPr>
      </w:pPr>
    </w:p>
    <w:p w14:paraId="4C92055A">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2.2.7</w:t>
      </w:r>
      <w:r>
        <w:rPr>
          <w:rFonts w:hint="eastAsia" w:ascii="宋体" w:hAnsi="宋体" w:eastAsia="宋体" w:cs="宋体"/>
          <w:sz w:val="24"/>
          <w:szCs w:val="24"/>
          <w:lang w:val="en-US" w:eastAsia="zh-CN"/>
        </w:rPr>
        <w:t>内网边界防火墙</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6"/>
        <w:gridCol w:w="1178"/>
        <w:gridCol w:w="7853"/>
      </w:tblGrid>
      <w:tr w14:paraId="09D9C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661F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4E5E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C254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3ADED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45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F6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BE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网络层吞吐量：≥10G，应用层吞吐量：≥5G，防病毒吞吐量：≥1G，IPS吞吐量：≥1G，全威胁吞吐量：≥800M；≥8千兆电口+≥2万兆光口SFP+;含IPS、防病毒规则库五年升级、五年硬件原厂质保服务。</w:t>
            </w:r>
          </w:p>
        </w:tc>
      </w:tr>
      <w:tr w14:paraId="11386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4A1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A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583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产品支持路由模式、透明模式、虚拟网线模式、旁路镜像模式等多种部署方式。</w:t>
            </w:r>
          </w:p>
        </w:tc>
      </w:tr>
      <w:tr w14:paraId="54AB5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4E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D78A">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D06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产品支持基于网络区域、网络对象、MAC地址、服务、应用、域名等维度进行访问控制策略设置。</w:t>
            </w:r>
          </w:p>
        </w:tc>
      </w:tr>
      <w:tr w14:paraId="207C5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190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51ED">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B58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产品支持勒索病毒检测与防御功能。</w:t>
            </w:r>
          </w:p>
        </w:tc>
      </w:tr>
      <w:tr w14:paraId="6FEC1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21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6D9D">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255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产品支持对压缩病毒文件进行检测和拦截，压缩层数支持15层及以上。</w:t>
            </w:r>
          </w:p>
        </w:tc>
      </w:tr>
      <w:tr w14:paraId="6B40A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E7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B7AE">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E13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产品支持https解密功能，支持TCP代理和SSL代理。</w:t>
            </w:r>
          </w:p>
        </w:tc>
      </w:tr>
      <w:tr w14:paraId="56FF2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16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2C97">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C9F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产品支持云端未知威胁主动探测技术，实现5min内未知威胁情报全网设备下发。</w:t>
            </w:r>
          </w:p>
        </w:tc>
      </w:tr>
      <w:tr w14:paraId="7F211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9EF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BD27B">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3CD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产品支持杀毒白名单设置，可以例外排除特定MD5和URL的病毒文件，针对特定文件不进行查杀。</w:t>
            </w:r>
          </w:p>
        </w:tc>
      </w:tr>
      <w:tr w14:paraId="62EF9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4D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3201">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F3B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产品应具备独立的勒索病毒防护模块，非普通防病毒功能，支持对特定的业务进行勒索风险自动化评估，并依据评估结果自动生成防护策略。</w:t>
            </w:r>
          </w:p>
        </w:tc>
      </w:tr>
      <w:tr w14:paraId="25C5C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EA6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659B">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3EF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产品内置不低于16000种漏洞规则，同时支持在控制台界面通过漏洞ID、漏洞名称、危险等级、漏洞CVE标识、漏洞描述等条件查询漏洞特征信息，支持用户自定义IPS规则。</w:t>
            </w:r>
          </w:p>
        </w:tc>
      </w:tr>
      <w:tr w14:paraId="5379D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7D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510C">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5FC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产品支持基于IMAP、FTP、RDP、VNC、SSH、TELNET、ORACLE、MYSQL、MSSQL等应用协议进行深度检测与防护。</w:t>
            </w:r>
          </w:p>
        </w:tc>
      </w:tr>
      <w:tr w14:paraId="0835F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1F3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9A9C">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541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产品支持策略生命周期管理功能，支持对安全策略修改的时间、原因、变更类型进行统一管理，便于策略的运维与管理。</w:t>
            </w:r>
          </w:p>
        </w:tc>
      </w:tr>
      <w:tr w14:paraId="07282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D019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13</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04A7">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A09F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支持对接医院现有安全运营服务平台，可以上报安全日志到安全运营服务平台，以及从平台可以跳转运维防火墙进行管理、运维，同时支持结合安全运营服务平台联动封锁域名。</w:t>
            </w:r>
            <w:r>
              <w:rPr>
                <w:rFonts w:hint="eastAsia" w:ascii="宋体" w:hAnsi="宋体" w:eastAsia="宋体" w:cs="宋体"/>
                <w:b/>
                <w:bCs/>
                <w:i w:val="0"/>
                <w:iCs w:val="0"/>
                <w:color w:val="000000"/>
                <w:kern w:val="0"/>
                <w:sz w:val="24"/>
                <w:szCs w:val="24"/>
                <w:u w:val="none"/>
                <w:lang w:val="en-US" w:eastAsia="zh-CN" w:bidi="ar"/>
              </w:rPr>
              <w:t>（提供防火墙和安全运营服务平台功能截图证明并加盖公章）</w:t>
            </w:r>
          </w:p>
        </w:tc>
      </w:tr>
      <w:tr w14:paraId="4EDBC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AC615">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en-US" w:bidi="ar-SA"/>
              </w:rPr>
            </w:pPr>
            <w:r>
              <w:rPr>
                <w:rFonts w:hint="eastAsia" w:ascii="宋体" w:hAnsi="宋体" w:eastAsia="宋体" w:cs="宋体"/>
                <w:i w:val="0"/>
                <w:iCs w:val="0"/>
                <w:color w:val="000000"/>
                <w:kern w:val="0"/>
                <w:sz w:val="24"/>
                <w:szCs w:val="24"/>
                <w:u w:val="none"/>
                <w:lang w:val="en-US" w:eastAsia="zh-CN" w:bidi="ar"/>
              </w:rPr>
              <w:t>14</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4F2C">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F2B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产品支持云威胁情报网关技术。</w:t>
            </w:r>
          </w:p>
        </w:tc>
      </w:tr>
      <w:tr w14:paraId="1F6BB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5D133">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en-US" w:bidi="ar-SA"/>
              </w:rPr>
            </w:pPr>
            <w:r>
              <w:rPr>
                <w:rFonts w:hint="eastAsia" w:ascii="宋体" w:hAnsi="宋体" w:eastAsia="宋体" w:cs="宋体"/>
                <w:i w:val="0"/>
                <w:iCs w:val="0"/>
                <w:color w:val="000000"/>
                <w:kern w:val="0"/>
                <w:sz w:val="24"/>
                <w:szCs w:val="24"/>
                <w:u w:val="none"/>
                <w:lang w:val="en-US" w:eastAsia="zh-CN" w:bidi="ar"/>
              </w:rPr>
              <w:t>15</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15E0">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FC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为提高我院运维人员处置效率，产品支持与医院现有“内网终端防病毒aES（系统版本为6.0.2）”联动管理，可在防火墙产品完成终端安全策略设置。</w:t>
            </w:r>
          </w:p>
        </w:tc>
      </w:tr>
      <w:tr w14:paraId="3B2AD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1E35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16</w:t>
            </w: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8182">
            <w:pPr>
              <w:jc w:val="center"/>
              <w:rPr>
                <w:rFonts w:hint="eastAsia" w:ascii="宋体" w:hAnsi="宋体" w:eastAsia="宋体" w:cs="宋体"/>
                <w:i w:val="0"/>
                <w:iCs w:val="0"/>
                <w:color w:val="000000"/>
                <w:sz w:val="24"/>
                <w:szCs w:val="24"/>
                <w:u w:val="none"/>
              </w:rPr>
            </w:pPr>
          </w:p>
        </w:tc>
        <w:tc>
          <w:tcPr>
            <w:tcW w:w="395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90024C">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当主机故障时，双机切换时不丢包；</w:t>
            </w:r>
          </w:p>
        </w:tc>
      </w:tr>
    </w:tbl>
    <w:p w14:paraId="0F997B3E">
      <w:pPr>
        <w:rPr>
          <w:rFonts w:hint="eastAsia" w:ascii="宋体" w:hAnsi="宋体" w:eastAsia="宋体" w:cs="宋体"/>
          <w:sz w:val="24"/>
          <w:szCs w:val="24"/>
          <w:lang w:val="en-US" w:eastAsia="zh-CN"/>
        </w:rPr>
      </w:pPr>
    </w:p>
    <w:p w14:paraId="61E59AAF">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2.2.8</w:t>
      </w:r>
      <w:r>
        <w:rPr>
          <w:rFonts w:hint="eastAsia" w:ascii="宋体" w:hAnsi="宋体" w:eastAsia="宋体" w:cs="宋体"/>
          <w:sz w:val="24"/>
          <w:szCs w:val="24"/>
          <w:lang w:val="en-US" w:eastAsia="zh-CN"/>
        </w:rPr>
        <w:t>数据中心防火墙</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180"/>
        <w:gridCol w:w="7852"/>
      </w:tblGrid>
      <w:tr w14:paraId="3D643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C44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302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B3C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13A87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7D9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59C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0C1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网络层吞吐量：≥35G，应用层吞吐量：≥20G，防病毒吞吐量：≥3.5G，IPS吞吐量：≥3G，全威胁吞吐量：≥2G；内存≥64GB，硬盘≥4TB ；接口：≥8个千兆电口，≥8个千兆光口，≥6个万兆光口，冗余电源；含IPS、防病毒规则库五年升级、五年硬件原厂质保服务。</w:t>
            </w:r>
          </w:p>
        </w:tc>
      </w:tr>
      <w:tr w14:paraId="0BD0E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032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9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7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top"/>
          </w:tcPr>
          <w:p w14:paraId="78A85BE7">
            <w:pPr>
              <w:keepNext w:val="0"/>
              <w:keepLines w:val="0"/>
              <w:widowControl/>
              <w:suppressLineNumbers w:val="0"/>
              <w:jc w:val="both"/>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支持路由模式、交换模式、旁路模式、虚拟网线工作模式；支持双机热备；支持主备模式和主主模式；支持同步配置、运行状态等；支持配置抢占模式。</w:t>
            </w:r>
          </w:p>
        </w:tc>
      </w:tr>
      <w:tr w14:paraId="681AA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75D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E62C9">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ECC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支持IPv4/IPv6双栈协议的源地址转换、目的地址转换、双向NAT、NAT64等地址转换。</w:t>
            </w:r>
          </w:p>
        </w:tc>
      </w:tr>
      <w:tr w14:paraId="333C8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99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085A6">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B10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支持静态路由、动态路由、ISP路由；支持基于入接口、源地址、目的地址、服务的策略路由。</w:t>
            </w:r>
          </w:p>
        </w:tc>
      </w:tr>
      <w:tr w14:paraId="64001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0D7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BF07">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303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一体化安全策略：可基于安全域、MAC地址、IP地址、服务、时间、用户、应用等属性，配置防病毒、入侵防御、内容过滤、URL过滤、文件过滤、Web防护、SSL解密、弱密码防护、防暴力破解、会话老化时间等高级访问控制功能。</w:t>
            </w:r>
          </w:p>
        </w:tc>
      </w:tr>
      <w:tr w14:paraId="00927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A04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A7226">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31A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HTTP、FTP、SMTP、POP3、IMAP协议中传输的文件进行检测，可以配置每个协议的处理动作（告警/阻断），支持查杀邮件正文/附件、网页及下载文件中包含的病毒；支持检测ZIP类型的压缩文件，支持自定义压缩文件大小限制以及解压缩层数。</w:t>
            </w:r>
          </w:p>
        </w:tc>
      </w:tr>
      <w:tr w14:paraId="01526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37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6B20E">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C4A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系统定义最大超过6000种主流应用，支持识别多种主流应用，支持应用自定义并对自定义的应用进行分组，支持根据标签选择应用，支持自定义应用的导入和导出。</w:t>
            </w:r>
          </w:p>
        </w:tc>
      </w:tr>
      <w:tr w14:paraId="3C9AB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3F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B432D">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D84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内置预定义URL分类库，支持60大类网址、URL白名单、URL黑名单、恶意URL例外；支持根据URL分类执行防护动作（告警/阻断）。</w:t>
            </w:r>
          </w:p>
        </w:tc>
      </w:tr>
      <w:tr w14:paraId="343C4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7F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F8A71">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D5B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系统定义内置不少于10万条资产指纹库；</w:t>
            </w:r>
          </w:p>
        </w:tc>
      </w:tr>
      <w:tr w14:paraId="228B6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7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0BE15">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62FF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系统预定义超过9000条主流攻击规则；</w:t>
            </w:r>
          </w:p>
        </w:tc>
      </w:tr>
      <w:tr w14:paraId="7E047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CC2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F12F">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B66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内置黑名单容量规格至少20万条；</w:t>
            </w:r>
          </w:p>
        </w:tc>
      </w:tr>
      <w:tr w14:paraId="191B1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ED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ED1B2">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DF8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防火墙在遇到较大流量时，有相应的流量处置机制，用来保障网络稳定性；</w:t>
            </w:r>
          </w:p>
        </w:tc>
      </w:tr>
      <w:tr w14:paraId="7E6E1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636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84D3">
            <w:pPr>
              <w:jc w:val="center"/>
              <w:rPr>
                <w:rFonts w:hint="eastAsia" w:ascii="宋体" w:hAnsi="宋体" w:eastAsia="宋体" w:cs="宋体"/>
                <w:i w:val="0"/>
                <w:iCs w:val="0"/>
                <w:color w:val="000000"/>
                <w:sz w:val="24"/>
                <w:szCs w:val="24"/>
                <w:u w:val="none"/>
              </w:rPr>
            </w:pPr>
          </w:p>
        </w:tc>
        <w:tc>
          <w:tcPr>
            <w:tcW w:w="3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EE1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提供对控制策略、上网认证策略、带宽策略、策略路由、源NAT等策略的策略分析功能；</w:t>
            </w:r>
          </w:p>
        </w:tc>
      </w:tr>
    </w:tbl>
    <w:p w14:paraId="6BA73B1C">
      <w:pPr>
        <w:rPr>
          <w:rFonts w:hint="eastAsia" w:ascii="宋体" w:hAnsi="宋体" w:eastAsia="宋体" w:cs="宋体"/>
          <w:sz w:val="24"/>
          <w:szCs w:val="24"/>
          <w:lang w:val="en-US" w:eastAsia="zh-CN"/>
        </w:rPr>
      </w:pPr>
    </w:p>
    <w:p w14:paraId="7C50CDD5">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2.2.9</w:t>
      </w:r>
      <w:r>
        <w:rPr>
          <w:rFonts w:hint="eastAsia" w:ascii="宋体" w:hAnsi="宋体" w:eastAsia="宋体" w:cs="宋体"/>
          <w:sz w:val="24"/>
          <w:szCs w:val="24"/>
          <w:lang w:val="en-US" w:eastAsia="zh-CN"/>
        </w:rPr>
        <w:t>数据库审计</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184"/>
        <w:gridCol w:w="7872"/>
      </w:tblGrid>
      <w:tr w14:paraId="101A3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C512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0044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9C7B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0A57E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F1D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E4E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F1A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最大纯数据库流量：≥400Mb/s，数据库实例个数：无限制；硬盘≥4TB SATA，电源：冗余电源，接口：≥8千兆电口+2万兆光口SFP+。五年原厂质保服务。</w:t>
            </w:r>
          </w:p>
        </w:tc>
      </w:tr>
      <w:tr w14:paraId="0582E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E6F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EC2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06FD37">
            <w:pPr>
              <w:keepNext w:val="0"/>
              <w:keepLines w:val="0"/>
              <w:widowControl/>
              <w:suppressLineNumbers w:val="0"/>
              <w:jc w:val="both"/>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支持同时端口镜像物理旁路部署和agent部署，不改变现有网络结构；</w:t>
            </w:r>
          </w:p>
        </w:tc>
      </w:tr>
      <w:tr w14:paraId="3D64F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ED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CEA32">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0E591F">
            <w:pPr>
              <w:keepNext w:val="0"/>
              <w:keepLines w:val="0"/>
              <w:widowControl/>
              <w:suppressLineNumbers w:val="0"/>
              <w:jc w:val="both"/>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支持角色自定义，可对各功能模块进行细粒度赋权。</w:t>
            </w:r>
          </w:p>
        </w:tc>
      </w:tr>
      <w:tr w14:paraId="7B5D6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930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F1EB">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09018C0">
            <w:pPr>
              <w:keepNext w:val="0"/>
              <w:keepLines w:val="0"/>
              <w:widowControl/>
              <w:suppressLineNumbers w:val="0"/>
              <w:jc w:val="both"/>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支持oracle、SQLserver、MySql、DB2、达梦、人大金仓、informix、sybase、postgreSQL、MariaDB、神通、瀚高、TBase、HBase、Redis、MongoDB、Hana、GaussDB等数据库审计。支持资源的导入/导出。</w:t>
            </w:r>
          </w:p>
        </w:tc>
      </w:tr>
      <w:tr w14:paraId="71C84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33C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920E5">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DDB2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支持对数据库概况、初始化参数、连接监控、权限、版本进行实时监控。</w:t>
            </w:r>
          </w:p>
        </w:tc>
      </w:tr>
      <w:tr w14:paraId="48E1D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C63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0926B">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348890">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支持对数据库下行数据的审计，可对响应结果进行影响行数设置。</w:t>
            </w:r>
          </w:p>
        </w:tc>
      </w:tr>
      <w:tr w14:paraId="72D75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CDF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9AB8B">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2BBFC2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在数据库服务器或应用服务器上安装agent采集器，可以修改采集缓存条目数和监听网卡。支持监控agent在数据库服务器cpu和内存使用情况。支持设置cpu在目标服务器的降级阀值，停止阀值。支持agent无流量进行告警。</w:t>
            </w:r>
          </w:p>
        </w:tc>
      </w:tr>
      <w:tr w14:paraId="63140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A81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6820">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DE74AC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内置 SQL 注入特征规则库，特征 库存储常见的 SQL 注入行为特征 规则</w:t>
            </w:r>
          </w:p>
        </w:tc>
      </w:tr>
      <w:tr w14:paraId="037CC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A35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7209B">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9610E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支持对运维代理模式下的SQL语句进行管控，设置运维命令的阻断和运维会话的中断。</w:t>
            </w:r>
          </w:p>
        </w:tc>
      </w:tr>
      <w:tr w14:paraId="617B0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EE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BBD8">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0A00AA9">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支持会话条件检索，检索条件：时间、数据库IP、客户端IP、数据库端口、应用程序、数据库用户名、数据库名等。</w:t>
            </w:r>
          </w:p>
        </w:tc>
      </w:tr>
      <w:tr w14:paraId="65E32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76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CB48">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307F10">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支持应用系统审计日志条件检索，检索条件：客户端IP、快捷时间、自定义时间；</w:t>
            </w:r>
          </w:p>
        </w:tc>
      </w:tr>
      <w:tr w14:paraId="7E60F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EAC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6103">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245C1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支持数据库审计与管控系统自身操作日志的查询。</w:t>
            </w:r>
          </w:p>
        </w:tc>
      </w:tr>
      <w:tr w14:paraId="23C2A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251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2705">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25F416">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支持根据策略进行命令阻断和会话中断。</w:t>
            </w:r>
          </w:p>
        </w:tc>
      </w:tr>
      <w:tr w14:paraId="40579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8E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AD84F">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38E7C1A">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支持报告定时任务，可设置报告类型、执行时间、执行周期，文件类型，定时生成报表并发送邮件。</w:t>
            </w:r>
          </w:p>
        </w:tc>
      </w:tr>
      <w:tr w14:paraId="33F66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CB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B19B">
            <w:pPr>
              <w:jc w:val="center"/>
              <w:rPr>
                <w:rFonts w:hint="eastAsia" w:ascii="宋体" w:hAnsi="宋体" w:eastAsia="宋体" w:cs="宋体"/>
                <w:i w:val="0"/>
                <w:iCs w:val="0"/>
                <w:color w:val="000000"/>
                <w:sz w:val="24"/>
                <w:szCs w:val="24"/>
                <w:u w:val="none"/>
              </w:rPr>
            </w:pPr>
          </w:p>
        </w:tc>
        <w:tc>
          <w:tcPr>
            <w:tcW w:w="396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1969C17">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支持所有系统日志下载功能，可分类型进行下载。日志类型分为：系统日志、WEB日志、采集进程日志、Mysql日志、磁盘清理日志。</w:t>
            </w:r>
          </w:p>
        </w:tc>
      </w:tr>
    </w:tbl>
    <w:p w14:paraId="14308C09">
      <w:pPr>
        <w:rPr>
          <w:rFonts w:hint="eastAsia" w:ascii="宋体" w:hAnsi="宋体" w:eastAsia="宋体" w:cs="宋体"/>
          <w:sz w:val="24"/>
          <w:szCs w:val="24"/>
          <w:lang w:val="en-US" w:eastAsia="zh-CN"/>
        </w:rPr>
      </w:pPr>
    </w:p>
    <w:p w14:paraId="6DD52515">
      <w:pPr>
        <w:pStyle w:val="5"/>
        <w:numPr>
          <w:ilvl w:val="3"/>
          <w:numId w:val="0"/>
        </w:numPr>
        <w:bidi w:val="0"/>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2.2.10</w:t>
      </w:r>
      <w:r>
        <w:rPr>
          <w:rFonts w:hint="eastAsia" w:ascii="宋体" w:hAnsi="宋体" w:eastAsia="宋体" w:cs="宋体"/>
          <w:sz w:val="24"/>
          <w:szCs w:val="24"/>
          <w:lang w:val="en-US" w:eastAsia="zh-CN"/>
        </w:rPr>
        <w:t>终端安全管理软件</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163"/>
        <w:gridCol w:w="7893"/>
      </w:tblGrid>
      <w:tr w14:paraId="6F299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DFA9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672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21A2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6425E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CB9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CFB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14C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配置≥6个1000MBASE-T接口，每秒事务数（TPS)：≥2000（次/秒），最大吞吐量：≥1000Mbps，</w:t>
            </w:r>
            <w:r>
              <w:rPr>
                <w:rFonts w:hint="eastAsia" w:ascii="宋体" w:hAnsi="宋体" w:eastAsia="宋体" w:cs="宋体"/>
                <w:i w:val="0"/>
                <w:iCs w:val="0"/>
                <w:color w:val="auto"/>
                <w:kern w:val="0"/>
                <w:sz w:val="24"/>
                <w:szCs w:val="24"/>
                <w:u w:val="none"/>
                <w:lang w:val="en-US" w:eastAsia="zh-CN" w:bidi="ar"/>
              </w:rPr>
              <w:t>最大并发连接数≥2000（条）</w:t>
            </w:r>
            <w:r>
              <w:rPr>
                <w:rFonts w:hint="eastAsia" w:ascii="宋体" w:hAnsi="宋体" w:eastAsia="宋体" w:cs="宋体"/>
                <w:i w:val="0"/>
                <w:iCs w:val="0"/>
                <w:color w:val="000000"/>
                <w:kern w:val="0"/>
                <w:sz w:val="24"/>
                <w:szCs w:val="24"/>
                <w:u w:val="none"/>
                <w:lang w:val="en-US" w:eastAsia="zh-CN" w:bidi="ar"/>
              </w:rPr>
              <w:t>；提供≥1100点终端管理授权，含水印功能。三年质保服务。</w:t>
            </w:r>
          </w:p>
        </w:tc>
      </w:tr>
      <w:tr w14:paraId="50E2A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B6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32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3CF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支持统一管理计算机背景图片，包括，桌面背景图片、屏幕保护背景图片、锁屏壁纸、开机背景图片等</w:t>
            </w:r>
          </w:p>
        </w:tc>
      </w:tr>
      <w:tr w14:paraId="33685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D8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5AF6">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A1D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终端支持windows、MacOS、国产化系统需包括麒麟、统信等；</w:t>
            </w:r>
          </w:p>
        </w:tc>
      </w:tr>
      <w:tr w14:paraId="6158D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40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D740E">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4EA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支持客户端安全模式下运行，客户端功能依然生效，并提供安全模式客户端启动的独立配置项；</w:t>
            </w:r>
          </w:p>
        </w:tc>
      </w:tr>
      <w:tr w14:paraId="225E5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EC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D1327">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96F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客户端支持自定义配置，包括但不限于是否显示客户端图标、自定义客户端图标显示名称、客户端安装包名称是否加密、是否启用万能卸载码等</w:t>
            </w:r>
          </w:p>
        </w:tc>
      </w:tr>
      <w:tr w14:paraId="09D14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78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5B2B2">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586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支持基于终端行为对终端进行智能分组，实现基于终端业务属性进行分类，包括安装的软件、本地IP、内存大小、硬盘大小、出厂日期、故障次数、故障项目、操作系统、注册信息等。</w:t>
            </w:r>
          </w:p>
        </w:tc>
      </w:tr>
      <w:tr w14:paraId="3AE6B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7D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03472">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120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具备采集硬件资产信息功能，能够获取硬件资产信息，并对资产变动进行预警；具备采集软件资产信息功能，能够获得计算机软件安装信息，并支持对软件的远程卸载</w:t>
            </w:r>
          </w:p>
        </w:tc>
      </w:tr>
      <w:tr w14:paraId="464DF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92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5E54">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83A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备远程管理功能，管理员可通过管理控制台和客户端方式进行远程控制，支持远程查看、控制、文件传输、重启等；远程管理功能，需要支持windows、国产化不同设备间互相远程；管理员支持限制远程控制的权限，包括是否允许强制查看、控制、是否允许文件传输等；</w:t>
            </w:r>
          </w:p>
        </w:tc>
      </w:tr>
      <w:tr w14:paraId="2DD4F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3CB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79397">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D34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实时监测终端IP地址、MAC地址、DNS配置等相关网络信息，支持对应信息的实时绑定，当IP或MAC发生改变时能够强制恢复至修改前。网卡绑定后，管理员可以授权部分用户修改IP地址，单必须为用户提供独立的IP配置菜单入口；</w:t>
            </w:r>
          </w:p>
        </w:tc>
      </w:tr>
      <w:tr w14:paraId="687CE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2AD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CF6E">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1FE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支持网卡绑定后，管理员可以授权部分用户修改IP地址，单必须为用户提供独立的IP配置菜单入口；</w:t>
            </w:r>
          </w:p>
        </w:tc>
      </w:tr>
      <w:tr w14:paraId="774F5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2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AF6B">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84E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提供文件分发，支持可执行程序、MSI安装包或者文档数据文件自动下发与安装；</w:t>
            </w:r>
          </w:p>
        </w:tc>
      </w:tr>
      <w:tr w14:paraId="25549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A1B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A3557">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D3D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终端安全基线检查，包括对计算机名称、软件名单、系统服务、系统共享等进行检查，并针对检查项设置安检分值，基于分值决定违规处理措施，处理包括告警、断网、锁屏、重启、关机等；支持对终端弱口令的检测，提供密码字典，支持弱密码字典的导入导出功能，可以实现自定义添加口令进行检查，同时支持冗余账户禁用，弱口令账户设置过期等修复方法；</w:t>
            </w:r>
          </w:p>
        </w:tc>
      </w:tr>
      <w:tr w14:paraId="32ADC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862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B0E4">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C2E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支持桌面水印、打印水印、窗口水印、屏幕水印、文件水印和软件水印等功能；</w:t>
            </w:r>
          </w:p>
        </w:tc>
      </w:tr>
      <w:tr w14:paraId="17F06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A3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2212">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536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支持在Windows、国产化操作系统中实现屏幕水印功能，全屏展示机器名、IP、MAC、日期、计算机账户等内容；</w:t>
            </w:r>
          </w:p>
        </w:tc>
      </w:tr>
      <w:tr w14:paraId="2C6EF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3D1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1EE9">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3C92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支持文档水印，打印文档上显示机器名、IP、MAC、日期，可以针对水印的稀疏进行设置；</w:t>
            </w:r>
          </w:p>
        </w:tc>
      </w:tr>
      <w:tr w14:paraId="3EDFA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820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8EE58">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C1A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支持矢量水印技术，可以将水印信息编码为矢量点阵水印；</w:t>
            </w:r>
          </w:p>
        </w:tc>
      </w:tr>
      <w:tr w14:paraId="01D5B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4F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DFA65">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81B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支持基于进程、窗口等方式触发水印</w:t>
            </w:r>
          </w:p>
        </w:tc>
      </w:tr>
      <w:tr w14:paraId="2FAA6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B5A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872BB">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3C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支持对外设接口的控制，启用或禁用软驱、光驱、手机/平板接入、蓝牙设备U口、打印机、Model、串口、并口、1394火线口、红外接口等外部设备；</w:t>
            </w:r>
          </w:p>
        </w:tc>
      </w:tr>
      <w:tr w14:paraId="5C17E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714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749D4">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A04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支持对U盘进行注册管理，注册U盘可接入内网使用，U盘支持绑定到指定部门、终端、用户，内网中仅绑定的终端上能使用该U盘，未注册U盘将无法在客户端上使用，实现“外盘外用” ；</w:t>
            </w:r>
          </w:p>
        </w:tc>
      </w:tr>
      <w:tr w14:paraId="08D07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9B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F9BE">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9CA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支持对windows、国产操作系统、MacOS等终端设备是否存在违规外联上网行为进行检查，对于存在的违规外联行为,给予相应处理，包括断网、重启、关机、提示信息、截屏、锁屏、修复代理等处理动作；</w:t>
            </w:r>
          </w:p>
        </w:tc>
      </w:tr>
      <w:tr w14:paraId="64D3B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E5D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E6F24">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D93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支持在发现违规外联上网行为后，可以自动配置执行处理动作的时间，可配置时间范围在1分钟-24小时之间；</w:t>
            </w:r>
          </w:p>
        </w:tc>
      </w:tr>
      <w:tr w14:paraId="547E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3A6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C9E9">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2FC13F">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支持设备开关机统计，并支持提供统计列表，统计一定时间内的未关机列表，为基础项不得分；</w:t>
            </w:r>
          </w:p>
        </w:tc>
      </w:tr>
      <w:tr w14:paraId="748AD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93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F74A">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4B755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提供运维工作台工具，管理员可通过运维工作台对终端进行基础管理，为基础项不得分；</w:t>
            </w:r>
          </w:p>
        </w:tc>
      </w:tr>
      <w:tr w14:paraId="6D262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71F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48F6">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51884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支持终端故障记录、统计功能，为基础项不得分；</w:t>
            </w:r>
          </w:p>
        </w:tc>
      </w:tr>
      <w:tr w14:paraId="16810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8F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78B9E">
            <w:pPr>
              <w:jc w:val="center"/>
              <w:rPr>
                <w:rFonts w:hint="eastAsia" w:ascii="宋体" w:hAnsi="宋体" w:eastAsia="宋体" w:cs="宋体"/>
                <w:i w:val="0"/>
                <w:iCs w:val="0"/>
                <w:color w:val="000000"/>
                <w:sz w:val="24"/>
                <w:szCs w:val="24"/>
                <w:u w:val="none"/>
              </w:rPr>
            </w:pPr>
          </w:p>
        </w:tc>
        <w:tc>
          <w:tcPr>
            <w:tcW w:w="39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8AE592">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支持终端节能管理；</w:t>
            </w:r>
          </w:p>
        </w:tc>
      </w:tr>
    </w:tbl>
    <w:p w14:paraId="5CBF9190">
      <w:pPr>
        <w:pStyle w:val="202"/>
        <w:spacing w:line="440" w:lineRule="exact"/>
        <w:rPr>
          <w:rFonts w:hint="eastAsia" w:ascii="宋体" w:hAnsi="宋体" w:cs="宋体"/>
          <w:bCs/>
          <w:color w:val="auto"/>
          <w:sz w:val="24"/>
          <w:szCs w:val="24"/>
          <w:highlight w:val="none"/>
          <w:lang w:val="en-US" w:eastAsia="zh-CN"/>
        </w:rPr>
      </w:pPr>
    </w:p>
    <w:p w14:paraId="39619BEF">
      <w:pPr>
        <w:spacing w:line="360" w:lineRule="auto"/>
        <w:jc w:val="center"/>
        <w:rPr>
          <w:rFonts w:hint="eastAsia" w:ascii="黑体" w:hAnsi="黑体" w:eastAsia="黑体"/>
          <w:i w:val="0"/>
          <w:iCs w:val="0"/>
          <w:color w:val="auto"/>
          <w:sz w:val="24"/>
          <w:szCs w:val="24"/>
          <w:highlight w:val="none"/>
        </w:rPr>
      </w:pPr>
    </w:p>
    <w:p w14:paraId="2112F8A3">
      <w:pPr>
        <w:spacing w:line="360" w:lineRule="auto"/>
        <w:jc w:val="center"/>
        <w:rPr>
          <w:rFonts w:ascii="宋体" w:hAnsi="宋体"/>
          <w:bCs/>
          <w:i w:val="0"/>
          <w:iCs w:val="0"/>
          <w:color w:val="auto"/>
          <w:sz w:val="24"/>
          <w:szCs w:val="24"/>
          <w:highlight w:val="none"/>
        </w:rPr>
      </w:pPr>
      <w:r>
        <w:rPr>
          <w:rFonts w:hint="eastAsia" w:ascii="黑体" w:hAnsi="黑体" w:eastAsia="黑体"/>
          <w:i w:val="0"/>
          <w:iCs w:val="0"/>
          <w:color w:val="auto"/>
          <w:sz w:val="24"/>
          <w:szCs w:val="24"/>
          <w:highlight w:val="none"/>
        </w:rPr>
        <w:t>第二部分  有关说明</w:t>
      </w:r>
    </w:p>
    <w:p w14:paraId="2C8FCB08">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（一）说明：</w:t>
      </w:r>
    </w:p>
    <w:p w14:paraId="45773A40">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w:t>
      </w:r>
      <w:r>
        <w:rPr>
          <w:rFonts w:hint="eastAsia" w:ascii="宋体" w:hAnsi="宋体" w:eastAsia="宋体" w:cs="宋体"/>
          <w:color w:val="auto"/>
          <w:sz w:val="24"/>
          <w:szCs w:val="24"/>
          <w:highlight w:val="none"/>
          <w:lang w:val="en-US" w:eastAsia="zh-CN"/>
        </w:rPr>
        <w:t>硬件产品</w:t>
      </w:r>
      <w:r>
        <w:rPr>
          <w:rFonts w:hint="eastAsia" w:ascii="宋体" w:hAnsi="宋体" w:eastAsia="宋体" w:cs="宋体"/>
          <w:color w:val="auto"/>
          <w:sz w:val="24"/>
          <w:szCs w:val="24"/>
          <w:highlight w:val="none"/>
        </w:rPr>
        <w:t>必须为原厂全新产品，并符合相关的质量检测标准及具有合法手续的产品，不得使用库存时间超过6个月的产品或部件。</w:t>
      </w:r>
    </w:p>
    <w:p w14:paraId="4A504138">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2、投标人应按采购人提供的标的物清单以及相关技术资料，根据现行市场价格并考虑项目实施过程中的风险因素，综合报价。</w:t>
      </w:r>
    </w:p>
    <w:p w14:paraId="3FAF704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、投标总报价一次报定，包括：</w:t>
      </w:r>
    </w:p>
    <w:p w14:paraId="51F5734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.1设备价格(包括全套设备、配套项目及软件、随设备应提交的备品备件和专用工具的价格以及资料费用)；</w:t>
      </w:r>
    </w:p>
    <w:p w14:paraId="50A7A88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.2各投标人应根据技术规范对所提供的标的物清单进行核实，如发现与提供的标的物清单不符或者标的物清单中有遗漏的，应在投标澄清时以书面形式向 采购人提出，如投标人未予核实或未能核实出与本招标文件提供的标的物清单不符，则应按提供的标的物清单进行报价，同时应承担在中标后不得更新或增添设备的风险(除非增添的设备是免费的),并确保实现招标文件所规定的全部使用功能。</w:t>
      </w:r>
    </w:p>
    <w:p w14:paraId="3720D167">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.3投标人负有确保所供设备质量达到设计要求不可推卸的责任，供货范围包括设备主机及正常运行须配套的全部附件、质保期内备品备件及调试所需全部 辅材。</w:t>
      </w:r>
    </w:p>
    <w:p w14:paraId="4D6156BB">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.4供货范围还包括清单中虽未列入，但项目实施时必须的设备附件、材料，投标人均应纳入投标设备清单，货款计入投标总价，投资人不再承担因投标人漏报而增加的费用。</w:t>
      </w:r>
    </w:p>
    <w:p w14:paraId="170EC467">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.5包装、运输、装卸、现场保管费、保险费(指设备运抵现场所发生的费用）；</w:t>
      </w:r>
    </w:p>
    <w:p w14:paraId="05B41450">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投标人须负责设备的安装、调试、常规操作及维修的培训至业主满意为止，该工作包含在投标报价内。</w:t>
      </w:r>
    </w:p>
    <w:p w14:paraId="6A662897">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p>
    <w:p w14:paraId="6A358EC3">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、投标人必须承诺</w:t>
      </w:r>
      <w:r>
        <w:rPr>
          <w:rFonts w:hint="eastAsia" w:ascii="宋体" w:hAnsi="宋体" w:eastAsia="宋体" w:cs="宋体"/>
          <w:color w:val="auto"/>
          <w:sz w:val="24"/>
          <w:szCs w:val="24"/>
          <w:highlight w:val="none"/>
          <w:lang w:eastAsia="zh-CN"/>
        </w:rPr>
        <w:t>，所供产品和服务符合</w:t>
      </w:r>
      <w:r>
        <w:rPr>
          <w:rFonts w:hint="eastAsia" w:ascii="宋体" w:hAnsi="宋体" w:eastAsia="宋体" w:cs="宋体"/>
          <w:color w:val="auto"/>
          <w:sz w:val="24"/>
          <w:szCs w:val="24"/>
          <w:highlight w:val="none"/>
        </w:rPr>
        <w:t>招标文件中提出的全部技术规格与要求，如果其中某些条款不响应时，应在文件中逐条列出，未列出的视同响应。</w:t>
      </w:r>
    </w:p>
    <w:p w14:paraId="19BBB93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、投标人负责进行设备安装调试，并提供项目所在地维修机构情况。</w:t>
      </w:r>
    </w:p>
    <w:p w14:paraId="7CF42F7D">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、技术服务要求：</w:t>
      </w:r>
    </w:p>
    <w:p w14:paraId="711DE3FB">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.1.设备到货后应立即派员开箱安装、调试。</w:t>
      </w:r>
    </w:p>
    <w:p w14:paraId="5F05257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.2.投标方应提供必备的技术资料。</w:t>
      </w:r>
    </w:p>
    <w:p w14:paraId="512D1BA5">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、投标人必须承诺招标文件中提出的全部技术规格与要求；如果以其中某些条款不响应时，应在文件中逐条列出，未列出的视同响应。</w:t>
      </w:r>
    </w:p>
    <w:p w14:paraId="4B44B4C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、投标文件以中文资料为准。</w:t>
      </w:r>
    </w:p>
    <w:p w14:paraId="7C4AB25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、通过中国海关报关验放进入中国境内且产自中国境外的产品不在本项目的报价范围。</w:t>
      </w:r>
    </w:p>
    <w:p w14:paraId="21F73102">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2148AC0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(二)验收：</w:t>
      </w:r>
    </w:p>
    <w:p w14:paraId="105FE1C1">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1、本项目为运行手续齐备的交钥匙工程，投标人须负责本项目设备运行可能产生但未列入清单的一切费用；</w:t>
      </w:r>
    </w:p>
    <w:p w14:paraId="49750D03">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2、设备到达采购人现场前，应提前7天通知采购人做好接收准备，设备到达现场后由采购人会同有关单位和人员根据清单进行现场质量检验和验收；</w:t>
      </w:r>
    </w:p>
    <w:p w14:paraId="761A144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3、验收标准：根据中国政府颁布的相关国家标准和行业标准的规定；根据招标文件、中标单位的投标文件、双方签订的合同文件及其附件；由采购方及相关部门到场进行验收通过。</w:t>
      </w:r>
    </w:p>
    <w:p w14:paraId="4AC4CC92">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4、验收期限自标的物安装、调试完成之日起，试运行</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个月内。特殊情况需延长的，双方应特别约定。</w:t>
      </w:r>
    </w:p>
    <w:p w14:paraId="66AC138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(三)知识产权：</w:t>
      </w:r>
    </w:p>
    <w:p w14:paraId="4A63A9F2">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p>
    <w:p w14:paraId="29FDDCA3">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(四)质量保证：</w:t>
      </w:r>
    </w:p>
    <w:p w14:paraId="74440DA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40825AD5">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7947E63F">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3、若货物验收时产品质量不能满足要求，采购单位有权要求对标的物进行更换或退货，同时有权提出索赔，所产生的一切费用(含所有检验费用)由中标单位承担。</w:t>
      </w:r>
    </w:p>
    <w:p w14:paraId="71644CA3">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(五)售后服务：</w:t>
      </w:r>
    </w:p>
    <w:p w14:paraId="30A2CB5D">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采购方的需求及时到货，中标单位需负责包括设备、配套设备材料及辅配件的供货、安装、调试、售后服务、技术培训、验收合格等交付使用前的一切费用。除非项目需求有变动，否则采购单位不再向中标单位支付任何费用。</w:t>
      </w:r>
    </w:p>
    <w:p w14:paraId="7728689C">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2、质保期：</w:t>
      </w:r>
      <w:r>
        <w:rPr>
          <w:rFonts w:hint="eastAsia" w:ascii="宋体" w:hAnsi="宋体" w:eastAsia="宋体" w:cs="宋体"/>
          <w:bCs/>
          <w:color w:val="auto"/>
          <w:sz w:val="24"/>
          <w:szCs w:val="24"/>
          <w:highlight w:val="none"/>
        </w:rPr>
        <w:t>自</w:t>
      </w:r>
      <w:r>
        <w:rPr>
          <w:rFonts w:hint="eastAsia" w:ascii="宋体" w:hAnsi="宋体" w:eastAsia="宋体" w:cs="宋体"/>
          <w:bCs/>
          <w:color w:val="auto"/>
          <w:sz w:val="24"/>
          <w:szCs w:val="24"/>
          <w:highlight w:val="none"/>
          <w:lang w:val="en-US" w:eastAsia="zh-CN"/>
        </w:rPr>
        <w:t>验收合格</w:t>
      </w:r>
      <w:r>
        <w:rPr>
          <w:rFonts w:hint="eastAsia" w:ascii="宋体" w:hAnsi="宋体" w:eastAsia="宋体" w:cs="宋体"/>
          <w:bCs/>
          <w:color w:val="auto"/>
          <w:sz w:val="24"/>
          <w:szCs w:val="24"/>
          <w:highlight w:val="none"/>
        </w:rPr>
        <w:t>之日起软件3年，硬件5年。维保期内，供应商需保证7*24小时的服务响应，响应时间不得低于如下标准：接到医院方的通知后1小时内必须做出明确的响应和安排；需提供现场服务的，服务团队须在2小时内达到故障现场；4小时内做出故障诊断报告，常规故障8小时内必须解决</w:t>
      </w:r>
      <w:r>
        <w:rPr>
          <w:rFonts w:hint="eastAsia" w:ascii="宋体" w:hAnsi="宋体" w:eastAsia="宋体" w:cs="宋体"/>
          <w:color w:val="auto"/>
          <w:sz w:val="24"/>
          <w:szCs w:val="24"/>
          <w:highlight w:val="none"/>
        </w:rPr>
        <w:t>。</w:t>
      </w:r>
    </w:p>
    <w:p w14:paraId="575F5FAC">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3、此项目所有软硬件产品授权最终用户为“无锡市惠山区人民医院”</w:t>
      </w:r>
      <w:r>
        <w:rPr>
          <w:rFonts w:hint="eastAsia" w:ascii="宋体" w:hAnsi="宋体" w:eastAsia="宋体" w:cs="宋体"/>
          <w:color w:val="auto"/>
          <w:sz w:val="24"/>
          <w:szCs w:val="24"/>
          <w:highlight w:val="none"/>
          <w:lang w:eastAsia="zh-CN"/>
        </w:rPr>
        <w:t>。</w:t>
      </w:r>
    </w:p>
    <w:p w14:paraId="792DFAEB">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投标时提供承诺函，</w:t>
      </w:r>
      <w:r>
        <w:rPr>
          <w:rFonts w:hint="eastAsia" w:ascii="宋体" w:hAnsi="宋体" w:eastAsia="宋体" w:cs="宋体"/>
          <w:color w:val="auto"/>
          <w:sz w:val="24"/>
          <w:szCs w:val="24"/>
          <w:highlight w:val="none"/>
        </w:rPr>
        <w:t>承诺中标后提供原厂针对本次项目所有产品质保服务承诺函原件。（注：中标公示后签订合同前3个工作日内须提供原厂针对本次项目所有产品质保服务承诺函原件，中标人未按规定时间提供授权视为主动放弃中标资格）</w:t>
      </w:r>
    </w:p>
    <w:p w14:paraId="662E9A8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(六)交货时间及地点：</w:t>
      </w:r>
    </w:p>
    <w:p w14:paraId="1012A6BC">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交货时间</w:t>
      </w:r>
      <w:r>
        <w:rPr>
          <w:rFonts w:hint="eastAsia" w:ascii="宋体" w:hAnsi="宋体" w:eastAsia="宋体" w:cs="宋体"/>
          <w:bCs/>
          <w:color w:val="auto"/>
          <w:sz w:val="24"/>
          <w:szCs w:val="24"/>
          <w:highlight w:val="none"/>
        </w:rPr>
        <w:t>：</w:t>
      </w:r>
      <w:bookmarkStart w:id="139" w:name="_GoBack"/>
      <w:bookmarkEnd w:id="139"/>
      <w:r>
        <w:rPr>
          <w:rFonts w:hint="eastAsia" w:ascii="宋体" w:hAnsi="宋体" w:eastAsia="宋体" w:cs="宋体"/>
          <w:bCs/>
          <w:color w:val="auto"/>
          <w:sz w:val="24"/>
          <w:szCs w:val="24"/>
          <w:highlight w:val="none"/>
          <w:lang w:eastAsia="zh-CN"/>
        </w:rPr>
        <w:t>合同签订生效且收到预付款后3个月内完成整体交付；其中合同签订生效且收到预付款后1个月内软硬件产品全部到达履约地点，产品到货后2个月内完成安装调试工作。项目整体稳定运行3个月后可进行验收。</w:t>
      </w:r>
    </w:p>
    <w:p w14:paraId="3ECBCCE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、交货及安装地点：采购人指定地点。</w:t>
      </w:r>
    </w:p>
    <w:p w14:paraId="0C2D496B">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付款相关：</w:t>
      </w:r>
    </w:p>
    <w:p w14:paraId="002556FD">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合同签订生效后且提供全额发票后30个工作日内支付合同金额的40%，项目实施完毕后，验收确认后30个工作日内，支付合同金额的30%，质保期满后30个工作日内，支付</w:t>
      </w:r>
      <w:r>
        <w:rPr>
          <w:rFonts w:hint="eastAsia" w:ascii="宋体" w:hAnsi="宋体" w:eastAsia="宋体" w:cs="宋体"/>
          <w:bCs/>
          <w:color w:val="auto"/>
          <w:sz w:val="24"/>
          <w:szCs w:val="24"/>
          <w:highlight w:val="none"/>
          <w:lang w:val="en-US" w:eastAsia="zh-CN"/>
        </w:rPr>
        <w:t>完</w:t>
      </w:r>
      <w:r>
        <w:rPr>
          <w:rFonts w:hint="eastAsia" w:ascii="宋体" w:hAnsi="宋体" w:eastAsia="宋体" w:cs="宋体"/>
          <w:bCs/>
          <w:color w:val="auto"/>
          <w:sz w:val="24"/>
          <w:szCs w:val="24"/>
          <w:highlight w:val="none"/>
        </w:rPr>
        <w:t>合同金额的30%。</w:t>
      </w:r>
    </w:p>
    <w:p w14:paraId="6082DA08">
      <w:pPr>
        <w:spacing w:line="360" w:lineRule="auto"/>
        <w:ind w:firstLine="600"/>
        <w:jc w:val="center"/>
        <w:rPr>
          <w:rFonts w:hint="eastAsia" w:ascii="黑体" w:hAnsi="黑体" w:eastAsia="黑体" w:cs="Times New Roman"/>
          <w:i w:val="0"/>
          <w:iCs w:val="0"/>
          <w:color w:val="auto"/>
          <w:sz w:val="24"/>
          <w:szCs w:val="24"/>
          <w:highlight w:val="none"/>
        </w:rPr>
      </w:pPr>
      <w:r>
        <w:rPr>
          <w:rFonts w:hint="eastAsia" w:ascii="黑体" w:hAnsi="黑体" w:eastAsia="黑体" w:cs="Times New Roman"/>
          <w:i w:val="0"/>
          <w:iCs w:val="0"/>
          <w:color w:val="auto"/>
          <w:sz w:val="24"/>
          <w:szCs w:val="24"/>
          <w:highlight w:val="none"/>
        </w:rPr>
        <w:t>第三部分  政府采购政策（包括但不限于下列具体政策要求）</w:t>
      </w:r>
    </w:p>
    <w:p w14:paraId="256BED04">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1.</w:t>
      </w:r>
      <w:r>
        <w:rPr>
          <w:rFonts w:hint="eastAsia" w:ascii="宋体"/>
          <w:bCs/>
          <w:i w:val="0"/>
          <w:iCs w:val="0"/>
          <w:color w:val="auto"/>
          <w:sz w:val="24"/>
          <w:szCs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F8A344D">
      <w:pPr>
        <w:spacing w:line="360" w:lineRule="auto"/>
        <w:ind w:firstLine="480"/>
        <w:rPr>
          <w:color w:val="auto"/>
          <w:sz w:val="24"/>
          <w:szCs w:val="24"/>
          <w:highlight w:val="none"/>
        </w:rPr>
      </w:pPr>
      <w:r>
        <w:rPr>
          <w:rFonts w:hint="eastAsia"/>
          <w:color w:val="auto"/>
          <w:sz w:val="24"/>
          <w:szCs w:val="24"/>
          <w:highlight w:val="none"/>
        </w:rPr>
        <w:t>包装必须与运输方式相适应，包装方式的确定由中标单位负责；由于不适当的包装而造成货物在运输过程中有任何损坏由中标单位负责。</w:t>
      </w:r>
    </w:p>
    <w:p w14:paraId="5EA6A251">
      <w:pPr>
        <w:spacing w:line="360" w:lineRule="auto"/>
        <w:ind w:firstLine="480"/>
        <w:rPr>
          <w:color w:val="auto"/>
          <w:sz w:val="24"/>
          <w:szCs w:val="24"/>
          <w:highlight w:val="none"/>
        </w:rPr>
      </w:pPr>
      <w:r>
        <w:rPr>
          <w:rFonts w:hint="eastAsia"/>
          <w:color w:val="auto"/>
          <w:sz w:val="24"/>
          <w:szCs w:val="24"/>
          <w:highlight w:val="none"/>
        </w:rPr>
        <w:t>包装应足以承受整个过程中的运输、转运、装卸、储存等，充分考虑到运输途中的各种情况（如暴露于恶劣气候等）和无锡地区的气候特点。</w:t>
      </w:r>
    </w:p>
    <w:p w14:paraId="4E6FC92B">
      <w:pPr>
        <w:spacing w:line="360" w:lineRule="auto"/>
        <w:ind w:firstLine="480"/>
        <w:rPr>
          <w:rFonts w:hint="eastAsia" w:ascii="宋体" w:hAnsi="Times New Roman" w:eastAsia="宋体" w:cs="Times New Roman"/>
          <w:bCs/>
          <w:i w:val="0"/>
          <w:iCs w:val="0"/>
          <w:color w:val="auto"/>
          <w:sz w:val="24"/>
          <w:szCs w:val="24"/>
          <w:highlight w:val="none"/>
          <w:lang w:val="en-US" w:eastAsia="zh-CN" w:bidi="ar-SA"/>
        </w:rPr>
      </w:pPr>
      <w:r>
        <w:rPr>
          <w:rFonts w:hint="eastAsia"/>
          <w:color w:val="auto"/>
          <w:sz w:val="24"/>
          <w:szCs w:val="24"/>
          <w:highlight w:val="none"/>
        </w:rPr>
        <w:t>包装费、运费、保险费及其他相关费用应在产品总价中包括。凡因包装或标志不当导致的货物损坏或丢失，或因此引起的事故，均应乙方承担全部责任和由此发生的相关费用。</w:t>
      </w:r>
    </w:p>
    <w:p w14:paraId="033D77F6">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2.</w:t>
      </w:r>
      <w:r>
        <w:rPr>
          <w:rFonts w:hint="eastAsia"/>
          <w:i w:val="0"/>
          <w:iCs w:val="0"/>
          <w:color w:val="auto"/>
          <w:sz w:val="24"/>
          <w:szCs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59BF964">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3.</w:t>
      </w:r>
      <w:r>
        <w:rPr>
          <w:rFonts w:hint="eastAsia" w:ascii="宋体"/>
          <w:bCs/>
          <w:i w:val="0"/>
          <w:iCs w:val="0"/>
          <w:color w:val="auto"/>
          <w:sz w:val="24"/>
          <w:szCs w:val="24"/>
          <w:highlight w:val="none"/>
        </w:rPr>
        <w:t>根据国家扶持中小企业的有关政策，在我中心组织的采购项目中标的供应商，如需要政府采购合同融资，请按锡财购【2022】7号文件执行。</w:t>
      </w:r>
    </w:p>
    <w:p w14:paraId="5EAF341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合同融资</w:t>
      </w:r>
      <w:r>
        <w:rPr>
          <w:rFonts w:ascii="宋体"/>
          <w:bCs/>
          <w:i w:val="0"/>
          <w:iCs w:val="0"/>
          <w:color w:val="auto"/>
          <w:sz w:val="24"/>
          <w:szCs w:val="24"/>
          <w:highlight w:val="none"/>
        </w:rPr>
        <w:t>,</w:t>
      </w:r>
      <w:r>
        <w:rPr>
          <w:rFonts w:hint="eastAsia" w:ascii="宋体"/>
          <w:bCs/>
          <w:i w:val="0"/>
          <w:iCs w:val="0"/>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凭政府采购中标、成交通知书或政府采购合同向采购人提出此合同有融资需求，采购人在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2CE762E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中标、成交供应商可根据自身情况，自行决定是否选择采用合同融资形式， 在无锡政府采购网——政采贷专栏提供的银行名录内自主选择合作银行。</w:t>
      </w:r>
    </w:p>
    <w:p w14:paraId="14E73FC8">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4.</w:t>
      </w:r>
      <w:r>
        <w:rPr>
          <w:rFonts w:hint="eastAsia" w:ascii="宋体"/>
          <w:bCs/>
          <w:i w:val="0"/>
          <w:iCs w:val="0"/>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047F651">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5.</w:t>
      </w:r>
      <w:r>
        <w:rPr>
          <w:rFonts w:hint="eastAsia" w:ascii="宋体" w:hAnsi="宋体" w:cs="宋体"/>
          <w:i w:val="0"/>
          <w:iCs w:val="0"/>
          <w:color w:val="auto"/>
          <w:sz w:val="24"/>
          <w:szCs w:val="24"/>
          <w:highlight w:val="none"/>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i w:val="0"/>
          <w:iCs w:val="0"/>
          <w:color w:val="auto"/>
          <w:sz w:val="24"/>
          <w:szCs w:val="24"/>
          <w:highlight w:val="none"/>
        </w:rPr>
        <w:t>采购人可在合同中约定，</w:t>
      </w:r>
      <w:r>
        <w:rPr>
          <w:rFonts w:hint="eastAsia" w:ascii="宋体" w:hAnsi="宋体" w:cs="宋体"/>
          <w:i w:val="0"/>
          <w:iCs w:val="0"/>
          <w:color w:val="auto"/>
          <w:sz w:val="24"/>
          <w:szCs w:val="24"/>
          <w:highlight w:val="none"/>
        </w:rPr>
        <w:t>在</w:t>
      </w:r>
      <w:r>
        <w:rPr>
          <w:rFonts w:hint="eastAsia" w:ascii="宋体"/>
          <w:bCs/>
          <w:i w:val="0"/>
          <w:iCs w:val="0"/>
          <w:color w:val="auto"/>
          <w:sz w:val="24"/>
          <w:szCs w:val="24"/>
          <w:highlight w:val="none"/>
        </w:rPr>
        <w:t>履约验收管理时，可对所提供的七种软硬件进行验收，必要时可以委托依法取得检测、认证资质的机构进行检测、认证。</w:t>
      </w:r>
    </w:p>
    <w:p w14:paraId="0EDAD2FB">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6.</w:t>
      </w:r>
      <w:r>
        <w:rPr>
          <w:rFonts w:hint="eastAsia" w:ascii="宋体"/>
          <w:bCs/>
          <w:i w:val="0"/>
          <w:iCs w:val="0"/>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57ACCF1">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7.</w:t>
      </w:r>
      <w:r>
        <w:rPr>
          <w:rFonts w:hint="eastAsia" w:ascii="宋体"/>
          <w:bCs/>
          <w:i w:val="0"/>
          <w:iCs w:val="0"/>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w:t>
      </w:r>
      <w:r>
        <w:rPr>
          <w:rFonts w:hint="eastAsia" w:ascii="宋体" w:hAnsi="Times New Roman" w:eastAsia="宋体" w:cs="Times New Roman"/>
          <w:bCs/>
          <w:i w:val="0"/>
          <w:iCs w:val="0"/>
          <w:color w:val="auto"/>
          <w:sz w:val="24"/>
          <w:szCs w:val="24"/>
          <w:highlight w:val="none"/>
        </w:rPr>
        <w:t>采购合同变更公告，但涉及国家秘密、商业秘密的信息和其他依法不得公开的信息除外。</w:t>
      </w:r>
    </w:p>
    <w:p w14:paraId="4AB0C1E6">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cs="Times New Roman"/>
          <w:bCs/>
          <w:i w:val="0"/>
          <w:iCs w:val="0"/>
          <w:color w:val="auto"/>
          <w:sz w:val="24"/>
          <w:szCs w:val="24"/>
          <w:highlight w:val="none"/>
          <w:lang w:val="en-US" w:eastAsia="zh-CN" w:bidi="ar-SA"/>
        </w:rPr>
        <w:t>8.</w:t>
      </w:r>
      <w:r>
        <w:rPr>
          <w:rFonts w:hint="eastAsia" w:ascii="宋体" w:hAnsi="宋体"/>
          <w:bCs/>
          <w:color w:val="auto"/>
          <w:sz w:val="24"/>
          <w:highlight w:val="none"/>
        </w:rPr>
        <w:t>政府采购中实施本国产品标准及相关政策</w:t>
      </w:r>
    </w:p>
    <w:p w14:paraId="3AF3A07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rPr>
        <w:t>本项目对采购本国产品给予政策支持，具体内容见招标文件“第五章 评</w:t>
      </w:r>
      <w:r>
        <w:rPr>
          <w:rFonts w:hint="eastAsia" w:ascii="宋体" w:hAnsi="宋体"/>
          <w:bCs/>
          <w:color w:val="auto"/>
          <w:sz w:val="24"/>
          <w:highlight w:val="none"/>
          <w:lang w:eastAsia="zh-CN"/>
        </w:rPr>
        <w:t>分</w:t>
      </w:r>
      <w:r>
        <w:rPr>
          <w:rFonts w:hint="eastAsia" w:ascii="宋体" w:hAnsi="宋体"/>
          <w:bCs/>
          <w:color w:val="auto"/>
          <w:sz w:val="24"/>
          <w:highlight w:val="none"/>
        </w:rPr>
        <w:t>方法与评</w:t>
      </w:r>
      <w:r>
        <w:rPr>
          <w:rFonts w:hint="eastAsia" w:ascii="宋体" w:hAnsi="宋体"/>
          <w:bCs/>
          <w:color w:val="auto"/>
          <w:sz w:val="24"/>
          <w:highlight w:val="none"/>
          <w:lang w:eastAsia="zh-CN"/>
        </w:rPr>
        <w:t>分</w:t>
      </w:r>
      <w:r>
        <w:rPr>
          <w:rFonts w:hint="eastAsia" w:ascii="宋体" w:hAnsi="宋体"/>
          <w:bCs/>
          <w:color w:val="auto"/>
          <w:sz w:val="24"/>
          <w:highlight w:val="none"/>
        </w:rPr>
        <w:t>标准”。</w:t>
      </w:r>
    </w:p>
    <w:p w14:paraId="784FA4D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F085">
      <w:pPr>
        <w:numPr>
          <w:ilvl w:val="1"/>
          <w:numId w:val="0"/>
        </w:numPr>
        <w:tabs>
          <w:tab w:val="left" w:pos="525"/>
          <w:tab w:val="left" w:pos="630"/>
          <w:tab w:val="left" w:pos="735"/>
          <w:tab w:val="left" w:pos="945"/>
        </w:tabs>
        <w:spacing w:line="360" w:lineRule="auto"/>
        <w:ind w:firstLine="480"/>
        <w:rPr>
          <w:rFonts w:hint="default" w:ascii="宋体" w:cs="Times New Roman"/>
          <w:bCs/>
          <w:i w:val="0"/>
          <w:iCs w:val="0"/>
          <w:color w:val="auto"/>
          <w:sz w:val="24"/>
          <w:szCs w:val="24"/>
          <w:highlight w:val="none"/>
          <w:lang w:val="en-US" w:eastAsia="zh-CN" w:bidi="ar-SA"/>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3</w:t>
      </w:r>
      <w:r>
        <w:rPr>
          <w:rFonts w:hint="eastAsia" w:ascii="宋体" w:hAnsi="宋体"/>
          <w:bCs/>
          <w:color w:val="auto"/>
          <w:sz w:val="24"/>
          <w:highlight w:val="none"/>
          <w:lang w:eastAsia="zh-CN"/>
        </w:rPr>
        <w:t>）</w:t>
      </w:r>
      <w:r>
        <w:rPr>
          <w:rFonts w:hint="eastAsia" w:ascii="宋体" w:hAnsi="宋体"/>
          <w:bCs/>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982500">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cs="Times New Roman"/>
          <w:bCs/>
          <w:i w:val="0"/>
          <w:iCs w:val="0"/>
          <w:color w:val="auto"/>
          <w:sz w:val="24"/>
          <w:szCs w:val="24"/>
          <w:highlight w:val="none"/>
          <w:lang w:val="en-US" w:eastAsia="zh-CN" w:bidi="ar-SA"/>
        </w:rPr>
        <w:t>9</w:t>
      </w:r>
      <w:r>
        <w:rPr>
          <w:rFonts w:hint="eastAsia" w:ascii="宋体" w:hAnsi="Times New Roman" w:eastAsia="宋体" w:cs="Times New Roman"/>
          <w:bCs/>
          <w:i w:val="0"/>
          <w:iCs w:val="0"/>
          <w:color w:val="auto"/>
          <w:sz w:val="24"/>
          <w:szCs w:val="24"/>
          <w:highlight w:val="none"/>
          <w:lang w:val="en-US" w:eastAsia="zh-CN" w:bidi="ar-SA"/>
        </w:rPr>
        <w:t>.</w:t>
      </w:r>
      <w:r>
        <w:rPr>
          <w:rFonts w:hint="eastAsia" w:ascii="宋体" w:hAnsi="Times New Roman" w:eastAsia="宋体" w:cs="Times New Roman"/>
          <w:bCs/>
          <w:i w:val="0"/>
          <w:iCs w:val="0"/>
          <w:color w:val="auto"/>
          <w:sz w:val="24"/>
          <w:szCs w:val="24"/>
          <w:highlight w:val="none"/>
        </w:rPr>
        <w:t>采购人原则上应当自收到发票后10个工作日内将资金支付到合同约定的供应商账户。</w:t>
      </w:r>
    </w:p>
    <w:p w14:paraId="67B2D6E3">
      <w:pPr>
        <w:rPr>
          <w:color w:val="auto"/>
        </w:rPr>
      </w:pPr>
    </w:p>
    <w:p w14:paraId="55D6CF1B">
      <w:pPr>
        <w:pStyle w:val="18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合同书（格式文本）</w:t>
      </w:r>
      <w:bookmarkEnd w:id="133"/>
    </w:p>
    <w:p w14:paraId="1A901542">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以下为中标后签订本项目合同的通用条款，中标人不得提出实质性的修改。</w:t>
      </w:r>
    </w:p>
    <w:p w14:paraId="131FD46E">
      <w:pPr>
        <w:spacing w:line="400" w:lineRule="exact"/>
        <w:ind w:firstLine="602"/>
        <w:jc w:val="center"/>
        <w:rPr>
          <w:rFonts w:ascii="宋体" w:hAnsi="宋体"/>
          <w:b/>
          <w:bCs/>
          <w:color w:val="auto"/>
          <w:sz w:val="30"/>
          <w:szCs w:val="20"/>
          <w:highlight w:val="none"/>
        </w:rPr>
      </w:pPr>
      <w:r>
        <w:rPr>
          <w:rFonts w:hint="eastAsia" w:ascii="宋体" w:hAnsi="宋体"/>
          <w:b/>
          <w:color w:val="auto"/>
          <w:sz w:val="30"/>
          <w:highlight w:val="none"/>
        </w:rPr>
        <w:t>江苏省政府采购合同（货物）（合同编号）</w:t>
      </w:r>
    </w:p>
    <w:p w14:paraId="4FE4A46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6F829B3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甲方：（买方、需方、采购人）_________</w:t>
      </w:r>
    </w:p>
    <w:p w14:paraId="5AEBCAD3">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乙方：（卖方、供方、供应商）_________</w:t>
      </w:r>
    </w:p>
    <w:p w14:paraId="2E444BBE">
      <w:pPr>
        <w:spacing w:line="400" w:lineRule="exact"/>
        <w:ind w:firstLine="480"/>
        <w:rPr>
          <w:rFonts w:ascii="宋体" w:hAnsi="宋体" w:cs="Courier New"/>
          <w:b/>
          <w:color w:val="auto"/>
          <w:sz w:val="24"/>
          <w:szCs w:val="24"/>
          <w:highlight w:val="none"/>
        </w:rPr>
      </w:pP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无锡市</w:t>
      </w:r>
      <w:r>
        <w:rPr>
          <w:rFonts w:hint="eastAsia" w:ascii="宋体" w:hAnsi="宋体" w:cs="Courier New"/>
          <w:color w:val="auto"/>
          <w:sz w:val="24"/>
          <w:szCs w:val="24"/>
          <w:highlight w:val="none"/>
          <w:lang w:eastAsia="zh-CN"/>
        </w:rPr>
        <w:t>惠山区政府</w:t>
      </w:r>
      <w:r>
        <w:rPr>
          <w:rFonts w:hint="eastAsia" w:ascii="宋体" w:hAnsi="宋体" w:cs="Courier New"/>
          <w:color w:val="auto"/>
          <w:sz w:val="24"/>
          <w:szCs w:val="24"/>
          <w:highlight w:val="none"/>
        </w:rPr>
        <w:t>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项目公开招标的结果，签署本合同。</w:t>
      </w:r>
    </w:p>
    <w:p w14:paraId="188EA0E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7F8C0EA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2A71C59A">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55ACBDA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55E75A5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75B4200A">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62310660">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2F567AC7">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1.7 包装方式：</w:t>
      </w:r>
    </w:p>
    <w:p w14:paraId="073121C9">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3E4C65E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2.1</w:t>
      </w:r>
      <w:r>
        <w:rPr>
          <w:rFonts w:hAnsi="宋体"/>
          <w:color w:val="auto"/>
          <w:sz w:val="24"/>
          <w:szCs w:val="24"/>
          <w:highlight w:val="none"/>
        </w:rPr>
        <w:t>本合同金额为（大写）： _____________</w:t>
      </w:r>
      <w:r>
        <w:rPr>
          <w:rFonts w:hint="eastAsia" w:hAnsi="宋体"/>
          <w:color w:val="auto"/>
          <w:sz w:val="24"/>
          <w:szCs w:val="24"/>
          <w:highlight w:val="none"/>
        </w:rPr>
        <w:t>圆</w:t>
      </w:r>
      <w:r>
        <w:rPr>
          <w:rFonts w:hAnsi="宋体"/>
          <w:color w:val="auto"/>
          <w:sz w:val="24"/>
          <w:szCs w:val="24"/>
          <w:highlight w:val="none"/>
        </w:rPr>
        <w:t>（______元）人民币</w:t>
      </w:r>
      <w:r>
        <w:rPr>
          <w:rFonts w:hint="eastAsia" w:hAnsi="宋体"/>
          <w:color w:val="auto"/>
          <w:sz w:val="24"/>
          <w:szCs w:val="24"/>
          <w:highlight w:val="none"/>
        </w:rPr>
        <w:t>或其他币种</w:t>
      </w:r>
      <w:r>
        <w:rPr>
          <w:rFonts w:hAnsi="宋体"/>
          <w:color w:val="auto"/>
          <w:sz w:val="24"/>
          <w:szCs w:val="24"/>
          <w:highlight w:val="none"/>
        </w:rPr>
        <w:t>。</w:t>
      </w:r>
    </w:p>
    <w:p w14:paraId="39225755">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7AF78C3F">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3.1乙方应按招标文件规定的时间向甲方提供使用货物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的有关技术资料。</w:t>
      </w:r>
    </w:p>
    <w:p w14:paraId="3F5CB9A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B26F8C">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41CCCE37">
      <w:pPr>
        <w:spacing w:line="400" w:lineRule="exact"/>
        <w:ind w:firstLine="480"/>
        <w:rPr>
          <w:rFonts w:hint="eastAsia" w:ascii="宋体" w:hAnsi="宋体"/>
          <w:color w:val="auto"/>
          <w:sz w:val="24"/>
          <w:highlight w:val="none"/>
        </w:rPr>
      </w:pPr>
      <w:r>
        <w:rPr>
          <w:rFonts w:hAnsi="宋体"/>
          <w:color w:val="auto"/>
          <w:sz w:val="24"/>
          <w:szCs w:val="24"/>
          <w:highlight w:val="none"/>
        </w:rPr>
        <w:t>4.1乙</w:t>
      </w:r>
      <w:r>
        <w:rPr>
          <w:rFonts w:hint="eastAsia" w:ascii="宋体" w:hAnsi="宋体"/>
          <w:color w:val="auto"/>
          <w:sz w:val="24"/>
          <w:highlight w:val="none"/>
        </w:rPr>
        <w:t>方应保证甲方在使用、接受本合同货物</w:t>
      </w:r>
      <w:r>
        <w:rPr>
          <w:rFonts w:hint="eastAsia" w:hAnsi="宋体"/>
          <w:color w:val="auto"/>
          <w:sz w:val="24"/>
          <w:szCs w:val="24"/>
          <w:highlight w:val="none"/>
        </w:rPr>
        <w:t>（包含与货物相关的服务）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275F292D">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（注：采购项目如涉及采购标的的知识产权归属、处理的，如订购、设计、定制开发的信息化建设项目等，应当约定知识产权的归属和处理方式）</w:t>
      </w:r>
    </w:p>
    <w:p w14:paraId="43B817D5">
      <w:pPr>
        <w:spacing w:line="400" w:lineRule="exact"/>
        <w:ind w:firstLine="482"/>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3965F99C">
      <w:pPr>
        <w:spacing w:line="400" w:lineRule="exact"/>
        <w:ind w:firstLine="480"/>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的所有权完全属于乙方且无任何抵押、查封等产权瑕疵。</w:t>
      </w:r>
    </w:p>
    <w:p w14:paraId="17872E3F">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17147A51">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6.1 乙方交纳人民币__元作为本合同的履约保证金。</w:t>
      </w:r>
      <w:r>
        <w:rPr>
          <w:rFonts w:hint="eastAsia" w:ascii="宋体" w:hAnsi="宋体" w:cs="Courier New"/>
          <w:color w:val="auto"/>
          <w:sz w:val="24"/>
          <w:szCs w:val="24"/>
          <w:highlight w:val="none"/>
        </w:rPr>
        <w:t>（不得超过合同金额的10%）</w:t>
      </w:r>
    </w:p>
    <w:p w14:paraId="7A3B15D5">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6.2合同履行结束后，甲方应及时退还交纳的履约保证金。</w:t>
      </w:r>
    </w:p>
    <w:p w14:paraId="12A849D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6.2.1履约保证金退还方式：</w:t>
      </w:r>
    </w:p>
    <w:p w14:paraId="11C76E4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6.2.2履约保证金退还时间：</w:t>
      </w:r>
    </w:p>
    <w:p w14:paraId="690789E3">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6.2.3履约保证金退还条件：</w:t>
      </w:r>
    </w:p>
    <w:p w14:paraId="2859656D">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6.2.4履约保证金不予退还的情形：</w:t>
      </w:r>
    </w:p>
    <w:p w14:paraId="739ADB2A">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6E48677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5586A514">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607DF5DA">
      <w:pPr>
        <w:spacing w:line="400" w:lineRule="exact"/>
        <w:ind w:firstLine="480"/>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乙方如有转包或未经甲方同意的分包行为，甲方有权给予终止合同。</w:t>
      </w:r>
    </w:p>
    <w:p w14:paraId="64836895">
      <w:pPr>
        <w:spacing w:line="400" w:lineRule="exact"/>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408864A2">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p>
    <w:p w14:paraId="4E87A1B6">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FEBCF">
      <w:pPr>
        <w:spacing w:line="400" w:lineRule="exact"/>
        <w:ind w:firstLine="480"/>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8.1.2尾款支付时间：产品验收通过,采购人收到发票后10个工作日内，尾款支付比例：合同金额的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80D6F">
      <w:pPr>
        <w:spacing w:line="400" w:lineRule="exact"/>
        <w:ind w:firstLine="480"/>
        <w:rPr>
          <w:rFonts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.2</w:t>
      </w:r>
      <w:r>
        <w:rPr>
          <w:rFonts w:ascii="宋体" w:hAnsi="宋体" w:cs="Courier New"/>
          <w:color w:val="auto"/>
          <w:sz w:val="24"/>
          <w:szCs w:val="24"/>
          <w:highlight w:val="none"/>
        </w:rPr>
        <w:t>当采购数量与实际使用数量不一致时，</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应根据实际使用量供货，合同的最终结算金额按实际使用量乘以成交单价进行计算。</w:t>
      </w:r>
    </w:p>
    <w:p w14:paraId="0A454827">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375A42A7">
      <w:pPr>
        <w:spacing w:line="400" w:lineRule="exact"/>
        <w:ind w:firstLine="480"/>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742036C8">
      <w:pPr>
        <w:spacing w:line="400" w:lineRule="exact"/>
        <w:ind w:firstLine="482"/>
        <w:rPr>
          <w:rFonts w:ascii="宋体" w:hAnsi="宋体" w:cs="Courier New"/>
          <w:color w:val="auto"/>
          <w:sz w:val="24"/>
          <w:szCs w:val="24"/>
          <w:highlight w:val="none"/>
        </w:rPr>
      </w:pPr>
      <w:r>
        <w:rPr>
          <w:rFonts w:ascii="宋体" w:hAnsi="宋体" w:cs="Courier New"/>
          <w:b/>
          <w:color w:val="auto"/>
          <w:sz w:val="24"/>
          <w:szCs w:val="24"/>
          <w:highlight w:val="none"/>
        </w:rPr>
        <w:t>十、质量</w:t>
      </w:r>
      <w:r>
        <w:rPr>
          <w:rFonts w:hint="eastAsia" w:ascii="宋体" w:hAnsi="宋体" w:cs="Courier New"/>
          <w:b/>
          <w:color w:val="auto"/>
          <w:sz w:val="24"/>
          <w:szCs w:val="24"/>
          <w:highlight w:val="none"/>
        </w:rPr>
        <w:t>保修范围和保修期</w:t>
      </w:r>
      <w:r>
        <w:rPr>
          <w:rFonts w:ascii="宋体" w:hAnsi="宋体" w:cs="Courier New"/>
          <w:b/>
          <w:color w:val="auto"/>
          <w:sz w:val="24"/>
          <w:szCs w:val="24"/>
          <w:highlight w:val="none"/>
        </w:rPr>
        <w:t>及售后服务</w:t>
      </w:r>
    </w:p>
    <w:p w14:paraId="19BBDD8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.1 乙方应按招标文件规定的货物性能、技术要求、质量标准向甲方提供未经使用的全新产品。</w:t>
      </w:r>
    </w:p>
    <w:p w14:paraId="3EA168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791F99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⑴更换：由乙方承担所发生的全部费用。</w:t>
      </w:r>
    </w:p>
    <w:p w14:paraId="190F18D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⑵贬值处理：由甲乙双方合议定价。</w:t>
      </w:r>
    </w:p>
    <w:p w14:paraId="3E40B0B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⑶退货处理：乙方应退还甲方支付的合同款，同时应承担该货物的直接费用（运输、保险、检验、货款利息及银行手续费等）。</w:t>
      </w:r>
    </w:p>
    <w:p w14:paraId="430CA6E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.3 如在使用过程中发生质量问题，乙方在接到甲方通知后在_________小时内到达甲方现场。</w:t>
      </w:r>
    </w:p>
    <w:p w14:paraId="4937E74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.4 在质保期内，乙方应对货物出现的质量及安全问题负责处理解决并承担一切费用。</w:t>
      </w:r>
    </w:p>
    <w:p w14:paraId="55F276F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年（自交货验收合格之日起计），因人为因素出现的故障不在免费保修范围内。超过保修期的机器设备，终生维修，维修时只收部件成本费。</w:t>
      </w:r>
    </w:p>
    <w:p w14:paraId="3464457B">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48B2B9B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10DF42B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520AAC">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7CAA479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如有必要，甲方邀请参加本项目的其他供应商或第三方专业机构及专家参与验收，相关意见将作为验收书的参考资料。</w:t>
      </w:r>
    </w:p>
    <w:p w14:paraId="427AD379">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57E98C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094629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、货物</w:t>
      </w:r>
      <w:r>
        <w:rPr>
          <w:rFonts w:hint="eastAsia" w:ascii="宋体" w:hAnsi="宋体" w:cs="Courier New"/>
          <w:b/>
          <w:color w:val="auto"/>
          <w:sz w:val="24"/>
          <w:szCs w:val="24"/>
          <w:highlight w:val="none"/>
        </w:rPr>
        <w:t>的</w:t>
      </w:r>
      <w:r>
        <w:rPr>
          <w:rFonts w:ascii="宋体" w:hAnsi="宋体" w:cs="Courier New"/>
          <w:b/>
          <w:color w:val="auto"/>
          <w:sz w:val="24"/>
          <w:szCs w:val="24"/>
          <w:highlight w:val="none"/>
        </w:rPr>
        <w:t>包装、发运及运输</w:t>
      </w:r>
    </w:p>
    <w:p w14:paraId="4449C6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乙方对货物的包装应符合《商品包装政府采购需求标准（试行）》、《快递包装政府采购需求标准（试行）》的规定。</w:t>
      </w:r>
    </w:p>
    <w:p w14:paraId="49ABB9F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使用说明书、质量检验证明书、随配附件和工具以及清单一并附于货物内。</w:t>
      </w:r>
    </w:p>
    <w:p w14:paraId="006B08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乙方在货物发运手续办理完毕后24小时内或货到甲方48小时前通知甲方，以准备接货。</w:t>
      </w:r>
    </w:p>
    <w:p w14:paraId="0870EB93">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.4 货物在交付甲方前发生的风险均由乙方负责。</w:t>
      </w:r>
    </w:p>
    <w:p w14:paraId="568767B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.5 货物在规定的交付期限内由乙方送达甲方指定的地点视为交付，乙方同时需通知甲方货物已送达。</w:t>
      </w:r>
    </w:p>
    <w:p w14:paraId="1670F914">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、违约责任</w:t>
      </w:r>
    </w:p>
    <w:p w14:paraId="7607E4F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799784D0">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4B23EB2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767F539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46B0A76">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、不可抗力事件处理</w:t>
      </w:r>
    </w:p>
    <w:p w14:paraId="7A67442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5D5EDAE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 不可抗力事件发生后，应立即通知对方，并寄送有关权威机构出具的证明。</w:t>
      </w:r>
    </w:p>
    <w:p w14:paraId="54999C8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.3 不可抗力事件延续120天以上，双方应通过友好协商，确定是否继续履行合同。</w:t>
      </w:r>
    </w:p>
    <w:p w14:paraId="04CC04D3">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五</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47ABB6E4">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w:t>
      </w:r>
      <w:r>
        <w:rPr>
          <w:rFonts w:ascii="宋体" w:hAnsi="宋体" w:cs="Courier New"/>
          <w:color w:val="auto"/>
          <w:sz w:val="24"/>
          <w:szCs w:val="24"/>
          <w:highlight w:val="none"/>
        </w:rPr>
        <w:t>.1</w:t>
      </w:r>
      <w:r>
        <w:rPr>
          <w:rFonts w:hint="eastAsia" w:ascii="宋体" w:hAnsi="宋体" w:cs="Courier New"/>
          <w:color w:val="auto"/>
          <w:sz w:val="24"/>
          <w:szCs w:val="24"/>
          <w:highlight w:val="none"/>
        </w:rPr>
        <w:t>甲乙</w:t>
      </w:r>
      <w:r>
        <w:rPr>
          <w:rFonts w:ascii="宋体" w:hAnsi="宋体" w:cs="Courier New"/>
          <w:color w:val="auto"/>
          <w:sz w:val="24"/>
          <w:szCs w:val="24"/>
          <w:highlight w:val="none"/>
        </w:rPr>
        <w:t>双方</w:t>
      </w:r>
      <w:r>
        <w:rPr>
          <w:rFonts w:hint="eastAsia" w:ascii="宋体" w:hAnsi="宋体" w:cs="Courier New"/>
          <w:color w:val="auto"/>
          <w:sz w:val="24"/>
          <w:szCs w:val="24"/>
          <w:highlight w:val="none"/>
        </w:rPr>
        <w:t>因</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签订、履行而</w:t>
      </w:r>
      <w:r>
        <w:rPr>
          <w:rFonts w:ascii="宋体" w:hAnsi="宋体" w:cs="Courier New"/>
          <w:color w:val="auto"/>
          <w:sz w:val="24"/>
          <w:szCs w:val="24"/>
          <w:highlight w:val="none"/>
        </w:rPr>
        <w:t>发生的一切争议，应通过</w:t>
      </w:r>
      <w:r>
        <w:rPr>
          <w:rFonts w:hint="eastAsia" w:ascii="宋体" w:hAnsi="宋体" w:cs="Courier New"/>
          <w:color w:val="auto"/>
          <w:sz w:val="24"/>
          <w:szCs w:val="24"/>
          <w:highlight w:val="none"/>
        </w:rPr>
        <w:t>友好</w:t>
      </w:r>
      <w:r>
        <w:rPr>
          <w:rFonts w:ascii="宋体" w:hAnsi="宋体" w:cs="Courier New"/>
          <w:color w:val="auto"/>
          <w:sz w:val="24"/>
          <w:szCs w:val="24"/>
          <w:highlight w:val="none"/>
        </w:rPr>
        <w:t>协商解决。如协商不成</w:t>
      </w:r>
      <w:r>
        <w:rPr>
          <w:rFonts w:hint="eastAsia" w:ascii="宋体" w:hAnsi="宋体" w:cs="Courier New"/>
          <w:color w:val="auto"/>
          <w:sz w:val="24"/>
          <w:szCs w:val="24"/>
          <w:highlight w:val="none"/>
        </w:rPr>
        <w:t>由甲方住所地人民</w:t>
      </w:r>
      <w:r>
        <w:rPr>
          <w:rFonts w:ascii="宋体" w:hAnsi="宋体" w:cs="Courier New"/>
          <w:color w:val="auto"/>
          <w:sz w:val="24"/>
          <w:szCs w:val="24"/>
          <w:highlight w:val="none"/>
        </w:rPr>
        <w:t>法院</w:t>
      </w:r>
      <w:r>
        <w:rPr>
          <w:rFonts w:hint="eastAsia" w:ascii="宋体" w:hAnsi="宋体" w:cs="Courier New"/>
          <w:color w:val="auto"/>
          <w:sz w:val="24"/>
          <w:szCs w:val="24"/>
          <w:highlight w:val="none"/>
        </w:rPr>
        <w:t>管辖。</w:t>
      </w:r>
    </w:p>
    <w:p w14:paraId="1436288D">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六</w:t>
      </w:r>
      <w:r>
        <w:rPr>
          <w:rFonts w:ascii="宋体" w:hAnsi="宋体" w:cs="Courier New"/>
          <w:b/>
          <w:color w:val="auto"/>
          <w:sz w:val="24"/>
          <w:szCs w:val="24"/>
          <w:highlight w:val="none"/>
        </w:rPr>
        <w:t>、合同生效及其它</w:t>
      </w:r>
    </w:p>
    <w:p w14:paraId="52EA546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74F1BFF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《中华人民共和国民法典》、《中华人民共和国政府采购法》</w:t>
      </w:r>
      <w:r>
        <w:rPr>
          <w:rFonts w:ascii="宋体" w:hAnsi="宋体" w:cs="Courier New"/>
          <w:color w:val="auto"/>
          <w:sz w:val="24"/>
          <w:szCs w:val="24"/>
          <w:highlight w:val="none"/>
        </w:rPr>
        <w:t>有关条文执行。</w:t>
      </w:r>
    </w:p>
    <w:p w14:paraId="7729BB2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两</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乙方各执一份。</w:t>
      </w:r>
    </w:p>
    <w:p w14:paraId="33C52672">
      <w:pPr>
        <w:spacing w:line="400" w:lineRule="exac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59603044">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1448C569">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7EBF2A58">
      <w:pPr>
        <w:spacing w:line="400" w:lineRule="exact"/>
        <w:ind w:firstLine="240"/>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p>
    <w:p w14:paraId="6A15BFD7">
      <w:pPr>
        <w:spacing w:line="400" w:lineRule="exact"/>
        <w:jc w:val="center"/>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p>
    <w:p w14:paraId="750D366D">
      <w:pPr>
        <w:spacing w:line="400" w:lineRule="exact"/>
        <w:jc w:val="center"/>
        <w:rPr>
          <w:rFonts w:hint="eastAsia" w:ascii="宋体" w:hAnsi="宋体" w:cs="Courier New"/>
          <w:color w:val="auto"/>
          <w:sz w:val="24"/>
          <w:szCs w:val="24"/>
          <w:highlight w:val="none"/>
        </w:rPr>
      </w:pPr>
    </w:p>
    <w:p w14:paraId="441EDEC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p>
    <w:p w14:paraId="29AC848D">
      <w:pPr>
        <w:spacing w:line="400" w:lineRule="exact"/>
        <w:ind w:firstLine="480"/>
        <w:rPr>
          <w:rFonts w:hint="eastAsia" w:ascii="宋体" w:hAnsi="宋体" w:cs="Courier New"/>
          <w:color w:val="auto"/>
          <w:sz w:val="24"/>
          <w:szCs w:val="24"/>
          <w:highlight w:val="none"/>
        </w:rPr>
      </w:pPr>
    </w:p>
    <w:p w14:paraId="0A0E10A5">
      <w:pPr>
        <w:spacing w:line="400" w:lineRule="exact"/>
        <w:ind w:firstLine="480"/>
        <w:rPr>
          <w:rFonts w:ascii="宋体" w:hAnsi="宋体"/>
          <w:bCs/>
          <w:color w:val="auto"/>
          <w:sz w:val="24"/>
          <w:szCs w:val="24"/>
          <w:highlight w:val="none"/>
        </w:rPr>
      </w:pPr>
      <w:r>
        <w:rPr>
          <w:rFonts w:hint="eastAsia" w:ascii="宋体" w:hAnsi="宋体" w:cs="Courier New"/>
          <w:color w:val="auto"/>
          <w:sz w:val="24"/>
          <w:szCs w:val="24"/>
          <w:highlight w:val="none"/>
        </w:rPr>
        <w:t>注：采购人也可参考财政部制定的《政府采购货物买卖合同（试行）》使用，《政府采购货物买卖合同（试行）》电子版请登录中国政府采购网（www.ccgp.gov.cn）下载。</w:t>
      </w:r>
    </w:p>
    <w:p w14:paraId="4C712195">
      <w:pPr>
        <w:pStyle w:val="18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评分方法与评分标准</w:t>
      </w:r>
    </w:p>
    <w:p w14:paraId="5F09124A">
      <w:pPr>
        <w:pStyle w:val="364"/>
        <w:spacing w:before="0" w:after="0" w:line="500" w:lineRule="exact"/>
        <w:ind w:firstLine="602"/>
        <w:rPr>
          <w:rFonts w:hint="eastAsia" w:cs="Arial"/>
          <w:b/>
          <w:i w:val="0"/>
          <w:iCs w:val="0"/>
          <w:color w:val="auto"/>
          <w:sz w:val="30"/>
          <w:szCs w:val="30"/>
          <w:highlight w:val="none"/>
        </w:rPr>
      </w:pPr>
      <w:r>
        <w:rPr>
          <w:rFonts w:hint="eastAsia" w:cs="Arial"/>
          <w:b/>
          <w:i w:val="0"/>
          <w:iCs w:val="0"/>
          <w:color w:val="auto"/>
          <w:sz w:val="30"/>
          <w:szCs w:val="30"/>
          <w:highlight w:val="none"/>
        </w:rPr>
        <w:t>第一部分  评标方法</w:t>
      </w:r>
    </w:p>
    <w:p w14:paraId="38DD5824">
      <w:pPr>
        <w:pStyle w:val="364"/>
        <w:spacing w:before="0" w:after="0" w:line="500" w:lineRule="exact"/>
        <w:rPr>
          <w:rFonts w:hint="eastAsia" w:cs="Arial"/>
          <w:i w:val="0"/>
          <w:iCs w:val="0"/>
          <w:color w:val="auto"/>
          <w:highlight w:val="none"/>
        </w:rPr>
      </w:pPr>
      <w:r>
        <w:rPr>
          <w:rFonts w:hint="eastAsia" w:cs="Arial"/>
          <w:i w:val="0"/>
          <w:iCs w:val="0"/>
          <w:color w:val="auto"/>
          <w:highlight w:val="none"/>
        </w:rPr>
        <w:t>投标人通过初审的，方可进入比较与评价程序。</w:t>
      </w:r>
    </w:p>
    <w:p w14:paraId="2243B992">
      <w:pPr>
        <w:pStyle w:val="364"/>
        <w:spacing w:before="0" w:after="0" w:line="500" w:lineRule="exact"/>
        <w:rPr>
          <w:rFonts w:hint="eastAsia" w:cs="Arial"/>
          <w:i w:val="0"/>
          <w:iCs w:val="0"/>
          <w:color w:val="auto"/>
          <w:highlight w:val="none"/>
        </w:rPr>
      </w:pPr>
      <w:r>
        <w:rPr>
          <w:rFonts w:hint="eastAsia" w:cs="Arial"/>
          <w:i w:val="0"/>
          <w:iCs w:val="0"/>
          <w:color w:val="auto"/>
          <w:highlight w:val="none"/>
        </w:rPr>
        <w:t>比较与评价采用综合评分法。</w:t>
      </w:r>
    </w:p>
    <w:p w14:paraId="4D704ACD">
      <w:pPr>
        <w:pStyle w:val="364"/>
        <w:spacing w:before="0" w:after="0" w:line="500" w:lineRule="exact"/>
        <w:rPr>
          <w:rStyle w:val="239"/>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798E84CD">
      <w:pPr>
        <w:pStyle w:val="364"/>
        <w:spacing w:before="0" w:after="0" w:line="500" w:lineRule="exact"/>
        <w:rPr>
          <w:rFonts w:hint="eastAsia" w:cs="Arial"/>
          <w:i w:val="0"/>
          <w:iCs w:val="0"/>
          <w:color w:val="auto"/>
          <w:highlight w:val="none"/>
          <w:shd w:val="clear" w:color="FFFFFF" w:fill="D9D9D9"/>
        </w:rPr>
      </w:pPr>
      <w:r>
        <w:rPr>
          <w:rFonts w:hint="eastAsia" w:ascii="宋体" w:hAnsi="宋体"/>
          <w:bCs/>
          <w:i w:val="0"/>
          <w:iCs w:val="0"/>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3B9CF560">
      <w:pPr>
        <w:jc w:val="left"/>
        <w:rPr>
          <w:rFonts w:hint="eastAsia" w:ascii="黑体" w:eastAsia="黑体"/>
          <w:bCs/>
          <w:i w:val="0"/>
          <w:iCs w:val="0"/>
          <w:color w:val="auto"/>
          <w:sz w:val="24"/>
          <w:szCs w:val="24"/>
          <w:highlight w:val="none"/>
        </w:rPr>
      </w:pPr>
    </w:p>
    <w:p w14:paraId="51333295">
      <w:pPr>
        <w:jc w:val="left"/>
        <w:rPr>
          <w:rFonts w:hint="eastAsia" w:ascii="黑体" w:eastAsia="黑体"/>
          <w:bCs/>
          <w:i w:val="0"/>
          <w:iCs w:val="0"/>
          <w:color w:val="auto"/>
          <w:sz w:val="24"/>
          <w:szCs w:val="24"/>
          <w:highlight w:val="none"/>
        </w:rPr>
      </w:pPr>
    </w:p>
    <w:p w14:paraId="7E00CD77">
      <w:pPr>
        <w:jc w:val="left"/>
        <w:rPr>
          <w:rFonts w:hint="eastAsia" w:ascii="黑体" w:eastAsia="黑体"/>
          <w:bCs/>
          <w:i w:val="0"/>
          <w:iCs w:val="0"/>
          <w:color w:val="auto"/>
          <w:sz w:val="24"/>
          <w:szCs w:val="24"/>
          <w:highlight w:val="none"/>
        </w:rPr>
      </w:pPr>
    </w:p>
    <w:p w14:paraId="6C7EF5A9">
      <w:pPr>
        <w:jc w:val="left"/>
        <w:rPr>
          <w:rFonts w:hint="eastAsia" w:ascii="黑体" w:eastAsia="黑体"/>
          <w:bCs/>
          <w:i w:val="0"/>
          <w:iCs w:val="0"/>
          <w:color w:val="auto"/>
          <w:sz w:val="24"/>
          <w:szCs w:val="24"/>
          <w:highlight w:val="none"/>
        </w:rPr>
      </w:pPr>
    </w:p>
    <w:p w14:paraId="3697FD97">
      <w:pPr>
        <w:jc w:val="left"/>
        <w:rPr>
          <w:rFonts w:hint="eastAsia" w:ascii="黑体" w:eastAsia="黑体"/>
          <w:bCs/>
          <w:i w:val="0"/>
          <w:iCs w:val="0"/>
          <w:color w:val="auto"/>
          <w:sz w:val="24"/>
          <w:szCs w:val="24"/>
          <w:highlight w:val="none"/>
        </w:rPr>
      </w:pPr>
    </w:p>
    <w:p w14:paraId="14329CE1">
      <w:pPr>
        <w:jc w:val="left"/>
        <w:rPr>
          <w:rFonts w:hint="eastAsia" w:ascii="黑体" w:eastAsia="黑体"/>
          <w:bCs/>
          <w:i w:val="0"/>
          <w:iCs w:val="0"/>
          <w:color w:val="auto"/>
          <w:sz w:val="24"/>
          <w:szCs w:val="24"/>
          <w:highlight w:val="none"/>
        </w:rPr>
      </w:pPr>
    </w:p>
    <w:p w14:paraId="7541459C">
      <w:pPr>
        <w:jc w:val="left"/>
        <w:rPr>
          <w:rFonts w:hint="eastAsia" w:ascii="黑体" w:eastAsia="黑体"/>
          <w:bCs/>
          <w:i w:val="0"/>
          <w:iCs w:val="0"/>
          <w:color w:val="auto"/>
          <w:sz w:val="24"/>
          <w:szCs w:val="24"/>
          <w:highlight w:val="none"/>
        </w:rPr>
      </w:pPr>
    </w:p>
    <w:p w14:paraId="570FAAF8">
      <w:pPr>
        <w:jc w:val="left"/>
        <w:rPr>
          <w:rFonts w:hint="eastAsia" w:ascii="黑体" w:eastAsia="黑体"/>
          <w:bCs/>
          <w:i w:val="0"/>
          <w:iCs w:val="0"/>
          <w:color w:val="auto"/>
          <w:sz w:val="24"/>
          <w:szCs w:val="24"/>
          <w:highlight w:val="none"/>
        </w:rPr>
      </w:pPr>
    </w:p>
    <w:p w14:paraId="66313574">
      <w:pPr>
        <w:jc w:val="left"/>
        <w:rPr>
          <w:rFonts w:hint="eastAsia" w:ascii="黑体" w:eastAsia="黑体"/>
          <w:bCs/>
          <w:i w:val="0"/>
          <w:iCs w:val="0"/>
          <w:color w:val="auto"/>
          <w:sz w:val="24"/>
          <w:szCs w:val="24"/>
          <w:highlight w:val="none"/>
        </w:rPr>
      </w:pPr>
    </w:p>
    <w:p w14:paraId="3FADCE3A">
      <w:pPr>
        <w:jc w:val="left"/>
        <w:rPr>
          <w:rFonts w:hint="eastAsia" w:ascii="黑体" w:eastAsia="黑体"/>
          <w:bCs/>
          <w:i w:val="0"/>
          <w:iCs w:val="0"/>
          <w:color w:val="auto"/>
          <w:sz w:val="24"/>
          <w:szCs w:val="24"/>
          <w:highlight w:val="none"/>
        </w:rPr>
      </w:pPr>
    </w:p>
    <w:p w14:paraId="47B8B330">
      <w:pPr>
        <w:jc w:val="left"/>
        <w:rPr>
          <w:rFonts w:hint="eastAsia" w:ascii="黑体" w:eastAsia="黑体"/>
          <w:bCs/>
          <w:i w:val="0"/>
          <w:iCs w:val="0"/>
          <w:color w:val="auto"/>
          <w:sz w:val="24"/>
          <w:szCs w:val="24"/>
          <w:highlight w:val="none"/>
        </w:rPr>
      </w:pPr>
    </w:p>
    <w:p w14:paraId="53E08BD5">
      <w:pPr>
        <w:jc w:val="left"/>
        <w:rPr>
          <w:rFonts w:hint="eastAsia" w:ascii="黑体" w:eastAsia="黑体"/>
          <w:bCs/>
          <w:i w:val="0"/>
          <w:iCs w:val="0"/>
          <w:color w:val="auto"/>
          <w:sz w:val="24"/>
          <w:szCs w:val="24"/>
          <w:highlight w:val="none"/>
        </w:rPr>
      </w:pPr>
    </w:p>
    <w:p w14:paraId="3DA07846">
      <w:pPr>
        <w:jc w:val="left"/>
        <w:rPr>
          <w:rFonts w:hint="eastAsia" w:ascii="黑体" w:eastAsia="黑体"/>
          <w:bCs/>
          <w:i w:val="0"/>
          <w:iCs w:val="0"/>
          <w:color w:val="auto"/>
          <w:sz w:val="24"/>
          <w:szCs w:val="24"/>
          <w:highlight w:val="none"/>
        </w:rPr>
      </w:pPr>
    </w:p>
    <w:p w14:paraId="2257CDA6">
      <w:pPr>
        <w:jc w:val="left"/>
        <w:rPr>
          <w:rFonts w:hint="eastAsia" w:ascii="黑体" w:eastAsia="黑体"/>
          <w:bCs/>
          <w:i w:val="0"/>
          <w:iCs w:val="0"/>
          <w:color w:val="auto"/>
          <w:sz w:val="24"/>
          <w:szCs w:val="24"/>
          <w:highlight w:val="none"/>
        </w:rPr>
      </w:pPr>
    </w:p>
    <w:p w14:paraId="58B38424">
      <w:pPr>
        <w:jc w:val="left"/>
        <w:rPr>
          <w:rFonts w:hint="eastAsia" w:ascii="黑体" w:eastAsia="黑体"/>
          <w:bCs/>
          <w:i w:val="0"/>
          <w:iCs w:val="0"/>
          <w:color w:val="auto"/>
          <w:sz w:val="24"/>
          <w:szCs w:val="24"/>
          <w:highlight w:val="none"/>
        </w:rPr>
      </w:pPr>
    </w:p>
    <w:p w14:paraId="6DA8F5D1">
      <w:pPr>
        <w:jc w:val="left"/>
        <w:rPr>
          <w:rFonts w:hint="eastAsia" w:ascii="黑体" w:eastAsia="黑体"/>
          <w:bCs/>
          <w:i w:val="0"/>
          <w:iCs w:val="0"/>
          <w:color w:val="auto"/>
          <w:sz w:val="24"/>
          <w:szCs w:val="24"/>
          <w:highlight w:val="none"/>
        </w:rPr>
      </w:pPr>
    </w:p>
    <w:p w14:paraId="6559470D">
      <w:pPr>
        <w:jc w:val="left"/>
        <w:rPr>
          <w:rFonts w:hint="eastAsia" w:ascii="黑体" w:eastAsia="黑体"/>
          <w:bCs/>
          <w:i w:val="0"/>
          <w:iCs w:val="0"/>
          <w:color w:val="auto"/>
          <w:sz w:val="24"/>
          <w:szCs w:val="24"/>
          <w:highlight w:val="none"/>
        </w:rPr>
      </w:pPr>
    </w:p>
    <w:p w14:paraId="40FCC0C6">
      <w:pPr>
        <w:jc w:val="left"/>
        <w:rPr>
          <w:rFonts w:hint="eastAsia" w:ascii="黑体" w:eastAsia="黑体"/>
          <w:bCs/>
          <w:i w:val="0"/>
          <w:iCs w:val="0"/>
          <w:color w:val="auto"/>
          <w:sz w:val="24"/>
          <w:szCs w:val="24"/>
          <w:highlight w:val="none"/>
        </w:rPr>
      </w:pPr>
    </w:p>
    <w:p w14:paraId="6D9C49BA">
      <w:pPr>
        <w:jc w:val="left"/>
        <w:rPr>
          <w:rFonts w:hint="eastAsia" w:ascii="黑体" w:eastAsia="黑体"/>
          <w:bCs/>
          <w:i w:val="0"/>
          <w:iCs w:val="0"/>
          <w:color w:val="auto"/>
          <w:sz w:val="24"/>
          <w:szCs w:val="24"/>
          <w:highlight w:val="none"/>
        </w:rPr>
      </w:pPr>
    </w:p>
    <w:p w14:paraId="020BA3F2">
      <w:pPr>
        <w:jc w:val="left"/>
        <w:rPr>
          <w:rFonts w:hint="eastAsia" w:ascii="黑体" w:eastAsia="黑体"/>
          <w:bCs/>
          <w:i w:val="0"/>
          <w:iCs w:val="0"/>
          <w:color w:val="auto"/>
          <w:sz w:val="24"/>
          <w:szCs w:val="24"/>
          <w:highlight w:val="none"/>
        </w:rPr>
      </w:pPr>
    </w:p>
    <w:p w14:paraId="75993900">
      <w:pPr>
        <w:jc w:val="left"/>
        <w:rPr>
          <w:rFonts w:hint="eastAsia" w:ascii="黑体" w:eastAsia="黑体"/>
          <w:bCs/>
          <w:i w:val="0"/>
          <w:iCs w:val="0"/>
          <w:color w:val="auto"/>
          <w:sz w:val="24"/>
          <w:szCs w:val="24"/>
          <w:highlight w:val="none"/>
        </w:rPr>
      </w:pPr>
    </w:p>
    <w:p w14:paraId="7B6148EE">
      <w:pPr>
        <w:pStyle w:val="38"/>
        <w:rPr>
          <w:rFonts w:hint="eastAsia"/>
          <w:i w:val="0"/>
          <w:iCs w:val="0"/>
          <w:color w:val="auto"/>
          <w:highlight w:val="none"/>
        </w:rPr>
      </w:pPr>
    </w:p>
    <w:p w14:paraId="15458D4B">
      <w:pPr>
        <w:jc w:val="left"/>
        <w:rPr>
          <w:rFonts w:hint="eastAsia" w:ascii="黑体" w:eastAsia="黑体"/>
          <w:bCs/>
          <w:i w:val="0"/>
          <w:iCs w:val="0"/>
          <w:color w:val="auto"/>
          <w:sz w:val="24"/>
          <w:szCs w:val="24"/>
          <w:highlight w:val="none"/>
        </w:rPr>
      </w:pPr>
    </w:p>
    <w:p w14:paraId="7E41CC46">
      <w:pPr>
        <w:jc w:val="left"/>
        <w:rPr>
          <w:rFonts w:hint="eastAsia" w:ascii="黑体" w:eastAsia="黑体"/>
          <w:bCs/>
          <w:i w:val="0"/>
          <w:iCs w:val="0"/>
          <w:color w:val="auto"/>
          <w:sz w:val="24"/>
          <w:szCs w:val="24"/>
          <w:highlight w:val="none"/>
        </w:rPr>
      </w:pPr>
    </w:p>
    <w:p w14:paraId="5F4812CA">
      <w:pPr>
        <w:jc w:val="left"/>
        <w:rPr>
          <w:rFonts w:hint="eastAsia" w:ascii="黑体" w:eastAsia="黑体"/>
          <w:bCs/>
          <w:i w:val="0"/>
          <w:iCs w:val="0"/>
          <w:color w:val="auto"/>
          <w:sz w:val="24"/>
          <w:szCs w:val="24"/>
          <w:highlight w:val="none"/>
        </w:rPr>
      </w:pPr>
    </w:p>
    <w:p w14:paraId="11B91065">
      <w:pPr>
        <w:pStyle w:val="364"/>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第二部分  评标标准</w:t>
      </w:r>
    </w:p>
    <w:p w14:paraId="178D19A6">
      <w:pPr>
        <w:pStyle w:val="364"/>
        <w:spacing w:before="0" w:after="0" w:line="500" w:lineRule="exact"/>
        <w:ind w:firstLine="562"/>
        <w:rPr>
          <w:rFonts w:hint="eastAsia" w:ascii="宋体" w:hAnsi="宋体"/>
          <w:b/>
          <w:i w:val="0"/>
          <w:iCs w:val="0"/>
          <w:color w:val="auto"/>
          <w:sz w:val="28"/>
          <w:szCs w:val="28"/>
          <w:highlight w:val="none"/>
        </w:rPr>
      </w:pPr>
      <w:r>
        <w:rPr>
          <w:rFonts w:hint="eastAsia" w:ascii="宋体" w:hAnsi="宋体"/>
          <w:b/>
          <w:i w:val="0"/>
          <w:iCs w:val="0"/>
          <w:color w:val="auto"/>
          <w:sz w:val="28"/>
          <w:szCs w:val="28"/>
          <w:highlight w:val="none"/>
        </w:rPr>
        <w:t>一、落实政府采购政策的价格调整</w:t>
      </w:r>
    </w:p>
    <w:p w14:paraId="3BE7271D">
      <w:pPr>
        <w:spacing w:line="500" w:lineRule="exact"/>
        <w:ind w:firstLine="482"/>
        <w:jc w:val="lef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小微型企业价格扣除：专门面向中小/小微企业的项目不做价格扣除。</w:t>
      </w:r>
    </w:p>
    <w:p w14:paraId="501BDF69">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1.对小型和微型企业产品的价格给予10</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的扣除，用扣除后的价格参与评审。参加投标的中小企业，应当按照《政府采购促进中小企业发展管理办法》</w:t>
      </w:r>
      <w:r>
        <w:rPr>
          <w:rFonts w:ascii="宋体" w:hAnsi="宋体"/>
          <w:bCs/>
          <w:i w:val="0"/>
          <w:iCs w:val="0"/>
          <w:color w:val="auto"/>
          <w:sz w:val="24"/>
          <w:szCs w:val="24"/>
          <w:highlight w:val="none"/>
        </w:rPr>
        <w:t>（财库﹝2020﹞46 号）</w:t>
      </w:r>
      <w:r>
        <w:rPr>
          <w:rFonts w:hint="eastAsia" w:ascii="宋体" w:hAnsi="宋体"/>
          <w:bCs/>
          <w:i w:val="0"/>
          <w:iCs w:val="0"/>
          <w:color w:val="auto"/>
          <w:sz w:val="24"/>
          <w:szCs w:val="24"/>
          <w:highlight w:val="none"/>
        </w:rPr>
        <w:t>的规定提供《中小企业声明函》（中小企业划型标准详见《关于印发中小企业划型标准规定的通知》工信部联企业〔</w:t>
      </w:r>
      <w:r>
        <w:rPr>
          <w:rFonts w:ascii="宋体" w:hAnsi="宋体"/>
          <w:bCs/>
          <w:i w:val="0"/>
          <w:iCs w:val="0"/>
          <w:color w:val="auto"/>
          <w:sz w:val="24"/>
          <w:szCs w:val="24"/>
          <w:highlight w:val="none"/>
        </w:rPr>
        <w:t>2011</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300</w:t>
      </w:r>
      <w:r>
        <w:rPr>
          <w:rFonts w:hint="eastAsia" w:ascii="宋体" w:hAnsi="宋体"/>
          <w:bCs/>
          <w:i w:val="0"/>
          <w:iCs w:val="0"/>
          <w:color w:val="auto"/>
          <w:sz w:val="24"/>
          <w:szCs w:val="24"/>
          <w:highlight w:val="none"/>
        </w:rPr>
        <w:t>号）。</w:t>
      </w:r>
    </w:p>
    <w:p w14:paraId="15657181">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EBADA9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F9FAFED">
      <w:pPr>
        <w:spacing w:line="500" w:lineRule="exact"/>
        <w:ind w:firstLine="480"/>
        <w:jc w:val="lef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4.残疾人福利单位、监狱企业属于小型、微型企业的，不重复享受政策。</w:t>
      </w:r>
    </w:p>
    <w:p w14:paraId="06AFDD14">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5.如允许联合体投标的项目，且存在联合投标的</w:t>
      </w:r>
      <w:r>
        <w:rPr>
          <w:rFonts w:ascii="宋体" w:hAnsi="宋体"/>
          <w:bCs/>
          <w:i w:val="0"/>
          <w:iCs w:val="0"/>
          <w:color w:val="auto"/>
          <w:sz w:val="24"/>
          <w:szCs w:val="24"/>
          <w:highlight w:val="none"/>
        </w:rPr>
        <w:t>，联合协议中约定，小型、微型企业（</w:t>
      </w:r>
      <w:r>
        <w:rPr>
          <w:rFonts w:hint="eastAsia" w:ascii="宋体" w:hAnsi="宋体"/>
          <w:bCs/>
          <w:i w:val="0"/>
          <w:iCs w:val="0"/>
          <w:color w:val="auto"/>
          <w:sz w:val="24"/>
          <w:szCs w:val="24"/>
          <w:highlight w:val="none"/>
        </w:rPr>
        <w:t>监狱</w:t>
      </w:r>
      <w:r>
        <w:rPr>
          <w:rFonts w:ascii="宋体" w:hAnsi="宋体"/>
          <w:bCs/>
          <w:i w:val="0"/>
          <w:iCs w:val="0"/>
          <w:color w:val="auto"/>
          <w:sz w:val="24"/>
          <w:szCs w:val="24"/>
          <w:highlight w:val="none"/>
        </w:rPr>
        <w:t>企业、残疾人福利性单位视同小型、微型企业，下同）</w:t>
      </w:r>
      <w:r>
        <w:rPr>
          <w:rFonts w:hint="eastAsia" w:ascii="宋体" w:hAnsi="宋体"/>
          <w:bCs/>
          <w:i w:val="0"/>
          <w:iCs w:val="0"/>
          <w:color w:val="auto"/>
          <w:sz w:val="24"/>
          <w:szCs w:val="24"/>
          <w:highlight w:val="none"/>
        </w:rPr>
        <w:t>的</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合同</w:t>
      </w:r>
      <w:r>
        <w:rPr>
          <w:rFonts w:ascii="宋体" w:hAnsi="宋体"/>
          <w:bCs/>
          <w:i w:val="0"/>
          <w:iCs w:val="0"/>
          <w:color w:val="auto"/>
          <w:sz w:val="24"/>
          <w:szCs w:val="24"/>
          <w:highlight w:val="none"/>
        </w:rPr>
        <w:t>金额占到联合体协议合同总金额</w:t>
      </w:r>
      <w:r>
        <w:rPr>
          <w:rFonts w:hint="eastAsia" w:ascii="宋体" w:hAnsi="宋体"/>
          <w:bCs/>
          <w:i w:val="0"/>
          <w:iCs w:val="0"/>
          <w:color w:val="auto"/>
          <w:sz w:val="24"/>
          <w:szCs w:val="24"/>
          <w:highlight w:val="none"/>
        </w:rPr>
        <w:t>30</w:t>
      </w:r>
      <w:r>
        <w:rPr>
          <w:rFonts w:ascii="宋体" w:hAnsi="宋体"/>
          <w:bCs/>
          <w:i w:val="0"/>
          <w:iCs w:val="0"/>
          <w:color w:val="auto"/>
          <w:sz w:val="24"/>
          <w:szCs w:val="24"/>
          <w:highlight w:val="none"/>
        </w:rPr>
        <w:t>%以上的，可给予联合体</w:t>
      </w:r>
      <w:r>
        <w:rPr>
          <w:rFonts w:hint="eastAsia" w:ascii="宋体" w:hAnsi="宋体"/>
          <w:bCs/>
          <w:i w:val="0"/>
          <w:iCs w:val="0"/>
          <w:color w:val="auto"/>
          <w:sz w:val="24"/>
          <w:szCs w:val="24"/>
          <w:highlight w:val="none"/>
        </w:rPr>
        <w:t>4</w:t>
      </w:r>
      <w:r>
        <w:rPr>
          <w:rFonts w:ascii="宋体" w:hAnsi="宋体"/>
          <w:bCs/>
          <w:i w:val="0"/>
          <w:iCs w:val="0"/>
          <w:color w:val="auto"/>
          <w:sz w:val="24"/>
          <w:szCs w:val="24"/>
          <w:highlight w:val="none"/>
        </w:rPr>
        <w:t>%的价格扣除，</w:t>
      </w:r>
      <w:r>
        <w:rPr>
          <w:rFonts w:hint="eastAsia" w:ascii="宋体" w:hAnsi="宋体"/>
          <w:bCs/>
          <w:i w:val="0"/>
          <w:iCs w:val="0"/>
          <w:color w:val="auto"/>
          <w:sz w:val="24"/>
          <w:szCs w:val="24"/>
          <w:highlight w:val="none"/>
        </w:rPr>
        <w:t>用扣除后的价格参与评审。投标人须在《联合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》中明确，否则不得享受价格扣除。</w:t>
      </w:r>
    </w:p>
    <w:p w14:paraId="594045B0">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联合体</w:t>
      </w:r>
      <w:r>
        <w:rPr>
          <w:rFonts w:ascii="宋体" w:hAnsi="宋体"/>
          <w:bCs/>
          <w:i w:val="0"/>
          <w:iCs w:val="0"/>
          <w:color w:val="auto"/>
          <w:sz w:val="24"/>
          <w:szCs w:val="24"/>
          <w:highlight w:val="none"/>
        </w:rPr>
        <w:t>各方均为小型、微型企业的，联合体视同为小型、微型企业按规定享受价格扣除</w:t>
      </w:r>
      <w:r>
        <w:rPr>
          <w:rFonts w:hint="eastAsia" w:ascii="宋体" w:hAnsi="宋体"/>
          <w:bCs/>
          <w:i w:val="0"/>
          <w:iCs w:val="0"/>
          <w:color w:val="auto"/>
          <w:sz w:val="24"/>
          <w:szCs w:val="24"/>
          <w:highlight w:val="none"/>
        </w:rPr>
        <w:t>。</w:t>
      </w:r>
    </w:p>
    <w:p w14:paraId="4D6A0FD7">
      <w:pPr>
        <w:spacing w:line="500" w:lineRule="exact"/>
        <w:ind w:firstLine="480"/>
        <w:jc w:val="left"/>
        <w:rPr>
          <w:i w:val="0"/>
          <w:iCs w:val="0"/>
          <w:color w:val="auto"/>
          <w:highlight w:val="none"/>
        </w:rPr>
      </w:pPr>
      <w:r>
        <w:rPr>
          <w:rFonts w:hint="eastAsia" w:ascii="宋体" w:hAnsi="宋体"/>
          <w:bCs/>
          <w:i w:val="0"/>
          <w:iCs w:val="0"/>
          <w:color w:val="auto"/>
          <w:sz w:val="24"/>
          <w:szCs w:val="24"/>
          <w:highlight w:val="none"/>
        </w:rPr>
        <w:t>组成联合体的小微企业与联合体内其他企业之间存在直接控股、管理关系的，不享受价格扣除。组成</w:t>
      </w:r>
      <w:r>
        <w:rPr>
          <w:rFonts w:ascii="宋体" w:hAnsi="宋体"/>
          <w:bCs/>
          <w:i w:val="0"/>
          <w:iCs w:val="0"/>
          <w:color w:val="auto"/>
          <w:sz w:val="24"/>
          <w:szCs w:val="24"/>
          <w:highlight w:val="none"/>
        </w:rPr>
        <w:t>联合体的法人与参加联合体的小型、微型企业之间存在投资关系的，不得享受价格扣除</w:t>
      </w:r>
      <w:r>
        <w:rPr>
          <w:rFonts w:hint="eastAsia" w:ascii="宋体" w:hAnsi="宋体"/>
          <w:bCs/>
          <w:i w:val="0"/>
          <w:iCs w:val="0"/>
          <w:color w:val="auto"/>
          <w:sz w:val="24"/>
          <w:szCs w:val="24"/>
          <w:highlight w:val="none"/>
        </w:rPr>
        <w:t>。投标人</w:t>
      </w:r>
      <w:r>
        <w:rPr>
          <w:rFonts w:ascii="宋体" w:hAnsi="宋体"/>
          <w:bCs/>
          <w:i w:val="0"/>
          <w:iCs w:val="0"/>
          <w:color w:val="auto"/>
          <w:sz w:val="24"/>
          <w:szCs w:val="24"/>
          <w:highlight w:val="none"/>
        </w:rPr>
        <w:t>须在</w:t>
      </w:r>
      <w:r>
        <w:rPr>
          <w:rFonts w:hint="eastAsia" w:ascii="宋体" w:hAnsi="宋体"/>
          <w:bCs/>
          <w:i w:val="0"/>
          <w:iCs w:val="0"/>
          <w:color w:val="auto"/>
          <w:sz w:val="24"/>
          <w:szCs w:val="24"/>
          <w:highlight w:val="none"/>
        </w:rPr>
        <w:t>《联合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w:t>
      </w:r>
      <w:r>
        <w:rPr>
          <w:rFonts w:ascii="宋体" w:hAnsi="宋体"/>
          <w:bCs/>
          <w:i w:val="0"/>
          <w:iCs w:val="0"/>
          <w:color w:val="auto"/>
          <w:sz w:val="24"/>
          <w:szCs w:val="24"/>
          <w:highlight w:val="none"/>
        </w:rPr>
        <w:t>明确联合体各方是否存在</w:t>
      </w:r>
      <w:r>
        <w:rPr>
          <w:rFonts w:hint="eastAsia" w:ascii="宋体" w:hAnsi="宋体"/>
          <w:bCs/>
          <w:i w:val="0"/>
          <w:iCs w:val="0"/>
          <w:color w:val="auto"/>
          <w:sz w:val="24"/>
          <w:szCs w:val="24"/>
          <w:highlight w:val="none"/>
        </w:rPr>
        <w:t>上述</w:t>
      </w:r>
      <w:r>
        <w:rPr>
          <w:rFonts w:ascii="宋体" w:hAnsi="宋体"/>
          <w:bCs/>
          <w:i w:val="0"/>
          <w:iCs w:val="0"/>
          <w:color w:val="auto"/>
          <w:sz w:val="24"/>
          <w:szCs w:val="24"/>
          <w:highlight w:val="none"/>
        </w:rPr>
        <w:t>关系，如未进行明确的亦不得享受价格扣除</w:t>
      </w:r>
      <w:r>
        <w:rPr>
          <w:rFonts w:hint="eastAsia" w:ascii="宋体" w:hAnsi="宋体"/>
          <w:bCs/>
          <w:i w:val="0"/>
          <w:iCs w:val="0"/>
          <w:color w:val="auto"/>
          <w:sz w:val="24"/>
          <w:szCs w:val="24"/>
          <w:highlight w:val="none"/>
        </w:rPr>
        <w:t>。</w:t>
      </w:r>
    </w:p>
    <w:p w14:paraId="6F17BBB6">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
          <w:bCs/>
          <w:color w:val="auto"/>
          <w:sz w:val="24"/>
          <w:szCs w:val="24"/>
          <w:highlight w:val="none"/>
          <w:shd w:val="clear" w:color="auto" w:fill="auto"/>
        </w:rPr>
        <w:t>对本国产品的支持政策：根据</w:t>
      </w:r>
      <w:r>
        <w:rPr>
          <w:rFonts w:hint="eastAsia" w:ascii="宋体"/>
          <w:b/>
          <w:bCs/>
          <w:color w:val="auto"/>
          <w:sz w:val="24"/>
          <w:szCs w:val="24"/>
          <w:highlight w:val="none"/>
          <w:shd w:val="clear" w:color="auto" w:fill="auto"/>
        </w:rPr>
        <w:t>《国务院办公厅关于在政府采购中实施本国产品标准及相关政策的通知》（国办发〔2025〕34号）要求，</w:t>
      </w:r>
      <w:r>
        <w:rPr>
          <w:rFonts w:hint="eastAsia" w:ascii="宋体" w:hAnsi="宋体"/>
          <w:b/>
          <w:bCs/>
          <w:color w:val="auto"/>
          <w:sz w:val="24"/>
          <w:szCs w:val="24"/>
          <w:highlight w:val="none"/>
          <w:shd w:val="clear" w:color="auto" w:fill="auto"/>
        </w:rPr>
        <w:t>本项目对采购本国产品</w:t>
      </w:r>
      <w:r>
        <w:rPr>
          <w:rFonts w:hint="eastAsia" w:ascii="宋体" w:hAnsi="宋体"/>
          <w:b/>
          <w:bCs/>
          <w:color w:val="auto"/>
          <w:sz w:val="24"/>
          <w:szCs w:val="24"/>
          <w:highlight w:val="none"/>
          <w:shd w:val="clear" w:color="auto" w:fill="auto"/>
          <w:lang w:eastAsia="zh-CN"/>
        </w:rPr>
        <w:t>给予</w:t>
      </w:r>
      <w:r>
        <w:rPr>
          <w:rFonts w:hint="eastAsia" w:ascii="宋体" w:hAnsi="宋体"/>
          <w:b/>
          <w:bCs/>
          <w:color w:val="auto"/>
          <w:sz w:val="24"/>
          <w:szCs w:val="24"/>
          <w:highlight w:val="none"/>
          <w:shd w:val="clear" w:color="auto" w:fill="auto"/>
        </w:rPr>
        <w:t>政策支持。关于本国产品标准和本国产品标准的适用范围详见《国务院办公厅关于在政府采购中实施本国产品标准及相关政策的通知》（国办发〔2025〕34号）。</w:t>
      </w:r>
    </w:p>
    <w:p w14:paraId="3833234A">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.1本国产品价格扣除政策</w:t>
      </w:r>
    </w:p>
    <w:p w14:paraId="61A1256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1C621EB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2E9CF6E">
      <w:pPr>
        <w:spacing w:line="500" w:lineRule="exact"/>
        <w:ind w:firstLine="482"/>
        <w:jc w:val="left"/>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shd w:val="clear" w:color="auto" w:fill="auto"/>
        </w:rPr>
        <w:t>对于仅有本国产品参与竞争的政府采购项目或采购包，本国产品不享受价格扣除评审优惠。</w:t>
      </w:r>
    </w:p>
    <w:p w14:paraId="0FD55201">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.2注意事项</w:t>
      </w:r>
    </w:p>
    <w:p w14:paraId="6CB57A62">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50657A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1A5869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2BC2EE8">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其中，“符合本国产品标准的产品成本之和”是指本项目或采购包中符合本国产品标准的</w:t>
      </w:r>
      <w:r>
        <w:rPr>
          <w:rFonts w:hint="eastAsia" w:ascii="宋体" w:hAnsi="宋体"/>
          <w:b/>
          <w:bCs/>
          <w:color w:val="auto"/>
          <w:sz w:val="24"/>
          <w:szCs w:val="24"/>
          <w:highlight w:val="none"/>
          <w:shd w:val="clear" w:color="auto" w:fill="auto"/>
        </w:rPr>
        <w:t>货物成本之和</w:t>
      </w:r>
      <w:r>
        <w:rPr>
          <w:rFonts w:hint="eastAsia" w:ascii="宋体" w:hAnsi="宋体"/>
          <w:bCs/>
          <w:color w:val="auto"/>
          <w:sz w:val="24"/>
          <w:szCs w:val="24"/>
          <w:highlight w:val="none"/>
          <w:shd w:val="clear" w:color="auto" w:fill="auto"/>
        </w:rPr>
        <w:t>；“全部产品成本之和”是指货物或服务项目（或者采购包）中包含的</w:t>
      </w:r>
      <w:r>
        <w:rPr>
          <w:rFonts w:hint="eastAsia" w:ascii="宋体" w:hAnsi="宋体"/>
          <w:b/>
          <w:bCs/>
          <w:color w:val="auto"/>
          <w:sz w:val="24"/>
          <w:szCs w:val="24"/>
          <w:highlight w:val="none"/>
          <w:shd w:val="clear" w:color="auto" w:fill="auto"/>
        </w:rPr>
        <w:t>全部货物、服务产品的成本之和</w:t>
      </w:r>
      <w:r>
        <w:rPr>
          <w:rFonts w:hint="eastAsia" w:ascii="宋体" w:hAnsi="宋体"/>
          <w:bCs/>
          <w:color w:val="auto"/>
          <w:sz w:val="24"/>
          <w:szCs w:val="24"/>
          <w:highlight w:val="none"/>
          <w:shd w:val="clear" w:color="auto" w:fill="auto"/>
        </w:rPr>
        <w:t>。</w:t>
      </w:r>
    </w:p>
    <w:p w14:paraId="1192A9C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C73AA9D">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即，当小微型企业价格扣除政策和本国产品价格扣除政策同时享受时，按以下计算方式进行计算：</w:t>
      </w:r>
    </w:p>
    <w:p w14:paraId="428D250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供应商参与评审的报价=供应商投标总报价×[1-（小微型企业价格扣除+本国产品价格扣除）]</w:t>
      </w:r>
    </w:p>
    <w:p w14:paraId="50C24097">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例如，供应商总报价1000000元，经认定可以享受小微型企业价格扣除政策以及本国产品价格扣除政策的，则该供应商参与评审的报价为：</w:t>
      </w:r>
    </w:p>
    <w:p w14:paraId="2BD1FA11">
      <w:pPr>
        <w:spacing w:line="500" w:lineRule="exact"/>
        <w:ind w:firstLine="480"/>
        <w:jc w:val="left"/>
        <w:rPr>
          <w:color w:val="auto"/>
          <w:highlight w:val="none"/>
          <w:shd w:val="clear" w:color="auto" w:fill="auto"/>
        </w:rPr>
      </w:pPr>
      <w:r>
        <w:rPr>
          <w:rFonts w:hint="eastAsia" w:ascii="宋体" w:hAnsi="宋体"/>
          <w:bCs/>
          <w:color w:val="auto"/>
          <w:sz w:val="24"/>
          <w:szCs w:val="24"/>
          <w:highlight w:val="none"/>
          <w:shd w:val="clear" w:color="auto" w:fill="auto"/>
        </w:rPr>
        <w:t>1000000×[1-（10%+20%）]=700000元</w:t>
      </w:r>
    </w:p>
    <w:p w14:paraId="3DF0581F">
      <w:pPr>
        <w:jc w:val="left"/>
        <w:rPr>
          <w:rFonts w:hint="eastAsia" w:ascii="黑体" w:eastAsia="黑体"/>
          <w:bCs/>
          <w:i w:val="0"/>
          <w:iCs w:val="0"/>
          <w:color w:val="auto"/>
          <w:sz w:val="24"/>
          <w:szCs w:val="24"/>
          <w:highlight w:val="none"/>
        </w:rPr>
      </w:pPr>
    </w:p>
    <w:p w14:paraId="040907A4">
      <w:pPr>
        <w:jc w:val="left"/>
        <w:rPr>
          <w:rFonts w:hint="eastAsia" w:ascii="黑体" w:eastAsia="黑体"/>
          <w:bCs/>
          <w:i w:val="0"/>
          <w:iCs w:val="0"/>
          <w:color w:val="auto"/>
          <w:sz w:val="24"/>
          <w:szCs w:val="24"/>
          <w:highlight w:val="none"/>
        </w:rPr>
      </w:pPr>
    </w:p>
    <w:p w14:paraId="200B907A">
      <w:pPr>
        <w:jc w:val="left"/>
        <w:rPr>
          <w:rFonts w:hint="eastAsia" w:ascii="黑体" w:eastAsia="黑体"/>
          <w:bCs/>
          <w:i w:val="0"/>
          <w:iCs w:val="0"/>
          <w:color w:val="auto"/>
          <w:sz w:val="24"/>
          <w:szCs w:val="24"/>
          <w:highlight w:val="none"/>
        </w:rPr>
      </w:pPr>
    </w:p>
    <w:p w14:paraId="739F78AF">
      <w:pPr>
        <w:jc w:val="left"/>
        <w:rPr>
          <w:rFonts w:hint="eastAsia" w:ascii="黑体" w:eastAsia="黑体"/>
          <w:bCs/>
          <w:i w:val="0"/>
          <w:iCs w:val="0"/>
          <w:color w:val="auto"/>
          <w:sz w:val="24"/>
          <w:szCs w:val="24"/>
          <w:highlight w:val="none"/>
        </w:rPr>
      </w:pPr>
    </w:p>
    <w:p w14:paraId="32C8BF5B">
      <w:pPr>
        <w:jc w:val="left"/>
        <w:rPr>
          <w:rFonts w:hint="eastAsia" w:ascii="黑体" w:eastAsia="黑体"/>
          <w:bCs/>
          <w:i w:val="0"/>
          <w:iCs w:val="0"/>
          <w:color w:val="auto"/>
          <w:sz w:val="24"/>
          <w:szCs w:val="24"/>
          <w:highlight w:val="none"/>
        </w:rPr>
      </w:pPr>
    </w:p>
    <w:p w14:paraId="27244127">
      <w:pPr>
        <w:jc w:val="left"/>
        <w:rPr>
          <w:rFonts w:hint="eastAsia" w:ascii="黑体" w:eastAsia="黑体"/>
          <w:bCs/>
          <w:i w:val="0"/>
          <w:iCs w:val="0"/>
          <w:color w:val="auto"/>
          <w:sz w:val="24"/>
          <w:szCs w:val="24"/>
          <w:highlight w:val="none"/>
        </w:rPr>
      </w:pPr>
    </w:p>
    <w:p w14:paraId="00B2695C">
      <w:pPr>
        <w:jc w:val="left"/>
        <w:rPr>
          <w:rFonts w:hint="eastAsia" w:ascii="黑体" w:eastAsia="黑体"/>
          <w:bCs/>
          <w:i w:val="0"/>
          <w:iCs w:val="0"/>
          <w:color w:val="auto"/>
          <w:sz w:val="24"/>
          <w:szCs w:val="24"/>
          <w:highlight w:val="none"/>
        </w:rPr>
      </w:pPr>
    </w:p>
    <w:p w14:paraId="03740ECA">
      <w:pPr>
        <w:jc w:val="left"/>
        <w:rPr>
          <w:rFonts w:hint="eastAsia" w:ascii="黑体" w:eastAsia="黑体"/>
          <w:bCs/>
          <w:i w:val="0"/>
          <w:iCs w:val="0"/>
          <w:color w:val="auto"/>
          <w:sz w:val="24"/>
          <w:szCs w:val="24"/>
          <w:highlight w:val="none"/>
        </w:rPr>
      </w:pPr>
    </w:p>
    <w:p w14:paraId="0F1B035A">
      <w:pPr>
        <w:jc w:val="left"/>
        <w:rPr>
          <w:rFonts w:hint="eastAsia" w:ascii="黑体" w:eastAsia="黑体"/>
          <w:bCs/>
          <w:i w:val="0"/>
          <w:iCs w:val="0"/>
          <w:color w:val="auto"/>
          <w:sz w:val="24"/>
          <w:szCs w:val="24"/>
          <w:highlight w:val="none"/>
        </w:rPr>
      </w:pPr>
    </w:p>
    <w:p w14:paraId="2F2319C8">
      <w:pPr>
        <w:jc w:val="left"/>
        <w:rPr>
          <w:rFonts w:hint="eastAsia" w:ascii="黑体" w:eastAsia="黑体"/>
          <w:bCs/>
          <w:i w:val="0"/>
          <w:iCs w:val="0"/>
          <w:color w:val="auto"/>
          <w:sz w:val="24"/>
          <w:szCs w:val="24"/>
          <w:highlight w:val="none"/>
        </w:rPr>
      </w:pPr>
    </w:p>
    <w:p w14:paraId="166F7B08">
      <w:pPr>
        <w:jc w:val="left"/>
        <w:rPr>
          <w:rFonts w:hint="eastAsia" w:ascii="黑体" w:eastAsia="黑体"/>
          <w:bCs/>
          <w:i w:val="0"/>
          <w:iCs w:val="0"/>
          <w:color w:val="auto"/>
          <w:sz w:val="24"/>
          <w:szCs w:val="24"/>
          <w:highlight w:val="none"/>
        </w:rPr>
      </w:pPr>
    </w:p>
    <w:p w14:paraId="35E3F31A">
      <w:pPr>
        <w:jc w:val="left"/>
        <w:rPr>
          <w:rFonts w:hint="eastAsia" w:ascii="黑体" w:eastAsia="黑体"/>
          <w:bCs/>
          <w:i w:val="0"/>
          <w:iCs w:val="0"/>
          <w:color w:val="auto"/>
          <w:sz w:val="24"/>
          <w:szCs w:val="24"/>
          <w:highlight w:val="none"/>
        </w:rPr>
      </w:pPr>
    </w:p>
    <w:p w14:paraId="17858D81">
      <w:pPr>
        <w:pStyle w:val="364"/>
        <w:keepNext w:val="0"/>
        <w:keepLines w:val="0"/>
        <w:pageBreakBefore w:val="0"/>
        <w:widowControl w:val="0"/>
        <w:spacing w:before="0" w:after="0" w:line="500" w:lineRule="exact"/>
        <w:ind w:left="0" w:firstLine="360"/>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rPr>
        <w:t>二、评分标准</w:t>
      </w:r>
    </w:p>
    <w:p w14:paraId="2BF8C71A">
      <w:pPr>
        <w:keepNext w:val="0"/>
        <w:keepLines w:val="0"/>
        <w:pageBreakBefore w:val="0"/>
        <w:widowControl w:val="0"/>
        <w:tabs>
          <w:tab w:val="left" w:pos="945"/>
          <w:tab w:val="left" w:pos="1155"/>
        </w:tabs>
        <w:spacing w:line="500" w:lineRule="exact"/>
        <w:ind w:left="0" w:firstLine="480"/>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lang w:eastAsia="zh-CN"/>
        </w:rPr>
        <w:t>（一）</w:t>
      </w:r>
      <w:r>
        <w:rPr>
          <w:rFonts w:hint="eastAsia" w:ascii="宋体" w:hAnsi="宋体"/>
          <w:b/>
          <w:bCs/>
          <w:i w:val="0"/>
          <w:iCs w:val="0"/>
          <w:color w:val="auto"/>
          <w:sz w:val="24"/>
          <w:szCs w:val="24"/>
          <w:highlight w:val="none"/>
        </w:rPr>
        <w:t>价格（</w:t>
      </w:r>
      <w:r>
        <w:rPr>
          <w:rFonts w:hint="eastAsia" w:ascii="宋体" w:hAnsi="宋体"/>
          <w:b/>
          <w:bCs/>
          <w:i w:val="0"/>
          <w:iCs w:val="0"/>
          <w:color w:val="auto"/>
          <w:sz w:val="24"/>
          <w:szCs w:val="24"/>
          <w:highlight w:val="none"/>
          <w:lang w:val="en-US" w:eastAsia="zh-CN"/>
        </w:rPr>
        <w:t>30</w:t>
      </w:r>
      <w:r>
        <w:rPr>
          <w:rFonts w:hint="eastAsia" w:ascii="宋体" w:hAnsi="宋体"/>
          <w:b/>
          <w:bCs/>
          <w:i w:val="0"/>
          <w:iCs w:val="0"/>
          <w:color w:val="auto"/>
          <w:sz w:val="24"/>
          <w:szCs w:val="24"/>
          <w:highlight w:val="none"/>
        </w:rPr>
        <w:t>分）：</w:t>
      </w:r>
    </w:p>
    <w:p w14:paraId="16DE20D2">
      <w:pPr>
        <w:keepNext w:val="0"/>
        <w:keepLines w:val="0"/>
        <w:pageBreakBefore w:val="0"/>
        <w:widowControl w:val="0"/>
        <w:tabs>
          <w:tab w:val="left" w:pos="945"/>
          <w:tab w:val="left" w:pos="1155"/>
        </w:tabs>
        <w:spacing w:line="500" w:lineRule="exact"/>
        <w:ind w:left="0"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采用低价优先法计算，即满足招标文件要求且投标价格最低的投标报价为评标基准价，其价格分为满分。其他投标人的价格分统一按照下列公式计算：</w:t>
      </w:r>
    </w:p>
    <w:p w14:paraId="7BF0F828">
      <w:pPr>
        <w:keepNext w:val="0"/>
        <w:keepLines w:val="0"/>
        <w:pageBreakBefore w:val="0"/>
        <w:widowControl w:val="0"/>
        <w:spacing w:line="500" w:lineRule="exact"/>
        <w:ind w:left="0"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投标报价得分</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评标基准价／投标报价</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×价格权值×</w:t>
      </w:r>
      <w:r>
        <w:rPr>
          <w:rFonts w:ascii="宋体" w:hAnsi="宋体"/>
          <w:bCs/>
          <w:i w:val="0"/>
          <w:iCs w:val="0"/>
          <w:color w:val="auto"/>
          <w:sz w:val="24"/>
          <w:szCs w:val="24"/>
          <w:highlight w:val="none"/>
        </w:rPr>
        <w:t>100</w:t>
      </w:r>
      <w:r>
        <w:rPr>
          <w:rFonts w:hint="eastAsia" w:ascii="宋体" w:hAnsi="宋体"/>
          <w:bCs/>
          <w:i w:val="0"/>
          <w:iCs w:val="0"/>
          <w:color w:val="auto"/>
          <w:sz w:val="24"/>
          <w:szCs w:val="24"/>
          <w:highlight w:val="none"/>
        </w:rPr>
        <w:t>。</w:t>
      </w:r>
    </w:p>
    <w:p w14:paraId="7694D8D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关于价格扣除详见本章第二部分“一、落实政府采购政策的价格调整”。</w:t>
      </w:r>
    </w:p>
    <w:p w14:paraId="0FAB09E7">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
          <w:bCs w:val="0"/>
          <w:i w:val="0"/>
          <w:iCs w:val="0"/>
          <w:color w:val="auto"/>
          <w:sz w:val="24"/>
          <w:szCs w:val="24"/>
          <w:highlight w:val="none"/>
        </w:rPr>
      </w:pPr>
      <w:r>
        <w:rPr>
          <w:rFonts w:hint="eastAsia" w:ascii="宋体" w:hAnsi="宋体" w:eastAsia="宋体" w:cs="Times New Roman"/>
          <w:b/>
          <w:bCs w:val="0"/>
          <w:i w:val="0"/>
          <w:iCs w:val="0"/>
          <w:color w:val="auto"/>
          <w:sz w:val="24"/>
          <w:szCs w:val="24"/>
          <w:highlight w:val="none"/>
        </w:rPr>
        <w:t>（</w:t>
      </w:r>
      <w:r>
        <w:rPr>
          <w:rFonts w:hint="eastAsia" w:ascii="宋体" w:hAnsi="宋体" w:eastAsia="宋体" w:cs="Times New Roman"/>
          <w:b/>
          <w:bCs w:val="0"/>
          <w:i w:val="0"/>
          <w:iCs w:val="0"/>
          <w:color w:val="auto"/>
          <w:sz w:val="24"/>
          <w:szCs w:val="24"/>
          <w:highlight w:val="none"/>
          <w:lang w:eastAsia="zh-CN"/>
        </w:rPr>
        <w:t>二</w:t>
      </w:r>
      <w:r>
        <w:rPr>
          <w:rFonts w:hint="eastAsia" w:ascii="宋体" w:hAnsi="宋体" w:eastAsia="宋体" w:cs="Times New Roman"/>
          <w:b/>
          <w:bCs w:val="0"/>
          <w:i w:val="0"/>
          <w:iCs w:val="0"/>
          <w:color w:val="auto"/>
          <w:sz w:val="24"/>
          <w:szCs w:val="24"/>
          <w:highlight w:val="none"/>
        </w:rPr>
        <w:t>）投标供应商综合实力（</w:t>
      </w:r>
      <w:r>
        <w:rPr>
          <w:rFonts w:hint="eastAsia" w:ascii="宋体" w:hAnsi="宋体" w:eastAsia="宋体" w:cs="Times New Roman"/>
          <w:b/>
          <w:bCs w:val="0"/>
          <w:i w:val="0"/>
          <w:iCs w:val="0"/>
          <w:color w:val="auto"/>
          <w:sz w:val="24"/>
          <w:szCs w:val="24"/>
          <w:highlight w:val="none"/>
          <w:lang w:val="en-US" w:eastAsia="zh-CN"/>
        </w:rPr>
        <w:t>6</w:t>
      </w:r>
      <w:r>
        <w:rPr>
          <w:rFonts w:hint="eastAsia" w:ascii="宋体" w:hAnsi="宋体" w:eastAsia="宋体" w:cs="Times New Roman"/>
          <w:b/>
          <w:bCs w:val="0"/>
          <w:i w:val="0"/>
          <w:iCs w:val="0"/>
          <w:color w:val="auto"/>
          <w:sz w:val="24"/>
          <w:szCs w:val="24"/>
          <w:highlight w:val="none"/>
        </w:rPr>
        <w:t>分）</w:t>
      </w:r>
    </w:p>
    <w:p w14:paraId="4583810F">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1）类似业绩（</w:t>
      </w:r>
      <w:r>
        <w:rPr>
          <w:rFonts w:hint="eastAsia" w:ascii="宋体" w:hAnsi="宋体" w:eastAsia="宋体" w:cs="Times New Roman"/>
          <w:bCs/>
          <w:i w:val="0"/>
          <w:iCs w:val="0"/>
          <w:color w:val="auto"/>
          <w:sz w:val="24"/>
          <w:szCs w:val="24"/>
          <w:highlight w:val="none"/>
          <w:lang w:val="en-US" w:eastAsia="zh-CN"/>
        </w:rPr>
        <w:t>3</w:t>
      </w:r>
      <w:r>
        <w:rPr>
          <w:rFonts w:hint="eastAsia" w:ascii="宋体" w:hAnsi="宋体" w:eastAsia="宋体" w:cs="Times New Roman"/>
          <w:bCs/>
          <w:i w:val="0"/>
          <w:iCs w:val="0"/>
          <w:color w:val="auto"/>
          <w:sz w:val="24"/>
          <w:szCs w:val="24"/>
          <w:highlight w:val="none"/>
        </w:rPr>
        <w:t>分）：投标</w:t>
      </w:r>
      <w:r>
        <w:rPr>
          <w:rFonts w:hint="eastAsia" w:ascii="宋体" w:hAnsi="宋体" w:eastAsia="宋体" w:cs="Times New Roman"/>
          <w:bCs/>
          <w:i w:val="0"/>
          <w:iCs w:val="0"/>
          <w:color w:val="auto"/>
          <w:sz w:val="24"/>
          <w:szCs w:val="24"/>
          <w:highlight w:val="none"/>
          <w:lang w:val="en-US" w:eastAsia="zh-CN"/>
        </w:rPr>
        <w:t>供应商自2023</w:t>
      </w:r>
      <w:r>
        <w:rPr>
          <w:rFonts w:hint="eastAsia" w:ascii="宋体" w:hAnsi="宋体" w:eastAsia="宋体" w:cs="Times New Roman"/>
          <w:bCs/>
          <w:i w:val="0"/>
          <w:iCs w:val="0"/>
          <w:color w:val="auto"/>
          <w:sz w:val="24"/>
          <w:szCs w:val="24"/>
          <w:highlight w:val="none"/>
        </w:rPr>
        <w:t>年1月1日（以合同签订日期为准）以来具有类似</w:t>
      </w:r>
      <w:r>
        <w:rPr>
          <w:rFonts w:hint="eastAsia" w:ascii="宋体" w:hAnsi="宋体" w:eastAsia="宋体" w:cs="Times New Roman"/>
          <w:bCs/>
          <w:i w:val="0"/>
          <w:iCs w:val="0"/>
          <w:color w:val="auto"/>
          <w:sz w:val="24"/>
          <w:szCs w:val="24"/>
          <w:highlight w:val="none"/>
          <w:lang w:val="en-US" w:eastAsia="zh-CN"/>
        </w:rPr>
        <w:t>项目建设</w:t>
      </w:r>
      <w:r>
        <w:rPr>
          <w:rFonts w:hint="eastAsia" w:ascii="宋体" w:hAnsi="宋体" w:eastAsia="宋体" w:cs="Times New Roman"/>
          <w:bCs/>
          <w:i w:val="0"/>
          <w:iCs w:val="0"/>
          <w:color w:val="auto"/>
          <w:sz w:val="24"/>
          <w:szCs w:val="24"/>
          <w:highlight w:val="none"/>
        </w:rPr>
        <w:t>案例（提供合同原件扫描件），每提供1个项目案例业绩得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分，最高得</w:t>
      </w:r>
      <w:r>
        <w:rPr>
          <w:rFonts w:hint="eastAsia" w:ascii="宋体" w:hAnsi="宋体" w:eastAsia="宋体" w:cs="Times New Roman"/>
          <w:bCs/>
          <w:i w:val="0"/>
          <w:iCs w:val="0"/>
          <w:color w:val="auto"/>
          <w:sz w:val="24"/>
          <w:szCs w:val="24"/>
          <w:highlight w:val="none"/>
          <w:lang w:val="en-US" w:eastAsia="zh-CN"/>
        </w:rPr>
        <w:t>3</w:t>
      </w:r>
      <w:r>
        <w:rPr>
          <w:rFonts w:hint="eastAsia" w:ascii="宋体" w:hAnsi="宋体" w:eastAsia="宋体" w:cs="Times New Roman"/>
          <w:bCs/>
          <w:i w:val="0"/>
          <w:iCs w:val="0"/>
          <w:color w:val="auto"/>
          <w:sz w:val="24"/>
          <w:szCs w:val="24"/>
          <w:highlight w:val="none"/>
        </w:rPr>
        <w:t>分，未提供不得分。</w:t>
      </w:r>
    </w:p>
    <w:p w14:paraId="6FB5F52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2）认证证书（</w:t>
      </w:r>
      <w:r>
        <w:rPr>
          <w:rFonts w:hint="eastAsia" w:ascii="宋体" w:hAnsi="宋体" w:eastAsia="宋体" w:cs="Times New Roman"/>
          <w:bCs/>
          <w:i w:val="0"/>
          <w:iCs w:val="0"/>
          <w:color w:val="auto"/>
          <w:sz w:val="24"/>
          <w:szCs w:val="24"/>
          <w:highlight w:val="none"/>
          <w:lang w:val="en-US" w:eastAsia="zh-CN"/>
        </w:rPr>
        <w:t>3</w:t>
      </w:r>
      <w:r>
        <w:rPr>
          <w:rFonts w:hint="eastAsia" w:ascii="宋体" w:hAnsi="宋体" w:eastAsia="宋体" w:cs="Times New Roman"/>
          <w:bCs/>
          <w:i w:val="0"/>
          <w:iCs w:val="0"/>
          <w:color w:val="auto"/>
          <w:sz w:val="24"/>
          <w:szCs w:val="24"/>
          <w:highlight w:val="none"/>
        </w:rPr>
        <w:t>分）：投标供应商具有有效的业务连续性管理体系认证证书、数据存储安全管理体系认证证书、供应链安全管理体系认证证书的，每个得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分，最高得</w:t>
      </w:r>
      <w:r>
        <w:rPr>
          <w:rFonts w:hint="eastAsia" w:ascii="宋体" w:hAnsi="宋体" w:eastAsia="宋体" w:cs="Times New Roman"/>
          <w:bCs/>
          <w:i w:val="0"/>
          <w:iCs w:val="0"/>
          <w:color w:val="auto"/>
          <w:sz w:val="24"/>
          <w:szCs w:val="24"/>
          <w:highlight w:val="none"/>
          <w:lang w:val="en-US" w:eastAsia="zh-CN"/>
        </w:rPr>
        <w:t>3</w:t>
      </w:r>
      <w:r>
        <w:rPr>
          <w:rFonts w:hint="eastAsia" w:ascii="宋体" w:hAnsi="宋体" w:eastAsia="宋体" w:cs="Times New Roman"/>
          <w:bCs/>
          <w:i w:val="0"/>
          <w:iCs w:val="0"/>
          <w:color w:val="auto"/>
          <w:sz w:val="24"/>
          <w:szCs w:val="24"/>
          <w:highlight w:val="none"/>
        </w:rPr>
        <w:t>分。投标文件中须提供以下资料之一：</w:t>
      </w:r>
      <w:r>
        <w:rPr>
          <w:rFonts w:hint="eastAsia" w:ascii="宋体" w:hAnsi="宋体" w:eastAsia="宋体" w:cs="宋体"/>
          <w:color w:val="auto"/>
          <w:sz w:val="24"/>
          <w:szCs w:val="24"/>
          <w:highlight w:val="none"/>
        </w:rPr>
        <w:t>①以上证书原件扫描件并签章；②认证机构的官方网站或中国国家认证</w:t>
      </w:r>
      <w:r>
        <w:rPr>
          <w:rFonts w:hint="eastAsia" w:ascii="宋体" w:hAnsi="宋体" w:eastAsia="宋体" w:cs="Times New Roman"/>
          <w:bCs/>
          <w:i w:val="0"/>
          <w:iCs w:val="0"/>
          <w:color w:val="auto"/>
          <w:sz w:val="24"/>
          <w:szCs w:val="24"/>
          <w:highlight w:val="none"/>
        </w:rPr>
        <w:t>认可监督管理委员会官方网站（www.cnca.gov.cn）查证该认证为有效状态信息的网页截图并签章，不提供不得分。</w:t>
      </w:r>
    </w:p>
    <w:p w14:paraId="0BE8062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
          <w:bCs w:val="0"/>
          <w:i w:val="0"/>
          <w:iCs w:val="0"/>
          <w:color w:val="auto"/>
          <w:sz w:val="24"/>
          <w:szCs w:val="24"/>
          <w:highlight w:val="none"/>
        </w:rPr>
      </w:pPr>
      <w:r>
        <w:rPr>
          <w:rFonts w:hint="eastAsia" w:ascii="宋体" w:hAnsi="宋体" w:eastAsia="宋体" w:cs="Times New Roman"/>
          <w:b/>
          <w:bCs w:val="0"/>
          <w:i w:val="0"/>
          <w:iCs w:val="0"/>
          <w:color w:val="auto"/>
          <w:sz w:val="24"/>
          <w:szCs w:val="24"/>
          <w:highlight w:val="none"/>
        </w:rPr>
        <w:t>（</w:t>
      </w:r>
      <w:r>
        <w:rPr>
          <w:rFonts w:hint="eastAsia" w:ascii="宋体" w:hAnsi="宋体" w:eastAsia="宋体" w:cs="Times New Roman"/>
          <w:b/>
          <w:bCs w:val="0"/>
          <w:i w:val="0"/>
          <w:iCs w:val="0"/>
          <w:color w:val="auto"/>
          <w:sz w:val="24"/>
          <w:szCs w:val="24"/>
          <w:highlight w:val="none"/>
          <w:lang w:eastAsia="zh-CN"/>
        </w:rPr>
        <w:t>三</w:t>
      </w:r>
      <w:r>
        <w:rPr>
          <w:rFonts w:hint="eastAsia" w:ascii="宋体" w:hAnsi="宋体" w:eastAsia="宋体" w:cs="Times New Roman"/>
          <w:b/>
          <w:bCs w:val="0"/>
          <w:i w:val="0"/>
          <w:iCs w:val="0"/>
          <w:color w:val="auto"/>
          <w:sz w:val="24"/>
          <w:szCs w:val="24"/>
          <w:highlight w:val="none"/>
        </w:rPr>
        <w:t>）重点技术指标或功能响应情况（</w:t>
      </w:r>
      <w:r>
        <w:rPr>
          <w:rFonts w:hint="eastAsia" w:ascii="宋体" w:hAnsi="宋体" w:eastAsia="宋体" w:cs="Times New Roman"/>
          <w:b/>
          <w:bCs w:val="0"/>
          <w:i w:val="0"/>
          <w:iCs w:val="0"/>
          <w:color w:val="auto"/>
          <w:sz w:val="24"/>
          <w:szCs w:val="24"/>
          <w:highlight w:val="none"/>
          <w:lang w:val="en-US" w:eastAsia="zh-CN"/>
        </w:rPr>
        <w:t>21</w:t>
      </w:r>
      <w:r>
        <w:rPr>
          <w:rFonts w:hint="eastAsia" w:ascii="宋体" w:hAnsi="宋体" w:eastAsia="宋体" w:cs="Times New Roman"/>
          <w:b/>
          <w:bCs w:val="0"/>
          <w:i w:val="0"/>
          <w:iCs w:val="0"/>
          <w:color w:val="auto"/>
          <w:sz w:val="24"/>
          <w:szCs w:val="24"/>
          <w:highlight w:val="none"/>
        </w:rPr>
        <w:t>分）</w:t>
      </w:r>
    </w:p>
    <w:p w14:paraId="304AC99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投标人需逐条针对以下技术按要求响应并提供证明材料，满分</w:t>
      </w:r>
      <w:r>
        <w:rPr>
          <w:rFonts w:hint="eastAsia" w:ascii="宋体" w:hAnsi="宋体" w:eastAsia="宋体" w:cs="Times New Roman"/>
          <w:bCs/>
          <w:i w:val="0"/>
          <w:iCs w:val="0"/>
          <w:color w:val="auto"/>
          <w:sz w:val="24"/>
          <w:szCs w:val="24"/>
          <w:highlight w:val="none"/>
          <w:lang w:val="en-US" w:eastAsia="zh-CN"/>
        </w:rPr>
        <w:t>21</w:t>
      </w:r>
      <w:r>
        <w:rPr>
          <w:rFonts w:hint="eastAsia" w:ascii="宋体" w:hAnsi="宋体" w:eastAsia="宋体" w:cs="Times New Roman"/>
          <w:bCs/>
          <w:i w:val="0"/>
          <w:iCs w:val="0"/>
          <w:color w:val="auto"/>
          <w:sz w:val="24"/>
          <w:szCs w:val="24"/>
          <w:highlight w:val="none"/>
        </w:rPr>
        <w:t>分，具体如下：</w:t>
      </w:r>
    </w:p>
    <w:p w14:paraId="67ED059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rPr>
        <w:t>1）楼层汇聚交换机</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lang w:val="en-US" w:eastAsia="zh-CN"/>
        </w:rPr>
        <w:t>1分）</w:t>
      </w:r>
    </w:p>
    <w:p w14:paraId="41AFD5D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A.交换机具备40G光口，为基础项不得分；</w:t>
      </w:r>
    </w:p>
    <w:p w14:paraId="247F8FA6">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上行40G端口可通过软件升级到100G速率，具备平滑扩容的能力</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lang w:val="en-US" w:eastAsia="zh-CN"/>
        </w:rPr>
        <w:t>得1分</w:t>
      </w:r>
      <w:r>
        <w:rPr>
          <w:rFonts w:hint="eastAsia" w:ascii="宋体" w:hAnsi="宋体" w:eastAsia="宋体" w:cs="Times New Roman"/>
          <w:bCs/>
          <w:i w:val="0"/>
          <w:iCs w:val="0"/>
          <w:color w:val="auto"/>
          <w:sz w:val="24"/>
          <w:szCs w:val="24"/>
          <w:highlight w:val="none"/>
        </w:rPr>
        <w:t>。（提供含链接官网截图，并加盖供应商公章）</w:t>
      </w:r>
    </w:p>
    <w:p w14:paraId="56B32A75">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2）内网核心交换机（</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w:t>
      </w:r>
    </w:p>
    <w:p w14:paraId="6345488C">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eastAsia="zh-CN"/>
        </w:rPr>
      </w:pPr>
      <w:r>
        <w:rPr>
          <w:rFonts w:hint="eastAsia" w:ascii="宋体" w:hAnsi="宋体" w:eastAsia="宋体" w:cs="Times New Roman"/>
          <w:bCs/>
          <w:i w:val="0"/>
          <w:iCs w:val="0"/>
          <w:color w:val="auto"/>
          <w:sz w:val="24"/>
          <w:szCs w:val="24"/>
          <w:highlight w:val="none"/>
          <w:lang w:val="en-US" w:eastAsia="zh-CN"/>
        </w:rPr>
        <w:t>A.</w:t>
      </w:r>
      <w:r>
        <w:rPr>
          <w:rFonts w:hint="eastAsia" w:ascii="宋体" w:hAnsi="宋体" w:eastAsia="宋体" w:cs="Times New Roman"/>
          <w:bCs/>
          <w:i w:val="0"/>
          <w:iCs w:val="0"/>
          <w:color w:val="auto"/>
          <w:sz w:val="24"/>
          <w:szCs w:val="24"/>
          <w:highlight w:val="none"/>
        </w:rPr>
        <w:t>具备维护便携性，可插拔模块（包含（主控、交换、业务板卡））均支持热插拔</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rPr>
        <w:t>为基础</w:t>
      </w:r>
      <w:r>
        <w:rPr>
          <w:rFonts w:hint="eastAsia" w:ascii="宋体" w:hAnsi="宋体" w:eastAsia="宋体" w:cs="Times New Roman"/>
          <w:bCs/>
          <w:i w:val="0"/>
          <w:iCs w:val="0"/>
          <w:color w:val="auto"/>
          <w:sz w:val="24"/>
          <w:szCs w:val="24"/>
          <w:highlight w:val="none"/>
          <w:lang w:val="en-US" w:eastAsia="zh-CN"/>
        </w:rPr>
        <w:t>项不得分</w:t>
      </w:r>
      <w:r>
        <w:rPr>
          <w:rFonts w:hint="eastAsia" w:ascii="宋体" w:hAnsi="宋体" w:eastAsia="宋体" w:cs="Times New Roman"/>
          <w:bCs/>
          <w:i w:val="0"/>
          <w:iCs w:val="0"/>
          <w:color w:val="auto"/>
          <w:sz w:val="24"/>
          <w:szCs w:val="24"/>
          <w:highlight w:val="none"/>
          <w:lang w:eastAsia="zh-CN"/>
        </w:rPr>
        <w:t>；</w:t>
      </w:r>
    </w:p>
    <w:p w14:paraId="0A79CF63">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所有可插拔板卡采用前插板，可以实现单面维护，得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分。（提供含链接官网证明截图，并加盖供应商公章)</w:t>
      </w:r>
    </w:p>
    <w:p w14:paraId="604C9D7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3）上网行为管理（</w:t>
      </w:r>
      <w:r>
        <w:rPr>
          <w:rFonts w:hint="eastAsia" w:ascii="宋体" w:hAnsi="宋体" w:eastAsia="宋体" w:cs="Times New Roman"/>
          <w:bCs/>
          <w:i w:val="0"/>
          <w:iCs w:val="0"/>
          <w:color w:val="auto"/>
          <w:sz w:val="24"/>
          <w:szCs w:val="24"/>
          <w:highlight w:val="none"/>
          <w:lang w:val="en-US" w:eastAsia="zh-CN"/>
        </w:rPr>
        <w:t>5</w:t>
      </w:r>
      <w:r>
        <w:rPr>
          <w:rFonts w:hint="eastAsia" w:ascii="宋体" w:hAnsi="宋体" w:eastAsia="宋体" w:cs="Times New Roman"/>
          <w:bCs/>
          <w:i w:val="0"/>
          <w:iCs w:val="0"/>
          <w:color w:val="auto"/>
          <w:sz w:val="24"/>
          <w:szCs w:val="24"/>
          <w:highlight w:val="none"/>
        </w:rPr>
        <w:t>分）</w:t>
      </w:r>
    </w:p>
    <w:p w14:paraId="6A870FEC">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en-US" w:eastAsia="zh-CN"/>
        </w:rPr>
        <w:t>A.</w:t>
      </w:r>
      <w:r>
        <w:rPr>
          <w:rFonts w:hint="eastAsia" w:ascii="宋体" w:hAnsi="宋体" w:eastAsia="宋体" w:cs="Times New Roman"/>
          <w:bCs/>
          <w:i w:val="0"/>
          <w:iCs w:val="0"/>
          <w:color w:val="auto"/>
          <w:sz w:val="24"/>
          <w:szCs w:val="24"/>
          <w:highlight w:val="none"/>
        </w:rPr>
        <w:t>内置应用识别规则库，支持超过9000种以上应用规则数、支持超过9000种以上的应用；支持根据标签选择应用，并支持给每个应用自定义标签；支持根据标签选择一类应用做控制；基础项不得分；</w:t>
      </w:r>
    </w:p>
    <w:p w14:paraId="1B7886C3">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在此基础上额外支持超过4000种以上主流Saas应用，对Saas应用有默认分类标签，帮助客户统一配置策略，得2分。（提供具备CMA认证的第三方机构出具的功能检测报告，需提供报告首页、功能检测页及尾页，加盖供应商公章）</w:t>
      </w:r>
    </w:p>
    <w:p w14:paraId="21FAE51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检测到终端为windows时，支持SSL中间人解密，基础项不得分；</w:t>
      </w:r>
    </w:p>
    <w:p w14:paraId="25938B4C">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在此基础上额外支持准入客户端解密能力的，确保数据传输的透明性与安全性，得2分。（提供具备CMA认证的第三方机构出具的功能检测报告，需提供报告首页、功能检测页及尾页，加盖供应商公章）</w:t>
      </w:r>
    </w:p>
    <w:p w14:paraId="2BD8CED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检测到终端为windows时，支持SSL加密网页的内容检查，可对SSL加密网页进行解密并识别，基础项不得分；</w:t>
      </w:r>
    </w:p>
    <w:p w14:paraId="78025994">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在此基础上额外支持过滤其内容，针对加密后的钓鱼网站、非法网站，可对用户进行重定向告警，得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分。（提供功能截图，加盖供应商公章）</w:t>
      </w:r>
    </w:p>
    <w:p w14:paraId="43A9FFBB">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4）内网边界防火墙（</w:t>
      </w:r>
      <w:r>
        <w:rPr>
          <w:rFonts w:hint="eastAsia" w:ascii="宋体" w:hAnsi="宋体" w:eastAsia="宋体" w:cs="Times New Roman"/>
          <w:bCs/>
          <w:i w:val="0"/>
          <w:iCs w:val="0"/>
          <w:color w:val="auto"/>
          <w:sz w:val="24"/>
          <w:szCs w:val="24"/>
          <w:highlight w:val="none"/>
          <w:lang w:val="en-US" w:eastAsia="zh-CN"/>
        </w:rPr>
        <w:t>8</w:t>
      </w:r>
      <w:r>
        <w:rPr>
          <w:rFonts w:hint="eastAsia" w:ascii="宋体" w:hAnsi="宋体" w:eastAsia="宋体" w:cs="Times New Roman"/>
          <w:bCs/>
          <w:i w:val="0"/>
          <w:iCs w:val="0"/>
          <w:color w:val="auto"/>
          <w:sz w:val="24"/>
          <w:szCs w:val="24"/>
          <w:highlight w:val="none"/>
        </w:rPr>
        <w:t>分）</w:t>
      </w:r>
    </w:p>
    <w:p w14:paraId="65EC1492">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en-US" w:eastAsia="zh-CN"/>
        </w:rPr>
        <w:t>A.当主机故障时，双机切换时不丢包,</w:t>
      </w:r>
      <w:r>
        <w:rPr>
          <w:rFonts w:hint="eastAsia" w:ascii="宋体" w:hAnsi="宋体" w:eastAsia="宋体" w:cs="Times New Roman"/>
          <w:bCs/>
          <w:i w:val="0"/>
          <w:iCs w:val="0"/>
          <w:color w:val="auto"/>
          <w:sz w:val="24"/>
          <w:szCs w:val="24"/>
          <w:highlight w:val="none"/>
        </w:rPr>
        <w:t>基础项不得分；</w:t>
      </w:r>
    </w:p>
    <w:p w14:paraId="011697C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eastAsia="zh-CN"/>
        </w:rPr>
      </w:pPr>
      <w:r>
        <w:rPr>
          <w:rFonts w:hint="eastAsia" w:ascii="宋体" w:hAnsi="宋体" w:eastAsia="宋体" w:cs="Times New Roman"/>
          <w:bCs/>
          <w:i w:val="0"/>
          <w:iCs w:val="0"/>
          <w:color w:val="auto"/>
          <w:sz w:val="24"/>
          <w:szCs w:val="24"/>
          <w:highlight w:val="none"/>
        </w:rPr>
        <w:t>在此基础上额外支持实现双机部署下升级不断网，得</w:t>
      </w:r>
      <w:r>
        <w:rPr>
          <w:rFonts w:hint="eastAsia" w:ascii="宋体" w:hAnsi="宋体" w:eastAsia="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rPr>
        <w:t>分</w:t>
      </w:r>
      <w:r>
        <w:rPr>
          <w:rFonts w:hint="eastAsia" w:ascii="宋体" w:hAnsi="宋体" w:eastAsia="宋体" w:cs="Times New Roman"/>
          <w:bCs/>
          <w:i w:val="0"/>
          <w:iCs w:val="0"/>
          <w:color w:val="auto"/>
          <w:sz w:val="24"/>
          <w:szCs w:val="24"/>
          <w:highlight w:val="none"/>
          <w:lang w:val="en-US" w:eastAsia="zh-CN"/>
        </w:rPr>
        <w:t>（</w:t>
      </w:r>
      <w:r>
        <w:rPr>
          <w:rFonts w:hint="eastAsia" w:ascii="宋体" w:hAnsi="宋体" w:eastAsia="宋体" w:cs="Times New Roman"/>
          <w:bCs/>
          <w:i w:val="0"/>
          <w:iCs w:val="0"/>
          <w:color w:val="auto"/>
          <w:sz w:val="24"/>
          <w:szCs w:val="24"/>
          <w:highlight w:val="none"/>
        </w:rPr>
        <w:t>提供具备CMA认证的第三方机构出具的检测报告，至少包含报告首页，对应功能测试页和尾页，加盖供应商公章</w:t>
      </w:r>
      <w:r>
        <w:rPr>
          <w:rFonts w:hint="eastAsia" w:ascii="宋体" w:hAnsi="宋体" w:eastAsia="宋体" w:cs="Times New Roman"/>
          <w:bCs/>
          <w:i w:val="0"/>
          <w:iCs w:val="0"/>
          <w:color w:val="auto"/>
          <w:sz w:val="24"/>
          <w:szCs w:val="24"/>
          <w:highlight w:val="none"/>
          <w:lang w:val="en-US" w:eastAsia="zh-CN"/>
        </w:rPr>
        <w:t>）</w:t>
      </w:r>
    </w:p>
    <w:p w14:paraId="1585475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产品支持云威胁情报网关技术，基础项不得分；</w:t>
      </w:r>
    </w:p>
    <w:p w14:paraId="44DA844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在这基础上额外能提供实现对威胁流量就近进行实时检测&amp;拦截，实现失陷外联实时阻断，保护资产安全，得2分。（需提供具备CMA标识的第三方检测报告截图，并加盖供应商公章）</w:t>
      </w:r>
    </w:p>
    <w:p w14:paraId="567867F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为提高我院运维人员处置效率，产品支持与医院现有“外网服务器防病毒aES（系统版本为6.0.2）”联动管理，可在防火墙产品完成终端安全策略设置，基础项不得分；</w:t>
      </w:r>
    </w:p>
    <w:p w14:paraId="5275442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在这基础上额外能提供支持检测到C2通信时，手动或自动化联动“aES”做C2通信的封锁遏制，支持一键隔离终端恶意文件功能，得</w:t>
      </w:r>
      <w:r>
        <w:rPr>
          <w:rFonts w:hint="eastAsia" w:ascii="宋体" w:hAnsi="宋体" w:eastAsia="宋体" w:cs="Times New Roman"/>
          <w:bCs/>
          <w:i w:val="0"/>
          <w:iCs w:val="0"/>
          <w:color w:val="auto"/>
          <w:sz w:val="24"/>
          <w:szCs w:val="24"/>
          <w:highlight w:val="none"/>
          <w:lang w:val="en-US" w:eastAsia="zh-CN"/>
        </w:rPr>
        <w:t>4</w:t>
      </w:r>
      <w:r>
        <w:rPr>
          <w:rFonts w:hint="eastAsia" w:ascii="宋体" w:hAnsi="宋体" w:eastAsia="宋体" w:cs="Times New Roman"/>
          <w:bCs/>
          <w:i w:val="0"/>
          <w:iCs w:val="0"/>
          <w:color w:val="auto"/>
          <w:sz w:val="24"/>
          <w:szCs w:val="24"/>
          <w:highlight w:val="none"/>
        </w:rPr>
        <w:t>分。（提供aES</w:t>
      </w:r>
      <w:r>
        <w:rPr>
          <w:rFonts w:hint="eastAsia" w:ascii="宋体" w:hAnsi="宋体" w:eastAsia="宋体" w:cs="Times New Roman"/>
          <w:bCs/>
          <w:i w:val="0"/>
          <w:iCs w:val="0"/>
          <w:color w:val="auto"/>
          <w:sz w:val="24"/>
          <w:szCs w:val="24"/>
          <w:highlight w:val="none"/>
          <w:lang w:val="en-US" w:eastAsia="zh-CN"/>
        </w:rPr>
        <w:t>和所投防火墙相关</w:t>
      </w:r>
      <w:r>
        <w:rPr>
          <w:rFonts w:hint="eastAsia" w:ascii="宋体" w:hAnsi="宋体" w:eastAsia="宋体" w:cs="Times New Roman"/>
          <w:bCs/>
          <w:i w:val="0"/>
          <w:iCs w:val="0"/>
          <w:color w:val="auto"/>
          <w:sz w:val="24"/>
          <w:szCs w:val="24"/>
          <w:highlight w:val="none"/>
        </w:rPr>
        <w:t>截图证明</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rPr>
        <w:t>并加盖供应商公章）</w:t>
      </w:r>
    </w:p>
    <w:p w14:paraId="45A5B34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en-US" w:eastAsia="zh-CN"/>
        </w:rPr>
        <w:t>5</w:t>
      </w:r>
      <w:r>
        <w:rPr>
          <w:rFonts w:hint="eastAsia" w:ascii="宋体" w:hAnsi="宋体" w:eastAsia="宋体" w:cs="Times New Roman"/>
          <w:bCs/>
          <w:i w:val="0"/>
          <w:iCs w:val="0"/>
          <w:color w:val="auto"/>
          <w:sz w:val="24"/>
          <w:szCs w:val="24"/>
          <w:highlight w:val="none"/>
        </w:rPr>
        <w:t>）数据中心防火墙（</w:t>
      </w:r>
      <w:r>
        <w:rPr>
          <w:rFonts w:hint="eastAsia" w:ascii="宋体" w:hAnsi="宋体" w:eastAsia="宋体" w:cs="Times New Roman"/>
          <w:bCs/>
          <w:i w:val="0"/>
          <w:iCs w:val="0"/>
          <w:color w:val="auto"/>
          <w:sz w:val="24"/>
          <w:szCs w:val="24"/>
          <w:highlight w:val="none"/>
          <w:lang w:val="en-US" w:eastAsia="zh-CN"/>
        </w:rPr>
        <w:t>6</w:t>
      </w:r>
      <w:r>
        <w:rPr>
          <w:rFonts w:hint="eastAsia" w:ascii="宋体" w:hAnsi="宋体" w:eastAsia="宋体" w:cs="Times New Roman"/>
          <w:bCs/>
          <w:i w:val="0"/>
          <w:iCs w:val="0"/>
          <w:color w:val="auto"/>
          <w:sz w:val="24"/>
          <w:szCs w:val="24"/>
          <w:highlight w:val="none"/>
        </w:rPr>
        <w:t>分）</w:t>
      </w:r>
    </w:p>
    <w:p w14:paraId="4977D87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A.系统定义内置不少于10万条资产指纹库，为基础项不得分；</w:t>
      </w:r>
    </w:p>
    <w:p w14:paraId="62A9F964">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资产指纹库超过20万条，并提供基于多级部门组织架构的资产梳理功能得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分。（提供相关功能截图证明</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lang w:val="en-US" w:eastAsia="zh-CN"/>
        </w:rPr>
        <w:t>并加盖</w:t>
      </w:r>
      <w:r>
        <w:rPr>
          <w:rFonts w:hint="eastAsia" w:ascii="宋体" w:hAnsi="宋体" w:eastAsia="宋体" w:cs="Times New Roman"/>
          <w:bCs/>
          <w:i w:val="0"/>
          <w:iCs w:val="0"/>
          <w:color w:val="auto"/>
          <w:sz w:val="24"/>
          <w:szCs w:val="24"/>
          <w:highlight w:val="none"/>
        </w:rPr>
        <w:t>供应商</w:t>
      </w:r>
      <w:r>
        <w:rPr>
          <w:rFonts w:hint="eastAsia" w:ascii="宋体" w:hAnsi="宋体" w:eastAsia="宋体" w:cs="Times New Roman"/>
          <w:bCs/>
          <w:i w:val="0"/>
          <w:iCs w:val="0"/>
          <w:color w:val="auto"/>
          <w:sz w:val="24"/>
          <w:szCs w:val="24"/>
          <w:highlight w:val="none"/>
          <w:lang w:val="en-US" w:eastAsia="zh-CN"/>
        </w:rPr>
        <w:t>公章</w:t>
      </w:r>
      <w:r>
        <w:rPr>
          <w:rFonts w:hint="eastAsia" w:ascii="宋体" w:hAnsi="宋体" w:eastAsia="宋体" w:cs="Times New Roman"/>
          <w:bCs/>
          <w:i w:val="0"/>
          <w:iCs w:val="0"/>
          <w:color w:val="auto"/>
          <w:sz w:val="24"/>
          <w:szCs w:val="24"/>
          <w:highlight w:val="none"/>
        </w:rPr>
        <w:t>）</w:t>
      </w:r>
    </w:p>
    <w:p w14:paraId="04941CD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系统预定义超过9000条主流攻击规则，为基础项不得分；</w:t>
      </w:r>
    </w:p>
    <w:p w14:paraId="4D65063B">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系统预定义超过11000条主流攻击规则，包含对应IPS规则的级别、防护对象、操作系统、CVE编号等详细信息，得2分。（提供相关证明截图及CMA</w:t>
      </w:r>
      <w:r>
        <w:rPr>
          <w:rFonts w:hint="eastAsia" w:ascii="宋体" w:hAnsi="宋体" w:eastAsia="宋体" w:cs="Times New Roman"/>
          <w:bCs/>
          <w:i w:val="0"/>
          <w:iCs w:val="0"/>
          <w:color w:val="auto"/>
          <w:sz w:val="24"/>
          <w:szCs w:val="24"/>
          <w:highlight w:val="none"/>
          <w:lang w:val="en-US" w:eastAsia="zh-CN"/>
        </w:rPr>
        <w:t>认证的</w:t>
      </w:r>
      <w:r>
        <w:rPr>
          <w:rFonts w:hint="eastAsia" w:ascii="宋体" w:hAnsi="宋体" w:eastAsia="宋体" w:cs="Times New Roman"/>
          <w:bCs/>
          <w:i w:val="0"/>
          <w:iCs w:val="0"/>
          <w:color w:val="auto"/>
          <w:sz w:val="24"/>
          <w:szCs w:val="24"/>
          <w:highlight w:val="none"/>
        </w:rPr>
        <w:t>第三方实验室测试报告证明</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rPr>
        <w:t>并加盖供应商公章）</w:t>
      </w:r>
    </w:p>
    <w:p w14:paraId="1C73A6D4">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内置黑名单容量规格至少20万条，为基础项不得分；</w:t>
      </w:r>
    </w:p>
    <w:p w14:paraId="67947DF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内置黑名单容量规格大于或等于100万条，得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分。（提供相关功能截图证明</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rPr>
        <w:t>并加盖供应商公章）</w:t>
      </w:r>
    </w:p>
    <w:p w14:paraId="45ABAE23">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防火墙在遇到较大流量时，有相应的流量处置机制，用来保障网络稳定性，为基础项不得分；</w:t>
      </w:r>
    </w:p>
    <w:p w14:paraId="1E995E1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rPr>
        <w:t>支持智能模式，在智能模式下，安全引擎将尽可能的处理网络报文，但不影响网络转发，得2分。（提供相关证明截图及CMA</w:t>
      </w:r>
      <w:r>
        <w:rPr>
          <w:rFonts w:hint="eastAsia" w:ascii="宋体" w:hAnsi="宋体" w:eastAsia="宋体" w:cs="Times New Roman"/>
          <w:bCs/>
          <w:i w:val="0"/>
          <w:iCs w:val="0"/>
          <w:color w:val="auto"/>
          <w:sz w:val="24"/>
          <w:szCs w:val="24"/>
          <w:highlight w:val="none"/>
          <w:lang w:val="en-US" w:eastAsia="zh-CN"/>
        </w:rPr>
        <w:t>认证的</w:t>
      </w:r>
      <w:r>
        <w:rPr>
          <w:rFonts w:hint="eastAsia" w:ascii="宋体" w:hAnsi="宋体" w:eastAsia="宋体" w:cs="Times New Roman"/>
          <w:bCs/>
          <w:i w:val="0"/>
          <w:iCs w:val="0"/>
          <w:color w:val="auto"/>
          <w:sz w:val="24"/>
          <w:szCs w:val="24"/>
          <w:highlight w:val="none"/>
        </w:rPr>
        <w:t>第三方实验室测试报告证明</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rPr>
        <w:t>并加盖供应商公章）</w:t>
      </w:r>
    </w:p>
    <w:p w14:paraId="7725DF2A">
      <w:pPr>
        <w:keepNext w:val="0"/>
        <w:keepLines w:val="0"/>
        <w:pageBreakBefore w:val="0"/>
        <w:widowControl w:val="0"/>
        <w:tabs>
          <w:tab w:val="left" w:pos="945"/>
          <w:tab w:val="left" w:pos="1155"/>
        </w:tabs>
        <w:spacing w:line="500" w:lineRule="exact"/>
        <w:ind w:left="0" w:firstLine="480"/>
        <w:rPr>
          <w:rFonts w:hint="default" w:ascii="宋体" w:hAnsi="宋体" w:eastAsia="宋体" w:cs="Times New Roman"/>
          <w:b/>
          <w:bCs w:val="0"/>
          <w:i w:val="0"/>
          <w:i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lang w:val="en-US" w:eastAsia="zh-CN"/>
        </w:rPr>
        <w:t>（四）技术方案分（40分）</w:t>
      </w:r>
    </w:p>
    <w:p w14:paraId="6043420F">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）项目实施方案（</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7EDE242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投标供应商针对本项目提供的项目实施方案包括下述</w:t>
      </w:r>
      <w:r>
        <w:rPr>
          <w:rFonts w:hint="eastAsia" w:ascii="宋体" w:hAnsi="宋体" w:eastAsia="宋体" w:cs="Times New Roman"/>
          <w:bCs/>
          <w:i w:val="0"/>
          <w:iCs w:val="0"/>
          <w:color w:val="auto"/>
          <w:sz w:val="24"/>
          <w:szCs w:val="24"/>
          <w:highlight w:val="none"/>
          <w:lang w:val="en-US" w:eastAsia="zh-CN"/>
        </w:rPr>
        <w:t>5</w:t>
      </w:r>
      <w:r>
        <w:rPr>
          <w:rFonts w:hint="eastAsia" w:ascii="宋体" w:hAnsi="宋体" w:eastAsia="宋体" w:cs="Times New Roman"/>
          <w:bCs/>
          <w:i w:val="0"/>
          <w:iCs w:val="0"/>
          <w:color w:val="auto"/>
          <w:sz w:val="24"/>
          <w:szCs w:val="24"/>
          <w:highlight w:val="none"/>
        </w:rPr>
        <w:t>项：①</w:t>
      </w:r>
      <w:r>
        <w:rPr>
          <w:rFonts w:hint="eastAsia" w:ascii="宋体" w:hAnsi="宋体" w:eastAsia="宋体" w:cs="Times New Roman"/>
          <w:bCs/>
          <w:i w:val="0"/>
          <w:iCs w:val="0"/>
          <w:color w:val="auto"/>
          <w:sz w:val="24"/>
          <w:szCs w:val="24"/>
          <w:highlight w:val="none"/>
          <w:lang w:val="en-US" w:eastAsia="zh-CN"/>
        </w:rPr>
        <w:t>项目现状描述；②</w:t>
      </w:r>
      <w:r>
        <w:rPr>
          <w:rFonts w:hint="eastAsia" w:ascii="宋体" w:hAnsi="宋体" w:eastAsia="宋体" w:cs="Times New Roman"/>
          <w:bCs/>
          <w:i w:val="0"/>
          <w:iCs w:val="0"/>
          <w:color w:val="auto"/>
          <w:sz w:val="24"/>
          <w:szCs w:val="24"/>
          <w:highlight w:val="none"/>
        </w:rPr>
        <w:t>项目实施进度计划；</w:t>
      </w:r>
      <w:r>
        <w:rPr>
          <w:rFonts w:hint="eastAsia" w:ascii="宋体" w:hAnsi="宋体" w:eastAsia="宋体" w:cs="Times New Roman"/>
          <w:bCs/>
          <w:i w:val="0"/>
          <w:iCs w:val="0"/>
          <w:color w:val="auto"/>
          <w:sz w:val="24"/>
          <w:szCs w:val="24"/>
          <w:highlight w:val="none"/>
          <w:lang w:val="en-US" w:eastAsia="zh-CN"/>
        </w:rPr>
        <w:t>③</w:t>
      </w:r>
      <w:r>
        <w:rPr>
          <w:rFonts w:hint="eastAsia" w:ascii="宋体" w:hAnsi="宋体" w:eastAsia="宋体" w:cs="Times New Roman"/>
          <w:bCs/>
          <w:i w:val="0"/>
          <w:iCs w:val="0"/>
          <w:color w:val="auto"/>
          <w:sz w:val="24"/>
          <w:szCs w:val="24"/>
          <w:highlight w:val="none"/>
        </w:rPr>
        <w:t>包装运输方案；</w:t>
      </w:r>
      <w:r>
        <w:rPr>
          <w:rFonts w:hint="eastAsia" w:ascii="宋体" w:hAnsi="宋体" w:eastAsia="宋体" w:cs="Times New Roman"/>
          <w:bCs/>
          <w:i w:val="0"/>
          <w:iCs w:val="0"/>
          <w:color w:val="auto"/>
          <w:sz w:val="24"/>
          <w:szCs w:val="24"/>
          <w:highlight w:val="none"/>
          <w:lang w:val="en-US" w:eastAsia="zh-CN"/>
        </w:rPr>
        <w:t>④</w:t>
      </w:r>
      <w:r>
        <w:rPr>
          <w:rFonts w:hint="eastAsia" w:ascii="宋体" w:hAnsi="宋体" w:eastAsia="宋体" w:cs="Times New Roman"/>
          <w:bCs/>
          <w:i w:val="0"/>
          <w:iCs w:val="0"/>
          <w:color w:val="auto"/>
          <w:sz w:val="24"/>
          <w:szCs w:val="24"/>
          <w:highlight w:val="none"/>
        </w:rPr>
        <w:t>安装调试流程</w:t>
      </w:r>
      <w:r>
        <w:rPr>
          <w:rFonts w:hint="eastAsia" w:ascii="宋体" w:hAnsi="宋体" w:eastAsia="宋体" w:cs="Times New Roman"/>
          <w:bCs/>
          <w:i w:val="0"/>
          <w:iCs w:val="0"/>
          <w:color w:val="auto"/>
          <w:sz w:val="24"/>
          <w:szCs w:val="24"/>
          <w:highlight w:val="none"/>
          <w:lang w:eastAsia="zh-CN"/>
        </w:rPr>
        <w:t>、</w:t>
      </w:r>
      <w:r>
        <w:rPr>
          <w:rFonts w:hint="eastAsia" w:ascii="宋体" w:hAnsi="宋体" w:eastAsia="宋体" w:cs="Times New Roman"/>
          <w:bCs/>
          <w:i w:val="0"/>
          <w:iCs w:val="0"/>
          <w:color w:val="auto"/>
          <w:sz w:val="24"/>
          <w:szCs w:val="24"/>
          <w:highlight w:val="none"/>
        </w:rPr>
        <w:t>技术重难点指导</w:t>
      </w:r>
      <w:r>
        <w:rPr>
          <w:rFonts w:hint="eastAsia" w:ascii="宋体" w:hAnsi="宋体" w:eastAsia="宋体" w:cs="Times New Roman"/>
          <w:bCs/>
          <w:i w:val="0"/>
          <w:iCs w:val="0"/>
          <w:color w:val="auto"/>
          <w:sz w:val="24"/>
          <w:szCs w:val="24"/>
          <w:highlight w:val="none"/>
          <w:lang w:val="en-US" w:eastAsia="zh-CN"/>
        </w:rPr>
        <w:t>及</w:t>
      </w:r>
      <w:r>
        <w:rPr>
          <w:rFonts w:hint="eastAsia" w:ascii="宋体" w:hAnsi="宋体" w:eastAsia="宋体" w:cs="Times New Roman"/>
          <w:bCs/>
          <w:i w:val="0"/>
          <w:iCs w:val="0"/>
          <w:color w:val="auto"/>
          <w:sz w:val="24"/>
          <w:szCs w:val="24"/>
          <w:highlight w:val="none"/>
        </w:rPr>
        <w:t>安装调试人员安排；</w:t>
      </w:r>
      <w:r>
        <w:rPr>
          <w:rFonts w:hint="eastAsia" w:ascii="宋体" w:hAnsi="宋体" w:eastAsia="宋体" w:cs="Times New Roman"/>
          <w:bCs/>
          <w:i w:val="0"/>
          <w:iCs w:val="0"/>
          <w:color w:val="auto"/>
          <w:sz w:val="24"/>
          <w:szCs w:val="24"/>
          <w:highlight w:val="none"/>
          <w:lang w:val="en-US" w:eastAsia="zh-CN"/>
        </w:rPr>
        <w:t>⑤</w:t>
      </w:r>
      <w:r>
        <w:rPr>
          <w:rFonts w:hint="eastAsia" w:ascii="宋体" w:hAnsi="宋体" w:eastAsia="宋体" w:cs="Times New Roman"/>
          <w:bCs/>
          <w:i w:val="0"/>
          <w:iCs w:val="0"/>
          <w:color w:val="auto"/>
          <w:sz w:val="24"/>
          <w:szCs w:val="24"/>
          <w:highlight w:val="none"/>
        </w:rPr>
        <w:t>质量保证措施。</w:t>
      </w:r>
    </w:p>
    <w:p w14:paraId="04D4D4F2">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投标供应商针对上述内容进行阐述，要求阐述内容合理、针对性强、切实可行有效。以上每点内容不存在瑕疵的得</w:t>
      </w:r>
      <w:r>
        <w:rPr>
          <w:rFonts w:hint="eastAsia" w:ascii="宋体" w:hAnsi="宋体" w:eastAsia="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rPr>
        <w:t>分，存在1处瑕疵的得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分，存在2处瑕疵的，有基本的解释说明的得</w:t>
      </w:r>
      <w:r>
        <w:rPr>
          <w:rFonts w:hint="eastAsia" w:ascii="宋体" w:hAnsi="宋体" w:eastAsia="宋体" w:cs="Times New Roman"/>
          <w:bCs/>
          <w:i w:val="0"/>
          <w:iCs w:val="0"/>
          <w:color w:val="auto"/>
          <w:sz w:val="24"/>
          <w:szCs w:val="24"/>
          <w:highlight w:val="none"/>
          <w:lang w:val="en-US" w:eastAsia="zh-CN"/>
        </w:rPr>
        <w:t>0.5</w:t>
      </w:r>
      <w:r>
        <w:rPr>
          <w:rFonts w:hint="eastAsia" w:ascii="宋体" w:hAnsi="宋体" w:eastAsia="宋体" w:cs="Times New Roman"/>
          <w:bCs/>
          <w:i w:val="0"/>
          <w:iCs w:val="0"/>
          <w:color w:val="auto"/>
          <w:sz w:val="24"/>
          <w:szCs w:val="24"/>
          <w:highlight w:val="none"/>
        </w:rPr>
        <w:t>分，未进行阐述或不满足采购需求或内容存在2处以上瑕疵的得0分；本项共计</w:t>
      </w:r>
      <w:r>
        <w:rPr>
          <w:rFonts w:hint="eastAsia" w:ascii="宋体" w:hAnsi="宋体" w:eastAsia="宋体" w:cs="Times New Roman"/>
          <w:bCs/>
          <w:i w:val="0"/>
          <w:iCs w:val="0"/>
          <w:color w:val="auto"/>
          <w:sz w:val="24"/>
          <w:szCs w:val="24"/>
          <w:highlight w:val="none"/>
          <w:lang w:val="en-US" w:eastAsia="zh-CN"/>
        </w:rPr>
        <w:t>5</w:t>
      </w:r>
      <w:r>
        <w:rPr>
          <w:rFonts w:hint="eastAsia" w:ascii="宋体" w:hAnsi="宋体" w:eastAsia="宋体" w:cs="Times New Roman"/>
          <w:bCs/>
          <w:i w:val="0"/>
          <w:iCs w:val="0"/>
          <w:color w:val="auto"/>
          <w:sz w:val="24"/>
          <w:szCs w:val="24"/>
          <w:highlight w:val="none"/>
        </w:rPr>
        <w:t>点内容，本项最高得</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35A3C746">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w:t>
      </w:r>
      <w:r>
        <w:rPr>
          <w:rFonts w:hint="eastAsia" w:ascii="宋体" w:hAnsi="宋体" w:eastAsia="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rPr>
        <w:t>）培训方案（</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7FC429B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投标供应商针对本项目提供的培训方案包括下述5项：①</w:t>
      </w:r>
      <w:r>
        <w:rPr>
          <w:rFonts w:hint="eastAsia" w:ascii="宋体" w:hAnsi="宋体" w:eastAsia="宋体" w:cs="Times New Roman"/>
          <w:bCs/>
          <w:i w:val="0"/>
          <w:iCs w:val="0"/>
          <w:color w:val="auto"/>
          <w:sz w:val="24"/>
          <w:szCs w:val="24"/>
          <w:highlight w:val="none"/>
          <w:lang w:val="en-US" w:eastAsia="zh-CN"/>
        </w:rPr>
        <w:t>培训计划</w:t>
      </w:r>
      <w:r>
        <w:rPr>
          <w:rFonts w:hint="eastAsia" w:ascii="宋体" w:hAnsi="宋体" w:eastAsia="宋体" w:cs="Times New Roman"/>
          <w:bCs/>
          <w:i w:val="0"/>
          <w:iCs w:val="0"/>
          <w:color w:val="auto"/>
          <w:sz w:val="24"/>
          <w:szCs w:val="24"/>
          <w:highlight w:val="none"/>
        </w:rPr>
        <w:t>；②</w:t>
      </w:r>
      <w:r>
        <w:rPr>
          <w:rFonts w:hint="eastAsia" w:ascii="宋体" w:hAnsi="宋体" w:eastAsia="宋体" w:cs="Times New Roman"/>
          <w:bCs/>
          <w:i w:val="0"/>
          <w:iCs w:val="0"/>
          <w:color w:val="auto"/>
          <w:sz w:val="24"/>
          <w:szCs w:val="24"/>
          <w:highlight w:val="none"/>
          <w:lang w:val="en-US" w:eastAsia="zh-CN"/>
        </w:rPr>
        <w:t>人员安排</w:t>
      </w:r>
      <w:r>
        <w:rPr>
          <w:rFonts w:hint="eastAsia" w:ascii="宋体" w:hAnsi="宋体" w:eastAsia="宋体" w:cs="Times New Roman"/>
          <w:bCs/>
          <w:i w:val="0"/>
          <w:iCs w:val="0"/>
          <w:color w:val="auto"/>
          <w:sz w:val="24"/>
          <w:szCs w:val="24"/>
          <w:highlight w:val="none"/>
        </w:rPr>
        <w:t>；③</w:t>
      </w:r>
      <w:r>
        <w:rPr>
          <w:rFonts w:hint="eastAsia" w:ascii="宋体" w:hAnsi="宋体" w:eastAsia="宋体" w:cs="Times New Roman"/>
          <w:bCs/>
          <w:i w:val="0"/>
          <w:iCs w:val="0"/>
          <w:color w:val="auto"/>
          <w:sz w:val="24"/>
          <w:szCs w:val="24"/>
          <w:highlight w:val="none"/>
          <w:lang w:val="en-US" w:eastAsia="zh-CN"/>
        </w:rPr>
        <w:t>课程安排</w:t>
      </w:r>
      <w:r>
        <w:rPr>
          <w:rFonts w:hint="eastAsia" w:ascii="宋体" w:hAnsi="宋体" w:eastAsia="宋体" w:cs="Times New Roman"/>
          <w:bCs/>
          <w:i w:val="0"/>
          <w:iCs w:val="0"/>
          <w:color w:val="auto"/>
          <w:sz w:val="24"/>
          <w:szCs w:val="24"/>
          <w:highlight w:val="none"/>
        </w:rPr>
        <w:t>；④常见故障的排除；⑤紧急情况的处理。</w:t>
      </w:r>
    </w:p>
    <w:p w14:paraId="07669747">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投标供应商针对上述内容进行阐述，要求阐述内容合理、针对性强、切实可行有效。以上每点内容不存在瑕疵的得</w:t>
      </w:r>
      <w:r>
        <w:rPr>
          <w:rFonts w:hint="eastAsia" w:ascii="宋体" w:hAnsi="宋体" w:eastAsia="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rPr>
        <w:t>分，存在1处瑕疵的得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分，存在2处瑕疵的，有基本的解释说明的得</w:t>
      </w:r>
      <w:r>
        <w:rPr>
          <w:rFonts w:hint="eastAsia" w:ascii="宋体" w:hAnsi="宋体" w:eastAsia="宋体" w:cs="Times New Roman"/>
          <w:bCs/>
          <w:i w:val="0"/>
          <w:iCs w:val="0"/>
          <w:color w:val="auto"/>
          <w:sz w:val="24"/>
          <w:szCs w:val="24"/>
          <w:highlight w:val="none"/>
          <w:lang w:val="en-US" w:eastAsia="zh-CN"/>
        </w:rPr>
        <w:t>0.5</w:t>
      </w:r>
      <w:r>
        <w:rPr>
          <w:rFonts w:hint="eastAsia" w:ascii="宋体" w:hAnsi="宋体" w:eastAsia="宋体" w:cs="Times New Roman"/>
          <w:bCs/>
          <w:i w:val="0"/>
          <w:iCs w:val="0"/>
          <w:color w:val="auto"/>
          <w:sz w:val="24"/>
          <w:szCs w:val="24"/>
          <w:highlight w:val="none"/>
        </w:rPr>
        <w:t>分，未进行阐述或不满足采购需求或内容存在2处以上瑕疵的得0分；本项共计</w:t>
      </w:r>
      <w:r>
        <w:rPr>
          <w:rFonts w:hint="eastAsia" w:ascii="宋体" w:hAnsi="宋体" w:eastAsia="宋体" w:cs="Times New Roman"/>
          <w:bCs/>
          <w:i w:val="0"/>
          <w:iCs w:val="0"/>
          <w:color w:val="auto"/>
          <w:sz w:val="24"/>
          <w:szCs w:val="24"/>
          <w:highlight w:val="none"/>
          <w:lang w:val="en-US" w:eastAsia="zh-CN"/>
        </w:rPr>
        <w:t>5</w:t>
      </w:r>
      <w:r>
        <w:rPr>
          <w:rFonts w:hint="eastAsia" w:ascii="宋体" w:hAnsi="宋体" w:eastAsia="宋体" w:cs="Times New Roman"/>
          <w:bCs/>
          <w:i w:val="0"/>
          <w:iCs w:val="0"/>
          <w:color w:val="auto"/>
          <w:sz w:val="24"/>
          <w:szCs w:val="24"/>
          <w:highlight w:val="none"/>
        </w:rPr>
        <w:t>点内容，本项最高得</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0ECAAEA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w:t>
      </w:r>
      <w:r>
        <w:rPr>
          <w:rFonts w:hint="eastAsia" w:ascii="宋体" w:hAnsi="宋体" w:eastAsia="宋体" w:cs="Times New Roman"/>
          <w:bCs/>
          <w:i w:val="0"/>
          <w:iCs w:val="0"/>
          <w:color w:val="auto"/>
          <w:sz w:val="24"/>
          <w:szCs w:val="24"/>
          <w:highlight w:val="none"/>
          <w:lang w:val="en-US" w:eastAsia="zh-CN"/>
        </w:rPr>
        <w:t>3</w:t>
      </w:r>
      <w:r>
        <w:rPr>
          <w:rFonts w:hint="eastAsia" w:ascii="宋体" w:hAnsi="宋体" w:eastAsia="宋体" w:cs="Times New Roman"/>
          <w:bCs/>
          <w:i w:val="0"/>
          <w:iCs w:val="0"/>
          <w:color w:val="auto"/>
          <w:sz w:val="24"/>
          <w:szCs w:val="24"/>
          <w:highlight w:val="none"/>
        </w:rPr>
        <w:t>）售后服务方案（</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2C430A3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投标供应商针对本项目提供的售后服务方案包括下述5项：①售后服务体系；②售后服务内容；③故障解决方案；④专业技术人员保障及服务电话等；⑤响应时间及补救措施等。</w:t>
      </w:r>
    </w:p>
    <w:p w14:paraId="5E88DC37">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投标供应商针对上述内容进行阐述，要求阐述内容合理、针对性强、切实可行有效。以上每点内容不存在瑕疵的得</w:t>
      </w:r>
      <w:r>
        <w:rPr>
          <w:rFonts w:hint="eastAsia" w:ascii="宋体" w:hAnsi="宋体" w:eastAsia="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rPr>
        <w:t>分，存在1处瑕疵的得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分，存在2处瑕疵的，有基本的解释说明的得</w:t>
      </w:r>
      <w:r>
        <w:rPr>
          <w:rFonts w:hint="eastAsia" w:ascii="宋体" w:hAnsi="宋体" w:eastAsia="宋体" w:cs="Times New Roman"/>
          <w:bCs/>
          <w:i w:val="0"/>
          <w:iCs w:val="0"/>
          <w:color w:val="auto"/>
          <w:sz w:val="24"/>
          <w:szCs w:val="24"/>
          <w:highlight w:val="none"/>
          <w:lang w:val="en-US" w:eastAsia="zh-CN"/>
        </w:rPr>
        <w:t>0.5</w:t>
      </w:r>
      <w:r>
        <w:rPr>
          <w:rFonts w:hint="eastAsia" w:ascii="宋体" w:hAnsi="宋体" w:eastAsia="宋体" w:cs="Times New Roman"/>
          <w:bCs/>
          <w:i w:val="0"/>
          <w:iCs w:val="0"/>
          <w:color w:val="auto"/>
          <w:sz w:val="24"/>
          <w:szCs w:val="24"/>
          <w:highlight w:val="none"/>
        </w:rPr>
        <w:t>分，未进行阐述或不满足采购需求或内容存在2处以上瑕疵的得0分；本项共计</w:t>
      </w:r>
      <w:r>
        <w:rPr>
          <w:rFonts w:hint="eastAsia" w:ascii="宋体" w:hAnsi="宋体" w:eastAsia="宋体" w:cs="Times New Roman"/>
          <w:bCs/>
          <w:i w:val="0"/>
          <w:iCs w:val="0"/>
          <w:color w:val="auto"/>
          <w:sz w:val="24"/>
          <w:szCs w:val="24"/>
          <w:highlight w:val="none"/>
          <w:lang w:val="en-US" w:eastAsia="zh-CN"/>
        </w:rPr>
        <w:t>5</w:t>
      </w:r>
      <w:r>
        <w:rPr>
          <w:rFonts w:hint="eastAsia" w:ascii="宋体" w:hAnsi="宋体" w:eastAsia="宋体" w:cs="Times New Roman"/>
          <w:bCs/>
          <w:i w:val="0"/>
          <w:iCs w:val="0"/>
          <w:color w:val="auto"/>
          <w:sz w:val="24"/>
          <w:szCs w:val="24"/>
          <w:highlight w:val="none"/>
        </w:rPr>
        <w:t>点内容，本项最高得</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2862678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w:t>
      </w:r>
      <w:r>
        <w:rPr>
          <w:rFonts w:hint="eastAsia" w:ascii="宋体" w:hAnsi="宋体" w:eastAsia="宋体" w:cs="Times New Roman"/>
          <w:bCs/>
          <w:i w:val="0"/>
          <w:iCs w:val="0"/>
          <w:color w:val="auto"/>
          <w:sz w:val="24"/>
          <w:szCs w:val="24"/>
          <w:highlight w:val="none"/>
          <w:lang w:val="en-US" w:eastAsia="zh-CN"/>
        </w:rPr>
        <w:t>4</w:t>
      </w:r>
      <w:r>
        <w:rPr>
          <w:rFonts w:hint="eastAsia" w:ascii="宋体" w:hAnsi="宋体" w:eastAsia="宋体" w:cs="Times New Roman"/>
          <w:bCs/>
          <w:i w:val="0"/>
          <w:iCs w:val="0"/>
          <w:color w:val="auto"/>
          <w:sz w:val="24"/>
          <w:szCs w:val="24"/>
          <w:highlight w:val="none"/>
        </w:rPr>
        <w:t>）</w:t>
      </w:r>
      <w:r>
        <w:rPr>
          <w:rFonts w:hint="eastAsia" w:ascii="宋体" w:hAnsi="宋体" w:eastAsia="宋体" w:cs="Times New Roman"/>
          <w:bCs/>
          <w:i w:val="0"/>
          <w:iCs w:val="0"/>
          <w:color w:val="auto"/>
          <w:sz w:val="24"/>
          <w:szCs w:val="24"/>
          <w:highlight w:val="none"/>
          <w:lang w:val="en-US" w:eastAsia="zh-CN"/>
        </w:rPr>
        <w:t>应急响应</w:t>
      </w:r>
      <w:r>
        <w:rPr>
          <w:rFonts w:hint="eastAsia" w:ascii="宋体" w:hAnsi="宋体" w:eastAsia="宋体" w:cs="Times New Roman"/>
          <w:bCs/>
          <w:i w:val="0"/>
          <w:iCs w:val="0"/>
          <w:color w:val="auto"/>
          <w:sz w:val="24"/>
          <w:szCs w:val="24"/>
          <w:highlight w:val="none"/>
        </w:rPr>
        <w:t>方案（</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540BE5E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投标供应商针对本项目提供的</w:t>
      </w:r>
      <w:r>
        <w:rPr>
          <w:rFonts w:hint="eastAsia" w:ascii="宋体" w:hAnsi="宋体" w:eastAsia="宋体" w:cs="Times New Roman"/>
          <w:bCs/>
          <w:i w:val="0"/>
          <w:iCs w:val="0"/>
          <w:color w:val="auto"/>
          <w:sz w:val="24"/>
          <w:szCs w:val="24"/>
          <w:highlight w:val="none"/>
          <w:lang w:val="en-US" w:eastAsia="zh-CN"/>
        </w:rPr>
        <w:t>应急响应</w:t>
      </w:r>
      <w:r>
        <w:rPr>
          <w:rFonts w:hint="eastAsia" w:ascii="宋体" w:hAnsi="宋体" w:eastAsia="宋体" w:cs="Times New Roman"/>
          <w:bCs/>
          <w:i w:val="0"/>
          <w:iCs w:val="0"/>
          <w:color w:val="auto"/>
          <w:sz w:val="24"/>
          <w:szCs w:val="24"/>
          <w:highlight w:val="none"/>
        </w:rPr>
        <w:t>方案包括下述</w:t>
      </w:r>
      <w:r>
        <w:rPr>
          <w:rFonts w:hint="eastAsia" w:ascii="宋体" w:hAnsi="宋体" w:eastAsia="宋体" w:cs="Times New Roman"/>
          <w:bCs/>
          <w:i w:val="0"/>
          <w:iCs w:val="0"/>
          <w:color w:val="auto"/>
          <w:sz w:val="24"/>
          <w:szCs w:val="24"/>
          <w:highlight w:val="none"/>
          <w:lang w:val="en-US" w:eastAsia="zh-CN"/>
        </w:rPr>
        <w:t>4</w:t>
      </w:r>
      <w:r>
        <w:rPr>
          <w:rFonts w:hint="eastAsia" w:ascii="宋体" w:hAnsi="宋体" w:eastAsia="宋体" w:cs="Times New Roman"/>
          <w:bCs/>
          <w:i w:val="0"/>
          <w:iCs w:val="0"/>
          <w:color w:val="auto"/>
          <w:sz w:val="24"/>
          <w:szCs w:val="24"/>
          <w:highlight w:val="none"/>
        </w:rPr>
        <w:t>项：①应急组织体系；②重大情况处理；③应急保障措施；④应急响应方式等。</w:t>
      </w:r>
    </w:p>
    <w:p w14:paraId="73484DF5">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投标供应商针对上述内容进行阐述，要求阐述内容合理、针对性强、切实可行有效。以上每点内容不存在瑕疵的得</w:t>
      </w:r>
      <w:r>
        <w:rPr>
          <w:rFonts w:hint="eastAsia" w:ascii="宋体" w:hAnsi="宋体" w:eastAsia="宋体" w:cs="Times New Roman"/>
          <w:bCs/>
          <w:i w:val="0"/>
          <w:iCs w:val="0"/>
          <w:color w:val="auto"/>
          <w:sz w:val="24"/>
          <w:szCs w:val="24"/>
          <w:highlight w:val="none"/>
          <w:lang w:val="en-US" w:eastAsia="zh-CN"/>
        </w:rPr>
        <w:t>2.5</w:t>
      </w:r>
      <w:r>
        <w:rPr>
          <w:rFonts w:hint="eastAsia" w:ascii="宋体" w:hAnsi="宋体" w:eastAsia="宋体" w:cs="Times New Roman"/>
          <w:bCs/>
          <w:i w:val="0"/>
          <w:iCs w:val="0"/>
          <w:color w:val="auto"/>
          <w:sz w:val="24"/>
          <w:szCs w:val="24"/>
          <w:highlight w:val="none"/>
        </w:rPr>
        <w:t>分，存在1处瑕疵的得</w:t>
      </w:r>
      <w:r>
        <w:rPr>
          <w:rFonts w:hint="eastAsia" w:ascii="宋体" w:hAnsi="宋体" w:eastAsia="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rPr>
        <w:t>分，存在2处瑕疵的，有基本的解释说明的得</w:t>
      </w:r>
      <w:r>
        <w:rPr>
          <w:rFonts w:hint="eastAsia" w:ascii="宋体" w:hAnsi="宋体" w:eastAsia="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rPr>
        <w:t>分，未进行阐述或不满足采购需求或内容存在2处以上瑕疵的得0分；本项共计</w:t>
      </w:r>
      <w:r>
        <w:rPr>
          <w:rFonts w:hint="eastAsia" w:ascii="宋体" w:hAnsi="宋体" w:eastAsia="宋体" w:cs="Times New Roman"/>
          <w:bCs/>
          <w:i w:val="0"/>
          <w:iCs w:val="0"/>
          <w:color w:val="auto"/>
          <w:sz w:val="24"/>
          <w:szCs w:val="24"/>
          <w:highlight w:val="none"/>
          <w:lang w:val="en-US" w:eastAsia="zh-CN"/>
        </w:rPr>
        <w:t>4</w:t>
      </w:r>
      <w:r>
        <w:rPr>
          <w:rFonts w:hint="eastAsia" w:ascii="宋体" w:hAnsi="宋体" w:eastAsia="宋体" w:cs="Times New Roman"/>
          <w:bCs/>
          <w:i w:val="0"/>
          <w:iCs w:val="0"/>
          <w:color w:val="auto"/>
          <w:sz w:val="24"/>
          <w:szCs w:val="24"/>
          <w:highlight w:val="none"/>
        </w:rPr>
        <w:t>点内容，本项最高得</w:t>
      </w:r>
      <w:r>
        <w:rPr>
          <w:rFonts w:hint="eastAsia" w:ascii="宋体" w:hAnsi="宋体" w:eastAsia="宋体" w:cs="Times New Roman"/>
          <w:bCs/>
          <w:i w:val="0"/>
          <w:iCs w:val="0"/>
          <w:color w:val="auto"/>
          <w:sz w:val="24"/>
          <w:szCs w:val="24"/>
          <w:highlight w:val="none"/>
          <w:lang w:val="en-US" w:eastAsia="zh-CN"/>
        </w:rPr>
        <w:t>10</w:t>
      </w:r>
      <w:r>
        <w:rPr>
          <w:rFonts w:hint="eastAsia" w:ascii="宋体" w:hAnsi="宋体" w:eastAsia="宋体" w:cs="Times New Roman"/>
          <w:bCs/>
          <w:i w:val="0"/>
          <w:iCs w:val="0"/>
          <w:color w:val="auto"/>
          <w:sz w:val="24"/>
          <w:szCs w:val="24"/>
          <w:highlight w:val="none"/>
        </w:rPr>
        <w:t>分。</w:t>
      </w:r>
    </w:p>
    <w:p w14:paraId="4E0DEA77">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B42C2D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w:t>
      </w:r>
      <w:r>
        <w:rPr>
          <w:rFonts w:hint="eastAsia" w:ascii="宋体" w:hAnsi="宋体" w:eastAsia="宋体" w:cs="Times New Roman"/>
          <w:bCs/>
          <w:i w:val="0"/>
          <w:iCs w:val="0"/>
          <w:color w:val="auto"/>
          <w:sz w:val="24"/>
          <w:szCs w:val="24"/>
          <w:highlight w:val="none"/>
          <w:lang w:eastAsia="zh-CN"/>
        </w:rPr>
        <w:t>四</w:t>
      </w:r>
      <w:r>
        <w:rPr>
          <w:rFonts w:hint="eastAsia" w:ascii="宋体" w:hAnsi="宋体" w:eastAsia="宋体" w:cs="Times New Roman"/>
          <w:bCs/>
          <w:i w:val="0"/>
          <w:iCs w:val="0"/>
          <w:color w:val="auto"/>
          <w:sz w:val="24"/>
          <w:szCs w:val="24"/>
          <w:highlight w:val="none"/>
        </w:rPr>
        <w:t>）</w:t>
      </w:r>
      <w:bookmarkStart w:id="134" w:name="OLE_LINK41"/>
      <w:r>
        <w:rPr>
          <w:rFonts w:hint="eastAsia" w:ascii="宋体" w:hAnsi="宋体" w:eastAsia="宋体" w:cs="Times New Roman"/>
          <w:bCs/>
          <w:i w:val="0"/>
          <w:iCs w:val="0"/>
          <w:color w:val="auto"/>
          <w:sz w:val="24"/>
          <w:szCs w:val="24"/>
          <w:highlight w:val="none"/>
        </w:rPr>
        <w:t>政策性因素（3分）</w:t>
      </w:r>
      <w:bookmarkEnd w:id="134"/>
    </w:p>
    <w:p w14:paraId="134A71F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bookmarkStart w:id="135" w:name="OLE_LINK40"/>
      <w:r>
        <w:rPr>
          <w:rFonts w:hint="eastAsia" w:ascii="宋体" w:hAnsi="宋体" w:eastAsia="宋体" w:cs="Times New Roman"/>
          <w:bCs/>
          <w:i w:val="0"/>
          <w:iCs w:val="0"/>
          <w:color w:val="auto"/>
          <w:sz w:val="24"/>
          <w:szCs w:val="24"/>
          <w:highlight w:val="none"/>
        </w:rPr>
        <w:t>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本项最高得2分。</w:t>
      </w:r>
    </w:p>
    <w:p w14:paraId="46C06885">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35"/>
    </w:p>
    <w:p w14:paraId="76796D1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p>
    <w:p w14:paraId="481AC587">
      <w:pPr>
        <w:rPr>
          <w:color w:val="auto"/>
          <w:highlight w:val="none"/>
        </w:rPr>
      </w:pPr>
    </w:p>
    <w:p w14:paraId="09A67B71">
      <w:pPr>
        <w:pStyle w:val="38"/>
        <w:ind w:left="0" w:leftChars="0" w:firstLine="0" w:firstLineChars="0"/>
        <w:rPr>
          <w:rFonts w:hint="eastAsia" w:ascii="宋体" w:hAnsi="宋体" w:eastAsia="宋体"/>
          <w:bCs/>
          <w:i w:val="0"/>
          <w:iCs w:val="0"/>
          <w:color w:val="auto"/>
          <w:sz w:val="24"/>
          <w:szCs w:val="24"/>
          <w:highlight w:val="none"/>
          <w:u w:val="none"/>
          <w:lang w:val="en-US" w:eastAsia="zh-CN"/>
        </w:rPr>
      </w:pPr>
    </w:p>
    <w:p w14:paraId="55D0D078">
      <w:pPr>
        <w:rPr>
          <w:rFonts w:hint="eastAsia"/>
          <w:color w:val="auto"/>
          <w:highlight w:val="none"/>
          <w:lang w:val="en-US" w:eastAsia="zh-CN"/>
        </w:rPr>
      </w:pPr>
    </w:p>
    <w:p w14:paraId="3C024EAB">
      <w:pPr>
        <w:pStyle w:val="13"/>
        <w:rPr>
          <w:rFonts w:hint="eastAsia"/>
          <w:color w:val="auto"/>
          <w:highlight w:val="none"/>
          <w:lang w:val="en-US" w:eastAsia="zh-CN"/>
        </w:rPr>
      </w:pPr>
    </w:p>
    <w:p w14:paraId="7C14A247">
      <w:pPr>
        <w:pStyle w:val="13"/>
        <w:rPr>
          <w:rFonts w:hint="eastAsia"/>
          <w:color w:val="auto"/>
          <w:highlight w:val="none"/>
          <w:lang w:val="en-US" w:eastAsia="zh-CN"/>
        </w:rPr>
      </w:pPr>
    </w:p>
    <w:p w14:paraId="1044E629">
      <w:pPr>
        <w:pStyle w:val="13"/>
        <w:rPr>
          <w:rFonts w:hint="eastAsia"/>
          <w:color w:val="auto"/>
          <w:highlight w:val="none"/>
          <w:lang w:val="en-US" w:eastAsia="zh-CN"/>
        </w:rPr>
      </w:pPr>
    </w:p>
    <w:p w14:paraId="07BCEE1E">
      <w:pPr>
        <w:pStyle w:val="13"/>
        <w:rPr>
          <w:rFonts w:hint="eastAsia"/>
          <w:color w:val="auto"/>
          <w:highlight w:val="none"/>
          <w:lang w:val="en-US" w:eastAsia="zh-CN"/>
        </w:rPr>
      </w:pPr>
    </w:p>
    <w:p w14:paraId="395ADBBA">
      <w:pPr>
        <w:pStyle w:val="13"/>
        <w:rPr>
          <w:rFonts w:hint="eastAsia"/>
          <w:color w:val="auto"/>
          <w:highlight w:val="none"/>
          <w:lang w:val="en-US" w:eastAsia="zh-CN"/>
        </w:rPr>
      </w:pPr>
    </w:p>
    <w:p w14:paraId="664B6558">
      <w:pPr>
        <w:pStyle w:val="13"/>
        <w:rPr>
          <w:rFonts w:hint="eastAsia"/>
          <w:color w:val="auto"/>
          <w:highlight w:val="none"/>
          <w:lang w:val="en-US" w:eastAsia="zh-CN"/>
        </w:rPr>
      </w:pPr>
    </w:p>
    <w:p w14:paraId="2BF0E898">
      <w:pPr>
        <w:pStyle w:val="13"/>
        <w:rPr>
          <w:rFonts w:hint="eastAsia"/>
          <w:color w:val="auto"/>
          <w:highlight w:val="none"/>
          <w:lang w:val="en-US" w:eastAsia="zh-CN"/>
        </w:rPr>
      </w:pPr>
    </w:p>
    <w:p w14:paraId="18675194">
      <w:pPr>
        <w:pStyle w:val="13"/>
        <w:rPr>
          <w:rFonts w:hint="eastAsia"/>
          <w:color w:val="auto"/>
          <w:highlight w:val="none"/>
          <w:lang w:val="en-US" w:eastAsia="zh-CN"/>
        </w:rPr>
      </w:pPr>
    </w:p>
    <w:p w14:paraId="79C8F295">
      <w:pPr>
        <w:pStyle w:val="13"/>
        <w:rPr>
          <w:rFonts w:hint="eastAsia"/>
          <w:color w:val="auto"/>
          <w:highlight w:val="none"/>
          <w:lang w:val="en-US" w:eastAsia="zh-CN"/>
        </w:rPr>
      </w:pPr>
    </w:p>
    <w:p w14:paraId="79E4D556">
      <w:pPr>
        <w:pStyle w:val="13"/>
        <w:rPr>
          <w:rFonts w:hint="eastAsia"/>
          <w:color w:val="auto"/>
          <w:highlight w:val="none"/>
          <w:lang w:val="en-US" w:eastAsia="zh-CN"/>
        </w:rPr>
      </w:pPr>
    </w:p>
    <w:p w14:paraId="35DE4B7C">
      <w:pPr>
        <w:pStyle w:val="13"/>
        <w:rPr>
          <w:rFonts w:hint="eastAsia"/>
          <w:color w:val="auto"/>
          <w:highlight w:val="none"/>
          <w:lang w:val="en-US" w:eastAsia="zh-CN"/>
        </w:rPr>
      </w:pPr>
    </w:p>
    <w:p w14:paraId="34F45D0B">
      <w:pPr>
        <w:pStyle w:val="13"/>
        <w:rPr>
          <w:rFonts w:hint="eastAsia"/>
          <w:color w:val="auto"/>
          <w:highlight w:val="none"/>
          <w:lang w:val="en-US" w:eastAsia="zh-CN"/>
        </w:rPr>
      </w:pPr>
    </w:p>
    <w:p w14:paraId="3F3EA18A">
      <w:pPr>
        <w:pStyle w:val="13"/>
        <w:rPr>
          <w:rFonts w:hint="eastAsia"/>
          <w:color w:val="auto"/>
          <w:highlight w:val="none"/>
          <w:lang w:val="en-US" w:eastAsia="zh-CN"/>
        </w:rPr>
      </w:pPr>
    </w:p>
    <w:p w14:paraId="5E34F8AF">
      <w:pPr>
        <w:pStyle w:val="13"/>
        <w:rPr>
          <w:rFonts w:hint="eastAsia"/>
          <w:color w:val="auto"/>
          <w:highlight w:val="none"/>
          <w:lang w:val="en-US" w:eastAsia="zh-CN"/>
        </w:rPr>
      </w:pPr>
    </w:p>
    <w:p w14:paraId="54FA6EF0">
      <w:pPr>
        <w:pStyle w:val="13"/>
        <w:rPr>
          <w:rFonts w:hint="eastAsia"/>
          <w:color w:val="auto"/>
          <w:highlight w:val="none"/>
          <w:lang w:val="en-US" w:eastAsia="zh-CN"/>
        </w:rPr>
      </w:pPr>
    </w:p>
    <w:p w14:paraId="40534E71">
      <w:pPr>
        <w:pStyle w:val="13"/>
        <w:rPr>
          <w:rFonts w:hint="eastAsia"/>
          <w:color w:val="auto"/>
          <w:highlight w:val="none"/>
          <w:lang w:val="en-US" w:eastAsia="zh-CN"/>
        </w:rPr>
      </w:pPr>
    </w:p>
    <w:p w14:paraId="78691B56">
      <w:pPr>
        <w:pStyle w:val="13"/>
        <w:rPr>
          <w:rFonts w:hint="eastAsia"/>
          <w:color w:val="auto"/>
          <w:highlight w:val="none"/>
          <w:lang w:val="en-US" w:eastAsia="zh-CN"/>
        </w:rPr>
      </w:pPr>
    </w:p>
    <w:p w14:paraId="5AA5F6B9">
      <w:pPr>
        <w:pStyle w:val="13"/>
        <w:rPr>
          <w:rFonts w:hint="eastAsia"/>
          <w:color w:val="auto"/>
          <w:highlight w:val="none"/>
          <w:lang w:val="en-US" w:eastAsia="zh-CN"/>
        </w:rPr>
      </w:pPr>
    </w:p>
    <w:p w14:paraId="51A2DF0C">
      <w:pPr>
        <w:pStyle w:val="13"/>
        <w:rPr>
          <w:rFonts w:hint="eastAsia"/>
          <w:color w:val="auto"/>
          <w:highlight w:val="none"/>
          <w:lang w:val="en-US" w:eastAsia="zh-CN"/>
        </w:rPr>
      </w:pPr>
    </w:p>
    <w:p w14:paraId="7D35CC52">
      <w:pPr>
        <w:pStyle w:val="13"/>
        <w:rPr>
          <w:rFonts w:hint="eastAsia"/>
          <w:color w:val="auto"/>
          <w:highlight w:val="none"/>
          <w:lang w:val="en-US" w:eastAsia="zh-CN"/>
        </w:rPr>
      </w:pPr>
    </w:p>
    <w:p w14:paraId="6C0BC012">
      <w:pPr>
        <w:pStyle w:val="13"/>
        <w:rPr>
          <w:rFonts w:hint="eastAsia"/>
          <w:color w:val="auto"/>
          <w:highlight w:val="none"/>
          <w:lang w:val="en-US" w:eastAsia="zh-CN"/>
        </w:rPr>
      </w:pPr>
    </w:p>
    <w:p w14:paraId="68487BE3">
      <w:pPr>
        <w:pStyle w:val="13"/>
        <w:rPr>
          <w:rFonts w:hint="eastAsia"/>
          <w:color w:val="auto"/>
          <w:highlight w:val="none"/>
          <w:lang w:val="en-US" w:eastAsia="zh-CN"/>
        </w:rPr>
      </w:pPr>
    </w:p>
    <w:p w14:paraId="0EBAE0A8">
      <w:pPr>
        <w:pStyle w:val="13"/>
        <w:rPr>
          <w:rFonts w:hint="eastAsia"/>
          <w:color w:val="auto"/>
          <w:highlight w:val="none"/>
          <w:lang w:val="en-US" w:eastAsia="zh-CN"/>
        </w:rPr>
      </w:pPr>
    </w:p>
    <w:p w14:paraId="37965400">
      <w:pPr>
        <w:pStyle w:val="13"/>
        <w:rPr>
          <w:rFonts w:hint="eastAsia"/>
          <w:color w:val="auto"/>
          <w:highlight w:val="none"/>
          <w:lang w:val="en-US" w:eastAsia="zh-CN"/>
        </w:rPr>
      </w:pPr>
    </w:p>
    <w:p w14:paraId="39310DE2">
      <w:pPr>
        <w:pStyle w:val="13"/>
        <w:rPr>
          <w:rFonts w:hint="eastAsia"/>
          <w:color w:val="auto"/>
          <w:highlight w:val="none"/>
          <w:lang w:val="en-US" w:eastAsia="zh-CN"/>
        </w:rPr>
      </w:pPr>
    </w:p>
    <w:p w14:paraId="42557A2B">
      <w:pPr>
        <w:pStyle w:val="13"/>
        <w:rPr>
          <w:rFonts w:hint="eastAsia"/>
          <w:color w:val="auto"/>
          <w:highlight w:val="none"/>
          <w:lang w:val="en-US" w:eastAsia="zh-CN"/>
        </w:rPr>
      </w:pPr>
    </w:p>
    <w:p w14:paraId="5940ED25">
      <w:pPr>
        <w:pStyle w:val="13"/>
        <w:rPr>
          <w:rFonts w:hint="eastAsia"/>
          <w:color w:val="auto"/>
          <w:highlight w:val="none"/>
          <w:lang w:val="en-US" w:eastAsia="zh-CN"/>
        </w:rPr>
      </w:pPr>
    </w:p>
    <w:p w14:paraId="54E0B395">
      <w:pPr>
        <w:pStyle w:val="13"/>
        <w:rPr>
          <w:rFonts w:hint="eastAsia"/>
          <w:color w:val="auto"/>
          <w:highlight w:val="none"/>
          <w:lang w:val="en-US" w:eastAsia="zh-CN"/>
        </w:rPr>
      </w:pPr>
    </w:p>
    <w:p w14:paraId="68B6A5A5">
      <w:pPr>
        <w:pStyle w:val="13"/>
        <w:rPr>
          <w:rFonts w:hint="eastAsia"/>
          <w:color w:val="auto"/>
          <w:highlight w:val="none"/>
          <w:lang w:val="en-US" w:eastAsia="zh-CN"/>
        </w:rPr>
      </w:pPr>
    </w:p>
    <w:p w14:paraId="24FFD672">
      <w:pPr>
        <w:pStyle w:val="13"/>
        <w:rPr>
          <w:rFonts w:hint="eastAsia"/>
          <w:color w:val="auto"/>
          <w:highlight w:val="none"/>
          <w:lang w:val="en-US" w:eastAsia="zh-CN"/>
        </w:rPr>
      </w:pPr>
    </w:p>
    <w:p w14:paraId="1C0E5B3A">
      <w:pPr>
        <w:pStyle w:val="13"/>
        <w:rPr>
          <w:rFonts w:hint="eastAsia"/>
          <w:color w:val="auto"/>
          <w:highlight w:val="none"/>
          <w:lang w:val="en-US" w:eastAsia="zh-CN"/>
        </w:rPr>
      </w:pPr>
    </w:p>
    <w:p w14:paraId="2048F989">
      <w:pPr>
        <w:pStyle w:val="13"/>
        <w:rPr>
          <w:rFonts w:hint="eastAsia"/>
          <w:color w:val="auto"/>
          <w:highlight w:val="none"/>
          <w:lang w:val="en-US" w:eastAsia="zh-CN"/>
        </w:rPr>
      </w:pPr>
    </w:p>
    <w:p w14:paraId="385F0472">
      <w:pPr>
        <w:pStyle w:val="13"/>
        <w:rPr>
          <w:rFonts w:hint="eastAsia"/>
          <w:color w:val="auto"/>
          <w:highlight w:val="none"/>
          <w:lang w:val="en-US" w:eastAsia="zh-CN"/>
        </w:rPr>
      </w:pPr>
    </w:p>
    <w:p w14:paraId="58663C46">
      <w:pPr>
        <w:pStyle w:val="13"/>
        <w:rPr>
          <w:rFonts w:hint="eastAsia"/>
          <w:color w:val="auto"/>
          <w:highlight w:val="none"/>
          <w:lang w:val="en-US" w:eastAsia="zh-CN"/>
        </w:rPr>
      </w:pPr>
    </w:p>
    <w:p w14:paraId="3C9C21C5">
      <w:pPr>
        <w:pStyle w:val="13"/>
        <w:rPr>
          <w:rFonts w:hint="eastAsia"/>
          <w:color w:val="auto"/>
          <w:highlight w:val="none"/>
          <w:lang w:val="en-US" w:eastAsia="zh-CN"/>
        </w:rPr>
      </w:pPr>
    </w:p>
    <w:p w14:paraId="0D7ECAF4">
      <w:pPr>
        <w:pStyle w:val="13"/>
        <w:rPr>
          <w:rFonts w:hint="eastAsia"/>
          <w:color w:val="auto"/>
          <w:highlight w:val="none"/>
          <w:lang w:val="en-US" w:eastAsia="zh-CN"/>
        </w:rPr>
      </w:pPr>
    </w:p>
    <w:p w14:paraId="3575DC65">
      <w:pPr>
        <w:pStyle w:val="13"/>
        <w:rPr>
          <w:rFonts w:hint="eastAsia"/>
          <w:color w:val="auto"/>
          <w:highlight w:val="none"/>
          <w:lang w:val="en-US" w:eastAsia="zh-CN"/>
        </w:rPr>
      </w:pPr>
    </w:p>
    <w:p w14:paraId="050E81D3">
      <w:pPr>
        <w:pStyle w:val="13"/>
        <w:rPr>
          <w:rFonts w:hint="eastAsia"/>
          <w:color w:val="auto"/>
          <w:highlight w:val="none"/>
          <w:lang w:val="en-US" w:eastAsia="zh-CN"/>
        </w:rPr>
      </w:pPr>
    </w:p>
    <w:p w14:paraId="62784B40">
      <w:pPr>
        <w:pStyle w:val="13"/>
        <w:rPr>
          <w:rFonts w:hint="eastAsia"/>
          <w:color w:val="auto"/>
          <w:highlight w:val="none"/>
          <w:lang w:val="en-US" w:eastAsia="zh-CN"/>
        </w:rPr>
      </w:pPr>
    </w:p>
    <w:p w14:paraId="2DC25DD1">
      <w:pPr>
        <w:pStyle w:val="13"/>
        <w:rPr>
          <w:rFonts w:hint="eastAsia"/>
          <w:color w:val="auto"/>
          <w:highlight w:val="none"/>
          <w:lang w:val="en-US" w:eastAsia="zh-CN"/>
        </w:rPr>
      </w:pPr>
    </w:p>
    <w:p w14:paraId="638C07D7">
      <w:pPr>
        <w:pStyle w:val="13"/>
        <w:rPr>
          <w:rFonts w:hint="eastAsia"/>
          <w:color w:val="auto"/>
          <w:highlight w:val="none"/>
          <w:lang w:val="en-US" w:eastAsia="zh-CN"/>
        </w:rPr>
      </w:pPr>
    </w:p>
    <w:p w14:paraId="104C3A1D">
      <w:pPr>
        <w:pStyle w:val="13"/>
        <w:rPr>
          <w:rFonts w:hint="eastAsia"/>
          <w:color w:val="auto"/>
          <w:highlight w:val="none"/>
          <w:lang w:val="en-US" w:eastAsia="zh-CN"/>
        </w:rPr>
      </w:pPr>
    </w:p>
    <w:p w14:paraId="71259709">
      <w:pPr>
        <w:pStyle w:val="13"/>
        <w:rPr>
          <w:rFonts w:hint="eastAsia"/>
          <w:color w:val="auto"/>
          <w:highlight w:val="none"/>
          <w:lang w:val="en-US" w:eastAsia="zh-CN"/>
        </w:rPr>
      </w:pPr>
    </w:p>
    <w:p w14:paraId="2EE05C45">
      <w:pPr>
        <w:pStyle w:val="13"/>
        <w:rPr>
          <w:rFonts w:hint="eastAsia"/>
          <w:color w:val="auto"/>
          <w:highlight w:val="none"/>
          <w:lang w:val="en-US" w:eastAsia="zh-CN"/>
        </w:rPr>
      </w:pPr>
    </w:p>
    <w:p w14:paraId="4C1E027B">
      <w:pPr>
        <w:pStyle w:val="13"/>
        <w:rPr>
          <w:rFonts w:hint="eastAsia"/>
          <w:color w:val="auto"/>
          <w:highlight w:val="none"/>
          <w:lang w:val="en-US" w:eastAsia="zh-CN"/>
        </w:rPr>
      </w:pPr>
    </w:p>
    <w:p w14:paraId="42627D37">
      <w:pPr>
        <w:pStyle w:val="13"/>
        <w:rPr>
          <w:rFonts w:hint="eastAsia"/>
          <w:color w:val="auto"/>
          <w:highlight w:val="none"/>
          <w:lang w:val="en-US" w:eastAsia="zh-CN"/>
        </w:rPr>
      </w:pPr>
    </w:p>
    <w:p w14:paraId="395FCCFC">
      <w:pPr>
        <w:pStyle w:val="13"/>
        <w:rPr>
          <w:rFonts w:hint="eastAsia"/>
          <w:color w:val="auto"/>
          <w:highlight w:val="none"/>
          <w:lang w:val="en-US" w:eastAsia="zh-CN"/>
        </w:rPr>
      </w:pPr>
    </w:p>
    <w:p w14:paraId="326796D3">
      <w:pPr>
        <w:pStyle w:val="13"/>
        <w:rPr>
          <w:rFonts w:hint="eastAsia"/>
          <w:color w:val="auto"/>
          <w:highlight w:val="none"/>
          <w:lang w:val="en-US" w:eastAsia="zh-CN"/>
        </w:rPr>
      </w:pPr>
    </w:p>
    <w:p w14:paraId="6149A796">
      <w:pPr>
        <w:pStyle w:val="13"/>
        <w:rPr>
          <w:rFonts w:hint="eastAsia"/>
          <w:color w:val="auto"/>
          <w:highlight w:val="none"/>
          <w:lang w:val="en-US" w:eastAsia="zh-CN"/>
        </w:rPr>
      </w:pPr>
    </w:p>
    <w:p w14:paraId="3C3A8A6B">
      <w:pPr>
        <w:pStyle w:val="13"/>
        <w:rPr>
          <w:rFonts w:hint="eastAsia"/>
          <w:color w:val="auto"/>
          <w:highlight w:val="none"/>
          <w:lang w:val="en-US" w:eastAsia="zh-CN"/>
        </w:rPr>
      </w:pPr>
    </w:p>
    <w:p w14:paraId="2AFEB180">
      <w:pPr>
        <w:rPr>
          <w:rFonts w:hint="eastAsia"/>
          <w:color w:val="auto"/>
          <w:highlight w:val="none"/>
          <w:lang w:val="en-US" w:eastAsia="zh-CN"/>
        </w:rPr>
      </w:pPr>
    </w:p>
    <w:p w14:paraId="274B9FEE">
      <w:pPr>
        <w:numPr>
          <w:ilvl w:val="0"/>
          <w:numId w:val="4"/>
        </w:numPr>
        <w:tabs>
          <w:tab w:val="left" w:pos="1050"/>
        </w:tabs>
        <w:spacing w:line="400" w:lineRule="exact"/>
        <w:jc w:val="center"/>
        <w:rPr>
          <w:rFonts w:hint="eastAsia" w:ascii="黑体" w:eastAsia="黑体"/>
          <w:bCs/>
          <w:i w:val="0"/>
          <w:iCs w:val="0"/>
          <w:color w:val="auto"/>
          <w:sz w:val="32"/>
          <w:szCs w:val="32"/>
          <w:highlight w:val="none"/>
        </w:rPr>
      </w:pPr>
      <w:bookmarkStart w:id="136" w:name="_Toc61444677"/>
      <w:r>
        <w:rPr>
          <w:rFonts w:hint="eastAsia" w:ascii="黑体" w:eastAsia="黑体"/>
          <w:bCs/>
          <w:i w:val="0"/>
          <w:iCs w:val="0"/>
          <w:color w:val="auto"/>
          <w:sz w:val="32"/>
          <w:szCs w:val="32"/>
          <w:highlight w:val="none"/>
        </w:rPr>
        <w:t xml:space="preserve"> 投标文件内容与格式</w:t>
      </w:r>
    </w:p>
    <w:p w14:paraId="52E8FCF9">
      <w:pPr>
        <w:pStyle w:val="364"/>
        <w:numPr>
          <w:ilvl w:val="0"/>
          <w:numId w:val="5"/>
        </w:numPr>
        <w:spacing w:before="0" w:after="0" w:line="500" w:lineRule="exact"/>
        <w:ind w:firstLine="602"/>
        <w:jc w:val="center"/>
        <w:rPr>
          <w:rFonts w:hint="eastAsia" w:cs="Arial"/>
          <w:b/>
          <w:i w:val="0"/>
          <w:iCs w:val="0"/>
          <w:color w:val="auto"/>
          <w:sz w:val="30"/>
          <w:szCs w:val="30"/>
          <w:highlight w:val="none"/>
        </w:rPr>
      </w:pPr>
      <w:r>
        <w:rPr>
          <w:rFonts w:hint="eastAsia" w:cs="Arial"/>
          <w:b/>
          <w:i w:val="0"/>
          <w:iCs w:val="0"/>
          <w:color w:val="auto"/>
          <w:sz w:val="30"/>
          <w:szCs w:val="30"/>
          <w:highlight w:val="none"/>
        </w:rPr>
        <w:t xml:space="preserve"> 投标文件内容</w:t>
      </w:r>
    </w:p>
    <w:p w14:paraId="468C422A">
      <w:pPr>
        <w:pStyle w:val="364"/>
        <w:spacing w:before="0" w:after="0" w:line="500" w:lineRule="exact"/>
        <w:ind w:firstLine="0"/>
        <w:rPr>
          <w:rFonts w:hint="eastAsia" w:cs="Arial"/>
          <w:b/>
          <w:i w:val="0"/>
          <w:iCs w:val="0"/>
          <w:color w:val="auto"/>
          <w:sz w:val="28"/>
          <w:szCs w:val="28"/>
          <w:highlight w:val="none"/>
        </w:rPr>
      </w:pPr>
      <w:r>
        <w:rPr>
          <w:b/>
          <w:i w:val="0"/>
          <w:iCs w:val="0"/>
          <w:color w:val="auto"/>
          <w:sz w:val="28"/>
          <w:szCs w:val="28"/>
          <w:highlight w:val="none"/>
        </w:rPr>
        <w:t>一、</w:t>
      </w:r>
      <w:r>
        <w:rPr>
          <w:rFonts w:hint="eastAsia"/>
          <w:b/>
          <w:i w:val="0"/>
          <w:iCs w:val="0"/>
          <w:color w:val="auto"/>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C84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236AED5">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序号</w:t>
            </w:r>
          </w:p>
        </w:tc>
        <w:tc>
          <w:tcPr>
            <w:tcW w:w="6104" w:type="dxa"/>
            <w:noWrap w:val="0"/>
            <w:vAlign w:val="center"/>
          </w:tcPr>
          <w:p w14:paraId="42797103">
            <w:pPr>
              <w:pStyle w:val="364"/>
              <w:spacing w:before="0" w:after="0" w:line="240" w:lineRule="auto"/>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评审项及评审要求</w:t>
            </w:r>
          </w:p>
        </w:tc>
        <w:tc>
          <w:tcPr>
            <w:tcW w:w="2449" w:type="dxa"/>
            <w:noWrap w:val="0"/>
            <w:vAlign w:val="center"/>
          </w:tcPr>
          <w:p w14:paraId="04E27080">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审查因素</w:t>
            </w:r>
          </w:p>
        </w:tc>
      </w:tr>
      <w:tr w14:paraId="5E612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23BDADC">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1</w:t>
            </w:r>
          </w:p>
        </w:tc>
        <w:tc>
          <w:tcPr>
            <w:tcW w:w="6104" w:type="dxa"/>
            <w:noWrap w:val="0"/>
            <w:vAlign w:val="center"/>
          </w:tcPr>
          <w:p w14:paraId="52B96CF5">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67FC48F">
            <w:pPr>
              <w:pStyle w:val="364"/>
              <w:spacing w:before="0" w:after="0" w:line="240" w:lineRule="auto"/>
              <w:ind w:firstLine="0"/>
              <w:rPr>
                <w:rFonts w:hint="eastAsia" w:ascii="宋体" w:hAnsi="宋体" w:cs="宋体"/>
                <w:i w:val="0"/>
                <w:iCs w:val="0"/>
                <w:color w:val="auto"/>
                <w:highlight w:val="none"/>
              </w:rPr>
            </w:pPr>
            <w:r>
              <w:rPr>
                <w:rFonts w:hint="eastAsia" w:ascii="宋体" w:hAnsi="宋体" w:cs="宋体"/>
                <w:i w:val="0"/>
                <w:iCs w:val="0"/>
                <w:color w:val="auto"/>
                <w:highlight w:val="none"/>
              </w:rPr>
              <w:t>通用资格要求，详见第一章《投标邀请》</w:t>
            </w:r>
          </w:p>
        </w:tc>
      </w:tr>
      <w:tr w14:paraId="69074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24BFEAD">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2</w:t>
            </w:r>
          </w:p>
        </w:tc>
        <w:tc>
          <w:tcPr>
            <w:tcW w:w="6104" w:type="dxa"/>
            <w:noWrap w:val="0"/>
            <w:vAlign w:val="center"/>
          </w:tcPr>
          <w:p w14:paraId="0EE9B074">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《授权委托书》（给定格式；投标人如是自然人情形的</w:t>
            </w:r>
            <w:r>
              <w:rPr>
                <w:rFonts w:hint="eastAsia" w:ascii="宋体" w:hAnsi="宋体" w:cs="宋体"/>
                <w:i w:val="0"/>
                <w:iCs w:val="0"/>
                <w:color w:val="auto"/>
                <w:highlight w:val="none"/>
                <w:lang w:eastAsia="zh-CN"/>
              </w:rPr>
              <w:t>或法人亲自参与的</w:t>
            </w:r>
            <w:r>
              <w:rPr>
                <w:rFonts w:hint="eastAsia" w:ascii="宋体" w:hAnsi="宋体" w:cs="宋体"/>
                <w:i w:val="0"/>
                <w:iCs w:val="0"/>
                <w:color w:val="auto"/>
                <w:highlight w:val="none"/>
              </w:rPr>
              <w:t>，可不提供）。</w:t>
            </w:r>
          </w:p>
        </w:tc>
        <w:tc>
          <w:tcPr>
            <w:tcW w:w="2449" w:type="dxa"/>
            <w:vMerge w:val="continue"/>
            <w:noWrap w:val="0"/>
            <w:vAlign w:val="center"/>
          </w:tcPr>
          <w:p w14:paraId="45F066EA">
            <w:pPr>
              <w:pStyle w:val="364"/>
              <w:spacing w:before="0" w:after="0" w:line="240" w:lineRule="auto"/>
              <w:ind w:firstLine="0"/>
              <w:rPr>
                <w:rFonts w:hint="eastAsia" w:ascii="宋体" w:hAnsi="宋体" w:cs="宋体"/>
                <w:i w:val="0"/>
                <w:iCs w:val="0"/>
                <w:color w:val="auto"/>
                <w:highlight w:val="none"/>
              </w:rPr>
            </w:pPr>
          </w:p>
        </w:tc>
      </w:tr>
      <w:tr w14:paraId="459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F17A537">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3</w:t>
            </w:r>
          </w:p>
        </w:tc>
        <w:tc>
          <w:tcPr>
            <w:tcW w:w="6104" w:type="dxa"/>
            <w:noWrap w:val="0"/>
            <w:vAlign w:val="center"/>
          </w:tcPr>
          <w:p w14:paraId="07B78ED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39"/>
                <w:rFonts w:hint="eastAsia" w:ascii="宋体" w:hAnsi="宋体" w:cs="宋体"/>
                <w:i w:val="0"/>
                <w:iCs w:val="0"/>
                <w:color w:val="auto"/>
                <w:sz w:val="24"/>
                <w:szCs w:val="24"/>
                <w:highlight w:val="none"/>
              </w:rPr>
              <w:t>。</w:t>
            </w:r>
          </w:p>
        </w:tc>
        <w:tc>
          <w:tcPr>
            <w:tcW w:w="2449" w:type="dxa"/>
            <w:vMerge w:val="continue"/>
            <w:noWrap w:val="0"/>
            <w:vAlign w:val="center"/>
          </w:tcPr>
          <w:p w14:paraId="7513081F">
            <w:pPr>
              <w:pStyle w:val="364"/>
              <w:spacing w:before="0" w:after="0" w:line="240" w:lineRule="auto"/>
              <w:ind w:firstLine="0"/>
              <w:rPr>
                <w:rFonts w:hint="eastAsia" w:ascii="宋体" w:hAnsi="宋体" w:cs="宋体"/>
                <w:i w:val="0"/>
                <w:iCs w:val="0"/>
                <w:color w:val="auto"/>
                <w:highlight w:val="none"/>
              </w:rPr>
            </w:pPr>
          </w:p>
        </w:tc>
      </w:tr>
      <w:tr w14:paraId="17C0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F5EDD3E">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4</w:t>
            </w:r>
          </w:p>
        </w:tc>
        <w:tc>
          <w:tcPr>
            <w:tcW w:w="6104" w:type="dxa"/>
            <w:noWrap w:val="0"/>
            <w:vAlign w:val="center"/>
          </w:tcPr>
          <w:p w14:paraId="38E95D0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E7EE694">
            <w:pPr>
              <w:pStyle w:val="364"/>
              <w:spacing w:before="0" w:after="0" w:line="240" w:lineRule="auto"/>
              <w:ind w:firstLine="0"/>
              <w:rPr>
                <w:rFonts w:hint="eastAsia" w:ascii="宋体" w:hAnsi="宋体" w:cs="宋体"/>
                <w:i w:val="0"/>
                <w:iCs w:val="0"/>
                <w:color w:val="auto"/>
                <w:highlight w:val="none"/>
              </w:rPr>
            </w:pPr>
          </w:p>
        </w:tc>
      </w:tr>
      <w:tr w14:paraId="619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23D727A1">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5</w:t>
            </w:r>
          </w:p>
        </w:tc>
        <w:tc>
          <w:tcPr>
            <w:tcW w:w="6104" w:type="dxa"/>
            <w:noWrap w:val="0"/>
            <w:vAlign w:val="center"/>
          </w:tcPr>
          <w:p w14:paraId="1F7679BA">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5725840D">
            <w:pPr>
              <w:pStyle w:val="364"/>
              <w:spacing w:before="0" w:after="0" w:line="240" w:lineRule="auto"/>
              <w:ind w:firstLine="0"/>
              <w:rPr>
                <w:rFonts w:hint="eastAsia" w:ascii="宋体" w:hAnsi="宋体" w:cs="宋体"/>
                <w:i w:val="0"/>
                <w:iCs w:val="0"/>
                <w:color w:val="auto"/>
                <w:highlight w:val="none"/>
              </w:rPr>
            </w:pPr>
          </w:p>
        </w:tc>
      </w:tr>
      <w:tr w14:paraId="2FE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65DB792">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6</w:t>
            </w:r>
          </w:p>
        </w:tc>
        <w:tc>
          <w:tcPr>
            <w:tcW w:w="6104" w:type="dxa"/>
            <w:noWrap w:val="0"/>
            <w:vAlign w:val="center"/>
          </w:tcPr>
          <w:p w14:paraId="529E9CA9">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《资格声明函》（给定格式）。</w:t>
            </w:r>
          </w:p>
        </w:tc>
        <w:tc>
          <w:tcPr>
            <w:tcW w:w="2449" w:type="dxa"/>
            <w:vMerge w:val="continue"/>
            <w:noWrap w:val="0"/>
            <w:vAlign w:val="center"/>
          </w:tcPr>
          <w:p w14:paraId="1B6218AD">
            <w:pPr>
              <w:pStyle w:val="364"/>
              <w:spacing w:before="0" w:after="0" w:line="240" w:lineRule="auto"/>
              <w:ind w:firstLine="0"/>
              <w:rPr>
                <w:rFonts w:hint="eastAsia" w:ascii="宋体" w:hAnsi="宋体" w:cs="宋体"/>
                <w:i w:val="0"/>
                <w:iCs w:val="0"/>
                <w:color w:val="auto"/>
                <w:highlight w:val="none"/>
              </w:rPr>
            </w:pPr>
          </w:p>
        </w:tc>
      </w:tr>
      <w:tr w14:paraId="63D0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12FBBA5">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7</w:t>
            </w:r>
          </w:p>
        </w:tc>
        <w:tc>
          <w:tcPr>
            <w:tcW w:w="6104" w:type="dxa"/>
            <w:noWrap w:val="0"/>
            <w:vAlign w:val="center"/>
          </w:tcPr>
          <w:p w14:paraId="620D4486">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落实政府采购政策需满足的资格要求的证明文件（如有）。</w:t>
            </w:r>
          </w:p>
        </w:tc>
        <w:tc>
          <w:tcPr>
            <w:tcW w:w="2449" w:type="dxa"/>
            <w:vMerge w:val="continue"/>
            <w:noWrap w:val="0"/>
            <w:vAlign w:val="center"/>
          </w:tcPr>
          <w:p w14:paraId="428DFE47">
            <w:pPr>
              <w:pStyle w:val="364"/>
              <w:spacing w:before="0" w:after="0" w:line="240" w:lineRule="auto"/>
              <w:ind w:firstLine="0"/>
              <w:rPr>
                <w:rFonts w:ascii="宋体" w:hAnsi="宋体" w:cs="宋体"/>
                <w:i w:val="0"/>
                <w:iCs w:val="0"/>
                <w:color w:val="auto"/>
                <w:highlight w:val="none"/>
              </w:rPr>
            </w:pPr>
          </w:p>
        </w:tc>
      </w:tr>
      <w:tr w14:paraId="7820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8A80FAB">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8</w:t>
            </w:r>
          </w:p>
        </w:tc>
        <w:tc>
          <w:tcPr>
            <w:tcW w:w="6104" w:type="dxa"/>
            <w:noWrap w:val="0"/>
            <w:vAlign w:val="center"/>
          </w:tcPr>
          <w:p w14:paraId="1A526AE7">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本项目要求的特定资格证明</w:t>
            </w:r>
            <w:r>
              <w:rPr>
                <w:rFonts w:hint="eastAsia" w:ascii="宋体" w:hAnsi="宋体" w:cs="宋体"/>
                <w:i w:val="0"/>
                <w:iCs w:val="0"/>
                <w:color w:val="auto"/>
                <w:highlight w:val="none"/>
              </w:rPr>
              <w:t>文件（</w:t>
            </w:r>
            <w:r>
              <w:rPr>
                <w:rFonts w:hint="eastAsia" w:ascii="宋体" w:hAnsi="宋体" w:cs="宋体"/>
                <w:bCs/>
                <w:i w:val="0"/>
                <w:iCs w:val="0"/>
                <w:color w:val="auto"/>
                <w:highlight w:val="none"/>
              </w:rPr>
              <w:t>如有</w:t>
            </w:r>
            <w:r>
              <w:rPr>
                <w:rFonts w:hint="eastAsia" w:ascii="宋体" w:hAnsi="宋体" w:cs="宋体"/>
                <w:i w:val="0"/>
                <w:iCs w:val="0"/>
                <w:color w:val="auto"/>
                <w:highlight w:val="none"/>
              </w:rPr>
              <w:t>）。</w:t>
            </w:r>
          </w:p>
        </w:tc>
        <w:tc>
          <w:tcPr>
            <w:tcW w:w="2449" w:type="dxa"/>
            <w:noWrap w:val="0"/>
            <w:vAlign w:val="center"/>
          </w:tcPr>
          <w:p w14:paraId="7BB76F81">
            <w:pPr>
              <w:pStyle w:val="364"/>
              <w:spacing w:before="0" w:after="0" w:line="240" w:lineRule="auto"/>
              <w:ind w:firstLine="0"/>
              <w:rPr>
                <w:rFonts w:hint="eastAsia" w:ascii="宋体" w:hAnsi="宋体" w:cs="宋体"/>
                <w:bCs/>
                <w:i w:val="0"/>
                <w:iCs w:val="0"/>
                <w:color w:val="auto"/>
                <w:highlight w:val="none"/>
              </w:rPr>
            </w:pPr>
            <w:r>
              <w:rPr>
                <w:rFonts w:hint="eastAsia" w:ascii="宋体" w:hAnsi="宋体" w:cs="宋体"/>
                <w:i w:val="0"/>
                <w:iCs w:val="0"/>
                <w:color w:val="auto"/>
                <w:highlight w:val="none"/>
              </w:rPr>
              <w:t>特定资格要求，详见第一章《投标邀请》</w:t>
            </w:r>
          </w:p>
        </w:tc>
      </w:tr>
      <w:tr w14:paraId="20FC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C8AE1A3">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9</w:t>
            </w:r>
          </w:p>
        </w:tc>
        <w:tc>
          <w:tcPr>
            <w:tcW w:w="6104" w:type="dxa"/>
            <w:noWrap w:val="0"/>
            <w:vAlign w:val="center"/>
          </w:tcPr>
          <w:p w14:paraId="78D007E2">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《联合体协议》（如有，格式自拟）。</w:t>
            </w:r>
          </w:p>
        </w:tc>
        <w:tc>
          <w:tcPr>
            <w:tcW w:w="2449" w:type="dxa"/>
            <w:noWrap w:val="0"/>
            <w:vAlign w:val="center"/>
          </w:tcPr>
          <w:p w14:paraId="04D7507F">
            <w:pPr>
              <w:pStyle w:val="364"/>
              <w:spacing w:before="0" w:after="0" w:line="240" w:lineRule="auto"/>
              <w:ind w:firstLine="0"/>
              <w:rPr>
                <w:rFonts w:hint="eastAsia" w:ascii="宋体" w:hAnsi="宋体" w:cs="宋体"/>
                <w:i w:val="0"/>
                <w:iCs w:val="0"/>
                <w:color w:val="auto"/>
                <w:highlight w:val="none"/>
              </w:rPr>
            </w:pPr>
            <w:r>
              <w:rPr>
                <w:rFonts w:hint="eastAsia" w:ascii="宋体" w:hAnsi="宋体"/>
                <w:i w:val="0"/>
                <w:iCs w:val="0"/>
                <w:color w:val="auto"/>
                <w:highlight w:val="none"/>
              </w:rPr>
              <w:t>如接受联合体投标且投标人为联合体时</w:t>
            </w:r>
          </w:p>
        </w:tc>
      </w:tr>
    </w:tbl>
    <w:p w14:paraId="51A685B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5A7E003D">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如遇年检、换证，则必须提供法定年检、换证单位出具的有效证明扫描件。</w:t>
      </w:r>
      <w:r>
        <w:rPr>
          <w:rFonts w:hint="eastAsia" w:ascii="宋体" w:hAnsi="宋体"/>
          <w:i w:val="0"/>
          <w:iCs w:val="0"/>
          <w:color w:val="auto"/>
          <w:sz w:val="24"/>
          <w:szCs w:val="24"/>
          <w:highlight w:val="none"/>
        </w:rPr>
        <w:t>其中</w:t>
      </w:r>
      <w:r>
        <w:rPr>
          <w:rFonts w:ascii="宋体" w:hAnsi="宋体"/>
          <w:i w:val="0"/>
          <w:iCs w:val="0"/>
          <w:color w:val="auto"/>
          <w:sz w:val="24"/>
          <w:szCs w:val="24"/>
          <w:highlight w:val="none"/>
        </w:rPr>
        <w:t>第</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5</w:t>
      </w:r>
      <w:r>
        <w:rPr>
          <w:rFonts w:ascii="宋体" w:hAnsi="宋体"/>
          <w:i w:val="0"/>
          <w:iCs w:val="0"/>
          <w:color w:val="auto"/>
          <w:sz w:val="24"/>
          <w:szCs w:val="24"/>
          <w:highlight w:val="none"/>
        </w:rPr>
        <w:t>项如遇有国家相关政策规定可不具备的（如依法享受缓缴、免缴税收、社会保障资金</w:t>
      </w:r>
      <w:r>
        <w:rPr>
          <w:rFonts w:hint="eastAsia" w:ascii="宋体" w:hAnsi="宋体"/>
          <w:i w:val="0"/>
          <w:iCs w:val="0"/>
          <w:color w:val="auto"/>
          <w:sz w:val="24"/>
          <w:szCs w:val="24"/>
          <w:highlight w:val="none"/>
        </w:rPr>
        <w:t>等</w:t>
      </w:r>
      <w:r>
        <w:rPr>
          <w:rFonts w:ascii="宋体" w:hAnsi="宋体"/>
          <w:i w:val="0"/>
          <w:iCs w:val="0"/>
          <w:color w:val="auto"/>
          <w:sz w:val="24"/>
          <w:szCs w:val="24"/>
          <w:highlight w:val="none"/>
        </w:rPr>
        <w:t>），必须提供相关政策规定或相关单位出具的有效证明扫描件；如因新成立</w:t>
      </w:r>
      <w:r>
        <w:rPr>
          <w:rFonts w:hint="eastAsia" w:ascii="宋体" w:hAnsi="宋体"/>
          <w:i w:val="0"/>
          <w:iCs w:val="0"/>
          <w:color w:val="auto"/>
          <w:sz w:val="24"/>
          <w:szCs w:val="24"/>
          <w:highlight w:val="none"/>
        </w:rPr>
        <w:t>确无法提供</w:t>
      </w:r>
      <w:r>
        <w:rPr>
          <w:rFonts w:ascii="宋体" w:hAnsi="宋体"/>
          <w:i w:val="0"/>
          <w:iCs w:val="0"/>
          <w:color w:val="auto"/>
          <w:sz w:val="24"/>
          <w:szCs w:val="24"/>
          <w:highlight w:val="none"/>
        </w:rPr>
        <w:t>的，可以不提供。</w:t>
      </w:r>
    </w:p>
    <w:p w14:paraId="726176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D14963">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2.</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7项，如本项目有落实政府采购政策需满足的资格要求的（详见第一章《投标邀请》），必须提供相应证明文件，否则投标文件无效。</w:t>
      </w:r>
    </w:p>
    <w:p w14:paraId="6F10D3A9">
      <w:pPr>
        <w:spacing w:line="500" w:lineRule="exact"/>
        <w:ind w:firstLine="480"/>
        <w:rPr>
          <w:rFonts w:hint="eastAsia" w:ascii="宋体" w:hAnsi="宋体"/>
          <w:i w:val="0"/>
          <w:iCs w:val="0"/>
          <w:color w:val="auto"/>
          <w:sz w:val="24"/>
          <w:szCs w:val="24"/>
          <w:highlight w:val="none"/>
        </w:rPr>
      </w:pPr>
      <w:r>
        <w:rPr>
          <w:rFonts w:ascii="宋体" w:hAnsi="宋体"/>
          <w:i w:val="0"/>
          <w:iCs w:val="0"/>
          <w:color w:val="auto"/>
          <w:sz w:val="24"/>
          <w:szCs w:val="24"/>
          <w:highlight w:val="none"/>
        </w:rPr>
        <w:t>专门面向中小</w:t>
      </w:r>
      <w:r>
        <w:rPr>
          <w:rFonts w:hint="eastAsia" w:ascii="宋体" w:hAnsi="宋体"/>
          <w:i w:val="0"/>
          <w:iCs w:val="0"/>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B642201">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3.</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8项，如本项目有特定资格要求的（详见第一章《投标邀请》），须提供相应的特定资格证明文件。</w:t>
      </w:r>
    </w:p>
    <w:p w14:paraId="16D4DEE0">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4.</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CB3C7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如项目接受联合体投标且投标人为联合体时，</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中：第2、6项可由联合体主体单位（即联合体牵头人）代表联合体提供；第1、3、4、5、7（如有）、8（如有）项，联合体各方均须提供。</w:t>
      </w:r>
    </w:p>
    <w:p w14:paraId="436F3DC8">
      <w:pPr>
        <w:pStyle w:val="364"/>
        <w:numPr>
          <w:ilvl w:val="0"/>
          <w:numId w:val="0"/>
        </w:numPr>
        <w:spacing w:before="0" w:after="0" w:line="500" w:lineRule="exact"/>
        <w:jc w:val="both"/>
        <w:rPr>
          <w:rFonts w:hint="eastAsia" w:cs="Arial"/>
          <w:b/>
          <w:i w:val="0"/>
          <w:iCs w:val="0"/>
          <w:color w:val="auto"/>
          <w:sz w:val="30"/>
          <w:szCs w:val="30"/>
          <w:highlight w:val="none"/>
        </w:rPr>
      </w:pPr>
    </w:p>
    <w:p w14:paraId="39CD122F">
      <w:pPr>
        <w:pStyle w:val="364"/>
        <w:numPr>
          <w:ilvl w:val="0"/>
          <w:numId w:val="0"/>
        </w:numPr>
        <w:spacing w:before="0" w:after="0" w:line="500" w:lineRule="exact"/>
        <w:jc w:val="both"/>
        <w:rPr>
          <w:rFonts w:hint="eastAsia" w:cs="Arial"/>
          <w:b/>
          <w:i w:val="0"/>
          <w:iCs w:val="0"/>
          <w:color w:val="auto"/>
          <w:sz w:val="30"/>
          <w:szCs w:val="30"/>
          <w:highlight w:val="none"/>
        </w:rPr>
      </w:pPr>
    </w:p>
    <w:p w14:paraId="3C97BE16">
      <w:pPr>
        <w:pStyle w:val="364"/>
        <w:numPr>
          <w:ilvl w:val="0"/>
          <w:numId w:val="0"/>
        </w:numPr>
        <w:spacing w:before="0" w:after="0" w:line="500" w:lineRule="exact"/>
        <w:jc w:val="both"/>
        <w:rPr>
          <w:rFonts w:hint="eastAsia" w:cs="Arial"/>
          <w:b/>
          <w:i w:val="0"/>
          <w:iCs w:val="0"/>
          <w:color w:val="auto"/>
          <w:sz w:val="30"/>
          <w:szCs w:val="30"/>
          <w:highlight w:val="none"/>
        </w:rPr>
      </w:pPr>
    </w:p>
    <w:p w14:paraId="28BB9562">
      <w:pPr>
        <w:pStyle w:val="364"/>
        <w:numPr>
          <w:ilvl w:val="0"/>
          <w:numId w:val="0"/>
        </w:numPr>
        <w:spacing w:before="0" w:after="0" w:line="500" w:lineRule="exact"/>
        <w:jc w:val="both"/>
        <w:rPr>
          <w:rFonts w:hint="eastAsia" w:cs="Arial"/>
          <w:b/>
          <w:i w:val="0"/>
          <w:iCs w:val="0"/>
          <w:color w:val="auto"/>
          <w:sz w:val="30"/>
          <w:szCs w:val="30"/>
          <w:highlight w:val="none"/>
        </w:rPr>
      </w:pPr>
    </w:p>
    <w:p w14:paraId="30716C16">
      <w:pPr>
        <w:pStyle w:val="364"/>
        <w:numPr>
          <w:ilvl w:val="0"/>
          <w:numId w:val="0"/>
        </w:numPr>
        <w:spacing w:before="0" w:after="0" w:line="500" w:lineRule="exact"/>
        <w:jc w:val="both"/>
        <w:rPr>
          <w:rFonts w:hint="eastAsia" w:cs="Arial"/>
          <w:b/>
          <w:i w:val="0"/>
          <w:iCs w:val="0"/>
          <w:color w:val="auto"/>
          <w:sz w:val="30"/>
          <w:szCs w:val="30"/>
          <w:highlight w:val="none"/>
        </w:rPr>
      </w:pPr>
    </w:p>
    <w:p w14:paraId="19CF2209">
      <w:pPr>
        <w:pStyle w:val="364"/>
        <w:numPr>
          <w:ilvl w:val="0"/>
          <w:numId w:val="0"/>
        </w:numPr>
        <w:spacing w:before="0" w:after="0" w:line="500" w:lineRule="exact"/>
        <w:jc w:val="both"/>
        <w:rPr>
          <w:rFonts w:hint="eastAsia" w:cs="Arial"/>
          <w:b/>
          <w:i w:val="0"/>
          <w:iCs w:val="0"/>
          <w:color w:val="auto"/>
          <w:sz w:val="30"/>
          <w:szCs w:val="30"/>
          <w:highlight w:val="none"/>
        </w:rPr>
      </w:pPr>
    </w:p>
    <w:p w14:paraId="213E2330">
      <w:pPr>
        <w:pStyle w:val="364"/>
        <w:numPr>
          <w:ilvl w:val="0"/>
          <w:numId w:val="0"/>
        </w:numPr>
        <w:spacing w:before="0" w:after="0" w:line="500" w:lineRule="exact"/>
        <w:jc w:val="both"/>
        <w:rPr>
          <w:rFonts w:hint="eastAsia" w:cs="Arial"/>
          <w:b/>
          <w:i w:val="0"/>
          <w:iCs w:val="0"/>
          <w:color w:val="auto"/>
          <w:sz w:val="30"/>
          <w:szCs w:val="30"/>
          <w:highlight w:val="none"/>
        </w:rPr>
      </w:pPr>
    </w:p>
    <w:p w14:paraId="6CA448C9">
      <w:pPr>
        <w:pStyle w:val="364"/>
        <w:numPr>
          <w:ilvl w:val="0"/>
          <w:numId w:val="0"/>
        </w:numPr>
        <w:spacing w:before="0" w:after="0" w:line="500" w:lineRule="exact"/>
        <w:jc w:val="both"/>
        <w:rPr>
          <w:rFonts w:hint="eastAsia" w:cs="Arial"/>
          <w:b/>
          <w:i w:val="0"/>
          <w:iCs w:val="0"/>
          <w:color w:val="auto"/>
          <w:sz w:val="30"/>
          <w:szCs w:val="30"/>
          <w:highlight w:val="none"/>
        </w:rPr>
      </w:pPr>
    </w:p>
    <w:p w14:paraId="472E4FE7">
      <w:pPr>
        <w:pStyle w:val="364"/>
        <w:numPr>
          <w:ilvl w:val="0"/>
          <w:numId w:val="0"/>
        </w:numPr>
        <w:spacing w:before="0" w:after="0" w:line="500" w:lineRule="exact"/>
        <w:jc w:val="both"/>
        <w:rPr>
          <w:rFonts w:hint="eastAsia" w:cs="Arial"/>
          <w:b/>
          <w:i w:val="0"/>
          <w:iCs w:val="0"/>
          <w:color w:val="auto"/>
          <w:sz w:val="30"/>
          <w:szCs w:val="30"/>
          <w:highlight w:val="none"/>
        </w:rPr>
      </w:pPr>
    </w:p>
    <w:p w14:paraId="1D976812">
      <w:pPr>
        <w:pStyle w:val="364"/>
        <w:numPr>
          <w:ilvl w:val="0"/>
          <w:numId w:val="0"/>
        </w:numPr>
        <w:spacing w:before="0" w:after="0" w:line="500" w:lineRule="exact"/>
        <w:jc w:val="both"/>
        <w:rPr>
          <w:rFonts w:hint="eastAsia" w:cs="Arial"/>
          <w:b/>
          <w:i w:val="0"/>
          <w:iCs w:val="0"/>
          <w:color w:val="auto"/>
          <w:sz w:val="30"/>
          <w:szCs w:val="30"/>
          <w:highlight w:val="none"/>
        </w:rPr>
      </w:pPr>
    </w:p>
    <w:p w14:paraId="2B7C0578">
      <w:pPr>
        <w:rPr>
          <w:b/>
          <w:i w:val="0"/>
          <w:iCs w:val="0"/>
          <w:color w:val="auto"/>
          <w:sz w:val="28"/>
          <w:szCs w:val="28"/>
          <w:highlight w:val="none"/>
        </w:rPr>
      </w:pPr>
      <w:r>
        <w:rPr>
          <w:rFonts w:hint="eastAsia"/>
          <w:b/>
          <w:i w:val="0"/>
          <w:iCs w:val="0"/>
          <w:color w:val="auto"/>
          <w:sz w:val="28"/>
          <w:szCs w:val="28"/>
          <w:highlight w:val="none"/>
        </w:rPr>
        <w:t>二、符合性证明文件及其他证明文件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4E0A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A850A0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序号</w:t>
            </w:r>
          </w:p>
        </w:tc>
        <w:tc>
          <w:tcPr>
            <w:tcW w:w="6525" w:type="dxa"/>
            <w:noWrap w:val="0"/>
            <w:vAlign w:val="center"/>
          </w:tcPr>
          <w:p w14:paraId="2E71ECE0">
            <w:pPr>
              <w:pStyle w:val="364"/>
              <w:spacing w:before="0" w:after="0" w:line="240" w:lineRule="auto"/>
              <w:ind w:firstLine="0"/>
              <w:jc w:val="center"/>
              <w:rPr>
                <w:rFonts w:hint="eastAsia" w:cs="Arial"/>
                <w:b/>
                <w:i w:val="0"/>
                <w:iCs w:val="0"/>
                <w:color w:val="auto"/>
                <w:highlight w:val="none"/>
              </w:rPr>
            </w:pPr>
            <w:r>
              <w:rPr>
                <w:rFonts w:hint="eastAsia" w:ascii="宋体" w:hAnsi="宋体" w:cs="宋体"/>
                <w:b/>
                <w:i w:val="0"/>
                <w:iCs w:val="0"/>
                <w:color w:val="auto"/>
                <w:highlight w:val="none"/>
              </w:rPr>
              <w:t>评审项及评审要求</w:t>
            </w:r>
          </w:p>
        </w:tc>
        <w:tc>
          <w:tcPr>
            <w:tcW w:w="1549" w:type="dxa"/>
            <w:noWrap w:val="0"/>
            <w:vAlign w:val="center"/>
          </w:tcPr>
          <w:p w14:paraId="3EFCBA6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审查因素</w:t>
            </w:r>
          </w:p>
        </w:tc>
      </w:tr>
      <w:tr w14:paraId="1734D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E20153">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1</w:t>
            </w:r>
          </w:p>
        </w:tc>
        <w:tc>
          <w:tcPr>
            <w:tcW w:w="6525" w:type="dxa"/>
            <w:noWrap w:val="0"/>
            <w:vAlign w:val="center"/>
          </w:tcPr>
          <w:p w14:paraId="654D398E">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投标函（给定格式）</w:t>
            </w:r>
          </w:p>
        </w:tc>
        <w:tc>
          <w:tcPr>
            <w:tcW w:w="1549" w:type="dxa"/>
            <w:vMerge w:val="restart"/>
            <w:noWrap w:val="0"/>
            <w:vAlign w:val="center"/>
          </w:tcPr>
          <w:p w14:paraId="5F685053">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符合性证明文件</w:t>
            </w:r>
          </w:p>
        </w:tc>
      </w:tr>
      <w:tr w14:paraId="18F8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5A9A9BC">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2</w:t>
            </w:r>
          </w:p>
        </w:tc>
        <w:tc>
          <w:tcPr>
            <w:tcW w:w="6525" w:type="dxa"/>
            <w:noWrap w:val="0"/>
            <w:vAlign w:val="center"/>
          </w:tcPr>
          <w:p w14:paraId="61B77AC9">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承诺书（给定格式）</w:t>
            </w:r>
          </w:p>
        </w:tc>
        <w:tc>
          <w:tcPr>
            <w:tcW w:w="1549" w:type="dxa"/>
            <w:vMerge w:val="continue"/>
            <w:noWrap w:val="0"/>
            <w:vAlign w:val="center"/>
          </w:tcPr>
          <w:p w14:paraId="0E702A22">
            <w:pPr>
              <w:pStyle w:val="364"/>
              <w:spacing w:before="0" w:after="0" w:line="240" w:lineRule="auto"/>
              <w:ind w:firstLine="0"/>
              <w:jc w:val="both"/>
              <w:rPr>
                <w:rFonts w:hint="eastAsia" w:cs="Arial"/>
                <w:i w:val="0"/>
                <w:iCs w:val="0"/>
                <w:color w:val="auto"/>
                <w:highlight w:val="none"/>
              </w:rPr>
            </w:pPr>
          </w:p>
        </w:tc>
      </w:tr>
      <w:tr w14:paraId="06D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5E0CDE3">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3</w:t>
            </w:r>
          </w:p>
        </w:tc>
        <w:tc>
          <w:tcPr>
            <w:tcW w:w="6525" w:type="dxa"/>
            <w:noWrap w:val="0"/>
            <w:vAlign w:val="center"/>
          </w:tcPr>
          <w:p w14:paraId="53BEFA12">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开标一览表（给定格式）</w:t>
            </w:r>
          </w:p>
        </w:tc>
        <w:tc>
          <w:tcPr>
            <w:tcW w:w="1549" w:type="dxa"/>
            <w:vMerge w:val="continue"/>
            <w:noWrap w:val="0"/>
            <w:vAlign w:val="center"/>
          </w:tcPr>
          <w:p w14:paraId="7DD2889D">
            <w:pPr>
              <w:pStyle w:val="364"/>
              <w:spacing w:before="0" w:after="0" w:line="240" w:lineRule="auto"/>
              <w:ind w:firstLine="0"/>
              <w:jc w:val="both"/>
              <w:rPr>
                <w:rFonts w:hint="eastAsia" w:cs="Arial"/>
                <w:i w:val="0"/>
                <w:iCs w:val="0"/>
                <w:color w:val="auto"/>
                <w:highlight w:val="none"/>
              </w:rPr>
            </w:pPr>
          </w:p>
        </w:tc>
      </w:tr>
      <w:tr w14:paraId="5C38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81C6E67">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4</w:t>
            </w:r>
          </w:p>
        </w:tc>
        <w:tc>
          <w:tcPr>
            <w:tcW w:w="6525" w:type="dxa"/>
            <w:noWrap w:val="0"/>
            <w:vAlign w:val="center"/>
          </w:tcPr>
          <w:p w14:paraId="72E04827">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分项报价表（给定格式）</w:t>
            </w:r>
          </w:p>
        </w:tc>
        <w:tc>
          <w:tcPr>
            <w:tcW w:w="1549" w:type="dxa"/>
            <w:vMerge w:val="continue"/>
            <w:noWrap w:val="0"/>
            <w:vAlign w:val="center"/>
          </w:tcPr>
          <w:p w14:paraId="673F15E5">
            <w:pPr>
              <w:pStyle w:val="364"/>
              <w:spacing w:before="0" w:after="0" w:line="240" w:lineRule="auto"/>
              <w:ind w:firstLine="0"/>
              <w:jc w:val="both"/>
              <w:rPr>
                <w:rFonts w:hint="eastAsia" w:cs="Arial"/>
                <w:i w:val="0"/>
                <w:iCs w:val="0"/>
                <w:color w:val="auto"/>
                <w:highlight w:val="none"/>
              </w:rPr>
            </w:pPr>
          </w:p>
        </w:tc>
      </w:tr>
      <w:tr w14:paraId="34F1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DB7D22">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5</w:t>
            </w:r>
          </w:p>
        </w:tc>
        <w:tc>
          <w:tcPr>
            <w:tcW w:w="6525" w:type="dxa"/>
            <w:noWrap w:val="0"/>
            <w:vAlign w:val="center"/>
          </w:tcPr>
          <w:p w14:paraId="7662686C">
            <w:pPr>
              <w:pStyle w:val="364"/>
              <w:spacing w:before="0" w:after="0" w:line="240" w:lineRule="auto"/>
              <w:ind w:firstLine="0"/>
              <w:jc w:val="both"/>
              <w:rPr>
                <w:rFonts w:ascii="宋体" w:hAnsi="宋体" w:cs="Arial"/>
                <w:i w:val="0"/>
                <w:iCs w:val="0"/>
                <w:color w:val="auto"/>
                <w:highlight w:val="none"/>
              </w:rPr>
            </w:pPr>
            <w:r>
              <w:rPr>
                <w:rFonts w:hint="eastAsia" w:ascii="宋体" w:hAnsi="宋体"/>
                <w:i w:val="0"/>
                <w:iCs w:val="0"/>
                <w:color w:val="auto"/>
                <w:highlight w:val="none"/>
              </w:rPr>
              <w:t>投标偏离表（给定格式）</w:t>
            </w:r>
          </w:p>
        </w:tc>
        <w:tc>
          <w:tcPr>
            <w:tcW w:w="1549" w:type="dxa"/>
            <w:vMerge w:val="continue"/>
            <w:noWrap w:val="0"/>
            <w:vAlign w:val="center"/>
          </w:tcPr>
          <w:p w14:paraId="490D33D8">
            <w:pPr>
              <w:pStyle w:val="364"/>
              <w:spacing w:before="0" w:after="0" w:line="240" w:lineRule="auto"/>
              <w:ind w:firstLine="0"/>
              <w:jc w:val="both"/>
              <w:rPr>
                <w:rFonts w:hint="eastAsia" w:cs="Arial"/>
                <w:i w:val="0"/>
                <w:iCs w:val="0"/>
                <w:color w:val="auto"/>
                <w:highlight w:val="none"/>
              </w:rPr>
            </w:pPr>
          </w:p>
        </w:tc>
      </w:tr>
      <w:tr w14:paraId="3464B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B561392">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6</w:t>
            </w:r>
          </w:p>
        </w:tc>
        <w:tc>
          <w:tcPr>
            <w:tcW w:w="6525" w:type="dxa"/>
            <w:noWrap w:val="0"/>
            <w:vAlign w:val="center"/>
          </w:tcPr>
          <w:p w14:paraId="2A989F7D">
            <w:pPr>
              <w:pStyle w:val="364"/>
              <w:spacing w:before="0" w:after="0" w:line="240" w:lineRule="auto"/>
              <w:ind w:firstLine="0"/>
              <w:jc w:val="both"/>
              <w:rPr>
                <w:rFonts w:hint="eastAsia" w:ascii="宋体" w:hAnsi="宋体"/>
                <w:i w:val="0"/>
                <w:iCs w:val="0"/>
                <w:color w:val="auto"/>
                <w:highlight w:val="none"/>
              </w:rPr>
            </w:pPr>
            <w:r>
              <w:rPr>
                <w:rFonts w:hint="eastAsia" w:ascii="宋体" w:hAnsi="宋体" w:eastAsia="宋体" w:cs="宋体"/>
                <w:sz w:val="24"/>
                <w:szCs w:val="24"/>
                <w:lang w:val="en-US" w:eastAsia="zh-CN"/>
              </w:rPr>
              <w:t>楼层汇聚交换机</w:t>
            </w:r>
            <w:r>
              <w:rPr>
                <w:rFonts w:hint="eastAsia" w:ascii="宋体" w:hAnsi="宋体" w:eastAsia="宋体" w:cs="宋体"/>
                <w:i w:val="0"/>
                <w:iCs w:val="0"/>
                <w:color w:val="000000"/>
                <w:kern w:val="0"/>
                <w:sz w:val="24"/>
                <w:szCs w:val="24"/>
                <w:u w:val="none"/>
                <w:lang w:val="en-US" w:eastAsia="zh-CN" w:bidi="ar"/>
              </w:rPr>
              <w:t>功能要求：静态路由、RIP V1/2、RIPng、OSPF、OSPFv3、IS-IS、IS-ISv6、BGP、BGP4+、ECMP、路由策略，提供第三方测试报告截图证明；</w:t>
            </w:r>
          </w:p>
        </w:tc>
        <w:tc>
          <w:tcPr>
            <w:tcW w:w="1549" w:type="dxa"/>
            <w:vMerge w:val="continue"/>
            <w:noWrap w:val="0"/>
            <w:vAlign w:val="center"/>
          </w:tcPr>
          <w:p w14:paraId="6A4525E8">
            <w:pPr>
              <w:pStyle w:val="364"/>
              <w:spacing w:before="0" w:after="0" w:line="240" w:lineRule="auto"/>
              <w:ind w:firstLine="0"/>
              <w:jc w:val="both"/>
              <w:rPr>
                <w:rFonts w:hint="eastAsia" w:cs="Arial"/>
                <w:i w:val="0"/>
                <w:iCs w:val="0"/>
                <w:color w:val="auto"/>
                <w:highlight w:val="none"/>
              </w:rPr>
            </w:pPr>
          </w:p>
        </w:tc>
      </w:tr>
      <w:tr w14:paraId="6D39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2F6586A1">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7</w:t>
            </w:r>
          </w:p>
        </w:tc>
        <w:tc>
          <w:tcPr>
            <w:tcW w:w="6525" w:type="dxa"/>
            <w:noWrap w:val="0"/>
            <w:vAlign w:val="center"/>
          </w:tcPr>
          <w:p w14:paraId="426DBF95">
            <w:pPr>
              <w:pStyle w:val="364"/>
              <w:spacing w:before="0" w:after="0" w:line="240" w:lineRule="auto"/>
              <w:ind w:firstLine="0"/>
              <w:jc w:val="both"/>
              <w:rPr>
                <w:rFonts w:hint="eastAsia" w:ascii="宋体" w:hAnsi="宋体"/>
                <w:i w:val="0"/>
                <w:iCs w:val="0"/>
                <w:color w:val="auto"/>
                <w:highlight w:val="none"/>
              </w:rPr>
            </w:pPr>
            <w:r>
              <w:rPr>
                <w:rFonts w:hint="eastAsia" w:ascii="宋体" w:hAnsi="宋体" w:eastAsia="宋体" w:cs="宋体"/>
                <w:sz w:val="24"/>
                <w:szCs w:val="24"/>
                <w:lang w:val="en-US" w:eastAsia="zh-CN"/>
              </w:rPr>
              <w:t>上网行为管理</w:t>
            </w:r>
            <w:r>
              <w:rPr>
                <w:rFonts w:hint="eastAsia" w:ascii="宋体" w:hAnsi="宋体" w:eastAsia="宋体" w:cs="宋体"/>
                <w:i w:val="0"/>
                <w:iCs w:val="0"/>
                <w:color w:val="000000"/>
                <w:kern w:val="0"/>
                <w:sz w:val="24"/>
                <w:szCs w:val="24"/>
                <w:u w:val="none"/>
                <w:lang w:val="en-US" w:eastAsia="zh-CN" w:bidi="ar"/>
              </w:rPr>
              <w:t>功能要求：支持与医院现有互联网防火墙（AF-1000-L2200）实现认证联动，可以转发用户认证信息到防火墙，实现单点登录；（提供所投上网行为管理和医院现有互联网防火墙功能截图，加盖公章）</w:t>
            </w:r>
          </w:p>
        </w:tc>
        <w:tc>
          <w:tcPr>
            <w:tcW w:w="1549" w:type="dxa"/>
            <w:vMerge w:val="continue"/>
            <w:noWrap w:val="0"/>
            <w:vAlign w:val="center"/>
          </w:tcPr>
          <w:p w14:paraId="37FF0C5D">
            <w:pPr>
              <w:pStyle w:val="364"/>
              <w:spacing w:before="0" w:after="0" w:line="240" w:lineRule="auto"/>
              <w:ind w:firstLine="0"/>
              <w:jc w:val="both"/>
              <w:rPr>
                <w:rFonts w:hint="eastAsia" w:cs="Arial"/>
                <w:i w:val="0"/>
                <w:iCs w:val="0"/>
                <w:color w:val="auto"/>
                <w:highlight w:val="none"/>
              </w:rPr>
            </w:pPr>
          </w:p>
        </w:tc>
      </w:tr>
      <w:tr w14:paraId="3BE9C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F796CA2">
            <w:pPr>
              <w:pStyle w:val="364"/>
              <w:spacing w:before="0" w:after="0" w:line="240" w:lineRule="auto"/>
              <w:ind w:firstLine="0"/>
              <w:jc w:val="center"/>
              <w:rPr>
                <w:rFonts w:hint="eastAsia"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8</w:t>
            </w:r>
          </w:p>
        </w:tc>
        <w:tc>
          <w:tcPr>
            <w:tcW w:w="6525" w:type="dxa"/>
            <w:noWrap w:val="0"/>
            <w:vAlign w:val="center"/>
          </w:tcPr>
          <w:p w14:paraId="0D86AF7A">
            <w:pPr>
              <w:pStyle w:val="364"/>
              <w:spacing w:before="0" w:after="0" w:line="240" w:lineRule="auto"/>
              <w:ind w:firstLine="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lang w:val="en-US" w:eastAsia="zh-CN"/>
              </w:rPr>
              <w:t>上网行为管理</w:t>
            </w:r>
            <w:r>
              <w:rPr>
                <w:rFonts w:hint="eastAsia" w:ascii="宋体" w:hAnsi="宋体" w:eastAsia="宋体" w:cs="宋体"/>
                <w:i w:val="0"/>
                <w:iCs w:val="0"/>
                <w:color w:val="000000"/>
                <w:kern w:val="0"/>
                <w:sz w:val="24"/>
                <w:szCs w:val="24"/>
                <w:u w:val="none"/>
                <w:lang w:val="en-US" w:eastAsia="zh-CN" w:bidi="ar"/>
              </w:rPr>
              <w:t>功能要求：支持与医院现有防病毒aES（系统版本为6.0.2）实现联动，当检测到aES终端未安装产品时，禁止上网并提示需要安装aES终端软件；（提供所投上网行为管理和医院现有防病毒aES功能截图，加盖公章）</w:t>
            </w:r>
          </w:p>
        </w:tc>
        <w:tc>
          <w:tcPr>
            <w:tcW w:w="1549" w:type="dxa"/>
            <w:vMerge w:val="continue"/>
            <w:noWrap w:val="0"/>
            <w:vAlign w:val="center"/>
          </w:tcPr>
          <w:p w14:paraId="157855A5">
            <w:pPr>
              <w:pStyle w:val="364"/>
              <w:spacing w:before="0" w:after="0" w:line="240" w:lineRule="auto"/>
              <w:ind w:firstLine="0"/>
              <w:jc w:val="both"/>
              <w:rPr>
                <w:rFonts w:hint="eastAsia" w:cs="Arial"/>
                <w:i w:val="0"/>
                <w:iCs w:val="0"/>
                <w:color w:val="auto"/>
                <w:highlight w:val="none"/>
              </w:rPr>
            </w:pPr>
          </w:p>
        </w:tc>
      </w:tr>
      <w:tr w14:paraId="1133B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43085CA">
            <w:pPr>
              <w:pStyle w:val="364"/>
              <w:spacing w:before="0" w:after="0" w:line="240" w:lineRule="auto"/>
              <w:ind w:firstLine="0"/>
              <w:jc w:val="center"/>
              <w:rPr>
                <w:rFonts w:hint="eastAsia"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9</w:t>
            </w:r>
          </w:p>
        </w:tc>
        <w:tc>
          <w:tcPr>
            <w:tcW w:w="6525" w:type="dxa"/>
            <w:noWrap w:val="0"/>
            <w:vAlign w:val="center"/>
          </w:tcPr>
          <w:p w14:paraId="31CEA225">
            <w:pPr>
              <w:pStyle w:val="364"/>
              <w:spacing w:before="0" w:after="0" w:line="240" w:lineRule="auto"/>
              <w:ind w:firstLine="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sz w:val="24"/>
                <w:szCs w:val="24"/>
                <w:lang w:val="en-US" w:eastAsia="zh-CN"/>
              </w:rPr>
              <w:t>内网边界防火墙</w:t>
            </w:r>
            <w:r>
              <w:rPr>
                <w:rFonts w:hint="eastAsia" w:ascii="宋体" w:hAnsi="宋体" w:eastAsia="宋体" w:cs="宋体"/>
                <w:i w:val="0"/>
                <w:iCs w:val="0"/>
                <w:color w:val="000000"/>
                <w:kern w:val="0"/>
                <w:sz w:val="24"/>
                <w:szCs w:val="24"/>
                <w:u w:val="none"/>
                <w:lang w:val="en-US" w:eastAsia="zh-CN" w:bidi="ar"/>
              </w:rPr>
              <w:t>功能要求：支持对接医院现有安全运营服务平台，可以上报安全日志到安全运营服务平台，以及从平台可以跳转运维防火墙进行管理、运维，同时支持结合安全运营服务平台联动封锁域名。（提供防火墙和安全运营服务平台功能截图证明并加盖公章）</w:t>
            </w:r>
          </w:p>
        </w:tc>
        <w:tc>
          <w:tcPr>
            <w:tcW w:w="1549" w:type="dxa"/>
            <w:vMerge w:val="continue"/>
            <w:noWrap w:val="0"/>
            <w:vAlign w:val="center"/>
          </w:tcPr>
          <w:p w14:paraId="5E3B7CD8">
            <w:pPr>
              <w:pStyle w:val="364"/>
              <w:spacing w:before="0" w:after="0" w:line="240" w:lineRule="auto"/>
              <w:ind w:firstLine="0"/>
              <w:jc w:val="both"/>
              <w:rPr>
                <w:rFonts w:hint="eastAsia" w:cs="Arial"/>
                <w:i w:val="0"/>
                <w:iCs w:val="0"/>
                <w:color w:val="auto"/>
                <w:highlight w:val="none"/>
              </w:rPr>
            </w:pPr>
          </w:p>
        </w:tc>
      </w:tr>
      <w:tr w14:paraId="078D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81C093B">
            <w:pPr>
              <w:pStyle w:val="364"/>
              <w:spacing w:before="0" w:after="0" w:line="240" w:lineRule="auto"/>
              <w:ind w:firstLine="0" w:firstLineChars="0"/>
              <w:jc w:val="center"/>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10</w:t>
            </w:r>
          </w:p>
        </w:tc>
        <w:tc>
          <w:tcPr>
            <w:tcW w:w="6525" w:type="dxa"/>
            <w:noWrap w:val="0"/>
            <w:vAlign w:val="center"/>
          </w:tcPr>
          <w:p w14:paraId="0D5BD93A">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《评标方法与评标标准》中涉及的证明文件</w:t>
            </w:r>
          </w:p>
        </w:tc>
        <w:tc>
          <w:tcPr>
            <w:tcW w:w="1549" w:type="dxa"/>
            <w:vMerge w:val="restart"/>
            <w:noWrap w:val="0"/>
            <w:vAlign w:val="center"/>
          </w:tcPr>
          <w:p w14:paraId="2BAA61A1">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其他证明文件</w:t>
            </w:r>
          </w:p>
        </w:tc>
      </w:tr>
      <w:tr w14:paraId="2E4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9F266">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11</w:t>
            </w:r>
          </w:p>
        </w:tc>
        <w:tc>
          <w:tcPr>
            <w:tcW w:w="6525" w:type="dxa"/>
            <w:noWrap w:val="0"/>
            <w:vAlign w:val="center"/>
          </w:tcPr>
          <w:p w14:paraId="770FE445">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其他投标人认为应附的文件（如有，自拟并自行添加）</w:t>
            </w:r>
          </w:p>
        </w:tc>
        <w:tc>
          <w:tcPr>
            <w:tcW w:w="1549" w:type="dxa"/>
            <w:vMerge w:val="continue"/>
            <w:noWrap w:val="0"/>
            <w:vAlign w:val="top"/>
          </w:tcPr>
          <w:p w14:paraId="61C2DE4D">
            <w:pPr>
              <w:pStyle w:val="364"/>
              <w:spacing w:before="0" w:after="0" w:line="240" w:lineRule="auto"/>
              <w:ind w:firstLine="0"/>
              <w:rPr>
                <w:rFonts w:hint="eastAsia" w:cs="Arial"/>
                <w:i w:val="0"/>
                <w:iCs w:val="0"/>
                <w:color w:val="auto"/>
                <w:highlight w:val="none"/>
              </w:rPr>
            </w:pPr>
          </w:p>
        </w:tc>
      </w:tr>
    </w:tbl>
    <w:p w14:paraId="7799638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6DBE0CB6">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hint="eastAsia" w:ascii="宋体" w:hAnsi="宋体"/>
          <w:i w:val="0"/>
          <w:iCs w:val="0"/>
          <w:color w:val="auto"/>
          <w:sz w:val="24"/>
          <w:szCs w:val="24"/>
          <w:highlight w:val="none"/>
        </w:rPr>
        <w:t>上述</w:t>
      </w:r>
      <w:r>
        <w:rPr>
          <w:rFonts w:hint="eastAsia" w:cs="Arial"/>
          <w:i w:val="0"/>
          <w:iCs w:val="0"/>
          <w:color w:val="auto"/>
          <w:sz w:val="24"/>
          <w:szCs w:val="24"/>
          <w:highlight w:val="none"/>
        </w:rPr>
        <w:t>符合性证明文件及其他证明文件</w:t>
      </w:r>
      <w:r>
        <w:rPr>
          <w:rFonts w:hint="eastAsia" w:ascii="宋体" w:hAnsi="宋体"/>
          <w:i w:val="0"/>
          <w:iCs w:val="0"/>
          <w:color w:val="auto"/>
          <w:sz w:val="24"/>
          <w:szCs w:val="24"/>
          <w:highlight w:val="none"/>
        </w:rPr>
        <w:t>1～</w:t>
      </w:r>
      <w:r>
        <w:rPr>
          <w:rFonts w:hint="eastAsia" w:ascii="宋体" w:hAnsi="宋体"/>
          <w:i w:val="0"/>
          <w:iCs w:val="0"/>
          <w:color w:val="auto"/>
          <w:sz w:val="24"/>
          <w:szCs w:val="24"/>
          <w:highlight w:val="none"/>
          <w:lang w:val="en-US" w:eastAsia="zh-CN"/>
        </w:rPr>
        <w:t>9</w:t>
      </w:r>
      <w:r>
        <w:rPr>
          <w:rFonts w:hint="eastAsia" w:ascii="宋体" w:hAnsi="宋体"/>
          <w:i w:val="0"/>
          <w:iCs w:val="0"/>
          <w:color w:val="auto"/>
          <w:sz w:val="24"/>
          <w:szCs w:val="24"/>
          <w:highlight w:val="none"/>
        </w:rPr>
        <w:t>项必须按要求全部提供（有给定格式的，必须按给定格式的要求正确填报并提供，相应格式见本章第二部分），否则投标文件无效。</w:t>
      </w:r>
    </w:p>
    <w:p w14:paraId="67B839B4">
      <w:pPr>
        <w:numPr>
          <w:ilvl w:val="0"/>
          <w:numId w:val="0"/>
        </w:numPr>
        <w:spacing w:line="500" w:lineRule="exact"/>
        <w:ind w:firstLine="480"/>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rPr>
        <w:t>如项目接受联合体投标，且投标人为联合体时，上述</w:t>
      </w:r>
      <w:r>
        <w:rPr>
          <w:rFonts w:hint="eastAsia" w:cs="Arial"/>
          <w:i w:val="0"/>
          <w:iCs w:val="0"/>
          <w:color w:val="auto"/>
          <w:sz w:val="24"/>
          <w:szCs w:val="24"/>
          <w:highlight w:val="none"/>
        </w:rPr>
        <w:t>符合性证明文件及其他证明文件</w:t>
      </w:r>
      <w:r>
        <w:rPr>
          <w:rFonts w:hint="eastAsia" w:ascii="宋体" w:hAnsi="宋体" w:cs="宋体"/>
          <w:i w:val="0"/>
          <w:iCs w:val="0"/>
          <w:color w:val="auto"/>
          <w:sz w:val="24"/>
          <w:szCs w:val="24"/>
          <w:highlight w:val="none"/>
        </w:rPr>
        <w:t>第1～</w:t>
      </w:r>
      <w:r>
        <w:rPr>
          <w:rFonts w:hint="eastAsia" w:ascii="宋体" w:hAnsi="宋体" w:cs="宋体"/>
          <w:i w:val="0"/>
          <w:iCs w:val="0"/>
          <w:color w:val="auto"/>
          <w:sz w:val="24"/>
          <w:szCs w:val="24"/>
          <w:highlight w:val="none"/>
          <w:lang w:val="en-US" w:eastAsia="zh-CN"/>
        </w:rPr>
        <w:t>9</w:t>
      </w:r>
      <w:r>
        <w:rPr>
          <w:rFonts w:hint="eastAsia" w:ascii="宋体" w:hAnsi="宋体" w:cs="宋体"/>
          <w:i w:val="0"/>
          <w:iCs w:val="0"/>
          <w:color w:val="auto"/>
          <w:sz w:val="24"/>
          <w:szCs w:val="24"/>
          <w:highlight w:val="none"/>
        </w:rPr>
        <w:t>项可由联合体主体单位（即联合体牵头人）代表联合体提供。</w:t>
      </w:r>
      <w:bookmarkEnd w:id="136"/>
    </w:p>
    <w:p w14:paraId="5BFE90E6">
      <w:pPr>
        <w:jc w:val="both"/>
        <w:rPr>
          <w:rFonts w:hint="eastAsia" w:cs="Arial"/>
          <w:b/>
          <w:i w:val="0"/>
          <w:iCs w:val="0"/>
          <w:color w:val="auto"/>
          <w:sz w:val="30"/>
          <w:szCs w:val="30"/>
          <w:highlight w:val="none"/>
        </w:rPr>
      </w:pPr>
    </w:p>
    <w:p w14:paraId="5DA11CFF">
      <w:pPr>
        <w:jc w:val="both"/>
        <w:rPr>
          <w:rFonts w:hint="eastAsia" w:cs="Arial"/>
          <w:b/>
          <w:i w:val="0"/>
          <w:iCs w:val="0"/>
          <w:color w:val="auto"/>
          <w:sz w:val="30"/>
          <w:szCs w:val="30"/>
          <w:highlight w:val="none"/>
        </w:rPr>
      </w:pPr>
    </w:p>
    <w:p w14:paraId="3A22D07A">
      <w:pPr>
        <w:jc w:val="both"/>
        <w:rPr>
          <w:rFonts w:hint="eastAsia" w:cs="Arial"/>
          <w:b/>
          <w:i w:val="0"/>
          <w:iCs w:val="0"/>
          <w:color w:val="auto"/>
          <w:sz w:val="30"/>
          <w:szCs w:val="30"/>
          <w:highlight w:val="none"/>
        </w:rPr>
      </w:pPr>
    </w:p>
    <w:p w14:paraId="7E639912">
      <w:pPr>
        <w:jc w:val="both"/>
        <w:rPr>
          <w:rFonts w:hint="eastAsia" w:cs="Arial"/>
          <w:b/>
          <w:i w:val="0"/>
          <w:iCs w:val="0"/>
          <w:color w:val="auto"/>
          <w:sz w:val="30"/>
          <w:szCs w:val="30"/>
          <w:highlight w:val="none"/>
        </w:rPr>
      </w:pPr>
    </w:p>
    <w:p w14:paraId="1C441490">
      <w:pPr>
        <w:jc w:val="both"/>
        <w:rPr>
          <w:rFonts w:hint="eastAsia" w:cs="Arial"/>
          <w:b/>
          <w:i w:val="0"/>
          <w:iCs w:val="0"/>
          <w:color w:val="auto"/>
          <w:sz w:val="30"/>
          <w:szCs w:val="30"/>
          <w:highlight w:val="none"/>
        </w:rPr>
      </w:pPr>
    </w:p>
    <w:p w14:paraId="50106A14">
      <w:pPr>
        <w:ind w:firstLine="48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投标文件格式</w:t>
      </w:r>
    </w:p>
    <w:p w14:paraId="15A7DF60">
      <w:pPr>
        <w:pStyle w:val="364"/>
        <w:spacing w:before="0" w:after="0"/>
        <w:ind w:firstLine="0"/>
        <w:rPr>
          <w:rFonts w:cs="Arial"/>
          <w:b/>
          <w:i w:val="0"/>
          <w:iCs w:val="0"/>
          <w:color w:val="auto"/>
          <w:sz w:val="28"/>
          <w:szCs w:val="28"/>
          <w:highlight w:val="none"/>
        </w:rPr>
      </w:pPr>
      <w:r>
        <w:rPr>
          <w:rFonts w:hint="eastAsia" w:cs="Arial"/>
          <w:b/>
          <w:i w:val="0"/>
          <w:iCs w:val="0"/>
          <w:color w:val="auto"/>
          <w:sz w:val="28"/>
          <w:szCs w:val="28"/>
          <w:highlight w:val="none"/>
        </w:rPr>
        <w:t>一、封面格式（参考格式）：</w:t>
      </w:r>
    </w:p>
    <w:p w14:paraId="3D98C20B">
      <w:pPr>
        <w:jc w:val="center"/>
        <w:rPr>
          <w:rFonts w:hint="eastAsia" w:ascii="宋体" w:hAnsi="宋体"/>
          <w:b/>
          <w:i w:val="0"/>
          <w:iCs w:val="0"/>
          <w:color w:val="auto"/>
          <w:sz w:val="72"/>
          <w:highlight w:val="none"/>
          <w:shd w:val="clear" w:color="FFFFFF" w:fill="D9D9D9"/>
        </w:rPr>
      </w:pPr>
    </w:p>
    <w:p w14:paraId="5559D0F8">
      <w:pPr>
        <w:jc w:val="center"/>
        <w:rPr>
          <w:rFonts w:hint="eastAsia" w:ascii="宋体" w:hAnsi="宋体"/>
          <w:b/>
          <w:i w:val="0"/>
          <w:iCs w:val="0"/>
          <w:color w:val="auto"/>
          <w:sz w:val="72"/>
          <w:highlight w:val="none"/>
          <w:shd w:val="clear" w:color="FFFFFF" w:fill="D9D9D9"/>
        </w:rPr>
      </w:pPr>
    </w:p>
    <w:p w14:paraId="45910353">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投  标  文  件</w:t>
      </w:r>
    </w:p>
    <w:p w14:paraId="3BE222A4">
      <w:pPr>
        <w:jc w:val="center"/>
        <w:rPr>
          <w:rFonts w:hint="eastAsia" w:ascii="宋体" w:hAnsi="宋体"/>
          <w:b/>
          <w:i w:val="0"/>
          <w:iCs w:val="0"/>
          <w:color w:val="auto"/>
          <w:sz w:val="72"/>
          <w:highlight w:val="none"/>
          <w:shd w:val="clear" w:color="FFFFFF" w:fill="D9D9D9"/>
        </w:rPr>
      </w:pPr>
    </w:p>
    <w:p w14:paraId="55147D41">
      <w:pPr>
        <w:jc w:val="center"/>
        <w:rPr>
          <w:rFonts w:hint="eastAsia" w:ascii="宋体" w:hAnsi="宋体"/>
          <w:b/>
          <w:i w:val="0"/>
          <w:iCs w:val="0"/>
          <w:color w:val="auto"/>
          <w:sz w:val="72"/>
          <w:highlight w:val="none"/>
          <w:shd w:val="clear" w:color="FFFFFF" w:fill="D9D9D9"/>
        </w:rPr>
      </w:pPr>
    </w:p>
    <w:p w14:paraId="17C1EB51">
      <w:pPr>
        <w:jc w:val="center"/>
        <w:rPr>
          <w:rFonts w:hint="eastAsia" w:ascii="宋体" w:hAnsi="宋体"/>
          <w:b/>
          <w:i w:val="0"/>
          <w:iCs w:val="0"/>
          <w:color w:val="auto"/>
          <w:sz w:val="72"/>
          <w:highlight w:val="none"/>
          <w:shd w:val="clear" w:color="FFFFFF" w:fill="D9D9D9"/>
        </w:rPr>
      </w:pPr>
    </w:p>
    <w:p w14:paraId="1452EB3E">
      <w:pPr>
        <w:jc w:val="center"/>
        <w:rPr>
          <w:rFonts w:hint="eastAsia" w:ascii="宋体" w:hAnsi="宋体"/>
          <w:b/>
          <w:i w:val="0"/>
          <w:iCs w:val="0"/>
          <w:color w:val="auto"/>
          <w:sz w:val="72"/>
          <w:highlight w:val="none"/>
          <w:shd w:val="clear" w:color="FFFFFF" w:fill="D9D9D9"/>
        </w:rPr>
      </w:pPr>
    </w:p>
    <w:p w14:paraId="6DE5415F">
      <w:pPr>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项目编号：</w:t>
      </w:r>
      <w:r>
        <w:rPr>
          <w:rFonts w:hint="eastAsia" w:ascii="黑体" w:hAnsi="华文中宋" w:eastAsia="黑体" w:cs="Times New Roman"/>
          <w:bCs/>
          <w:i w:val="0"/>
          <w:iCs w:val="0"/>
          <w:color w:val="auto"/>
          <w:sz w:val="30"/>
          <w:szCs w:val="30"/>
          <w:highlight w:val="none"/>
          <w:lang w:eastAsia="zh-CN"/>
        </w:rPr>
        <w:t xml:space="preserve">JSZC-320206-JZCG-G2026-0056 </w:t>
      </w:r>
    </w:p>
    <w:p w14:paraId="70B61159">
      <w:pPr>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项目名称：</w:t>
      </w:r>
      <w:r>
        <w:rPr>
          <w:rFonts w:hint="eastAsia" w:ascii="黑体" w:hAnsi="华文中宋" w:eastAsia="黑体" w:cs="Times New Roman"/>
          <w:bCs/>
          <w:i w:val="0"/>
          <w:iCs w:val="0"/>
          <w:color w:val="auto"/>
          <w:sz w:val="30"/>
          <w:szCs w:val="30"/>
          <w:highlight w:val="none"/>
          <w:lang w:eastAsia="zh-CN"/>
        </w:rPr>
        <w:t>无锡市惠山区人民医院网络设备更新和重要网络安全设施建设项目</w:t>
      </w:r>
    </w:p>
    <w:p w14:paraId="3FA5EFB7">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投 标 人：</w:t>
      </w:r>
    </w:p>
    <w:p w14:paraId="5CA5728E">
      <w:pPr>
        <w:ind w:firstLine="1800"/>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日    期：</w:t>
      </w:r>
    </w:p>
    <w:p w14:paraId="0D7ADB78">
      <w:pPr>
        <w:pageBreakBefore/>
        <w:outlineLvl w:val="0"/>
        <w:rPr>
          <w:rFonts w:hint="eastAsia" w:ascii="黑体" w:hAnsi="宋体" w:eastAsia="黑体"/>
          <w:bCs/>
          <w:i w:val="0"/>
          <w:iCs w:val="0"/>
          <w:color w:val="auto"/>
          <w:sz w:val="24"/>
          <w:szCs w:val="24"/>
          <w:highlight w:val="none"/>
        </w:rPr>
      </w:pPr>
    </w:p>
    <w:p w14:paraId="1818110B">
      <w:pPr>
        <w:spacing w:line="440" w:lineRule="exact"/>
        <w:rPr>
          <w:rFonts w:hint="eastAsia" w:ascii="Arial" w:hAnsi="Arial"/>
          <w:b/>
          <w:i w:val="0"/>
          <w:iCs w:val="0"/>
          <w:color w:val="auto"/>
          <w:sz w:val="28"/>
          <w:szCs w:val="28"/>
          <w:highlight w:val="none"/>
        </w:rPr>
      </w:pPr>
      <w:bookmarkStart w:id="137" w:name="_Toc61444678"/>
      <w:r>
        <w:rPr>
          <w:rFonts w:hint="eastAsia" w:ascii="宋体" w:hAnsi="宋体" w:cs="宋体"/>
          <w:b/>
          <w:i w:val="0"/>
          <w:iCs w:val="0"/>
          <w:color w:val="auto"/>
          <w:sz w:val="28"/>
          <w:szCs w:val="28"/>
          <w:highlight w:val="none"/>
        </w:rPr>
        <w:t>二、授权委托书（给定格式）：</w:t>
      </w:r>
    </w:p>
    <w:p w14:paraId="0775CA35">
      <w:pPr>
        <w:jc w:val="center"/>
        <w:outlineLvl w:val="0"/>
        <w:rPr>
          <w:rFonts w:ascii="宋体" w:hAnsi="宋体"/>
          <w:i w:val="0"/>
          <w:iCs w:val="0"/>
          <w:color w:val="auto"/>
          <w:sz w:val="24"/>
          <w:highlight w:val="none"/>
          <w:shd w:val="clear" w:color="FFFFFF" w:fill="D9D9D9"/>
        </w:rPr>
      </w:pPr>
      <w:r>
        <w:rPr>
          <w:rFonts w:hint="eastAsia" w:ascii="黑体" w:eastAsia="黑体"/>
          <w:bCs/>
          <w:i w:val="0"/>
          <w:iCs w:val="0"/>
          <w:color w:val="auto"/>
          <w:sz w:val="28"/>
          <w:szCs w:val="28"/>
          <w:highlight w:val="none"/>
        </w:rPr>
        <w:t>授权委托书</w:t>
      </w:r>
    </w:p>
    <w:p w14:paraId="4B7028DA">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我公司（单位）针对</w:t>
      </w:r>
      <w:r>
        <w:rPr>
          <w:rFonts w:hint="eastAsia" w:ascii="黑体" w:eastAsia="黑体" w:cs="Times New Roman"/>
          <w:bCs/>
          <w:i w:val="0"/>
          <w:iCs w:val="0"/>
          <w:color w:val="auto"/>
          <w:sz w:val="24"/>
          <w:szCs w:val="24"/>
          <w:highlight w:val="none"/>
          <w:lang w:eastAsia="zh-CN"/>
        </w:rPr>
        <w:t>JSZC-320206-JZCG-G2026-0056</w:t>
      </w:r>
      <w:r>
        <w:rPr>
          <w:rFonts w:hint="eastAsia" w:ascii="宋体" w:hAnsi="宋体"/>
          <w:bCs/>
          <w:i w:val="0"/>
          <w:iCs w:val="0"/>
          <w:color w:val="auto"/>
          <w:sz w:val="24"/>
          <w:szCs w:val="24"/>
          <w:highlight w:val="none"/>
        </w:rPr>
        <w:t>项目，兹授权：</w:t>
      </w:r>
    </w:p>
    <w:p w14:paraId="4CA280D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25A392B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1471234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为我方合法代理人，以本单位名义全权处理</w:t>
      </w:r>
      <w:r>
        <w:rPr>
          <w:rFonts w:hint="eastAsia" w:ascii="宋体" w:hAnsi="宋体"/>
          <w:bCs/>
          <w:i w:val="0"/>
          <w:iCs w:val="0"/>
          <w:color w:val="auto"/>
          <w:sz w:val="24"/>
          <w:szCs w:val="24"/>
          <w:highlight w:val="none"/>
        </w:rPr>
        <w:t>针对本次项目的投标、参与开标、评标、签约等具体工作，并签署全部有关的文件、协议及合同以及其他</w:t>
      </w:r>
      <w:r>
        <w:rPr>
          <w:rFonts w:hint="eastAsia"/>
          <w:i w:val="0"/>
          <w:iCs w:val="0"/>
          <w:color w:val="auto"/>
          <w:sz w:val="24"/>
          <w:szCs w:val="24"/>
          <w:highlight w:val="none"/>
        </w:rPr>
        <w:t>一切与该项目采购有关的事务。</w:t>
      </w:r>
    </w:p>
    <w:p w14:paraId="63E9C70F">
      <w:pPr>
        <w:pStyle w:val="365"/>
        <w:keepNext w:val="0"/>
        <w:keepLines w:val="0"/>
        <w:pageBreakBefore w:val="0"/>
        <w:widowControl w:val="0"/>
        <w:spacing w:line="460" w:lineRule="exact"/>
        <w:ind w:firstLine="480"/>
        <w:rPr>
          <w:rFonts w:hint="eastAsia" w:ascii="宋体" w:hAnsi="宋体"/>
          <w:bCs/>
          <w:i w:val="0"/>
          <w:iCs w:val="0"/>
          <w:color w:val="auto"/>
          <w:sz w:val="24"/>
          <w:szCs w:val="24"/>
          <w:highlight w:val="none"/>
        </w:rPr>
      </w:pPr>
      <w:r>
        <w:rPr>
          <w:rFonts w:hint="eastAsia"/>
          <w:i w:val="0"/>
          <w:iCs w:val="0"/>
          <w:color w:val="auto"/>
          <w:sz w:val="24"/>
          <w:szCs w:val="24"/>
          <w:highlight w:val="none"/>
        </w:rPr>
        <w:t>本授权委托书自授权之日起生效，</w:t>
      </w:r>
      <w:r>
        <w:rPr>
          <w:rFonts w:hint="eastAsia" w:ascii="宋体" w:hAnsi="宋体"/>
          <w:bCs/>
          <w:i w:val="0"/>
          <w:iCs w:val="0"/>
          <w:color w:val="auto"/>
          <w:sz w:val="24"/>
          <w:szCs w:val="24"/>
          <w:highlight w:val="none"/>
        </w:rPr>
        <w:t>在撤销授权的书面通知送达你处以前，本授权书一直有效，被授权人签署的所有文件（在</w:t>
      </w:r>
      <w:r>
        <w:rPr>
          <w:rFonts w:hint="eastAsia"/>
          <w:i w:val="0"/>
          <w:iCs w:val="0"/>
          <w:color w:val="auto"/>
          <w:sz w:val="24"/>
          <w:szCs w:val="24"/>
          <w:highlight w:val="none"/>
        </w:rPr>
        <w:t>授权委托</w:t>
      </w:r>
      <w:r>
        <w:rPr>
          <w:rFonts w:hint="eastAsia" w:ascii="宋体" w:hAnsi="宋体"/>
          <w:bCs/>
          <w:i w:val="0"/>
          <w:iCs w:val="0"/>
          <w:color w:val="auto"/>
          <w:sz w:val="24"/>
          <w:szCs w:val="24"/>
          <w:highlight w:val="none"/>
        </w:rPr>
        <w:t>书有效期内签署的）不因授权的撤销而失效。</w:t>
      </w:r>
    </w:p>
    <w:p w14:paraId="4CCD747B">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特此授权委托。</w:t>
      </w:r>
    </w:p>
    <w:p w14:paraId="4DA9084E">
      <w:pPr>
        <w:pStyle w:val="365"/>
        <w:keepNext w:val="0"/>
        <w:keepLines w:val="0"/>
        <w:pageBreakBefore w:val="0"/>
        <w:widowControl w:val="0"/>
        <w:spacing w:line="460" w:lineRule="exact"/>
        <w:ind w:firstLine="0"/>
        <w:rPr>
          <w:rFonts w:hint="eastAsia"/>
          <w:i w:val="0"/>
          <w:iCs w:val="0"/>
          <w:color w:val="auto"/>
          <w:sz w:val="24"/>
          <w:szCs w:val="24"/>
          <w:highlight w:val="none"/>
          <w:u w:val="single"/>
        </w:rPr>
      </w:pPr>
      <w:r>
        <w:rPr>
          <w:rFonts w:hint="eastAsia"/>
          <w:i w:val="0"/>
          <w:iCs w:val="0"/>
          <w:color w:val="auto"/>
          <w:sz w:val="24"/>
          <w:szCs w:val="24"/>
          <w:highlight w:val="none"/>
        </w:rPr>
        <w:t>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日                     投标人名称</w:t>
      </w:r>
      <w:r>
        <w:rPr>
          <w:rFonts w:hint="eastAsia" w:ascii="宋体" w:hAnsi="宋体"/>
          <w:bCs/>
          <w:i w:val="0"/>
          <w:iCs w:val="0"/>
          <w:color w:val="auto"/>
          <w:sz w:val="24"/>
          <w:szCs w:val="24"/>
          <w:highlight w:val="none"/>
        </w:rPr>
        <w:t>（盖章）</w:t>
      </w:r>
      <w:r>
        <w:rPr>
          <w:rFonts w:hint="eastAsia"/>
          <w:i w:val="0"/>
          <w:iCs w:val="0"/>
          <w:color w:val="auto"/>
          <w:sz w:val="24"/>
          <w:szCs w:val="24"/>
          <w:highlight w:val="none"/>
        </w:rPr>
        <w:t>：</w:t>
      </w:r>
    </w:p>
    <w:p w14:paraId="1778EBEB">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i w:val="0"/>
          <w:iCs w:val="0"/>
          <w:color w:val="auto"/>
          <w:sz w:val="24"/>
          <w:szCs w:val="24"/>
          <w:highlight w:val="none"/>
        </w:rPr>
        <w:t>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p>
    <w:p w14:paraId="5C67A88D">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ascii="宋体" w:hAnsi="宋体" w:cs="宋体"/>
          <w:b/>
          <w:i w:val="0"/>
          <w:iCs w:val="0"/>
          <w:color w:val="auto"/>
          <w:sz w:val="30"/>
          <w:highlight w:val="none"/>
        </w:rPr>
        <w:t>(被授权人身份证原件扫描件附后)</w:t>
      </w:r>
    </w:p>
    <w:p w14:paraId="4F555C0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说明：</w:t>
      </w:r>
    </w:p>
    <w:p w14:paraId="23E675B3">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1.</w:t>
      </w:r>
      <w:r>
        <w:rPr>
          <w:rFonts w:ascii="宋体" w:hAnsi="宋体"/>
          <w:i w:val="0"/>
          <w:iCs w:val="0"/>
          <w:color w:val="auto"/>
          <w:sz w:val="24"/>
          <w:szCs w:val="20"/>
          <w:highlight w:val="none"/>
        </w:rPr>
        <w:t>若</w:t>
      </w:r>
      <w:r>
        <w:rPr>
          <w:rFonts w:hint="eastAsia" w:ascii="宋体" w:hAnsi="宋体"/>
          <w:i w:val="0"/>
          <w:iCs w:val="0"/>
          <w:color w:val="auto"/>
          <w:sz w:val="24"/>
          <w:szCs w:val="20"/>
          <w:highlight w:val="none"/>
        </w:rPr>
        <w:t>投标人</w:t>
      </w:r>
      <w:r>
        <w:rPr>
          <w:rFonts w:ascii="宋体" w:hAnsi="宋体"/>
          <w:i w:val="0"/>
          <w:iCs w:val="0"/>
          <w:color w:val="auto"/>
          <w:sz w:val="24"/>
          <w:szCs w:val="20"/>
          <w:highlight w:val="none"/>
        </w:rPr>
        <w:t>为事业单位或其他组织或分支机构（仅</w:t>
      </w:r>
      <w:r>
        <w:rPr>
          <w:rFonts w:hint="eastAsia" w:ascii="宋体" w:hAnsi="宋体"/>
          <w:i w:val="0"/>
          <w:iCs w:val="0"/>
          <w:color w:val="auto"/>
          <w:sz w:val="24"/>
          <w:szCs w:val="20"/>
          <w:highlight w:val="none"/>
        </w:rPr>
        <w:t>限招标</w:t>
      </w:r>
      <w:r>
        <w:rPr>
          <w:rFonts w:ascii="宋体" w:hAnsi="宋体"/>
          <w:i w:val="0"/>
          <w:iCs w:val="0"/>
          <w:color w:val="auto"/>
          <w:sz w:val="24"/>
          <w:szCs w:val="20"/>
          <w:highlight w:val="none"/>
        </w:rPr>
        <w:t>文件注明允许分支机构</w:t>
      </w:r>
      <w:r>
        <w:rPr>
          <w:rFonts w:hint="eastAsia" w:ascii="宋体" w:hAnsi="宋体"/>
          <w:i w:val="0"/>
          <w:iCs w:val="0"/>
          <w:color w:val="auto"/>
          <w:sz w:val="24"/>
          <w:szCs w:val="20"/>
          <w:highlight w:val="none"/>
        </w:rPr>
        <w:t>投标情形</w:t>
      </w:r>
      <w:r>
        <w:rPr>
          <w:rFonts w:ascii="宋体" w:hAnsi="宋体"/>
          <w:i w:val="0"/>
          <w:iCs w:val="0"/>
          <w:color w:val="auto"/>
          <w:sz w:val="24"/>
          <w:szCs w:val="20"/>
          <w:highlight w:val="none"/>
        </w:rPr>
        <w:t>的），则法定代表人</w:t>
      </w:r>
      <w:r>
        <w:rPr>
          <w:rFonts w:hint="eastAsia" w:ascii="宋体" w:hAnsi="宋体"/>
          <w:i w:val="0"/>
          <w:iCs w:val="0"/>
          <w:color w:val="auto"/>
          <w:sz w:val="24"/>
          <w:szCs w:val="20"/>
          <w:highlight w:val="none"/>
        </w:rPr>
        <w:t>处</w:t>
      </w:r>
      <w:r>
        <w:rPr>
          <w:rFonts w:ascii="宋体" w:hAnsi="宋体"/>
          <w:i w:val="0"/>
          <w:iCs w:val="0"/>
          <w:color w:val="auto"/>
          <w:sz w:val="24"/>
          <w:szCs w:val="20"/>
          <w:highlight w:val="none"/>
        </w:rPr>
        <w:t>的签</w:t>
      </w:r>
      <w:r>
        <w:rPr>
          <w:rFonts w:hint="eastAsia" w:ascii="宋体" w:hAnsi="宋体"/>
          <w:i w:val="0"/>
          <w:iCs w:val="0"/>
          <w:color w:val="auto"/>
          <w:sz w:val="24"/>
          <w:szCs w:val="20"/>
          <w:highlight w:val="none"/>
        </w:rPr>
        <w:t>字</w:t>
      </w:r>
      <w:r>
        <w:rPr>
          <w:rFonts w:ascii="宋体" w:hAnsi="宋体"/>
          <w:i w:val="0"/>
          <w:iCs w:val="0"/>
          <w:color w:val="auto"/>
          <w:sz w:val="24"/>
          <w:szCs w:val="20"/>
          <w:highlight w:val="none"/>
        </w:rPr>
        <w:t>人可为单位负责人</w:t>
      </w:r>
      <w:r>
        <w:rPr>
          <w:rFonts w:hint="eastAsia" w:ascii="宋体" w:hAnsi="宋体"/>
          <w:i w:val="0"/>
          <w:iCs w:val="0"/>
          <w:color w:val="auto"/>
          <w:sz w:val="24"/>
          <w:szCs w:val="20"/>
          <w:highlight w:val="none"/>
        </w:rPr>
        <w:t>。</w:t>
      </w:r>
    </w:p>
    <w:p w14:paraId="669F6EA8">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2.</w:t>
      </w:r>
      <w:r>
        <w:rPr>
          <w:rFonts w:hint="eastAsia" w:ascii="宋体" w:hAnsi="宋体"/>
          <w:i w:val="0"/>
          <w:iCs w:val="0"/>
          <w:color w:val="auto"/>
          <w:sz w:val="24"/>
          <w:szCs w:val="20"/>
          <w:highlight w:val="none"/>
        </w:rPr>
        <w:t>当被授权人为法定代表人（或上述情况的单位负责人）时，只需在</w:t>
      </w:r>
      <w:r>
        <w:rPr>
          <w:rFonts w:ascii="宋体" w:hAnsi="宋体"/>
          <w:i w:val="0"/>
          <w:iCs w:val="0"/>
          <w:color w:val="auto"/>
          <w:sz w:val="24"/>
          <w:szCs w:val="20"/>
          <w:highlight w:val="none"/>
        </w:rPr>
        <w:t>法定代表人</w:t>
      </w:r>
      <w:r>
        <w:rPr>
          <w:rFonts w:hint="eastAsia" w:ascii="宋体" w:hAnsi="宋体"/>
          <w:i w:val="0"/>
          <w:iCs w:val="0"/>
          <w:color w:val="auto"/>
          <w:sz w:val="24"/>
          <w:szCs w:val="20"/>
          <w:highlight w:val="none"/>
        </w:rPr>
        <w:t>处签字即可。</w:t>
      </w:r>
    </w:p>
    <w:p w14:paraId="632B9D8A">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3.</w:t>
      </w:r>
      <w:r>
        <w:rPr>
          <w:rFonts w:hint="eastAsia" w:ascii="宋体" w:hAnsi="宋体"/>
          <w:i w:val="0"/>
          <w:iCs w:val="0"/>
          <w:color w:val="auto"/>
          <w:sz w:val="24"/>
          <w:szCs w:val="20"/>
          <w:highlight w:val="none"/>
        </w:rPr>
        <w:t>供应商为自然人情形的，可不提供本</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授权委托书</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w:t>
      </w:r>
    </w:p>
    <w:p w14:paraId="792A18BC">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4.</w:t>
      </w:r>
      <w:r>
        <w:rPr>
          <w:rFonts w:hint="eastAsia" w:ascii="宋体" w:hAnsi="宋体"/>
          <w:bCs/>
          <w:i w:val="0"/>
          <w:iCs w:val="0"/>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4B97F5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0305772A">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EC1E2B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648CCA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2AD929B">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A2203E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53B16CA1">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412B128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760E5805">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990BA49">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8D32A7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C245244">
      <w:pPr>
        <w:pStyle w:val="365"/>
        <w:ind w:firstLine="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三、资格声明函（给定格式）：</w:t>
      </w:r>
    </w:p>
    <w:p w14:paraId="663C19A0">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资格声明函</w:t>
      </w:r>
    </w:p>
    <w:p w14:paraId="6C29D4B5">
      <w:pPr>
        <w:spacing w:line="480" w:lineRule="auto"/>
        <w:jc w:val="center"/>
        <w:rPr>
          <w:rFonts w:ascii="宋体"/>
          <w:bCs/>
          <w:i w:val="0"/>
          <w:iCs w:val="0"/>
          <w:color w:val="auto"/>
          <w:sz w:val="24"/>
          <w:szCs w:val="24"/>
          <w:highlight w:val="none"/>
        </w:rPr>
      </w:pPr>
    </w:p>
    <w:p w14:paraId="51A82378">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1554134D">
      <w:pPr>
        <w:spacing w:line="480" w:lineRule="auto"/>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w:t>
      </w:r>
      <w:r>
        <w:rPr>
          <w:rFonts w:hint="eastAsia" w:ascii="黑体" w:eastAsia="黑体" w:cs="Times New Roman"/>
          <w:bCs/>
          <w:i w:val="0"/>
          <w:iCs w:val="0"/>
          <w:color w:val="auto"/>
          <w:sz w:val="24"/>
          <w:szCs w:val="24"/>
          <w:highlight w:val="none"/>
          <w:lang w:eastAsia="zh-CN"/>
        </w:rPr>
        <w:t>JSZC-320206-JZCG-G2026-0056</w:t>
      </w:r>
      <w:r>
        <w:rPr>
          <w:rFonts w:hint="eastAsia" w:ascii="宋体" w:hAnsi="宋体"/>
          <w:bCs/>
          <w:i w:val="0"/>
          <w:iCs w:val="0"/>
          <w:color w:val="auto"/>
          <w:sz w:val="24"/>
          <w:szCs w:val="24"/>
          <w:highlight w:val="none"/>
        </w:rPr>
        <w:t>进行投标，并作如下声明</w:t>
      </w:r>
    </w:p>
    <w:p w14:paraId="18DD02D4">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E8C7C7">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2.本公司（单位）具备本次项目履行合同所必需的设备和专业技术能力。</w:t>
      </w:r>
    </w:p>
    <w:p w14:paraId="35FFC0EC">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EFB0DE6">
      <w:pPr>
        <w:spacing w:line="480" w:lineRule="auto"/>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CC8D09">
      <w:pPr>
        <w:spacing w:line="480" w:lineRule="auto"/>
        <w:rPr>
          <w:rFonts w:ascii="宋体"/>
          <w:bCs/>
          <w:i w:val="0"/>
          <w:iCs w:val="0"/>
          <w:color w:val="auto"/>
          <w:sz w:val="24"/>
          <w:szCs w:val="24"/>
          <w:highlight w:val="none"/>
        </w:rPr>
      </w:pPr>
    </w:p>
    <w:p w14:paraId="65FD321E">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bookmarkEnd w:id="137"/>
    <w:p w14:paraId="3414A281">
      <w:pPr>
        <w:spacing w:line="440" w:lineRule="exact"/>
        <w:rPr>
          <w:rFonts w:hint="eastAsia" w:ascii="宋体" w:hAnsi="宋体" w:cs="宋体"/>
          <w:b/>
          <w:i w:val="0"/>
          <w:iCs w:val="0"/>
          <w:color w:val="auto"/>
          <w:sz w:val="28"/>
          <w:szCs w:val="28"/>
          <w:highlight w:val="none"/>
        </w:rPr>
      </w:pPr>
    </w:p>
    <w:p w14:paraId="02BEFE9F">
      <w:pPr>
        <w:spacing w:line="440" w:lineRule="exact"/>
        <w:rPr>
          <w:rFonts w:hint="eastAsia" w:ascii="宋体" w:hAnsi="宋体" w:cs="宋体"/>
          <w:b/>
          <w:i w:val="0"/>
          <w:iCs w:val="0"/>
          <w:color w:val="auto"/>
          <w:sz w:val="28"/>
          <w:szCs w:val="28"/>
          <w:highlight w:val="none"/>
        </w:rPr>
      </w:pPr>
    </w:p>
    <w:p w14:paraId="2EB25F6C">
      <w:pPr>
        <w:spacing w:line="440" w:lineRule="exact"/>
        <w:rPr>
          <w:rFonts w:hint="eastAsia" w:ascii="宋体" w:hAnsi="宋体" w:cs="宋体"/>
          <w:b/>
          <w:i w:val="0"/>
          <w:iCs w:val="0"/>
          <w:color w:val="auto"/>
          <w:sz w:val="28"/>
          <w:szCs w:val="28"/>
          <w:highlight w:val="none"/>
        </w:rPr>
      </w:pPr>
    </w:p>
    <w:p w14:paraId="50A7701D">
      <w:pPr>
        <w:spacing w:line="440" w:lineRule="exact"/>
        <w:rPr>
          <w:rFonts w:hint="eastAsia" w:ascii="宋体" w:hAnsi="宋体" w:cs="宋体"/>
          <w:b/>
          <w:i w:val="0"/>
          <w:iCs w:val="0"/>
          <w:color w:val="auto"/>
          <w:sz w:val="28"/>
          <w:szCs w:val="28"/>
          <w:highlight w:val="none"/>
        </w:rPr>
      </w:pPr>
    </w:p>
    <w:p w14:paraId="2F667C0A">
      <w:pPr>
        <w:spacing w:line="440" w:lineRule="exact"/>
        <w:rPr>
          <w:rFonts w:hint="eastAsia" w:ascii="宋体" w:hAnsi="宋体" w:cs="宋体"/>
          <w:b/>
          <w:i w:val="0"/>
          <w:iCs w:val="0"/>
          <w:color w:val="auto"/>
          <w:sz w:val="28"/>
          <w:szCs w:val="28"/>
          <w:highlight w:val="none"/>
        </w:rPr>
      </w:pPr>
    </w:p>
    <w:p w14:paraId="060287DB">
      <w:pPr>
        <w:spacing w:line="440" w:lineRule="exact"/>
        <w:rPr>
          <w:rFonts w:hint="eastAsia" w:ascii="宋体" w:hAnsi="宋体" w:cs="宋体"/>
          <w:b/>
          <w:i w:val="0"/>
          <w:iCs w:val="0"/>
          <w:color w:val="auto"/>
          <w:sz w:val="28"/>
          <w:szCs w:val="28"/>
          <w:highlight w:val="none"/>
        </w:rPr>
      </w:pPr>
    </w:p>
    <w:p w14:paraId="49C868A9">
      <w:pPr>
        <w:spacing w:line="440" w:lineRule="exact"/>
        <w:rPr>
          <w:rFonts w:hint="eastAsia" w:ascii="宋体" w:hAnsi="宋体" w:cs="宋体"/>
          <w:b/>
          <w:i w:val="0"/>
          <w:iCs w:val="0"/>
          <w:color w:val="auto"/>
          <w:sz w:val="28"/>
          <w:szCs w:val="28"/>
          <w:highlight w:val="none"/>
        </w:rPr>
      </w:pPr>
    </w:p>
    <w:p w14:paraId="43961CBC">
      <w:pPr>
        <w:spacing w:line="440" w:lineRule="exact"/>
        <w:rPr>
          <w:rFonts w:hint="eastAsia" w:ascii="宋体" w:hAnsi="宋体" w:cs="宋体"/>
          <w:b/>
          <w:i w:val="0"/>
          <w:iCs w:val="0"/>
          <w:color w:val="auto"/>
          <w:sz w:val="28"/>
          <w:szCs w:val="28"/>
          <w:highlight w:val="none"/>
        </w:rPr>
      </w:pPr>
    </w:p>
    <w:p w14:paraId="20919C15">
      <w:pPr>
        <w:spacing w:line="440" w:lineRule="exact"/>
        <w:rPr>
          <w:rFonts w:hint="eastAsia" w:ascii="宋体" w:hAnsi="宋体" w:cs="宋体"/>
          <w:b/>
          <w:i w:val="0"/>
          <w:iCs w:val="0"/>
          <w:color w:val="auto"/>
          <w:sz w:val="28"/>
          <w:szCs w:val="28"/>
          <w:highlight w:val="none"/>
        </w:rPr>
      </w:pPr>
    </w:p>
    <w:p w14:paraId="1DB13793">
      <w:pPr>
        <w:spacing w:line="440" w:lineRule="exact"/>
        <w:rPr>
          <w:rFonts w:hint="eastAsia" w:ascii="宋体" w:hAnsi="宋体" w:cs="宋体"/>
          <w:b/>
          <w:i w:val="0"/>
          <w:iCs w:val="0"/>
          <w:color w:val="auto"/>
          <w:sz w:val="28"/>
          <w:szCs w:val="28"/>
          <w:highlight w:val="none"/>
        </w:rPr>
      </w:pPr>
    </w:p>
    <w:p w14:paraId="62D6A8FD">
      <w:pPr>
        <w:spacing w:line="440" w:lineRule="exact"/>
        <w:rPr>
          <w:rFonts w:hint="eastAsia" w:ascii="宋体" w:hAnsi="宋体" w:cs="宋体"/>
          <w:b/>
          <w:i w:val="0"/>
          <w:iCs w:val="0"/>
          <w:color w:val="auto"/>
          <w:sz w:val="28"/>
          <w:szCs w:val="28"/>
          <w:highlight w:val="none"/>
        </w:rPr>
      </w:pPr>
    </w:p>
    <w:p w14:paraId="75869EEA">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四、中小企业声明函（给定格式）：</w:t>
      </w:r>
    </w:p>
    <w:p w14:paraId="1B84614A">
      <w:pPr>
        <w:spacing w:line="360" w:lineRule="auto"/>
        <w:ind w:firstLine="560"/>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t>中小企业声明函（</w:t>
      </w:r>
      <w:r>
        <w:rPr>
          <w:rFonts w:hint="eastAsia" w:ascii="黑体" w:eastAsia="黑体"/>
          <w:bCs/>
          <w:i w:val="0"/>
          <w:iCs w:val="0"/>
          <w:color w:val="auto"/>
          <w:sz w:val="28"/>
          <w:szCs w:val="28"/>
          <w:highlight w:val="none"/>
          <w:lang w:eastAsia="zh-CN"/>
        </w:rPr>
        <w:t>货物</w:t>
      </w:r>
      <w:r>
        <w:rPr>
          <w:rFonts w:ascii="黑体" w:eastAsia="黑体"/>
          <w:bCs/>
          <w:i w:val="0"/>
          <w:iCs w:val="0"/>
          <w:color w:val="auto"/>
          <w:sz w:val="28"/>
          <w:szCs w:val="28"/>
          <w:highlight w:val="none"/>
        </w:rPr>
        <w:t>）</w:t>
      </w:r>
    </w:p>
    <w:p w14:paraId="4834C4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bCs/>
          <w:i w:val="0"/>
          <w:iCs w:val="0"/>
          <w:color w:val="auto"/>
          <w:sz w:val="24"/>
          <w:szCs w:val="24"/>
          <w:highlight w:val="none"/>
        </w:rPr>
      </w:pPr>
      <w:bookmarkStart w:id="138" w:name="_Hlk159841372"/>
      <w:r>
        <w:rPr>
          <w:rFonts w:hint="eastAsia" w:ascii="宋体" w:hAnsi="宋体"/>
          <w:bCs/>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（单位名称）</w:t>
      </w:r>
      <w:r>
        <w:rPr>
          <w:rFonts w:hint="eastAsia" w:ascii="宋体" w:hAnsi="宋体"/>
          <w:bCs/>
          <w:i w:val="0"/>
          <w:iCs w:val="0"/>
          <w:color w:val="auto"/>
          <w:sz w:val="24"/>
          <w:szCs w:val="24"/>
          <w:highlight w:val="none"/>
        </w:rPr>
        <w:t>的</w:t>
      </w:r>
      <w:r>
        <w:rPr>
          <w:rFonts w:hint="eastAsia" w:ascii="宋体" w:hAnsi="宋体"/>
          <w:bCs/>
          <w:i w:val="0"/>
          <w:iCs w:val="0"/>
          <w:color w:val="auto"/>
          <w:sz w:val="24"/>
          <w:szCs w:val="24"/>
          <w:highlight w:val="none"/>
          <w:u w:val="single"/>
        </w:rPr>
        <w:t>（项目名称）</w:t>
      </w:r>
      <w:r>
        <w:rPr>
          <w:rFonts w:hint="eastAsia" w:ascii="宋体" w:hAnsi="宋体"/>
          <w:bCs/>
          <w:i w:val="0"/>
          <w:iCs w:val="0"/>
          <w:color w:val="auto"/>
          <w:sz w:val="24"/>
          <w:szCs w:val="24"/>
          <w:highlight w:val="none"/>
        </w:rPr>
        <w:t>采购活动，提供的货物全部由符合政策要求的中小企业制造。相关企业（含联合体中的中小企业、签订分包意向协议的中小企业）的具体情况如下：</w:t>
      </w:r>
    </w:p>
    <w:bookmarkEnd w:id="138"/>
    <w:p w14:paraId="1F009FF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63733B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4945B28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9C6A2FF">
      <w:pPr>
        <w:spacing w:line="360" w:lineRule="auto"/>
        <w:ind w:firstLine="4800"/>
        <w:rPr>
          <w:rFonts w:hint="eastAsia" w:ascii="宋体" w:hAnsi="宋体"/>
          <w:bCs/>
          <w:i w:val="0"/>
          <w:iCs w:val="0"/>
          <w:color w:val="auto"/>
          <w:sz w:val="24"/>
          <w:szCs w:val="24"/>
          <w:highlight w:val="none"/>
        </w:rPr>
      </w:pPr>
    </w:p>
    <w:p w14:paraId="06B13E5E">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企业名称（盖章）：</w:t>
      </w:r>
    </w:p>
    <w:p w14:paraId="46D894DC">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6226A874">
      <w:pPr>
        <w:spacing w:line="360" w:lineRule="auto"/>
        <w:ind w:firstLine="420"/>
        <w:rPr>
          <w:rFonts w:hint="eastAsia"/>
          <w:i w:val="0"/>
          <w:iCs w:val="0"/>
          <w:color w:val="auto"/>
          <w:highlight w:val="none"/>
        </w:rPr>
      </w:pPr>
    </w:p>
    <w:p w14:paraId="44499276">
      <w:pPr>
        <w:spacing w:line="360" w:lineRule="auto"/>
        <w:ind w:firstLine="420"/>
        <w:rPr>
          <w:rFonts w:hint="eastAsia"/>
          <w:i w:val="0"/>
          <w:iCs w:val="0"/>
          <w:color w:val="auto"/>
          <w:highlight w:val="none"/>
        </w:rPr>
      </w:pPr>
      <w:r>
        <w:rPr>
          <w:rFonts w:hint="eastAsia"/>
          <w:i w:val="0"/>
          <w:iCs w:val="0"/>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需</w:t>
      </w:r>
      <w:r>
        <w:rPr>
          <w:rFonts w:hint="eastAsia"/>
          <w:i w:val="0"/>
          <w:iCs w:val="0"/>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BB7276">
      <w:pPr>
        <w:spacing w:line="360" w:lineRule="auto"/>
        <w:ind w:firstLine="420"/>
        <w:rPr>
          <w:i w:val="0"/>
          <w:iCs w:val="0"/>
          <w:color w:val="auto"/>
          <w:highlight w:val="none"/>
        </w:rPr>
      </w:pPr>
      <w:r>
        <w:rPr>
          <w:rFonts w:hint="eastAsia"/>
          <w:i w:val="0"/>
          <w:iCs w:val="0"/>
          <w:color w:val="auto"/>
          <w:highlight w:val="none"/>
        </w:rPr>
        <w:t>（2）</w:t>
      </w:r>
      <w:r>
        <w:rPr>
          <w:i w:val="0"/>
          <w:iCs w:val="0"/>
          <w:color w:val="auto"/>
          <w:highlight w:val="none"/>
        </w:rPr>
        <w:t>从业人员、营业收入、资产总额填报上一年度数据，无上一年度数据的新成立企业可不填报。</w:t>
      </w:r>
    </w:p>
    <w:p w14:paraId="39403A69">
      <w:pPr>
        <w:spacing w:line="360" w:lineRule="auto"/>
        <w:ind w:firstLine="420"/>
        <w:rPr>
          <w:rFonts w:hint="eastAsia"/>
          <w:color w:val="auto"/>
          <w:highlight w:val="none"/>
        </w:rPr>
      </w:pPr>
      <w:r>
        <w:rPr>
          <w:rFonts w:hint="eastAsia"/>
          <w:i w:val="0"/>
          <w:iCs w:val="0"/>
          <w:color w:val="auto"/>
          <w:highlight w:val="none"/>
        </w:rPr>
        <w:t>（3）中标供应商的《</w:t>
      </w:r>
      <w:r>
        <w:rPr>
          <w:i w:val="0"/>
          <w:iCs w:val="0"/>
          <w:color w:val="auto"/>
          <w:highlight w:val="none"/>
        </w:rPr>
        <w:t>中小企业声明函</w:t>
      </w:r>
      <w:r>
        <w:rPr>
          <w:rFonts w:hint="eastAsia"/>
          <w:i w:val="0"/>
          <w:iCs w:val="0"/>
          <w:color w:val="auto"/>
          <w:highlight w:val="none"/>
        </w:rPr>
        <w:t>》将随中标公告进行公示。供应商按照本办法规定提供声明函内容不实的，属于提供虚假材料谋取中标、成交，依照《中华人民共和国政府采购法》等国家有关规定追究相应责任。</w:t>
      </w:r>
    </w:p>
    <w:p w14:paraId="68C1E49D">
      <w:pPr>
        <w:spacing w:line="360" w:lineRule="auto"/>
        <w:rPr>
          <w:rFonts w:hint="eastAsia"/>
          <w:b/>
          <w:i w:val="0"/>
          <w:iCs w:val="0"/>
          <w:color w:val="auto"/>
          <w:sz w:val="30"/>
          <w:szCs w:val="30"/>
          <w:highlight w:val="none"/>
        </w:rPr>
      </w:pPr>
    </w:p>
    <w:p w14:paraId="3ACF32D5">
      <w:pPr>
        <w:pStyle w:val="14"/>
        <w:rPr>
          <w:rFonts w:hint="eastAsia"/>
          <w:b/>
          <w:i w:val="0"/>
          <w:iCs w:val="0"/>
          <w:color w:val="auto"/>
          <w:sz w:val="30"/>
          <w:szCs w:val="30"/>
          <w:highlight w:val="none"/>
        </w:rPr>
      </w:pPr>
    </w:p>
    <w:p w14:paraId="0C3B7139">
      <w:pPr>
        <w:rPr>
          <w:rFonts w:hint="eastAsia"/>
          <w:b/>
          <w:i w:val="0"/>
          <w:iCs w:val="0"/>
          <w:color w:val="auto"/>
          <w:sz w:val="30"/>
          <w:szCs w:val="30"/>
          <w:highlight w:val="none"/>
        </w:rPr>
      </w:pPr>
    </w:p>
    <w:p w14:paraId="5EC2F670">
      <w:pPr>
        <w:pStyle w:val="14"/>
        <w:rPr>
          <w:rFonts w:hint="eastAsia"/>
          <w:b/>
          <w:i w:val="0"/>
          <w:iCs w:val="0"/>
          <w:color w:val="auto"/>
          <w:sz w:val="30"/>
          <w:szCs w:val="30"/>
          <w:highlight w:val="none"/>
        </w:rPr>
      </w:pPr>
    </w:p>
    <w:p w14:paraId="0C78DB02">
      <w:pPr>
        <w:rPr>
          <w:rFonts w:hint="eastAsia"/>
          <w:b/>
          <w:i w:val="0"/>
          <w:iCs w:val="0"/>
          <w:color w:val="auto"/>
          <w:sz w:val="30"/>
          <w:szCs w:val="30"/>
          <w:highlight w:val="none"/>
        </w:rPr>
      </w:pPr>
    </w:p>
    <w:p w14:paraId="718D09B1">
      <w:pPr>
        <w:pStyle w:val="14"/>
        <w:rPr>
          <w:rFonts w:hint="eastAsia"/>
          <w:b/>
          <w:i w:val="0"/>
          <w:iCs w:val="0"/>
          <w:color w:val="auto"/>
          <w:sz w:val="30"/>
          <w:szCs w:val="30"/>
          <w:highlight w:val="none"/>
        </w:rPr>
      </w:pPr>
    </w:p>
    <w:p w14:paraId="089BC552">
      <w:pPr>
        <w:rPr>
          <w:rFonts w:hint="eastAsia"/>
          <w:color w:val="auto"/>
          <w:highlight w:val="none"/>
        </w:rPr>
      </w:pPr>
    </w:p>
    <w:p w14:paraId="5F8BE424">
      <w:pPr>
        <w:pStyle w:val="14"/>
        <w:rPr>
          <w:rFonts w:hint="eastAsia"/>
          <w:color w:val="auto"/>
          <w:highlight w:val="none"/>
        </w:rPr>
      </w:pPr>
    </w:p>
    <w:p w14:paraId="4C7E5049">
      <w:pPr>
        <w:spacing w:line="360" w:lineRule="auto"/>
        <w:rPr>
          <w:rFonts w:hint="eastAsia" w:ascii="宋体" w:hAnsi="宋体" w:cs="宋体"/>
          <w:b/>
          <w:i w:val="0"/>
          <w:iCs w:val="0"/>
          <w:color w:val="auto"/>
          <w:sz w:val="30"/>
          <w:szCs w:val="30"/>
          <w:highlight w:val="none"/>
        </w:rPr>
      </w:pPr>
      <w:r>
        <w:rPr>
          <w:rFonts w:hint="eastAsia"/>
          <w:b/>
          <w:i w:val="0"/>
          <w:iCs w:val="0"/>
          <w:color w:val="auto"/>
          <w:sz w:val="30"/>
          <w:szCs w:val="30"/>
          <w:highlight w:val="none"/>
        </w:rPr>
        <w:t>五</w:t>
      </w:r>
      <w:r>
        <w:rPr>
          <w:rFonts w:hint="eastAsia" w:ascii="宋体" w:hAnsi="宋体" w:cs="宋体"/>
          <w:b/>
          <w:i w:val="0"/>
          <w:iCs w:val="0"/>
          <w:color w:val="auto"/>
          <w:sz w:val="30"/>
          <w:szCs w:val="30"/>
          <w:highlight w:val="none"/>
        </w:rPr>
        <w:t>、残疾人福利性单位声明函（给定格式）：</w:t>
      </w:r>
    </w:p>
    <w:p w14:paraId="2757F3AF">
      <w:pPr>
        <w:spacing w:line="440" w:lineRule="exact"/>
        <w:ind w:firstLine="482"/>
        <w:rPr>
          <w:rFonts w:ascii="Arial" w:hAnsi="Arial"/>
          <w:b/>
          <w:i w:val="0"/>
          <w:iCs w:val="0"/>
          <w:color w:val="auto"/>
          <w:sz w:val="24"/>
          <w:highlight w:val="none"/>
        </w:rPr>
      </w:pPr>
    </w:p>
    <w:p w14:paraId="5EE04E07">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残疾人福利性单位声明函</w:t>
      </w:r>
    </w:p>
    <w:p w14:paraId="4D028E76">
      <w:pPr>
        <w:jc w:val="center"/>
        <w:rPr>
          <w:rFonts w:ascii="黑体" w:eastAsia="黑体"/>
          <w:bCs/>
          <w:i w:val="0"/>
          <w:iCs w:val="0"/>
          <w:color w:val="auto"/>
          <w:sz w:val="28"/>
          <w:szCs w:val="28"/>
          <w:highlight w:val="none"/>
        </w:rPr>
      </w:pPr>
    </w:p>
    <w:p w14:paraId="5D8C23E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4030F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本单位对上述声明的真实性负责。如有虚假，将依法承担相应责任。</w:t>
      </w:r>
    </w:p>
    <w:p w14:paraId="5EBBA943">
      <w:pPr>
        <w:spacing w:line="580" w:lineRule="exact"/>
        <w:ind w:firstLine="480"/>
        <w:rPr>
          <w:rFonts w:ascii="宋体" w:hAnsi="宋体"/>
          <w:bCs/>
          <w:i w:val="0"/>
          <w:iCs w:val="0"/>
          <w:color w:val="auto"/>
          <w:sz w:val="24"/>
          <w:szCs w:val="24"/>
          <w:highlight w:val="none"/>
        </w:rPr>
      </w:pPr>
    </w:p>
    <w:p w14:paraId="3656CEE3">
      <w:pPr>
        <w:spacing w:line="580" w:lineRule="exact"/>
        <w:ind w:firstLine="480"/>
        <w:rPr>
          <w:rFonts w:ascii="宋体" w:hAnsi="宋体"/>
          <w:bCs/>
          <w:i w:val="0"/>
          <w:iCs w:val="0"/>
          <w:color w:val="auto"/>
          <w:sz w:val="24"/>
          <w:szCs w:val="24"/>
          <w:highlight w:val="none"/>
        </w:rPr>
      </w:pPr>
    </w:p>
    <w:p w14:paraId="6D17120A">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单位名称（盖章）：</w:t>
      </w:r>
    </w:p>
    <w:p w14:paraId="279BA36C">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2A4C8205">
      <w:pPr>
        <w:spacing w:line="360" w:lineRule="auto"/>
        <w:rPr>
          <w:rFonts w:hint="eastAsia"/>
          <w:b/>
          <w:i w:val="0"/>
          <w:iCs w:val="0"/>
          <w:color w:val="auto"/>
          <w:sz w:val="30"/>
          <w:szCs w:val="30"/>
          <w:highlight w:val="none"/>
        </w:rPr>
      </w:pPr>
    </w:p>
    <w:p w14:paraId="7CBCD6FB">
      <w:pPr>
        <w:spacing w:line="360" w:lineRule="auto"/>
        <w:rPr>
          <w:rFonts w:hint="eastAsia"/>
          <w:b/>
          <w:i w:val="0"/>
          <w:iCs w:val="0"/>
          <w:color w:val="auto"/>
          <w:sz w:val="30"/>
          <w:szCs w:val="30"/>
          <w:highlight w:val="none"/>
        </w:rPr>
      </w:pPr>
    </w:p>
    <w:p w14:paraId="4B767E2E">
      <w:pPr>
        <w:spacing w:line="360" w:lineRule="auto"/>
        <w:rPr>
          <w:rFonts w:hint="eastAsia"/>
          <w:b/>
          <w:i w:val="0"/>
          <w:iCs w:val="0"/>
          <w:color w:val="auto"/>
          <w:sz w:val="30"/>
          <w:szCs w:val="30"/>
          <w:highlight w:val="none"/>
        </w:rPr>
      </w:pPr>
    </w:p>
    <w:p w14:paraId="1EFAD1D5">
      <w:pPr>
        <w:spacing w:line="360" w:lineRule="auto"/>
        <w:rPr>
          <w:rFonts w:hint="eastAsia"/>
          <w:b/>
          <w:i w:val="0"/>
          <w:iCs w:val="0"/>
          <w:color w:val="auto"/>
          <w:sz w:val="30"/>
          <w:szCs w:val="30"/>
          <w:highlight w:val="none"/>
        </w:rPr>
      </w:pPr>
    </w:p>
    <w:p w14:paraId="6D1C0F50">
      <w:pPr>
        <w:spacing w:line="360" w:lineRule="auto"/>
        <w:rPr>
          <w:rFonts w:hint="eastAsia"/>
          <w:b/>
          <w:i w:val="0"/>
          <w:iCs w:val="0"/>
          <w:color w:val="auto"/>
          <w:sz w:val="30"/>
          <w:szCs w:val="30"/>
          <w:highlight w:val="none"/>
        </w:rPr>
      </w:pPr>
    </w:p>
    <w:p w14:paraId="4F5BF10D">
      <w:pPr>
        <w:spacing w:line="360" w:lineRule="auto"/>
        <w:rPr>
          <w:rFonts w:hint="eastAsia"/>
          <w:b/>
          <w:i w:val="0"/>
          <w:iCs w:val="0"/>
          <w:color w:val="auto"/>
          <w:sz w:val="30"/>
          <w:szCs w:val="30"/>
          <w:highlight w:val="none"/>
        </w:rPr>
      </w:pPr>
    </w:p>
    <w:p w14:paraId="521AD7A4">
      <w:pPr>
        <w:spacing w:line="360" w:lineRule="auto"/>
        <w:rPr>
          <w:rFonts w:hint="eastAsia"/>
          <w:b/>
          <w:i w:val="0"/>
          <w:iCs w:val="0"/>
          <w:color w:val="auto"/>
          <w:sz w:val="30"/>
          <w:szCs w:val="30"/>
          <w:highlight w:val="none"/>
        </w:rPr>
      </w:pPr>
    </w:p>
    <w:p w14:paraId="1AF96940">
      <w:pPr>
        <w:spacing w:line="360" w:lineRule="auto"/>
        <w:rPr>
          <w:rFonts w:hint="eastAsia"/>
          <w:b/>
          <w:i w:val="0"/>
          <w:iCs w:val="0"/>
          <w:color w:val="auto"/>
          <w:sz w:val="30"/>
          <w:szCs w:val="30"/>
          <w:highlight w:val="none"/>
        </w:rPr>
      </w:pPr>
    </w:p>
    <w:p w14:paraId="59F4A565">
      <w:pPr>
        <w:spacing w:line="360" w:lineRule="auto"/>
        <w:rPr>
          <w:rFonts w:hint="eastAsia"/>
          <w:b/>
          <w:i w:val="0"/>
          <w:iCs w:val="0"/>
          <w:color w:val="auto"/>
          <w:sz w:val="30"/>
          <w:szCs w:val="30"/>
          <w:highlight w:val="none"/>
        </w:rPr>
      </w:pPr>
    </w:p>
    <w:p w14:paraId="2B3BDB6B">
      <w:pPr>
        <w:spacing w:line="360" w:lineRule="auto"/>
        <w:rPr>
          <w:rFonts w:hint="eastAsia"/>
          <w:b/>
          <w:i w:val="0"/>
          <w:iCs w:val="0"/>
          <w:color w:val="auto"/>
          <w:sz w:val="30"/>
          <w:szCs w:val="30"/>
          <w:highlight w:val="none"/>
        </w:rPr>
      </w:pPr>
    </w:p>
    <w:p w14:paraId="097969C0">
      <w:pPr>
        <w:spacing w:line="360" w:lineRule="auto"/>
        <w:rPr>
          <w:rFonts w:hint="eastAsia"/>
          <w:b/>
          <w:i w:val="0"/>
          <w:iCs w:val="0"/>
          <w:color w:val="auto"/>
          <w:sz w:val="30"/>
          <w:szCs w:val="30"/>
          <w:highlight w:val="none"/>
        </w:rPr>
      </w:pPr>
    </w:p>
    <w:p w14:paraId="6A5F48B8">
      <w:pPr>
        <w:spacing w:line="360" w:lineRule="auto"/>
        <w:rPr>
          <w:rFonts w:hint="eastAsia"/>
          <w:b/>
          <w:i w:val="0"/>
          <w:iCs w:val="0"/>
          <w:color w:val="auto"/>
          <w:sz w:val="30"/>
          <w:szCs w:val="30"/>
          <w:highlight w:val="none"/>
        </w:rPr>
      </w:pPr>
    </w:p>
    <w:p w14:paraId="2F9A207C">
      <w:pPr>
        <w:spacing w:line="360" w:lineRule="auto"/>
        <w:rPr>
          <w:rFonts w:hint="eastAsia" w:eastAsia="宋体"/>
          <w:b/>
          <w:color w:val="auto"/>
          <w:sz w:val="30"/>
          <w:szCs w:val="30"/>
          <w:highlight w:val="none"/>
          <w:lang w:eastAsia="zh-CN"/>
        </w:rPr>
      </w:pP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0543CC6E">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3A3DB03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737EE22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73BB49BC">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22177B9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322358D2">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21B1D731">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6B557B9D">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B2E7967">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4D2B35E2">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54034F09">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2C3E4EE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C57EDD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18B0C09B">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190B2B9A">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01DE6331">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172DD301">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4.该产品的关键组件要求实施前，“关键组件”栏可不填，下同。</w:t>
      </w:r>
    </w:p>
    <w:p w14:paraId="68DEABBE">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5.该产品的关键工序要求实施前，“关键工序”栏可不填，下同。</w:t>
      </w:r>
    </w:p>
    <w:p w14:paraId="53B59508">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6E2178BB">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cs="宋体"/>
          <w:color w:val="auto"/>
          <w:sz w:val="24"/>
          <w:highlight w:val="none"/>
          <w:lang w:val="en-US" w:eastAsia="zh-CN"/>
        </w:rPr>
        <w:t>投标供应商应将该声明函放置于“苏采云”系统中的“折扣报价证明文件”中。</w:t>
      </w:r>
    </w:p>
    <w:p w14:paraId="30238080">
      <w:pPr>
        <w:spacing w:line="360" w:lineRule="auto"/>
        <w:rPr>
          <w:rFonts w:hint="eastAsia"/>
          <w:b/>
          <w:i w:val="0"/>
          <w:iCs w:val="0"/>
          <w:color w:val="auto"/>
          <w:sz w:val="30"/>
          <w:szCs w:val="30"/>
          <w:highlight w:val="none"/>
        </w:rPr>
      </w:pPr>
    </w:p>
    <w:p w14:paraId="26D7957F">
      <w:pPr>
        <w:spacing w:line="360" w:lineRule="auto"/>
        <w:rPr>
          <w:rFonts w:hint="eastAsia"/>
          <w:b/>
          <w:i w:val="0"/>
          <w:iCs w:val="0"/>
          <w:color w:val="auto"/>
          <w:sz w:val="30"/>
          <w:szCs w:val="30"/>
          <w:highlight w:val="none"/>
        </w:rPr>
      </w:pPr>
    </w:p>
    <w:p w14:paraId="759E415C">
      <w:pPr>
        <w:spacing w:line="360" w:lineRule="auto"/>
        <w:rPr>
          <w:rFonts w:hint="eastAsia"/>
          <w:b/>
          <w:i w:val="0"/>
          <w:iCs w:val="0"/>
          <w:color w:val="auto"/>
          <w:sz w:val="30"/>
          <w:szCs w:val="30"/>
          <w:highlight w:val="none"/>
          <w:lang w:eastAsia="zh-CN"/>
        </w:rPr>
      </w:pPr>
    </w:p>
    <w:p w14:paraId="08F135A5">
      <w:pPr>
        <w:spacing w:line="360" w:lineRule="auto"/>
        <w:rPr>
          <w:rFonts w:hint="eastAsia"/>
          <w:b/>
          <w:i w:val="0"/>
          <w:iCs w:val="0"/>
          <w:color w:val="auto"/>
          <w:sz w:val="30"/>
          <w:szCs w:val="30"/>
          <w:highlight w:val="none"/>
          <w:lang w:eastAsia="zh-CN"/>
        </w:rPr>
      </w:pPr>
    </w:p>
    <w:p w14:paraId="2C9916E2">
      <w:pPr>
        <w:spacing w:line="360" w:lineRule="auto"/>
        <w:rPr>
          <w:rFonts w:hint="eastAsia"/>
          <w:b/>
          <w:i w:val="0"/>
          <w:iCs w:val="0"/>
          <w:color w:val="auto"/>
          <w:sz w:val="30"/>
          <w:szCs w:val="30"/>
          <w:highlight w:val="none"/>
          <w:lang w:eastAsia="zh-CN"/>
        </w:rPr>
      </w:pPr>
    </w:p>
    <w:p w14:paraId="143CFD24">
      <w:pPr>
        <w:spacing w:line="360" w:lineRule="auto"/>
        <w:rPr>
          <w:rFonts w:hint="eastAsia"/>
          <w:b/>
          <w:i w:val="0"/>
          <w:iCs w:val="0"/>
          <w:color w:val="auto"/>
          <w:sz w:val="30"/>
          <w:szCs w:val="30"/>
          <w:highlight w:val="none"/>
          <w:lang w:eastAsia="zh-CN"/>
        </w:rPr>
      </w:pPr>
    </w:p>
    <w:p w14:paraId="5577D53C">
      <w:pPr>
        <w:spacing w:line="360" w:lineRule="auto"/>
        <w:rPr>
          <w:rFonts w:hint="eastAsia"/>
          <w:b/>
          <w:i w:val="0"/>
          <w:iCs w:val="0"/>
          <w:color w:val="auto"/>
          <w:sz w:val="30"/>
          <w:szCs w:val="30"/>
          <w:highlight w:val="none"/>
          <w:lang w:eastAsia="zh-CN"/>
        </w:rPr>
      </w:pPr>
    </w:p>
    <w:p w14:paraId="59A6D4BE">
      <w:pPr>
        <w:spacing w:line="360" w:lineRule="auto"/>
        <w:rPr>
          <w:rFonts w:hint="eastAsia"/>
          <w:b/>
          <w:i w:val="0"/>
          <w:iCs w:val="0"/>
          <w:color w:val="auto"/>
          <w:sz w:val="30"/>
          <w:szCs w:val="30"/>
          <w:highlight w:val="none"/>
          <w:lang w:eastAsia="zh-CN"/>
        </w:rPr>
      </w:pPr>
    </w:p>
    <w:p w14:paraId="2844BCCB">
      <w:pPr>
        <w:spacing w:line="360" w:lineRule="auto"/>
        <w:rPr>
          <w:rFonts w:hint="eastAsia"/>
          <w:b/>
          <w:i w:val="0"/>
          <w:iCs w:val="0"/>
          <w:color w:val="auto"/>
          <w:sz w:val="30"/>
          <w:szCs w:val="30"/>
          <w:highlight w:val="none"/>
          <w:lang w:eastAsia="zh-CN"/>
        </w:rPr>
      </w:pPr>
    </w:p>
    <w:p w14:paraId="0C93CD16">
      <w:pPr>
        <w:spacing w:line="360" w:lineRule="auto"/>
        <w:rPr>
          <w:rFonts w:hint="eastAsia"/>
          <w:b/>
          <w:i w:val="0"/>
          <w:iCs w:val="0"/>
          <w:color w:val="auto"/>
          <w:sz w:val="30"/>
          <w:szCs w:val="30"/>
          <w:highlight w:val="none"/>
          <w:lang w:eastAsia="zh-CN"/>
        </w:rPr>
      </w:pPr>
    </w:p>
    <w:p w14:paraId="32912F9F">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七</w:t>
      </w:r>
      <w:r>
        <w:rPr>
          <w:b/>
          <w:i w:val="0"/>
          <w:iCs w:val="0"/>
          <w:color w:val="auto"/>
          <w:sz w:val="30"/>
          <w:szCs w:val="30"/>
          <w:highlight w:val="none"/>
        </w:rPr>
        <w:t>、投标函</w:t>
      </w:r>
      <w:r>
        <w:rPr>
          <w:rFonts w:hint="eastAsia"/>
          <w:b/>
          <w:i w:val="0"/>
          <w:iCs w:val="0"/>
          <w:color w:val="auto"/>
          <w:sz w:val="30"/>
          <w:szCs w:val="30"/>
          <w:highlight w:val="none"/>
        </w:rPr>
        <w:t>（给定格式）：</w:t>
      </w:r>
    </w:p>
    <w:p w14:paraId="7AFF5233">
      <w:pPr>
        <w:spacing w:line="360" w:lineRule="auto"/>
        <w:rPr>
          <w:rFonts w:hint="eastAsia"/>
          <w:b/>
          <w:i w:val="0"/>
          <w:iCs w:val="0"/>
          <w:color w:val="auto"/>
          <w:sz w:val="30"/>
          <w:szCs w:val="30"/>
          <w:highlight w:val="none"/>
        </w:rPr>
      </w:pPr>
    </w:p>
    <w:p w14:paraId="5C5FB2FE">
      <w:pPr>
        <w:spacing w:line="400" w:lineRule="exact"/>
        <w:jc w:val="center"/>
        <w:rPr>
          <w:rFonts w:ascii="宋体"/>
          <w:bCs/>
          <w:i w:val="0"/>
          <w:iCs w:val="0"/>
          <w:color w:val="auto"/>
          <w:sz w:val="24"/>
          <w:szCs w:val="24"/>
          <w:highlight w:val="none"/>
        </w:rPr>
      </w:pPr>
      <w:r>
        <w:rPr>
          <w:rFonts w:hint="eastAsia" w:ascii="黑体" w:eastAsia="黑体"/>
          <w:bCs/>
          <w:i w:val="0"/>
          <w:iCs w:val="0"/>
          <w:color w:val="auto"/>
          <w:sz w:val="28"/>
          <w:szCs w:val="28"/>
          <w:highlight w:val="none"/>
        </w:rPr>
        <w:t>投标函</w:t>
      </w:r>
    </w:p>
    <w:p w14:paraId="2E2A8183">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致</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2D453355">
      <w:pPr>
        <w:spacing w:line="400" w:lineRule="exact"/>
        <w:ind w:firstLine="480"/>
        <w:rPr>
          <w:rFonts w:ascii="宋体"/>
          <w:bCs/>
          <w:i w:val="0"/>
          <w:iCs w:val="0"/>
          <w:color w:val="auto"/>
          <w:sz w:val="24"/>
          <w:szCs w:val="24"/>
          <w:highlight w:val="none"/>
        </w:rPr>
      </w:pPr>
    </w:p>
    <w:p w14:paraId="19D4874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我方收到贵方</w:t>
      </w:r>
      <w:r>
        <w:rPr>
          <w:rFonts w:hint="eastAsia" w:ascii="黑体" w:eastAsia="黑体" w:cs="Times New Roman"/>
          <w:bCs/>
          <w:i w:val="0"/>
          <w:iCs w:val="0"/>
          <w:color w:val="auto"/>
          <w:sz w:val="24"/>
          <w:szCs w:val="24"/>
          <w:highlight w:val="none"/>
          <w:lang w:eastAsia="zh-CN"/>
        </w:rPr>
        <w:t>JSZC-320206-JZCG-G2026-0056</w:t>
      </w:r>
      <w:r>
        <w:rPr>
          <w:rFonts w:hint="eastAsia" w:ascii="宋体" w:hAnsi="宋体"/>
          <w:bCs/>
          <w:i w:val="0"/>
          <w:iCs w:val="0"/>
          <w:color w:val="auto"/>
          <w:sz w:val="24"/>
          <w:szCs w:val="24"/>
          <w:highlight w:val="none"/>
        </w:rPr>
        <w:t>招标文件，经仔细阅读和研究，我方决定参加此项目的投标。</w:t>
      </w:r>
    </w:p>
    <w:p w14:paraId="1736DCBD">
      <w:pPr>
        <w:numPr>
          <w:ilvl w:val="0"/>
          <w:numId w:val="0"/>
        </w:numPr>
        <w:tabs>
          <w:tab w:val="left" w:pos="315"/>
          <w:tab w:val="left" w:pos="840"/>
          <w:tab w:val="left" w:pos="945"/>
          <w:tab w:val="left" w:pos="1050"/>
          <w:tab w:val="left" w:pos="126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一、</w:t>
      </w:r>
      <w:r>
        <w:rPr>
          <w:rFonts w:hint="eastAsia" w:ascii="宋体" w:hAnsi="宋体"/>
          <w:bCs/>
          <w:i w:val="0"/>
          <w:iCs w:val="0"/>
          <w:color w:val="auto"/>
          <w:sz w:val="24"/>
          <w:szCs w:val="24"/>
          <w:highlight w:val="none"/>
        </w:rPr>
        <w:t>我方愿意按照招标文件的一切要求，提供本项目的投标，投标总价见《开标一览表》。</w:t>
      </w:r>
    </w:p>
    <w:p w14:paraId="6473F0D7">
      <w:pPr>
        <w:numPr>
          <w:ilvl w:val="0"/>
          <w:numId w:val="0"/>
        </w:numPr>
        <w:tabs>
          <w:tab w:val="left" w:pos="0"/>
          <w:tab w:val="left" w:pos="315"/>
          <w:tab w:val="left" w:pos="525"/>
          <w:tab w:val="left" w:pos="840"/>
          <w:tab w:val="left" w:pos="945"/>
          <w:tab w:val="left" w:pos="1050"/>
        </w:tabs>
        <w:spacing w:line="400" w:lineRule="exact"/>
        <w:ind w:firstLine="480"/>
        <w:rPr>
          <w:rStyle w:val="366"/>
          <w:bCs/>
          <w:i w:val="0"/>
          <w:iCs w:val="0"/>
          <w:color w:val="auto"/>
          <w:highlight w:val="none"/>
        </w:rPr>
      </w:pPr>
      <w:r>
        <w:rPr>
          <w:rFonts w:hint="eastAsia" w:ascii="宋体" w:hAnsi="宋体"/>
          <w:bCs/>
          <w:i w:val="0"/>
          <w:iCs w:val="0"/>
          <w:color w:val="auto"/>
          <w:sz w:val="24"/>
          <w:szCs w:val="24"/>
          <w:highlight w:val="none"/>
          <w:lang w:eastAsia="zh-CN"/>
        </w:rPr>
        <w:t>二、</w:t>
      </w:r>
      <w:r>
        <w:rPr>
          <w:rFonts w:hint="eastAsia" w:ascii="宋体" w:hAnsi="宋体"/>
          <w:bCs/>
          <w:i w:val="0"/>
          <w:iCs w:val="0"/>
          <w:color w:val="auto"/>
          <w:sz w:val="24"/>
          <w:szCs w:val="24"/>
          <w:highlight w:val="none"/>
        </w:rPr>
        <w:t>我方愿意提供</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在招标文件中要求的文件、资料。</w:t>
      </w:r>
    </w:p>
    <w:p w14:paraId="472BF136">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三、</w:t>
      </w:r>
      <w:r>
        <w:rPr>
          <w:rFonts w:hint="eastAsia" w:ascii="宋体" w:hAnsi="宋体"/>
          <w:bCs/>
          <w:i w:val="0"/>
          <w:iCs w:val="0"/>
          <w:color w:val="auto"/>
          <w:sz w:val="24"/>
          <w:szCs w:val="24"/>
          <w:highlight w:val="none"/>
        </w:rPr>
        <w:t>我方同意按招标文件中的规定，从规定的开标日期起遵循本投标文件，并在规定的投标有效期期满之前均具有约束力。</w:t>
      </w:r>
    </w:p>
    <w:p w14:paraId="69F85A59">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四、</w:t>
      </w:r>
      <w:r>
        <w:rPr>
          <w:rFonts w:hint="eastAsia" w:ascii="宋体" w:hAnsi="宋体"/>
          <w:bCs/>
          <w:i w:val="0"/>
          <w:iCs w:val="0"/>
          <w:color w:val="auto"/>
          <w:sz w:val="24"/>
          <w:szCs w:val="24"/>
          <w:highlight w:val="none"/>
        </w:rPr>
        <w:t>如果我方的投标文件被接受，我方将履行招标文件中规定的每一项要求，按期、按质、按量，完成交货任务。</w:t>
      </w:r>
    </w:p>
    <w:p w14:paraId="1328568B">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五、</w:t>
      </w:r>
      <w:r>
        <w:rPr>
          <w:rFonts w:hint="eastAsia" w:ascii="宋体" w:hAnsi="宋体"/>
          <w:bCs/>
          <w:i w:val="0"/>
          <w:iCs w:val="0"/>
          <w:color w:val="auto"/>
          <w:sz w:val="24"/>
          <w:szCs w:val="24"/>
          <w:highlight w:val="none"/>
        </w:rPr>
        <w:t>我方完全同意招标文件规定的决定中标者的方式。</w:t>
      </w:r>
    </w:p>
    <w:p w14:paraId="3453455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六、</w:t>
      </w:r>
      <w:r>
        <w:rPr>
          <w:rFonts w:hint="eastAsia" w:ascii="宋体" w:hAnsi="宋体"/>
          <w:bCs/>
          <w:i w:val="0"/>
          <w:iCs w:val="0"/>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和</w:t>
      </w:r>
      <w:r>
        <w:rPr>
          <w:rFonts w:hint="eastAsia" w:ascii="宋体" w:hAnsi="宋体"/>
          <w:bCs/>
          <w:i w:val="0"/>
          <w:iCs w:val="0"/>
          <w:color w:val="auto"/>
          <w:sz w:val="24"/>
          <w:szCs w:val="24"/>
          <w:highlight w:val="none"/>
        </w:rPr>
        <w:t>合同条款履行自己的全部责任。</w:t>
      </w:r>
    </w:p>
    <w:p w14:paraId="4D705C4A">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七、</w:t>
      </w:r>
      <w:r>
        <w:rPr>
          <w:rFonts w:hint="eastAsia" w:ascii="宋体" w:hAnsi="宋体"/>
          <w:bCs/>
          <w:i w:val="0"/>
          <w:iCs w:val="0"/>
          <w:color w:val="auto"/>
          <w:sz w:val="24"/>
          <w:szCs w:val="24"/>
          <w:highlight w:val="none"/>
        </w:rPr>
        <w:t>我方认可并遵守招标文件的所有规定，放弃对招标文件提出质疑的权利。</w:t>
      </w:r>
    </w:p>
    <w:p w14:paraId="2962AF81">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八、</w:t>
      </w:r>
      <w:r>
        <w:rPr>
          <w:rFonts w:hint="eastAsia" w:ascii="宋体" w:hAnsi="宋体"/>
          <w:bCs/>
          <w:i w:val="0"/>
          <w:iCs w:val="0"/>
          <w:color w:val="auto"/>
          <w:sz w:val="24"/>
          <w:szCs w:val="24"/>
          <w:highlight w:val="none"/>
        </w:rPr>
        <w:t>如我方在投标截止期后撤回投标及中标后拒绝遵守投标承诺或拒绝在规定的时间内与采购人签订合同，则接受政府采购监督管理部门的处理。</w:t>
      </w:r>
    </w:p>
    <w:p w14:paraId="4DF7439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九、</w:t>
      </w:r>
      <w:r>
        <w:rPr>
          <w:rFonts w:hint="eastAsia" w:ascii="宋体" w:hAnsi="宋体"/>
          <w:bCs/>
          <w:i w:val="0"/>
          <w:iCs w:val="0"/>
          <w:color w:val="auto"/>
          <w:sz w:val="24"/>
          <w:szCs w:val="24"/>
          <w:highlight w:val="none"/>
        </w:rPr>
        <w:t>如果我方被确定为中标供应商，我方愿意</w:t>
      </w:r>
      <w:r>
        <w:rPr>
          <w:rFonts w:hint="eastAsia" w:ascii="宋体" w:hAnsi="宋体"/>
          <w:i w:val="0"/>
          <w:iCs w:val="0"/>
          <w:color w:val="auto"/>
          <w:sz w:val="24"/>
          <w:szCs w:val="24"/>
          <w:highlight w:val="none"/>
        </w:rPr>
        <w:t>向</w:t>
      </w:r>
      <w:r>
        <w:rPr>
          <w:rFonts w:hint="eastAsia" w:ascii="宋体" w:hAnsi="宋体"/>
          <w:bCs/>
          <w:i w:val="0"/>
          <w:iCs w:val="0"/>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072F4983">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十、</w:t>
      </w:r>
      <w:r>
        <w:rPr>
          <w:rFonts w:hint="eastAsia" w:ascii="宋体" w:hAnsi="宋体"/>
          <w:bCs/>
          <w:i w:val="0"/>
          <w:iCs w:val="0"/>
          <w:color w:val="auto"/>
          <w:sz w:val="24"/>
          <w:szCs w:val="24"/>
          <w:highlight w:val="none"/>
        </w:rPr>
        <w:t>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恶意串通、决不向采购人、</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0A0AF">
      <w:pPr>
        <w:spacing w:line="400" w:lineRule="exact"/>
        <w:ind w:firstLine="720"/>
        <w:rPr>
          <w:rFonts w:ascii="宋体"/>
          <w:bCs/>
          <w:i w:val="0"/>
          <w:iCs w:val="0"/>
          <w:color w:val="auto"/>
          <w:sz w:val="24"/>
          <w:szCs w:val="24"/>
          <w:highlight w:val="none"/>
        </w:rPr>
      </w:pPr>
    </w:p>
    <w:p w14:paraId="5C0345F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；邮编：</w:t>
      </w:r>
      <w:r>
        <w:rPr>
          <w:rFonts w:hint="eastAsia" w:ascii="宋体" w:hAnsi="宋体"/>
          <w:bCs/>
          <w:i w:val="0"/>
          <w:iCs w:val="0"/>
          <w:color w:val="auto"/>
          <w:sz w:val="24"/>
          <w:szCs w:val="24"/>
          <w:highlight w:val="none"/>
          <w:u w:val="single"/>
        </w:rPr>
        <w:t xml:space="preserve">               </w:t>
      </w:r>
    </w:p>
    <w:p w14:paraId="0188C96E">
      <w:pPr>
        <w:spacing w:line="400" w:lineRule="exact"/>
        <w:ind w:firstLine="480"/>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通讯地址：</w:t>
      </w:r>
      <w:r>
        <w:rPr>
          <w:rFonts w:hint="eastAsia" w:ascii="宋体" w:hAnsi="宋体"/>
          <w:bCs/>
          <w:i w:val="0"/>
          <w:iCs w:val="0"/>
          <w:color w:val="auto"/>
          <w:sz w:val="24"/>
          <w:szCs w:val="24"/>
          <w:highlight w:val="none"/>
          <w:u w:val="single"/>
        </w:rPr>
        <w:t xml:space="preserve">                                                        </w:t>
      </w:r>
    </w:p>
    <w:p w14:paraId="6FB619CD">
      <w:pPr>
        <w:spacing w:line="400" w:lineRule="exact"/>
        <w:ind w:firstLine="480"/>
        <w:rPr>
          <w:rFonts w:ascii="宋体" w:hAnsi="宋体"/>
          <w:bCs/>
          <w:i w:val="0"/>
          <w:iCs w:val="0"/>
          <w:color w:val="auto"/>
          <w:sz w:val="24"/>
          <w:szCs w:val="24"/>
          <w:highlight w:val="none"/>
        </w:rPr>
      </w:pPr>
    </w:p>
    <w:p w14:paraId="42878873">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p w14:paraId="33713121">
      <w:pPr>
        <w:spacing w:line="360" w:lineRule="auto"/>
        <w:rPr>
          <w:rFonts w:hint="eastAsia"/>
          <w:b/>
          <w:i w:val="0"/>
          <w:iCs w:val="0"/>
          <w:color w:val="auto"/>
          <w:sz w:val="30"/>
          <w:szCs w:val="30"/>
          <w:highlight w:val="none"/>
        </w:rPr>
      </w:pPr>
    </w:p>
    <w:p w14:paraId="03504969">
      <w:pPr>
        <w:spacing w:line="360" w:lineRule="auto"/>
        <w:rPr>
          <w:rFonts w:hint="eastAsia"/>
          <w:b/>
          <w:i w:val="0"/>
          <w:iCs w:val="0"/>
          <w:color w:val="auto"/>
          <w:sz w:val="30"/>
          <w:szCs w:val="30"/>
          <w:highlight w:val="none"/>
        </w:rPr>
      </w:pPr>
    </w:p>
    <w:p w14:paraId="09497EA9">
      <w:pPr>
        <w:spacing w:line="360" w:lineRule="auto"/>
        <w:rPr>
          <w:rFonts w:hint="eastAsia"/>
          <w:b/>
          <w:i w:val="0"/>
          <w:iCs w:val="0"/>
          <w:color w:val="auto"/>
          <w:sz w:val="30"/>
          <w:szCs w:val="30"/>
          <w:highlight w:val="none"/>
        </w:rPr>
      </w:pPr>
    </w:p>
    <w:p w14:paraId="4A8A37AB">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八</w:t>
      </w:r>
      <w:r>
        <w:rPr>
          <w:rFonts w:hint="eastAsia"/>
          <w:b/>
          <w:i w:val="0"/>
          <w:iCs w:val="0"/>
          <w:color w:val="auto"/>
          <w:sz w:val="30"/>
          <w:szCs w:val="30"/>
          <w:highlight w:val="none"/>
        </w:rPr>
        <w:t>、承诺书（给定格式）：</w:t>
      </w:r>
    </w:p>
    <w:p w14:paraId="1F4A5A64">
      <w:pPr>
        <w:ind w:firstLine="602"/>
        <w:outlineLvl w:val="0"/>
        <w:rPr>
          <w:rFonts w:hint="eastAsia"/>
          <w:b/>
          <w:i w:val="0"/>
          <w:iCs w:val="0"/>
          <w:color w:val="auto"/>
          <w:sz w:val="30"/>
          <w:szCs w:val="30"/>
          <w:highlight w:val="none"/>
        </w:rPr>
      </w:pPr>
    </w:p>
    <w:p w14:paraId="34B379F1">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承诺书</w:t>
      </w:r>
    </w:p>
    <w:p w14:paraId="51C971B4">
      <w:pPr>
        <w:spacing w:line="480" w:lineRule="auto"/>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（投标人名称）针</w:t>
      </w:r>
      <w:r>
        <w:rPr>
          <w:rFonts w:hint="eastAsia" w:ascii="宋体" w:hAnsi="宋体"/>
          <w:bCs/>
          <w:i w:val="0"/>
          <w:iCs w:val="0"/>
          <w:color w:val="auto"/>
          <w:sz w:val="24"/>
          <w:szCs w:val="24"/>
          <w:highlight w:val="none"/>
        </w:rPr>
        <w:t>对本项目</w:t>
      </w:r>
      <w:r>
        <w:rPr>
          <w:rFonts w:hint="eastAsia" w:ascii="黑体" w:eastAsia="黑体" w:cs="Times New Roman"/>
          <w:bCs/>
          <w:i w:val="0"/>
          <w:iCs w:val="0"/>
          <w:color w:val="auto"/>
          <w:sz w:val="24"/>
          <w:szCs w:val="24"/>
          <w:highlight w:val="none"/>
          <w:lang w:eastAsia="zh-CN"/>
        </w:rPr>
        <w:t>JSZC-320206-JZCG-G2026-0056</w:t>
      </w:r>
      <w:r>
        <w:rPr>
          <w:rFonts w:hint="eastAsia" w:ascii="宋体" w:hAnsi="宋体"/>
          <w:i w:val="0"/>
          <w:iCs w:val="0"/>
          <w:color w:val="auto"/>
          <w:sz w:val="24"/>
          <w:szCs w:val="24"/>
          <w:highlight w:val="none"/>
        </w:rPr>
        <w:t>在此对服务保障做如下承诺：</w:t>
      </w:r>
    </w:p>
    <w:p w14:paraId="290AABD9">
      <w:pPr>
        <w:spacing w:line="480" w:lineRule="auto"/>
        <w:ind w:firstLine="480"/>
        <w:rPr>
          <w:rFonts w:ascii="宋体"/>
          <w:bCs/>
          <w:i w:val="0"/>
          <w:iCs w:val="0"/>
          <w:color w:val="auto"/>
          <w:sz w:val="24"/>
          <w:szCs w:val="24"/>
          <w:highlight w:val="none"/>
          <w:u w:val="none"/>
        </w:rPr>
      </w:pPr>
      <w:r>
        <w:rPr>
          <w:rFonts w:ascii="宋体" w:hAnsi="宋体"/>
          <w:i w:val="0"/>
          <w:iCs w:val="0"/>
          <w:color w:val="auto"/>
          <w:sz w:val="24"/>
          <w:szCs w:val="24"/>
          <w:highlight w:val="none"/>
          <w:u w:val="none"/>
        </w:rPr>
        <w:t>1</w:t>
      </w:r>
      <w:r>
        <w:rPr>
          <w:rFonts w:hint="eastAsia" w:ascii="宋体" w:hAnsi="宋体"/>
          <w:i w:val="0"/>
          <w:iCs w:val="0"/>
          <w:color w:val="auto"/>
          <w:sz w:val="24"/>
          <w:szCs w:val="24"/>
          <w:highlight w:val="none"/>
          <w:u w:val="none"/>
          <w:lang w:val="en-US" w:eastAsia="zh-CN"/>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对本项目所提供的货物均为原厂全新合格品；</w:t>
      </w:r>
    </w:p>
    <w:p w14:paraId="5D5CFD55">
      <w:pPr>
        <w:spacing w:line="480" w:lineRule="auto"/>
        <w:ind w:firstLine="480"/>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2</w:t>
      </w:r>
      <w:r>
        <w:rPr>
          <w:rFonts w:hint="eastAsia" w:ascii="宋体" w:hAnsi="宋体"/>
          <w:bCs/>
          <w:i w:val="0"/>
          <w:iCs w:val="0"/>
          <w:color w:val="auto"/>
          <w:sz w:val="24"/>
          <w:szCs w:val="24"/>
          <w:highlight w:val="none"/>
          <w:u w:val="none"/>
          <w:lang w:val="en-US" w:eastAsia="zh-CN"/>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具备履行合同所必需的设备和专业技术能力；</w:t>
      </w:r>
    </w:p>
    <w:p w14:paraId="29D25A2A">
      <w:pPr>
        <w:spacing w:line="480" w:lineRule="auto"/>
        <w:ind w:firstLine="480"/>
        <w:rPr>
          <w:rFonts w:hint="eastAsia" w:ascii="宋体" w:hAnsi="宋体" w:eastAsia="宋体" w:cs="宋体"/>
          <w:color w:val="auto"/>
          <w:sz w:val="24"/>
          <w:szCs w:val="24"/>
          <w:highlight w:val="none"/>
          <w:lang w:eastAsia="zh-CN"/>
        </w:rPr>
      </w:pPr>
      <w:r>
        <w:rPr>
          <w:rFonts w:hint="eastAsia" w:ascii="宋体" w:hAnsi="宋体"/>
          <w:bCs/>
          <w:i w:val="0"/>
          <w:iCs w:val="0"/>
          <w:color w:val="auto"/>
          <w:sz w:val="24"/>
          <w:szCs w:val="24"/>
          <w:highlight w:val="none"/>
          <w:u w:val="none"/>
          <w:lang w:val="en-US" w:eastAsia="zh-CN"/>
        </w:rPr>
        <w:t>3.</w:t>
      </w:r>
      <w:r>
        <w:rPr>
          <w:rFonts w:hint="eastAsia" w:ascii="宋体" w:hAnsi="宋体" w:eastAsia="宋体" w:cs="宋体"/>
          <w:color w:val="auto"/>
          <w:sz w:val="24"/>
          <w:szCs w:val="24"/>
          <w:highlight w:val="none"/>
          <w:lang w:eastAsia="zh-CN"/>
        </w:rPr>
        <w:t>所供产品和服务符合</w:t>
      </w:r>
      <w:r>
        <w:rPr>
          <w:rFonts w:hint="eastAsia" w:ascii="宋体" w:hAnsi="宋体" w:eastAsia="宋体" w:cs="宋体"/>
          <w:color w:val="auto"/>
          <w:sz w:val="24"/>
          <w:szCs w:val="24"/>
          <w:highlight w:val="none"/>
        </w:rPr>
        <w:t>招标文件中提出的全部技术规格与要求</w:t>
      </w:r>
      <w:r>
        <w:rPr>
          <w:rFonts w:hint="eastAsia" w:ascii="宋体" w:hAnsi="宋体" w:eastAsia="宋体" w:cs="宋体"/>
          <w:color w:val="auto"/>
          <w:sz w:val="24"/>
          <w:szCs w:val="24"/>
          <w:highlight w:val="none"/>
          <w:lang w:eastAsia="zh-CN"/>
        </w:rPr>
        <w:t>；</w:t>
      </w:r>
    </w:p>
    <w:p w14:paraId="7230689D">
      <w:pPr>
        <w:spacing w:line="480" w:lineRule="auto"/>
        <w:ind w:firstLine="480"/>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lang w:val="en-US" w:eastAsia="zh-CN"/>
        </w:rPr>
        <w:t>4.</w:t>
      </w:r>
      <w:r>
        <w:rPr>
          <w:rFonts w:hint="eastAsia" w:ascii="宋体" w:hAnsi="宋体"/>
          <w:i w:val="0"/>
          <w:iCs w:val="0"/>
          <w:color w:val="auto"/>
          <w:sz w:val="24"/>
          <w:szCs w:val="24"/>
          <w:highlight w:val="none"/>
          <w:u w:val="none"/>
        </w:rPr>
        <w:t>本公司未被“</w:t>
      </w:r>
      <w:r>
        <w:rPr>
          <w:rFonts w:hint="eastAsia" w:ascii="宋体" w:hAnsi="宋体"/>
          <w:bCs/>
          <w:i w:val="0"/>
          <w:iCs w:val="0"/>
          <w:color w:val="auto"/>
          <w:sz w:val="24"/>
          <w:szCs w:val="24"/>
          <w:highlight w:val="none"/>
          <w:u w:val="none"/>
        </w:rPr>
        <w:t>信用中国</w:t>
      </w:r>
      <w:r>
        <w:rPr>
          <w:rFonts w:hint="eastAsia" w:ascii="宋体" w:hAnsi="宋体"/>
          <w:i w:val="0"/>
          <w:iCs w:val="0"/>
          <w:color w:val="auto"/>
          <w:sz w:val="24"/>
          <w:szCs w:val="24"/>
          <w:highlight w:val="none"/>
          <w:u w:val="none"/>
        </w:rPr>
        <w:t>”</w:t>
      </w:r>
      <w:r>
        <w:rPr>
          <w:rFonts w:hint="eastAsia" w:ascii="宋体" w:hAnsi="宋体"/>
          <w:bCs/>
          <w:i w:val="0"/>
          <w:iCs w:val="0"/>
          <w:color w:val="auto"/>
          <w:sz w:val="24"/>
          <w:szCs w:val="24"/>
          <w:highlight w:val="none"/>
          <w:u w:val="none"/>
        </w:rPr>
        <w:t>网站（www.creditchina.gov.cn）</w:t>
      </w:r>
      <w:r>
        <w:rPr>
          <w:rFonts w:hint="eastAsia" w:ascii="宋体" w:hAnsi="宋体"/>
          <w:i w:val="0"/>
          <w:iCs w:val="0"/>
          <w:color w:val="auto"/>
          <w:sz w:val="24"/>
          <w:szCs w:val="24"/>
          <w:highlight w:val="none"/>
          <w:u w:val="none"/>
        </w:rPr>
        <w:t>列入失信被执行人、重大税收违法案件当事人名单、政府采购严重违法失信行为记录名单。</w:t>
      </w:r>
    </w:p>
    <w:p w14:paraId="2C700870">
      <w:pPr>
        <w:spacing w:line="360" w:lineRule="auto"/>
        <w:ind w:firstLine="480"/>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5.</w:t>
      </w:r>
    </w:p>
    <w:p w14:paraId="26A5BCE6">
      <w:pPr>
        <w:spacing w:line="360" w:lineRule="auto"/>
        <w:ind w:firstLine="480"/>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6.</w:t>
      </w:r>
    </w:p>
    <w:p w14:paraId="646CD7DA">
      <w:pPr>
        <w:spacing w:line="480" w:lineRule="auto"/>
        <w:ind w:firstLine="480" w:firstLineChars="200"/>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7.</w:t>
      </w:r>
    </w:p>
    <w:p w14:paraId="220C9B32">
      <w:pPr>
        <w:spacing w:line="480" w:lineRule="auto"/>
        <w:ind w:firstLine="960"/>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w:t>
      </w:r>
    </w:p>
    <w:p w14:paraId="13801CAD">
      <w:pPr>
        <w:spacing w:line="480" w:lineRule="auto"/>
        <w:ind w:firstLine="480"/>
        <w:rPr>
          <w:rFonts w:hint="eastAsia" w:ascii="宋体" w:hAnsi="宋体"/>
          <w:i w:val="0"/>
          <w:iCs w:val="0"/>
          <w:color w:val="auto"/>
          <w:sz w:val="24"/>
          <w:szCs w:val="24"/>
          <w:highlight w:val="none"/>
          <w:u w:val="none"/>
        </w:rPr>
      </w:pPr>
    </w:p>
    <w:p w14:paraId="64D235DC">
      <w:pPr>
        <w:spacing w:line="480" w:lineRule="auto"/>
        <w:ind w:firstLine="96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如违背上述承诺，本公司</w:t>
      </w:r>
      <w:r>
        <w:rPr>
          <w:rFonts w:hint="eastAsia" w:ascii="宋体" w:hAnsi="宋体"/>
          <w:i w:val="0"/>
          <w:iCs w:val="0"/>
          <w:color w:val="auto"/>
          <w:sz w:val="24"/>
          <w:szCs w:val="24"/>
          <w:highlight w:val="none"/>
          <w:u w:val="none"/>
        </w:rPr>
        <w:t>（单位）</w:t>
      </w:r>
      <w:r>
        <w:rPr>
          <w:rFonts w:hint="eastAsia" w:ascii="宋体" w:hAnsi="宋体"/>
          <w:bCs/>
          <w:i w:val="0"/>
          <w:iCs w:val="0"/>
          <w:color w:val="auto"/>
          <w:sz w:val="24"/>
          <w:szCs w:val="24"/>
          <w:highlight w:val="none"/>
          <w:u w:val="none"/>
        </w:rPr>
        <w:t>将承担一切法律责任。</w:t>
      </w:r>
      <w:r>
        <w:rPr>
          <w:rFonts w:hint="eastAsia" w:ascii="宋体" w:hAnsi="宋体"/>
          <w:bCs/>
          <w:i w:val="0"/>
          <w:iCs w:val="0"/>
          <w:color w:val="auto"/>
          <w:sz w:val="24"/>
          <w:szCs w:val="24"/>
          <w:highlight w:val="none"/>
        </w:rPr>
        <w:t>如违背上述承诺，本公司</w:t>
      </w:r>
      <w:r>
        <w:rPr>
          <w:rFonts w:hint="eastAsia" w:ascii="宋体" w:hAnsi="宋体"/>
          <w:i w:val="0"/>
          <w:iCs w:val="0"/>
          <w:color w:val="auto"/>
          <w:sz w:val="24"/>
          <w:szCs w:val="24"/>
          <w:highlight w:val="none"/>
        </w:rPr>
        <w:t>（单位）</w:t>
      </w:r>
      <w:r>
        <w:rPr>
          <w:rFonts w:hint="eastAsia" w:ascii="宋体" w:hAnsi="宋体"/>
          <w:bCs/>
          <w:i w:val="0"/>
          <w:iCs w:val="0"/>
          <w:color w:val="auto"/>
          <w:sz w:val="24"/>
          <w:szCs w:val="24"/>
          <w:highlight w:val="none"/>
        </w:rPr>
        <w:t>将承担一切法律责任。</w:t>
      </w:r>
    </w:p>
    <w:p w14:paraId="3D9DB347">
      <w:pPr>
        <w:spacing w:line="480" w:lineRule="auto"/>
        <w:rPr>
          <w:rFonts w:hint="eastAsia" w:ascii="宋体" w:hAnsi="宋体"/>
          <w:bCs/>
          <w:i w:val="0"/>
          <w:iCs w:val="0"/>
          <w:color w:val="auto"/>
          <w:sz w:val="24"/>
          <w:szCs w:val="24"/>
          <w:highlight w:val="none"/>
        </w:rPr>
      </w:pPr>
    </w:p>
    <w:p w14:paraId="4263D324">
      <w:pPr>
        <w:spacing w:line="480" w:lineRule="auto"/>
        <w:ind w:firstLine="372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投标人名称</w:t>
      </w:r>
      <w:r>
        <w:rPr>
          <w:rFonts w:hint="eastAsia" w:ascii="宋体" w:hAnsi="宋体"/>
          <w:bCs/>
          <w:i w:val="0"/>
          <w:iCs w:val="0"/>
          <w:color w:val="auto"/>
          <w:sz w:val="24"/>
          <w:szCs w:val="24"/>
          <w:highlight w:val="none"/>
        </w:rPr>
        <w:t>（盖章）：</w:t>
      </w:r>
    </w:p>
    <w:p w14:paraId="4544107D">
      <w:pPr>
        <w:spacing w:line="480" w:lineRule="auto"/>
        <w:ind w:firstLine="480"/>
        <w:rPr>
          <w:rFonts w:hint="eastAsia" w:ascii="宋体" w:hAnsi="宋体"/>
          <w:bCs/>
          <w:i w:val="0"/>
          <w:iCs w:val="0"/>
          <w:color w:val="auto"/>
          <w:sz w:val="24"/>
          <w:szCs w:val="24"/>
          <w:highlight w:val="none"/>
        </w:rPr>
      </w:pPr>
    </w:p>
    <w:p w14:paraId="413A4151">
      <w:pPr>
        <w:spacing w:line="480" w:lineRule="auto"/>
        <w:ind w:firstLine="420"/>
        <w:rPr>
          <w:rFonts w:ascii="宋体"/>
          <w:bCs/>
          <w:i w:val="0"/>
          <w:iCs w:val="0"/>
          <w:color w:val="auto"/>
          <w:sz w:val="24"/>
          <w:szCs w:val="24"/>
          <w:highlight w:val="none"/>
        </w:rPr>
      </w:pPr>
      <w:r>
        <w:rPr>
          <w:rFonts w:hint="eastAsia" w:ascii="宋体" w:hAnsi="宋体"/>
          <w:bCs/>
          <w:i w:val="0"/>
          <w:iCs w:val="0"/>
          <w:color w:val="auto"/>
          <w:highlight w:val="none"/>
        </w:rPr>
        <w:t>（注：以上内容由投标单位根据采购要求自行完善。）</w:t>
      </w:r>
    </w:p>
    <w:p w14:paraId="3AA49FC3">
      <w:pPr>
        <w:spacing w:line="480" w:lineRule="auto"/>
        <w:ind w:firstLine="480"/>
        <w:rPr>
          <w:rFonts w:ascii="宋体"/>
          <w:bCs/>
          <w:i w:val="0"/>
          <w:iCs w:val="0"/>
          <w:color w:val="auto"/>
          <w:sz w:val="24"/>
          <w:szCs w:val="24"/>
          <w:highlight w:val="none"/>
          <w:u w:val="none"/>
        </w:rPr>
      </w:pPr>
    </w:p>
    <w:p w14:paraId="45621758">
      <w:pPr>
        <w:spacing w:line="480" w:lineRule="auto"/>
        <w:ind w:firstLine="480"/>
        <w:rPr>
          <w:rFonts w:ascii="宋体"/>
          <w:bCs/>
          <w:i w:val="0"/>
          <w:iCs w:val="0"/>
          <w:color w:val="auto"/>
          <w:sz w:val="24"/>
          <w:szCs w:val="24"/>
          <w:highlight w:val="none"/>
          <w:u w:val="none"/>
        </w:rPr>
      </w:pPr>
    </w:p>
    <w:p w14:paraId="17CA5A85">
      <w:pPr>
        <w:spacing w:line="480" w:lineRule="auto"/>
        <w:ind w:firstLine="480"/>
        <w:rPr>
          <w:rFonts w:ascii="宋体"/>
          <w:bCs/>
          <w:i w:val="0"/>
          <w:iCs w:val="0"/>
          <w:color w:val="auto"/>
          <w:sz w:val="24"/>
          <w:szCs w:val="24"/>
          <w:highlight w:val="none"/>
          <w:u w:val="none"/>
        </w:rPr>
      </w:pPr>
    </w:p>
    <w:p w14:paraId="670B52DD">
      <w:pPr>
        <w:spacing w:line="480" w:lineRule="auto"/>
        <w:rPr>
          <w:rFonts w:hint="eastAsia" w:ascii="宋体" w:hAnsi="宋体"/>
          <w:i w:val="0"/>
          <w:iCs w:val="0"/>
          <w:color w:val="auto"/>
          <w:sz w:val="24"/>
          <w:szCs w:val="24"/>
          <w:highlight w:val="none"/>
        </w:rPr>
      </w:pPr>
    </w:p>
    <w:p w14:paraId="5C0F02E9">
      <w:pPr>
        <w:spacing w:line="480" w:lineRule="auto"/>
        <w:rPr>
          <w:rFonts w:hint="eastAsia" w:ascii="宋体" w:hAnsi="宋体"/>
          <w:i w:val="0"/>
          <w:iCs w:val="0"/>
          <w:color w:val="auto"/>
          <w:sz w:val="24"/>
          <w:szCs w:val="24"/>
          <w:highlight w:val="none"/>
        </w:rPr>
      </w:pPr>
    </w:p>
    <w:p w14:paraId="61A352A1">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九</w:t>
      </w:r>
      <w:r>
        <w:rPr>
          <w:rFonts w:hint="eastAsia"/>
          <w:b/>
          <w:i w:val="0"/>
          <w:iCs w:val="0"/>
          <w:color w:val="auto"/>
          <w:sz w:val="30"/>
          <w:szCs w:val="30"/>
          <w:highlight w:val="none"/>
        </w:rPr>
        <w:t>、开标一览表（给定格式）：</w:t>
      </w:r>
    </w:p>
    <w:p w14:paraId="2A1EDD8E">
      <w:pPr>
        <w:spacing w:line="440" w:lineRule="exact"/>
        <w:ind w:firstLine="482"/>
        <w:rPr>
          <w:rFonts w:hint="eastAsia" w:ascii="Arial" w:hAnsi="Arial"/>
          <w:b/>
          <w:i w:val="0"/>
          <w:iCs w:val="0"/>
          <w:color w:val="auto"/>
          <w:sz w:val="24"/>
          <w:highlight w:val="none"/>
        </w:rPr>
      </w:pPr>
    </w:p>
    <w:p w14:paraId="7957FD7E">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开标一览表</w:t>
      </w:r>
    </w:p>
    <w:p w14:paraId="557D1DB0">
      <w:pPr>
        <w:jc w:val="center"/>
        <w:outlineLvl w:val="0"/>
        <w:rPr>
          <w:rFonts w:ascii="黑体" w:eastAsia="黑体"/>
          <w:bCs/>
          <w:i w:val="0"/>
          <w:iCs w:val="0"/>
          <w:color w:val="auto"/>
          <w:sz w:val="28"/>
          <w:szCs w:val="28"/>
          <w:highlight w:val="none"/>
        </w:rPr>
      </w:pPr>
    </w:p>
    <w:p w14:paraId="55873DA3">
      <w:pPr>
        <w:spacing w:line="360" w:lineRule="auto"/>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 项目编号：</w:t>
      </w:r>
      <w:r>
        <w:rPr>
          <w:rFonts w:hint="eastAsia" w:ascii="黑体" w:eastAsia="黑体" w:cs="Times New Roman"/>
          <w:bCs/>
          <w:i w:val="0"/>
          <w:iCs w:val="0"/>
          <w:color w:val="auto"/>
          <w:sz w:val="24"/>
          <w:szCs w:val="24"/>
          <w:highlight w:val="none"/>
          <w:lang w:eastAsia="zh-CN"/>
        </w:rPr>
        <w:t>JSZC-320206-JZCG-G2026-0056</w:t>
      </w:r>
    </w:p>
    <w:tbl>
      <w:tblPr>
        <w:tblStyle w:val="31"/>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4D1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4FFBEF4">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项目名称</w:t>
            </w:r>
          </w:p>
        </w:tc>
        <w:tc>
          <w:tcPr>
            <w:tcW w:w="3188" w:type="dxa"/>
            <w:noWrap w:val="0"/>
            <w:vAlign w:val="center"/>
          </w:tcPr>
          <w:p w14:paraId="0794C8B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投标总报价</w:t>
            </w:r>
            <w:r>
              <w:rPr>
                <w:rFonts w:ascii="宋体" w:hAnsi="宋体"/>
                <w:b/>
                <w:bCs/>
                <w:i w:val="0"/>
                <w:iCs w:val="0"/>
                <w:color w:val="auto"/>
                <w:sz w:val="24"/>
                <w:szCs w:val="24"/>
                <w:highlight w:val="none"/>
              </w:rPr>
              <w:t>(</w:t>
            </w:r>
            <w:r>
              <w:rPr>
                <w:rFonts w:hint="eastAsia" w:ascii="宋体" w:hAnsi="宋体"/>
                <w:b/>
                <w:bCs/>
                <w:i w:val="0"/>
                <w:iCs w:val="0"/>
                <w:color w:val="auto"/>
                <w:sz w:val="24"/>
                <w:szCs w:val="24"/>
                <w:highlight w:val="none"/>
              </w:rPr>
              <w:t>小写</w:t>
            </w:r>
            <w:r>
              <w:rPr>
                <w:rFonts w:ascii="宋体" w:hAnsi="宋体"/>
                <w:b/>
                <w:bCs/>
                <w:i w:val="0"/>
                <w:iCs w:val="0"/>
                <w:color w:val="auto"/>
                <w:sz w:val="24"/>
                <w:szCs w:val="24"/>
                <w:highlight w:val="none"/>
              </w:rPr>
              <w:t>)</w:t>
            </w:r>
          </w:p>
        </w:tc>
      </w:tr>
      <w:tr w14:paraId="213D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15AB5BF">
            <w:pPr>
              <w:pStyle w:val="318"/>
              <w:spacing w:line="400" w:lineRule="exact"/>
              <w:jc w:val="center"/>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eastAsia="zh-CN"/>
              </w:rPr>
              <w:t>无锡市惠山区人民医院网络设备更新和重要网络安全设施建设项目</w:t>
            </w:r>
          </w:p>
        </w:tc>
        <w:tc>
          <w:tcPr>
            <w:tcW w:w="3188" w:type="dxa"/>
            <w:noWrap w:val="0"/>
            <w:vAlign w:val="center"/>
          </w:tcPr>
          <w:p w14:paraId="7EC0D965">
            <w:pPr>
              <w:pStyle w:val="318"/>
              <w:rPr>
                <w:rFonts w:hAnsi="宋体"/>
                <w:b/>
                <w:i w:val="0"/>
                <w:iCs w:val="0"/>
                <w:color w:val="auto"/>
                <w:szCs w:val="24"/>
                <w:highlight w:val="none"/>
              </w:rPr>
            </w:pPr>
          </w:p>
        </w:tc>
      </w:tr>
      <w:tr w14:paraId="38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6EDAC18">
            <w:pPr>
              <w:rPr>
                <w:rFonts w:ascii="宋体"/>
                <w:bCs/>
                <w:i w:val="0"/>
                <w:iCs w:val="0"/>
                <w:color w:val="auto"/>
                <w:sz w:val="24"/>
                <w:szCs w:val="24"/>
                <w:highlight w:val="none"/>
              </w:rPr>
            </w:pPr>
            <w:r>
              <w:rPr>
                <w:rFonts w:hint="eastAsia" w:ascii="黑体" w:eastAsia="黑体"/>
                <w:i w:val="0"/>
                <w:iCs w:val="0"/>
                <w:color w:val="auto"/>
                <w:sz w:val="24"/>
                <w:highlight w:val="none"/>
              </w:rPr>
              <w:t>投标总报价（大写）</w:t>
            </w:r>
            <w:r>
              <w:rPr>
                <w:rFonts w:hint="eastAsia" w:ascii="宋体" w:hAnsi="宋体"/>
                <w:bCs/>
                <w:i w:val="0"/>
                <w:iCs w:val="0"/>
                <w:color w:val="auto"/>
                <w:sz w:val="24"/>
                <w:szCs w:val="24"/>
                <w:highlight w:val="none"/>
              </w:rPr>
              <w:t>：　　　</w:t>
            </w:r>
          </w:p>
        </w:tc>
      </w:tr>
    </w:tbl>
    <w:p w14:paraId="6781C2CD">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2C815583">
      <w:pPr>
        <w:pageBreakBefore/>
        <w:numPr>
          <w:ilvl w:val="0"/>
          <w:numId w:val="0"/>
        </w:numPr>
        <w:outlineLvl w:val="0"/>
        <w:rPr>
          <w:rFonts w:hint="eastAsia"/>
          <w:b/>
          <w:i w:val="0"/>
          <w:iCs w:val="0"/>
          <w:color w:val="auto"/>
          <w:sz w:val="30"/>
          <w:szCs w:val="30"/>
          <w:highlight w:val="none"/>
        </w:rPr>
      </w:pPr>
      <w:r>
        <w:rPr>
          <w:rFonts w:hint="eastAsia" w:cs="Times New Roman"/>
          <w:b/>
          <w:i w:val="0"/>
          <w:iCs w:val="0"/>
          <w:color w:val="auto"/>
          <w:sz w:val="30"/>
          <w:szCs w:val="30"/>
          <w:lang w:val="en-US" w:eastAsia="zh-CN" w:bidi="ar-SA"/>
        </w:rPr>
        <w:t>十</w:t>
      </w:r>
      <w:r>
        <w:rPr>
          <w:rFonts w:hint="eastAsia" w:ascii="Times New Roman" w:hAnsi="Times New Roman" w:eastAsia="宋体" w:cs="Times New Roman"/>
          <w:b/>
          <w:i w:val="0"/>
          <w:iCs w:val="0"/>
          <w:color w:val="auto"/>
          <w:sz w:val="30"/>
          <w:szCs w:val="30"/>
          <w:lang w:val="en-US" w:eastAsia="zh-CN" w:bidi="ar-SA"/>
        </w:rPr>
        <w:t>、</w:t>
      </w:r>
      <w:r>
        <w:rPr>
          <w:rFonts w:hint="eastAsia"/>
          <w:b/>
          <w:i w:val="0"/>
          <w:iCs w:val="0"/>
          <w:color w:val="auto"/>
          <w:sz w:val="30"/>
          <w:szCs w:val="30"/>
          <w:highlight w:val="none"/>
        </w:rPr>
        <w:t>分项</w:t>
      </w:r>
      <w:r>
        <w:rPr>
          <w:b/>
          <w:i w:val="0"/>
          <w:iCs w:val="0"/>
          <w:color w:val="auto"/>
          <w:sz w:val="30"/>
          <w:szCs w:val="30"/>
          <w:highlight w:val="none"/>
        </w:rPr>
        <w:t>报价表</w:t>
      </w:r>
      <w:r>
        <w:rPr>
          <w:rFonts w:hint="eastAsia"/>
          <w:b/>
          <w:i w:val="0"/>
          <w:iCs w:val="0"/>
          <w:color w:val="auto"/>
          <w:sz w:val="30"/>
          <w:szCs w:val="30"/>
          <w:highlight w:val="none"/>
        </w:rPr>
        <w:t>（给定格式）：</w:t>
      </w:r>
    </w:p>
    <w:p w14:paraId="4BC5574F">
      <w:pPr>
        <w:spacing w:line="400" w:lineRule="exact"/>
        <w:jc w:val="center"/>
        <w:outlineLvl w:val="0"/>
        <w:rPr>
          <w:rFonts w:ascii="黑体" w:eastAsia="黑体"/>
          <w:bCs/>
          <w:i w:val="0"/>
          <w:iCs w:val="0"/>
          <w:color w:val="auto"/>
          <w:sz w:val="28"/>
          <w:szCs w:val="28"/>
          <w:highlight w:val="none"/>
          <w:u w:val="none"/>
        </w:rPr>
      </w:pPr>
      <w:r>
        <w:rPr>
          <w:rFonts w:hint="eastAsia"/>
          <w:i w:val="0"/>
          <w:iCs w:val="0"/>
          <w:color w:val="auto"/>
          <w:sz w:val="21"/>
          <w:highlight w:val="none"/>
          <w:lang w:val="en-US" w:eastAsia="zh-CN" w:bidi="ar-SA"/>
        </w:rPr>
        <w:tab/>
      </w:r>
      <w:r>
        <w:rPr>
          <w:rFonts w:hint="eastAsia" w:ascii="黑体" w:eastAsia="黑体"/>
          <w:bCs/>
          <w:i w:val="0"/>
          <w:iCs w:val="0"/>
          <w:color w:val="auto"/>
          <w:sz w:val="28"/>
          <w:szCs w:val="28"/>
          <w:highlight w:val="none"/>
          <w:u w:val="none"/>
          <w:lang w:eastAsia="zh-CN"/>
        </w:rPr>
        <w:t>分项</w:t>
      </w:r>
      <w:r>
        <w:rPr>
          <w:rFonts w:hint="eastAsia" w:ascii="黑体" w:eastAsia="黑体"/>
          <w:bCs/>
          <w:i w:val="0"/>
          <w:iCs w:val="0"/>
          <w:color w:val="auto"/>
          <w:sz w:val="28"/>
          <w:szCs w:val="28"/>
          <w:highlight w:val="none"/>
          <w:u w:val="none"/>
        </w:rPr>
        <w:t>报价表</w:t>
      </w:r>
    </w:p>
    <w:p w14:paraId="3D83C03A">
      <w:pPr>
        <w:spacing w:line="400" w:lineRule="exact"/>
        <w:rPr>
          <w:rFonts w:hint="eastAsia" w:ascii="黑体" w:eastAsia="黑体"/>
          <w:bCs/>
          <w:i w:val="0"/>
          <w:iCs w:val="0"/>
          <w:color w:val="auto"/>
          <w:sz w:val="24"/>
          <w:szCs w:val="24"/>
          <w:highlight w:val="none"/>
          <w:u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JSZC-320206-JZCG-G2026-0056</w:t>
      </w:r>
    </w:p>
    <w:tbl>
      <w:tblPr>
        <w:tblStyle w:val="3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210"/>
        <w:gridCol w:w="840"/>
        <w:gridCol w:w="945"/>
        <w:gridCol w:w="3045"/>
        <w:gridCol w:w="525"/>
        <w:gridCol w:w="630"/>
        <w:gridCol w:w="1287"/>
        <w:gridCol w:w="708"/>
        <w:gridCol w:w="567"/>
        <w:gridCol w:w="798"/>
      </w:tblGrid>
      <w:tr w14:paraId="3419A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420" w:type="dxa"/>
            <w:noWrap w:val="0"/>
            <w:tcMar>
              <w:top w:w="15" w:type="dxa"/>
              <w:left w:w="15" w:type="dxa"/>
              <w:bottom w:w="0" w:type="dxa"/>
              <w:right w:w="15" w:type="dxa"/>
            </w:tcMar>
            <w:vAlign w:val="center"/>
          </w:tcPr>
          <w:p w14:paraId="58AD46AB">
            <w:pPr>
              <w:spacing w:before="5"/>
              <w:jc w:val="center"/>
              <w:rPr>
                <w:i w:val="0"/>
                <w:iCs w:val="0"/>
                <w:color w:val="auto"/>
                <w:sz w:val="18"/>
                <w:highlight w:val="none"/>
                <w:u w:val="none"/>
              </w:rPr>
            </w:pPr>
            <w:r>
              <w:rPr>
                <w:rFonts w:hint="eastAsia"/>
                <w:i w:val="0"/>
                <w:iCs w:val="0"/>
                <w:color w:val="auto"/>
                <w:sz w:val="18"/>
                <w:highlight w:val="none"/>
                <w:u w:val="none"/>
              </w:rPr>
              <w:t>序号</w:t>
            </w:r>
          </w:p>
        </w:tc>
        <w:tc>
          <w:tcPr>
            <w:tcW w:w="1050" w:type="dxa"/>
            <w:gridSpan w:val="2"/>
            <w:noWrap w:val="0"/>
            <w:tcMar>
              <w:top w:w="15" w:type="dxa"/>
              <w:left w:w="15" w:type="dxa"/>
              <w:bottom w:w="0" w:type="dxa"/>
              <w:right w:w="15" w:type="dxa"/>
            </w:tcMar>
            <w:vAlign w:val="center"/>
          </w:tcPr>
          <w:p w14:paraId="6812E6FA">
            <w:pPr>
              <w:spacing w:before="5"/>
              <w:jc w:val="center"/>
              <w:rPr>
                <w:i w:val="0"/>
                <w:iCs w:val="0"/>
                <w:color w:val="auto"/>
                <w:sz w:val="18"/>
                <w:highlight w:val="none"/>
                <w:u w:val="none"/>
              </w:rPr>
            </w:pPr>
            <w:r>
              <w:rPr>
                <w:rFonts w:hint="eastAsia"/>
                <w:i w:val="0"/>
                <w:iCs w:val="0"/>
                <w:color w:val="auto"/>
                <w:sz w:val="18"/>
                <w:highlight w:val="none"/>
                <w:u w:val="none"/>
              </w:rPr>
              <w:t>名称</w:t>
            </w:r>
          </w:p>
        </w:tc>
        <w:tc>
          <w:tcPr>
            <w:tcW w:w="945" w:type="dxa"/>
            <w:noWrap w:val="0"/>
            <w:tcMar>
              <w:top w:w="15" w:type="dxa"/>
              <w:left w:w="15" w:type="dxa"/>
              <w:bottom w:w="0" w:type="dxa"/>
              <w:right w:w="15" w:type="dxa"/>
            </w:tcMar>
            <w:vAlign w:val="center"/>
          </w:tcPr>
          <w:p w14:paraId="2CCF88D9">
            <w:pPr>
              <w:spacing w:before="5"/>
              <w:jc w:val="center"/>
              <w:rPr>
                <w:i w:val="0"/>
                <w:iCs w:val="0"/>
                <w:color w:val="auto"/>
                <w:sz w:val="18"/>
                <w:highlight w:val="none"/>
                <w:u w:val="none"/>
              </w:rPr>
            </w:pPr>
            <w:r>
              <w:rPr>
                <w:rFonts w:hint="eastAsia"/>
                <w:i w:val="0"/>
                <w:iCs w:val="0"/>
                <w:color w:val="auto"/>
                <w:sz w:val="18"/>
                <w:highlight w:val="none"/>
                <w:u w:val="none"/>
              </w:rPr>
              <w:t>品牌型号</w:t>
            </w:r>
          </w:p>
        </w:tc>
        <w:tc>
          <w:tcPr>
            <w:tcW w:w="3045" w:type="dxa"/>
            <w:noWrap w:val="0"/>
            <w:tcMar>
              <w:top w:w="15" w:type="dxa"/>
              <w:left w:w="15" w:type="dxa"/>
              <w:bottom w:w="0" w:type="dxa"/>
              <w:right w:w="15" w:type="dxa"/>
            </w:tcMar>
            <w:vAlign w:val="center"/>
          </w:tcPr>
          <w:p w14:paraId="2DD48165">
            <w:pPr>
              <w:spacing w:before="5"/>
              <w:jc w:val="center"/>
              <w:rPr>
                <w:i w:val="0"/>
                <w:iCs w:val="0"/>
                <w:color w:val="auto"/>
                <w:sz w:val="18"/>
                <w:highlight w:val="none"/>
                <w:u w:val="none"/>
              </w:rPr>
            </w:pPr>
            <w:r>
              <w:rPr>
                <w:rFonts w:hint="eastAsia"/>
                <w:i w:val="0"/>
                <w:iCs w:val="0"/>
                <w:color w:val="auto"/>
                <w:sz w:val="18"/>
                <w:highlight w:val="none"/>
                <w:u w:val="none"/>
              </w:rPr>
              <w:t>性能指标</w:t>
            </w:r>
          </w:p>
        </w:tc>
        <w:tc>
          <w:tcPr>
            <w:tcW w:w="525" w:type="dxa"/>
            <w:noWrap w:val="0"/>
            <w:tcMar>
              <w:top w:w="15" w:type="dxa"/>
              <w:left w:w="15" w:type="dxa"/>
              <w:bottom w:w="0" w:type="dxa"/>
              <w:right w:w="15" w:type="dxa"/>
            </w:tcMar>
            <w:vAlign w:val="center"/>
          </w:tcPr>
          <w:p w14:paraId="33DEDC29">
            <w:pPr>
              <w:spacing w:before="5"/>
              <w:jc w:val="center"/>
              <w:rPr>
                <w:i w:val="0"/>
                <w:iCs w:val="0"/>
                <w:color w:val="auto"/>
                <w:sz w:val="18"/>
                <w:highlight w:val="none"/>
                <w:u w:val="none"/>
              </w:rPr>
            </w:pPr>
            <w:r>
              <w:rPr>
                <w:rFonts w:hint="eastAsia"/>
                <w:i w:val="0"/>
                <w:iCs w:val="0"/>
                <w:color w:val="auto"/>
                <w:sz w:val="18"/>
                <w:highlight w:val="none"/>
                <w:u w:val="none"/>
              </w:rPr>
              <w:t>数量</w:t>
            </w:r>
          </w:p>
        </w:tc>
        <w:tc>
          <w:tcPr>
            <w:tcW w:w="630" w:type="dxa"/>
            <w:noWrap w:val="0"/>
            <w:tcMar>
              <w:top w:w="15" w:type="dxa"/>
              <w:left w:w="15" w:type="dxa"/>
              <w:bottom w:w="0" w:type="dxa"/>
              <w:right w:w="15" w:type="dxa"/>
            </w:tcMar>
            <w:vAlign w:val="center"/>
          </w:tcPr>
          <w:p w14:paraId="0FF753C1">
            <w:pPr>
              <w:spacing w:before="5"/>
              <w:jc w:val="center"/>
              <w:rPr>
                <w:i w:val="0"/>
                <w:iCs w:val="0"/>
                <w:color w:val="auto"/>
                <w:sz w:val="18"/>
                <w:highlight w:val="none"/>
                <w:u w:val="none"/>
              </w:rPr>
            </w:pPr>
            <w:r>
              <w:rPr>
                <w:rFonts w:hint="eastAsia"/>
                <w:i w:val="0"/>
                <w:iCs w:val="0"/>
                <w:color w:val="auto"/>
                <w:sz w:val="18"/>
                <w:highlight w:val="none"/>
                <w:u w:val="none"/>
              </w:rPr>
              <w:t>产地</w:t>
            </w:r>
          </w:p>
        </w:tc>
        <w:tc>
          <w:tcPr>
            <w:tcW w:w="1287" w:type="dxa"/>
            <w:noWrap w:val="0"/>
            <w:vAlign w:val="center"/>
          </w:tcPr>
          <w:p w14:paraId="55D3DFAA">
            <w:pPr>
              <w:spacing w:before="5"/>
              <w:jc w:val="center"/>
              <w:rPr>
                <w:i w:val="0"/>
                <w:iCs w:val="0"/>
                <w:color w:val="auto"/>
                <w:sz w:val="18"/>
                <w:highlight w:val="none"/>
                <w:u w:val="none"/>
              </w:rPr>
            </w:pPr>
            <w:r>
              <w:rPr>
                <w:rFonts w:hint="eastAsia"/>
                <w:i w:val="0"/>
                <w:iCs w:val="0"/>
                <w:color w:val="auto"/>
                <w:sz w:val="18"/>
                <w:highlight w:val="none"/>
                <w:u w:val="none"/>
              </w:rPr>
              <w:t>是否属于</w:t>
            </w:r>
            <w:r>
              <w:rPr>
                <w:i w:val="0"/>
                <w:iCs w:val="0"/>
                <w:color w:val="auto"/>
                <w:sz w:val="18"/>
                <w:highlight w:val="none"/>
                <w:u w:val="none"/>
              </w:rPr>
              <w:t xml:space="preserve">     </w:t>
            </w:r>
            <w:r>
              <w:rPr>
                <w:rFonts w:hint="eastAsia"/>
                <w:i w:val="0"/>
                <w:iCs w:val="0"/>
                <w:color w:val="auto"/>
                <w:sz w:val="18"/>
                <w:highlight w:val="none"/>
                <w:u w:val="none"/>
              </w:rPr>
              <w:t>小、微型企业产品</w:t>
            </w:r>
          </w:p>
        </w:tc>
        <w:tc>
          <w:tcPr>
            <w:tcW w:w="708" w:type="dxa"/>
            <w:noWrap w:val="0"/>
            <w:tcMar>
              <w:top w:w="15" w:type="dxa"/>
              <w:left w:w="15" w:type="dxa"/>
              <w:bottom w:w="0" w:type="dxa"/>
              <w:right w:w="15" w:type="dxa"/>
            </w:tcMar>
            <w:vAlign w:val="center"/>
          </w:tcPr>
          <w:p w14:paraId="04122761">
            <w:pPr>
              <w:spacing w:before="5"/>
              <w:jc w:val="center"/>
              <w:rPr>
                <w:i w:val="0"/>
                <w:iCs w:val="0"/>
                <w:color w:val="auto"/>
                <w:sz w:val="18"/>
                <w:highlight w:val="none"/>
                <w:u w:val="none"/>
              </w:rPr>
            </w:pPr>
            <w:r>
              <w:rPr>
                <w:rFonts w:hint="eastAsia"/>
                <w:i w:val="0"/>
                <w:iCs w:val="0"/>
                <w:color w:val="auto"/>
                <w:sz w:val="18"/>
                <w:highlight w:val="none"/>
                <w:u w:val="none"/>
              </w:rPr>
              <w:t>质保期</w:t>
            </w:r>
          </w:p>
        </w:tc>
        <w:tc>
          <w:tcPr>
            <w:tcW w:w="567" w:type="dxa"/>
            <w:noWrap w:val="0"/>
            <w:vAlign w:val="center"/>
          </w:tcPr>
          <w:p w14:paraId="499635D4">
            <w:pPr>
              <w:spacing w:before="5"/>
              <w:jc w:val="center"/>
              <w:rPr>
                <w:i w:val="0"/>
                <w:iCs w:val="0"/>
                <w:color w:val="auto"/>
                <w:sz w:val="18"/>
                <w:highlight w:val="none"/>
                <w:u w:val="none"/>
              </w:rPr>
            </w:pPr>
            <w:r>
              <w:rPr>
                <w:rFonts w:hint="eastAsia"/>
                <w:i w:val="0"/>
                <w:iCs w:val="0"/>
                <w:color w:val="auto"/>
                <w:sz w:val="18"/>
                <w:highlight w:val="none"/>
                <w:u w:val="none"/>
              </w:rPr>
              <w:t>单报价</w:t>
            </w:r>
          </w:p>
        </w:tc>
        <w:tc>
          <w:tcPr>
            <w:tcW w:w="798" w:type="dxa"/>
            <w:noWrap w:val="0"/>
            <w:vAlign w:val="center"/>
          </w:tcPr>
          <w:p w14:paraId="0A8971D7">
            <w:pPr>
              <w:spacing w:before="5"/>
              <w:jc w:val="center"/>
              <w:rPr>
                <w:i w:val="0"/>
                <w:iCs w:val="0"/>
                <w:color w:val="auto"/>
                <w:sz w:val="18"/>
                <w:highlight w:val="none"/>
                <w:u w:val="none"/>
              </w:rPr>
            </w:pPr>
            <w:r>
              <w:rPr>
                <w:rFonts w:hint="eastAsia"/>
                <w:i w:val="0"/>
                <w:iCs w:val="0"/>
                <w:color w:val="auto"/>
                <w:sz w:val="18"/>
                <w:highlight w:val="none"/>
                <w:u w:val="none"/>
              </w:rPr>
              <w:t>分项</w:t>
            </w:r>
            <w:r>
              <w:rPr>
                <w:i w:val="0"/>
                <w:iCs w:val="0"/>
                <w:color w:val="auto"/>
                <w:sz w:val="18"/>
                <w:highlight w:val="none"/>
                <w:u w:val="none"/>
              </w:rPr>
              <w:t xml:space="preserve">   </w:t>
            </w:r>
            <w:r>
              <w:rPr>
                <w:rFonts w:hint="eastAsia"/>
                <w:i w:val="0"/>
                <w:iCs w:val="0"/>
                <w:color w:val="auto"/>
                <w:sz w:val="18"/>
                <w:highlight w:val="none"/>
                <w:u w:val="none"/>
              </w:rPr>
              <w:t>总报价</w:t>
            </w:r>
          </w:p>
        </w:tc>
      </w:tr>
      <w:tr w14:paraId="5422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trPr>
        <w:tc>
          <w:tcPr>
            <w:tcW w:w="420" w:type="dxa"/>
            <w:noWrap w:val="0"/>
            <w:tcMar>
              <w:top w:w="15" w:type="dxa"/>
              <w:left w:w="15" w:type="dxa"/>
              <w:bottom w:w="0" w:type="dxa"/>
              <w:right w:w="15" w:type="dxa"/>
            </w:tcMar>
            <w:vAlign w:val="center"/>
          </w:tcPr>
          <w:p w14:paraId="54C25707">
            <w:pPr>
              <w:pStyle w:val="216"/>
              <w:pBdr>
                <w:bottom w:val="none" w:color="000000" w:sz="0" w:space="0"/>
              </w:pBdr>
              <w:tabs>
                <w:tab w:val="clear" w:pos="4153"/>
                <w:tab w:val="clear" w:pos="8306"/>
              </w:tabs>
              <w:spacing w:before="5"/>
              <w:rPr>
                <w:rFonts w:ascii="宋体"/>
                <w:i w:val="0"/>
                <w:iCs w:val="0"/>
                <w:color w:val="auto"/>
                <w:szCs w:val="20"/>
                <w:highlight w:val="none"/>
                <w:u w:val="none"/>
                <w:lang w:val="en-US" w:eastAsia="zh-CN"/>
              </w:rPr>
            </w:pPr>
          </w:p>
        </w:tc>
        <w:tc>
          <w:tcPr>
            <w:tcW w:w="1050" w:type="dxa"/>
            <w:gridSpan w:val="2"/>
            <w:noWrap w:val="0"/>
            <w:tcMar>
              <w:top w:w="15" w:type="dxa"/>
              <w:left w:w="15" w:type="dxa"/>
              <w:bottom w:w="0" w:type="dxa"/>
              <w:right w:w="15" w:type="dxa"/>
            </w:tcMar>
            <w:vAlign w:val="center"/>
          </w:tcPr>
          <w:p w14:paraId="22CF60E7">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945" w:type="dxa"/>
            <w:noWrap w:val="0"/>
            <w:tcMar>
              <w:top w:w="15" w:type="dxa"/>
              <w:left w:w="15" w:type="dxa"/>
              <w:bottom w:w="0" w:type="dxa"/>
              <w:right w:w="15" w:type="dxa"/>
            </w:tcMar>
            <w:vAlign w:val="center"/>
          </w:tcPr>
          <w:p w14:paraId="6913CC4E">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top"/>
          </w:tcPr>
          <w:p w14:paraId="4C2879F0">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69A07DAF">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6D7EC02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0CD8F4ED">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3F455EA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67D4B802">
            <w:pPr>
              <w:jc w:val="center"/>
              <w:rPr>
                <w:rFonts w:ascii="黑体" w:hAnsi="宋体" w:eastAsia="黑体"/>
                <w:b/>
                <w:bCs/>
                <w:i w:val="0"/>
                <w:iCs w:val="0"/>
                <w:color w:val="auto"/>
                <w:sz w:val="24"/>
                <w:szCs w:val="24"/>
                <w:highlight w:val="none"/>
                <w:u w:val="none"/>
              </w:rPr>
            </w:pPr>
          </w:p>
        </w:tc>
        <w:tc>
          <w:tcPr>
            <w:tcW w:w="798" w:type="dxa"/>
            <w:noWrap w:val="0"/>
            <w:vAlign w:val="center"/>
          </w:tcPr>
          <w:p w14:paraId="7B8015AA">
            <w:pPr>
              <w:jc w:val="center"/>
              <w:rPr>
                <w:rFonts w:ascii="黑体" w:hAnsi="宋体" w:eastAsia="黑体"/>
                <w:b/>
                <w:bCs/>
                <w:i w:val="0"/>
                <w:iCs w:val="0"/>
                <w:color w:val="auto"/>
                <w:sz w:val="24"/>
                <w:szCs w:val="24"/>
                <w:highlight w:val="none"/>
                <w:u w:val="none"/>
              </w:rPr>
            </w:pPr>
          </w:p>
        </w:tc>
      </w:tr>
      <w:tr w14:paraId="74EB1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trPr>
        <w:tc>
          <w:tcPr>
            <w:tcW w:w="420" w:type="dxa"/>
            <w:noWrap w:val="0"/>
            <w:tcMar>
              <w:top w:w="15" w:type="dxa"/>
              <w:left w:w="15" w:type="dxa"/>
              <w:bottom w:w="0" w:type="dxa"/>
              <w:right w:w="15" w:type="dxa"/>
            </w:tcMar>
            <w:vAlign w:val="center"/>
          </w:tcPr>
          <w:p w14:paraId="02FF22C4">
            <w:pPr>
              <w:jc w:val="center"/>
              <w:rPr>
                <w:rFonts w:ascii="宋体"/>
                <w:i w:val="0"/>
                <w:iCs w:val="0"/>
                <w:color w:val="auto"/>
                <w:sz w:val="18"/>
                <w:highlight w:val="none"/>
                <w:u w:val="none"/>
              </w:rPr>
            </w:pPr>
          </w:p>
        </w:tc>
        <w:tc>
          <w:tcPr>
            <w:tcW w:w="1050" w:type="dxa"/>
            <w:gridSpan w:val="2"/>
            <w:noWrap w:val="0"/>
            <w:tcMar>
              <w:top w:w="15" w:type="dxa"/>
              <w:left w:w="15" w:type="dxa"/>
              <w:bottom w:w="0" w:type="dxa"/>
              <w:right w:w="15" w:type="dxa"/>
            </w:tcMar>
            <w:vAlign w:val="center"/>
          </w:tcPr>
          <w:p w14:paraId="3F0029B8">
            <w:pPr>
              <w:jc w:val="center"/>
              <w:rPr>
                <w:rFonts w:ascii="宋体"/>
                <w:i w:val="0"/>
                <w:iCs w:val="0"/>
                <w:color w:val="auto"/>
                <w:highlight w:val="none"/>
                <w:u w:val="none"/>
              </w:rPr>
            </w:pPr>
          </w:p>
        </w:tc>
        <w:tc>
          <w:tcPr>
            <w:tcW w:w="945" w:type="dxa"/>
            <w:noWrap w:val="0"/>
            <w:tcMar>
              <w:top w:w="15" w:type="dxa"/>
              <w:left w:w="15" w:type="dxa"/>
              <w:bottom w:w="0" w:type="dxa"/>
              <w:right w:w="15" w:type="dxa"/>
            </w:tcMar>
            <w:vAlign w:val="center"/>
          </w:tcPr>
          <w:p w14:paraId="5A74C521">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center"/>
          </w:tcPr>
          <w:p w14:paraId="07D65D0B">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5584A905">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5FFADC2E">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294B3E24">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0ECE959D">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78271E94">
            <w:pPr>
              <w:jc w:val="center"/>
              <w:rPr>
                <w:rFonts w:ascii="黑体" w:hAnsi="宋体" w:eastAsia="黑体"/>
                <w:b/>
                <w:bCs/>
                <w:i w:val="0"/>
                <w:iCs w:val="0"/>
                <w:color w:val="auto"/>
                <w:sz w:val="24"/>
                <w:szCs w:val="24"/>
                <w:highlight w:val="none"/>
                <w:u w:val="none"/>
              </w:rPr>
            </w:pPr>
          </w:p>
        </w:tc>
        <w:tc>
          <w:tcPr>
            <w:tcW w:w="798" w:type="dxa"/>
            <w:noWrap w:val="0"/>
            <w:vAlign w:val="center"/>
          </w:tcPr>
          <w:p w14:paraId="12E0514B">
            <w:pPr>
              <w:jc w:val="center"/>
              <w:rPr>
                <w:rFonts w:ascii="黑体" w:hAnsi="宋体" w:eastAsia="黑体"/>
                <w:b/>
                <w:bCs/>
                <w:i w:val="0"/>
                <w:iCs w:val="0"/>
                <w:color w:val="auto"/>
                <w:sz w:val="24"/>
                <w:szCs w:val="24"/>
                <w:highlight w:val="none"/>
                <w:u w:val="none"/>
              </w:rPr>
            </w:pPr>
          </w:p>
        </w:tc>
      </w:tr>
      <w:tr w14:paraId="20677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20C6ADCC">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完工期/交货期</w:t>
            </w:r>
          </w:p>
        </w:tc>
        <w:tc>
          <w:tcPr>
            <w:tcW w:w="7560" w:type="dxa"/>
            <w:gridSpan w:val="7"/>
            <w:noWrap w:val="0"/>
            <w:tcMar>
              <w:top w:w="15" w:type="dxa"/>
              <w:left w:w="15" w:type="dxa"/>
              <w:bottom w:w="0" w:type="dxa"/>
              <w:right w:w="15" w:type="dxa"/>
            </w:tcMar>
            <w:vAlign w:val="center"/>
          </w:tcPr>
          <w:p w14:paraId="1DFC2F24">
            <w:pPr>
              <w:jc w:val="center"/>
              <w:rPr>
                <w:rFonts w:ascii="黑体" w:hAnsi="宋体" w:eastAsia="黑体"/>
                <w:b/>
                <w:bCs/>
                <w:i w:val="0"/>
                <w:iCs w:val="0"/>
                <w:color w:val="auto"/>
                <w:sz w:val="24"/>
                <w:szCs w:val="24"/>
                <w:highlight w:val="none"/>
                <w:u w:val="none"/>
              </w:rPr>
            </w:pPr>
            <w:r>
              <w:rPr>
                <w:rFonts w:hint="eastAsia" w:ascii="黑体" w:hAnsi="宋体" w:eastAsia="黑体"/>
                <w:b/>
                <w:bCs/>
                <w:i w:val="0"/>
                <w:iCs w:val="0"/>
                <w:color w:val="auto"/>
                <w:sz w:val="24"/>
                <w:szCs w:val="24"/>
                <w:highlight w:val="none"/>
                <w:u w:val="none"/>
              </w:rPr>
              <w:t>合同签订生效后的     日内完工。</w:t>
            </w:r>
          </w:p>
        </w:tc>
      </w:tr>
      <w:tr w14:paraId="7B73D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31795B64">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项目整体免费质保期</w:t>
            </w:r>
          </w:p>
        </w:tc>
        <w:tc>
          <w:tcPr>
            <w:tcW w:w="7560" w:type="dxa"/>
            <w:gridSpan w:val="7"/>
            <w:noWrap w:val="0"/>
            <w:tcMar>
              <w:top w:w="15" w:type="dxa"/>
              <w:left w:w="15" w:type="dxa"/>
              <w:bottom w:w="0" w:type="dxa"/>
              <w:right w:w="15" w:type="dxa"/>
            </w:tcMar>
            <w:vAlign w:val="center"/>
          </w:tcPr>
          <w:p w14:paraId="58C4329A">
            <w:pPr>
              <w:jc w:val="left"/>
              <w:rPr>
                <w:rFonts w:ascii="黑体" w:hAnsi="宋体" w:eastAsia="黑体"/>
                <w:b/>
                <w:bCs/>
                <w:i w:val="0"/>
                <w:iCs w:val="0"/>
                <w:color w:val="auto"/>
                <w:sz w:val="24"/>
                <w:szCs w:val="24"/>
                <w:highlight w:val="none"/>
                <w:u w:val="none"/>
              </w:rPr>
            </w:pPr>
          </w:p>
        </w:tc>
      </w:tr>
      <w:tr w14:paraId="666A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630" w:type="dxa"/>
            <w:gridSpan w:val="2"/>
            <w:vMerge w:val="restart"/>
            <w:noWrap w:val="0"/>
            <w:vAlign w:val="center"/>
          </w:tcPr>
          <w:p w14:paraId="3BB1157B">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服</w:t>
            </w:r>
          </w:p>
          <w:p w14:paraId="5B40C7A7">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务</w:t>
            </w:r>
          </w:p>
          <w:p w14:paraId="643D6152">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承</w:t>
            </w:r>
          </w:p>
          <w:p w14:paraId="427ED60C">
            <w:pPr>
              <w:pStyle w:val="223"/>
              <w:spacing w:line="400" w:lineRule="exact"/>
              <w:ind w:firstLine="120"/>
              <w:rPr>
                <w:rFonts w:ascii="宋体"/>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诺</w:t>
            </w:r>
          </w:p>
        </w:tc>
        <w:tc>
          <w:tcPr>
            <w:tcW w:w="9345" w:type="dxa"/>
            <w:gridSpan w:val="9"/>
            <w:noWrap w:val="0"/>
            <w:vAlign w:val="center"/>
          </w:tcPr>
          <w:p w14:paraId="0341964D">
            <w:pPr>
              <w:numPr>
                <w:ilvl w:val="0"/>
                <w:numId w:val="6"/>
              </w:num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质量</w:t>
            </w:r>
            <w:r>
              <w:rPr>
                <w:rFonts w:ascii="宋体" w:hAnsi="宋体"/>
                <w:bCs/>
                <w:i w:val="0"/>
                <w:iCs w:val="0"/>
                <w:color w:val="auto"/>
                <w:sz w:val="24"/>
                <w:szCs w:val="24"/>
                <w:highlight w:val="none"/>
                <w:u w:val="none"/>
              </w:rPr>
              <w:t xml:space="preserve"> 2.</w:t>
            </w:r>
            <w:r>
              <w:rPr>
                <w:rFonts w:hint="eastAsia" w:ascii="宋体" w:hAnsi="宋体"/>
                <w:bCs/>
                <w:i w:val="0"/>
                <w:iCs w:val="0"/>
                <w:color w:val="auto"/>
                <w:sz w:val="24"/>
                <w:szCs w:val="24"/>
                <w:highlight w:val="none"/>
                <w:u w:val="none"/>
              </w:rPr>
              <w:t>安装</w:t>
            </w:r>
            <w:r>
              <w:rPr>
                <w:rFonts w:ascii="宋体" w:hAnsi="宋体"/>
                <w:bCs/>
                <w:i w:val="0"/>
                <w:iCs w:val="0"/>
                <w:color w:val="auto"/>
                <w:sz w:val="24"/>
                <w:szCs w:val="24"/>
                <w:highlight w:val="none"/>
                <w:u w:val="none"/>
              </w:rPr>
              <w:t xml:space="preserve"> 3."</w:t>
            </w:r>
            <w:r>
              <w:rPr>
                <w:rFonts w:hint="eastAsia" w:ascii="宋体" w:hAnsi="宋体"/>
                <w:bCs/>
                <w:i w:val="0"/>
                <w:iCs w:val="0"/>
                <w:color w:val="auto"/>
                <w:sz w:val="24"/>
                <w:szCs w:val="24"/>
                <w:highlight w:val="none"/>
                <w:u w:val="none"/>
              </w:rPr>
              <w:t>三包</w:t>
            </w:r>
            <w:r>
              <w:rPr>
                <w:rFonts w:ascii="宋体" w:hAnsi="宋体"/>
                <w:bCs/>
                <w:i w:val="0"/>
                <w:iCs w:val="0"/>
                <w:color w:val="auto"/>
                <w:sz w:val="24"/>
                <w:szCs w:val="24"/>
                <w:highlight w:val="none"/>
                <w:u w:val="none"/>
              </w:rPr>
              <w:t>"(</w:t>
            </w:r>
            <w:r>
              <w:rPr>
                <w:rFonts w:hint="eastAsia" w:ascii="宋体" w:hAnsi="宋体"/>
                <w:bCs/>
                <w:i w:val="0"/>
                <w:iCs w:val="0"/>
                <w:color w:val="auto"/>
                <w:sz w:val="24"/>
                <w:szCs w:val="24"/>
                <w:highlight w:val="none"/>
                <w:u w:val="none"/>
              </w:rPr>
              <w:t>包修、包退、包换</w:t>
            </w:r>
            <w:r>
              <w:rPr>
                <w:rFonts w:ascii="宋体" w:hAnsi="宋体"/>
                <w:bCs/>
                <w:i w:val="0"/>
                <w:iCs w:val="0"/>
                <w:color w:val="auto"/>
                <w:sz w:val="24"/>
                <w:szCs w:val="24"/>
                <w:highlight w:val="none"/>
                <w:u w:val="none"/>
              </w:rPr>
              <w:t>)4</w:t>
            </w:r>
            <w:r>
              <w:rPr>
                <w:rFonts w:ascii="宋体"/>
                <w:bCs/>
                <w:i w:val="0"/>
                <w:iCs w:val="0"/>
                <w:color w:val="auto"/>
                <w:sz w:val="24"/>
                <w:szCs w:val="24"/>
                <w:highlight w:val="none"/>
                <w:u w:val="none"/>
              </w:rPr>
              <w:t>.</w:t>
            </w:r>
            <w:r>
              <w:rPr>
                <w:rFonts w:hint="eastAsia" w:ascii="宋体" w:hAnsi="宋体"/>
                <w:bCs/>
                <w:i w:val="0"/>
                <w:iCs w:val="0"/>
                <w:color w:val="auto"/>
                <w:sz w:val="24"/>
                <w:szCs w:val="24"/>
                <w:highlight w:val="none"/>
                <w:u w:val="none"/>
              </w:rPr>
              <w:t>其他承诺</w:t>
            </w:r>
          </w:p>
          <w:p w14:paraId="1A203A7E">
            <w:p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（以上是主要承诺，供投标人参考，投标人应在满足招标文件要求的基础上，根据自己单位的情况作出具体承诺）</w:t>
            </w:r>
          </w:p>
        </w:tc>
      </w:tr>
      <w:tr w14:paraId="3204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989" w:hRule="atLeast"/>
        </w:trPr>
        <w:tc>
          <w:tcPr>
            <w:tcW w:w="630" w:type="dxa"/>
            <w:gridSpan w:val="2"/>
            <w:vMerge w:val="continue"/>
            <w:noWrap w:val="0"/>
            <w:vAlign w:val="center"/>
          </w:tcPr>
          <w:p w14:paraId="5E0FE0CD">
            <w:pPr>
              <w:pStyle w:val="223"/>
              <w:spacing w:line="400" w:lineRule="exact"/>
              <w:rPr>
                <w:rFonts w:ascii="宋体"/>
                <w:bCs/>
                <w:i w:val="0"/>
                <w:iCs w:val="0"/>
                <w:color w:val="auto"/>
                <w:sz w:val="24"/>
                <w:szCs w:val="24"/>
                <w:highlight w:val="none"/>
                <w:u w:val="none"/>
                <w:lang w:val="en-US" w:eastAsia="zh-CN"/>
              </w:rPr>
            </w:pPr>
          </w:p>
        </w:tc>
        <w:tc>
          <w:tcPr>
            <w:tcW w:w="9345" w:type="dxa"/>
            <w:gridSpan w:val="9"/>
            <w:noWrap w:val="0"/>
            <w:vAlign w:val="center"/>
          </w:tcPr>
          <w:p w14:paraId="643843CF">
            <w:pPr>
              <w:rPr>
                <w:rFonts w:ascii="宋体"/>
                <w:bCs/>
                <w:i w:val="0"/>
                <w:iCs w:val="0"/>
                <w:color w:val="auto"/>
                <w:sz w:val="24"/>
                <w:szCs w:val="24"/>
                <w:highlight w:val="none"/>
                <w:u w:val="none"/>
              </w:rPr>
            </w:pPr>
          </w:p>
        </w:tc>
      </w:tr>
      <w:tr w14:paraId="7C89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88" w:hRule="atLeast"/>
        </w:trPr>
        <w:tc>
          <w:tcPr>
            <w:tcW w:w="9975" w:type="dxa"/>
            <w:gridSpan w:val="11"/>
            <w:noWrap w:val="0"/>
            <w:vAlign w:val="center"/>
          </w:tcPr>
          <w:p w14:paraId="0F5FF9BD">
            <w:pPr>
              <w:spacing w:line="400" w:lineRule="exact"/>
              <w:outlineLvl w:val="0"/>
              <w:rPr>
                <w:rFonts w:ascii="宋体"/>
                <w:bCs/>
                <w:i w:val="0"/>
                <w:iCs w:val="0"/>
                <w:color w:val="auto"/>
                <w:sz w:val="24"/>
                <w:szCs w:val="24"/>
                <w:highlight w:val="none"/>
                <w:u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bl>
    <w:p w14:paraId="0C9D9AC7">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法定代表人或法定代表人授权代表签字或盖章：</w:t>
      </w:r>
    </w:p>
    <w:p w14:paraId="4A8A0E8D">
      <w:pPr>
        <w:spacing w:line="360" w:lineRule="exact"/>
        <w:outlineLvl w:val="0"/>
        <w:rPr>
          <w:rFonts w:ascii="宋体"/>
          <w:bCs/>
          <w:i w:val="0"/>
          <w:iCs w:val="0"/>
          <w:color w:val="auto"/>
          <w:szCs w:val="21"/>
          <w:highlight w:val="none"/>
          <w:u w:val="none"/>
        </w:rPr>
      </w:pPr>
      <w:r>
        <w:rPr>
          <w:rFonts w:hint="eastAsia" w:ascii="宋体" w:hAnsi="宋体"/>
          <w:b/>
          <w:i w:val="0"/>
          <w:iCs w:val="0"/>
          <w:color w:val="auto"/>
          <w:szCs w:val="21"/>
          <w:highlight w:val="none"/>
          <w:u w:val="none"/>
        </w:rPr>
        <w:t>注：</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1</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在“是否属于小、微型企业（或监狱企业、残疾人福利性单位）产品”栏内填写“是”或“否”。如填写“是”，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提供的货物全部由符合政策要求的中小企业制造</w:t>
      </w:r>
      <w:r>
        <w:rPr>
          <w:rFonts w:hint="eastAsia" w:ascii="宋体" w:hAnsi="宋体" w:cs="宋体"/>
          <w:i w:val="0"/>
          <w:iCs w:val="0"/>
          <w:color w:val="auto"/>
          <w:szCs w:val="21"/>
          <w:highlight w:val="none"/>
          <w:u w:val="none"/>
          <w:lang w:val="zh-CN"/>
        </w:rPr>
        <w:t>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服务全部由符合政策要求的中小企业承接</w:t>
      </w:r>
      <w:r>
        <w:rPr>
          <w:rFonts w:hint="eastAsia" w:ascii="宋体" w:hAnsi="宋体" w:cs="宋体"/>
          <w:i w:val="0"/>
          <w:iCs w:val="0"/>
          <w:color w:val="auto"/>
          <w:szCs w:val="21"/>
          <w:highlight w:val="none"/>
          <w:u w:val="none"/>
          <w:lang w:val="zh-CN"/>
        </w:rPr>
        <w:t>的，须提供按格式填写的《中小企业声明函》（服务）</w:t>
      </w:r>
      <w:r>
        <w:rPr>
          <w:rFonts w:ascii="宋体" w:hAnsi="宋体"/>
          <w:bCs/>
          <w:i w:val="0"/>
          <w:iCs w:val="0"/>
          <w:color w:val="auto"/>
          <w:szCs w:val="21"/>
          <w:highlight w:val="none"/>
          <w:u w:val="none"/>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14:paraId="01A5C169">
      <w:pPr>
        <w:spacing w:line="360" w:lineRule="exact"/>
        <w:ind w:firstLine="315"/>
        <w:outlineLvl w:val="0"/>
        <w:rPr>
          <w:rFonts w:hint="eastAsia" w:ascii="宋体" w:hAnsi="宋体" w:eastAsia="宋体"/>
          <w:bCs/>
          <w:i w:val="0"/>
          <w:iCs w:val="0"/>
          <w:color w:val="auto"/>
          <w:szCs w:val="21"/>
          <w:highlight w:val="none"/>
          <w:u w:val="none"/>
          <w:lang w:eastAsia="zh-CN"/>
        </w:rPr>
      </w:pP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2</w:t>
      </w:r>
      <w:r>
        <w:rPr>
          <w:rFonts w:hint="eastAsia" w:ascii="宋体" w:hAnsi="宋体"/>
          <w:bCs/>
          <w:i w:val="0"/>
          <w:iCs w:val="0"/>
          <w:color w:val="auto"/>
          <w:szCs w:val="21"/>
          <w:highlight w:val="none"/>
          <w:u w:val="none"/>
        </w:rPr>
        <w:t>）投标人应当根据“项目技术要求和有关说明”的内容在上表中详细填写</w:t>
      </w:r>
      <w:r>
        <w:rPr>
          <w:rFonts w:hint="eastAsia" w:ascii="宋体" w:hAnsi="宋体"/>
          <w:bCs/>
          <w:i w:val="0"/>
          <w:iCs w:val="0"/>
          <w:color w:val="auto"/>
          <w:szCs w:val="21"/>
          <w:highlight w:val="none"/>
          <w:u w:val="none"/>
          <w:lang w:eastAsia="zh-CN"/>
        </w:rPr>
        <w:t>。</w:t>
      </w:r>
    </w:p>
    <w:p w14:paraId="7CC56196">
      <w:pPr>
        <w:spacing w:line="360" w:lineRule="exact"/>
        <w:ind w:firstLine="315"/>
        <w:outlineLvl w:val="0"/>
        <w:rPr>
          <w:rFonts w:hint="eastAsia" w:ascii="宋体" w:hAnsi="宋体" w:cs="Times New Roman"/>
          <w:bCs/>
          <w:i w:val="0"/>
          <w:iCs w:val="0"/>
          <w:color w:val="auto"/>
          <w:szCs w:val="21"/>
          <w:highlight w:val="none"/>
          <w:u w:val="none"/>
        </w:rPr>
      </w:pP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lang w:val="en-US" w:eastAsia="zh-CN"/>
        </w:rPr>
        <w:t>3</w:t>
      </w: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EE0975">
      <w:pPr>
        <w:spacing w:line="360" w:lineRule="exact"/>
        <w:ind w:firstLine="315"/>
        <w:outlineLvl w:val="0"/>
        <w:rPr>
          <w:rFonts w:ascii="宋体" w:hAnsi="宋体"/>
          <w:bCs/>
          <w:i w:val="0"/>
          <w:iCs w:val="0"/>
          <w:color w:val="auto"/>
          <w:szCs w:val="21"/>
          <w:highlight w:val="none"/>
          <w:u w:val="none"/>
        </w:rPr>
      </w:pPr>
      <w:r>
        <w:rPr>
          <w:rFonts w:hint="eastAsia" w:ascii="宋体" w:hAnsi="宋体" w:cs="Times New Roman"/>
          <w:bCs/>
          <w:i w:val="0"/>
          <w:iCs w:val="0"/>
          <w:color w:val="auto"/>
          <w:szCs w:val="21"/>
          <w:highlight w:val="none"/>
          <w:u w:val="none"/>
        </w:rPr>
        <w:t>（</w:t>
      </w:r>
      <w:r>
        <w:rPr>
          <w:rFonts w:hint="eastAsia" w:ascii="宋体" w:hAnsi="宋体" w:cs="Times New Roman"/>
          <w:bCs/>
          <w:i w:val="0"/>
          <w:iCs w:val="0"/>
          <w:color w:val="auto"/>
          <w:szCs w:val="21"/>
          <w:highlight w:val="none"/>
          <w:u w:val="none"/>
          <w:lang w:val="en-US" w:eastAsia="zh-CN"/>
        </w:rPr>
        <w:t>4</w:t>
      </w:r>
      <w:r>
        <w:rPr>
          <w:rFonts w:hint="eastAsia" w:ascii="宋体" w:hAnsi="宋体" w:cs="Times New Roman"/>
          <w:bCs/>
          <w:i w:val="0"/>
          <w:iCs w:val="0"/>
          <w:color w:val="auto"/>
          <w:szCs w:val="21"/>
          <w:highlight w:val="none"/>
          <w:u w:val="none"/>
        </w:rPr>
        <w:t>）表格</w:t>
      </w:r>
      <w:r>
        <w:rPr>
          <w:rFonts w:hint="eastAsia" w:ascii="宋体" w:hAnsi="宋体"/>
          <w:bCs/>
          <w:i w:val="0"/>
          <w:iCs w:val="0"/>
          <w:color w:val="auto"/>
          <w:szCs w:val="21"/>
          <w:highlight w:val="none"/>
          <w:u w:val="none"/>
        </w:rPr>
        <w:t>不够可自行延长。</w:t>
      </w:r>
    </w:p>
    <w:p w14:paraId="698A087F">
      <w:pPr>
        <w:tabs>
          <w:tab w:val="left" w:pos="701"/>
        </w:tabs>
        <w:jc w:val="left"/>
        <w:rPr>
          <w:rFonts w:hint="eastAsia"/>
          <w:i w:val="0"/>
          <w:iCs w:val="0"/>
          <w:color w:val="auto"/>
          <w:sz w:val="21"/>
          <w:highlight w:val="none"/>
          <w:lang w:val="en-US" w:eastAsia="zh-CN" w:bidi="ar-SA"/>
        </w:rPr>
      </w:pPr>
    </w:p>
    <w:p w14:paraId="79D37DE8">
      <w:pPr>
        <w:tabs>
          <w:tab w:val="left" w:pos="701"/>
        </w:tabs>
        <w:jc w:val="left"/>
        <w:rPr>
          <w:rFonts w:hint="eastAsia"/>
          <w:i w:val="0"/>
          <w:iCs w:val="0"/>
          <w:color w:val="auto"/>
          <w:sz w:val="21"/>
          <w:highlight w:val="none"/>
          <w:lang w:val="en-US" w:eastAsia="zh-CN" w:bidi="ar-SA"/>
        </w:rPr>
      </w:pPr>
    </w:p>
    <w:p w14:paraId="26AD6E4A">
      <w:pPr>
        <w:spacing w:line="360" w:lineRule="auto"/>
        <w:rPr>
          <w:rFonts w:hint="eastAsia"/>
          <w:b/>
          <w:i w:val="0"/>
          <w:iCs w:val="0"/>
          <w:color w:val="auto"/>
          <w:sz w:val="30"/>
          <w:szCs w:val="30"/>
          <w:highlight w:val="none"/>
        </w:rPr>
      </w:pPr>
      <w:r>
        <w:rPr>
          <w:rFonts w:hint="eastAsia"/>
          <w:b/>
          <w:i w:val="0"/>
          <w:iCs w:val="0"/>
          <w:color w:val="auto"/>
          <w:sz w:val="30"/>
          <w:szCs w:val="30"/>
          <w:highlight w:val="none"/>
        </w:rPr>
        <w:t>十</w:t>
      </w:r>
      <w:r>
        <w:rPr>
          <w:rFonts w:hint="eastAsia"/>
          <w:b/>
          <w:i w:val="0"/>
          <w:iCs w:val="0"/>
          <w:color w:val="auto"/>
          <w:sz w:val="30"/>
          <w:szCs w:val="30"/>
          <w:highlight w:val="none"/>
          <w:lang w:eastAsia="zh-CN"/>
        </w:rPr>
        <w:t>一</w:t>
      </w:r>
      <w:r>
        <w:rPr>
          <w:b/>
          <w:i w:val="0"/>
          <w:iCs w:val="0"/>
          <w:color w:val="auto"/>
          <w:sz w:val="30"/>
          <w:szCs w:val="30"/>
          <w:highlight w:val="none"/>
        </w:rPr>
        <w:t>、</w:t>
      </w:r>
      <w:r>
        <w:rPr>
          <w:rFonts w:hint="eastAsia"/>
          <w:b/>
          <w:i w:val="0"/>
          <w:iCs w:val="0"/>
          <w:color w:val="auto"/>
          <w:sz w:val="30"/>
          <w:szCs w:val="30"/>
          <w:highlight w:val="none"/>
        </w:rPr>
        <w:t>投标偏离表（给定格式）：</w:t>
      </w:r>
    </w:p>
    <w:p w14:paraId="6DCDA1A0">
      <w:pPr>
        <w:ind w:firstLine="490"/>
        <w:jc w:val="center"/>
        <w:outlineLvl w:val="0"/>
        <w:rPr>
          <w:rFonts w:ascii="黑体" w:eastAsia="黑体"/>
          <w:bCs/>
          <w:i w:val="0"/>
          <w:iCs w:val="0"/>
          <w:color w:val="auto"/>
          <w:sz w:val="28"/>
          <w:szCs w:val="28"/>
          <w:highlight w:val="none"/>
        </w:rPr>
      </w:pPr>
    </w:p>
    <w:p w14:paraId="4DBF3337">
      <w:pPr>
        <w:ind w:firstLine="490"/>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投标偏离表</w:t>
      </w:r>
    </w:p>
    <w:p w14:paraId="130F77F5">
      <w:pPr>
        <w:spacing w:line="400" w:lineRule="exact"/>
        <w:jc w:val="center"/>
        <w:outlineLvl w:val="0"/>
        <w:rPr>
          <w:rFonts w:ascii="黑体" w:eastAsia="黑体"/>
          <w:bCs/>
          <w:i w:val="0"/>
          <w:iCs w:val="0"/>
          <w:color w:val="auto"/>
          <w:sz w:val="28"/>
          <w:szCs w:val="28"/>
          <w:highlight w:val="none"/>
        </w:rPr>
      </w:pPr>
    </w:p>
    <w:p w14:paraId="056161AA">
      <w:pPr>
        <w:spacing w:line="400" w:lineRule="exact"/>
        <w:jc w:val="center"/>
        <w:outlineLvl w:val="0"/>
        <w:rPr>
          <w:rFonts w:ascii="黑体" w:eastAsia="黑体"/>
          <w:bCs/>
          <w:i w:val="0"/>
          <w:iCs w:val="0"/>
          <w:color w:val="auto"/>
          <w:sz w:val="28"/>
          <w:szCs w:val="28"/>
          <w:highlight w:val="none"/>
        </w:rPr>
      </w:pPr>
    </w:p>
    <w:p w14:paraId="250401EC">
      <w:pPr>
        <w:spacing w:line="400" w:lineRule="exact"/>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JSZC-320206-JZCG-G2026-0056</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11CECF6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EA3C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39913B8">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48E1A3">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18B009">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偏离说明</w:t>
            </w:r>
          </w:p>
        </w:tc>
      </w:tr>
      <w:tr w14:paraId="6666347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437794">
            <w:pPr>
              <w:jc w:val="cente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E603EB">
            <w:pP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311C44">
            <w:pPr>
              <w:jc w:val="center"/>
              <w:rPr>
                <w:rFonts w:ascii="宋体"/>
                <w:bCs/>
                <w:i w:val="0"/>
                <w:iCs w:val="0"/>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17FB45">
            <w:pPr>
              <w:jc w:val="center"/>
              <w:rPr>
                <w:rFonts w:ascii="宋体"/>
                <w:bCs/>
                <w:i w:val="0"/>
                <w:iCs w:val="0"/>
                <w:color w:val="auto"/>
                <w:highlight w:val="none"/>
              </w:rPr>
            </w:pPr>
          </w:p>
        </w:tc>
      </w:tr>
    </w:tbl>
    <w:p w14:paraId="5BFEF24F">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52B97D6D">
      <w:pPr>
        <w:rPr>
          <w:rFonts w:ascii="宋体"/>
          <w:bCs/>
          <w:i w:val="0"/>
          <w:iCs w:val="0"/>
          <w:color w:val="auto"/>
          <w:sz w:val="30"/>
          <w:highlight w:val="none"/>
        </w:rPr>
      </w:pPr>
    </w:p>
    <w:p w14:paraId="0E186989">
      <w:pPr>
        <w:ind w:firstLine="420"/>
        <w:outlineLvl w:val="0"/>
        <w:rPr>
          <w:rFonts w:hint="eastAsia" w:ascii="宋体" w:hAnsi="宋体"/>
          <w:bCs/>
          <w:i w:val="0"/>
          <w:iCs w:val="0"/>
          <w:color w:val="auto"/>
          <w:sz w:val="24"/>
          <w:szCs w:val="24"/>
          <w:highlight w:val="none"/>
        </w:rPr>
      </w:pPr>
    </w:p>
    <w:p w14:paraId="734E1395">
      <w:pPr>
        <w:ind w:firstLine="420"/>
        <w:outlineLvl w:val="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注：（</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）本表不得删除；</w:t>
      </w:r>
    </w:p>
    <w:p w14:paraId="29AC1156">
      <w:pPr>
        <w:ind w:firstLine="420"/>
        <w:outlineLvl w:val="0"/>
        <w:rPr>
          <w:rFonts w:ascii="宋体" w:hAnsi="宋体"/>
          <w:bCs/>
          <w:i w:val="0"/>
          <w:iCs w:val="0"/>
          <w:color w:val="auto"/>
          <w:sz w:val="24"/>
          <w:szCs w:val="24"/>
          <w:highlight w:val="none"/>
        </w:rPr>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2</w:t>
      </w:r>
      <w:r>
        <w:rPr>
          <w:rFonts w:hint="eastAsia" w:ascii="宋体" w:hAnsi="宋体"/>
          <w:bCs/>
          <w:i w:val="0"/>
          <w:iCs w:val="0"/>
          <w:color w:val="auto"/>
          <w:sz w:val="24"/>
          <w:szCs w:val="24"/>
          <w:highlight w:val="none"/>
        </w:rPr>
        <w:t>）如无任何服务偏离，请于本表 “偏离说明”中注明“无偏离”；</w:t>
      </w:r>
    </w:p>
    <w:p w14:paraId="5BA63CD9">
      <w:pPr>
        <w:ind w:firstLine="420"/>
        <w:outlineLvl w:val="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   （3）如有服务偏离项，请于本表中列明偏离内容，如需要可自行延长，其余无偏离内容不须赘述。</w:t>
      </w:r>
    </w:p>
    <w:sectPr>
      <w:headerReference r:id="rId3" w:type="default"/>
      <w:footerReference r:id="rId4" w:type="default"/>
      <w:footerReference r:id="rId5" w:type="even"/>
      <w:pgSz w:w="11906" w:h="16838"/>
      <w:pgMar w:top="567" w:right="851" w:bottom="567" w:left="1134"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Univer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5467">
    <w:pPr>
      <w:pStyle w:val="214"/>
      <w:jc w:val="center"/>
    </w:pPr>
    <w:r>
      <w:fldChar w:fldCharType="begin"/>
    </w:r>
    <w:r>
      <w:instrText xml:space="preserve">PAGE   \* MERGEFORMAT</w:instrText>
    </w:r>
    <w:r>
      <w:fldChar w:fldCharType="separate"/>
    </w:r>
    <w:r>
      <w:rPr>
        <w:lang w:val="zh-CN"/>
      </w:rPr>
      <w:t>33</w:t>
    </w:r>
    <w:r>
      <w:fldChar w:fldCharType="end"/>
    </w:r>
  </w:p>
  <w:p w14:paraId="4D3B124B">
    <w:pPr>
      <w:pStyle w:val="214"/>
      <w:jc w:val="center"/>
    </w:pPr>
  </w:p>
  <w:p w14:paraId="2B9CD0F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50C0">
    <w:pPr>
      <w:pStyle w:val="214"/>
      <w:framePr w:wrap="around" w:vAnchor="text" w:hAnchor="margin" w:xAlign="center" w:y="1"/>
      <w:rPr>
        <w:rStyle w:val="234"/>
      </w:rPr>
    </w:pPr>
    <w:r>
      <w:fldChar w:fldCharType="begin"/>
    </w:r>
    <w:r>
      <w:rPr>
        <w:rStyle w:val="234"/>
      </w:rPr>
      <w:instrText xml:space="preserve">PAGE  </w:instrText>
    </w:r>
    <w:r>
      <w:fldChar w:fldCharType="separate"/>
    </w:r>
    <w:r>
      <w:rPr>
        <w:rStyle w:val="234"/>
      </w:rPr>
      <w:t>1</w:t>
    </w:r>
    <w:r>
      <w:fldChar w:fldCharType="end"/>
    </w:r>
  </w:p>
  <w:p w14:paraId="785A3C7B">
    <w:pPr>
      <w:pStyle w:val="214"/>
      <w:ind w:right="360"/>
    </w:pPr>
  </w:p>
  <w:p w14:paraId="26B0B9D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FEADA">
    <w:pPr>
      <w:pStyle w:val="216"/>
      <w:jc w:val="left"/>
    </w:pPr>
    <w:r>
      <w:rPr>
        <w:rFonts w:hint="eastAsia" w:ascii="方正小标宋_GBK" w:hAnsi="华文中宋" w:eastAsia="方正小标宋_GBK"/>
        <w:bCs/>
        <w:szCs w:val="21"/>
        <w:lang w:eastAsia="zh-CN"/>
      </w:rPr>
      <w:t>JSZC-320206-JZCG-G2026-0056</w:t>
    </w:r>
    <w:r>
      <w:rPr>
        <w:rFonts w:hint="eastAsia" w:ascii="方正小标宋_GBK" w:hAnsi="华文中宋" w:eastAsia="方正小标宋_GBK" w:cs="Times New Roman"/>
        <w:bCs/>
        <w:szCs w:val="21"/>
        <w:lang w:eastAsia="zh-CN"/>
      </w:rPr>
      <w:t>网络设备更新和重要网络安全设施建设项目</w:t>
    </w:r>
    <w:r>
      <w:rPr>
        <w:rFonts w:hint="eastAsia" w:ascii="方正小标宋_GBK" w:hAnsi="华文中宋" w:eastAsia="方正小标宋_GBK" w:cs="Times New Roman"/>
        <w:bCs/>
        <w:szCs w:val="21"/>
        <w:lang w:val="en-US" w:eastAsia="zh-CN"/>
      </w:rPr>
      <w:t xml:space="preserve">             </w:t>
    </w:r>
    <w:r>
      <w:rPr>
        <w:rFonts w:hint="eastAsia" w:eastAsia="方正小标宋_GBK"/>
        <w:lang w:val="en-US" w:eastAsia="zh-CN"/>
      </w:rPr>
      <w:t xml:space="preserve"> </w:t>
    </w:r>
    <w:r>
      <w:rPr>
        <w:rFonts w:hint="eastAsia" w:ascii="方正小标宋_GBK" w:hAnsi="华文中宋" w:eastAsia="方正小标宋_GBK"/>
        <w:bCs/>
        <w:szCs w:val="21"/>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ind w:left="840" w:hanging="360"/>
      </w:pPr>
      <w:rPr>
        <w:color w:val="000000"/>
      </w:rPr>
    </w:lvl>
    <w:lvl w:ilvl="1" w:tentative="0">
      <w:start w:val="1"/>
      <w:numFmt w:val="lowerLetter"/>
      <w:pStyle w:val="355"/>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A241D34"/>
    <w:multiLevelType w:val="multilevel"/>
    <w:tmpl w:val="5A241D34"/>
    <w:lvl w:ilvl="0" w:tentative="0">
      <w:start w:val="1"/>
      <w:numFmt w:val="decimal"/>
      <w:lvlText w:val="%1."/>
      <w:lvlJc w:val="left"/>
      <w:pPr>
        <w:tabs>
          <w:tab w:val="left" w:pos="210"/>
        </w:tabs>
        <w:ind w:left="210" w:hanging="210"/>
      </w:pPr>
      <w:rPr>
        <w:rFonts w:ascii="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tentative="1">
        <w:start w:val="1"/>
        <w:numFmt w:val="decimal"/>
        <w:pStyle w:val="321"/>
        <w:lvlText w:val="第%1章"/>
        <w:lvlJc w:val="left"/>
        <w:pPr>
          <w:ind w:left="465" w:hanging="465"/>
        </w:pPr>
      </w:lvl>
    </w:lvlOverride>
    <w:lvlOverride w:ilvl="1">
      <w:lvl w:ilvl="1" w:tentative="1">
        <w:start w:val="1"/>
        <w:numFmt w:val="decimal"/>
        <w:pStyle w:val="283"/>
        <w:lvlText w:val="%1.%2"/>
        <w:lvlJc w:val="left"/>
        <w:pPr>
          <w:ind w:left="465" w:hanging="465"/>
        </w:pPr>
      </w:lvl>
    </w:lvlOverride>
    <w:lvlOverride w:ilvl="2">
      <w:lvl w:ilvl="2" w:tentative="1">
        <w:start w:val="1"/>
        <w:numFmt w:val="decimal"/>
        <w:pStyle w:val="322"/>
        <w:lvlText w:val="%1.%2.%3"/>
        <w:lvlJc w:val="left"/>
        <w:pPr>
          <w:ind w:left="720" w:hanging="720"/>
        </w:pPr>
      </w:lvl>
    </w:lvlOverride>
    <w:lvlOverride w:ilvl="3">
      <w:lvl w:ilvl="3" w:tentative="1">
        <w:start w:val="1"/>
        <w:numFmt w:val="decimal"/>
        <w:pStyle w:val="285"/>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1942"/>
    <w:rsid w:val="00496DA9"/>
    <w:rsid w:val="004A3368"/>
    <w:rsid w:val="00535E7A"/>
    <w:rsid w:val="008D484F"/>
    <w:rsid w:val="00E46AD2"/>
    <w:rsid w:val="00E61F93"/>
    <w:rsid w:val="01017684"/>
    <w:rsid w:val="01115B19"/>
    <w:rsid w:val="014D4677"/>
    <w:rsid w:val="016C71F3"/>
    <w:rsid w:val="016F283F"/>
    <w:rsid w:val="01AB7E6D"/>
    <w:rsid w:val="01DD71EC"/>
    <w:rsid w:val="01F40D1D"/>
    <w:rsid w:val="021B576C"/>
    <w:rsid w:val="024E1CE8"/>
    <w:rsid w:val="0252098B"/>
    <w:rsid w:val="025D7143"/>
    <w:rsid w:val="02875474"/>
    <w:rsid w:val="02897931"/>
    <w:rsid w:val="029403CC"/>
    <w:rsid w:val="02C80459"/>
    <w:rsid w:val="037D5D5F"/>
    <w:rsid w:val="03DD6186"/>
    <w:rsid w:val="043F347F"/>
    <w:rsid w:val="04836CFC"/>
    <w:rsid w:val="049C1B9D"/>
    <w:rsid w:val="04D27A5A"/>
    <w:rsid w:val="04D37589"/>
    <w:rsid w:val="0508013B"/>
    <w:rsid w:val="05154177"/>
    <w:rsid w:val="05544226"/>
    <w:rsid w:val="05552983"/>
    <w:rsid w:val="05572184"/>
    <w:rsid w:val="055B49B5"/>
    <w:rsid w:val="05D53C72"/>
    <w:rsid w:val="05DD246D"/>
    <w:rsid w:val="05F35877"/>
    <w:rsid w:val="061D1A01"/>
    <w:rsid w:val="064F49ED"/>
    <w:rsid w:val="065E7482"/>
    <w:rsid w:val="06900B3E"/>
    <w:rsid w:val="06CB3E2B"/>
    <w:rsid w:val="071E2D3E"/>
    <w:rsid w:val="0752156E"/>
    <w:rsid w:val="079E77B6"/>
    <w:rsid w:val="07DE071F"/>
    <w:rsid w:val="07E95AC0"/>
    <w:rsid w:val="083245C7"/>
    <w:rsid w:val="08E458C1"/>
    <w:rsid w:val="09434CDD"/>
    <w:rsid w:val="09554A11"/>
    <w:rsid w:val="097C1F9D"/>
    <w:rsid w:val="0985741A"/>
    <w:rsid w:val="09AB4631"/>
    <w:rsid w:val="09D364EF"/>
    <w:rsid w:val="0A03310D"/>
    <w:rsid w:val="0A8868ED"/>
    <w:rsid w:val="0ABF2726"/>
    <w:rsid w:val="0AEB73DB"/>
    <w:rsid w:val="0B293A5F"/>
    <w:rsid w:val="0B3D575C"/>
    <w:rsid w:val="0B4E71F6"/>
    <w:rsid w:val="0B662015"/>
    <w:rsid w:val="0B721CF9"/>
    <w:rsid w:val="0B7C44D7"/>
    <w:rsid w:val="0BBC0D77"/>
    <w:rsid w:val="0BC47C2C"/>
    <w:rsid w:val="0BDE31B1"/>
    <w:rsid w:val="0BE37E56"/>
    <w:rsid w:val="0C1E558E"/>
    <w:rsid w:val="0C7041F5"/>
    <w:rsid w:val="0C7D22B4"/>
    <w:rsid w:val="0C9615C8"/>
    <w:rsid w:val="0CD30126"/>
    <w:rsid w:val="0CEA36C2"/>
    <w:rsid w:val="0D004C93"/>
    <w:rsid w:val="0D0B5F08"/>
    <w:rsid w:val="0D2546FA"/>
    <w:rsid w:val="0D4509B9"/>
    <w:rsid w:val="0D9755F8"/>
    <w:rsid w:val="0DEC0AFE"/>
    <w:rsid w:val="0DEE3D1F"/>
    <w:rsid w:val="0E010CC3"/>
    <w:rsid w:val="0E572FD9"/>
    <w:rsid w:val="0E664FCA"/>
    <w:rsid w:val="0E707BF7"/>
    <w:rsid w:val="0E821359"/>
    <w:rsid w:val="0EB67D00"/>
    <w:rsid w:val="0EED229A"/>
    <w:rsid w:val="0F207E9C"/>
    <w:rsid w:val="0F3B6457"/>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7046E9"/>
    <w:rsid w:val="117A5014"/>
    <w:rsid w:val="118926BF"/>
    <w:rsid w:val="122D6FB1"/>
    <w:rsid w:val="123258EF"/>
    <w:rsid w:val="126A3816"/>
    <w:rsid w:val="13166FBF"/>
    <w:rsid w:val="1362330B"/>
    <w:rsid w:val="138A5C4E"/>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512D5D"/>
    <w:rsid w:val="168C3D3A"/>
    <w:rsid w:val="16B26FFE"/>
    <w:rsid w:val="16D76A65"/>
    <w:rsid w:val="16E318AE"/>
    <w:rsid w:val="172577D0"/>
    <w:rsid w:val="173B3498"/>
    <w:rsid w:val="1763479D"/>
    <w:rsid w:val="17840AC6"/>
    <w:rsid w:val="17BB1EE3"/>
    <w:rsid w:val="17F11DA8"/>
    <w:rsid w:val="17F959B3"/>
    <w:rsid w:val="18245CDA"/>
    <w:rsid w:val="18673E19"/>
    <w:rsid w:val="18A92683"/>
    <w:rsid w:val="18B03138"/>
    <w:rsid w:val="190B50EC"/>
    <w:rsid w:val="190B692E"/>
    <w:rsid w:val="193058E6"/>
    <w:rsid w:val="19502AFF"/>
    <w:rsid w:val="1A5959E3"/>
    <w:rsid w:val="1A96036F"/>
    <w:rsid w:val="1ABC669E"/>
    <w:rsid w:val="1B040045"/>
    <w:rsid w:val="1B065B6B"/>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CB11B06"/>
    <w:rsid w:val="1D175E0D"/>
    <w:rsid w:val="1D5726AE"/>
    <w:rsid w:val="1D7154E5"/>
    <w:rsid w:val="1D8A2A83"/>
    <w:rsid w:val="1DE101C9"/>
    <w:rsid w:val="1E2106D1"/>
    <w:rsid w:val="1E6F1C79"/>
    <w:rsid w:val="1E8C6387"/>
    <w:rsid w:val="1ED3043E"/>
    <w:rsid w:val="1F1D16D5"/>
    <w:rsid w:val="1F31662D"/>
    <w:rsid w:val="1F75506D"/>
    <w:rsid w:val="1F837486"/>
    <w:rsid w:val="1F86409F"/>
    <w:rsid w:val="1F8D0609"/>
    <w:rsid w:val="1FA20D6F"/>
    <w:rsid w:val="1FC648F1"/>
    <w:rsid w:val="202D5948"/>
    <w:rsid w:val="202F16C0"/>
    <w:rsid w:val="2082367E"/>
    <w:rsid w:val="2100305C"/>
    <w:rsid w:val="211441B8"/>
    <w:rsid w:val="21333432"/>
    <w:rsid w:val="216C57F6"/>
    <w:rsid w:val="217A4BBD"/>
    <w:rsid w:val="219A4027"/>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CF521F"/>
    <w:rsid w:val="24EE0220"/>
    <w:rsid w:val="251946ED"/>
    <w:rsid w:val="253357AE"/>
    <w:rsid w:val="253908EB"/>
    <w:rsid w:val="253D487F"/>
    <w:rsid w:val="253F23A5"/>
    <w:rsid w:val="259B4D17"/>
    <w:rsid w:val="25D312AA"/>
    <w:rsid w:val="26154EB4"/>
    <w:rsid w:val="265A329C"/>
    <w:rsid w:val="26661BB3"/>
    <w:rsid w:val="2668592C"/>
    <w:rsid w:val="267B71CE"/>
    <w:rsid w:val="2683355D"/>
    <w:rsid w:val="268362C1"/>
    <w:rsid w:val="26E92866"/>
    <w:rsid w:val="26F70A5D"/>
    <w:rsid w:val="270A253F"/>
    <w:rsid w:val="27233601"/>
    <w:rsid w:val="278D78E5"/>
    <w:rsid w:val="27930786"/>
    <w:rsid w:val="27A504B9"/>
    <w:rsid w:val="27C070A1"/>
    <w:rsid w:val="27C60B5C"/>
    <w:rsid w:val="27DA4607"/>
    <w:rsid w:val="27E2742C"/>
    <w:rsid w:val="2815563F"/>
    <w:rsid w:val="282F380E"/>
    <w:rsid w:val="28341F69"/>
    <w:rsid w:val="285B1F7A"/>
    <w:rsid w:val="289B3D96"/>
    <w:rsid w:val="28C055AB"/>
    <w:rsid w:val="28CA0B7C"/>
    <w:rsid w:val="29387837"/>
    <w:rsid w:val="293B10D5"/>
    <w:rsid w:val="294E0E09"/>
    <w:rsid w:val="29567CBD"/>
    <w:rsid w:val="29A21154"/>
    <w:rsid w:val="2A0616E3"/>
    <w:rsid w:val="2A1C442B"/>
    <w:rsid w:val="2A3A138D"/>
    <w:rsid w:val="2A41786C"/>
    <w:rsid w:val="2AAD6003"/>
    <w:rsid w:val="2AB949A8"/>
    <w:rsid w:val="2B033E75"/>
    <w:rsid w:val="2B1B7EB7"/>
    <w:rsid w:val="2B402F95"/>
    <w:rsid w:val="2B4A5600"/>
    <w:rsid w:val="2B4C5D60"/>
    <w:rsid w:val="2BCC24B9"/>
    <w:rsid w:val="2C1D0F66"/>
    <w:rsid w:val="2C46452F"/>
    <w:rsid w:val="2C482B06"/>
    <w:rsid w:val="2C5801F0"/>
    <w:rsid w:val="2C8B0B3A"/>
    <w:rsid w:val="2CB76CC5"/>
    <w:rsid w:val="2D410C84"/>
    <w:rsid w:val="2D8549C8"/>
    <w:rsid w:val="2D8D5C78"/>
    <w:rsid w:val="2DA90D03"/>
    <w:rsid w:val="2DC53663"/>
    <w:rsid w:val="2DFB7085"/>
    <w:rsid w:val="2E897AE8"/>
    <w:rsid w:val="2EB97CA5"/>
    <w:rsid w:val="2EBA484A"/>
    <w:rsid w:val="2ED71392"/>
    <w:rsid w:val="2EFA558F"/>
    <w:rsid w:val="2F106B60"/>
    <w:rsid w:val="2F452CAE"/>
    <w:rsid w:val="2F6F3887"/>
    <w:rsid w:val="2F736F4A"/>
    <w:rsid w:val="2FB27C17"/>
    <w:rsid w:val="2FC11C09"/>
    <w:rsid w:val="2FC70413"/>
    <w:rsid w:val="2FFE4C0B"/>
    <w:rsid w:val="3071362F"/>
    <w:rsid w:val="30764BE7"/>
    <w:rsid w:val="31201969"/>
    <w:rsid w:val="31230DCD"/>
    <w:rsid w:val="313A6116"/>
    <w:rsid w:val="3163566D"/>
    <w:rsid w:val="316433D0"/>
    <w:rsid w:val="318E2C8A"/>
    <w:rsid w:val="32831138"/>
    <w:rsid w:val="328C234A"/>
    <w:rsid w:val="32C428D3"/>
    <w:rsid w:val="32E13866"/>
    <w:rsid w:val="32F9006B"/>
    <w:rsid w:val="330E1609"/>
    <w:rsid w:val="331B0770"/>
    <w:rsid w:val="33310B16"/>
    <w:rsid w:val="33353039"/>
    <w:rsid w:val="333C7F24"/>
    <w:rsid w:val="335F5F3F"/>
    <w:rsid w:val="338040E8"/>
    <w:rsid w:val="339935C8"/>
    <w:rsid w:val="33C6541B"/>
    <w:rsid w:val="33DB773D"/>
    <w:rsid w:val="33E16D1D"/>
    <w:rsid w:val="33FE342B"/>
    <w:rsid w:val="3409654F"/>
    <w:rsid w:val="34177D24"/>
    <w:rsid w:val="34584E85"/>
    <w:rsid w:val="35466E38"/>
    <w:rsid w:val="355D6D9F"/>
    <w:rsid w:val="35B91D00"/>
    <w:rsid w:val="35E2382D"/>
    <w:rsid w:val="35F03248"/>
    <w:rsid w:val="36360D76"/>
    <w:rsid w:val="36453593"/>
    <w:rsid w:val="364A0BAA"/>
    <w:rsid w:val="36783969"/>
    <w:rsid w:val="368A369C"/>
    <w:rsid w:val="36975753"/>
    <w:rsid w:val="36B41CD5"/>
    <w:rsid w:val="37217B5C"/>
    <w:rsid w:val="37287910"/>
    <w:rsid w:val="375A7BFF"/>
    <w:rsid w:val="378B6E72"/>
    <w:rsid w:val="37A45EE1"/>
    <w:rsid w:val="37F9067C"/>
    <w:rsid w:val="38111E79"/>
    <w:rsid w:val="382D0783"/>
    <w:rsid w:val="388D1833"/>
    <w:rsid w:val="38A10829"/>
    <w:rsid w:val="38F372D7"/>
    <w:rsid w:val="391159AF"/>
    <w:rsid w:val="3925145A"/>
    <w:rsid w:val="398919E9"/>
    <w:rsid w:val="399975EE"/>
    <w:rsid w:val="39A86313"/>
    <w:rsid w:val="3A211C22"/>
    <w:rsid w:val="3A80103E"/>
    <w:rsid w:val="3A86417A"/>
    <w:rsid w:val="3AAB3F75"/>
    <w:rsid w:val="3AB42A96"/>
    <w:rsid w:val="3AD722D6"/>
    <w:rsid w:val="3AE80991"/>
    <w:rsid w:val="3B0532F1"/>
    <w:rsid w:val="3B1B6E04"/>
    <w:rsid w:val="3B295232"/>
    <w:rsid w:val="3B3E6803"/>
    <w:rsid w:val="3B6C15C2"/>
    <w:rsid w:val="3B862684"/>
    <w:rsid w:val="3BAA5C47"/>
    <w:rsid w:val="3BAB1079"/>
    <w:rsid w:val="3BD76CB6"/>
    <w:rsid w:val="3BE0777E"/>
    <w:rsid w:val="3C2679C3"/>
    <w:rsid w:val="3C3975B5"/>
    <w:rsid w:val="3CB21257"/>
    <w:rsid w:val="3CFC0724"/>
    <w:rsid w:val="3D13665C"/>
    <w:rsid w:val="3D250CA1"/>
    <w:rsid w:val="3D6907A7"/>
    <w:rsid w:val="3D785FFC"/>
    <w:rsid w:val="3DC53153"/>
    <w:rsid w:val="3E612F34"/>
    <w:rsid w:val="3E693B97"/>
    <w:rsid w:val="3EAD2DD1"/>
    <w:rsid w:val="3EB10138"/>
    <w:rsid w:val="3EC040FF"/>
    <w:rsid w:val="3F2301EA"/>
    <w:rsid w:val="3F3C4ABD"/>
    <w:rsid w:val="3F52287D"/>
    <w:rsid w:val="3F6E3B5B"/>
    <w:rsid w:val="3F7647BE"/>
    <w:rsid w:val="3F854A01"/>
    <w:rsid w:val="3FAF7CCF"/>
    <w:rsid w:val="40104C12"/>
    <w:rsid w:val="406D5BC1"/>
    <w:rsid w:val="409018AF"/>
    <w:rsid w:val="40C00DC8"/>
    <w:rsid w:val="40E56516"/>
    <w:rsid w:val="40E56788"/>
    <w:rsid w:val="41363E99"/>
    <w:rsid w:val="413C4872"/>
    <w:rsid w:val="418E5503"/>
    <w:rsid w:val="41A03D74"/>
    <w:rsid w:val="41AA69A0"/>
    <w:rsid w:val="41AF6737"/>
    <w:rsid w:val="41BC5837"/>
    <w:rsid w:val="42935686"/>
    <w:rsid w:val="42B50A7D"/>
    <w:rsid w:val="43087E22"/>
    <w:rsid w:val="433B01F8"/>
    <w:rsid w:val="43455072"/>
    <w:rsid w:val="435629F7"/>
    <w:rsid w:val="43930B00"/>
    <w:rsid w:val="43D321DE"/>
    <w:rsid w:val="43D441A9"/>
    <w:rsid w:val="443864E5"/>
    <w:rsid w:val="443B5FD6"/>
    <w:rsid w:val="44663053"/>
    <w:rsid w:val="44894F93"/>
    <w:rsid w:val="44906321"/>
    <w:rsid w:val="44A678F3"/>
    <w:rsid w:val="44F3065E"/>
    <w:rsid w:val="450F2741"/>
    <w:rsid w:val="452E517F"/>
    <w:rsid w:val="453A0573"/>
    <w:rsid w:val="4598072C"/>
    <w:rsid w:val="459B7FA8"/>
    <w:rsid w:val="45A00D58"/>
    <w:rsid w:val="45DB7806"/>
    <w:rsid w:val="45E43797"/>
    <w:rsid w:val="45E71F71"/>
    <w:rsid w:val="4631143E"/>
    <w:rsid w:val="464473C4"/>
    <w:rsid w:val="464C1D11"/>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9B66D1"/>
    <w:rsid w:val="49C64593"/>
    <w:rsid w:val="49E862B8"/>
    <w:rsid w:val="49EF6445"/>
    <w:rsid w:val="49F41101"/>
    <w:rsid w:val="4A4554B8"/>
    <w:rsid w:val="4A673681"/>
    <w:rsid w:val="4A705397"/>
    <w:rsid w:val="4A742241"/>
    <w:rsid w:val="4A834233"/>
    <w:rsid w:val="4AA14387"/>
    <w:rsid w:val="4AC705C3"/>
    <w:rsid w:val="4AC97E97"/>
    <w:rsid w:val="4AD36F68"/>
    <w:rsid w:val="4ADA20A4"/>
    <w:rsid w:val="4AF40715"/>
    <w:rsid w:val="4B1749BC"/>
    <w:rsid w:val="4B17661E"/>
    <w:rsid w:val="4B5D4A84"/>
    <w:rsid w:val="4B75139B"/>
    <w:rsid w:val="4B95421D"/>
    <w:rsid w:val="4C5C3B7C"/>
    <w:rsid w:val="4C8A18A8"/>
    <w:rsid w:val="4C8D3147"/>
    <w:rsid w:val="4CA8697D"/>
    <w:rsid w:val="4CB22BAD"/>
    <w:rsid w:val="4CDF36E2"/>
    <w:rsid w:val="4CE354B8"/>
    <w:rsid w:val="4CE511D4"/>
    <w:rsid w:val="4CE94821"/>
    <w:rsid w:val="4CF02261"/>
    <w:rsid w:val="4D1675E0"/>
    <w:rsid w:val="4D40640B"/>
    <w:rsid w:val="4D507F44"/>
    <w:rsid w:val="4D6F5B82"/>
    <w:rsid w:val="4D97427D"/>
    <w:rsid w:val="4D9A1FBF"/>
    <w:rsid w:val="4DCE1CDC"/>
    <w:rsid w:val="4E0336C0"/>
    <w:rsid w:val="4E571C5E"/>
    <w:rsid w:val="4E690324"/>
    <w:rsid w:val="4EA50C1B"/>
    <w:rsid w:val="4EBB043F"/>
    <w:rsid w:val="4EC8490A"/>
    <w:rsid w:val="4ED137BE"/>
    <w:rsid w:val="4EFB083B"/>
    <w:rsid w:val="4F164ECB"/>
    <w:rsid w:val="4F251D5C"/>
    <w:rsid w:val="4F3124AF"/>
    <w:rsid w:val="4F3501F1"/>
    <w:rsid w:val="4F642DD4"/>
    <w:rsid w:val="4F6B3C13"/>
    <w:rsid w:val="4F8847C5"/>
    <w:rsid w:val="4FAB2261"/>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D173F"/>
    <w:rsid w:val="51AD7AEB"/>
    <w:rsid w:val="51F63F1B"/>
    <w:rsid w:val="521A547C"/>
    <w:rsid w:val="52291BFB"/>
    <w:rsid w:val="52792E56"/>
    <w:rsid w:val="528D3EA0"/>
    <w:rsid w:val="52BC67CA"/>
    <w:rsid w:val="52CF1AED"/>
    <w:rsid w:val="52EB0BC7"/>
    <w:rsid w:val="533308FD"/>
    <w:rsid w:val="537B1F4B"/>
    <w:rsid w:val="538E7ED0"/>
    <w:rsid w:val="53D860E6"/>
    <w:rsid w:val="540957A8"/>
    <w:rsid w:val="5422686A"/>
    <w:rsid w:val="54467240"/>
    <w:rsid w:val="54870688"/>
    <w:rsid w:val="552A59D6"/>
    <w:rsid w:val="554B7562"/>
    <w:rsid w:val="556C5FEF"/>
    <w:rsid w:val="55D343BA"/>
    <w:rsid w:val="562C39D0"/>
    <w:rsid w:val="5646208C"/>
    <w:rsid w:val="567B169F"/>
    <w:rsid w:val="568B6721"/>
    <w:rsid w:val="568E6439"/>
    <w:rsid w:val="569021B1"/>
    <w:rsid w:val="56C1794F"/>
    <w:rsid w:val="56DB78D0"/>
    <w:rsid w:val="570F43DF"/>
    <w:rsid w:val="57212E09"/>
    <w:rsid w:val="57715B3F"/>
    <w:rsid w:val="57776ECD"/>
    <w:rsid w:val="578E4942"/>
    <w:rsid w:val="58192A45"/>
    <w:rsid w:val="588C69A8"/>
    <w:rsid w:val="58BA08D1"/>
    <w:rsid w:val="58C63711"/>
    <w:rsid w:val="59162714"/>
    <w:rsid w:val="59172716"/>
    <w:rsid w:val="59205A6E"/>
    <w:rsid w:val="596F4300"/>
    <w:rsid w:val="5983355E"/>
    <w:rsid w:val="59EE791A"/>
    <w:rsid w:val="5A0F3B18"/>
    <w:rsid w:val="5A776714"/>
    <w:rsid w:val="5AAF563E"/>
    <w:rsid w:val="5ADD24CF"/>
    <w:rsid w:val="5B35379B"/>
    <w:rsid w:val="5B7F09C0"/>
    <w:rsid w:val="5BD26DC8"/>
    <w:rsid w:val="5BEA6599"/>
    <w:rsid w:val="5C3E620B"/>
    <w:rsid w:val="5C471564"/>
    <w:rsid w:val="5C62639E"/>
    <w:rsid w:val="5C66635B"/>
    <w:rsid w:val="5C7B2FBB"/>
    <w:rsid w:val="5C990449"/>
    <w:rsid w:val="5CDF79EE"/>
    <w:rsid w:val="5CE770B7"/>
    <w:rsid w:val="5D902A97"/>
    <w:rsid w:val="5DB524FD"/>
    <w:rsid w:val="5DF11787"/>
    <w:rsid w:val="5E231B5D"/>
    <w:rsid w:val="5E3653EC"/>
    <w:rsid w:val="5E483371"/>
    <w:rsid w:val="5F1F40D2"/>
    <w:rsid w:val="5F8D1984"/>
    <w:rsid w:val="5FAB005C"/>
    <w:rsid w:val="5FB0066B"/>
    <w:rsid w:val="601910DC"/>
    <w:rsid w:val="6028645B"/>
    <w:rsid w:val="602A71D2"/>
    <w:rsid w:val="603E2C7E"/>
    <w:rsid w:val="604A33D1"/>
    <w:rsid w:val="606C1599"/>
    <w:rsid w:val="608250F0"/>
    <w:rsid w:val="60BA0556"/>
    <w:rsid w:val="60C863F4"/>
    <w:rsid w:val="60CF1B28"/>
    <w:rsid w:val="60F8107F"/>
    <w:rsid w:val="61047A23"/>
    <w:rsid w:val="611814CD"/>
    <w:rsid w:val="611D0AE5"/>
    <w:rsid w:val="612D7A16"/>
    <w:rsid w:val="61775A1A"/>
    <w:rsid w:val="61815EAF"/>
    <w:rsid w:val="61E15DB3"/>
    <w:rsid w:val="61F25ACE"/>
    <w:rsid w:val="61F53810"/>
    <w:rsid w:val="626253CB"/>
    <w:rsid w:val="626D33A6"/>
    <w:rsid w:val="62D358FF"/>
    <w:rsid w:val="62E80825"/>
    <w:rsid w:val="62ED08B8"/>
    <w:rsid w:val="63100901"/>
    <w:rsid w:val="63110A8B"/>
    <w:rsid w:val="6325060A"/>
    <w:rsid w:val="633E4315"/>
    <w:rsid w:val="639D5F0D"/>
    <w:rsid w:val="63E15DFA"/>
    <w:rsid w:val="63EB73BE"/>
    <w:rsid w:val="63F64AF7"/>
    <w:rsid w:val="641E0DFC"/>
    <w:rsid w:val="647B624F"/>
    <w:rsid w:val="64DE67DD"/>
    <w:rsid w:val="64F81CAE"/>
    <w:rsid w:val="6502427A"/>
    <w:rsid w:val="65053D6A"/>
    <w:rsid w:val="65055B18"/>
    <w:rsid w:val="65295CAB"/>
    <w:rsid w:val="653E102A"/>
    <w:rsid w:val="65702E88"/>
    <w:rsid w:val="65B062FF"/>
    <w:rsid w:val="65FA13F5"/>
    <w:rsid w:val="66091638"/>
    <w:rsid w:val="662A7F2C"/>
    <w:rsid w:val="66326DE1"/>
    <w:rsid w:val="669E0B12"/>
    <w:rsid w:val="66AC6FB3"/>
    <w:rsid w:val="66B912B0"/>
    <w:rsid w:val="66C9026B"/>
    <w:rsid w:val="66CC2D91"/>
    <w:rsid w:val="66DC5708"/>
    <w:rsid w:val="66F81DD8"/>
    <w:rsid w:val="67003A08"/>
    <w:rsid w:val="671865AC"/>
    <w:rsid w:val="673B1CC5"/>
    <w:rsid w:val="678E44EB"/>
    <w:rsid w:val="679118E5"/>
    <w:rsid w:val="67927140"/>
    <w:rsid w:val="67C47F0C"/>
    <w:rsid w:val="67C779FD"/>
    <w:rsid w:val="680B78E9"/>
    <w:rsid w:val="686B482C"/>
    <w:rsid w:val="68914EB4"/>
    <w:rsid w:val="68DB72BC"/>
    <w:rsid w:val="69092D7D"/>
    <w:rsid w:val="693B7B3B"/>
    <w:rsid w:val="69653029"/>
    <w:rsid w:val="697414BE"/>
    <w:rsid w:val="699D27C3"/>
    <w:rsid w:val="69AC2A06"/>
    <w:rsid w:val="69C812BA"/>
    <w:rsid w:val="6A3550F2"/>
    <w:rsid w:val="6A452A79"/>
    <w:rsid w:val="6AA81420"/>
    <w:rsid w:val="6AAB53B4"/>
    <w:rsid w:val="6AD40467"/>
    <w:rsid w:val="6AD404C6"/>
    <w:rsid w:val="6ADE12E5"/>
    <w:rsid w:val="6B581098"/>
    <w:rsid w:val="6BE62939"/>
    <w:rsid w:val="6BE91CF0"/>
    <w:rsid w:val="6C027255"/>
    <w:rsid w:val="6C271DDA"/>
    <w:rsid w:val="6C2C0FD1"/>
    <w:rsid w:val="6C615234"/>
    <w:rsid w:val="6C692E30"/>
    <w:rsid w:val="6C726189"/>
    <w:rsid w:val="6C7C2B64"/>
    <w:rsid w:val="6CAB3449"/>
    <w:rsid w:val="6CC22541"/>
    <w:rsid w:val="6D071EEA"/>
    <w:rsid w:val="6D1234C8"/>
    <w:rsid w:val="6D502AE7"/>
    <w:rsid w:val="6D5B6C1D"/>
    <w:rsid w:val="6DA700B4"/>
    <w:rsid w:val="6DD93FE6"/>
    <w:rsid w:val="6DE22E9A"/>
    <w:rsid w:val="6DED4A0B"/>
    <w:rsid w:val="6E736A82"/>
    <w:rsid w:val="6EC62972"/>
    <w:rsid w:val="6EE36ECA"/>
    <w:rsid w:val="6FD25146"/>
    <w:rsid w:val="70253370"/>
    <w:rsid w:val="705D2CAC"/>
    <w:rsid w:val="706C2EEF"/>
    <w:rsid w:val="70A00DEB"/>
    <w:rsid w:val="70B0102E"/>
    <w:rsid w:val="70B2124A"/>
    <w:rsid w:val="70CC398E"/>
    <w:rsid w:val="70F133F4"/>
    <w:rsid w:val="715776FB"/>
    <w:rsid w:val="71810C1C"/>
    <w:rsid w:val="71915F81"/>
    <w:rsid w:val="71FB028A"/>
    <w:rsid w:val="72062ED0"/>
    <w:rsid w:val="72120104"/>
    <w:rsid w:val="72273572"/>
    <w:rsid w:val="724D0AFE"/>
    <w:rsid w:val="725B321B"/>
    <w:rsid w:val="72640322"/>
    <w:rsid w:val="727073F5"/>
    <w:rsid w:val="72F86CBC"/>
    <w:rsid w:val="73046F3C"/>
    <w:rsid w:val="730D09BA"/>
    <w:rsid w:val="731700C0"/>
    <w:rsid w:val="73185E94"/>
    <w:rsid w:val="735E7467"/>
    <w:rsid w:val="73685DD0"/>
    <w:rsid w:val="736B56E0"/>
    <w:rsid w:val="73D34C4F"/>
    <w:rsid w:val="73E6120B"/>
    <w:rsid w:val="73EA4857"/>
    <w:rsid w:val="73FD740F"/>
    <w:rsid w:val="74040C07"/>
    <w:rsid w:val="740C2793"/>
    <w:rsid w:val="74185FD6"/>
    <w:rsid w:val="741C4C2C"/>
    <w:rsid w:val="749E3893"/>
    <w:rsid w:val="74A30C47"/>
    <w:rsid w:val="7505733F"/>
    <w:rsid w:val="75581C94"/>
    <w:rsid w:val="755C1784"/>
    <w:rsid w:val="75BF7F65"/>
    <w:rsid w:val="75CB06B8"/>
    <w:rsid w:val="75E6443D"/>
    <w:rsid w:val="760659DE"/>
    <w:rsid w:val="761B33ED"/>
    <w:rsid w:val="765D7E8B"/>
    <w:rsid w:val="766308F1"/>
    <w:rsid w:val="768D6460"/>
    <w:rsid w:val="76A07D97"/>
    <w:rsid w:val="771C1C9F"/>
    <w:rsid w:val="77567DA3"/>
    <w:rsid w:val="77F17D01"/>
    <w:rsid w:val="782B3690"/>
    <w:rsid w:val="790F43FB"/>
    <w:rsid w:val="7912614C"/>
    <w:rsid w:val="791D56CF"/>
    <w:rsid w:val="794519BF"/>
    <w:rsid w:val="795B7FA5"/>
    <w:rsid w:val="79EF1E68"/>
    <w:rsid w:val="7A207086"/>
    <w:rsid w:val="7A266805"/>
    <w:rsid w:val="7A3E3B4E"/>
    <w:rsid w:val="7A6A4943"/>
    <w:rsid w:val="7A756E44"/>
    <w:rsid w:val="7A8F43F6"/>
    <w:rsid w:val="7B114DBF"/>
    <w:rsid w:val="7B2E3D9A"/>
    <w:rsid w:val="7B452CBB"/>
    <w:rsid w:val="7B7A0BB6"/>
    <w:rsid w:val="7B83730E"/>
    <w:rsid w:val="7B875081"/>
    <w:rsid w:val="7B9A4DB4"/>
    <w:rsid w:val="7BC10593"/>
    <w:rsid w:val="7BD1532C"/>
    <w:rsid w:val="7C653614"/>
    <w:rsid w:val="7C914409"/>
    <w:rsid w:val="7CA12173"/>
    <w:rsid w:val="7CB43A32"/>
    <w:rsid w:val="7CEF376C"/>
    <w:rsid w:val="7CF84488"/>
    <w:rsid w:val="7D165E47"/>
    <w:rsid w:val="7D2D756F"/>
    <w:rsid w:val="7D3D1E9B"/>
    <w:rsid w:val="7D6513F2"/>
    <w:rsid w:val="7D6B2EAC"/>
    <w:rsid w:val="7D817139"/>
    <w:rsid w:val="7D8950E1"/>
    <w:rsid w:val="7D8F021D"/>
    <w:rsid w:val="7DB61C4E"/>
    <w:rsid w:val="7DBC2D12"/>
    <w:rsid w:val="7E2968C4"/>
    <w:rsid w:val="7E7713DD"/>
    <w:rsid w:val="7EC01A44"/>
    <w:rsid w:val="7F231565"/>
    <w:rsid w:val="7F680BB6"/>
    <w:rsid w:val="7F802513"/>
    <w:rsid w:val="7FB7066B"/>
    <w:rsid w:val="7FD37C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索引 41"/>
    <w:basedOn w:val="1"/>
    <w:next w:val="1"/>
    <w:qFormat/>
    <w:uiPriority w:val="99"/>
    <w:pPr>
      <w:ind w:left="600"/>
    </w:pPr>
    <w:rPr>
      <w:szCs w:val="24"/>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jc w:val="center"/>
      <w:outlineLvl w:val="0"/>
    </w:pPr>
    <w:rPr>
      <w:b/>
      <w:bCs/>
      <w:sz w:val="44"/>
      <w:szCs w:val="44"/>
    </w:rPr>
  </w:style>
  <w:style w:type="paragraph" w:customStyle="1" w:styleId="187">
    <w:name w:val="标题 21"/>
    <w:basedOn w:val="1"/>
    <w:next w:val="1"/>
    <w:link w:val="194"/>
    <w:qFormat/>
    <w:uiPriority w:val="0"/>
    <w:pPr>
      <w:keepNext/>
      <w:jc w:val="center"/>
      <w:outlineLvl w:val="1"/>
    </w:pPr>
    <w:rPr>
      <w:rFonts w:ascii="Cambria" w:hAnsi="Cambria"/>
      <w:b/>
      <w:bCs/>
      <w:sz w:val="32"/>
      <w:szCs w:val="32"/>
    </w:rPr>
  </w:style>
  <w:style w:type="paragraph" w:customStyle="1" w:styleId="188">
    <w:name w:val="标题 311"/>
    <w:basedOn w:val="1"/>
    <w:next w:val="1"/>
    <w:link w:val="195"/>
    <w:qFormat/>
    <w:uiPriority w:val="0"/>
    <w:pPr>
      <w:keepNext/>
      <w:jc w:val="center"/>
      <w:outlineLvl w:val="2"/>
    </w:pPr>
    <w:rPr>
      <w:b/>
      <w:bCs/>
      <w:sz w:val="32"/>
      <w:szCs w:val="32"/>
    </w:rPr>
  </w:style>
  <w:style w:type="paragraph" w:customStyle="1" w:styleId="189">
    <w:name w:val="标题 411"/>
    <w:basedOn w:val="1"/>
    <w:next w:val="1"/>
    <w:link w:val="196"/>
    <w:qFormat/>
    <w:uiPriority w:val="0"/>
    <w:pPr>
      <w:keepNext/>
      <w:jc w:val="center"/>
      <w:outlineLvl w:val="3"/>
    </w:pPr>
    <w:rPr>
      <w:rFonts w:ascii="Cambria" w:hAnsi="Cambria"/>
      <w:b/>
      <w:bCs/>
      <w:sz w:val="28"/>
      <w:szCs w:val="28"/>
    </w:rPr>
  </w:style>
  <w:style w:type="paragraph" w:customStyle="1" w:styleId="190">
    <w:name w:val="标题 51"/>
    <w:basedOn w:val="1"/>
    <w:next w:val="1"/>
    <w:link w:val="197"/>
    <w:qFormat/>
    <w:uiPriority w:val="0"/>
    <w:pPr>
      <w:keepNext/>
      <w:numPr>
        <w:ilvl w:val="0"/>
        <w:numId w:val="1"/>
      </w:numPr>
      <w:outlineLvl w:val="4"/>
    </w:pPr>
    <w:rPr>
      <w:rFonts w:ascii="楷体_GB2312" w:eastAsia="楷体_GB2312"/>
      <w:bCs/>
      <w:sz w:val="28"/>
    </w:rPr>
  </w:style>
  <w:style w:type="character" w:customStyle="1" w:styleId="191">
    <w:name w:val="默认段落字体11"/>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0"/>
    <w:rPr>
      <w:rFonts w:cs="Times New Roman"/>
      <w:b/>
      <w:bCs/>
      <w:sz w:val="44"/>
      <w:szCs w:val="44"/>
    </w:rPr>
  </w:style>
  <w:style w:type="character" w:customStyle="1" w:styleId="194">
    <w:name w:val="标题 2 Char"/>
    <w:link w:val="187"/>
    <w:semiHidden/>
    <w:qFormat/>
    <w:uiPriority w:val="0"/>
    <w:rPr>
      <w:rFonts w:ascii="Cambria" w:hAnsi="Cambria" w:eastAsia="宋体" w:cs="Times New Roman"/>
      <w:b/>
      <w:bCs/>
      <w:sz w:val="32"/>
      <w:szCs w:val="32"/>
    </w:rPr>
  </w:style>
  <w:style w:type="character" w:customStyle="1" w:styleId="195">
    <w:name w:val="标题 3 Char"/>
    <w:link w:val="188"/>
    <w:semiHidden/>
    <w:qFormat/>
    <w:uiPriority w:val="0"/>
    <w:rPr>
      <w:rFonts w:cs="Times New Roman"/>
      <w:b/>
      <w:bCs/>
      <w:sz w:val="32"/>
      <w:szCs w:val="32"/>
    </w:rPr>
  </w:style>
  <w:style w:type="character" w:customStyle="1" w:styleId="196">
    <w:name w:val="标题 4 Char"/>
    <w:link w:val="189"/>
    <w:semiHidden/>
    <w:qFormat/>
    <w:uiPriority w:val="0"/>
    <w:rPr>
      <w:rFonts w:ascii="Cambria" w:hAnsi="Cambria" w:eastAsia="宋体" w:cs="Times New Roman"/>
      <w:b/>
      <w:bCs/>
      <w:sz w:val="28"/>
      <w:szCs w:val="28"/>
    </w:rPr>
  </w:style>
  <w:style w:type="character" w:customStyle="1" w:styleId="197">
    <w:name w:val="标题 5 Char"/>
    <w:link w:val="190"/>
    <w:qFormat/>
    <w:uiPriority w:val="0"/>
    <w:rPr>
      <w:rFonts w:ascii="楷体_GB2312" w:eastAsia="楷体_GB2312"/>
      <w:bCs/>
      <w:sz w:val="28"/>
    </w:rPr>
  </w:style>
  <w:style w:type="paragraph" w:customStyle="1" w:styleId="198">
    <w:name w:val="正文缩进1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rPr>
      <w:sz w:val="2"/>
    </w:rPr>
  </w:style>
  <w:style w:type="character" w:customStyle="1" w:styleId="201">
    <w:name w:val="文档结构图 Char"/>
    <w:link w:val="200"/>
    <w:semiHidden/>
    <w:qFormat/>
    <w:uiPriority w:val="0"/>
    <w:rPr>
      <w:rFonts w:cs="Times New Roman"/>
      <w:sz w:val="2"/>
    </w:rPr>
  </w:style>
  <w:style w:type="paragraph" w:customStyle="1" w:styleId="202">
    <w:name w:val="批注文字1"/>
    <w:basedOn w:val="1"/>
    <w:link w:val="203"/>
    <w:unhideWhenUsed/>
    <w:qFormat/>
    <w:uiPriority w:val="0"/>
    <w:pPr>
      <w:jc w:val="left"/>
    </w:pPr>
  </w:style>
  <w:style w:type="character" w:customStyle="1" w:styleId="203">
    <w:name w:val="批注文字 Char"/>
    <w:link w:val="202"/>
    <w:qFormat/>
    <w:uiPriority w:val="0"/>
    <w:rPr>
      <w:sz w:val="21"/>
    </w:rPr>
  </w:style>
  <w:style w:type="paragraph" w:customStyle="1" w:styleId="204">
    <w:name w:val="正文文本1"/>
    <w:basedOn w:val="1"/>
    <w:link w:val="205"/>
    <w:qFormat/>
    <w:uiPriority w:val="0"/>
    <w:rPr>
      <w:sz w:val="20"/>
    </w:rPr>
  </w:style>
  <w:style w:type="character" w:customStyle="1" w:styleId="205">
    <w:name w:val="正文文本 Char"/>
    <w:link w:val="204"/>
    <w:semiHidden/>
    <w:qFormat/>
    <w:uiPriority w:val="0"/>
    <w:rPr>
      <w:rFonts w:cs="Times New Roman"/>
      <w:sz w:val="20"/>
      <w:szCs w:val="20"/>
    </w:rPr>
  </w:style>
  <w:style w:type="paragraph" w:customStyle="1" w:styleId="206">
    <w:name w:val="正文文本缩进11"/>
    <w:basedOn w:val="1"/>
    <w:link w:val="207"/>
    <w:qFormat/>
    <w:uiPriority w:val="0"/>
    <w:pPr>
      <w:ind w:firstLine="576"/>
    </w:pPr>
    <w:rPr>
      <w:sz w:val="20"/>
    </w:rPr>
  </w:style>
  <w:style w:type="character" w:customStyle="1" w:styleId="207">
    <w:name w:val="正文文本缩进 Char"/>
    <w:link w:val="206"/>
    <w:semiHidden/>
    <w:qFormat/>
    <w:uiPriority w:val="0"/>
    <w:rPr>
      <w:rFonts w:cs="Times New Roman"/>
      <w:sz w:val="20"/>
      <w:szCs w:val="20"/>
    </w:rPr>
  </w:style>
  <w:style w:type="paragraph" w:customStyle="1" w:styleId="208">
    <w:name w:val="日期1"/>
    <w:basedOn w:val="1"/>
    <w:next w:val="1"/>
    <w:link w:val="209"/>
    <w:qFormat/>
    <w:uiPriority w:val="0"/>
    <w:rPr>
      <w:sz w:val="20"/>
    </w:rPr>
  </w:style>
  <w:style w:type="character" w:customStyle="1" w:styleId="209">
    <w:name w:val="日期 Char"/>
    <w:link w:val="208"/>
    <w:semiHidden/>
    <w:qFormat/>
    <w:uiPriority w:val="0"/>
    <w:rPr>
      <w:rFonts w:cs="Times New Roman"/>
      <w:sz w:val="20"/>
      <w:szCs w:val="20"/>
    </w:rPr>
  </w:style>
  <w:style w:type="paragraph" w:customStyle="1" w:styleId="210">
    <w:name w:val="正文文本缩进 21"/>
    <w:basedOn w:val="1"/>
    <w:link w:val="211"/>
    <w:qFormat/>
    <w:uiPriority w:val="0"/>
    <w:pPr>
      <w:ind w:left="900"/>
    </w:pPr>
    <w:rPr>
      <w:sz w:val="20"/>
    </w:rPr>
  </w:style>
  <w:style w:type="character" w:customStyle="1" w:styleId="211">
    <w:name w:val="正文文本缩进 2 Char"/>
    <w:link w:val="210"/>
    <w:semiHidden/>
    <w:qFormat/>
    <w:uiPriority w:val="0"/>
    <w:rPr>
      <w:rFonts w:cs="Times New Roman"/>
      <w:sz w:val="20"/>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qFormat/>
    <w:uiPriority w:val="99"/>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rFonts w:cs="Times New Roman"/>
      <w:sz w:val="18"/>
      <w:szCs w:val="18"/>
    </w:rPr>
  </w:style>
  <w:style w:type="paragraph" w:customStyle="1" w:styleId="216">
    <w:name w:val="页眉1"/>
    <w:basedOn w:val="1"/>
    <w:link w:val="217"/>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99"/>
    <w:rPr>
      <w:rFonts w:cs="Times New Roman"/>
      <w:sz w:val="18"/>
      <w:szCs w:val="18"/>
    </w:rPr>
  </w:style>
  <w:style w:type="paragraph" w:customStyle="1" w:styleId="218">
    <w:name w:val="目录 11"/>
    <w:basedOn w:val="1"/>
    <w:next w:val="1"/>
    <w:qFormat/>
    <w:uiPriority w:val="39"/>
  </w:style>
  <w:style w:type="paragraph" w:customStyle="1" w:styleId="219">
    <w:name w:val="副标题1"/>
    <w:basedOn w:val="1"/>
    <w:next w:val="1"/>
    <w:link w:val="220"/>
    <w:qFormat/>
    <w:uiPriority w:val="11"/>
    <w:pPr>
      <w:spacing w:before="240" w:after="60" w:line="312" w:lineRule="auto"/>
      <w:jc w:val="center"/>
      <w:outlineLvl w:val="1"/>
    </w:pPr>
    <w:rPr>
      <w:rFonts w:ascii="Calibri Light" w:hAnsi="Calibri Light"/>
      <w:b/>
      <w:bCs/>
      <w:sz w:val="32"/>
      <w:szCs w:val="32"/>
    </w:rPr>
  </w:style>
  <w:style w:type="character" w:customStyle="1" w:styleId="220">
    <w:name w:val="副标题 Char"/>
    <w:link w:val="219"/>
    <w:qFormat/>
    <w:uiPriority w:val="11"/>
    <w:rPr>
      <w:rFonts w:ascii="Calibri Light" w:hAnsi="Calibri Light"/>
      <w:b/>
      <w:bCs/>
      <w:sz w:val="32"/>
      <w:szCs w:val="32"/>
    </w:rPr>
  </w:style>
  <w:style w:type="paragraph" w:customStyle="1" w:styleId="221">
    <w:name w:val="正文文本缩进 31"/>
    <w:basedOn w:val="1"/>
    <w:link w:val="222"/>
    <w:qFormat/>
    <w:uiPriority w:val="0"/>
    <w:pPr>
      <w:ind w:left="359" w:firstLine="359"/>
    </w:pPr>
    <w:rPr>
      <w:sz w:val="16"/>
      <w:szCs w:val="16"/>
    </w:rPr>
  </w:style>
  <w:style w:type="character" w:customStyle="1" w:styleId="222">
    <w:name w:val="正文文本缩进 3 Char"/>
    <w:link w:val="221"/>
    <w:semiHidden/>
    <w:qFormat/>
    <w:uiPriority w:val="0"/>
    <w:rPr>
      <w:rFonts w:cs="Times New Roman"/>
      <w:sz w:val="16"/>
      <w:szCs w:val="16"/>
    </w:rPr>
  </w:style>
  <w:style w:type="paragraph" w:customStyle="1" w:styleId="223">
    <w:name w:val="正文文本 21"/>
    <w:basedOn w:val="1"/>
    <w:link w:val="224"/>
    <w:qFormat/>
    <w:uiPriority w:val="0"/>
    <w:pPr>
      <w:spacing w:after="120" w:line="480" w:lineRule="auto"/>
    </w:pPr>
    <w:rPr>
      <w:sz w:val="20"/>
    </w:rPr>
  </w:style>
  <w:style w:type="character" w:customStyle="1" w:styleId="224">
    <w:name w:val="正文文本 2 Char"/>
    <w:link w:val="223"/>
    <w:semiHidden/>
    <w:qFormat/>
    <w:uiPriority w:val="0"/>
    <w:rPr>
      <w:rFonts w:cs="Times New Roman"/>
      <w:sz w:val="20"/>
      <w:szCs w:val="20"/>
    </w:rPr>
  </w:style>
  <w:style w:type="paragraph" w:customStyle="1" w:styleId="225">
    <w:name w:val="HTML 预设格式1"/>
    <w:basedOn w:val="1"/>
    <w:unhideWhenUsed/>
    <w:qFormat/>
    <w:uiPriority w:val="99"/>
    <w:rPr>
      <w:rFonts w:ascii="Courier New" w:hAnsi="Courier New" w:cs="Courier New"/>
      <w:sz w:val="20"/>
      <w:szCs w:val="20"/>
    </w:rPr>
  </w:style>
  <w:style w:type="paragraph" w:customStyle="1" w:styleId="226">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标题1"/>
    <w:basedOn w:val="1"/>
    <w:next w:val="1"/>
    <w:link w:val="228"/>
    <w:qFormat/>
    <w:uiPriority w:val="99"/>
    <w:pPr>
      <w:spacing w:before="240" w:after="60" w:line="336" w:lineRule="auto"/>
      <w:ind w:firstLine="200"/>
      <w:jc w:val="center"/>
      <w:outlineLvl w:val="0"/>
    </w:pPr>
    <w:rPr>
      <w:rFonts w:ascii="Cambria" w:hAnsi="Cambria"/>
      <w:b/>
      <w:bCs/>
      <w:sz w:val="32"/>
      <w:szCs w:val="32"/>
    </w:rPr>
  </w:style>
  <w:style w:type="character" w:customStyle="1" w:styleId="228">
    <w:name w:val="标题 Char"/>
    <w:link w:val="227"/>
    <w:qFormat/>
    <w:uiPriority w:val="99"/>
    <w:rPr>
      <w:rFonts w:ascii="Cambria" w:hAnsi="Cambria" w:cs="Cambria"/>
      <w:b/>
      <w:bCs/>
      <w:sz w:val="32"/>
      <w:szCs w:val="32"/>
    </w:rPr>
  </w:style>
  <w:style w:type="paragraph" w:customStyle="1" w:styleId="229">
    <w:name w:val="批注主题1"/>
    <w:basedOn w:val="202"/>
    <w:next w:val="202"/>
    <w:link w:val="230"/>
    <w:unhideWhenUsed/>
    <w:qFormat/>
    <w:uiPriority w:val="99"/>
    <w:rPr>
      <w:b/>
      <w:bCs/>
    </w:rPr>
  </w:style>
  <w:style w:type="character" w:customStyle="1" w:styleId="230">
    <w:name w:val="批注主题 Char"/>
    <w:link w:val="229"/>
    <w:semiHidden/>
    <w:qFormat/>
    <w:uiPriority w:val="99"/>
    <w:rPr>
      <w:b/>
      <w:bCs/>
      <w:sz w:val="21"/>
    </w:rPr>
  </w:style>
  <w:style w:type="paragraph" w:customStyle="1" w:styleId="231">
    <w:name w:val="正文首行缩进 211"/>
    <w:basedOn w:val="206"/>
    <w:qFormat/>
    <w:uiPriority w:val="99"/>
    <w:pPr>
      <w:widowControl w:val="0"/>
      <w:spacing w:after="120" w:line="240" w:lineRule="auto"/>
      <w:ind w:left="420" w:firstLine="420"/>
    </w:pPr>
    <w:rPr>
      <w:rFonts w:ascii="Times New Roman" w:hAnsi="Times New Roman"/>
      <w:spacing w:val="0"/>
      <w:sz w:val="20"/>
    </w:rPr>
  </w:style>
  <w:style w:type="table" w:customStyle="1" w:styleId="232">
    <w:name w:val="网格型1"/>
    <w:basedOn w:val="192"/>
    <w:qFormat/>
    <w:uiPriority w:val="0"/>
    <w:rPr>
      <w:rFonts w:ascii="Times" w:hAnsi="Times" w:cs="Times"/>
    </w:rPr>
  </w:style>
  <w:style w:type="character" w:customStyle="1" w:styleId="233">
    <w:name w:val="要点1"/>
    <w:link w:val="1"/>
    <w:qFormat/>
    <w:uiPriority w:val="0"/>
    <w:rPr>
      <w:rFonts w:cs="Times New Roman"/>
      <w:b/>
      <w:bCs/>
    </w:rPr>
  </w:style>
  <w:style w:type="character" w:customStyle="1" w:styleId="234">
    <w:name w:val="页码1"/>
    <w:link w:val="1"/>
    <w:qFormat/>
    <w:uiPriority w:val="0"/>
    <w:rPr>
      <w:rFonts w:cs="Times New Roman"/>
    </w:rPr>
  </w:style>
  <w:style w:type="character" w:customStyle="1" w:styleId="235">
    <w:name w:val="已访问的超链接1"/>
    <w:link w:val="1"/>
    <w:qFormat/>
    <w:uiPriority w:val="99"/>
    <w:rPr>
      <w:rFonts w:cs="Times New Roman"/>
      <w:color w:val="000000"/>
      <w:u w:val="none"/>
    </w:rPr>
  </w:style>
  <w:style w:type="character" w:customStyle="1" w:styleId="236">
    <w:name w:val="HTML 打字机11"/>
    <w:link w:val="1"/>
    <w:qFormat/>
    <w:uiPriority w:val="0"/>
    <w:rPr>
      <w:rFonts w:ascii="宋体" w:hAnsi="宋体" w:eastAsia="宋体" w:cs="宋体"/>
      <w:sz w:val="24"/>
      <w:szCs w:val="24"/>
    </w:rPr>
  </w:style>
  <w:style w:type="character" w:customStyle="1" w:styleId="237">
    <w:name w:val="超链接1"/>
    <w:link w:val="1"/>
    <w:qFormat/>
    <w:uiPriority w:val="99"/>
    <w:rPr>
      <w:rFonts w:cs="Times New Roman"/>
      <w:color w:val="000000"/>
      <w:u w:val="none"/>
    </w:rPr>
  </w:style>
  <w:style w:type="character" w:customStyle="1" w:styleId="238">
    <w:name w:val="批注引用11"/>
    <w:link w:val="1"/>
    <w:unhideWhenUsed/>
    <w:qFormat/>
    <w:uiPriority w:val="99"/>
    <w:rPr>
      <w:sz w:val="21"/>
      <w:szCs w:val="21"/>
    </w:rPr>
  </w:style>
  <w:style w:type="character" w:customStyle="1" w:styleId="239">
    <w:name w:val="批注引用1"/>
    <w:basedOn w:val="191"/>
    <w:link w:val="1"/>
    <w:semiHidden/>
    <w:qFormat/>
    <w:uiPriority w:val="0"/>
    <w:rPr>
      <w:sz w:val="21"/>
      <w:lang w:val="en-US" w:eastAsia="zh-CN" w:bidi="ar-SA"/>
    </w:rPr>
  </w:style>
  <w:style w:type="character" w:customStyle="1" w:styleId="240">
    <w:name w:val="style21"/>
    <w:link w:val="1"/>
    <w:qFormat/>
    <w:uiPriority w:val="99"/>
    <w:rPr>
      <w:sz w:val="22"/>
      <w:szCs w:val="22"/>
    </w:rPr>
  </w:style>
  <w:style w:type="character" w:customStyle="1" w:styleId="241">
    <w:name w:val="列出段落 字符"/>
    <w:link w:val="1"/>
    <w:qFormat/>
    <w:uiPriority w:val="34"/>
    <w:rPr>
      <w:sz w:val="21"/>
    </w:rPr>
  </w:style>
  <w:style w:type="character" w:customStyle="1" w:styleId="242">
    <w:name w:val="宋体&amp;Time5# Char"/>
    <w:link w:val="243"/>
    <w:qFormat/>
    <w:uiPriority w:val="0"/>
    <w:rPr>
      <w:rFonts w:ascii="Calibri" w:hAnsi="Calibri" w:eastAsia="Times New Roman"/>
      <w:sz w:val="21"/>
      <w:szCs w:val="21"/>
    </w:rPr>
  </w:style>
  <w:style w:type="paragraph" w:customStyle="1" w:styleId="243">
    <w:name w:val="宋体&amp;Time5#"/>
    <w:basedOn w:val="1"/>
    <w:link w:val="242"/>
    <w:qFormat/>
    <w:uiPriority w:val="0"/>
    <w:pPr>
      <w:jc w:val="center"/>
    </w:pPr>
    <w:rPr>
      <w:rFonts w:ascii="Calibri" w:hAnsi="Calibri" w:eastAsia="Times New Roman"/>
      <w:szCs w:val="21"/>
    </w:rPr>
  </w:style>
  <w:style w:type="character" w:customStyle="1" w:styleId="244">
    <w:name w:val="访问过的超链接1"/>
    <w:link w:val="1"/>
    <w:qFormat/>
    <w:uiPriority w:val="0"/>
    <w:rPr>
      <w:color w:val="000000"/>
      <w:u w:val="none"/>
    </w:rPr>
  </w:style>
  <w:style w:type="character" w:customStyle="1" w:styleId="245">
    <w:name w:val="列出段落 Char"/>
    <w:link w:val="246"/>
    <w:qFormat/>
    <w:uiPriority w:val="34"/>
    <w:rPr>
      <w:sz w:val="21"/>
    </w:rPr>
  </w:style>
  <w:style w:type="paragraph" w:customStyle="1" w:styleId="246">
    <w:name w:val="列出段落"/>
    <w:basedOn w:val="1"/>
    <w:link w:val="245"/>
    <w:qFormat/>
    <w:uiPriority w:val="34"/>
    <w:pPr>
      <w:ind w:firstLine="420"/>
    </w:pPr>
  </w:style>
  <w:style w:type="character" w:customStyle="1" w:styleId="247">
    <w:name w:val="case31"/>
    <w:link w:val="1"/>
    <w:qFormat/>
    <w:uiPriority w:val="0"/>
    <w:rPr>
      <w:rFonts w:cs="Times New Roman"/>
      <w:spacing w:val="390"/>
      <w:sz w:val="21"/>
      <w:szCs w:val="21"/>
    </w:rPr>
  </w:style>
  <w:style w:type="character" w:customStyle="1" w:styleId="248">
    <w:name w:val="_正文 Char"/>
    <w:link w:val="249"/>
    <w:qFormat/>
    <w:uiPriority w:val="0"/>
    <w:rPr>
      <w:rFonts w:ascii="微软雅黑" w:hAnsi="微软雅黑"/>
    </w:rPr>
  </w:style>
  <w:style w:type="paragraph" w:customStyle="1" w:styleId="249">
    <w:name w:val="_正文"/>
    <w:basedOn w:val="1"/>
    <w:link w:val="248"/>
    <w:qFormat/>
    <w:uiPriority w:val="0"/>
    <w:pPr>
      <w:widowControl/>
      <w:spacing w:line="360" w:lineRule="auto"/>
      <w:ind w:firstLine="200"/>
      <w:jc w:val="left"/>
    </w:pPr>
    <w:rPr>
      <w:rFonts w:ascii="微软雅黑" w:hAnsi="微软雅黑"/>
      <w:sz w:val="20"/>
    </w:rPr>
  </w:style>
  <w:style w:type="paragraph" w:customStyle="1" w:styleId="25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5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54">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55">
    <w:name w:val="font13"/>
    <w:basedOn w:val="1"/>
    <w:qFormat/>
    <w:uiPriority w:val="0"/>
    <w:pPr>
      <w:widowControl/>
      <w:spacing w:before="100" w:beforeAutospacing="1" w:after="100" w:afterAutospacing="1"/>
      <w:jc w:val="left"/>
    </w:pPr>
    <w:rPr>
      <w:i/>
      <w:iCs/>
      <w:sz w:val="36"/>
      <w:szCs w:val="36"/>
    </w:rPr>
  </w:style>
  <w:style w:type="paragraph" w:customStyle="1" w:styleId="25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2">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63">
    <w:name w:val="font7"/>
    <w:basedOn w:val="1"/>
    <w:qFormat/>
    <w:uiPriority w:val="0"/>
    <w:pPr>
      <w:widowControl/>
      <w:spacing w:before="100" w:beforeAutospacing="1" w:after="100" w:afterAutospacing="1"/>
      <w:jc w:val="left"/>
    </w:pPr>
    <w:rPr>
      <w:b/>
      <w:bCs/>
      <w:i/>
      <w:iCs/>
      <w:sz w:val="20"/>
    </w:rPr>
  </w:style>
  <w:style w:type="paragraph" w:customStyle="1" w:styleId="26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5">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8">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6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7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73">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7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styleId="275">
    <w:name w:val="List Paragraph"/>
    <w:basedOn w:val="1"/>
    <w:qFormat/>
    <w:uiPriority w:val="0"/>
    <w:pPr>
      <w:ind w:firstLine="420"/>
    </w:pPr>
  </w:style>
  <w:style w:type="paragraph" w:customStyle="1" w:styleId="27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8">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79">
    <w:name w:val="文档正文"/>
    <w:basedOn w:val="1"/>
    <w:qFormat/>
    <w:uiPriority w:val="0"/>
    <w:pPr>
      <w:spacing w:line="312" w:lineRule="atLeast"/>
      <w:ind w:firstLine="567"/>
    </w:pPr>
    <w:rPr>
      <w:rFonts w:ascii="长城仿宋" w:eastAsia="长城仿宋"/>
      <w:sz w:val="2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1">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82">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83">
    <w:name w:val="_标题 2"/>
    <w:basedOn w:val="187"/>
    <w:next w:val="249"/>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84">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85">
    <w:name w:val="_标题 4"/>
    <w:basedOn w:val="189"/>
    <w:next w:val="249"/>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86">
    <w:name w:val="Char Char Char Char"/>
    <w:basedOn w:val="200"/>
    <w:qFormat/>
    <w:uiPriority w:val="0"/>
    <w:pPr>
      <w:spacing w:line="360" w:lineRule="auto"/>
    </w:pPr>
    <w:rPr>
      <w:rFonts w:ascii="Tahoma" w:hAnsi="Tahoma"/>
      <w:sz w:val="24"/>
      <w:szCs w:val="24"/>
    </w:rPr>
  </w:style>
  <w:style w:type="paragraph" w:customStyle="1" w:styleId="28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0">
    <w:name w:val="默认段落字体 Para Char"/>
    <w:basedOn w:val="1"/>
    <w:qFormat/>
    <w:uiPriority w:val="0"/>
    <w:pPr>
      <w:tabs>
        <w:tab w:val="left" w:pos="552"/>
      </w:tabs>
      <w:ind w:left="552" w:hanging="420"/>
    </w:pPr>
    <w:rPr>
      <w:sz w:val="24"/>
      <w:szCs w:val="24"/>
    </w:rPr>
  </w:style>
  <w:style w:type="paragraph" w:customStyle="1" w:styleId="29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4">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9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0">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1">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2">
    <w:name w:val="_Style 22"/>
    <w:basedOn w:val="1"/>
    <w:qFormat/>
    <w:uiPriority w:val="0"/>
    <w:pPr>
      <w:spacing w:line="300" w:lineRule="auto"/>
      <w:ind w:firstLine="200"/>
    </w:pPr>
    <w:rPr>
      <w:rFonts w:ascii="宋体" w:hAnsi="Calibri" w:eastAsia="等线"/>
      <w:sz w:val="24"/>
      <w:szCs w:val="22"/>
    </w:rPr>
  </w:style>
  <w:style w:type="paragraph" w:customStyle="1" w:styleId="3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4">
    <w:name w:val="Char Char1 Char Char Char Char"/>
    <w:basedOn w:val="200"/>
    <w:qFormat/>
    <w:uiPriority w:val="0"/>
    <w:pPr>
      <w:spacing w:line="436" w:lineRule="exact"/>
      <w:ind w:left="357"/>
      <w:jc w:val="left"/>
      <w:outlineLvl w:val="3"/>
    </w:pPr>
    <w:rPr>
      <w:rFonts w:ascii="Tahoma" w:hAnsi="Tahoma"/>
      <w:b/>
      <w:sz w:val="24"/>
      <w:szCs w:val="24"/>
    </w:rPr>
  </w:style>
  <w:style w:type="paragraph" w:customStyle="1" w:styleId="30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07">
    <w:name w:val="font9"/>
    <w:basedOn w:val="1"/>
    <w:qFormat/>
    <w:uiPriority w:val="0"/>
    <w:pPr>
      <w:widowControl/>
      <w:spacing w:before="100" w:beforeAutospacing="1" w:after="100" w:afterAutospacing="1"/>
      <w:jc w:val="left"/>
    </w:pPr>
    <w:rPr>
      <w:b/>
      <w:bCs/>
      <w:sz w:val="20"/>
    </w:rPr>
  </w:style>
  <w:style w:type="paragraph" w:customStyle="1" w:styleId="308">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09">
    <w:name w:val="_Style 1"/>
    <w:basedOn w:val="1"/>
    <w:qFormat/>
    <w:uiPriority w:val="99"/>
    <w:pPr>
      <w:ind w:firstLine="420"/>
    </w:pPr>
    <w:rPr>
      <w:szCs w:val="22"/>
    </w:rPr>
  </w:style>
  <w:style w:type="paragraph" w:customStyle="1" w:styleId="310">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11">
    <w:name w:val="列出段落1"/>
    <w:basedOn w:val="1"/>
    <w:qFormat/>
    <w:uiPriority w:val="0"/>
    <w:pPr>
      <w:ind w:firstLine="420"/>
    </w:pPr>
    <w:rPr>
      <w:sz w:val="20"/>
    </w:rPr>
  </w:style>
  <w:style w:type="paragraph" w:customStyle="1" w:styleId="31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11"/>
    <w:basedOn w:val="1"/>
    <w:qFormat/>
    <w:uiPriority w:val="0"/>
    <w:pPr>
      <w:widowControl/>
      <w:spacing w:before="100" w:beforeAutospacing="1" w:after="100" w:afterAutospacing="1"/>
      <w:jc w:val="left"/>
    </w:pPr>
    <w:rPr>
      <w:b/>
      <w:bCs/>
      <w:sz w:val="18"/>
      <w:szCs w:val="18"/>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6">
    <w:name w:val=" Char1"/>
    <w:basedOn w:val="1"/>
    <w:qFormat/>
    <w:uiPriority w:val="0"/>
    <w:pPr>
      <w:widowControl/>
      <w:spacing w:after="160" w:line="240" w:lineRule="exact"/>
      <w:jc w:val="left"/>
    </w:pPr>
  </w:style>
  <w:style w:type="paragraph" w:customStyle="1" w:styleId="317">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18">
    <w:name w:val="普通文字"/>
    <w:basedOn w:val="1"/>
    <w:next w:val="1"/>
    <w:qFormat/>
    <w:uiPriority w:val="0"/>
    <w:rPr>
      <w:rFonts w:ascii="宋体"/>
      <w:sz w:val="24"/>
    </w:rPr>
  </w:style>
  <w:style w:type="paragraph" w:customStyle="1" w:styleId="319">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1">
    <w:name w:val="_标题 1"/>
    <w:basedOn w:val="1"/>
    <w:next w:val="249"/>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22">
    <w:name w:val="_标题 3"/>
    <w:basedOn w:val="188"/>
    <w:next w:val="249"/>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2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4">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彩色列表 - 着色 11"/>
    <w:basedOn w:val="1"/>
    <w:qFormat/>
    <w:uiPriority w:val="34"/>
    <w:pPr>
      <w:ind w:firstLine="420"/>
    </w:pPr>
    <w:rPr>
      <w:szCs w:val="24"/>
    </w:rPr>
  </w:style>
  <w:style w:type="paragraph" w:customStyle="1" w:styleId="32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29">
    <w:name w:val="正文文本 字符"/>
    <w:link w:val="1"/>
    <w:semiHidden/>
    <w:qFormat/>
    <w:uiPriority w:val="0"/>
    <w:rPr>
      <w:rFonts w:cs="Times New Roman"/>
      <w:sz w:val="20"/>
      <w:szCs w:val="20"/>
    </w:rPr>
  </w:style>
  <w:style w:type="character" w:customStyle="1" w:styleId="330">
    <w:name w:val="页脚 字符"/>
    <w:link w:val="1"/>
    <w:qFormat/>
    <w:uiPriority w:val="99"/>
    <w:rPr>
      <w:rFonts w:cs="Times New Roman"/>
      <w:sz w:val="18"/>
      <w:szCs w:val="18"/>
    </w:rPr>
  </w:style>
  <w:style w:type="character" w:customStyle="1" w:styleId="331">
    <w:name w:val="正文文本缩进 字符"/>
    <w:link w:val="1"/>
    <w:semiHidden/>
    <w:qFormat/>
    <w:uiPriority w:val="0"/>
    <w:rPr>
      <w:rFonts w:cs="Times New Roman"/>
      <w:sz w:val="20"/>
      <w:szCs w:val="20"/>
    </w:rPr>
  </w:style>
  <w:style w:type="character" w:customStyle="1" w:styleId="332">
    <w:name w:val="批注框文本 字符"/>
    <w:link w:val="1"/>
    <w:qFormat/>
    <w:uiPriority w:val="0"/>
    <w:rPr>
      <w:sz w:val="18"/>
      <w:szCs w:val="18"/>
    </w:rPr>
  </w:style>
  <w:style w:type="character" w:customStyle="1" w:styleId="333">
    <w:name w:val="批注主题 字符"/>
    <w:link w:val="1"/>
    <w:semiHidden/>
    <w:qFormat/>
    <w:uiPriority w:val="99"/>
    <w:rPr>
      <w:b/>
      <w:bCs/>
      <w:sz w:val="21"/>
    </w:rPr>
  </w:style>
  <w:style w:type="character" w:customStyle="1" w:styleId="334">
    <w:name w:val="正文文本缩进 2 字符"/>
    <w:link w:val="1"/>
    <w:semiHidden/>
    <w:qFormat/>
    <w:uiPriority w:val="0"/>
    <w:rPr>
      <w:rFonts w:cs="Times New Roman"/>
      <w:sz w:val="20"/>
      <w:szCs w:val="20"/>
    </w:rPr>
  </w:style>
  <w:style w:type="character" w:customStyle="1" w:styleId="335">
    <w:name w:val="正文文本 2 字符"/>
    <w:link w:val="1"/>
    <w:semiHidden/>
    <w:qFormat/>
    <w:uiPriority w:val="0"/>
    <w:rPr>
      <w:rFonts w:cs="Times New Roman"/>
      <w:sz w:val="20"/>
      <w:szCs w:val="20"/>
    </w:rPr>
  </w:style>
  <w:style w:type="character" w:customStyle="1" w:styleId="336">
    <w:name w:val="正文文本缩进 3 字符"/>
    <w:link w:val="1"/>
    <w:semiHidden/>
    <w:qFormat/>
    <w:uiPriority w:val="0"/>
    <w:rPr>
      <w:rFonts w:cs="Times New Roman"/>
      <w:sz w:val="16"/>
      <w:szCs w:val="16"/>
    </w:rPr>
  </w:style>
  <w:style w:type="character" w:customStyle="1" w:styleId="337">
    <w:name w:val="标题 字符"/>
    <w:link w:val="1"/>
    <w:qFormat/>
    <w:uiPriority w:val="99"/>
    <w:rPr>
      <w:rFonts w:ascii="Cambria" w:hAnsi="Cambria" w:cs="Cambria"/>
      <w:b/>
      <w:bCs/>
      <w:sz w:val="32"/>
      <w:szCs w:val="32"/>
    </w:rPr>
  </w:style>
  <w:style w:type="character" w:customStyle="1" w:styleId="338">
    <w:name w:val="文档结构图 字符"/>
    <w:link w:val="1"/>
    <w:semiHidden/>
    <w:qFormat/>
    <w:uiPriority w:val="0"/>
    <w:rPr>
      <w:rFonts w:cs="Times New Roman"/>
      <w:sz w:val="2"/>
    </w:rPr>
  </w:style>
  <w:style w:type="character" w:customStyle="1" w:styleId="339">
    <w:name w:val="日期 字符"/>
    <w:link w:val="1"/>
    <w:semiHidden/>
    <w:qFormat/>
    <w:uiPriority w:val="0"/>
    <w:rPr>
      <w:rFonts w:cs="Times New Roman"/>
      <w:sz w:val="20"/>
      <w:szCs w:val="20"/>
    </w:rPr>
  </w:style>
  <w:style w:type="character" w:customStyle="1" w:styleId="340">
    <w:name w:val="标题 2 字符"/>
    <w:link w:val="1"/>
    <w:semiHidden/>
    <w:qFormat/>
    <w:uiPriority w:val="0"/>
    <w:rPr>
      <w:rFonts w:ascii="Cambria" w:hAnsi="Cambria" w:eastAsia="宋体" w:cs="Times New Roman"/>
      <w:b/>
      <w:bCs/>
      <w:sz w:val="32"/>
      <w:szCs w:val="32"/>
    </w:rPr>
  </w:style>
  <w:style w:type="character" w:customStyle="1" w:styleId="341">
    <w:name w:val="副标题 字符"/>
    <w:link w:val="1"/>
    <w:qFormat/>
    <w:uiPriority w:val="11"/>
    <w:rPr>
      <w:rFonts w:ascii="Calibri Light" w:hAnsi="Calibri Light"/>
      <w:b/>
      <w:bCs/>
      <w:sz w:val="32"/>
      <w:szCs w:val="32"/>
    </w:rPr>
  </w:style>
  <w:style w:type="character" w:customStyle="1" w:styleId="342">
    <w:name w:val="标题 4 字符"/>
    <w:link w:val="1"/>
    <w:semiHidden/>
    <w:qFormat/>
    <w:uiPriority w:val="0"/>
    <w:rPr>
      <w:rFonts w:ascii="Cambria" w:hAnsi="Cambria" w:eastAsia="宋体" w:cs="Times New Roman"/>
      <w:b/>
      <w:bCs/>
      <w:sz w:val="28"/>
      <w:szCs w:val="28"/>
    </w:rPr>
  </w:style>
  <w:style w:type="character" w:customStyle="1" w:styleId="343">
    <w:name w:val="标题 1 字符"/>
    <w:link w:val="1"/>
    <w:qFormat/>
    <w:uiPriority w:val="0"/>
    <w:rPr>
      <w:rFonts w:cs="Times New Roman"/>
      <w:b/>
      <w:bCs/>
      <w:sz w:val="44"/>
      <w:szCs w:val="44"/>
    </w:rPr>
  </w:style>
  <w:style w:type="character" w:customStyle="1" w:styleId="344">
    <w:name w:val="标题 3 字符"/>
    <w:link w:val="1"/>
    <w:semiHidden/>
    <w:qFormat/>
    <w:uiPriority w:val="0"/>
    <w:rPr>
      <w:rFonts w:cs="Times New Roman"/>
      <w:b/>
      <w:bCs/>
      <w:sz w:val="32"/>
      <w:szCs w:val="32"/>
    </w:rPr>
  </w:style>
  <w:style w:type="character" w:customStyle="1" w:styleId="345">
    <w:name w:val="列出段落 字符1"/>
    <w:link w:val="1"/>
    <w:qFormat/>
    <w:uiPriority w:val="34"/>
    <w:rPr>
      <w:sz w:val="21"/>
    </w:rPr>
  </w:style>
  <w:style w:type="character" w:customStyle="1" w:styleId="346">
    <w:name w:val="标题 5 字符"/>
    <w:link w:val="1"/>
    <w:qFormat/>
    <w:uiPriority w:val="0"/>
    <w:rPr>
      <w:rFonts w:ascii="楷体_GB2312" w:eastAsia="楷体_GB2312"/>
      <w:bCs/>
      <w:sz w:val="28"/>
    </w:rPr>
  </w:style>
  <w:style w:type="character" w:customStyle="1" w:styleId="347">
    <w:name w:val="页眉 字符"/>
    <w:link w:val="1"/>
    <w:qFormat/>
    <w:uiPriority w:val="99"/>
    <w:rPr>
      <w:rFonts w:cs="Times New Roman"/>
      <w:sz w:val="18"/>
      <w:szCs w:val="18"/>
    </w:rPr>
  </w:style>
  <w:style w:type="character" w:customStyle="1" w:styleId="348">
    <w:name w:val="批注文字 字符"/>
    <w:link w:val="1"/>
    <w:semiHidden/>
    <w:qFormat/>
    <w:uiPriority w:val="99"/>
    <w:rPr>
      <w:sz w:val="21"/>
    </w:rPr>
  </w:style>
  <w:style w:type="paragraph" w:customStyle="1" w:styleId="349">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0">
    <w:name w:val="Char1 Char Char Char"/>
    <w:basedOn w:val="1"/>
    <w:qFormat/>
    <w:uiPriority w:val="0"/>
    <w:rPr>
      <w:rFonts w:ascii="Tahoma" w:hAnsi="Tahoma"/>
      <w:sz w:val="24"/>
    </w:rPr>
  </w:style>
  <w:style w:type="paragraph" w:customStyle="1" w:styleId="3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Calibri" w:hAnsi="Calibri" w:eastAsia="Times New Roman" w:cs="Times New Roman"/>
      <w:sz w:val="24"/>
      <w:szCs w:val="24"/>
      <w:lang w:val="en-US" w:eastAsia="zh-CN" w:bidi="ar-SA"/>
    </w:rPr>
  </w:style>
  <w:style w:type="paragraph" w:customStyle="1" w:styleId="353">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4">
    <w:name w:val="NormalCharacter1"/>
    <w:link w:val="1"/>
    <w:qFormat/>
    <w:uiPriority w:val="0"/>
  </w:style>
  <w:style w:type="paragraph" w:customStyle="1" w:styleId="355">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56">
    <w:name w:val="font101"/>
    <w:basedOn w:val="191"/>
    <w:link w:val="1"/>
    <w:qFormat/>
    <w:uiPriority w:val="0"/>
    <w:rPr>
      <w:rFonts w:ascii="Times New Roman" w:hAnsi="Times New Roman" w:cs="Times New Roman"/>
      <w:b/>
      <w:bCs/>
      <w:color w:val="FF0000"/>
      <w:sz w:val="16"/>
      <w:szCs w:val="16"/>
      <w:u w:val="none"/>
    </w:rPr>
  </w:style>
  <w:style w:type="paragraph" w:customStyle="1" w:styleId="357">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58">
    <w:name w:val="纯文本1"/>
    <w:basedOn w:val="1"/>
    <w:qFormat/>
    <w:uiPriority w:val="0"/>
    <w:rPr>
      <w:rFonts w:ascii="宋体" w:hAnsi="Courier New" w:eastAsia="楷体_GB2312" w:cs="宋体"/>
      <w:sz w:val="28"/>
    </w:rPr>
  </w:style>
  <w:style w:type="character" w:customStyle="1" w:styleId="359">
    <w:name w:val="默认段落字体1"/>
    <w:link w:val="1"/>
    <w:unhideWhenUsed/>
    <w:qFormat/>
    <w:uiPriority w:val="1"/>
  </w:style>
  <w:style w:type="paragraph" w:customStyle="1" w:styleId="360">
    <w:name w:val="标题 31"/>
    <w:basedOn w:val="1"/>
    <w:next w:val="36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61">
    <w:name w:val="正文缩进1"/>
    <w:basedOn w:val="1"/>
    <w:qFormat/>
    <w:uiPriority w:val="0"/>
    <w:pPr>
      <w:ind w:firstLine="420"/>
    </w:pPr>
    <w:rPr>
      <w:sz w:val="20"/>
    </w:rPr>
  </w:style>
  <w:style w:type="paragraph" w:customStyle="1" w:styleId="362">
    <w:name w:val="标题 41"/>
    <w:basedOn w:val="1"/>
    <w:next w:val="361"/>
    <w:qFormat/>
    <w:uiPriority w:val="0"/>
    <w:pPr>
      <w:keepNext/>
      <w:keepLines/>
      <w:spacing w:before="280" w:after="290" w:line="376" w:lineRule="auto"/>
      <w:outlineLvl w:val="3"/>
    </w:pPr>
    <w:rPr>
      <w:rFonts w:ascii="Arial" w:hAnsi="Arial" w:eastAsia="黑体"/>
      <w:b/>
      <w:bCs/>
      <w:sz w:val="28"/>
      <w:szCs w:val="28"/>
    </w:rPr>
  </w:style>
  <w:style w:type="paragraph" w:customStyle="1" w:styleId="363">
    <w:name w:val="Table Text"/>
    <w:basedOn w:val="1"/>
    <w:semiHidden/>
    <w:qFormat/>
    <w:uiPriority w:val="0"/>
    <w:rPr>
      <w:szCs w:val="21"/>
      <w:lang w:eastAsia="en-US"/>
    </w:rPr>
  </w:style>
  <w:style w:type="paragraph" w:customStyle="1" w:styleId="36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5">
    <w:name w:val="Char"/>
    <w:basedOn w:val="1"/>
    <w:qFormat/>
    <w:uiPriority w:val="0"/>
    <w:pPr>
      <w:tabs>
        <w:tab w:val="left" w:pos="360"/>
      </w:tabs>
      <w:ind w:firstLine="200"/>
    </w:pPr>
    <w:rPr>
      <w:sz w:val="28"/>
      <w:szCs w:val="30"/>
    </w:rPr>
  </w:style>
  <w:style w:type="character" w:customStyle="1" w:styleId="366">
    <w:name w:val="HTML 打字机1"/>
    <w:link w:val="1"/>
    <w:qFormat/>
    <w:uiPriority w:val="99"/>
    <w:rPr>
      <w:rFonts w:ascii="宋体" w:hAnsi="宋体" w:eastAsia="宋体" w:cs="宋体"/>
      <w:sz w:val="24"/>
      <w:szCs w:val="24"/>
    </w:rPr>
  </w:style>
  <w:style w:type="paragraph" w:customStyle="1" w:styleId="367">
    <w:name w:val="Table Paragraph"/>
    <w:basedOn w:val="1"/>
    <w:qFormat/>
    <w:uiPriority w:val="1"/>
    <w:rPr>
      <w:rFonts w:ascii="宋体" w:hAnsi="宋体" w:cs="宋体"/>
      <w:szCs w:val="24"/>
      <w:lang w:val="zh-CN" w:bidi="zh-CN"/>
    </w:rPr>
  </w:style>
  <w:style w:type="paragraph" w:customStyle="1" w:styleId="368">
    <w:name w:val="_Style 14"/>
    <w:basedOn w:val="1"/>
    <w:next w:val="246"/>
    <w:qFormat/>
    <w:uiPriority w:val="99"/>
    <w:pPr>
      <w:ind w:firstLine="420"/>
    </w:pPr>
    <w:rPr>
      <w:rFonts w:ascii="宋体" w:hAnsi="宋体" w:cs="Times New Roman"/>
      <w:bCs/>
      <w:szCs w:val="32"/>
    </w:rPr>
  </w:style>
  <w:style w:type="paragraph" w:customStyle="1" w:styleId="369">
    <w:name w:val="List Paragraph1"/>
    <w:basedOn w:val="1"/>
    <w:qFormat/>
    <w:uiPriority w:val="0"/>
    <w:pPr>
      <w:ind w:firstLine="420"/>
    </w:pPr>
    <w:rPr>
      <w:szCs w:val="21"/>
    </w:rPr>
  </w:style>
  <w:style w:type="character" w:customStyle="1" w:styleId="370">
    <w:name w:val="font131"/>
    <w:basedOn w:val="191"/>
    <w:link w:val="1"/>
    <w:qFormat/>
    <w:uiPriority w:val="0"/>
    <w:rPr>
      <w:rFonts w:ascii="Calibri" w:hAnsi="Calibri" w:cs="Calibri"/>
      <w:color w:val="000000"/>
      <w:sz w:val="22"/>
      <w:szCs w:val="22"/>
      <w:u w:val="none"/>
    </w:rPr>
  </w:style>
  <w:style w:type="character" w:customStyle="1" w:styleId="371">
    <w:name w:val="font141"/>
    <w:basedOn w:val="191"/>
    <w:link w:val="1"/>
    <w:qFormat/>
    <w:uiPriority w:val="0"/>
    <w:rPr>
      <w:rFonts w:hint="eastAsia" w:ascii="宋体" w:hAnsi="宋体" w:eastAsia="宋体" w:cs="宋体"/>
      <w:color w:val="000000"/>
      <w:sz w:val="22"/>
      <w:szCs w:val="22"/>
      <w:u w:val="none"/>
    </w:rPr>
  </w:style>
  <w:style w:type="character" w:customStyle="1" w:styleId="372">
    <w:name w:val="font31"/>
    <w:basedOn w:val="33"/>
    <w:link w:val="1"/>
    <w:qFormat/>
    <w:uiPriority w:val="0"/>
    <w:rPr>
      <w:rFonts w:hint="eastAsia" w:ascii="楷体" w:hAnsi="楷体" w:eastAsia="楷体" w:cs="楷体"/>
      <w:color w:val="000000"/>
      <w:sz w:val="22"/>
      <w:szCs w:val="22"/>
      <w:u w:val="none"/>
    </w:rPr>
  </w:style>
  <w:style w:type="character" w:customStyle="1" w:styleId="373">
    <w:name w:val="font151"/>
    <w:basedOn w:val="191"/>
    <w:link w:val="1"/>
    <w:qFormat/>
    <w:uiPriority w:val="0"/>
    <w:rPr>
      <w:rFonts w:hint="eastAsia" w:ascii="宋体" w:hAnsi="宋体" w:eastAsia="宋体" w:cs="宋体"/>
      <w:color w:val="000000"/>
      <w:sz w:val="22"/>
      <w:szCs w:val="22"/>
      <w:u w:val="none"/>
    </w:rPr>
  </w:style>
  <w:style w:type="paragraph" w:customStyle="1" w:styleId="374">
    <w:name w:val="正文首行缩进 21"/>
    <w:basedOn w:val="375"/>
    <w:qFormat/>
    <w:uiPriority w:val="0"/>
    <w:pPr>
      <w:spacing w:line="360" w:lineRule="auto"/>
      <w:ind w:firstLine="420"/>
    </w:pPr>
    <w:rPr>
      <w:rFonts w:ascii="宋体" w:hAnsi="宋体" w:eastAsia="宋体"/>
      <w:szCs w:val="20"/>
    </w:rPr>
  </w:style>
  <w:style w:type="paragraph" w:customStyle="1" w:styleId="375">
    <w:name w:val="正文文本缩进1"/>
    <w:basedOn w:val="1"/>
    <w:next w:val="376"/>
    <w:qFormat/>
    <w:uiPriority w:val="0"/>
    <w:pPr>
      <w:ind w:firstLine="645"/>
    </w:pPr>
    <w:rPr>
      <w:rFonts w:ascii="楷体_GB2312" w:eastAsia="楷体_GB2312"/>
      <w:sz w:val="32"/>
      <w:szCs w:val="32"/>
    </w:rPr>
  </w:style>
  <w:style w:type="paragraph" w:customStyle="1" w:styleId="376">
    <w:name w:val="寄信人地址1"/>
    <w:basedOn w:val="1"/>
    <w:unhideWhenUsed/>
    <w:qFormat/>
    <w:uiPriority w:val="99"/>
    <w:rPr>
      <w:rFonts w:hint="eastAsia" w:ascii="Arial" w:hAnsi="Arial"/>
      <w:sz w:val="24"/>
    </w:rPr>
  </w:style>
  <w:style w:type="character" w:customStyle="1" w:styleId="377">
    <w:name w:val="font21"/>
    <w:basedOn w:val="33"/>
    <w:link w:val="1"/>
    <w:qFormat/>
    <w:uiPriority w:val="0"/>
    <w:rPr>
      <w:rFonts w:hint="eastAsia" w:ascii="宋体" w:hAnsi="宋体" w:eastAsia="宋体" w:cs="宋体"/>
      <w:b/>
      <w:bCs/>
      <w:color w:val="000000"/>
      <w:sz w:val="20"/>
      <w:szCs w:val="20"/>
      <w:u w:val="none"/>
    </w:rPr>
  </w:style>
  <w:style w:type="character" w:customStyle="1" w:styleId="378">
    <w:name w:val="font41"/>
    <w:basedOn w:val="191"/>
    <w:link w:val="1"/>
    <w:qFormat/>
    <w:uiPriority w:val="0"/>
    <w:rPr>
      <w:rFonts w:ascii="宋体" w:hAnsi="宋体" w:eastAsia="宋体" w:cs="宋体"/>
      <w:b/>
      <w:bCs/>
      <w:color w:val="000000"/>
      <w:sz w:val="20"/>
      <w:szCs w:val="20"/>
      <w:u w:val="none"/>
    </w:rPr>
  </w:style>
  <w:style w:type="character" w:customStyle="1" w:styleId="379">
    <w:name w:val="font51"/>
    <w:basedOn w:val="191"/>
    <w:link w:val="1"/>
    <w:qFormat/>
    <w:uiPriority w:val="0"/>
    <w:rPr>
      <w:rFonts w:ascii="等线" w:hAnsi="等线" w:eastAsia="等线" w:cs="等线"/>
      <w:b/>
      <w:bCs/>
      <w:color w:val="000000"/>
      <w:sz w:val="20"/>
      <w:szCs w:val="20"/>
      <w:u w:val="none"/>
    </w:rPr>
  </w:style>
  <w:style w:type="character" w:customStyle="1" w:styleId="380">
    <w:name w:val="fontstyle01"/>
    <w:link w:val="1"/>
    <w:qFormat/>
    <w:uiPriority w:val="0"/>
    <w:rPr>
      <w:rFonts w:hint="eastAsia" w:ascii="宋体" w:hAnsi="宋体" w:eastAsia="宋体"/>
      <w:color w:val="000000"/>
      <w:sz w:val="24"/>
      <w:szCs w:val="24"/>
    </w:rPr>
  </w:style>
  <w:style w:type="paragraph" w:customStyle="1" w:styleId="381">
    <w:name w:val="列表段落1"/>
    <w:qFormat/>
    <w:uiPriority w:val="0"/>
    <w:pPr>
      <w:widowControl w:val="0"/>
      <w:ind w:firstLine="420"/>
      <w:jc w:val="both"/>
    </w:pPr>
    <w:rPr>
      <w:rFonts w:hint="default" w:ascii="Times New Roman" w:hAnsi="Times New Roman" w:eastAsia="宋体" w:cs="Times New Roman"/>
      <w:sz w:val="21"/>
      <w:lang w:val="en-US" w:eastAsia="zh-CN" w:bidi="ar-SA"/>
    </w:rPr>
  </w:style>
  <w:style w:type="character" w:customStyle="1" w:styleId="382">
    <w:name w:val="font251"/>
    <w:basedOn w:val="191"/>
    <w:link w:val="1"/>
    <w:qFormat/>
    <w:uiPriority w:val="0"/>
    <w:rPr>
      <w:rFonts w:hint="eastAsia" w:ascii="宋体" w:hAnsi="宋体" w:eastAsia="宋体" w:cs="宋体"/>
      <w:color w:val="FF0000"/>
      <w:sz w:val="20"/>
      <w:szCs w:val="20"/>
      <w:u w:val="none"/>
    </w:rPr>
  </w:style>
  <w:style w:type="character" w:customStyle="1" w:styleId="383">
    <w:name w:val="font91"/>
    <w:basedOn w:val="3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Company>Lenov</Company>
  <Pages>58</Pages>
  <Words>38508</Words>
  <Characters>41618</Characters>
  <TotalTime>26</TotalTime>
  <ScaleCrop>false</ScaleCrop>
  <LinksUpToDate>false</LinksUpToDate>
  <CharactersWithSpaces>42452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俊俊</cp:lastModifiedBy>
  <dcterms:modified xsi:type="dcterms:W3CDTF">2026-09-16T08:02:23Z</dcterms:modified>
  <dc:title>投标邀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88452E9B3FF74BEE999B13DF2924B25C_13</vt:lpwstr>
  </property>
  <property fmtid="{D5CDD505-2E9C-101B-9397-08002B2CF9AE}" pid="4" name="KSOTemplateDocerSaveRecord">
    <vt:lpwstr>eyJoZGlkIjoiOWMyNDI3ZWI4YmM0NjdlMGViOTE3ODY3YTk2NzY2YzYiLCJ1c2VySWQiOiI5MjgxOTkyNDUifQ==</vt:lpwstr>
  </property>
</Properties>
</file>