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rPr>
          <w:rFonts w:hint="eastAsia" w:ascii="宋体" w:hAnsi="宋体" w:cs="宋体"/>
          <w:b/>
          <w:bCs/>
          <w:spacing w:val="20"/>
          <w:sz w:val="48"/>
          <w:szCs w:val="44"/>
          <w:highlight w:val="none"/>
        </w:rPr>
      </w:pPr>
      <w:r>
        <w:rPr>
          <w:rFonts w:hint="eastAsia" w:ascii="宋体" w:hAnsi="宋体" w:cs="宋体"/>
          <w:b/>
          <w:bCs/>
          <w:spacing w:val="20"/>
          <w:sz w:val="48"/>
          <w:szCs w:val="44"/>
          <w:highlight w:val="none"/>
        </w:rPr>
      </w:r>
      <w:r/>
    </w:p>
    <w:p>
      <w:pPr>
        <w:jc w:val="center"/>
        <w:shd w:val="clear" w:color="auto" w:fill="auto"/>
        <w:rPr>
          <w:rFonts w:hint="eastAsia" w:ascii="宋体" w:hAnsi="宋体" w:cs="宋体"/>
          <w:b/>
          <w:bCs/>
          <w:spacing w:val="20"/>
          <w:sz w:val="44"/>
          <w:szCs w:val="44"/>
          <w:highlight w:val="none"/>
        </w:rPr>
      </w:pPr>
      <w:r>
        <w:rPr>
          <w:rFonts w:hint="eastAsia" w:ascii="宋体" w:hAnsi="宋体" w:cs="宋体"/>
          <w:b/>
          <w:bCs/>
          <w:spacing w:val="20"/>
          <w:sz w:val="44"/>
          <w:szCs w:val="44"/>
          <w:highlight w:val="none"/>
        </w:rPr>
        <w:t xml:space="preserve">苏北运河船闸检修门存放基地</w:t>
      </w:r>
      <w:r/>
    </w:p>
    <w:p>
      <w:pPr>
        <w:jc w:val="center"/>
        <w:shd w:val="clear" w:color="auto" w:fill="auto"/>
        <w:rPr>
          <w:rFonts w:hint="eastAsia" w:ascii="宋体" w:hAnsi="宋体" w:eastAsia="宋体" w:cs="宋体"/>
          <w:b/>
          <w:spacing w:val="100"/>
          <w:sz w:val="30"/>
          <w:highlight w:val="none"/>
          <w:lang w:eastAsia="zh-CN"/>
        </w:rPr>
      </w:pPr>
      <w:r>
        <w:rPr>
          <w:rFonts w:hint="eastAsia" w:ascii="宋体" w:hAnsi="宋体" w:cs="宋体"/>
          <w:b/>
          <w:bCs/>
          <w:spacing w:val="20"/>
          <w:sz w:val="44"/>
          <w:szCs w:val="44"/>
          <w:highlight w:val="none"/>
        </w:rPr>
        <w:t xml:space="preserve">扩容及功能完善项目</w:t>
      </w:r>
      <w:r>
        <w:rPr>
          <w:rFonts w:hint="eastAsia" w:ascii="宋体" w:hAnsi="宋体" w:cs="宋体"/>
          <w:b/>
          <w:bCs/>
          <w:spacing w:val="20"/>
          <w:sz w:val="44"/>
          <w:szCs w:val="44"/>
          <w:highlight w:val="none"/>
          <w:lang w:eastAsia="zh-CN"/>
        </w:rPr>
        <w:t xml:space="preserve">（</w:t>
      </w:r>
      <w:r>
        <w:rPr>
          <w:rFonts w:hint="eastAsia" w:ascii="宋体" w:hAnsi="宋体" w:cs="宋体"/>
          <w:b/>
          <w:bCs/>
          <w:spacing w:val="20"/>
          <w:sz w:val="44"/>
          <w:szCs w:val="44"/>
          <w:highlight w:val="none"/>
          <w:lang w:val="en-US" w:eastAsia="zh-CN"/>
        </w:rPr>
        <w:t xml:space="preserve">三次</w:t>
      </w:r>
      <w:r>
        <w:rPr>
          <w:rFonts w:hint="eastAsia" w:ascii="宋体" w:hAnsi="宋体" w:cs="宋体"/>
          <w:b/>
          <w:bCs/>
          <w:spacing w:val="20"/>
          <w:sz w:val="44"/>
          <w:szCs w:val="44"/>
          <w:highlight w:val="none"/>
          <w:lang w:eastAsia="zh-CN"/>
        </w:rPr>
        <w:t xml:space="preserve">）</w:t>
      </w:r>
      <w:r/>
    </w:p>
    <w:p>
      <w:pPr>
        <w:pStyle w:val="1074"/>
        <w:shd w:val="clear" w:color="auto" w:fill="auto"/>
        <w:rPr>
          <w:rFonts w:hint="eastAsia" w:ascii="宋体" w:hAnsi="宋体" w:cs="宋体"/>
          <w:highlight w:val="none"/>
        </w:rPr>
      </w:pPr>
      <w:r>
        <w:rPr>
          <w:rFonts w:hint="eastAsia" w:ascii="宋体" w:hAnsi="宋体" w:cs="宋体"/>
          <w:highlight w:val="none"/>
        </w:rPr>
      </w:r>
      <w:r/>
    </w:p>
    <w:p>
      <w:pPr>
        <w:pStyle w:val="1074"/>
        <w:shd w:val="clear" w:color="auto" w:fill="auto"/>
        <w:rPr>
          <w:rFonts w:hint="eastAsia" w:ascii="宋体" w:hAnsi="宋体" w:cs="宋体"/>
          <w:highlight w:val="none"/>
        </w:rPr>
      </w:pPr>
      <w:r>
        <w:rPr>
          <w:rFonts w:hint="eastAsia" w:ascii="宋体" w:hAnsi="宋体" w:cs="宋体"/>
          <w:highlight w:val="none"/>
        </w:rPr>
      </w:r>
      <w:r/>
    </w:p>
    <w:p>
      <w:pPr>
        <w:pStyle w:val="1074"/>
        <w:shd w:val="clear" w:color="auto" w:fill="auto"/>
        <w:rPr>
          <w:rFonts w:hint="eastAsia" w:ascii="宋体" w:hAnsi="宋体" w:cs="宋体"/>
          <w:highlight w:val="none"/>
        </w:rPr>
      </w:pPr>
      <w:r>
        <w:rPr>
          <w:rFonts w:hint="eastAsia" w:ascii="宋体" w:hAnsi="宋体" w:cs="宋体"/>
          <w:highlight w:val="none"/>
        </w:rPr>
      </w:r>
      <w:r/>
    </w:p>
    <w:p>
      <w:pPr>
        <w:shd w:val="clear" w:color="auto" w:fill="auto"/>
        <w:rPr>
          <w:rFonts w:hint="eastAsia" w:ascii="宋体" w:hAnsi="宋体" w:cs="宋体"/>
          <w:highlight w:val="none"/>
        </w:rPr>
      </w:pPr>
      <w:r>
        <w:rPr>
          <w:rFonts w:hint="eastAsia" w:ascii="宋体" w:hAnsi="宋体" w:cs="宋体"/>
          <w:highlight w:val="none"/>
        </w:rPr>
      </w:r>
      <w:r/>
    </w:p>
    <w:p>
      <w:pPr>
        <w:jc w:val="center"/>
        <w:spacing w:before="120" w:after="120"/>
        <w:shd w:val="clear" w:color="auto" w:fill="auto"/>
        <w:rPr>
          <w:rFonts w:hint="eastAsia" w:ascii="宋体" w:hAnsi="宋体" w:cs="宋体"/>
          <w:b/>
          <w:spacing w:val="60"/>
          <w:sz w:val="84"/>
          <w:szCs w:val="84"/>
          <w:highlight w:val="none"/>
        </w:rPr>
      </w:pPr>
      <w:r>
        <w:rPr>
          <w:rFonts w:hint="eastAsia" w:ascii="宋体" w:hAnsi="宋体" w:cs="宋体"/>
          <w:b/>
          <w:spacing w:val="60"/>
          <w:sz w:val="84"/>
          <w:szCs w:val="84"/>
          <w:highlight w:val="none"/>
        </w:rPr>
      </w:r>
      <w:r/>
    </w:p>
    <w:p>
      <w:pPr>
        <w:jc w:val="center"/>
        <w:spacing w:before="120" w:after="120"/>
        <w:shd w:val="clear" w:color="auto" w:fill="auto"/>
        <w:rPr>
          <w:rFonts w:hint="eastAsia" w:ascii="宋体" w:hAnsi="宋体" w:cs="宋体"/>
          <w:b/>
          <w:spacing w:val="60"/>
          <w:sz w:val="84"/>
          <w:szCs w:val="84"/>
          <w:highlight w:val="none"/>
        </w:rPr>
      </w:pPr>
      <w:r>
        <w:rPr>
          <w:rFonts w:hint="eastAsia" w:ascii="宋体" w:hAnsi="宋体" w:cs="宋体"/>
          <w:b/>
          <w:spacing w:val="60"/>
          <w:sz w:val="84"/>
          <w:szCs w:val="84"/>
          <w:highlight w:val="none"/>
        </w:rPr>
        <w:t xml:space="preserve">招 标 文 件</w:t>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jc w:val="center"/>
        <w:shd w:val="clear" w:color="auto" w:fill="auto"/>
        <w:rPr>
          <w:rFonts w:hint="eastAsia" w:ascii="宋体" w:hAnsi="宋体" w:cs="宋体"/>
          <w:b/>
          <w:sz w:val="32"/>
          <w:szCs w:val="44"/>
          <w:highlight w:val="none"/>
        </w:rPr>
      </w:pPr>
      <w:r>
        <w:rPr>
          <w:rFonts w:hint="eastAsia" w:ascii="宋体" w:hAnsi="宋体" w:cs="宋体"/>
          <w:b/>
          <w:sz w:val="32"/>
          <w:szCs w:val="44"/>
          <w:highlight w:val="none"/>
        </w:rPr>
      </w:r>
      <w:r/>
    </w:p>
    <w:p>
      <w:pPr>
        <w:spacing w:before="240"/>
        <w:shd w:val="clear" w:color="auto" w:fill="auto"/>
        <w:tabs>
          <w:tab w:val="left" w:pos="4605" w:leader="none"/>
        </w:tabs>
        <w:rPr>
          <w:rFonts w:hint="eastAsia" w:ascii="宋体" w:hAnsi="宋体" w:cs="宋体"/>
          <w:highlight w:val="none"/>
        </w:rPr>
      </w:pPr>
      <w:r>
        <w:rPr>
          <w:rFonts w:hint="eastAsia" w:ascii="宋体" w:hAnsi="宋体" w:cs="宋体"/>
          <w:b/>
          <w:sz w:val="32"/>
          <w:highlight w:val="none"/>
        </w:rPr>
        <w:tab/>
      </w:r>
      <w:r/>
    </w:p>
    <w:p>
      <w:pPr>
        <w:ind w:firstLine="939"/>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招 标 人：京杭运河江苏省交通运输厅苏北航务管理处</w:t>
      </w:r>
      <w:r/>
    </w:p>
    <w:p>
      <w:pPr>
        <w:jc w:val="center"/>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招标代理机构：江苏天业工程咨询房地产估价有限责任公司</w:t>
      </w:r>
      <w:r/>
    </w:p>
    <w:p>
      <w:pPr>
        <w:jc w:val="center"/>
        <w:spacing w:before="240" w:line="240" w:lineRule="auto"/>
        <w:shd w:val="clear" w:color="auto" w:fill="auto"/>
        <w:rPr>
          <w:rFonts w:hint="eastAsia" w:ascii="宋体" w:hAnsi="宋体" w:cs="宋体"/>
          <w:bCs/>
          <w:sz w:val="32"/>
          <w:szCs w:val="32"/>
          <w:highlight w:val="none"/>
        </w:rPr>
      </w:pPr>
      <w:r>
        <w:rPr>
          <w:rFonts w:hint="eastAsia" w:ascii="宋体" w:hAnsi="宋体" w:cs="宋体"/>
          <w:bCs/>
          <w:sz w:val="32"/>
          <w:szCs w:val="32"/>
          <w:highlight w:val="none"/>
        </w:rPr>
        <w:t xml:space="preserve">2026年</w:t>
      </w:r>
      <w:r>
        <w:rPr>
          <w:rFonts w:hint="eastAsia" w:ascii="宋体" w:hAnsi="宋体" w:cs="宋体"/>
          <w:bCs/>
          <w:sz w:val="32"/>
          <w:szCs w:val="32"/>
          <w:highlight w:val="none"/>
          <w:lang w:val="en-US" w:eastAsia="zh-CN"/>
        </w:rPr>
        <w:t xml:space="preserve">9</w:t>
      </w:r>
      <w:r>
        <w:rPr>
          <w:rFonts w:hint="eastAsia" w:ascii="宋体" w:hAnsi="宋体" w:cs="宋体"/>
          <w:bCs/>
          <w:sz w:val="32"/>
          <w:szCs w:val="32"/>
          <w:highlight w:val="none"/>
        </w:rPr>
        <w:t xml:space="preserve">月</w:t>
      </w:r>
      <w:r/>
    </w:p>
    <w:p>
      <w:pPr>
        <w:jc w:val="center"/>
        <w:spacing w:line="420" w:lineRule="exact"/>
        <w:shd w:val="clear" w:color="auto" w:fill="auto"/>
        <w:rPr>
          <w:rFonts w:hint="eastAsia" w:ascii="宋体" w:hAnsi="宋体" w:cs="宋体"/>
          <w:bCs/>
          <w:sz w:val="32"/>
          <w:szCs w:val="32"/>
          <w:highlight w:val="none"/>
        </w:rPr>
        <w:sectPr>
          <w:footerReference w:type="default" r:id="rId10"/>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cs="宋体"/>
          <w:bCs/>
          <w:sz w:val="32"/>
          <w:szCs w:val="32"/>
          <w:highlight w:val="none"/>
        </w:rPr>
      </w:r>
      <w:r/>
    </w:p>
    <w:p>
      <w:pPr>
        <w:shd w:val="clear" w:color="auto" w:fill="auto"/>
        <w:rPr>
          <w:rFonts w:hint="eastAsia" w:ascii="宋体" w:hAnsi="宋体" w:cs="宋体"/>
          <w:highlight w:val="none"/>
        </w:rPr>
      </w:pPr>
      <w:r>
        <w:rPr>
          <w:rFonts w:hint="eastAsia" w:ascii="宋体" w:hAnsi="宋体" w:cs="宋体"/>
          <w:highlight w:val="none"/>
        </w:rPr>
      </w:r>
      <w:r/>
    </w:p>
    <w:p>
      <w:pPr>
        <w:jc w:val="center"/>
        <w:shd w:val="clear" w:color="auto" w:fill="auto"/>
        <w:rPr>
          <w:rFonts w:hint="eastAsia" w:ascii="宋体" w:hAnsi="宋体" w:cs="宋体"/>
          <w:b/>
          <w:sz w:val="44"/>
          <w:szCs w:val="44"/>
          <w:highlight w:val="none"/>
        </w:rPr>
      </w:pPr>
      <w:r/>
      <w:bookmarkStart w:id="0" w:name="_Toc432244487"/>
      <w:r/>
      <w:bookmarkStart w:id="1" w:name="_Toc503901899"/>
      <w:r/>
      <w:bookmarkStart w:id="2" w:name="_Toc503307418"/>
      <w:r>
        <w:rPr>
          <w:rFonts w:hint="eastAsia" w:ascii="宋体" w:hAnsi="宋体" w:cs="宋体"/>
          <w:b/>
          <w:sz w:val="44"/>
          <w:szCs w:val="44"/>
          <w:highlight w:val="none"/>
        </w:rPr>
        <w:t xml:space="preserve">目    录</w:t>
      </w:r>
      <w:bookmarkEnd w:id="0"/>
      <w:r/>
      <w:bookmarkEnd w:id="1"/>
      <w:r/>
      <w:bookmarkEnd w:id="2"/>
      <w:r/>
      <w:r/>
    </w:p>
    <w:p>
      <w:pPr>
        <w:pStyle w:val="1079"/>
        <w:shd w:val="clear" w:color="auto" w:fill="auto"/>
        <w:rPr>
          <w:rFonts w:hint="eastAsia" w:ascii="宋体" w:hAnsi="宋体" w:cs="宋体"/>
          <w:sz w:val="28"/>
          <w:szCs w:val="28"/>
          <w:highlight w:val="none"/>
        </w:rPr>
      </w:pPr>
      <w:r>
        <w:rPr>
          <w:rFonts w:hint="eastAsia" w:ascii="宋体" w:hAnsi="宋体" w:cs="宋体"/>
          <w:b/>
          <w:bCs/>
          <w:sz w:val="48"/>
          <w:szCs w:val="48"/>
          <w:highlight w:val="none"/>
        </w:rPr>
        <w:fldChar w:fldCharType="begin"/>
      </w:r>
      <w:r>
        <w:rPr>
          <w:rFonts w:hint="eastAsia" w:ascii="宋体" w:hAnsi="宋体" w:cs="宋体"/>
          <w:b/>
          <w:bCs/>
          <w:sz w:val="48"/>
          <w:szCs w:val="48"/>
          <w:highlight w:val="none"/>
        </w:rPr>
        <w:instrText xml:space="preserve"> TOC \o "1-3" \h \z \u </w:instrText>
      </w:r>
      <w:r>
        <w:rPr>
          <w:rFonts w:hint="eastAsia" w:ascii="宋体" w:hAnsi="宋体" w:cs="宋体"/>
          <w:b/>
          <w:bCs/>
          <w:sz w:val="48"/>
          <w:szCs w:val="48"/>
          <w:highlight w:val="none"/>
        </w:rPr>
        <w:fldChar w:fldCharType="separate"/>
      </w:r>
      <w:r>
        <w:rPr>
          <w:highlight w:val="none"/>
        </w:rPr>
        <w:fldChar w:fldCharType="begin"/>
      </w:r>
      <w:r>
        <w:rPr>
          <w:highlight w:val="none"/>
        </w:rPr>
        <w:instrText xml:space="preserve"> HYPERLINK \l "_Toc211090850" </w:instrText>
      </w:r>
      <w:r>
        <w:rPr>
          <w:highlight w:val="none"/>
        </w:rPr>
        <w:fldChar w:fldCharType="separate"/>
      </w:r>
      <w:r>
        <w:rPr>
          <w:rStyle w:val="1088"/>
          <w:rFonts w:hint="eastAsia" w:ascii="宋体" w:hAnsi="宋体" w:cs="宋体"/>
          <w:color w:val="auto"/>
          <w:sz w:val="28"/>
          <w:szCs w:val="28"/>
          <w:highlight w:val="none"/>
        </w:rPr>
        <w:t xml:space="preserve">第一章  招标公告</w:t>
      </w:r>
      <w:r>
        <w:rPr>
          <w:rFonts w:hint="eastAsia" w:ascii="宋体" w:hAnsi="宋体" w:cs="宋体"/>
          <w:sz w:val="28"/>
          <w:szCs w:val="28"/>
          <w:highlight w:val="none"/>
        </w:rPr>
        <w:tab/>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"_Toc211090857" </w:instrText>
      </w:r>
      <w:r>
        <w:rPr>
          <w:highlight w:val="none"/>
        </w:rPr>
        <w:fldChar w:fldCharType="separate"/>
      </w:r>
      <w:r>
        <w:rPr>
          <w:rStyle w:val="1088"/>
          <w:rFonts w:hint="eastAsia" w:ascii="宋体" w:hAnsi="宋体" w:cs="宋体"/>
          <w:color w:val="auto"/>
          <w:sz w:val="28"/>
          <w:szCs w:val="28"/>
          <w:highlight w:val="none"/>
        </w:rPr>
        <w:t xml:space="preserve">第二章  投标人须知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fldChar w:fldCharType="end"/>
      </w:r>
      <w:r/>
    </w:p>
    <w:p>
      <w:pPr>
        <w:pStyle w:val="1079"/>
        <w:shd w:val="clear" w:color="auto" w:fill="auto"/>
        <w:rPr>
          <w:rFonts w:hint="default" w:ascii="宋体" w:hAnsi="宋体" w:eastAsia="宋体" w:cs="宋体"/>
          <w:sz w:val="28"/>
          <w:szCs w:val="28"/>
          <w:highlight w:val="none"/>
        </w:rPr>
      </w:pPr>
      <w:r>
        <w:rPr>
          <w:highlight w:val="none"/>
        </w:rPr>
        <w:fldChar w:fldCharType="begin"/>
      </w:r>
      <w:r>
        <w:rPr>
          <w:highlight w:val="none"/>
        </w:rPr>
        <w:instrText xml:space="preserve"> HYPERLINK \l "_Toc211090859" </w:instrText>
      </w:r>
      <w:r>
        <w:rPr>
          <w:highlight w:val="none"/>
        </w:rPr>
        <w:fldChar w:fldCharType="separate"/>
      </w:r>
      <w:r>
        <w:rPr>
          <w:rStyle w:val="1088"/>
          <w:rFonts w:hint="eastAsia" w:ascii="宋体" w:hAnsi="宋体" w:cs="宋体"/>
          <w:color w:val="auto"/>
          <w:sz w:val="28"/>
          <w:szCs w:val="28"/>
          <w:highlight w:val="none"/>
        </w:rPr>
        <w:t xml:space="preserve">第三章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1088"/>
          <w:rFonts w:hint="eastAsia" w:ascii="宋体" w:hAnsi="宋体" w:cs="宋体"/>
          <w:color w:val="auto"/>
          <w:sz w:val="28"/>
          <w:szCs w:val="28"/>
          <w:highlight w:val="none"/>
          <w:lang w:val="en-US" w:eastAsia="zh-CN"/>
        </w:rPr>
        <w:t xml:space="preserve">17</w:t>
      </w:r>
      <w:r/>
    </w:p>
    <w:p>
      <w:pPr>
        <w:pStyle w:val="1079"/>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"_Toc211090862" </w:instrText>
      </w:r>
      <w:r>
        <w:rPr>
          <w:highlight w:val="none"/>
        </w:rPr>
        <w:fldChar w:fldCharType="separate"/>
      </w:r>
      <w:r>
        <w:rPr>
          <w:rStyle w:val="1088"/>
          <w:rFonts w:hint="eastAsia" w:ascii="宋体" w:hAnsi="宋体" w:cs="宋体"/>
          <w:color w:val="auto"/>
          <w:sz w:val="28"/>
          <w:szCs w:val="28"/>
          <w:highlight w:val="none"/>
        </w:rPr>
        <w:t xml:space="preserve">第四章  合同条款及格式</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Style w:val="1088"/>
          <w:rFonts w:hint="eastAsia" w:ascii="宋体" w:hAnsi="宋体" w:cs="宋体"/>
          <w:color w:val="auto"/>
          <w:sz w:val="28"/>
          <w:szCs w:val="28"/>
          <w:highlight w:val="none"/>
        </w:rPr>
        <w:t xml:space="preserve">2</w:t>
      </w:r>
      <w:r>
        <w:rPr>
          <w:rStyle w:val="1088"/>
          <w:rFonts w:hint="eastAsia" w:ascii="宋体" w:hAnsi="宋体" w:cs="宋体"/>
          <w:color w:val="auto"/>
          <w:sz w:val="28"/>
          <w:szCs w:val="28"/>
          <w:highlight w:val="none"/>
          <w:lang w:val="en-US" w:eastAsia="zh-CN"/>
        </w:rPr>
        <w:t xml:space="preserve">4</w:t>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"_Toc211090866" </w:instrText>
      </w:r>
      <w:r>
        <w:rPr>
          <w:highlight w:val="none"/>
        </w:rPr>
        <w:fldChar w:fldCharType="separate"/>
      </w:r>
      <w:r>
        <w:rPr>
          <w:rStyle w:val="1088"/>
          <w:rFonts w:hint="eastAsia" w:ascii="宋体" w:hAnsi="宋体" w:cs="宋体"/>
          <w:color w:val="auto"/>
          <w:sz w:val="28"/>
          <w:szCs w:val="28"/>
          <w:highlight w:val="none"/>
        </w:rPr>
        <w:t xml:space="preserve">第五章  工程量清单</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52</w:t>
      </w:r>
      <w:r>
        <w:rPr>
          <w:rFonts w:hint="eastAsia" w:ascii="宋体" w:hAnsi="宋体" w:cs="宋体"/>
          <w:sz w:val="28"/>
          <w:szCs w:val="28"/>
          <w:highlight w:val="none"/>
        </w:rPr>
        <w:fldChar w:fldCharType="end"/>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"_Toc211090867" </w:instrText>
      </w:r>
      <w:r>
        <w:rPr>
          <w:highlight w:val="none"/>
        </w:rPr>
        <w:fldChar w:fldCharType="separate"/>
      </w:r>
      <w:r>
        <w:rPr>
          <w:rStyle w:val="1088"/>
          <w:rFonts w:hint="eastAsia" w:ascii="宋体" w:hAnsi="宋体" w:cs="宋体"/>
          <w:color w:val="auto"/>
          <w:sz w:val="28"/>
          <w:szCs w:val="28"/>
          <w:highlight w:val="none"/>
        </w:rPr>
        <w:t xml:space="preserve">第六章  图纸（另册）</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58</w:t>
      </w:r>
      <w:r>
        <w:rPr>
          <w:rFonts w:hint="eastAsia" w:ascii="宋体" w:hAnsi="宋体" w:cs="宋体"/>
          <w:sz w:val="28"/>
          <w:szCs w:val="28"/>
          <w:highlight w:val="none"/>
        </w:rPr>
        <w:fldChar w:fldCharType="end"/>
      </w:r>
      <w:r/>
    </w:p>
    <w:p>
      <w:pPr>
        <w:pStyle w:val="1079"/>
        <w:shd w:val="clear" w:color="auto" w:fill="auto"/>
        <w:rPr>
          <w:rFonts w:hint="eastAsia" w:ascii="宋体" w:hAnsi="宋体" w:cs="宋体"/>
          <w:sz w:val="28"/>
          <w:szCs w:val="28"/>
          <w:highlight w:val="none"/>
        </w:rPr>
      </w:pPr>
      <w:r>
        <w:rPr>
          <w:highlight w:val="none"/>
        </w:rPr>
        <w:fldChar w:fldCharType="begin"/>
      </w:r>
      <w:r>
        <w:rPr>
          <w:highlight w:val="none"/>
        </w:rPr>
        <w:instrText xml:space="preserve"> HYPERLINK \l "_Toc211090868" </w:instrText>
      </w:r>
      <w:r>
        <w:rPr>
          <w:highlight w:val="none"/>
        </w:rPr>
        <w:fldChar w:fldCharType="separate"/>
      </w:r>
      <w:r>
        <w:rPr>
          <w:rStyle w:val="1088"/>
          <w:rFonts w:hint="eastAsia" w:ascii="宋体" w:hAnsi="宋体" w:cs="宋体"/>
          <w:color w:val="auto"/>
          <w:sz w:val="28"/>
          <w:szCs w:val="28"/>
          <w:highlight w:val="none"/>
        </w:rPr>
        <w:t xml:space="preserve">第七章  技术标准和要求</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59</w:t>
      </w:r>
      <w:r/>
    </w:p>
    <w:p>
      <w:pPr>
        <w:pStyle w:val="1079"/>
        <w:shd w:val="clear" w:color="auto" w:fill="auto"/>
        <w:rPr>
          <w:rFonts w:hint="eastAsia" w:ascii="宋体" w:hAnsi="宋体" w:eastAsia="宋体" w:cs="宋体"/>
          <w:sz w:val="28"/>
          <w:szCs w:val="28"/>
          <w:highlight w:val="none"/>
        </w:rPr>
      </w:pPr>
      <w:r>
        <w:rPr>
          <w:highlight w:val="none"/>
        </w:rPr>
        <w:fldChar w:fldCharType="begin"/>
      </w:r>
      <w:r>
        <w:rPr>
          <w:highlight w:val="none"/>
        </w:rPr>
        <w:instrText xml:space="preserve"> HYPERLINK \l "_Toc211090869" </w:instrText>
      </w:r>
      <w:r>
        <w:rPr>
          <w:highlight w:val="none"/>
        </w:rPr>
        <w:fldChar w:fldCharType="separate"/>
      </w:r>
      <w:r>
        <w:rPr>
          <w:rStyle w:val="1088"/>
          <w:rFonts w:hint="eastAsia" w:ascii="宋体" w:hAnsi="宋体" w:cs="宋体"/>
          <w:color w:val="auto"/>
          <w:sz w:val="28"/>
          <w:szCs w:val="28"/>
          <w:highlight w:val="none"/>
        </w:rPr>
        <w:t xml:space="preserve">第八章  投标文件格式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1</w:t>
      </w:r>
      <w:r/>
    </w:p>
    <w:p>
      <w:pPr>
        <w:pStyle w:val="1071"/>
        <w:shd w:val="clear" w:color="auto" w:fill="auto"/>
        <w:tabs>
          <w:tab w:val="right" w:pos="9431" w:leader="dot"/>
        </w:tabs>
        <w:rPr>
          <w:rFonts w:hint="eastAsia" w:ascii="宋体" w:hAnsi="宋体" w:cs="宋体"/>
          <w:sz w:val="32"/>
          <w:szCs w:val="36"/>
          <w:highlight w:val="none"/>
        </w:rPr>
      </w:pPr>
      <w:r>
        <w:rPr>
          <w:rFonts w:hint="eastAsia" w:ascii="宋体" w:hAnsi="宋体" w:cs="宋体"/>
          <w:sz w:val="32"/>
          <w:szCs w:val="36"/>
          <w:highlight w:val="none"/>
        </w:rPr>
      </w:r>
      <w:r/>
    </w:p>
    <w:p>
      <w:pPr>
        <w:spacing w:line="480" w:lineRule="auto"/>
        <w:shd w:val="clear" w:color="auto" w:fill="auto"/>
        <w:tabs>
          <w:tab w:val="left" w:pos="7190" w:leader="none"/>
        </w:tabs>
        <w:rPr>
          <w:rFonts w:hint="eastAsia" w:ascii="宋体" w:hAnsi="宋体" w:cs="宋体"/>
          <w:b/>
          <w:bCs/>
          <w:highlight w:val="none"/>
        </w:rPr>
      </w:pPr>
      <w:r>
        <w:rPr>
          <w:rFonts w:hint="eastAsia" w:ascii="宋体" w:hAnsi="宋体" w:cs="宋体"/>
          <w:b/>
          <w:bCs/>
          <w:sz w:val="40"/>
          <w:szCs w:val="48"/>
          <w:highlight w:val="none"/>
        </w:rPr>
        <w:fldChar w:fldCharType="end"/>
      </w:r>
      <w:r/>
    </w:p>
    <w:p>
      <w:pPr>
        <w:jc w:val="left"/>
        <w:spacing w:beforeAutospacing="1" w:afterAutospacing="1"/>
        <w:shd w:val="clear" w:color="auto" w:fill="auto"/>
        <w:widowControl/>
        <w:tabs>
          <w:tab w:val="left" w:pos="7190" w:leader="none"/>
        </w:tabs>
        <w:rPr>
          <w:rFonts w:hint="eastAsia" w:ascii="宋体" w:hAnsi="宋体" w:cs="宋体"/>
          <w:highlight w:val="none"/>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cs="宋体"/>
          <w:highlight w:val="none"/>
        </w:rPr>
        <w:tab/>
      </w:r>
      <w:r/>
    </w:p>
    <w:p>
      <w:pPr>
        <w:pStyle w:val="1058"/>
        <w:jc w:val="center"/>
        <w:keepLines w:val="0"/>
        <w:keepNext w:val="0"/>
        <w:spacing w:before="0" w:after="0" w:line="360" w:lineRule="auto"/>
        <w:shd w:val="clear" w:color="auto" w:fill="auto"/>
        <w:tabs>
          <w:tab w:val="left" w:pos="0" w:leader="none"/>
          <w:tab w:val="left" w:pos="3165" w:leader="none"/>
          <w:tab w:val="center" w:pos="4153" w:leader="none"/>
        </w:tabs>
        <w:rPr>
          <w:rFonts w:hint="eastAsia" w:ascii="宋体" w:hAnsi="宋体" w:cs="宋体"/>
          <w:sz w:val="32"/>
          <w:szCs w:val="32"/>
          <w:highlight w:val="none"/>
        </w:rPr>
      </w:pPr>
      <w:r/>
      <w:bookmarkStart w:id="3" w:name="_Toc28359001"/>
      <w:r/>
      <w:bookmarkStart w:id="4" w:name="_Toc35393789"/>
      <w:r/>
      <w:bookmarkStart w:id="5" w:name="_Toc211090850"/>
      <w:r/>
      <w:bookmarkStart w:id="6" w:name="_Toc432244490"/>
      <w:r/>
      <w:bookmarkStart w:id="7" w:name="_Toc503307421"/>
      <w:r/>
      <w:bookmarkStart w:id="8" w:name="_Toc503901902"/>
      <w:r>
        <w:rPr>
          <w:rFonts w:hint="eastAsia" w:ascii="宋体" w:hAnsi="宋体" w:cs="宋体"/>
          <w:sz w:val="32"/>
          <w:szCs w:val="32"/>
          <w:highlight w:val="none"/>
        </w:rPr>
        <w:t xml:space="preserve">第一章  招标公告</w:t>
      </w:r>
      <w:bookmarkEnd w:id="3"/>
      <w:r/>
      <w:bookmarkEnd w:id="4"/>
      <w:r/>
      <w:bookmarkEnd w:id="5"/>
      <w:r/>
      <w:r/>
    </w:p>
    <w:p>
      <w:pPr>
        <w:contextualSpacing/>
        <w:ind w:firstLine="480"/>
        <w:shd w:val="clear" w:color="auto" w:fill="auto"/>
        <w:rPr>
          <w:rFonts w:hint="eastAsia" w:ascii="宋体" w:hAnsi="宋体" w:cs="宋体"/>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contextualSpacing/>
        <w:ind w:firstLine="480"/>
        <w:shd w:val="clear" w:color="auto" w:fill="auto"/>
        <w:rPr>
          <w:rFonts w:hint="eastAsia" w:ascii="宋体" w:hAnsi="宋体" w:cs="宋体"/>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s="宋体"/>
          <w:sz w:val="24"/>
          <w:highlight w:val="none"/>
          <w:u w:val="single"/>
        </w:rPr>
        <w:t xml:space="preserve">苏北运河船闸检修门存放基地扩容及功能完善项目</w:t>
      </w:r>
      <w:r>
        <w:rPr>
          <w:rFonts w:hint="eastAsia" w:ascii="宋体" w:hAnsi="宋体" w:cs="宋体"/>
          <w:sz w:val="24"/>
          <w:highlight w:val="none"/>
          <w:u w:val="single"/>
          <w:lang w:eastAsia="zh-CN"/>
        </w:rPr>
        <w:t xml:space="preserve">（三次）</w:t>
      </w:r>
      <w:r>
        <w:rPr>
          <w:rFonts w:hint="eastAsia" w:ascii="宋体" w:hAnsi="宋体" w:cs="宋体"/>
          <w:sz w:val="24"/>
          <w:highlight w:val="none"/>
        </w:rPr>
        <w:t xml:space="preserve">的潜在投标人应在“苏采云”政府采购一体化平台获取招标文件，并于2026年</w:t>
      </w:r>
      <w:r>
        <w:rPr>
          <w:rFonts w:hint="eastAsia" w:ascii="宋体" w:hAnsi="宋体" w:cs="宋体"/>
          <w:sz w:val="24"/>
          <w:highlight w:val="none"/>
          <w:lang w:val="en-US" w:eastAsia="zh-CN"/>
        </w:rPr>
        <w:t xml:space="preserve"> 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日14时00分（北京时间）前提交投标文件。</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outlineLvl w:val="1"/>
      </w:pPr>
      <w:r/>
      <w:bookmarkStart w:id="9" w:name="_Toc28359002"/>
      <w:r/>
      <w:bookmarkStart w:id="10" w:name="_Toc7483"/>
      <w:r/>
      <w:bookmarkStart w:id="11" w:name="_Toc20615"/>
      <w:r/>
      <w:bookmarkStart w:id="12" w:name="_Toc7066"/>
      <w:r/>
      <w:bookmarkStart w:id="13" w:name="_Toc1475"/>
      <w:r/>
      <w:bookmarkStart w:id="14" w:name="_Toc35393621"/>
      <w:r/>
      <w:bookmarkStart w:id="15" w:name="_Toc28359079"/>
      <w:r/>
      <w:bookmarkStart w:id="16" w:name="_Toc35393790"/>
      <w:r/>
      <w:bookmarkStart w:id="17" w:name="_Toc28538"/>
      <w:r/>
      <w:bookmarkStart w:id="18" w:name="_Hlk24379207"/>
      <w:r>
        <w:rPr>
          <w:rFonts w:hint="eastAsia" w:ascii="宋体" w:hAnsi="宋体" w:eastAsia="宋体" w:cs="宋体"/>
          <w:b/>
          <w:bCs/>
          <w:sz w:val="24"/>
          <w:highlight w:val="none"/>
        </w:rPr>
        <w:t xml:space="preserve">一、</w:t>
      </w:r>
      <w:r>
        <w:rPr>
          <w:rFonts w:hint="eastAsia" w:ascii="宋体" w:hAnsi="宋体" w:eastAsia="宋体" w:cs="宋体"/>
          <w:b/>
          <w:bCs/>
          <w:color w:val="auto"/>
          <w:sz w:val="24"/>
          <w:highlight w:val="none"/>
        </w:rPr>
        <w:t xml:space="preserve">项目基本情况</w:t>
      </w:r>
      <w:bookmarkEnd w:id="9"/>
      <w:r/>
      <w:bookmarkEnd w:id="10"/>
      <w:r/>
      <w:bookmarkEnd w:id="11"/>
      <w:r/>
      <w:bookmarkEnd w:id="12"/>
      <w:r/>
      <w:bookmarkEnd w:id="13"/>
      <w:r/>
      <w:bookmarkEnd w:id="14"/>
      <w:r/>
      <w:bookmarkEnd w:id="15"/>
      <w:r/>
      <w:bookmarkEnd w:id="16"/>
      <w:r/>
      <w:bookmarkEnd w:id="17"/>
      <w:r>
        <w:rPr>
          <w:rFonts w:hint="eastAsia" w:ascii="宋体" w:hAnsi="宋体" w:eastAsia="宋体" w:cs="宋体"/>
          <w:b/>
          <w:bCs/>
          <w:color w:val="auto"/>
          <w:sz w:val="24"/>
          <w:highlight w:val="none"/>
        </w:rPr>
        <w:tab/>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rPr>
          <w:rFonts w:hint="eastAsia" w:ascii="宋体" w:hAnsi="宋体" w:eastAsia="宋体" w:cs="宋体"/>
          <w:b w:val="0"/>
          <w:bCs w:val="0"/>
          <w:color w:val="auto"/>
          <w:sz w:val="24"/>
          <w:highlight w:val="none"/>
        </w:rPr>
        <w:t xml:space="preserve">JSZC-320000-JSTY-G2026-0016</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项目名称：</w:t>
      </w:r>
      <w:bookmarkEnd w:id="18"/>
      <w:r>
        <w:rPr>
          <w:rFonts w:hint="eastAsia" w:ascii="宋体" w:hAnsi="宋体" w:eastAsia="宋体" w:cs="宋体"/>
          <w:color w:val="auto"/>
          <w:sz w:val="24"/>
          <w:highlight w:val="none"/>
        </w:rPr>
        <w:t xml:space="preserve">苏北运河船闸检修门存放基地扩容及功能完善项目</w:t>
      </w:r>
      <w:r>
        <w:rPr>
          <w:rFonts w:hint="eastAsia" w:ascii="宋体" w:hAnsi="宋体" w:cs="宋体"/>
          <w:color w:val="auto"/>
          <w:sz w:val="24"/>
          <w:highlight w:val="none"/>
          <w:lang w:eastAsia="zh-CN"/>
        </w:rPr>
        <w:t xml:space="preserve">（三次）</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预算金额：</w:t>
      </w:r>
      <w:r>
        <w:rPr>
          <w:rFonts w:hint="eastAsia" w:ascii="宋体" w:hAnsi="宋体" w:eastAsia="宋体" w:cs="宋体"/>
          <w:color w:val="auto"/>
          <w:sz w:val="24"/>
          <w:highlight w:val="none"/>
        </w:rPr>
        <w:t xml:space="preserve">130万元</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最高限价：</w:t>
      </w:r>
      <w:r>
        <w:rPr>
          <w:rFonts w:hint="eastAsia" w:ascii="宋体" w:hAnsi="宋体" w:cs="宋体"/>
          <w:color w:val="auto"/>
          <w:sz w:val="24"/>
          <w:highlight w:val="none"/>
          <w:lang w:val="en-US" w:eastAsia="zh-CN"/>
        </w:rPr>
        <w:t xml:space="preserve">123.37万元（含暂列金3万元、安全生产费2.4万元）</w:t>
      </w:r>
      <w:r/>
    </w:p>
    <w:p>
      <w:pPr>
        <w:ind w:firstLine="482"/>
        <w:jc w:val="both"/>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项目概况：</w:t>
      </w:r>
      <w:r>
        <w:rPr>
          <w:rFonts w:hint="eastAsia" w:ascii="宋体" w:hAnsi="宋体" w:eastAsia="宋体" w:cs="宋体"/>
          <w:color w:val="auto"/>
          <w:sz w:val="24"/>
          <w:szCs w:val="24"/>
          <w:highlight w:val="none"/>
        </w:rPr>
        <w:t xml:space="preserve">苏北运河船闸检修门存放基地扩容及功能完善项目，本工程主要内容包括:</w:t>
      </w:r>
      <w:r>
        <w:rPr>
          <w:rFonts w:hint="eastAsia" w:ascii="宋体" w:hAnsi="宋体" w:eastAsia="宋体" w:cs="宋体"/>
          <w:color w:val="auto"/>
          <w:sz w:val="24"/>
          <w:szCs w:val="24"/>
          <w:highlight w:val="none"/>
          <w:lang w:val="en-US" w:eastAsia="zh-CN"/>
        </w:rPr>
        <w:t xml:space="preserve">对泗阳基地进行扩容，泗阳、刘老涧及刘山检修门基地进行功能完善。</w:t>
      </w:r>
      <w:r>
        <w:rPr>
          <w:rFonts w:hint="eastAsia" w:ascii="宋体" w:hAnsi="宋体" w:eastAsia="宋体" w:cs="宋体"/>
          <w:color w:val="auto"/>
          <w:sz w:val="24"/>
          <w:szCs w:val="24"/>
          <w:highlight w:val="none"/>
          <w:lang w:val="en-US" w:eastAsia="zh-CN" w:bidi="ar"/>
        </w:rPr>
        <w:t xml:space="preserve">本次泗阳基地拟扩容摆放全省规划口门宽度为 34m 的船闸检修门，同时可兼顾 23m 口门检修门。34m 口门宽度的船闸上、</w:t>
      </w:r>
      <w:r>
        <w:rPr>
          <w:rFonts w:hint="eastAsia" w:ascii="宋体" w:hAnsi="宋体" w:eastAsia="宋体" w:cs="宋体"/>
          <w:color w:val="auto"/>
          <w:sz w:val="24"/>
          <w:szCs w:val="24"/>
          <w:highlight w:val="none"/>
          <w:lang w:val="en-US" w:eastAsia="zh-CN" w:bidi="ar"/>
        </w:rPr>
        <w:t xml:space="preserve">下闸首检修闸门尺寸均为 35.44m×12.0m×3.2m（宽×高×厚），由6片叠梁组成，按由下至上的叠放顺序分别为 1.5m、1.5m、2.0m、2.0m、2.5m和2.5m，共12片叠梁。23m 口门宽度的船闸上、下闸首检修门尺寸均为 23.96m×11.1m×2.4m（宽×高×厚，底层厚 2.6m），由 7 片叠梁组成，按由下至上的叠放顺序分别为 1.5m、1.5m、1.5m、1.5m、1.7m、1.7m 和 1.7m，共 14 片叠梁。 结合工程实际情况，考虑到现状检修门基地功能需进一步完善，同时对</w:t>
      </w:r>
      <w:r>
        <w:rPr>
          <w:rFonts w:hint="eastAsia" w:ascii="宋体" w:hAnsi="宋体" w:eastAsia="宋体" w:cs="宋体"/>
          <w:color w:val="auto"/>
          <w:sz w:val="24"/>
          <w:szCs w:val="24"/>
          <w:highlight w:val="none"/>
        </w:rPr>
        <w:t xml:space="preserve">泗阳基地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刘老涧、刘山基地基地现有枕木全套更换</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视频监控系统改造</w:t>
      </w:r>
      <w:r>
        <w:rPr>
          <w:rFonts w:hint="eastAsia" w:ascii="宋体" w:hAnsi="宋体" w:eastAsia="宋体" w:cs="宋体"/>
          <w:color w:val="auto"/>
          <w:sz w:val="24"/>
          <w:szCs w:val="24"/>
          <w:highlight w:val="none"/>
          <w:lang w:val="en-US" w:eastAsia="zh-CN"/>
        </w:rPr>
        <w:t xml:space="preserve">更新</w:t>
      </w:r>
      <w:r>
        <w:rPr>
          <w:rFonts w:hint="eastAsia" w:ascii="宋体" w:hAnsi="宋体" w:eastAsia="宋体" w:cs="宋体"/>
          <w:color w:val="auto"/>
          <w:sz w:val="24"/>
          <w:szCs w:val="24"/>
          <w:highlight w:val="none"/>
        </w:rPr>
        <w:t xml:space="preserve">等。具体以工程量清单及图纸为准，采购人保留根据实际情况进行调整的权利。</w:t>
      </w:r>
      <w:r/>
    </w:p>
    <w:p>
      <w:pPr>
        <w:ind w:firstLine="482"/>
        <w:jc w:val="both"/>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计划工期：</w:t>
      </w:r>
      <w:r>
        <w:rPr>
          <w:rFonts w:hint="eastAsia" w:ascii="宋体" w:hAnsi="宋体" w:cs="宋体"/>
          <w:b/>
          <w:color w:val="auto"/>
          <w:sz w:val="24"/>
          <w:highlight w:val="none"/>
          <w:lang w:val="en-US" w:eastAsia="zh-CN"/>
        </w:rPr>
        <w:t xml:space="preserve">80</w:t>
      </w:r>
      <w:r>
        <w:rPr>
          <w:rFonts w:hint="eastAsia" w:ascii="宋体" w:hAnsi="宋体" w:eastAsia="宋体" w:cs="宋体"/>
          <w:bCs/>
          <w:color w:val="auto"/>
          <w:sz w:val="24"/>
          <w:highlight w:val="none"/>
        </w:rPr>
        <w:t xml:space="preserve">日历天（具体以监理签发的开工令为准），</w:t>
      </w:r>
      <w:r>
        <w:rPr>
          <w:rFonts w:hint="eastAsia" w:ascii="宋体" w:hAnsi="宋体" w:eastAsia="宋体" w:cs="宋体"/>
          <w:b/>
          <w:color w:val="auto"/>
          <w:sz w:val="24"/>
          <w:highlight w:val="none"/>
        </w:rPr>
        <w:t xml:space="preserve">缺陷责任期：12个月</w:t>
      </w:r>
      <w:r>
        <w:rPr>
          <w:rFonts w:hint="eastAsia" w:ascii="宋体" w:hAnsi="宋体" w:eastAsia="宋体" w:cs="宋体"/>
          <w:bCs/>
          <w:color w:val="auto"/>
          <w:sz w:val="24"/>
          <w:highlight w:val="none"/>
        </w:rPr>
        <w:t xml:space="preserve">。</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质量要求：</w:t>
      </w:r>
      <w:r>
        <w:rPr>
          <w:rFonts w:hint="eastAsia" w:ascii="宋体" w:hAnsi="宋体" w:eastAsia="宋体" w:cs="宋体"/>
          <w:color w:val="auto"/>
          <w:sz w:val="24"/>
          <w:highlight w:val="none"/>
        </w:rPr>
        <w:t xml:space="preserve">本工程竣工验收的质量评定：合格。</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安全目标：</w:t>
      </w:r>
      <w:r>
        <w:rPr>
          <w:rFonts w:hint="eastAsia" w:ascii="宋体" w:hAnsi="宋体" w:eastAsia="宋体" w:cs="宋体"/>
          <w:color w:val="auto"/>
          <w:sz w:val="24"/>
          <w:highlight w:val="none"/>
        </w:rPr>
        <w:t xml:space="preserve">落实安全生产主体责任，确保本工程无安全生产责任事故发生，人员零伤亡。</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所属行业：建筑业</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是否专门面向中小型企业：</w:t>
      </w:r>
      <w:r>
        <w:rPr>
          <w:rFonts w:hint="eastAsia" w:ascii="宋体" w:hAnsi="宋体" w:eastAsia="宋体" w:cs="宋体"/>
          <w:color w:val="auto"/>
          <w:sz w:val="24"/>
          <w:highlight w:val="none"/>
        </w:rPr>
        <w:t xml:space="preserve">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本项目（是/否）接受联合体投标：本项目</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不接受 </w:t>
      </w:r>
      <w:r>
        <w:rPr>
          <w:rFonts w:hint="eastAsia" w:ascii="宋体" w:hAnsi="宋体" w:eastAsia="宋体" w:cs="宋体"/>
          <w:color w:val="auto"/>
          <w:sz w:val="24"/>
          <w:highlight w:val="none"/>
        </w:rPr>
        <w:t xml:space="preserve">联合体。</w:t>
      </w:r>
      <w:bookmarkStart w:id="19" w:name="_Toc26389"/>
      <w:r/>
      <w:bookmarkStart w:id="20" w:name="_Toc17697"/>
      <w:r/>
      <w:bookmarkStart w:id="21" w:name="_Toc28359003"/>
      <w:r/>
      <w:bookmarkStart w:id="22" w:name="_Toc31255"/>
      <w:r/>
      <w:bookmarkStart w:id="23" w:name="_Toc35393791"/>
      <w:r/>
      <w:bookmarkStart w:id="24" w:name="_Toc28359080"/>
      <w:r/>
      <w:bookmarkStart w:id="25" w:name="_Toc27817"/>
      <w:r/>
      <w:bookmarkStart w:id="26" w:name="_Toc35393622"/>
      <w:r/>
      <w:bookmarkStart w:id="27" w:name="_Toc11965"/>
      <w:r/>
      <w:r/>
    </w:p>
    <w:p>
      <w:pPr>
        <w:pStyle w:val="1059"/>
        <w:keepLines w:val="0"/>
        <w:keepNext w:val="0"/>
        <w:pageBreakBefore w:val="0"/>
        <w:spacing w:before="0" w:after="0" w:line="288" w:lineRule="auto"/>
        <w:shd w:val="clear" w:color="auto" w:fill="auto"/>
        <w:widowControl w:val="off"/>
        <w:rPr>
          <w:rFonts w:hint="eastAsia" w:ascii="宋体" w:hAnsi="宋体" w:eastAsia="宋体" w:cs="宋体"/>
          <w:color w:val="auto"/>
          <w:sz w:val="24"/>
          <w:szCs w:val="24"/>
          <w:highlight w:val="none"/>
        </w:rPr>
      </w:pPr>
      <w:r/>
      <w:bookmarkStart w:id="28" w:name="_Toc211090851"/>
      <w:r>
        <w:rPr>
          <w:rFonts w:hint="eastAsia" w:ascii="宋体" w:hAnsi="宋体" w:eastAsia="宋体" w:cs="宋体"/>
          <w:color w:val="auto"/>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bookmarkStart w:id="29" w:name="_Toc28359081"/>
      <w:r/>
      <w:bookmarkStart w:id="30" w:name="_Toc28359004"/>
      <w:r>
        <w:rPr>
          <w:rFonts w:hint="eastAsia" w:ascii="宋体" w:hAnsi="宋体" w:eastAsia="宋体" w:cs="宋体"/>
          <w:color w:val="auto"/>
          <w:sz w:val="24"/>
          <w:highlight w:val="none"/>
        </w:rPr>
        <w:t xml:space="preserve">1.满足《中华人民共和国政府采购法》第二十二条规定；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本项目为政府采购工程，按照以下第（4）种方式落实政府采购促进中小企业发展的要求：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⑴本项目整体专门面向中小企业。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⑵本项目整体专门面向小微企业。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⑶本项目通过以下第（/）种方式预留部分采购份额面向中小企业：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②本项目要求供应商进行合同分包，中小企业合同金额应当达到的比例为/%，其中小微企业所占比例应为/%（两项比例均应符合《政府采购促进中小企业发展管理办法》第八条规定）。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⑷本项目为非预留份额的采购项目或采购包，执行价格扣除优惠政策，具体详见第三章“评标办法”。</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⑴资质要求：投标人须具有有效期内的</w:t>
      </w:r>
      <w:r>
        <w:rPr>
          <w:rFonts w:hint="eastAsia" w:ascii="宋体" w:hAnsi="宋体" w:eastAsia="宋体" w:cs="宋体"/>
          <w:color w:val="auto"/>
          <w:sz w:val="24"/>
          <w:highlight w:val="none"/>
        </w:rPr>
        <w:t xml:space="preserve">港口与航道工程施工总承包三级及以上资质或具有有效期内的</w:t>
      </w:r>
      <w:r>
        <w:rPr>
          <w:rFonts w:hint="eastAsia" w:ascii="宋体" w:hAnsi="宋体" w:cs="宋体"/>
          <w:color w:val="auto"/>
          <w:sz w:val="24"/>
          <w:highlight w:val="none"/>
          <w:lang w:val="en-US" w:eastAsia="zh-CN"/>
        </w:rPr>
        <w:t xml:space="preserve">水利水电工程</w:t>
      </w:r>
      <w:r>
        <w:rPr>
          <w:rFonts w:hint="eastAsia" w:ascii="宋体" w:hAnsi="宋体" w:eastAsia="宋体" w:cs="宋体"/>
          <w:color w:val="auto"/>
          <w:sz w:val="24"/>
          <w:highlight w:val="none"/>
        </w:rPr>
        <w:t xml:space="preserve">施工</w:t>
      </w:r>
      <w:r>
        <w:rPr>
          <w:rFonts w:hint="eastAsia" w:ascii="宋体" w:hAnsi="宋体" w:cs="宋体"/>
          <w:color w:val="auto"/>
          <w:sz w:val="24"/>
          <w:highlight w:val="none"/>
          <w:lang w:val="en-US" w:eastAsia="zh-CN"/>
        </w:rPr>
        <w:t xml:space="preserve">总</w:t>
      </w:r>
      <w:r>
        <w:rPr>
          <w:rFonts w:hint="eastAsia" w:ascii="宋体" w:hAnsi="宋体" w:eastAsia="宋体" w:cs="宋体"/>
          <w:color w:val="auto"/>
          <w:sz w:val="24"/>
          <w:highlight w:val="none"/>
        </w:rPr>
        <w:t xml:space="preserve">承包三级及以上资质</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具有有效期内的</w:t>
      </w:r>
      <w:r>
        <w:rPr>
          <w:rFonts w:hint="eastAsia" w:ascii="宋体" w:hAnsi="宋体" w:cs="宋体"/>
          <w:color w:val="auto"/>
          <w:sz w:val="24"/>
          <w:highlight w:val="none"/>
          <w:lang w:val="en-US" w:eastAsia="zh-CN"/>
        </w:rPr>
        <w:t xml:space="preserve">市政公用工程施工总承包三级</w:t>
      </w:r>
      <w:r>
        <w:rPr>
          <w:rFonts w:hint="eastAsia" w:ascii="宋体" w:hAnsi="宋体" w:eastAsia="宋体" w:cs="宋体"/>
          <w:color w:val="auto"/>
          <w:sz w:val="24"/>
          <w:highlight w:val="none"/>
        </w:rPr>
        <w:t xml:space="preserve">及以上资质</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具有有效期内的航道工程施工专业承包三级</w:t>
      </w:r>
      <w:r>
        <w:rPr>
          <w:rFonts w:hint="eastAsia" w:ascii="宋体" w:hAnsi="宋体" w:cs="宋体"/>
          <w:color w:val="auto"/>
          <w:sz w:val="24"/>
          <w:highlight w:val="none"/>
          <w:lang w:val="en-US" w:eastAsia="zh-CN"/>
        </w:rPr>
        <w:t xml:space="preserve">及以上资质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同时须</w:t>
      </w:r>
      <w:r>
        <w:rPr>
          <w:rFonts w:hint="eastAsia" w:ascii="宋体" w:hAnsi="宋体" w:eastAsia="宋体" w:cs="宋体"/>
          <w:color w:val="auto"/>
          <w:sz w:val="24"/>
          <w:highlight w:val="none"/>
        </w:rPr>
        <w:t xml:space="preserve">具有住建行政主管部门核发的有效的《安全生产许可证》；</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⑵主要人员要求：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①拟投入本项目的项目经理应持有有效</w:t>
      </w:r>
      <w:r>
        <w:rPr>
          <w:rFonts w:hint="eastAsia" w:ascii="宋体" w:hAnsi="宋体" w:eastAsia="宋体" w:cs="宋体"/>
          <w:color w:val="auto"/>
          <w:sz w:val="24"/>
          <w:highlight w:val="none"/>
          <w:lang w:val="en-US" w:eastAsia="zh-CN"/>
        </w:rPr>
        <w:t xml:space="preserve">期内的</w:t>
      </w:r>
      <w:r>
        <w:rPr>
          <w:rFonts w:hint="eastAsia" w:ascii="宋体" w:hAnsi="宋体" w:eastAsia="宋体" w:cs="宋体"/>
          <w:color w:val="auto"/>
          <w:sz w:val="24"/>
          <w:highlight w:val="none"/>
        </w:rPr>
        <w:t xml:space="preserve">二级及以上港口与航道工程专业或水利水电工程专业</w:t>
      </w:r>
      <w:r>
        <w:rPr>
          <w:rFonts w:hint="eastAsia" w:ascii="宋体" w:hAnsi="宋体" w:cs="宋体"/>
          <w:color w:val="auto"/>
          <w:sz w:val="24"/>
          <w:highlight w:val="none"/>
          <w:lang w:val="en-US" w:eastAsia="zh-CN"/>
        </w:rPr>
        <w:t xml:space="preserve">或市政公用工程专业</w:t>
      </w:r>
      <w:r>
        <w:rPr>
          <w:rFonts w:hint="eastAsia" w:ascii="宋体" w:hAnsi="宋体" w:eastAsia="宋体" w:cs="宋体"/>
          <w:color w:val="auto"/>
          <w:sz w:val="24"/>
          <w:highlight w:val="none"/>
        </w:rPr>
        <w:t xml:space="preserve">注册建造师证书，</w:t>
      </w:r>
      <w:r>
        <w:rPr>
          <w:rFonts w:hint="eastAsia" w:ascii="宋体" w:hAnsi="宋体" w:eastAsia="宋体" w:cs="宋体"/>
          <w:color w:val="auto"/>
          <w:sz w:val="24"/>
          <w:highlight w:val="none"/>
          <w:lang w:val="en-US" w:eastAsia="zh-CN"/>
        </w:rPr>
        <w:t xml:space="preserve">同时</w:t>
      </w:r>
      <w:r>
        <w:rPr>
          <w:rFonts w:hint="eastAsia" w:ascii="宋体" w:hAnsi="宋体" w:eastAsia="宋体" w:cs="宋体"/>
          <w:color w:val="auto"/>
          <w:sz w:val="24"/>
          <w:highlight w:val="none"/>
        </w:rPr>
        <w:t xml:space="preserve">具有省级交通运输行政主管部门核发的《公路水运工程施工企业主要负责人和安全生产管理人员安全生产考核合格证书》（B类）</w:t>
      </w:r>
      <w:r>
        <w:rPr>
          <w:rFonts w:hint="eastAsia" w:ascii="宋体" w:hAnsi="宋体" w:cs="宋体"/>
          <w:color w:val="auto"/>
          <w:sz w:val="24"/>
          <w:szCs w:val="24"/>
          <w:highlight w:val="none"/>
        </w:rPr>
        <w:t xml:space="preserve">或《公路水运工程施工单位主要负责人、项目负责人和专职安全生产管理人员安全生产考核合格证书》（B类）</w:t>
      </w:r>
      <w:r>
        <w:rPr>
          <w:rFonts w:hint="eastAsia" w:ascii="宋体" w:hAnsi="宋体" w:eastAsia="宋体" w:cs="宋体"/>
          <w:color w:val="auto"/>
          <w:sz w:val="24"/>
          <w:highlight w:val="none"/>
        </w:rPr>
        <w:t xml:space="preserve">或省级及以上水行政主管部门核发的《水利水电工程施工企业项目负责人安全生产考核合格证书》（B 类）</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省级及以上住房和城乡建设行政主管部门核发的《建筑施工企业项目负责人安全生产考核合格证书》（B 类）</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注：根据住房和城乡建设部办公厅关于全面实行一级建造师</w:t>
      </w:r>
      <w:r>
        <w:rPr>
          <w:rFonts w:hint="eastAsia" w:ascii="宋体" w:hAnsi="宋体" w:eastAsia="宋体" w:cs="宋体"/>
          <w:b/>
          <w:bCs/>
          <w:color w:val="auto"/>
          <w:sz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②投标人</w:t>
      </w:r>
      <w:r>
        <w:rPr>
          <w:rFonts w:hint="eastAsia" w:ascii="宋体" w:hAnsi="宋体" w:eastAsia="宋体" w:cs="宋体"/>
          <w:b/>
          <w:bCs/>
          <w:color w:val="auto"/>
          <w:sz w:val="24"/>
          <w:highlight w:val="none"/>
        </w:rPr>
        <w:t xml:space="preserve">至少配备1名专职安全员</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投标人至少配备 1 名专职安全员，专职安全员须持有省级及以上交通运输主管部门核发的有效的《公路水运工程施工企业主要负责人和安全生产管理人员安全生产考核合格证书》（C 类）或《公路水运工程施工单位主要负责人、项目负责人和专职安全生产管理人员安全生产考核合格证书》（C 类）；或持有省级及以上水行政主管部门核发的有效的《水利水电工程施工企业专职安全生产管理人员安全生产考核合格证书》（C 类）；或持有省级及以上住房和城乡建设行政主管部门核发的有效的《建筑施工企业专职安全生产管理人员安全生产考核合格证书》（C 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①拟投入的项目经理无在岗项目（</w:t>
      </w:r>
      <w:r>
        <w:rPr>
          <w:rFonts w:hint="eastAsia" w:ascii="宋体" w:hAnsi="宋体" w:eastAsia="宋体" w:cs="宋体"/>
          <w:b/>
          <w:bCs/>
          <w:color w:val="auto"/>
          <w:sz w:val="24"/>
          <w:highlight w:val="none"/>
        </w:rPr>
        <w:t xml:space="preserve">指目前未在其他项目上任职，或虽在其他项目上任职但本项目中标后能够从该项目撤离，提供相应承诺书，格式自拟</w:t>
      </w:r>
      <w:r>
        <w:rPr>
          <w:rFonts w:hint="eastAsia" w:ascii="宋体" w:hAnsi="宋体" w:eastAsia="宋体" w:cs="宋体"/>
          <w:color w:val="auto"/>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②拟投入本项目的项目经理、专职安全员需提供所属社保机构出具的投标当月至投标当月开始往前3个月中，任意1个月的社保缴费证明（</w:t>
      </w:r>
      <w:r>
        <w:rPr>
          <w:rFonts w:hint="eastAsia" w:ascii="宋体" w:hAnsi="宋体" w:eastAsia="宋体" w:cs="宋体"/>
          <w:b/>
          <w:bCs/>
          <w:color w:val="auto"/>
          <w:sz w:val="24"/>
          <w:highlight w:val="none"/>
        </w:rPr>
        <w:t xml:space="preserve">缴费证明内容需含缴费起止时间、缴费单位、缴费人员姓名并由社保机构加盖缴费证明专用章</w:t>
      </w:r>
      <w:r>
        <w:rPr>
          <w:rFonts w:hint="eastAsia" w:ascii="宋体" w:hAnsi="宋体" w:eastAsia="宋体" w:cs="宋体"/>
          <w:color w:val="auto"/>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4.被“信用中国”网站（www.creditchina.gov.cn）</w:t>
      </w:r>
      <w:r>
        <w:rPr>
          <w:rFonts w:hint="eastAsia" w:ascii="宋体" w:hAnsi="宋体" w:eastAsia="宋体" w:cs="宋体"/>
          <w:b/>
          <w:bCs/>
          <w:color w:val="auto"/>
          <w:sz w:val="24"/>
          <w:highlight w:val="none"/>
        </w:rPr>
        <w:t xml:space="preserve">列入失信被执行人和重大税收违法案件当事人名单的供应商</w:t>
      </w:r>
      <w:r>
        <w:rPr>
          <w:rFonts w:hint="eastAsia" w:ascii="宋体" w:hAnsi="宋体" w:eastAsia="宋体" w:cs="宋体"/>
          <w:color w:val="auto"/>
          <w:sz w:val="24"/>
          <w:highlight w:val="none"/>
        </w:rPr>
        <w:t xml:space="preserve">、被中国政府采购网（www.ccgp.gov.cn）</w:t>
      </w:r>
      <w:r>
        <w:rPr>
          <w:rFonts w:hint="eastAsia" w:ascii="宋体" w:hAnsi="宋体" w:eastAsia="宋体" w:cs="宋体"/>
          <w:b/>
          <w:bCs/>
          <w:color w:val="auto"/>
          <w:sz w:val="24"/>
          <w:highlight w:val="none"/>
        </w:rPr>
        <w:t xml:space="preserve">列入政府采购严重违法失信行为记录名单中被财政部门禁止参加政府采购活动的供应商（处罚决定规定的时间和地域范围内），无资格参加本项目的采购活动。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p>
    <w:p>
      <w:pPr>
        <w:pStyle w:val="1059"/>
        <w:keepLines w:val="0"/>
        <w:keepNext w:val="0"/>
        <w:pageBreakBefore w:val="0"/>
        <w:spacing w:before="0" w:after="0" w:line="288" w:lineRule="auto"/>
        <w:shd w:val="clear" w:color="auto" w:fill="auto"/>
        <w:widowControl w:val="off"/>
        <w:rPr>
          <w:rFonts w:hint="eastAsia" w:ascii="宋体" w:hAnsi="宋体" w:eastAsia="宋体" w:cs="宋体"/>
          <w:color w:val="auto"/>
          <w:sz w:val="24"/>
          <w:szCs w:val="24"/>
          <w:highlight w:val="none"/>
        </w:rPr>
      </w:pPr>
      <w:r/>
      <w:bookmarkStart w:id="31" w:name="_Toc35393792"/>
      <w:r/>
      <w:bookmarkStart w:id="32" w:name="_Toc26649"/>
      <w:r/>
      <w:bookmarkStart w:id="33" w:name="_Toc28537"/>
      <w:r/>
      <w:bookmarkStart w:id="34" w:name="_Toc9257"/>
      <w:r/>
      <w:bookmarkStart w:id="35" w:name="_Toc14252"/>
      <w:r/>
      <w:bookmarkStart w:id="36" w:name="_Toc211090852"/>
      <w:r/>
      <w:bookmarkStart w:id="37" w:name="_Toc35393623"/>
      <w:r/>
      <w:bookmarkStart w:id="38" w:name="_Toc31322"/>
      <w:r>
        <w:rPr>
          <w:rFonts w:hint="eastAsia" w:ascii="宋体" w:hAnsi="宋体" w:eastAsia="宋体" w:cs="宋体"/>
          <w:color w:val="auto"/>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
    </w:p>
    <w:p>
      <w:pPr>
        <w:ind w:firstLine="54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时间：自2026年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日9:00起至2026年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日17:00（北京时间，法定节假日除外）。</w:t>
      </w:r>
      <w:r/>
    </w:p>
    <w:p>
      <w:pPr>
        <w:ind w:firstLine="54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w:t>
      </w:r>
      <w:r/>
    </w:p>
    <w:p>
      <w:pPr>
        <w:ind w:firstLine="54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获取方式：线上获取。</w:t>
      </w:r>
      <w:r/>
    </w:p>
    <w:p>
      <w:pPr>
        <w:ind w:firstLine="54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bookmarkStart w:id="39" w:name="_Toc1984"/>
      <w:r/>
      <w:bookmarkStart w:id="40" w:name="_Toc35393624"/>
      <w:r/>
      <w:bookmarkStart w:id="41" w:name="_Toc9463"/>
      <w:r/>
      <w:bookmarkStart w:id="42" w:name="_Toc25544"/>
      <w:r/>
      <w:bookmarkStart w:id="43" w:name="_Toc1995"/>
      <w:r/>
      <w:bookmarkStart w:id="44" w:name="_Toc28359082"/>
      <w:r/>
      <w:bookmarkStart w:id="45" w:name="_Toc28359005"/>
      <w:r/>
      <w:bookmarkStart w:id="46" w:name="_Toc35393793"/>
      <w:r/>
      <w:bookmarkStart w:id="47" w:name="_Toc17252"/>
      <w:r/>
      <w:r/>
    </w:p>
    <w:p>
      <w:pPr>
        <w:pStyle w:val="1059"/>
        <w:keepLines w:val="0"/>
        <w:keepNext w:val="0"/>
        <w:pageBreakBefore w:val="0"/>
        <w:spacing w:before="0" w:after="0" w:line="288" w:lineRule="auto"/>
        <w:shd w:val="clear" w:color="auto" w:fill="auto"/>
        <w:widowControl w:val="off"/>
        <w:rPr>
          <w:rFonts w:hint="eastAsia" w:ascii="宋体" w:hAnsi="宋体" w:eastAsia="宋体" w:cs="宋体"/>
          <w:color w:val="auto"/>
          <w:sz w:val="24"/>
          <w:szCs w:val="24"/>
          <w:highlight w:val="none"/>
        </w:rPr>
      </w:pPr>
      <w:r/>
      <w:bookmarkStart w:id="48" w:name="_Toc211090853"/>
      <w:r>
        <w:rPr>
          <w:rFonts w:hint="eastAsia" w:ascii="宋体" w:hAnsi="宋体" w:eastAsia="宋体" w:cs="宋体"/>
          <w:color w:val="auto"/>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auto"/>
          <w:sz w:val="24"/>
          <w:szCs w:val="24"/>
          <w:highlight w:val="none"/>
        </w:rPr>
        <w:t xml:space="preserve">提交投标文件截止时间、开标时间和地点</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截止时间：2026年</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月</w:t>
      </w:r>
      <w:r>
        <w:rPr>
          <w:rFonts w:hint="eastAsia" w:ascii="宋体" w:hAnsi="宋体" w:cs="宋体"/>
          <w:bCs/>
          <w:color w:val="auto"/>
          <w:sz w:val="24"/>
          <w:highlight w:val="none"/>
          <w:lang w:val="en-US" w:eastAsia="zh-CN"/>
        </w:rPr>
        <w:t xml:space="preserve">13</w:t>
      </w:r>
      <w:r>
        <w:rPr>
          <w:rFonts w:hint="eastAsia" w:ascii="宋体" w:hAnsi="宋体" w:eastAsia="宋体" w:cs="宋体"/>
          <w:bCs/>
          <w:color w:val="auto"/>
          <w:sz w:val="24"/>
          <w:highlight w:val="none"/>
        </w:rPr>
        <w:t xml:space="preserve">日14时00分（北京时间）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地点：“苏采云”系统（网址：http://jszfcg.jsczt.cn/）开标大厅，点击“苏采云”进入系统“开标大厅”。</w:t>
      </w:r>
      <w:bookmarkStart w:id="49" w:name="_Toc6212"/>
      <w:r/>
      <w:bookmarkStart w:id="50" w:name="_Toc28359007"/>
      <w:r/>
      <w:bookmarkStart w:id="51" w:name="_Toc17787"/>
      <w:r/>
      <w:bookmarkStart w:id="52" w:name="_Toc35393794"/>
      <w:r/>
      <w:bookmarkStart w:id="53" w:name="_Toc730"/>
      <w:r/>
      <w:bookmarkStart w:id="54" w:name="_Toc28671"/>
      <w:r/>
      <w:bookmarkStart w:id="55" w:name="_Toc35393625"/>
      <w:r/>
      <w:bookmarkStart w:id="56" w:name="_Toc13443"/>
      <w:r/>
      <w:bookmarkStart w:id="57" w:name="_Toc28359084"/>
      <w:r/>
      <w:r/>
    </w:p>
    <w:p>
      <w:pPr>
        <w:pStyle w:val="1059"/>
        <w:keepLines w:val="0"/>
        <w:keepNext w:val="0"/>
        <w:pageBreakBefore w:val="0"/>
        <w:spacing w:before="0" w:after="0" w:line="288" w:lineRule="auto"/>
        <w:shd w:val="clear" w:color="auto" w:fill="auto"/>
        <w:widowControl w:val="off"/>
        <w:rPr>
          <w:rFonts w:hint="eastAsia" w:ascii="宋体" w:hAnsi="宋体" w:eastAsia="宋体" w:cs="宋体"/>
          <w:color w:val="auto"/>
          <w:sz w:val="24"/>
          <w:szCs w:val="24"/>
          <w:highlight w:val="none"/>
        </w:rPr>
      </w:pPr>
      <w:r/>
      <w:bookmarkStart w:id="58" w:name="_Toc211090854"/>
      <w:r>
        <w:rPr>
          <w:rFonts w:hint="eastAsia" w:ascii="宋体" w:hAnsi="宋体" w:eastAsia="宋体" w:cs="宋体"/>
          <w:color w:val="auto"/>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个工作日。</w:t>
      </w:r>
      <w:bookmarkStart w:id="59" w:name="_Toc26922"/>
      <w:r/>
      <w:bookmarkStart w:id="60" w:name="_Toc35393626"/>
      <w:r/>
      <w:bookmarkStart w:id="61" w:name="_Toc4792"/>
      <w:r/>
      <w:bookmarkStart w:id="62" w:name="_Toc35393795"/>
      <w:r/>
      <w:bookmarkStart w:id="63" w:name="_Toc1482"/>
      <w:r/>
      <w:bookmarkStart w:id="64" w:name="_Toc8221"/>
      <w:r/>
      <w:bookmarkStart w:id="65" w:name="_Toc28954"/>
      <w:r/>
      <w:r/>
    </w:p>
    <w:p>
      <w:pPr>
        <w:pStyle w:val="1059"/>
        <w:keepLines w:val="0"/>
        <w:keepNext w:val="0"/>
        <w:pageBreakBefore w:val="0"/>
        <w:spacing w:before="0" w:after="0" w:line="288" w:lineRule="auto"/>
        <w:shd w:val="clear" w:color="auto" w:fill="auto"/>
        <w:widowControl w:val="off"/>
        <w:rPr>
          <w:rFonts w:hint="eastAsia" w:ascii="宋体" w:hAnsi="宋体" w:eastAsia="宋体" w:cs="宋体"/>
          <w:color w:val="auto"/>
          <w:sz w:val="24"/>
          <w:szCs w:val="24"/>
          <w:highlight w:val="none"/>
        </w:rPr>
      </w:pPr>
      <w:r/>
      <w:bookmarkStart w:id="66" w:name="_Toc211090855"/>
      <w:r>
        <w:rPr>
          <w:rFonts w:hint="eastAsia" w:ascii="宋体" w:hAnsi="宋体" w:eastAsia="宋体" w:cs="宋体"/>
          <w:color w:val="auto"/>
          <w:sz w:val="24"/>
          <w:szCs w:val="24"/>
          <w:highlight w:val="none"/>
        </w:rPr>
        <w:t xml:space="preserve">六、其他补充事宜</w:t>
      </w:r>
      <w:bookmarkEnd w:id="59"/>
      <w:r/>
      <w:bookmarkEnd w:id="60"/>
      <w:r/>
      <w:bookmarkEnd w:id="61"/>
      <w:r/>
      <w:bookmarkEnd w:id="62"/>
      <w:r/>
      <w:bookmarkEnd w:id="63"/>
      <w:r/>
      <w:bookmarkEnd w:id="64"/>
      <w:r/>
      <w:bookmarkEnd w:id="65"/>
      <w:r/>
      <w:bookmarkEnd w:id="66"/>
      <w:r/>
      <w:r/>
    </w:p>
    <w:p>
      <w:pPr>
        <w:pStyle w:val="1106"/>
        <w:ind w:firstLine="480"/>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1、本招标公告在</w:t>
      </w:r>
      <w:r>
        <w:rPr>
          <w:rFonts w:hint="eastAsia" w:ascii="宋体" w:hAnsi="宋体" w:eastAsia="宋体" w:cs="宋体"/>
          <w:b/>
          <w:bCs/>
          <w:color w:val="auto"/>
          <w:sz w:val="24"/>
          <w:szCs w:val="24"/>
          <w:highlight w:val="none"/>
        </w:rPr>
        <w:t xml:space="preserve">江苏政府采购网（http://www.ccgp-jiangsu.gov.cn/）公示发布</w:t>
      </w:r>
      <w:r>
        <w:rPr>
          <w:rFonts w:hint="eastAsia" w:ascii="宋体" w:hAnsi="宋体" w:eastAsia="宋体" w:cs="宋体"/>
          <w:color w:val="auto"/>
          <w:sz w:val="24"/>
          <w:szCs w:val="24"/>
          <w:highlight w:val="none"/>
        </w:rPr>
        <w:t xml:space="preserve">，若有关本次招标存在变动或修改，敬请各投标人及时关注江苏政府采购网发布的关于本项目的信息更正公告。</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p>
    <w:p>
      <w:pPr>
        <w:pStyle w:val="1106"/>
        <w:ind w:firstLine="480"/>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3、投标保证金：本次招标不收取投标保证金。</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4、注意事项：</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4.1潜在投标人访问“苏采云”系统的网络地址和方法：“苏采云”系统的网址：http://jszfcg.jsczt.cn/。</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4.3“CA数字证书”的获取：</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4.4采购文件（后缀名为“.kedt”）、供应商操作手册及政府采购客户端工具可通过“苏采云”系统--已报名项目--报名详情页面内相应链接进行下载。</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4.5招标人或招标代理机构将数据电文形式的采购文件加载至“苏采云”系统，供潜在投标人下载或者查阅。</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p>
    <w:p>
      <w:pPr>
        <w:pStyle w:val="1106"/>
        <w:ind w:firstLine="482"/>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注：如潜在投标人未按上述要求操作，将自行承担所产生的风险。</w:t>
      </w:r>
      <w:bookmarkStart w:id="67" w:name="_Toc3755"/>
      <w:r/>
      <w:bookmarkStart w:id="68" w:name="_Toc28359008"/>
      <w:r/>
      <w:bookmarkStart w:id="69" w:name="_Toc35393796"/>
      <w:r/>
      <w:bookmarkStart w:id="70" w:name="_Toc8769"/>
      <w:r/>
      <w:bookmarkStart w:id="71" w:name="_Toc28359085"/>
      <w:r/>
      <w:bookmarkStart w:id="72" w:name="_Toc23188"/>
      <w:r/>
      <w:bookmarkStart w:id="73" w:name="_Toc13925"/>
      <w:r/>
      <w:bookmarkStart w:id="74" w:name="_Toc35393627"/>
      <w:r/>
      <w:bookmarkStart w:id="75" w:name="_Toc24169"/>
      <w:r/>
      <w:r/>
    </w:p>
    <w:p>
      <w:pPr>
        <w:pStyle w:val="1059"/>
        <w:keepLines w:val="0"/>
        <w:keepNext w:val="0"/>
        <w:pageBreakBefore w:val="0"/>
        <w:spacing w:before="0" w:after="0" w:line="288" w:lineRule="auto"/>
        <w:shd w:val="clear" w:color="auto" w:fill="auto"/>
        <w:widowControl w:val="off"/>
        <w:rPr>
          <w:rFonts w:hint="eastAsia" w:ascii="宋体" w:hAnsi="宋体" w:eastAsia="宋体" w:cs="宋体"/>
          <w:color w:val="auto"/>
          <w:sz w:val="24"/>
          <w:szCs w:val="24"/>
          <w:highlight w:val="none"/>
        </w:rPr>
      </w:pPr>
      <w:r/>
      <w:bookmarkStart w:id="76" w:name="_Toc211090856"/>
      <w:r>
        <w:rPr>
          <w:rFonts w:hint="eastAsia" w:ascii="宋体" w:hAnsi="宋体" w:eastAsia="宋体" w:cs="宋体"/>
          <w:color w:val="auto"/>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1.招标人信息</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京杭运河江苏省交通运输厅苏北航务管理处</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 xml:space="preserve">江苏省淮安市延安东路68号</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u w:val="single"/>
        </w:rPr>
        <w:t xml:space="preserve">张先生</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联系方式：</w:t>
      </w:r>
      <w:bookmarkStart w:id="77" w:name="_Toc28359086"/>
      <w:r/>
      <w:bookmarkStart w:id="78" w:name="_Toc28359009"/>
      <w:r>
        <w:rPr>
          <w:rFonts w:hint="eastAsia" w:ascii="宋体" w:hAnsi="宋体" w:eastAsia="宋体" w:cs="宋体"/>
          <w:color w:val="auto"/>
          <w:sz w:val="24"/>
          <w:highlight w:val="none"/>
          <w:u w:val="single"/>
        </w:rPr>
        <w:t xml:space="preserve">0517-83787646</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bookmarkEnd w:id="77"/>
      <w:r/>
      <w:bookmarkEnd w:id="78"/>
      <w:r>
        <w:rPr>
          <w:rFonts w:hint="eastAsia" w:ascii="宋体" w:hAnsi="宋体" w:eastAsia="宋体" w:cs="宋体"/>
          <w:color w:val="auto"/>
          <w:sz w:val="24"/>
          <w:highlight w:val="none"/>
        </w:rPr>
        <w:t xml:space="preserve">采购代理机构信息</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江苏天业工程咨询房地产估价有限责任公司</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 xml:space="preserve">淮安市清江浦区延安东路105号武夷大厦17楼</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u w:val="single"/>
        </w:rPr>
        <w:t xml:space="preserve">姚晨、袁贵霞</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联系方式：</w:t>
      </w:r>
      <w:bookmarkStart w:id="79" w:name="_Toc28359087"/>
      <w:r/>
      <w:bookmarkStart w:id="80" w:name="_Toc28359010"/>
      <w:r>
        <w:rPr>
          <w:rFonts w:hint="eastAsia" w:ascii="宋体" w:hAnsi="宋体" w:eastAsia="宋体" w:cs="宋体"/>
          <w:color w:val="auto"/>
          <w:sz w:val="24"/>
          <w:highlight w:val="none"/>
          <w:u w:val="single"/>
        </w:rPr>
        <w:t xml:space="preserve">0517-83716665、15896199911</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QQ：</w:t>
      </w:r>
      <w:r>
        <w:rPr>
          <w:rFonts w:hint="eastAsia" w:ascii="宋体" w:hAnsi="宋体" w:eastAsia="宋体" w:cs="宋体"/>
          <w:color w:val="auto"/>
          <w:sz w:val="24"/>
          <w:highlight w:val="none"/>
          <w:u w:val="single"/>
        </w:rPr>
        <w:t xml:space="preserve">2571101（添加时请主动备注单位名称）</w:t>
      </w:r>
      <w:bookmarkEnd w:id="6"/>
      <w:r/>
      <w:bookmarkEnd w:id="7"/>
      <w:r/>
      <w:bookmarkEnd w:id="8"/>
      <w:r/>
      <w:bookmarkEnd w:id="79"/>
      <w:r/>
      <w:bookmarkEnd w:id="80"/>
      <w:r/>
      <w:bookmarkStart w:id="81" w:name="_Toc92015768"/>
      <w:r/>
      <w:bookmarkStart w:id="82" w:name="_Toc90105640"/>
      <w:r/>
      <w:bookmarkStart w:id="83" w:name="_Toc90105826"/>
      <w:r/>
      <w:bookmarkStart w:id="84" w:name="_Toc89848286"/>
      <w:r/>
      <w:bookmarkStart w:id="85" w:name="_Toc90105265"/>
      <w:r/>
      <w:bookmarkStart w:id="86" w:name="_Toc90106645"/>
      <w:r/>
      <w:bookmarkStart w:id="87" w:name="_Toc90106188"/>
      <w:r/>
      <w:bookmarkStart w:id="88" w:name="_Toc90104558"/>
      <w:r/>
      <w:bookmarkStart w:id="89" w:name="_Toc90105076"/>
      <w:r/>
      <w:bookmarkStart w:id="90" w:name="OLE_LINK5"/>
      <w:r/>
      <w:bookmarkStart w:id="91" w:name="_Toc90105453"/>
      <w:r/>
      <w:bookmarkStart w:id="92" w:name="_Toc90106007"/>
      <w:r/>
      <w:bookmarkStart w:id="93" w:name="_Toc90106826"/>
      <w:r/>
      <w:r/>
    </w:p>
    <w:p>
      <w:pPr>
        <w:numPr>
          <w:ilvl w:val="0"/>
          <w:numId w:val="3"/>
        </w:num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监督部门</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 xml:space="preserve">京杭运河江苏省船闸应急保障中心纪委办公室</w:t>
      </w:r>
      <w:r/>
    </w:p>
    <w:p>
      <w:pPr>
        <w:pStyle w:val="1072"/>
        <w:ind w:firstLine="720"/>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u w:val="single"/>
        </w:rPr>
        <w:t xml:space="preserve">刘先生</w:t>
      </w:r>
      <w:r/>
    </w:p>
    <w:p>
      <w:pPr>
        <w:pStyle w:val="1072"/>
        <w:ind w:firstLine="720"/>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0517-83787645</w:t>
      </w:r>
      <w:bookmarkEnd w:id="81"/>
      <w:bookmarkEnd w:id="82"/>
      <w:bookmarkEnd w:id="83"/>
      <w:bookmarkEnd w:id="84"/>
      <w:bookmarkEnd w:id="85"/>
      <w:bookmarkEnd w:id="86"/>
      <w:bookmarkEnd w:id="87"/>
      <w:bookmarkEnd w:id="88"/>
      <w:bookmarkEnd w:id="89"/>
      <w:bookmarkEnd w:id="90"/>
      <w:bookmarkEnd w:id="91"/>
      <w:bookmarkEnd w:id="92"/>
      <w:bookmarkEnd w:id="93"/>
      <w:r/>
    </w:p>
    <w:p>
      <w:pPr>
        <w:pStyle w:val="1072"/>
        <w:ind w:firstLine="720"/>
        <w:shd w:val="clear" w:color="auto" w:fill="auto"/>
        <w:rPr>
          <w:rFonts w:hint="eastAsia" w:hAnsi="宋体" w:cs="宋体"/>
          <w:color w:val="auto"/>
          <w:sz w:val="24"/>
          <w:szCs w:val="24"/>
          <w:highlight w:val="none"/>
          <w:u w:val="single"/>
        </w:rPr>
      </w:pPr>
      <w:r>
        <w:rPr>
          <w:rFonts w:hint="eastAsia" w:hAnsi="宋体" w:cs="宋体"/>
          <w:color w:val="auto"/>
          <w:sz w:val="24"/>
          <w:szCs w:val="24"/>
          <w:highlight w:val="none"/>
          <w:u w:val="single"/>
        </w:rPr>
      </w:r>
      <w:r/>
    </w:p>
    <w:p>
      <w:pPr>
        <w:pStyle w:val="1058"/>
        <w:jc w:val="center"/>
        <w:keepLines w:val="0"/>
        <w:keepNext w:val="0"/>
        <w:spacing w:before="0" w:after="0" w:line="360" w:lineRule="auto"/>
        <w:shd w:val="clear" w:color="auto" w:fill="auto"/>
        <w:tabs>
          <w:tab w:val="left" w:pos="0" w:leader="none"/>
          <w:tab w:val="left" w:pos="3165" w:leader="none"/>
          <w:tab w:val="center" w:pos="4153" w:leader="none"/>
        </w:tabs>
        <w:rPr>
          <w:rFonts w:hint="eastAsia" w:ascii="宋体" w:hAnsi="宋体" w:cs="宋体"/>
          <w:color w:val="auto"/>
          <w:sz w:val="40"/>
          <w:highlight w:val="none"/>
        </w:rPr>
      </w:pPr>
      <w:r/>
      <w:bookmarkStart w:id="94" w:name="_Toc503901904"/>
      <w:r/>
      <w:bookmarkStart w:id="95" w:name="_Toc144974495"/>
      <w:r/>
      <w:bookmarkStart w:id="96" w:name="_Toc238559183"/>
      <w:r/>
      <w:bookmarkStart w:id="97" w:name="_Toc432244494"/>
      <w:r/>
      <w:bookmarkStart w:id="98" w:name="_Toc234744442"/>
      <w:r/>
      <w:bookmarkStart w:id="99" w:name="_Toc152042303"/>
      <w:r/>
      <w:bookmarkStart w:id="100" w:name="_Toc503307425"/>
      <w:r/>
      <w:bookmarkStart w:id="101" w:name="_Toc152045527"/>
      <w:r/>
      <w:bookmarkStart w:id="102" w:name="_Toc179632544"/>
      <w:r/>
      <w:bookmarkStart w:id="103" w:name="_Toc234675074"/>
      <w:r>
        <w:rPr>
          <w:rFonts w:hint="eastAsia" w:ascii="宋体" w:hAnsi="宋体" w:cs="宋体"/>
          <w:color w:val="auto"/>
          <w:sz w:val="24"/>
          <w:szCs w:val="24"/>
          <w:highlight w:val="none"/>
        </w:rPr>
        <w:br w:type="page" w:clear="all"/>
      </w:r>
      <w:bookmarkStart w:id="104" w:name="_Toc211090857"/>
      <w:r>
        <w:rPr>
          <w:rFonts w:hint="eastAsia" w:ascii="宋体" w:hAnsi="宋体" w:cs="宋体"/>
          <w:color w:val="auto"/>
          <w:sz w:val="32"/>
          <w:szCs w:val="32"/>
          <w:highlight w:val="none"/>
        </w:rPr>
        <w:t xml:space="preserve">第二章 投标人须知</w:t>
      </w:r>
      <w:bookmarkEnd w:id="94"/>
      <w:r/>
      <w:bookmarkEnd w:id="95"/>
      <w:r/>
      <w:bookmarkEnd w:id="96"/>
      <w:r/>
      <w:bookmarkEnd w:id="97"/>
      <w:r/>
      <w:bookmarkEnd w:id="98"/>
      <w:r/>
      <w:bookmarkEnd w:id="99"/>
      <w:r/>
      <w:bookmarkEnd w:id="100"/>
      <w:r/>
      <w:bookmarkEnd w:id="101"/>
      <w:r/>
      <w:bookmarkEnd w:id="102"/>
      <w:r/>
      <w:bookmarkEnd w:id="103"/>
      <w:r/>
      <w:bookmarkEnd w:id="104"/>
      <w:r/>
      <w:r/>
    </w:p>
    <w:p>
      <w:pPr>
        <w:pStyle w:val="1058"/>
        <w:jc w:val="center"/>
        <w:keepLines w:val="0"/>
        <w:keepNext w:val="0"/>
        <w:spacing w:before="0" w:after="0" w:line="312" w:lineRule="auto"/>
        <w:shd w:val="clear" w:color="auto" w:fill="auto"/>
        <w:tabs>
          <w:tab w:val="left" w:pos="1440" w:leader="none"/>
        </w:tabs>
        <w:rPr>
          <w:rFonts w:hint="eastAsia" w:ascii="宋体" w:hAnsi="宋体" w:cs="宋体"/>
          <w:color w:val="auto"/>
          <w:sz w:val="24"/>
          <w:szCs w:val="24"/>
          <w:highlight w:val="none"/>
        </w:rPr>
      </w:pPr>
      <w:r/>
      <w:bookmarkStart w:id="105" w:name="_Toc18914"/>
      <w:r/>
      <w:bookmarkStart w:id="106" w:name="_Toc9333225"/>
      <w:r/>
      <w:bookmarkStart w:id="107" w:name="_Toc17323"/>
      <w:r/>
      <w:bookmarkStart w:id="108" w:name="_Toc211090858"/>
      <w:r/>
      <w:bookmarkStart w:id="109" w:name="_Toc5647"/>
      <w:r/>
      <w:bookmarkStart w:id="110" w:name="_Toc499"/>
      <w:r>
        <w:rPr>
          <w:rFonts w:hint="eastAsia" w:ascii="宋体" w:hAnsi="宋体" w:cs="宋体"/>
          <w:color w:val="auto"/>
          <w:sz w:val="24"/>
          <w:szCs w:val="24"/>
          <w:highlight w:val="none"/>
        </w:rPr>
        <w:t xml:space="preserve">㈠投标人须知前附表</w:t>
      </w:r>
      <w:bookmarkEnd w:id="105"/>
      <w:r/>
      <w:bookmarkEnd w:id="106"/>
      <w:r/>
      <w:bookmarkEnd w:id="107"/>
      <w:r/>
      <w:bookmarkEnd w:id="108"/>
      <w:r/>
      <w:bookmarkEnd w:id="109"/>
      <w:r/>
      <w:bookmarkEnd w:id="110"/>
      <w:r/>
      <w:r/>
    </w:p>
    <w:tbl>
      <w:tblPr>
        <w:tblStyle w:val="847"/>
        <w:tblpPr w:horzAnchor="text" w:tblpXSpec="center" w:vertAnchor="text" w:tblpY="1" w:leftFromText="180" w:topFromText="0" w:rightFromText="180" w:bottomFromText="0"/>
        <w:tblW w:w="48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690"/>
        <w:gridCol w:w="6126"/>
      </w:tblGrid>
      <w:tr>
        <w:trPr>
          <w:jc w:val="center"/>
          <w:trHeight w:val="966"/>
        </w:trPr>
        <w:tc>
          <w:tcPr>
            <w:tcW w:w="0" w:type="auto"/>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bookmarkStart w:id="111" w:name="_Hlk71812492"/>
            <w:r>
              <w:rPr>
                <w:rFonts w:hint="eastAsia" w:ascii="宋体" w:hAnsi="宋体" w:cs="宋体"/>
                <w:color w:val="auto"/>
                <w:szCs w:val="21"/>
                <w:highlight w:val="none"/>
              </w:rPr>
              <w:t xml:space="preserve">条款号</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条 款 名 称</w:t>
            </w:r>
            <w:r/>
          </w:p>
        </w:tc>
        <w:tc>
          <w:tcPr>
            <w:tcW w:w="3621"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编 列 内 容</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采购标的对应的中小企业划分标准所属行业</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所属行业为：</w:t>
            </w:r>
            <w:r>
              <w:rPr>
                <w:rFonts w:hint="eastAsia" w:ascii="宋体" w:hAnsi="宋体" w:cs="宋体"/>
                <w:color w:val="auto"/>
                <w:szCs w:val="21"/>
                <w:highlight w:val="none"/>
                <w:u w:val="single"/>
              </w:rPr>
              <w:t xml:space="preserve">建筑业</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是否专门面向中小企业或小型、微型企业采购</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jc w:val="center"/>
          <w:trHeight w:val="776"/>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☑不允许违法分包，分包管理按照《江苏省公路水运工程施工分包管理实施细则》（苏交规【2025】2号文）执行。</w:t>
            </w:r>
            <w:r>
              <w:rPr>
                <w:rFonts w:hint="eastAsia" w:ascii="宋体" w:hAnsi="宋体" w:cs="宋体"/>
                <w:b/>
                <w:bCs/>
                <w:color w:val="auto"/>
                <w:szCs w:val="21"/>
                <w:highlight w:val="none"/>
              </w:rPr>
              <w:t xml:space="preserve">(提供承诺书）</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联合体</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投标人询问或要求澄清的截止时间</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提交投标文件截止时间前15日</w:t>
            </w:r>
            <w:r/>
          </w:p>
        </w:tc>
      </w:tr>
      <w:tr>
        <w:trPr>
          <w:jc w:val="center"/>
          <w:trHeight w:val="187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bookmarkStart w:id="112" w:name="_Toc9333273"/>
            <w:r/>
            <w:bookmarkStart w:id="113" w:name="_Toc9333226"/>
            <w:r/>
            <w:bookmarkStart w:id="114" w:name="_Toc38466022"/>
            <w:r>
              <w:rPr>
                <w:rFonts w:hint="eastAsia" w:ascii="宋体" w:hAnsi="宋体" w:cs="宋体"/>
                <w:color w:val="auto"/>
                <w:szCs w:val="21"/>
                <w:highlight w:val="none"/>
              </w:rPr>
              <w:t xml:space="preserve">质疑函送达方式</w:t>
            </w:r>
            <w:bookmarkEnd w:id="112"/>
            <w:r/>
            <w:bookmarkEnd w:id="113"/>
            <w:r/>
            <w:bookmarkEnd w:id="114"/>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各投标人如对项目招标活动有异议，应在法定时间内，以书面形式向招标人（招标代理机构）</w:t>
            </w:r>
            <w:r>
              <w:rPr>
                <w:rFonts w:hint="eastAsia" w:ascii="宋体" w:hAnsi="宋体" w:cs="宋体"/>
                <w:color w:val="auto"/>
                <w:szCs w:val="21"/>
                <w:highlight w:val="none"/>
                <w:lang w:eastAsia="zh-CN"/>
              </w:rPr>
              <w:t xml:space="preserve">质疑</w:t>
            </w:r>
            <w:r>
              <w:rPr>
                <w:rFonts w:hint="eastAsia" w:ascii="宋体" w:hAnsi="宋体" w:cs="宋体"/>
                <w:color w:val="auto"/>
                <w:szCs w:val="21"/>
                <w:highlight w:val="none"/>
              </w:rPr>
              <w:t xml:space="preserve">，该质疑须按《政府采购质疑和投诉办法》（财政部94号令）、《江苏省政府采购供应商监督管理暂行办法》的规定提交。招标人（招标代理机构）将在收到质疑后七个工作日内，对质疑内容作出答复。</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bookmarkStart w:id="115" w:name="_Toc9333227"/>
            <w:r/>
            <w:bookmarkStart w:id="116" w:name="_Toc38466023"/>
            <w:r/>
            <w:bookmarkStart w:id="117" w:name="_Toc9333274"/>
            <w:r>
              <w:rPr>
                <w:rFonts w:hint="eastAsia" w:ascii="宋体" w:hAnsi="宋体" w:cs="宋体"/>
                <w:color w:val="auto"/>
                <w:szCs w:val="21"/>
                <w:highlight w:val="none"/>
              </w:rPr>
              <w:t xml:space="preserve">投标文件有效期</w:t>
            </w:r>
            <w:bookmarkEnd w:id="115"/>
            <w:r/>
            <w:bookmarkEnd w:id="116"/>
            <w:r/>
            <w:bookmarkEnd w:id="117"/>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90日</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bookmarkStart w:id="118" w:name="_Toc38466024"/>
            <w:r/>
            <w:bookmarkStart w:id="119" w:name="_Toc9333228"/>
            <w:r/>
            <w:bookmarkStart w:id="120" w:name="_Toc9333275"/>
            <w:r>
              <w:rPr>
                <w:rFonts w:hint="eastAsia" w:ascii="宋体" w:hAnsi="宋体" w:cs="宋体"/>
                <w:color w:val="auto"/>
                <w:szCs w:val="21"/>
                <w:highlight w:val="none"/>
              </w:rPr>
              <w:t xml:space="preserve">投标保证金</w:t>
            </w:r>
            <w:bookmarkEnd w:id="118"/>
            <w:r/>
            <w:bookmarkEnd w:id="119"/>
            <w:r/>
            <w:bookmarkEnd w:id="120"/>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不收取</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投标文件的份数</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电子响应文件壹份</w:t>
            </w:r>
            <w:r/>
          </w:p>
        </w:tc>
      </w:tr>
      <w:tr>
        <w:trPr>
          <w:jc w:val="center"/>
          <w:trHeight w:val="1170"/>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投标文件的签署盖章</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i/>
                <w:color w:val="auto"/>
                <w:szCs w:val="21"/>
                <w:highlight w:val="none"/>
              </w:rPr>
            </w:pPr>
            <w:r>
              <w:rPr>
                <w:rFonts w:hint="eastAsia" w:ascii="宋体" w:hAnsi="宋体" w:cs="宋体"/>
                <w:b/>
                <w:bCs/>
                <w:iCs/>
                <w:color w:val="auto"/>
                <w:szCs w:val="21"/>
                <w:highlight w:val="none"/>
              </w:rPr>
              <w:t xml:space="preserve">招标文件“投标文件格式”中要求盖单位章和（或）签字的地方均应使用CA数字证书加盖投标人的单位电子印章和（或）法定代表人的个人电子印章或电子签名章。</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推荐的中标候选人数量</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不超过 3 名</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确定中标人方式</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招标人</w:t>
            </w:r>
            <w:r/>
          </w:p>
        </w:tc>
      </w:tr>
      <w:tr>
        <w:trPr>
          <w:jc w:val="center"/>
          <w:trHeight w:val="567"/>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default" w:ascii="宋体" w:hAnsi="宋体" w:eastAsia="宋体" w:cs="宋体"/>
                <w:color w:val="auto"/>
                <w:szCs w:val="21"/>
                <w:highlight w:val="none"/>
              </w:rPr>
            </w:pPr>
            <w:r>
              <w:rPr>
                <w:rFonts w:hint="eastAsia" w:ascii="宋体" w:hAnsi="宋体" w:cs="宋体"/>
                <w:color w:val="auto"/>
                <w:szCs w:val="21"/>
                <w:highlight w:val="none"/>
              </w:rPr>
              <w:t xml:space="preserve">中标人交纳合同金额的10%，人民币（中标价的10%四舍五入取整数）元作为本合同的履约保证金。</w:t>
            </w:r>
            <w:r>
              <w:rPr>
                <w:rFonts w:hint="eastAsia" w:ascii="宋体" w:hAnsi="宋体" w:cs="宋体"/>
                <w:color w:val="auto"/>
                <w:szCs w:val="21"/>
                <w:highlight w:val="none"/>
                <w:lang w:val="en-US" w:eastAsia="zh-CN"/>
              </w:rPr>
              <w:t xml:space="preserve">在领取中标通知书后5个工作日内缴纳，且必须在合同签订前完成。</w:t>
            </w:r>
            <w:r/>
          </w:p>
        </w:tc>
      </w:tr>
      <w:tr>
        <w:trPr>
          <w:jc w:val="center"/>
          <w:trHeight w:val="923"/>
        </w:trPr>
        <w:tc>
          <w:tcPr>
            <w:tcW w:w="0" w:type="auto"/>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999" w:type="pct"/>
            <w:vAlign w:val="center"/>
            <w:textDirection w:val="lrTb"/>
            <w:noWrap w:val="false"/>
          </w:tcPr>
          <w:p>
            <w:pPr>
              <w:ind w:hanging="1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评标小组成员</w:t>
            </w:r>
            <w:r/>
          </w:p>
        </w:tc>
        <w:tc>
          <w:tcPr>
            <w:tcW w:w="3621" w:type="pct"/>
            <w:vAlign w:val="center"/>
            <w:textDirection w:val="lrTb"/>
            <w:noWrap w:val="false"/>
          </w:tcPr>
          <w:p>
            <w:pPr>
              <w:ind w:hanging="10"/>
              <w:jc w:val="left"/>
              <w:keepLines w:val="0"/>
              <w:keepNext w:val="0"/>
              <w:pageBreakBefore w:val="0"/>
              <w:spacing w:line="288" w:lineRule="auto"/>
              <w:shd w:val="clear" w:color="auto" w:fill="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评标小组成员为5人或5人以上单数，评标专家人数不得少于评标小组成员总数的2/3。</w:t>
            </w:r>
            <w:r/>
          </w:p>
        </w:tc>
      </w:tr>
      <w:tr>
        <w:trPr>
          <w:jc w:val="center"/>
          <w:trHeight w:val="567"/>
        </w:trPr>
        <w:tc>
          <w:tcPr>
            <w:tcW w:w="0" w:type="auto"/>
            <w:vAlign w:val="center"/>
            <w:textDirection w:val="lrTb"/>
            <w:noWrap w:val="false"/>
          </w:tcPr>
          <w:p>
            <w:pPr>
              <w:ind w:hanging="10"/>
              <w:jc w:val="center"/>
              <w:spacing w:line="312"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tcW w:w="0" w:type="auto"/>
            <w:vAlign w:val="center"/>
            <w:textDirection w:val="lrTb"/>
            <w:noWrap w:val="false"/>
          </w:tcPr>
          <w:p>
            <w:pPr>
              <w:ind w:hanging="10"/>
              <w:spacing w:line="312"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r>
      <w:tr>
        <w:trPr>
          <w:jc w:val="center"/>
          <w:trHeight w:val="567"/>
        </w:trPr>
        <w:tc>
          <w:tcPr>
            <w:tcW w:w="0" w:type="auto"/>
            <w:vAlign w:val="center"/>
            <w:textDirection w:val="lrTb"/>
            <w:noWrap w:val="false"/>
          </w:tcPr>
          <w:p>
            <w:pPr>
              <w:ind w:firstLine="42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15.1</w:t>
            </w:r>
            <w:r/>
          </w:p>
        </w:tc>
        <w:tc>
          <w:tcPr>
            <w:gridSpan w:val="2"/>
            <w:tcW w:w="0" w:type="auto"/>
            <w:vAlign w:val="center"/>
            <w:textDirection w:val="lrTb"/>
            <w:noWrap w:val="false"/>
          </w:tcPr>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报价说明：</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⑴招标人设有最高投标限价人民币123.37 万元（含暂列金3万元、安全生产费2.4万元）</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投标人的投标报价超过上述最高投标限价的（不含上限值），作否决投标处理。</w:t>
            </w:r>
            <w:r/>
          </w:p>
          <w:p>
            <w:pPr>
              <w:ind w:firstLine="422"/>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⑵本项目采用固定单价合同方式</w:t>
            </w:r>
            <w:r>
              <w:rPr>
                <w:rFonts w:hint="eastAsia" w:ascii="宋体" w:hAnsi="宋体" w:cs="宋体"/>
                <w:color w:val="auto"/>
                <w:szCs w:val="21"/>
                <w:highlight w:val="none"/>
              </w:rPr>
              <w:t xml:space="preserve">。投标人的投标报价，应是本项目招标范围内其所投标段的全部工程的报价，并以投标人在全费用工程量清单投标报价单中提出的全费用综合单价或总额价为根据。</w:t>
            </w:r>
            <w:r>
              <w:rPr>
                <w:rFonts w:hint="eastAsia" w:ascii="宋体" w:hAnsi="宋体" w:cs="宋体"/>
                <w:bCs/>
                <w:color w:val="auto"/>
                <w:szCs w:val="21"/>
                <w:highlight w:val="none"/>
              </w:rPr>
              <w:t xml:space="preserve">投标人所报的</w:t>
            </w:r>
            <w:r>
              <w:rPr>
                <w:rFonts w:hint="eastAsia" w:ascii="宋体" w:hAnsi="宋体" w:cs="宋体"/>
                <w:b/>
                <w:color w:val="auto"/>
                <w:szCs w:val="21"/>
                <w:highlight w:val="none"/>
              </w:rPr>
              <w:t xml:space="preserve">全费用综合单价或总额价应包括为实施和完成合同工程所需的劳务、材料、机械、质检</w:t>
            </w:r>
            <w:r>
              <w:rPr>
                <w:rFonts w:hint="eastAsia" w:ascii="宋体" w:hAnsi="宋体" w:cs="宋体"/>
                <w:b/>
                <w:color w:val="auto"/>
                <w:szCs w:val="21"/>
                <w:highlight w:val="none"/>
              </w:rPr>
              <w:t xml:space="preserve">、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全费用综合单价或总额价）。现场施工工地需要按标准化施工工地管理要求，设置护栏、围挡、标志、标牌及其他必要的所需设备设施，营造文明、安全施工工地。</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⑶投标人在编制投标报价时，应充分考虑施工期间市场的风险和国家政策性调整风险等一切因素，并计入投标报价中。合同协议书一经签订，除合同另有规定外，合同单价一概不予调整。</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⑷中国政府（江苏省）根据现行税法和有关部门现行规定就本合同项下向承包人征收的所有税金及其他应交纳的所有费用均由承包人摊入各工程细目的单价中。</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⑸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p>
          <w:p>
            <w:pPr>
              <w:pStyle w:val="1108"/>
              <w:ind w:left="0" w:firstLine="420"/>
              <w:keepLines w:val="0"/>
              <w:keepNext w:val="0"/>
              <w:pageBreakBefore w:val="0"/>
              <w:spacing w:line="288" w:lineRule="auto"/>
              <w:shd w:val="clear" w:color="auto" w:fill="auto"/>
              <w:widowControl w:val="off"/>
              <w:rPr>
                <w:rFonts w:hint="eastAsia" w:cs="宋体"/>
                <w:bCs/>
                <w:color w:val="auto"/>
                <w:sz w:val="21"/>
                <w:szCs w:val="21"/>
                <w:highlight w:val="none"/>
              </w:rPr>
            </w:pPr>
            <w:r>
              <w:rPr>
                <w:rFonts w:hint="eastAsia" w:cs="宋体"/>
                <w:bCs/>
                <w:color w:val="auto"/>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⑺承包人发生劳务分包时必须遵守国家相关法律以及市县的相关规定，并承担一切责任，承包人须将劳务分包合同报发包人备案。</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⑼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承包人装备险和承包人职工的（人身）事故险均由承包人自行投保，保险费用由承包人承担并含在合同综合单价中，不单独列支。</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安全生产费用须经监理审核合格后，计量支付。</w:t>
            </w:r>
            <w:r/>
          </w:p>
          <w:p>
            <w:pPr>
              <w:ind w:firstLine="422"/>
              <w:keepLines w:val="0"/>
              <w:keepNext w:val="0"/>
              <w:pageBreakBefore w:val="0"/>
              <w:spacing w:line="288" w:lineRule="auto"/>
              <w:shd w:val="clear" w:color="auto" w:fill="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根据《安全生产责任保险实施办法》（应急〔2025〕27号）的要求，承包人必须投保安全生产责任险，保险费用包含在安全生产费中，据实计量支付。</w:t>
            </w:r>
            <w:r/>
          </w:p>
          <w:p>
            <w:pPr>
              <w:ind w:firstLine="422"/>
              <w:keepLines w:val="0"/>
              <w:keepNext w:val="0"/>
              <w:pageBreakBefore w:val="0"/>
              <w:spacing w:line="288" w:lineRule="auto"/>
              <w:shd w:val="clear" w:color="auto" w:fill="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承包人施工作业应向属地交通运输综合执法、水利等相关部门进行报备；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p>
          <w:p>
            <w:pPr>
              <w:ind w:firstLine="422"/>
              <w:keepLines w:val="0"/>
              <w:keepNext w:val="0"/>
              <w:pageBreakBefore w:val="0"/>
              <w:spacing w:line="288" w:lineRule="auto"/>
              <w:shd w:val="clear" w:color="auto" w:fill="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⒁报价必须在招标人提供的电子固化全费用工程量清单投标报价单中填写，投标人不能按照报价格式用自己的报价软件自动生成，否则将被否决投标。</w:t>
            </w:r>
            <w:r/>
          </w:p>
          <w:p>
            <w:pPr>
              <w:ind w:firstLine="422"/>
              <w:keepLines w:val="0"/>
              <w:keepNext w:val="0"/>
              <w:pageBreakBefore w:val="0"/>
              <w:spacing w:line="288" w:lineRule="auto"/>
              <w:shd w:val="clear" w:color="auto" w:fill="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投标人应确保工程量固化全费用工程量清单投标报价单中的投标报价和投标函大写金额报价一致，否则将被否决投标。</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⒂评标过程中出现下列情形之一的，评标委员会应当启动异常低价投标审查程序：</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①投标报价低于全部通过符合性审查投标人投标报价平均值50%的，即投标报价＜全部通过符合性审查投标人投标报价平均值×50%；</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②投标报价低于通过符合性审查的次低报价投标人投标报价50%的，即投标报价＜通过符合性审查的次低报价投标人投标报价×50%；</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③投标报价低于招标项目最高限价45%的，即投标报价＜招标项目最高限价×45%；</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④评审委员会基于专业判断，认为投标人报价过低，有可能影响产品质量或者不能诚信履约的其他情形。</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keepLines w:val="0"/>
              <w:keepNext w:val="0"/>
              <w:pageBreakBefore w:val="0"/>
              <w:spacing w:line="288" w:lineRule="auto"/>
              <w:shd w:val="clear" w:color="auto" w:fill="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tc>
      </w:tr>
      <w:tr>
        <w:trPr>
          <w:jc w:val="center"/>
          <w:trHeight w:val="567"/>
        </w:trPr>
        <w:tc>
          <w:tcPr>
            <w:tcW w:w="0" w:type="auto"/>
            <w:vAlign w:val="center"/>
            <w:textDirection w:val="lrTb"/>
            <w:noWrap w:val="false"/>
          </w:tcPr>
          <w:p>
            <w:pPr>
              <w:ind w:hanging="10"/>
              <w:jc w:val="center"/>
              <w:spacing w:line="312"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15.2</w:t>
            </w:r>
            <w:r/>
          </w:p>
        </w:tc>
        <w:tc>
          <w:tcPr>
            <w:gridSpan w:val="2"/>
            <w:tcW w:w="0" w:type="auto"/>
            <w:vAlign w:val="center"/>
            <w:textDirection w:val="lrTb"/>
            <w:noWrap w:val="false"/>
          </w:tcPr>
          <w:p>
            <w:pPr>
              <w:ind w:hanging="10"/>
              <w:spacing w:line="312" w:lineRule="auto"/>
              <w:shd w:val="clear" w:color="auto" w:fill="auto"/>
              <w:rPr>
                <w:rFonts w:hint="eastAsia" w:ascii="宋体" w:hAnsi="宋体" w:cs="宋体"/>
                <w:color w:val="auto"/>
                <w:szCs w:val="21"/>
                <w:highlight w:val="none"/>
              </w:rPr>
            </w:pPr>
            <w:r>
              <w:rPr>
                <w:rFonts w:hint="eastAsia" w:ascii="宋体" w:hAnsi="宋体" w:cs="宋体"/>
                <w:b/>
                <w:color w:val="auto"/>
                <w:szCs w:val="21"/>
                <w:highlight w:val="none"/>
              </w:rPr>
              <w:t xml:space="preserve">本项目发包人：京杭运河江苏省船闸应急保障中心。后续由发包人与本项目承包人签订合同，履行相关权利义务。</w:t>
            </w:r>
            <w:bookmarkEnd w:id="111"/>
            <w:r/>
            <w:r/>
          </w:p>
        </w:tc>
      </w:tr>
    </w:tbl>
    <w:p>
      <w:pPr>
        <w:shd w:val="clear" w:color="auto" w:fill="auto"/>
        <w:rPr>
          <w:rFonts w:hint="eastAsia" w:ascii="宋体" w:hAnsi="宋体" w:cs="宋体"/>
          <w:b/>
          <w:color w:val="auto"/>
          <w:sz w:val="24"/>
          <w:highlight w:val="none"/>
        </w:rPr>
      </w:pPr>
      <w:r>
        <w:rPr>
          <w:rFonts w:hint="eastAsia" w:ascii="宋体" w:hAnsi="宋体" w:cs="宋体"/>
          <w:b/>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一、总则</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满足招标公告中投标人的资格要求的规定。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满足本文件实质性条款的规定。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2.3投标人须知前附表规定接受联合体投标的，除应符合招标公告和投标人须知前附表的要求外，还应遵守以下规定： </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⑴联合体各方应按招标文件提供的格式签订联合体协议书，明确联合体牵头人和各方权利义务；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⑵联合体各方不得再以自己名义单独或参加其他联合体在同一标段中投标；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⑶联合体所有成员数量不得超过招标公告规定的数量；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⑸尽管委任了联合体牵头人，但联合体各成员在投标、签约与履行合同过程中，仍负有连带的和各自的法律责任。</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 政策功能</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4.6未按要求提供相关材料的，不享受相关政策。</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5．投标费用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投标人应自行承担所有与参加投标有关的费用，无论投标过程中的做法和结果如何，招标人、招标代理机构在任何情况下均无义务和责任承担这些费用。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本次招标代理服务费和造价咨询服务费、评审费由发包人支付。</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6．招标文件的约束力</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投标人一旦领取本招标文件决定参加投标，即被认为接受了本招标文件的规定和约束，并且视为自招标公告发布之日起已经知道或应当知道自身权益是否受到了损害。</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二、招标文件</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7．招标文件构成</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招标文件由以下部分组成：</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招标公告</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投标人须知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评标办法</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合同条款及格式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工程量清单</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图纸</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技术标准和要求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第八章  投标文件格式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请仔细检查招标文件是否齐全，如有缺漏请立即与招标代理机构联系解决。</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8．招标文件的澄清</w:t>
      </w:r>
      <w:r/>
    </w:p>
    <w:p>
      <w:pPr>
        <w:ind w:firstLine="480"/>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任何要求对招标文件进行澄清的投标人，均应在答疑时间截止前以书面形式向招标代理机构提出。招标人对答疑时间截止前收到的任何澄清要求将以书面形式予以答复。</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9．招标文件的修改</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在提交投标文件截止15日前的任何时候，无论出于何种原因，招标人均可主动地或在解答投标人提出的澄清问题时对招标文件进行修改。</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招标代理机构有权按照法定的要求推迟投标截止日期和开标日期。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 招标文件的实质性变动或修改将在江苏政府采购网通知，投标人可自行下载。补充文件将作为招标文件的组成部分，并对投标人具有约束力。</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三、投标文件的编制</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投标人提交的投标文件以及投标人与招标代理机构就有关投标的所有来往通知、函件和文件均应使用简体中文。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除技术性能另有规定外，投标文件所使用的度量衡单位，均须采用国家法定计量单位。</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投标人编写的投标文件应包括投标函、资格证明文件、项目经理及其他人员介绍、主要业绩、施工组织设计、投标人情况介绍等部分。</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12．投标函</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投标人应按照招标文件中提供的格式完整、正确填写投标函。</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13．投标人资格证明文件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投标人应按招标文件的要求提交资格证明文件。</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14．投标报价</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投标人应按照招标文件规定格式填表。每项只允许有一个报价。</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标的物</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详见招标公告</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投标货币</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投标文件中的单项报价和总价均采用人民币报价，以元为单位标注。招标文件中另有规定的按规定执行。</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14.4投标报价的相关要求详见本章投标人须知《投标人须知前附表》中15.1报价说明和第七章技术标准和要求中工程量清单编制说明及投标报价要求。</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15．技术条款响应及偏离表、商务条款响应及偏离表 </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对招标文件中的技术条款与商务条款要求逐项作出响应或偏离，并说明原因。</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16．施工组织设计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投标文件中应体现根据自己对需求的理解撰写需求分析和工程项目的组织与管理、工作计划、组织分工等内容、配置的人员情况等。</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17．投标人情况介绍</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投标人的总体情况应在投标文件以书面形式作出说明。</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18．投标保证金</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本项目不收取投标保证金。</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19．投标有效期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投标有效期为招标代理机构规定的开标之日后</w:t>
      </w:r>
      <w:r>
        <w:rPr>
          <w:rFonts w:hint="eastAsia" w:ascii="宋体" w:hAnsi="宋体" w:eastAsia="宋体" w:cs="宋体"/>
          <w:b/>
          <w:bCs/>
          <w:color w:val="auto"/>
          <w:sz w:val="24"/>
          <w:highlight w:val="none"/>
        </w:rPr>
        <w:t xml:space="preserve">九十（90）天</w:t>
      </w:r>
      <w:r>
        <w:rPr>
          <w:rFonts w:hint="eastAsia" w:ascii="宋体" w:hAnsi="宋体" w:eastAsia="宋体" w:cs="宋体"/>
          <w:color w:val="auto"/>
          <w:sz w:val="24"/>
          <w:highlight w:val="none"/>
        </w:rPr>
        <w:t xml:space="preserve">。投标有效期比规定短的将被视为非响应性投标而予以拒绝。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四、投标文件的递交</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20．投标文件的递交</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投标人应充分考虑网络及系统平台可能存在的非正常情况等各种风险因素，在规定的提交投标文件截止时间前，通过江苏省政府采购管理交易系统（苏采云），完成投标文件的上传。</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21．投标文件的修改与撤回</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在提交投标文件截止时间前，投标人可以修改或撤回已递交的投标文件。修改的投标文件应按照本招标文件规定进行编制和重新提交。</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22．投标文件的确认</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23．投标文件的拒收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在规定的提交投标文件截止时间后，江苏省政府采购管理交易系统（苏采云）将不再接受投标文件的上传。</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五、开标与评标</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24．开标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24.1开标将在“苏采云”系统“开标大厅”内公开进行，投标人应当按照《江苏省政府采购管理交易系统（苏采云）供应商操作手册》规定参加，并在规定的时间内解密投标文件。</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24.2特殊情况的处置</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24.2.1在提交投标文件截止时间后，不见面开标系统出现下列情况之一时，投标文件未开启的，暂停开启活动；正在开启的，立即暂停，待系统恢复正常后再组织。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⑴系统服务器发生故障，无法访问或无法使用系统；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⑵系统的软件或数据库出现错误，不能进行正常操作；</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⑶系统发现有安全漏洞，有潜在的泄密危险；</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⑷其他无法保证信息安全的情形。</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24.2.2因投标人自身原因造成投标文件无法解密的，视为撤销投标文件。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24.2.3投标人对开标活动或开标结果等有疑义的，可向招标人提出。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24.2.4投标人未在系统中确认开标结果的，视同认可开标结果。</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25．评标委员会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开标后，招标代理机构将立即组织评标委员会（以下简称评委会）进行评标。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w:t>
      </w:r>
      <w:r>
        <w:rPr>
          <w:rFonts w:hint="eastAsia" w:ascii="宋体" w:hAnsi="宋体" w:eastAsia="宋体" w:cs="宋体"/>
          <w:b/>
          <w:bCs/>
          <w:color w:val="auto"/>
          <w:sz w:val="24"/>
          <w:highlight w:val="none"/>
        </w:rPr>
        <w:t xml:space="preserve">评委会由评标专家、招标人代表组成</w:t>
      </w:r>
      <w:r>
        <w:rPr>
          <w:rFonts w:hint="eastAsia" w:ascii="宋体" w:hAnsi="宋体" w:eastAsia="宋体" w:cs="宋体"/>
          <w:color w:val="auto"/>
          <w:sz w:val="24"/>
          <w:highlight w:val="none"/>
        </w:rPr>
        <w:t xml:space="preserve">，且人员构成符合政府采购有关规定。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 评委会应以科学、公正的态度参加评标工作并推荐中标候选人。评标专家和招标人代表在评标过程中不受任何干扰，独立、负责地提出评审意见，并对自己的评审意见承担责任。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 评委会将对投标人的商业、技术秘密予以保密。</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26．评标过程的保密与公正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在评标过程中，如果投标人试图向招标代理机构和参与评标的人员施加任何影响，都将会导致其投标被拒绝。</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27．投标的澄清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评标期间，为有助于投标文件的审查、评价和比较，评委会有权要求投标人对其投标文件进行澄清，但并非对每个投标人都作澄清要求。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投标人在开标后应随时关注“苏采云”系统，接到评委会澄清要求的投标人如未按规定时间作出澄清，其风险由投标人自行承担。</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28．对投标文件的审核</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 投标文件资格性审查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招标人或者招标代理机构依法对投标人的资格进行审查。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28.1.1本项目将执行在政府采购活动中查询及使用信用记录的规定，具体要求为：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⑴信用信息查询的截止时点：投标截止时间。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⑵查询渠道：“信用中国”网站（www.creditchina.gov.cn）和中国政府采购网（www.ccgp.gov.cn）；</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⑶信用信息查询记录和证据留存具体方式：将经查询存在不良信用记录的潜在投标人的查询结果网页截图作为查询记录和证据，与其他采购文件一并保存；</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⑷信用信息的使用规则：本政府采购项目的投标人在信用信息查询截止时点（含）之前存在第一章招标公告中所述不良信用记录的，投标无效。</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 评委会审查、评价投标文件是否符合招标文件的商务、技术等实质性要求。实质性响应的投标应该是与招标文件要求的全部条款、条件和规格相符，没有重大偏离或保留的投标。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 评委会将对确定为实质性响应的投标进行进一步审核，除前附表另有规定外，若投标文件报价出现前后不一致的，按下列规定修正：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⑴大写金额和小写金额不一致的，以大写金额为准；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⑵单价金额小数点或者百分比有明显错位的，以投标函的总价为准，并修改单价；</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⑶总价金额与按单价汇总金额不一致的，以单价金额计算结果为准。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同时出现两种以上不一致的，按照前款规定的顺序修正。修正后的报价经投标人确认后产生约束力。投标人拒绝接受修正的，将作无效投标文件处理。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 评委会将允许修正投标文件中不构成重大偏离的、微小的、非正规的、不一致的或不规则的地方，但这些修改不能影响任何投标人相应的名次排列。</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29．无效投标条款和采购活动终止情形</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29.1 无效投标条款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29.1.1 投标文件未按招标文件要求盖章的；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29.1.2 投标文件中任何有选择的报价；</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29.1.3 投标文件报价出现前后不一致的，按招标文件规定修正后投标人不确认的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29.1.4 未按招标文件要求提供投标文件的</w:t>
      </w:r>
      <w:r>
        <w:rPr>
          <w:rFonts w:hint="eastAsia" w:ascii="宋体" w:hAnsi="宋体" w:eastAsia="宋体" w:cs="宋体"/>
          <w:b/>
          <w:bCs/>
          <w:color w:val="auto"/>
          <w:sz w:val="24"/>
          <w:highlight w:val="none"/>
        </w:rPr>
        <w:t xml:space="preserve">（包括未</w:t>
      </w:r>
      <w:r>
        <w:rPr>
          <w:rFonts w:hint="eastAsia" w:ascii="宋体" w:hAnsi="宋体" w:cs="宋体"/>
          <w:b/>
          <w:bCs/>
          <w:color w:val="auto"/>
          <w:sz w:val="24"/>
          <w:highlight w:val="none"/>
          <w:lang w:val="en-US" w:eastAsia="zh-CN"/>
        </w:rPr>
        <w:t xml:space="preserve">按照规定</w:t>
      </w:r>
      <w:r>
        <w:rPr>
          <w:rFonts w:hint="eastAsia" w:ascii="宋体" w:hAnsi="宋体" w:eastAsia="宋体" w:cs="宋体"/>
          <w:b/>
          <w:bCs/>
          <w:color w:val="auto"/>
          <w:sz w:val="24"/>
          <w:highlight w:val="none"/>
        </w:rPr>
        <w:t xml:space="preserve">提供全费用工程量清单投标报价单分析表的）</w:t>
      </w:r>
      <w:r>
        <w:rPr>
          <w:rFonts w:hint="eastAsia" w:ascii="宋体" w:hAnsi="宋体" w:eastAsia="宋体" w:cs="宋体"/>
          <w:color w:val="auto"/>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29.1.5 报价超过招标文件中规定的预算金额或者最高限价的</w:t>
      </w:r>
      <w:r>
        <w:rPr>
          <w:rFonts w:hint="eastAsia" w:ascii="宋体" w:hAnsi="宋体" w:eastAsia="宋体" w:cs="宋体"/>
          <w:b/>
          <w:bCs/>
          <w:color w:val="auto"/>
          <w:sz w:val="24"/>
          <w:highlight w:val="none"/>
        </w:rPr>
        <w:t xml:space="preserve">（包括暂列金、安全生产费用未按照招标文件规定计取的）；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29.1.7 凡“节能产品政府采购品目清单”中以★标注的政府强制采购产品，未提供国家确定的认证机构出具的、处于有效期之内的节能产品认证证书复印件的；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29.1.8 投标人被中国政府采购网、信用中国、信用江苏网站列入失信被执行人名单、重大税收违法案件当事人名单、政府采购严重失信行为记录名单的；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29.1.9 不同投标人的单位负责人为同一人或者存在直接控股、管理关系的；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29.1.10 为采购项目提供整体设计、规范编制或者项目管理、监理、检测等服务的；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29.1.11 投标文件含有招标人不能接受的附加条件的；</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29.1.12</w:t>
      </w:r>
      <w:r>
        <w:rPr>
          <w:rFonts w:hint="eastAsia" w:ascii="宋体" w:hAnsi="宋体" w:eastAsia="宋体" w:cs="宋体"/>
          <w:color w:val="auto"/>
          <w:sz w:val="24"/>
          <w:highlight w:val="none"/>
        </w:rPr>
        <w:t xml:space="preserve">法律、法规和招标文件规定的其他无效情形。</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29.2 采购活动终止情形</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29.2.1符合专业条件的投标人或者对招标文件作实质响应的投标人不足三家的；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29.2.2出现影响采购公正的违法、违规行为的；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29.2.3因重大变故，采购任务取消的。</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29.3 投标截止时间结束后参加投标的投标人不足三家的处理：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⑴招标文件存在不合理条款或者招标程序不符合规定的，招标人、招标代理机构改正后依法重新招标；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⑵招标文件没有不合理条款、招标程序符合规定，需要采用其他采购方式采购的，招标人应当依法报财政部门批准。</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六、定标</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30．确定中标单位</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评委会根据本招标文件规定评分办法与评分标准推荐中标候选人顺序。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 中标候选人依据得分由高到低进行排名。</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中标人名单将在“江苏政府采购网”进行公示，公示时间为一个工作日。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 若有充分证据证明，中标人出现下列情况之一的，一经查实，将被取消中标资格：</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⑴提供虚假材料谋取中标的；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⑵与评标专家、招标人、其他投标人或者招标代理机构工作人员恶意串通的；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⑶向评标专家、招标人或招标代理机构工作人员行贿或者提供其他不正当利益的；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⑷不满足本招标文件规定的实质性要求，但在评标过程中又未被评委会发现的；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⑸其他不符合法律、法规规定的。</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31．质疑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质疑形式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31.1.2 质疑必须按《政府采购法》《政府采购法实施条例》及财政部94号令的相关规定提交，未按上述要求提交的质疑函招标代理机构有权不予受理。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31.1.3 质疑函应当包括下列内容：</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31.1.3.1 投标人的姓名或者名称、地址、邮编、联系人及联系电话；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31.1.3.2 质疑项目的名称、编号；</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31.1.3.3 具体、明确的质疑事项和与质疑事项相关的请求；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31.1.3.4 事实依据；</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31.1.3.5 必要的法律依据；</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31.1.3.6 提出质疑的日期。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31.1.4 质疑函应当由法定代表人、主要负责人，或者其授权代表签字或者盖章，并加盖公章。匿名提交的质疑将不予受理。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31.1.5 质疑的送达方式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31.1.5.1 质疑函应采用邮寄送达或直接送达的方式递交，采用其他方式送达（含传真、电子邮件等）的，招标代理机构有权不予受理。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特别提示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31.2.1 根据财政部94号令第十一条规定，提出质疑的投标人应当是参与所质疑项目采购活动的投标人。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31.2.2 投标人在法定质疑期内应一次性提出针对同一采购程序环节的质疑。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其他</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31.3.1 接收质疑函的联系部门、联系电话和通讯地址同招标公告中本次招标联系事项一致。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31.3.2 招标人或招标代理机构应当在收到投标人的书面质疑后七个工作日内作出答复，并以书面形式通知质疑投标人和其他有关投标人，但答复的内容不得涉及商业秘密。</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自中标人确定之日起2个工作日内，招标人在江苏政府采购网公布中标结果，同时向中标人发出中标通知书。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中标通知书将是合同的一个组成部分。对招标人和中标人均具有法律效力。中标通知书发出后，招标人改变中标结果的，或者中标人放弃中标项目的，应当依法承担法律责任。</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七、授予合同</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33．签订合同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 </w:t>
      </w:r>
      <w:r>
        <w:rPr>
          <w:rFonts w:hint="eastAsia" w:ascii="宋体" w:hAnsi="宋体" w:eastAsia="宋体" w:cs="宋体"/>
          <w:b/>
          <w:color w:val="auto"/>
          <w:sz w:val="24"/>
          <w:highlight w:val="none"/>
        </w:rPr>
        <w:t xml:space="preserve">中标人应按中标通知书规定的时间、地点，按照招标文件确定的事项与发包人签订政府采购合同</w:t>
      </w:r>
      <w:r>
        <w:rPr>
          <w:rFonts w:hint="eastAsia" w:ascii="宋体" w:hAnsi="宋体" w:eastAsia="宋体" w:cs="宋体"/>
          <w:color w:val="auto"/>
          <w:sz w:val="24"/>
          <w:highlight w:val="none"/>
        </w:rPr>
        <w:t xml:space="preserve">，且不得迟于中标通知书发出之日起三十日内，由此给招标人及发包人造成损失的，中标人还应承担赔偿责任。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 招标文件、中标人的投标文件及招标过程中有关澄清、承诺文件均应作为合同附件。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 签订合同后，中标人不得相关服务进行转包和违法分包。</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34．履约保证金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.1中标人交纳合同金额的10%，人民币（中标价的10%四舍五入取整数）元作为本合同的履约保证金。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.2中标人提供的履约保证金可以是人民币形式（银行本票、汇票、支票、电汇），或银行保函、担保公司的保证担保或保险公司的保证保险等多种形式。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.3中标人选取银行保函、担保公司的保证担保或保险公司的保证保险等形式的向采购人缴纳的，如保函（担保、保险等）的约定期到期但中标人履约仍未结束的，中标人须进行续保。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.5如中标人未能履行合同规定的义务，采购人有权从履约保证金中取得补偿。</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.6履约保证金在合同约定期间内不予退还或者应完全有效，约定期间届满之日起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.7履约保证金在合同约定期间内不予退还或者应完全有效，履约保证金在项目验收合格后无息退还给中标人。</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35．监督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行业监督部门将对招标投标全过程进行监督。</w:t>
      </w:r>
      <w:r/>
    </w:p>
    <w:p>
      <w:pPr>
        <w:jc w:val="center"/>
        <w:shd w:val="clear" w:color="auto" w:fill="auto"/>
        <w:rPr>
          <w:rFonts w:hint="eastAsia" w:ascii="宋体" w:hAnsi="宋体" w:cs="宋体"/>
          <w:b/>
          <w:bCs/>
          <w:color w:val="auto"/>
          <w:sz w:val="32"/>
          <w:szCs w:val="32"/>
          <w:highlight w:val="none"/>
        </w:rPr>
      </w:pPr>
      <w:r/>
      <w:bookmarkStart w:id="121" w:name="_Toc211090859"/>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fill="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第三章  评标办法</w:t>
      </w:r>
      <w:bookmarkEnd w:id="121"/>
      <w:r/>
      <w:r/>
    </w:p>
    <w:p>
      <w:pPr>
        <w:pStyle w:val="1113"/>
        <w:contextualSpacing/>
        <w:ind w:firstLine="0"/>
        <w:jc w:val="both"/>
        <w:keepLines w:val="0"/>
        <w:keepNext w:val="0"/>
        <w:pageBreakBefore w:val="0"/>
        <w:spacing w:line="288" w:lineRule="auto"/>
        <w:shd w:val="clear" w:color="auto" w:fill="auto"/>
        <w:widowControl w:val="off"/>
        <w:rPr>
          <w:rFonts w:hint="eastAsia" w:cs="宋体"/>
          <w:b/>
          <w:bCs/>
          <w:color w:val="auto"/>
          <w:highlight w:val="none"/>
        </w:rPr>
      </w:pPr>
      <w:r>
        <w:rPr>
          <w:rFonts w:hint="eastAsia" w:cs="宋体"/>
          <w:b/>
          <w:bCs/>
          <w:color w:val="auto"/>
          <w:highlight w:val="none"/>
        </w:rPr>
        <w:t xml:space="preserve">一、评标方法</w:t>
      </w:r>
      <w:r/>
    </w:p>
    <w:p>
      <w:pPr>
        <w:contextualSpacing/>
        <w:keepLines w:val="0"/>
        <w:keepNext w:val="0"/>
        <w:pageBreakBefore w:val="0"/>
        <w:spacing w:line="288" w:lineRule="auto"/>
        <w:shd w:val="clear" w:color="auto" w:fill="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1、本次评标采用综合评分法</w:t>
      </w:r>
      <w:r/>
    </w:p>
    <w:p>
      <w:pPr>
        <w:contextualSpacing/>
        <w:ind w:firstLine="480"/>
        <w:keepLines w:val="0"/>
        <w:keepNext w:val="0"/>
        <w:pageBreakBefore w:val="0"/>
        <w:spacing w:line="288" w:lineRule="auto"/>
        <w:shd w:val="clear" w:color="auto" w:fill="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r/>
    </w:p>
    <w:p>
      <w:pPr>
        <w:pStyle w:val="1113"/>
        <w:ind w:firstLine="0"/>
        <w:keepLines w:val="0"/>
        <w:keepNext w:val="0"/>
        <w:pageBreakBefore w:val="0"/>
        <w:spacing w:line="288" w:lineRule="auto"/>
        <w:shd w:val="clear" w:color="auto" w:fill="auto"/>
        <w:widowControl w:val="off"/>
        <w:rPr>
          <w:rFonts w:hint="eastAsia" w:cs="宋体"/>
          <w:b/>
          <w:color w:val="auto"/>
          <w:highlight w:val="none"/>
        </w:rPr>
      </w:pPr>
      <w:r>
        <w:rPr>
          <w:rFonts w:hint="eastAsia" w:cs="宋体"/>
          <w:b/>
          <w:color w:val="auto"/>
          <w:highlight w:val="none"/>
        </w:rPr>
        <w:t xml:space="preserve">2、政府采购政策功能落实</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2.1小微型企业价格扣除</w:t>
      </w:r>
      <w:r/>
    </w:p>
    <w:p>
      <w:pPr>
        <w:pStyle w:val="1113"/>
        <w:ind w:firstLine="0"/>
        <w:keepLines w:val="0"/>
        <w:keepNext w:val="0"/>
        <w:pageBreakBefore w:val="0"/>
        <w:spacing w:line="288" w:lineRule="auto"/>
        <w:shd w:val="clear" w:color="auto" w:fill="auto"/>
        <w:widowControl w:val="off"/>
        <w:rPr>
          <w:rFonts w:hint="eastAsia" w:cs="宋体"/>
          <w:b/>
          <w:bCs w:val="0"/>
          <w:color w:val="auto"/>
          <w:highlight w:val="none"/>
        </w:rPr>
      </w:pPr>
      <w:r>
        <w:rPr>
          <w:rFonts w:hint="eastAsia" w:cs="宋体"/>
          <w:bCs/>
          <w:color w:val="auto"/>
          <w:highlight w:val="none"/>
        </w:rPr>
        <w:t xml:space="preserve">⑴根据《政府采购促进中小企业发展管理办法》（财库〔2020〕46号）及（财库〔2022〕19号调整）规定，投标人参与评标的价格，用扣除后的价格参加评标。</w:t>
      </w:r>
      <w:r>
        <w:rPr>
          <w:rFonts w:hint="eastAsia" w:cs="宋体"/>
          <w:b/>
          <w:bCs w:val="0"/>
          <w:color w:val="auto"/>
          <w:highlight w:val="none"/>
        </w:rPr>
        <w:t xml:space="preserve">本项目对小型和微型企业给予3%的扣除价格，用扣除后的价格参与评标。</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⑵投标人需按照招标文件的要求提供相应的《中小企业声明函》。</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2.2残疾人福利单位价格扣除</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⑴本项目对残疾人福利性单位视同小型、微型企业，给予3%的价格扣除，用扣除后的价格参与评标。</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⑵残疾人福利单位需按照招标文件的要求提供《残疾人福利性单位声明函》。</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⑶残疾人福利单位标准请参照《关于促进残疾人就业政府采购政策的通知》（财库〔2017〕141号）。</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3、监狱和戒毒企业价格扣除</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⑴本项目对监狱和戒毒企业（简称监狱企业）视同小型、微型企业，给予3%的价格扣除，用扣除后的价格参与评标。</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⑵监狱企业参加政府采购活动时，需提供由省级以上监狱管理局、戒毒管理局（含新疆生产建设兵团）出具的属于监狱企业的证明文件。投标人如不提供上述证明文件，价格将不作相应扣除。</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⑶监狱企业标准请参照《关于政府采购支持监狱企业发展有关问题的通知》（财库[2014]68号）。</w:t>
      </w:r>
      <w:r/>
    </w:p>
    <w:p>
      <w:pPr>
        <w:pStyle w:val="1113"/>
        <w:ind w:firstLine="0"/>
        <w:keepLines w:val="0"/>
        <w:keepNext w:val="0"/>
        <w:pageBreakBefore w:val="0"/>
        <w:spacing w:line="288" w:lineRule="auto"/>
        <w:shd w:val="clear" w:color="auto" w:fill="auto"/>
        <w:widowControl w:val="off"/>
        <w:rPr>
          <w:rFonts w:hint="eastAsia" w:cs="宋体"/>
          <w:bCs/>
          <w:color w:val="auto"/>
          <w:highlight w:val="none"/>
        </w:rPr>
      </w:pPr>
      <w:r>
        <w:rPr>
          <w:rFonts w:hint="eastAsia" w:cs="宋体"/>
          <w:bCs/>
          <w:color w:val="auto"/>
          <w:highlight w:val="none"/>
        </w:rPr>
        <w:t xml:space="preserve">注：监狱企业、残疾人福利性单位视同小微企业；监狱企业、残疾人福利性单位属于小型、微型企业的，不重复享受政策。</w:t>
      </w:r>
      <w:r/>
    </w:p>
    <w:p>
      <w:pPr>
        <w:pStyle w:val="1113"/>
        <w:ind w:firstLine="0"/>
        <w:shd w:val="clear" w:color="auto" w:fill="auto"/>
        <w:rPr>
          <w:rFonts w:hint="eastAsia" w:cs="宋体"/>
          <w:b/>
          <w:bCs/>
          <w:color w:val="auto"/>
          <w:highlight w:val="none"/>
        </w:rPr>
      </w:pPr>
      <w:r>
        <w:rPr>
          <w:rFonts w:hint="eastAsia" w:cs="宋体"/>
          <w:b/>
          <w:bCs/>
          <w:color w:val="auto"/>
          <w:highlight w:val="none"/>
        </w:rPr>
      </w:r>
      <w:r/>
    </w:p>
    <w:p>
      <w:pPr>
        <w:pStyle w:val="1113"/>
        <w:ind w:firstLine="0"/>
        <w:shd w:val="clear" w:color="auto" w:fill="auto"/>
        <w:rPr>
          <w:rFonts w:hint="eastAsia" w:cs="宋体"/>
          <w:b/>
          <w:bCs/>
          <w:color w:val="auto"/>
          <w:highlight w:val="none"/>
        </w:rPr>
      </w:pPr>
      <w:r>
        <w:rPr>
          <w:rFonts w:hint="eastAsia" w:cs="宋体"/>
          <w:b/>
          <w:bCs/>
          <w:color w:val="auto"/>
          <w:highlight w:val="none"/>
        </w:rPr>
        <w:t xml:space="preserve">二、评标标准</w:t>
      </w:r>
      <w:r/>
    </w:p>
    <w:tbl>
      <w:tblPr>
        <w:tblStyle w:val="847"/>
        <w:tblW w:w="48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991"/>
        <w:gridCol w:w="7046"/>
      </w:tblGrid>
      <w:tr>
        <w:trPr>
          <w:jc w:val="center"/>
          <w:trHeight w:val="803"/>
        </w:trPr>
        <w:tc>
          <w:tcPr>
            <w:tcW w:w="77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评分项</w:t>
            </w:r>
            <w:r/>
          </w:p>
        </w:tc>
        <w:tc>
          <w:tcPr>
            <w:gridSpan w:val="2"/>
            <w:tcW w:w="8047"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评 分 内 容</w:t>
            </w:r>
            <w:r/>
          </w:p>
        </w:tc>
      </w:tr>
      <w:tr>
        <w:trPr>
          <w:jc w:val="center"/>
          <w:trHeight w:val="701"/>
        </w:trPr>
        <w:tc>
          <w:tcPr>
            <w:tcW w:w="77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（40分）</w:t>
            </w:r>
            <w:r/>
          </w:p>
        </w:tc>
        <w:tc>
          <w:tcPr>
            <w:gridSpan w:val="2"/>
            <w:tcW w:w="8047" w:type="dxa"/>
            <w:vAlign w:val="center"/>
            <w:textDirection w:val="lrTb"/>
            <w:noWrap w:val="false"/>
          </w:tcPr>
          <w:p>
            <w:pP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满足招标文件要求且投标价格最低的投标价为评标基准价，其价格分为满分。其他投标人的价格统一按照下列公式计算：投标得分＝（评标基准价/投标报价）×40。</w:t>
            </w:r>
            <w:r/>
          </w:p>
        </w:tc>
      </w:tr>
      <w:tr>
        <w:trPr>
          <w:jc w:val="center"/>
          <w:trHeight w:val="676"/>
        </w:trPr>
        <w:tc>
          <w:tcPr>
            <w:tcW w:w="772" w:type="dxa"/>
            <w:vAlign w:val="center"/>
            <w:vMerge w:val="restart"/>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商务部分（</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w:t>
            </w:r>
            <w:r/>
          </w:p>
        </w:tc>
        <w:tc>
          <w:tcPr>
            <w:tcW w:w="99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主要人员</w:t>
            </w:r>
            <w:r/>
          </w:p>
          <w:p>
            <w:pP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（1）项目经理具有高级工程师及以上技术职称得2分。</w:t>
            </w:r>
            <w:r>
              <w:rPr>
                <w:rFonts w:hint="eastAsia" w:ascii="宋体" w:hAnsi="宋体" w:cs="宋体"/>
                <w:b/>
                <w:bCs/>
                <w:color w:val="auto"/>
                <w:szCs w:val="21"/>
                <w:highlight w:val="none"/>
              </w:rPr>
              <w:t xml:space="preserve">（提供人员相关有效的职称证书扫描件加盖CA电子签章）</w:t>
            </w:r>
            <w:r/>
          </w:p>
          <w:p>
            <w:pPr>
              <w:keepLines w:val="0"/>
              <w:keepNext w:val="0"/>
              <w:pageBreakBefore w:val="0"/>
              <w:spacing w:line="276"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（2）项目经理自2023年1月1日以来担任过</w:t>
            </w:r>
            <w:r>
              <w:rPr>
                <w:rFonts w:hint="eastAsia" w:ascii="宋体" w:hAnsi="宋体" w:cs="宋体"/>
                <w:color w:val="auto"/>
                <w:szCs w:val="21"/>
                <w:highlight w:val="none"/>
                <w:lang w:val="en-US" w:eastAsia="zh-CN"/>
              </w:rPr>
              <w:t xml:space="preserve">类似道路或设备基础或场地项目</w:t>
            </w:r>
            <w:r>
              <w:rPr>
                <w:rFonts w:hint="eastAsia" w:ascii="宋体" w:hAnsi="宋体" w:cs="宋体"/>
                <w:color w:val="auto"/>
                <w:szCs w:val="21"/>
                <w:highlight w:val="none"/>
              </w:rPr>
              <w:t xml:space="preserve">施工的，每提供一个得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分，本项最多得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keepLines w:val="0"/>
              <w:keepNext w:val="0"/>
              <w:pageBreakBefore w:val="0"/>
              <w:spacing w:line="276"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keepLines w:val="0"/>
              <w:keepNext w:val="0"/>
              <w:pageBreakBefore w:val="0"/>
              <w:spacing w:line="276" w:lineRule="auto"/>
              <w:shd w:val="clear" w:color="auto" w:fill="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①业绩须同时提供合同、交/竣工验收证明等业绩证明材料扫描件加盖CA电子签章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业绩证明资料须能体现人员职务信息，若上述资料不能体现相关信息，则需提供发包人出具的任职证明，否则不予认可。合同、交/竣工验收证明等业绩</w:t>
            </w:r>
            <w:r>
              <w:rPr>
                <w:rFonts w:hint="eastAsia" w:ascii="宋体" w:hAnsi="宋体" w:cs="宋体"/>
                <w:b/>
                <w:bCs/>
                <w:color w:val="auto"/>
                <w:szCs w:val="21"/>
                <w:highlight w:val="none"/>
                <w:lang w:val="en-US" w:eastAsia="zh-CN"/>
              </w:rPr>
              <w:t xml:space="preserve">资料不能证明类似道路或设备基础或场地项目需提供项目投标清单或结算审核报告或发包人出具的有效证明材料，否则不予认可</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时间以交/竣工验收时间为准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未提供不得分，若一份合同同时包含以上工作内容，仅按一个业绩计取加分。</w:t>
            </w:r>
            <w:r/>
          </w:p>
          <w:p>
            <w:pPr>
              <w:keepLines w:val="0"/>
              <w:keepNext w:val="0"/>
              <w:pageBreakBefore w:val="0"/>
              <w:spacing w:line="276"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②项目经理、与企业业绩可重复加分。</w:t>
            </w:r>
            <w:r/>
          </w:p>
          <w:p>
            <w:pPr>
              <w:keepLines w:val="0"/>
              <w:keepNext w:val="0"/>
              <w:pageBreakBefore w:val="0"/>
              <w:spacing w:line="276" w:lineRule="auto"/>
              <w:shd w:val="clear" w:color="auto" w:fill="auto"/>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③项目经理业绩评审以“主要人员经历表”为准，未在表中填报的业绩不予评审。</w:t>
            </w:r>
            <w:r/>
          </w:p>
        </w:tc>
      </w:tr>
      <w:tr>
        <w:trPr>
          <w:jc w:val="center"/>
          <w:trHeight w:val="701"/>
        </w:trPr>
        <w:tc>
          <w:tcPr>
            <w:tcW w:w="772" w:type="dxa"/>
            <w:vAlign w:val="center"/>
            <w:vMerge w:val="continue"/>
            <w:textDirection w:val="lrTb"/>
            <w:noWrap w:val="false"/>
          </w:tcPr>
          <w:p>
            <w:pPr>
              <w:jc w:val="center"/>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企业业绩</w:t>
            </w:r>
            <w:r/>
          </w:p>
          <w:p>
            <w:pP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投标人自2023年1月1日以来担任过</w:t>
            </w:r>
            <w:r>
              <w:rPr>
                <w:rFonts w:hint="eastAsia" w:ascii="宋体" w:hAnsi="宋体" w:cs="宋体"/>
                <w:color w:val="auto"/>
                <w:szCs w:val="21"/>
                <w:highlight w:val="none"/>
                <w:lang w:val="en-US" w:eastAsia="zh-CN"/>
              </w:rPr>
              <w:t xml:space="preserve">类似道路或设备基础或场地项目</w:t>
            </w:r>
            <w:r>
              <w:rPr>
                <w:rFonts w:hint="eastAsia" w:ascii="宋体" w:hAnsi="宋体" w:cs="宋体"/>
                <w:color w:val="auto"/>
                <w:szCs w:val="21"/>
                <w:highlight w:val="none"/>
              </w:rPr>
              <w:t xml:space="preserve">施工的，每提供一个得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分，本项最多得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keepLines w:val="0"/>
              <w:keepNext w:val="0"/>
              <w:pageBreakBefore w:val="0"/>
              <w:spacing w:line="276"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keepLines w:val="0"/>
              <w:keepNext w:val="0"/>
              <w:pageBreakBefore w:val="0"/>
              <w:spacing w:line="276" w:lineRule="auto"/>
              <w:shd w:val="clear" w:color="auto" w:fill="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①业绩须同时提供合同、交/竣工验收证明等业绩证明材料扫描件加盖CA电子签章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合同、交/竣工验收证明等业绩</w:t>
            </w:r>
            <w:r>
              <w:rPr>
                <w:rFonts w:hint="eastAsia" w:ascii="宋体" w:hAnsi="宋体" w:cs="宋体"/>
                <w:b/>
                <w:bCs/>
                <w:color w:val="auto"/>
                <w:szCs w:val="21"/>
                <w:highlight w:val="none"/>
                <w:lang w:val="en-US" w:eastAsia="zh-CN"/>
              </w:rPr>
              <w:t xml:space="preserve">资料不能证明类似道路或设备基础或场地项目需提供项目投标清单或结算审核报告或发包人出具的有效证明材料，否则不予认可</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时间以交/竣工验收时间为准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未提供不得分，若一份合同同时包含以上工作内容，仅按一个业绩计取加分。</w:t>
            </w:r>
            <w:r/>
          </w:p>
          <w:p>
            <w:pPr>
              <w:keepLines w:val="0"/>
              <w:keepNext w:val="0"/>
              <w:pageBreakBefore w:val="0"/>
              <w:spacing w:line="276"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②项目经理业绩与企业业绩可重复加分。</w:t>
            </w:r>
            <w:r/>
          </w:p>
          <w:p>
            <w:pPr>
              <w:keepLines w:val="0"/>
              <w:keepNext w:val="0"/>
              <w:pageBreakBefore w:val="0"/>
              <w:spacing w:line="276" w:lineRule="auto"/>
              <w:shd w:val="clear" w:color="auto" w:fill="auto"/>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③企业业绩评审以“企业代表工程表”为准，未在表中填报的业绩不予评审。</w:t>
            </w:r>
            <w:r/>
          </w:p>
        </w:tc>
      </w:tr>
      <w:tr>
        <w:trPr>
          <w:jc w:val="center"/>
          <w:trHeight w:val="2208"/>
        </w:trPr>
        <w:tc>
          <w:tcPr>
            <w:tcW w:w="772" w:type="dxa"/>
            <w:vAlign w:val="center"/>
            <w:vMerge w:val="restart"/>
            <w:textDirection w:val="lrTb"/>
            <w:noWrap w:val="false"/>
          </w:tcPr>
          <w:p>
            <w:pPr>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技术部分</w:t>
            </w:r>
            <w:r/>
          </w:p>
          <w:p>
            <w:pPr>
              <w:jc w:val="center"/>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40</w:t>
            </w:r>
            <w:r>
              <w:rPr>
                <w:rFonts w:hint="eastAsia" w:ascii="宋体" w:hAnsi="宋体" w:cs="宋体"/>
                <w:color w:val="auto"/>
                <w:szCs w:val="21"/>
                <w:highlight w:val="none"/>
              </w:rPr>
              <w:t xml:space="preserve">分）</w:t>
            </w:r>
            <w:r/>
          </w:p>
        </w:tc>
        <w:tc>
          <w:tcPr>
            <w:tcW w:w="992" w:type="dxa"/>
            <w:vAlign w:val="center"/>
            <w:textDirection w:val="lrTb"/>
            <w:noWrap w:val="false"/>
          </w:tcPr>
          <w:p>
            <w:pPr>
              <w:ind w:right="-58"/>
              <w:jc w:val="center"/>
              <w:spacing w:line="264"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总体施工方案</w:t>
            </w:r>
            <w:r/>
          </w:p>
          <w:p>
            <w:pPr>
              <w:ind w:right="-58"/>
              <w:jc w:val="center"/>
              <w:spacing w:line="264"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根据总体施工方案内容是否齐全、是否符合本工程的特点和实际情况进行评价：</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总体施工组织、施工方案逻辑条理清晰，内容完整详实、编制精准，实操落地性强；施工流程及工序安排、人员配置、主要机械设备规划完善，针对施工难点制定的应对方案、处置措施细致可行，完全适配本工程施工实际，得 </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⑵总体施工方案编制规范，各项内容适配工程施工条件，能够满足本项目全部施工管控需求，得 </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⑶总体施工方案，但核心内容缺漏、关键部署及保障措施不完善，内容完整性不足，得 </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w:t>
            </w:r>
            <w:r>
              <w:rPr>
                <w:rFonts w:hint="eastAsia" w:ascii="宋体" w:hAnsi="宋体" w:cs="宋体"/>
                <w:bCs/>
                <w:color w:val="auto"/>
                <w:szCs w:val="21"/>
                <w:highlight w:val="none"/>
              </w:rPr>
              <w:t xml:space="preserve">分；</w:t>
            </w:r>
            <w:r/>
          </w:p>
          <w:p>
            <w:pPr>
              <w:keepLines w:val="0"/>
              <w:keepNext w:val="0"/>
              <w:pageBreakBefore w:val="0"/>
              <w:spacing w:line="276" w:lineRule="auto"/>
              <w:shd w:val="clear" w:color="auto" w:fill="auto"/>
              <w:widowControl w:val="off"/>
              <w:tabs>
                <w:tab w:val="left" w:pos="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⑷未</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rPr>
              <w:t xml:space="preserve">总体施工方案，或方案与本工程工况严重不符、无法满足项目施工基本要求，不得分。</w:t>
            </w:r>
            <w:r/>
          </w:p>
        </w:tc>
      </w:tr>
      <w:tr>
        <w:trPr>
          <w:jc w:val="center"/>
          <w:trHeight w:val="366"/>
        </w:trPr>
        <w:tc>
          <w:tcPr>
            <w:tcW w:w="772" w:type="dxa"/>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tc>
        <w:tc>
          <w:tcPr>
            <w:tcW w:w="992" w:type="dxa"/>
            <w:vAlign w:val="center"/>
            <w:textDirection w:val="lrTb"/>
            <w:noWrap w:val="false"/>
          </w:tcPr>
          <w:p>
            <w:pPr>
              <w:ind w:right="-58"/>
              <w:jc w:val="center"/>
              <w:spacing w:line="264"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重、难点</w:t>
            </w:r>
            <w:r/>
          </w:p>
          <w:p>
            <w:pPr>
              <w:ind w:right="-58"/>
              <w:jc w:val="center"/>
              <w:spacing w:line="264"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分析</w:t>
            </w:r>
            <w:r/>
          </w:p>
          <w:p>
            <w:pPr>
              <w:ind w:right="-58"/>
              <w:jc w:val="center"/>
              <w:spacing w:line="264"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根据工程项目特点、投标人施工能力和施工条件分析并提出相应的对策和解决措施。对项目存在的重点难点（如弃土及垃圾处置、施工现场周边单位、个人相关施工影响、矛盾的协调等等）问题进行分析</w:t>
            </w:r>
            <w:r>
              <w:rPr>
                <w:rFonts w:hint="eastAsia" w:ascii="宋体" w:hAnsi="宋体" w:cs="宋体"/>
                <w:bCs/>
                <w:color w:val="auto"/>
                <w:szCs w:val="21"/>
                <w:highlight w:val="none"/>
                <w:lang w:eastAsia="zh-CN"/>
              </w:rPr>
              <w:t xml:space="preserve">。</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⑴重难点分析完整精准，应对对策细致扎实、合理可行，落地操作性强，完全适配本工程，得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⑵重难点分析及处置方案基本齐全，可满足项目施工需求，得 </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 </w:t>
            </w:r>
            <w:r>
              <w:rPr>
                <w:rFonts w:hint="eastAsia" w:ascii="宋体" w:hAnsi="宋体" w:cs="宋体"/>
                <w:bCs/>
                <w:color w:val="auto"/>
                <w:szCs w:val="21"/>
                <w:highlight w:val="none"/>
              </w:rPr>
              <w:t xml:space="preserve">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⑶已提供相关分析及措施，但内容残缺、关键处置方案缺失，得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⑷未提供相关资料，或方案无法适配项目施工要求，0 分。</w:t>
            </w:r>
            <w:r/>
          </w:p>
        </w:tc>
      </w:tr>
      <w:tr>
        <w:trPr>
          <w:jc w:val="center"/>
          <w:trHeight w:val="90"/>
        </w:trPr>
        <w:tc>
          <w:tcPr>
            <w:tcW w:w="772" w:type="dxa"/>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tc>
        <w:tc>
          <w:tcPr>
            <w:tcW w:w="992" w:type="dxa"/>
            <w:vAlign w:val="center"/>
            <w:textDirection w:val="lrTb"/>
            <w:noWrap w:val="false"/>
          </w:tcPr>
          <w:p>
            <w:pPr>
              <w:ind w:right="-58"/>
              <w:jc w:val="center"/>
              <w:spacing w:line="264"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安全保证措施</w:t>
            </w:r>
            <w:r/>
          </w:p>
          <w:p>
            <w:pPr>
              <w:ind w:right="-58"/>
              <w:jc w:val="center"/>
              <w:spacing w:line="264" w:lineRule="auto"/>
              <w:shd w:val="clear" w:color="auto" w:fill="auto"/>
              <w:rPr>
                <w:rFonts w:hint="eastAsia" w:ascii="宋体" w:hAnsi="宋体" w:cs="宋体"/>
                <w:bCs/>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7055" w:type="dxa"/>
            <w:vAlign w:val="center"/>
            <w:textDirection w:val="lrTb"/>
            <w:noWrap w:val="false"/>
          </w:tcPr>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⑴安全管理体系内容完整、条理清晰、职责明确，制度流程健全，保障措施具体可行、针对性强，完全满足工程安全管理要求，得 </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⑵安全管理体系及保证措施基本齐全，能够满足工程安全管理需要，得 </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 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⑶已提供安全管理体系及保证措施，但内容不完整、缺项，得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keepLines w:val="0"/>
              <w:keepNext w:val="0"/>
              <w:pageBreakBefore w:val="0"/>
              <w:spacing w:line="276" w:lineRule="auto"/>
              <w:shd w:val="clear" w:color="auto" w:fill="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⑷安全管理体系及保证措施不适用本工程，或未提供，不得分。</w:t>
            </w:r>
            <w:r/>
          </w:p>
        </w:tc>
      </w:tr>
      <w:tr>
        <w:trPr>
          <w:jc w:val="center"/>
          <w:trHeight w:val="4081"/>
        </w:trPr>
        <w:tc>
          <w:tcPr>
            <w:tcW w:w="772" w:type="dxa"/>
            <w:vAlign w:val="center"/>
            <w:vMerge w:val="continue"/>
            <w:textDirection w:val="lrTb"/>
            <w:noWrap w:val="false"/>
          </w:tcPr>
          <w:p>
            <w:pPr>
              <w:jc w:val="center"/>
              <w:spacing w:line="264"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r>
            <w:r/>
          </w:p>
        </w:tc>
        <w:tc>
          <w:tcPr>
            <w:tcW w:w="992" w:type="dxa"/>
            <w:vAlign w:val="center"/>
            <w:textDirection w:val="lrTb"/>
            <w:noWrap w:val="false"/>
          </w:tcPr>
          <w:p>
            <w:pPr>
              <w:ind w:right="-58"/>
              <w:jc w:val="center"/>
              <w:spacing w:line="264"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质量、进度、环保等措施及合理化建议（</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7055" w:type="dxa"/>
            <w:vAlign w:val="center"/>
            <w:textDirection w:val="lrTb"/>
            <w:noWrap w:val="false"/>
          </w:tcPr>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质量、进度、安全保证措施及合理化建议逻辑清晰、全面准确、可操作性强、内容完整详实；关键阶段和任务无遗漏；进度计划在资源、人力、时间配置上合理，贴合项目实际，具备弹性，可应对项目变更及不可预见因素，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⑵</w:t>
            </w:r>
            <w:r>
              <w:rPr>
                <w:rFonts w:hint="eastAsia" w:ascii="宋体" w:hAnsi="宋体" w:cs="宋体"/>
                <w:bCs/>
                <w:color w:val="auto"/>
                <w:szCs w:val="21"/>
                <w:highlight w:val="none"/>
              </w:rPr>
              <w:t xml:space="preserve">质量、进度、安全保证措施及合理化建议基本齐全、切实可行，得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⑶</w:t>
            </w:r>
            <w:r>
              <w:rPr>
                <w:rFonts w:hint="eastAsia" w:ascii="宋体" w:hAnsi="宋体" w:cs="宋体"/>
                <w:bCs/>
                <w:color w:val="auto"/>
                <w:szCs w:val="21"/>
                <w:highlight w:val="none"/>
              </w:rPr>
              <w:t xml:space="preserve">质量、进度、安全保证措施及合理化建议不完善、存在缺项，得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spacing w:line="264" w:lineRule="auto"/>
              <w:shd w:val="clear" w:color="auto" w:fill="auto"/>
              <w:tabs>
                <w:tab w:val="left" w:pos="0" w:leader="none"/>
              </w:tabs>
              <w:rPr>
                <w:rFonts w:hint="eastAsia" w:ascii="宋体" w:hAnsi="宋体" w:cs="宋体"/>
                <w:b/>
                <w:color w:val="auto"/>
                <w:szCs w:val="21"/>
                <w:highlight w:val="none"/>
              </w:rPr>
            </w:pPr>
            <w:r>
              <w:rPr>
                <w:rFonts w:hint="eastAsia" w:ascii="宋体" w:hAnsi="宋体" w:cs="宋体"/>
                <w:bCs/>
                <w:color w:val="auto"/>
                <w:szCs w:val="21"/>
                <w:highlight w:val="none"/>
                <w:lang w:val="en-US" w:eastAsia="zh-CN"/>
              </w:rPr>
              <w:t xml:space="preserve">⑷</w:t>
            </w:r>
            <w:r>
              <w:rPr>
                <w:rFonts w:hint="eastAsia" w:ascii="宋体" w:hAnsi="宋体" w:cs="宋体"/>
                <w:bCs/>
                <w:color w:val="auto"/>
                <w:szCs w:val="21"/>
                <w:highlight w:val="none"/>
              </w:rPr>
              <w:t xml:space="preserve">质量、进度、安全保证措施及合理化建议不适用本工程，或未提供，不得分。</w:t>
            </w:r>
            <w:r/>
          </w:p>
        </w:tc>
      </w:tr>
      <w:tr>
        <w:trPr>
          <w:jc w:val="center"/>
          <w:trHeight w:val="1531"/>
        </w:trPr>
        <w:tc>
          <w:tcPr>
            <w:tcW w:w="772" w:type="dxa"/>
            <w:vAlign w:val="center"/>
            <w:vMerge w:val="continue"/>
            <w:textDirection w:val="lrTb"/>
            <w:noWrap w:val="false"/>
          </w:tcPr>
          <w:p>
            <w:pPr>
              <w:jc w:val="both"/>
              <w:spacing w:line="264"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r>
            <w:r/>
          </w:p>
        </w:tc>
        <w:tc>
          <w:tcPr>
            <w:tcW w:w="992" w:type="dxa"/>
            <w:vAlign w:val="center"/>
            <w:textDirection w:val="lrTb"/>
            <w:noWrap w:val="false"/>
          </w:tcPr>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应急预案及抵抗风险的措施（</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tc>
        <w:tc>
          <w:tcPr>
            <w:tcW w:w="7055" w:type="dxa"/>
            <w:vAlign w:val="center"/>
            <w:textDirection w:val="lrTb"/>
            <w:noWrap w:val="false"/>
          </w:tcPr>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制定应急预案，针对可能发生的应急或风险事件有详细的应对措施，包括响应的时间、配备的人员、应急动作等</w:t>
            </w:r>
            <w:r>
              <w:rPr>
                <w:rFonts w:hint="eastAsia" w:ascii="宋体" w:hAnsi="宋体" w:cs="宋体"/>
                <w:bCs/>
                <w:color w:val="auto"/>
                <w:szCs w:val="21"/>
                <w:highlight w:val="none"/>
                <w:lang w:eastAsia="zh-CN"/>
              </w:rPr>
              <w:t xml:space="preserve">。</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⑴应急预案及风险应对措施内容完整、针对性强、流程清晰，响应时间、人员配置、应急动作明确具体，可操作性强，得 </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⑵应急预案及风险应对措施内容基本齐全，具备可执行性，得 </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⑶已提供应急预案及风险应对措施，但内容不完整、关键要素缺失，得 </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分；</w:t>
            </w:r>
            <w:r/>
          </w:p>
          <w:p>
            <w:pPr>
              <w:spacing w:line="264" w:lineRule="auto"/>
              <w:shd w:val="clear" w:color="auto" w:fill="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⑷应急预案及风险应对措施不符合本工程实际，或未提供，不得分。</w:t>
            </w:r>
            <w:r/>
          </w:p>
        </w:tc>
      </w:tr>
    </w:tbl>
    <w:p>
      <w:pPr>
        <w:pStyle w:val="1113"/>
        <w:ind w:firstLine="0"/>
        <w:keepLines w:val="0"/>
        <w:keepNext w:val="0"/>
        <w:pageBreakBefore w:val="0"/>
        <w:spacing w:line="288" w:lineRule="auto"/>
        <w:shd w:val="clear" w:color="auto" w:fill="auto"/>
        <w:widowControl w:val="off"/>
        <w:rPr>
          <w:rFonts w:hint="eastAsia" w:cs="宋体"/>
          <w:b/>
          <w:bCs/>
          <w:color w:val="auto"/>
          <w:sz w:val="21"/>
          <w:szCs w:val="21"/>
          <w:highlight w:val="none"/>
        </w:rPr>
      </w:pPr>
      <w:r>
        <w:rPr>
          <w:rFonts w:hint="eastAsia" w:cs="宋体"/>
          <w:b/>
          <w:bCs/>
          <w:color w:val="auto"/>
          <w:sz w:val="21"/>
          <w:szCs w:val="21"/>
          <w:highlight w:val="none"/>
        </w:rPr>
        <w:t xml:space="preserve">说明：⑴评分分值及计算结果精确到小数点后二位，第三位四舍五入；</w:t>
      </w:r>
      <w:r/>
    </w:p>
    <w:p>
      <w:pPr>
        <w:pStyle w:val="1113"/>
        <w:ind w:firstLine="632"/>
        <w:jc w:val="both"/>
        <w:keepLines w:val="0"/>
        <w:keepNext w:val="0"/>
        <w:pageBreakBefore w:val="0"/>
        <w:spacing w:line="288" w:lineRule="auto"/>
        <w:shd w:val="clear" w:color="auto" w:fill="auto"/>
        <w:widowControl w:val="off"/>
        <w:rPr>
          <w:rFonts w:hint="eastAsia" w:cs="宋体"/>
          <w:color w:val="auto"/>
          <w:sz w:val="21"/>
          <w:szCs w:val="21"/>
          <w:highlight w:val="none"/>
        </w:rPr>
      </w:pPr>
      <w:r>
        <w:rPr>
          <w:rFonts w:hint="eastAsia" w:cs="宋体"/>
          <w:b/>
          <w:bCs/>
          <w:color w:val="auto"/>
          <w:sz w:val="21"/>
          <w:szCs w:val="21"/>
          <w:highlight w:val="none"/>
        </w:rPr>
        <w:t xml:space="preserve">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p>
    <w:p>
      <w:pPr>
        <w:pStyle w:val="1113"/>
        <w:ind w:firstLine="0"/>
        <w:jc w:val="both"/>
        <w:keepLines w:val="0"/>
        <w:keepNext w:val="0"/>
        <w:pageBreakBefore w:val="0"/>
        <w:spacing w:line="288" w:lineRule="auto"/>
        <w:shd w:val="clear" w:color="auto" w:fill="auto"/>
        <w:widowControl w:val="off"/>
        <w:rPr>
          <w:rFonts w:hint="eastAsia" w:cs="宋体"/>
          <w:b/>
          <w:bCs/>
          <w:color w:val="auto"/>
          <w:highlight w:val="none"/>
        </w:rPr>
      </w:pPr>
      <w:r>
        <w:rPr>
          <w:rFonts w:hint="eastAsia" w:cs="宋体"/>
          <w:b/>
          <w:bCs/>
          <w:color w:val="auto"/>
          <w:highlight w:val="none"/>
        </w:rPr>
        <w:t xml:space="preserve">三、评标程序</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bookmarkStart w:id="122" w:name="_Toc9333235"/>
      <w:r>
        <w:rPr>
          <w:rFonts w:hint="eastAsia" w:cs="宋体"/>
          <w:color w:val="auto"/>
          <w:highlight w:val="none"/>
        </w:rPr>
        <w:t xml:space="preserve">1、资格审查及符合性审查</w:t>
      </w:r>
      <w:bookmarkEnd w:id="122"/>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1.1 招标人或招标代理机构按附表一所列审查标准，对投标人资格进行审查，以确定投标人是否具备投标资格。</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1.2 评标委员会对符合资格要求的投标人按附表二进行符合性审查，以确定其是否满足招标文件的实质性要求。</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评标委员会不接受投标人主动提出的澄清、说明或补正。</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投标人的书面澄清、说明和补正属于投标文件的组成部分。</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评标委员会对投标人提交的澄清、说明或补正有疑问的，可以要求投标人进一步澄清、说明或补正，直至满足评标小组的要求。</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1.2.2投标文件报价出现前后不一致的，除招标文件另有规定外，按照下列规定修正：</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⑴投标文件中的大写金额与小写金额不一致的，以大写金额为准（工程量清单中的投标报价和投标函报价不一致的除外，但不包括元单位以下数值不一致的情况）； </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⑵总价金额与依据单价计算出的结果不一致的，以单价金额为准修正总价，但单价金额小数点有明显错误、四舍五入原因的除外；</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同时出现两种不一致的，按照前款规定的顺序修正。修正后的报价经投标人确认后产生约束力。投标人拒绝接受修正的，将作无效投标文件处理。</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1.3不具备招标文件要求的资格或未通过符合性审查的投标人，不参与评标，由评标委员会告知该投标人。</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bookmarkStart w:id="123" w:name="_Toc9333237"/>
      <w:r>
        <w:rPr>
          <w:rFonts w:hint="eastAsia" w:cs="宋体"/>
          <w:color w:val="auto"/>
          <w:highlight w:val="none"/>
        </w:rPr>
        <w:t xml:space="preserve">2、</w:t>
      </w:r>
      <w:bookmarkEnd w:id="123"/>
      <w:r>
        <w:rPr>
          <w:rFonts w:hint="eastAsia" w:cs="宋体"/>
          <w:color w:val="auto"/>
          <w:highlight w:val="none"/>
        </w:rPr>
        <w:t xml:space="preserve">评标</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评标委员会对资格审查合格且符合性审查合格的投标文件进行商务和技术评估，综合比较与评价。</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2.1 投标人得分＝价格部分得分+技术方案得分+商务部分得分。</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2.2 评标结果</w:t>
      </w:r>
      <w:r/>
    </w:p>
    <w:p>
      <w:pPr>
        <w:pStyle w:val="1113"/>
        <w:ind w:firstLine="420"/>
        <w:jc w:val="both"/>
        <w:keepLines w:val="0"/>
        <w:keepNext w:val="0"/>
        <w:pageBreakBefore w:val="0"/>
        <w:spacing w:line="288" w:lineRule="auto"/>
        <w:shd w:val="clear" w:color="auto" w:fill="auto"/>
        <w:widowControl w:val="off"/>
        <w:rPr>
          <w:rFonts w:hint="eastAsia" w:cs="宋体"/>
          <w:color w:val="auto"/>
          <w:highlight w:val="none"/>
        </w:rPr>
      </w:pPr>
      <w:r>
        <w:rPr>
          <w:rFonts w:hint="eastAsia" w:cs="宋体"/>
          <w:color w:val="auto"/>
          <w:highlight w:val="none"/>
        </w:rPr>
        <w:t xml:space="preserve">除第二章“投标人须知”前附表授权直接确定中标人外，评标委员会按照得分由高到低的顺序推荐不超过3名中标候选人。</w:t>
      </w:r>
      <w:r/>
    </w:p>
    <w:p>
      <w:pPr>
        <w:ind w:firstLine="480"/>
        <w:keepLines w:val="0"/>
        <w:keepNext w:val="0"/>
        <w:pageBreakBefore w:val="0"/>
        <w:spacing w:line="288" w:lineRule="auto"/>
        <w:shd w:val="clear" w:color="auto" w:fill="auto"/>
        <w:widowControl w:val="off"/>
        <w:tabs>
          <w:tab w:val="left" w:pos="-94" w:leader="none"/>
          <w:tab w:val="left" w:pos="428"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评标委员会完成评标后，应当向招标人提交书面评标报告。</w:t>
      </w:r>
      <w:r/>
    </w:p>
    <w:p>
      <w:pPr>
        <w:shd w:val="clear" w:color="auto" w:fill="auto"/>
        <w:tabs>
          <w:tab w:val="left" w:pos="-94" w:leader="none"/>
          <w:tab w:val="left" w:pos="428" w:leader="none"/>
        </w:tabs>
        <w:rPr>
          <w:rFonts w:hint="eastAsia" w:ascii="宋体" w:hAnsi="宋体" w:cs="宋体"/>
          <w:b/>
          <w:color w:val="auto"/>
          <w:sz w:val="24"/>
          <w:highlight w:val="none"/>
        </w:rPr>
        <w:outlineLvl w:val="1"/>
      </w:pPr>
      <w:r/>
      <w:bookmarkStart w:id="124" w:name="_Toc9333238"/>
      <w:r/>
      <w:bookmarkStart w:id="125" w:name="_Toc15628"/>
      <w:r/>
      <w:bookmarkStart w:id="126" w:name="_Toc211090860"/>
      <w:r/>
      <w:bookmarkStart w:id="127" w:name="_Toc22058"/>
      <w:r/>
      <w:bookmarkStart w:id="128" w:name="_Toc2037"/>
      <w:r/>
      <w:bookmarkStart w:id="129" w:name="_Toc14519"/>
      <w:r/>
      <w:bookmarkStart w:id="130" w:name="_Toc30618"/>
      <w:r>
        <w:rPr>
          <w:rFonts w:hint="eastAsia" w:ascii="宋体" w:hAnsi="宋体" w:cs="宋体"/>
          <w:b/>
          <w:color w:val="auto"/>
          <w:sz w:val="24"/>
          <w:highlight w:val="none"/>
        </w:rPr>
        <w:t xml:space="preserve">附表一 资格审查表</w:t>
      </w:r>
      <w:bookmarkEnd w:id="124"/>
      <w:r/>
      <w:bookmarkEnd w:id="125"/>
      <w:r/>
      <w:bookmarkEnd w:id="126"/>
      <w:r/>
      <w:bookmarkEnd w:id="127"/>
      <w:r/>
      <w:bookmarkEnd w:id="128"/>
      <w:r/>
      <w:bookmarkEnd w:id="129"/>
      <w:r/>
      <w:bookmarkEnd w:id="130"/>
      <w:r/>
      <w:r/>
    </w:p>
    <w:tbl>
      <w:tblPr>
        <w:tblStyle w:val="847"/>
        <w:tblW w:w="47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780"/>
        <w:gridCol w:w="5572"/>
        <w:gridCol w:w="862"/>
      </w:tblGrid>
      <w:tr>
        <w:trPr>
          <w:jc w:val="center"/>
          <w:trHeight w:val="98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781" w:type="dxa"/>
            <w:vAlign w:val="center"/>
            <w:textDirection w:val="lrTb"/>
            <w:noWrap w:val="false"/>
          </w:tcPr>
          <w:p>
            <w:pPr>
              <w:ind w:left="0" w:right="0" w:firstLine="611"/>
              <w:jc w:val="center"/>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评标内容</w:t>
            </w:r>
            <w:r/>
          </w:p>
        </w:tc>
        <w:tc>
          <w:tcPr>
            <w:tcW w:w="5580"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评标合格标准</w:t>
            </w:r>
            <w:r/>
          </w:p>
        </w:tc>
        <w:tc>
          <w:tcPr>
            <w:tcW w:w="863"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是否符合要求</w:t>
            </w:r>
            <w:r/>
          </w:p>
        </w:tc>
      </w:tr>
      <w:tr>
        <w:trPr>
          <w:jc w:val="center"/>
          <w:trHeight w:val="88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投标人名称</w:t>
            </w: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与投标报名、营业执照一致（符合法定工商变更程序除外）。提供营业执照扫描件加盖CA电子签章</w:t>
            </w: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776"/>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5580" w:type="dxa"/>
            <w:vAlign w:val="center"/>
            <w:vMerge w:val="restart"/>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lang w:val="zh-CN"/>
              </w:rPr>
              <w:t xml:space="preserve">提供</w:t>
            </w:r>
            <w:r>
              <w:rPr>
                <w:rFonts w:hint="eastAsia" w:ascii="宋体" w:hAnsi="宋体" w:cs="宋体"/>
                <w:color w:val="auto"/>
                <w:szCs w:val="21"/>
                <w:highlight w:val="none"/>
              </w:rPr>
              <w:t xml:space="preserve">承诺书</w:t>
            </w:r>
            <w:r>
              <w:rPr>
                <w:rFonts w:hint="eastAsia" w:ascii="宋体" w:hAnsi="宋体" w:cs="宋体"/>
                <w:color w:val="auto"/>
                <w:szCs w:val="21"/>
                <w:highlight w:val="none"/>
                <w:lang w:val="zh-CN"/>
              </w:rPr>
              <w:t xml:space="preserve">并加盖投标人CA电子签章，</w:t>
            </w:r>
            <w:r>
              <w:rPr>
                <w:rFonts w:hint="eastAsia" w:ascii="宋体" w:hAnsi="宋体" w:cs="宋体"/>
                <w:color w:val="auto"/>
                <w:szCs w:val="21"/>
                <w:highlight w:val="none"/>
              </w:rPr>
              <w:t xml:space="preserve">并附信用中国”网站和中国政府采购网查询记录截图</w:t>
            </w:r>
            <w:r/>
          </w:p>
        </w:tc>
        <w:tc>
          <w:tcPr>
            <w:tcW w:w="863" w:type="dxa"/>
            <w:vAlign w:val="center"/>
            <w:vMerge w:val="restart"/>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0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具有健全的财务会计制度</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117"/>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359"/>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431"/>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29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781" w:type="dxa"/>
            <w:vAlign w:val="center"/>
            <w:textDirection w:val="lrTb"/>
            <w:noWrap w:val="false"/>
          </w:tcPr>
          <w:p>
            <w:pPr>
              <w:ind w:left="0" w:right="0"/>
              <w:jc w:val="left"/>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“信用中国”网站和中国政府采购网查询记录</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3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为本项目提供整体设计、规范编制或者项目管理、监理、检测等服务的投标人，不得再参加该采购项目的其他采购活动。</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503"/>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投标单位负责人为同一人或者存在直接控股、管理关系的不同投标人，不得参加同一合同项下的政府采购活动</w:t>
            </w:r>
            <w:r/>
          </w:p>
        </w:tc>
        <w:tc>
          <w:tcPr>
            <w:tcW w:w="5580"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863" w:type="dxa"/>
            <w:vAlign w:val="center"/>
            <w:vMerge w:val="continue"/>
            <w:textDirection w:val="lrTb"/>
            <w:noWrap w:val="false"/>
          </w:tcPr>
          <w:p>
            <w:pPr>
              <w:ind w:left="0" w:right="0"/>
              <w:keepLines w:val="0"/>
              <w:keepNext w:val="0"/>
              <w:pageBreakBefore w:val="0"/>
              <w:spacing w:line="28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50"/>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本项目不接受联合体投标</w:t>
            </w: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本项目未采用联合体投标</w:t>
            </w: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237"/>
        </w:trPr>
        <w:tc>
          <w:tcPr>
            <w:tcW w:w="437" w:type="dxa"/>
            <w:vAlign w:val="center"/>
            <w:textDirection w:val="lrTb"/>
            <w:noWrap w:val="false"/>
          </w:tcPr>
          <w:p>
            <w:pPr>
              <w:ind w:left="0" w:right="0"/>
              <w:jc w:val="center"/>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781"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5580"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投标人提供了满足落实政府采购政策资格要求的证明材料。提供承诺书并加盖投标人CA电子签章</w:t>
            </w:r>
            <w:r/>
          </w:p>
        </w:tc>
        <w:tc>
          <w:tcPr>
            <w:tcW w:w="863" w:type="dxa"/>
            <w:vAlign w:val="center"/>
            <w:textDirection w:val="lrTb"/>
            <w:noWrap w:val="false"/>
          </w:tcPr>
          <w:p>
            <w:pPr>
              <w:ind w:left="0" w:right="0"/>
              <w:keepLines w:val="0"/>
              <w:keepNext w:val="0"/>
              <w:pageBreakBefore w:val="0"/>
              <w:spacing w:line="288"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9"/>
        </w:trPr>
        <w:tc>
          <w:tcPr>
            <w:tcW w:w="437" w:type="dxa"/>
            <w:vAlign w:val="center"/>
            <w:textDirection w:val="lrTb"/>
            <w:noWrap w:val="false"/>
          </w:tcPr>
          <w:p>
            <w:pPr>
              <w:ind w:left="0" w:right="0"/>
              <w:jc w:val="center"/>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781"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5580" w:type="dxa"/>
            <w:vAlign w:val="center"/>
            <w:textDirection w:val="lrTb"/>
            <w:noWrap w:val="false"/>
          </w:tcPr>
          <w:p>
            <w:pPr>
              <w:ind w:firstLine="480"/>
              <w:keepLines w:val="0"/>
              <w:keepNext w:val="0"/>
              <w:pageBreakBefore w:val="0"/>
              <w:spacing w:line="288" w:lineRule="auto"/>
              <w:shd w:val="clear" w:color="auto" w:fill="auto"/>
              <w:widowControl w:val="off"/>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⑴资质要求</w:t>
            </w:r>
            <w:r>
              <w:rPr>
                <w:rFonts w:hint="eastAsia" w:ascii="宋体" w:hAnsi="宋体" w:cs="宋体"/>
                <w:color w:val="auto"/>
                <w:sz w:val="24"/>
                <w:szCs w:val="24"/>
                <w:highlight w:val="none"/>
              </w:rPr>
              <w:t xml:space="preserve">：</w:t>
            </w:r>
            <w:r>
              <w:rPr>
                <w:rFonts w:hint="eastAsia" w:ascii="宋体" w:hAnsi="宋体" w:eastAsia="宋体" w:cs="宋体"/>
                <w:color w:val="auto"/>
                <w:sz w:val="21"/>
                <w:szCs w:val="21"/>
                <w:highlight w:val="none"/>
              </w:rPr>
              <w:t xml:space="preserve">投标人须具有有效期内的港口与航道工程施工总承包三级及以上资质或具有有效期内的水利水电工程施工总承包三级及以上资质或具有有效期内的</w:t>
            </w:r>
            <w:r>
              <w:rPr>
                <w:rFonts w:hint="eastAsia" w:ascii="宋体" w:hAnsi="宋体" w:cs="宋体"/>
                <w:color w:val="auto"/>
                <w:sz w:val="21"/>
                <w:szCs w:val="21"/>
                <w:highlight w:val="none"/>
                <w:lang w:eastAsia="zh-CN"/>
              </w:rPr>
              <w:t xml:space="preserve">市政公用工程施工总承包三级</w:t>
            </w:r>
            <w:r>
              <w:rPr>
                <w:rFonts w:hint="eastAsia" w:ascii="宋体" w:hAnsi="宋体" w:eastAsia="宋体" w:cs="宋体"/>
                <w:color w:val="auto"/>
                <w:sz w:val="21"/>
                <w:szCs w:val="21"/>
                <w:highlight w:val="none"/>
              </w:rPr>
              <w:t xml:space="preserve">及以上资质或具有有效期内的航道工程施工专业承包三级及以上资质，同时须具有住建行政主管部门核发的有效的《安全生产许可证》；</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（扫描件加盖CA电子签章）</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⑵主要人员要求：</w:t>
            </w:r>
            <w:r/>
          </w:p>
          <w:p>
            <w:pPr>
              <w:ind w:left="0" w:right="0"/>
              <w:keepLines w:val="0"/>
              <w:keepNext w:val="0"/>
              <w:pageBreakBefore w:val="0"/>
              <w:spacing w:line="264"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①拟投入本项目的项目经理应持有有效期内的二级及以上港口与航道工程专业或水利水电工程专业或市政</w:t>
            </w:r>
            <w:r>
              <w:rPr>
                <w:rFonts w:hint="eastAsia" w:ascii="宋体" w:hAnsi="宋体" w:cs="宋体"/>
                <w:color w:val="auto"/>
                <w:sz w:val="21"/>
                <w:szCs w:val="21"/>
                <w:highlight w:val="none"/>
                <w:lang w:val="en-US" w:eastAsia="zh-CN"/>
              </w:rPr>
              <w:t xml:space="preserve">公用</w:t>
            </w:r>
            <w:r>
              <w:rPr>
                <w:rFonts w:hint="eastAsia" w:ascii="宋体" w:hAnsi="宋体" w:eastAsia="宋体" w:cs="宋体"/>
                <w:color w:val="auto"/>
                <w:sz w:val="21"/>
                <w:szCs w:val="21"/>
                <w:highlight w:val="none"/>
              </w:rPr>
              <w:t xml:space="preserve">工程专业注册建造师证书，同时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或省级及以上水行政主管部门核发的《水利水电工程施工企业项目负责人安全生产考核合格证书》（B 类）或省级及以上住房和城乡建设行政主管部门核发的《建筑施工企业项目负责人安全生产考核合格证书》（B 类）</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（扫描件加盖CA电子签章）</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rPr>
              <w:t xml:space="preserve">投标人至少配备 1 名专职安全员，专职安全员须持有省级及以上交通运输主管部门核发的有效的《公路水运工程施工企业主要负责人和安全生产管理人员安全生产考核合格证书》（C 类）或《公路水运工程施工单位主要负责人、项目负责人和专职安全生产管理人员安全生产考核合格证书》（C 类）；或持有省级及以上水行政主管部门核发的有效的《水利水电工程施工企业专职安全生产管理人员安全生产考核合格证书》（C 类）；或持有省级及以上住房和城乡建设行政主管部门核发的有效的《建筑施工企业专职安全生产管理人员安全生产考核合格证书》（C 类）；</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（扫描件加盖CA电子签章）</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bookmarkStart w:id="203" w:name="_GoBack"/>
            <w:r/>
            <w:bookmarkEnd w:id="203"/>
            <w:r>
              <w:rPr>
                <w:rFonts w:hint="eastAsia" w:ascii="宋体" w:hAnsi="宋体" w:cs="宋体"/>
                <w:color w:val="auto"/>
                <w:szCs w:val="21"/>
                <w:highlight w:val="none"/>
              </w:rPr>
              <w:t xml:space="preserve">⑶其他要求：</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①拟投入的项目经理无在岗项目（指目前未在其他项目上任职，或虽在其他项目上任职但本项目中标后能够从该项目撤离，提供承诺书原件加盖加盖CA电子签章，格式自拟）。</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扫描件加盖CA电子签章）</w:t>
            </w:r>
            <w:r/>
          </w:p>
          <w:p>
            <w:pPr>
              <w:ind w:left="0" w:right="0"/>
              <w:keepLines w:val="0"/>
              <w:keepNext w:val="0"/>
              <w:pageBreakBefore w:val="0"/>
              <w:spacing w:line="264" w:lineRule="auto"/>
              <w:shd w:val="clear" w:color="auto" w:fill="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注：根据住房和城乡建设部办公厅关于全面实行一级建造师</w:t>
            </w:r>
            <w:r>
              <w:rPr>
                <w:rFonts w:hint="eastAsia" w:ascii="宋体" w:hAnsi="宋体" w:cs="宋体"/>
                <w:b/>
                <w:bCs/>
                <w:color w:val="auto"/>
                <w:szCs w:val="21"/>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p>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p>
        </w:tc>
        <w:tc>
          <w:tcPr>
            <w:tcW w:w="863"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97"/>
        </w:trPr>
        <w:tc>
          <w:tcPr>
            <w:gridSpan w:val="3"/>
            <w:tcW w:w="7798" w:type="dxa"/>
            <w:vAlign w:val="center"/>
            <w:textDirection w:val="lrTb"/>
            <w:noWrap w:val="false"/>
          </w:tcPr>
          <w:p>
            <w:pPr>
              <w:ind w:left="0" w:right="0"/>
              <w:jc w:val="center"/>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结论（通过或未通过）</w:t>
            </w:r>
            <w:r/>
          </w:p>
        </w:tc>
        <w:tc>
          <w:tcPr>
            <w:tcW w:w="863" w:type="dxa"/>
            <w:vAlign w:val="center"/>
            <w:textDirection w:val="lrTb"/>
            <w:noWrap w:val="false"/>
          </w:tcPr>
          <w:p>
            <w:pPr>
              <w:ind w:left="0" w:right="0"/>
              <w:keepLines w:val="0"/>
              <w:keepNext w:val="0"/>
              <w:pageBreakBefore w:val="0"/>
              <w:spacing w:line="264"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0"/>
        <w:keepLines w:val="0"/>
        <w:keepNext w:val="0"/>
        <w:pageBreakBefore w:val="0"/>
        <w:spacing w:line="264" w:lineRule="auto"/>
        <w:shd w:val="clear" w:color="auto" w:fill="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注：符合要求用“√”表示，不符合用“×”表示。有一项不符合要求，结论为未通过。</w:t>
      </w:r>
      <w:r/>
    </w:p>
    <w:p>
      <w:pPr>
        <w:ind w:left="0"/>
        <w:keepLines w:val="0"/>
        <w:keepNext w:val="0"/>
        <w:pageBreakBefore w:val="0"/>
        <w:spacing w:line="288" w:lineRule="auto"/>
        <w:shd w:val="clear" w:color="auto" w:fill="auto"/>
        <w:widowControl w:val="off"/>
        <w:rPr>
          <w:rFonts w:hint="eastAsia" w:ascii="宋体" w:hAnsi="宋体" w:cs="宋体"/>
          <w:b/>
          <w:bCs/>
          <w:color w:val="auto"/>
          <w:sz w:val="24"/>
          <w:highlight w:val="none"/>
        </w:rPr>
        <w:sectPr>
          <w:footerReference w:type="default" r:id="rId12"/>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cs="宋体"/>
          <w:b/>
          <w:bCs/>
          <w:color w:val="auto"/>
          <w:sz w:val="24"/>
          <w:highlight w:val="none"/>
        </w:rPr>
      </w:r>
      <w:r/>
    </w:p>
    <w:p>
      <w:pPr>
        <w:spacing w:line="240" w:lineRule="exact"/>
        <w:shd w:val="clear" w:color="auto" w:fill="auto"/>
        <w:rPr>
          <w:rFonts w:hint="eastAsia" w:ascii="宋体" w:hAnsi="宋体" w:cs="宋体"/>
          <w:b/>
          <w:color w:val="auto"/>
          <w:highlight w:val="none"/>
        </w:rPr>
      </w:pPr>
      <w:r>
        <w:rPr>
          <w:rFonts w:hint="eastAsia" w:ascii="宋体" w:hAnsi="宋体" w:cs="宋体"/>
          <w:b/>
          <w:color w:val="auto"/>
          <w:highlight w:val="none"/>
        </w:rPr>
      </w:r>
      <w:r/>
    </w:p>
    <w:p>
      <w:pPr>
        <w:shd w:val="clear" w:color="auto" w:fill="auto"/>
        <w:tabs>
          <w:tab w:val="left" w:pos="-94" w:leader="none"/>
          <w:tab w:val="left" w:pos="428" w:leader="none"/>
        </w:tabs>
        <w:rPr>
          <w:rFonts w:hint="eastAsia" w:ascii="宋体" w:hAnsi="宋体" w:cs="宋体"/>
          <w:b/>
          <w:color w:val="auto"/>
          <w:sz w:val="24"/>
          <w:highlight w:val="none"/>
        </w:rPr>
        <w:outlineLvl w:val="1"/>
      </w:pPr>
      <w:r/>
      <w:bookmarkStart w:id="131" w:name="_Toc211090861"/>
      <w:r/>
      <w:bookmarkStart w:id="132" w:name="_Toc471"/>
      <w:r/>
      <w:bookmarkStart w:id="133" w:name="_Toc12807"/>
      <w:r/>
      <w:bookmarkStart w:id="134" w:name="_Toc32503"/>
      <w:r/>
      <w:bookmarkStart w:id="135" w:name="_Toc1570"/>
      <w:r/>
      <w:bookmarkStart w:id="136" w:name="_Toc10180"/>
      <w:r>
        <w:rPr>
          <w:rFonts w:hint="eastAsia" w:ascii="宋体" w:hAnsi="宋体" w:cs="宋体"/>
          <w:b/>
          <w:color w:val="auto"/>
          <w:sz w:val="24"/>
          <w:highlight w:val="none"/>
        </w:rPr>
        <w:t xml:space="preserve">附表二 符合性审查表</w:t>
      </w:r>
      <w:bookmarkEnd w:id="131"/>
      <w:r/>
      <w:bookmarkEnd w:id="132"/>
      <w:r/>
      <w:bookmarkEnd w:id="133"/>
      <w:r/>
      <w:bookmarkEnd w:id="134"/>
      <w:r/>
      <w:bookmarkEnd w:id="135"/>
      <w:r/>
      <w:bookmarkEnd w:id="136"/>
      <w:r/>
      <w:r/>
    </w:p>
    <w:tbl>
      <w:tblPr>
        <w:tblStyle w:val="847"/>
        <w:tblW w:w="494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31"/>
        <w:gridCol w:w="1442"/>
        <w:gridCol w:w="5878"/>
        <w:gridCol w:w="1213"/>
      </w:tblGrid>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color w:val="auto"/>
                <w:szCs w:val="21"/>
                <w:highlight w:val="none"/>
              </w:rPr>
            </w:pPr>
            <w:r>
              <w:rPr>
                <w:rFonts w:hint="eastAsia" w:ascii="宋体" w:hAnsi="宋体" w:cs="宋体"/>
                <w:b/>
                <w:caps/>
                <w:color w:val="auto"/>
                <w:szCs w:val="21"/>
                <w:highlight w:val="none"/>
              </w:rPr>
              <w:t xml:space="preserve">序号</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color w:val="auto"/>
                <w:szCs w:val="21"/>
                <w:highlight w:val="none"/>
              </w:rPr>
            </w:pPr>
            <w:r>
              <w:rPr>
                <w:rFonts w:hint="eastAsia" w:ascii="宋体" w:hAnsi="宋体" w:cs="宋体"/>
                <w:b/>
                <w:caps/>
                <w:color w:val="auto"/>
                <w:szCs w:val="21"/>
                <w:highlight w:val="none"/>
              </w:rPr>
              <w:t xml:space="preserve">评标项目</w:t>
            </w:r>
            <w:r/>
          </w:p>
        </w:tc>
        <w:tc>
          <w:tcPr>
            <w:tcW w:w="5889"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color w:val="auto"/>
                <w:szCs w:val="21"/>
                <w:highlight w:val="none"/>
              </w:rPr>
            </w:pPr>
            <w:r>
              <w:rPr>
                <w:rFonts w:hint="eastAsia" w:ascii="宋体" w:hAnsi="宋体" w:cs="宋体"/>
                <w:b/>
                <w:caps/>
                <w:color w:val="auto"/>
                <w:szCs w:val="21"/>
                <w:highlight w:val="none"/>
              </w:rPr>
              <w:t xml:space="preserve">评标标准</w:t>
            </w:r>
            <w:r/>
          </w:p>
        </w:tc>
        <w:tc>
          <w:tcPr>
            <w:tcW w:w="121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color w:val="auto"/>
                <w:szCs w:val="21"/>
                <w:highlight w:val="none"/>
              </w:rPr>
            </w:pPr>
            <w:r>
              <w:rPr>
                <w:rFonts w:hint="eastAsia" w:ascii="宋体" w:hAnsi="宋体" w:cs="宋体"/>
                <w:b/>
                <w:caps/>
                <w:color w:val="auto"/>
                <w:szCs w:val="21"/>
                <w:highlight w:val="none"/>
              </w:rPr>
              <w:t xml:space="preserve">评标结论</w:t>
            </w:r>
            <w:r/>
          </w:p>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b/>
                <w:caps/>
                <w:color w:val="auto"/>
                <w:szCs w:val="21"/>
                <w:highlight w:val="none"/>
              </w:rPr>
            </w:pPr>
            <w:r>
              <w:rPr>
                <w:rFonts w:hint="eastAsia" w:ascii="宋体" w:hAnsi="宋体" w:cs="宋体"/>
                <w:b/>
                <w:caps/>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s="宋体"/>
                <w:b/>
                <w:caps/>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s="宋体"/>
                <w:b/>
                <w:caps/>
                <w:color w:val="auto"/>
                <w:szCs w:val="21"/>
                <w:highlight w:val="none"/>
              </w:rPr>
              <w:t xml:space="preserve">）</w:t>
            </w:r>
            <w:r/>
          </w:p>
        </w:tc>
      </w:tr>
      <w:tr>
        <w:trPr>
          <w:jc w:val="center"/>
          <w:trHeight w:val="1007"/>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投标文件</w:t>
            </w:r>
            <w:r/>
          </w:p>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签署盖章</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招标文件“投标文件格式”中要求盖单位章和（或）签字的地方均应使用CA数字证书加盖投标人的单位电子印章和（或）法定代表人的个人电子印章或电子签名章。</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有效期满足招标文件要求。</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响应范围</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与招标文件要求的范围无实质性遗漏</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16"/>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iCs/>
                <w:color w:val="auto"/>
                <w:szCs w:val="21"/>
                <w:highlight w:val="none"/>
              </w:rPr>
              <w:t xml:space="preserve">报价是固定单价及总价，且总价未超过预算金额或最高限价，投标人填写完毕的工程量固化</w:t>
            </w:r>
            <w:r>
              <w:rPr>
                <w:rFonts w:hint="eastAsia" w:ascii="宋体" w:hAnsi="宋体" w:cs="宋体"/>
                <w:b/>
                <w:bCs/>
                <w:iCs/>
                <w:color w:val="auto"/>
                <w:szCs w:val="21"/>
                <w:highlight w:val="none"/>
              </w:rPr>
              <w:t xml:space="preserve">全费用工程量清单投标报价单未对工程量固化清单电子文件中的数据、格式和运算定义进行修改；全费用工程量清单投标报价单中的投标报价和投标函大写金额报价一致</w:t>
            </w:r>
            <w:r>
              <w:rPr>
                <w:rFonts w:hint="eastAsia" w:ascii="宋体" w:hAnsi="宋体" w:cs="宋体"/>
                <w:iCs/>
                <w:color w:val="auto"/>
                <w:szCs w:val="21"/>
                <w:highlight w:val="none"/>
              </w:rPr>
              <w:t xml:space="preserve">（元单位以下数值不一致的除外）。</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6"/>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计划工期</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满足招标文件要求</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质量要求</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满足招标文件要求</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安全目标</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满足招标文件要求</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02"/>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是否允许采用分包方式履行合同</w:t>
            </w:r>
            <w:r/>
          </w:p>
        </w:tc>
        <w:tc>
          <w:tcPr>
            <w:tcW w:w="5889" w:type="dxa"/>
            <w:vAlign w:val="center"/>
            <w:textDirection w:val="lrTb"/>
            <w:noWrap w:val="false"/>
          </w:tcPr>
          <w:p>
            <w:pP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不允许。</w:t>
            </w:r>
            <w:r>
              <w:rPr>
                <w:rFonts w:hint="eastAsia" w:ascii="宋体" w:hAnsi="宋体" w:cs="宋体"/>
                <w:color w:val="auto"/>
                <w:szCs w:val="21"/>
                <w:highlight w:val="none"/>
              </w:rPr>
              <w:t xml:space="preserve">分包管理按照《江苏省公路水运工程施工分包管理实施细则》（苏交规【2025】2号文）执行。</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提供</w:t>
            </w:r>
            <w:r>
              <w:rPr>
                <w:rFonts w:hint="eastAsia" w:ascii="宋体" w:hAnsi="宋体" w:cs="宋体"/>
                <w:color w:val="auto"/>
                <w:szCs w:val="21"/>
                <w:highlight w:val="none"/>
              </w:rPr>
              <w:t xml:space="preserve">承诺书</w:t>
            </w:r>
            <w:r>
              <w:rPr>
                <w:rFonts w:hint="eastAsia" w:ascii="宋体" w:hAnsi="宋体" w:cs="宋体"/>
                <w:color w:val="auto"/>
                <w:szCs w:val="21"/>
                <w:highlight w:val="none"/>
                <w:lang w:val="zh-CN"/>
              </w:rPr>
              <w:t xml:space="preserve">并加盖投标人CA电子签章</w:t>
            </w:r>
            <w:r>
              <w:rPr>
                <w:rFonts w:hint="eastAsia" w:ascii="宋体" w:hAnsi="宋体" w:cs="宋体"/>
                <w:b/>
                <w:bCs/>
                <w:color w:val="auto"/>
                <w:szCs w:val="21"/>
                <w:highlight w:val="none"/>
              </w:rPr>
              <w:t xml:space="preserve">）</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投标文件未含有招标人不能接受的附加条件</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431"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44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5889"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无法律、法规和招标文件规定的其他无效情形</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gridSpan w:val="3"/>
            <w:tcW w:w="7764" w:type="dxa"/>
            <w:vAlign w:val="center"/>
            <w:textDirection w:val="lrTb"/>
            <w:noWrap w:val="false"/>
          </w:tcPr>
          <w:p>
            <w:pPr>
              <w:jc w:val="cente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结论（通过或未通过）</w:t>
            </w:r>
            <w:r/>
          </w:p>
        </w:tc>
        <w:tc>
          <w:tcPr>
            <w:tcW w:w="1214" w:type="dxa"/>
            <w:vAlign w:val="center"/>
            <w:textDirection w:val="lrTb"/>
            <w:noWrap w:val="false"/>
          </w:tcPr>
          <w:p>
            <w:pPr>
              <w:keepLines w:val="0"/>
              <w:keepNext w:val="0"/>
              <w:pageBreakBefore w:val="0"/>
              <w:spacing w:line="240" w:lineRule="auto"/>
              <w:shd w:val="clear" w:color="auto" w:fill="auto"/>
              <w:widowControl w:val="off"/>
              <w:tabs>
                <w:tab w:val="left" w:pos="1260" w:leader="none"/>
                <w:tab w:val="left" w:pos="162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注：1、符合招标文件要求用“√”表示，不符合用“×”表示。有一项不符合要求，结论为未通过。</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2、有下列情形之一的，视为投标人相互串通：</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（1）不同投标人的投标文件由同一单位或者个人编制；</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（2）不同投标人委托同一单位或者个人办理参与投标事宜；</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（3）不同投标人的投标文件载明的项目管理成员或者联系人员为同一人；</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（4）不同投标人的投标文件异常一致或者报价呈规律性差异；</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（5）不同投标人的投标文件相互混装；</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3、有下列情形之一的，属于提供虚假材料谋取中标的行为：</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（1）使用伪造、变造的许可证件；</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（2）提供虚假的财务状况或者业绩；</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（3）提供虚假的项目经理或者主要技术人员简历、劳动关系证明；</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（4）提供虚假的信用状况；</w:t>
      </w:r>
      <w:r/>
    </w:p>
    <w:p>
      <w:pPr>
        <w:ind w:firstLine="422"/>
        <w:jc w:val="left"/>
        <w:keepLines w:val="0"/>
        <w:keepNext w:val="0"/>
        <w:pageBreakBefore w:val="0"/>
        <w:spacing w:line="288" w:lineRule="auto"/>
        <w:shd w:val="clear" w:color="auto" w:fill="auto"/>
        <w:widowControl w:val="off"/>
        <w:tabs>
          <w:tab w:val="left" w:pos="1260" w:leader="none"/>
          <w:tab w:val="left" w:pos="162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（5）其他弄虚作假的行为。</w:t>
      </w:r>
      <w:r/>
    </w:p>
    <w:p>
      <w:pPr>
        <w:pStyle w:val="1058"/>
        <w:spacing w:before="0" w:after="0" w:line="240" w:lineRule="auto"/>
        <w:shd w:val="clear" w:color="auto" w:fill="auto"/>
        <w:tabs>
          <w:tab w:val="left" w:pos="1440" w:leader="none"/>
        </w:tabs>
        <w:rPr>
          <w:rFonts w:hint="eastAsia" w:ascii="宋体" w:hAnsi="宋体" w:cs="宋体"/>
          <w:color w:val="auto"/>
          <w:sz w:val="21"/>
          <w:szCs w:val="21"/>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color w:val="auto"/>
          <w:sz w:val="21"/>
          <w:szCs w:val="21"/>
          <w:highlight w:val="none"/>
        </w:rPr>
      </w:r>
      <w:r/>
    </w:p>
    <w:p>
      <w:pPr>
        <w:pStyle w:val="1111"/>
        <w:jc w:val="center"/>
        <w:spacing w:line="360" w:lineRule="auto"/>
        <w:shd w:val="clear" w:color="auto" w:fill="auto"/>
        <w:rPr>
          <w:rFonts w:hint="eastAsia" w:ascii="宋体" w:hAnsi="宋体" w:cs="宋体"/>
          <w:b/>
          <w:color w:val="auto"/>
          <w:sz w:val="32"/>
          <w:szCs w:val="32"/>
          <w:highlight w:val="none"/>
        </w:rPr>
        <w:outlineLvl w:val="0"/>
      </w:pPr>
      <w:r/>
      <w:bookmarkStart w:id="137" w:name="_Toc211090862"/>
      <w:r>
        <w:rPr>
          <w:rFonts w:hint="eastAsia" w:ascii="宋体" w:hAnsi="宋体" w:cs="宋体"/>
          <w:b/>
          <w:color w:val="auto"/>
          <w:sz w:val="32"/>
          <w:szCs w:val="32"/>
          <w:highlight w:val="none"/>
        </w:rPr>
        <w:t xml:space="preserve">第四章  合同条款及格式</w:t>
      </w:r>
      <w:bookmarkEnd w:id="137"/>
      <w:r/>
      <w:r/>
    </w:p>
    <w:p>
      <w:pPr>
        <w:ind w:firstLine="560"/>
        <w:keepLines w:val="0"/>
        <w:keepNext w:val="0"/>
        <w:pageBreakBefore w:val="0"/>
        <w:spacing w:line="288" w:lineRule="auto"/>
        <w:shd w:val="clear" w:color="auto" w:fill="auto"/>
        <w:widowControl w:val="off"/>
        <w:tabs>
          <w:tab w:val="left" w:pos="1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注:以下为招标人提出中标后签订本项目合同的条款，投标人必须实质性响应，中标投标人不得提出实质性的修改，关于专用条款将由发包人与中标投标人结合本项目具体情况协商后签订。</w:t>
      </w:r>
      <w:r/>
    </w:p>
    <w:p>
      <w:pPr>
        <w:jc w:val="center"/>
        <w:keepLines w:val="0"/>
        <w:keepNext w:val="0"/>
        <w:pageBreakBefore w:val="0"/>
        <w:spacing w:line="288" w:lineRule="auto"/>
        <w:shd w:val="clear" w:color="auto" w:fill="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第一节 通用合同条款</w:t>
      </w:r>
      <w:r/>
    </w:p>
    <w:p>
      <w:pPr>
        <w:jc w:val="cente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详见《标准施工招标文件》（2007年版）</w:t>
      </w:r>
      <w:r/>
    </w:p>
    <w:p>
      <w:pPr>
        <w:jc w:val="center"/>
        <w:keepLines w:val="0"/>
        <w:keepNext w:val="0"/>
        <w:pageBreakBefore w:val="0"/>
        <w:spacing w:line="288" w:lineRule="auto"/>
        <w:shd w:val="clear" w:color="auto" w:fill="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第二节 专用合同条款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根据本项目的具体情况，对通用合同条款的内容做如下补充、细化： </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  一般约定</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1.1 词语定义</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合同</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1.1.1.10 指发出招标文件之后由发包人向已取得招标文件的潜在投标人发出的对招标文件补充或修改的书面文件。补遗书是招标文件和合同的组成部分。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1.1.1.11 固定总价合同：在合同执行过程中，除约定的风险范围外，不得调整总价的合同。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1.1.1.12 固定单价合同：在合同执行过程中，除约定的风险范围外，合同工程量清单中不得调整单价的合同。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1.1.1.13 询标及澄清文件：指招标投标过程中，招标人为完成工作，向对方所发出的询问及投标人澄清的书面文件，属于投标文件的组成部分。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合同当事人和人员</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1.1.2.8 工程建设项目代理人：指受发包人委托，具有相应资质及法定代理资格，代表发包人负责管理本合同的企业法人。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1.1.2.9 项目技术负责人：指由承包人按投标文件承诺派驻施工现场负责施工技术管理的总工程师或技术总负责人。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1.1.2.10 发包人代表：指发包人为履行本合同指定的负责人。</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  合同文件的优先顺序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组成合同的各项文件应互相解释，互为说明，解释合同文件的优先顺序如下：</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⑴合同履行中双方签署的书面文件；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⑵合同协议书；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⑷投标函；</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⑸专用合同条款；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⑹通用合同条款；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⑺技术标准和要求；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⑻图纸；</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⑼已标价的工程量清单；</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⑽其他合同文件。</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合同协议书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合同价格和费用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本合同的承包价格和费用，包括承包人按照合同约定应当完成的全部合同范围内的工作及缺陷责任期内的全部工作。</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承发包人按以下</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⑵</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方式确定承包合同价格：</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⑴固定总价合同；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⑵固定单价合同。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合同生效的其他条件：双方签字盖章后合同生效  。</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1.6  图纸和承包人文件</w:t>
      </w:r>
      <w:r/>
    </w:p>
    <w:p>
      <w:pPr>
        <w:ind w:firstLine="480"/>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1.6.1 图纸的提供：</w:t>
      </w:r>
      <w:r>
        <w:rPr>
          <w:rFonts w:hint="eastAsia" w:ascii="宋体" w:hAnsi="宋体" w:eastAsia="宋体" w:cs="宋体"/>
          <w:b/>
          <w:bCs/>
          <w:color w:val="auto"/>
          <w:sz w:val="24"/>
          <w:highlight w:val="none"/>
          <w:u w:val="single"/>
        </w:rPr>
        <w:t xml:space="preserve">发包人提供图纸2套。</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联络</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各类往来书面函件的联络送达期限：</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⑴邮件以“特快专递”、“挂号信函”方式邮寄，以收件人签收日期为准；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⑵传真、电子邮件以收件人发回确认回执日期为准；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⑶人工送达以收件人签收日期为准。</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转让</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合同转让：</w:t>
      </w:r>
      <w:r>
        <w:rPr>
          <w:rFonts w:hint="eastAsia" w:ascii="宋体" w:hAnsi="宋体" w:eastAsia="宋体" w:cs="宋体"/>
          <w:b/>
          <w:bCs/>
          <w:color w:val="auto"/>
          <w:sz w:val="24"/>
          <w:highlight w:val="none"/>
          <w:u w:val="single"/>
        </w:rPr>
        <w:t xml:space="preserve"> 不允许 </w:t>
      </w:r>
      <w:r>
        <w:rPr>
          <w:rFonts w:hint="eastAsia" w:ascii="宋体" w:hAnsi="宋体" w:eastAsia="宋体" w:cs="宋体"/>
          <w:color w:val="auto"/>
          <w:sz w:val="24"/>
          <w:highlight w:val="none"/>
        </w:rPr>
        <w:t xml:space="preserve">。</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  发包人义务</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2.3  提供施工场地</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上述施工水域或场地应符合国家的有关规定，并已完成审批、征用、拆迁、补偿等工作。</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 发包人应在计划开工日期14天前，提供能满足承包人生产、生活需要的临时施工水域或场地。</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  协助承包人办理证件和批件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协调处理施工场地周围地下管线和邻近建筑物、构筑物的保护工作。</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协助解决对承包人施工有干扰的外部条件。</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2.5  组织设计交底</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发包人应在计划开工日期14天前，组织设计单位向承包人进行设计交底。设计交底会应由发包人主持，设计单位、承包人、监理人和工程有关方面的人员参加，会后应形成会议纪要。</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2.8  其他义务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 发包人应在合同协议书签署的同时任命发包人代表；发包人需更换其代表时，应至少提前10天书面通知承包人。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 发包人应协助承包人办理航行通告、抛泥区许可证等施工所需的各种手续。</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 合同签订时，如果合同专用条款中所实行技术规范或标准有更新时，则发包人有权参照最新规范及标准实施本项目。</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  监理人</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3.1  监理人的职责和权力</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3.1.1.1监理人在行使下列权利前需要经发包人事先批准：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⑴根据第4.3款，同意分包本工程的非主体和非关键性工作；</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⑵根据第4.11款下产生的费用增加额；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⑶根据第11.3款、12.3款、12.4款发布开工通知、暂停施工指示或复工通知；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⑷决定第11.3款、11.4款下的工期延长；</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⑸审查批准技术标准和要求或设计的变更；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⑹根据第15.3款发出的变更指令，确定变更价格；</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⑺确定第15.4款下变更工作的单价；</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⑻)按照第15.6款决定有关暂列金额的使用；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⑼确定第15.8款项下的暂估价金额；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⑽)根据第16.1款规定，确定材料价格波动调整的合同价格；</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⑾确定第23.1款项下的索赔额。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3.1.1.2 </w:t>
      </w:r>
      <w:r>
        <w:rPr>
          <w:rFonts w:hint="eastAsia" w:ascii="宋体" w:hAnsi="宋体" w:eastAsia="宋体" w:cs="宋体"/>
          <w:color w:val="auto"/>
          <w:spacing w:val="-2"/>
          <w:sz w:val="24"/>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auto"/>
          <w:sz w:val="24"/>
          <w:highlight w:val="none"/>
        </w:rPr>
        <w:t xml:space="preserve">。</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3.5  商定或确定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3.5.1项补充：如果这项商定或确定导致费用增加和（或）工期延长，或者涉及确定变更工程的价格，则总监理工程师在发出通知前，应征得发包人的同意。</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承包人</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4.1 承包人的一般义务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4.1.5 保证工程施工和人员的安全增加以下条款：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4.1.5.3 施工现场发生安全事故时，承包人应立即采取有效措施，并将事故情况按规定上报有关部门并报告发包人与监理人。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 其他义务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4.1.10.2 承包人按照批准的临时设施总平面布置图及相关生活配套设施，负责施工现场的布置和临时设施的施工。承包人的驻地建设应满足发包人的要求。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4.1.10.5 承包人应支付为获得施工许可证及到海事船舶检验等有关证件所需的费用；办理应由承包人办理的施工所需各种证件、批件和其他审批手续。</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4.1.10.6 承包人应解决施工船舶的临时停泊设施并不得妨碍船闸正常运行，保证船舶在施工水域内航行安全和畅通。工程施工过程中，如工程确需影响到船闸正常运行和航道畅通，承包人应申报监理人与发包人，并自行向相关部门申报（发包人可协助协调）获得批准后方可继续施工，并尽可能地缩短影响时间，因承包人的不作为或未按上述要求办理相</w:t>
      </w:r>
      <w:r>
        <w:rPr>
          <w:rFonts w:hint="eastAsia" w:ascii="宋体" w:hAnsi="宋体" w:eastAsia="宋体" w:cs="宋体"/>
          <w:color w:val="auto"/>
          <w:sz w:val="24"/>
          <w:highlight w:val="none"/>
        </w:rPr>
        <w:t xml:space="preserve">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通航安全给其它部门或个人造成的一切损失、或由上述原因造成本工程工期的拖延或施工费用的增加，均由承包人自行负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4.1.10.7 承包人拆除的所有设备材料不得影响航道的正常运行，应及时清运。</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4.1.10.7.1承包人应采取一切措施，防止施工船舶、机械、设备及材料的沉没。若发生沉没，应立即向有关部门报告，并及时通知发包人与监理人。承包人应采取得当措施，及时设置浮标或障碍指示灯，直至打捞工作完成为止。</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4.1.10.8 承包人应充分考虑到施工现场所有的设备、临时建筑等防火安全，配备足够的防火设备。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4.1.10.9 承包人应在施工过程中对工程建筑物进行监测，并承担相应费用。</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4.1.10.12 施工船舶临时停泊水域由承包人自行解决，发包人协助办理。由此产生的费用含入工程量清单中相关工程细目的单价及总额价中，发包人不另计列。</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4.1.10.13 工程实施过程中，质量检测、试验项目可委托相应行业的具有资质和检测能力的单位进行，但该外委单位必须征得发包人和监理人的同意，且费用由承包人承担。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4.1.10.14 </w:t>
      </w:r>
      <w:r>
        <w:rPr>
          <w:rFonts w:hint="eastAsia" w:ascii="宋体" w:hAnsi="宋体" w:eastAsia="宋体" w:cs="宋体"/>
          <w:color w:val="auto"/>
          <w:sz w:val="24"/>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4.1.10.15 承包人为实施合同工程需要的施工用水、用电等，由承包人自行负责解决，并执行有关部门的用电、用水等管理，为此而发生的一切费用应列入相应价格中，发包人不另行支付。</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4.1.10.17 已完工程未向发包人交工之前，承包人应按合同规定负责已完工程的成品保护，保护期发生损坏，承包人自费予以修复。</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4.1.10.18 结合当地的实际情况，一个有经验的承包人应考虑到施工过程中会发生的由于施工及各种原因造成的地方矛盾和阻工问题，承包人自行负责解决，并支付所发生的一切费用。发包人努力做好协助工作，发包人协助不承担任何责任，且不免除承包人自行解决矛盾的任何责任，因不可抗力或政策性因素导致工期延误时，经监理和发包人签证确认可以延长工期，免除因此造成经济处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到达临时用地的临时道路（桥）的修建、维护、拆除以及便道（桥）用地的租用手续和复垦、临时堆土区围堰构筑、排水设施由承包人负责并承担费用，所需的相关费用包含在投标报价中。</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4.1.10.20 现场施工工地需要按标准化施工工地管理要求，设置护栏、围挡、标志、标牌及其他必要的所需设备设施，营造文明、安全施工工地。</w:t>
      </w:r>
      <w:r/>
    </w:p>
    <w:p>
      <w:pPr>
        <w:ind w:firstLine="480"/>
        <w:keepLines w:val="0"/>
        <w:keepNext w:val="0"/>
        <w:pageBreakBefore w:val="0"/>
        <w:spacing w:line="288" w:lineRule="auto"/>
        <w:shd w:val="clear" w:color="auto" w:fill="auto"/>
        <w:widowControl w:val="off"/>
        <w:rPr>
          <w:rFonts w:hint="eastAsia" w:ascii="宋体" w:hAnsi="宋体" w:eastAsia="宋体" w:cs="宋体"/>
          <w:b/>
          <w:bCs/>
          <w:color w:val="auto"/>
          <w:szCs w:val="21"/>
          <w:highlight w:val="none"/>
        </w:rPr>
      </w:pPr>
      <w:r>
        <w:rPr>
          <w:rFonts w:hint="eastAsia" w:ascii="宋体" w:hAnsi="宋体" w:eastAsia="宋体" w:cs="宋体"/>
          <w:color w:val="auto"/>
          <w:sz w:val="24"/>
          <w:highlight w:val="none"/>
        </w:rPr>
        <w:t xml:space="preserve">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auto"/>
          <w:sz w:val="24"/>
          <w:highlight w:val="none"/>
        </w:rPr>
        <w:t xml:space="preserve">承包人根据《安全生产责任保险实施办法》的通知（应急〔2025〕27号）要求必须投保安全生产责任险，保险费用包含在安全生产费中，据实计量支付。除合同另有规定，承包人在</w:t>
      </w:r>
      <w:r>
        <w:rPr>
          <w:rFonts w:hint="eastAsia" w:ascii="宋体" w:hAnsi="宋体" w:eastAsia="宋体" w:cs="宋体"/>
          <w:b/>
          <w:bCs/>
          <w:color w:val="auto"/>
          <w:sz w:val="24"/>
          <w:highlight w:val="none"/>
        </w:rPr>
        <w:t xml:space="preserve">施工过程中用于安全生产、文明施工的费用超出的，超出部分费用承包人自行承担，视为包含在投标报价的单价中，不另行计量与支付。安全生产费用须经监理审核合格后，计量支付。承包人应依法办理交通执法、水利管理等部门审核备案手续，涉及危险性较大的分部分项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4.1.10.23关于竣工资料</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承包人在工程竣工后，验收前提供壹份完整的竣工资料（原件和PDF电子版及全过程节点工程、隐蔽工程等影像资料），否则，按合同总价的2%罚款。 </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竣工验收后，应至少编制竣工结算资料4份，发包人、承包人、审计单位、复审单位（如果有）各一份，因未能提供竣工结算资料导致竣工结算审计延误的责任由承包人承担，与发包人、招标人无关。</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4.1.10.24关于劳动用工和农民工工资：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 关于劳动用工管理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②承包人应在工程项目部配备劳资专管员，对分包人劳动用工实施监督管理，掌握施工现场用工、考勤、工资支付等情况，审核分包人编制的农民工工资支付表。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③承包人（包括其分包人）应建立用工管理台账，并保存至工程完工且工资全部结清后至少3年。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 关于农民工工资支付形式与周期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①农民工工资应以货币形式，通过银行转账或者现金支付给农民工本人，不得以实物或者有价证券等其他形式替代。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②承包人（包括其分包人）应按照与农民工订立的劳动合同中约定的工资支付周期和具体支付日期足额支付工资。</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⑶关于农民工工资专用账户管理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承包人应分解工程价款中的人工费用，在签订合同后三十天内在工程项目所在地银行开设农民工工资专用账户，专项用于支付本工程项目的农民工工资。承包人在申请第一次工程款支付之前需提供农民工工资专用账户设立情况证明，此后在每一次申请付款之前，需提供农民工工资支付明细。农民工工资专用账户应向人力资源社会保障部门和工程项目行业主管部门备案，并委托开户银行负责日常监管，确保专款专用。</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color w:val="auto"/>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②开设、使用农民工工资专用账户有关资料应由承包人妥善保存备查。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⑷关于维权信息公示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承包人应在施工现场醒目位置设立维权信息告示牌，明示下列事项：</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①发包人、承包人及所在项目部、分包人、工程建设主管部门、劳资专管员等基本信息；</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②当地最低工资标准、工资支付日期等基本信息；</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③工程建设主管部门和劳动保障监察投诉举报电话、劳动争议调解仲裁申请渠道、法律援助申请渠道、公共法律服务热线等信息。</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⑸承包人应按时足额存储农民工工资保证金或者提交银行保函，具体要求见《江苏省工程建设领域农民工工资保证金管理办法》（苏人社规〔2022〕4号印发）。</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4.2  履约保证金</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本款细化为</w:t>
      </w:r>
      <w:r>
        <w:rPr>
          <w:rFonts w:hint="eastAsia" w:ascii="宋体" w:hAnsi="宋体" w:cs="宋体"/>
          <w:color w:val="auto"/>
          <w:sz w:val="24"/>
          <w:highlight w:val="none"/>
          <w:lang w:eastAsia="zh-CN"/>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.1中标人交纳合同金额的10%，人民币（中标价的10%四舍五入取整数）元作为本合同的履约保证金。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中标人提供的履约保证金可以是人民币形式（银行本票、汇票、支票、电汇），或银行保函、担保公司的保证担保或保险公司的保证保险等多种形式。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中标人选取银行保函、担保公司的保证担保或保险公司的保证保险等形式的向采购人缴纳的，如保函（担保、保险等）的约定期到期但中标人履约仍未结束的，中标人须进行续保。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中标人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如中标人未能履行合同规定的义务，采购人有权从履约保证金中取得补偿。</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履约保证金在合同约定期间内不予退还或者应完全有效，履约保证金在项目验收合格后无息退还给中标人。</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4.3  分包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w:t>
      </w:r>
      <w:r>
        <w:rPr>
          <w:rFonts w:hint="eastAsia" w:ascii="宋体" w:hAnsi="宋体" w:eastAsia="宋体" w:cs="宋体"/>
          <w:b/>
          <w:bCs/>
          <w:color w:val="auto"/>
          <w:sz w:val="24"/>
          <w:highlight w:val="none"/>
        </w:rPr>
        <w:t xml:space="preserve">不允许违法分包</w:t>
      </w:r>
      <w:r>
        <w:rPr>
          <w:rFonts w:hint="eastAsia" w:ascii="宋体" w:hAnsi="宋体" w:eastAsia="宋体" w:cs="宋体"/>
          <w:color w:val="auto"/>
          <w:sz w:val="24"/>
          <w:highlight w:val="none"/>
        </w:rPr>
        <w:t xml:space="preserve">，任何分包均应按照国家及江苏省有关分包管理的法律法规、行政规章执行。</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4.5  承包人的项目经理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增加以下条款：</w:t>
      </w:r>
      <w:r/>
    </w:p>
    <w:p>
      <w:pPr>
        <w:ind w:firstLine="482"/>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4.5.5承包人在投标文件中承诺的拟投入本工程的项目经理、技术负责人目前应没有参加其他在建工程，或必须有目前在建工程的发包人书面撤离证明</w:t>
      </w:r>
      <w:r>
        <w:rPr>
          <w:rFonts w:hint="eastAsia" w:ascii="宋体" w:hAnsi="宋体" w:eastAsia="宋体" w:cs="宋体"/>
          <w:bCs/>
          <w:color w:val="auto"/>
          <w:sz w:val="24"/>
          <w:highlight w:val="none"/>
        </w:rPr>
        <w:t xml:space="preserve">，以证明一旦投标人中标，该上述人员能立即撤出目前的在建工程，并能确保在发包人规定的时间进场，开展本工程。发包人将对项目经理、技术负责人实行考勤制度，必须保证每月至少有22天在施工现场。</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4.5.6项目经理、项目总工（技术负责人）未经批准，擅自离开施工现场的违约责任：发包人代表随时检查项目经理、项目总工（技术负责人）的出勤情况，发现一次、每次超过24小时的由承包人支付1000元/天的违约金；一个月内发现三次或累计达72小时的，发包人有权单方解除合同或要求承包人更换项目经理，由此造成的一切损失由承包人承担。</w:t>
      </w:r>
      <w:r/>
    </w:p>
    <w:p>
      <w:pPr>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10万元人民币（现金）的违约金，更换其他主要人员（安全员等）必须交纳每人次2万元人民币（现金）的违约金。</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4.6  承包人人员的管理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4.6.3增加补充：承包人在合同谈判时，除项目经理、</w:t>
      </w:r>
      <w:r>
        <w:rPr>
          <w:rFonts w:hint="eastAsia" w:ascii="宋体" w:hAnsi="宋体" w:eastAsia="宋体" w:cs="宋体"/>
          <w:bCs/>
          <w:color w:val="auto"/>
          <w:sz w:val="24"/>
          <w:highlight w:val="none"/>
        </w:rPr>
        <w:t xml:space="preserve">项目总工（</w:t>
      </w:r>
      <w:r>
        <w:rPr>
          <w:rFonts w:hint="eastAsia" w:ascii="宋体" w:hAnsi="宋体" w:eastAsia="宋体" w:cs="宋体"/>
          <w:color w:val="auto"/>
          <w:sz w:val="24"/>
          <w:highlight w:val="none"/>
        </w:rPr>
        <w:t xml:space="preserve">技术负责人</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及专职安全员以外，除项目经理、项目总工（技术负责人）及专职安全员以外，技术负责人及专职安全员以外，仍需按照现行工程施工管理相关文件规定配备足额的管理人员，且不得随意更换。</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4,6.4增加以下条款：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4.6.4.1 承包人的项目经理目前应没有参加其它在建工程，并能确保在发包人规定的时间内进场，开展本工程。中标后，在整个工程实施过程中，承包人成立项目经理部，派出投标文件中承诺的项目经理。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4.6.4.1 承包人在签署了合同协议书之日后，投标文件所列的承包人人员必须在监理人指定的日期进场，以保证项目管理机构的有效运转。</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4.6.4.3 未经监理人批准，上述承包人人员不应无故不到位或被替换，若确定无法到位或需替换，需经监理人审核并报发包人批准，撤换后人员的水平不得低于原有的水平。</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4.9  工程价款应专款专用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4.9.1 为本工程设立的安全、环保、文明施工措施费，必须专款专用，承包人不得挪作他用。</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4.11 不利物质条件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4.11.3承包人遇到不可预见的不利物质条件时，应采取适应不利物质条件的合理措施继续施工，并及时通知监理人，合同价格及工期不予调整。</w:t>
      </w:r>
      <w:r/>
    </w:p>
    <w:p>
      <w:pPr>
        <w:ind w:firstLine="480"/>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4.11.3</w:t>
      </w:r>
      <w:r>
        <w:rPr>
          <w:rFonts w:hint="eastAsia" w:ascii="宋体" w:hAnsi="宋体" w:eastAsia="宋体" w:cs="宋体"/>
          <w:b/>
          <w:bCs/>
          <w:color w:val="auto"/>
          <w:sz w:val="24"/>
          <w:highlight w:val="none"/>
        </w:rPr>
        <w:t xml:space="preserve">可预见的不利物质条件</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(1)对于合同中已经明确指出的不利物质条件无论承包人是否有其经历和经验均视为承包人在接受合同时已预见其影响，并已在签约合同价中计入其影响而可能发生的一切费用。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(2)对于合同未明确指出，但是在不利物质条件发生之前，监理人已经指示承包人有可能发生，但承包人未能及时采取有效措施，而导致的损失和后果均由承包人承担。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(3)对于在没有监理人具体指令情况下，承包人已经及时采取了合理而恰当的措施，并事后为监理人接受，监理人应报发包人同意后适当考虑承包人因此增加的费用或工期。</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 材料和工程设备</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  承包人提供的材料和工程设备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  发包人提供的材料和工程设备</w:t>
      </w:r>
      <w:r/>
    </w:p>
    <w:p>
      <w:pPr>
        <w:ind w:firstLine="480"/>
        <w:keepLines w:val="0"/>
        <w:keepNext w:val="0"/>
        <w:pageBreakBefore w:val="0"/>
        <w:spacing w:line="288" w:lineRule="auto"/>
        <w:shd w:val="clear" w:color="auto" w:fill="auto"/>
        <w:widowControl w:val="off"/>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5.2.1 发包人提供的材料和工程设备：</w:t>
      </w:r>
      <w:r>
        <w:rPr>
          <w:rFonts w:hint="eastAsia" w:ascii="宋体" w:hAnsi="宋体" w:eastAsia="宋体" w:cs="宋体"/>
          <w:b/>
          <w:color w:val="auto"/>
          <w:sz w:val="24"/>
          <w:highlight w:val="none"/>
          <w:u w:val="single"/>
        </w:rPr>
        <w:t xml:space="preserve">无。</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 材料和工程设备专用于合同工程</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5.3.1条款最后补充增加：否则将按第22.1款视为承包人违约。</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6 施工设备和临时设施</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6.1  承包人提供的施工设备和临时设施</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6.1.4承包人修建临时设施和（或）需要临时占地的，应由承包人办理申请手续并承担相应费用，发包人可提供协助。</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6.1.4  实施程序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⑴承包人应在合同签订后的 28 天内将有关临时工程与设施的布置、结构等施工图纸和相关资料提交监理人审查，有义务对监理人的疑问进行解答，并在必要时修改设计直至完全获得监理人的同意。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⑵任何临时工程与设施的开工，均需经监理人书面同意。承包人应在计划的开工日期 7 天前向监理人书面提出相应临时工程与设施的开工申请。</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⑶临时工程与设施需经监理人验收同意后方可投入使用，但为此不应减轻承包人对其质量负责。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6.1.5  协助与拆除</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⑵在不影响工程施工的情况下，承包人有义务为现场的其它承包人对临时工程与设施的使用提供协助配合，并不因此增加额外的费用。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6.1.6  责任与义务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⑴由于临时工程与设施未能及时交付使用或质量问题等而造成的工程延误或可能的费用增加应由承包人负责。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⑵承包人应确保临时工程与设施在使用期间安全可靠，监理人对有关设计文件资料的批复不减轻承包人的任何责任。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⑶所有用于临时工程与设施的材料、设备必须符合经监理人批准的设计资料的要求，特别对于反复使用的材料和设备须通过性能检测，经监理人验收同意方可进入现场使用。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⑷承包人有义务对临时工程与设施在施工期的观测资料进行及时的分析、整理，并报送监理人。因承包人未能及时将有关异常的观测信息反馈给监理人而造成的延误和损失由承包人承担。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⑸工程实施过程中，承包人应做好与交通、海事、航道、水利、渔政、自然资源、林业、航政、环保、公安、建设、城管等部门的沟通、协调工作。</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6.2  发包人提供的施工设备和临时设施</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发包人在本合同施工中应提供的施工设备和临时设施：无。</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  交通运输</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7.1  道路通行权和场外设施</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7.4 超大件和超重件的运输</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7.4.1 超大、超宽、超重物件的运输：</w:t>
      </w:r>
      <w:r>
        <w:rPr>
          <w:rFonts w:hint="eastAsia" w:ascii="宋体" w:hAnsi="宋体" w:eastAsia="宋体" w:cs="宋体"/>
          <w:color w:val="auto"/>
          <w:sz w:val="24"/>
          <w:highlight w:val="none"/>
          <w:u w:val="single"/>
        </w:rPr>
        <w:t xml:space="preserve">应由承包人负责向交通管理部门办理申请手续，发包人给予协助。</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  测量放线</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8.1  施工控制网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8.1.3发包人在计划开工日期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⑴根据监理人书面移交的控制网数据，负责对原始控制网数据的复测，根据工程施工放样的需要对控制网进行加密；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⑵根据本标段的测量控制需要，对已完相邻工程进行必要的复测，向监理人提出复测报告，其费用由承包人承担；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⑸承包人应负责管理施工控制网点。施工控制网点丢失或损坏的，承包人应及时修复。承包人应承担施工控制网点的管理与修复费用，并在工程完成后将施工控制网点移交发包人。</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8.2  施工测量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8.2.3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8.2.4　施工期间观测与检查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8.2.4.1 承包人应在开工前 14 天内提交上述所有监测项目的实施计划、措施及可能发生异常情况的处理方案，经监理人批准后在施工中执行。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8.2.4.2 各观测项目观测点的布置、观测频度等应在提交的实施计划中明确，并随工程进展，观测数据的变化及监理人的要求适当调整观测点数和观测频度，确保观测资料的客观全面。</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8.2.4.3 各观测项目应随着工程进度而及时开展，观测应定期进行，数据资料应详实可靠。</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8.2.4.4 因承包人未能及时反馈有关异常信息，未果断采取必要的防范、加固措施或未按监理人的指令采取补救措施而造成的一切损失由承包人承担。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8.2.4.5 所有用于本工程监测的仪器设备必须预先经过校正率定，并获得监理人的验收认可。</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8.2.4.6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施工安全、治安保卫和环境保护</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9.1  发包人的施工安全责任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9.1.3项补充增加：⑶如果承包人或其雇员也对上述人身伤亡或财产损失负有部分责任时，承包人也应承担相应赔偿责任。</w:t>
      </w:r>
      <w:r/>
    </w:p>
    <w:p>
      <w:pPr>
        <w:ind w:firstLine="482"/>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9.1.4 宣传、贯彻、执行有关安全生产的法律、法规，按照法定权限制定本工程安全生产管理细则；</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9.1.5 依法对本工程各从业单位安全生产条件实施监督管理，组织对施工、监理、试验、检测单位的考核工作；</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9.1.6 建立工程安全生产应急管理机制，制定重大安全生产事故应急预案；</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9.1.7 建立本工程各从业单位安全生产信用档案，作为交通行业信用体系建设的一部分，对从业单位和人员实施安全生产动态管理；</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9.1.8 会同驻项目纪检受理工程安全生产方面的举报和投诉，依法对工程安全生产实施监督检查，并提出相应的处罚；</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9.1.9 会同驻项目纪检依法组织、调查处理安全生产问题，对本工程安全生产问题进行统计分析，发布工程安全生产动态信息。负责向上级有关部门报送事故信息报告，配合和接受有关部门对安全生产事故的调查和处理；</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9.1.10 开展本工程安全生产经验交流，促进安全生产知识水平的提高；</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9.1.12 全面推行“工具化、定型化、标准化”安全防护，各分部分项工程实现安全标准化管理；</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9.1.13 法律、法规规定的其他职责。</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9.2  承包人的施工安全责任</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2"/>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9.2.8</w:t>
      </w:r>
      <w:r>
        <w:rPr>
          <w:rFonts w:hint="eastAsia" w:ascii="宋体" w:hAnsi="宋体" w:eastAsia="宋体" w:cs="宋体"/>
          <w:color w:val="auto"/>
          <w:sz w:val="24"/>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承包人应根据本工</w:t>
      </w:r>
      <w:r>
        <w:rPr>
          <w:rFonts w:hint="eastAsia" w:ascii="宋体" w:hAnsi="宋体" w:eastAsia="宋体" w:cs="宋体"/>
          <w:color w:val="auto"/>
          <w:sz w:val="24"/>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对承包人按此采取的安全保护措施,发包人和监理人有权监督,并向承包人提出整改要求,对此承包人应遵照执行,并承担可能发生的一切费用。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监理人和发包人在检查中发现有安全问题或有违反安全管理规章制度的情况时，可视其情节轻重，分别给予承包人通报批评、警告、责令停工等处罚。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9.2.9  承包人应对施工船舶、机械、设备、仪器等进行定期检查，消除隐患，并取得有关部门的检验许可证明。</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9.2.10 承包人应按有关要求，设置施工水域的警示标志和施工船舶夜间警示标志。</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9.2.11 承包人应对施工现场的供电、消防、基坑开挖、水下作业、爆破、不良工程地质以及施工通航等制定专项的措施及应急预案，并报监理人审查同意。发包人或监理人的认可不能免除承包人所应承担的责任。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9.2.12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9.2.13  为了保护本标段免遭损坏，或为了现场附近和过往群众的安全与方便，在确有必要的时候和地方，或当监理人或有关主管部门要求时，承包人应自费提供照明、警卫、护栅、警告标志等安全防护设施。</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9.2.14 承包人应与地方航政等相关主管部门取得联系，设置必要的导航标志，及时发布航行通告，确保施工水域安全。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9.2.15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9.2.16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9.4  环境保护</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9.4.7承包人应严格执行国家有关水域环境生态保护的规定，合理选择施工船机和施工工艺，采取有效措施，减少施工对周边水域的影响。</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9.4.8 在施工期间，承包人必须对已有工程设施无条件予以保护，不得因施工造成对已有工程的污染、破坏和损害，若发生污染、破坏和损害，一切责任（包括费用）均由承包人承担。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9.4.9 </w:t>
      </w:r>
      <w:r>
        <w:rPr>
          <w:rFonts w:hint="eastAsia" w:ascii="宋体" w:hAnsi="宋体" w:eastAsia="宋体" w:cs="宋体"/>
          <w:color w:val="auto"/>
          <w:sz w:val="24"/>
          <w:highlight w:val="none"/>
        </w:rPr>
        <w:t xml:space="preserve">工程实施期间，承包人应做到文明施工，避免与地方群众发生纠纷，树立良好的企业形象，有关的标牌、标语等的设立应在确定设计方案报监理工程师批准后执行。</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9.4.10 在施工期间，承包人必须</w:t>
      </w:r>
      <w:r>
        <w:rPr>
          <w:rFonts w:hint="eastAsia" w:ascii="宋体" w:hAnsi="宋体" w:eastAsia="宋体" w:cs="宋体"/>
          <w:color w:val="auto"/>
          <w:sz w:val="24"/>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auto"/>
          <w:sz w:val="24"/>
          <w:highlight w:val="none"/>
        </w:rPr>
        <w:t xml:space="preserve">施工中未经发包人同意或有关部门批准，不得随意拆改原建筑物结构及各种设备、管线。</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9.4.11 在施工期间，承包人必须</w:t>
      </w:r>
      <w:r>
        <w:rPr>
          <w:rFonts w:hint="eastAsia" w:ascii="宋体" w:hAnsi="宋体" w:eastAsia="宋体" w:cs="宋体"/>
          <w:color w:val="auto"/>
          <w:sz w:val="24"/>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color w:val="auto"/>
          <w:sz w:val="24"/>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9.4.12 </w:t>
      </w:r>
      <w:r>
        <w:rPr>
          <w:rFonts w:hint="eastAsia" w:ascii="宋体" w:hAnsi="宋体" w:eastAsia="宋体" w:cs="宋体"/>
          <w:b/>
          <w:color w:val="auto"/>
          <w:sz w:val="24"/>
          <w:highlight w:val="none"/>
        </w:rPr>
        <w:t xml:space="preserve">承包人在施工过程中应严格遵守《中华人民共和国大气污染防治法》、《江苏省大气污染防治条例》、</w:t>
      </w:r>
      <w:r>
        <w:rPr>
          <w:rFonts w:hint="eastAsia" w:ascii="宋体" w:hAnsi="宋体" w:eastAsia="宋体" w:cs="宋体"/>
          <w:b/>
          <w:bCs/>
          <w:color w:val="auto"/>
          <w:sz w:val="24"/>
          <w:highlight w:val="none"/>
        </w:rPr>
        <w:t xml:space="preserve">《江苏省公路水运工程工地扬尘污染防治行动方案》、《江苏省公路水运工程施工扬尘污染防治指导手册》</w:t>
      </w:r>
      <w:r>
        <w:rPr>
          <w:rFonts w:hint="eastAsia" w:ascii="宋体" w:hAnsi="宋体" w:eastAsia="宋体" w:cs="宋体"/>
          <w:b/>
          <w:color w:val="auto"/>
          <w:sz w:val="24"/>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  进度计划</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10.1  合同进度计划</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10.1.1  承包人应在计划开工日期7天前，向发包人和监理人报送施工组织设计；监理人应在7天内批复或提出修改意见，否则视为得到批准。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10.1.2  承包人应在每月末</w:t>
      </w:r>
      <w:r>
        <w:rPr>
          <w:rFonts w:hint="eastAsia" w:ascii="宋体" w:hAnsi="宋体" w:eastAsia="宋体" w:cs="宋体"/>
          <w:color w:val="auto"/>
          <w:sz w:val="24"/>
          <w:highlight w:val="none"/>
          <w:u w:val="single"/>
        </w:rPr>
        <w:t xml:space="preserve"> 25 </w:t>
      </w:r>
      <w:r>
        <w:rPr>
          <w:rFonts w:hint="eastAsia" w:ascii="宋体" w:hAnsi="宋体" w:eastAsia="宋体" w:cs="宋体"/>
          <w:color w:val="auto"/>
          <w:sz w:val="24"/>
          <w:highlight w:val="none"/>
        </w:rPr>
        <w:t xml:space="preserve">日前，向监理人报送下月计划一式</w:t>
      </w:r>
      <w:r>
        <w:rPr>
          <w:rFonts w:hint="eastAsia" w:ascii="宋体" w:hAnsi="宋体" w:eastAsia="宋体" w:cs="宋体"/>
          <w:color w:val="auto"/>
          <w:sz w:val="24"/>
          <w:highlight w:val="none"/>
          <w:u w:val="single"/>
        </w:rPr>
        <w:t xml:space="preserve"> 4 </w:t>
      </w:r>
      <w:r>
        <w:rPr>
          <w:rFonts w:hint="eastAsia" w:ascii="宋体" w:hAnsi="宋体" w:eastAsia="宋体" w:cs="宋体"/>
          <w:color w:val="auto"/>
          <w:sz w:val="24"/>
          <w:highlight w:val="none"/>
        </w:rPr>
        <w:t xml:space="preserve">份。如果承包人未能按上述的关键控制工期要求完成，发包人将按11.5款规定执行。</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10.2  合同进度计划的修订</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10.2.1  承包人应在48小时前向监理人提交修订合同进度计划的申请报告；监理人应在48小时内对承包人提交的申请报告批复，否则视为得到批准。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10.2.2  对非承包人自身原因每月累计停水或停电不超过48小时的情况，施工组织设计中应有相应的保证措施。承包人不得因此顺延工期。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10.2.3 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10.2.4 在合同总工期未变的前提下，发包人或监理人根据工程实际情况或他认为有必要的任何其它理由而对工程分阶段所进行的进度计划调整，承包人应无条件地服从，合同价格不予调整。</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  开工和竣工</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11.1  开工</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11.1.3 分项工程的开工应事先得到监理人的书面同意，承包人应提前48小时将申请开工的书面通知报送监理人，监理人应在收到通知48小时内予以书面答复，否则视为同意。</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11.2  竣工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11.2.1 重要节点工期：</w:t>
      </w:r>
      <w:r>
        <w:rPr>
          <w:rFonts w:hint="eastAsia" w:ascii="宋体" w:hAnsi="宋体" w:eastAsia="宋体" w:cs="宋体"/>
          <w:color w:val="auto"/>
          <w:sz w:val="24"/>
          <w:highlight w:val="none"/>
          <w:u w:val="single"/>
        </w:rPr>
        <w:t xml:space="preserve">按照监理审批的工程进度计划进行施工。</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11.2.3 承包人未按要求提交竣工资料时，发包人有权在支付中扣除合同结算价的</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11.4  异常恶劣的气候条件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11.4.1  异常恶劣的气候条件是指水运工程水域施工作业难以正常进行或须采取其他补救措施才能进行的气候条件。一般是指：</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⑴持续高温：连续三日日最高气温38度以上；</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⑵持续低温：连续三日日最低气温-20度以下；</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⑶大风天气：施工水域日风力在6级以上且持续时间不少于4小时，或阵风大于8级；</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⑷暴雨天气：日降雨量50mm及以上，或降雨强度大于20mm/h；</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⑸暴雪天气：日降雪量10mm及以上；</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⑹流速或波浪：内河3.5米/秒及以上流速，海上2米及以上的大浪和强浪；</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⑺水淹：施工场地大部分或全部被潮水、洪水或雨水淹没超过1天；</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⑻大雾：定点施工船舶能见度小于50米的雾天超过1天；运动船舶按有关规定。</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11.5  承包人的工期延误</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⑶由于承包人原因造成工期延误，承包人应支付逾期竣工违约金。发包人将对承包人处以</w:t>
      </w:r>
      <w:r>
        <w:rPr>
          <w:rFonts w:hint="eastAsia" w:ascii="宋体" w:hAnsi="宋体" w:cs="宋体"/>
          <w:color w:val="auto"/>
          <w:sz w:val="24"/>
          <w:highlight w:val="none"/>
          <w:lang w:val="en-US" w:eastAsia="zh-CN"/>
        </w:rPr>
        <w:t xml:space="preserve">2000</w:t>
      </w:r>
      <w:r>
        <w:rPr>
          <w:rFonts w:hint="eastAsia" w:ascii="宋体" w:hAnsi="宋体" w:eastAsia="宋体" w:cs="宋体"/>
          <w:color w:val="auto"/>
          <w:sz w:val="24"/>
          <w:highlight w:val="none"/>
        </w:rPr>
        <w:t xml:space="preserve">元/天的逾期竣工违约金，逾期竣工违约金限额为签约合同价格的</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％。时间自预定的竣工日期起到工程接收证书中写明的实际竣工日期止(扣除已批准的延长工期)，按天计算。发包人可以从应付或到期应付给承包人的任何款项中或采用其他方法扣除此违约金。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⑷承包人支付逾期竣工违约金，不免除承包人完成工程及修补缺陷的义务。</w:t>
      </w:r>
      <w:r/>
    </w:p>
    <w:p>
      <w:pPr>
        <w:ind w:firstLine="480"/>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11.6  工期提前</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本款不适用。</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暂停施工</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12.1  承包人暂停施工的责任</w:t>
      </w:r>
      <w:r/>
    </w:p>
    <w:p>
      <w:pPr>
        <w:ind w:firstLine="482"/>
        <w:keepLines w:val="0"/>
        <w:keepNext w:val="0"/>
        <w:pageBreakBefore w:val="0"/>
        <w:spacing w:line="288" w:lineRule="auto"/>
        <w:shd w:val="clear" w:color="auto" w:fill="auto"/>
        <w:widowControl w:val="off"/>
        <w:tabs>
          <w:tab w:val="left" w:pos="72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按照通用合同条款条款执行，专用条款不另行约定。</w:t>
      </w:r>
      <w:r/>
    </w:p>
    <w:p>
      <w:pPr>
        <w:keepLines w:val="0"/>
        <w:keepNext w:val="0"/>
        <w:pageBreakBefore w:val="0"/>
        <w:spacing w:line="288" w:lineRule="auto"/>
        <w:shd w:val="clear" w:color="auto" w:fill="auto"/>
        <w:widowControl w:val="off"/>
        <w:tabs>
          <w:tab w:val="left" w:pos="72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  工程质量</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13.1  工程质量要求</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13.1.4 质量标准：合格。</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13.1.5 质量目标</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本工程质量目标：标段工程竣工验收的质量评定：合格。</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13.1.6 发包人是按照江苏省交通运输行业的规定和</w:t>
      </w:r>
      <w:r>
        <w:rPr>
          <w:rFonts w:hint="eastAsia" w:ascii="宋体" w:hAnsi="宋体" w:eastAsia="宋体" w:cs="宋体"/>
          <w:color w:val="auto"/>
          <w:sz w:val="24"/>
          <w:highlight w:val="none"/>
        </w:rPr>
        <w:t xml:space="preserve">江苏省交通运输综合行政执法监督局</w:t>
      </w:r>
      <w:r>
        <w:rPr>
          <w:rFonts w:hint="eastAsia" w:ascii="宋体" w:hAnsi="宋体" w:eastAsia="宋体" w:cs="宋体"/>
          <w:bCs/>
          <w:color w:val="auto"/>
          <w:sz w:val="24"/>
          <w:highlight w:val="none"/>
        </w:rPr>
        <w:t xml:space="preserve">的考核要求，对本工程项目进行管理和考核。发包人将该工程项目实施情况反映到履约考核中。</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13.2  承包人的质量管理</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13.2.3  承包人提交工程质量保证措施文件的期限：签订合同议书后28天之内。</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13.2.4 建立质量责任制。分项施工的现场应实行标示牌管理，写明作业内容和质量要求，要认真执行三检制度，即：自检、互检、工序交接检验制度，要根据合同的规定切实作好隐蔽工程的检查工作。</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13.2.5分项工程开工前必须按合同要求执行先试验再铺开的程序。</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13.2.6 要建立质量奖罚制度，对质量事故要严肃处理，坚持三不放过：事故原因不明不放过，不分清责任不放过，没有改进措施不放过。</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13.3  承包人的质量检查</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13.3.1 必须完备检验手段，要根据技术标准和要求的规定配齐检测和试验仪器、仪表，并应及时校正确保其精度，要加强标准计量基础工作和材料检验工作，不得违规计量，不合格材料严禁用于本工程。</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13.3.2 要加强质量监控，确保规范规定的检验、抽检频率，现场质检的原始资料必须真实、准确、可靠，不得追记，接受质量检查时必须出示原始资料。监理人有指令时，重要的隐蔽工程覆盖前应进行摄像或照相并保存现场记录。</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13.5  工程隐蔽部位覆盖前的检查</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13.5.1 通知监理人检查</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  试验和检验</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14.1  材料、工程设备和工程的试验和检验</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14.1.4 材料、构件、配件和工程设备订货前，承包人应向监理人提供生产厂家的生产许可证和相应资质证明文件等材料，对新材料、新产品还应提供鉴定证明和有关确认文件。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监理人可以进行考察，考察内容和方式：</w:t>
      </w:r>
      <w:r>
        <w:rPr>
          <w:rFonts w:hint="eastAsia" w:ascii="宋体" w:hAnsi="宋体" w:eastAsia="宋体" w:cs="宋体"/>
          <w:color w:val="auto"/>
          <w:sz w:val="24"/>
          <w:highlight w:val="none"/>
          <w:u w:val="single"/>
        </w:rPr>
        <w:t xml:space="preserve">工程进展过程中确定。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14.1.5 承包人与监理人不进行共同试验或检验。</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14.2  现场材料试验</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14.2.3 承包人工地试验室的试验设备、器材的配备要求：满足相关规定。</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14.2.4 承包人应委托有试验检验资质的单位进行试验检验。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14.2.5 发包人应委托有试验检验资质的单位进行第三方试验检验。</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14.4  试验和检验费用</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⑴承包人应负责提供合同和技术规范规定的试验和检验所需的全部样品，并承担其费用。</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⑵在合同中明确规定的试验和检验，包括无须在工程量清单中单独列项和已在工程量清单中单独列项的试验和检验，其试验和检验的费用由承包人承担。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变更</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15.1 变更的范围和内容</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15.1.1变更的范围和内容：设计变更是指向承包人提供的有关施工依据的设计文件的变更和数量的调整。包括： </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⑴更改工程有关部分的标高、基线、位置和尺寸；</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⑵增减合同中约定的工程量； </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⑶其他有关工程变更需要的附加工作。</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15.1.2凡符合下列条件之一者，可进行设计变更或调整：</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⑴保持原设计标准质量，可降低投资；</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⑵保持原设计标准质量，不增加投资或增加投资不多，能解决的特殊的技术问题，或对缩短工期效果明显；</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⑶由于文物、环保等方面的原因或其他不可预见因素，必须变更设计方案；</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⑷不增加投资或增加投资不多，有利于改善使用功能、提高使用寿命或节省工程的维修、养护费用；</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⑸在基本不增加投资的情况下，便于采用新技术、新材料、新设备，有利于提高工程质量标准，提高功效和增进技术进步；</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⑹由于重大政策调整、重大公共安全卫生、自然灾害等原因不可抗力导致工期紧张，为加快工程进度而采取相关措施；</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⑺当施工图设计与现场情况不符时，为符合现场情况而进行变更设计；</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⑻施工图设计差、错、漏及设计明显不合理；</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⑼其他特殊情况。</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  变更程序</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15.3.2 变更估价</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第⑴、⑶条款约定修改为：</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⑴承包人向监理人提交变更报价书的期限：承包人在双方确定变更后14天内不向监理人提出变更工程价款报告时，视为该项变更不涉及合同价款的变更。</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⑶监理人商定或确定变更价格的期限：监理人应在收到变更工程价款报告之日起14天内予以确认，监理人无正当理由不确认时，自变更工程价款报告送达之日起14天后视为变更工程价款报告已被确认。</w:t>
      </w:r>
      <w:r/>
    </w:p>
    <w:p>
      <w:pPr>
        <w:ind w:firstLine="482"/>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15.3.3  变更指示</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⑶变更立项和价格审批按照发包人制订的相关管理办法执行。</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15.5 承包人的合理化建议</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15.5.3承包人提出的合理化建议经实施后，按其节省费用的</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%奖励承包人。</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16  价格调整</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16.1  物价波动引起的价格调整</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16.1.3  物价波动引起的价格调整方法：</w:t>
      </w:r>
      <w:r>
        <w:rPr>
          <w:rFonts w:hint="eastAsia" w:ascii="宋体" w:hAnsi="宋体" w:eastAsia="宋体" w:cs="宋体"/>
          <w:b/>
          <w:color w:val="auto"/>
          <w:sz w:val="24"/>
          <w:highlight w:val="none"/>
        </w:rPr>
        <w:t xml:space="preserve">在合同执行期间，由于人工、机械等因素对工程成本的影响，发包人对合同价格均不予调整；材料使用、价格涨落等因素对工程成本的影响，合同价格不调整。  </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计量与支付</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17.2.1  预付款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17.2.2 预付款保函</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不适用。</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17.3  工程进度付款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17.3.5  设备、人员进场后支付10%签约合同价款（含50%安全生产费，不含暂列金额）；项目竣工，经验收合格支付至结算价款的85%；审计后支付至审定价的100%（付款前，承包人向发包人缴纳工程竣工结算审定金额的3%作为质保金，待12个月缺陷责任期满，无质量问题经验收合格，一次性无息退还）。</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注：①每次支付工程款前，承包人必须提交符合发包人要求的请款资料且经监理人及发包人审核，否则不予支付。</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②每次支付工程款时，承包人必须向发包人提供正规税务发票，否则不予支付。</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17.4  质量保证金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竣工验收证书签发后 14 天内，承包人应向发包人缴纳质量保证金。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质量保证金百分比：</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%结算价款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质量保证金可采用银行保函或现金、支票等形式，采用银行保函时，出具保函的银行须具有相应担保能力，且按照发包人批准的格式出具，所需费用由承包人承担。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质量保证金采用现金、支票形式的，不计利息。</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17.6  最终结清</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17.6.1最终结清申请单</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⑶缺陷责任期终止证书签发后，承包人应在60天内向监理人提交最终结清申请单一式</w:t>
      </w:r>
      <w:r>
        <w:rPr>
          <w:rFonts w:hint="eastAsia" w:ascii="宋体" w:hAnsi="宋体" w:eastAsia="宋体" w:cs="宋体"/>
          <w:bCs/>
          <w:color w:val="auto"/>
          <w:sz w:val="24"/>
          <w:highlight w:val="none"/>
          <w:u w:val="single"/>
        </w:rPr>
        <w:t xml:space="preserve">4 </w:t>
      </w:r>
      <w:r>
        <w:rPr>
          <w:rFonts w:hint="eastAsia" w:ascii="宋体" w:hAnsi="宋体" w:eastAsia="宋体" w:cs="宋体"/>
          <w:bCs/>
          <w:color w:val="auto"/>
          <w:sz w:val="24"/>
          <w:highlight w:val="none"/>
        </w:rPr>
        <w:t xml:space="preserve">份。</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bookmarkStart w:id="138" w:name="_Toc137461290"/>
      <w:r/>
      <w:bookmarkStart w:id="139" w:name="_Toc149446274"/>
      <w:r/>
      <w:bookmarkStart w:id="140" w:name="_Toc137460003"/>
      <w:r/>
      <w:bookmarkStart w:id="141" w:name="_Toc149442664"/>
      <w:r/>
      <w:bookmarkStart w:id="142" w:name="_Toc149386481"/>
      <w:r/>
      <w:bookmarkStart w:id="143" w:name="_Toc139075092"/>
      <w:r/>
      <w:bookmarkStart w:id="144" w:name="_Toc149387856"/>
      <w:r/>
      <w:bookmarkStart w:id="145" w:name="_Toc173317103"/>
      <w:r/>
      <w:bookmarkStart w:id="146" w:name="_Toc149386767"/>
      <w:r/>
      <w:bookmarkStart w:id="147" w:name="_Toc149386002"/>
      <w:r/>
      <w:bookmarkStart w:id="148" w:name="_Toc149385688"/>
      <w:r/>
      <w:bookmarkStart w:id="149" w:name="_Toc139878173"/>
      <w:r/>
      <w:bookmarkStart w:id="150" w:name="_Toc149386312"/>
      <w:r/>
      <w:bookmarkStart w:id="151" w:name="_Toc139856275"/>
      <w:r/>
      <w:bookmarkStart w:id="152" w:name="_Toc139183339"/>
      <w:r/>
      <w:bookmarkStart w:id="153" w:name="_Toc173056194"/>
      <w:r/>
      <w:bookmarkStart w:id="154" w:name="_Toc149446727"/>
      <w:r/>
      <w:bookmarkStart w:id="155" w:name="_Toc149630609"/>
      <w:r/>
      <w:bookmarkStart w:id="156" w:name="_Toc149976107"/>
      <w:r/>
      <w:bookmarkStart w:id="157" w:name="_Toc149447311"/>
      <w:r/>
      <w:bookmarkStart w:id="158" w:name="_Toc147374653"/>
      <w:r/>
      <w:bookmarkStart w:id="159" w:name="_Toc173844061"/>
      <w:r/>
      <w:bookmarkStart w:id="160" w:name="_Toc186099733"/>
      <w:r>
        <w:rPr>
          <w:rFonts w:hint="eastAsia" w:ascii="宋体" w:hAnsi="宋体" w:eastAsia="宋体" w:cs="宋体"/>
          <w:b/>
          <w:bCs/>
          <w:color w:val="auto"/>
          <w:sz w:val="24"/>
          <w:highlight w:val="none"/>
        </w:rPr>
        <w:t xml:space="preserve">增加以下条款：</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17.7 </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color w:val="auto"/>
          <w:sz w:val="24"/>
          <w:highlight w:val="none"/>
        </w:rPr>
        <w:t xml:space="preserve">农民工工资保障金</w:t>
      </w:r>
      <w:bookmarkEnd w:id="159"/>
      <w:r/>
      <w:bookmarkEnd w:id="160"/>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w:t>
      </w:r>
      <w:r>
        <w:rPr>
          <w:rFonts w:hint="eastAsia" w:ascii="宋体" w:hAnsi="宋体" w:eastAsia="宋体" w:cs="宋体"/>
          <w:b/>
          <w:color w:val="auto"/>
          <w:sz w:val="24"/>
          <w:highlight w:val="none"/>
        </w:rPr>
        <w:t xml:space="preserve">承包人要认真贯彻落实《劳动法》、《保障农民工工资支付条例》、《关于印发江苏省</w:t>
      </w:r>
      <w:r>
        <w:rPr>
          <w:rFonts w:hint="eastAsia" w:ascii="宋体" w:hAnsi="宋体" w:eastAsia="宋体" w:cs="宋体"/>
          <w:b/>
          <w:color w:val="auto"/>
          <w:sz w:val="24"/>
          <w:highlight w:val="none"/>
        </w:rPr>
        <w:t xml:space="preserve">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color w:val="auto"/>
          <w:sz w:val="24"/>
          <w:highlight w:val="none"/>
        </w:rPr>
        <w:t xml:space="preserve">农民工工资与工程款实行分</w:t>
      </w:r>
      <w:r>
        <w:rPr>
          <w:rFonts w:hint="eastAsia" w:ascii="宋体" w:hAnsi="宋体" w:eastAsia="宋体" w:cs="宋体"/>
          <w:b/>
          <w:bCs/>
          <w:color w:val="auto"/>
          <w:sz w:val="24"/>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⑶如果发生违反规定拖欠或克扣农民工工资行为，造成农民工上访，发包人将上报上级交通运输行政主管部门并依照有关规定对其作出其它处罚决定。</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竣工验收</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18.1  竣工验收的含义</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增加以下条款：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18.1.4  </w:t>
      </w:r>
      <w:r>
        <w:rPr>
          <w:rFonts w:hint="eastAsia" w:ascii="宋体" w:hAnsi="宋体" w:eastAsia="宋体" w:cs="宋体"/>
          <w:bCs/>
          <w:color w:val="auto"/>
          <w:sz w:val="24"/>
          <w:highlight w:val="none"/>
        </w:rPr>
        <w:t xml:space="preserve">承包人应在竣工验收14天前，向发包人提供竣工资料一式</w:t>
      </w:r>
      <w:r>
        <w:rPr>
          <w:rFonts w:hint="eastAsia" w:ascii="宋体" w:hAnsi="宋体" w:eastAsia="宋体" w:cs="宋体"/>
          <w:bCs/>
          <w:color w:val="auto"/>
          <w:sz w:val="24"/>
          <w:highlight w:val="none"/>
          <w:u w:val="single"/>
        </w:rPr>
        <w:t xml:space="preserve">4</w:t>
      </w:r>
      <w:r>
        <w:rPr>
          <w:rFonts w:hint="eastAsia" w:ascii="宋体" w:hAnsi="宋体" w:eastAsia="宋体" w:cs="宋体"/>
          <w:bCs/>
          <w:color w:val="auto"/>
          <w:sz w:val="24"/>
          <w:highlight w:val="none"/>
        </w:rPr>
        <w:t xml:space="preserve">份，电子化声像资料一式</w:t>
      </w:r>
      <w:r>
        <w:rPr>
          <w:rFonts w:hint="eastAsia" w:ascii="宋体" w:hAnsi="宋体" w:eastAsia="宋体" w:cs="宋体"/>
          <w:bCs/>
          <w:color w:val="auto"/>
          <w:sz w:val="24"/>
          <w:highlight w:val="none"/>
          <w:u w:val="single"/>
        </w:rPr>
        <w:t xml:space="preserve">4</w:t>
      </w:r>
      <w:r>
        <w:rPr>
          <w:rFonts w:hint="eastAsia" w:ascii="宋体" w:hAnsi="宋体" w:eastAsia="宋体" w:cs="宋体"/>
          <w:bCs/>
          <w:color w:val="auto"/>
          <w:sz w:val="24"/>
          <w:highlight w:val="none"/>
        </w:rPr>
        <w:t xml:space="preserve">份。</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  缺陷责任与保修责任</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19.1  缺陷责任期的起算时间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19.1.1 缺陷责任期从工程竣工验收合格之日起算为12个月：</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19.7  保修责任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19.7.1 工程质量保修责任：承包人在工程保修期内有责任返修因承包人原因造成的任何工程缺陷或损坏，返修费用由承包人承担。因发包人使用不当或其他非承包人原因造成的损坏，承包人应协助修复，费用由发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19.7.3 工程保修期终止后 28 天内，监理人签发保修期终止证书。</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19.8工程质量保修期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19.8.1根据《建设工程质量管理条例》及有关规定，本工程的质量保修期如下:</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(1)地基基础工程和主体结构工程为设计文件规定的该工程合理使用年限</w:t>
      </w:r>
      <w:r>
        <w:rPr>
          <w:rFonts w:hint="eastAsia" w:ascii="宋体" w:hAnsi="宋体" w:cs="宋体"/>
          <w:color w:val="auto"/>
          <w:sz w:val="24"/>
          <w:highlight w:val="none"/>
          <w:lang w:eastAsia="zh-CN"/>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(2)屋面防水工程、有防水要求的卫生间、房间和外墙面的防渗漏为5年;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(3)装修工程为2年;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(4)电气管线、给排水管道、设备安装工程为2年;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(5)供热与供冷系统为2个采暖期、供冷期;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(6)其他项目保修期限约定如下:【根据项目具体情况填写，如:其他工程为1年】。</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19.8.2质量保修期自工程竣工验收合格之日起计算。</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  保险</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20.1 工程保险</w:t>
      </w:r>
      <w:r/>
    </w:p>
    <w:p>
      <w:pPr>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bCs/>
          <w:color w:val="auto"/>
          <w:sz w:val="24"/>
          <w:highlight w:val="none"/>
        </w:rPr>
        <w:t xml:space="preserve">本项目的工程一切险与第三方责任险以及承包人装备财产险与承包人雇员人身事故险等由投标人投保，上述保险的一切费用包含在所报的投标总价中，不单独计量与支付。</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不可抗力</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21.1 不可抗力的确认</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 项细化为：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 不可抗力是指承包人和发包人在订立合同时不可预见，在工程施工过程中不可避免发生并不能克服的自然灾害和社会性突发事件。包括但不限于：</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⑴地震、海啸、火山爆发、泥石流、暴雨(雪)、台风、龙卷风、水灾等自然灾害；</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⑵)战争、骚乱、暴动，但纯属承包人或其分包人派遣与雇用的人员由于本标段施工原因引起者除外；</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⑶核反应、辐射或放射性污染；</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⑷空中飞行物体坠落或非发包人或承包人责任造成的爆炸、火灾；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⑸)瘟疫。</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21.3  不可抗力后果及其处理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21.3.1  不可抗力造成损害的责任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本项第一句细化为：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由于任何一种已投保的风险造成的损失或损害，承包人应在事故发生后根据保险方案的时限报告监理人和保险公司并向保险公司提出索赔。</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21.3.4  因不可抗力解除合同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  违约</w:t>
      </w:r>
      <w:r/>
    </w:p>
    <w:p>
      <w:pPr>
        <w:keepLines w:val="0"/>
        <w:keepNext w:val="0"/>
        <w:pageBreakBefore w:val="0"/>
        <w:spacing w:line="288" w:lineRule="auto"/>
        <w:shd w:val="clear" w:color="auto" w:fill="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22.1  承包人违约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补充如下内容：</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当承包人发生了下述违约现象之后，发包人可依据下列具体情况扣除承包人的违约金：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⑴由于承包人原因造成工期延误，承包人应支付逾期竣工违约金。发包人可以从应付或到期应付给承包人的任何款项中或采用其他方法扣除此违约金。</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⑵承包人支付逾期竣工违约金，不免除承包人完成工程的义务。</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⑷承包人未能在开工期限内提交开工报告或按期开工，发包人将处以1000元/天罚款，并在当期工程价款支付中扣除。</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⑸经监理人和发包人检查，发现承包人有安全问题或有违反安全管理规章制度的情况，发包人将按照施工安全管理规定进行考核，在安全生产费中扣除。</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⑹弃土乱抛乱弃或者违反环境保护的规定，随意排放废油或其他生产生活废弃物，发包人将处3000元/次违约金，并工程价款支付中扣除。</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⑺承包人不按合同约定履行义务的其他情况：</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②发包人可视承包人违约的严重程度采取下列措施之一：</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a.即使交纳了违约金，承包人仍应按合同规定继续实施和完成本标段及其缺陷修复；或</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⑻承包人无正当理由停工超过3日，或未经发包人书面同意擅自撤离施工人员、设备的，每停工或撤离一日，应按合同总价的千分之一向发包人支付违约金。停工或撤离超过10日的，发包人有权单方解除合同，没收全部履约保证金，并要求承包人按合同总价款的</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%支付违约金。前述违约金不足以弥补发包人全部损失的（包括但不限于工期延误损失、重新招标费用及其他直接、间接损失），承包人还应赔偿超出部分。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  争议的解决</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24.1  争议的解决方式</w:t>
      </w:r>
      <w:r/>
    </w:p>
    <w:p>
      <w:pPr>
        <w:ind w:firstLine="435"/>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发包人和承包人在履行合同中发生争议的，可以友好协商解决或者提请争议评审组评审。合同当事人友好协商解决不成、不愿提请争议评审或者不接受争议评审组意见的，可向发包人所在地有管辖权的人民法院起诉。</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25  其他约定</w:t>
      </w:r>
      <w:r/>
    </w:p>
    <w:p>
      <w:pPr>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  项目监理人和现场派出机构：发包人另行确定。</w:t>
      </w:r>
      <w:r/>
    </w:p>
    <w:p>
      <w:pPr>
        <w:ind w:firstLine="480"/>
        <w:keepLines w:val="0"/>
        <w:keepNext w:val="0"/>
        <w:pageBreakBefore w:val="0"/>
        <w:spacing w:line="288" w:lineRule="auto"/>
        <w:shd w:val="clear" w:color="auto" w:fill="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总监理工程师：发包人另行确定。</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25.4  施工工艺要求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⑵承包人工程施工标准化、班组管理规范化，积极推广应用性能可靠、先进适用的新技术、新材料、新设备、新工艺等“四新技术”，淘汰影响工程质量安全的落后工艺。</w:t>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bookmarkStart w:id="161" w:name="_Toc211090863"/>
      <w:r/>
      <w:bookmarkStart w:id="162" w:name="_Toc406752721"/>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jc w:val="center"/>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第三节  合同附件格式</w:t>
      </w:r>
      <w:bookmarkEnd w:id="161"/>
      <w:r/>
      <w:bookmarkEnd w:id="162"/>
      <w:r/>
      <w:r/>
    </w:p>
    <w:p>
      <w:pPr>
        <w:pStyle w:val="1060"/>
        <w:jc w:val="left"/>
        <w:keepLines w:val="0"/>
        <w:keepNext w:val="0"/>
        <w:pageBreakBefore w:val="0"/>
        <w:spacing w:before="0" w:after="0" w:line="288" w:lineRule="auto"/>
        <w:shd w:val="clear" w:color="auto" w:fill="auto"/>
        <w:widowControl w:val="off"/>
        <w:rPr>
          <w:rFonts w:hint="eastAsia" w:ascii="宋体" w:hAnsi="宋体" w:eastAsia="宋体" w:cs="宋体"/>
          <w:color w:val="auto"/>
          <w:highlight w:val="none"/>
        </w:rPr>
      </w:pPr>
      <w:r/>
      <w:bookmarkStart w:id="163" w:name="_Toc211090864"/>
      <w:r>
        <w:rPr>
          <w:rFonts w:hint="eastAsia" w:ascii="宋体" w:hAnsi="宋体" w:eastAsia="宋体" w:cs="宋体"/>
          <w:color w:val="auto"/>
          <w:sz w:val="24"/>
          <w:szCs w:val="24"/>
          <w:highlight w:val="none"/>
        </w:rPr>
        <w:t xml:space="preserve">附件一：</w:t>
      </w:r>
      <w:bookmarkEnd w:id="163"/>
      <w:r/>
      <w:r/>
    </w:p>
    <w:p>
      <w:pPr>
        <w:jc w:val="center"/>
        <w:keepLines w:val="0"/>
        <w:keepNext w:val="0"/>
        <w:pageBreakBefore w:val="0"/>
        <w:spacing w:line="288" w:lineRule="auto"/>
        <w:shd w:val="clear" w:color="auto" w:fill="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合同协议书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京杭运河江苏省船闸应急保障中心 </w:t>
      </w:r>
      <w:r>
        <w:rPr>
          <w:rFonts w:hint="eastAsia" w:ascii="宋体" w:hAnsi="宋体" w:eastAsia="宋体" w:cs="宋体"/>
          <w:color w:val="auto"/>
          <w:sz w:val="24"/>
          <w:highlight w:val="none"/>
        </w:rPr>
        <w:t xml:space="preserve">（发包人名称，以下简称“发包人”）为实施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（承包人名称，以下简称“承包人”）对该项目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标段的投标。发包人和承包人共同达成如下协议。</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1．本协议书与下列文件一起构成合同文件：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(l）中标通知书；</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(3）专用合同条款；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(4）通用合同条款；</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(5）技术标准和要求；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(6）图纸；</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(7）已标价工程量清单；</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(8）其他合同文件。</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2．上述文件互相补充和解释，如有不明确或不一致之处，以合同约定次序在先者为准。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3．签约合同价：人民币（大写）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工期：本项目施工工期80日历天</w:t>
      </w:r>
      <w:r>
        <w:rPr>
          <w:rFonts w:hint="eastAsia" w:ascii="宋体" w:hAnsi="宋体" w:eastAsia="宋体" w:cs="宋体"/>
          <w:bCs/>
          <w:color w:val="auto"/>
          <w:sz w:val="24"/>
          <w:highlight w:val="none"/>
        </w:rPr>
        <w:t xml:space="preserve">（具体以监理签发的开工令为准）</w:t>
      </w:r>
      <w:r>
        <w:rPr>
          <w:rFonts w:hint="eastAsia" w:ascii="宋体" w:hAnsi="宋体" w:cs="宋体"/>
          <w:bCs/>
          <w:color w:val="auto"/>
          <w:sz w:val="24"/>
          <w:highlight w:val="none"/>
          <w:lang w:eastAsia="zh-CN"/>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承包人承诺按合同约定承担工程的实施、完成及缺陷修复。</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．发包人承诺按合同约定的条件、时间和方式向承包人支付合同价款。</w:t>
      </w:r>
      <w:r/>
    </w:p>
    <w:p>
      <w:pPr>
        <w:pStyle w:val="848"/>
        <w:ind w:firstLine="480"/>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．承包人应按照监理人指示开工，工期为     日历天。工期总日历天数与根据前述计划开竣工日期计算的工期天数不一致的，以工期总日历天数为准。如遇政策导致需要协调、延期事宜，工期顺延，不增加费用。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．本协议书一式</w:t>
      </w:r>
      <w:r>
        <w:rPr>
          <w:rFonts w:hint="eastAsia" w:ascii="宋体" w:hAnsi="宋体" w:eastAsia="宋体" w:cs="宋体"/>
          <w:color w:val="auto"/>
          <w:sz w:val="24"/>
          <w:highlight w:val="none"/>
          <w:u w:val="single"/>
        </w:rPr>
        <w:t xml:space="preserve"> 陆 </w:t>
      </w:r>
      <w:r>
        <w:rPr>
          <w:rFonts w:hint="eastAsia" w:ascii="宋体" w:hAnsi="宋体" w:eastAsia="宋体" w:cs="宋体"/>
          <w:color w:val="auto"/>
          <w:sz w:val="24"/>
          <w:highlight w:val="none"/>
        </w:rPr>
        <w:t xml:space="preserve">份，合同双方各执</w:t>
      </w:r>
      <w:r>
        <w:rPr>
          <w:rFonts w:hint="eastAsia" w:ascii="宋体" w:hAnsi="宋体" w:eastAsia="宋体" w:cs="宋体"/>
          <w:color w:val="auto"/>
          <w:sz w:val="24"/>
          <w:highlight w:val="none"/>
          <w:u w:val="single"/>
        </w:rPr>
        <w:t xml:space="preserve"> 叁 </w:t>
      </w:r>
      <w:r>
        <w:rPr>
          <w:rFonts w:hint="eastAsia" w:ascii="宋体" w:hAnsi="宋体" w:eastAsia="宋体" w:cs="宋体"/>
          <w:color w:val="auto"/>
          <w:sz w:val="24"/>
          <w:highlight w:val="none"/>
        </w:rPr>
        <w:t xml:space="preserve">份。</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．合同未尽事宜，双方另行签订补充协议。补充协议是合同的组成部分。</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w:t>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附件二：</w:t>
      </w:r>
      <w:r/>
    </w:p>
    <w:p>
      <w:pPr>
        <w:jc w:val="center"/>
        <w:keepLines w:val="0"/>
        <w:keepNext w:val="0"/>
        <w:pageBreakBefore w:val="0"/>
        <w:spacing w:line="288" w:lineRule="auto"/>
        <w:shd w:val="clear" w:color="auto" w:fill="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廉政合同</w:t>
      </w:r>
      <w:r/>
    </w:p>
    <w:p>
      <w:pPr>
        <w:ind w:firstLine="480"/>
        <w:jc w:val="left"/>
        <w:keepLines w:val="0"/>
        <w:keepNext w:val="0"/>
        <w:pageBreakBefore w:val="0"/>
        <w:spacing w:line="288" w:lineRule="auto"/>
        <w:shd w:val="clear" w:color="auto" w:fill="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宋体" w:hAnsi="宋体" w:eastAsia="宋体" w:cs="宋体"/>
          <w:color w:val="auto"/>
          <w:sz w:val="24"/>
          <w:highlight w:val="none"/>
          <w:u w:val="single"/>
        </w:rPr>
        <w:t xml:space="preserve">苏北运河船闸检修门存放基地扩容及功能完善项目</w:t>
      </w:r>
      <w:r>
        <w:rPr>
          <w:rFonts w:hint="eastAsia" w:ascii="宋体" w:hAnsi="宋体" w:eastAsia="宋体" w:cs="宋体"/>
          <w:color w:val="auto"/>
          <w:sz w:val="24"/>
          <w:highlight w:val="none"/>
        </w:rPr>
        <w:t xml:space="preserve">优质、高效、健康、有序地进行，</w:t>
      </w:r>
      <w:r>
        <w:rPr>
          <w:rFonts w:hint="eastAsia" w:ascii="宋体" w:hAnsi="宋体" w:eastAsia="宋体" w:cs="宋体"/>
          <w:color w:val="auto"/>
          <w:sz w:val="24"/>
          <w:highlight w:val="none"/>
          <w:u w:val="single"/>
        </w:rPr>
        <w:t xml:space="preserve">京杭运河江苏省船闸应急保障中心</w:t>
      </w:r>
      <w:r>
        <w:rPr>
          <w:rFonts w:hint="eastAsia" w:ascii="宋体" w:hAnsi="宋体" w:eastAsia="宋体" w:cs="宋体"/>
          <w:color w:val="auto"/>
          <w:sz w:val="24"/>
          <w:highlight w:val="none"/>
        </w:rPr>
        <w:t xml:space="preserve">（以下统称“甲方”），与承担的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（以下称“乙方”）特订立如下合同。</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一、甲乙双方约定</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1、甲乙双方应共同遵守国家和省、市以及行业主管部门关于党风廉政建设的各项规定。</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2、甲乙双方应认真执行本项目的合同文件，自觉按合同办事。</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3、除非法律认定的商业秘密和合同文件另有规定之外，甲乙双方的业务活动应坚持公开、公正、透明的原则，严禁搞损害国家和集体利益、违反工程建设管理规章制度的不正当交易。</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4、甲乙双方应加强对本方人员的廉政监督，建立和健全廉政制度，认真查处本方的违法违纪行为。</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5、甲乙双方有对本方人员开展廉政告知、廉政教育和职业道德教育的义务。</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6、甲乙双方如发现对方在业务活动中有不廉洁行为，有及时提醒对方并督促其纠正的权利和义务。</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二、甲方在廉政建设方面的责任</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1、甲方及其工作人员不得以任何形式向乙方索要和收受回扣。</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2、甲方及其工作人员不得接受乙方的礼金、有价证券和贵重物品，不得在乙方报销任何应由个人支付的费用。</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3、甲方工作人员不得参加可能对公正执行公务有影响的宴请和娱乐、旅游活动。</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4、甲方及其工作人员不得要求或者接受乙方为其住房装修、婚丧嫁娶、家属子女的工作安排以及出国等提供方便。</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5、甲方及其工作人员不得向乙方介绍家属、亲友从事与甲方工程有关的材料设备供应、工程分包、劳务等经济活动。</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6、甲方及其工作人员不得以任何理由向乙方强行推荐分包单位，不得强行要求乙方购买合同规定外的材料和设备。</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7、甲方工作人员不得在家里接待乙方有关工程事项的询访。</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三、乙方在廉政建设方面的责任</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1、乙方不得以任何理由向甲方及其工作人员行贿或馈赠礼品。</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2、乙方不得以任何名义为甲方及其工作人员报支需由其个人支付的任何费用。</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3、乙方不得以任何理由邀请甲方工作人员参加用公款支付的娱乐性等活动。</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4、乙方不得为甲方单位和个人购置或提供通讯工具、交通工具、家电和高档办公用品。</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5、乙方人员不得到甲方人员家里询访有关本项目的事项。</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四、违约责任</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1、甲方有违反本“合同”第一条第1至6款和第二条的，除按甲方单位的廉政建设规定处罚外，另外罚款2000元至4000元；给乙方单位造成损失的，应予以赔偿。</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2、乙方有违反本“合同”第一条第1至第6款和第三条的，除乙方单位的廉政建设规定处罚外，视情节轻重和造成损失大小分别给予1万元至5万元的违约罚款的处罚。</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五、对见证单位的约定和授权</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双方约定：本“合同”的监督部门为</w:t>
      </w:r>
      <w:r>
        <w:rPr>
          <w:rFonts w:hint="eastAsia" w:ascii="宋体" w:hAnsi="宋体" w:eastAsia="宋体" w:cs="宋体"/>
          <w:b/>
          <w:bCs/>
          <w:color w:val="auto"/>
          <w:sz w:val="24"/>
          <w:highlight w:val="none"/>
          <w:u w:val="single"/>
        </w:rPr>
        <w:t xml:space="preserve">京杭运河江苏省船闸应急保障中心纪委办公室</w:t>
      </w:r>
      <w:r>
        <w:rPr>
          <w:rFonts w:hint="eastAsia" w:ascii="宋体" w:hAnsi="宋体" w:eastAsia="宋体" w:cs="宋体"/>
          <w:color w:val="auto"/>
          <w:sz w:val="24"/>
          <w:highlight w:val="none"/>
        </w:rPr>
        <w:t xml:space="preserve">，双方授权监督部门主持本“合同”执行情况的检查，提出在本合同规定范围内的裁定意见，执行本“合同”第四条所规定的处罚。</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六、检查方式</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的履约情况检查由监督部门主持，甲乙双方共同派人参加，检查方式为座谈、问卷调查、查看资料或由各方约定的其他方式等。检查时间、次数、检查方式、检查结论和处罚意见等由各方协商确定，如无法达成一致的，由见证单位依据事实裁定。</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七、本“合同”有效期为甲乙双方签署之日起至该工程项目验收后止。</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八、本“合同”作为施工合同的附件，与主合同具有同等的法律效力，经协议双方签署后立即生效。</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九、本“合同”一式三份，甲、乙双方各执一份，送交监督部门一份。</w:t>
      </w:r>
      <w:r/>
    </w:p>
    <w:p>
      <w:pPr>
        <w:jc w:val="left"/>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bookmarkStart w:id="164" w:name="_Toc406752723"/>
      <w:r/>
      <w:bookmarkStart w:id="165" w:name="_Toc234382946"/>
      <w:r/>
      <w:bookmarkStart w:id="166" w:name="_Toc211090865"/>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w:t>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附件三：</w:t>
      </w:r>
      <w:bookmarkEnd w:id="164"/>
      <w:r/>
      <w:bookmarkEnd w:id="165"/>
      <w:r/>
      <w:bookmarkEnd w:id="166"/>
      <w:r/>
      <w:r/>
    </w:p>
    <w:p>
      <w:pPr>
        <w:jc w:val="center"/>
        <w:keepLines w:val="0"/>
        <w:keepNext w:val="0"/>
        <w:pageBreakBefore w:val="0"/>
        <w:spacing w:line="288" w:lineRule="auto"/>
        <w:shd w:val="clear" w:color="auto" w:fill="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安全生产合同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标段施工合同的实施过程中创造安全、高效的施工环境，切实搞好本项目的安全管理工作，本项目发包人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（发包人名称，以下简称“发包人”）与承包人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（承包人名称，以下简称“承包人”）特此签订安全生产合同：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1、发包人职责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（1）严格遵守国家有关安全生产的法律法规，认真执行工程承包合同中的有关安全要求。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（2）按照“安全第一、预防为主、综合治理”和坚持“管生产必须管安全”的原则进行安全生产管理，做到生产与安全工作同时计划、布置、检查、总结和评比。</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（4）定期召开安全生产调度会，及时传达中央及地方有关安全生产的精神。</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（5）组织对承包人施工现场进行安全生产检查，监督承包人及时处理发现的各种安全隐患。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2、承包人职责</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（1）严格遵守《中华人民共和国安全生产法》、《建设工程安全生产管理条例》等国家有关安全生产的法律法规等有关安全生产的规定。认真执行工程承包合同中的有关安全要求。</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（4）承包人在任何时候都应采取各种合理的预防措施，防止其员工发生任何违法、违禁、暴力或妨碍治安的行为。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（11）安全生产费用按照《公路水运工程安全生产监督管理办法》的相关规定使用和管理。</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3、违约责任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如因发包人或承包人违约造成安全事故，将依法追究责任。</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4、本合同由双方法定代表人或其授权的代理人签署并加盖单位章后生效，全部工程竣工验收后失效。</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5、本合同正本叁份、副本</w:t>
      </w:r>
      <w:r>
        <w:rPr>
          <w:rFonts w:hint="eastAsia" w:ascii="宋体" w:hAnsi="宋体" w:eastAsia="宋体" w:cs="宋体"/>
          <w:color w:val="auto"/>
          <w:sz w:val="24"/>
          <w:highlight w:val="none"/>
          <w:u w:val="single"/>
        </w:rPr>
        <w:t xml:space="preserve">叁</w:t>
      </w:r>
      <w:r>
        <w:rPr>
          <w:rFonts w:hint="eastAsia" w:ascii="宋体" w:hAnsi="宋体" w:eastAsia="宋体" w:cs="宋体"/>
          <w:color w:val="auto"/>
          <w:sz w:val="24"/>
          <w:highlight w:val="none"/>
        </w:rPr>
        <w:t xml:space="preserve">份，合同双方各执正本一份，副本</w:t>
      </w:r>
      <w:r>
        <w:rPr>
          <w:rFonts w:hint="eastAsia" w:ascii="宋体" w:hAnsi="宋体" w:eastAsia="宋体" w:cs="宋体"/>
          <w:color w:val="auto"/>
          <w:sz w:val="24"/>
          <w:highlight w:val="none"/>
          <w:u w:val="single"/>
        </w:rPr>
        <w:t xml:space="preserve">一 </w:t>
      </w:r>
      <w:r>
        <w:rPr>
          <w:rFonts w:hint="eastAsia" w:ascii="宋体" w:hAnsi="宋体" w:eastAsia="宋体" w:cs="宋体"/>
          <w:color w:val="auto"/>
          <w:sz w:val="24"/>
          <w:highlight w:val="none"/>
        </w:rPr>
        <w:t xml:space="preserve">份，当正本与副本的内容不一致时，以正本为准。</w:t>
      </w:r>
      <w:r/>
    </w:p>
    <w:p>
      <w:pPr>
        <w:ind w:firstLine="72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bookmarkStart w:id="167" w:name="_Toc211090866"/>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w:t>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36"/>
        <w:keepLines w:val="0"/>
        <w:keepNext w:val="0"/>
        <w:pageBreakBefore w:val="0"/>
        <w:spacing w:line="288" w:lineRule="auto"/>
        <w:shd w:val="clear" w:color="auto" w:fill="auto"/>
        <w:widowControl w:val="off"/>
        <w:tabs>
          <w:tab w:val="left" w:pos="1425" w:leader="none"/>
          <w:tab w:val="left" w:pos="6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58"/>
        <w:numPr>
          <w:ilvl w:val="0"/>
          <w:numId w:val="0"/>
        </w:numPr>
        <w:jc w:val="center"/>
        <w:keepLines w:val="0"/>
        <w:keepNext w:val="0"/>
        <w:pageBreakBefore w:val="0"/>
        <w:spacing w:before="0" w:after="0" w:line="360" w:lineRule="auto"/>
        <w:shd w:val="clear" w:color="auto" w:fill="auto"/>
        <w:widowControl w:val="off"/>
        <w:tabs>
          <w:tab w:val="left" w:pos="0" w:leader="none"/>
          <w:tab w:val="left" w:pos="3165" w:leader="none"/>
          <w:tab w:val="center" w:pos="4153"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第五章  </w:t>
      </w:r>
      <w:r>
        <w:rPr>
          <w:rFonts w:hint="eastAsia" w:ascii="宋体" w:hAnsi="宋体" w:eastAsia="宋体" w:cs="宋体"/>
          <w:color w:val="auto"/>
          <w:sz w:val="32"/>
          <w:szCs w:val="32"/>
          <w:highlight w:val="none"/>
        </w:rPr>
        <w:t xml:space="preserve"> 工程量清单</w:t>
      </w:r>
      <w:bookmarkEnd w:id="167"/>
      <w:r/>
      <w:r/>
    </w:p>
    <w:tbl>
      <w:tblPr>
        <w:tblStyle w:val="847"/>
        <w:tblW w:w="915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1678"/>
        <w:gridCol w:w="5217"/>
        <w:gridCol w:w="623"/>
        <w:gridCol w:w="1176"/>
      </w:tblGrid>
      <w:tr>
        <w:trPr>
          <w:trHeight w:val="300"/>
        </w:trPr>
        <w:tc>
          <w:tcPr>
            <w:gridSpan w:val="5"/>
            <w:shd w:val="clear" w:color="auto" w:fill="auto"/>
            <w:tcBorders>
              <w:top w:val="none" w:color="000000" w:sz="4" w:space="0"/>
              <w:left w:val="none" w:color="000000" w:sz="4" w:space="0"/>
              <w:bottom w:val="none" w:color="000000" w:sz="4" w:space="0"/>
              <w:right w:val="none" w:color="000000" w:sz="4" w:space="0"/>
            </w:tcBorders>
            <w:tcW w:w="915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苏北运河检修门存放基地扩容及功能完善项目工程量清单</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工程数量</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泗阳基地扩容</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cantSplit/>
          <w:trHeight w:val="104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1.土壤类别:详见地质勘探报告。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2.挖土深度:≤1.5m。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3.其他要求及说明:详见设计图纸。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2045.300 </w:t>
            </w:r>
            <w:r/>
          </w:p>
        </w:tc>
      </w:tr>
      <w:tr>
        <w:trPr>
          <w:cantSplit/>
          <w:trHeight w:val="109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1.土壤类别:详见地质勘探报告。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2.挖土深度:≤4m。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3.其他要求及说明:详见设计图纸。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557.890 </w:t>
            </w:r>
            <w:r/>
          </w:p>
        </w:tc>
      </w:tr>
      <w:tr>
        <w:trPr>
          <w:cantSplit/>
          <w:trHeight w:val="104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1.废弃料品种:余土。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2.弃土运距:投标人根据施工现场实际情况自行考虑外运方式、装卸、运距及处置费用等。</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996.795</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土方回填</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1.密实度要求:满足设计和规范要求。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2.填方材料品种:素土分层回填压实。</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1606.395</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填(铺)筑垫层（500mm厚）</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1.石料规格:级配碎石。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2.厚度:500mm。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369.600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填(铺)筑垫层（100mm厚）</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1.石料规格:级配碎石。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2.厚度:100mm。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178.660 </w:t>
            </w:r>
            <w:r/>
          </w:p>
        </w:tc>
      </w:tr>
      <w:tr>
        <w:trPr>
          <w:cantSplit/>
          <w:trHeight w:val="114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lef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灯杆基础垫层（200mm厚）级配碎石</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1.石料规格:灯杆基础级配碎石。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2.厚度:200mm。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19.360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C30枕木砼基础</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1.混凝土种类及强度:C30商品砼。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2.施工部位:枕木基础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151.200 </w:t>
            </w:r>
            <w:r/>
          </w:p>
        </w:tc>
      </w:tr>
      <w:tr>
        <w:trPr>
          <w:cantSplit/>
          <w:trHeight w:val="205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C30砼面层（150mm厚）</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1.面层:150mm厚C30商品砼混凝土压模面层。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2.切缝:道路纵缝间距3m，横缝5m，堆场（除摆放区域外）纵缝间距4m，横缝5m，可根据现场实际情况确定。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239.000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新建高杆灯基础C30商品砼）</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1.混凝土种类及强度:C30商品砼。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2.施工部位:枕木基础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72.280 </w:t>
            </w:r>
            <w:r/>
          </w:p>
        </w:tc>
      </w:tr>
      <w:tr>
        <w:trPr>
          <w:cantSplit/>
          <w:trHeight w:val="171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C20砼垫层</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1.混凝土种类强度等级:C20商品砼（包含灯杆垫层）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2.厚度：100mm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3.其他说明:本项目报价包括模板支护拆除等措施项目费用报价。</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43.240 </w:t>
            </w:r>
            <w:r/>
          </w:p>
        </w:tc>
      </w:tr>
      <w:tr>
        <w:trPr>
          <w:cantSplit/>
          <w:trHeight w:val="108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现浇混凝土钢筋</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1.钢筋种类:HRB400。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2.钢筋规格:Φ16。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3.施工部位:枕木基础钢筋。</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28.805 </w:t>
            </w:r>
            <w:r/>
          </w:p>
        </w:tc>
      </w:tr>
      <w:tr>
        <w:trPr>
          <w:cantSplit/>
          <w:trHeight w:val="7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灯杆基础钢筋制作安装1</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1.钢筋种类:20HRB400。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2.施工部位：灯杆基础钢筋。</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3.900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灯杆基础钢筋制作安装2</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1.钢筋种类：Φ10HPB300。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2.施工部位：灯杆基础钢筋。</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0.540 </w:t>
            </w:r>
            <w:r/>
          </w:p>
        </w:tc>
      </w:tr>
      <w:tr>
        <w:trPr>
          <w:cantSplit/>
          <w:trHeight w:val="21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基地扩容防腐枕木</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1.防腐木规格：泗阳基地扩容防腐枕木(3500*240*160mm）42根。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2.预埋螺栓螺帽及材质：Q235B钢材，M24螺栓（L350mm）及配套垫片、螺帽252套。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3.压条材质规格：304不锈钢压条，规格760×50×10mm，126根。</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lef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42.000 </w:t>
            </w:r>
            <w:r/>
          </w:p>
        </w:tc>
      </w:tr>
      <w:tr>
        <w:trPr>
          <w:cantSplit/>
          <w:trHeight w:val="216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现状绿化、灯具、监控等设施设备移除及部分恢复</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1.项目内容:现状移除绿化2135.9㎡、灯具8套、线杆3根、监控5套、标牌2块等设施设备及部分恢复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2.其他说明:投标人应自行勘察现场，充分考虑现场不利状况，清单报价应包括拆除、装卸、外运、处置及拆除清理等所有费用。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cantSplit/>
          <w:trHeight w:val="174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更换不锈钢推拉门</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项目内容</w:t>
            </w:r>
            <w:r>
              <w:rPr>
                <w:rFonts w:hint="eastAsia" w:ascii="宋体" w:hAnsi="宋体" w:eastAsia="宋体" w:cs="宋体"/>
                <w:i w:val="0"/>
                <w:iCs w:val="0"/>
                <w:color w:val="auto"/>
                <w:sz w:val="24"/>
                <w:szCs w:val="24"/>
                <w:highlight w:val="none"/>
                <w:u w:val="none"/>
                <w:lang w:val="en-US" w:eastAsia="zh-CN" w:bidi="ar"/>
              </w:rPr>
              <w:t xml:space="preserve">:更换不锈钢推拉门（门宽不小于6米）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2.其他说明:成套外购订制成品推拉门，质量符合现行国家相关质量验收标准，颜色、式样等定制前报样品及资料经招标人审核确认后采购。</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cantSplit/>
          <w:trHeight w:val="31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可升降中杆灯</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1.名称:可升降中杆灯12x400W LED灯15米高</w:t>
            </w:r>
            <w:r/>
          </w:p>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其他说明:可升降中杆灯具体要求详见设计图纸，外购订制成套成品中杆灯，包含且不限于可升降灯杆、预埋铁件及螺栓螺帽制作安装（具体要求详见设计图纸或满足定制中杆灯厂家预埋及安全要求）、预埋管、灯具、接入电缆、控制装置、防雷接地（接地极及接地母线）及安装、调试等全部费用；定制前提交资料经发包人、设计人审核确认后采购。</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r>
      <w:tr>
        <w:trPr>
          <w:cantSplit/>
          <w:trHeight w:val="5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泗阳基地功能完善</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cantSplit/>
          <w:trHeight w:val="239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泗阳基地功能完善更换防腐枕木</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1.防腐木规格：拆除更换3000×240×160mm，20根。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2.植筋螺栓螺帽及材质：Q235B钢材，M24螺栓（L400mm）及配套垫片、螺帽120套。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3.压条材质规格：316不锈钢压条，规格720×50×10mm，60根。</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 </w:t>
            </w:r>
            <w:r/>
          </w:p>
        </w:tc>
      </w:tr>
      <w:tr>
        <w:trPr>
          <w:cantSplit/>
          <w:trHeight w:val="398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泗阳基地功能完善室外红外高清网络球型摄像机400万像素</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r>
      <w:tr>
        <w:trPr>
          <w:cantSplit/>
          <w:trHeight w:val="432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泗阳基地功能完善网络视频存储设备</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cantSplit/>
          <w:trHeight w:val="224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泗阳基地功能完善硬盘</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64"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r>
      <w:tr>
        <w:trPr>
          <w:cantSplit/>
          <w:trHeight w:val="201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刘老涧基地功能完善更换防腐枕木</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1.防腐木规格：拆除更换3200×240×160mm，36根。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2.植筋螺栓螺帽及材质：Q235B钢材，M24螺栓（L400mm）及配套垫片、螺帽216套。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3.压条材质规格：316不锈钢压条，规格720×50×10mm，108根。</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 </w:t>
            </w:r>
            <w:r/>
          </w:p>
        </w:tc>
      </w:tr>
      <w:tr>
        <w:trPr>
          <w:cantSplit/>
          <w:trHeight w:val="36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刘老涧基地功能完善室外红外高清网络球型摄像机400万像素</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r>
      <w:tr>
        <w:trPr>
          <w:cantSplit/>
          <w:trHeight w:val="384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刘老涧基地功能完善网络视频存储设备</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cantSplit/>
          <w:trHeight w:val="204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刘老涧基地功能完善硬盘</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r>
      <w:tr>
        <w:trPr>
          <w:cantSplit/>
          <w:trHeight w:val="220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刘山基地功能完善更换防腐枕木</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1.防腐木规格：拆除更换(3000*240*160mm40根，3200*240*160mm8根。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2.植筋螺栓螺帽及材质：Q235B钢材，M24螺栓（L400mm）及配套垫片、螺帽288套。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3.压条材质规格：316不锈钢压条，规格720×50×10mm，144根。</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 </w:t>
            </w:r>
            <w:r/>
          </w:p>
        </w:tc>
      </w:tr>
      <w:tr>
        <w:trPr>
          <w:cantSplit/>
          <w:trHeight w:val="362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刘山基地功能完善室外红外高清网络球型摄像机400万像素</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1.项目内容:：传感器：≥1/1 .8"宽动态低照度CMOS，分辨率：1920×1080@30fps，宽动态范围：≥120dB，红外距离不小于150米；广角镜头，自动聚焦，自动ICR 彩转黑，强光抑制，支持onvif 等协议，支持360°水平旋转，工作温度：-20℃~+50℃（室内）-40℃~+60℃（室外），室外型达IP66 防护等级。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r>
      <w:tr>
        <w:trPr>
          <w:cantSplit/>
          <w:trHeight w:val="38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刘山基地功能完善网络视频存储设备</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1.项目内容:可接驳符合ONVIF、PSIA、RTSP 等标准及众多主流厂商的网络摄像机；支持视频分辨率为1920*1080 等；支持不少于16 个SATA 接口；录像存储，所有视频图像尺寸应符合以上标准；支持一键开启录像功能；支持冗余录像、假日录像和抓图计划配置；支持不小于16 路同步回放及多路同步倒放；平均无故障时间不少于60000 小时等。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cantSplit/>
          <w:trHeight w:val="206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刘山基地功能完善硬盘</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1.项目内容:4T/块，与网络视频存储设备配套使用。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r>
      <w:tr>
        <w:trPr>
          <w:cantSplit/>
          <w:trHeight w:val="175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施工临时措施及临时场地、水电、支护、排水等</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1.施工内容：施工临时措施及临时场地、水电、支护、排水等.       2.其他说明:投标人应查勘现场，并根据设计图纸要求和自身施工组织设计方案报价。实施前需经招标人审核确认。</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cantSplit/>
          <w:trHeight w:val="259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lef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1.报价规定:</w:t>
            </w:r>
            <w:r>
              <w:rPr>
                <w:rFonts w:hint="eastAsia" w:ascii="宋体" w:hAnsi="宋体" w:eastAsia="宋体" w:cs="宋体"/>
                <w:b/>
                <w:bCs/>
                <w:i w:val="0"/>
                <w:iCs w:val="0"/>
                <w:color w:val="auto"/>
                <w:sz w:val="24"/>
                <w:szCs w:val="24"/>
                <w:highlight w:val="none"/>
                <w:u w:val="none"/>
                <w:lang w:val="en-US" w:eastAsia="zh-CN" w:bidi="ar"/>
              </w:rPr>
              <w:t xml:space="preserve">本暂列金30000元为本项为不可竞争</w:t>
            </w:r>
            <w:r>
              <w:rPr>
                <w:rFonts w:hint="eastAsia" w:ascii="宋体" w:hAnsi="宋体" w:cs="宋体"/>
                <w:b/>
                <w:bCs/>
                <w:i w:val="0"/>
                <w:iCs w:val="0"/>
                <w:color w:val="auto"/>
                <w:sz w:val="24"/>
                <w:szCs w:val="24"/>
                <w:highlight w:val="none"/>
                <w:u w:val="none"/>
                <w:lang w:val="en-US" w:eastAsia="zh-CN" w:bidi="ar"/>
              </w:rPr>
              <w:t xml:space="preserve">费用</w:t>
            </w: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cs="宋体"/>
                <w:b/>
                <w:bCs/>
                <w:i w:val="0"/>
                <w:iCs w:val="0"/>
                <w:color w:val="auto"/>
                <w:sz w:val="24"/>
                <w:szCs w:val="24"/>
                <w:highlight w:val="none"/>
                <w:u w:val="none"/>
                <w:lang w:val="en-US" w:eastAsia="zh-CN" w:bidi="ar"/>
              </w:rPr>
              <w:t xml:space="preserve">属于不可竞争项，</w:t>
            </w:r>
            <w:r>
              <w:rPr>
                <w:rFonts w:hint="eastAsia" w:ascii="宋体" w:hAnsi="宋体" w:eastAsia="宋体" w:cs="宋体"/>
                <w:b/>
                <w:bCs/>
                <w:i w:val="0"/>
                <w:iCs w:val="0"/>
                <w:color w:val="auto"/>
                <w:sz w:val="24"/>
                <w:szCs w:val="24"/>
                <w:highlight w:val="none"/>
                <w:u w:val="none"/>
                <w:lang w:val="en-US" w:eastAsia="zh-CN" w:bidi="ar"/>
              </w:rPr>
              <w:t xml:space="preserve">投标人投标报价中变动本暂列金的投标评审中视为无效标。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r>
        <w:trPr>
          <w:cantSplit/>
          <w:trHeight w:val="134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安全生产费用</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numPr>
                <w:ilvl w:val="0"/>
                <w:numId w:val="4"/>
              </w:numPr>
              <w:jc w:val="lef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报价金额：安全生产费用为24000元。</w:t>
            </w:r>
            <w:r/>
          </w:p>
          <w:p>
            <w:pPr>
              <w:numPr>
                <w:ilvl w:val="0"/>
                <w:numId w:val="0"/>
              </w:numPr>
              <w:jc w:val="lef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2.报价规定：</w:t>
            </w:r>
            <w:r>
              <w:rPr>
                <w:rFonts w:hint="eastAsia" w:ascii="宋体" w:hAnsi="宋体" w:eastAsia="宋体" w:cs="宋体"/>
                <w:b/>
                <w:bCs/>
                <w:i w:val="0"/>
                <w:iCs w:val="0"/>
                <w:color w:val="auto"/>
                <w:sz w:val="24"/>
                <w:szCs w:val="24"/>
                <w:highlight w:val="none"/>
                <w:u w:val="none"/>
                <w:lang w:val="en-US" w:eastAsia="zh-CN" w:bidi="ar"/>
              </w:rPr>
              <w:t xml:space="preserve">本项为不可竞争费用，未报价或报价没有按照上述金额计算的投标文件均做无效标处理。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 </w:t>
            </w:r>
            <w:r/>
          </w:p>
        </w:tc>
      </w:tr>
      <w:tr>
        <w:trPr>
          <w:cantSplit/>
          <w:trHeight w:val="76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217" w:type="dxa"/>
            <w:vAlign w:val="center"/>
            <w:textDirection w:val="lrTb"/>
            <w:noWrap w:val="false"/>
          </w:tcPr>
          <w:p>
            <w:pPr>
              <w:jc w:val="both"/>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投标总价（金额以上所有项目全费用清单综合合价之和）</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pageBreakBefore w:val="0"/>
              <w:spacing w:line="240" w:lineRule="auto"/>
              <w:shd w:val="clear" w:color="auto" w:fill="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jc w:val="both"/>
        <w:spacing w:line="360" w:lineRule="auto"/>
        <w:shd w:val="clear" w:color="auto" w:fill="auto"/>
        <w:widowControl w:val="off"/>
        <w:rPr>
          <w:rFonts w:hint="eastAsia"/>
          <w:color w:val="auto"/>
          <w:highlight w:val="none"/>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color w:val="auto"/>
          <w:highlight w:val="none"/>
        </w:rPr>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color w:val="auto"/>
          <w:sz w:val="32"/>
          <w:szCs w:val="32"/>
          <w:highlight w:val="none"/>
        </w:rPr>
        <w:sectPr>
          <w:footnotePr/>
          <w:endnotePr/>
          <w:type w:val="nextPage"/>
          <w:pgSz w:w="11906" w:h="16838" w:orient="portrait"/>
          <w:pgMar w:top="1417" w:right="1417" w:bottom="1417" w:left="1417" w:header="851" w:footer="992" w:gutter="0"/>
          <w:cols w:num="1" w:sep="0" w:space="1701" w:equalWidth="1"/>
          <w:docGrid w:linePitch="360"/>
        </w:sectPr>
      </w:pPr>
      <w:r/>
      <w:bookmarkStart w:id="168" w:name="_Toc406752730"/>
      <w:r/>
      <w:bookmarkStart w:id="169" w:name="_Toc211090867"/>
      <w:r>
        <w:rPr>
          <w:rFonts w:hint="eastAsia" w:ascii="宋体" w:hAnsi="宋体" w:cs="宋体"/>
          <w:color w:val="auto"/>
          <w:sz w:val="32"/>
          <w:szCs w:val="32"/>
          <w:highlight w:val="none"/>
        </w:rPr>
        <w:t xml:space="preserve">第六章  图纸</w:t>
      </w:r>
      <w:bookmarkEnd w:id="168"/>
      <w:r>
        <w:rPr>
          <w:rFonts w:hint="eastAsia" w:ascii="宋体" w:hAnsi="宋体" w:cs="宋体"/>
          <w:color w:val="auto"/>
          <w:sz w:val="32"/>
          <w:szCs w:val="32"/>
          <w:highlight w:val="none"/>
        </w:rPr>
        <w:t xml:space="preserve">（另册）</w:t>
      </w:r>
      <w:bookmarkEnd w:id="169"/>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color w:val="auto"/>
          <w:sz w:val="32"/>
          <w:szCs w:val="32"/>
          <w:highlight w:val="none"/>
        </w:rPr>
      </w:pPr>
      <w:r/>
      <w:bookmarkStart w:id="170" w:name="_Toc406752734"/>
      <w:r/>
      <w:bookmarkStart w:id="171" w:name="_Toc211090868"/>
      <w:r>
        <w:rPr>
          <w:rFonts w:hint="eastAsia" w:ascii="宋体" w:hAnsi="宋体" w:cs="宋体"/>
          <w:color w:val="auto"/>
          <w:sz w:val="32"/>
          <w:szCs w:val="32"/>
          <w:highlight w:val="none"/>
        </w:rPr>
        <w:t xml:space="preserve">第七章  技术标准和要求</w:t>
      </w:r>
      <w:bookmarkEnd w:id="170"/>
      <w:r/>
      <w:bookmarkEnd w:id="171"/>
      <w:r/>
      <w:r/>
    </w:p>
    <w:p>
      <w:pPr>
        <w:ind w:firstLine="482"/>
        <w:keepLines w:val="0"/>
        <w:keepNext w:val="0"/>
        <w:pageBreakBefore w:val="0"/>
        <w:spacing w:line="288" w:lineRule="auto"/>
        <w:shd w:val="clear" w:color="auto" w:fill="auto"/>
        <w:widowControl w:val="off"/>
        <w:rPr>
          <w:rFonts w:hint="eastAsia" w:ascii="宋体" w:hAnsi="宋体" w:cs="宋体"/>
          <w:b/>
          <w:bCs/>
          <w:color w:val="auto"/>
          <w:sz w:val="24"/>
          <w:highlight w:val="none"/>
        </w:rPr>
      </w:pPr>
      <w:r/>
      <w:bookmarkStart w:id="172" w:name="_Toc406752742"/>
      <w:r>
        <w:rPr>
          <w:rFonts w:hint="eastAsia" w:ascii="宋体" w:hAnsi="宋体" w:cs="宋体"/>
          <w:b/>
          <w:bCs/>
          <w:color w:val="auto"/>
          <w:sz w:val="24"/>
          <w:highlight w:val="none"/>
        </w:rPr>
        <w:t xml:space="preserve">一、见水运工程标准施工招标文件及本项目施工图设计的设计</w:t>
      </w:r>
      <w:r>
        <w:rPr>
          <w:rFonts w:hint="eastAsia" w:ascii="宋体" w:hAnsi="宋体" w:cs="宋体"/>
          <w:b/>
          <w:bCs/>
          <w:color w:val="auto"/>
          <w:sz w:val="24"/>
          <w:highlight w:val="none"/>
          <w:lang w:val="en-US" w:eastAsia="zh-CN"/>
        </w:rPr>
        <w:t xml:space="preserve">图纸</w:t>
      </w:r>
      <w:r>
        <w:rPr>
          <w:rFonts w:hint="eastAsia" w:ascii="宋体" w:hAnsi="宋体" w:cs="宋体"/>
          <w:b/>
          <w:bCs/>
          <w:color w:val="auto"/>
          <w:sz w:val="24"/>
          <w:highlight w:val="none"/>
        </w:rPr>
        <w:t xml:space="preserve">。</w:t>
      </w:r>
      <w:bookmarkEnd w:id="172"/>
      <w:r/>
      <w:r/>
    </w:p>
    <w:p>
      <w:pPr>
        <w:ind w:firstLine="480"/>
        <w:keepLines w:val="0"/>
        <w:keepNext w:val="0"/>
        <w:pageBreakBefore w:val="0"/>
        <w:spacing w:line="288" w:lineRule="auto"/>
        <w:shd w:val="clear" w:color="auto" w:fill="auto"/>
        <w:widowControl w:val="off"/>
        <w:rPr>
          <w:rFonts w:hint="default" w:ascii="宋体" w:hAnsi="宋体" w:eastAsia="宋体" w:cs="宋体"/>
          <w:color w:val="auto"/>
          <w:sz w:val="24"/>
          <w:highlight w:val="none"/>
        </w:rPr>
      </w:pPr>
      <w:r>
        <w:rPr>
          <w:rFonts w:hint="eastAsia" w:ascii="宋体" w:hAnsi="宋体" w:cs="宋体"/>
          <w:b/>
          <w:bCs/>
          <w:color w:val="auto"/>
          <w:sz w:val="24"/>
          <w:highlight w:val="none"/>
          <w:lang w:val="en-US" w:bidi="zh-CN"/>
        </w:rPr>
        <w:t xml:space="preserve">二、</w:t>
      </w:r>
      <w:r>
        <w:rPr>
          <w:rFonts w:hint="eastAsia" w:ascii="宋体" w:hAnsi="宋体" w:cs="宋体"/>
          <w:b/>
          <w:bCs/>
          <w:color w:val="auto"/>
          <w:sz w:val="24"/>
          <w:highlight w:val="none"/>
          <w:lang w:bidi="zh-CN"/>
        </w:rPr>
        <w:t xml:space="preserve">工程量清单编制</w:t>
      </w:r>
      <w:r>
        <w:rPr>
          <w:rFonts w:hint="eastAsia" w:ascii="宋体" w:hAnsi="宋体" w:cs="宋体"/>
          <w:b/>
          <w:bCs/>
          <w:color w:val="auto"/>
          <w:sz w:val="24"/>
          <w:highlight w:val="none"/>
          <w:lang w:val="en-US" w:bidi="zh-CN"/>
        </w:rPr>
        <w:t xml:space="preserve">依据：</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1、南京水科院瑞迪科技集团有限公司</w:t>
      </w:r>
      <w:r>
        <w:rPr>
          <w:rFonts w:hint="default" w:ascii="宋体" w:hAnsi="宋体" w:eastAsia="宋体" w:cs="宋体"/>
          <w:color w:val="auto"/>
          <w:sz w:val="24"/>
          <w:highlight w:val="none"/>
          <w:lang w:val="en-US" w:eastAsia="zh-CN"/>
        </w:rPr>
        <w:t xml:space="preserve">2026 </w:t>
      </w:r>
      <w:r>
        <w:rPr>
          <w:rFonts w:hint="eastAsia" w:ascii="宋体" w:hAnsi="宋体" w:eastAsia="宋体" w:cs="宋体"/>
          <w:color w:val="auto"/>
          <w:sz w:val="24"/>
          <w:highlight w:val="none"/>
          <w:lang w:val="en-US" w:eastAsia="zh-CN"/>
        </w:rPr>
        <w:t xml:space="preserve">年7</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月设计的《</w:t>
      </w:r>
      <w:r>
        <w:rPr>
          <w:rFonts w:hint="eastAsia" w:ascii="宋体" w:hAnsi="宋体" w:eastAsia="宋体" w:cs="宋体"/>
          <w:color w:val="auto"/>
          <w:sz w:val="24"/>
          <w:highlight w:val="none"/>
        </w:rPr>
        <w:t xml:space="preserve">苏北运河检修门存放基地扩容及功能完善项目</w:t>
      </w:r>
      <w:r>
        <w:rPr>
          <w:rFonts w:hint="eastAsia" w:ascii="宋体" w:hAnsi="宋体" w:eastAsia="宋体" w:cs="宋体"/>
          <w:color w:val="auto"/>
          <w:sz w:val="24"/>
          <w:highlight w:val="none"/>
          <w:lang w:val="en-US" w:eastAsia="zh-CN"/>
        </w:rPr>
        <w:t xml:space="preserve">》设计</w:t>
      </w:r>
      <w:r>
        <w:rPr>
          <w:rFonts w:hint="eastAsia" w:ascii="宋体" w:hAnsi="宋体" w:eastAsia="宋体" w:cs="宋体"/>
          <w:color w:val="auto"/>
          <w:sz w:val="24"/>
          <w:highlight w:val="none"/>
        </w:rPr>
        <w:t xml:space="preserve">图纸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PDF版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工程量清单立项以</w:t>
      </w:r>
      <w:r>
        <w:rPr>
          <w:rFonts w:hint="eastAsia" w:ascii="宋体" w:hAnsi="宋体" w:eastAsia="宋体" w:cs="宋体"/>
          <w:color w:val="auto"/>
          <w:sz w:val="24"/>
          <w:highlight w:val="none"/>
        </w:rPr>
        <w:t xml:space="preserve">《水</w:t>
      </w:r>
      <w:r>
        <w:rPr>
          <w:rFonts w:hint="eastAsia" w:ascii="宋体" w:hAnsi="宋体" w:eastAsia="宋体" w:cs="宋体"/>
          <w:color w:val="auto"/>
          <w:sz w:val="24"/>
          <w:highlight w:val="none"/>
          <w:lang w:val="en-US" w:eastAsia="zh-CN"/>
        </w:rPr>
        <w:t xml:space="preserve">运</w:t>
      </w:r>
      <w:r>
        <w:rPr>
          <w:rFonts w:hint="eastAsia" w:ascii="宋体" w:hAnsi="宋体" w:eastAsia="宋体" w:cs="宋体"/>
          <w:color w:val="auto"/>
          <w:sz w:val="24"/>
          <w:highlight w:val="none"/>
        </w:rPr>
        <w:t xml:space="preserve">工程量清单计价规范》（20</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）为主，该规范没有的</w:t>
      </w:r>
      <w:r>
        <w:rPr>
          <w:rFonts w:hint="eastAsia" w:ascii="宋体" w:hAnsi="宋体" w:eastAsia="宋体" w:cs="宋体"/>
          <w:color w:val="auto"/>
          <w:sz w:val="24"/>
          <w:highlight w:val="none"/>
          <w:lang w:val="en-US" w:eastAsia="zh-CN"/>
        </w:rPr>
        <w:t xml:space="preserve">参照</w:t>
      </w:r>
      <w:r>
        <w:rPr>
          <w:rFonts w:hint="eastAsia" w:ascii="宋体" w:hAnsi="宋体" w:eastAsia="宋体" w:cs="宋体"/>
          <w:color w:val="auto"/>
          <w:sz w:val="24"/>
          <w:highlight w:val="none"/>
        </w:rPr>
        <w:t xml:space="preserve">《建设工程工程量清单计价规范》GB50500-2013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《市政工程工程量清单计价规范》GB50857-2013</w:t>
      </w:r>
      <w:r>
        <w:rPr>
          <w:rFonts w:hint="eastAsia" w:ascii="宋体" w:hAnsi="宋体" w:eastAsia="宋体" w:cs="宋体"/>
          <w:color w:val="auto"/>
          <w:sz w:val="24"/>
          <w:highlight w:val="none"/>
          <w:lang w:val="en-US" w:eastAsia="zh-CN"/>
        </w:rPr>
        <w:t xml:space="preserve">等规范执行</w:t>
      </w:r>
      <w:r>
        <w:rPr>
          <w:rFonts w:hint="eastAsia" w:ascii="宋体" w:hAnsi="宋体" w:eastAsia="宋体" w:cs="宋体"/>
          <w:color w:val="auto"/>
          <w:sz w:val="24"/>
          <w:highlight w:val="none"/>
        </w:rPr>
        <w:t xml:space="preserve">。</w:t>
      </w:r>
      <w:r/>
    </w:p>
    <w:p>
      <w:pPr>
        <w:ind w:firstLine="480"/>
        <w:keepLines w:val="0"/>
        <w:keepNext w:val="0"/>
        <w:pageBreakBefore w:val="0"/>
        <w:spacing w:line="288" w:lineRule="auto"/>
        <w:shd w:val="clear" w:color="auto" w:fill="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省市</w:t>
      </w:r>
      <w:r>
        <w:rPr>
          <w:rFonts w:hint="eastAsia" w:ascii="宋体" w:hAnsi="宋体" w:eastAsia="宋体" w:cs="宋体"/>
          <w:color w:val="auto"/>
          <w:sz w:val="24"/>
          <w:highlight w:val="none"/>
          <w:lang w:val="en-US" w:eastAsia="zh-CN"/>
        </w:rPr>
        <w:t xml:space="preserve">现行相关水运工程工程量清单计量补充</w:t>
      </w:r>
      <w:r>
        <w:rPr>
          <w:rFonts w:hint="eastAsia" w:ascii="宋体" w:hAnsi="宋体" w:eastAsia="宋体" w:cs="宋体"/>
          <w:color w:val="auto"/>
          <w:sz w:val="24"/>
          <w:highlight w:val="none"/>
        </w:rPr>
        <w:t xml:space="preserve">规定、施工</w:t>
      </w:r>
      <w:r>
        <w:rPr>
          <w:rFonts w:hint="eastAsia" w:ascii="宋体" w:hAnsi="宋体" w:eastAsia="宋体" w:cs="宋体"/>
          <w:color w:val="auto"/>
          <w:sz w:val="24"/>
          <w:highlight w:val="none"/>
          <w:lang w:val="en-US" w:eastAsia="zh-CN"/>
        </w:rPr>
        <w:t xml:space="preserve">验收</w:t>
      </w:r>
      <w:r>
        <w:rPr>
          <w:rFonts w:hint="eastAsia" w:ascii="宋体" w:hAnsi="宋体" w:eastAsia="宋体" w:cs="宋体"/>
          <w:color w:val="auto"/>
          <w:sz w:val="24"/>
          <w:highlight w:val="none"/>
        </w:rPr>
        <w:t xml:space="preserve">规范、规程</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w:t>
      </w:r>
      <w:r/>
    </w:p>
    <w:p>
      <w:pPr>
        <w:ind w:firstLine="482"/>
        <w:keepLines w:val="0"/>
        <w:keepNext w:val="0"/>
        <w:pageBreakBefore w:val="0"/>
        <w:spacing w:line="288" w:lineRule="auto"/>
        <w:shd w:val="clear" w:color="auto" w:fill="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bidi="zh-CN"/>
        </w:rPr>
        <w:t xml:space="preserve">工程量清单编制说明及投标报价要求：</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1、工程量清单“特征描述”，只是招标人对该部分分项工程特征的概述，而非是工程特征的全面描述，投标人计价时必须充分考虑清单项目特征、工作内容、设计图纸及相关国家现行施工验收规范要求。</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如若涉及单项施工措施费用工程量清单没有单独立项的应包含在清单综合单价中，投标人应综合考虑，结算不因此增加额外费用。如果投标人勘察现场、研究设计图纸认为工程量清单单项措施项目不能满足项目施工需要时，不得改变工程量清单单项措施费用项目，需要增加的单项措施费用请在投标报价让利时统筹考虑，结算时不因此增加额外费用。</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3、工程量清单中项目涉及未明确施工做法的内容，由投标人自行确定施工方案，施工过程中施工方案须得到发包方认可后方可作为施工依据，竣工结算时该部分费用不调整。</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4、投标报价文件税费应按照一般纳税人增值税率9%计算，实际结算开票非9%增值税率发票时，在工程竣工结算中进行调整，由审计单位审定。</w:t>
      </w:r>
      <w:r/>
    </w:p>
    <w:p>
      <w:pPr>
        <w:ind w:firstLine="482"/>
        <w:keepLines w:val="0"/>
        <w:keepNext w:val="0"/>
        <w:pageBreakBefore w:val="0"/>
        <w:spacing w:line="288" w:lineRule="auto"/>
        <w:shd w:val="clear" w:color="auto" w:fill="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做无效标处理</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投标人在进行清单报价编制时要勘察现场，充分考虑现场实际情况，施工过程中投标人需采取措施保护现场及周边相关物品、设施等，因投标人的不规范操作、误操作等原因造成相关设施设备损坏、设备停用等后果的，由投标人自费修复，恢复正常使用。以上费用均不单列，由投标人在投标工程量清单报价中综合考虑。</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7、本项目施工中不得影响所在地单位正常运行秩序，投标人在投标报价中需充分考虑相关临时隔离等各项措施费用，以上费用均不单列，由投标人在投标工程量清单报价中综合考虑。</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投标人应自行踏勘现场，以充分了解项目位置、交通状况以及工作范围等任何足以影响其报价的情况。任何忽视或误解造成承包人自身损失的由承包人自行承担，导致采购人在项目实施过程中蒙受的损失，将由投标人进行赔偿。</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投标人需积极主动地配合采购人进行相关验收，确保通过验收，若出现验收不合格的情况投标人需要返工直至验收合格，由此导致的返工费等相关其他费用，由投标人自行承担，并且采购人有权从工程款中扣除。</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10、施工过程中产生的垃圾及时清运，费用由投标人承担。</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投标清单单价和总价均应包括但不限于所有设备、材料、管理费、利润、税金、包装费、运杂费、保险费、卸力费、安装调试费、资料费、保修期内维修费用及服务费等直至完全交付采购人使用、缺陷期维修、质保期服务及工程量清单中质保期后服务等所有费用。</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12、本项目承包范围为招标文件、工程量清单、附件范围相关的内容。投标人应根据设计文件内容以及现场踏勘情况，仔细核对工程量清单，核对内容包括清单数量、清单特征、计量单位等，并将疑问在提问截止时间书面提出，如未提出任何疑问，则视为对采购人提供的工程量清单不存在问题，漏报项视为价格已分摊到其他清单项中，投标人自行承担工程量清单数量偏差、漏项及清单错误的风险，竣工结算不予调整。</w:t>
      </w:r>
      <w:r/>
    </w:p>
    <w:p>
      <w:pPr>
        <w:ind w:firstLine="480"/>
        <w:keepLines w:val="0"/>
        <w:keepNext w:val="0"/>
        <w:pageBreakBefore w:val="0"/>
        <w:spacing w:line="288" w:lineRule="auto"/>
        <w:shd w:val="clear" w:color="auto" w:fill="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13、实际施工工程量以现场监管组确认为准。</w:t>
      </w:r>
      <w:r/>
    </w:p>
    <w:p>
      <w:pPr>
        <w:ind w:right="-4"/>
        <w:jc w:val="center"/>
        <w:shd w:val="clear" w:color="auto" w:fil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400" w:lineRule="exact"/>
        <w:shd w:val="clear" w:color="auto" w:fill="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400" w:lineRule="exact"/>
        <w:shd w:val="clear" w:color="auto" w:fill="auto"/>
        <w:rPr>
          <w:rFonts w:hint="eastAsia" w:ascii="宋体" w:hAnsi="宋体" w:cs="宋体"/>
          <w:color w:val="auto"/>
          <w:highlight w:val="none"/>
        </w:rPr>
      </w:pPr>
      <w:r>
        <w:rPr>
          <w:rFonts w:hint="eastAsia" w:ascii="宋体" w:hAnsi="宋体" w:cs="宋体"/>
          <w:color w:val="auto"/>
          <w:highlight w:val="none"/>
        </w:rPr>
      </w:r>
      <w:r/>
    </w:p>
    <w:p>
      <w:pPr>
        <w:spacing w:line="400" w:lineRule="exact"/>
        <w:shd w:val="clear" w:color="auto" w:fill="auto"/>
        <w:rPr>
          <w:rFonts w:hint="eastAsia" w:ascii="宋体" w:hAnsi="宋体" w:cs="宋体"/>
          <w:color w:val="auto"/>
          <w:highlight w:val="none"/>
        </w:rPr>
      </w:pPr>
      <w:r>
        <w:rPr>
          <w:rFonts w:hint="eastAsia" w:ascii="宋体" w:hAnsi="宋体" w:cs="宋体"/>
          <w:color w:val="auto"/>
          <w:highlight w:val="none"/>
        </w:rPr>
      </w:r>
      <w:r/>
    </w:p>
    <w:p>
      <w:pPr>
        <w:spacing w:line="400" w:lineRule="exact"/>
        <w:shd w:val="clear" w:color="auto" w:fill="auto"/>
        <w:rPr>
          <w:rFonts w:hint="eastAsia" w:ascii="宋体" w:hAnsi="宋体" w:cs="宋体"/>
          <w:color w:val="auto"/>
          <w:highlight w:val="none"/>
        </w:rPr>
      </w:pPr>
      <w:r>
        <w:rPr>
          <w:rFonts w:hint="eastAsia" w:ascii="宋体" w:hAnsi="宋体" w:cs="宋体"/>
          <w:color w:val="auto"/>
          <w:highlight w:val="none"/>
        </w:rPr>
      </w:r>
      <w:r/>
    </w:p>
    <w:p>
      <w:pPr>
        <w:pStyle w:val="1058"/>
        <w:spacing w:before="0" w:after="0" w:line="360" w:lineRule="auto"/>
        <w:shd w:val="clear" w:color="auto" w:fill="auto"/>
        <w:tabs>
          <w:tab w:val="left" w:pos="0" w:leader="none"/>
          <w:tab w:val="left" w:pos="3165" w:leader="none"/>
          <w:tab w:val="center" w:pos="4153" w:leader="none"/>
        </w:tabs>
        <w:rPr>
          <w:rFonts w:hint="eastAsia" w:ascii="宋体" w:hAnsi="宋体" w:cs="宋体"/>
          <w:color w:val="auto"/>
          <w:sz w:val="32"/>
          <w:szCs w:val="32"/>
          <w:highlight w:val="none"/>
        </w:rPr>
      </w:pPr>
      <w:r/>
      <w:bookmarkStart w:id="173" w:name="_Toc211090869"/>
      <w:r/>
      <w:bookmarkStart w:id="174" w:name="_Toc238559215"/>
      <w:r/>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58"/>
        <w:jc w:val="center"/>
        <w:spacing w:before="0" w:after="0" w:line="360" w:lineRule="auto"/>
        <w:shd w:val="clear" w:color="auto" w:fill="auto"/>
        <w:tabs>
          <w:tab w:val="left" w:pos="0" w:leader="none"/>
          <w:tab w:val="left" w:pos="3165" w:leader="none"/>
          <w:tab w:val="center" w:pos="4153" w:leader="none"/>
        </w:tabs>
        <w:rPr>
          <w:rFonts w:hint="eastAsia" w:ascii="宋体" w:hAnsi="宋体" w:cs="宋体"/>
          <w:b w:val="0"/>
          <w:color w:val="auto"/>
          <w:sz w:val="32"/>
          <w:szCs w:val="32"/>
          <w:highlight w:val="none"/>
        </w:rPr>
      </w:pPr>
      <w:r>
        <w:rPr>
          <w:rFonts w:hint="eastAsia" w:ascii="宋体" w:hAnsi="宋体" w:cs="宋体"/>
          <w:color w:val="auto"/>
          <w:sz w:val="32"/>
          <w:szCs w:val="32"/>
          <w:highlight w:val="none"/>
        </w:rPr>
        <w:t xml:space="preserve">第八章 投标文件格式</w:t>
      </w:r>
      <w:bookmarkEnd w:id="173"/>
      <w:r/>
      <w:bookmarkEnd w:id="174"/>
      <w:r/>
      <w:r/>
    </w:p>
    <w:p>
      <w:pPr>
        <w:jc w:val="center"/>
        <w:spacing w:line="480" w:lineRule="auto"/>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封面</w:t>
      </w:r>
      <w:r/>
    </w:p>
    <w:p>
      <w:pPr>
        <w:jc w:val="center"/>
        <w:spacing w:line="480" w:lineRule="auto"/>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80" w:lineRule="auto"/>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hd w:val="clear" w:color="auto" w:fill="auto"/>
        <w:rPr>
          <w:rFonts w:hint="eastAsia" w:ascii="宋体" w:hAnsi="宋体" w:cs="宋体"/>
          <w:b/>
          <w:bCs/>
          <w:color w:val="auto"/>
          <w:spacing w:val="20"/>
          <w:sz w:val="32"/>
          <w:szCs w:val="32"/>
          <w:highlight w:val="none"/>
        </w:rPr>
      </w:pPr>
      <w:r>
        <w:rPr>
          <w:rFonts w:hint="eastAsia" w:ascii="宋体" w:hAnsi="宋体" w:cs="宋体"/>
          <w:b/>
          <w:bCs/>
          <w:color w:val="auto"/>
          <w:spacing w:val="20"/>
          <w:sz w:val="32"/>
          <w:szCs w:val="32"/>
          <w:highlight w:val="none"/>
        </w:rPr>
        <w:t xml:space="preserve">苏北运河船闸检修门存放基地扩容及功能完善项目</w:t>
      </w:r>
      <w:r/>
    </w:p>
    <w:p>
      <w:pPr>
        <w:jc w:val="center"/>
        <w:shd w:val="clear" w:color="auto" w:fill="auto"/>
        <w:rPr>
          <w:rFonts w:hint="eastAsia" w:ascii="宋体" w:hAnsi="宋体" w:cs="宋体"/>
          <w:color w:val="auto"/>
          <w:sz w:val="32"/>
          <w:szCs w:val="32"/>
          <w:highlight w:val="none"/>
        </w:rPr>
      </w:pPr>
      <w:r>
        <w:rPr>
          <w:rFonts w:hint="eastAsia" w:ascii="宋体" w:hAnsi="宋体" w:cs="宋体"/>
          <w:b/>
          <w:bCs/>
          <w:color w:val="auto"/>
          <w:spacing w:val="20"/>
          <w:sz w:val="32"/>
          <w:szCs w:val="32"/>
          <w:highlight w:val="none"/>
        </w:rPr>
        <w:t xml:space="preserve">（</w:t>
      </w:r>
      <w:r>
        <w:rPr>
          <w:rFonts w:hint="eastAsia" w:ascii="宋体" w:hAnsi="宋体" w:cs="宋体"/>
          <w:b/>
          <w:bCs/>
          <w:color w:val="auto"/>
          <w:spacing w:val="20"/>
          <w:sz w:val="32"/>
          <w:szCs w:val="32"/>
          <w:highlight w:val="none"/>
          <w:lang w:val="en-US" w:eastAsia="zh-CN"/>
        </w:rPr>
        <w:t xml:space="preserve">三</w:t>
      </w:r>
      <w:r>
        <w:rPr>
          <w:rFonts w:hint="eastAsia" w:ascii="宋体" w:hAnsi="宋体" w:cs="宋体"/>
          <w:b/>
          <w:bCs/>
          <w:color w:val="auto"/>
          <w:spacing w:val="20"/>
          <w:sz w:val="32"/>
          <w:szCs w:val="32"/>
          <w:highlight w:val="none"/>
        </w:rPr>
        <w:t xml:space="preserve">次）</w:t>
      </w:r>
      <w:r/>
    </w:p>
    <w:p>
      <w:pPr>
        <w:jc w:val="center"/>
        <w:shd w:val="clear" w:color="auto" w:fill="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hd w:val="clear" w:color="auto" w:fill="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hd w:val="clear" w:color="auto" w:fill="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hd w:val="clear" w:color="auto" w:fill="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投标文件</w:t>
      </w:r>
      <w:r/>
    </w:p>
    <w:p>
      <w:pPr>
        <w:shd w:val="clear" w:color="auto" w:fill="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hd w:val="clear" w:color="auto" w:fill="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hd w:val="clear" w:color="auto" w:fill="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hd w:val="clear" w:color="auto" w:fill="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hd w:val="clear" w:color="auto" w:fill="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hd w:val="clear" w:color="auto" w:fill="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19"/>
        <w:jc w:val="cente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投标人：（盖CA电子公章）</w:t>
      </w:r>
      <w:r/>
    </w:p>
    <w:p>
      <w:pPr>
        <w:jc w:val="center"/>
        <w:shd w:val="clear" w:color="auto" w:fill="auto"/>
        <w:rPr>
          <w:rFonts w:hint="eastAsia" w:ascii="宋体" w:hAnsi="宋体" w:cs="宋体"/>
          <w:color w:val="auto"/>
          <w:sz w:val="32"/>
          <w:szCs w:val="32"/>
          <w:highlight w:val="none"/>
          <w:u w:val="single"/>
        </w:rPr>
      </w:pPr>
      <w:r>
        <w:rPr>
          <w:rFonts w:hint="eastAsia" w:ascii="宋体" w:hAnsi="宋体" w:cs="宋体"/>
          <w:color w:val="auto"/>
          <w:sz w:val="32"/>
          <w:szCs w:val="32"/>
          <w:highlight w:val="none"/>
          <w:u w:val="single"/>
        </w:rPr>
      </w:r>
      <w:r/>
    </w:p>
    <w:p>
      <w:pPr>
        <w:jc w:val="cente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年  月  日</w:t>
      </w:r>
      <w:r/>
    </w:p>
    <w:p>
      <w:pPr>
        <w:jc w:val="left"/>
        <w:shd w:val="clear" w:color="auto" w:fill="auto"/>
        <w:widowControl/>
        <w:rPr>
          <w:rFonts w:hint="eastAsia" w:ascii="宋体" w:hAnsi="宋体" w:cs="宋体"/>
          <w:color w:val="auto"/>
          <w:sz w:val="32"/>
          <w:szCs w:val="32"/>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color w:val="auto"/>
          <w:sz w:val="32"/>
          <w:szCs w:val="32"/>
          <w:highlight w:val="none"/>
        </w:rPr>
      </w:r>
      <w:r/>
    </w:p>
    <w:p>
      <w:pPr>
        <w:jc w:val="center"/>
        <w:spacing w:line="480" w:lineRule="auto"/>
        <w:shd w:val="clear" w:color="auto" w:fill="auto"/>
        <w:rPr>
          <w:rFonts w:hint="eastAsia" w:ascii="宋体" w:hAnsi="宋体" w:cs="宋体"/>
          <w:b/>
          <w:color w:val="auto"/>
          <w:sz w:val="32"/>
          <w:szCs w:val="32"/>
          <w:highlight w:val="none"/>
        </w:rPr>
        <w:outlineLvl w:val="2"/>
      </w:pPr>
      <w:r/>
      <w:bookmarkStart w:id="175" w:name="_Toc432244526"/>
      <w:r/>
      <w:bookmarkStart w:id="176" w:name="_Toc503901977"/>
      <w:r/>
      <w:bookmarkStart w:id="177" w:name="_Toc503307474"/>
      <w:r/>
      <w:bookmarkStart w:id="178" w:name="_Toc211090870"/>
      <w:r>
        <w:rPr>
          <w:rFonts w:hint="eastAsia" w:ascii="宋体" w:hAnsi="宋体" w:cs="宋体"/>
          <w:b/>
          <w:color w:val="auto"/>
          <w:sz w:val="32"/>
          <w:szCs w:val="32"/>
          <w:highlight w:val="none"/>
        </w:rPr>
        <w:t xml:space="preserve">目  录</w:t>
      </w:r>
      <w:bookmarkEnd w:id="175"/>
      <w:r/>
      <w:bookmarkEnd w:id="176"/>
      <w:r/>
      <w:bookmarkEnd w:id="177"/>
      <w:r/>
      <w:bookmarkEnd w:id="178"/>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二、法定代表人身份证明及授权委托书</w:t>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三、全费用工程量清单投标报价单</w:t>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四、全费用工程量清单投标报价单分析表</w:t>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、施工组织设计</w:t>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、资格审查资料</w:t>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、附件</w:t>
      </w:r>
      <w:r/>
    </w:p>
    <w:p>
      <w:pPr>
        <w:jc w:val="left"/>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、投标人认为需要提供的其他文件</w:t>
      </w:r>
      <w:r/>
    </w:p>
    <w:p>
      <w:pPr>
        <w:jc w:val="left"/>
        <w:shd w:val="clear" w:color="auto" w:fill="auto"/>
        <w:widowControl/>
        <w:rPr>
          <w:rFonts w:hint="eastAsia" w:ascii="宋体" w:hAnsi="宋体" w:cs="宋体"/>
          <w:color w:val="auto"/>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color w:val="auto"/>
          <w:sz w:val="24"/>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bookmarkStart w:id="179" w:name="_Toc432244527"/>
      <w:r/>
      <w:bookmarkStart w:id="180" w:name="_Toc503307475"/>
      <w:r/>
      <w:bookmarkStart w:id="181" w:name="_Toc211090871"/>
      <w:r/>
      <w:bookmarkStart w:id="182" w:name="_Toc503901978"/>
      <w:r>
        <w:rPr>
          <w:rFonts w:hint="eastAsia" w:ascii="宋体" w:hAnsi="宋体" w:cs="宋体"/>
          <w:b/>
          <w:color w:val="auto"/>
          <w:sz w:val="32"/>
          <w:szCs w:val="32"/>
          <w:highlight w:val="none"/>
        </w:rPr>
        <w:t xml:space="preserve">一、投标函</w:t>
      </w:r>
      <w:bookmarkEnd w:id="179"/>
      <w:r/>
      <w:bookmarkEnd w:id="180"/>
      <w:r/>
      <w:bookmarkEnd w:id="181"/>
      <w:r/>
      <w:bookmarkEnd w:id="182"/>
      <w:r/>
      <w:r/>
    </w:p>
    <w:p>
      <w:pPr>
        <w:shd w:val="clear" w:color="auto" w:fill="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hd w:val="clear" w:color="auto" w:fill="auto"/>
        <w:rPr>
          <w:rFonts w:hint="eastAsia" w:ascii="宋体" w:hAnsi="宋体" w:cs="宋体"/>
          <w:color w:val="auto"/>
          <w:sz w:val="24"/>
          <w:highlight w:val="none"/>
        </w:rPr>
      </w:pPr>
      <w:r>
        <w:rPr>
          <w:rFonts w:hint="eastAsia" w:ascii="宋体" w:hAnsi="宋体" w:cs="宋体"/>
          <w:color w:val="auto"/>
          <w:sz w:val="24"/>
          <w:highlight w:val="none"/>
          <w:lang w:val="zh-CN"/>
        </w:rPr>
        <w:t xml:space="preserve">致京杭运河江苏省船闸应急保障中心：</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highlight w:val="none"/>
          <w:lang w:val="zh-CN"/>
        </w:rPr>
        <w:t xml:space="preserve">根据贵方</w:t>
      </w:r>
      <w:r>
        <w:rPr>
          <w:rFonts w:hint="eastAsia" w:ascii="宋体" w:hAnsi="宋体" w:cs="宋体"/>
          <w:color w:val="auto"/>
          <w:sz w:val="24"/>
          <w:highlight w:val="none"/>
          <w:u w:val="single"/>
          <w:lang w:val="zh-CN"/>
        </w:rPr>
        <w:t xml:space="preserve">苏北运河船闸检修门存放基地扩容及功能完善项目（三次）</w:t>
      </w:r>
      <w:r>
        <w:rPr>
          <w:rFonts w:hint="eastAsia" w:ascii="宋体" w:hAnsi="宋体" w:cs="宋体"/>
          <w:color w:val="auto"/>
          <w:sz w:val="24"/>
          <w:highlight w:val="none"/>
          <w:lang w:val="zh-CN"/>
        </w:rPr>
        <w:t xml:space="preserve">招标公告，我方在参加</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活动中，特做出如下承诺：</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1、</w:t>
      </w:r>
      <w:r>
        <w:rPr>
          <w:rFonts w:hint="eastAsia" w:ascii="宋体" w:hAnsi="宋体" w:cs="宋体"/>
          <w:b/>
          <w:color w:val="auto"/>
          <w:sz w:val="24"/>
          <w:highlight w:val="none"/>
          <w:lang w:val="zh-CN"/>
        </w:rPr>
        <w:t xml:space="preserve">我们的资格条件完全符合政府采购法和本次采购要求</w:t>
      </w:r>
      <w:r>
        <w:rPr>
          <w:rFonts w:hint="eastAsia" w:ascii="宋体" w:hAnsi="宋体" w:cs="宋体"/>
          <w:color w:val="auto"/>
          <w:sz w:val="24"/>
          <w:highlight w:val="none"/>
          <w:lang w:val="zh-CN"/>
        </w:rPr>
        <w:t xml:space="preserve">，</w:t>
      </w:r>
      <w:r>
        <w:rPr>
          <w:rFonts w:hint="eastAsia" w:ascii="宋体" w:hAnsi="宋体" w:cs="宋体"/>
          <w:color w:val="auto"/>
          <w:sz w:val="24"/>
          <w:szCs w:val="32"/>
          <w:highlight w:val="none"/>
        </w:rPr>
        <w:t xml:space="preserve">我们</w:t>
      </w:r>
      <w:r>
        <w:rPr>
          <w:rFonts w:hint="eastAsia" w:ascii="宋体" w:hAnsi="宋体" w:cs="宋体"/>
          <w:color w:val="auto"/>
          <w:sz w:val="24"/>
          <w:highlight w:val="none"/>
          <w:lang w:val="zh-CN"/>
        </w:rPr>
        <w:t xml:space="preserve">同意并向贵方提供了与本次采购活动有关的所有证据和资料</w:t>
      </w:r>
      <w:r>
        <w:rPr>
          <w:rFonts w:hint="eastAsia" w:ascii="宋体" w:hAnsi="宋体" w:cs="宋体"/>
          <w:color w:val="auto"/>
          <w:sz w:val="24"/>
          <w:szCs w:val="32"/>
          <w:highlight w:val="none"/>
        </w:rPr>
        <w:t xml:space="preserve">。</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2、</w:t>
      </w:r>
      <w:r>
        <w:rPr>
          <w:rFonts w:hint="eastAsia" w:ascii="宋体" w:hAnsi="宋体" w:cs="宋体"/>
          <w:color w:val="auto"/>
          <w:sz w:val="24"/>
          <w:highlight w:val="none"/>
          <w:lang w:val="zh-CN"/>
        </w:rPr>
        <w:t xml:space="preserve">我们的</w:t>
      </w:r>
      <w:r>
        <w:rPr>
          <w:rFonts w:hint="eastAsia" w:ascii="宋体" w:hAnsi="宋体" w:cs="宋体"/>
          <w:color w:val="auto"/>
          <w:sz w:val="24"/>
          <w:szCs w:val="32"/>
          <w:highlight w:val="none"/>
        </w:rPr>
        <w:t xml:space="preserve">总报价为（大写）</w:t>
      </w:r>
      <w:r>
        <w:rPr>
          <w:rFonts w:hint="eastAsia" w:ascii="宋体" w:hAnsi="宋体" w:cs="宋体"/>
          <w:b/>
          <w:bCs/>
          <w:color w:val="auto"/>
          <w:sz w:val="24"/>
          <w:szCs w:val="32"/>
          <w:highlight w:val="none"/>
          <w:u w:val="single"/>
        </w:rPr>
        <w:t xml:space="preserve">             </w:t>
      </w:r>
      <w:r>
        <w:rPr>
          <w:rFonts w:hint="eastAsia" w:ascii="宋体" w:hAnsi="宋体" w:cs="宋体"/>
          <w:color w:val="auto"/>
          <w:sz w:val="24"/>
          <w:szCs w:val="32"/>
          <w:highlight w:val="none"/>
        </w:rPr>
        <w:t xml:space="preserve">元人民币，</w:t>
      </w:r>
      <w:r>
        <w:rPr>
          <w:rFonts w:hint="eastAsia" w:ascii="宋体" w:hAnsi="宋体" w:cs="宋体"/>
          <w:bCs/>
          <w:color w:val="auto"/>
          <w:sz w:val="24"/>
          <w:szCs w:val="32"/>
          <w:highlight w:val="none"/>
        </w:rPr>
        <w:t xml:space="preserve">总工期</w:t>
      </w:r>
      <w:r>
        <w:rPr>
          <w:rFonts w:hint="eastAsia" w:ascii="宋体" w:hAnsi="宋体" w:cs="宋体"/>
          <w:bCs/>
          <w:color w:val="auto"/>
          <w:sz w:val="24"/>
          <w:szCs w:val="32"/>
          <w:highlight w:val="none"/>
          <w:u w:val="single"/>
        </w:rPr>
        <w:t xml:space="preserve">    </w:t>
      </w:r>
      <w:r>
        <w:rPr>
          <w:rFonts w:hint="eastAsia" w:ascii="宋体" w:hAnsi="宋体" w:cs="宋体"/>
          <w:bCs/>
          <w:color w:val="auto"/>
          <w:sz w:val="24"/>
          <w:szCs w:val="32"/>
          <w:highlight w:val="none"/>
        </w:rPr>
        <w:t xml:space="preserve">日历天。</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3、</w:t>
      </w:r>
      <w:r>
        <w:rPr>
          <w:rFonts w:hint="eastAsia" w:ascii="宋体" w:hAnsi="宋体" w:cs="宋体"/>
          <w:color w:val="auto"/>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4、一旦我方中标，我方将根据招标文件的规定，严格履行合同，保证于承诺的时间内完成本项目规定的货物、服务和工程内容。</w:t>
      </w:r>
      <w:r/>
    </w:p>
    <w:p>
      <w:pPr>
        <w:ind w:firstLine="480"/>
        <w:shd w:val="clear" w:color="auto" w:fill="auto"/>
        <w:rPr>
          <w:rFonts w:hint="eastAsia" w:ascii="宋体" w:hAnsi="宋体" w:cs="宋体"/>
          <w:color w:val="auto"/>
          <w:sz w:val="24"/>
          <w:highlight w:val="none"/>
        </w:rPr>
      </w:pPr>
      <w:r>
        <w:rPr>
          <w:rFonts w:hint="eastAsia" w:ascii="宋体" w:hAnsi="宋体" w:cs="宋体"/>
          <w:color w:val="auto"/>
          <w:sz w:val="24"/>
          <w:szCs w:val="32"/>
          <w:highlight w:val="none"/>
        </w:rPr>
        <w:t xml:space="preserve">5、我方决不</w:t>
      </w:r>
      <w:r>
        <w:rPr>
          <w:rFonts w:hint="eastAsia" w:ascii="宋体" w:hAnsi="宋体" w:cs="宋体"/>
          <w:color w:val="auto"/>
          <w:sz w:val="24"/>
          <w:highlight w:val="none"/>
        </w:rPr>
        <w:t xml:space="preserve">提供虚假材料谋取中标、</w:t>
      </w:r>
      <w:r>
        <w:rPr>
          <w:rFonts w:hint="eastAsia" w:ascii="宋体" w:hAnsi="宋体" w:cs="宋体"/>
          <w:color w:val="auto"/>
          <w:sz w:val="24"/>
          <w:szCs w:val="32"/>
          <w:highlight w:val="none"/>
        </w:rPr>
        <w:t xml:space="preserve">决不</w:t>
      </w:r>
      <w:r>
        <w:rPr>
          <w:rFonts w:hint="eastAsia" w:ascii="宋体" w:hAnsi="宋体" w:cs="宋体"/>
          <w:color w:val="auto"/>
          <w:sz w:val="24"/>
          <w:highlight w:val="none"/>
        </w:rPr>
        <w:t xml:space="preserve">采取不正当手段诋毁、排挤其他投标人、</w:t>
      </w:r>
      <w:r>
        <w:rPr>
          <w:rFonts w:hint="eastAsia" w:ascii="宋体" w:hAnsi="宋体" w:cs="宋体"/>
          <w:color w:val="auto"/>
          <w:sz w:val="24"/>
          <w:szCs w:val="32"/>
          <w:highlight w:val="none"/>
        </w:rPr>
        <w:t xml:space="preserve">决不</w:t>
      </w:r>
      <w:r>
        <w:rPr>
          <w:rFonts w:hint="eastAsia" w:ascii="宋体" w:hAnsi="宋体" w:cs="宋体"/>
          <w:color w:val="auto"/>
          <w:sz w:val="24"/>
          <w:highlight w:val="none"/>
        </w:rPr>
        <w:t xml:space="preserve">与招标人、其它投标人恶意串通、</w:t>
      </w:r>
      <w:r>
        <w:rPr>
          <w:rFonts w:hint="eastAsia" w:ascii="宋体" w:hAnsi="宋体" w:cs="宋体"/>
          <w:color w:val="auto"/>
          <w:sz w:val="24"/>
          <w:szCs w:val="32"/>
          <w:highlight w:val="none"/>
        </w:rPr>
        <w:t xml:space="preserve">决不</w:t>
      </w:r>
      <w:r>
        <w:rPr>
          <w:rFonts w:hint="eastAsia" w:ascii="宋体" w:hAnsi="宋体" w:cs="宋体"/>
          <w:color w:val="auto"/>
          <w:sz w:val="24"/>
          <w:highlight w:val="none"/>
        </w:rPr>
        <w:t xml:space="preserve">向</w:t>
      </w:r>
      <w:r>
        <w:rPr>
          <w:rFonts w:hint="eastAsia" w:ascii="宋体" w:hAnsi="宋体" w:cs="宋体"/>
          <w:color w:val="auto"/>
          <w:sz w:val="24"/>
          <w:szCs w:val="32"/>
          <w:highlight w:val="none"/>
        </w:rPr>
        <w:t xml:space="preserve">招标人、招标代理机构和评标委员会进行商业贿赂</w:t>
      </w:r>
      <w:r>
        <w:rPr>
          <w:rFonts w:hint="eastAsia" w:ascii="宋体" w:hAnsi="宋体" w:cs="宋体"/>
          <w:color w:val="auto"/>
          <w:sz w:val="24"/>
          <w:highlight w:val="none"/>
        </w:rPr>
        <w:t xml:space="preserve">、决不拒绝有关部门监督检查或提供虚假情况，如有违反，</w:t>
      </w:r>
      <w:r>
        <w:rPr>
          <w:rFonts w:hint="eastAsia" w:ascii="宋体" w:hAnsi="宋体" w:cs="宋体"/>
          <w:color w:val="auto"/>
          <w:sz w:val="24"/>
          <w:szCs w:val="32"/>
          <w:highlight w:val="none"/>
        </w:rPr>
        <w:t xml:space="preserve">无条件接受贵方及相关管理部门的处罚。</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6、我方正式通讯方式为：</w:t>
      </w:r>
      <w:r/>
    </w:p>
    <w:p>
      <w:pPr>
        <w:ind w:firstLine="480"/>
        <w:shd w:val="clear" w:color="auto" w:fill="auto"/>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 xml:space="preserve">地   址：</w:t>
      </w:r>
      <w:r>
        <w:rPr>
          <w:rFonts w:hint="eastAsia" w:ascii="宋体" w:hAnsi="宋体" w:cs="宋体"/>
          <w:color w:val="auto"/>
          <w:sz w:val="24"/>
          <w:szCs w:val="32"/>
          <w:highlight w:val="none"/>
          <w:u w:val="single"/>
        </w:rPr>
        <w:t xml:space="preserve">                       </w:t>
      </w:r>
      <w:r/>
    </w:p>
    <w:p>
      <w:pPr>
        <w:ind w:firstLine="480"/>
        <w:shd w:val="clear" w:color="auto" w:fill="auto"/>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 xml:space="preserve">电   话：</w:t>
      </w:r>
      <w:r>
        <w:rPr>
          <w:rFonts w:hint="eastAsia" w:ascii="宋体" w:hAnsi="宋体" w:cs="宋体"/>
          <w:color w:val="auto"/>
          <w:sz w:val="24"/>
          <w:szCs w:val="32"/>
          <w:highlight w:val="none"/>
          <w:u w:val="single"/>
        </w:rPr>
        <w:t xml:space="preserve">                       </w:t>
      </w:r>
      <w:r/>
    </w:p>
    <w:p>
      <w:pPr>
        <w:ind w:firstLine="480"/>
        <w:shd w:val="clear" w:color="auto" w:fill="auto"/>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 xml:space="preserve">传   真：</w:t>
      </w:r>
      <w:r>
        <w:rPr>
          <w:rFonts w:hint="eastAsia" w:ascii="宋体" w:hAnsi="宋体" w:cs="宋体"/>
          <w:color w:val="auto"/>
          <w:sz w:val="24"/>
          <w:szCs w:val="32"/>
          <w:highlight w:val="none"/>
          <w:u w:val="single"/>
        </w:rPr>
        <w:t xml:space="preserve">                       </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7、我方正式开户银行和账号为：</w:t>
      </w:r>
      <w:r/>
    </w:p>
    <w:p>
      <w:pPr>
        <w:ind w:firstLine="480"/>
        <w:shd w:val="clear" w:color="auto" w:fill="auto"/>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 xml:space="preserve">开户银行：</w:t>
      </w:r>
      <w:r>
        <w:rPr>
          <w:rFonts w:hint="eastAsia" w:ascii="宋体" w:hAnsi="宋体" w:cs="宋体"/>
          <w:color w:val="auto"/>
          <w:sz w:val="24"/>
          <w:szCs w:val="32"/>
          <w:highlight w:val="none"/>
          <w:u w:val="single"/>
        </w:rPr>
        <w:t xml:space="preserve">                       </w:t>
      </w:r>
      <w:r/>
    </w:p>
    <w:p>
      <w:pPr>
        <w:ind w:firstLine="480"/>
        <w:shd w:val="clear" w:color="auto" w:fill="auto"/>
        <w:rPr>
          <w:rFonts w:hint="eastAsia" w:ascii="宋体" w:hAnsi="宋体" w:cs="宋体"/>
          <w:color w:val="auto"/>
          <w:sz w:val="24"/>
          <w:szCs w:val="32"/>
          <w:highlight w:val="none"/>
          <w:u w:val="single"/>
        </w:rPr>
      </w:pPr>
      <w:r>
        <w:rPr>
          <w:rFonts w:hint="eastAsia" w:ascii="宋体" w:hAnsi="宋体" w:cs="宋体"/>
          <w:color w:val="auto"/>
          <w:sz w:val="24"/>
          <w:szCs w:val="32"/>
          <w:highlight w:val="none"/>
        </w:rPr>
        <w:t xml:space="preserve">帐    号：</w:t>
      </w:r>
      <w:r>
        <w:rPr>
          <w:rFonts w:hint="eastAsia" w:ascii="宋体" w:hAnsi="宋体" w:cs="宋体"/>
          <w:color w:val="auto"/>
          <w:sz w:val="24"/>
          <w:szCs w:val="32"/>
          <w:highlight w:val="none"/>
          <w:u w:val="single"/>
        </w:rPr>
        <w:t xml:space="preserve">        </w:t>
      </w:r>
      <w:r/>
    </w:p>
    <w:p>
      <w:pPr>
        <w:ind w:firstLine="48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ind w:firstLine="312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投标人名称：</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（加盖CA电子公章）</w:t>
      </w:r>
      <w:r/>
    </w:p>
    <w:p>
      <w:pPr>
        <w:ind w:firstLine="312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法定代表人：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（加盖CA电子签章）</w:t>
      </w:r>
      <w:r/>
    </w:p>
    <w:p>
      <w:pPr>
        <w:ind w:firstLine="3840"/>
        <w:jc w:val="left"/>
        <w:shd w:val="clear" w:color="auto" w:fill="auto"/>
        <w:rPr>
          <w:rFonts w:hint="eastAsia" w:ascii="宋体" w:hAnsi="宋体" w:cs="宋体"/>
          <w:color w:val="auto"/>
          <w:sz w:val="24"/>
          <w:highlight w:val="none"/>
        </w:rPr>
      </w:pPr>
      <w:r>
        <w:rPr>
          <w:rFonts w:hint="eastAsia" w:ascii="宋体" w:hAnsi="宋体" w:cs="宋体"/>
          <w:color w:val="auto"/>
          <w:sz w:val="24"/>
          <w:szCs w:val="32"/>
          <w:highlight w:val="none"/>
        </w:rPr>
        <w:t xml:space="preserve">日    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jc w:val="left"/>
        <w:shd w:val="clear" w:color="auto" w:fill="auto"/>
        <w:rPr>
          <w:rFonts w:hint="eastAsia" w:ascii="宋体" w:hAnsi="宋体" w:cs="宋体"/>
          <w:color w:val="auto"/>
          <w:sz w:val="18"/>
          <w:highlight w:val="none"/>
        </w:rPr>
      </w:pPr>
      <w:r>
        <w:rPr>
          <w:rFonts w:hint="eastAsia" w:ascii="宋体" w:hAnsi="宋体" w:cs="宋体"/>
          <w:color w:val="auto"/>
          <w:sz w:val="18"/>
          <w:highlight w:val="none"/>
        </w:rPr>
        <w:br w:type="page" w:clear="all"/>
      </w:r>
      <w:r/>
    </w:p>
    <w:p>
      <w:pPr>
        <w:jc w:val="center"/>
        <w:spacing w:line="400" w:lineRule="exact"/>
        <w:shd w:val="clear" w:color="auto" w:fill="auto"/>
        <w:rPr>
          <w:rFonts w:hint="eastAsia" w:ascii="宋体" w:hAnsi="宋体" w:eastAsia="宋体" w:cs="宋体"/>
          <w:b/>
          <w:color w:val="auto"/>
          <w:sz w:val="32"/>
          <w:szCs w:val="32"/>
          <w:highlight w:val="none"/>
        </w:rPr>
        <w:outlineLvl w:val="2"/>
      </w:pPr>
      <w:r/>
      <w:bookmarkStart w:id="183" w:name="_Toc503307476"/>
      <w:r/>
      <w:bookmarkStart w:id="184" w:name="_Toc503901979"/>
      <w:r/>
      <w:bookmarkStart w:id="185" w:name="_Toc211090872"/>
      <w:r/>
      <w:bookmarkStart w:id="186" w:name="_Toc432244528"/>
      <w:r/>
      <w:bookmarkStart w:id="187" w:name="_Toc144974831"/>
      <w:r>
        <w:rPr>
          <w:rFonts w:hint="eastAsia" w:ascii="宋体" w:hAnsi="宋体" w:eastAsia="宋体" w:cs="宋体"/>
          <w:b/>
          <w:color w:val="auto"/>
          <w:sz w:val="32"/>
          <w:szCs w:val="32"/>
          <w:highlight w:val="none"/>
        </w:rPr>
        <w:t xml:space="preserve">二、法定代表人身份证明及授权委托书</w:t>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㈠法定代表人身份证明</w:t>
      </w:r>
      <w:bookmarkEnd w:id="183"/>
      <w:r/>
      <w:bookmarkEnd w:id="184"/>
      <w:r/>
      <w:bookmarkEnd w:id="185"/>
      <w:r/>
      <w:bookmarkEnd w:id="186"/>
      <w:r/>
      <w:r/>
    </w:p>
    <w:p>
      <w:pPr>
        <w:shd w:val="clear" w:color="auto" w:fill="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shd w:val="clear" w:color="auto" w:fill="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投标人名称：</w:t>
      </w:r>
      <w:r>
        <w:rPr>
          <w:rFonts w:hint="eastAsia" w:ascii="宋体" w:hAnsi="宋体" w:cs="宋体"/>
          <w:color w:val="auto"/>
          <w:highlight w:val="none"/>
          <w:u w:val="single"/>
        </w:rPr>
        <w:t xml:space="preserve">                </w:t>
      </w:r>
      <w:r/>
    </w:p>
    <w:p>
      <w:pPr>
        <w:shd w:val="clear" w:color="auto" w:fill="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姓名：</w:t>
      </w:r>
      <w:r>
        <w:rPr>
          <w:rFonts w:hint="eastAsia" w:ascii="宋体" w:hAnsi="宋体" w:cs="宋体"/>
          <w:b/>
          <w:bCs/>
          <w:color w:val="auto"/>
          <w:sz w:val="24"/>
          <w:highlight w:val="none"/>
          <w:u w:val="single"/>
        </w:rPr>
        <w:t xml:space="preserve">（法定代表人姓名）</w:t>
      </w:r>
      <w:r>
        <w:rPr>
          <w:rFonts w:hint="eastAsia" w:ascii="宋体" w:hAnsi="宋体" w:cs="宋体"/>
          <w:bCs/>
          <w:color w:val="auto"/>
          <w:sz w:val="24"/>
          <w:highlight w:val="none"/>
        </w:rPr>
        <w:t xml:space="preserve">性别：</w:t>
      </w:r>
      <w:r>
        <w:rPr>
          <w:rFonts w:hint="eastAsia" w:ascii="宋体" w:hAnsi="宋体" w:cs="宋体"/>
          <w:color w:val="auto"/>
          <w:highlight w:val="none"/>
          <w:u w:val="single"/>
        </w:rPr>
        <w:t xml:space="preserve">        </w:t>
      </w:r>
      <w:r>
        <w:rPr>
          <w:rFonts w:hint="eastAsia" w:ascii="宋体" w:hAnsi="宋体" w:cs="宋体"/>
          <w:bCs/>
          <w:color w:val="auto"/>
          <w:sz w:val="24"/>
          <w:highlight w:val="none"/>
        </w:rPr>
        <w:t xml:space="preserve">年龄：</w:t>
      </w:r>
      <w:r>
        <w:rPr>
          <w:rFonts w:hint="eastAsia" w:ascii="宋体" w:hAnsi="宋体" w:cs="宋体"/>
          <w:color w:val="auto"/>
          <w:highlight w:val="none"/>
          <w:u w:val="single"/>
        </w:rPr>
        <w:t xml:space="preserve">        </w:t>
      </w:r>
      <w:r>
        <w:rPr>
          <w:rFonts w:hint="eastAsia" w:ascii="宋体" w:hAnsi="宋体" w:cs="宋体"/>
          <w:bCs/>
          <w:color w:val="auto"/>
          <w:sz w:val="24"/>
          <w:highlight w:val="none"/>
        </w:rPr>
        <w:t xml:space="preserve">职务：</w:t>
      </w:r>
      <w:r>
        <w:rPr>
          <w:rFonts w:hint="eastAsia" w:ascii="宋体" w:hAnsi="宋体" w:cs="宋体"/>
          <w:color w:val="auto"/>
          <w:highlight w:val="none"/>
          <w:u w:val="single"/>
        </w:rPr>
        <w:t xml:space="preserve">        </w:t>
      </w:r>
      <w:r/>
    </w:p>
    <w:p>
      <w:pPr>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t xml:space="preserve">系</w:t>
      </w:r>
      <w:r>
        <w:rPr>
          <w:rFonts w:hint="eastAsia" w:ascii="宋体" w:hAnsi="宋体" w:cs="宋体"/>
          <w:color w:val="auto"/>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Cs/>
          <w:color w:val="auto"/>
          <w:sz w:val="24"/>
          <w:highlight w:val="none"/>
        </w:rPr>
        <w:t xml:space="preserve"> (投标人名称)的法定代表人。</w:t>
      </w:r>
      <w:r/>
    </w:p>
    <w:p>
      <w:pPr>
        <w:ind w:firstLine="480"/>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t xml:space="preserve">特此证明。</w:t>
      </w:r>
      <w:r/>
    </w:p>
    <w:p>
      <w:pPr>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附：法定代表人身份证扫描件。</w:t>
      </w:r>
      <w:r/>
    </w:p>
    <w:p>
      <w:pPr>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hd w:val="clear" w:color="auto" w:fill="auto"/>
        <w:rPr>
          <w:rFonts w:hint="eastAsia" w:ascii="宋体" w:hAnsi="宋体" w:cs="宋体"/>
          <w:color w:val="auto"/>
          <w:sz w:val="24"/>
          <w:szCs w:val="32"/>
          <w:highlight w:val="none"/>
        </w:rPr>
      </w:pPr>
      <w:r>
        <w:rPr>
          <w:rFonts w:hint="eastAsia" w:ascii="宋体" w:hAnsi="宋体" w:cs="宋体"/>
          <w:bCs/>
          <w:color w:val="auto"/>
          <w:sz w:val="24"/>
          <w:highlight w:val="none"/>
        </w:rPr>
        <w:t xml:space="preserve">                             </w:t>
      </w:r>
      <w:r/>
    </w:p>
    <w:p>
      <w:pPr>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投标人名称：</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（加盖CA电子公章）</w:t>
      </w:r>
      <w:r/>
    </w:p>
    <w:p>
      <w:pPr>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法定代表人：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（加盖CA电子签章）</w:t>
      </w:r>
      <w:r/>
    </w:p>
    <w:p>
      <w:pPr>
        <w:ind w:firstLine="3840"/>
        <w:jc w:val="left"/>
        <w:shd w:val="clear" w:color="auto" w:fill="auto"/>
        <w:rPr>
          <w:rFonts w:hint="eastAsia" w:ascii="宋体" w:hAnsi="宋体" w:cs="宋体"/>
          <w:color w:val="auto"/>
          <w:sz w:val="24"/>
          <w:highlight w:val="none"/>
        </w:rPr>
      </w:pPr>
      <w:r>
        <w:rPr>
          <w:rFonts w:hint="eastAsia" w:ascii="宋体" w:hAnsi="宋体" w:cs="宋体"/>
          <w:color w:val="auto"/>
          <w:sz w:val="24"/>
          <w:szCs w:val="32"/>
          <w:highlight w:val="none"/>
        </w:rPr>
        <w:t xml:space="preserve">日    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jc w:val="center"/>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400" w:lineRule="atLeast"/>
        <w:shd w:val="clear" w:color="auto" w:fill="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jc w:val="center"/>
        <w:spacing w:line="400" w:lineRule="atLeast"/>
        <w:shd w:val="clear" w:color="auto" w:fill="auto"/>
        <w:rPr>
          <w:rFonts w:hint="eastAsia" w:ascii="宋体" w:hAnsi="宋体" w:cs="宋体"/>
          <w:bCs/>
          <w:color w:val="auto"/>
          <w:sz w:val="27"/>
          <w:szCs w:val="27"/>
          <w:highlight w:val="none"/>
        </w:rPr>
      </w:pPr>
      <w:r>
        <w:rPr>
          <w:rFonts w:hint="eastAsia" w:ascii="宋体" w:hAnsi="宋体" w:cs="宋体"/>
          <w:bCs/>
          <w:color w:val="auto"/>
          <w:sz w:val="27"/>
          <w:szCs w:val="27"/>
          <w:highlight w:val="none"/>
        </w:rPr>
      </w:r>
      <w:r/>
    </w:p>
    <w:p>
      <w:pPr>
        <w:pStyle w:val="1080"/>
        <w:ind w:left="0"/>
        <w:shd w:val="clear" w:color="auto" w:fil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80"/>
        <w:ind w:left="0"/>
        <w:shd w:val="clear" w:color="auto" w:fil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hd w:val="clear" w:color="auto" w:fill="auto"/>
        <w:rPr>
          <w:rFonts w:hint="eastAsia" w:ascii="宋体" w:hAnsi="宋体" w:cs="宋体"/>
          <w:b/>
          <w:color w:val="auto"/>
          <w:highlight w:val="none"/>
        </w:rPr>
      </w:pPr>
      <w:r>
        <w:rPr>
          <w:rFonts w:hint="eastAsia" w:ascii="宋体" w:hAnsi="宋体" w:cs="宋体"/>
          <w:b/>
          <w:color w:val="auto"/>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㈡</w:t>
      </w:r>
      <w:r>
        <w:rPr>
          <w:rFonts w:hint="eastAsia" w:ascii="宋体" w:hAnsi="宋体" w:cs="宋体"/>
          <w:b/>
          <w:color w:val="auto"/>
          <w:sz w:val="32"/>
          <w:szCs w:val="32"/>
          <w:highlight w:val="none"/>
          <w:lang w:val="en-US" w:eastAsia="zh-CN"/>
        </w:rPr>
        <w:t xml:space="preserve">委托授权书</w:t>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ind w:firstLine="960"/>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本人         （姓名）系          （投标人名称）的法定代表人，现委托        （姓名）</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为我方代理人。代理人根据授权，以我方名义签署、澄清、说明、补正、递交、撤回、修改           （项目名称）           </w:t>
      </w:r>
      <w:r>
        <w:rPr>
          <w:rFonts w:hint="eastAsia" w:ascii="宋体" w:hAnsi="宋体" w:eastAsia="宋体" w:cs="宋体"/>
          <w:bCs/>
          <w:color w:val="auto"/>
          <w:sz w:val="24"/>
          <w:highlight w:val="none"/>
          <w:lang w:eastAsia="zh-CN"/>
        </w:rPr>
        <w:t xml:space="preserve">项目</w:t>
      </w:r>
      <w:r>
        <w:rPr>
          <w:rFonts w:hint="eastAsia" w:ascii="宋体" w:hAnsi="宋体" w:eastAsia="宋体" w:cs="宋体"/>
          <w:bCs/>
          <w:color w:val="auto"/>
          <w:sz w:val="24"/>
          <w:highlight w:val="none"/>
        </w:rPr>
        <w:t xml:space="preserve">施工投标文件、签订合同和处理有关事宜，其法律后果由我方承担。</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委托期限：                          。</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代理人无转委托权。</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附：</w:t>
      </w:r>
      <w:r>
        <w:rPr>
          <w:rFonts w:hint="eastAsia" w:ascii="宋体" w:hAnsi="宋体" w:eastAsia="宋体" w:cs="宋体"/>
          <w:bCs/>
          <w:color w:val="auto"/>
          <w:sz w:val="24"/>
          <w:highlight w:val="none"/>
          <w:lang w:eastAsia="zh-CN"/>
        </w:rPr>
        <w:t xml:space="preserve">委托代理人</w:t>
      </w:r>
      <w:r>
        <w:rPr>
          <w:rFonts w:hint="eastAsia" w:ascii="宋体" w:hAnsi="宋体" w:eastAsia="宋体" w:cs="宋体"/>
          <w:bCs/>
          <w:color w:val="auto"/>
          <w:sz w:val="24"/>
          <w:highlight w:val="none"/>
        </w:rPr>
        <w:t xml:space="preserve">身份证</w:t>
      </w:r>
      <w:r>
        <w:rPr>
          <w:rFonts w:hint="eastAsia" w:ascii="宋体" w:hAnsi="宋体" w:cs="宋体"/>
          <w:color w:val="auto"/>
          <w:sz w:val="24"/>
          <w:highlight w:val="none"/>
        </w:rPr>
        <w:t xml:space="preserve">扫描件。</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                               （盖单位</w:t>
      </w:r>
      <w:r>
        <w:rPr>
          <w:rFonts w:hint="eastAsia" w:ascii="宋体" w:hAnsi="宋体" w:eastAsia="宋体" w:cs="宋体"/>
          <w:bCs/>
          <w:color w:val="auto"/>
          <w:sz w:val="24"/>
          <w:highlight w:val="none"/>
          <w:lang w:eastAsia="zh-CN"/>
        </w:rPr>
        <w:t xml:space="preserve">公</w:t>
      </w:r>
      <w:r>
        <w:rPr>
          <w:rFonts w:hint="eastAsia" w:ascii="宋体" w:hAnsi="宋体" w:eastAsia="宋体" w:cs="宋体"/>
          <w:bCs/>
          <w:color w:val="auto"/>
          <w:sz w:val="24"/>
          <w:highlight w:val="none"/>
        </w:rPr>
        <w:t xml:space="preserve">章）</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（签字或印章）</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身份证号码：                                     </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委托代理人：                                   </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委托代理人联系号码：                                   </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身份证号码：                                      </w:t>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r/>
    </w:p>
    <w:p>
      <w:pPr>
        <w:pStyle w:val="1129"/>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shd w:val="clear" w:color="auto" w:fill="auto"/>
        <w:rPr>
          <w:rFonts w:hint="eastAsia" w:ascii="宋体" w:hAnsi="宋体" w:cs="宋体"/>
          <w:b/>
          <w:color w:val="auto"/>
          <w:highlight w:val="none"/>
        </w:rPr>
      </w:pPr>
      <w:r>
        <w:rPr>
          <w:rFonts w:hint="eastAsia" w:ascii="宋体" w:hAnsi="宋体" w:cs="宋体"/>
          <w:b/>
          <w:color w:val="auto"/>
          <w:highlight w:val="none"/>
        </w:rPr>
      </w:r>
      <w:r/>
    </w:p>
    <w:p>
      <w:pPr>
        <w:jc w:val="center"/>
        <w:keepLines w:val="0"/>
        <w:keepNext w:val="0"/>
        <w:pageBreakBefore w:val="0"/>
        <w:spacing w:line="360" w:lineRule="auto"/>
        <w:shd w:val="clear" w:color="auto" w:fill="auto"/>
        <w:widowControl w:val="off"/>
        <w:rPr>
          <w:rFonts w:hint="eastAsia" w:ascii="宋体" w:hAnsi="宋体" w:eastAsia="宋体" w:cs="宋体"/>
          <w:color w:val="auto"/>
          <w:sz w:val="28"/>
          <w:szCs w:val="28"/>
          <w:highlight w:val="none"/>
        </w:rPr>
        <w:outlineLvl w:val="2"/>
      </w:pPr>
      <w:r>
        <w:rPr>
          <w:rFonts w:hint="eastAsia" w:ascii="宋体" w:hAnsi="宋体" w:cs="宋体"/>
          <w:color w:val="auto"/>
          <w:sz w:val="24"/>
          <w:highlight w:val="none"/>
        </w:rPr>
        <w:br w:type="page" w:clear="all"/>
      </w:r>
      <w:bookmarkStart w:id="188" w:name="_Toc211090873"/>
      <w:r/>
      <w:bookmarkStart w:id="189" w:name="_Toc432244529"/>
      <w:r/>
      <w:bookmarkStart w:id="190" w:name="_Toc503901980"/>
      <w:r/>
      <w:bookmarkStart w:id="191" w:name="_Toc503307478"/>
      <w:r>
        <w:rPr>
          <w:rFonts w:hint="eastAsia" w:ascii="宋体" w:hAnsi="宋体" w:cs="宋体"/>
          <w:b/>
          <w:color w:val="auto"/>
          <w:sz w:val="32"/>
          <w:szCs w:val="32"/>
          <w:highlight w:val="none"/>
        </w:rPr>
        <w:t xml:space="preserve">三、</w:t>
      </w:r>
      <w:bookmarkEnd w:id="187"/>
      <w:r/>
      <w:bookmarkEnd w:id="188"/>
      <w:r/>
      <w:bookmarkEnd w:id="189"/>
      <w:r/>
      <w:bookmarkEnd w:id="190"/>
      <w:r/>
      <w:bookmarkEnd w:id="191"/>
      <w:r/>
      <w:bookmarkStart w:id="192" w:name="_Toc211090874"/>
      <w:r/>
      <w:bookmarkStart w:id="193" w:name="_Toc432244532"/>
      <w:r/>
      <w:bookmarkStart w:id="194" w:name="_Toc503307480"/>
      <w:r/>
      <w:bookmarkStart w:id="195" w:name="_Toc503901982"/>
      <w:r>
        <w:rPr>
          <w:rFonts w:hint="eastAsia" w:ascii="宋体" w:hAnsi="宋体" w:eastAsia="宋体" w:cs="宋体"/>
          <w:b/>
          <w:color w:val="auto"/>
          <w:sz w:val="30"/>
          <w:szCs w:val="30"/>
          <w:highlight w:val="none"/>
        </w:rPr>
        <w:t xml:space="preserve">全费用工程量清单投标报价单</w:t>
      </w:r>
      <w:r/>
    </w:p>
    <w:tbl>
      <w:tblPr>
        <w:tblStyle w:val="847"/>
        <w:tblW w:w="9211" w:type="dxa"/>
        <w:tblInd w:w="0" w:type="dxa"/>
        <w:tblLayout w:type="fixed"/>
        <w:tblCellMar>
          <w:left w:w="108" w:type="dxa"/>
          <w:top w:w="0" w:type="dxa"/>
          <w:right w:w="108" w:type="dxa"/>
          <w:bottom w:w="0" w:type="dxa"/>
        </w:tblCellMar>
        <w:tblLook w:val="04A0" w:firstRow="1" w:lastRow="0" w:firstColumn="1" w:lastColumn="0" w:noHBand="0" w:noVBand="1"/>
      </w:tblPr>
      <w:tblGrid>
        <w:gridCol w:w="557"/>
        <w:gridCol w:w="1556"/>
        <w:gridCol w:w="3613"/>
        <w:gridCol w:w="640"/>
        <w:gridCol w:w="974"/>
        <w:gridCol w:w="1000"/>
        <w:gridCol w:w="871"/>
      </w:tblGrid>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特征描述</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综合单价</w:t>
            </w:r>
            <w:r/>
          </w:p>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合价</w:t>
            </w:r>
            <w:r/>
          </w:p>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（元）</w:t>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1.报价规定:</w:t>
            </w:r>
            <w:r>
              <w:rPr>
                <w:rFonts w:hint="eastAsia" w:ascii="宋体" w:hAnsi="宋体" w:eastAsia="宋体" w:cs="宋体"/>
                <w:b/>
                <w:bCs/>
                <w:i w:val="0"/>
                <w:iCs w:val="0"/>
                <w:color w:val="auto"/>
                <w:sz w:val="24"/>
                <w:szCs w:val="24"/>
                <w:highlight w:val="none"/>
                <w:u w:val="none"/>
                <w:lang w:val="en-US" w:eastAsia="zh-CN" w:bidi="ar"/>
              </w:rPr>
              <w:t xml:space="preserve">本暂列金30000元为不可竞争费用，</w:t>
            </w:r>
            <w:r>
              <w:rPr>
                <w:rFonts w:hint="eastAsia" w:ascii="宋体" w:hAnsi="宋体" w:cs="宋体"/>
                <w:b/>
                <w:bCs/>
                <w:i w:val="0"/>
                <w:iCs w:val="0"/>
                <w:color w:val="auto"/>
                <w:sz w:val="24"/>
                <w:szCs w:val="24"/>
                <w:highlight w:val="none"/>
                <w:u w:val="none"/>
                <w:lang w:val="en-US" w:eastAsia="zh-CN" w:bidi="ar"/>
              </w:rPr>
              <w:t xml:space="preserve">属于不可竞争项，</w:t>
            </w:r>
            <w:r>
              <w:rPr>
                <w:rFonts w:hint="eastAsia" w:ascii="宋体" w:hAnsi="宋体" w:eastAsia="宋体" w:cs="宋体"/>
                <w:b/>
                <w:bCs/>
                <w:i w:val="0"/>
                <w:iCs w:val="0"/>
                <w:color w:val="auto"/>
                <w:sz w:val="24"/>
                <w:szCs w:val="24"/>
                <w:highlight w:val="none"/>
                <w:u w:val="none"/>
                <w:lang w:val="en-US" w:eastAsia="zh-CN" w:bidi="ar"/>
              </w:rPr>
              <w:t xml:space="preserve">投标人投标报价中变动本暂列金的投标评审中视为无效标。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30000</w:t>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both"/>
              <w:spacing w:line="240" w:lineRule="auto"/>
              <w:shd w:val="clear" w:color="auto" w:fil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安全生产费</w:t>
            </w:r>
            <w:r/>
          </w:p>
        </w:tc>
        <w:tc>
          <w:tcPr>
            <w:shd w:val="clear" w:color="auto" w:fill="auto"/>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keepLines w:val="0"/>
              <w:keepNext w:val="0"/>
              <w:pageBreakBefore w:val="0"/>
              <w:spacing w:line="288" w:lineRule="auto"/>
              <w:shd w:val="clear" w:color="auto" w:fill="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1.报价金额：安全生产费用为24000元。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2.报价规定：</w:t>
            </w:r>
            <w:r>
              <w:rPr>
                <w:rFonts w:hint="eastAsia" w:ascii="宋体" w:hAnsi="宋体" w:eastAsia="宋体" w:cs="宋体"/>
                <w:b/>
                <w:bCs/>
                <w:i w:val="0"/>
                <w:iCs w:val="0"/>
                <w:color w:val="auto"/>
                <w:sz w:val="24"/>
                <w:szCs w:val="24"/>
                <w:highlight w:val="none"/>
                <w:u w:val="none"/>
                <w:lang w:val="en-US" w:eastAsia="zh-CN" w:bidi="ar"/>
              </w:rPr>
              <w:t xml:space="preserve">本项为不可竞争费用，未报价或报价没有按照上述金额计算的投标文件均做无效标处理。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24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spacing w:line="24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24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24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24000</w:t>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8340"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spacing w:line="24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jc w:val="left"/>
        <w:spacing w:line="400" w:lineRule="exact"/>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投标人应按照上述全费用工程量清单投标报价单要求逐项填报工程量清单。投标人不得擅自修改工程量清单项目名称、计量单位、工程数量或运算定义等，否则一律按否决投标处理。</w:t>
      </w:r>
      <w:r/>
    </w:p>
    <w:p>
      <w:pPr>
        <w:pStyle w:val="1072"/>
        <w:ind w:firstLine="411"/>
        <w:jc w:val="center"/>
        <w:shd w:val="clear" w:color="auto" w:fill="auto"/>
        <w:rPr>
          <w:rFonts w:hint="eastAsia" w:hAnsi="宋体" w:cs="宋体"/>
          <w:b/>
          <w:bCs/>
          <w:color w:val="auto"/>
          <w:sz w:val="32"/>
          <w:szCs w:val="32"/>
          <w:highlight w:val="none"/>
        </w:rPr>
      </w:pPr>
      <w:r>
        <w:rPr>
          <w:rFonts w:hint="eastAsia" w:hAnsi="宋体" w:cs="宋体"/>
          <w:b/>
          <w:bCs/>
          <w:color w:val="auto"/>
          <w:sz w:val="32"/>
          <w:szCs w:val="32"/>
          <w:highlight w:val="none"/>
        </w:rPr>
        <w:t xml:space="preserve">四、全费用工程量清单投标报价单分析表</w:t>
      </w:r>
      <w:r/>
    </w:p>
    <w:p>
      <w:pPr>
        <w:ind w:firstLine="482"/>
        <w:jc w:val="left"/>
        <w:shd w:val="clear" w:color="auto" w:fil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（全费用工程量清单投标报价单分析表格式由投标人自拟，附表仅供参考，提供的全费用工程量清单投标报价单分析表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总价应与全费用工程量清单投标报价总价一致，</w:t>
      </w:r>
      <w:r>
        <w:rPr>
          <w:rFonts w:hint="eastAsia" w:ascii="宋体" w:hAnsi="宋体" w:cs="宋体"/>
          <w:b/>
          <w:bCs/>
          <w:color w:val="auto"/>
          <w:sz w:val="24"/>
          <w:highlight w:val="none"/>
        </w:rPr>
        <w:t xml:space="preserve">未提供的做无效标处理</w:t>
      </w:r>
      <w:r>
        <w:rPr>
          <w:rFonts w:hint="eastAsia" w:ascii="宋体" w:hAnsi="宋体" w:cs="宋体"/>
          <w:b w:val="0"/>
          <w:bCs w:val="0"/>
          <w:color w:val="auto"/>
          <w:sz w:val="24"/>
          <w:highlight w:val="none"/>
        </w:rPr>
        <w:t xml:space="preserve">）</w:t>
      </w:r>
      <w:r/>
    </w:p>
    <w:tbl>
      <w:tblPr>
        <w:tblStyle w:val="847"/>
        <w:tblW w:w="91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067"/>
        <w:gridCol w:w="875"/>
        <w:gridCol w:w="799"/>
        <w:gridCol w:w="404"/>
        <w:gridCol w:w="404"/>
        <w:gridCol w:w="404"/>
        <w:gridCol w:w="404"/>
        <w:gridCol w:w="404"/>
        <w:gridCol w:w="404"/>
        <w:gridCol w:w="404"/>
        <w:gridCol w:w="404"/>
        <w:gridCol w:w="404"/>
        <w:gridCol w:w="404"/>
        <w:gridCol w:w="618"/>
        <w:gridCol w:w="839"/>
      </w:tblGrid>
      <w:tr>
        <w:trPr>
          <w:trHeight w:val="300"/>
        </w:trPr>
        <w:tc>
          <w:tcPr>
            <w:gridSpan w:val="16"/>
            <w:tcBorders>
              <w:top w:val="none" w:color="000000" w:sz="4" w:space="0"/>
              <w:left w:val="none" w:color="000000" w:sz="4" w:space="0"/>
              <w:bottom w:val="none" w:color="000000" w:sz="4" w:space="0"/>
              <w:right w:val="none" w:color="000000" w:sz="4" w:space="0"/>
            </w:tcBorders>
            <w:tcW w:w="9136" w:type="dxa"/>
            <w:vAlign w:val="center"/>
            <w:textDirection w:val="lrTb"/>
            <w:noWrap/>
          </w:tcPr>
          <w:p>
            <w:pPr>
              <w:jc w:val="center"/>
              <w:keepLines w:val="0"/>
              <w:keepNext w:val="0"/>
              <w:shd w:val="clear" w:color="auto" w:fill="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全费用工程量清单投标报价单分析表</w:t>
            </w:r>
            <w:r/>
          </w:p>
        </w:tc>
      </w:tr>
      <w:tr>
        <w:trPr>
          <w:trHeight w:val="300"/>
        </w:trPr>
        <w:tc>
          <w:tcPr>
            <w:gridSpan w:val="13"/>
            <w:tcBorders>
              <w:top w:val="none" w:color="000000" w:sz="4" w:space="0"/>
              <w:left w:val="none" w:color="000000" w:sz="4" w:space="0"/>
              <w:bottom w:val="none" w:color="000000" w:sz="4" w:space="0"/>
              <w:right w:val="none" w:color="000000" w:sz="4" w:space="0"/>
            </w:tcBorders>
            <w:tcW w:w="7275" w:type="dxa"/>
            <w:vAlign w:val="center"/>
            <w:textDirection w:val="lrTb"/>
            <w:noWrap/>
          </w:tcPr>
          <w:p>
            <w:pPr>
              <w:jc w:val="left"/>
              <w:keepLines w:val="0"/>
              <w:keepNext w:val="0"/>
              <w:shd w:val="clear" w:color="auto" w:fill="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工程名称：</w:t>
            </w:r>
            <w:r/>
          </w:p>
        </w:tc>
        <w:tc>
          <w:tcPr>
            <w:tcBorders>
              <w:top w:val="none" w:color="000000" w:sz="4" w:space="0"/>
              <w:left w:val="none" w:color="000000" w:sz="4" w:space="0"/>
              <w:bottom w:val="none" w:color="000000" w:sz="4" w:space="0"/>
              <w:right w:val="none" w:color="000000" w:sz="4" w:space="0"/>
            </w:tcBorders>
            <w:tcW w:w="404"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页</w:t>
            </w:r>
            <w:r/>
          </w:p>
        </w:tc>
        <w:tc>
          <w:tcPr>
            <w:tcBorders>
              <w:top w:val="none" w:color="000000" w:sz="4" w:space="0"/>
              <w:left w:val="none" w:color="000000" w:sz="4" w:space="0"/>
              <w:bottom w:val="none" w:color="000000" w:sz="4" w:space="0"/>
              <w:right w:val="none" w:color="000000" w:sz="4" w:space="0"/>
            </w:tcBorders>
            <w:tcW w:w="618"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共</w:t>
            </w:r>
            <w:r/>
          </w:p>
        </w:tc>
        <w:tc>
          <w:tcPr>
            <w:tcBorders>
              <w:top w:val="none" w:color="000000" w:sz="4" w:space="0"/>
              <w:left w:val="none" w:color="000000" w:sz="4" w:space="0"/>
              <w:bottom w:val="none" w:color="000000" w:sz="4" w:space="0"/>
              <w:right w:val="none" w:color="000000" w:sz="4" w:space="0"/>
            </w:tcBorders>
            <w:tcW w:w="839" w:type="dxa"/>
            <w:vAlign w:val="center"/>
            <w:textDirection w:val="lrTb"/>
            <w:noWrap/>
          </w:tcPr>
          <w:p>
            <w:pPr>
              <w:jc w:val="right"/>
              <w:keepLines w:val="0"/>
              <w:keepNext w:val="0"/>
              <w:shd w:val="clear" w:color="auto" w:fill="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页</w:t>
            </w:r>
            <w:r/>
          </w:p>
        </w:tc>
      </w:tr>
      <w:tr>
        <w:trPr>
          <w:trHeight w:val="300"/>
        </w:trPr>
        <w:tc>
          <w:tcPr>
            <w:tcBorders>
              <w:top w:val="single" w:color="000000" w:sz="8" w:space="0"/>
              <w:left w:val="single" w:color="000000" w:sz="8" w:space="0"/>
              <w:bottom w:val="single" w:color="000000" w:sz="4" w:space="0"/>
              <w:right w:val="single" w:color="000000" w:sz="4" w:space="0"/>
            </w:tcBorders>
            <w:tcW w:w="898"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编号</w:t>
            </w:r>
            <w:r/>
          </w:p>
        </w:tc>
        <w:tc>
          <w:tcPr>
            <w:tcBorders>
              <w:top w:val="single" w:color="000000" w:sz="8"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清单项目/计价项目名称</w:t>
            </w:r>
            <w:r/>
          </w:p>
        </w:tc>
        <w:tc>
          <w:tcPr>
            <w:tcBorders>
              <w:top w:val="single" w:color="000000" w:sz="8"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计价定额编号</w:t>
            </w:r>
            <w:r/>
          </w:p>
        </w:tc>
        <w:tc>
          <w:tcPr>
            <w:tcBorders>
              <w:top w:val="single" w:color="000000" w:sz="8" w:space="0"/>
              <w:left w:val="single" w:color="000000" w:sz="4" w:space="0"/>
              <w:bottom w:val="single" w:color="000000" w:sz="4" w:space="0"/>
              <w:right w:val="single" w:color="000000" w:sz="4" w:space="0"/>
            </w:tcBorders>
            <w:tcW w:w="799"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项目特征表述</w:t>
            </w:r>
            <w:r/>
          </w:p>
        </w:tc>
        <w:tc>
          <w:tcPr>
            <w:tcBorders>
              <w:top w:val="single" w:color="000000" w:sz="8" w:space="0"/>
              <w:left w:val="single" w:color="000000" w:sz="4" w:space="0"/>
              <w:bottom w:val="single" w:color="000000" w:sz="4" w:space="0"/>
              <w:right w:val="single" w:color="000000" w:sz="4" w:space="0"/>
            </w:tcBorders>
            <w:tcW w:w="404"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404" w:type="dxa"/>
            <w:vAlign w:val="center"/>
            <w:vMerge w:val="restart"/>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工程量</w:t>
            </w:r>
            <w:r/>
          </w:p>
        </w:tc>
        <w:tc>
          <w:tcPr>
            <w:gridSpan w:val="9"/>
            <w:tcBorders>
              <w:top w:val="single" w:color="000000" w:sz="8" w:space="0"/>
              <w:left w:val="single" w:color="000000" w:sz="4" w:space="0"/>
              <w:bottom w:val="single" w:color="000000" w:sz="4" w:space="0"/>
              <w:right w:val="single" w:color="000000" w:sz="4" w:space="0"/>
            </w:tcBorders>
            <w:tcW w:w="3850"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全费用综合单价（元）</w:t>
            </w:r>
            <w:r/>
          </w:p>
        </w:tc>
        <w:tc>
          <w:tcPr>
            <w:tcBorders>
              <w:top w:val="single" w:color="000000" w:sz="8" w:space="0"/>
              <w:left w:val="single" w:color="000000" w:sz="4" w:space="0"/>
              <w:bottom w:val="single" w:color="000000" w:sz="4" w:space="0"/>
              <w:right w:val="single" w:color="000000" w:sz="8" w:space="0"/>
            </w:tcBorders>
            <w:tcW w:w="839" w:type="dxa"/>
            <w:vAlign w:val="center"/>
            <w:vMerge w:val="restart"/>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全费用合价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trHeight w:val="880"/>
        </w:trPr>
        <w:tc>
          <w:tcPr>
            <w:tcBorders>
              <w:top w:val="single" w:color="000000" w:sz="8" w:space="0"/>
              <w:left w:val="single" w:color="000000" w:sz="8" w:space="0"/>
              <w:bottom w:val="single" w:color="000000" w:sz="4" w:space="0"/>
              <w:right w:val="single" w:color="000000" w:sz="4" w:space="0"/>
            </w:tcBorders>
            <w:tcW w:w="898"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4" w:space="0"/>
              <w:bottom w:val="single" w:color="000000" w:sz="4" w:space="0"/>
              <w:right w:val="single" w:color="000000" w:sz="4" w:space="0"/>
            </w:tcBorders>
            <w:tcW w:w="799"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4" w:space="0"/>
              <w:bottom w:val="single" w:color="000000" w:sz="4" w:space="0"/>
              <w:right w:val="single" w:color="000000" w:sz="4" w:space="0"/>
            </w:tcBorders>
            <w:tcW w:w="404"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4" w:space="0"/>
              <w:bottom w:val="single" w:color="000000" w:sz="4" w:space="0"/>
              <w:right w:val="single" w:color="000000" w:sz="4" w:space="0"/>
            </w:tcBorders>
            <w:tcW w:w="404"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材料费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其他间接费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规费</w:t>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w:t>
            </w:r>
            <w:r/>
          </w:p>
        </w:tc>
        <w:tc>
          <w:tcPr>
            <w:tcBorders>
              <w:top w:val="single" w:color="000000" w:sz="8" w:space="0"/>
              <w:left w:val="single" w:color="000000" w:sz="4" w:space="0"/>
              <w:bottom w:val="single" w:color="000000" w:sz="4" w:space="0"/>
              <w:right w:val="single" w:color="000000" w:sz="8" w:space="0"/>
            </w:tcBorders>
            <w:tcW w:w="839"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{清单项目名称}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{计价项目名称}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{清单项目名称}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{计价项目名称}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4" w:space="0"/>
              <w:right w:val="single" w:color="000000" w:sz="4" w:space="0"/>
            </w:tcBorders>
            <w:tcW w:w="898" w:type="dxa"/>
            <w:vAlign w:val="center"/>
            <w:textDirection w:val="lrTb"/>
            <w:noWrap/>
          </w:tcPr>
          <w:p>
            <w:pPr>
              <w:jc w:val="cente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本页小计金额</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8" w:space="0"/>
              <w:bottom w:val="single" w:color="000000" w:sz="8" w:space="0"/>
              <w:right w:val="single" w:color="000000" w:sz="4" w:space="0"/>
            </w:tcBorders>
            <w:tcW w:w="89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8" w:space="0"/>
              <w:right w:val="single" w:color="000000" w:sz="4" w:space="0"/>
            </w:tcBorders>
            <w:tcW w:w="1942" w:type="dxa"/>
            <w:vAlign w:val="center"/>
            <w:textDirection w:val="lrTb"/>
            <w:noWrap/>
          </w:tcPr>
          <w:p>
            <w:pPr>
              <w:jc w:val="center"/>
              <w:keepLines w:val="0"/>
              <w:keepNext w:val="0"/>
              <w:spacing w:line="240" w:lineRule="auto"/>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累计总价金额</w:t>
            </w:r>
            <w:r/>
          </w:p>
        </w:tc>
        <w:tc>
          <w:tcPr>
            <w:tcBorders>
              <w:top w:val="single" w:color="000000" w:sz="4" w:space="0"/>
              <w:left w:val="single" w:color="000000" w:sz="4" w:space="0"/>
              <w:bottom w:val="single" w:color="000000" w:sz="8" w:space="0"/>
              <w:right w:val="single" w:color="000000" w:sz="4" w:space="0"/>
            </w:tcBorders>
            <w:tcW w:w="79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4" w:space="0"/>
            </w:tcBorders>
            <w:tcW w:w="618"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8" w:space="0"/>
              <w:right w:val="single" w:color="000000" w:sz="8" w:space="0"/>
            </w:tcBorders>
            <w:tcW w:w="839" w:type="dxa"/>
            <w:vAlign w:val="center"/>
            <w:textDirection w:val="lrTb"/>
            <w:noWrap/>
          </w:tcPr>
          <w:p>
            <w:pPr>
              <w:spacing w:line="240" w:lineRule="auto"/>
              <w:shd w:val="clear" w:color="auto" w:fil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r>
      <w:r/>
    </w:p>
    <w:p>
      <w:pPr>
        <w:jc w:val="center"/>
        <w:spacing w:line="400" w:lineRule="exact"/>
        <w:shd w:val="clear" w:color="auto" w:fill="auto"/>
        <w:rPr>
          <w:rFonts w:hint="eastAsia"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五、施工组织设计</w:t>
      </w:r>
      <w:bookmarkEnd w:id="192"/>
      <w:r/>
      <w:bookmarkEnd w:id="193"/>
      <w:bookmarkEnd w:id="194"/>
      <w:bookmarkEnd w:id="195"/>
      <w:r/>
    </w:p>
    <w:p>
      <w:pP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hd w:val="clear" w:color="auto" w:fill="auto"/>
        <w:widowControl/>
        <w:rPr>
          <w:rFonts w:hint="eastAsia" w:ascii="宋体" w:hAnsi="宋体" w:cs="宋体"/>
          <w:color w:val="auto"/>
          <w:sz w:val="24"/>
          <w:szCs w:val="21"/>
          <w:highlight w:val="none"/>
        </w:rPr>
      </w:pPr>
      <w:r/>
      <w:bookmarkStart w:id="196" w:name="_Toc503901984"/>
      <w:r/>
      <w:bookmarkStart w:id="197" w:name="_Toc503307482"/>
      <w:r/>
      <w:bookmarkStart w:id="198" w:name="_Toc432244534"/>
      <w:r>
        <w:rPr>
          <w:rFonts w:hint="eastAsia" w:ascii="宋体" w:hAnsi="宋体" w:cs="宋体"/>
          <w:color w:val="auto"/>
          <w:sz w:val="24"/>
          <w:szCs w:val="21"/>
          <w:highlight w:val="none"/>
        </w:rPr>
        <w:t xml:space="preserve">㈠总体施工方案</w:t>
      </w:r>
      <w:r/>
    </w:p>
    <w:p>
      <w:pPr>
        <w:jc w:val="left"/>
        <w:shd w:val="clear" w:color="auto" w:fill="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㈡重、难点分析</w:t>
      </w:r>
      <w:r/>
    </w:p>
    <w:p>
      <w:pPr>
        <w:jc w:val="left"/>
        <w:shd w:val="clear" w:color="auto" w:fill="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㈢安全保证措施</w:t>
      </w:r>
      <w:r/>
    </w:p>
    <w:p>
      <w:pPr>
        <w:jc w:val="left"/>
        <w:shd w:val="clear" w:color="auto" w:fill="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㈣质量、进度、环保等措施及合理化建议</w:t>
      </w:r>
      <w:r/>
    </w:p>
    <w:p>
      <w:pPr>
        <w:jc w:val="left"/>
        <w:shd w:val="clear" w:color="auto" w:fill="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jc w:val="center"/>
        <w:shd w:val="clear" w:color="auto" w:fill="auto"/>
        <w:widowControl/>
        <w:rPr>
          <w:rFonts w:hint="eastAsia" w:ascii="宋体" w:hAnsi="宋体" w:cs="宋体"/>
          <w:b/>
          <w:color w:val="auto"/>
          <w:sz w:val="32"/>
          <w:szCs w:val="32"/>
          <w:highlight w:val="none"/>
        </w:rPr>
      </w:pPr>
      <w:r>
        <w:rPr>
          <w:rFonts w:hint="eastAsia" w:ascii="宋体" w:hAnsi="宋体" w:cs="宋体"/>
          <w:color w:val="auto"/>
          <w:sz w:val="24"/>
          <w:szCs w:val="21"/>
          <w:highlight w:val="none"/>
        </w:rPr>
        <w:br w:type="page" w:clear="all"/>
      </w:r>
      <w:bookmarkStart w:id="199" w:name="_Toc211090875"/>
      <w:r>
        <w:rPr>
          <w:rFonts w:hint="eastAsia" w:ascii="宋体" w:hAnsi="宋体" w:cs="宋体"/>
          <w:b/>
          <w:color w:val="auto"/>
          <w:sz w:val="32"/>
          <w:szCs w:val="32"/>
          <w:highlight w:val="none"/>
        </w:rPr>
        <w:t xml:space="preserve">六、</w:t>
      </w:r>
      <w:bookmarkEnd w:id="196"/>
      <w:r/>
      <w:bookmarkEnd w:id="197"/>
      <w:r/>
      <w:bookmarkEnd w:id="198"/>
      <w:r>
        <w:rPr>
          <w:rFonts w:hint="eastAsia" w:ascii="宋体" w:hAnsi="宋体" w:cs="宋体"/>
          <w:b/>
          <w:color w:val="auto"/>
          <w:sz w:val="32"/>
          <w:szCs w:val="32"/>
          <w:highlight w:val="none"/>
        </w:rPr>
        <w:t xml:space="preserve">资格审查资料</w:t>
      </w:r>
      <w:bookmarkEnd w:id="199"/>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jc w:val="center"/>
        <w:spacing w:before="120"/>
        <w:shd w:val="clear" w:color="auto" w:fill="auto"/>
        <w:tabs>
          <w:tab w:val="left" w:pos="5580" w:leader="none"/>
        </w:tabs>
        <w:rPr>
          <w:rFonts w:hint="eastAsia" w:ascii="宋体" w:hAnsi="宋体" w:cs="宋体"/>
          <w:b/>
          <w:color w:val="auto"/>
          <w:sz w:val="28"/>
          <w:szCs w:val="32"/>
          <w:highlight w:val="none"/>
        </w:rPr>
      </w:pPr>
      <w:r>
        <w:rPr>
          <w:rFonts w:hint="eastAsia" w:ascii="宋体" w:hAnsi="宋体" w:cs="宋体"/>
          <w:b/>
          <w:color w:val="auto"/>
          <w:sz w:val="28"/>
          <w:szCs w:val="32"/>
          <w:highlight w:val="none"/>
        </w:rPr>
        <w:t xml:space="preserve">政府采购信用承诺书</w:t>
      </w:r>
      <w:r/>
    </w:p>
    <w:p>
      <w:pPr>
        <w:ind w:firstLine="480"/>
        <w:shd w:val="clear" w:color="auto" w:fill="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p>
    <w:p>
      <w:pPr>
        <w:ind w:firstLine="480"/>
        <w:shd w:val="clear" w:color="auto" w:fill="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p>
    <w:p>
      <w:pPr>
        <w:ind w:firstLine="480"/>
        <w:shd w:val="clear" w:color="auto" w:fill="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如有弄虚作假或其他违法违规行为，愿承担一切法律责任，接受各级政府采购监管部门和有权机关的审查和处罚。</w:t>
      </w:r>
      <w:r/>
    </w:p>
    <w:p>
      <w:pPr>
        <w:spacing w:before="120"/>
        <w:shd w:val="clear" w:color="auto" w:fill="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spacing w:before="120"/>
        <w:shd w:val="clear" w:color="auto" w:fill="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312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投标人名称：</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（加盖CA电子公章）</w:t>
      </w:r>
      <w:r/>
    </w:p>
    <w:p>
      <w:pPr>
        <w:ind w:firstLine="3120"/>
        <w:shd w:val="clear" w:color="auto" w:fill="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法定代表人：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（加盖CA电子签章）</w:t>
      </w:r>
      <w:r/>
    </w:p>
    <w:p>
      <w:pPr>
        <w:ind w:firstLine="3840"/>
        <w:jc w:val="left"/>
        <w:shd w:val="clear" w:color="auto" w:fill="auto"/>
        <w:rPr>
          <w:rFonts w:hint="eastAsia" w:ascii="宋体" w:hAnsi="宋体" w:cs="宋体"/>
          <w:color w:val="auto"/>
          <w:sz w:val="24"/>
          <w:highlight w:val="none"/>
        </w:rPr>
      </w:pPr>
      <w:r>
        <w:rPr>
          <w:rFonts w:hint="eastAsia" w:ascii="宋体" w:hAnsi="宋体" w:cs="宋体"/>
          <w:color w:val="auto"/>
          <w:sz w:val="24"/>
          <w:szCs w:val="32"/>
          <w:highlight w:val="none"/>
        </w:rPr>
        <w:t xml:space="preserve">日    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jc w:val="right"/>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hd w:val="clear" w:color="auto" w:fill="auto"/>
        <w:rPr>
          <w:rFonts w:hint="eastAsia" w:ascii="宋体" w:hAnsi="宋体" w:cs="宋体"/>
          <w:b/>
          <w:bCs/>
          <w:color w:val="auto"/>
          <w:sz w:val="24"/>
          <w:highlight w:val="none"/>
        </w:rPr>
      </w:pPr>
      <w:r>
        <w:rPr>
          <w:rFonts w:hint="eastAsia" w:ascii="宋体" w:hAnsi="宋体" w:cs="宋体"/>
          <w:b/>
          <w:color w:val="auto"/>
          <w:szCs w:val="21"/>
          <w:highlight w:val="none"/>
        </w:rPr>
        <w:br w:type="page" w:clear="all"/>
      </w:r>
      <w:r>
        <w:rPr>
          <w:rFonts w:hint="eastAsia" w:ascii="宋体" w:hAnsi="宋体" w:cs="宋体"/>
          <w:b/>
          <w:bCs/>
          <w:color w:val="auto"/>
          <w:sz w:val="24"/>
          <w:highlight w:val="none"/>
        </w:rPr>
        <w:t xml:space="preserve">招标人根据采购项目的特殊要求规定的特定条件需要填报的资料：</w:t>
      </w:r>
      <w:r/>
    </w:p>
    <w:p>
      <w:pPr>
        <w:shd w:val="clear" w:color="auto" w:fill="auto"/>
        <w:rPr>
          <w:rFonts w:hint="eastAsia" w:ascii="宋体" w:hAnsi="宋体" w:cs="宋体"/>
          <w:b/>
          <w:color w:val="auto"/>
          <w:highlight w:val="none"/>
        </w:rPr>
      </w:pPr>
      <w:r>
        <w:rPr>
          <w:rFonts w:hint="eastAsia" w:ascii="宋体" w:hAnsi="宋体" w:cs="宋体"/>
          <w:b/>
          <w:color w:val="auto"/>
          <w:highlight w:val="none"/>
        </w:rPr>
      </w:r>
      <w:r/>
    </w:p>
    <w:p>
      <w:pPr>
        <w:jc w:val="cente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表1  企业基本情况表</w:t>
      </w:r>
      <w:r/>
    </w:p>
    <w:p>
      <w:pPr>
        <w:jc w:val="center"/>
        <w:shd w:val="clear" w:color="auto" w:fill="auto"/>
        <w:rPr>
          <w:rFonts w:hint="eastAsia" w:ascii="宋体" w:hAnsi="宋体" w:cs="宋体"/>
          <w:color w:val="auto"/>
          <w:sz w:val="24"/>
          <w:highlight w:val="none"/>
        </w:rPr>
      </w:pPr>
      <w:r>
        <w:rPr>
          <w:rFonts w:hint="eastAsia" w:ascii="宋体" w:hAnsi="宋体" w:cs="宋体"/>
          <w:color w:val="auto"/>
          <w:sz w:val="24"/>
          <w:highlight w:val="none"/>
        </w:rPr>
      </w:r>
      <w:r/>
    </w:p>
    <w:tbl>
      <w:tblPr>
        <w:tblStyle w:val="847"/>
        <w:tblW w:w="8840" w:type="dxa"/>
        <w:jc w:val="center"/>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jc w:val="cente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投标人名称</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left"/>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left"/>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员工总数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邮箱</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基本账户     开户银行</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基本账户   银行账号</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bl>
    <w:p>
      <w:pPr>
        <w:shd w:val="clear" w:color="auto" w:fill="auto"/>
        <w:rPr>
          <w:rFonts w:hint="eastAsia" w:ascii="宋体" w:hAnsi="宋体" w:cs="宋体"/>
          <w:color w:val="auto"/>
          <w:highlight w:val="none"/>
        </w:rPr>
      </w:pPr>
      <w:r>
        <w:rPr>
          <w:rFonts w:hint="eastAsia" w:ascii="宋体" w:hAnsi="宋体" w:cs="宋体"/>
          <w:color w:val="auto"/>
          <w:highlight w:val="none"/>
        </w:rPr>
      </w:r>
      <w:r/>
    </w:p>
    <w:p>
      <w:pPr>
        <w:ind w:firstLine="422"/>
        <w:shd w:val="clear" w:color="auto" w:fill="auto"/>
        <w:rPr>
          <w:rFonts w:hint="eastAsia" w:ascii="宋体" w:hAnsi="宋体" w:cs="宋体"/>
          <w:b/>
          <w:color w:val="auto"/>
          <w:highlight w:val="none"/>
        </w:rPr>
      </w:pPr>
      <w:r>
        <w:rPr>
          <w:rFonts w:hint="eastAsia" w:ascii="宋体" w:hAnsi="宋体" w:cs="宋体"/>
          <w:b/>
          <w:color w:val="auto"/>
          <w:highlight w:val="none"/>
        </w:rPr>
        <w:t xml:space="preserve">注：本表后附加盖企业公章的营业执照、资质证书、安全生产许可证等复印件，原件备查。</w:t>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jc w:val="center"/>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表2  拟参与本项目人员情况一览表</w:t>
      </w:r>
      <w:r/>
    </w:p>
    <w:tbl>
      <w:tblPr>
        <w:tblStyle w:val="847"/>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jc w:val="center"/>
          <w:trHeight w:val="428"/>
        </w:trPr>
        <w:tc>
          <w:tcPr>
            <w:tcW w:w="834" w:type="dxa"/>
            <w:vAlign w:val="center"/>
            <w:vMerge w:val="restart"/>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44" w:type="dxa"/>
            <w:vAlign w:val="center"/>
            <w:vMerge w:val="restart"/>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本项目任职</w:t>
            </w:r>
            <w:r/>
          </w:p>
        </w:tc>
        <w:tc>
          <w:tcPr>
            <w:tcW w:w="1089" w:type="dxa"/>
            <w:vAlign w:val="center"/>
            <w:vMerge w:val="restart"/>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89" w:type="dxa"/>
            <w:vAlign w:val="center"/>
            <w:vMerge w:val="restart"/>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1089" w:type="dxa"/>
            <w:vAlign w:val="center"/>
            <w:vMerge w:val="restart"/>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3"/>
            <w:tcW w:w="326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执业或职业资格证明</w:t>
            </w:r>
            <w:r/>
          </w:p>
        </w:tc>
        <w:tc>
          <w:tcPr>
            <w:tcW w:w="1090" w:type="dxa"/>
            <w:vAlign w:val="center"/>
            <w:vMerge w:val="restart"/>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jc w:val="center"/>
          <w:trHeight w:val="427"/>
        </w:trPr>
        <w:tc>
          <w:tcPr>
            <w:tcW w:w="834"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44"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证书名称</w:t>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级别</w:t>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证号</w:t>
            </w:r>
            <w:r/>
          </w:p>
        </w:tc>
        <w:tc>
          <w:tcPr>
            <w:tcW w:w="1090" w:type="dxa"/>
            <w:vAlign w:val="center"/>
            <w:vMerge w:val="continue"/>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1</w:t>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项目经理</w:t>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专职安全员</w:t>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3</w:t>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4"/>
        </w:trPr>
        <w:tc>
          <w:tcPr>
            <w:tcW w:w="83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44"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89"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90" w:type="dxa"/>
            <w:vAlign w:val="center"/>
            <w:textDirection w:val="lrTb"/>
            <w:noWrap w:val="false"/>
          </w:tcPr>
          <w:p>
            <w:pPr>
              <w:jc w:val="center"/>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说明：</w:t>
      </w:r>
      <w:r/>
    </w:p>
    <w:p>
      <w:pPr>
        <w:ind w:firstLine="420"/>
        <w:shd w:val="clear" w:color="auto" w:fill="auto"/>
        <w:rPr>
          <w:rFonts w:hint="eastAsia" w:ascii="宋体" w:hAnsi="宋体" w:cs="宋体"/>
          <w:b/>
          <w:color w:val="auto"/>
          <w:sz w:val="24"/>
          <w:highlight w:val="none"/>
        </w:rPr>
      </w:pPr>
      <w:r>
        <w:rPr>
          <w:rFonts w:hint="eastAsia" w:ascii="宋体" w:hAnsi="宋体" w:cs="宋体"/>
          <w:color w:val="auto"/>
          <w:sz w:val="24"/>
          <w:highlight w:val="none"/>
          <w:lang w:val="zh-CN"/>
        </w:rPr>
        <w:t xml:space="preserve">1、如果行、列数不够，请自行增加。</w:t>
      </w:r>
      <w:r/>
    </w:p>
    <w:p>
      <w:pPr>
        <w:ind w:firstLine="422"/>
        <w:shd w:val="clear" w:color="auto" w:fill="auto"/>
        <w:rPr>
          <w:rFonts w:hint="eastAsia" w:ascii="宋体" w:hAnsi="宋体" w:cs="宋体"/>
          <w:b/>
          <w:color w:val="auto"/>
          <w:sz w:val="24"/>
          <w:highlight w:val="none"/>
        </w:rPr>
      </w:pPr>
      <w:r>
        <w:rPr>
          <w:rFonts w:hint="eastAsia" w:ascii="宋体" w:hAnsi="宋体" w:cs="宋体"/>
          <w:b/>
          <w:color w:val="auto"/>
          <w:sz w:val="24"/>
          <w:highlight w:val="none"/>
          <w:lang w:val="zh-CN"/>
        </w:rPr>
        <w:t xml:space="preserve">2、请同时提供以上人员的相关专业、职称或执业资格、</w:t>
      </w:r>
      <w:r>
        <w:rPr>
          <w:rFonts w:hint="eastAsia" w:ascii="宋体" w:hAnsi="宋体" w:cs="宋体"/>
          <w:b/>
          <w:color w:val="auto"/>
          <w:sz w:val="24"/>
          <w:highlight w:val="none"/>
        </w:rPr>
        <w:t xml:space="preserve">社保缴费证明</w:t>
      </w:r>
      <w:r>
        <w:rPr>
          <w:rFonts w:hint="eastAsia" w:ascii="宋体" w:hAnsi="宋体" w:cs="宋体"/>
          <w:b/>
          <w:color w:val="auto"/>
          <w:sz w:val="24"/>
          <w:highlight w:val="none"/>
          <w:lang w:val="zh-CN"/>
        </w:rPr>
        <w:t xml:space="preserve">等证明材料。</w:t>
      </w:r>
      <w:r/>
    </w:p>
    <w:p>
      <w:pPr>
        <w:ind w:firstLine="422"/>
        <w:shd w:val="clear" w:color="auto" w:fill="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shd w:val="clear" w:color="auto" w:fill="auto"/>
        <w:rPr>
          <w:rFonts w:hint="eastAsia" w:ascii="宋体" w:hAnsi="宋体" w:cs="宋体"/>
          <w:color w:val="auto"/>
          <w:sz w:val="32"/>
          <w:szCs w:val="32"/>
          <w:highlight w:val="none"/>
        </w:rPr>
      </w:pPr>
      <w:r>
        <w:rPr>
          <w:rFonts w:hint="eastAsia" w:ascii="宋体" w:hAnsi="宋体" w:cs="宋体"/>
          <w:b/>
          <w:color w:val="auto"/>
          <w:szCs w:val="21"/>
          <w:highlight w:val="none"/>
          <w:lang w:val="zh-CN"/>
        </w:rPr>
        <w:br w:type="page" w:clear="all"/>
      </w:r>
      <w:r>
        <w:rPr>
          <w:rFonts w:hint="eastAsia" w:ascii="宋体" w:hAnsi="宋体" w:cs="宋体"/>
          <w:color w:val="auto"/>
          <w:sz w:val="32"/>
          <w:szCs w:val="32"/>
          <w:highlight w:val="none"/>
        </w:rPr>
        <w:t xml:space="preserve">表3  主要人员经历表</w:t>
      </w:r>
      <w:r/>
    </w:p>
    <w:tbl>
      <w:tblPr>
        <w:tblStyle w:val="847"/>
        <w:tblW w:w="9750" w:type="dxa"/>
        <w:jc w:val="center"/>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jc w:val="cente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3"/>
              <w:jc w:val="center"/>
              <w:shd w:val="clear" w:color="auto" w:fill="auto"/>
              <w:tabs>
                <w:tab w:val="left" w:pos="631" w:leader="none"/>
              </w:tabs>
              <w:rPr>
                <w:rFonts w:hint="eastAsia"/>
                <w:color w:val="auto"/>
                <w:sz w:val="21"/>
                <w:szCs w:val="21"/>
                <w:highlight w:val="none"/>
              </w:rPr>
            </w:pPr>
            <w:r>
              <w:rPr>
                <w:rFonts w:hint="eastAsia"/>
                <w:color w:val="auto"/>
                <w:sz w:val="21"/>
                <w:szCs w:val="21"/>
                <w:highlight w:val="none"/>
              </w:rPr>
              <w:t xml:space="preserve">姓    名</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07"/>
              <w:ind w:left="12"/>
              <w:jc w:val="center"/>
              <w:shd w:val="clear" w:color="auto" w:fill="auto"/>
              <w:tabs>
                <w:tab w:val="left" w:pos="643" w:leader="none"/>
              </w:tabs>
              <w:rPr>
                <w:rFonts w:hint="eastAsia"/>
                <w:color w:val="auto"/>
                <w:sz w:val="21"/>
                <w:szCs w:val="21"/>
                <w:highlight w:val="none"/>
              </w:rPr>
            </w:pPr>
            <w:r>
              <w:rPr>
                <w:rFonts w:hint="eastAsia"/>
                <w:color w:val="auto"/>
                <w:sz w:val="21"/>
                <w:szCs w:val="21"/>
                <w:highlight w:val="none"/>
              </w:rPr>
              <w:t xml:space="preserve">年    龄</w:t>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color w:val="auto"/>
                <w:sz w:val="21"/>
                <w:szCs w:val="21"/>
                <w:highlight w:val="none"/>
              </w:rPr>
            </w:pPr>
            <w:r>
              <w:rPr>
                <w:rFonts w:hint="eastAsia"/>
                <w:color w:val="auto"/>
                <w:sz w:val="21"/>
                <w:szCs w:val="21"/>
                <w:highlight w:val="none"/>
              </w:rPr>
              <w:t xml:space="preserve">拟在本项目任职</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5"/>
              <w:jc w:val="center"/>
              <w:spacing w:before="160"/>
              <w:shd w:val="clear" w:color="auto" w:fill="auto"/>
              <w:rPr>
                <w:rFonts w:hint="eastAsia"/>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07"/>
              <w:ind w:left="12"/>
              <w:jc w:val="center"/>
              <w:spacing w:before="160"/>
              <w:shd w:val="clear" w:color="auto" w:fill="auto"/>
              <w:tabs>
                <w:tab w:val="left" w:pos="643" w:leader="none"/>
              </w:tabs>
              <w:rPr>
                <w:rFonts w:hint="eastAsia"/>
                <w:color w:val="auto"/>
                <w:sz w:val="21"/>
                <w:szCs w:val="21"/>
                <w:highlight w:val="none"/>
              </w:rPr>
            </w:pPr>
            <w:r>
              <w:rPr>
                <w:rFonts w:hint="eastAsia"/>
                <w:color w:val="auto"/>
                <w:sz w:val="21"/>
                <w:szCs w:val="21"/>
                <w:highlight w:val="none"/>
              </w:rPr>
              <w:t xml:space="preserve">学    历</w:t>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color w:val="auto"/>
                <w:sz w:val="21"/>
                <w:szCs w:val="21"/>
                <w:highlight w:val="none"/>
              </w:rPr>
            </w:pPr>
            <w:r>
              <w:rPr>
                <w:rFonts w:hint="eastAsia"/>
                <w:color w:val="auto"/>
                <w:sz w:val="21"/>
                <w:szCs w:val="21"/>
                <w:highlight w:val="none"/>
              </w:rPr>
              <w:t xml:space="preserve">执业或职业资格</w:t>
            </w:r>
            <w:r/>
          </w:p>
          <w:p>
            <w:pPr>
              <w:pStyle w:val="1107"/>
              <w:ind w:left="12"/>
              <w:jc w:val="center"/>
              <w:spacing w:before="160"/>
              <w:shd w:val="clear" w:color="auto" w:fill="auto"/>
              <w:tabs>
                <w:tab w:val="left" w:pos="643" w:leader="none"/>
              </w:tabs>
              <w:rPr>
                <w:rFonts w:hint="eastAsia"/>
                <w:color w:val="auto"/>
                <w:sz w:val="21"/>
                <w:szCs w:val="21"/>
                <w:highlight w:val="none"/>
              </w:rPr>
            </w:pPr>
            <w:r>
              <w:rPr>
                <w:rFonts w:hint="eastAsia"/>
                <w:color w:val="auto"/>
                <w:sz w:val="21"/>
                <w:szCs w:val="21"/>
                <w:highlight w:val="none"/>
              </w:rPr>
              <w:t xml:space="preserve">证书名称</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5"/>
              <w:jc w:val="center"/>
              <w:shd w:val="clear" w:color="auto" w:fill="auto"/>
              <w:rPr>
                <w:rFonts w:hint="eastAsia"/>
                <w:color w:val="auto"/>
                <w:sz w:val="21"/>
                <w:szCs w:val="21"/>
                <w:highlight w:val="none"/>
              </w:rPr>
            </w:pPr>
            <w:r>
              <w:rPr>
                <w:rFonts w:hint="eastAsia"/>
                <w:color w:val="auto"/>
                <w:sz w:val="21"/>
                <w:szCs w:val="21"/>
                <w:highlight w:val="none"/>
              </w:rPr>
              <w:t xml:space="preserve">工作年限</w:t>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07"/>
              <w:jc w:val="center"/>
              <w:shd w:val="clear" w:color="auto" w:fill="auto"/>
              <w:rPr>
                <w:rFonts w:hint="eastAsia"/>
                <w:color w:val="auto"/>
                <w:sz w:val="21"/>
                <w:szCs w:val="21"/>
                <w:highlight w:val="none"/>
              </w:rPr>
            </w:pPr>
            <w:r>
              <w:rPr>
                <w:rFonts w:hint="eastAsia"/>
                <w:color w:val="auto"/>
                <w:sz w:val="21"/>
                <w:szCs w:val="21"/>
                <w:highlight w:val="none"/>
              </w:rPr>
              <w:t xml:space="preserve">从事类似工作年限</w:t>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right="13"/>
              <w:jc w:val="center"/>
              <w:shd w:val="clear" w:color="auto" w:fill="auto"/>
              <w:rPr>
                <w:rFonts w:hint="eastAsia"/>
                <w:color w:val="auto"/>
                <w:sz w:val="21"/>
                <w:szCs w:val="21"/>
                <w:highlight w:val="none"/>
              </w:rPr>
            </w:pPr>
            <w:r>
              <w:rPr>
                <w:rFonts w:hint="eastAsia"/>
                <w:color w:val="auto"/>
                <w:sz w:val="21"/>
                <w:szCs w:val="21"/>
                <w:highlight w:val="none"/>
              </w:rPr>
              <w:t xml:space="preserve">毕业学校</w:t>
            </w:r>
            <w:r/>
          </w:p>
        </w:tc>
        <w:tc>
          <w:tcPr>
            <w:gridSpan w:val="7"/>
            <w:tcBorders>
              <w:top w:val="single" w:color="000000" w:sz="4" w:space="0"/>
              <w:left w:val="single" w:color="000000" w:sz="4" w:space="0"/>
              <w:bottom w:val="single" w:color="000000" w:sz="4" w:space="0"/>
              <w:right w:val="single" w:color="000000" w:sz="4" w:space="0"/>
            </w:tcBorders>
            <w:tcW w:w="8342" w:type="dxa"/>
            <w:textDirection w:val="lrTb"/>
            <w:noWrap w:val="false"/>
          </w:tcPr>
          <w:p>
            <w:pPr>
              <w:pStyle w:val="1107"/>
              <w:ind w:left="5"/>
              <w:spacing w:before="186"/>
              <w:shd w:val="clear" w:color="auto" w:fill="auto"/>
              <w:tabs>
                <w:tab w:val="left" w:pos="1365" w:leader="none"/>
                <w:tab w:val="left" w:pos="3892" w:leader="none"/>
                <w:tab w:val="left" w:pos="5466" w:leader="none"/>
                <w:tab w:val="left" w:pos="7145" w:leader="none"/>
              </w:tabs>
              <w:rPr>
                <w:rFonts w:hint="eastAsia"/>
                <w:color w:val="auto"/>
                <w:sz w:val="21"/>
                <w:szCs w:val="21"/>
                <w:highlight w:val="none"/>
              </w:rPr>
            </w:pPr>
            <w:r>
              <w:rPr>
                <w:rFonts w:hint="eastAsia"/>
                <w:color w:val="auto"/>
                <w:sz w:val="21"/>
                <w:szCs w:val="21"/>
                <w:highlight w:val="none"/>
                <w:u w:val="single"/>
              </w:rPr>
              <w:t xml:space="preserve"> </w:t>
            </w:r>
            <w:r>
              <w:rPr>
                <w:rFonts w:hint="eastAsia"/>
                <w:color w:val="auto"/>
                <w:sz w:val="21"/>
                <w:szCs w:val="21"/>
                <w:highlight w:val="none"/>
                <w:u w:val="single"/>
              </w:rPr>
              <w:tab/>
            </w:r>
            <w:r>
              <w:rPr>
                <w:rFonts w:hint="eastAsia"/>
                <w:color w:val="auto"/>
                <w:sz w:val="21"/>
                <w:szCs w:val="21"/>
                <w:highlight w:val="none"/>
              </w:rPr>
              <w:t xml:space="preserve">年毕</w:t>
            </w:r>
            <w:r>
              <w:rPr>
                <w:rFonts w:hint="eastAsia"/>
                <w:color w:val="auto"/>
                <w:spacing w:val="-3"/>
                <w:sz w:val="21"/>
                <w:szCs w:val="21"/>
                <w:highlight w:val="none"/>
              </w:rPr>
              <w:t xml:space="preserve">业</w:t>
            </w:r>
            <w:r>
              <w:rPr>
                <w:rFonts w:hint="eastAsia"/>
                <w:color w:val="auto"/>
                <w:sz w:val="21"/>
                <w:szCs w:val="21"/>
                <w:highlight w:val="none"/>
              </w:rPr>
              <w:t xml:space="preserve">于</w:t>
            </w:r>
            <w:r>
              <w:rPr>
                <w:rFonts w:hint="eastAsia"/>
                <w:color w:val="auto"/>
                <w:sz w:val="21"/>
                <w:szCs w:val="21"/>
                <w:highlight w:val="none"/>
                <w:u w:val="single"/>
              </w:rPr>
              <w:t xml:space="preserve"> </w:t>
            </w:r>
            <w:r>
              <w:rPr>
                <w:rFonts w:hint="eastAsia"/>
                <w:color w:val="auto"/>
                <w:sz w:val="21"/>
                <w:szCs w:val="21"/>
                <w:highlight w:val="none"/>
                <w:u w:val="single"/>
              </w:rPr>
              <w:tab/>
            </w:r>
            <w:r>
              <w:rPr>
                <w:rFonts w:hint="eastAsia"/>
                <w:color w:val="auto"/>
                <w:spacing w:val="-3"/>
                <w:sz w:val="21"/>
                <w:szCs w:val="21"/>
                <w:highlight w:val="none"/>
              </w:rPr>
              <w:t xml:space="preserve">学</w:t>
            </w:r>
            <w:r>
              <w:rPr>
                <w:rFonts w:hint="eastAsia"/>
                <w:color w:val="auto"/>
                <w:sz w:val="21"/>
                <w:szCs w:val="21"/>
                <w:highlight w:val="none"/>
              </w:rPr>
              <w:t xml:space="preserve">校</w:t>
            </w:r>
            <w:r>
              <w:rPr>
                <w:rFonts w:hint="eastAsia"/>
                <w:color w:val="auto"/>
                <w:sz w:val="21"/>
                <w:szCs w:val="21"/>
                <w:highlight w:val="none"/>
                <w:u w:val="single"/>
              </w:rPr>
              <w:t xml:space="preserve"> </w:t>
            </w:r>
            <w:r>
              <w:rPr>
                <w:rFonts w:hint="eastAsia"/>
                <w:color w:val="auto"/>
                <w:sz w:val="21"/>
                <w:szCs w:val="21"/>
                <w:highlight w:val="none"/>
                <w:u w:val="single"/>
              </w:rPr>
              <w:tab/>
            </w:r>
            <w:r>
              <w:rPr>
                <w:rFonts w:hint="eastAsia"/>
                <w:color w:val="auto"/>
                <w:spacing w:val="-3"/>
                <w:sz w:val="21"/>
                <w:szCs w:val="21"/>
                <w:highlight w:val="none"/>
              </w:rPr>
              <w:t xml:space="preserve">专</w:t>
            </w:r>
            <w:r>
              <w:rPr>
                <w:rFonts w:hint="eastAsia"/>
                <w:color w:val="auto"/>
                <w:sz w:val="21"/>
                <w:szCs w:val="21"/>
                <w:highlight w:val="none"/>
              </w:rPr>
              <w:t xml:space="preserve">业</w:t>
            </w:r>
            <w:r/>
          </w:p>
        </w:tc>
      </w:tr>
      <w:tr>
        <w:trPr>
          <w:jc w:val="cente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107"/>
              <w:ind w:left="10"/>
              <w:jc w:val="center"/>
              <w:shd w:val="clear" w:color="auto" w:fill="auto"/>
              <w:tabs>
                <w:tab w:val="left" w:pos="1167" w:leader="none"/>
              </w:tabs>
              <w:rPr>
                <w:rFonts w:hint="eastAsia"/>
                <w:color w:val="auto"/>
                <w:sz w:val="21"/>
                <w:szCs w:val="21"/>
                <w:highlight w:val="none"/>
              </w:rPr>
            </w:pPr>
            <w:r>
              <w:rPr>
                <w:rFonts w:hint="eastAsia"/>
                <w:color w:val="auto"/>
                <w:sz w:val="21"/>
                <w:szCs w:val="21"/>
                <w:highlight w:val="none"/>
              </w:rPr>
              <w:t xml:space="preserve">主要工作经历</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ind w:left="34"/>
              <w:jc w:val="center"/>
              <w:spacing w:before="131"/>
              <w:shd w:val="clear" w:color="auto" w:fill="auto"/>
              <w:tabs>
                <w:tab w:val="left" w:pos="457" w:leader="none"/>
              </w:tabs>
              <w:rPr>
                <w:rFonts w:hint="eastAsia"/>
                <w:color w:val="auto"/>
                <w:sz w:val="21"/>
                <w:szCs w:val="21"/>
                <w:highlight w:val="none"/>
              </w:rPr>
            </w:pPr>
            <w:r>
              <w:rPr>
                <w:rFonts w:hint="eastAsia"/>
                <w:color w:val="auto"/>
                <w:sz w:val="21"/>
                <w:szCs w:val="21"/>
                <w:highlight w:val="none"/>
              </w:rPr>
              <w:t xml:space="preserve">时    间</w:t>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pacing w:before="131"/>
              <w:shd w:val="clear" w:color="auto" w:fill="auto"/>
              <w:rPr>
                <w:rFonts w:hint="eastAsia"/>
                <w:color w:val="auto"/>
                <w:sz w:val="21"/>
                <w:szCs w:val="21"/>
                <w:highlight w:val="none"/>
              </w:rPr>
            </w:pPr>
            <w:r>
              <w:rPr>
                <w:rFonts w:hint="eastAsia"/>
                <w:color w:val="auto"/>
                <w:sz w:val="21"/>
                <w:szCs w:val="21"/>
                <w:highlight w:val="none"/>
              </w:rPr>
              <w:t xml:space="preserve">参加过的类似项目</w:t>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pacing w:before="131"/>
              <w:shd w:val="clear" w:color="auto" w:fill="auto"/>
              <w:rPr>
                <w:rFonts w:hint="eastAsia"/>
                <w:color w:val="auto"/>
                <w:sz w:val="21"/>
                <w:szCs w:val="21"/>
                <w:highlight w:val="none"/>
              </w:rPr>
            </w:pPr>
            <w:r>
              <w:rPr>
                <w:rFonts w:hint="eastAsia"/>
                <w:color w:val="auto"/>
                <w:sz w:val="21"/>
                <w:szCs w:val="21"/>
                <w:highlight w:val="none"/>
              </w:rPr>
              <w:t xml:space="preserve">担任职务</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ind w:right="107"/>
              <w:jc w:val="center"/>
              <w:spacing w:before="57" w:line="400" w:lineRule="atLeast"/>
              <w:shd w:val="clear" w:color="auto" w:fill="auto"/>
              <w:rPr>
                <w:rFonts w:hint="eastAsia"/>
                <w:color w:val="auto"/>
                <w:sz w:val="21"/>
                <w:szCs w:val="21"/>
                <w:highlight w:val="none"/>
              </w:rPr>
            </w:pPr>
            <w:r>
              <w:rPr>
                <w:rFonts w:hint="eastAsia"/>
                <w:color w:val="auto"/>
                <w:sz w:val="21"/>
                <w:szCs w:val="21"/>
                <w:highlight w:val="none"/>
              </w:rPr>
              <w:t xml:space="preserve">发包人及联系</w:t>
            </w:r>
            <w:r/>
          </w:p>
          <w:p>
            <w:pPr>
              <w:pStyle w:val="1107"/>
              <w:ind w:right="107"/>
              <w:jc w:val="center"/>
              <w:spacing w:before="57" w:line="400" w:lineRule="atLeast"/>
              <w:shd w:val="clear" w:color="auto" w:fill="auto"/>
              <w:rPr>
                <w:rFonts w:hint="eastAsia"/>
                <w:color w:val="auto"/>
                <w:sz w:val="21"/>
                <w:szCs w:val="21"/>
                <w:highlight w:val="none"/>
              </w:rPr>
            </w:pPr>
            <w:r>
              <w:rPr>
                <w:rFonts w:hint="eastAsia"/>
                <w:color w:val="auto"/>
                <w:sz w:val="21"/>
                <w:szCs w:val="21"/>
                <w:highlight w:val="none"/>
              </w:rPr>
              <w:t xml:space="preserve">电话</w:t>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07"/>
              <w:jc w:val="center"/>
              <w:shd w:val="clear" w:color="auto" w:fill="auto"/>
              <w:rPr>
                <w:rFonts w:hint="eastAsia"/>
                <w:color w:val="auto"/>
                <w:sz w:val="20"/>
                <w:szCs w:val="20"/>
                <w:highlight w:val="none"/>
              </w:rPr>
            </w:pPr>
            <w:r>
              <w:rPr>
                <w:rFonts w:hint="eastAsia"/>
                <w:color w:val="auto"/>
                <w:sz w:val="20"/>
                <w:szCs w:val="20"/>
                <w:highlight w:val="none"/>
              </w:rPr>
            </w:r>
            <w:r/>
          </w:p>
        </w:tc>
      </w:tr>
    </w:tbl>
    <w:p>
      <w:pPr>
        <w:ind w:firstLine="420"/>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说明：</w:t>
      </w:r>
      <w:r/>
    </w:p>
    <w:p>
      <w:pPr>
        <w:ind w:firstLine="420"/>
        <w:shd w:val="clear" w:color="auto" w:fill="auto"/>
        <w:rPr>
          <w:rFonts w:hint="eastAsia" w:ascii="宋体" w:hAnsi="宋体" w:cs="宋体"/>
          <w:b/>
          <w:color w:val="auto"/>
          <w:sz w:val="24"/>
          <w:highlight w:val="none"/>
        </w:rPr>
      </w:pPr>
      <w:r>
        <w:rPr>
          <w:rFonts w:hint="eastAsia" w:ascii="宋体" w:hAnsi="宋体" w:cs="宋体"/>
          <w:color w:val="auto"/>
          <w:sz w:val="24"/>
          <w:highlight w:val="none"/>
          <w:lang w:val="zh-CN"/>
        </w:rPr>
        <w:t xml:space="preserve">1、如果行、列数不够，请自行增加。</w:t>
      </w:r>
      <w:r/>
    </w:p>
    <w:p>
      <w:pPr>
        <w:ind w:firstLine="420"/>
        <w:shd w:val="clear" w:color="auto" w:fill="auto"/>
        <w:rPr>
          <w:rFonts w:hint="eastAsia" w:ascii="宋体" w:hAnsi="宋体" w:cs="宋体"/>
          <w:color w:val="auto"/>
          <w:sz w:val="24"/>
          <w:highlight w:val="none"/>
        </w:rPr>
      </w:pPr>
      <w:r>
        <w:rPr>
          <w:rFonts w:hint="eastAsia" w:ascii="宋体" w:hAnsi="宋体" w:cs="宋体"/>
          <w:b/>
          <w:color w:val="auto"/>
          <w:sz w:val="24"/>
          <w:highlight w:val="none"/>
          <w:lang w:val="zh-CN"/>
        </w:rPr>
        <w:t xml:space="preserve">2、提供以上人员的相关业绩证明材料复印件或扫描件加盖公章，证明材料若不能体现评审要求的职务，则不予认可。</w:t>
      </w:r>
      <w:r/>
    </w:p>
    <w:p>
      <w:pPr>
        <w:ind w:firstLine="420"/>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hd w:val="clear" w:color="auto" w:fill="auto"/>
        <w:rPr>
          <w:rFonts w:hint="eastAsia" w:ascii="宋体" w:hAnsi="宋体" w:cs="宋体"/>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color w:val="auto"/>
          <w:sz w:val="32"/>
          <w:szCs w:val="32"/>
          <w:highlight w:val="none"/>
        </w:rPr>
        <w:t xml:space="preserve">表4  企业代表工程表</w:t>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tbl>
      <w:tblPr>
        <w:tblStyle w:val="847"/>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1169"/>
        <w:gridCol w:w="1280"/>
        <w:gridCol w:w="1253"/>
        <w:gridCol w:w="974"/>
        <w:gridCol w:w="1186"/>
        <w:gridCol w:w="1280"/>
      </w:tblGrid>
      <w:tr>
        <w:trPr>
          <w:trHeight w:val="833"/>
        </w:trPr>
        <w:tc>
          <w:tcPr>
            <w:tcW w:w="678"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3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169"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主要完成工作内容</w:t>
            </w:r>
            <w:r/>
          </w:p>
        </w:tc>
        <w:tc>
          <w:tcPr>
            <w:tcW w:w="1280"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1253"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合同总额</w:t>
            </w:r>
            <w:r/>
          </w:p>
        </w:tc>
        <w:tc>
          <w:tcPr>
            <w:tcW w:w="97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W w:w="1186"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合同签订时间/工期</w:t>
            </w:r>
            <w:r/>
          </w:p>
        </w:tc>
        <w:tc>
          <w:tcPr>
            <w:tcW w:w="1280"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所在页码</w:t>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3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9"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33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9"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33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9"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8"/>
        </w:trPr>
        <w:tc>
          <w:tcPr>
            <w:tcW w:w="678"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33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169"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53"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974"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186" w:type="dxa"/>
            <w:vAlign w:val="center"/>
            <w:textDirection w:val="lrTb"/>
            <w:noWrap w:val="false"/>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c>
          <w:tcPr>
            <w:tcW w:w="1280" w:type="dxa"/>
            <w:vAlign w:val="center"/>
            <w:textDirection w:val="lrTb"/>
            <w:noWrap w:val="false"/>
          </w:tcPr>
          <w:p>
            <w:pPr>
              <w:ind w:firstLine="88"/>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hd w:val="clear" w:color="auto" w:fill="auto"/>
        <w:rPr>
          <w:rFonts w:hint="eastAsia" w:ascii="宋体" w:hAnsi="宋体" w:cs="宋体"/>
          <w:color w:val="auto"/>
          <w:sz w:val="24"/>
          <w:highlight w:val="none"/>
        </w:rPr>
      </w:pPr>
      <w:r>
        <w:rPr>
          <w:rFonts w:hint="eastAsia" w:ascii="宋体" w:hAnsi="宋体" w:cs="宋体"/>
          <w:color w:val="auto"/>
          <w:sz w:val="24"/>
          <w:highlight w:val="none"/>
        </w:rPr>
      </w:r>
      <w:r/>
    </w:p>
    <w:p>
      <w:pPr>
        <w:shd w:val="clear" w:color="auto" w:fill="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注：表中所列项目，须提供所签订的合同及竣工验收证明的复印件或扫描件（加盖公章）。</w:t>
      </w:r>
      <w:r/>
    </w:p>
    <w:p>
      <w:pPr>
        <w:jc w:val="center"/>
        <w:spacing w:line="500" w:lineRule="exact"/>
        <w:shd w:val="clear" w:color="auto" w:fill="auto"/>
        <w:rPr>
          <w:rFonts w:hint="eastAsia" w:ascii="宋体" w:hAnsi="宋体" w:cs="宋体"/>
          <w:color w:val="auto"/>
          <w:sz w:val="32"/>
          <w:szCs w:val="32"/>
          <w:highlight w:val="none"/>
        </w:rPr>
        <w:outlineLvl w:val="2"/>
      </w:pPr>
      <w:r>
        <w:rPr>
          <w:rFonts w:hint="eastAsia" w:ascii="宋体" w:hAnsi="宋体" w:cs="宋体"/>
          <w:color w:val="auto"/>
          <w:highlight w:val="none"/>
        </w:rPr>
        <w:br w:type="page" w:clear="all"/>
      </w:r>
      <w:bookmarkStart w:id="200" w:name="_Toc211090876"/>
      <w:r>
        <w:rPr>
          <w:rFonts w:hint="eastAsia" w:ascii="宋体" w:hAnsi="宋体" w:cs="宋体"/>
          <w:b/>
          <w:bCs/>
          <w:color w:val="auto"/>
          <w:sz w:val="32"/>
          <w:szCs w:val="32"/>
          <w:highlight w:val="none"/>
        </w:rPr>
        <w:t xml:space="preserve">七、附件</w:t>
      </w:r>
      <w:bookmarkEnd w:id="200"/>
      <w:r/>
      <w:r/>
    </w:p>
    <w:p>
      <w:pPr>
        <w:ind w:firstLine="420"/>
        <w:shd w:val="clear" w:color="auto" w:fill="auto"/>
        <w:rPr>
          <w:rFonts w:hint="eastAsia" w:ascii="宋体" w:hAnsi="宋体" w:cs="宋体"/>
          <w:color w:val="auto"/>
          <w:highlight w:val="none"/>
        </w:rPr>
      </w:pPr>
      <w:r>
        <w:rPr>
          <w:rFonts w:hint="eastAsia" w:ascii="宋体" w:hAnsi="宋体" w:cs="宋体"/>
          <w:color w:val="auto"/>
          <w:highlight w:val="none"/>
        </w:rPr>
      </w:r>
      <w:r/>
    </w:p>
    <w:p>
      <w:pPr>
        <w:pStyle w:val="1121"/>
        <w:ind w:left="0"/>
        <w:spacing w:before="244"/>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附件一、中小企业声明函格式（注：符合中小企业划型标准的企业请提供本函，不符合的不提供本函）</w:t>
      </w:r>
      <w:r/>
    </w:p>
    <w:p>
      <w:pPr>
        <w:pStyle w:val="1068"/>
        <w:ind w:left="2881" w:right="3180"/>
        <w:jc w:val="center"/>
        <w:spacing w:before="179"/>
        <w:shd w:val="clear" w:color="auto" w:fill="auto"/>
        <w:rPr>
          <w:rFonts w:hint="eastAsia" w:ascii="宋体" w:hAnsi="宋体" w:cs="宋体"/>
          <w:color w:val="auto"/>
          <w:sz w:val="21"/>
          <w:highlight w:val="none"/>
        </w:rPr>
      </w:pPr>
      <w:r/>
      <w:bookmarkStart w:id="201" w:name="_Hlk46844983"/>
      <w:r/>
      <w:bookmarkEnd w:id="201"/>
      <w:r/>
      <w:r/>
    </w:p>
    <w:p>
      <w:pPr>
        <w:jc w:val="center"/>
        <w:shd w:val="clear" w:color="auto" w:fill="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中小企业声明函（工程、服务）</w:t>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firstLine="480"/>
        <w:jc w:val="righ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日期：               </w:t>
      </w:r>
      <w:r/>
    </w:p>
    <w:p>
      <w:pPr>
        <w:shd w:val="clear" w:color="auto" w:fill="auto"/>
        <w:rPr>
          <w:rFonts w:hint="eastAsia" w:ascii="宋体" w:hAnsi="宋体" w:cs="宋体"/>
          <w:color w:val="auto"/>
          <w:sz w:val="12"/>
          <w:highlight w:val="none"/>
        </w:rPr>
      </w:pPr>
      <w:r>
        <w:rPr>
          <w:rFonts w:hint="eastAsia" w:ascii="宋体" w:hAnsi="宋体" w:cs="宋体"/>
          <w:color w:val="auto"/>
          <w:sz w:val="12"/>
          <w:highlight w:val="none"/>
        </w:rPr>
      </w:r>
      <w:r/>
    </w:p>
    <w:p>
      <w:pPr>
        <w:shd w:val="clear" w:color="auto" w:fill="auto"/>
        <w:rPr>
          <w:rFonts w:hint="eastAsia" w:ascii="宋体" w:hAnsi="宋体" w:cs="宋体"/>
          <w:color w:val="auto"/>
          <w:sz w:val="12"/>
          <w:highlight w:val="none"/>
        </w:rPr>
      </w:pPr>
      <w:r>
        <w:rPr>
          <w:rFonts w:hint="eastAsia" w:ascii="宋体" w:hAnsi="宋体" w:cs="宋体"/>
          <w:color w:val="auto"/>
          <w:sz w:val="12"/>
          <w:highlight w:val="none"/>
        </w:rPr>
      </w:r>
      <w:r/>
    </w:p>
    <w:p>
      <w:pPr>
        <w:shd w:val="clear" w:color="auto" w:fill="auto"/>
        <w:rPr>
          <w:rFonts w:hint="eastAsia" w:ascii="宋体" w:hAnsi="宋体" w:cs="宋体"/>
          <w:color w:val="auto"/>
          <w:sz w:val="12"/>
          <w:highlight w:val="none"/>
        </w:rPr>
      </w:pPr>
      <w:r>
        <w:rPr>
          <w:rFonts w:hint="eastAsia" w:ascii="宋体" w:hAnsi="宋体" w:cs="宋体"/>
          <w:color w:val="auto"/>
          <w:sz w:val="12"/>
          <w:highlight w:val="none"/>
        </w:rPr>
      </w:r>
      <w:r/>
    </w:p>
    <w:p>
      <w:pPr>
        <w:pStyle w:val="1068"/>
        <w:ind w:right="840" w:firstLine="482"/>
        <w:spacing w:before="124"/>
        <w:shd w:val="clear" w:color="auto" w:fill="auto"/>
        <w:rPr>
          <w:rFonts w:hint="eastAsia" w:ascii="宋体" w:hAnsi="宋体" w:cs="宋体"/>
          <w:color w:val="auto"/>
          <w:sz w:val="24"/>
          <w:highlight w:val="none"/>
        </w:rPr>
      </w:pPr>
      <w:r>
        <w:rPr>
          <w:rFonts w:hint="eastAsia" w:ascii="宋体" w:hAnsi="宋体" w:cs="宋体"/>
          <w:b/>
          <w:color w:val="auto"/>
          <w:sz w:val="24"/>
          <w:highlight w:val="none"/>
        </w:rPr>
        <w:t xml:space="preserve">注：从业人员、营业收入、资产总额填报上一年度数据，无上一年度数据的新成立企业可不填报。</w:t>
      </w:r>
      <w:r/>
    </w:p>
    <w:p>
      <w:pPr>
        <w:pStyle w:val="1068"/>
        <w:ind w:left="753"/>
        <w:jc w:val="right"/>
        <w:spacing w:before="124"/>
        <w:shd w:val="clear" w:color="auto" w:fill="auto"/>
        <w:rPr>
          <w:rFonts w:hint="eastAsia" w:ascii="宋体" w:hAnsi="宋体" w:cs="宋体"/>
          <w:color w:val="auto"/>
          <w:sz w:val="21"/>
          <w:szCs w:val="21"/>
          <w:highlight w:val="none"/>
        </w:rPr>
        <w:sectPr>
          <w:footnotePr/>
          <w:endnotePr/>
          <w:type w:val="nextPage"/>
          <w:pgSz w:w="11900" w:h="16840" w:orient="portrait"/>
          <w:pgMar w:top="1417" w:right="1417" w:bottom="1417" w:left="1417" w:header="720" w:footer="720" w:gutter="0"/>
          <w:cols w:num="1" w:sep="0" w:space="1701" w:equalWidth="1"/>
          <w:docGrid w:linePitch="360"/>
        </w:sectPr>
      </w:pPr>
      <w:r>
        <w:rPr>
          <w:rFonts w:hint="eastAsia" w:ascii="宋体" w:hAnsi="宋体" w:cs="宋体"/>
          <w:color w:val="auto"/>
          <w:sz w:val="21"/>
          <w:szCs w:val="21"/>
          <w:highlight w:val="none"/>
        </w:rPr>
      </w:r>
      <w:r/>
    </w:p>
    <w:p>
      <w:pPr>
        <w:pStyle w:val="1121"/>
        <w:ind w:left="0"/>
        <w:spacing w:before="244"/>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附件二、残疾人福利性单位声明函格式</w:t>
      </w:r>
      <w:r/>
    </w:p>
    <w:p>
      <w:pPr>
        <w:pStyle w:val="1068"/>
        <w:spacing w:before="2"/>
        <w:shd w:val="clear" w:color="auto" w:fill="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3076"/>
        <w:jc w:val="center"/>
        <w:shd w:val="clear" w:color="auto" w:fill="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jc w:val="center"/>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（注：符合条件的残疾人福利性单位请提供本函，不符合的不提供本函）</w:t>
      </w:r>
      <w:r/>
    </w:p>
    <w:p>
      <w:pPr>
        <w:jc w:val="center"/>
        <w:shd w:val="clear" w:color="auto" w:fill="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r>
      <w:r/>
    </w:p>
    <w:p>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单位名称（加盖CA电子公章）：</w:t>
      </w:r>
      <w:r/>
    </w:p>
    <w:p>
      <w:pPr>
        <w:pStyle w:val="1068"/>
        <w:ind w:right="840"/>
        <w:spacing w:before="124"/>
        <w:shd w:val="clear" w:color="auto" w:fill="auto"/>
        <w:rPr>
          <w:rFonts w:hint="eastAsia" w:ascii="宋体" w:hAnsi="宋体" w:cs="宋体"/>
          <w:color w:val="auto"/>
          <w:sz w:val="24"/>
          <w:highlight w:val="none"/>
        </w:rPr>
      </w:pPr>
      <w:r>
        <w:rPr>
          <w:rFonts w:hint="eastAsia" w:ascii="宋体" w:hAnsi="宋体" w:cs="宋体"/>
          <w:bCs/>
          <w:color w:val="auto"/>
          <w:sz w:val="24"/>
          <w:highlight w:val="none"/>
        </w:rPr>
        <w:t xml:space="preserve">日  期：</w:t>
      </w:r>
      <w:r/>
    </w:p>
    <w:p>
      <w:pPr>
        <w:pStyle w:val="1068"/>
        <w:shd w:val="clear" w:color="auto" w:fill="auto"/>
        <w:rPr>
          <w:rFonts w:hint="eastAsia" w:ascii="宋体" w:hAnsi="宋体" w:cs="宋体"/>
          <w:color w:val="auto"/>
          <w:highlight w:val="none"/>
        </w:rPr>
      </w:pPr>
      <w:r>
        <w:rPr>
          <w:rFonts w:hint="eastAsia" w:ascii="宋体" w:hAnsi="宋体" w:cs="宋体"/>
          <w:color w:val="auto"/>
          <w:highlight w:val="none"/>
        </w:rPr>
      </w:r>
      <w:r/>
    </w:p>
    <w:p>
      <w:pPr>
        <w:pStyle w:val="1121"/>
        <w:ind w:left="0"/>
        <w:spacing w:before="244"/>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附件三、属于监狱企业的证明文件</w:t>
      </w:r>
      <w:r/>
    </w:p>
    <w:p>
      <w:pPr>
        <w:pStyle w:val="1068"/>
        <w:shd w:val="clear" w:color="auto" w:fill="auto"/>
        <w:rPr>
          <w:rFonts w:hint="eastAsia" w:ascii="宋体" w:hAnsi="宋体" w:cs="宋体"/>
          <w:b/>
          <w:color w:val="auto"/>
          <w:highlight w:val="none"/>
        </w:rPr>
      </w:pPr>
      <w:r>
        <w:rPr>
          <w:rFonts w:hint="eastAsia" w:ascii="宋体" w:hAnsi="宋体" w:cs="宋体"/>
          <w:b/>
          <w:color w:val="auto"/>
          <w:highlight w:val="none"/>
        </w:rPr>
      </w:r>
      <w:r/>
    </w:p>
    <w:p>
      <w:pPr>
        <w:jc w:val="left"/>
        <w:shd w:val="clear" w:color="auto" w:fill="auto"/>
        <w:tabs>
          <w:tab w:val="center" w:pos="4564" w:leader="none"/>
          <w:tab w:val="left" w:pos="5796" w:leader="none"/>
        </w:tabs>
        <w:rPr>
          <w:rFonts w:hint="eastAsia" w:ascii="宋体" w:hAnsi="宋体" w:cs="宋体"/>
          <w:b/>
          <w:color w:val="auto"/>
          <w:sz w:val="32"/>
          <w:szCs w:val="32"/>
          <w:highlight w:val="none"/>
        </w:rPr>
      </w:pPr>
      <w:r>
        <w:rPr>
          <w:rFonts w:hint="eastAsia" w:ascii="宋体" w:hAnsi="宋体" w:cs="宋体"/>
          <w:b/>
          <w:color w:val="auto"/>
          <w:sz w:val="24"/>
          <w:highlight w:val="none"/>
        </w:rPr>
        <w:tab/>
      </w:r>
      <w:r>
        <w:rPr>
          <w:rFonts w:hint="eastAsia" w:ascii="宋体" w:hAnsi="宋体" w:cs="宋体"/>
          <w:b/>
          <w:color w:val="auto"/>
          <w:sz w:val="32"/>
          <w:szCs w:val="32"/>
          <w:highlight w:val="none"/>
        </w:rPr>
        <w:t xml:space="preserve">监狱企业证明</w:t>
      </w:r>
      <w:r>
        <w:rPr>
          <w:rFonts w:hint="eastAsia" w:ascii="宋体" w:hAnsi="宋体" w:cs="宋体"/>
          <w:b/>
          <w:color w:val="auto"/>
          <w:sz w:val="32"/>
          <w:szCs w:val="32"/>
          <w:highlight w:val="none"/>
        </w:rPr>
        <w:tab/>
      </w:r>
      <w:r/>
    </w:p>
    <w:p>
      <w:pPr>
        <w:jc w:val="center"/>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（注：符合条件的监狱企业请提供本函，不符合的不提供本函）</w:t>
      </w:r>
      <w:r/>
    </w:p>
    <w:p>
      <w:pPr>
        <w:pStyle w:val="1072"/>
        <w:shd w:val="clear" w:color="auto" w:fill="auto"/>
        <w:rPr>
          <w:rFonts w:hint="eastAsia" w:hAnsi="宋体" w:cs="宋体"/>
          <w:color w:val="auto"/>
          <w:sz w:val="24"/>
          <w:szCs w:val="24"/>
          <w:highlight w:val="none"/>
        </w:rPr>
      </w:pPr>
      <w:r>
        <w:rPr>
          <w:rFonts w:hint="eastAsia" w:hAnsi="宋体" w:cs="宋体"/>
          <w:color w:val="auto"/>
          <w:sz w:val="24"/>
          <w:szCs w:val="24"/>
          <w:highlight w:val="none"/>
        </w:rPr>
      </w:r>
      <w:r/>
    </w:p>
    <w:p>
      <w:pPr>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省级以上监狱管理局、戒毒管理局（含新疆生产建设兵团）出具的属于监狱企业的证明文件。</w:t>
      </w:r>
      <w:r/>
    </w:p>
    <w:p>
      <w:pPr>
        <w:jc w:val="center"/>
        <w:shd w:val="clear" w:color="auto" w:fill="auto"/>
        <w:rPr>
          <w:rFonts w:hint="eastAsia" w:ascii="宋体" w:hAnsi="宋体" w:cs="宋体"/>
          <w:color w:val="auto"/>
          <w:sz w:val="32"/>
          <w:szCs w:val="32"/>
          <w:highlight w:val="none"/>
        </w:rPr>
        <w:outlineLvl w:val="2"/>
      </w:pPr>
      <w:r>
        <w:rPr>
          <w:rFonts w:hint="eastAsia" w:ascii="宋体" w:hAnsi="宋体" w:cs="宋体"/>
          <w:color w:val="auto"/>
          <w:sz w:val="36"/>
          <w:szCs w:val="36"/>
          <w:highlight w:val="none"/>
          <w:lang w:val="zh-CN"/>
        </w:rPr>
        <w:br w:type="page" w:clear="all"/>
      </w:r>
      <w:bookmarkStart w:id="202" w:name="_Toc211090877"/>
      <w:r>
        <w:rPr>
          <w:rFonts w:hint="eastAsia" w:ascii="宋体" w:hAnsi="宋体" w:cs="宋体"/>
          <w:b/>
          <w:bCs/>
          <w:color w:val="auto"/>
          <w:sz w:val="32"/>
          <w:szCs w:val="32"/>
          <w:highlight w:val="none"/>
        </w:rPr>
        <w:t xml:space="preserve">八、投标人认为需要提供的其他文件</w:t>
      </w:r>
      <w:bookmarkEnd w:id="202"/>
      <w:r/>
      <w:r/>
    </w:p>
    <w:p>
      <w:pPr>
        <w:pStyle w:val="1070"/>
        <w:shd w:val="clear" w:color="auto" w:fill="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68"/>
        <w:ind w:firstLine="482"/>
        <w:jc w:val="left"/>
        <w:spacing w:before="129"/>
        <w:shd w:val="clear" w:color="auto" w:fill="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投标人应按照招标文件要求必须提供的相关承诺函，格式自拟并盖章。</w:t>
      </w:r>
      <w:r/>
    </w:p>
    <w:sectPr>
      <w:footerReference w:type="default" r:id="rId15"/>
      <w:footnotePr/>
      <w:endnotePr/>
      <w:type w:val="nextPage"/>
      <w:pgSz w:w="11906" w:h="16838" w:orient="portrait"/>
      <w:pgMar w:top="1417" w:right="1417" w:bottom="1417" w:left="141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EU-F1">
    <w:panose1 w:val="020B0503020202020204"/>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p>
    <w:pPr>
      <w:pStyle w:val="10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p>
    <w:pPr>
      <w:pStyle w:val="10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r/>
                    <w:r/>
                  </w:p>
                </w:txbxContent>
              </v:textbox>
            </v:shape>
          </w:pict>
        </mc:Fallback>
      </mc:AlternateContent>
    </w:r>
    <w:r/>
  </w:p>
  <w:p>
    <w:pPr>
      <w:pStyle w:val="10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7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pStyle w:val="1091"/>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37">
    <w:name w:val="Heading 1"/>
    <w:basedOn w:val="836"/>
    <w:next w:val="836"/>
    <w:link w:val="910"/>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911"/>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912"/>
    <w:uiPriority w:val="9"/>
    <w:unhideWhenUsed/>
    <w:qFormat/>
    <w:pPr>
      <w:keepLines/>
      <w:keepNext/>
      <w:spacing w:before="320" w:after="200"/>
      <w:outlineLvl w:val="2"/>
    </w:pPr>
    <w:rPr>
      <w:rFonts w:ascii="Arial" w:hAnsi="Arial" w:eastAsia="Arial" w:cs="Arial"/>
      <w:sz w:val="30"/>
      <w:szCs w:val="30"/>
    </w:rPr>
  </w:style>
  <w:style w:type="paragraph" w:styleId="840">
    <w:name w:val="Heading 4"/>
    <w:next w:val="848"/>
    <w:uiPriority w:val="0"/>
    <w:qFormat/>
    <w:pPr>
      <w:jc w:val="both"/>
      <w:keepLines/>
      <w:keepNext/>
      <w:spacing w:before="280" w:after="290" w:line="372" w:lineRule="auto"/>
      <w:widowControl w:val="off"/>
      <w:outlineLvl w:val="3"/>
    </w:pPr>
    <w:rPr>
      <w:rFonts w:hint="default" w:ascii="Arial" w:hAnsi="Arial" w:eastAsia="黑体" w:cs="Calibri"/>
      <w:b/>
      <w:sz w:val="28"/>
      <w:lang w:val="en-US" w:eastAsia="zh-CN" w:bidi="ar-SA"/>
    </w:rPr>
  </w:style>
  <w:style w:type="paragraph" w:styleId="841">
    <w:name w:val="Heading 5"/>
    <w:basedOn w:val="836"/>
    <w:next w:val="836"/>
    <w:link w:val="914"/>
    <w:uiPriority w:val="9"/>
    <w:unhideWhenUsed/>
    <w:qFormat/>
    <w:pPr>
      <w:keepLines/>
      <w:keepNext/>
      <w:spacing w:before="320" w:after="200"/>
      <w:outlineLvl w:val="4"/>
    </w:pPr>
    <w:rPr>
      <w:rFonts w:ascii="Arial" w:hAnsi="Arial" w:eastAsia="Arial" w:cs="Arial"/>
      <w:b/>
      <w:bCs/>
      <w:sz w:val="24"/>
    </w:rPr>
  </w:style>
  <w:style w:type="paragraph" w:styleId="842">
    <w:name w:val="Heading 6"/>
    <w:basedOn w:val="836"/>
    <w:next w:val="836"/>
    <w:link w:val="915"/>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917"/>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918"/>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customStyle="1">
    <w:name w:val="正文1"/>
    <w:uiPriority w:val="0"/>
    <w:qFormat/>
    <w:pPr>
      <w:jc w:val="both"/>
    </w:pPr>
    <w:rPr>
      <w:rFonts w:hint="default" w:ascii="Times New Roman" w:hAnsi="Times New Roman" w:eastAsia="宋体" w:cs="Calibri"/>
      <w:sz w:val="21"/>
      <w:szCs w:val="21"/>
      <w:lang w:val="en-US" w:eastAsia="zh-CN" w:bidi="ar-SA"/>
    </w:rPr>
  </w:style>
  <w:style w:type="paragraph" w:styleId="849">
    <w:name w:val="toc 7"/>
    <w:basedOn w:val="836"/>
    <w:next w:val="836"/>
    <w:uiPriority w:val="39"/>
    <w:unhideWhenUsed/>
    <w:qFormat/>
    <w:pPr>
      <w:ind w:left="1701"/>
      <w:spacing w:after="57"/>
    </w:pPr>
  </w:style>
  <w:style w:type="paragraph" w:styleId="850">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annotation text"/>
    <w:basedOn w:val="836"/>
    <w:uiPriority w:val="99"/>
    <w:semiHidden/>
    <w:unhideWhenUsed/>
    <w:qFormat/>
    <w:pPr>
      <w:jc w:val="left"/>
    </w:pPr>
  </w:style>
  <w:style w:type="paragraph" w:styleId="852">
    <w:name w:val="toc 5"/>
    <w:basedOn w:val="836"/>
    <w:next w:val="836"/>
    <w:uiPriority w:val="39"/>
    <w:unhideWhenUsed/>
    <w:qFormat/>
    <w:pPr>
      <w:ind w:left="1134"/>
      <w:spacing w:after="57"/>
    </w:pPr>
  </w:style>
  <w:style w:type="paragraph" w:styleId="853">
    <w:name w:val="toc 3"/>
    <w:basedOn w:val="836"/>
    <w:next w:val="836"/>
    <w:uiPriority w:val="39"/>
    <w:unhideWhenUsed/>
    <w:qFormat/>
    <w:pPr>
      <w:ind w:left="567"/>
      <w:spacing w:after="57"/>
    </w:pPr>
  </w:style>
  <w:style w:type="paragraph" w:styleId="854">
    <w:name w:val="Plain Text"/>
    <w:basedOn w:val="836"/>
    <w:uiPriority w:val="0"/>
    <w:qFormat/>
    <w:rPr>
      <w:rFonts w:ascii="宋体" w:hAnsi="Courier New" w:cs="Courier New"/>
      <w:szCs w:val="21"/>
    </w:rPr>
  </w:style>
  <w:style w:type="paragraph" w:styleId="855">
    <w:name w:val="toc 8"/>
    <w:basedOn w:val="836"/>
    <w:next w:val="836"/>
    <w:uiPriority w:val="39"/>
    <w:unhideWhenUsed/>
    <w:qFormat/>
    <w:pPr>
      <w:ind w:left="1984"/>
      <w:spacing w:after="57"/>
    </w:pPr>
  </w:style>
  <w:style w:type="paragraph" w:styleId="856">
    <w:name w:val="endnote text"/>
    <w:basedOn w:val="836"/>
    <w:link w:val="1056"/>
    <w:uiPriority w:val="99"/>
    <w:semiHidden/>
    <w:unhideWhenUsed/>
    <w:qFormat/>
    <w:pPr>
      <w:spacing w:line="240" w:lineRule="auto"/>
    </w:pPr>
    <w:rPr>
      <w:sz w:val="20"/>
    </w:rPr>
  </w:style>
  <w:style w:type="paragraph" w:styleId="857">
    <w:name w:val="Footer"/>
    <w:basedOn w:val="836"/>
    <w:link w:val="929"/>
    <w:uiPriority w:val="99"/>
    <w:unhideWhenUsed/>
    <w:qFormat/>
    <w:pPr>
      <w:spacing w:line="240" w:lineRule="auto"/>
      <w:tabs>
        <w:tab w:val="center" w:pos="7143" w:leader="none"/>
        <w:tab w:val="right" w:pos="14287" w:leader="none"/>
      </w:tabs>
    </w:pPr>
  </w:style>
  <w:style w:type="paragraph" w:styleId="858">
    <w:name w:val="Header"/>
    <w:basedOn w:val="836"/>
    <w:link w:val="927"/>
    <w:uiPriority w:val="99"/>
    <w:unhideWhenUsed/>
    <w:qFormat/>
    <w:pPr>
      <w:spacing w:line="240" w:lineRule="auto"/>
      <w:tabs>
        <w:tab w:val="center" w:pos="7143" w:leader="none"/>
        <w:tab w:val="right" w:pos="14287" w:leader="none"/>
      </w:tabs>
    </w:pPr>
  </w:style>
  <w:style w:type="paragraph" w:styleId="859">
    <w:name w:val="toc 1"/>
    <w:basedOn w:val="836"/>
    <w:next w:val="836"/>
    <w:uiPriority w:val="39"/>
    <w:unhideWhenUsed/>
    <w:qFormat/>
    <w:pPr>
      <w:spacing w:after="57"/>
    </w:pPr>
  </w:style>
  <w:style w:type="paragraph" w:styleId="860">
    <w:name w:val="toc 4"/>
    <w:basedOn w:val="836"/>
    <w:next w:val="836"/>
    <w:uiPriority w:val="39"/>
    <w:unhideWhenUsed/>
    <w:qFormat/>
    <w:pPr>
      <w:ind w:left="850"/>
      <w:spacing w:after="57"/>
    </w:pPr>
  </w:style>
  <w:style w:type="paragraph" w:styleId="861">
    <w:name w:val="Subtitle"/>
    <w:basedOn w:val="836"/>
    <w:next w:val="836"/>
    <w:link w:val="922"/>
    <w:uiPriority w:val="11"/>
    <w:qFormat/>
    <w:pPr>
      <w:spacing w:before="200" w:after="200"/>
    </w:pPr>
    <w:rPr>
      <w:sz w:val="24"/>
    </w:rPr>
  </w:style>
  <w:style w:type="paragraph" w:styleId="862">
    <w:name w:val="footnote text"/>
    <w:basedOn w:val="836"/>
    <w:link w:val="1055"/>
    <w:uiPriority w:val="99"/>
    <w:semiHidden/>
    <w:unhideWhenUsed/>
    <w:qFormat/>
    <w:pPr>
      <w:spacing w:after="40" w:line="240" w:lineRule="auto"/>
    </w:pPr>
    <w:rPr>
      <w:sz w:val="18"/>
    </w:rPr>
  </w:style>
  <w:style w:type="paragraph" w:styleId="863">
    <w:name w:val="toc 6"/>
    <w:basedOn w:val="836"/>
    <w:next w:val="836"/>
    <w:uiPriority w:val="39"/>
    <w:unhideWhenUsed/>
    <w:qFormat/>
    <w:pPr>
      <w:ind w:left="1417"/>
      <w:spacing w:after="57"/>
    </w:pPr>
  </w:style>
  <w:style w:type="paragraph" w:styleId="864">
    <w:name w:val="table of figures"/>
    <w:basedOn w:val="836"/>
    <w:next w:val="836"/>
    <w:uiPriority w:val="99"/>
    <w:unhideWhenUsed/>
    <w:qFormat/>
  </w:style>
  <w:style w:type="paragraph" w:styleId="865">
    <w:name w:val="toc 2"/>
    <w:basedOn w:val="836"/>
    <w:next w:val="836"/>
    <w:uiPriority w:val="39"/>
    <w:unhideWhenUsed/>
    <w:qFormat/>
    <w:pPr>
      <w:ind w:left="283"/>
      <w:spacing w:after="57"/>
    </w:pPr>
  </w:style>
  <w:style w:type="paragraph" w:styleId="866">
    <w:name w:val="toc 9"/>
    <w:basedOn w:val="836"/>
    <w:next w:val="836"/>
    <w:uiPriority w:val="39"/>
    <w:unhideWhenUsed/>
    <w:qFormat/>
    <w:pPr>
      <w:ind w:left="2268"/>
      <w:spacing w:after="57"/>
    </w:pPr>
  </w:style>
  <w:style w:type="paragraph" w:styleId="867">
    <w:name w:val="Normal (Web)"/>
    <w:basedOn w:val="836"/>
    <w:uiPriority w:val="99"/>
    <w:semiHidden/>
    <w:unhideWhenUsed/>
    <w:qFormat/>
    <w:pPr>
      <w:ind w:left="0" w:right="0"/>
      <w:jc w:val="left"/>
      <w:spacing w:before="0" w:beforeAutospacing="1" w:after="0" w:afterAutospacing="1"/>
    </w:pPr>
    <w:rPr>
      <w:sz w:val="24"/>
      <w:lang w:val="en-US" w:eastAsia="zh-CN" w:bidi="ar"/>
    </w:rPr>
  </w:style>
  <w:style w:type="paragraph" w:styleId="868">
    <w:name w:val="Title"/>
    <w:basedOn w:val="836"/>
    <w:next w:val="836"/>
    <w:link w:val="921"/>
    <w:uiPriority w:val="10"/>
    <w:qFormat/>
    <w:pPr>
      <w:contextualSpacing/>
      <w:spacing w:before="300" w:after="200"/>
    </w:pPr>
    <w:rPr>
      <w:sz w:val="48"/>
      <w:szCs w:val="48"/>
    </w:rPr>
  </w:style>
  <w:style w:type="table" w:styleId="8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Strong"/>
    <w:basedOn w:val="846"/>
    <w:uiPriority w:val="22"/>
    <w:qFormat/>
    <w:rPr>
      <w:b/>
    </w:r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themeColor="hyperlink"/>
      <w:u w:val="single"/>
      <w14:textFill>
        <w14:solidFill>
          <w14:schemeClr w14:val="hlink"/>
        </w14:solidFill>
      </w14:textFill>
    </w:rPr>
  </w:style>
  <w:style w:type="character" w:styleId="873">
    <w:name w:val="footnote reference"/>
    <w:uiPriority w:val="99"/>
    <w:unhideWhenUsed/>
    <w:qFormat/>
    <w:rPr>
      <w:vertAlign w:val="superscript"/>
    </w:rPr>
  </w:style>
  <w:style w:type="character" w:styleId="874" w:customStyle="1">
    <w:name w:val="Heading 1 Char"/>
    <w:basedOn w:val="846"/>
    <w:uiPriority w:val="9"/>
    <w:qFormat/>
    <w:rPr>
      <w:rFonts w:ascii="Arial" w:hAnsi="Arial" w:eastAsia="Arial" w:cs="Arial"/>
      <w:sz w:val="40"/>
      <w:szCs w:val="40"/>
    </w:rPr>
  </w:style>
  <w:style w:type="character" w:styleId="875" w:customStyle="1">
    <w:name w:val="Heading 2 Char"/>
    <w:basedOn w:val="846"/>
    <w:uiPriority w:val="9"/>
    <w:qFormat/>
    <w:rPr>
      <w:rFonts w:ascii="Arial" w:hAnsi="Arial" w:eastAsia="Arial" w:cs="Arial"/>
      <w:sz w:val="34"/>
    </w:rPr>
  </w:style>
  <w:style w:type="character" w:styleId="876" w:customStyle="1">
    <w:name w:val="Heading 3 Char"/>
    <w:basedOn w:val="846"/>
    <w:uiPriority w:val="9"/>
    <w:qFormat/>
    <w:rPr>
      <w:rFonts w:ascii="Arial" w:hAnsi="Arial" w:eastAsia="Arial" w:cs="Arial"/>
      <w:sz w:val="30"/>
      <w:szCs w:val="30"/>
    </w:rPr>
  </w:style>
  <w:style w:type="character" w:styleId="877" w:customStyle="1">
    <w:name w:val="Heading 5 Char"/>
    <w:basedOn w:val="846"/>
    <w:uiPriority w:val="9"/>
    <w:qFormat/>
    <w:rPr>
      <w:rFonts w:ascii="Arial" w:hAnsi="Arial" w:eastAsia="Arial" w:cs="Arial"/>
      <w:b/>
      <w:bCs/>
      <w:sz w:val="24"/>
      <w:szCs w:val="24"/>
    </w:rPr>
  </w:style>
  <w:style w:type="character" w:styleId="878" w:customStyle="1">
    <w:name w:val="Heading 6 Char"/>
    <w:basedOn w:val="846"/>
    <w:uiPriority w:val="9"/>
    <w:qFormat/>
    <w:rPr>
      <w:rFonts w:ascii="Arial" w:hAnsi="Arial" w:eastAsia="Arial" w:cs="Arial"/>
      <w:b/>
      <w:bCs/>
      <w:sz w:val="22"/>
      <w:szCs w:val="22"/>
    </w:rPr>
  </w:style>
  <w:style w:type="character" w:styleId="879" w:customStyle="1">
    <w:name w:val="Heading 7 Char"/>
    <w:basedOn w:val="846"/>
    <w:uiPriority w:val="9"/>
    <w:qFormat/>
    <w:rPr>
      <w:rFonts w:ascii="Arial" w:hAnsi="Arial" w:eastAsia="Arial" w:cs="Arial"/>
      <w:b/>
      <w:bCs/>
      <w:i/>
      <w:iCs/>
      <w:sz w:val="22"/>
      <w:szCs w:val="22"/>
    </w:rPr>
  </w:style>
  <w:style w:type="character" w:styleId="880" w:customStyle="1">
    <w:name w:val="Heading 8 Char"/>
    <w:basedOn w:val="846"/>
    <w:uiPriority w:val="9"/>
    <w:qFormat/>
    <w:rPr>
      <w:rFonts w:ascii="Arial" w:hAnsi="Arial" w:eastAsia="Arial" w:cs="Arial"/>
      <w:i/>
      <w:iCs/>
      <w:sz w:val="22"/>
      <w:szCs w:val="22"/>
    </w:rPr>
  </w:style>
  <w:style w:type="character" w:styleId="881" w:customStyle="1">
    <w:name w:val="Heading 9 Char"/>
    <w:basedOn w:val="846"/>
    <w:uiPriority w:val="9"/>
    <w:qFormat/>
    <w:rPr>
      <w:rFonts w:ascii="Arial" w:hAnsi="Arial" w:eastAsia="Arial" w:cs="Arial"/>
      <w:i/>
      <w:iCs/>
      <w:sz w:val="21"/>
      <w:szCs w:val="21"/>
    </w:rPr>
  </w:style>
  <w:style w:type="character" w:styleId="882" w:customStyle="1">
    <w:name w:val="Title Char"/>
    <w:basedOn w:val="846"/>
    <w:uiPriority w:val="10"/>
    <w:qFormat/>
    <w:rPr>
      <w:sz w:val="48"/>
      <w:szCs w:val="48"/>
    </w:rPr>
  </w:style>
  <w:style w:type="character" w:styleId="883" w:customStyle="1">
    <w:name w:val="Subtitle Char"/>
    <w:basedOn w:val="84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846"/>
    <w:uiPriority w:val="99"/>
    <w:qFormat/>
  </w:style>
  <w:style w:type="character" w:styleId="887" w:customStyle="1">
    <w:name w:val="Caption Char"/>
    <w:uiPriority w:val="99"/>
    <w:qFormat/>
  </w:style>
  <w:style w:type="table" w:styleId="888" w:customStyle="1">
    <w:name w:val="Plain Table 1"/>
    <w:basedOn w:val="8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3"/>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5 Dark"/>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6 Colorful"/>
    <w:basedOn w:val="8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7 Colorful"/>
    <w:basedOn w:val="8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1 Light"/>
    <w:basedOn w:val="8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2"/>
    <w:basedOn w:val="8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3"/>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5 Dark"/>
    <w:basedOn w:val="8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8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7 Colorful"/>
    <w:basedOn w:val="8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标题 1 字符"/>
    <w:link w:val="837"/>
    <w:uiPriority w:val="9"/>
    <w:qFormat/>
    <w:rPr>
      <w:rFonts w:ascii="Arial" w:hAnsi="Arial" w:eastAsia="Arial" w:cs="Arial"/>
      <w:sz w:val="40"/>
      <w:szCs w:val="40"/>
    </w:rPr>
  </w:style>
  <w:style w:type="character" w:styleId="911" w:customStyle="1">
    <w:name w:val="标题 2 字符"/>
    <w:link w:val="838"/>
    <w:uiPriority w:val="9"/>
    <w:qFormat/>
    <w:rPr>
      <w:rFonts w:ascii="Arial" w:hAnsi="Arial" w:eastAsia="Arial" w:cs="Arial"/>
      <w:sz w:val="34"/>
    </w:rPr>
  </w:style>
  <w:style w:type="character" w:styleId="912" w:customStyle="1">
    <w:name w:val="标题 3 字符"/>
    <w:link w:val="839"/>
    <w:uiPriority w:val="9"/>
    <w:qFormat/>
    <w:rPr>
      <w:rFonts w:ascii="Arial" w:hAnsi="Arial" w:eastAsia="Arial" w:cs="Arial"/>
      <w:sz w:val="30"/>
      <w:szCs w:val="30"/>
    </w:rPr>
  </w:style>
  <w:style w:type="character" w:styleId="913" w:customStyle="1">
    <w:name w:val="Heading 4 Char"/>
    <w:uiPriority w:val="9"/>
    <w:qFormat/>
    <w:rPr>
      <w:rFonts w:ascii="Arial" w:hAnsi="Arial" w:eastAsia="Arial" w:cs="Arial"/>
      <w:b/>
      <w:bCs/>
      <w:sz w:val="26"/>
      <w:szCs w:val="26"/>
    </w:rPr>
  </w:style>
  <w:style w:type="character" w:styleId="914" w:customStyle="1">
    <w:name w:val="标题 5 字符"/>
    <w:link w:val="841"/>
    <w:uiPriority w:val="9"/>
    <w:qFormat/>
    <w:rPr>
      <w:rFonts w:ascii="Arial" w:hAnsi="Arial" w:eastAsia="Arial" w:cs="Arial"/>
      <w:b/>
      <w:bCs/>
      <w:sz w:val="24"/>
      <w:szCs w:val="24"/>
    </w:rPr>
  </w:style>
  <w:style w:type="character" w:styleId="915" w:customStyle="1">
    <w:name w:val="标题 6 字符"/>
    <w:link w:val="842"/>
    <w:uiPriority w:val="9"/>
    <w:qFormat/>
    <w:rPr>
      <w:rFonts w:ascii="Arial" w:hAnsi="Arial" w:eastAsia="Arial" w:cs="Arial"/>
      <w:b/>
      <w:bCs/>
      <w:sz w:val="22"/>
      <w:szCs w:val="22"/>
    </w:rPr>
  </w:style>
  <w:style w:type="character" w:styleId="916" w:customStyle="1">
    <w:name w:val="标题 7 字符"/>
    <w:link w:val="843"/>
    <w:uiPriority w:val="9"/>
    <w:qFormat/>
    <w:rPr>
      <w:rFonts w:ascii="Arial" w:hAnsi="Arial" w:eastAsia="Arial" w:cs="Arial"/>
      <w:b/>
      <w:bCs/>
      <w:i/>
      <w:iCs/>
      <w:sz w:val="22"/>
      <w:szCs w:val="22"/>
    </w:rPr>
  </w:style>
  <w:style w:type="character" w:styleId="917" w:customStyle="1">
    <w:name w:val="标题 8 字符"/>
    <w:link w:val="844"/>
    <w:uiPriority w:val="9"/>
    <w:qFormat/>
    <w:rPr>
      <w:rFonts w:ascii="Arial" w:hAnsi="Arial" w:eastAsia="Arial" w:cs="Arial"/>
      <w:i/>
      <w:iCs/>
      <w:sz w:val="22"/>
      <w:szCs w:val="22"/>
    </w:rPr>
  </w:style>
  <w:style w:type="character" w:styleId="918" w:customStyle="1">
    <w:name w:val="标题 9 字符"/>
    <w:link w:val="845"/>
    <w:uiPriority w:val="9"/>
    <w:qFormat/>
    <w:rPr>
      <w:rFonts w:ascii="Arial" w:hAnsi="Arial" w:eastAsia="Arial" w:cs="Arial"/>
      <w:i/>
      <w:iCs/>
      <w:sz w:val="21"/>
      <w:szCs w:val="21"/>
    </w:rPr>
  </w:style>
  <w:style w:type="paragraph" w:styleId="919">
    <w:name w:val="List Paragraph"/>
    <w:basedOn w:val="836"/>
    <w:uiPriority w:val="34"/>
    <w:qFormat/>
    <w:pPr>
      <w:contextualSpacing/>
      <w:ind w:left="720"/>
    </w:pPr>
  </w:style>
  <w:style w:type="paragraph" w:styleId="920">
    <w:name w:val="No Spacing"/>
    <w:uiPriority w:val="1"/>
    <w:qFormat/>
    <w:rPr>
      <w:rFonts w:hint="default" w:ascii="Times New Roman" w:hAnsi="Times New Roman" w:eastAsia="宋体" w:cs="Times New Roman"/>
      <w:lang w:val="en-US" w:eastAsia="zh-CN" w:bidi="ar-SA"/>
    </w:rPr>
  </w:style>
  <w:style w:type="character" w:styleId="921" w:customStyle="1">
    <w:name w:val="标题 字符"/>
    <w:link w:val="868"/>
    <w:uiPriority w:val="10"/>
    <w:qFormat/>
    <w:rPr>
      <w:sz w:val="48"/>
      <w:szCs w:val="48"/>
    </w:rPr>
  </w:style>
  <w:style w:type="character" w:styleId="922" w:customStyle="1">
    <w:name w:val="副标题 字符"/>
    <w:link w:val="861"/>
    <w:uiPriority w:val="11"/>
    <w:qFormat/>
    <w:rPr>
      <w:sz w:val="24"/>
      <w:szCs w:val="24"/>
    </w:rPr>
  </w:style>
  <w:style w:type="paragraph" w:styleId="923">
    <w:name w:val="Quote"/>
    <w:basedOn w:val="836"/>
    <w:next w:val="836"/>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36"/>
    <w:next w:val="83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页眉 字符"/>
    <w:link w:val="858"/>
    <w:uiPriority w:val="99"/>
    <w:qFormat/>
  </w:style>
  <w:style w:type="character" w:styleId="928" w:customStyle="1">
    <w:name w:val="Footer Char"/>
    <w:uiPriority w:val="99"/>
    <w:qFormat/>
  </w:style>
  <w:style w:type="character" w:styleId="929" w:customStyle="1">
    <w:name w:val="页脚 字符"/>
    <w:link w:val="857"/>
    <w:uiPriority w:val="99"/>
    <w:qFormat/>
  </w:style>
  <w:style w:type="table" w:styleId="9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脚注文本 字符"/>
    <w:link w:val="862"/>
    <w:uiPriority w:val="99"/>
    <w:qFormat/>
    <w:rPr>
      <w:sz w:val="18"/>
    </w:rPr>
  </w:style>
  <w:style w:type="character" w:styleId="1056" w:customStyle="1">
    <w:name w:val="尾注文本 字符"/>
    <w:link w:val="856"/>
    <w:uiPriority w:val="99"/>
    <w:qFormat/>
    <w:rPr>
      <w:sz w:val="20"/>
    </w:r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customStyle="1">
    <w:name w:val="标题 11"/>
    <w:basedOn w:val="836"/>
    <w:next w:val="836"/>
    <w:uiPriority w:val="0"/>
    <w:qFormat/>
    <w:pPr>
      <w:keepLines/>
      <w:keepNext/>
      <w:spacing w:before="340" w:after="330" w:line="576" w:lineRule="auto"/>
      <w:outlineLvl w:val="0"/>
    </w:pPr>
    <w:rPr>
      <w:b/>
      <w:bCs/>
      <w:sz w:val="44"/>
      <w:szCs w:val="44"/>
    </w:rPr>
  </w:style>
  <w:style w:type="paragraph" w:styleId="1059" w:customStyle="1">
    <w:name w:val="标题 21"/>
    <w:basedOn w:val="836"/>
    <w:next w:val="836"/>
    <w:uiPriority w:val="0"/>
    <w:qFormat/>
    <w:pPr>
      <w:keepLines/>
      <w:keepNext/>
      <w:spacing w:before="260" w:after="260" w:line="415" w:lineRule="auto"/>
      <w:outlineLvl w:val="1"/>
    </w:pPr>
    <w:rPr>
      <w:rFonts w:ascii="Arial" w:hAnsi="Arial" w:eastAsia="黑体"/>
      <w:b/>
      <w:bCs/>
      <w:sz w:val="32"/>
      <w:szCs w:val="32"/>
    </w:rPr>
  </w:style>
  <w:style w:type="paragraph" w:styleId="1060" w:customStyle="1">
    <w:name w:val="标题 31"/>
    <w:basedOn w:val="836"/>
    <w:next w:val="836"/>
    <w:uiPriority w:val="0"/>
    <w:qFormat/>
    <w:pPr>
      <w:keepLines/>
      <w:keepNext/>
      <w:spacing w:before="260" w:after="260" w:line="415" w:lineRule="auto"/>
      <w:outlineLvl w:val="2"/>
    </w:pPr>
    <w:rPr>
      <w:b/>
      <w:bCs/>
      <w:sz w:val="32"/>
      <w:szCs w:val="32"/>
    </w:rPr>
  </w:style>
  <w:style w:type="paragraph" w:styleId="1061" w:customStyle="1">
    <w:name w:val="标题 41"/>
    <w:basedOn w:val="836"/>
    <w:next w:val="836"/>
    <w:uiPriority w:val="0"/>
    <w:qFormat/>
    <w:pPr>
      <w:keepLines/>
      <w:keepNext/>
      <w:spacing w:before="280" w:after="290" w:line="374" w:lineRule="auto"/>
      <w:outlineLvl w:val="3"/>
    </w:pPr>
    <w:rPr>
      <w:rFonts w:ascii="Cambria" w:hAnsi="Cambria"/>
      <w:b/>
      <w:bCs/>
      <w:sz w:val="28"/>
      <w:szCs w:val="28"/>
    </w:rPr>
  </w:style>
  <w:style w:type="character" w:styleId="1062" w:customStyle="1">
    <w:name w:val="默认段落字体1"/>
    <w:uiPriority w:val="0"/>
    <w:semiHidden/>
    <w:qFormat/>
  </w:style>
  <w:style w:type="table" w:styleId="1063" w:customStyle="1">
    <w:name w:val="普通表格1"/>
    <w:uiPriority w:val="0"/>
    <w:semiHidden/>
    <w:qFormat/>
    <w:tblPr>
      <w:tblCellMar>
        <w:left w:w="0" w:type="dxa"/>
        <w:top w:w="0" w:type="dxa"/>
        <w:right w:w="0" w:type="dxa"/>
        <w:bottom w:w="0" w:type="dxa"/>
      </w:tblCellMar>
    </w:tblPr>
  </w:style>
  <w:style w:type="paragraph" w:styleId="1064" w:customStyle="1">
    <w:name w:val="索引 81"/>
    <w:basedOn w:val="836"/>
    <w:next w:val="836"/>
    <w:uiPriority w:val="0"/>
    <w:semiHidden/>
    <w:qFormat/>
    <w:pPr>
      <w:ind w:left="1680" w:hanging="210"/>
      <w:jc w:val="left"/>
    </w:pPr>
    <w:rPr>
      <w:sz w:val="20"/>
      <w:szCs w:val="20"/>
    </w:rPr>
  </w:style>
  <w:style w:type="paragraph" w:styleId="1065" w:customStyle="1">
    <w:name w:val="正文缩进1"/>
    <w:basedOn w:val="836"/>
    <w:uiPriority w:val="0"/>
    <w:qFormat/>
    <w:pPr>
      <w:ind w:firstLine="420"/>
    </w:pPr>
  </w:style>
  <w:style w:type="paragraph" w:styleId="1066" w:customStyle="1">
    <w:name w:val="批注文字1"/>
    <w:basedOn w:val="836"/>
    <w:link w:val="1067"/>
    <w:uiPriority w:val="0"/>
    <w:qFormat/>
    <w:pPr>
      <w:jc w:val="left"/>
    </w:pPr>
  </w:style>
  <w:style w:type="character" w:styleId="1067" w:customStyle="1">
    <w:name w:val="批注文字 Char"/>
    <w:link w:val="1066"/>
    <w:uiPriority w:val="0"/>
    <w:qFormat/>
    <w:rPr>
      <w:sz w:val="21"/>
      <w:szCs w:val="24"/>
    </w:rPr>
  </w:style>
  <w:style w:type="paragraph" w:styleId="1068" w:customStyle="1">
    <w:name w:val="正文文本1"/>
    <w:basedOn w:val="836"/>
    <w:next w:val="1069"/>
    <w:uiPriority w:val="0"/>
    <w:unhideWhenUsed/>
    <w:qFormat/>
    <w:pPr>
      <w:spacing w:after="120"/>
    </w:pPr>
    <w:rPr>
      <w:sz w:val="20"/>
    </w:rPr>
  </w:style>
  <w:style w:type="paragraph" w:styleId="1069" w:customStyle="1">
    <w:name w:val="列表1"/>
    <w:basedOn w:val="836"/>
    <w:uiPriority w:val="0"/>
    <w:qFormat/>
    <w:pPr>
      <w:ind w:left="200" w:hanging="200"/>
    </w:pPr>
    <w:rPr>
      <w:szCs w:val="20"/>
    </w:rPr>
  </w:style>
  <w:style w:type="paragraph" w:styleId="1070" w:customStyle="1">
    <w:name w:val="正文文本缩进1"/>
    <w:basedOn w:val="836"/>
    <w:uiPriority w:val="0"/>
    <w:unhideWhenUsed/>
    <w:qFormat/>
    <w:pPr>
      <w:ind w:left="420"/>
      <w:spacing w:after="120"/>
    </w:pPr>
    <w:rPr>
      <w:sz w:val="24"/>
    </w:rPr>
  </w:style>
  <w:style w:type="paragraph" w:styleId="1071" w:customStyle="1">
    <w:name w:val="目录 31"/>
    <w:basedOn w:val="836"/>
    <w:next w:val="836"/>
    <w:uiPriority w:val="39"/>
    <w:unhideWhenUsed/>
    <w:qFormat/>
    <w:pPr>
      <w:ind w:left="840"/>
    </w:pPr>
  </w:style>
  <w:style w:type="paragraph" w:styleId="1072" w:customStyle="1">
    <w:name w:val="纯文本1"/>
    <w:basedOn w:val="836"/>
    <w:link w:val="1073"/>
    <w:uiPriority w:val="0"/>
    <w:unhideWhenUsed/>
    <w:qFormat/>
    <w:rPr>
      <w:rFonts w:ascii="宋体" w:hAnsi="Courier New"/>
      <w:sz w:val="20"/>
      <w:szCs w:val="21"/>
    </w:rPr>
  </w:style>
  <w:style w:type="character" w:styleId="1073" w:customStyle="1">
    <w:name w:val="纯文本 Char"/>
    <w:link w:val="1072"/>
    <w:uiPriority w:val="0"/>
    <w:qFormat/>
    <w:rPr>
      <w:rFonts w:ascii="宋体" w:hAnsi="Courier New"/>
      <w:szCs w:val="21"/>
    </w:rPr>
  </w:style>
  <w:style w:type="paragraph" w:styleId="1074" w:customStyle="1">
    <w:name w:val="正文文本缩进 21"/>
    <w:basedOn w:val="836"/>
    <w:uiPriority w:val="0"/>
    <w:qFormat/>
    <w:pPr>
      <w:ind w:firstLine="600"/>
      <w:spacing w:line="324" w:lineRule="auto"/>
    </w:pPr>
    <w:rPr>
      <w:rFonts w:ascii="Courier New" w:hAnsi="Courier New"/>
      <w:szCs w:val="20"/>
    </w:rPr>
  </w:style>
  <w:style w:type="paragraph" w:styleId="1075" w:customStyle="1">
    <w:name w:val="批注框文本1"/>
    <w:basedOn w:val="836"/>
    <w:uiPriority w:val="0"/>
    <w:unhideWhenUsed/>
    <w:qFormat/>
    <w:rPr>
      <w:sz w:val="18"/>
      <w:szCs w:val="18"/>
    </w:rPr>
  </w:style>
  <w:style w:type="paragraph" w:styleId="1076" w:customStyle="1">
    <w:name w:val="页脚1"/>
    <w:basedOn w:val="836"/>
    <w:link w:val="1077"/>
    <w:uiPriority w:val="99"/>
    <w:unhideWhenUsed/>
    <w:qFormat/>
    <w:pPr>
      <w:jc w:val="left"/>
      <w:tabs>
        <w:tab w:val="center" w:pos="4153" w:leader="none"/>
        <w:tab w:val="right" w:pos="8306" w:leader="none"/>
      </w:tabs>
    </w:pPr>
    <w:rPr>
      <w:sz w:val="18"/>
      <w:szCs w:val="18"/>
    </w:rPr>
  </w:style>
  <w:style w:type="character" w:styleId="1077" w:customStyle="1">
    <w:name w:val="页脚 Char"/>
    <w:link w:val="1076"/>
    <w:uiPriority w:val="99"/>
    <w:qFormat/>
    <w:rPr>
      <w:sz w:val="18"/>
      <w:szCs w:val="18"/>
    </w:rPr>
  </w:style>
  <w:style w:type="paragraph" w:styleId="1078" w:customStyle="1">
    <w:name w:val="页眉1"/>
    <w:basedOn w:val="836"/>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79" w:customStyle="1">
    <w:name w:val="目录 11"/>
    <w:basedOn w:val="836"/>
    <w:next w:val="836"/>
    <w:uiPriority w:val="39"/>
    <w:unhideWhenUsed/>
    <w:qFormat/>
    <w:pPr>
      <w:tabs>
        <w:tab w:val="right" w:pos="9118" w:leader="dot"/>
      </w:tabs>
    </w:pPr>
  </w:style>
  <w:style w:type="paragraph" w:styleId="1080" w:customStyle="1">
    <w:name w:val="正文文本缩进 31"/>
    <w:basedOn w:val="836"/>
    <w:uiPriority w:val="0"/>
    <w:unhideWhenUsed/>
    <w:qFormat/>
    <w:pPr>
      <w:ind w:left="420"/>
      <w:spacing w:after="120"/>
    </w:pPr>
    <w:rPr>
      <w:sz w:val="16"/>
      <w:szCs w:val="16"/>
    </w:rPr>
  </w:style>
  <w:style w:type="paragraph" w:styleId="1081" w:customStyle="1">
    <w:name w:val="目录 21"/>
    <w:basedOn w:val="836"/>
    <w:next w:val="836"/>
    <w:uiPriority w:val="39"/>
    <w:qFormat/>
    <w:pPr>
      <w:ind w:left="420"/>
    </w:pPr>
  </w:style>
  <w:style w:type="paragraph" w:styleId="1082" w:customStyle="1">
    <w:name w:val="普通(网站)1"/>
    <w:basedOn w:val="836"/>
    <w:uiPriority w:val="0"/>
    <w:qFormat/>
    <w:pPr>
      <w:jc w:val="left"/>
      <w:spacing w:before="100" w:beforeAutospacing="1" w:after="100" w:afterAutospacing="1"/>
    </w:pPr>
    <w:rPr>
      <w:sz w:val="24"/>
    </w:rPr>
  </w:style>
  <w:style w:type="paragraph" w:styleId="1083" w:customStyle="1">
    <w:name w:val="批注主题1"/>
    <w:basedOn w:val="1066"/>
    <w:next w:val="1066"/>
    <w:link w:val="1084"/>
    <w:uiPriority w:val="0"/>
    <w:qFormat/>
    <w:rPr>
      <w:b/>
      <w:bCs/>
    </w:rPr>
  </w:style>
  <w:style w:type="character" w:styleId="1084" w:customStyle="1">
    <w:name w:val="批注主题 Char"/>
    <w:link w:val="1083"/>
    <w:uiPriority w:val="0"/>
    <w:qFormat/>
    <w:rPr>
      <w:b/>
      <w:bCs/>
      <w:sz w:val="21"/>
      <w:szCs w:val="24"/>
    </w:rPr>
  </w:style>
  <w:style w:type="paragraph" w:styleId="1085" w:customStyle="1">
    <w:name w:val="正文首行缩进 21"/>
    <w:basedOn w:val="1070"/>
    <w:next w:val="1068"/>
    <w:uiPriority w:val="0"/>
    <w:qFormat/>
    <w:pPr>
      <w:ind w:firstLine="200"/>
      <w:jc w:val="left"/>
    </w:pPr>
    <w:rPr>
      <w:rFonts w:ascii="宋体" w:hAnsi="宋体"/>
      <w:sz w:val="21"/>
    </w:rPr>
  </w:style>
  <w:style w:type="table" w:styleId="1086" w:customStyle="1">
    <w:name w:val="网格型1"/>
    <w:basedOn w:val="1063"/>
    <w:uiPriority w:val="99"/>
    <w:qFormat/>
    <w:tblPr>
      <w:tblCellMar>
        <w:left w:w="0" w:type="dxa"/>
        <w:top w:w="0" w:type="dxa"/>
        <w:right w:w="0" w:type="dxa"/>
        <w:bottom w:w="0" w:type="dxa"/>
      </w:tblCellMar>
    </w:tblPr>
  </w:style>
  <w:style w:type="character" w:styleId="1087" w:customStyle="1">
    <w:name w:val="页码1"/>
    <w:uiPriority w:val="0"/>
    <w:unhideWhenUsed/>
    <w:qFormat/>
    <w:rPr>
      <w:rFonts w:ascii="Times New Roman" w:hAnsi="Times New Roman" w:cs="Times New Roman"/>
    </w:rPr>
  </w:style>
  <w:style w:type="character" w:styleId="1088" w:customStyle="1">
    <w:name w:val="超链接1"/>
    <w:uiPriority w:val="99"/>
    <w:unhideWhenUsed/>
    <w:qFormat/>
    <w:rPr>
      <w:color w:val="0563c1"/>
      <w:u w:val="single"/>
    </w:rPr>
  </w:style>
  <w:style w:type="character" w:styleId="1089" w:customStyle="1">
    <w:name w:val="批注引用1"/>
    <w:uiPriority w:val="0"/>
    <w:qFormat/>
    <w:rPr>
      <w:sz w:val="21"/>
      <w:szCs w:val="21"/>
    </w:rPr>
  </w:style>
  <w:style w:type="character" w:styleId="1090" w:customStyle="1">
    <w:name w:val="16"/>
    <w:uiPriority w:val="0"/>
    <w:qFormat/>
    <w:rPr>
      <w:rFonts w:ascii="Times New Roman" w:hAnsi="Times New Roman" w:cs="Times New Roman"/>
      <w:sz w:val="21"/>
      <w:szCs w:val="21"/>
    </w:rPr>
  </w:style>
  <w:style w:type="paragraph" w:styleId="1091" w:customStyle="1">
    <w:name w:val="二级无"/>
    <w:basedOn w:val="1092"/>
    <w:uiPriority w:val="0"/>
    <w:qFormat/>
    <w:pPr>
      <w:numPr>
        <w:ilvl w:val="2"/>
        <w:numId w:val="1"/>
      </w:numPr>
    </w:pPr>
    <w:rPr>
      <w:rFonts w:ascii="宋体" w:eastAsia="宋体"/>
    </w:rPr>
  </w:style>
  <w:style w:type="paragraph" w:styleId="1092" w:customStyle="1">
    <w:name w:val="二级条标题"/>
    <w:basedOn w:val="1093"/>
    <w:next w:val="1094"/>
    <w:uiPriority w:val="0"/>
    <w:qFormat/>
    <w:pPr>
      <w:outlineLvl w:val="3"/>
    </w:pPr>
  </w:style>
  <w:style w:type="paragraph" w:styleId="1093" w:customStyle="1">
    <w:name w:val="一级条标题"/>
    <w:next w:val="1094"/>
    <w:uiPriority w:val="0"/>
    <w:qFormat/>
    <w:pPr>
      <w:outlineLvl w:val="2"/>
    </w:pPr>
    <w:rPr>
      <w:rFonts w:hint="default" w:ascii="Times New Roman" w:hAnsi="Times New Roman" w:eastAsia="黑体" w:cs="Times New Roman"/>
      <w:sz w:val="21"/>
      <w:lang w:val="en-US" w:eastAsia="zh-CN" w:bidi="ar-SA"/>
    </w:rPr>
  </w:style>
  <w:style w:type="paragraph" w:styleId="109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95" w:customStyle="1">
    <w:name w:val="三级无"/>
    <w:basedOn w:val="1096"/>
    <w:uiPriority w:val="0"/>
    <w:qFormat/>
    <w:pPr>
      <w:ind w:left="0"/>
    </w:pPr>
    <w:rPr>
      <w:rFonts w:ascii="宋体" w:eastAsia="宋体"/>
    </w:rPr>
  </w:style>
  <w:style w:type="paragraph" w:styleId="1096" w:customStyle="1">
    <w:name w:val="三级条标题"/>
    <w:basedOn w:val="1092"/>
    <w:next w:val="1094"/>
    <w:uiPriority w:val="0"/>
    <w:qFormat/>
    <w:pPr>
      <w:ind w:left="1620"/>
      <w:outlineLvl w:val="4"/>
    </w:pPr>
  </w:style>
  <w:style w:type="paragraph" w:styleId="1097" w:customStyle="1">
    <w:name w:val="章标题"/>
    <w:next w:val="1094"/>
    <w:uiPriority w:val="0"/>
    <w:qFormat/>
    <w:pPr>
      <w:jc w:val="both"/>
      <w:outlineLvl w:val="1"/>
    </w:pPr>
    <w:rPr>
      <w:rFonts w:hint="default" w:ascii="黑体" w:hAnsi="Times New Roman" w:eastAsia="黑体" w:cs="Times New Roman"/>
      <w:sz w:val="21"/>
      <w:lang w:val="en-US" w:eastAsia="zh-CN" w:bidi="ar-SA"/>
    </w:rPr>
  </w:style>
  <w:style w:type="paragraph" w:styleId="1098" w:customStyle="1">
    <w:name w:val="图说"/>
    <w:basedOn w:val="836"/>
    <w:uiPriority w:val="0"/>
    <w:qFormat/>
    <w:pPr>
      <w:jc w:val="center"/>
      <w:spacing w:before="60" w:after="160" w:line="312" w:lineRule="exact"/>
    </w:pPr>
    <w:rPr>
      <w:rFonts w:ascii="EU-F1" w:eastAsia="黑体"/>
      <w:sz w:val="20"/>
      <w:szCs w:val="21"/>
    </w:rPr>
  </w:style>
  <w:style w:type="paragraph" w:styleId="1099" w:customStyle="1">
    <w:name w:val="图片"/>
    <w:basedOn w:val="836"/>
    <w:uiPriority w:val="0"/>
    <w:qFormat/>
    <w:pPr>
      <w:jc w:val="center"/>
      <w:spacing w:before="160" w:after="60" w:line="240" w:lineRule="auto"/>
    </w:pPr>
    <w:rPr>
      <w:sz w:val="20"/>
      <w:szCs w:val="21"/>
    </w:rPr>
  </w:style>
  <w:style w:type="paragraph" w:styleId="1100" w:customStyle="1">
    <w:name w:val="样式2"/>
    <w:basedOn w:val="836"/>
    <w:uiPriority w:val="0"/>
    <w:qFormat/>
    <w:pPr>
      <w:jc w:val="center"/>
      <w:spacing w:before="120" w:after="120" w:line="312" w:lineRule="atLeast"/>
    </w:pPr>
    <w:rPr>
      <w:sz w:val="24"/>
      <w:szCs w:val="20"/>
    </w:rPr>
  </w:style>
  <w:style w:type="paragraph" w:styleId="1101" w:customStyle="1">
    <w:name w:val="1a"/>
    <w:basedOn w:val="836"/>
    <w:uiPriority w:val="0"/>
    <w:qFormat/>
    <w:pPr>
      <w:jc w:val="left"/>
      <w:spacing w:line="480" w:lineRule="auto"/>
      <w:widowControl/>
    </w:pPr>
    <w:rPr>
      <w:rFonts w:ascii="EU-F1" w:eastAsia="黑体"/>
      <w:color w:val="000000"/>
      <w:szCs w:val="21"/>
    </w:rPr>
  </w:style>
  <w:style w:type="paragraph" w:styleId="1102" w:customStyle="1">
    <w:name w:val="表头"/>
    <w:basedOn w:val="836"/>
    <w:uiPriority w:val="0"/>
    <w:qFormat/>
    <w:pPr>
      <w:spacing w:before="120" w:after="60" w:line="420" w:lineRule="atLeast"/>
    </w:pPr>
    <w:rPr>
      <w:rFonts w:ascii="黑体" w:eastAsia="黑体"/>
      <w:b/>
      <w:szCs w:val="20"/>
    </w:rPr>
  </w:style>
  <w:style w:type="paragraph" w:styleId="1103" w:customStyle="1">
    <w:name w:val="样式1"/>
    <w:uiPriority w:val="0"/>
    <w:qFormat/>
    <w:pPr>
      <w:jc w:val="center"/>
      <w:spacing w:line="480" w:lineRule="auto"/>
      <w:outlineLvl w:val="1"/>
    </w:pPr>
    <w:rPr>
      <w:rFonts w:hint="default" w:ascii="黑体" w:hAnsi="Times New Roman" w:eastAsia="黑体" w:cs="Times New Roman"/>
      <w:b/>
      <w:bCs/>
      <w:spacing w:val="16"/>
      <w:sz w:val="30"/>
      <w:szCs w:val="30"/>
      <w:lang w:val="en-US" w:eastAsia="zh-CN" w:bidi="ar-SA"/>
    </w:rPr>
  </w:style>
  <w:style w:type="paragraph" w:styleId="1104" w:customStyle="1">
    <w:name w:val="前言、引言标题"/>
    <w:next w:val="836"/>
    <w:uiPriority w:val="0"/>
    <w:qFormat/>
    <w:pPr>
      <w:jc w:val="center"/>
      <w:spacing w:before="640" w:after="560"/>
      <w:shd w:val="clear" w:color="auto" w:fill="ffffff"/>
      <w:outlineLvl w:val="0"/>
    </w:pPr>
    <w:rPr>
      <w:rFonts w:hint="default" w:ascii="黑体" w:hAnsi="Times New Roman" w:eastAsia="黑体" w:cs="Times New Roman"/>
      <w:sz w:val="32"/>
      <w:lang w:val="en-US" w:eastAsia="zh-CN" w:bidi="ar-SA"/>
    </w:rPr>
  </w:style>
  <w:style w:type="paragraph" w:styleId="1105" w:customStyle="1">
    <w:name w:val="_Style 135"/>
    <w:basedOn w:val="836"/>
    <w:next w:val="1106"/>
    <w:uiPriority w:val="1"/>
    <w:qFormat/>
    <w:pPr>
      <w:ind w:firstLine="420"/>
    </w:pPr>
  </w:style>
  <w:style w:type="paragraph" w:styleId="1106" w:customStyle="1">
    <w:name w:val="列出段落"/>
    <w:basedOn w:val="836"/>
    <w:uiPriority w:val="34"/>
    <w:qFormat/>
    <w:pPr>
      <w:ind w:firstLine="420"/>
    </w:pPr>
    <w:rPr>
      <w:rFonts w:ascii="Calibri" w:hAnsi="Calibri"/>
      <w:szCs w:val="22"/>
    </w:rPr>
  </w:style>
  <w:style w:type="paragraph" w:styleId="1107" w:customStyle="1">
    <w:name w:val="Table Paragraph"/>
    <w:basedOn w:val="836"/>
    <w:uiPriority w:val="1"/>
    <w:qFormat/>
    <w:pPr>
      <w:jc w:val="left"/>
    </w:pPr>
    <w:rPr>
      <w:rFonts w:ascii="宋体" w:hAnsi="宋体" w:cs="宋体"/>
      <w:sz w:val="22"/>
      <w:szCs w:val="22"/>
      <w:lang w:val="zh-CN" w:bidi="zh-CN"/>
    </w:rPr>
  </w:style>
  <w:style w:type="paragraph" w:styleId="1108" w:customStyle="1">
    <w:name w:val="格式３"/>
    <w:basedOn w:val="836"/>
    <w:uiPriority w:val="99"/>
    <w:qFormat/>
    <w:pPr>
      <w:ind w:left="600" w:hanging="600"/>
      <w:spacing w:line="420" w:lineRule="exact"/>
    </w:pPr>
    <w:rPr>
      <w:rFonts w:ascii="宋体" w:hAnsi="宋体"/>
      <w:color w:val="000000"/>
      <w:sz w:val="24"/>
      <w:szCs w:val="20"/>
    </w:rPr>
  </w:style>
  <w:style w:type="paragraph" w:styleId="1109" w:customStyle="1">
    <w:name w:val="目次、标准名称标题"/>
    <w:basedOn w:val="1104"/>
    <w:next w:val="836"/>
    <w:uiPriority w:val="0"/>
    <w:qFormat/>
    <w:pPr>
      <w:spacing w:line="460" w:lineRule="exact"/>
      <w:outlineLvl w:val="9"/>
    </w:pPr>
  </w:style>
  <w:style w:type="paragraph" w:styleId="1110" w:customStyle="1">
    <w:name w:val="Blockquote"/>
    <w:basedOn w:val="836"/>
    <w:uiPriority w:val="0"/>
    <w:qFormat/>
    <w:pPr>
      <w:ind w:left="360" w:right="360"/>
      <w:jc w:val="left"/>
      <w:spacing w:before="100" w:after="100"/>
    </w:pPr>
    <w:rPr>
      <w:sz w:val="24"/>
      <w:szCs w:val="20"/>
    </w:rPr>
  </w:style>
  <w:style w:type="paragraph" w:styleId="111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2" w:customStyle="1">
    <w:name w:val="普通正文"/>
    <w:basedOn w:val="836"/>
    <w:uiPriority w:val="0"/>
    <w:qFormat/>
    <w:pPr>
      <w:ind w:firstLine="480"/>
      <w:jc w:val="left"/>
      <w:spacing w:before="120" w:after="120"/>
    </w:pPr>
    <w:rPr>
      <w:rFonts w:ascii="Arial" w:hAnsi="Arial"/>
      <w:sz w:val="24"/>
    </w:rPr>
  </w:style>
  <w:style w:type="paragraph" w:styleId="1113" w:customStyle="1">
    <w:name w:val="首行缩进"/>
    <w:basedOn w:val="836"/>
    <w:uiPriority w:val="0"/>
    <w:qFormat/>
    <w:pPr>
      <w:ind w:firstLine="480"/>
      <w:jc w:val="left"/>
    </w:pPr>
    <w:rPr>
      <w:rFonts w:ascii="宋体" w:hAnsi="宋体"/>
      <w:sz w:val="24"/>
    </w:rPr>
  </w:style>
  <w:style w:type="paragraph" w:styleId="1114" w:customStyle="1">
    <w:name w:val="列出段落11"/>
    <w:basedOn w:val="836"/>
    <w:uiPriority w:val="99"/>
    <w:semiHidden/>
    <w:qFormat/>
    <w:pPr>
      <w:ind w:firstLine="420"/>
      <w:spacing w:before="40" w:after="160"/>
      <w:widowControl/>
    </w:pPr>
    <w:rPr>
      <w:rFonts w:ascii="Cambria" w:hAnsi="Cambria" w:eastAsia="微软雅黑" w:cs="Cambria"/>
      <w:color w:val="565656"/>
      <w:szCs w:val="21"/>
      <w:lang w:val="zh-CN"/>
    </w:rPr>
  </w:style>
  <w:style w:type="paragraph" w:styleId="1115" w:customStyle="1">
    <w:name w:val="无间隔1"/>
    <w:uiPriority w:val="1"/>
    <w:qFormat/>
    <w:pPr>
      <w:ind w:firstLine="200"/>
      <w:widowControl w:val="off"/>
    </w:pPr>
    <w:rPr>
      <w:rFonts w:hint="default" w:ascii="Times New Roman" w:hAnsi="Times New Roman" w:eastAsia="宋体" w:cs="Times New Roman"/>
      <w:color w:val="7030a0"/>
      <w:sz w:val="24"/>
      <w:szCs w:val="24"/>
      <w:lang w:val="en-US" w:eastAsia="zh-CN" w:bidi="ar-SA"/>
    </w:rPr>
  </w:style>
  <w:style w:type="paragraph" w:styleId="1116" w:customStyle="1">
    <w:name w:val="正文表标题"/>
    <w:next w:val="1094"/>
    <w:uiPriority w:val="0"/>
    <w:qFormat/>
    <w:pPr>
      <w:numPr>
        <w:ilvl w:val="0"/>
        <w:numId w:val="2"/>
      </w:numPr>
      <w:jc w:val="center"/>
    </w:pPr>
    <w:rPr>
      <w:rFonts w:hint="default" w:ascii="黑体" w:hAnsi="Times New Roman" w:eastAsia="黑体" w:cs="Times New Roman"/>
      <w:sz w:val="21"/>
      <w:lang w:val="en-US" w:eastAsia="zh-CN" w:bidi="ar-SA"/>
    </w:rPr>
  </w:style>
  <w:style w:type="paragraph" w:styleId="11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18" w:customStyle="1">
    <w:name w:val="正文_5"/>
    <w:next w:val="1119"/>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标题 3_1"/>
    <w:basedOn w:val="1118"/>
    <w:next w:val="1118"/>
    <w:uiPriority w:val="0"/>
    <w:qFormat/>
    <w:pPr>
      <w:keepLines/>
      <w:keepNext/>
      <w:spacing w:before="260" w:after="260" w:line="416" w:lineRule="auto"/>
      <w:outlineLvl w:val="2"/>
    </w:pPr>
    <w:rPr>
      <w:rFonts w:ascii="Times New Roman" w:hAnsi="Times New Roman"/>
      <w:b/>
      <w:bCs/>
      <w:sz w:val="32"/>
      <w:szCs w:val="32"/>
    </w:rPr>
  </w:style>
  <w:style w:type="paragraph" w:styleId="1120" w:customStyle="1">
    <w:name w:val="标题3"/>
    <w:basedOn w:val="836"/>
    <w:uiPriority w:val="0"/>
    <w:qFormat/>
    <w:pPr>
      <w:jc w:val="center"/>
      <w:pageBreakBefore/>
      <w:outlineLvl w:val="2"/>
    </w:pPr>
    <w:rPr>
      <w:rFonts w:ascii="黑体" w:hAnsi="黑体" w:eastAsia="黑体"/>
      <w:b/>
      <w:sz w:val="32"/>
      <w:szCs w:val="32"/>
    </w:rPr>
  </w:style>
  <w:style w:type="paragraph" w:styleId="1121" w:customStyle="1">
    <w:name w:val="标题 51"/>
    <w:basedOn w:val="836"/>
    <w:uiPriority w:val="1"/>
    <w:qFormat/>
    <w:pPr>
      <w:ind w:left="332"/>
      <w:jc w:val="left"/>
      <w:outlineLvl w:val="5"/>
    </w:pPr>
    <w:rPr>
      <w:rFonts w:ascii="微软雅黑" w:hAnsi="微软雅黑" w:eastAsia="微软雅黑" w:cs="微软雅黑"/>
      <w:b/>
      <w:bCs/>
      <w:sz w:val="24"/>
      <w:lang w:val="zh-CN" w:bidi="zh-CN"/>
    </w:rPr>
  </w:style>
  <w:style w:type="paragraph" w:styleId="112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23" w:customStyle="1">
    <w:name w:val="Table Text"/>
    <w:basedOn w:val="836"/>
    <w:uiPriority w:val="0"/>
    <w:semiHidden/>
    <w:qFormat/>
    <w:rPr>
      <w:rFonts w:ascii="宋体" w:hAnsi="宋体" w:cs="宋体"/>
      <w:sz w:val="28"/>
      <w:szCs w:val="28"/>
      <w:lang w:eastAsia="en-US"/>
    </w:rPr>
  </w:style>
  <w:style w:type="character" w:styleId="1124" w:customStyle="1">
    <w:name w:val="font41"/>
    <w:basedOn w:val="1062"/>
    <w:uiPriority w:val="0"/>
    <w:qFormat/>
    <w:rPr>
      <w:rFonts w:hint="eastAsia" w:ascii="宋体" w:hAnsi="宋体" w:eastAsia="宋体" w:cs="宋体"/>
      <w:color w:val="000000"/>
      <w:sz w:val="18"/>
      <w:szCs w:val="18"/>
      <w:u w:val="none"/>
    </w:rPr>
  </w:style>
  <w:style w:type="character" w:styleId="1125" w:customStyle="1">
    <w:name w:val="font51"/>
    <w:basedOn w:val="1062"/>
    <w:uiPriority w:val="0"/>
    <w:qFormat/>
    <w:rPr>
      <w:rFonts w:hint="eastAsia" w:ascii="宋体" w:hAnsi="宋体" w:eastAsia="宋体" w:cs="宋体"/>
      <w:b/>
      <w:bCs/>
      <w:color w:val="000000"/>
      <w:sz w:val="18"/>
      <w:szCs w:val="18"/>
      <w:u w:val="none"/>
    </w:rPr>
  </w:style>
  <w:style w:type="character" w:styleId="1126" w:customStyle="1">
    <w:name w:val="font21"/>
    <w:basedOn w:val="1062"/>
    <w:uiPriority w:val="0"/>
    <w:qFormat/>
    <w:rPr>
      <w:rFonts w:hint="eastAsia" w:ascii="宋体" w:hAnsi="宋体" w:eastAsia="宋体" w:cs="宋体"/>
      <w:color w:val="000000"/>
      <w:sz w:val="18"/>
      <w:szCs w:val="18"/>
      <w:u w:val="none"/>
    </w:rPr>
  </w:style>
  <w:style w:type="character" w:styleId="1127" w:customStyle="1">
    <w:name w:val="font31"/>
    <w:basedOn w:val="846"/>
    <w:uiPriority w:val="0"/>
    <w:qFormat/>
    <w:rPr>
      <w:rFonts w:hint="eastAsia" w:ascii="宋体" w:hAnsi="宋体" w:eastAsia="宋体" w:cs="宋体"/>
      <w:color w:val="000000"/>
      <w:sz w:val="20"/>
      <w:szCs w:val="20"/>
      <w:u w:val="none"/>
    </w:rPr>
  </w:style>
  <w:style w:type="character" w:styleId="1128" w:customStyle="1">
    <w:name w:val="font61"/>
    <w:basedOn w:val="846"/>
    <w:uiPriority w:val="0"/>
    <w:qFormat/>
    <w:rPr>
      <w:rFonts w:hint="eastAsia" w:ascii="宋体" w:hAnsi="宋体" w:eastAsia="宋体" w:cs="宋体"/>
      <w:b/>
      <w:bCs/>
      <w:color w:val="000000"/>
      <w:sz w:val="20"/>
      <w:szCs w:val="20"/>
      <w:u w:val="none"/>
    </w:rPr>
  </w:style>
  <w:style w:type="paragraph" w:styleId="112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numbering" w:styleId="19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7</cp:revision>
  <dcterms:created xsi:type="dcterms:W3CDTF">2026-07-10T00:38:00Z</dcterms:created>
  <dcterms:modified xsi:type="dcterms:W3CDTF">2026-09-22T03:45:51Z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3F3C84ABA55C4DEF81484FA39D2ECE47_13</vt:lpwstr>
  </property>
  <property fmtid="{D5CDD505-2E9C-101B-9397-08002B2CF9AE}" pid="4" name="KSOTemplateDocerSaveRecord">
    <vt:lpwstr>eyJoZGlkIjoiZWYyNzdlNmM5Y2I4YWZmYjVkYzRlODRhMDk1NmQ0OTIiLCJ1c2VySWQiOiIzNjE3NzY3MzUifQ==</vt:lpwstr>
  </property>
</Properties>
</file>