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0"/>
        <w:spacing w:before="120" w:beforeAutospacing="0" w:after="120" w:afterAutospacing="0" w:line="360" w:lineRule="auto"/>
      </w:pPr>
      <w:r>
        <w:t xml:space="preserve"> </w:t>
      </w:r>
      <w:r/>
    </w:p>
    <w:p>
      <w:pPr>
        <w:pStyle w:val="63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单一来源采购文件</w:t>
      </w:r>
      <w:r/>
    </w:p>
    <w:p>
      <w:pPr>
        <w:pStyle w:val="630"/>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30"/>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30"/>
        <w:jc w:val="center"/>
        <w:spacing w:before="120" w:beforeAutospacing="0" w:after="120" w:afterAutospacing="0" w:line="360" w:lineRule="auto"/>
        <w:rPr>
          <w:rFonts w:hint="eastAsia" w:ascii="Arial" w:hAnsi="Arial" w:eastAsia="宋体" w:cs="Arial"/>
          <w:b/>
          <w:color w:val="auto"/>
          <w:sz w:val="24"/>
          <w:szCs w:val="24"/>
          <w:lang w:eastAsia="zh-CN"/>
        </w:rPr>
      </w:pPr>
      <w:r>
        <w:rPr>
          <w:rFonts w:ascii="Arial" w:hAnsi="Arial" w:cs="Arial"/>
          <w:b/>
          <w:color w:val="auto"/>
          <w:sz w:val="24"/>
          <w:szCs w:val="24"/>
        </w:rPr>
        <w:t xml:space="preserve">项目名称：</w:t>
      </w:r>
      <w:r>
        <w:rPr>
          <w:rFonts w:hint="eastAsia" w:ascii="Arial" w:hAnsi="Arial" w:eastAsia="宋体" w:cs="Arial"/>
          <w:b/>
          <w:color w:val="auto"/>
          <w:sz w:val="24"/>
          <w:szCs w:val="24"/>
          <w:lang w:eastAsia="zh-CN"/>
        </w:rPr>
        <w:t xml:space="preserve">阜宁县人民医院医疗废弃物处置服务单一来源采购项目（二次）</w:t>
      </w:r>
      <w:r/>
    </w:p>
    <w:p>
      <w:pPr>
        <w:pStyle w:val="630"/>
        <w:jc w:val="center"/>
        <w:spacing w:before="120" w:beforeAutospacing="0" w:after="120" w:afterAutospacing="0" w:line="360" w:lineRule="auto"/>
        <w:rPr>
          <w:rFonts w:hint="eastAsia" w:ascii="宋体" w:hAnsi="宋体" w:eastAsia="宋体" w:cs="宋体"/>
          <w:sz w:val="24"/>
          <w:szCs w:val="24"/>
          <w:lang w:eastAsia="zh-CN"/>
        </w:rPr>
      </w:pPr>
      <w:r>
        <w:rPr>
          <w:rFonts w:hint="eastAsia" w:ascii="宋体" w:hAnsi="宋体" w:eastAsia="宋体" w:cs="宋体"/>
          <w:b/>
          <w:color w:val="000000"/>
          <w:sz w:val="24"/>
          <w:szCs w:val="24"/>
        </w:rPr>
        <w:t xml:space="preserve">项目编号：</w:t>
      </w:r>
      <w:r>
        <w:rPr>
          <w:rFonts w:hint="eastAsia" w:ascii="宋体" w:hAnsi="宋体" w:eastAsia="宋体" w:cs="宋体"/>
          <w:b/>
          <w:color w:val="000000"/>
          <w:sz w:val="24"/>
          <w:szCs w:val="24"/>
          <w:lang w:eastAsia="zh-CN"/>
        </w:rPr>
        <w:t xml:space="preserve">JSZC-320923-SWGC-D2026-0126</w:t>
      </w:r>
      <w:r/>
    </w:p>
    <w:p>
      <w:pPr>
        <w:pStyle w:val="630"/>
        <w:spacing w:beforeAutospacing="0" w:afterAutospacing="0" w:line="360" w:lineRule="auto"/>
      </w:pPr>
      <w:r>
        <w:t xml:space="preserve"> </w:t>
      </w:r>
      <w:r/>
    </w:p>
    <w:p>
      <w:pPr>
        <w:pStyle w:val="630"/>
        <w:spacing w:beforeAutospacing="0" w:afterAutospacing="0" w:line="360" w:lineRule="auto"/>
      </w:pPr>
      <w:r>
        <w:t xml:space="preserve"> </w:t>
      </w:r>
      <w:r/>
    </w:p>
    <w:p>
      <w:pPr>
        <w:pStyle w:val="630"/>
        <w:spacing w:beforeAutospacing="0" w:afterAutospacing="0" w:line="360" w:lineRule="auto"/>
      </w:pPr>
      <w:r>
        <w:t xml:space="preserve"> </w:t>
      </w:r>
      <w:r/>
    </w:p>
    <w:p>
      <w:pPr>
        <w:pStyle w:val="630"/>
        <w:spacing w:beforeAutospacing="0" w:afterAutospacing="0" w:line="360" w:lineRule="auto"/>
      </w:pPr>
      <w:r>
        <w:t xml:space="preserve"> </w:t>
      </w:r>
      <w:r/>
    </w:p>
    <w:p>
      <w:pPr>
        <w:pStyle w:val="630"/>
        <w:spacing w:beforeAutospacing="0" w:afterAutospacing="0" w:line="360" w:lineRule="auto"/>
      </w:pPr>
      <w:r>
        <w:t xml:space="preserve"> </w:t>
      </w:r>
      <w:r/>
    </w:p>
    <w:p>
      <w:pPr>
        <w:pStyle w:val="630"/>
        <w:spacing w:beforeAutospacing="0" w:afterAutospacing="0" w:line="360" w:lineRule="auto"/>
      </w:pPr>
      <w:r>
        <w:t xml:space="preserve"> </w:t>
      </w:r>
      <w:r/>
    </w:p>
    <w:p>
      <w:pPr>
        <w:pStyle w:val="630"/>
        <w:spacing w:beforeAutospacing="0" w:afterAutospacing="0" w:line="360" w:lineRule="auto"/>
      </w:pPr>
      <w:r>
        <w:t xml:space="preserve"> </w:t>
      </w:r>
      <w:r/>
    </w:p>
    <w:p>
      <w:pPr>
        <w:pStyle w:val="630"/>
        <w:spacing w:beforeAutospacing="0" w:afterAutospacing="0" w:line="360" w:lineRule="auto"/>
        <w:rPr>
          <w:rFonts w:hint="eastAsia"/>
        </w:rPr>
      </w:pPr>
      <w:r>
        <w:rPr>
          <w:rFonts w:hint="eastAsia"/>
        </w:rPr>
      </w:r>
      <w:r/>
    </w:p>
    <w:p>
      <w:pPr>
        <w:pStyle w:val="630"/>
        <w:jc w:val="center"/>
        <w:spacing w:before="120" w:beforeAutospacing="0" w:after="120" w:afterAutospacing="0" w:line="360" w:lineRule="auto"/>
        <w:rPr>
          <w:rFonts w:hint="eastAsia" w:ascii="黑体" w:hAnsi="黑体" w:eastAsia="黑体" w:cs="黑体"/>
          <w:bCs/>
          <w:color w:val="000000"/>
          <w:spacing w:val="15"/>
          <w:sz w:val="36"/>
          <w:szCs w:val="36"/>
        </w:rPr>
      </w:pPr>
      <w:r>
        <w:rPr>
          <w:rFonts w:hint="eastAsia" w:ascii="黑体" w:hAnsi="黑体" w:eastAsia="黑体" w:cs="黑体"/>
          <w:bCs/>
          <w:color w:val="000000"/>
          <w:spacing w:val="15"/>
          <w:sz w:val="36"/>
          <w:szCs w:val="36"/>
        </w:rPr>
      </w:r>
      <w:r/>
    </w:p>
    <w:p>
      <w:pPr>
        <w:pStyle w:val="630"/>
        <w:jc w:val="center"/>
        <w:spacing w:before="120" w:beforeAutospacing="0" w:after="120" w:afterAutospacing="0" w:line="360" w:lineRule="auto"/>
        <w:rPr>
          <w:rFonts w:hint="eastAsia" w:ascii="黑体" w:hAnsi="黑体" w:eastAsia="黑体" w:cs="黑体"/>
          <w:bCs/>
          <w:color w:val="000000"/>
          <w:spacing w:val="15"/>
          <w:sz w:val="36"/>
          <w:szCs w:val="36"/>
        </w:rPr>
      </w:pPr>
      <w:r>
        <w:rPr>
          <w:rFonts w:hint="eastAsia" w:ascii="黑体" w:hAnsi="黑体" w:eastAsia="黑体" w:cs="黑体"/>
          <w:bCs/>
          <w:color w:val="000000"/>
          <w:spacing w:val="15"/>
          <w:sz w:val="36"/>
          <w:szCs w:val="36"/>
        </w:rPr>
        <w:t xml:space="preserve">阜宁县人民医院</w:t>
      </w:r>
      <w:r/>
    </w:p>
    <w:p>
      <w:pPr>
        <w:pStyle w:val="630"/>
        <w:jc w:val="center"/>
        <w:spacing w:before="120" w:beforeAutospacing="0" w:after="120" w:afterAutospacing="0" w:line="360" w:lineRule="auto"/>
        <w:rPr>
          <w:rFonts w:hint="eastAsia" w:eastAsia="宋体"/>
          <w:lang w:eastAsia="zh-CN"/>
        </w:rPr>
      </w:pPr>
      <w:r>
        <w:rPr>
          <w:rFonts w:hint="eastAsia" w:ascii="Arial" w:hAnsi="Arial" w:eastAsia="宋体" w:cs="Arial"/>
          <w:b/>
          <w:color w:val="000000"/>
          <w:sz w:val="32"/>
          <w:szCs w:val="32"/>
          <w:lang w:eastAsia="zh-CN"/>
        </w:rPr>
        <w:t xml:space="preserve">2026年9月</w:t>
      </w:r>
      <w:r>
        <w:rPr>
          <w:rFonts w:hint="eastAsia" w:ascii="Arial" w:hAnsi="Arial" w:eastAsia="宋体" w:cs="Arial"/>
          <w:b/>
          <w:color w:val="000000"/>
          <w:sz w:val="32"/>
          <w:szCs w:val="32"/>
          <w:lang w:val="en-US" w:eastAsia="zh-CN"/>
        </w:rPr>
        <w:t xml:space="preserve">21</w:t>
      </w:r>
      <w:r>
        <w:rPr>
          <w:rFonts w:hint="eastAsia" w:ascii="Arial" w:hAnsi="Arial" w:eastAsia="宋体" w:cs="Arial"/>
          <w:b/>
          <w:color w:val="000000"/>
          <w:sz w:val="32"/>
          <w:szCs w:val="32"/>
          <w:lang w:eastAsia="zh-CN"/>
        </w:rPr>
        <w:t xml:space="preserve">日</w:t>
      </w:r>
      <w:r/>
    </w:p>
    <w:p>
      <w:pPr>
        <w:pStyle w:val="630"/>
        <w:spacing w:before="120" w:beforeAutospacing="0" w:after="120" w:afterAutospacing="0" w:line="360" w:lineRule="auto"/>
      </w:pPr>
      <w:r>
        <w:rPr>
          <w:rFonts w:ascii="Arial" w:hAnsi="Arial" w:cs="Arial"/>
          <w:color w:val="000000"/>
        </w:rPr>
        <w:t xml:space="preserve">                        </w:t>
      </w:r>
      <w:r/>
    </w:p>
    <w:p>
      <w:pPr>
        <w:pStyle w:val="630"/>
        <w:jc w:val="center"/>
        <w:spacing w:before="120" w:beforeAutospacing="0" w:after="120" w:afterAutospacing="0" w:line="360" w:lineRule="auto"/>
      </w:pPr>
      <w:r>
        <w:t xml:space="preserve"> </w:t>
      </w:r>
      <w:r/>
    </w:p>
    <w:p>
      <w:pPr>
        <w:pStyle w:val="63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20823272"/>
      <w:r/>
      <w:bookmarkStart w:id="1" w:name="_Toc513029200"/>
      <w:r/>
      <w:bookmarkStart w:id="2" w:name="_Toc120614210"/>
      <w:r/>
      <w:bookmarkStart w:id="3" w:name="_Toc16938516"/>
      <w:r/>
      <w:bookmarkStart w:id="4" w:name="_Toc479757206"/>
      <w:r/>
      <w:bookmarkStart w:id="5" w:name="_Toc523127445"/>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30"/>
        <w:jc w:val="both"/>
        <w:spacing w:beforeAutospacing="0" w:afterAutospacing="0" w:line="480" w:lineRule="auto"/>
      </w:pPr>
      <w:r>
        <w:t xml:space="preserve"> </w:t>
      </w:r>
      <w:r/>
    </w:p>
    <w:p>
      <w:pPr>
        <w:pStyle w:val="63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单一来源采购邀请…………………………</w:t>
      </w:r>
      <w:r/>
    </w:p>
    <w:p>
      <w:pPr>
        <w:pStyle w:val="63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63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63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63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center"/>
        <w:keepNext/>
        <w:pageBreakBefore w:val="0"/>
        <w:spacing w:beforeAutospacing="0" w:afterAutospacing="0" w:line="360" w:lineRule="auto"/>
        <w:rPr>
          <w:rFonts w:hint="eastAsia" w:ascii="黑体" w:hAnsi="宋体" w:eastAsia="黑体" w:cs="黑体"/>
          <w:color w:val="000000"/>
          <w:sz w:val="48"/>
          <w:szCs w:val="48"/>
          <w:lang w:val="en-US" w:eastAsia="zh-CN" w:bidi="ar-SA"/>
        </w:rPr>
      </w:pPr>
      <w:r>
        <w:rPr>
          <w:rFonts w:hint="eastAsia" w:ascii="黑体" w:hAnsi="宋体" w:eastAsia="黑体" w:cs="黑体"/>
          <w:color w:val="000000"/>
          <w:sz w:val="48"/>
          <w:szCs w:val="48"/>
          <w:lang w:val="en-US" w:eastAsia="zh-CN" w:bidi="ar-SA"/>
        </w:rPr>
        <w:t xml:space="preserve">第一章  单一来源采购邀请</w:t>
      </w:r>
      <w:r/>
    </w:p>
    <w:p>
      <w:pPr>
        <w:pStyle w:val="630"/>
        <w:jc w:val="center"/>
        <w:keepNext/>
        <w:spacing w:beforeAutospacing="0" w:afterAutospacing="0"/>
      </w:pPr>
      <w:r/>
      <w:r/>
    </w:p>
    <w:p>
      <w:pPr>
        <w:pStyle w:val="630"/>
        <w:ind w:firstLine="480"/>
        <w:jc w:val="both"/>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受阜宁县人民医院的委托，江苏苏维工程管理有限公司 就阜宁县人民医院医疗废弃物处置服务单一来源采购项目（二次）（项目编号：JSZC-320923-SWGC-D2026-0126）项目进行单一来源采购，欢迎符合相关条件的合格供应商参加采购活动。</w:t>
      </w:r>
      <w:r/>
    </w:p>
    <w:p>
      <w:pPr>
        <w:pStyle w:val="63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bidi="ar-SA"/>
        </w:rPr>
      </w:pPr>
      <w:r/>
      <w:bookmarkStart w:id="6" w:name="_Toc38985263"/>
      <w:r/>
      <w:bookmarkStart w:id="7" w:name="_Toc28359002"/>
      <w:r/>
      <w:bookmarkStart w:id="8" w:name="_Toc35393790"/>
      <w:r/>
      <w:bookmarkStart w:id="9" w:name="_Toc35393621"/>
      <w:r/>
      <w:bookmarkStart w:id="10" w:name="_Hlk24379207"/>
      <w:r/>
      <w:bookmarkStart w:id="11" w:name="_Toc28359079"/>
      <w:r>
        <w:rPr>
          <w:rFonts w:hint="eastAsia" w:ascii="宋体" w:hAnsi="宋体" w:eastAsia="宋体" w:cs="宋体"/>
          <w:b/>
          <w:color w:val="auto"/>
          <w:sz w:val="21"/>
          <w:szCs w:val="21"/>
          <w:highlight w:val="none"/>
          <w:lang w:val="en-US" w:eastAsia="zh-CN" w:bidi="ar-SA"/>
        </w:rPr>
        <w:t xml:space="preserve">一、项目基本情况</w:t>
      </w:r>
      <w:bookmarkEnd w:id="6"/>
      <w:r/>
      <w:bookmarkEnd w:id="7"/>
      <w:r/>
      <w:bookmarkEnd w:id="8"/>
      <w:r/>
      <w:bookmarkEnd w:id="9"/>
      <w:r/>
      <w:bookmarkEnd w:id="10"/>
      <w:r/>
      <w:bookmarkEnd w:id="11"/>
      <w:r/>
      <w:r/>
    </w:p>
    <w:p>
      <w:pPr>
        <w:pStyle w:val="630"/>
        <w:ind w:firstLine="420"/>
        <w:jc w:val="both"/>
        <w:keepLines/>
        <w:keepNext/>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pPr>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color w:val="auto"/>
          <w:sz w:val="21"/>
          <w:szCs w:val="21"/>
          <w:highlight w:val="none"/>
          <w:lang w:val="en-US" w:eastAsia="zh-CN" w:bidi="ar-SA"/>
        </w:rPr>
        <w:t xml:space="preserve">1.项目编号：JSZC-320923-SWGC-D2026-0126 </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2.项目名称：阜宁县人民医院医疗废弃物处置服务单一来源采购项目（二次）</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3.采购方式：单一来源采购</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4.预算金额：约130万元</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5.单价最高限价：6000.00元/吨</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需求（简介）：阜宁县人民医院医疗废弃物处置服务单一来源采购项目（二次），阜宁县人民医院的医疗废弃物年产生量约215吨。按照《中华人民共和国固体废物污染环境防治法》《医疗废物管理条例》等规章收集、转运、处置，防止医疗废物污染环境（详细内容见本单一来源文件第四章）</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7.合同履行期限：合同签订生效后12个月。</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8.本项目不接受联合体参与单一来源采购活动。</w:t>
      </w:r>
      <w:r/>
    </w:p>
    <w:p>
      <w:pPr>
        <w:ind w:firstLine="422"/>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w:t>
      </w:r>
      <w:bookmarkEnd w:id="12"/>
      <w:r/>
      <w:bookmarkEnd w:id="13"/>
      <w:r/>
      <w:bookmarkEnd w:id="14"/>
      <w:r/>
      <w:bookmarkEnd w:id="15"/>
      <w:r/>
      <w:bookmarkEnd w:id="16"/>
      <w:r>
        <w:rPr>
          <w:rFonts w:hint="eastAsia" w:ascii="宋体" w:hAnsi="宋体" w:eastAsia="宋体" w:cs="宋体"/>
          <w:b/>
          <w:color w:val="auto"/>
          <w:sz w:val="21"/>
          <w:szCs w:val="21"/>
          <w:highlight w:val="none"/>
          <w:lang w:val="en-US" w:eastAsia="zh-CN" w:bidi="ar-SA"/>
        </w:rPr>
        <w:t xml:space="preserve">合格单一来源供应商资格要求</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1.满足《中华人民共和国政府采购法》第二十二条规定，并提供下列材料：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法人或者其他组织的营业执照等证明文件，自然人的身份证明；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1.2上一年度（2025年度）的财务状况报告（财务状况报告至少提供资产负债表、利润表；供应商成立不满一年无需提供）；</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1.3具备履行合同所必需的设备和专业技术能力的书面声明；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1.5参加政府采购活动前3年内在经营活动中没有重大违法记录的书面声明。</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1.6法律、行政法规规定的其他条件。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1.8单位负责人为同一人或者存在直接控股、管理关系的不同供应商，不得参加同一合同项下的政府采购活动。</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2.落实政府采购政策需满足的资格要求：无。</w:t>
      </w:r>
      <w:r/>
    </w:p>
    <w:p>
      <w:pPr>
        <w:ind w:firstLine="420"/>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3.本项目的特定资格要求：</w:t>
      </w:r>
      <w:r/>
    </w:p>
    <w:p>
      <w:pPr>
        <w:ind w:firstLine="422"/>
        <w:keepLines w:val="0"/>
        <w:keepNext w:val="0"/>
        <w:pageBreakBefore w:val="0"/>
        <w:spacing w:line="400" w:lineRule="exact"/>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3.1供应商具有生态环境部门颁发的危险废物经营许可证；</w:t>
      </w:r>
      <w:r/>
    </w:p>
    <w:p>
      <w:pPr>
        <w:pStyle w:val="630"/>
        <w:ind w:firstLine="498"/>
        <w:jc w:val="both"/>
        <w:keepLines/>
        <w:keepNext/>
        <w:spacing w:before="145" w:beforeAutospacing="0" w:after="145" w:afterAutospacing="0" w:line="360" w:lineRule="auto"/>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3.2供应商具有交通主管部门颁发的允许从事危险货物运输的道路运输经营许可证或供应商委托具有危险货物运输的道路运输资质公司的协议。</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三、获取单一来源文件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1.时间：自采购文件在苏采云系统发布之日起至投标截止时间前。</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2.地点：“苏采云”系统内免费下载（投标人必须在苏采云系统中获取采购文件，方能参与政府采购项目）；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3.方式：本项目采用网上注册登记方式。 </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4.售价：0元</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bookmarkStart w:id="17" w:name="_Toc35393624"/>
      <w:r/>
      <w:bookmarkStart w:id="18" w:name="_Toc38985266"/>
      <w:r/>
      <w:bookmarkStart w:id="19" w:name="_Toc28359082"/>
      <w:r/>
      <w:bookmarkStart w:id="20" w:name="_Toc35393793"/>
      <w:r/>
      <w:bookmarkStart w:id="21" w:name="_Toc28359005"/>
      <w:r>
        <w:rPr>
          <w:rFonts w:hint="eastAsia" w:ascii="宋体" w:hAnsi="宋体" w:eastAsia="宋体" w:cs="宋体"/>
          <w:b/>
          <w:bCs/>
          <w:color w:val="auto"/>
          <w:sz w:val="21"/>
          <w:szCs w:val="21"/>
          <w:highlight w:val="none"/>
          <w:lang w:val="en-US" w:eastAsia="zh-CN" w:bidi="ar-SA"/>
        </w:rPr>
        <w:t xml:space="preserve">四、提交</w:t>
      </w:r>
      <w:bookmarkEnd w:id="17"/>
      <w:r/>
      <w:bookmarkEnd w:id="18"/>
      <w:r>
        <w:rPr>
          <w:rFonts w:hint="eastAsia" w:ascii="宋体" w:hAnsi="宋体" w:eastAsia="宋体" w:cs="宋体"/>
          <w:b/>
          <w:bCs/>
          <w:color w:val="auto"/>
          <w:sz w:val="21"/>
          <w:szCs w:val="21"/>
          <w:highlight w:val="none"/>
          <w:lang w:val="en-US" w:eastAsia="zh-CN" w:bidi="ar-SA"/>
        </w:rPr>
        <w:t xml:space="preserve">响应文件截止时间</w:t>
      </w:r>
      <w:bookmarkEnd w:id="19"/>
      <w:r/>
      <w:bookmarkEnd w:id="20"/>
      <w:r/>
      <w:bookmarkEnd w:id="21"/>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bookmarkStart w:id="22" w:name="_Toc28359085"/>
      <w:r/>
      <w:bookmarkStart w:id="23" w:name="_Toc35393796"/>
      <w:r/>
      <w:bookmarkStart w:id="24" w:name="_Toc28359008"/>
      <w:r/>
      <w:bookmarkStart w:id="25" w:name="_Toc38985269"/>
      <w:r/>
      <w:bookmarkStart w:id="26" w:name="_Toc35393627"/>
      <w:r>
        <w:rPr>
          <w:rFonts w:hint="eastAsia" w:ascii="宋体" w:hAnsi="宋体" w:eastAsia="宋体" w:cs="宋体"/>
          <w:color w:val="auto"/>
          <w:sz w:val="21"/>
          <w:szCs w:val="21"/>
          <w:highlight w:val="none"/>
          <w:lang w:val="en-US" w:eastAsia="zh-CN" w:bidi="ar-SA"/>
        </w:rPr>
        <w:t xml:space="preserve">1.截止时间：2026年9月28日09点00分（北京时间）。</w:t>
      </w:r>
      <w:bookmarkStart w:id="176" w:name="_GoBack"/>
      <w:r/>
      <w:bookmarkEnd w:id="176"/>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2.地点：“苏采云”政府采购交易系统网上开标大厅。</w:t>
      </w:r>
      <w:r/>
    </w:p>
    <w:p>
      <w:pPr>
        <w:pStyle w:val="630"/>
        <w:ind w:firstLine="420"/>
        <w:jc w:val="both"/>
        <w:keepLines/>
        <w:keepNext/>
        <w:pageBreakBefore w:val="0"/>
        <w:spacing w:before="0" w:beforeAutospacing="0" w:after="0" w:afterAutospacing="0" w:line="400" w:lineRule="exac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五、其他</w:t>
      </w:r>
      <w:bookmarkEnd w:id="22"/>
      <w:bookmarkEnd w:id="23"/>
      <w:bookmarkEnd w:id="24"/>
      <w:bookmarkEnd w:id="25"/>
      <w:bookmarkEnd w:id="26"/>
      <w:r/>
    </w:p>
    <w:p>
      <w:pPr>
        <w:pStyle w:val="630"/>
        <w:ind w:firstLine="422"/>
        <w:jc w:val="both"/>
        <w:pageBreakBefore w:val="0"/>
        <w:spacing w:beforeAutospacing="0" w:afterAutospacing="0" w:line="400" w:lineRule="exact"/>
        <w:shd w:val="clear" w:color="auto" w:fill="ffffff"/>
        <w:widowControl/>
        <w:rPr>
          <w:rFonts w:ascii="宋体" w:hAnsi="宋体" w:eastAsia="宋体" w:cs="宋体"/>
          <w:color w:val="auto"/>
          <w:sz w:val="21"/>
          <w:szCs w:val="21"/>
          <w:highlight w:val="none"/>
          <w:shd w:val="clear" w:color="auto" w:fill="ffffff"/>
        </w:rPr>
      </w:pPr>
      <w:r/>
      <w:bookmarkStart w:id="27" w:name="_Toc28359086"/>
      <w:r>
        <w:rPr>
          <w:rFonts w:hint="eastAsia" w:ascii="宋体" w:hAnsi="宋体" w:eastAsia="宋体" w:cs="宋体"/>
          <w:color w:val="auto"/>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jc w:val="left"/>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《苏采云系统供应商操作手册》：在盐城市政府采购网点击【办事指南】-【供应商参与政府采购活动相关资料】。</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2.潜在供应商访问电子招标响应交易平台的网络地址和方法：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2.1“苏采云”系统用户注册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获取“CA 数字证书”--CA 绑定与登录--参与投 标--下载采购文件（后缀名为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kedt”）--将后缀名为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kedt”的采购文件导入政府采购客户端工具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制作响应文件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右侧消息通知栏）。 </w:t>
      </w:r>
      <w:r/>
    </w:p>
    <w:p>
      <w:pPr>
        <w:ind w:firstLine="420"/>
        <w:jc w:val="left"/>
        <w:pageBreakBefore w:val="0"/>
        <w:spacing w:line="40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潜在投标人访问“苏采云”系统方法：江苏省政府采购网首页</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“苏采云”链接。 </w:t>
      </w:r>
      <w:r/>
    </w:p>
    <w:p>
      <w:pPr>
        <w:ind w:firstLine="420"/>
        <w:jc w:val="left"/>
        <w:pageBreakBefore w:val="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 采购文件（后缀名为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kedt”）、供应商操作手册及政府采购客户端 工具可通过“苏采云”系统相应链接进行下载。 </w:t>
      </w:r>
      <w:r/>
    </w:p>
    <w:p>
      <w:pPr>
        <w:ind w:firstLine="420"/>
        <w:jc w:val="left"/>
        <w:pageBreakBefore w:val="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采购代理机构将数据电文形式的采购文件加载至“苏采云”系统，供潜在供应商下载或者查阅。 </w:t>
      </w:r>
      <w:r/>
    </w:p>
    <w:p>
      <w:pPr>
        <w:ind w:firstLine="420"/>
        <w:jc w:val="both"/>
        <w:pageBreakBefore w:val="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请潜在投标单位提前安装相应的控件（详见《“苏采云”系统供应商操作手册》）并使用谷歌浏览器登录“苏采云”系统参与不见面开评标。 </w:t>
      </w:r>
      <w:r/>
    </w:p>
    <w:p>
      <w:pPr>
        <w:ind w:firstLine="420"/>
        <w:jc w:val="left"/>
        <w:pageBreakBefore w:val="0"/>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如潜在投标人未按上述要求操作，将自行承担所产生的风险。</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有关本次招标的事项若存在变动或修改，敬请及时关注在“中国政府采购网</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江苏政府采购网”“盐城市政府采购网”“阜宁县公共资源电子化服务平台”发布的更正公告。</w:t>
      </w:r>
      <w:r/>
    </w:p>
    <w:p>
      <w:pPr>
        <w:ind w:firstLine="420"/>
        <w:jc w:val="lef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本次单一来源采购不收取投标保证金，不收取质量保证金。</w:t>
      </w:r>
      <w:r/>
    </w:p>
    <w:p>
      <w:pPr>
        <w:pStyle w:val="602"/>
        <w:jc w:val="both"/>
        <w:spacing w:beforeAutospacing="0" w:afterAutospacing="0" w:line="360" w:lineRule="auto"/>
        <w:shd w:val="clear" w:color="auto" w:fill="ffffff"/>
        <w:widowControl/>
        <w:rPr>
          <w:rFonts w:hint="eastAsia" w:ascii="宋体" w:hAnsi="宋体" w:eastAsia="宋体" w:cs="宋体"/>
          <w:b/>
          <w:bCs w:val="0"/>
          <w:color w:val="auto"/>
          <w:sz w:val="21"/>
          <w:szCs w:val="21"/>
          <w:highlight w:val="none"/>
          <w:lang w:val="en-US" w:eastAsia="zh-CN" w:bidi="ar-SA"/>
        </w:rPr>
      </w:pPr>
      <w:r>
        <w:rPr>
          <w:rFonts w:cs="宋体"/>
          <w:sz w:val="24"/>
          <w:szCs w:val="24"/>
        </w:rPr>
        <w:t xml:space="preserve"> </w:t>
      </w:r>
      <w:r>
        <w:rPr>
          <w:rFonts w:hint="eastAsia" w:ascii="宋体" w:hAnsi="宋体" w:eastAsia="宋体" w:cs="宋体"/>
          <w:b/>
          <w:bCs w:val="0"/>
          <w:color w:val="auto"/>
          <w:sz w:val="21"/>
          <w:szCs w:val="21"/>
          <w:highlight w:val="none"/>
          <w:lang w:val="en-US" w:eastAsia="zh-CN" w:bidi="ar-SA"/>
        </w:rPr>
        <w:t xml:space="preserve">五、凡对本次采购提出询问，请按以下方式联系。</w:t>
      </w:r>
      <w:r/>
    </w:p>
    <w:p>
      <w:pPr>
        <w:pStyle w:val="630"/>
        <w:ind w:firstLine="422"/>
        <w:jc w:val="both"/>
        <w:pageBreakBefore w:val="0"/>
        <w:spacing w:beforeAutospacing="0" w:afterAutospacing="0" w:line="400" w:lineRule="exact"/>
        <w:shd w:val="clear" w:color="auto" w:fill="ffffff"/>
        <w:widowControl/>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pStyle w:val="630"/>
        <w:ind w:firstLine="422"/>
        <w:jc w:val="both"/>
        <w:pageBreakBefore w:val="0"/>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名 称：阜宁县人民医院  </w:t>
      </w:r>
      <w:r/>
    </w:p>
    <w:p>
      <w:pPr>
        <w:pStyle w:val="630"/>
        <w:ind w:firstLine="422"/>
        <w:jc w:val="both"/>
        <w:pageBreakBefore w:val="0"/>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地 址：江苏省盐城市阜宁县阜城镇苏州路500号  </w:t>
      </w:r>
      <w:r/>
    </w:p>
    <w:p>
      <w:pPr>
        <w:pStyle w:val="630"/>
        <w:ind w:firstLine="422"/>
        <w:jc w:val="both"/>
        <w:pageBreakBefore w:val="0"/>
        <w:spacing w:beforeAutospacing="0" w:afterAutospacing="0" w:line="400" w:lineRule="exact"/>
        <w:shd w:val="clear" w:color="auto" w:fill="ffffff"/>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联系人：顾女士</w:t>
      </w:r>
      <w:r/>
    </w:p>
    <w:p>
      <w:pPr>
        <w:ind w:firstLine="420"/>
        <w:jc w:val="left"/>
        <w:pageBreakBefore w:val="0"/>
        <w:spacing w:line="400" w:lineRule="exact"/>
        <w:widowControl/>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联系电话：0515-87278211  </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2.采购代理机构信息</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 称：江苏苏维工程管理有限公司 </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 址：阜宁县城南大厦A座10层</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联系人：陈婷 </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联系方式：</w:t>
      </w:r>
      <w:bookmarkStart w:id="28" w:name="_Toc28359087"/>
      <w:r/>
      <w:bookmarkStart w:id="29" w:name="_Toc28359010"/>
      <w:r>
        <w:rPr>
          <w:rFonts w:hint="eastAsia" w:ascii="宋体" w:hAnsi="宋体" w:eastAsia="宋体" w:cs="宋体"/>
          <w:color w:val="auto"/>
          <w:szCs w:val="21"/>
          <w:highlight w:val="none"/>
          <w:lang w:val="en-US" w:eastAsia="zh-CN"/>
        </w:rPr>
        <w:t xml:space="preserve">18651769888    </w:t>
      </w:r>
      <w:bookmarkEnd w:id="28"/>
      <w:r/>
      <w:bookmarkEnd w:id="29"/>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bookmarkStart w:id="30" w:name="_Toc28359021"/>
      <w:r>
        <w:rPr>
          <w:rFonts w:hint="eastAsia" w:ascii="宋体" w:hAnsi="宋体" w:eastAsia="宋体" w:cs="宋体"/>
          <w:color w:val="auto"/>
          <w:szCs w:val="21"/>
          <w:highlight w:val="none"/>
          <w:lang w:val="en-US" w:eastAsia="zh-CN"/>
        </w:rPr>
        <w:t xml:space="preserve">3.</w:t>
      </w:r>
      <w:bookmarkEnd w:id="30"/>
      <w:r>
        <w:rPr>
          <w:rFonts w:hint="eastAsia" w:ascii="宋体" w:hAnsi="宋体" w:eastAsia="宋体" w:cs="宋体"/>
          <w:color w:val="auto"/>
          <w:szCs w:val="21"/>
          <w:highlight w:val="none"/>
          <w:lang w:val="en-US" w:eastAsia="zh-CN"/>
        </w:rPr>
        <w:t xml:space="preserve">项目联系方式</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项目联系人：陈婷</w:t>
      </w:r>
      <w:r/>
    </w:p>
    <w:p>
      <w:pPr>
        <w:ind w:firstLine="420"/>
        <w:jc w:val="left"/>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电 话：18651769888　</w:t>
      </w:r>
      <w:r/>
    </w:p>
    <w:p>
      <w:pPr>
        <w:pStyle w:val="630"/>
        <w:ind w:firstLine="480"/>
        <w:jc w:val="both"/>
        <w:spacing w:beforeAutospacing="0" w:afterAutospacing="0"/>
        <w:shd w:val="clear" w:color="auto" w:fill="ffffff"/>
        <w:widowControl/>
        <w:rPr>
          <w:rFonts w:hint="eastAsia" w:ascii="宋体" w:hAnsi="宋体" w:eastAsia="宋体" w:cs="宋体"/>
        </w:rPr>
      </w:pPr>
      <w:r>
        <w:rPr>
          <w:rFonts w:hint="eastAsia" w:ascii="宋体" w:hAnsi="宋体" w:eastAsia="宋体" w:cs="宋体"/>
        </w:rPr>
        <w:t xml:space="preserve">　　　　　　　</w:t>
      </w:r>
      <w:r/>
    </w:p>
    <w:p>
      <w:pPr>
        <w:rPr>
          <w:rFonts w:hint="eastAsia" w:ascii="仿宋" w:hAnsi="仿宋" w:eastAsia="仿宋" w:cs="仿宋"/>
          <w:b/>
          <w:sz w:val="28"/>
          <w:szCs w:val="28"/>
        </w:rPr>
      </w:pPr>
      <w:r>
        <w:rPr>
          <w:rFonts w:hint="eastAsia" w:ascii="仿宋" w:hAnsi="仿宋" w:eastAsia="仿宋" w:cs="仿宋"/>
          <w:b/>
          <w:sz w:val="28"/>
          <w:szCs w:val="28"/>
        </w:rPr>
        <w:br w:type="page" w:clear="all"/>
      </w:r>
      <w:r/>
    </w:p>
    <w:p>
      <w:pPr>
        <w:ind w:firstLine="420"/>
        <w:jc w:val="center"/>
        <w:pageBreakBefore w:val="0"/>
        <w:spacing w:line="480" w:lineRule="exact"/>
        <w:widowControl/>
      </w:pPr>
      <w:r/>
      <w:bookmarkStart w:id="31" w:name="_Toc120614211"/>
      <w:r>
        <w:rPr>
          <w:rFonts w:hint="eastAsia" w:ascii="黑体" w:hAnsi="宋体" w:eastAsia="黑体" w:cs="黑体"/>
          <w:b/>
          <w:sz w:val="44"/>
          <w:szCs w:val="44"/>
        </w:rPr>
        <w:t xml:space="preserve">第二章  </w:t>
      </w:r>
      <w:bookmarkEnd w:id="31"/>
      <w:r>
        <w:rPr>
          <w:rFonts w:hint="eastAsia" w:ascii="黑体" w:hAnsi="宋体" w:eastAsia="黑体" w:cs="黑体"/>
          <w:b/>
          <w:sz w:val="44"/>
          <w:szCs w:val="44"/>
        </w:rPr>
        <w:t xml:space="preserve">供应商须知</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bookmarkStart w:id="32" w:name="_Toc20823275"/>
      <w:r/>
      <w:bookmarkStart w:id="33" w:name="_Toc16938519"/>
      <w:r/>
      <w:bookmarkStart w:id="34" w:name="_Toc513029203"/>
      <w:r/>
      <w:bookmarkStart w:id="35" w:name="_Toc120614214"/>
      <w:r>
        <w:rPr>
          <w:rFonts w:hint="eastAsia" w:ascii="宋体" w:hAnsi="宋体" w:eastAsia="宋体" w:cs="宋体"/>
          <w:b/>
          <w:color w:val="auto"/>
          <w:sz w:val="21"/>
          <w:szCs w:val="21"/>
          <w:highlight w:val="none"/>
          <w:lang w:val="en-US" w:eastAsia="zh-CN" w:bidi="ar-SA"/>
        </w:rPr>
        <w:t xml:space="preserve">一、总则</w:t>
      </w:r>
      <w:bookmarkEnd w:id="32"/>
      <w:r/>
      <w:bookmarkEnd w:id="33"/>
      <w:r/>
      <w:bookmarkEnd w:id="34"/>
      <w:r/>
      <w:bookmarkEnd w:id="35"/>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36" w:name="_Toc20823276"/>
      <w:r/>
      <w:bookmarkStart w:id="37" w:name="_Toc513029204"/>
      <w:r/>
      <w:bookmarkStart w:id="38" w:name="_Toc16938520"/>
      <w:r/>
      <w:bookmarkStart w:id="39" w:name="_Toc458694821"/>
      <w:r/>
      <w:bookmarkStart w:id="40" w:name="_Hlt16619475"/>
      <w:r>
        <w:rPr>
          <w:rFonts w:hint="eastAsia" w:ascii="宋体" w:hAnsi="宋体" w:eastAsia="宋体" w:cs="宋体"/>
          <w:sz w:val="21"/>
          <w:szCs w:val="21"/>
          <w:lang w:eastAsia="zh-CN"/>
        </w:rPr>
        <w:t xml:space="preserve">1.</w:t>
      </w:r>
      <w:bookmarkEnd w:id="36"/>
      <w:r>
        <w:rPr>
          <w:rFonts w:hint="eastAsia" w:ascii="宋体" w:hAnsi="宋体" w:eastAsia="宋体" w:cs="宋体"/>
          <w:sz w:val="21"/>
          <w:szCs w:val="21"/>
        </w:rPr>
        <w:t xml:space="preserve">采购方式</w:t>
      </w:r>
      <w:bookmarkEnd w:id="37"/>
      <w:r/>
      <w:bookmarkEnd w:id="38"/>
      <w:r/>
      <w:bookmarkEnd w:id="39"/>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 本次政府采购活动采取单一来源采购方式。</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41" w:name="_Toc20823277"/>
      <w:r/>
      <w:bookmarkStart w:id="42" w:name="_Toc16938521"/>
      <w:r/>
      <w:bookmarkStart w:id="43" w:name="_Toc513029205"/>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合格的</w:t>
      </w:r>
      <w:bookmarkEnd w:id="41"/>
      <w:r/>
      <w:bookmarkEnd w:id="42"/>
      <w:r/>
      <w:bookmarkEnd w:id="43"/>
      <w:r>
        <w:rPr>
          <w:rFonts w:hint="eastAsia" w:ascii="宋体" w:hAnsi="宋体" w:eastAsia="宋体" w:cs="宋体"/>
          <w:sz w:val="21"/>
          <w:szCs w:val="21"/>
        </w:rPr>
        <w:t xml:space="preserve">供应商</w:t>
      </w:r>
      <w:r/>
    </w:p>
    <w:p>
      <w:pPr>
        <w:pStyle w:val="630"/>
        <w:ind w:firstLine="480"/>
        <w:jc w:val="both"/>
        <w:spacing w:beforeAutospacing="0" w:afterAutospacing="0" w:line="360" w:lineRule="auto"/>
        <w:rPr>
          <w:rFonts w:hint="eastAsia" w:ascii="宋体" w:hAnsi="宋体" w:eastAsia="宋体" w:cs="宋体"/>
          <w:sz w:val="21"/>
          <w:szCs w:val="21"/>
        </w:rPr>
      </w:pPr>
      <w:r/>
      <w:bookmarkStart w:id="44" w:name="_Toc513029206"/>
      <w:r/>
      <w:bookmarkStart w:id="45" w:name="_Toc20823278"/>
      <w:r/>
      <w:bookmarkStart w:id="46" w:name="_Toc16938522"/>
      <w:r>
        <w:rPr>
          <w:rFonts w:hint="eastAsia" w:ascii="宋体" w:hAnsi="宋体" w:eastAsia="宋体" w:cs="宋体"/>
          <w:sz w:val="21"/>
          <w:szCs w:val="21"/>
        </w:rPr>
        <w:t xml:space="preserve">2. 1 满足采购文件中合格单一来源供应商资格要求的规定。</w:t>
      </w:r>
      <w:bookmarkEnd w:id="44"/>
      <w:r/>
      <w:bookmarkEnd w:id="45"/>
      <w:r/>
      <w:bookmarkEnd w:id="46"/>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 2 满足本采购文件实质性条款的规定。</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适用法律</w:t>
      </w:r>
      <w:r/>
    </w:p>
    <w:p>
      <w:pPr>
        <w:pStyle w:val="630"/>
        <w:ind w:firstLine="42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 本次采购及由此产生的合同受中华人民共和国有关的法律法规制约和保护。</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47" w:name="_Toc462564067"/>
      <w:r/>
      <w:bookmarkStart w:id="48" w:name="_Toc20823279"/>
      <w:r/>
      <w:bookmarkStart w:id="49" w:name="_Toc16938523"/>
      <w:r/>
      <w:bookmarkStart w:id="50" w:name="_Toc513029207"/>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相关费用</w:t>
      </w:r>
      <w:bookmarkEnd w:id="47"/>
      <w:r/>
      <w:bookmarkEnd w:id="48"/>
      <w:r/>
      <w:bookmarkEnd w:id="49"/>
      <w:r/>
      <w:bookmarkEnd w:id="50"/>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4.1供应商应自行承担所有与参加本次采购有关的费用，无论采购过程中的做法和结果如何，采购人或采购代理机构在任何情况下均无义务和责任承担这些费用。</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4.2代理机构将根据发改价格</w:t>
      </w:r>
      <w:r>
        <w:rPr>
          <w:rFonts w:hint="eastAsia" w:ascii="宋体" w:hAnsi="宋体" w:eastAsia="宋体" w:cs="宋体"/>
          <w:sz w:val="21"/>
          <w:szCs w:val="21"/>
          <w:lang w:eastAsia="zh-CN"/>
        </w:rPr>
        <w:t xml:space="preserve">〔2011〕534号</w:t>
      </w:r>
      <w:r>
        <w:rPr>
          <w:rFonts w:hint="eastAsia" w:ascii="宋体" w:hAnsi="宋体" w:eastAsia="宋体" w:cs="宋体"/>
          <w:sz w:val="21"/>
          <w:szCs w:val="21"/>
        </w:rPr>
        <w:t xml:space="preserve">文件，按招标项目成交价的1.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%向成交供应商收取服务费用，由成交供应商在开取成交通知书前一次性支付。</w:t>
      </w:r>
      <w:r/>
    </w:p>
    <w:p>
      <w:pPr>
        <w:pStyle w:val="630"/>
        <w:ind w:firstLine="301"/>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b/>
          <w:sz w:val="21"/>
          <w:szCs w:val="21"/>
          <w:lang w:eastAsia="zh-CN"/>
        </w:rPr>
        <w:t xml:space="preserve">5.</w:t>
      </w:r>
      <w:r>
        <w:rPr>
          <w:rFonts w:hint="eastAsia" w:ascii="宋体" w:hAnsi="宋体" w:eastAsia="宋体" w:cs="宋体"/>
          <w:sz w:val="21"/>
          <w:szCs w:val="21"/>
        </w:rPr>
        <w:t xml:space="preserve">采购文件的约束力</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 </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bookmarkStart w:id="51" w:name="_Toc513029209"/>
      <w:r/>
      <w:bookmarkStart w:id="52" w:name="_Toc20823281"/>
      <w:r/>
      <w:bookmarkStart w:id="53" w:name="_Toc120614215"/>
      <w:r/>
      <w:bookmarkStart w:id="54" w:name="_Toc16938525"/>
      <w:r>
        <w:rPr>
          <w:rFonts w:hint="eastAsia" w:ascii="宋体" w:hAnsi="宋体" w:eastAsia="宋体" w:cs="宋体"/>
          <w:b/>
          <w:color w:val="auto"/>
          <w:sz w:val="21"/>
          <w:szCs w:val="21"/>
          <w:highlight w:val="none"/>
          <w:lang w:val="en-US" w:eastAsia="zh-CN" w:bidi="ar-SA"/>
        </w:rPr>
        <w:t xml:space="preserve">二、</w:t>
      </w:r>
      <w:bookmarkEnd w:id="51"/>
      <w:r/>
      <w:bookmarkEnd w:id="52"/>
      <w:r/>
      <w:bookmarkEnd w:id="53"/>
      <w:r/>
      <w:bookmarkEnd w:id="54"/>
      <w:r>
        <w:rPr>
          <w:rFonts w:hint="eastAsia" w:ascii="宋体" w:hAnsi="宋体" w:eastAsia="宋体" w:cs="宋体"/>
          <w:b/>
          <w:color w:val="auto"/>
          <w:sz w:val="21"/>
          <w:szCs w:val="21"/>
          <w:highlight w:val="none"/>
          <w:lang w:val="en-US" w:eastAsia="zh-CN" w:bidi="ar-SA"/>
        </w:rPr>
        <w:t xml:space="preserve">采购文件</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55" w:name="_Toc20823282"/>
      <w:r/>
      <w:bookmarkStart w:id="56" w:name="_Toc16938526"/>
      <w:r/>
      <w:bookmarkStart w:id="57" w:name="_Toc513029210"/>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采购文件构成</w:t>
      </w:r>
      <w:bookmarkEnd w:id="55"/>
      <w:r/>
      <w:bookmarkEnd w:id="56"/>
      <w:r/>
      <w:bookmarkEnd w:id="57"/>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6.1采购文件由以下部分组成：</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（1）单一来源采购邀请</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（2）供应商须知</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（3）合同文本</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（4）采购需求</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（6）响应文件格式</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请仔细检查采购文件是否齐全，如有缺漏请立即与采购人联系解决。</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pStyle w:val="630"/>
        <w:ind w:firstLine="560"/>
        <w:jc w:val="both"/>
        <w:keepLines/>
        <w:keepNext/>
        <w:spacing w:beforeAutospacing="0" w:afterAutospacing="0" w:line="360" w:lineRule="auto"/>
        <w:rPr>
          <w:rFonts w:hint="eastAsia" w:ascii="宋体" w:hAnsi="宋体" w:eastAsia="宋体" w:cs="宋体"/>
          <w:sz w:val="21"/>
          <w:szCs w:val="21"/>
        </w:rPr>
      </w:pPr>
      <w:r/>
      <w:bookmarkStart w:id="58" w:name="_Toc16938527"/>
      <w:r/>
      <w:bookmarkStart w:id="59" w:name="_Toc513029211"/>
      <w:r/>
      <w:bookmarkStart w:id="60" w:name="_Toc462564070"/>
      <w:r/>
      <w:bookmarkStart w:id="61" w:name="_Toc20823283"/>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采购文件的澄清</w:t>
      </w:r>
      <w:bookmarkEnd w:id="58"/>
      <w:r/>
      <w:bookmarkEnd w:id="59"/>
      <w:r/>
      <w:bookmarkEnd w:id="60"/>
      <w:r/>
      <w:bookmarkEnd w:id="61"/>
      <w:r/>
      <w:r/>
    </w:p>
    <w:p>
      <w:pPr>
        <w:pStyle w:val="630"/>
        <w:ind w:firstLine="480"/>
        <w:jc w:val="both"/>
        <w:spacing w:beforeAutospacing="0" w:afterAutospacing="0" w:line="360" w:lineRule="auto"/>
        <w:rPr>
          <w:rFonts w:hint="eastAsia" w:ascii="宋体" w:hAnsi="宋体" w:eastAsia="宋体" w:cs="宋体"/>
          <w:sz w:val="21"/>
          <w:szCs w:val="21"/>
        </w:rPr>
      </w:pPr>
      <w:r/>
      <w:bookmarkStart w:id="62" w:name="_Toc20823284"/>
      <w:r/>
      <w:bookmarkStart w:id="63" w:name="_Toc462564071"/>
      <w:r/>
      <w:bookmarkStart w:id="64" w:name="_Toc513029212"/>
      <w:r/>
      <w:bookmarkStart w:id="65" w:name="_Toc16938528"/>
      <w:r>
        <w:rPr>
          <w:rFonts w:hint="eastAsia" w:ascii="宋体" w:hAnsi="宋体" w:eastAsia="宋体" w:cs="宋体"/>
          <w:sz w:val="21"/>
          <w:szCs w:val="21"/>
        </w:rPr>
        <w:t xml:space="preserve">7.1 供应商如果要求对采购文件进行澄清的，应在响应文件接收截止时间（以下简称“截止时间”）</w:t>
      </w:r>
      <w:r>
        <w:rPr>
          <w:rFonts w:hint="eastAsia" w:ascii="宋体" w:hAnsi="宋体" w:eastAsia="宋体" w:cs="宋体"/>
          <w:b/>
          <w:sz w:val="21"/>
          <w:szCs w:val="21"/>
        </w:rPr>
        <w:t xml:space="preserve">三天</w:t>
      </w:r>
      <w:r>
        <w:rPr>
          <w:rFonts w:hint="eastAsia" w:ascii="宋体" w:hAnsi="宋体" w:eastAsia="宋体" w:cs="宋体"/>
          <w:sz w:val="21"/>
          <w:szCs w:val="21"/>
        </w:rPr>
        <w:t xml:space="preserve">前，在苏采云系统中通知采购人。采购人将在苏采云系统中对澄清要求予以答复。</w:t>
      </w:r>
      <w:bookmarkEnd w:id="62"/>
      <w:r/>
      <w:bookmarkEnd w:id="63"/>
      <w:r/>
      <w:bookmarkEnd w:id="64"/>
      <w:r/>
      <w:bookmarkEnd w:id="65"/>
      <w:r/>
      <w:r/>
    </w:p>
    <w:p>
      <w:pPr>
        <w:pStyle w:val="630"/>
        <w:ind w:firstLine="560"/>
        <w:jc w:val="both"/>
        <w:keepLines/>
        <w:keepNext/>
        <w:spacing w:beforeAutospacing="0" w:afterAutospacing="0" w:line="360" w:lineRule="auto"/>
        <w:rPr>
          <w:rFonts w:hint="eastAsia" w:ascii="宋体" w:hAnsi="宋体" w:eastAsia="宋体" w:cs="宋体"/>
          <w:sz w:val="21"/>
          <w:szCs w:val="21"/>
        </w:rPr>
      </w:pPr>
      <w:r/>
      <w:bookmarkStart w:id="66" w:name="_Toc120614216"/>
      <w:r/>
      <w:bookmarkStart w:id="67" w:name="_Toc16938529"/>
      <w:r/>
      <w:bookmarkStart w:id="68" w:name="_Toc513029213"/>
      <w:r/>
      <w:bookmarkStart w:id="69" w:name="_Toc20823285"/>
      <w:r/>
      <w:bookmarkStart w:id="70" w:name="_Toc462564072"/>
      <w:r>
        <w:rPr>
          <w:rFonts w:hint="eastAsia" w:ascii="宋体" w:hAnsi="宋体" w:eastAsia="宋体" w:cs="宋体"/>
          <w:sz w:val="21"/>
          <w:szCs w:val="21"/>
          <w:lang w:eastAsia="zh-CN"/>
        </w:rPr>
        <w:t xml:space="preserve">8.</w:t>
      </w:r>
      <w:r>
        <w:rPr>
          <w:rFonts w:hint="eastAsia" w:ascii="宋体" w:hAnsi="宋体" w:eastAsia="宋体" w:cs="宋体"/>
          <w:sz w:val="21"/>
          <w:szCs w:val="21"/>
        </w:rPr>
        <w:t xml:space="preserve">采购文件的修改</w:t>
      </w:r>
      <w:bookmarkEnd w:id="66"/>
      <w:r/>
      <w:bookmarkEnd w:id="67"/>
      <w:r/>
      <w:bookmarkEnd w:id="68"/>
      <w:r/>
      <w:bookmarkEnd w:id="69"/>
      <w:r/>
      <w:bookmarkEnd w:id="70"/>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8.1 在截止时</w:t>
      </w:r>
      <w:r>
        <w:rPr>
          <w:rFonts w:hint="eastAsia" w:ascii="宋体" w:hAnsi="宋体" w:eastAsia="宋体" w:cs="宋体"/>
          <w:sz w:val="21"/>
          <w:szCs w:val="21"/>
          <w:lang w:eastAsia="zh-CN"/>
        </w:rPr>
        <w:t xml:space="preserve">间之</w:t>
      </w:r>
      <w:r>
        <w:rPr>
          <w:rFonts w:hint="eastAsia" w:ascii="宋体" w:hAnsi="宋体" w:eastAsia="宋体" w:cs="宋体"/>
          <w:sz w:val="21"/>
          <w:szCs w:val="21"/>
        </w:rPr>
        <w:t xml:space="preserve">前，采购人可以以补充文件的方式对采购文件进行修改。</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8.2采购人有权按照政府采购的有关要求推迟截止时间。</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8.3采购文件的补充文件将作为采购文件的组成部分，并对供应商具有约束力。</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三、响应文件的编制</w:t>
      </w:r>
      <w:r/>
    </w:p>
    <w:p>
      <w:pPr>
        <w:pStyle w:val="630"/>
        <w:ind w:firstLine="560"/>
        <w:jc w:val="both"/>
        <w:keepLines/>
        <w:keepNext/>
        <w:spacing w:beforeAutospacing="0" w:afterAutospacing="0" w:line="360" w:lineRule="auto"/>
        <w:rPr>
          <w:rFonts w:hint="eastAsia" w:ascii="宋体" w:hAnsi="宋体" w:eastAsia="宋体" w:cs="宋体"/>
          <w:sz w:val="21"/>
          <w:szCs w:val="21"/>
        </w:rPr>
      </w:pPr>
      <w:r/>
      <w:bookmarkStart w:id="71" w:name="_Toc20823286"/>
      <w:r/>
      <w:bookmarkStart w:id="72" w:name="_Toc513029214"/>
      <w:r/>
      <w:bookmarkStart w:id="73" w:name="_Toc462564073"/>
      <w:r/>
      <w:bookmarkStart w:id="74" w:name="_Toc16938530"/>
      <w:r>
        <w:rPr>
          <w:rFonts w:hint="eastAsia" w:ascii="宋体" w:hAnsi="宋体" w:eastAsia="宋体" w:cs="宋体"/>
          <w:sz w:val="21"/>
          <w:szCs w:val="21"/>
          <w:lang w:eastAsia="zh-CN"/>
        </w:rPr>
        <w:t xml:space="preserve">9.</w:t>
      </w:r>
      <w:r>
        <w:rPr>
          <w:rFonts w:hint="eastAsia" w:ascii="宋体" w:hAnsi="宋体" w:eastAsia="宋体" w:cs="宋体"/>
          <w:sz w:val="21"/>
          <w:szCs w:val="21"/>
        </w:rPr>
        <w:t xml:space="preserve">响应文件的语言及度量衡单位</w:t>
      </w:r>
      <w:bookmarkEnd w:id="71"/>
      <w:r/>
      <w:bookmarkEnd w:id="72"/>
      <w:r/>
      <w:bookmarkEnd w:id="73"/>
      <w:r/>
      <w:bookmarkEnd w:id="74"/>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9.1供应商提交的响应文件以及供应商与采购人及采购代理机构就有关采购活动的所有来往通知、函件和文件均应使用</w:t>
      </w:r>
      <w:r>
        <w:rPr>
          <w:rFonts w:hint="eastAsia" w:ascii="宋体" w:hAnsi="宋体" w:eastAsia="宋体" w:cs="宋体"/>
          <w:b/>
          <w:sz w:val="21"/>
          <w:szCs w:val="21"/>
        </w:rPr>
        <w:t xml:space="preserve">简体中文</w:t>
      </w:r>
      <w:r>
        <w:rPr>
          <w:rFonts w:hint="eastAsia" w:ascii="宋体" w:hAnsi="宋体" w:eastAsia="宋体" w:cs="宋体"/>
          <w:sz w:val="21"/>
          <w:szCs w:val="21"/>
        </w:rPr>
        <w:t xml:space="preserve">。</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9.2 除技术性能另有规定外，响应文件所使用的度量衡单位，均须采用国家法定计量单位。</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75" w:name="_Toc20823287"/>
      <w:r/>
      <w:bookmarkStart w:id="76" w:name="_Toc16938531"/>
      <w:r/>
      <w:bookmarkStart w:id="77" w:name="_Toc462564074"/>
      <w:r/>
      <w:bookmarkStart w:id="78" w:name="_Toc513029215"/>
      <w:r>
        <w:rPr>
          <w:rFonts w:hint="eastAsia" w:ascii="宋体" w:hAnsi="宋体" w:eastAsia="宋体" w:cs="宋体"/>
          <w:sz w:val="21"/>
          <w:szCs w:val="21"/>
          <w:lang w:eastAsia="zh-CN"/>
        </w:rPr>
        <w:t xml:space="preserve">10.</w:t>
      </w:r>
      <w:r>
        <w:rPr>
          <w:rFonts w:hint="eastAsia" w:ascii="宋体" w:hAnsi="宋体" w:eastAsia="宋体" w:cs="宋体"/>
          <w:sz w:val="21"/>
          <w:szCs w:val="21"/>
        </w:rPr>
        <w:t xml:space="preserve">响应文件构成</w:t>
      </w:r>
      <w:bookmarkEnd w:id="75"/>
      <w:r/>
      <w:bookmarkEnd w:id="76"/>
      <w:r/>
      <w:bookmarkEnd w:id="77"/>
      <w:r/>
      <w:bookmarkEnd w:id="78"/>
      <w:r/>
      <w:r/>
    </w:p>
    <w:p>
      <w:pPr>
        <w:pStyle w:val="630"/>
        <w:ind w:firstLine="480"/>
        <w:jc w:val="both"/>
        <w:spacing w:beforeAutospacing="0" w:afterAutospacing="0" w:line="360" w:lineRule="auto"/>
        <w:rPr>
          <w:rFonts w:hint="eastAsia" w:ascii="宋体" w:hAnsi="宋体" w:eastAsia="宋体" w:cs="宋体"/>
          <w:sz w:val="21"/>
          <w:szCs w:val="21"/>
        </w:rPr>
      </w:pPr>
      <w:r/>
      <w:bookmarkStart w:id="79" w:name="_Toc49090507"/>
      <w:r/>
      <w:bookmarkStart w:id="80" w:name="_Toc49090509"/>
      <w:r/>
      <w:bookmarkStart w:id="81" w:name="_Toc14577357"/>
      <w:r/>
      <w:bookmarkStart w:id="82" w:name="_Toc513029216"/>
      <w:r/>
      <w:bookmarkStart w:id="83" w:name="_Toc49090508"/>
      <w:r/>
      <w:bookmarkStart w:id="84" w:name="_Toc14577354"/>
      <w:r/>
      <w:bookmarkStart w:id="85" w:name="_Toc14577355"/>
      <w:r/>
      <w:bookmarkStart w:id="86" w:name="_Toc513029219"/>
      <w:r/>
      <w:bookmarkStart w:id="87" w:name="_Hlt26668975"/>
      <w:r/>
      <w:bookmarkStart w:id="88" w:name="_Hlt26954838"/>
      <w:r/>
      <w:bookmarkStart w:id="89" w:name="_Hlt26670360"/>
      <w:r>
        <w:rPr>
          <w:rFonts w:hint="eastAsia" w:ascii="宋体" w:hAnsi="宋体" w:eastAsia="宋体" w:cs="宋体"/>
          <w:sz w:val="21"/>
          <w:szCs w:val="21"/>
        </w:rPr>
        <w:t xml:space="preserve">10.1 供应商编写的响应文件应包括资格证明文件、符合性证明文件、分项报价表、技术要求响应及偏离表、商务要求响应及偏离表、其他证明文件、单一来源响应函等部分。</w:t>
      </w:r>
      <w:bookmarkEnd w:id="79"/>
      <w:r/>
      <w:bookmarkEnd w:id="80"/>
      <w:r/>
      <w:bookmarkEnd w:id="81"/>
      <w:r/>
      <w:bookmarkEnd w:id="82"/>
      <w:r/>
      <w:bookmarkEnd w:id="83"/>
      <w:r/>
      <w:bookmarkEnd w:id="84"/>
      <w:r/>
      <w:bookmarkEnd w:id="85"/>
      <w:r/>
      <w:bookmarkEnd w:id="86"/>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11.</w:t>
      </w:r>
      <w:r>
        <w:rPr>
          <w:rFonts w:hint="eastAsia" w:ascii="宋体" w:hAnsi="宋体" w:eastAsia="宋体" w:cs="宋体"/>
          <w:sz w:val="21"/>
          <w:szCs w:val="21"/>
        </w:rPr>
        <w:t xml:space="preserve">证明供应商及响应标的符合采购文件规定的文件</w:t>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11.1 供应商应按照</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、规章和规范性文件以及采购文件要求提交证明文件，证明其响应标的符合采购文件规定。</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11.2采购文件对证明文件无明确形式要求的，证明文件可以以文字资料、图纸和数据等形式提交。</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12.</w:t>
      </w:r>
      <w:r>
        <w:rPr>
          <w:rFonts w:hint="eastAsia" w:ascii="宋体" w:hAnsi="宋体" w:eastAsia="宋体" w:cs="宋体"/>
          <w:sz w:val="21"/>
          <w:szCs w:val="21"/>
        </w:rPr>
        <w:t xml:space="preserve">分项报价表</w:t>
      </w:r>
      <w:r/>
    </w:p>
    <w:p>
      <w:pPr>
        <w:pStyle w:val="630"/>
        <w:ind w:firstLine="480"/>
        <w:jc w:val="both"/>
        <w:spacing w:beforeAutospacing="0" w:afterAutospacing="0" w:line="360" w:lineRule="auto"/>
        <w:rPr>
          <w:rFonts w:hint="eastAsia" w:ascii="宋体" w:hAnsi="宋体" w:eastAsia="宋体" w:cs="宋体"/>
          <w:sz w:val="21"/>
          <w:szCs w:val="21"/>
        </w:rPr>
      </w:pPr>
      <w:r/>
      <w:bookmarkStart w:id="90" w:name="_Hlt26670482"/>
      <w:r/>
      <w:bookmarkStart w:id="91" w:name="_Hlt26954731"/>
      <w:r/>
      <w:bookmarkStart w:id="92" w:name="_Hlt26954846"/>
      <w:r/>
      <w:bookmarkStart w:id="93" w:name="_Hlt26954848"/>
      <w:r/>
      <w:bookmarkStart w:id="94" w:name="_Hlt26670486"/>
      <w:r>
        <w:rPr>
          <w:rFonts w:hint="eastAsia" w:ascii="宋体" w:hAnsi="宋体" w:eastAsia="宋体" w:cs="宋体"/>
          <w:sz w:val="21"/>
          <w:szCs w:val="21"/>
        </w:rPr>
        <w:t xml:space="preserve">12.1 供应商应按照采购文件规定格式填报分项报价表。</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12.2报价货币。响应文件中的单价和总价无特殊规定的采用人民币报价，以元为单位标注。采购文件中另有规定的按规定执行。</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13.</w:t>
      </w:r>
      <w:r>
        <w:rPr>
          <w:rFonts w:hint="eastAsia" w:ascii="宋体" w:hAnsi="宋体" w:eastAsia="宋体" w:cs="宋体"/>
          <w:sz w:val="21"/>
          <w:szCs w:val="21"/>
        </w:rPr>
        <w:t xml:space="preserve">技术要求响应及偏离表、商务要求响应及偏离表</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13.1供应商需对采购文件中的技术要求与商务要求逐项作出响应或偏离，并说明原因。</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13.2供应商可在响应文件中提供认为需要的其他技术文件或说明。</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95" w:name="_Toc14577359"/>
      <w:r/>
      <w:bookmarkStart w:id="96" w:name="_Toc49090510"/>
      <w:r>
        <w:rPr>
          <w:rFonts w:hint="eastAsia" w:ascii="宋体" w:hAnsi="宋体" w:eastAsia="宋体" w:cs="宋体"/>
          <w:sz w:val="21"/>
          <w:szCs w:val="21"/>
          <w:lang w:eastAsia="zh-CN"/>
        </w:rPr>
        <w:t xml:space="preserve">14.</w:t>
      </w:r>
      <w:r>
        <w:rPr>
          <w:rFonts w:hint="eastAsia" w:ascii="宋体" w:hAnsi="宋体" w:eastAsia="宋体" w:cs="宋体"/>
          <w:sz w:val="21"/>
          <w:szCs w:val="21"/>
        </w:rPr>
        <w:t xml:space="preserve">服务承诺、培训计划、人员安排及其他</w:t>
      </w:r>
      <w:bookmarkEnd w:id="95"/>
      <w:r/>
      <w:bookmarkEnd w:id="96"/>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14.1 供应商需根据采购文件要求提供有关售后服务的管理制度，售后服务机构的分布情况，售后服务人员的数量、素质、技术水平及售后服务的反应能力等。</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14.2 供应商需根据采购文件要求提供培训计划。</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14.3 供应商需根据采购文件要求提供所投标的的主要组成部分、功能设计、实现思路及关键技术等。</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97" w:name="_Toc49090511"/>
      <w:r/>
      <w:bookmarkStart w:id="98" w:name="_Toc14577360"/>
      <w:r>
        <w:rPr>
          <w:rFonts w:hint="eastAsia" w:ascii="宋体" w:hAnsi="宋体" w:eastAsia="宋体" w:cs="宋体"/>
          <w:sz w:val="21"/>
          <w:szCs w:val="21"/>
          <w:lang w:eastAsia="zh-CN"/>
        </w:rPr>
        <w:t xml:space="preserve">15.</w:t>
      </w:r>
      <w:r>
        <w:rPr>
          <w:rFonts w:hint="eastAsia" w:ascii="宋体" w:hAnsi="宋体" w:eastAsia="宋体" w:cs="宋体"/>
          <w:sz w:val="21"/>
          <w:szCs w:val="21"/>
        </w:rPr>
        <w:t xml:space="preserve">单一来源响应函</w:t>
      </w:r>
      <w:bookmarkEnd w:id="97"/>
      <w:r/>
      <w:bookmarkEnd w:id="98"/>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15.1 供应商应按照采购文件中提供的格式完整、正确填写单一来源响应函。</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16.</w:t>
      </w:r>
      <w:r>
        <w:rPr>
          <w:rFonts w:hint="eastAsia" w:ascii="宋体" w:hAnsi="宋体" w:eastAsia="宋体" w:cs="宋体"/>
          <w:sz w:val="21"/>
          <w:szCs w:val="21"/>
        </w:rPr>
        <w:t xml:space="preserve">单一来源采购有效期</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16.1 单一来源采购有效期（以下简称“有效期”）为采购人规定的响应文件接收截止之日后</w:t>
      </w:r>
      <w:r>
        <w:rPr>
          <w:rFonts w:hint="eastAsia" w:ascii="宋体" w:hAnsi="宋体" w:eastAsia="宋体" w:cs="宋体"/>
          <w:b/>
          <w:sz w:val="21"/>
          <w:szCs w:val="21"/>
          <w:u w:val="single"/>
        </w:rPr>
        <w:t xml:space="preserve">三十（30）天</w:t>
      </w:r>
      <w:r>
        <w:rPr>
          <w:rFonts w:hint="eastAsia" w:ascii="宋体" w:hAnsi="宋体" w:eastAsia="宋体" w:cs="宋体"/>
          <w:sz w:val="21"/>
          <w:szCs w:val="21"/>
        </w:rPr>
        <w:t xml:space="preserve">。有效期比规定期限短的将被视为未响应采购文件要求而予以拒绝。</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17.</w:t>
      </w:r>
      <w:r>
        <w:rPr>
          <w:rFonts w:hint="eastAsia" w:ascii="宋体" w:hAnsi="宋体" w:eastAsia="宋体" w:cs="宋体"/>
          <w:sz w:val="21"/>
          <w:szCs w:val="21"/>
        </w:rPr>
        <w:t xml:space="preserve">有效期的延长</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bookmarkStart w:id="99" w:name="_Toc513029224"/>
      <w:r/>
      <w:bookmarkStart w:id="100" w:name="_Toc16938540"/>
      <w:r/>
      <w:bookmarkStart w:id="101" w:name="_Toc20823296"/>
      <w:r/>
      <w:bookmarkStart w:id="102" w:name="_Toc120614217"/>
      <w:r/>
      <w:bookmarkStart w:id="103" w:name="_Hlt26954739"/>
      <w:r/>
      <w:bookmarkStart w:id="104" w:name="_Hlt26954852"/>
      <w:r>
        <w:rPr>
          <w:rFonts w:hint="eastAsia" w:ascii="宋体" w:hAnsi="宋体" w:eastAsia="宋体" w:cs="宋体"/>
          <w:b/>
          <w:color w:val="auto"/>
          <w:sz w:val="21"/>
          <w:szCs w:val="21"/>
          <w:highlight w:val="none"/>
          <w:lang w:val="en-US" w:eastAsia="zh-CN" w:bidi="ar-SA"/>
        </w:rPr>
        <w:t xml:space="preserve">四、响应文件的递交</w:t>
      </w:r>
      <w:bookmarkEnd w:id="99"/>
      <w:r/>
      <w:bookmarkEnd w:id="100"/>
      <w:r/>
      <w:bookmarkEnd w:id="101"/>
      <w:r/>
      <w:bookmarkEnd w:id="102"/>
      <w:r/>
      <w:r/>
    </w:p>
    <w:p>
      <w:pPr>
        <w:pStyle w:val="630"/>
        <w:ind w:firstLine="560"/>
        <w:jc w:val="both"/>
        <w:keepLines/>
        <w:keepNext/>
        <w:spacing w:beforeAutospacing="0" w:afterAutospacing="0" w:line="360" w:lineRule="auto"/>
        <w:rPr>
          <w:rFonts w:hint="eastAsia" w:ascii="宋体" w:hAnsi="宋体" w:eastAsia="宋体" w:cs="宋体"/>
          <w:sz w:val="21"/>
          <w:szCs w:val="21"/>
        </w:rPr>
      </w:pPr>
      <w:r/>
      <w:bookmarkStart w:id="105" w:name="_Toc16938541"/>
      <w:r/>
      <w:bookmarkStart w:id="106" w:name="_Toc513029225"/>
      <w:r/>
      <w:bookmarkStart w:id="107" w:name="_Toc462564084"/>
      <w:r/>
      <w:bookmarkStart w:id="108" w:name="_Toc20823297"/>
      <w:r>
        <w:rPr>
          <w:rFonts w:hint="eastAsia" w:ascii="宋体" w:hAnsi="宋体" w:eastAsia="宋体" w:cs="宋体"/>
          <w:sz w:val="21"/>
          <w:szCs w:val="21"/>
          <w:lang w:eastAsia="zh-CN"/>
        </w:rPr>
        <w:t xml:space="preserve">18.</w:t>
      </w:r>
      <w:r>
        <w:rPr>
          <w:rFonts w:hint="eastAsia" w:ascii="宋体" w:hAnsi="宋体" w:eastAsia="宋体" w:cs="宋体"/>
          <w:sz w:val="21"/>
          <w:szCs w:val="21"/>
        </w:rPr>
        <w:t xml:space="preserve">电子</w:t>
      </w:r>
      <w:bookmarkEnd w:id="105"/>
      <w:r/>
      <w:bookmarkEnd w:id="106"/>
      <w:r/>
      <w:bookmarkEnd w:id="107"/>
      <w:r/>
      <w:bookmarkEnd w:id="108"/>
      <w:r>
        <w:rPr>
          <w:rFonts w:hint="eastAsia" w:ascii="宋体" w:hAnsi="宋体" w:eastAsia="宋体" w:cs="宋体"/>
          <w:sz w:val="21"/>
          <w:szCs w:val="21"/>
        </w:rPr>
        <w:t xml:space="preserve">响应文件的递交</w:t>
      </w:r>
      <w:r/>
    </w:p>
    <w:p>
      <w:pPr>
        <w:pStyle w:val="630"/>
        <w:ind w:firstLine="6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18.1供应商应当按照《操作手册》规定，在截止时间前制作并上传电子响应文件。</w:t>
      </w:r>
      <w:bookmarkStart w:id="109" w:name="_Toc20823298"/>
      <w:r/>
      <w:bookmarkEnd w:id="109"/>
      <w:r/>
      <w:bookmarkStart w:id="110" w:name="_Toc16938542"/>
      <w:r/>
      <w:bookmarkEnd w:id="110"/>
      <w:r/>
      <w:bookmarkStart w:id="111" w:name="_Toc513029226"/>
      <w:r/>
      <w:r/>
    </w:p>
    <w:p>
      <w:pPr>
        <w:pStyle w:val="630"/>
        <w:ind w:firstLine="560"/>
        <w:jc w:val="both"/>
        <w:keepLines/>
        <w:keepNext/>
        <w:spacing w:before="280" w:beforeAutospacing="0" w:after="29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19.</w:t>
      </w:r>
      <w:r>
        <w:rPr>
          <w:rFonts w:hint="eastAsia" w:ascii="宋体" w:hAnsi="宋体" w:eastAsia="宋体" w:cs="宋体"/>
          <w:sz w:val="21"/>
          <w:szCs w:val="21"/>
        </w:rPr>
        <w:t xml:space="preserve">提交响应文件截止时间</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sz w:val="21"/>
          <w:szCs w:val="21"/>
          <w:u w:val="single"/>
        </w:rPr>
        <w:t xml:space="preserve">19.1供应商上传电子响应文件的时间不得迟于单一来源采购邀请中规定的截止时间。</w:t>
      </w:r>
      <w:r/>
    </w:p>
    <w:p>
      <w:pPr>
        <w:pStyle w:val="630"/>
        <w:ind w:firstLine="480"/>
        <w:jc w:val="both"/>
        <w:spacing w:beforeAutospacing="0" w:afterAutospacing="0" w:line="360" w:lineRule="auto"/>
        <w:rPr>
          <w:rFonts w:hint="eastAsia" w:ascii="宋体" w:hAnsi="宋体" w:eastAsia="宋体" w:cs="宋体"/>
          <w:sz w:val="21"/>
          <w:szCs w:val="21"/>
        </w:rPr>
      </w:pPr>
      <w:r/>
      <w:bookmarkStart w:id="112" w:name="_Toc513029227"/>
      <w:r/>
      <w:bookmarkStart w:id="113" w:name="_Toc20823299"/>
      <w:r/>
      <w:bookmarkStart w:id="114" w:name="_Toc16938543"/>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bookmarkEnd w:id="112"/>
      <w:r/>
      <w:bookmarkEnd w:id="113"/>
      <w:r/>
      <w:bookmarkEnd w:id="114"/>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19.2 采购人可以按照规定，通过修改采购文件酌情延长截止时间，在此情况下，供应商的所有权利和义务以及供应商受制的截止时间以延长后新的截止时间为准。</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20.</w:t>
      </w:r>
      <w:r>
        <w:rPr>
          <w:rFonts w:hint="eastAsia" w:ascii="宋体" w:hAnsi="宋体" w:eastAsia="宋体" w:cs="宋体"/>
          <w:sz w:val="21"/>
          <w:szCs w:val="21"/>
        </w:rPr>
        <w:t xml:space="preserve">响应文件的拒收</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20.1 采购人拒绝接收在其规定的截止时间后上传的任何电子响应文件。</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115" w:name="_Toc16938544"/>
      <w:r/>
      <w:bookmarkStart w:id="116" w:name="_Toc513029228"/>
      <w:r/>
      <w:bookmarkStart w:id="117" w:name="_Toc20823300"/>
      <w:r>
        <w:rPr>
          <w:rFonts w:hint="eastAsia" w:ascii="宋体" w:hAnsi="宋体" w:eastAsia="宋体" w:cs="宋体"/>
          <w:sz w:val="21"/>
          <w:szCs w:val="21"/>
          <w:lang w:eastAsia="zh-CN"/>
        </w:rPr>
        <w:t xml:space="preserve">21.</w:t>
      </w:r>
      <w:r>
        <w:rPr>
          <w:rFonts w:hint="eastAsia" w:ascii="宋体" w:hAnsi="宋体" w:eastAsia="宋体" w:cs="宋体"/>
          <w:sz w:val="21"/>
          <w:szCs w:val="21"/>
        </w:rPr>
        <w:t xml:space="preserve">响应文件的撤回和修改</w:t>
      </w:r>
      <w:bookmarkEnd w:id="115"/>
      <w:r/>
      <w:bookmarkEnd w:id="116"/>
      <w:r/>
      <w:bookmarkEnd w:id="117"/>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21.1响应文件的撤回</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21.1.1 电子响应文件的撤回</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供应商可在截止时</w:t>
      </w:r>
      <w:r>
        <w:rPr>
          <w:rFonts w:hint="eastAsia" w:ascii="宋体" w:hAnsi="宋体" w:eastAsia="宋体" w:cs="宋体"/>
          <w:sz w:val="21"/>
          <w:szCs w:val="21"/>
          <w:lang w:eastAsia="zh-CN"/>
        </w:rPr>
        <w:t xml:space="preserve">间之</w:t>
      </w:r>
      <w:r>
        <w:rPr>
          <w:rFonts w:hint="eastAsia" w:ascii="宋体" w:hAnsi="宋体" w:eastAsia="宋体" w:cs="宋体"/>
          <w:sz w:val="21"/>
          <w:szCs w:val="21"/>
        </w:rPr>
        <w:t xml:space="preserve">前，撤回其电子响应文件，具体操作方法见《操作手册》。</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21.1.2供应商撤回电子响应文件，则认为其不再参与本项目采购活动。</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21.2响应文件的修改</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供应商可在截止时</w:t>
      </w:r>
      <w:r>
        <w:rPr>
          <w:rFonts w:hint="eastAsia" w:ascii="宋体" w:hAnsi="宋体" w:eastAsia="宋体" w:cs="宋体"/>
          <w:sz w:val="21"/>
          <w:szCs w:val="21"/>
          <w:lang w:eastAsia="zh-CN"/>
        </w:rPr>
        <w:t xml:space="preserve">间之</w:t>
      </w:r>
      <w:r>
        <w:rPr>
          <w:rFonts w:hint="eastAsia" w:ascii="宋体" w:hAnsi="宋体" w:eastAsia="宋体" w:cs="宋体"/>
          <w:sz w:val="21"/>
          <w:szCs w:val="21"/>
        </w:rPr>
        <w:t xml:space="preserve">前，对其电子响应文件进行修改，具体操作方法见《操作手册》。</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21.3 在截止时间之后，供应商不得对其电子响应文件作任何修改。</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21.4 在截止时间至有效期满之间的这段时间内，供应商不得撤回其响应文件。</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bookmarkStart w:id="118" w:name="_Toc20823301"/>
      <w:r/>
      <w:bookmarkStart w:id="119" w:name="_Toc120614218"/>
      <w:r/>
      <w:bookmarkStart w:id="120" w:name="_Toc513029229"/>
      <w:r/>
      <w:bookmarkStart w:id="121" w:name="_Toc16938545"/>
      <w:r>
        <w:rPr>
          <w:rFonts w:hint="eastAsia" w:ascii="宋体" w:hAnsi="宋体" w:eastAsia="宋体" w:cs="宋体"/>
          <w:b/>
          <w:color w:val="auto"/>
          <w:sz w:val="21"/>
          <w:szCs w:val="21"/>
          <w:highlight w:val="none"/>
          <w:lang w:val="en-US" w:eastAsia="zh-CN" w:bidi="ar-SA"/>
        </w:rPr>
        <w:t xml:space="preserve">五、响应文件的解密与评审</w:t>
      </w:r>
      <w:bookmarkEnd w:id="118"/>
      <w:r/>
      <w:bookmarkEnd w:id="119"/>
      <w:r/>
      <w:bookmarkEnd w:id="120"/>
      <w:r/>
      <w:bookmarkEnd w:id="121"/>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122" w:name="_Toc513029230"/>
      <w:r/>
      <w:bookmarkStart w:id="123" w:name="_Toc20823302"/>
      <w:r/>
      <w:bookmarkStart w:id="124" w:name="_Toc16938546"/>
      <w:r>
        <w:rPr>
          <w:rFonts w:hint="eastAsia" w:ascii="宋体" w:hAnsi="宋体" w:eastAsia="宋体" w:cs="宋体"/>
          <w:sz w:val="21"/>
          <w:szCs w:val="21"/>
          <w:lang w:eastAsia="zh-CN"/>
        </w:rPr>
        <w:t xml:space="preserve">22.</w:t>
      </w:r>
      <w:bookmarkEnd w:id="122"/>
      <w:r/>
      <w:bookmarkEnd w:id="123"/>
      <w:r/>
      <w:bookmarkEnd w:id="124"/>
      <w:r>
        <w:rPr>
          <w:rFonts w:hint="eastAsia" w:ascii="宋体" w:hAnsi="宋体" w:eastAsia="宋体" w:cs="宋体"/>
          <w:sz w:val="21"/>
          <w:szCs w:val="21"/>
        </w:rPr>
        <w:t xml:space="preserve">响应文件解密</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22.1供应商应当按照《操作手册》规定，在苏采云系统规定的时间内对响应文件进行解密。</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125" w:name="_Toc16938547"/>
      <w:r/>
      <w:bookmarkStart w:id="126" w:name="_Toc20823303"/>
      <w:r/>
      <w:bookmarkStart w:id="127" w:name="_Toc513029231"/>
      <w:r>
        <w:rPr>
          <w:rFonts w:hint="eastAsia" w:ascii="宋体" w:hAnsi="宋体" w:eastAsia="宋体" w:cs="宋体"/>
          <w:sz w:val="21"/>
          <w:szCs w:val="21"/>
          <w:lang w:eastAsia="zh-CN"/>
        </w:rPr>
        <w:t xml:space="preserve">23.</w:t>
      </w:r>
      <w:r>
        <w:rPr>
          <w:rFonts w:hint="eastAsia" w:ascii="宋体" w:hAnsi="宋体" w:eastAsia="宋体" w:cs="宋体"/>
          <w:sz w:val="21"/>
          <w:szCs w:val="21"/>
        </w:rPr>
        <w:t xml:space="preserve">单一来源谈判小组</w:t>
      </w:r>
      <w:bookmarkEnd w:id="125"/>
      <w:r/>
      <w:bookmarkEnd w:id="126"/>
      <w:r/>
      <w:bookmarkEnd w:id="127"/>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 xml:space="preserve"> 23.1单一来源谈判小组（以下简称“谈判小组”）由政府采购评审专家、采购人代表组成，且人员构成符合政府采购有关规定。</w:t>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b/>
          <w:sz w:val="21"/>
          <w:szCs w:val="21"/>
        </w:rPr>
        <w:t xml:space="preserve">  </w:t>
      </w:r>
      <w:r>
        <w:rPr>
          <w:rFonts w:hint="eastAsia" w:ascii="宋体" w:hAnsi="宋体" w:eastAsia="宋体" w:cs="宋体"/>
          <w:sz w:val="21"/>
          <w:szCs w:val="21"/>
        </w:rPr>
        <w:t xml:space="preserve">23.2谈判小组应当按照客观、公正、审慎的原则评审供应商的响应文件，并与供应商协商采购标的的价格。</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24.</w:t>
      </w:r>
      <w:r>
        <w:rPr>
          <w:rFonts w:hint="eastAsia" w:ascii="宋体" w:hAnsi="宋体" w:eastAsia="宋体" w:cs="宋体"/>
          <w:sz w:val="21"/>
          <w:szCs w:val="21"/>
        </w:rPr>
        <w:t xml:space="preserve">单一来源谈判过程的保密与公正</w:t>
      </w:r>
      <w:r/>
    </w:p>
    <w:p>
      <w:pPr>
        <w:pStyle w:val="630"/>
        <w:ind w:firstLine="480"/>
        <w:jc w:val="both"/>
        <w:spacing w:beforeAutospacing="0" w:afterAutospacing="0" w:line="360" w:lineRule="auto"/>
        <w:rPr>
          <w:rFonts w:hint="eastAsia" w:ascii="宋体" w:hAnsi="宋体" w:eastAsia="宋体" w:cs="宋体"/>
          <w:sz w:val="21"/>
          <w:szCs w:val="21"/>
        </w:rPr>
      </w:pPr>
      <w:r/>
      <w:bookmarkStart w:id="128" w:name="_Toc20823304"/>
      <w:r/>
      <w:bookmarkStart w:id="129" w:name="_Toc16938548"/>
      <w:r/>
      <w:bookmarkStart w:id="130" w:name="_Toc513029232"/>
      <w:r>
        <w:rPr>
          <w:rFonts w:hint="eastAsia" w:ascii="宋体" w:hAnsi="宋体" w:eastAsia="宋体" w:cs="宋体"/>
          <w:sz w:val="21"/>
          <w:szCs w:val="21"/>
        </w:rPr>
        <w:t xml:space="preserve">24.1谈判小组、采购人和采购人工作人员、相关监督人员等与评审工作有关的人员，对评审、单一来源谈判情况以及在评审、单一来源谈判过程（以下简称“谈判过程”）中获悉的国家秘密、商业秘密负有保密责任。</w:t>
      </w:r>
      <w:bookmarkEnd w:id="128"/>
      <w:r/>
      <w:bookmarkEnd w:id="129"/>
      <w:r/>
      <w:bookmarkEnd w:id="130"/>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24.2在谈判过程中，供应商不得以任何行为影响评审及谈判过程，否则将会导致其响应文件被拒绝。</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25.</w:t>
      </w:r>
      <w:r>
        <w:rPr>
          <w:rFonts w:hint="eastAsia" w:ascii="宋体" w:hAnsi="宋体" w:eastAsia="宋体" w:cs="宋体"/>
          <w:sz w:val="21"/>
          <w:szCs w:val="21"/>
        </w:rPr>
        <w:t xml:space="preserve">评审及谈判过程中的澄清</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25.1项目评审及谈判过程中，谈判小组有权要求供应商对响应文件中含义不明确、同类问题表述不一致或者有明显文字和计算错误的内容等作出必要的澄清、说明或者更正。</w:t>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25.3 接到谈判小组澄清、说明和更正要求的供应商如未按规定作出澄清、说明和 更正，其风险由供应商自行承担。</w:t>
      </w:r>
      <w:r/>
    </w:p>
    <w:p>
      <w:pPr>
        <w:pStyle w:val="630"/>
        <w:ind w:firstLine="420"/>
        <w:jc w:val="both"/>
        <w:keepLines/>
        <w:keepNext/>
        <w:spacing w:beforeAutospacing="0" w:afterAutospacing="0" w:line="360" w:lineRule="auto"/>
        <w:rPr>
          <w:rFonts w:hint="eastAsia" w:ascii="宋体" w:hAnsi="宋体" w:eastAsia="宋体" w:cs="宋体"/>
          <w:sz w:val="21"/>
          <w:szCs w:val="21"/>
        </w:rPr>
      </w:pPr>
      <w:r/>
      <w:bookmarkStart w:id="131" w:name="_Toc16938549"/>
      <w:r/>
      <w:bookmarkStart w:id="132" w:name="_Toc513029233"/>
      <w:r/>
      <w:bookmarkStart w:id="133" w:name="_Toc20823305"/>
      <w:r>
        <w:rPr>
          <w:rFonts w:hint="eastAsia" w:ascii="宋体" w:hAnsi="宋体" w:eastAsia="宋体" w:cs="宋体"/>
          <w:sz w:val="21"/>
          <w:szCs w:val="21"/>
          <w:lang w:eastAsia="zh-CN"/>
        </w:rPr>
        <w:t xml:space="preserve">26.</w:t>
      </w:r>
      <w:r>
        <w:rPr>
          <w:rFonts w:hint="eastAsia" w:ascii="宋体" w:hAnsi="宋体" w:eastAsia="宋体" w:cs="宋体"/>
          <w:sz w:val="21"/>
          <w:szCs w:val="21"/>
        </w:rPr>
        <w:t xml:space="preserve">对响应文件的审</w:t>
      </w:r>
      <w:bookmarkEnd w:id="131"/>
      <w:r/>
      <w:bookmarkEnd w:id="132"/>
      <w:r/>
      <w:bookmarkEnd w:id="133"/>
      <w:r>
        <w:rPr>
          <w:rFonts w:hint="eastAsia" w:ascii="宋体" w:hAnsi="宋体" w:eastAsia="宋体" w:cs="宋体"/>
          <w:sz w:val="21"/>
          <w:szCs w:val="21"/>
        </w:rPr>
        <w:t xml:space="preserve">查</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26.1响应文件审查分为资格审查和符合性审查。</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26.1.1 资格审查：由谈判小组依据法律法规和采购文件的规定，对响应文件中的资格证明文件进行审查，以确定供应商是否具备参加单一来源谈判的资格。</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谈判小组在进行资格审查的同时，将在“信用中国”网站（www.creditchina.gov.cn）查询供应商的信用记录，以确定供应商是否具备谈判资格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查询结果留存并归档。</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联合体成员中任何一方存在不良信用记录的，视同联合体存在不良应用记录。</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26.1.2 符合性审查：依据采购文件的规定，由谈判小组从响应文件的有效性、完整性和对采购文件的响应程度进行审查，以确定是否对采购文件的实质性要求作出响应。</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所谓重大偏离或保留是指与采购文件规定的实质性要求存在负偏离，或者在实质上与采购文件不一致，而且限制了合同中买方和采购人的权利或供应商的义务。重大偏离由谈判小组按照少数服从多数的原则认定。谈判小组决定响应文件的响应性只根据响应文件本身的内容，而不寻求外部的证据。</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26.3未实质性响应采购文件的情形</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26.3.1供应商在苏采云系统规定的时间内未成功解密电子响应文件的。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26.3.2供应商未按照采购文件要求上传电子响应文件的。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26.3.3供应商提交两个（含两个）以上不同的响应文件或者最后报价的。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26.3.4供应商不具备采购文件中规定资格要求的。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26.3.5供应商的最后报价超过了采购预算。</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26.3.6不符合采购文件中规定的实质性要求和条件的</w:t>
      </w:r>
      <w:r>
        <w:rPr>
          <w:rFonts w:hint="eastAsia" w:ascii="宋体" w:hAnsi="宋体" w:eastAsia="宋体" w:cs="宋体"/>
          <w:i/>
          <w:sz w:val="21"/>
          <w:szCs w:val="21"/>
          <w:u w:val="single"/>
        </w:rPr>
        <w:t xml:space="preserve">（本采购文件中斜体且有下划线部分为实质性要求和条件）。</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26.3.8响应文件含有采购人不能接受的附加条件的。</w:t>
      </w:r>
      <w:r/>
    </w:p>
    <w:p>
      <w:pPr>
        <w:pStyle w:val="630"/>
        <w:ind w:firstLine="480"/>
        <w:jc w:val="both"/>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26.3.9</w:t>
      </w:r>
      <w:r>
        <w:rPr>
          <w:rFonts w:hint="eastAsia" w:ascii="宋体" w:hAnsi="宋体" w:eastAsia="宋体" w:cs="宋体"/>
          <w:b/>
          <w:sz w:val="21"/>
          <w:szCs w:val="21"/>
        </w:rPr>
        <w:t xml:space="preserve">谈判小组会认为投标人的报价明显低于其他通过符合性审查投标人的报价，有可能影响产品质量或者不能诚信履约的，将通过苏采云系统要求其在合理的时间内提供说明，必要时提交相关证明材料，供应商不能证明其报价合理性的，谈判小组应当将其作为无效</w:t>
      </w:r>
      <w:r>
        <w:rPr>
          <w:rFonts w:hint="eastAsia" w:ascii="宋体" w:hAnsi="宋体" w:eastAsia="宋体" w:cs="宋体"/>
          <w:b/>
          <w:color w:val="000000"/>
          <w:sz w:val="21"/>
          <w:szCs w:val="21"/>
        </w:rPr>
        <w:t xml:space="preserve">响应</w:t>
      </w:r>
      <w:r>
        <w:rPr>
          <w:rFonts w:hint="eastAsia" w:ascii="宋体" w:hAnsi="宋体" w:eastAsia="宋体" w:cs="宋体"/>
          <w:b/>
          <w:sz w:val="21"/>
          <w:szCs w:val="21"/>
        </w:rPr>
        <w:t xml:space="preserve">处理。</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根据《关于推动解决政府采购异常低价问题相关工作的通知》（财库</w:t>
      </w:r>
      <w:r>
        <w:rPr>
          <w:rFonts w:hint="eastAsia" w:ascii="宋体" w:hAnsi="宋体" w:eastAsia="宋体" w:cs="宋体"/>
          <w:b/>
          <w:bCs/>
          <w:i w:val="0"/>
          <w:iCs w:val="0"/>
          <w:color w:val="ff0000"/>
          <w:sz w:val="21"/>
          <w:szCs w:val="21"/>
          <w:highlight w:val="none"/>
          <w:u w:val="none"/>
          <w:lang w:eastAsia="zh-CN"/>
        </w:rPr>
        <w:t xml:space="preserve">〔2026〕2号</w:t>
      </w:r>
      <w:r>
        <w:rPr>
          <w:rFonts w:hint="eastAsia" w:ascii="宋体" w:hAnsi="宋体" w:eastAsia="宋体" w:cs="宋体"/>
          <w:b/>
          <w:bCs/>
          <w:i w:val="0"/>
          <w:iCs w:val="0"/>
          <w:color w:val="ff0000"/>
          <w:sz w:val="21"/>
          <w:szCs w:val="21"/>
          <w:highlight w:val="none"/>
          <w:u w:val="none"/>
        </w:rPr>
        <w:t xml:space="preserve">）的规定要求：</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（一）评审过程中出现下列情形之一的，评审委员会应当启动异常低价投标（响应）审查程序：</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lang w:eastAsia="zh-CN"/>
        </w:rPr>
        <w:t xml:space="preserve">1.</w:t>
      </w:r>
      <w:r>
        <w:rPr>
          <w:rFonts w:hint="eastAsia" w:ascii="宋体" w:hAnsi="宋体" w:eastAsia="宋体" w:cs="宋体"/>
          <w:b/>
          <w:bCs/>
          <w:i w:val="0"/>
          <w:iCs w:val="0"/>
          <w:color w:val="ff0000"/>
          <w:sz w:val="21"/>
          <w:szCs w:val="21"/>
          <w:highlight w:val="none"/>
          <w:u w:val="none"/>
        </w:rPr>
        <w:t xml:space="preserve">投标（响应）报价低于采购项目全部有效投标人平均值 50%的，即投标（响应）报价＜采购项目全部有效投标人平均值×50% ； </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lang w:eastAsia="zh-CN"/>
        </w:rPr>
        <w:t xml:space="preserve">2.</w:t>
      </w:r>
      <w:r>
        <w:rPr>
          <w:rFonts w:hint="eastAsia" w:ascii="宋体" w:hAnsi="宋体" w:eastAsia="宋体" w:cs="宋体"/>
          <w:b/>
          <w:bCs/>
          <w:i w:val="0"/>
          <w:iCs w:val="0"/>
          <w:color w:val="ff0000"/>
          <w:sz w:val="21"/>
          <w:szCs w:val="21"/>
          <w:highlight w:val="none"/>
          <w:u w:val="none"/>
        </w:rPr>
        <w:t xml:space="preserve">投标（响应）报价低于采购项目有效投标人次低报价 50%的，即投标（响应）报价＜采购项目有效投标人次低报价×50% ；</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3.投标（响应）报价低于采购项目最高限价45%的，即投标（响应）报价＜采购项目最高限价×45% ；</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lang w:eastAsia="zh-CN"/>
        </w:rPr>
        <w:t xml:space="preserve">4.</w:t>
      </w:r>
      <w:r>
        <w:rPr>
          <w:rFonts w:hint="eastAsia" w:ascii="宋体" w:hAnsi="宋体" w:eastAsia="宋体" w:cs="宋体"/>
          <w:b/>
          <w:bCs/>
          <w:i w:val="0"/>
          <w:iCs w:val="0"/>
          <w:color w:val="ff0000"/>
          <w:sz w:val="21"/>
          <w:szCs w:val="21"/>
          <w:highlight w:val="none"/>
          <w:u w:val="none"/>
        </w:rPr>
        <w:t xml:space="preserve">评审委员会认定的供应商报价过低、有可能影响产品质量或者不能诚信履约的其他情形。</w:t>
      </w:r>
      <w:r/>
    </w:p>
    <w:p>
      <w:pPr>
        <w:ind w:firstLine="420"/>
        <w:jc w:val="left"/>
        <w:pageBreakBefore w:val="0"/>
        <w:spacing w:line="360" w:lineRule="auto"/>
        <w:widowControl/>
        <w:rPr>
          <w:rFonts w:hint="eastAsia" w:ascii="宋体" w:hAnsi="宋体" w:eastAsia="宋体" w:cs="宋体"/>
          <w:b/>
          <w:bCs/>
          <w:i w:val="0"/>
          <w:iCs w:val="0"/>
          <w:color w:val="ff0000"/>
          <w:sz w:val="21"/>
          <w:szCs w:val="21"/>
          <w:highlight w:val="none"/>
          <w:u w:val="none"/>
        </w:rPr>
      </w:pPr>
      <w:r>
        <w:rPr>
          <w:rFonts w:hint="eastAsia" w:ascii="宋体" w:hAnsi="宋体" w:eastAsia="宋体" w:cs="宋体"/>
          <w:b/>
          <w:bCs/>
          <w:i w:val="0"/>
          <w:iCs w:val="0"/>
          <w:color w:val="ff0000"/>
          <w:sz w:val="21"/>
          <w:szCs w:val="21"/>
          <w:highlight w:val="none"/>
          <w:u w:val="none"/>
        </w:rPr>
        <w:t xml:space="preserve">（二）启动异常低价投标（响应）审查后，评审委员会应当要求相关供应商在评标现场接到通知后30分钟内，提供书面说明及相关证明材料给评标委员会（投标联系人手机保持畅通，如无法接通，视为自动放弃该投标的</w:t>
      </w:r>
      <w:r>
        <w:rPr>
          <w:rFonts w:hint="eastAsia" w:ascii="宋体" w:hAnsi="宋体" w:eastAsia="宋体" w:cs="宋体"/>
          <w:b/>
          <w:bCs/>
          <w:i w:val="0"/>
          <w:iCs w:val="0"/>
          <w:color w:val="ff0000"/>
          <w:sz w:val="21"/>
          <w:szCs w:val="21"/>
          <w:highlight w:val="none"/>
          <w:u w:val="none"/>
          <w:lang w:eastAsia="zh-CN"/>
        </w:rPr>
        <w:t xml:space="preserve">一切权利</w:t>
      </w:r>
      <w:r>
        <w:rPr>
          <w:rFonts w:hint="eastAsia" w:ascii="宋体" w:hAnsi="宋体" w:eastAsia="宋体" w:cs="宋体"/>
          <w:b/>
          <w:bCs/>
          <w:i w:val="0"/>
          <w:iCs w:val="0"/>
          <w:color w:val="ff0000"/>
          <w:sz w:val="21"/>
          <w:szCs w:val="21"/>
          <w:highlight w:val="none"/>
          <w:u w:val="none"/>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26.3.10响应文件未按照采购文件要求加盖CA电子公章的。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26.4未实质性响应采购文件的响应文件按无效响应处理。</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26.5如果响应文件实质上没有响应采购文件的要求，谈判小组将予以拒绝。</w:t>
      </w:r>
      <w:r/>
    </w:p>
    <w:p>
      <w:pPr>
        <w:pStyle w:val="630"/>
        <w:ind w:firstLine="480"/>
        <w:jc w:val="both"/>
        <w:spacing w:beforeAutospacing="0" w:afterAutospacing="0" w:line="360" w:lineRule="auto"/>
        <w:rPr>
          <w:rFonts w:hint="eastAsia" w:ascii="宋体" w:hAnsi="宋体" w:eastAsia="宋体" w:cs="宋体"/>
          <w:sz w:val="21"/>
          <w:szCs w:val="21"/>
        </w:rPr>
      </w:pPr>
      <w:r/>
      <w:bookmarkStart w:id="134" w:name="_Toc20823306"/>
      <w:r/>
      <w:bookmarkStart w:id="135" w:name="_Toc513029234"/>
      <w:r/>
      <w:bookmarkStart w:id="136" w:name="_Toc16938550"/>
      <w:r>
        <w:rPr>
          <w:rFonts w:hint="eastAsia" w:ascii="宋体" w:hAnsi="宋体" w:eastAsia="宋体" w:cs="宋体"/>
          <w:sz w:val="21"/>
          <w:szCs w:val="21"/>
        </w:rPr>
        <w:t xml:space="preserve">26.6供应商在项目评审及谈判全过程中应保持通信畅通，并安排专人与采购人及谈判小组联系。</w:t>
      </w:r>
      <w:bookmarkEnd w:id="134"/>
      <w:r/>
      <w:bookmarkEnd w:id="135"/>
      <w:r/>
      <w:bookmarkEnd w:id="136"/>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27.</w:t>
      </w:r>
      <w:r>
        <w:rPr>
          <w:rFonts w:hint="eastAsia" w:ascii="宋体" w:hAnsi="宋体" w:eastAsia="宋体" w:cs="宋体"/>
          <w:sz w:val="21"/>
          <w:szCs w:val="21"/>
        </w:rPr>
        <w:t xml:space="preserve">单一来源谈判及成交原则</w:t>
      </w:r>
      <w:r/>
    </w:p>
    <w:p>
      <w:pPr>
        <w:pStyle w:val="630"/>
        <w:ind w:left="479"/>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27.1单一来源谈判</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27.1.1 对于通过资格审查和符合性审查的供应商，谈判小组将通过苏采云系统与其就采购标的的价格、服务等内容进行单一来源谈判。</w:t>
      </w:r>
      <w:r/>
    </w:p>
    <w:p>
      <w:pPr>
        <w:pStyle w:val="630"/>
        <w:ind w:firstLine="478"/>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27.1.2供应商应当在苏采云系统中以书面形式对谈判过程中做出的承诺与澄清进行确认，并在谈判小组规定的时间内完成最后报价。</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pStyle w:val="630"/>
        <w:ind w:firstLine="36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27.2成交原则</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谈判小组根据政府采购相关法律、规章的规定，在供应商的响应情况能保证采购项目质量且最后报价合理的基础上确定其为成交供应商。</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27.3单一来源谈判终止情形处理</w:t>
      </w:r>
      <w:r/>
    </w:p>
    <w:p>
      <w:pPr>
        <w:pStyle w:val="630"/>
        <w:ind w:firstLine="480"/>
        <w:jc w:val="lef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出现下列情形之一的，采购人将终止采购活动，发布项目终止公告并说明原因，重新开展采购活动：</w:t>
      </w:r>
      <w:r>
        <w:rPr>
          <w:rFonts w:hint="eastAsia" w:ascii="宋体" w:hAnsi="宋体" w:eastAsia="宋体" w:cs="宋体"/>
          <w:sz w:val="21"/>
          <w:szCs w:val="21"/>
        </w:rPr>
        <w:br/>
      </w:r>
      <w:r>
        <w:rPr>
          <w:rFonts w:hint="eastAsia" w:ascii="宋体" w:hAnsi="宋体" w:eastAsia="宋体" w:cs="宋体"/>
          <w:sz w:val="21"/>
          <w:szCs w:val="21"/>
        </w:rPr>
        <w:t xml:space="preserve">   27.3.1 因情况变化，不再符合规定的单一来源采购方式适用情形的；</w:t>
      </w:r>
      <w:r>
        <w:rPr>
          <w:rFonts w:hint="eastAsia" w:ascii="宋体" w:hAnsi="宋体" w:eastAsia="宋体" w:cs="宋体"/>
          <w:sz w:val="21"/>
          <w:szCs w:val="21"/>
        </w:rPr>
        <w:br/>
      </w:r>
      <w:r>
        <w:rPr>
          <w:rFonts w:hint="eastAsia" w:ascii="宋体" w:hAnsi="宋体" w:eastAsia="宋体" w:cs="宋体"/>
          <w:sz w:val="21"/>
          <w:szCs w:val="21"/>
        </w:rPr>
        <w:t xml:space="preserve">   27.3.2 出现影响采购公正的违法、违规行为的；</w:t>
      </w:r>
      <w:r>
        <w:rPr>
          <w:rFonts w:hint="eastAsia" w:ascii="宋体" w:hAnsi="宋体" w:eastAsia="宋体" w:cs="宋体"/>
          <w:sz w:val="21"/>
          <w:szCs w:val="21"/>
        </w:rPr>
        <w:br/>
      </w:r>
      <w:r>
        <w:rPr>
          <w:rFonts w:hint="eastAsia" w:ascii="宋体" w:hAnsi="宋体" w:eastAsia="宋体" w:cs="宋体"/>
          <w:sz w:val="21"/>
          <w:szCs w:val="21"/>
        </w:rPr>
        <w:t xml:space="preserve">   27.3.3供应商最后报价超过采购预算的；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27.3.4供应商的技术方案、服务承诺、商务条款等不能满足采购人或谈判小组的要求；</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27.3.5 </w:t>
      </w:r>
      <w:r>
        <w:rPr>
          <w:rFonts w:hint="eastAsia" w:ascii="宋体" w:hAnsi="宋体" w:eastAsia="宋体" w:cs="宋体"/>
          <w:sz w:val="21"/>
          <w:szCs w:val="21"/>
          <w:lang w:eastAsia="zh-CN"/>
        </w:rPr>
        <w:t xml:space="preserve">法律法规</w:t>
      </w:r>
      <w:r>
        <w:rPr>
          <w:rFonts w:hint="eastAsia" w:ascii="宋体" w:hAnsi="宋体" w:eastAsia="宋体" w:cs="宋体"/>
          <w:sz w:val="21"/>
          <w:szCs w:val="21"/>
        </w:rPr>
        <w:t xml:space="preserve">、规章规定的其他应当终止的情形。</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六、成交</w:t>
      </w:r>
      <w:r/>
    </w:p>
    <w:p>
      <w:pPr>
        <w:pStyle w:val="630"/>
        <w:ind w:firstLine="42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28.</w:t>
      </w:r>
      <w:r>
        <w:rPr>
          <w:rFonts w:hint="eastAsia" w:ascii="宋体" w:hAnsi="宋体" w:eastAsia="宋体" w:cs="宋体"/>
          <w:sz w:val="21"/>
          <w:szCs w:val="21"/>
        </w:rPr>
        <w:t xml:space="preserve">确定成交供应商</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28.1谈判小组根据谈判情况编写单一来源评审报告，推荐成交候选供应商。</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28.2 采购人根据谈判小组推荐的成交候选供应商确定成交供应商。</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 若有充分证据证明，成交供应商出现下列情况之一的，一经查实，将被取消成交资格：</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28.3.1提供虚假材料谋取成交的。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28.3.2与评审专家、采购人、其他供应商或者采购人工作人员恶意串通的。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28.3.3向评审专家、采购人或采购人工作人员行贿或者提供其他不正当利益的。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28.3.4恶意竞争，最后报价明显低于其自身合理成本且又无法提供证明的。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28.3.5不满足本采购文件规定的实质性要求，但在评审过程中又未被谈判小组发现的。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28.3.6成交后无正当理由拒不与采购人签订政府采购合同或者未按照采购文件确定的事项签订政府采购合同的。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28.3.7将政府采购合同转包的。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成交供应商被取消成交资格后，采购人有权重新组织采购。</w:t>
      </w:r>
      <w:r/>
    </w:p>
    <w:p>
      <w:pPr>
        <w:pStyle w:val="630"/>
        <w:ind w:firstLine="600"/>
        <w:jc w:val="both"/>
        <w:keepLines/>
        <w:keepNext/>
        <w:spacing w:beforeAutospacing="0" w:afterAutospacing="0" w:line="360" w:lineRule="auto"/>
        <w:rPr>
          <w:rFonts w:hint="eastAsia" w:ascii="宋体" w:hAnsi="宋体" w:eastAsia="宋体" w:cs="宋体"/>
          <w:sz w:val="21"/>
          <w:szCs w:val="21"/>
        </w:rPr>
      </w:pPr>
      <w:r/>
      <w:bookmarkStart w:id="137" w:name="_Toc200451960"/>
      <w:r>
        <w:rPr>
          <w:rFonts w:hint="eastAsia" w:ascii="宋体" w:hAnsi="宋体" w:eastAsia="宋体" w:cs="宋体"/>
          <w:sz w:val="21"/>
          <w:szCs w:val="21"/>
          <w:lang w:eastAsia="zh-CN"/>
        </w:rPr>
        <w:t xml:space="preserve">29.</w:t>
      </w:r>
      <w:r>
        <w:rPr>
          <w:rFonts w:hint="eastAsia" w:ascii="宋体" w:hAnsi="宋体" w:eastAsia="宋体" w:cs="宋体"/>
          <w:sz w:val="21"/>
          <w:szCs w:val="21"/>
        </w:rPr>
        <w:t xml:space="preserve">质疑处理</w:t>
      </w:r>
      <w:bookmarkEnd w:id="137"/>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29.1供应商认为采购过程和采购结果使自己的权益受到损害的，可以从采购结果公布之日起七个工作日内，以书面形式向采购人提出质疑。</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29.2 供应商应当在法定质疑期内一次性提出针对同一采购程序环节的质疑。供应商如在法定期限内对同一采购程序环节提出多次质疑的，采购人、采购代理机构将只对供应商第一次质疑作出答复。</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firstLine="480"/>
        <w:jc w:val="left"/>
        <w:spacing w:line="360" w:lineRule="auto"/>
        <w:tabs>
          <w:tab w:val="left" w:pos="1331" w:leader="none"/>
        </w:tabs>
        <w:rPr>
          <w:rFonts w:hint="eastAsia" w:ascii="宋体" w:hAnsi="宋体" w:eastAsia="宋体" w:cs="宋体"/>
          <w:sz w:val="21"/>
          <w:szCs w:val="21"/>
        </w:rPr>
      </w:pPr>
      <w:r>
        <w:rPr>
          <w:rFonts w:hint="eastAsia" w:ascii="宋体" w:hAnsi="宋体" w:eastAsia="宋体" w:cs="宋体"/>
          <w:sz w:val="21"/>
          <w:szCs w:val="21"/>
        </w:rPr>
        <w:t xml:space="preserve">29.4 采购人和采购代理机构只接收以纸质原件形式送达的质疑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采购人和采购代理机构不接受未填写快递运单的快件。</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29.5 以下情形的质疑不予受理</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29.5.1 内容不符合《政府采购质疑和投诉办法》第十二条规定的质疑。</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29.5.2 超出政府采购法定期限的质疑。</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29.5.3 以传真、电子邮件等方式递交的非原件形式的质疑。</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29.5.4未参加单一来源采购活动的供应商所提出的质疑。</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29.5.5供应商组成联合体参加谈判，联合体中任何一方或多方未按要求签字、盖章、加盖公章的质疑。</w:t>
      </w:r>
      <w:r/>
    </w:p>
    <w:p>
      <w:pPr>
        <w:pStyle w:val="630"/>
        <w:ind w:firstLine="468"/>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30"/>
        <w:ind w:firstLine="60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30.</w:t>
      </w:r>
      <w:r>
        <w:rPr>
          <w:rFonts w:hint="eastAsia" w:ascii="宋体" w:hAnsi="宋体" w:eastAsia="宋体" w:cs="宋体"/>
          <w:sz w:val="21"/>
          <w:szCs w:val="21"/>
        </w:rPr>
        <w:t xml:space="preserve">成交通知书</w:t>
      </w:r>
      <w:r/>
    </w:p>
    <w:p>
      <w:pPr>
        <w:pStyle w:val="630"/>
        <w:ind w:firstLine="6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30.1成交结果确定后，采购人将向成交供应商发出成交通知书。请成交供应商在成交结果公告届满之日起30日内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因未及时下载而造成的不利后果由成交供应商自行承担。</w:t>
      </w:r>
      <w:r/>
    </w:p>
    <w:p>
      <w:pPr>
        <w:pStyle w:val="630"/>
        <w:ind w:firstLine="6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30"/>
        <w:ind w:firstLine="420"/>
        <w:jc w:val="both"/>
        <w:keepLines/>
        <w:keepNext/>
        <w:pageBreakBefore w:val="0"/>
        <w:spacing w:before="0" w:beforeAutospacing="0" w:after="0" w:afterAutospacing="0" w:line="360" w:lineRule="auto"/>
        <w:widowControl w:val="off"/>
        <w:rPr>
          <w:rFonts w:hint="eastAsia" w:ascii="宋体" w:hAnsi="宋体" w:eastAsia="宋体" w:cs="宋体"/>
          <w:b/>
          <w:color w:val="auto"/>
          <w:sz w:val="21"/>
          <w:szCs w:val="21"/>
          <w:highlight w:val="none"/>
          <w:lang w:val="en-US" w:eastAsia="zh-CN" w:bidi="ar-SA"/>
        </w:rPr>
      </w:pPr>
      <w:r/>
      <w:bookmarkStart w:id="138" w:name="_Toc513029236"/>
      <w:r/>
      <w:bookmarkStart w:id="139" w:name="_Toc16938552"/>
      <w:r/>
      <w:bookmarkStart w:id="140" w:name="_Toc120614220"/>
      <w:r/>
      <w:bookmarkStart w:id="141" w:name="_Toc20823308"/>
      <w:r>
        <w:rPr>
          <w:rFonts w:hint="eastAsia" w:ascii="宋体" w:hAnsi="宋体" w:eastAsia="宋体" w:cs="宋体"/>
          <w:b/>
          <w:color w:val="auto"/>
          <w:sz w:val="21"/>
          <w:szCs w:val="21"/>
          <w:highlight w:val="none"/>
          <w:lang w:val="en-US" w:eastAsia="zh-CN" w:bidi="ar-SA"/>
        </w:rPr>
        <w:t xml:space="preserve">七、授予合同</w:t>
      </w:r>
      <w:bookmarkEnd w:id="138"/>
      <w:r/>
      <w:bookmarkEnd w:id="139"/>
      <w:r/>
      <w:bookmarkEnd w:id="140"/>
      <w:r/>
      <w:bookmarkEnd w:id="141"/>
      <w:r/>
      <w:r/>
    </w:p>
    <w:p>
      <w:pPr>
        <w:pStyle w:val="630"/>
        <w:ind w:firstLine="600"/>
        <w:jc w:val="both"/>
        <w:keepLines/>
        <w:keepNext/>
        <w:spacing w:beforeAutospacing="0" w:afterAutospacing="0" w:line="360" w:lineRule="auto"/>
        <w:rPr>
          <w:rFonts w:hint="eastAsia" w:ascii="宋体" w:hAnsi="宋体" w:eastAsia="宋体" w:cs="宋体"/>
          <w:sz w:val="21"/>
          <w:szCs w:val="21"/>
        </w:rPr>
      </w:pPr>
      <w:r/>
      <w:bookmarkStart w:id="142" w:name="_Toc20823309"/>
      <w:r/>
      <w:bookmarkStart w:id="143" w:name="_Toc513029237"/>
      <w:r/>
      <w:bookmarkStart w:id="144" w:name="_Toc16938553"/>
      <w:r>
        <w:rPr>
          <w:rFonts w:hint="eastAsia" w:ascii="宋体" w:hAnsi="宋体" w:eastAsia="宋体" w:cs="宋体"/>
          <w:sz w:val="21"/>
          <w:szCs w:val="21"/>
        </w:rPr>
        <w:t xml:space="preserve">31. 签订合同</w:t>
      </w:r>
      <w:bookmarkEnd w:id="142"/>
      <w:r/>
      <w:bookmarkEnd w:id="143"/>
      <w:r/>
      <w:bookmarkEnd w:id="144"/>
      <w:r/>
      <w:r/>
    </w:p>
    <w:p>
      <w:pPr>
        <w:pStyle w:val="630"/>
        <w:ind w:firstLine="6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31.l成交供应商应当在成交通知书发出之日起三十日内，按照采购文件确定的事项与采购人签订政府采购合同。</w:t>
      </w:r>
      <w:r/>
    </w:p>
    <w:p>
      <w:pPr>
        <w:pStyle w:val="630"/>
        <w:ind w:firstLine="6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31.2采购文件、成交供应商的响应文件及谈判过程中有关澄清、承诺文件均应作为合同附件。</w:t>
      </w:r>
      <w:r/>
    </w:p>
    <w:p>
      <w:pPr>
        <w:pStyle w:val="630"/>
        <w:ind w:firstLine="6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31.3 签订合同后，</w:t>
      </w:r>
      <w:r>
        <w:rPr>
          <w:rFonts w:hint="eastAsia" w:ascii="宋体" w:hAnsi="宋体" w:eastAsia="宋体" w:cs="宋体"/>
          <w:i/>
          <w:sz w:val="21"/>
          <w:szCs w:val="21"/>
          <w:u w:val="single"/>
        </w:rPr>
        <w:t xml:space="preserve">成交供应商不得将合同标的进行转包</w:t>
      </w:r>
      <w:r>
        <w:rPr>
          <w:rFonts w:hint="eastAsia" w:ascii="宋体" w:hAnsi="宋体" w:eastAsia="宋体" w:cs="宋体"/>
          <w:sz w:val="21"/>
          <w:szCs w:val="21"/>
        </w:rPr>
        <w:t xml:space="preserve">。未经采购人同意，成交供应商也不得采用分包形式履行合同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否则采购人有权终止合同。转包或分包造成采购人损失的，成交供应商应承担相应赔偿责任。</w:t>
      </w:r>
      <w:r/>
    </w:p>
    <w:p>
      <w:pPr>
        <w:pStyle w:val="630"/>
        <w:ind w:firstLine="60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32.</w:t>
      </w:r>
      <w:r>
        <w:rPr>
          <w:rFonts w:hint="eastAsia" w:ascii="宋体" w:hAnsi="宋体" w:eastAsia="宋体" w:cs="宋体"/>
          <w:sz w:val="21"/>
          <w:szCs w:val="21"/>
        </w:rPr>
        <w:t xml:space="preserve">标的物的追加</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30"/>
        <w:ind w:left="474"/>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33.政府采购政策功能落实</w:t>
      </w:r>
      <w:r/>
    </w:p>
    <w:p>
      <w:pPr>
        <w:pStyle w:val="630"/>
        <w:ind w:firstLine="480"/>
        <w:jc w:val="both"/>
        <w:keepLines/>
        <w:keepNext/>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33.1政府采购线上合同信用融资政策</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根据《转发江苏省财政厅 中国人民银行南京分行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关于深入推进政府采购线上合同信用融资工作的通知</w:t>
      </w:r>
      <w:r>
        <w:rPr>
          <w:rFonts w:hint="eastAsia" w:ascii="宋体" w:hAnsi="宋体" w:eastAsia="宋体" w:cs="宋体"/>
          <w:sz w:val="21"/>
          <w:szCs w:val="21"/>
          <w:lang w:eastAsia="zh-CN"/>
        </w:rPr>
        <w:t xml:space="preserve">〉的通知》</w:t>
      </w:r>
      <w:r>
        <w:rPr>
          <w:rFonts w:hint="eastAsia" w:ascii="宋体" w:hAnsi="宋体" w:eastAsia="宋体" w:cs="宋体"/>
          <w:sz w:val="21"/>
          <w:szCs w:val="21"/>
        </w:rPr>
        <w:t xml:space="preserve">（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eastAsia="宋体" w:cs="宋体"/>
          <w:sz w:val="21"/>
          <w:szCs w:val="21"/>
          <w:lang w:eastAsia="zh-CN"/>
        </w:rPr>
        <w:t xml:space="preserve">系统</w:t>
      </w:r>
      <w:r>
        <w:rPr>
          <w:rFonts w:hint="eastAsia" w:ascii="宋体" w:hAnsi="宋体" w:eastAsia="宋体" w:cs="宋体"/>
          <w:sz w:val="21"/>
          <w:szCs w:val="21"/>
        </w:rPr>
        <w:t xml:space="preserve">操作手册。 </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33.2进口产品</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33.3中小企业、监狱企业及残疾人福利性单位</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33.3.1中小企业定义：</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33.3.2供应商提供的货物、工程或者服务符合下列情形的，享受中小企业扶持政策：</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33.3.2.1在货物采购项目中，货物由中小企业制造，即货物由中小企业生产且使用该中小企业商号或者注册商标；</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33.3.2.2在工程采购项目中，工程由中小企业承建，即工程施工单位为中小企业；</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33.3.2.3在服务采购项目中，服务由中小企业承接，即提供服务的人员为中小企业依照《中华人民共和国劳动合同法》订立劳动合同的从业人员。</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33.3.3在货物采购项目中，供应商提供的货物既有中小企业制造货物，也有大型企业制造货物的，不享受中小企业扶持政策。</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33.3.4以联合体形式参加政府采购活动，联合体各方均为中小企业的，联合体视同中小企业。其中，联合体各方均为小微企业的，联合体视同小微企业。</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33.3.6残疾人福利单位定义：享受政府采购支持政策的残疾人福利性单位应当同时满足以下条件：</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33.3.6.1安置的残疾人占本单位在职职工人数的比例不低于25%（含25%），并且安置的残疾人人数不少于10 人（含10 人）；</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33.3.6.2依法与安置的每位残疾人签订了一年以上（含一年）的劳动合同或服务协议；</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33.3.6.3为安置的每位残疾人按月足额缴纳了基本养老保险、基本医疗保险、失业保险、工伤保险和生育保险等社会保险费；</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33.3.6.4通过银行等金融机构向安置的每位残疾人，按月支付了不低于单位所在区县适用的经省级人民政府批准的月最低工资标准的工资；</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33.3.6.5提供本单位制造的货物、承担的工程或者服务（以下简称产品），或者提供其他残疾人福利性单位制造的货物（不包括使用非残疾人福利性单位注册商标的货物）；</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33.3.7本项目是否专门面向中小企业预留采购份额见第一章《单一来源采购邀请》。</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33.3.8采购标的对应的中小企业划分标准所属行业见第四章《采购需求》。</w:t>
      </w:r>
      <w:r/>
    </w:p>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33.4政府采购节能产品、环境标志产品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由国家确定的认证机构出具的、处于有效期之内的节能产品、环境标志产品认证证书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。节能产品、环境标志产品品目清单以递交响应文件截止时已正式公布的最近一期信息为准，</w:t>
      </w:r>
      <w:r>
        <w:rPr>
          <w:rFonts w:hint="eastAsia" w:ascii="宋体" w:hAnsi="宋体" w:eastAsia="宋体" w:cs="宋体"/>
          <w:b/>
          <w:i/>
          <w:sz w:val="21"/>
          <w:szCs w:val="21"/>
        </w:rPr>
        <w:t xml:space="preserve">如属政府强制采购产品未提供认证证书的或认证证书提供不全的将视为未实质性响应采购要求</w:t>
      </w:r>
      <w:r>
        <w:rPr>
          <w:rFonts w:hint="eastAsia" w:ascii="宋体" w:hAnsi="宋体" w:eastAsia="宋体" w:cs="宋体"/>
          <w:i/>
          <w:sz w:val="21"/>
          <w:szCs w:val="21"/>
        </w:rPr>
        <w:t xml:space="preserve">。</w:t>
      </w:r>
      <w:r>
        <w:rPr>
          <w:rFonts w:hint="eastAsia" w:ascii="宋体" w:hAnsi="宋体" w:eastAsia="宋体" w:cs="宋体"/>
          <w:sz w:val="21"/>
          <w:szCs w:val="21"/>
        </w:rPr>
        <w:t xml:space="preserve">其他条件相同情况下，应当优先采购节能产品、环境标志产品。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33.5绿色包装</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本项目中涉及商品的包装应按照“财办库〔2020〕123号《关于印发《商品包装政府采购需求标准（试行）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快递包装政府采购需求标准（试行）》的通知》”执行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33.6政府采购创新产品</w:t>
      </w:r>
      <w:r/>
    </w:p>
    <w:p>
      <w:pPr>
        <w:ind w:firstLine="47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33.7绿色数据中心政策 </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本文件中若</w:t>
      </w:r>
      <w:r>
        <w:rPr>
          <w:rFonts w:hint="eastAsia" w:ascii="宋体" w:hAnsi="宋体" w:eastAsia="宋体" w:cs="宋体"/>
          <w:sz w:val="21"/>
          <w:szCs w:val="21"/>
          <w:lang w:eastAsia="zh-CN"/>
        </w:rPr>
        <w:t xml:space="preserve">涉及</w:t>
      </w:r>
      <w:r>
        <w:rPr>
          <w:rFonts w:hint="eastAsia" w:ascii="宋体" w:hAnsi="宋体" w:eastAsia="宋体" w:cs="宋体"/>
          <w:sz w:val="21"/>
          <w:szCs w:val="21"/>
        </w:rPr>
        <w:t xml:space="preserve">数据中心采购，采购人应依据《绿色数据中心政府采购需求标准（试行）》（财办库〔2023〕7号）文件精神</w:t>
      </w:r>
      <w:r>
        <w:rPr>
          <w:rFonts w:hint="eastAsia" w:ascii="宋体" w:hAnsi="宋体" w:eastAsia="宋体" w:cs="宋体"/>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33.8履约保证金政策</w:t>
      </w:r>
      <w:r/>
    </w:p>
    <w:p>
      <w:pPr>
        <w:pStyle w:val="785"/>
        <w:ind w:left="0" w:firstLine="560"/>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履约保证金的缴纳形式：</w:t>
      </w:r>
      <w:r/>
    </w:p>
    <w:p>
      <w:pPr>
        <w:ind w:firstLine="420"/>
        <w:jc w:val="left"/>
        <w:pageBreakBefore w:val="0"/>
        <w:spacing w:line="360" w:lineRule="auto"/>
        <w:widowControl/>
        <w:rPr>
          <w:rFonts w:hint="eastAsia" w:ascii="宋体" w:hAnsi="宋体" w:eastAsia="宋体" w:cs="宋体"/>
          <w:color w:val="ff0000"/>
          <w:szCs w:val="21"/>
          <w:highlight w:val="none"/>
          <w:lang w:val="en-US" w:eastAsia="zh-CN"/>
        </w:rPr>
      </w:pPr>
      <w:r>
        <w:rPr>
          <w:rFonts w:hint="eastAsia" w:ascii="宋体" w:hAnsi="宋体" w:eastAsia="宋体" w:cs="宋体"/>
          <w:sz w:val="21"/>
          <w:szCs w:val="21"/>
        </w:rPr>
        <w:t xml:space="preserve">本项目履约保证金按中标（合同）价的5%执行，中标人应在签订合同前将履约保证金应当以支票、汇票、本票或者金融机构、担保机构出具的保函等非现金形式提交履约保证金。</w:t>
      </w:r>
      <w:r>
        <w:rPr>
          <w:rFonts w:hint="eastAsia" w:ascii="宋体" w:hAnsi="宋体" w:eastAsia="宋体" w:cs="宋体"/>
          <w:sz w:val="21"/>
          <w:szCs w:val="21"/>
          <w:lang w:eastAsia="zh-CN"/>
        </w:rPr>
        <w:t xml:space="preserve">以转账</w:t>
      </w:r>
      <w:r>
        <w:rPr>
          <w:rFonts w:hint="eastAsia" w:ascii="宋体" w:hAnsi="宋体" w:eastAsia="宋体" w:cs="宋体"/>
          <w:sz w:val="21"/>
          <w:szCs w:val="21"/>
        </w:rPr>
        <w:t xml:space="preserve">、电汇或银行汇票等形式从乙方</w:t>
      </w:r>
      <w:r>
        <w:rPr>
          <w:rFonts w:hint="eastAsia" w:ascii="宋体" w:hAnsi="宋体" w:eastAsia="宋体" w:cs="宋体"/>
          <w:sz w:val="21"/>
          <w:szCs w:val="21"/>
          <w:lang w:eastAsia="zh-CN"/>
        </w:rPr>
        <w:t xml:space="preserve">的账户</w:t>
      </w:r>
      <w:r>
        <w:rPr>
          <w:rFonts w:hint="eastAsia" w:ascii="宋体" w:hAnsi="宋体" w:eastAsia="宋体" w:cs="宋体"/>
          <w:sz w:val="21"/>
          <w:szCs w:val="21"/>
        </w:rPr>
        <w:t xml:space="preserve">转至下列账户，</w:t>
      </w:r>
      <w:r>
        <w:rPr>
          <w:rFonts w:hint="eastAsia" w:ascii="宋体" w:hAnsi="宋体" w:eastAsia="宋体" w:cs="宋体"/>
          <w:b/>
          <w:color w:val="auto"/>
          <w:sz w:val="21"/>
          <w:highlight w:val="none"/>
          <w:u w:val="none"/>
        </w:rPr>
        <w:t xml:space="preserve">收款单位名称：</w:t>
      </w:r>
      <w:r>
        <w:rPr>
          <w:rFonts w:hint="eastAsia" w:ascii="宋体" w:hAnsi="宋体" w:eastAsia="宋体" w:cs="宋体"/>
          <w:b/>
          <w:color w:val="auto"/>
          <w:sz w:val="21"/>
          <w:highlight w:val="none"/>
          <w:u w:val="none"/>
          <w:lang w:val="en-US" w:eastAsia="zh-CN"/>
        </w:rPr>
        <w:t xml:space="preserve">阜宁县人民医院</w:t>
      </w:r>
      <w:r>
        <w:rPr>
          <w:rFonts w:hint="eastAsia" w:ascii="宋体" w:hAnsi="宋体" w:eastAsia="宋体" w:cs="宋体"/>
          <w:b/>
          <w:color w:val="auto"/>
          <w:sz w:val="21"/>
          <w:highlight w:val="none"/>
          <w:u w:val="none"/>
        </w:rPr>
        <w:t xml:space="preserve">，</w:t>
      </w:r>
      <w:r>
        <w:rPr>
          <w:rFonts w:hint="eastAsia" w:ascii="宋体" w:hAnsi="宋体" w:eastAsia="宋体" w:cs="宋体"/>
          <w:b/>
          <w:color w:val="ff0000"/>
          <w:sz w:val="21"/>
          <w:highlight w:val="none"/>
          <w:u w:val="none"/>
        </w:rPr>
        <w:t xml:space="preserve">开户银行：</w:t>
      </w:r>
      <w:r>
        <w:rPr>
          <w:rFonts w:hint="eastAsia" w:ascii="宋体" w:hAnsi="宋体" w:eastAsia="宋体" w:cs="宋体"/>
          <w:b/>
          <w:color w:val="ff0000"/>
          <w:sz w:val="21"/>
          <w:highlight w:val="none"/>
          <w:u w:val="none"/>
          <w:lang w:val="en-US" w:eastAsia="zh-CN"/>
        </w:rPr>
        <w:t xml:space="preserve">建设银行阜宁支行营业部</w:t>
      </w:r>
      <w:r>
        <w:rPr>
          <w:rFonts w:hint="eastAsia" w:ascii="宋体" w:hAnsi="宋体" w:eastAsia="宋体" w:cs="宋体"/>
          <w:b/>
          <w:color w:val="ff0000"/>
          <w:sz w:val="21"/>
          <w:highlight w:val="none"/>
          <w:u w:val="none"/>
        </w:rPr>
        <w:t xml:space="preserve">；</w:t>
      </w:r>
      <w:r>
        <w:rPr>
          <w:rFonts w:hint="eastAsia" w:ascii="宋体" w:hAnsi="宋体" w:eastAsia="宋体" w:cs="宋体"/>
          <w:b/>
          <w:color w:val="ff0000"/>
          <w:sz w:val="21"/>
          <w:highlight w:val="none"/>
          <w:u w:val="none"/>
          <w:lang w:eastAsia="zh-CN"/>
        </w:rPr>
        <w:t xml:space="preserve">账号</w:t>
      </w:r>
      <w:r>
        <w:rPr>
          <w:rFonts w:hint="eastAsia" w:ascii="宋体" w:hAnsi="宋体" w:eastAsia="宋体" w:cs="宋体"/>
          <w:b/>
          <w:color w:val="ff0000"/>
          <w:sz w:val="21"/>
          <w:highlight w:val="none"/>
          <w:u w:val="none"/>
        </w:rPr>
        <w:t xml:space="preserve">：</w:t>
      </w:r>
      <w:r>
        <w:rPr>
          <w:rFonts w:hint="eastAsia" w:ascii="宋体" w:hAnsi="宋体" w:eastAsia="宋体" w:cs="宋体"/>
          <w:b/>
          <w:color w:val="ff0000"/>
          <w:sz w:val="21"/>
          <w:highlight w:val="none"/>
          <w:u w:val="none"/>
          <w:lang w:val="en-US" w:eastAsia="zh-CN"/>
        </w:rPr>
        <w:t xml:space="preserve">32001737336052512223</w:t>
      </w:r>
      <w:r>
        <w:rPr>
          <w:rFonts w:hint="eastAsia" w:ascii="宋体" w:hAnsi="宋体" w:eastAsia="宋体" w:cs="宋体"/>
          <w:b/>
          <w:color w:val="ff0000"/>
          <w:sz w:val="21"/>
          <w:highlight w:val="none"/>
          <w:u w:val="none"/>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 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1"/>
          <w:szCs w:val="21"/>
        </w:rPr>
      </w:pPr>
      <w:r>
        <w:rPr>
          <w:rFonts w:hint="eastAsia" w:ascii="宋体" w:hAnsi="宋体" w:eastAsia="宋体" w:cs="宋体"/>
          <w:sz w:val="21"/>
          <w:szCs w:val="21"/>
        </w:rPr>
        <w:t xml:space="preserve">34. 预付款制度</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本项目落实预付款制度，预付款比例为30%。在签订合同时，中标、成交供应商明确书面表示无需预付款或者主动要求降低预付款比例的，采购人可就预付款比例作相应调整。</w:t>
      </w:r>
      <w:r/>
    </w:p>
    <w:p>
      <w:pPr>
        <w:pStyle w:val="785"/>
        <w:ind w:left="0" w:firstLine="560"/>
        <w:spacing w:after="0" w:line="520" w:lineRule="exact"/>
        <w:rPr>
          <w:rFonts w:hint="eastAsia" w:ascii="宋体" w:hAnsi="宋体" w:eastAsia="宋体" w:cs="宋体"/>
          <w:sz w:val="24"/>
        </w:rPr>
      </w:pPr>
      <w:r>
        <w:rPr>
          <w:rFonts w:hint="eastAsia" w:ascii="宋体" w:hAnsi="宋体" w:eastAsia="宋体" w:cs="宋体"/>
          <w:sz w:val="24"/>
        </w:rPr>
      </w:r>
      <w:r/>
    </w:p>
    <w:p>
      <w:pPr>
        <w:pStyle w:val="630"/>
        <w:ind w:firstLine="2640"/>
        <w:jc w:val="both"/>
        <w:keepNext/>
        <w:spacing w:beforeAutospacing="0" w:afterAutospacing="0"/>
      </w:pPr>
      <w:r>
        <w:t xml:space="preserve"> </w:t>
      </w:r>
      <w:r/>
    </w:p>
    <w:p>
      <w:pPr>
        <w:pStyle w:val="630"/>
        <w:ind w:firstLine="2640"/>
        <w:jc w:val="both"/>
        <w:keepNext/>
        <w:spacing w:beforeAutospacing="0" w:afterAutospacing="0"/>
      </w:pPr>
      <w: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30"/>
        <w:ind w:firstLine="2640"/>
        <w:jc w:val="both"/>
        <w:keepNext/>
        <w:spacing w:beforeAutospacing="0" w:afterAutospacing="0"/>
      </w:pPr>
      <w:r>
        <w:rPr>
          <w:rFonts w:hint="eastAsia" w:ascii="黑体" w:hAnsi="宋体" w:eastAsia="黑体" w:cs="黑体"/>
          <w:sz w:val="44"/>
          <w:szCs w:val="44"/>
        </w:rPr>
        <w:t xml:space="preserve">第三章  合同文本</w:t>
      </w:r>
      <w:r/>
    </w:p>
    <w:p>
      <w:pPr>
        <w:pStyle w:val="630"/>
        <w:ind w:firstLine="480"/>
        <w:jc w:val="both"/>
        <w:spacing w:beforeAutospacing="0" w:afterAutospacing="0" w:line="360" w:lineRule="auto"/>
        <w:rPr>
          <w:rFonts w:hint="eastAsia" w:ascii="宋体" w:hAnsi="宋体" w:eastAsia="宋体" w:cs="宋体"/>
          <w:sz w:val="21"/>
          <w:szCs w:val="21"/>
        </w:rPr>
      </w:pPr>
      <w:r/>
      <w:bookmarkStart w:id="145" w:name="_Toc20823315"/>
      <w:r/>
      <w:bookmarkStart w:id="146" w:name="_Toc513029243"/>
      <w:r/>
      <w:bookmarkStart w:id="147" w:name="_Toc16938559"/>
      <w:r>
        <w:rPr>
          <w:rFonts w:hint="eastAsia" w:ascii="宋体" w:hAnsi="宋体" w:eastAsia="宋体" w:cs="宋体"/>
          <w:sz w:val="21"/>
          <w:szCs w:val="21"/>
        </w:rPr>
        <w:t xml:space="preserve">以下为成交后签订本项目合同的通用条款，成交供应商不得提出实质性的修改。</w:t>
      </w:r>
      <w:bookmarkEnd w:id="145"/>
      <w:r/>
      <w:bookmarkEnd w:id="146"/>
      <w:r/>
      <w:bookmarkEnd w:id="147"/>
      <w:r/>
      <w:r/>
    </w:p>
    <w:p>
      <w:pPr>
        <w:pStyle w:val="630"/>
        <w:ind w:firstLine="48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b/>
          <w:sz w:val="21"/>
          <w:szCs w:val="21"/>
        </w:rPr>
        <w:t xml:space="preserve">盐城市政府采购合同（合同编号）</w:t>
      </w:r>
      <w:r/>
    </w:p>
    <w:p>
      <w:pPr>
        <w:ind w:firstLine="47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项目名称：</w:t>
      </w:r>
      <w:r>
        <w:rPr>
          <w:rFonts w:hint="eastAsia" w:ascii="宋体" w:hAnsi="宋体" w:eastAsia="宋体" w:cs="宋体"/>
          <w:sz w:val="21"/>
          <w:szCs w:val="21"/>
          <w:lang w:eastAsia="zh-CN"/>
        </w:rPr>
        <w:t xml:space="preserve">阜宁县人民医院医疗废弃物处置服务单一来源采购项目（二次）</w:t>
      </w:r>
      <w:r>
        <w:rPr>
          <w:rFonts w:hint="eastAsia" w:ascii="宋体" w:hAnsi="宋体" w:eastAsia="宋体" w:cs="宋体"/>
          <w:sz w:val="21"/>
          <w:szCs w:val="21"/>
        </w:rPr>
        <w:t xml:space="preserve"> </w:t>
      </w:r>
      <w:r/>
    </w:p>
    <w:p>
      <w:pPr>
        <w:ind w:firstLine="47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w:t>
      </w:r>
      <w:r/>
    </w:p>
    <w:p>
      <w:pPr>
        <w:pStyle w:val="617"/>
        <w:ind w:left="12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甲方组织的</w:t>
      </w:r>
      <w:r>
        <w:rPr>
          <w:rFonts w:hint="eastAsia" w:hAnsi="宋体" w:eastAsia="宋体" w:cs="宋体"/>
          <w:sz w:val="21"/>
          <w:szCs w:val="21"/>
          <w:lang w:eastAsia="zh-CN"/>
        </w:rPr>
        <w:t xml:space="preserve">阜宁县人民医院医疗废弃物处置服务单一来源采购项目（二次）</w:t>
      </w:r>
      <w:r>
        <w:rPr>
          <w:rFonts w:hint="eastAsia" w:ascii="宋体" w:hAnsi="宋体" w:eastAsia="宋体" w:cs="宋体"/>
          <w:sz w:val="21"/>
          <w:szCs w:val="21"/>
        </w:rPr>
        <w:t xml:space="preserve">（</w:t>
      </w:r>
      <w:r>
        <w:rPr>
          <w:rFonts w:hint="eastAsia" w:hAnsi="宋体" w:eastAsia="宋体" w:cs="宋体"/>
          <w:sz w:val="21"/>
          <w:szCs w:val="21"/>
          <w:lang w:eastAsia="zh-CN"/>
        </w:rPr>
        <w:t xml:space="preserve">JSZC-320923-SWGC-D2026-0126</w:t>
      </w:r>
      <w:r>
        <w:rPr>
          <w:rFonts w:hint="eastAsia" w:ascii="宋体" w:hAnsi="宋体" w:eastAsia="宋体" w:cs="宋体"/>
          <w:sz w:val="21"/>
          <w:szCs w:val="21"/>
        </w:rPr>
        <w:t xml:space="preserve">）招标活动，确认乙方为中标（成交）供应商。现依据《中华人民共和国民法典（合同编）</w:t>
      </w:r>
      <w:r>
        <w:rPr>
          <w:rFonts w:hint="eastAsia"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中华人民共和国政府采购法》和其他有关法规，经甲、乙双方协商，就有关事项达成如下合同，双方同意严格执行本合同规定的所有条款。</w:t>
      </w:r>
      <w:r/>
    </w:p>
    <w:p>
      <w:pPr>
        <w:ind w:firstLine="482"/>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一、定义</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本合同中的下列术语应解释为：</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“合同”系指甲方与乙方签署的、合同条款中载明的甲方与乙方所达成的协议，包括所有的附件、附录和构成合同的所有文件。</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“服务”系指根据合同规定乙方须承担与供货有关的所有辅助服务，比如运输、装卸、提供技术援助、包装废弃物全量回收、培训和其他类似的乙方应承担的义务。</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本合同服务内容及要求：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感染性废物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携带病原微生</w:t>
      </w:r>
      <w:r>
        <w:rPr>
          <w:rFonts w:hint="eastAsia" w:ascii="宋体" w:hAnsi="宋体" w:eastAsia="宋体" w:cs="宋体"/>
          <w:sz w:val="21"/>
          <w:szCs w:val="21"/>
          <w:lang w:eastAsia="zh-CN"/>
        </w:rPr>
        <w:t xml:space="preserve">物和</w:t>
      </w:r>
      <w:r>
        <w:rPr>
          <w:rFonts w:hint="eastAsia" w:ascii="宋体" w:hAnsi="宋体" w:eastAsia="宋体" w:cs="宋体"/>
          <w:sz w:val="21"/>
          <w:szCs w:val="21"/>
        </w:rPr>
        <w:t xml:space="preserve">具有引发感染性疾病传播危险的医疗废物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医疗废物病中原体的培植基、标本和菌种、毒种保存液等高危险废物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在交医疗废物集中处置单位前应当就地消毒</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损伤性废物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能够刺伤或者割伤人体的废弃的医用锐器。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病理性废物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是指诊疗过程中产生的人体废弃物和医学实验动物尸体等。</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药物性废物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过期、淘汰、变质或者被污染的废弃的药品。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化学性废物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具有毒性、腐蚀性、易燃易爆性的废弃的化学物品。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乙方负责上述5类医疗废物及污水处理产生的污泥的外运、处置服务，免费提供各类外运器具、周转箱等，协助甲方完成医疗废弃物在线监测系统相关操作及医疗废物收集系统（医废全生命周期管理平台）数据的填报及管理。</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7.乙方对医疗废物处置必须遵守《中华人民共和国环境保护法》《中华人民共和国固体废物污染环境防治法》《医疗废物管理条例》《江苏省固体废物污染环境防治条例》《医疗废物集中处置技术规范（</w:t>
      </w:r>
      <w:r>
        <w:rPr>
          <w:rFonts w:hint="eastAsia" w:ascii="宋体" w:hAnsi="宋体" w:eastAsia="宋体" w:cs="宋体"/>
          <w:sz w:val="21"/>
          <w:szCs w:val="21"/>
          <w:lang w:eastAsia="zh-CN"/>
        </w:rPr>
        <w:t xml:space="preserve">试行）》等法律法规</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8.乙方具有专用的医废转运车辆，工作人员需统一着工作服。</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9.乙方应确保医疗废物在48小时内安排车辆将北院区和南院区两个院区暂存的医疗废物转运出医院，同时医疗废物转运人员与医院医疗废物专职管理人员在转运联单上双签字后，才能转运出医院。医院将医疗废物移交给乙方后产生的环境污染事故及其他损害，由乙方承担所有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10.乙方转运时应免费提供专用周转箱转运，保证医疗废物密封转运，不遗撒、</w:t>
      </w:r>
      <w:r>
        <w:rPr>
          <w:rFonts w:hint="eastAsia" w:ascii="宋体" w:hAnsi="宋体" w:eastAsia="宋体" w:cs="宋体"/>
          <w:sz w:val="21"/>
          <w:szCs w:val="21"/>
          <w:lang w:eastAsia="zh-CN"/>
        </w:rPr>
        <w:t xml:space="preserve">泄漏</w:t>
      </w:r>
      <w:r>
        <w:rPr>
          <w:rFonts w:hint="eastAsia" w:ascii="宋体" w:hAnsi="宋体" w:eastAsia="宋体" w:cs="宋体"/>
          <w:sz w:val="21"/>
          <w:szCs w:val="21"/>
        </w:rPr>
        <w:t xml:space="preserve">、不中途取出、不倒卖。乙方在对医疗废物处置过程中禁止转让、买卖、</w:t>
      </w:r>
      <w:r>
        <w:rPr>
          <w:rFonts w:hint="eastAsia" w:ascii="宋体" w:hAnsi="宋体" w:eastAsia="宋体" w:cs="宋体"/>
          <w:sz w:val="21"/>
          <w:szCs w:val="21"/>
          <w:lang w:eastAsia="zh-CN"/>
        </w:rPr>
        <w:t xml:space="preserve">泄漏</w:t>
      </w:r>
      <w:r>
        <w:rPr>
          <w:rFonts w:hint="eastAsia" w:ascii="宋体" w:hAnsi="宋体" w:eastAsia="宋体" w:cs="宋体"/>
          <w:sz w:val="21"/>
          <w:szCs w:val="21"/>
        </w:rPr>
        <w:t xml:space="preserve">医疗废物，禁止在非处置地点堆放医疗废物，禁止将医疗废物混入其他废物和生活废物中。如发生医疗废物流失、</w:t>
      </w:r>
      <w:r>
        <w:rPr>
          <w:rFonts w:hint="eastAsia" w:ascii="宋体" w:hAnsi="宋体" w:eastAsia="宋体" w:cs="宋体"/>
          <w:sz w:val="21"/>
          <w:szCs w:val="21"/>
          <w:lang w:eastAsia="zh-CN"/>
        </w:rPr>
        <w:t xml:space="preserve">泄漏</w:t>
      </w:r>
      <w:r>
        <w:rPr>
          <w:rFonts w:hint="eastAsia" w:ascii="宋体" w:hAnsi="宋体" w:eastAsia="宋体" w:cs="宋体"/>
          <w:sz w:val="21"/>
          <w:szCs w:val="21"/>
        </w:rPr>
        <w:t xml:space="preserve">、扩散和意外事故时，即报告管理部门，并由乙方承担所有责任。</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11.乙方在医疗废物处置过程中，医疗废物交接记录包含但不限于《院外医疗机构医疗废物转运到院登记本》《医疗废物废物转移联单》等，要求记录医疗废物来源、种类、重量或数量、交接时间、处置方法、最终去向、经办人签名等项目。</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12.提供医疗废物在转移过程中可能发生环境污染事件的应急预案。发生重大突发应急事件时，乙方应按生态环境部门和卫健部门的相关文件要求对医疗废物及时处置，否则采购人有权终止合同，并追究成交人造成的一切法律责任和经济赔偿。</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13.</w:t>
      </w:r>
      <w:r>
        <w:rPr>
          <w:rFonts w:hint="eastAsia" w:ascii="宋体" w:hAnsi="宋体" w:eastAsia="宋体" w:cs="宋体"/>
          <w:sz w:val="21"/>
          <w:szCs w:val="21"/>
        </w:rPr>
        <w:t xml:space="preserve">签订合同文件的依据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（1）合同签订后双方有关项目的洽商、变更等书面协议或文件；</w:t>
      </w:r>
      <w:r/>
    </w:p>
    <w:p>
      <w:pPr>
        <w:ind w:firstLine="638"/>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甲方的《</w:t>
      </w:r>
      <w:r>
        <w:rPr>
          <w:rFonts w:hint="eastAsia" w:ascii="宋体" w:hAnsi="宋体" w:eastAsia="宋体" w:cs="宋体"/>
          <w:sz w:val="21"/>
          <w:szCs w:val="21"/>
          <w:lang w:eastAsia="zh-CN"/>
        </w:rPr>
        <w:t xml:space="preserve">阜宁县人民医院医疗废弃物处置服务单一来源采购项目（二次）</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JSZC-320923-SWGC-D2026-0126</w:t>
      </w:r>
      <w:r>
        <w:rPr>
          <w:rFonts w:hint="eastAsia" w:ascii="宋体" w:hAnsi="宋体" w:eastAsia="宋体" w:cs="宋体"/>
          <w:sz w:val="21"/>
          <w:szCs w:val="21"/>
        </w:rPr>
        <w:t xml:space="preserve">）采购文件、设计图文件以及相关的补充文件；</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（3）乙方所有的报价文件及澄清文件；</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（4）成交（中标）通知书；</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（5）标准、规范及有关技术文件；</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（6）合同附件：含乙方报价文件中的《投标函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投标报价表》、服务承诺、技术说明文件等。</w:t>
      </w:r>
      <w:r/>
    </w:p>
    <w:p>
      <w:pPr>
        <w:ind w:firstLine="480"/>
        <w:spacing w:line="360" w:lineRule="auto"/>
        <w:rPr>
          <w:rFonts w:hint="eastAsia" w:ascii="宋体" w:hAnsi="宋体" w:eastAsia="宋体" w:cs="宋体"/>
          <w:b/>
          <w:sz w:val="21"/>
          <w:szCs w:val="21"/>
        </w:rPr>
        <w:outlineLvl w:val="0"/>
      </w:pPr>
      <w:r>
        <w:rPr>
          <w:rFonts w:hint="eastAsia" w:ascii="宋体" w:hAnsi="宋体" w:eastAsia="宋体" w:cs="宋体"/>
          <w:sz w:val="21"/>
          <w:szCs w:val="21"/>
        </w:rPr>
        <w:t xml:space="preserve">二、</w:t>
      </w:r>
      <w:r>
        <w:rPr>
          <w:rFonts w:hint="eastAsia" w:ascii="宋体" w:hAnsi="宋体" w:eastAsia="宋体" w:cs="宋体"/>
          <w:b/>
          <w:sz w:val="21"/>
          <w:szCs w:val="21"/>
        </w:rPr>
        <w:t xml:space="preserve">合同金额</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本合同采用全费用固定单价合同，每kg单价为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人民币大写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人民币小写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w:t>
      </w:r>
      <w:r>
        <w:rPr>
          <w:rFonts w:hint="eastAsia" w:ascii="宋体" w:hAnsi="宋体" w:eastAsia="宋体" w:cs="宋体"/>
          <w:sz w:val="21"/>
          <w:szCs w:val="21"/>
          <w:lang w:val="en-US" w:eastAsia="zh-CN"/>
        </w:rPr>
        <w:t xml:space="preserve">吨</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本合同价为固定单价，应是招标范围内医疗废弃物处置服务全部工作内容的价格体现，合同价包括</w:t>
      </w:r>
      <w:r>
        <w:rPr>
          <w:rFonts w:hint="eastAsia" w:ascii="宋体" w:hAnsi="宋体" w:eastAsia="宋体" w:cs="宋体"/>
          <w:sz w:val="21"/>
          <w:szCs w:val="21"/>
          <w:lang w:eastAsia="zh-CN"/>
        </w:rPr>
        <w:t xml:space="preserve">阜宁县人民医院医疗废弃物处置服务单一来源采购项目（二次）</w:t>
      </w:r>
      <w:r>
        <w:rPr>
          <w:rFonts w:hint="eastAsia" w:ascii="宋体" w:hAnsi="宋体" w:eastAsia="宋体" w:cs="宋体"/>
          <w:sz w:val="21"/>
          <w:szCs w:val="21"/>
        </w:rPr>
        <w:t xml:space="preserve">的所有费用，包含但不限于服务承包期间劳务、相应的人身安全保险、事故赔偿及所需全部费用的市场风险系数，并计入单价。除非合同中另有规定，投标人的投标报价应包括完成本服务项目工作所</w:t>
      </w:r>
      <w:r>
        <w:rPr>
          <w:rFonts w:hint="eastAsia" w:ascii="宋体" w:hAnsi="宋体" w:eastAsia="宋体" w:cs="宋体"/>
          <w:sz w:val="21"/>
          <w:szCs w:val="21"/>
        </w:rPr>
        <w:t xml:space="preserve">需的车辆配备费、上牌费、人工费（包括人员工资、保险等），转运车辆的折旧及保养、维修、油料费、车辆保险费、年检费以及在运输过程中发生的一切费用。报价中还包括车辆运输、保险、维修、租赁费用，医疗废弃物收集、运输、无害化处置，合同期间运输、人员等安全事故、纠纷、矛盾解决费用，人员的劳务、国家规定应享受的社会保险、福利待遇，利润，垃圾清运税金、耗材、劳保、利润、各种税费、招标代理费、交易服务费及政策性文件规定及合同包含的所有风险、责任等各项应有费用。同时，合同价格在合同实施及在签订经济合同时不因市场变化因素而变动。</w:t>
      </w:r>
      <w:r/>
    </w:p>
    <w:p>
      <w:pPr>
        <w:ind w:firstLine="480"/>
        <w:spacing w:line="360" w:lineRule="auto"/>
        <w:rPr>
          <w:rFonts w:hint="eastAsia" w:ascii="宋体" w:hAnsi="宋体" w:eastAsia="宋体" w:cs="宋体"/>
          <w:sz w:val="21"/>
          <w:szCs w:val="21"/>
        </w:rPr>
      </w:pPr>
      <w:r>
        <w:rPr>
          <w:rFonts w:hint="eastAsia" w:ascii="宋体" w:hAnsi="宋体" w:eastAsia="宋体" w:cs="宋体"/>
          <w:bCs/>
          <w:sz w:val="21"/>
          <w:szCs w:val="21"/>
          <w:lang w:eastAsia="zh-CN"/>
        </w:rPr>
        <w:t xml:space="preserve">3.</w:t>
      </w:r>
      <w:r>
        <w:rPr>
          <w:rFonts w:hint="eastAsia" w:ascii="宋体" w:hAnsi="宋体" w:eastAsia="宋体" w:cs="宋体"/>
          <w:sz w:val="21"/>
          <w:szCs w:val="21"/>
        </w:rPr>
        <w:t xml:space="preserve">乙方</w:t>
      </w:r>
      <w:r>
        <w:rPr>
          <w:rFonts w:hint="eastAsia" w:ascii="宋体" w:hAnsi="宋体" w:eastAsia="宋体" w:cs="宋体"/>
          <w:bCs/>
          <w:sz w:val="21"/>
          <w:szCs w:val="21"/>
        </w:rPr>
        <w:t xml:space="preserve">在履行合同过程中</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所发生的全部生产、生活费用均由</w:t>
      </w:r>
      <w:r>
        <w:rPr>
          <w:rFonts w:hint="eastAsia" w:ascii="宋体" w:hAnsi="宋体" w:eastAsia="宋体" w:cs="宋体"/>
          <w:sz w:val="21"/>
          <w:szCs w:val="21"/>
        </w:rPr>
        <w:t xml:space="preserve">乙方</w:t>
      </w:r>
      <w:r>
        <w:rPr>
          <w:rFonts w:hint="eastAsia" w:ascii="宋体" w:hAnsi="宋体" w:eastAsia="宋体" w:cs="宋体"/>
          <w:bCs/>
          <w:sz w:val="21"/>
          <w:szCs w:val="21"/>
        </w:rPr>
        <w:t xml:space="preserve">负责。</w:t>
      </w:r>
      <w:r/>
    </w:p>
    <w:p>
      <w:pPr>
        <w:ind w:firstLine="479"/>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三、税费</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ab/>
      </w:r>
      <w:r>
        <w:rPr>
          <w:rFonts w:hint="eastAsia" w:ascii="宋体" w:hAnsi="宋体" w:eastAsia="宋体" w:cs="宋体"/>
          <w:sz w:val="21"/>
          <w:szCs w:val="21"/>
        </w:rPr>
        <w:t xml:space="preserve"> 1、中国政府根据现行税法规定对乙方征收的、与本合同有关的一切税费，均由乙方负担。</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在中国境外发生的与本合同执行过</w:t>
      </w:r>
      <w:r>
        <w:rPr>
          <w:rFonts w:hint="eastAsia" w:ascii="宋体" w:hAnsi="宋体" w:eastAsia="宋体" w:cs="宋体"/>
          <w:sz w:val="21"/>
          <w:szCs w:val="21"/>
          <w:lang w:eastAsia="zh-CN"/>
        </w:rPr>
        <w:t xml:space="preserve">程中</w:t>
      </w:r>
      <w:r>
        <w:rPr>
          <w:rFonts w:hint="eastAsia" w:ascii="宋体" w:hAnsi="宋体" w:eastAsia="宋体" w:cs="宋体"/>
          <w:sz w:val="21"/>
          <w:szCs w:val="21"/>
        </w:rPr>
        <w:t xml:space="preserve">的一切税费由乙方负担。</w:t>
      </w:r>
      <w:r/>
    </w:p>
    <w:p>
      <w:pPr>
        <w:ind w:firstLine="472"/>
        <w:spacing w:line="360" w:lineRule="auto"/>
        <w:rPr>
          <w:rFonts w:hint="eastAsia" w:ascii="宋体" w:hAnsi="宋体" w:eastAsia="宋体" w:cs="宋体"/>
          <w:b/>
          <w:bCs/>
          <w:sz w:val="21"/>
          <w:szCs w:val="21"/>
        </w:rPr>
        <w:outlineLvl w:val="0"/>
      </w:pPr>
      <w:r>
        <w:rPr>
          <w:rFonts w:hint="eastAsia" w:ascii="宋体" w:hAnsi="宋体" w:eastAsia="宋体" w:cs="宋体"/>
          <w:b/>
          <w:bCs/>
          <w:sz w:val="21"/>
          <w:szCs w:val="21"/>
        </w:rPr>
        <w:t xml:space="preserve">四、供货期及要求</w:t>
      </w:r>
      <w:r/>
    </w:p>
    <w:p>
      <w:pPr>
        <w:pStyle w:val="79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本项目服务期为壹年。本合同期限自    年  月   日至   年   月    日止。</w:t>
      </w:r>
      <w:r/>
    </w:p>
    <w:p>
      <w:pPr>
        <w:ind w:firstLine="482"/>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t xml:space="preserve">五、服务地点</w:t>
      </w:r>
      <w:r/>
    </w:p>
    <w:p>
      <w:pPr>
        <w:ind w:firstLine="432"/>
        <w:spacing w:line="360" w:lineRule="auto"/>
        <w:rPr>
          <w:rFonts w:hint="eastAsia" w:ascii="宋体" w:hAnsi="宋体" w:eastAsia="宋体" w:cs="宋体"/>
          <w:sz w:val="21"/>
          <w:szCs w:val="21"/>
        </w:rPr>
      </w:pPr>
      <w:r>
        <w:rPr>
          <w:rFonts w:hint="eastAsia" w:ascii="宋体" w:hAnsi="宋体" w:eastAsia="宋体" w:cs="宋体"/>
          <w:sz w:val="21"/>
          <w:szCs w:val="21"/>
        </w:rPr>
        <w:t xml:space="preserve">阜宁县域范围内采购人指定地点。</w:t>
      </w:r>
      <w:r/>
    </w:p>
    <w:p>
      <w:pPr>
        <w:pStyle w:val="791"/>
        <w:ind w:firstLine="482"/>
        <w:jc w:val="left"/>
        <w:spacing w:line="360" w:lineRule="auto"/>
        <w:rPr>
          <w:rFonts w:hint="eastAsia" w:ascii="宋体" w:hAnsi="宋体" w:eastAsia="宋体" w:cs="宋体"/>
          <w:b/>
          <w:sz w:val="21"/>
          <w:szCs w:val="21"/>
        </w:rPr>
      </w:pPr>
      <w:r>
        <w:rPr>
          <w:rFonts w:hint="eastAsia" w:ascii="宋体" w:hAnsi="宋体" w:eastAsia="宋体" w:cs="宋体"/>
          <w:b/>
          <w:bCs/>
          <w:sz w:val="21"/>
          <w:szCs w:val="21"/>
        </w:rPr>
        <w:t xml:space="preserve">六、</w:t>
      </w:r>
      <w:r>
        <w:rPr>
          <w:rFonts w:hint="eastAsia" w:ascii="宋体" w:hAnsi="宋体" w:eastAsia="宋体" w:cs="宋体"/>
          <w:b/>
          <w:sz w:val="21"/>
          <w:szCs w:val="21"/>
        </w:rPr>
        <w:t xml:space="preserve">质量保证</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乙方所提供的服务必须符合国家有关标准和采购文件的要求。</w:t>
      </w:r>
      <w:r/>
    </w:p>
    <w:p>
      <w:pPr>
        <w:pStyle w:val="630"/>
        <w:ind w:left="210" w:firstLine="241"/>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b/>
          <w:sz w:val="21"/>
          <w:szCs w:val="21"/>
        </w:rPr>
        <w:t xml:space="preserve">七、履约保证金</w:t>
      </w:r>
      <w:r/>
    </w:p>
    <w:p>
      <w:pPr>
        <w:pStyle w:val="630"/>
        <w:ind w:firstLine="48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乙方交纳人民币_________元作为本合同的履约保证金。</w:t>
      </w:r>
      <w:r/>
    </w:p>
    <w:p>
      <w:pPr>
        <w:pStyle w:val="630"/>
        <w:ind w:firstLine="48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履约保证金的缴纳形式：</w:t>
      </w:r>
      <w:r/>
    </w:p>
    <w:p>
      <w:pPr>
        <w:pStyle w:val="630"/>
        <w:ind w:firstLine="480"/>
        <w:jc w:val="both"/>
        <w:spacing w:before="120" w:beforeAutospacing="0" w:after="120" w:afterAutospacing="0" w:line="360" w:lineRule="auto"/>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本项目履约保证金按中标（合同）价的5%执行，中标人应在签订合同前将履约保证金应当以支票、汇票、本票或者金融机构、担保机构出具的保函等非现金形式提交履约保证金。</w:t>
      </w:r>
      <w:r>
        <w:rPr>
          <w:rFonts w:hint="eastAsia" w:ascii="宋体" w:hAnsi="宋体" w:eastAsia="宋体" w:cs="宋体"/>
          <w:sz w:val="21"/>
          <w:szCs w:val="21"/>
          <w:lang w:eastAsia="zh-CN"/>
        </w:rPr>
        <w:t xml:space="preserve">以转账</w:t>
      </w:r>
      <w:r>
        <w:rPr>
          <w:rFonts w:hint="eastAsia" w:ascii="宋体" w:hAnsi="宋体" w:eastAsia="宋体" w:cs="宋体"/>
          <w:sz w:val="21"/>
          <w:szCs w:val="21"/>
        </w:rPr>
        <w:t xml:space="preserve">、电汇或银行汇票等形式从乙方</w:t>
      </w:r>
      <w:r>
        <w:rPr>
          <w:rFonts w:hint="eastAsia" w:ascii="宋体" w:hAnsi="宋体" w:eastAsia="宋体" w:cs="宋体"/>
          <w:sz w:val="21"/>
          <w:szCs w:val="21"/>
          <w:lang w:eastAsia="zh-CN"/>
        </w:rPr>
        <w:t xml:space="preserve">的账户</w:t>
      </w:r>
      <w:r>
        <w:rPr>
          <w:rFonts w:hint="eastAsia" w:ascii="宋体" w:hAnsi="宋体" w:eastAsia="宋体" w:cs="宋体"/>
          <w:sz w:val="21"/>
          <w:szCs w:val="21"/>
        </w:rPr>
        <w:t xml:space="preserve">转至下列账户，收款单位名称：</w:t>
      </w:r>
      <w:r>
        <w:rPr>
          <w:rFonts w:hint="eastAsia" w:ascii="宋体" w:hAnsi="宋体" w:eastAsia="宋体" w:cs="宋体"/>
          <w:b/>
          <w:bCs/>
          <w:sz w:val="21"/>
          <w:szCs w:val="21"/>
          <w:lang w:val="en-US" w:eastAsia="zh-CN"/>
        </w:rPr>
        <w:t xml:space="preserve">阜宁县人民医院</w:t>
      </w:r>
      <w:r>
        <w:rPr>
          <w:rFonts w:hint="eastAsia" w:ascii="宋体" w:hAnsi="宋体" w:eastAsia="宋体" w:cs="宋体"/>
          <w:b/>
          <w:bCs/>
          <w:sz w:val="21"/>
          <w:szCs w:val="21"/>
        </w:rPr>
        <w:t xml:space="preserve">，开户银行：</w:t>
      </w:r>
      <w:r>
        <w:rPr>
          <w:rFonts w:hint="eastAsia" w:ascii="宋体" w:hAnsi="宋体" w:eastAsia="宋体" w:cs="宋体"/>
          <w:b/>
          <w:bCs/>
          <w:sz w:val="21"/>
          <w:szCs w:val="21"/>
          <w:lang w:val="en-US" w:eastAsia="zh-CN"/>
        </w:rPr>
        <w:t xml:space="preserve">建设银行阜宁支行营业部</w:t>
      </w:r>
      <w:r>
        <w:rPr>
          <w:rFonts w:hint="eastAsia" w:ascii="宋体" w:hAnsi="宋体" w:eastAsia="宋体" w:cs="宋体"/>
          <w:b/>
          <w:bCs/>
          <w:sz w:val="21"/>
          <w:szCs w:val="21"/>
        </w:rPr>
        <w:t xml:space="preserve">；</w:t>
      </w:r>
      <w:r>
        <w:rPr>
          <w:rFonts w:hint="eastAsia" w:ascii="宋体" w:hAnsi="宋体" w:eastAsia="宋体" w:cs="宋体"/>
          <w:b/>
          <w:bCs/>
          <w:sz w:val="21"/>
          <w:szCs w:val="21"/>
          <w:lang w:eastAsia="zh-CN"/>
        </w:rPr>
        <w:t xml:space="preserve">账号</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32001737336052512223</w:t>
      </w:r>
      <w:r>
        <w:rPr>
          <w:rFonts w:hint="eastAsia" w:ascii="宋体" w:hAnsi="宋体" w:eastAsia="宋体" w:cs="宋体"/>
          <w:b/>
          <w:bCs/>
          <w:sz w:val="21"/>
          <w:szCs w:val="21"/>
        </w:rPr>
        <w:t xml:space="preserve">。</w:t>
      </w:r>
      <w:r/>
    </w:p>
    <w:p>
      <w:pPr>
        <w:pStyle w:val="630"/>
        <w:ind w:firstLine="48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如以履约保函（保险）形式缴纳履约保证金，供应商可通过政府采购电子履约保函（保险）平台（www.jsdzbh.com）在线申请履约保函（保险）。</w:t>
      </w:r>
      <w:r/>
    </w:p>
    <w:p>
      <w:pPr>
        <w:pStyle w:val="630"/>
        <w:ind w:firstLine="48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合同履行结束后，甲方应及时退还交纳的履约保证金。</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履约保证金的退还：</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（1）方式：退还至投标人缴纳履约保证金的账户。如为保函，在到期时自行失效。</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（2）时间：验收合格且采购人收到发票后30日内。</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（3）条件：按合同要求全部履约完成并经采购人验收合格，且采购人收到中标人出具的发票。</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（4）不予退还情形：</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②中标人不履行与采购人订立的合同的；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③中标人所供货物或服务不符合招标文件规定要求的；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④中标人采取欺骗、弄虚作假方式投标的或与其他投标人串通投标的；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⑤中标人将合同内容转包、违法分包的；</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⑥中标人故意捏造事实或伪造证明材料，进行虚假恶意投诉或反映的。</w:t>
      </w:r>
      <w:r/>
    </w:p>
    <w:p>
      <w:pPr>
        <w:ind w:firstLine="480"/>
        <w:spacing w:line="360" w:lineRule="auto"/>
        <w:rPr>
          <w:rFonts w:hint="eastAsia" w:ascii="宋体" w:hAnsi="宋体" w:eastAsia="宋体" w:cs="宋体"/>
          <w:sz w:val="21"/>
          <w:szCs w:val="21"/>
        </w:rPr>
        <w:outlineLvl w:val="0"/>
      </w:pPr>
      <w:r>
        <w:rPr>
          <w:rFonts w:hint="eastAsia" w:ascii="宋体" w:hAnsi="宋体" w:eastAsia="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360" w:lineRule="auto"/>
        <w:rPr>
          <w:rFonts w:hint="eastAsia" w:ascii="宋体" w:hAnsi="宋体" w:eastAsia="宋体" w:cs="宋体"/>
          <w:sz w:val="21"/>
          <w:szCs w:val="21"/>
        </w:rPr>
        <w:outlineLvl w:val="0"/>
      </w:pPr>
      <w:r>
        <w:rPr>
          <w:rFonts w:hint="eastAsia" w:ascii="宋体" w:hAnsi="宋体" w:eastAsia="宋体" w:cs="宋体"/>
          <w:b/>
          <w:bCs/>
          <w:sz w:val="21"/>
          <w:szCs w:val="21"/>
        </w:rPr>
        <w:t xml:space="preserve">八、付款</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付款以人民币通过银行给付，统一汇至乙方的基本银行账户。具体付款幅度如下：</w:t>
      </w:r>
      <w:r/>
    </w:p>
    <w:p>
      <w:pPr>
        <w:ind w:firstLine="420"/>
        <w:spacing w:line="360" w:lineRule="auto"/>
        <w:rPr>
          <w:rFonts w:hint="eastAsia" w:ascii="宋体" w:hAnsi="宋体" w:eastAsia="宋体" w:cs="宋体"/>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合同签订后每半年由乙方</w:t>
      </w:r>
      <w:r>
        <w:rPr>
          <w:rFonts w:hint="eastAsia" w:ascii="宋体" w:hAnsi="宋体" w:eastAsia="宋体" w:cs="宋体"/>
          <w:color w:val="333333"/>
          <w:sz w:val="21"/>
          <w:szCs w:val="21"/>
          <w:shd w:val="clear" w:color="auto" w:fill="ffffff"/>
          <w:lang w:eastAsia="zh-CN"/>
        </w:rPr>
        <w:t xml:space="preserve">根据实际处置的医疗废物量按</w:t>
      </w:r>
      <w:r>
        <w:rPr>
          <w:rFonts w:hint="eastAsia" w:ascii="宋体" w:hAnsi="宋体" w:eastAsia="宋体" w:cs="宋体"/>
          <w:color w:val="333333"/>
          <w:sz w:val="21"/>
          <w:szCs w:val="21"/>
          <w:u w:val="single"/>
          <w:shd w:val="clear" w:color="auto" w:fill="ffffff"/>
        </w:rPr>
        <w:t xml:space="preserve"> </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元/</w:t>
      </w:r>
      <w:r>
        <w:rPr>
          <w:rFonts w:hint="eastAsia" w:ascii="宋体" w:hAnsi="宋体" w:eastAsia="宋体" w:cs="宋体"/>
          <w:color w:val="333333"/>
          <w:sz w:val="21"/>
          <w:szCs w:val="21"/>
          <w:shd w:val="clear" w:color="auto" w:fill="ffffff"/>
          <w:lang w:val="en-US" w:eastAsia="zh-CN"/>
        </w:rPr>
        <w:t xml:space="preserve">吨</w:t>
      </w:r>
      <w:r>
        <w:rPr>
          <w:rFonts w:hint="eastAsia" w:ascii="宋体" w:hAnsi="宋体" w:eastAsia="宋体" w:cs="宋体"/>
          <w:color w:val="333333"/>
          <w:sz w:val="21"/>
          <w:szCs w:val="21"/>
          <w:shd w:val="clear" w:color="auto" w:fill="ffffff"/>
        </w:rPr>
        <w:t xml:space="preserve">开具符合税法规定的发票(税金由乙方承担)，</w:t>
      </w:r>
      <w:r>
        <w:rPr>
          <w:rFonts w:hint="eastAsia" w:ascii="宋体" w:hAnsi="宋体" w:eastAsia="宋体" w:cs="宋体"/>
          <w:color w:val="333333"/>
          <w:sz w:val="21"/>
          <w:szCs w:val="21"/>
          <w:shd w:val="clear" w:color="auto" w:fill="ffffff"/>
          <w:lang w:eastAsia="zh-CN"/>
        </w:rPr>
        <w:t xml:space="preserve">按</w:t>
      </w:r>
      <w:r>
        <w:rPr>
          <w:rFonts w:hint="eastAsia" w:ascii="宋体" w:hAnsi="宋体" w:eastAsia="宋体" w:cs="宋体"/>
          <w:color w:val="333333"/>
          <w:sz w:val="21"/>
          <w:szCs w:val="21"/>
          <w:shd w:val="clear" w:color="auto" w:fill="ffffff"/>
        </w:rPr>
        <w:t xml:space="preserve">甲方</w:t>
      </w:r>
      <w:r>
        <w:rPr>
          <w:rFonts w:hint="eastAsia" w:ascii="宋体" w:hAnsi="宋体" w:eastAsia="宋体" w:cs="宋体"/>
          <w:color w:val="333333"/>
          <w:sz w:val="21"/>
          <w:szCs w:val="21"/>
          <w:shd w:val="clear" w:color="auto" w:fill="ffffff"/>
          <w:lang w:eastAsia="zh-CN"/>
        </w:rPr>
        <w:t xml:space="preserve">资金审批流程</w:t>
      </w:r>
      <w:r>
        <w:rPr>
          <w:rFonts w:hint="eastAsia" w:ascii="宋体" w:hAnsi="宋体" w:eastAsia="宋体" w:cs="宋体"/>
          <w:color w:val="333333"/>
          <w:sz w:val="21"/>
          <w:szCs w:val="21"/>
          <w:shd w:val="clear" w:color="auto" w:fill="ffffff"/>
        </w:rPr>
        <w:t xml:space="preserve">及时结算</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将价款用转账的方式支付给乙方。</w:t>
      </w:r>
      <w:r>
        <w:rPr>
          <w:rFonts w:hint="eastAsia" w:ascii="宋体" w:hAnsi="宋体" w:eastAsia="宋体" w:cs="宋体"/>
          <w:color w:val="ff0000"/>
          <w:sz w:val="21"/>
          <w:szCs w:val="21"/>
          <w:shd w:val="clear" w:color="auto" w:fill="ffffff"/>
        </w:rPr>
        <w:t xml:space="preserve">（以上付款均无息）。</w:t>
      </w:r>
      <w:r/>
    </w:p>
    <w:p>
      <w:pPr>
        <w:ind w:firstLine="478"/>
        <w:spacing w:line="360" w:lineRule="auto"/>
        <w:rPr>
          <w:rFonts w:hint="eastAsia" w:ascii="宋体" w:hAnsi="宋体" w:eastAsia="宋体" w:cs="宋体"/>
          <w:b/>
          <w:bCs/>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 注：合同中付款方式采用预付款的，中标人如需支付预付款，中标人应向采购人出具预付款保函，中标人可以采用银行保函或保险公司保函，银行保函和保险公司保函受益人应为采购人。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中标人也可以放弃预付款，如放弃预付款的，中标人应向采购人出具放弃预付款的声明函。</w:t>
      </w:r>
      <w:r/>
    </w:p>
    <w:p>
      <w:pPr>
        <w:ind w:firstLine="480"/>
        <w:spacing w:line="360" w:lineRule="auto"/>
        <w:rPr>
          <w:rFonts w:hint="eastAsia" w:ascii="宋体" w:hAnsi="宋体" w:eastAsia="宋体" w:cs="宋体"/>
          <w:b/>
          <w:sz w:val="21"/>
          <w:szCs w:val="21"/>
        </w:rPr>
        <w:outlineLvl w:val="0"/>
      </w:pPr>
      <w:r>
        <w:rPr>
          <w:rFonts w:hint="eastAsia" w:ascii="宋体" w:hAnsi="宋体" w:eastAsia="宋体" w:cs="宋体"/>
          <w:sz w:val="21"/>
          <w:szCs w:val="21"/>
        </w:rPr>
        <w:t xml:space="preserve">九、</w:t>
      </w:r>
      <w:r>
        <w:rPr>
          <w:rFonts w:hint="eastAsia" w:ascii="宋体" w:hAnsi="宋体" w:eastAsia="宋体" w:cs="宋体"/>
          <w:b/>
          <w:sz w:val="21"/>
          <w:szCs w:val="21"/>
        </w:rPr>
        <w:t xml:space="preserve">服务质量保证</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乙方所提供的服务必须符合国家有关标准和采购文件的要求，如收取医废时间超过48H以上每次扣3000元。</w:t>
      </w:r>
      <w:r/>
    </w:p>
    <w:p>
      <w:pPr>
        <w:pStyle w:val="791"/>
        <w:ind w:firstLine="48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十、合同的解除和转让</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1.甲方和乙方协商一致，可以解除合同。</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2.有下列情形之一，合同一方可以解除合同：</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（1）因不可抗力因素致使活动取消的，不能实现合同目的，甲方有权解除合同，并不承担任何费用；</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（2）因合同一方违约导致合同不能履行，另一方有权解除合同。</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3.有权解除合同的一方，应当在违约事实或不可抗力发生之后三十天内书面通知对方提出解除合同，合同在书面通知到达对方时解除。</w:t>
      </w:r>
      <w:r/>
    </w:p>
    <w:p>
      <w:pPr>
        <w:pStyle w:val="79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4.合同的部分和全部都不得转让。</w:t>
      </w:r>
      <w:r/>
    </w:p>
    <w:p>
      <w:pPr>
        <w:ind w:firstLine="359"/>
        <w:spacing w:line="360" w:lineRule="auto"/>
        <w:rPr>
          <w:rFonts w:hint="eastAsia" w:ascii="宋体" w:hAnsi="宋体" w:eastAsia="宋体" w:cs="宋体"/>
          <w:sz w:val="21"/>
          <w:szCs w:val="21"/>
        </w:rPr>
        <w:outlineLvl w:val="0"/>
      </w:pPr>
      <w:r>
        <w:rPr>
          <w:rFonts w:hint="eastAsia" w:ascii="宋体" w:hAnsi="宋体" w:eastAsia="宋体" w:cs="宋体"/>
          <w:b/>
          <w:bCs/>
          <w:sz w:val="21"/>
          <w:szCs w:val="21"/>
        </w:rPr>
        <w:t xml:space="preserve">十一、转让</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ab/>
      </w:r>
      <w:r>
        <w:rPr>
          <w:rFonts w:hint="eastAsia" w:ascii="宋体" w:hAnsi="宋体" w:eastAsia="宋体" w:cs="宋体"/>
          <w:sz w:val="21"/>
          <w:szCs w:val="21"/>
        </w:rPr>
        <w:t xml:space="preserve">除甲方事先书面同意外，乙方不得转让任何其应履行的合同义务。</w:t>
      </w:r>
      <w:r/>
    </w:p>
    <w:p>
      <w:pPr>
        <w:ind w:firstLine="48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十二、安全问题</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乙方必须考虑整个运输、装卸过程中的安全问题，由乙方承担全部责任；</w:t>
      </w:r>
      <w:r/>
    </w:p>
    <w:p>
      <w:pPr>
        <w:ind w:firstLine="482"/>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t xml:space="preserve">十三、不可抗力</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如果甲、乙双方因不可抗力而导致合同实施延误或不能履行合同义务，在不可抗力影响的范围内不应该被没收合同履约及维护保证金或已支付的款项，也不应该承担误期赔偿或延期付款赔偿或终止合同的责任。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本条所述的“不可抗力”系指那些双方不能预见、不能克服并无法避免的事件，但不包括任何一方的违约或疏忽。不可预见的事件包括，战争、严重火灾、洪水、台风、地震及其他双方同意的情况。</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十四、仲裁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在执行本合同过程中所发生的或与本合同有关的一切争端，甲方和乙方应通过友好协商的办法进行解决。如从协商开始30天内仍不能解决，可以申请仲裁。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仲裁应根据《中华人民共和国仲裁法》的规定向甲方所在地有管辖权的仲裁机构申请仲裁。</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仲裁裁决为最终裁决，对甲方和乙方均有约束力。</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在仲裁期间，本合同应继续执行。</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十五、投诉</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为了保障甲方和乙方的合法权益，保证本合同顺利执行，在合同有效期内将建立投诉监管制度。具体方式为：</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甲方可就乙方提供服务的质量、价格、售后服务等问题以及</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乙方的违约行为可以向相关行业监管部门投诉；</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乙方可就甲方的违约行为和违纪事项，可以向相关部门投诉或检举。</w:t>
      </w:r>
      <w:r/>
    </w:p>
    <w:p>
      <w:pPr>
        <w:ind w:firstLine="4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十六、其他</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乙方应考虑成交后运输、装卸期间对整个周边环境、设施、道路、绿化等的保护，合同价中包含全部费用。提供服务期间如发生对环境、设施、道路、绿化等产生破坏，须采取措施恢复原状。</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合同双方可以就本合同主要内容以外的事项进行协商。</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本合同自双方签字盖章之日起生效。合同生效后如需变更合同条款，须经双方协商同意。</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本合同任何条款不能认定为任何一方提供的格式条款。</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本合同若有未尽事宜，双方可协商解决。</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本合同一式陆份，甲方执叁份，乙方、县财政局执壹份。</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甲方（公章）：                               乙方（公章）：</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法定代表人（授权代理人）（签字）：            法定代表人（签字）：</w:t>
      </w:r>
      <w:r/>
    </w:p>
    <w:p>
      <w:pPr>
        <w:ind w:firstLine="75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bookmarkStart w:id="148" w:name="_Toc479757211"/>
      <w:r/>
      <w:bookmarkStart w:id="149" w:name="_Toc16938590"/>
      <w:r/>
      <w:bookmarkStart w:id="150" w:name="_Toc120614244"/>
      <w:r/>
      <w:bookmarkStart w:id="151" w:name="_Toc462564139"/>
      <w:r/>
      <w:bookmarkStart w:id="152" w:name="_Toc20823346"/>
      <w:r/>
      <w:bookmarkStart w:id="153" w:name="_Hlt16619369"/>
      <w:r/>
      <w:bookmarkStart w:id="154" w:name="_Hlt16619350"/>
      <w:r/>
      <w:r/>
    </w:p>
    <w:p>
      <w:pPr>
        <w:jc w:val="center"/>
        <w:spacing w:line="360" w:lineRule="auto"/>
      </w:pPr>
      <w:r>
        <w:rPr>
          <w:rFonts w:hint="eastAsia" w:ascii="黑体" w:hAnsi="宋体" w:eastAsia="黑体" w:cs="黑体"/>
          <w:sz w:val="44"/>
          <w:szCs w:val="44"/>
        </w:rPr>
        <w:t xml:space="preserve">第</w:t>
      </w:r>
      <w:bookmarkEnd w:id="148"/>
      <w:r>
        <w:rPr>
          <w:rFonts w:hint="eastAsia" w:ascii="黑体" w:hAnsi="宋体" w:eastAsia="黑体" w:cs="黑体"/>
          <w:sz w:val="44"/>
          <w:szCs w:val="44"/>
        </w:rPr>
        <w:t xml:space="preserve">四章 采购需求</w:t>
      </w:r>
      <w:bookmarkEnd w:id="149"/>
      <w:r/>
      <w:bookmarkEnd w:id="150"/>
      <w:r/>
      <w:bookmarkEnd w:id="151"/>
      <w:r/>
      <w:bookmarkEnd w:id="152"/>
      <w:r/>
      <w:bookmarkStart w:id="155" w:name="_Toc49090575"/>
      <w:r/>
      <w:bookmarkEnd w:id="155"/>
      <w:r/>
      <w:bookmarkStart w:id="156" w:name="_Toc26554093"/>
      <w:r/>
      <w:bookmarkEnd w:id="156"/>
      <w:r/>
      <w:r/>
    </w:p>
    <w:p>
      <w:pPr>
        <w:pStyle w:val="630"/>
        <w:jc w:val="both"/>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一、项目属性：服务类项目</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二、采购要求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1.供应商负责对感染性医疗废物、损伤性医疗废物、病理性医疗废物、药物性医疗废物、化学性医疗废物共计5类医疗废弃物（以下简称5类医疗废弃物）进行安全处置，以及污水处理产生污泥处置。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2.供应商负责5类医疗废弃物废物及污泥的外运、处置服务，提供各类外运器具、周转箱等，协助完成医疗废弃物在线监测系统相关操作。</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3.医废监管平台管理：采购人现有医疗废物收集系统（医废全生命周期管理平台）数据的填报及管理。</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4.供应商对医疗废物处置必须遵守《中华人民共和国环境保护法》《中华人民共和国固体废物污染环境防治法》《医疗废物管理条例》《江苏省固体废物污染环境防治条例》《医疗废物集中处置技术规范（</w:t>
      </w:r>
      <w:r>
        <w:rPr>
          <w:rFonts w:hint="eastAsia" w:ascii="宋体" w:hAnsi="宋体" w:eastAsia="宋体" w:cs="宋体"/>
          <w:sz w:val="21"/>
          <w:szCs w:val="21"/>
          <w:lang w:eastAsia="zh-CN"/>
        </w:rPr>
        <w:t xml:space="preserve">试行）》等法律法规</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5.供应商具有专用的医废转运车辆，工作人员需统一着工作服。</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6.供应商应确保医疗废弃物在48小时内安排车辆将阜宁县人民医院院区内暂存的感染性、损伤性、药物性、病理性、化学性医疗废物转运出医院，同时医疗废物转运人员与医院医疗废物专职管理人员在转运联单上双签字后，才能转运出医院。医院将医疗废物移交给供应商后产生的环境污染事故及其他损害，由供应商承担所有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7.供应商转运时应免费提供专用周转箱转运，保证医疗废物密封转运，不遗撒、</w:t>
      </w:r>
      <w:r>
        <w:rPr>
          <w:rFonts w:hint="eastAsia" w:ascii="宋体" w:hAnsi="宋体" w:eastAsia="宋体" w:cs="宋体"/>
          <w:sz w:val="21"/>
          <w:szCs w:val="21"/>
          <w:lang w:eastAsia="zh-CN"/>
        </w:rPr>
        <w:t xml:space="preserve">泄漏</w:t>
      </w:r>
      <w:r>
        <w:rPr>
          <w:rFonts w:hint="eastAsia" w:ascii="宋体" w:hAnsi="宋体" w:eastAsia="宋体" w:cs="宋体"/>
          <w:sz w:val="21"/>
          <w:szCs w:val="21"/>
        </w:rPr>
        <w:t xml:space="preserve">、不中途取出、不倒卖。供应商</w:t>
      </w:r>
      <w:r>
        <w:rPr>
          <w:rFonts w:hint="eastAsia" w:ascii="宋体" w:hAnsi="宋体" w:eastAsia="宋体" w:cs="宋体"/>
          <w:sz w:val="21"/>
          <w:szCs w:val="21"/>
          <w:lang w:eastAsia="zh-CN"/>
        </w:rPr>
        <w:t xml:space="preserve">在</w:t>
      </w:r>
      <w:r>
        <w:rPr>
          <w:rFonts w:hint="eastAsia" w:ascii="宋体" w:hAnsi="宋体" w:eastAsia="宋体" w:cs="宋体"/>
          <w:sz w:val="21"/>
          <w:szCs w:val="21"/>
        </w:rPr>
        <w:t xml:space="preserve">医疗废物处置过程中禁止转让、买卖、</w:t>
      </w:r>
      <w:r>
        <w:rPr>
          <w:rFonts w:hint="eastAsia" w:ascii="宋体" w:hAnsi="宋体" w:eastAsia="宋体" w:cs="宋体"/>
          <w:sz w:val="21"/>
          <w:szCs w:val="21"/>
          <w:lang w:eastAsia="zh-CN"/>
        </w:rPr>
        <w:t xml:space="preserve">泄漏</w:t>
      </w:r>
      <w:r>
        <w:rPr>
          <w:rFonts w:hint="eastAsia" w:ascii="宋体" w:hAnsi="宋体" w:eastAsia="宋体" w:cs="宋体"/>
          <w:sz w:val="21"/>
          <w:szCs w:val="21"/>
        </w:rPr>
        <w:t xml:space="preserve">医疗废物，禁止在非处置地点堆放医疗废物，禁止将医疗废物混入其他废物和生活废物中。如发生医疗废物流失、</w:t>
      </w:r>
      <w:r>
        <w:rPr>
          <w:rFonts w:hint="eastAsia" w:ascii="宋体" w:hAnsi="宋体" w:eastAsia="宋体" w:cs="宋体"/>
          <w:sz w:val="21"/>
          <w:szCs w:val="21"/>
          <w:lang w:eastAsia="zh-CN"/>
        </w:rPr>
        <w:t xml:space="preserve">泄漏</w:t>
      </w:r>
      <w:r>
        <w:rPr>
          <w:rFonts w:hint="eastAsia" w:ascii="宋体" w:hAnsi="宋体" w:eastAsia="宋体" w:cs="宋体"/>
          <w:sz w:val="21"/>
          <w:szCs w:val="21"/>
        </w:rPr>
        <w:t xml:space="preserve">、扩散和意外事故时，即报告管理部门，并由供应商承担所有责任。</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 8.供应商在医疗废物处置过程中，医疗废物交接记录包含但不限于《院外医疗机构医疗废物转运到院登记本》《医疗废物废物转移联单》等，要求记录医疗废物来源、种类、重量或数量、交接时间、处置方法、最终去向、经办人签名等项目。</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9.提供医疗废物在转移过程中可能发生环境污染事件的应急预案。发生重大突发应急事件时，成交供应商应按生态环境部门和卫生部门的相关文件要求对医疗废物及时处置，否则采购人有权终止合同，并追究成交人造成的一切法律责任和经济赔偿。</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10.在服务过程中产生的人身、财产安全损失由供应商自行负责。</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11.供应商需协助采购人完成当年的危险废物年度报告，以及来年危险废物管理计划及日常系统的数据、报表等填报工作。</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12.若供应商的资质有变更，应在变更7日前以书面方式通知采购人，变更后的资质需满足承担本项目服务内容，否则采购人有权终止采购合同。</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13.响应文件递交截止之日起，供应商在近三年内无生态环境相关部门的行政处罚、责令整改、限期整改等违法行为。【供应商需提供承诺函，格式自拟，并编制于第五章响应文件格式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《供应商认为需要提供的其他证明材料》】</w:t>
      </w:r>
      <w:r/>
    </w:p>
    <w:p>
      <w:pPr>
        <w:pStyle w:val="63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三、商务要求：</w:t>
      </w:r>
      <w:r/>
    </w:p>
    <w:p>
      <w:pPr>
        <w:pStyle w:val="63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（一）医疗废弃物的结算方式：</w:t>
      </w:r>
      <w:r/>
    </w:p>
    <w:p>
      <w:pPr>
        <w:ind w:firstLine="420"/>
        <w:spacing w:line="360" w:lineRule="auto"/>
        <w:rPr>
          <w:rFonts w:hint="eastAsia" w:ascii="宋体" w:hAnsi="宋体" w:eastAsia="宋体" w:cs="宋体"/>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合同签订后每半年由乙方</w:t>
      </w:r>
      <w:r>
        <w:rPr>
          <w:rFonts w:hint="eastAsia" w:ascii="宋体" w:hAnsi="宋体" w:eastAsia="宋体" w:cs="宋体"/>
          <w:color w:val="333333"/>
          <w:sz w:val="21"/>
          <w:szCs w:val="21"/>
          <w:shd w:val="clear" w:color="auto" w:fill="ffffff"/>
          <w:lang w:eastAsia="zh-CN"/>
        </w:rPr>
        <w:t xml:space="preserve">根据实际处置的医疗废物量按</w:t>
      </w:r>
      <w:r>
        <w:rPr>
          <w:rFonts w:hint="eastAsia" w:ascii="宋体" w:hAnsi="宋体" w:eastAsia="宋体" w:cs="宋体"/>
          <w:color w:val="333333"/>
          <w:sz w:val="21"/>
          <w:szCs w:val="21"/>
          <w:u w:val="single"/>
          <w:shd w:val="clear" w:color="auto" w:fill="ffffff"/>
        </w:rPr>
        <w:t xml:space="preserve"> </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元/</w:t>
      </w:r>
      <w:r>
        <w:rPr>
          <w:rFonts w:hint="eastAsia" w:ascii="宋体" w:hAnsi="宋体" w:eastAsia="宋体" w:cs="宋体"/>
          <w:color w:val="333333"/>
          <w:sz w:val="21"/>
          <w:szCs w:val="21"/>
          <w:shd w:val="clear" w:color="auto" w:fill="ffffff"/>
          <w:lang w:val="en-US" w:eastAsia="zh-CN"/>
        </w:rPr>
        <w:t xml:space="preserve">吨</w:t>
      </w:r>
      <w:r>
        <w:rPr>
          <w:rFonts w:hint="eastAsia" w:ascii="宋体" w:hAnsi="宋体" w:eastAsia="宋体" w:cs="宋体"/>
          <w:color w:val="333333"/>
          <w:sz w:val="21"/>
          <w:szCs w:val="21"/>
          <w:shd w:val="clear" w:color="auto" w:fill="ffffff"/>
        </w:rPr>
        <w:t xml:space="preserve">开具符合税法规定的发票(税金由乙方承担)，</w:t>
      </w:r>
      <w:r>
        <w:rPr>
          <w:rFonts w:hint="eastAsia" w:ascii="宋体" w:hAnsi="宋体" w:eastAsia="宋体" w:cs="宋体"/>
          <w:color w:val="333333"/>
          <w:sz w:val="21"/>
          <w:szCs w:val="21"/>
          <w:shd w:val="clear" w:color="auto" w:fill="ffffff"/>
          <w:lang w:eastAsia="zh-CN"/>
        </w:rPr>
        <w:t xml:space="preserve">按</w:t>
      </w:r>
      <w:r>
        <w:rPr>
          <w:rFonts w:hint="eastAsia" w:ascii="宋体" w:hAnsi="宋体" w:eastAsia="宋体" w:cs="宋体"/>
          <w:color w:val="333333"/>
          <w:sz w:val="21"/>
          <w:szCs w:val="21"/>
          <w:shd w:val="clear" w:color="auto" w:fill="ffffff"/>
        </w:rPr>
        <w:t xml:space="preserve">甲方</w:t>
      </w:r>
      <w:r>
        <w:rPr>
          <w:rFonts w:hint="eastAsia" w:ascii="宋体" w:hAnsi="宋体" w:eastAsia="宋体" w:cs="宋体"/>
          <w:color w:val="333333"/>
          <w:sz w:val="21"/>
          <w:szCs w:val="21"/>
          <w:shd w:val="clear" w:color="auto" w:fill="ffffff"/>
          <w:lang w:eastAsia="zh-CN"/>
        </w:rPr>
        <w:t xml:space="preserve">资金审批流程</w:t>
      </w:r>
      <w:r>
        <w:rPr>
          <w:rFonts w:hint="eastAsia" w:ascii="宋体" w:hAnsi="宋体" w:eastAsia="宋体" w:cs="宋体"/>
          <w:color w:val="333333"/>
          <w:sz w:val="21"/>
          <w:szCs w:val="21"/>
          <w:shd w:val="clear" w:color="auto" w:fill="ffffff"/>
        </w:rPr>
        <w:t xml:space="preserve">及时结算</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将价款用转账的方式支付给乙方。</w:t>
      </w:r>
      <w:r>
        <w:rPr>
          <w:rFonts w:hint="eastAsia" w:ascii="宋体" w:hAnsi="宋体" w:eastAsia="宋体" w:cs="宋体"/>
          <w:color w:val="ff0000"/>
          <w:sz w:val="21"/>
          <w:szCs w:val="21"/>
          <w:shd w:val="clear" w:color="auto" w:fill="ffffff"/>
        </w:rPr>
        <w:t xml:space="preserve">（以上付款均无息）。</w:t>
      </w:r>
      <w:r/>
    </w:p>
    <w:p>
      <w:pPr>
        <w:ind w:firstLine="478"/>
        <w:spacing w:line="360" w:lineRule="auto"/>
        <w:rPr>
          <w:rFonts w:hint="eastAsia" w:ascii="宋体" w:hAnsi="宋体" w:eastAsia="宋体" w:cs="宋体"/>
          <w:b/>
          <w:bCs/>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 注：合同中付款方式采用预付款的，中标人如需支付预付款，中标人应向采购人出具预付款保函，中标人可以采用银行保函或保险公司保函，银行保函和保险公司保函受益人应为采购人。</w:t>
      </w:r>
      <w:r/>
    </w:p>
    <w:p>
      <w:p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中标人也可以放弃预付款，如放弃预付款的，中标人应向采购人出具放弃预付款的声明函。</w:t>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（二）服务期：合同签订生效后12个月。</w:t>
      </w:r>
      <w:r/>
    </w:p>
    <w:p>
      <w:pPr>
        <w:pStyle w:val="63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（三）服务地点：阜宁县人民医院</w:t>
      </w:r>
      <w:r/>
    </w:p>
    <w:p>
      <w:pP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四、其他说明</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1.</w:t>
      </w:r>
      <w:r>
        <w:rPr>
          <w:rFonts w:hint="eastAsia" w:ascii="宋体" w:hAnsi="宋体" w:eastAsia="宋体" w:cs="宋体"/>
          <w:bCs/>
          <w:sz w:val="21"/>
          <w:szCs w:val="21"/>
        </w:rPr>
        <w:t xml:space="preserve">供应商必须对材料的真实性负责，一旦发现造假行为，采购人将取消其报价资格，已成交的将取消其成交资格。</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2.</w:t>
      </w:r>
      <w:r>
        <w:rPr>
          <w:rFonts w:hint="eastAsia" w:ascii="宋体" w:hAnsi="宋体" w:eastAsia="宋体" w:cs="宋体"/>
          <w:bCs/>
          <w:sz w:val="21"/>
          <w:szCs w:val="21"/>
        </w:rPr>
        <w:t xml:space="preserve">本次采购过程中采购人提供的全部文件资料以及经采购人同意的项目技术要求等有关文件材料，均</w:t>
      </w:r>
      <w:r>
        <w:rPr>
          <w:rFonts w:hint="eastAsia" w:ascii="宋体" w:hAnsi="宋体" w:eastAsia="宋体" w:cs="宋体"/>
          <w:bCs/>
          <w:sz w:val="21"/>
          <w:szCs w:val="21"/>
          <w:lang w:eastAsia="zh-CN"/>
        </w:rPr>
        <w:t xml:space="preserve">为本合同的组成部分</w:t>
      </w:r>
      <w:r>
        <w:rPr>
          <w:rFonts w:hint="eastAsia" w:ascii="宋体" w:hAnsi="宋体" w:eastAsia="宋体" w:cs="宋体"/>
          <w:bCs/>
          <w:sz w:val="21"/>
          <w:szCs w:val="21"/>
        </w:rPr>
        <w:t xml:space="preserve">。</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lang w:eastAsia="zh-CN"/>
        </w:rPr>
        <w:t xml:space="preserve">3.</w:t>
      </w:r>
      <w:r>
        <w:rPr>
          <w:rFonts w:hint="eastAsia" w:ascii="宋体" w:hAnsi="宋体" w:eastAsia="宋体" w:cs="宋体"/>
          <w:bCs/>
          <w:sz w:val="21"/>
          <w:szCs w:val="21"/>
        </w:rPr>
        <w:t xml:space="preserve">成交供应商在履行合同过程中</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所发生的全部生产、生活费用均由成交供应商负责。</w:t>
      </w:r>
      <w:r/>
    </w:p>
    <w:p>
      <w:pP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4.</w:t>
      </w:r>
      <w:r>
        <w:rPr>
          <w:rFonts w:hint="eastAsia" w:ascii="宋体" w:hAnsi="宋体" w:eastAsia="宋体" w:cs="宋体"/>
          <w:b/>
          <w:sz w:val="21"/>
          <w:szCs w:val="21"/>
        </w:rPr>
        <w:t xml:space="preserve">采购人根据实际产生数量进行结算。</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五、报价要求</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报价单必须按照采购文件所提供的格式填入，采购人提供的清单中的</w:t>
      </w:r>
      <w:r>
        <w:rPr>
          <w:rFonts w:hint="eastAsia" w:ascii="宋体" w:hAnsi="宋体" w:eastAsia="宋体" w:cs="宋体"/>
          <w:bCs/>
          <w:sz w:val="21"/>
          <w:szCs w:val="21"/>
        </w:rPr>
        <w:t xml:space="preserve">序号、品名、规格配置</w:t>
      </w:r>
      <w:r>
        <w:rPr>
          <w:rFonts w:hint="eastAsia" w:ascii="宋体" w:hAnsi="宋体" w:eastAsia="宋体" w:cs="宋体"/>
          <w:sz w:val="21"/>
          <w:szCs w:val="21"/>
        </w:rPr>
        <w:t xml:space="preserve">等，供应商在投标报价时不得作任何更改变动，否则一切责任由供应商自负。</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本项目报价为固定单价，投标报价应是招标范围内全部工作内容的价格体现，报价中要求包括本次</w:t>
      </w:r>
      <w:r>
        <w:rPr>
          <w:rFonts w:hint="eastAsia" w:ascii="宋体" w:hAnsi="宋体" w:eastAsia="宋体" w:cs="宋体"/>
          <w:sz w:val="21"/>
          <w:szCs w:val="21"/>
          <w:lang w:eastAsia="zh-CN"/>
        </w:rPr>
        <w:t xml:space="preserve">阜宁县人民医院医疗废弃物处置服务单一来源采购项目（二次）</w:t>
      </w:r>
      <w:r>
        <w:rPr>
          <w:rFonts w:hint="eastAsia" w:ascii="宋体" w:hAnsi="宋体" w:eastAsia="宋体" w:cs="宋体"/>
          <w:sz w:val="21"/>
          <w:szCs w:val="21"/>
        </w:rPr>
        <w:t xml:space="preserve">的所有费用。投标单位应充分服务承包期间劳务、相应的人身安全保险、事故赔偿及所需全部费用的市场风险系数，并计入单价。除非合同中另有规定，投标人的投标报价应包括完成本服务项目工作所需的车辆配备费、上牌费、人工费（包括人员工资、保险等），转运车辆的折旧及保养、维修、油料费、车辆保险费、年检费以及在运输过程</w:t>
      </w:r>
      <w:r>
        <w:rPr>
          <w:rFonts w:hint="eastAsia" w:ascii="宋体" w:hAnsi="宋体" w:eastAsia="宋体" w:cs="宋体"/>
          <w:sz w:val="21"/>
          <w:szCs w:val="21"/>
        </w:rPr>
        <w:t xml:space="preserve">中发生的一切费用。报价中还包括车辆运输、保险、维修、租赁费用，医疗废弃物收集、运输、无害化处置，合同期间运输、人员等安全事故、纠纷、矛盾解决费用，人员的劳务、国家规定应享受的社会保险、福利待遇，利润，垃圾清运税金、耗材、劳保、利润、各种税费、招标代理费、交易服务费及政策性文件规定及合同包含的所有风险、责任等各项应有费用。投标报价为最终报价，除非因特殊原因并经甲乙双方协商同意，投标人不得再要求追加任何费用。同时，除非合同条款中另有规定，否则，投标单位所报价格在合同实施及在签订经济合同时不因市场变化因素而变动。</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b/>
          <w:sz w:val="21"/>
          <w:szCs w:val="21"/>
        </w:rPr>
        <w:t xml:space="preserve">六、政府采购政策功能落实</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小微型企业价格扣除</w:t>
      </w:r>
      <w:r/>
    </w:p>
    <w:p>
      <w:pPr>
        <w:pStyle w:val="78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（2）供应商需按照谈判文件的要求提供相应的《中小企业声明函》。</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残疾人福利单位价格扣除</w:t>
      </w:r>
      <w:r/>
    </w:p>
    <w:p>
      <w:pPr>
        <w:pStyle w:val="789"/>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（1）①本项目若不专门面向中小企业采购，对符合规定的小型和微型企业报价给予20%的扣除价格，用扣除后的价格参与评审；若专门面向中小企业采购，不再对小型和微型企业报价给予价格扣除。</w:t>
      </w:r>
      <w:r/>
    </w:p>
    <w:p>
      <w:pPr>
        <w:pStyle w:val="630"/>
        <w:ind w:left="12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（2）残疾人福利单位需按照谈判文件的要求提供《残疾人福利性单位声明函》。</w:t>
      </w:r>
      <w:r/>
    </w:p>
    <w:p>
      <w:pPr>
        <w:pStyle w:val="630"/>
        <w:ind w:left="12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监狱和戒毒企业价格扣除</w:t>
      </w:r>
      <w:r/>
    </w:p>
    <w:p>
      <w:pPr>
        <w:pStyle w:val="630"/>
        <w:spacing w:before="120" w:beforeAutospacing="0" w:after="120" w:afterAutospacing="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（1）本项目对监狱和戒毒企业（简称监狱企业）视同小型、微型企业，给予</w:t>
      </w:r>
      <w:r>
        <w:rPr>
          <w:rFonts w:hint="eastAsia" w:ascii="宋体" w:hAnsi="宋体" w:eastAsia="宋体" w:cs="宋体"/>
          <w:sz w:val="21"/>
          <w:szCs w:val="21"/>
          <w:u w:val="single"/>
        </w:rPr>
        <w:t xml:space="preserve">20%</w:t>
      </w:r>
      <w:r>
        <w:rPr>
          <w:rFonts w:hint="eastAsia" w:ascii="宋体" w:hAnsi="宋体" w:eastAsia="宋体" w:cs="宋体"/>
          <w:sz w:val="21"/>
          <w:szCs w:val="21"/>
        </w:rPr>
        <w:t xml:space="preserve">的价格扣除。</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含新疆生产建设兵团</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出具的属于监狱企业的证明文件。供应商如不提供上述证明文件，价格将不做相应扣除。</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630"/>
        <w:spacing w:before="120" w:beforeAutospacing="0" w:after="120" w:afterAutospacing="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残疾人福利单位、监狱企业属于小型、微型企业的，不重复享受政策。</w:t>
      </w:r>
      <w:r/>
    </w:p>
    <w:p>
      <w:pPr>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由国家确定的认证机构出具的、处于有效期之内的节能产品、环境标志产品认证证书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。节能产品、环境标志产品品目清单以递交响应文件截止时已正式公布的最近一期信息为准，</w:t>
      </w:r>
      <w:r>
        <w:rPr>
          <w:rFonts w:hint="eastAsia" w:ascii="宋体" w:hAnsi="宋体" w:eastAsia="宋体" w:cs="宋体"/>
          <w:b/>
          <w:i/>
          <w:sz w:val="21"/>
          <w:szCs w:val="21"/>
        </w:rPr>
        <w:t xml:space="preserve">如属政府强制采购产品未提供认证证书的或认证证书提供不全的将视为未实质性响应采购要求</w:t>
      </w:r>
      <w:r>
        <w:rPr>
          <w:rFonts w:hint="eastAsia" w:ascii="宋体" w:hAnsi="宋体" w:eastAsia="宋体" w:cs="宋体"/>
          <w:i/>
          <w:sz w:val="21"/>
          <w:szCs w:val="21"/>
        </w:rPr>
        <w:t xml:space="preserve">。</w:t>
      </w:r>
      <w:r>
        <w:rPr>
          <w:rFonts w:hint="eastAsia" w:ascii="宋体" w:hAnsi="宋体" w:eastAsia="宋体" w:cs="宋体"/>
          <w:sz w:val="21"/>
          <w:szCs w:val="21"/>
        </w:rPr>
        <w:t xml:space="preserve">其他条件相同情况下，应当优先采购节能产品、环境标志产品。</w:t>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63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七、采购标的对应的中小企业划分标准所属行业一览表</w:t>
      </w:r>
      <w:r/>
    </w:p>
    <w:tbl>
      <w:tblPr>
        <w:tblStyle w:val="611"/>
        <w:tblW w:w="84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6"/>
        <w:gridCol w:w="3420"/>
        <w:gridCol w:w="398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3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3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采购标的</w:t>
            </w:r>
            <w:r/>
          </w:p>
        </w:tc>
        <w:tc>
          <w:tcPr>
            <w:tcBorders>
              <w:top w:val="single" w:color="000000" w:sz="4" w:space="0"/>
              <w:left w:val="single" w:color="000000" w:sz="4" w:space="0"/>
              <w:bottom w:val="single" w:color="000000" w:sz="4" w:space="0"/>
              <w:right w:val="single" w:color="000000" w:sz="4" w:space="0"/>
            </w:tcBorders>
            <w:tcW w:w="3986" w:type="dxa"/>
            <w:vAlign w:val="center"/>
            <w:textDirection w:val="lrTb"/>
            <w:noWrap w:val="false"/>
          </w:tcPr>
          <w:p>
            <w:pPr>
              <w:pStyle w:val="63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63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63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医疗废弃物处置服务</w:t>
            </w:r>
            <w:r/>
          </w:p>
        </w:tc>
        <w:tc>
          <w:tcPr>
            <w:tcBorders>
              <w:top w:val="single" w:color="000000" w:sz="4" w:space="0"/>
              <w:left w:val="single" w:color="000000" w:sz="4" w:space="0"/>
              <w:bottom w:val="single" w:color="000000" w:sz="4" w:space="0"/>
              <w:right w:val="single" w:color="000000" w:sz="4" w:space="0"/>
            </w:tcBorders>
            <w:tcW w:w="3986" w:type="dxa"/>
            <w:vAlign w:val="center"/>
            <w:textDirection w:val="lrTb"/>
            <w:noWrap w:val="false"/>
          </w:tcPr>
          <w:p>
            <w:pPr>
              <w:pStyle w:val="630"/>
              <w:jc w:val="center"/>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其他未列明行业</w:t>
            </w:r>
            <w:r/>
          </w:p>
        </w:tc>
      </w:tr>
    </w:tbl>
    <w:p>
      <w:pPr>
        <w:pStyle w:val="63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630"/>
        <w:jc w:val="both"/>
        <w:spacing w:beforeAutospacing="0" w:afterAutospacing="0" w:line="0" w:lineRule="atLeast"/>
      </w:pPr>
      <w:r>
        <w:t xml:space="preserve"> </w:t>
      </w:r>
      <w:r/>
    </w:p>
    <w:p>
      <w:pPr>
        <w:pStyle w:val="630"/>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63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30"/>
        <w:ind w:firstLine="602"/>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tabs>
          <w:tab w:val="left" w:pos="6205" w:leader="none"/>
        </w:tabs>
      </w:pPr>
      <w:r>
        <w:t xml:space="preserve"> </w:t>
      </w:r>
      <w:r/>
    </w:p>
    <w:p>
      <w:pPr>
        <w:pStyle w:val="630"/>
        <w:jc w:val="both"/>
        <w:spacing w:beforeAutospacing="0" w:afterAutospacing="0"/>
        <w:tabs>
          <w:tab w:val="left" w:pos="6205" w:leader="none"/>
        </w:tabs>
      </w:pPr>
      <w:r>
        <w:t xml:space="preserve"> </w:t>
      </w:r>
      <w:r/>
    </w:p>
    <w:p>
      <w:pPr>
        <w:pStyle w:val="630"/>
        <w:jc w:val="both"/>
        <w:spacing w:beforeAutospacing="0" w:afterAutospacing="0"/>
      </w:pPr>
      <w:r/>
      <w:bookmarkStart w:id="157" w:name="_Toc120614281"/>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rPr>
          <w:rFonts w:hint="eastAsia" w:ascii="黑体" w:hAnsi="宋体" w:eastAsia="黑体" w:cs="黑体"/>
          <w:sz w:val="44"/>
          <w:szCs w:val="44"/>
        </w:rPr>
      </w:pPr>
      <w:r>
        <w:rPr>
          <w:rFonts w:hint="eastAsia" w:ascii="黑体" w:hAnsi="宋体" w:eastAsia="黑体" w:cs="黑体"/>
          <w:sz w:val="44"/>
          <w:szCs w:val="44"/>
        </w:rPr>
      </w:r>
      <w:r/>
    </w:p>
    <w:p>
      <w:pPr>
        <w:pStyle w:val="630"/>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30"/>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30"/>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30"/>
        <w:jc w:val="center"/>
        <w:keepNext/>
        <w:spacing w:beforeAutospacing="0" w:afterAutospacing="0"/>
      </w:pPr>
      <w:r>
        <w:rPr>
          <w:rFonts w:hint="eastAsia" w:ascii="黑体" w:hAnsi="宋体" w:eastAsia="黑体" w:cs="黑体"/>
          <w:sz w:val="44"/>
          <w:szCs w:val="44"/>
        </w:rPr>
        <w:t xml:space="preserve">第五章  响应文件格式 </w:t>
      </w:r>
      <w:r/>
    </w:p>
    <w:p>
      <w:pPr>
        <w:pStyle w:val="630"/>
        <w:jc w:val="center"/>
        <w:spacing w:beforeAutospacing="0" w:afterAutospacing="0"/>
        <w:rPr>
          <w:rFonts w:hint="eastAsia" w:ascii="宋体" w:hAnsi="宋体" w:eastAsia="宋体" w:cs="宋体"/>
          <w:b/>
          <w:sz w:val="72"/>
          <w:szCs w:val="72"/>
        </w:rPr>
      </w:pPr>
      <w:r/>
      <w:bookmarkStart w:id="158" w:name="_Toc49090576"/>
      <w:r/>
      <w:bookmarkEnd w:id="158"/>
      <w:r/>
      <w:bookmarkStart w:id="159" w:name="_Toc120614282"/>
      <w:r/>
      <w:bookmarkEnd w:id="159"/>
      <w:r/>
      <w:bookmarkStart w:id="160" w:name="_Hlt26955039"/>
      <w:r/>
      <w:bookmarkStart w:id="161" w:name="_Toc26554094"/>
      <w:r/>
      <w:bookmarkStart w:id="162" w:name="_Hlt26671244"/>
      <w:r/>
      <w:r/>
    </w:p>
    <w:p>
      <w:pPr>
        <w:pStyle w:val="630"/>
        <w:jc w:val="center"/>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30"/>
        <w:jc w:val="center"/>
        <w:spacing w:beforeAutospacing="0" w:afterAutospacing="0"/>
      </w:pPr>
      <w:r>
        <w:rPr>
          <w:rFonts w:hint="eastAsia" w:ascii="宋体" w:hAnsi="宋体" w:eastAsia="宋体" w:cs="宋体"/>
          <w:b/>
          <w:sz w:val="72"/>
          <w:szCs w:val="72"/>
        </w:rPr>
        <w:t xml:space="preserve">响  应  文  件</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630"/>
        <w:ind w:firstLine="1084"/>
        <w:jc w:val="both"/>
        <w:spacing w:beforeAutospacing="0" w:afterAutospacing="0"/>
      </w:pPr>
      <w:r>
        <w:rPr>
          <w:rFonts w:hint="eastAsia" w:ascii="宋体" w:hAnsi="宋体" w:eastAsia="宋体" w:cs="宋体"/>
          <w:b/>
          <w:sz w:val="36"/>
          <w:szCs w:val="36"/>
        </w:rPr>
        <w:t xml:space="preserve">采 购 编 号：</w:t>
      </w:r>
      <w:r>
        <w:rPr>
          <w:rFonts w:hint="eastAsia" w:ascii="宋体" w:hAnsi="宋体" w:eastAsia="宋体" w:cs="宋体"/>
          <w:b/>
          <w:sz w:val="36"/>
          <w:szCs w:val="36"/>
          <w:u w:val="single"/>
        </w:rPr>
        <w:t xml:space="preserve">            </w:t>
      </w:r>
      <w:r/>
    </w:p>
    <w:p>
      <w:pPr>
        <w:pStyle w:val="630"/>
        <w:jc w:val="both"/>
        <w:spacing w:beforeAutospacing="0" w:afterAutospacing="0"/>
      </w:pPr>
      <w:r>
        <w:rPr>
          <w:rFonts w:hint="eastAsia" w:ascii="宋体" w:hAnsi="宋体" w:eastAsia="宋体" w:cs="宋体"/>
          <w:b/>
          <w:sz w:val="36"/>
          <w:szCs w:val="36"/>
        </w:rPr>
        <w:t xml:space="preserve">   供应商名称 ：</w:t>
      </w:r>
      <w:r>
        <w:rPr>
          <w:rFonts w:hint="eastAsia" w:ascii="宋体" w:hAnsi="宋体" w:eastAsia="宋体" w:cs="宋体"/>
          <w:b/>
          <w:sz w:val="36"/>
          <w:szCs w:val="36"/>
          <w:u w:val="single"/>
        </w:rPr>
        <w:t xml:space="preserve">（加盖CA电子公章）</w:t>
      </w:r>
      <w:r/>
    </w:p>
    <w:p>
      <w:pPr>
        <w:pStyle w:val="630"/>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630"/>
        <w:jc w:val="center"/>
        <w:spacing w:beforeAutospacing="0" w:afterAutospacing="0" w:line="0" w:lineRule="atLeast"/>
      </w:pPr>
      <w:r>
        <w:t xml:space="preserve"> </w:t>
      </w:r>
      <w:r/>
    </w:p>
    <w:p>
      <w:pPr>
        <w:pStyle w:val="630"/>
        <w:jc w:val="both"/>
        <w:spacing w:beforeAutospacing="0" w:afterAutospacing="0" w:line="0" w:lineRule="atLeast"/>
      </w:pPr>
      <w:r>
        <w:t xml:space="preserve"> </w:t>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30"/>
        <w:jc w:val="center"/>
        <w:spacing w:beforeAutospacing="0" w:afterAutospacing="0" w:line="0" w:lineRule="atLeast"/>
      </w:pPr>
      <w:r>
        <w:rPr>
          <w:rFonts w:hint="eastAsia" w:ascii="宋体" w:hAnsi="宋体" w:eastAsia="宋体" w:cs="宋体"/>
          <w:b/>
          <w:sz w:val="32"/>
          <w:szCs w:val="32"/>
        </w:rPr>
        <w:t xml:space="preserve">响应文件目录</w:t>
      </w:r>
      <w:r/>
    </w:p>
    <w:p>
      <w:pPr>
        <w:pStyle w:val="630"/>
        <w:jc w:val="center"/>
        <w:spacing w:beforeAutospacing="0" w:afterAutospacing="0" w:line="0" w:lineRule="atLeast"/>
      </w:pPr>
      <w:r>
        <w:t xml:space="preserve"> </w:t>
      </w:r>
      <w:r/>
    </w:p>
    <w:p>
      <w:pPr>
        <w:pStyle w:val="630"/>
        <w:ind w:left="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b/>
          <w:bCs/>
          <w:i/>
          <w:iCs w:val="0"/>
          <w:sz w:val="21"/>
          <w:szCs w:val="21"/>
          <w:u w:val="single"/>
        </w:rPr>
      </w:pPr>
      <w:r>
        <w:rPr>
          <w:rFonts w:hint="eastAsia" w:ascii="宋体" w:hAnsi="宋体" w:eastAsia="宋体" w:cs="宋体"/>
          <w:b/>
          <w:bCs/>
          <w:i/>
          <w:iCs w:val="0"/>
          <w:sz w:val="21"/>
          <w:szCs w:val="21"/>
          <w:u w:val="single"/>
        </w:rPr>
        <w:t xml:space="preserve">二、上一年度（202</w:t>
      </w:r>
      <w:r>
        <w:rPr>
          <w:rFonts w:hint="eastAsia" w:ascii="宋体" w:hAnsi="宋体" w:eastAsia="宋体" w:cs="宋体"/>
          <w:b/>
          <w:bCs/>
          <w:i/>
          <w:iCs w:val="0"/>
          <w:sz w:val="21"/>
          <w:szCs w:val="21"/>
          <w:u w:val="single"/>
          <w:lang w:val="en-US" w:eastAsia="zh-CN"/>
        </w:rPr>
        <w:t xml:space="preserve">5</w:t>
      </w:r>
      <w:r>
        <w:rPr>
          <w:rFonts w:hint="eastAsia" w:ascii="宋体" w:hAnsi="宋体" w:eastAsia="宋体" w:cs="宋体"/>
          <w:b/>
          <w:bCs/>
          <w:i/>
          <w:iCs w:val="0"/>
          <w:sz w:val="21"/>
          <w:szCs w:val="21"/>
          <w:u w:val="single"/>
        </w:rPr>
        <w:t xml:space="preserve">年度）的财务状况报告（财务状况报告至少提供资产负债表、利润表；供应商成立不满一年无需提供）；</w:t>
      </w:r>
      <w:r/>
    </w:p>
    <w:p>
      <w:pPr>
        <w:ind w:firstLine="480"/>
        <w:jc w:val="left"/>
        <w:spacing w:line="360" w:lineRule="auto"/>
        <w:tabs>
          <w:tab w:val="left" w:pos="1331" w:leader="none"/>
        </w:tabs>
        <w:rPr>
          <w:rFonts w:hint="eastAsia" w:ascii="宋体" w:hAnsi="宋体" w:eastAsia="宋体" w:cs="宋体"/>
          <w:b/>
          <w:bCs/>
          <w:i/>
          <w:iCs w:val="0"/>
          <w:sz w:val="21"/>
          <w:szCs w:val="21"/>
          <w:u w:val="single"/>
        </w:rPr>
      </w:pPr>
      <w:r>
        <w:rPr>
          <w:rFonts w:hint="eastAsia" w:ascii="宋体" w:hAnsi="宋体" w:eastAsia="宋体" w:cs="宋体"/>
          <w:b/>
          <w:bCs/>
          <w:i/>
          <w:iCs w:val="0"/>
          <w:sz w:val="21"/>
          <w:szCs w:val="21"/>
          <w:u w:val="single"/>
        </w:rPr>
        <w:t xml:space="preserve">三、具备履行合同所必需的设备和专业技术能力的书面声明</w:t>
      </w:r>
      <w:r/>
    </w:p>
    <w:p>
      <w:pPr>
        <w:pStyle w:val="630"/>
        <w:ind w:firstLine="422"/>
        <w:jc w:val="both"/>
        <w:spacing w:beforeAutospacing="0" w:afterAutospacing="0" w:line="360" w:lineRule="auto"/>
        <w:rPr>
          <w:rFonts w:hint="eastAsia" w:ascii="宋体" w:hAnsi="宋体" w:eastAsia="宋体" w:cs="宋体"/>
          <w:b/>
          <w:bCs/>
          <w:i/>
          <w:iCs w:val="0"/>
          <w:sz w:val="21"/>
          <w:szCs w:val="21"/>
          <w:u w:val="single"/>
        </w:rPr>
      </w:pPr>
      <w:r>
        <w:rPr>
          <w:rFonts w:hint="eastAsia" w:ascii="宋体" w:hAnsi="宋体" w:eastAsia="宋体" w:cs="宋体"/>
          <w:b/>
          <w:bCs/>
          <w:i/>
          <w:iCs w:val="0"/>
          <w:sz w:val="21"/>
          <w:szCs w:val="21"/>
          <w:u w:val="single"/>
        </w:rPr>
        <w:t xml:space="preserve">四、依法缴纳税收和社会保障资金的相关材料</w:t>
      </w:r>
      <w:r>
        <w:rPr>
          <w:rFonts w:hint="eastAsia" w:ascii="宋体" w:hAnsi="宋体" w:eastAsia="宋体" w:cs="宋体"/>
          <w:b/>
          <w:bCs/>
          <w:i/>
          <w:iCs w:val="0"/>
          <w:color w:val="000000"/>
          <w:sz w:val="21"/>
          <w:szCs w:val="21"/>
          <w:u w:val="single"/>
        </w:rPr>
        <w:t xml:space="preserve">（提供提交响应文件截止时间前一年内至少一个月依法缴纳税收及缴纳社会保障资金的证明材料。谈判供应商依法享受缓缴、免缴税收、社会保障资金的提供证明材料。）</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五、参加政府采购活动前 3 年内在经营活动中没有重大违法记录的书面声明</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六、特定资格要求的证明文件</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七、法人授权书</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八、单一来源响应函</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九、中小企业声明函</w:t>
      </w:r>
      <w:r/>
    </w:p>
    <w:p>
      <w:pPr>
        <w:pStyle w:val="630"/>
        <w:ind w:firstLine="480"/>
        <w:jc w:val="both"/>
        <w:spacing w:beforeAutospacing="0" w:afterAutospacing="0" w:line="360" w:lineRule="auto"/>
        <w:rPr>
          <w:rFonts w:hint="eastAsia" w:ascii="宋体" w:hAnsi="宋体" w:eastAsia="宋体" w:cs="宋体"/>
          <w:b/>
          <w:bCs/>
          <w:i/>
          <w:iCs w:val="0"/>
          <w:sz w:val="21"/>
          <w:szCs w:val="21"/>
          <w:u w:val="single"/>
        </w:rPr>
      </w:pPr>
      <w:r>
        <w:rPr>
          <w:rFonts w:hint="eastAsia" w:ascii="宋体" w:hAnsi="宋体" w:eastAsia="宋体" w:cs="宋体"/>
          <w:b/>
          <w:bCs/>
          <w:i/>
          <w:iCs w:val="0"/>
          <w:sz w:val="21"/>
          <w:szCs w:val="21"/>
          <w:u w:val="single"/>
        </w:rPr>
        <w:t xml:space="preserve">十、残疾人福利性单位声明函</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十</w:t>
      </w:r>
      <w:r>
        <w:rPr>
          <w:rFonts w:hint="eastAsia" w:ascii="宋体" w:hAnsi="宋体" w:eastAsia="宋体" w:cs="宋体"/>
          <w:b/>
          <w:bCs/>
          <w:i/>
          <w:iCs w:val="0"/>
          <w:sz w:val="21"/>
          <w:szCs w:val="21"/>
          <w:u w:val="single"/>
          <w:lang w:val="en-US" w:eastAsia="zh-CN"/>
        </w:rPr>
        <w:t xml:space="preserve">一</w:t>
      </w:r>
      <w:r>
        <w:rPr>
          <w:rFonts w:hint="eastAsia" w:ascii="宋体" w:hAnsi="宋体" w:eastAsia="宋体" w:cs="宋体"/>
          <w:b/>
          <w:bCs/>
          <w:i/>
          <w:iCs w:val="0"/>
          <w:sz w:val="21"/>
          <w:szCs w:val="21"/>
          <w:u w:val="single"/>
        </w:rPr>
        <w:t xml:space="preserve">、技术要求响应及偏离表</w:t>
      </w:r>
      <w:r/>
    </w:p>
    <w:p>
      <w:pPr>
        <w:pStyle w:val="630"/>
        <w:ind w:firstLine="480"/>
        <w:jc w:val="both"/>
        <w:spacing w:beforeAutospacing="0" w:afterAutospacing="0" w:line="360" w:lineRule="auto"/>
        <w:rPr>
          <w:b/>
          <w:bCs/>
          <w:i/>
          <w:iCs w:val="0"/>
          <w:sz w:val="21"/>
          <w:szCs w:val="21"/>
          <w:u w:val="single"/>
        </w:rPr>
      </w:pPr>
      <w:r>
        <w:rPr>
          <w:rFonts w:hint="eastAsia" w:ascii="宋体" w:hAnsi="宋体" w:eastAsia="宋体" w:cs="宋体"/>
          <w:b/>
          <w:bCs/>
          <w:i/>
          <w:iCs w:val="0"/>
          <w:sz w:val="21"/>
          <w:szCs w:val="21"/>
          <w:u w:val="single"/>
        </w:rPr>
        <w:t xml:space="preserve">十</w:t>
      </w:r>
      <w:r>
        <w:rPr>
          <w:rFonts w:hint="eastAsia" w:ascii="宋体" w:hAnsi="宋体" w:eastAsia="宋体" w:cs="宋体"/>
          <w:b/>
          <w:bCs/>
          <w:i/>
          <w:iCs w:val="0"/>
          <w:sz w:val="21"/>
          <w:szCs w:val="21"/>
          <w:u w:val="single"/>
          <w:lang w:val="en-US" w:eastAsia="zh-CN"/>
        </w:rPr>
        <w:t xml:space="preserve">二</w:t>
      </w:r>
      <w:r>
        <w:rPr>
          <w:rFonts w:hint="eastAsia" w:ascii="宋体" w:hAnsi="宋体" w:eastAsia="宋体" w:cs="宋体"/>
          <w:b/>
          <w:bCs/>
          <w:i/>
          <w:iCs w:val="0"/>
          <w:sz w:val="21"/>
          <w:szCs w:val="21"/>
          <w:u w:val="single"/>
        </w:rPr>
        <w:t xml:space="preserve">、商务要求响应及偏离表</w:t>
      </w:r>
      <w:r/>
    </w:p>
    <w:p>
      <w:pPr>
        <w:pStyle w:val="630"/>
        <w:ind w:firstLine="480"/>
        <w:jc w:val="both"/>
        <w:spacing w:beforeAutospacing="0" w:afterAutospacing="0" w:line="360" w:lineRule="auto"/>
        <w:rPr>
          <w:rFonts w:hint="eastAsia" w:ascii="宋体" w:hAnsi="宋体" w:eastAsia="宋体" w:cs="宋体"/>
          <w:b/>
          <w:bCs/>
          <w:i/>
          <w:iCs w:val="0"/>
          <w:sz w:val="21"/>
          <w:szCs w:val="21"/>
          <w:u w:val="single"/>
        </w:rPr>
      </w:pPr>
      <w:r>
        <w:rPr>
          <w:rFonts w:hint="eastAsia" w:ascii="宋体" w:hAnsi="宋体" w:eastAsia="宋体" w:cs="宋体"/>
          <w:b/>
          <w:bCs/>
          <w:i/>
          <w:iCs w:val="0"/>
          <w:sz w:val="21"/>
          <w:szCs w:val="21"/>
          <w:u w:val="single"/>
        </w:rPr>
        <w:t xml:space="preserve">十</w:t>
      </w:r>
      <w:r>
        <w:rPr>
          <w:rFonts w:hint="eastAsia" w:ascii="宋体" w:hAnsi="宋体" w:eastAsia="宋体" w:cs="宋体"/>
          <w:b/>
          <w:bCs/>
          <w:i/>
          <w:iCs w:val="0"/>
          <w:sz w:val="21"/>
          <w:szCs w:val="21"/>
          <w:u w:val="single"/>
          <w:lang w:val="en-US" w:eastAsia="zh-CN"/>
        </w:rPr>
        <w:t xml:space="preserve">三</w:t>
      </w:r>
      <w:r>
        <w:rPr>
          <w:rFonts w:hint="eastAsia" w:ascii="宋体" w:hAnsi="宋体" w:eastAsia="宋体" w:cs="宋体"/>
          <w:b/>
          <w:bCs/>
          <w:i/>
          <w:iCs w:val="0"/>
          <w:sz w:val="21"/>
          <w:szCs w:val="21"/>
          <w:u w:val="single"/>
        </w:rPr>
        <w:t xml:space="preserve">、开标一览表（分项报价表）</w:t>
      </w:r>
      <w:r/>
    </w:p>
    <w:p>
      <w:pPr>
        <w:ind w:firstLine="480"/>
        <w:spacing w:before="50" w:after="50" w:line="360" w:lineRule="auto"/>
        <w:widowControl/>
        <w:rPr>
          <w:rFonts w:hint="eastAsia" w:ascii="宋体" w:hAnsi="宋体" w:eastAsia="宋体" w:cs="宋体"/>
          <w:iCs/>
          <w:sz w:val="21"/>
          <w:szCs w:val="21"/>
        </w:rPr>
      </w:pPr>
      <w:r>
        <w:rPr>
          <w:rFonts w:hint="eastAsia" w:ascii="宋体" w:hAnsi="宋体" w:eastAsia="宋体" w:cs="宋体"/>
          <w:b/>
          <w:bCs/>
          <w:i/>
          <w:iCs w:val="0"/>
          <w:sz w:val="21"/>
          <w:szCs w:val="21"/>
          <w:u w:val="single"/>
        </w:rPr>
        <w:t xml:space="preserve">十</w:t>
      </w:r>
      <w:r>
        <w:rPr>
          <w:rFonts w:hint="eastAsia" w:ascii="宋体" w:hAnsi="宋体" w:eastAsia="宋体" w:cs="宋体"/>
          <w:b/>
          <w:bCs/>
          <w:i/>
          <w:iCs w:val="0"/>
          <w:sz w:val="21"/>
          <w:szCs w:val="21"/>
          <w:u w:val="single"/>
          <w:lang w:val="en-US" w:eastAsia="zh-CN"/>
        </w:rPr>
        <w:t xml:space="preserve">四</w:t>
      </w:r>
      <w:r>
        <w:rPr>
          <w:rFonts w:hint="eastAsia" w:ascii="宋体" w:hAnsi="宋体" w:eastAsia="宋体" w:cs="宋体"/>
          <w:b/>
          <w:bCs/>
          <w:i/>
          <w:iCs w:val="0"/>
          <w:sz w:val="21"/>
          <w:szCs w:val="21"/>
          <w:u w:val="single"/>
        </w:rPr>
        <w:t xml:space="preserve">、盐城市政府采购事前信用承诺书</w:t>
      </w:r>
      <w:r/>
    </w:p>
    <w:p>
      <w:pPr>
        <w:pStyle w:val="630"/>
        <w:ind w:left="480"/>
        <w:jc w:val="both"/>
        <w:spacing w:beforeAutospacing="0" w:afterAutospacing="0" w:line="360" w:lineRule="auto"/>
        <w:rPr>
          <w:rFonts w:hint="eastAsia" w:ascii="宋体" w:hAnsi="宋体" w:eastAsia="宋体" w:cs="宋体"/>
          <w:b/>
          <w:bCs/>
          <w:i/>
          <w:iCs w:val="0"/>
          <w:sz w:val="21"/>
          <w:szCs w:val="21"/>
          <w:u w:val="single"/>
        </w:rPr>
      </w:pPr>
      <w:r>
        <w:rPr>
          <w:rFonts w:hint="eastAsia" w:ascii="宋体" w:hAnsi="宋体" w:eastAsia="宋体" w:cs="宋体"/>
          <w:b/>
          <w:bCs/>
          <w:i/>
          <w:iCs w:val="0"/>
          <w:sz w:val="21"/>
          <w:szCs w:val="21"/>
          <w:u w:val="single"/>
        </w:rPr>
      </w:r>
      <w:r/>
    </w:p>
    <w:p>
      <w:pPr>
        <w:pStyle w:val="630"/>
        <w:ind w:firstLine="480"/>
        <w:jc w:val="both"/>
        <w:spacing w:beforeAutospacing="0" w:afterAutospacing="0" w:line="0" w:lineRule="atLeast"/>
        <w:rPr>
          <w:rFonts w:hint="eastAsia" w:ascii="宋体" w:hAnsi="宋体" w:eastAsia="宋体" w:cs="宋体"/>
          <w:iCs/>
        </w:rPr>
      </w:pPr>
      <w:r>
        <w:rPr>
          <w:rFonts w:hint="eastAsia" w:ascii="宋体" w:hAnsi="宋体" w:eastAsia="宋体" w:cs="宋体"/>
          <w:iCs/>
        </w:rPr>
      </w:r>
      <w:r/>
    </w:p>
    <w:p>
      <w:pPr>
        <w:pStyle w:val="630"/>
        <w:ind w:firstLine="480"/>
        <w:jc w:val="both"/>
        <w:spacing w:beforeAutospacing="0" w:afterAutospacing="0" w:line="360" w:lineRule="auto"/>
        <w:rPr>
          <w:rFonts w:hint="eastAsia" w:ascii="宋体" w:hAnsi="宋体" w:eastAsia="宋体" w:cs="宋体"/>
        </w:rPr>
      </w:pPr>
      <w:r>
        <w:t xml:space="preserve"> </w:t>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t xml:space="preserve"> </w:t>
      </w:r>
      <w:r/>
    </w:p>
    <w:p>
      <w:pPr>
        <w:pStyle w:val="630"/>
        <w:ind w:firstLine="480"/>
        <w:jc w:val="both"/>
        <w:spacing w:beforeAutospacing="0" w:afterAutospacing="0" w:line="0" w:lineRule="atLeast"/>
      </w:pPr>
      <w:r>
        <w:t xml:space="preserve"> </w:t>
      </w:r>
      <w:r/>
    </w:p>
    <w:p>
      <w:pPr>
        <w:pStyle w:val="630"/>
        <w:ind w:firstLine="480"/>
        <w:jc w:val="both"/>
        <w:spacing w:beforeAutospacing="0" w:afterAutospacing="0" w:line="0" w:lineRule="atLeast"/>
      </w:pPr>
      <w:r>
        <w:t xml:space="preserve"> </w:t>
      </w:r>
      <w:r/>
    </w:p>
    <w:p>
      <w:pPr>
        <w:pStyle w:val="630"/>
        <w:ind w:firstLine="480"/>
        <w:jc w:val="both"/>
        <w:spacing w:beforeAutospacing="0" w:afterAutospacing="0" w:line="0" w:lineRule="atLeast"/>
      </w:pPr>
      <w:r>
        <w:t xml:space="preserve"> </w:t>
      </w:r>
      <w:r/>
    </w:p>
    <w:p>
      <w:pPr>
        <w:pStyle w:val="630"/>
        <w:ind w:firstLine="480"/>
        <w:jc w:val="both"/>
        <w:spacing w:beforeAutospacing="0" w:afterAutospacing="0" w:line="0" w:lineRule="atLeast"/>
      </w:pPr>
      <w:r>
        <w:t xml:space="preserve"> </w:t>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ind w:firstLine="480"/>
        <w:jc w:val="both"/>
        <w:spacing w:beforeAutospacing="0" w:afterAutospacing="0" w:line="0" w:lineRule="atLeast"/>
      </w:pPr>
      <w:r/>
      <w:r/>
    </w:p>
    <w:p>
      <w:pPr>
        <w:pStyle w:val="630"/>
        <w:jc w:val="both"/>
        <w:spacing w:beforeAutospacing="0" w:afterAutospacing="0" w:line="0" w:lineRule="atLeast"/>
      </w:pPr>
      <w:r/>
      <w:r/>
    </w:p>
    <w:p>
      <w:pPr>
        <w:pStyle w:val="630"/>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30"/>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30"/>
        <w:ind w:firstLine="480"/>
        <w:jc w:val="both"/>
        <w:spacing w:beforeAutospacing="0" w:afterAutospacing="0" w:line="0" w:lineRule="atLeast"/>
      </w:pPr>
      <w:r>
        <w:t xml:space="preserve"> </w:t>
      </w:r>
      <w:r/>
    </w:p>
    <w:p>
      <w:pPr>
        <w:pStyle w:val="630"/>
        <w:jc w:val="both"/>
        <w:spacing w:beforeAutospacing="0" w:afterAutospacing="0"/>
        <w:rPr>
          <w:rFonts w:eastAsia="黑体"/>
        </w:rPr>
      </w:pPr>
      <w:r>
        <w:rPr>
          <w:rFonts w:hint="eastAsia" w:ascii="黑体" w:hAnsi="宋体" w:eastAsia="黑体" w:cs="黑体"/>
          <w:i/>
          <w:sz w:val="32"/>
          <w:szCs w:val="32"/>
          <w:u w:val="single"/>
        </w:rPr>
        <w:t xml:space="preserve">二、上一年度（202</w:t>
      </w:r>
      <w:r>
        <w:rPr>
          <w:rFonts w:hint="eastAsia" w:ascii="黑体" w:hAnsi="宋体" w:eastAsia="黑体" w:cs="黑体"/>
          <w:i/>
          <w:sz w:val="32"/>
          <w:szCs w:val="32"/>
          <w:u w:val="single"/>
          <w:lang w:val="en-US" w:eastAsia="zh-CN"/>
        </w:rPr>
        <w:t xml:space="preserve">5</w:t>
      </w:r>
      <w:r>
        <w:rPr>
          <w:rFonts w:hint="eastAsia" w:ascii="黑体" w:hAnsi="宋体" w:eastAsia="黑体" w:cs="黑体"/>
          <w:i/>
          <w:sz w:val="32"/>
          <w:szCs w:val="32"/>
          <w:u w:val="single"/>
        </w:rPr>
        <w:t xml:space="preserve">年度）的财务状况报告</w:t>
      </w:r>
      <w:r/>
    </w:p>
    <w:p>
      <w:pPr>
        <w:ind w:firstLine="48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（财务状况报告至少提供资产负债表、利润表、现金流量表，供应商成立不满一年无需提供）</w:t>
      </w:r>
      <w:r/>
    </w:p>
    <w:p>
      <w:pPr>
        <w:pStyle w:val="630"/>
        <w:jc w:val="both"/>
        <w:spacing w:beforeAutospacing="0" w:afterAutospacing="0"/>
      </w:pPr>
      <w:r>
        <w:t xml:space="preserve"> </w:t>
      </w:r>
      <w:r/>
    </w:p>
    <w:p>
      <w:pPr>
        <w:pStyle w:val="630"/>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30"/>
        <w:ind w:firstLine="492"/>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30"/>
        <w:ind w:firstLine="492"/>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30"/>
        <w:ind w:firstLine="49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30"/>
        <w:ind w:right="180" w:firstLine="360"/>
        <w:jc w:val="right"/>
        <w:spacing w:beforeAutospacing="0" w:afterAutospacing="0" w:line="0" w:lineRule="atLeast"/>
      </w:pPr>
      <w:r>
        <w:rPr>
          <w:rFonts w:hint="eastAsia"/>
        </w:rPr>
        <w:t xml:space="preserve">企业名称（加盖CA电子公章）：</w:t>
      </w:r>
      <w:r/>
    </w:p>
    <w:p>
      <w:pPr>
        <w:pStyle w:val="630"/>
        <w:ind w:right="480" w:firstLine="5400"/>
        <w:jc w:val="both"/>
        <w:spacing w:beforeAutospacing="0" w:afterAutospacing="0" w:line="0" w:lineRule="atLeast"/>
      </w:pPr>
      <w:r>
        <w:rPr>
          <w:rFonts w:hint="eastAsia"/>
        </w:rPr>
        <w:t xml:space="preserve">日  期：</w:t>
      </w:r>
      <w:r/>
    </w:p>
    <w:p>
      <w:pPr>
        <w:pStyle w:val="630"/>
        <w:jc w:val="both"/>
        <w:spacing w:beforeAutospacing="0" w:afterAutospacing="0" w:line="0" w:lineRule="atLeast"/>
      </w:pPr>
      <w:r>
        <w:rPr>
          <w:rFonts w:hint="eastAsia" w:ascii="黑体" w:hAnsi="宋体" w:eastAsia="黑体" w:cs="黑体"/>
          <w:i/>
          <w:sz w:val="32"/>
          <w:szCs w:val="32"/>
          <w:u w:val="single"/>
        </w:rPr>
        <w:t xml:space="preserve">四、依法缴纳税收和社会保障资金的相关材料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（提供提交响应文件截止时间前一年内至少一个月依法缴纳税收及缴纳社会保障资金的证明材料。供应商依法享受缓缴、免缴税收、社会保障资金的提供证明材料。）；</w:t>
      </w:r>
      <w:r/>
    </w:p>
    <w:p>
      <w:pPr>
        <w:pStyle w:val="630"/>
        <w:ind w:firstLine="480"/>
        <w:jc w:val="both"/>
        <w:spacing w:beforeAutospacing="0" w:afterAutospacing="0"/>
      </w:pPr>
      <w:r/>
      <w:r/>
    </w:p>
    <w:p>
      <w:pPr>
        <w:pStyle w:val="630"/>
        <w:jc w:val="both"/>
        <w:spacing w:beforeAutospacing="0" w:afterAutospacing="0"/>
      </w:pPr>
      <w:r>
        <w:rPr>
          <w:rFonts w:hint="eastAsia" w:ascii="宋体" w:hAnsi="宋体" w:eastAsia="宋体" w:cs="宋体"/>
        </w:rPr>
        <w:t xml:space="preserve"> </w:t>
      </w:r>
      <w:r/>
    </w:p>
    <w:p>
      <w:pPr>
        <w:pStyle w:val="630"/>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30"/>
        <w:jc w:val="center"/>
        <w:spacing w:beforeAutospacing="0" w:afterAutospacing="0" w:line="0" w:lineRule="atLeast"/>
      </w:pPr>
      <w:r>
        <w:rPr>
          <w:rFonts w:hint="eastAsia" w:ascii="宋体" w:hAnsi="宋体" w:eastAsia="宋体" w:cs="宋体"/>
          <w:b/>
          <w:sz w:val="44"/>
          <w:szCs w:val="44"/>
        </w:rPr>
        <w:t xml:space="preserve">声  明</w:t>
      </w:r>
      <w:r/>
    </w:p>
    <w:p>
      <w:pPr>
        <w:pStyle w:val="630"/>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30"/>
        <w:ind w:right="180" w:firstLine="360"/>
        <w:jc w:val="right"/>
        <w:spacing w:beforeAutospacing="0" w:afterAutospacing="0" w:line="0" w:lineRule="atLeast"/>
      </w:pPr>
      <w:r>
        <w:t xml:space="preserve"> </w:t>
      </w:r>
      <w:r>
        <w:rPr>
          <w:rFonts w:hint="eastAsia"/>
        </w:rPr>
        <w:t xml:space="preserve">企业名称（加盖CA电子公章）：</w:t>
      </w:r>
      <w:r/>
    </w:p>
    <w:p>
      <w:pPr>
        <w:pStyle w:val="630"/>
        <w:ind w:right="480" w:firstLine="5400"/>
        <w:jc w:val="both"/>
        <w:spacing w:beforeAutospacing="0" w:afterAutospacing="0" w:line="0" w:lineRule="atLeast"/>
      </w:pPr>
      <w:r>
        <w:rPr>
          <w:rFonts w:hint="eastAsia"/>
        </w:rPr>
        <w:t xml:space="preserve">日  期：</w:t>
      </w:r>
      <w:r/>
    </w:p>
    <w:p>
      <w:pPr>
        <w:pStyle w:val="630"/>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30"/>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630"/>
        <w:jc w:val="center"/>
        <w:spacing w:beforeAutospacing="0" w:afterAutospacing="0"/>
        <w:rPr>
          <w:rFonts w:hint="eastAsia" w:ascii="黑体" w:hAnsi="宋体" w:eastAsia="黑体" w:cs="黑体"/>
          <w:i/>
          <w:sz w:val="32"/>
          <w:szCs w:val="32"/>
          <w:u w:val="single"/>
        </w:rPr>
      </w:pPr>
      <w:r/>
      <w:bookmarkStart w:id="163" w:name="_Toc120614284"/>
      <w:r/>
      <w:r/>
    </w:p>
    <w:p>
      <w:pPr>
        <w:pStyle w:val="630"/>
        <w:jc w:val="center"/>
        <w:spacing w:beforeAutospacing="0" w:afterAutospacing="0"/>
      </w:pPr>
      <w:r>
        <w:rPr>
          <w:rFonts w:hint="eastAsia" w:ascii="黑体" w:hAnsi="宋体" w:eastAsia="黑体" w:cs="黑体"/>
          <w:i/>
          <w:sz w:val="32"/>
          <w:szCs w:val="32"/>
          <w:u w:val="single"/>
        </w:rPr>
        <w:t xml:space="preserve">七、法人授权书</w:t>
      </w:r>
      <w:r/>
    </w:p>
    <w:p>
      <w:pPr>
        <w:pStyle w:val="630"/>
        <w:ind w:firstLine="480"/>
        <w:jc w:val="both"/>
        <w:spacing w:beforeAutospacing="0" w:afterAutospacing="0"/>
        <w:tabs>
          <w:tab w:val="left" w:pos="360" w:leader="none"/>
        </w:tabs>
      </w:pPr>
      <w:r>
        <w:rPr>
          <w:rFonts w:ascii="Times New Roman" w:hAnsi="Times New Roman"/>
        </w:rPr>
        <w:t xml:space="preserve">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630"/>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630"/>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630"/>
        <w:jc w:val="both"/>
        <w:spacing w:beforeAutospacing="0" w:afterAutospacing="0"/>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630"/>
        <w:ind w:firstLine="120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630"/>
        <w:ind w:firstLine="480"/>
        <w:jc w:val="both"/>
        <w:spacing w:beforeAutospacing="0" w:afterAutospacing="0"/>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630"/>
        <w:ind w:firstLine="480"/>
        <w:jc w:val="both"/>
        <w:spacing w:beforeAutospacing="0" w:afterAutospacing="0"/>
        <w:tabs>
          <w:tab w:val="left" w:pos="360" w:leader="none"/>
        </w:tabs>
      </w:pPr>
      <w:r>
        <w:rPr>
          <w:rFonts w:ascii="Times New Roman" w:hAnsi="Times New Roman"/>
        </w:rPr>
        <w:t xml:space="preserve">      日期：</w:t>
      </w:r>
      <w:bookmarkStart w:id="164" w:name="_Hlt26955070"/>
      <w:r/>
      <w:bookmarkStart w:id="165" w:name="_格式3__银行出具的资信证明"/>
      <w:r/>
      <w:bookmarkStart w:id="166" w:name="_Hlt26671380"/>
      <w:r>
        <w:rPr>
          <w:rFonts w:ascii="Times New Roman" w:hAnsi="Times New Roman"/>
          <w:u w:val="single"/>
        </w:rPr>
        <w:t xml:space="preserve">                                         </w:t>
      </w:r>
      <w:r/>
    </w:p>
    <w:p>
      <w:pPr>
        <w:pStyle w:val="630"/>
        <w:ind w:firstLine="480"/>
        <w:jc w:val="both"/>
        <w:spacing w:beforeAutospacing="0" w:afterAutospacing="0"/>
        <w:tabs>
          <w:tab w:val="left" w:pos="360" w:leader="none"/>
        </w:tabs>
      </w:pPr>
      <w:r>
        <w:t xml:space="preserve"> </w:t>
      </w:r>
      <w:r/>
    </w:p>
    <w:p>
      <w:pPr>
        <w:pStyle w:val="630"/>
        <w:jc w:val="center"/>
        <w:keepLines/>
        <w:keepNext/>
        <w:spacing w:before="260" w:beforeAutospacing="0" w:after="260" w:afterAutospacing="0" w:line="415" w:lineRule="auto"/>
      </w:pPr>
      <w:r>
        <w:rPr>
          <w:rFonts w:hint="eastAsia" w:ascii="黑体" w:hAnsi="宋体" w:eastAsia="黑体" w:cs="黑体"/>
          <w:b/>
          <w:i/>
          <w:sz w:val="32"/>
          <w:szCs w:val="32"/>
          <w:u w:val="single"/>
        </w:rPr>
        <w:t xml:space="preserve">八、单一来源响应函</w:t>
      </w:r>
      <w:r/>
    </w:p>
    <w:p>
      <w:pPr>
        <w:pStyle w:val="630"/>
        <w:spacing w:beforeAutospacing="0" w:afterAutospacing="0" w:line="0" w:lineRule="atLeast"/>
      </w:pPr>
      <w:r>
        <w:rPr>
          <w:rFonts w:hint="eastAsia" w:ascii="宋体" w:hAnsi="宋体" w:eastAsia="宋体" w:cs="宋体"/>
        </w:rPr>
        <w:t xml:space="preserve">致：采购人</w:t>
      </w:r>
      <w:r/>
    </w:p>
    <w:p>
      <w:pPr>
        <w:pStyle w:val="630"/>
        <w:ind w:firstLine="480"/>
        <w:spacing w:beforeAutospacing="0" w:afterAutospacing="0" w:line="0" w:lineRule="atLeast"/>
      </w:pPr>
      <w:r>
        <w:rPr>
          <w:rFonts w:hint="eastAsia" w:ascii="宋体" w:hAnsi="宋体" w:eastAsia="宋体" w:cs="宋体"/>
        </w:rPr>
        <w:t xml:space="preserve">根据贵方的JSZC-320900-***</w:t>
      </w:r>
      <w:r>
        <w:rPr>
          <w:rFonts w:hint="eastAsia" w:ascii="宋体" w:hAnsi="宋体" w:eastAsia="宋体" w:cs="宋体"/>
          <w:b/>
          <w:sz w:val="36"/>
          <w:szCs w:val="36"/>
          <w:u w:val="single"/>
        </w:rPr>
        <w:t xml:space="preserve">    </w:t>
      </w:r>
      <w:r>
        <w:rPr>
          <w:rFonts w:hint="eastAsia" w:ascii="宋体" w:hAnsi="宋体" w:eastAsia="宋体" w:cs="宋体"/>
        </w:rPr>
        <w:t xml:space="preserve">号采购文件，正式授权下述签字人______</w:t>
      </w:r>
      <w:r>
        <w:rPr>
          <w:rFonts w:hint="eastAsia" w:ascii="宋体" w:hAnsi="宋体" w:eastAsia="宋体" w:cs="宋体"/>
          <w:lang w:eastAsia="zh-CN"/>
        </w:rPr>
        <w:t xml:space="preserve">（</w:t>
      </w:r>
      <w:r>
        <w:rPr>
          <w:rFonts w:hint="eastAsia" w:ascii="宋体" w:hAnsi="宋体" w:eastAsia="宋体" w:cs="宋体"/>
        </w:rPr>
        <w:t xml:space="preserve">姓名</w:t>
      </w:r>
      <w:r>
        <w:rPr>
          <w:rFonts w:hint="eastAsia" w:ascii="宋体" w:hAnsi="宋体" w:eastAsia="宋体" w:cs="宋体"/>
          <w:lang w:eastAsia="zh-CN"/>
        </w:rPr>
        <w:t xml:space="preserve">）</w:t>
      </w:r>
      <w:r>
        <w:rPr>
          <w:rFonts w:hint="eastAsia" w:ascii="宋体" w:hAnsi="宋体" w:eastAsia="宋体" w:cs="宋体"/>
        </w:rPr>
        <w:t xml:space="preserve">代表我方______________（供应商的名称），全权处理本次项目单一来源采购的有关事宜。</w:t>
      </w:r>
      <w:r/>
    </w:p>
    <w:p>
      <w:pPr>
        <w:pStyle w:val="630"/>
        <w:ind w:firstLine="480"/>
        <w:spacing w:beforeAutospacing="0" w:afterAutospacing="0" w:line="0" w:lineRule="atLeast"/>
      </w:pPr>
      <w:r>
        <w:rPr>
          <w:rFonts w:hint="eastAsia" w:ascii="宋体" w:hAnsi="宋体" w:eastAsia="宋体" w:cs="宋体"/>
        </w:rPr>
        <w:t xml:space="preserve">据此函，签字人兹宣布同意如下：</w:t>
      </w:r>
      <w:r/>
    </w:p>
    <w:p>
      <w:pPr>
        <w:pStyle w:val="630"/>
        <w:ind w:firstLine="480"/>
        <w:spacing w:beforeAutospacing="0" w:afterAutospacing="0" w:line="0" w:lineRule="atLeast"/>
      </w:pPr>
      <w:r>
        <w:rPr>
          <w:rFonts w:hint="eastAsia" w:ascii="宋体" w:hAnsi="宋体" w:eastAsia="宋体" w:cs="宋体"/>
        </w:rPr>
        <w:t xml:space="preserve">1.按采购文件规定的各项要求，向买方提供所需货物、服务（包含与货物相关的服务及与服务相关的货物）。</w:t>
      </w:r>
      <w:r/>
    </w:p>
    <w:p>
      <w:pPr>
        <w:pStyle w:val="630"/>
        <w:ind w:firstLine="480"/>
        <w:spacing w:beforeAutospacing="0" w:afterAutospacing="0" w:line="0" w:lineRule="atLeast"/>
      </w:pPr>
      <w:r>
        <w:rPr>
          <w:rFonts w:hint="eastAsia" w:ascii="宋体" w:hAnsi="宋体" w:eastAsia="宋体" w:cs="宋体"/>
        </w:rPr>
        <w:t xml:space="preserve">2.我们已详细审核全部采购文件及其有效补充文件，我们知道必须放弃提出含糊不清或误解问题的权利。</w:t>
      </w:r>
      <w:r/>
    </w:p>
    <w:p>
      <w:pPr>
        <w:pStyle w:val="630"/>
        <w:ind w:firstLine="480"/>
        <w:spacing w:beforeAutospacing="0" w:afterAutospacing="0" w:line="0" w:lineRule="atLeast"/>
      </w:pPr>
      <w:r>
        <w:rPr>
          <w:rFonts w:hint="eastAsia" w:ascii="宋体" w:hAnsi="宋体" w:eastAsia="宋体" w:cs="宋体"/>
        </w:rPr>
        <w:t xml:space="preserve">3.我们同意从规定的单一来源谈判时间起遵循本响应文件，并在规定的单一来源谈判有效期期满之前均具有约束力。</w:t>
      </w:r>
      <w:r/>
    </w:p>
    <w:p>
      <w:pPr>
        <w:pStyle w:val="630"/>
        <w:ind w:firstLine="480"/>
        <w:spacing w:beforeAutospacing="0" w:afterAutospacing="0" w:line="0" w:lineRule="atLeast"/>
      </w:pPr>
      <w:r>
        <w:rPr>
          <w:rFonts w:hint="eastAsia" w:ascii="宋体" w:hAnsi="宋体" w:eastAsia="宋体" w:cs="宋体"/>
        </w:rPr>
        <w:t xml:space="preserve">4.同意向贵方提供贵方可能另外要求的与单一来源采购有关的任何证据或资料，并保证我方已提供和将要提供的文件是真实的、准确的。</w:t>
      </w:r>
      <w:r/>
    </w:p>
    <w:p>
      <w:pPr>
        <w:pStyle w:val="630"/>
        <w:ind w:firstLine="480"/>
        <w:spacing w:beforeAutospacing="0" w:afterAutospacing="0" w:line="0" w:lineRule="atLeast"/>
      </w:pPr>
      <w:r>
        <w:rPr>
          <w:rFonts w:hint="eastAsia" w:ascii="宋体" w:hAnsi="宋体" w:eastAsia="宋体" w:cs="宋体"/>
        </w:rPr>
        <w:t xml:space="preserve">5.一旦我方成交</w:t>
      </w:r>
      <w:r>
        <w:rPr>
          <w:rFonts w:hint="eastAsia" w:ascii="宋体" w:hAnsi="宋体" w:eastAsia="宋体" w:cs="宋体"/>
          <w:lang w:eastAsia="zh-CN"/>
        </w:rPr>
        <w:t xml:space="preserve">，</w:t>
      </w:r>
      <w:r>
        <w:rPr>
          <w:rFonts w:hint="eastAsia" w:ascii="宋体" w:hAnsi="宋体" w:eastAsia="宋体" w:cs="宋体"/>
        </w:rPr>
        <w:t xml:space="preserve">我方将根据采购文件的规定，严格履行合同的责任和义务</w:t>
      </w:r>
      <w:r>
        <w:rPr>
          <w:rFonts w:hint="eastAsia" w:ascii="宋体" w:hAnsi="宋体" w:eastAsia="宋体" w:cs="宋体"/>
          <w:lang w:eastAsia="zh-CN"/>
        </w:rPr>
        <w:t xml:space="preserve">，</w:t>
      </w:r>
      <w:r>
        <w:rPr>
          <w:rFonts w:hint="eastAsia" w:ascii="宋体" w:hAnsi="宋体" w:eastAsia="宋体" w:cs="宋体"/>
        </w:rPr>
        <w:t xml:space="preserve">并保证在采购文件规定的时</w:t>
      </w:r>
      <w:r>
        <w:rPr>
          <w:rFonts w:hint="eastAsia" w:ascii="宋体" w:hAnsi="宋体" w:eastAsia="宋体" w:cs="宋体"/>
          <w:lang w:eastAsia="zh-CN"/>
        </w:rPr>
        <w:t xml:space="preserve">间内</w:t>
      </w:r>
      <w:r>
        <w:rPr>
          <w:rFonts w:hint="eastAsia" w:ascii="宋体" w:hAnsi="宋体" w:eastAsia="宋体" w:cs="宋体"/>
        </w:rPr>
        <w:t xml:space="preserve">完成项目，交付买方验收、使用。</w:t>
      </w:r>
      <w:r/>
    </w:p>
    <w:p>
      <w:pPr>
        <w:pStyle w:val="630"/>
        <w:ind w:left="425"/>
        <w:spacing w:beforeAutospacing="0" w:afterAutospacing="0" w:line="0" w:lineRule="atLeast"/>
      </w:pPr>
      <w:r>
        <w:rPr>
          <w:rFonts w:hint="eastAsia" w:ascii="宋体" w:hAnsi="宋体" w:eastAsia="宋体" w:cs="宋体"/>
        </w:rPr>
        <w:t xml:space="preserve">6.我方与本次单一来源采购有关的正式通讯地址为：</w:t>
      </w:r>
      <w:r/>
    </w:p>
    <w:p>
      <w:pPr>
        <w:pStyle w:val="630"/>
        <w:ind w:left="420" w:firstLine="480"/>
        <w:spacing w:beforeAutospacing="0" w:afterAutospacing="0" w:line="0" w:lineRule="atLeast"/>
      </w:pPr>
      <w:r>
        <w:rPr>
          <w:rFonts w:hint="eastAsia" w:ascii="宋体" w:hAnsi="宋体" w:eastAsia="宋体" w:cs="宋体"/>
        </w:rPr>
        <w:t xml:space="preserve">地          址：</w:t>
      </w:r>
      <w:r/>
    </w:p>
    <w:p>
      <w:pPr>
        <w:pStyle w:val="630"/>
        <w:ind w:left="420" w:firstLine="480"/>
        <w:spacing w:beforeAutospacing="0" w:afterAutospacing="0" w:line="0" w:lineRule="atLeast"/>
      </w:pPr>
      <w:r>
        <w:rPr>
          <w:rFonts w:hint="eastAsia" w:ascii="宋体" w:hAnsi="宋体" w:eastAsia="宋体" w:cs="宋体"/>
        </w:rPr>
        <w:t xml:space="preserve">邮          编：</w:t>
      </w:r>
      <w:r/>
    </w:p>
    <w:p>
      <w:pPr>
        <w:pStyle w:val="630"/>
        <w:ind w:left="420" w:firstLine="480"/>
        <w:spacing w:beforeAutospacing="0" w:afterAutospacing="0" w:line="0" w:lineRule="atLeast"/>
      </w:pPr>
      <w:r>
        <w:rPr>
          <w:rFonts w:hint="eastAsia" w:ascii="宋体" w:hAnsi="宋体" w:eastAsia="宋体" w:cs="宋体"/>
        </w:rPr>
        <w:t xml:space="preserve">电          话：</w:t>
      </w:r>
      <w:r/>
    </w:p>
    <w:p>
      <w:pPr>
        <w:pStyle w:val="630"/>
        <w:ind w:left="420" w:firstLine="480"/>
        <w:spacing w:beforeAutospacing="0" w:afterAutospacing="0" w:line="0" w:lineRule="atLeast"/>
      </w:pPr>
      <w:r>
        <w:rPr>
          <w:rFonts w:hint="eastAsia" w:ascii="宋体" w:hAnsi="宋体" w:eastAsia="宋体" w:cs="宋体"/>
        </w:rPr>
        <w:t xml:space="preserve">传          真：</w:t>
      </w:r>
      <w:r/>
    </w:p>
    <w:p>
      <w:pPr>
        <w:pStyle w:val="630"/>
        <w:ind w:left="420" w:firstLine="480"/>
        <w:spacing w:beforeAutospacing="0" w:afterAutospacing="0" w:line="0" w:lineRule="atLeast"/>
      </w:pPr>
      <w:r>
        <w:rPr>
          <w:rFonts w:hint="eastAsia" w:ascii="宋体" w:hAnsi="宋体" w:eastAsia="宋体" w:cs="宋体"/>
        </w:rPr>
        <w:t xml:space="preserve">供应商开户行：</w:t>
      </w:r>
      <w:r/>
    </w:p>
    <w:p>
      <w:pPr>
        <w:pStyle w:val="630"/>
        <w:ind w:left="420" w:firstLine="480"/>
        <w:spacing w:beforeAutospacing="0" w:afterAutospacing="0" w:line="0" w:lineRule="atLeast"/>
      </w:pPr>
      <w:r>
        <w:rPr>
          <w:rFonts w:hint="eastAsia" w:ascii="宋体" w:hAnsi="宋体" w:eastAsia="宋体" w:cs="宋体"/>
        </w:rPr>
        <w:t xml:space="preserve">账          号： </w:t>
      </w:r>
      <w:r/>
    </w:p>
    <w:p>
      <w:pPr>
        <w:pStyle w:val="630"/>
        <w:ind w:left="420" w:firstLine="480"/>
        <w:spacing w:beforeAutospacing="0" w:afterAutospacing="0" w:line="0" w:lineRule="atLeast"/>
      </w:pPr>
      <w:r>
        <w:rPr>
          <w:rFonts w:hint="eastAsia" w:ascii="宋体" w:hAnsi="宋体" w:eastAsia="宋体" w:cs="宋体"/>
        </w:rPr>
        <w:t xml:space="preserve">日           期：________年____月____日</w:t>
      </w:r>
      <w:r/>
    </w:p>
    <w:p>
      <w:pPr>
        <w:pStyle w:val="630"/>
        <w:ind w:firstLine="240"/>
        <w:jc w:val="center"/>
        <w:spacing w:beforeAutospacing="0" w:afterAutospacing="0" w:line="0" w:lineRule="atLeast"/>
      </w:pPr>
      <w:r>
        <w:t xml:space="preserve"> </w:t>
      </w:r>
      <w:r/>
    </w:p>
    <w:p>
      <w:pPr>
        <w:pStyle w:val="630"/>
        <w:ind w:firstLine="240"/>
        <w:jc w:val="center"/>
        <w:spacing w:beforeAutospacing="0" w:afterAutospacing="0" w:line="0" w:lineRule="atLeast"/>
      </w:pPr>
      <w:r>
        <w:t xml:space="preserve"> </w:t>
      </w:r>
      <w:r/>
    </w:p>
    <w:p>
      <w:pPr>
        <w:pStyle w:val="630"/>
        <w:ind w:firstLine="240"/>
        <w:jc w:val="center"/>
        <w:spacing w:beforeAutospacing="0" w:afterAutospacing="0" w:line="0" w:lineRule="atLeast"/>
      </w:pPr>
      <w:r>
        <w:t xml:space="preserve"> </w:t>
      </w:r>
      <w:r/>
    </w:p>
    <w:p>
      <w:pPr>
        <w:pStyle w:val="630"/>
        <w:ind w:firstLine="240"/>
        <w:jc w:val="center"/>
        <w:spacing w:beforeAutospacing="0" w:afterAutospacing="0" w:line="0" w:lineRule="atLeast"/>
      </w:pPr>
      <w:r>
        <w:t xml:space="preserve"> </w:t>
      </w:r>
      <w:r/>
    </w:p>
    <w:p>
      <w:pPr>
        <w:pStyle w:val="630"/>
        <w:ind w:firstLine="240"/>
        <w:jc w:val="center"/>
        <w:spacing w:beforeAutospacing="0" w:afterAutospacing="0" w:line="0" w:lineRule="atLeast"/>
      </w:pPr>
      <w:r>
        <w:t xml:space="preserve"> </w:t>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240"/>
        <w:jc w:val="center"/>
        <w:spacing w:beforeAutospacing="0" w:afterAutospacing="0" w:line="0" w:lineRule="atLeast"/>
      </w:pPr>
      <w:r/>
      <w:r/>
    </w:p>
    <w:p>
      <w:pPr>
        <w:pStyle w:val="630"/>
        <w:ind w:firstLine="321"/>
        <w:jc w:val="center"/>
        <w:spacing w:beforeAutospacing="0" w:afterAutospacing="0" w:line="0" w:lineRule="atLeast"/>
      </w:pPr>
      <w:r>
        <w:t xml:space="preserve"> </w:t>
      </w:r>
      <w:r/>
    </w:p>
    <w:p>
      <w:pPr>
        <w:pStyle w:val="630"/>
        <w:jc w:val="center"/>
        <w:spacing w:beforeAutospacing="0" w:afterAutospacing="0" w:line="0" w:lineRule="atLeast"/>
      </w:pP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号）的规定，本公司（联合体）参加采购人组织的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30"/>
        <w:ind w:right="720"/>
        <w:jc w:val="both"/>
        <w:spacing w:beforeAutospacing="0" w:afterAutospacing="0" w:line="0" w:lineRule="atLeast"/>
      </w:pPr>
      <w:r>
        <w:t xml:space="preserve"> </w:t>
      </w:r>
      <w:r/>
    </w:p>
    <w:p>
      <w:pPr>
        <w:pStyle w:val="630"/>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30"/>
        <w:ind w:right="480" w:firstLine="5400"/>
        <w:jc w:val="both"/>
        <w:spacing w:beforeAutospacing="0" w:afterAutospacing="0" w:line="0" w:lineRule="atLeast"/>
      </w:pPr>
      <w:r>
        <w:rPr>
          <w:rFonts w:hint="eastAsia" w:ascii="宋体" w:hAnsi="宋体" w:eastAsia="宋体" w:cs="宋体"/>
        </w:rPr>
        <w:t xml:space="preserve">日  期：</w:t>
      </w:r>
      <w:r/>
    </w:p>
    <w:p>
      <w:pPr>
        <w:pStyle w:val="630"/>
        <w:ind w:firstLine="240"/>
        <w:jc w:val="both"/>
        <w:spacing w:beforeAutospacing="0" w:afterAutospacing="0" w:line="0" w:lineRule="atLeast"/>
      </w:pPr>
      <w:r>
        <w:t xml:space="preserve"> </w:t>
      </w:r>
      <w:r/>
    </w:p>
    <w:p>
      <w:pPr>
        <w:pStyle w:val="630"/>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30"/>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30"/>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十、残疾人福利性单位声明函（分包号：**）</w:t>
      </w:r>
      <w:r/>
    </w:p>
    <w:p>
      <w:pPr>
        <w:pStyle w:val="630"/>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Times New Roman" w:hAnsi="Times New Roman"/>
        </w:rPr>
        <w:t xml:space="preserve">采购</w:t>
      </w:r>
      <w:r>
        <w:rPr>
          <w:rFonts w:hint="eastAsia" w:ascii="宋体" w:hAnsi="宋体" w:eastAsia="宋体" w:cs="宋体"/>
        </w:rPr>
        <w:t xml:space="preserve">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630"/>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630"/>
        <w:ind w:firstLine="480"/>
        <w:jc w:val="both"/>
        <w:spacing w:beforeAutospacing="0" w:afterAutospacing="0" w:line="0" w:lineRule="atLeast"/>
      </w:pPr>
      <w:r>
        <w:t xml:space="preserve"> </w:t>
      </w:r>
      <w:r/>
    </w:p>
    <w:p>
      <w:pPr>
        <w:pStyle w:val="630"/>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630"/>
        <w:ind w:firstLine="624"/>
        <w:jc w:val="both"/>
        <w:spacing w:beforeAutospacing="0" w:afterAutospacing="0" w:line="0" w:lineRule="atLeast"/>
      </w:pPr>
      <w:r>
        <w:t xml:space="preserve"> </w:t>
      </w:r>
      <w:r/>
    </w:p>
    <w:p>
      <w:pPr>
        <w:pStyle w:val="630"/>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630"/>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630"/>
        <w:jc w:val="center"/>
        <w:spacing w:beforeAutospacing="0" w:afterAutospacing="0" w:line="0" w:lineRule="atLeast"/>
      </w:pPr>
      <w:r>
        <w:t xml:space="preserve"> </w:t>
      </w:r>
      <w:r/>
    </w:p>
    <w:p>
      <w:pPr>
        <w:pStyle w:val="630"/>
        <w:jc w:val="center"/>
        <w:spacing w:beforeAutospacing="0" w:afterAutospacing="0" w:line="0" w:lineRule="atLeast"/>
      </w:pPr>
      <w:r>
        <w:t xml:space="preserve"> </w:t>
      </w:r>
      <w:r/>
    </w:p>
    <w:p>
      <w:pPr>
        <w:pStyle w:val="630"/>
        <w:jc w:val="center"/>
        <w:spacing w:beforeAutospacing="0" w:afterAutospacing="0" w:line="0" w:lineRule="atLeast"/>
      </w:pPr>
      <w:r>
        <w:t xml:space="preserve">  </w:t>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center"/>
        <w:spacing w:beforeAutospacing="0" w:afterAutospacing="0" w:line="0" w:lineRule="atLeast"/>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630"/>
        <w:jc w:val="both"/>
        <w:spacing w:beforeAutospacing="0" w:afterAutospacing="0"/>
      </w:pPr>
      <w:r/>
      <w:r/>
    </w:p>
    <w:p>
      <w:pPr>
        <w:pStyle w:val="630"/>
        <w:jc w:val="both"/>
        <w:spacing w:beforeAutospacing="0" w:afterAutospacing="0"/>
      </w:pPr>
      <w:r/>
      <w:r/>
    </w:p>
    <w:p>
      <w:pPr>
        <w:pStyle w:val="630"/>
        <w:jc w:val="center"/>
        <w:spacing w:beforeAutospacing="0" w:afterAutospacing="0"/>
      </w:pPr>
      <w:r>
        <w:rPr>
          <w:rFonts w:hint="eastAsia" w:ascii="黑体" w:hAnsi="宋体" w:eastAsia="黑体" w:cs="黑体"/>
          <w:b/>
          <w:sz w:val="32"/>
          <w:szCs w:val="32"/>
        </w:rPr>
        <w:t xml:space="preserve">十</w:t>
      </w:r>
      <w:r>
        <w:rPr>
          <w:rFonts w:hint="eastAsia" w:ascii="黑体" w:hAnsi="宋体" w:eastAsia="黑体" w:cs="黑体"/>
          <w:b/>
          <w:sz w:val="32"/>
          <w:szCs w:val="32"/>
          <w:lang w:val="en-US" w:eastAsia="zh-CN"/>
        </w:rPr>
        <w:t xml:space="preserve">一</w:t>
      </w:r>
      <w:r>
        <w:rPr>
          <w:rFonts w:hint="eastAsia" w:ascii="黑体" w:hAnsi="宋体" w:eastAsia="黑体" w:cs="黑体"/>
          <w:b/>
          <w:sz w:val="32"/>
          <w:szCs w:val="32"/>
        </w:rPr>
        <w:t xml:space="preserve">、技术要求响应及偏离表（分包号：**）</w:t>
      </w:r>
      <w:r/>
    </w:p>
    <w:tbl>
      <w:tblPr>
        <w:tblStyle w:val="6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rPr>
                <w:rFonts w:hint="eastAsia" w:ascii="宋体" w:hAnsi="宋体" w:eastAsia="宋体" w:cs="宋体"/>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rPr>
                <w:rFonts w:hint="eastAsia" w:ascii="宋体" w:hAnsi="宋体" w:eastAsia="宋体" w:cs="宋体"/>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rPr>
                <w:rFonts w:hint="eastAsia" w:ascii="宋体" w:hAnsi="宋体" w:eastAsia="宋体" w:cs="宋体"/>
              </w:rPr>
              <w:t xml:space="preserve">证明</w:t>
            </w:r>
            <w:r/>
          </w:p>
          <w:p>
            <w:pPr>
              <w:pStyle w:val="630"/>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30"/>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bl>
    <w:p>
      <w:pPr>
        <w:pStyle w:val="630"/>
        <w:jc w:val="both"/>
        <w:spacing w:beforeAutospacing="0" w:afterAutospacing="0"/>
      </w:pPr>
      <w:r>
        <w:rPr>
          <w:rFonts w:hint="eastAsia" w:ascii="宋体" w:hAnsi="宋体" w:eastAsia="宋体" w:cs="宋体"/>
        </w:rPr>
        <w:t xml:space="preserve">注： 行数不够，可自行添加。</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jc w:val="center"/>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both"/>
        <w:spacing w:beforeAutospacing="0" w:afterAutospacing="0"/>
      </w:pPr>
      <w:r>
        <w:t xml:space="preserve"> </w:t>
      </w:r>
      <w:r/>
    </w:p>
    <w:p>
      <w:pPr>
        <w:pStyle w:val="630"/>
        <w:jc w:val="center"/>
        <w:spacing w:beforeAutospacing="0" w:afterAutospacing="0"/>
        <w:rPr>
          <w:rFonts w:hint="eastAsia" w:ascii="黑体" w:hAnsi="宋体" w:eastAsia="黑体" w:cs="黑体"/>
          <w:b/>
          <w:sz w:val="32"/>
          <w:szCs w:val="32"/>
        </w:rPr>
      </w:pPr>
      <w:r/>
      <w:bookmarkStart w:id="167" w:name="_Hlt26955054"/>
      <w:r/>
      <w:r/>
    </w:p>
    <w:p>
      <w:pPr>
        <w:pStyle w:val="630"/>
        <w:jc w:val="center"/>
        <w:spacing w:beforeAutospacing="0" w:afterAutospacing="0"/>
      </w:pPr>
      <w:r>
        <w:rPr>
          <w:rFonts w:hint="eastAsia" w:ascii="黑体" w:hAnsi="宋体" w:eastAsia="黑体" w:cs="黑体"/>
          <w:b/>
          <w:sz w:val="32"/>
          <w:szCs w:val="32"/>
        </w:rPr>
        <w:t xml:space="preserve">十</w:t>
      </w:r>
      <w:r>
        <w:rPr>
          <w:rFonts w:hint="eastAsia" w:ascii="黑体" w:hAnsi="宋体" w:eastAsia="黑体" w:cs="黑体"/>
          <w:b/>
          <w:sz w:val="32"/>
          <w:szCs w:val="32"/>
          <w:lang w:val="en-US" w:eastAsia="zh-CN"/>
        </w:rPr>
        <w:t xml:space="preserve">二</w:t>
      </w:r>
      <w:r>
        <w:rPr>
          <w:rFonts w:hint="eastAsia" w:ascii="黑体" w:hAnsi="宋体" w:eastAsia="黑体" w:cs="黑体"/>
          <w:b/>
          <w:sz w:val="32"/>
          <w:szCs w:val="32"/>
        </w:rPr>
        <w:t xml:space="preserve">、商务要求响应及偏离表（分包号：**）</w:t>
      </w:r>
      <w:r/>
    </w:p>
    <w:tbl>
      <w:tblPr>
        <w:tblStyle w:val="61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bookmarkStart w:id="168" w:name="_Hlt26671343"/>
            <w:r/>
            <w:bookmarkStart w:id="169" w:name="_Hlt24879081"/>
            <w:r/>
            <w:bookmarkStart w:id="170" w:name="_Hlt26671372"/>
            <w:r/>
            <w:bookmarkStart w:id="171" w:name="_Hlt26955064"/>
            <w:r/>
            <w:bookmarkStart w:id="172" w:name="_Hlt26580838"/>
            <w:r/>
            <w:bookmarkStart w:id="173" w:name="_Hlt26782999"/>
            <w:r/>
            <w:bookmarkStart w:id="174" w:name="_Hlt26609391"/>
            <w:r/>
            <w:bookmarkStart w:id="175" w:name="_Hlt26955056"/>
            <w:r>
              <w:rPr>
                <w:rFonts w:hint="eastAsia" w:ascii="宋体" w:hAnsi="宋体" w:eastAsia="宋体" w:cs="宋体"/>
              </w:rPr>
              <w:t xml:space="preserve">序号</w:t>
            </w:r>
            <w:bookmarkEnd w:id="168"/>
            <w:r/>
            <w:bookmarkEnd w:id="169"/>
            <w:r/>
            <w:bookmarkEnd w:id="170"/>
            <w:r/>
            <w:bookmarkEnd w:id="171"/>
            <w:r/>
            <w:bookmarkEnd w:id="172"/>
            <w:r/>
            <w:bookmarkEnd w:id="173"/>
            <w:r/>
            <w:bookmarkEnd w:id="174"/>
            <w:r/>
            <w:bookmarkEnd w:id="175"/>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rPr>
                <w:rFonts w:hint="eastAsia" w:ascii="宋体" w:hAnsi="宋体" w:eastAsia="宋体" w:cs="宋体"/>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rPr>
                <w:rFonts w:hint="eastAsia" w:ascii="宋体" w:hAnsi="宋体" w:eastAsia="宋体" w:cs="宋体"/>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rPr>
                <w:rFonts w:hint="eastAsia" w:ascii="宋体" w:hAnsi="宋体" w:eastAsia="宋体" w:cs="宋体"/>
              </w:rPr>
              <w:t xml:space="preserve">证明</w:t>
            </w:r>
            <w:r/>
          </w:p>
          <w:p>
            <w:pPr>
              <w:pStyle w:val="630"/>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30"/>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3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30"/>
              <w:jc w:val="center"/>
              <w:spacing w:beforeAutospacing="0" w:afterAutospacing="0"/>
            </w:pPr>
            <w:r>
              <w:t xml:space="preserve"> </w:t>
            </w:r>
            <w:r/>
          </w:p>
        </w:tc>
      </w:tr>
    </w:tbl>
    <w:p>
      <w:pPr>
        <w:pStyle w:val="630"/>
        <w:jc w:val="both"/>
        <w:spacing w:beforeAutospacing="0" w:afterAutospacing="0"/>
      </w:pPr>
      <w:r>
        <w:rPr>
          <w:rFonts w:hint="eastAsia" w:ascii="宋体" w:hAnsi="宋体" w:eastAsia="宋体" w:cs="宋体"/>
        </w:rPr>
        <w:t xml:space="preserve">注： 行数不够，可自行添加。</w:t>
      </w:r>
      <w:r/>
    </w:p>
    <w:p>
      <w:pPr>
        <w:pStyle w:val="630"/>
        <w:jc w:val="both"/>
        <w:spacing w:beforeAutospacing="0" w:afterAutospacing="0" w:line="480" w:lineRule="auto"/>
      </w:pPr>
      <w:r>
        <w:t xml:space="preserve"> </w:t>
      </w:r>
      <w:r/>
    </w:p>
    <w:p>
      <w:pPr>
        <w:pStyle w:val="630"/>
        <w:jc w:val="both"/>
        <w:spacing w:beforeAutospacing="0" w:afterAutospacing="0" w:line="480" w:lineRule="auto"/>
      </w:pPr>
      <w:r>
        <w:t xml:space="preserve"> </w:t>
      </w:r>
      <w:r/>
    </w:p>
    <w:p>
      <w:pPr>
        <w:pStyle w:val="630"/>
        <w:jc w:val="both"/>
        <w:spacing w:beforeAutospacing="0" w:afterAutospacing="0" w:line="480" w:lineRule="auto"/>
      </w:pPr>
      <w:r/>
      <w:r/>
    </w:p>
    <w:p>
      <w:pPr>
        <w:pStyle w:val="630"/>
        <w:jc w:val="both"/>
        <w:spacing w:beforeAutospacing="0" w:afterAutospacing="0" w:line="480" w:lineRule="auto"/>
      </w:pPr>
      <w:r/>
      <w:r/>
    </w:p>
    <w:p>
      <w:pPr>
        <w:pStyle w:val="630"/>
        <w:jc w:val="both"/>
        <w:spacing w:beforeAutospacing="0" w:afterAutospacing="0" w:line="480" w:lineRule="auto"/>
      </w:pPr>
      <w:r/>
      <w:r/>
    </w:p>
    <w:p>
      <w:pPr>
        <w:pStyle w:val="630"/>
        <w:jc w:val="both"/>
        <w:spacing w:beforeAutospacing="0" w:afterAutospacing="0" w:line="480" w:lineRule="auto"/>
      </w:pPr>
      <w:r/>
      <w:r/>
    </w:p>
    <w:p>
      <w:pPr>
        <w:pStyle w:val="630"/>
        <w:jc w:val="both"/>
        <w:spacing w:beforeAutospacing="0" w:afterAutospacing="0" w:line="480" w:lineRule="auto"/>
      </w:pPr>
      <w:r/>
      <w:r/>
    </w:p>
    <w:p>
      <w:pPr>
        <w:pStyle w:val="630"/>
        <w:jc w:val="both"/>
        <w:spacing w:beforeAutospacing="0" w:afterAutospacing="0" w:line="480" w:lineRule="auto"/>
      </w:pPr>
      <w:r/>
      <w:r/>
    </w:p>
    <w:p>
      <w:pPr>
        <w:pStyle w:val="630"/>
        <w:jc w:val="both"/>
        <w:spacing w:beforeAutospacing="0" w:afterAutospacing="0" w:line="480" w:lineRule="auto"/>
      </w:pPr>
      <w:r/>
      <w:r/>
    </w:p>
    <w:p>
      <w:pPr>
        <w:pStyle w:val="630"/>
        <w:jc w:val="both"/>
        <w:spacing w:beforeAutospacing="0" w:afterAutospacing="0" w:line="480" w:lineRule="auto"/>
      </w:pPr>
      <w:r/>
      <w:bookmarkEnd w:id="27"/>
      <w:bookmarkEnd w:id="40"/>
      <w:bookmarkEnd w:id="87"/>
      <w:bookmarkEnd w:id="88"/>
      <w:bookmarkEnd w:id="89"/>
      <w:bookmarkEnd w:id="90"/>
      <w:bookmarkEnd w:id="91"/>
      <w:bookmarkEnd w:id="92"/>
      <w:bookmarkEnd w:id="93"/>
      <w:bookmarkEnd w:id="94"/>
      <w:bookmarkEnd w:id="103"/>
      <w:bookmarkEnd w:id="104"/>
      <w:bookmarkEnd w:id="111"/>
      <w:bookmarkEnd w:id="153"/>
      <w:bookmarkEnd w:id="154"/>
      <w:bookmarkEnd w:id="157"/>
      <w:bookmarkEnd w:id="160"/>
      <w:bookmarkEnd w:id="161"/>
      <w:bookmarkEnd w:id="162"/>
      <w:bookmarkEnd w:id="163"/>
      <w:bookmarkEnd w:id="164"/>
      <w:bookmarkEnd w:id="165"/>
      <w:bookmarkEnd w:id="166"/>
      <w:bookmarkEnd w:id="167"/>
      <w:r/>
    </w:p>
    <w:p>
      <w:pPr>
        <w:pStyle w:val="630"/>
        <w:jc w:val="both"/>
        <w:spacing w:beforeAutospacing="0" w:afterAutospacing="0" w:line="480" w:lineRule="auto"/>
      </w:pPr>
      <w:r/>
      <w:r/>
    </w:p>
    <w:p>
      <w:pPr>
        <w:pStyle w:val="630"/>
        <w:jc w:val="center"/>
        <w:spacing w:beforeAutospacing="0" w:afterAutospacing="0"/>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30"/>
        <w:jc w:val="center"/>
        <w:spacing w:beforeAutospacing="0" w:afterAutospacing="0"/>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30"/>
        <w:jc w:val="center"/>
        <w:spacing w:beforeAutospacing="0" w:afterAutospacing="0"/>
      </w:pPr>
      <w:r>
        <w:rPr>
          <w:rFonts w:hint="eastAsia" w:ascii="黑体" w:hAnsi="宋体" w:eastAsia="黑体" w:cs="黑体"/>
          <w:b/>
          <w:i/>
          <w:sz w:val="32"/>
          <w:szCs w:val="32"/>
          <w:u w:val="single"/>
        </w:rPr>
        <w:t xml:space="preserve">十</w:t>
      </w:r>
      <w:r>
        <w:rPr>
          <w:rFonts w:hint="eastAsia" w:ascii="黑体" w:hAnsi="宋体" w:eastAsia="黑体" w:cs="黑体"/>
          <w:b/>
          <w:i/>
          <w:sz w:val="32"/>
          <w:szCs w:val="32"/>
          <w:u w:val="single"/>
          <w:lang w:val="en-US" w:eastAsia="zh-CN"/>
        </w:rPr>
        <w:t xml:space="preserve">三</w:t>
      </w:r>
      <w:r>
        <w:rPr>
          <w:rFonts w:hint="eastAsia" w:ascii="黑体" w:hAnsi="宋体" w:eastAsia="黑体" w:cs="黑体"/>
          <w:b/>
          <w:i/>
          <w:sz w:val="32"/>
          <w:szCs w:val="32"/>
          <w:u w:val="single"/>
        </w:rPr>
        <w:t xml:space="preserve">、开标一览表</w:t>
      </w:r>
      <w:r/>
    </w:p>
    <w:p>
      <w:pPr>
        <w:pStyle w:val="630"/>
        <w:ind w:firstLine="480"/>
        <w:jc w:val="both"/>
        <w:spacing w:beforeAutospacing="0" w:afterAutospacing="0"/>
      </w:pPr>
      <w:r>
        <w:rPr>
          <w:rFonts w:hint="eastAsia" w:ascii="宋体" w:hAnsi="宋体" w:eastAsia="宋体" w:cs="宋体"/>
        </w:rPr>
        <w:t xml:space="preserve">投标人全称（加盖CA电子签章）：</w:t>
      </w:r>
      <w:r/>
    </w:p>
    <w:p>
      <w:pPr>
        <w:pStyle w:val="630"/>
        <w:ind w:firstLine="480"/>
        <w:jc w:val="both"/>
        <w:spacing w:beforeAutospacing="0" w:afterAutospacing="0"/>
      </w:pPr>
      <w:r>
        <w:rPr>
          <w:rFonts w:hint="eastAsia" w:ascii="宋体" w:hAnsi="宋体" w:eastAsia="宋体" w:cs="宋体"/>
        </w:rPr>
        <w:t xml:space="preserve">项目名称：</w:t>
      </w:r>
      <w:r/>
    </w:p>
    <w:p>
      <w:pPr>
        <w:pStyle w:val="630"/>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30"/>
        <w:ind w:firstLine="480"/>
        <w:jc w:val="both"/>
        <w:spacing w:beforeAutospacing="0" w:afterAutospacing="0"/>
      </w:pPr>
      <w:r>
        <w:rPr>
          <w:rFonts w:hint="eastAsia" w:ascii="宋体" w:hAnsi="宋体" w:eastAsia="宋体" w:cs="宋体"/>
        </w:rPr>
        <w:t xml:space="preserve">分包号：</w:t>
      </w:r>
      <w:r/>
    </w:p>
    <w:tbl>
      <w:tblPr>
        <w:tblStyle w:val="611"/>
        <w:tblpPr w:horzAnchor="margin" w:tblpXSpec="left" w:vertAnchor="text" w:tblpY="1" w:leftFromText="181" w:topFromText="0" w:rightFromText="181" w:bottomFromText="0"/>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256"/>
        <w:gridCol w:w="6134"/>
      </w:tblGrid>
      <w:tr>
        <w:trPr>
          <w:trHeight w:val="703"/>
        </w:trPr>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right="700"/>
              <w:jc w:val="center"/>
              <w:spacing w:line="480" w:lineRule="exact"/>
              <w:rPr>
                <w:rFonts w:hint="eastAsia" w:ascii="宋体" w:hAnsi="宋体" w:cs="宋体"/>
                <w:sz w:val="24"/>
              </w:rPr>
            </w:pPr>
            <w:r>
              <w:rPr>
                <w:rFonts w:hint="eastAsia" w:ascii="宋体" w:hAnsi="宋体" w:cs="宋体"/>
                <w:sz w:val="24"/>
              </w:rPr>
              <w:t xml:space="preserve">服务期限</w:t>
            </w:r>
            <w:r/>
          </w:p>
        </w:tc>
        <w:tc>
          <w:tcPr>
            <w:tcBorders>
              <w:top w:val="single" w:color="auto" w:sz="4" w:space="0"/>
              <w:left w:val="single" w:color="auto" w:sz="4" w:space="0"/>
              <w:bottom w:val="single" w:color="auto" w:sz="4" w:space="0"/>
              <w:right w:val="single" w:color="auto" w:sz="4" w:space="0"/>
            </w:tcBorders>
            <w:tcW w:w="6134" w:type="dxa"/>
            <w:textDirection w:val="lrTb"/>
            <w:noWrap w:val="false"/>
          </w:tcPr>
          <w:p>
            <w:pPr>
              <w:ind w:right="1440"/>
              <w:spacing w:line="480" w:lineRule="exact"/>
              <w:rPr>
                <w:rFonts w:hint="eastAsia" w:ascii="宋体" w:hAnsi="宋体" w:cs="宋体"/>
                <w:sz w:val="24"/>
              </w:rPr>
            </w:pPr>
            <w:r>
              <w:rPr>
                <w:rFonts w:hint="eastAsia" w:ascii="宋体" w:hAnsi="宋体" w:cs="宋体"/>
                <w:sz w:val="24"/>
              </w:rPr>
              <w:t xml:space="preserve">一年</w:t>
            </w:r>
            <w:r/>
          </w:p>
        </w:tc>
      </w:tr>
      <w:tr>
        <w:trPr>
          <w:trHeight w:val="703"/>
        </w:trPr>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right="560"/>
              <w:jc w:val="center"/>
              <w:spacing w:line="480" w:lineRule="exact"/>
              <w:rPr>
                <w:rFonts w:hint="eastAsia" w:ascii="宋体" w:hAnsi="宋体" w:cs="宋体"/>
                <w:sz w:val="24"/>
              </w:rPr>
            </w:pPr>
            <w:r>
              <w:rPr>
                <w:rFonts w:hint="eastAsia" w:ascii="宋体" w:hAnsi="宋体" w:cs="宋体"/>
                <w:sz w:val="24"/>
              </w:rPr>
              <w:t xml:space="preserve">服务质量承诺</w:t>
            </w:r>
            <w:r/>
          </w:p>
        </w:tc>
        <w:tc>
          <w:tcPr>
            <w:tcBorders>
              <w:top w:val="single" w:color="auto" w:sz="4" w:space="0"/>
              <w:left w:val="single" w:color="auto" w:sz="4" w:space="0"/>
              <w:bottom w:val="single" w:color="auto" w:sz="4" w:space="0"/>
              <w:right w:val="single" w:color="auto" w:sz="4" w:space="0"/>
            </w:tcBorders>
            <w:tcW w:w="6134" w:type="dxa"/>
            <w:textDirection w:val="lrTb"/>
            <w:noWrap w:val="false"/>
          </w:tcPr>
          <w:p>
            <w:pPr>
              <w:ind w:right="560"/>
              <w:jc w:val="left"/>
              <w:spacing w:line="480" w:lineRule="exact"/>
              <w:rPr>
                <w:rFonts w:hint="eastAsia" w:ascii="宋体" w:hAnsi="宋体" w:cs="宋体"/>
                <w:sz w:val="24"/>
              </w:rPr>
            </w:pPr>
            <w:r>
              <w:rPr>
                <w:rFonts w:hint="eastAsia" w:ascii="宋体" w:hAnsi="宋体" w:cs="宋体"/>
                <w:sz w:val="24"/>
              </w:rPr>
              <w:t xml:space="preserve">承诺采购文件的全部要求</w:t>
            </w:r>
            <w:r/>
          </w:p>
        </w:tc>
      </w:tr>
      <w:tr>
        <w:trPr>
          <w:trHeight w:val="703"/>
        </w:trPr>
        <w:tc>
          <w:tcPr>
            <w:tcBorders>
              <w:top w:val="single" w:color="auto" w:sz="4" w:space="0"/>
              <w:left w:val="single" w:color="auto" w:sz="4" w:space="0"/>
              <w:bottom w:val="single" w:color="auto" w:sz="4" w:space="0"/>
              <w:right w:val="single" w:color="auto" w:sz="4" w:space="0"/>
            </w:tcBorders>
            <w:tcW w:w="3256" w:type="dxa"/>
            <w:vAlign w:val="center"/>
            <w:textDirection w:val="lrTb"/>
            <w:noWrap w:val="false"/>
          </w:tcPr>
          <w:p>
            <w:pPr>
              <w:ind w:right="560" w:firstLine="1200"/>
              <w:jc w:val="left"/>
              <w:spacing w:line="400" w:lineRule="exact"/>
              <w:rPr>
                <w:rFonts w:hint="eastAsia" w:ascii="宋体" w:hAnsi="宋体" w:cs="宋体"/>
                <w:sz w:val="24"/>
              </w:rPr>
            </w:pPr>
            <w:r>
              <w:rPr>
                <w:rFonts w:hint="eastAsia" w:ascii="宋体" w:hAnsi="宋体" w:cs="宋体"/>
                <w:sz w:val="24"/>
              </w:rPr>
              <w:t xml:space="preserve">其       他</w:t>
            </w:r>
            <w:r/>
          </w:p>
        </w:tc>
        <w:tc>
          <w:tcPr>
            <w:tcBorders>
              <w:top w:val="single" w:color="auto" w:sz="4" w:space="0"/>
              <w:left w:val="single" w:color="auto" w:sz="4" w:space="0"/>
              <w:bottom w:val="single" w:color="auto" w:sz="4" w:space="0"/>
              <w:right w:val="single" w:color="auto" w:sz="4" w:space="0"/>
            </w:tcBorders>
            <w:tcW w:w="6134" w:type="dxa"/>
            <w:textDirection w:val="lrTb"/>
            <w:noWrap w:val="false"/>
          </w:tcPr>
          <w:p>
            <w:pPr>
              <w:spacing w:line="400" w:lineRule="exact"/>
              <w:rPr>
                <w:rFonts w:hint="eastAsia" w:ascii="宋体" w:hAnsi="宋体" w:cs="宋体"/>
                <w:sz w:val="24"/>
              </w:rPr>
            </w:pPr>
            <w:r>
              <w:rPr>
                <w:rFonts w:hint="eastAsia" w:ascii="宋体" w:hAnsi="宋体" w:cs="宋体"/>
                <w:sz w:val="24"/>
              </w:rPr>
              <w:t xml:space="preserve">采购文件提出的其他实质性要求和条件，我方均</w:t>
            </w:r>
            <w:r>
              <w:rPr>
                <w:rFonts w:hint="eastAsia" w:ascii="宋体" w:hAnsi="宋体" w:eastAsia="宋体" w:cs="宋体"/>
                <w:sz w:val="24"/>
                <w:lang w:eastAsia="zh-CN"/>
              </w:rPr>
              <w:t xml:space="preserve">予以</w:t>
            </w:r>
            <w:r>
              <w:rPr>
                <w:rFonts w:hint="eastAsia" w:ascii="宋体" w:hAnsi="宋体" w:cs="宋体"/>
                <w:sz w:val="24"/>
              </w:rPr>
              <w:t xml:space="preserve">认可。</w:t>
            </w:r>
            <w:r/>
          </w:p>
        </w:tc>
      </w:tr>
      <w:tr>
        <w:trPr>
          <w:trHeight w:val="703"/>
        </w:trPr>
        <w:tc>
          <w:tcPr>
            <w:tcBorders>
              <w:top w:val="single" w:color="auto" w:sz="4" w:space="0"/>
              <w:left w:val="single" w:color="auto" w:sz="4" w:space="0"/>
              <w:bottom w:val="single" w:color="auto" w:sz="4" w:space="0"/>
              <w:right w:val="single" w:color="auto" w:sz="4" w:space="0"/>
            </w:tcBorders>
            <w:tcW w:w="3256" w:type="dxa"/>
            <w:textDirection w:val="lrTb"/>
            <w:noWrap w:val="false"/>
          </w:tcPr>
          <w:p>
            <w:pPr>
              <w:ind w:right="120"/>
              <w:jc w:val="center"/>
              <w:spacing w:line="480" w:lineRule="exact"/>
              <w:rPr>
                <w:rFonts w:hint="eastAsia" w:ascii="宋体" w:hAnsi="宋体" w:cs="宋体"/>
                <w:sz w:val="24"/>
              </w:rPr>
            </w:pPr>
            <w:r>
              <w:rPr>
                <w:rFonts w:hint="eastAsia" w:ascii="宋体" w:hAnsi="宋体" w:cs="宋体"/>
                <w:sz w:val="24"/>
              </w:rPr>
              <w:t xml:space="preserve">处置单价（小写）</w:t>
            </w:r>
            <w:r/>
          </w:p>
        </w:tc>
        <w:tc>
          <w:tcPr>
            <w:tcBorders>
              <w:top w:val="single" w:color="auto" w:sz="4" w:space="0"/>
              <w:left w:val="single" w:color="auto" w:sz="4" w:space="0"/>
              <w:bottom w:val="single" w:color="auto" w:sz="4" w:space="0"/>
              <w:right w:val="single" w:color="auto" w:sz="4" w:space="0"/>
            </w:tcBorders>
            <w:tcW w:w="6134" w:type="dxa"/>
            <w:textDirection w:val="lrTb"/>
            <w:noWrap w:val="false"/>
          </w:tcPr>
          <w:p>
            <w:pPr>
              <w:ind w:right="480"/>
              <w:spacing w:line="48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eastAsia="宋体" w:cs="宋体"/>
                <w:sz w:val="24"/>
                <w:lang w:val="en-US" w:eastAsia="zh-CN"/>
              </w:rPr>
              <w:t xml:space="preserve">吨</w:t>
            </w:r>
            <w:r>
              <w:rPr>
                <w:rFonts w:hint="eastAsia" w:ascii="宋体" w:hAnsi="宋体" w:cs="宋体"/>
                <w:sz w:val="24"/>
              </w:rPr>
              <w:t xml:space="preserve"> </w:t>
            </w:r>
            <w:r/>
          </w:p>
        </w:tc>
      </w:tr>
      <w:tr>
        <w:trPr>
          <w:trHeight w:val="703"/>
        </w:trPr>
        <w:tc>
          <w:tcPr>
            <w:tcBorders>
              <w:top w:val="single" w:color="auto" w:sz="4" w:space="0"/>
              <w:left w:val="single" w:color="auto" w:sz="4" w:space="0"/>
              <w:bottom w:val="single" w:color="auto" w:sz="4" w:space="0"/>
              <w:right w:val="single" w:color="auto" w:sz="4" w:space="0"/>
            </w:tcBorders>
            <w:tcW w:w="3256" w:type="dxa"/>
            <w:textDirection w:val="lrTb"/>
            <w:noWrap w:val="false"/>
          </w:tcPr>
          <w:p>
            <w:pPr>
              <w:jc w:val="center"/>
              <w:spacing w:line="480" w:lineRule="exact"/>
              <w:rPr>
                <w:rFonts w:hint="eastAsia" w:ascii="宋体" w:hAnsi="宋体" w:cs="宋体"/>
                <w:sz w:val="24"/>
              </w:rPr>
            </w:pPr>
            <w:r>
              <w:rPr>
                <w:rFonts w:hint="eastAsia" w:ascii="宋体" w:hAnsi="宋体" w:cs="宋体"/>
                <w:sz w:val="24"/>
              </w:rPr>
              <w:t xml:space="preserve">处置单价（大写）</w:t>
            </w:r>
            <w:r/>
          </w:p>
        </w:tc>
        <w:tc>
          <w:tcPr>
            <w:tcBorders>
              <w:top w:val="single" w:color="auto" w:sz="4" w:space="0"/>
              <w:left w:val="single" w:color="auto" w:sz="4" w:space="0"/>
              <w:bottom w:val="single" w:color="auto" w:sz="4" w:space="0"/>
              <w:right w:val="single" w:color="auto" w:sz="4" w:space="0"/>
            </w:tcBorders>
            <w:tcW w:w="6134" w:type="dxa"/>
            <w:textDirection w:val="lrTb"/>
            <w:noWrap w:val="false"/>
          </w:tcPr>
          <w:p>
            <w:pPr>
              <w:ind w:right="480"/>
              <w:spacing w:line="480" w:lineRule="exact"/>
              <w:rPr>
                <w:rFonts w:hint="eastAsia" w:ascii="宋体" w:hAnsi="宋体" w:eastAsia="宋体" w:cs="宋体"/>
                <w:sz w:val="24"/>
                <w:lang w:eastAsia="zh-CN"/>
              </w:rPr>
            </w:pPr>
            <w:r>
              <w:rPr>
                <w:rFonts w:hint="eastAsia" w:ascii="宋体" w:hAnsi="宋体" w:cs="宋体"/>
                <w:sz w:val="24"/>
              </w:rPr>
              <w:t xml:space="preserve">人民币</w:t>
            </w:r>
            <w:r>
              <w:rPr>
                <w:rFonts w:hint="eastAsia" w:ascii="宋体" w:hAnsi="宋体" w:eastAsia="宋体" w:cs="宋体"/>
                <w:sz w:val="24"/>
                <w:lang w:eastAsia="zh-CN"/>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eastAsia="宋体" w:cs="宋体"/>
                <w:sz w:val="24"/>
                <w:lang w:val="en-US" w:eastAsia="zh-CN"/>
              </w:rPr>
              <w:t xml:space="preserve">吨</w:t>
            </w:r>
            <w:r/>
          </w:p>
        </w:tc>
      </w:tr>
    </w:tbl>
    <w:p>
      <w:pPr>
        <w:pStyle w:val="63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3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p>
    <w:p>
      <w:pPr>
        <w:pStyle w:val="630"/>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3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3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3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注：报价要求</w:t>
      </w:r>
      <w:r/>
    </w:p>
    <w:p>
      <w:pPr>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1.</w:t>
      </w:r>
      <w:r>
        <w:rPr>
          <w:rFonts w:hint="eastAsia" w:ascii="宋体" w:hAnsi="宋体" w:eastAsia="宋体" w:cs="宋体"/>
          <w:b/>
          <w:bCs/>
          <w:sz w:val="21"/>
          <w:szCs w:val="21"/>
        </w:rPr>
        <w:t xml:space="preserve">本项目预算价约为1</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0万元，</w:t>
      </w:r>
      <w:r>
        <w:rPr>
          <w:rFonts w:hint="eastAsia" w:ascii="宋体" w:hAnsi="宋体" w:eastAsia="宋体" w:cs="宋体"/>
          <w:b/>
          <w:bCs/>
          <w:sz w:val="21"/>
          <w:szCs w:val="21"/>
          <w:lang w:val="en-US" w:eastAsia="zh-CN"/>
        </w:rPr>
        <w:t xml:space="preserve">单价</w:t>
      </w:r>
      <w:r>
        <w:rPr>
          <w:rFonts w:hint="eastAsia" w:ascii="宋体" w:hAnsi="宋体" w:eastAsia="宋体" w:cs="宋体"/>
          <w:b/>
          <w:bCs/>
          <w:sz w:val="21"/>
          <w:szCs w:val="21"/>
        </w:rPr>
        <w:t xml:space="preserve">最高限价为</w:t>
      </w:r>
      <w:r>
        <w:rPr>
          <w:rFonts w:hint="eastAsia" w:ascii="宋体" w:hAnsi="宋体" w:eastAsia="宋体" w:cs="宋体"/>
          <w:b/>
          <w:bCs/>
          <w:sz w:val="21"/>
          <w:szCs w:val="21"/>
          <w:lang w:val="en-US" w:eastAsia="zh-CN"/>
        </w:rPr>
        <w:t xml:space="preserve">6000.00元/吨</w:t>
      </w:r>
      <w:r>
        <w:rPr>
          <w:rFonts w:hint="eastAsia" w:ascii="宋体" w:hAnsi="宋体" w:eastAsia="宋体" w:cs="宋体"/>
          <w:b/>
          <w:bCs/>
          <w:sz w:val="21"/>
          <w:szCs w:val="21"/>
        </w:rPr>
        <w:t xml:space="preserve">，高于最高限价的响应文件将作无效响应文件论处。采购人将全部使用完本项目的采购</w:t>
      </w:r>
      <w:r>
        <w:rPr>
          <w:rFonts w:hint="eastAsia" w:ascii="宋体" w:hAnsi="宋体" w:eastAsia="宋体" w:cs="宋体"/>
          <w:b/>
          <w:bCs/>
          <w:sz w:val="21"/>
          <w:szCs w:val="21"/>
          <w:lang w:eastAsia="zh-CN"/>
        </w:rPr>
        <w:t xml:space="preserve">预算</w:t>
      </w:r>
      <w:r>
        <w:rPr>
          <w:rFonts w:hint="eastAsia" w:ascii="宋体" w:hAnsi="宋体" w:eastAsia="宋体" w:cs="宋体"/>
          <w:b/>
          <w:bCs/>
          <w:sz w:val="21"/>
          <w:szCs w:val="21"/>
        </w:rPr>
        <w:t xml:space="preserve">，具体供货数量根据中标（成交）单价折算具体供货数量。</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报价单必须按照询价采购文件所提供的格式填入，采购人提供的清单中的序号、品名、规格配置等，供应商在响应报价时不得作任何更改变动，否则一切责任由供应商自负。</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本项目为固定单价包死价，成交人不得因市场风险因素（如油价上涨）等原因要求调价，本次成交单价采购人一律不予调整。</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供应商在履行合同过程中，所发生的全部生产、生活费用均由供应商负责。</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供应商根据自己的经营状况和掌握的市场信息自主报价。决定供应商响应文件的响应性只根据响应文件本身的内容，而不寻求外部的证据。</w:t>
      </w:r>
      <w:r/>
    </w:p>
    <w:p>
      <w:pPr>
        <w:ind w:firstLine="480"/>
        <w:spacing w:line="360" w:lineRule="auto"/>
        <w:rPr>
          <w:rFonts w:hint="eastAsia" w:ascii="宋体" w:hAnsi="宋体"/>
          <w:sz w:val="24"/>
          <w:szCs w:val="21"/>
        </w:rPr>
      </w:pPr>
      <w:r>
        <w:rPr>
          <w:rFonts w:hint="eastAsia" w:ascii="宋体" w:hAnsi="宋体" w:eastAsia="宋体" w:cs="宋体"/>
          <w:sz w:val="21"/>
          <w:szCs w:val="21"/>
          <w:lang w:eastAsia="zh-CN"/>
        </w:rPr>
        <w:t xml:space="preserve">7.</w:t>
      </w:r>
      <w:r>
        <w:rPr>
          <w:rFonts w:hint="eastAsia" w:ascii="宋体" w:hAnsi="宋体" w:eastAsia="宋体" w:cs="宋体"/>
          <w:sz w:val="21"/>
          <w:szCs w:val="21"/>
        </w:rPr>
        <w:t xml:space="preserve">供应商应对询价采购文件中的条款做到正确理解，有疑义的条款应在采购答疑时提出，有疑义又没有在采购答疑时提出的，应按采购人的解释为准。</w:t>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十</w:t>
      </w:r>
      <w:r>
        <w:rPr>
          <w:rFonts w:hint="eastAsia" w:ascii="宋体" w:hAnsi="宋体" w:eastAsia="宋体" w:cs="宋体"/>
          <w:b/>
          <w:bCs/>
          <w:sz w:val="32"/>
          <w:szCs w:val="32"/>
          <w:lang w:val="en-US" w:eastAsia="zh-CN"/>
        </w:rPr>
        <w:t xml:space="preserve">四</w:t>
      </w:r>
      <w:r>
        <w:rPr>
          <w:rFonts w:hint="eastAsia" w:ascii="宋体" w:hAnsi="宋体" w:eastAsia="宋体" w:cs="宋体"/>
          <w:b/>
          <w:bCs/>
          <w:sz w:val="32"/>
          <w:szCs w:val="32"/>
        </w:rPr>
        <w:t xml:space="preserve">、盐城市政府采购事前信用承诺书</w:t>
      </w:r>
      <w:r/>
    </w:p>
    <w:p>
      <w:pPr>
        <w:ind w:firstLine="640"/>
        <w:jc w:val="left"/>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w:t>
      </w:r>
      <w:r>
        <w:rPr>
          <w:rFonts w:hint="eastAsia" w:ascii="宋体" w:hAnsi="宋体" w:eastAsia="宋体" w:cs="宋体"/>
          <w:sz w:val="24"/>
          <w:lang w:eastAsia="zh-CN"/>
        </w:rPr>
        <w:t xml:space="preserve">发生</w:t>
      </w:r>
      <w:r>
        <w:rPr>
          <w:rFonts w:hint="eastAsia" w:ascii="宋体" w:hAnsi="宋体" w:eastAsia="宋体" w:cs="宋体"/>
          <w:sz w:val="24"/>
        </w:rPr>
        <w:t xml:space="preserve">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w:t>
      </w:r>
      <w:r>
        <w:rPr>
          <w:rFonts w:hint="eastAsia" w:ascii="宋体" w:hAnsi="宋体" w:eastAsia="宋体" w:cs="宋体"/>
          <w:sz w:val="24"/>
          <w:lang w:eastAsia="zh-CN"/>
        </w:rPr>
        <w:t xml:space="preserve">法律法规</w:t>
      </w:r>
      <w:r>
        <w:rPr>
          <w:rFonts w:hint="eastAsia" w:ascii="宋体" w:hAnsi="宋体" w:eastAsia="宋体" w:cs="宋体"/>
          <w:sz w:val="24"/>
        </w:rPr>
        <w:t xml:space="preserve">、规章、规范性文件，参加政府采购投标活动；积极履行社会责任，促进廉政建设；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w:t>
      </w:r>
      <w:r>
        <w:rPr>
          <w:rFonts w:hint="eastAsia" w:ascii="宋体" w:hAnsi="宋体" w:eastAsia="宋体" w:cs="宋体"/>
          <w:sz w:val="24"/>
          <w:lang w:eastAsia="zh-CN"/>
        </w:rPr>
        <w:t xml:space="preserve">做</w:t>
      </w:r>
      <w:r>
        <w:rPr>
          <w:rFonts w:hint="eastAsia" w:ascii="宋体" w:hAnsi="宋体" w:eastAsia="宋体" w:cs="宋体"/>
          <w:sz w:val="24"/>
        </w:rPr>
        <w:t xml:space="preserve">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法定代表人签名或盖章：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630"/>
        <w:jc w:val="center"/>
        <w:spacing w:beforeAutospacing="0" w:afterAutospacing="0"/>
      </w:pPr>
      <w:r/>
      <w:r/>
    </w:p>
    <w:p>
      <w:r/>
      <w:r/>
    </w:p>
    <w:p>
      <w:pPr>
        <w:pStyle w:val="63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3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630"/>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30"/>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30"/>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3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30"/>
        <w:jc w:val="both"/>
        <w:spacing w:beforeAutospacing="0" w:afterAutospacing="0"/>
        <w:rPr>
          <w:rFonts w:hint="eastAsia" w:ascii="宋体" w:hAnsi="宋体" w:eastAsia="宋体" w:cs="宋体"/>
        </w:rPr>
      </w:pPr>
      <w:r>
        <w:rPr>
          <w:rFonts w:hint="eastAsia" w:ascii="宋体" w:hAnsi="宋体" w:eastAsia="宋体" w:cs="宋体"/>
        </w:rPr>
        <w:t xml:space="preserve">签字</w:t>
      </w:r>
      <w:r>
        <w:rPr>
          <w:rFonts w:hint="eastAsia" w:ascii="宋体" w:hAnsi="宋体" w:eastAsia="宋体" w:cs="宋体"/>
          <w:lang w:eastAsia="zh-CN"/>
        </w:rPr>
        <w:t xml:space="preserve">（</w:t>
      </w:r>
      <w:r>
        <w:rPr>
          <w:rFonts w:hint="eastAsia" w:ascii="宋体" w:hAnsi="宋体" w:eastAsia="宋体" w:cs="宋体"/>
        </w:rPr>
        <w:t xml:space="preserve">签章</w:t>
      </w:r>
      <w:r>
        <w:rPr>
          <w:rFonts w:hint="eastAsia" w:ascii="宋体" w:hAnsi="宋体" w:eastAsia="宋体" w:cs="宋体"/>
          <w:lang w:eastAsia="zh-CN"/>
        </w:rPr>
        <w:t xml:space="preserve">）</w:t>
      </w:r>
      <w:r>
        <w:rPr>
          <w:rFonts w:hint="eastAsia" w:ascii="宋体" w:hAnsi="宋体" w:eastAsia="宋体" w:cs="宋体"/>
        </w:rPr>
        <w:t xml:space="preserve">：                 公章：               日期：    </w:t>
      </w:r>
      <w:r/>
    </w:p>
    <w:p>
      <w:pPr>
        <w:pStyle w:val="630"/>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30"/>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3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r/>
      <w:r/>
    </w:p>
    <w:p>
      <w:pPr>
        <w:pStyle w:val="630"/>
        <w:jc w:val="center"/>
        <w:spacing w:beforeAutospacing="0" w:afterAutospacing="0"/>
      </w:pPr>
      <w:r/>
      <w:r/>
    </w:p>
    <w:sectPr>
      <w:footnotePr/>
      <w:endnotePr/>
      <w:type w:val="nextPage"/>
      <w:pgSz w:w="11906" w:h="16838" w:orient="portrait"/>
      <w:pgMar w:top="1440" w:right="1463"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仿宋">
    <w:panose1 w:val="02010609060101010101"/>
  </w:font>
  <w:font w:name="等线">
    <w:panose1 w:val="0201060003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uiPriority w:val="0"/>
    <w:qFormat/>
    <w:pPr>
      <w:jc w:val="both"/>
      <w:widowControl w:val="off"/>
    </w:pPr>
    <w:rPr>
      <w:rFonts w:hint="default" w:asciiTheme="minorHAnsi" w:hAnsiTheme="minorHAnsi" w:eastAsiaTheme="minorEastAsia" w:cstheme="minorBidi"/>
      <w:sz w:val="21"/>
      <w:szCs w:val="24"/>
    </w:rPr>
  </w:style>
  <w:style w:type="paragraph" w:styleId="601">
    <w:name w:val="Heading 1"/>
    <w:basedOn w:val="600"/>
    <w:next w:val="600"/>
    <w:link w:val="636"/>
    <w:uiPriority w:val="9"/>
    <w:qFormat/>
    <w:pPr>
      <w:keepLines/>
      <w:keepNext/>
      <w:spacing w:before="480" w:after="200"/>
      <w:outlineLvl w:val="0"/>
    </w:pPr>
    <w:rPr>
      <w:rFonts w:ascii="Arial" w:hAnsi="Arial" w:eastAsia="Arial" w:cs="Arial"/>
      <w:sz w:val="40"/>
      <w:szCs w:val="40"/>
    </w:rPr>
  </w:style>
  <w:style w:type="paragraph" w:styleId="602">
    <w:name w:val="Heading 2"/>
    <w:basedOn w:val="600"/>
    <w:next w:val="60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03">
    <w:name w:val="Heading 3"/>
    <w:basedOn w:val="600"/>
    <w:next w:val="600"/>
    <w:link w:val="638"/>
    <w:uiPriority w:val="9"/>
    <w:unhideWhenUsed/>
    <w:qFormat/>
    <w:pPr>
      <w:keepLines/>
      <w:keepNext/>
      <w:spacing w:before="320" w:after="200"/>
      <w:outlineLvl w:val="2"/>
    </w:pPr>
    <w:rPr>
      <w:rFonts w:ascii="Arial" w:hAnsi="Arial" w:eastAsia="Arial" w:cs="Arial"/>
      <w:sz w:val="30"/>
      <w:szCs w:val="30"/>
    </w:rPr>
  </w:style>
  <w:style w:type="paragraph" w:styleId="604">
    <w:name w:val="Heading 4"/>
    <w:basedOn w:val="600"/>
    <w:next w:val="600"/>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basedOn w:val="600"/>
    <w:next w:val="600"/>
    <w:link w:val="639"/>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basedOn w:val="600"/>
    <w:next w:val="600"/>
    <w:link w:val="640"/>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basedOn w:val="600"/>
    <w:next w:val="600"/>
    <w:link w:val="641"/>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basedOn w:val="600"/>
    <w:next w:val="600"/>
    <w:link w:val="642"/>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basedOn w:val="600"/>
    <w:next w:val="600"/>
    <w:link w:val="643"/>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qFormat/>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toc 7"/>
    <w:basedOn w:val="600"/>
    <w:next w:val="600"/>
    <w:uiPriority w:val="39"/>
    <w:unhideWhenUsed/>
    <w:qFormat/>
    <w:pPr>
      <w:ind w:left="1701" w:right="0" w:firstLine="0"/>
      <w:spacing w:after="57"/>
    </w:pPr>
  </w:style>
  <w:style w:type="paragraph" w:styleId="613">
    <w:name w:val="Caption"/>
    <w:basedOn w:val="600"/>
    <w:next w:val="60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14">
    <w:name w:val="annotation text"/>
    <w:basedOn w:val="600"/>
    <w:uiPriority w:val="0"/>
    <w:qFormat/>
    <w:pPr>
      <w:jc w:val="left"/>
    </w:pPr>
  </w:style>
  <w:style w:type="paragraph" w:styleId="615">
    <w:name w:val="toc 5"/>
    <w:basedOn w:val="600"/>
    <w:next w:val="600"/>
    <w:uiPriority w:val="39"/>
    <w:unhideWhenUsed/>
    <w:qFormat/>
    <w:pPr>
      <w:ind w:left="1134" w:right="0" w:firstLine="0"/>
      <w:spacing w:after="57"/>
    </w:pPr>
  </w:style>
  <w:style w:type="paragraph" w:styleId="616">
    <w:name w:val="toc 3"/>
    <w:basedOn w:val="600"/>
    <w:next w:val="600"/>
    <w:uiPriority w:val="39"/>
    <w:unhideWhenUsed/>
    <w:qFormat/>
    <w:pPr>
      <w:ind w:left="567" w:right="0" w:firstLine="0"/>
      <w:spacing w:after="57"/>
    </w:pPr>
  </w:style>
  <w:style w:type="paragraph" w:styleId="617">
    <w:name w:val="Plain Text"/>
    <w:basedOn w:val="600"/>
    <w:link w:val="790"/>
    <w:uiPriority w:val="0"/>
    <w:qFormat/>
    <w:rPr>
      <w:rFonts w:ascii="宋体" w:hAnsi="Courier New"/>
      <w:szCs w:val="20"/>
    </w:rPr>
  </w:style>
  <w:style w:type="paragraph" w:styleId="618">
    <w:name w:val="toc 8"/>
    <w:basedOn w:val="600"/>
    <w:next w:val="600"/>
    <w:uiPriority w:val="39"/>
    <w:unhideWhenUsed/>
    <w:qFormat/>
    <w:pPr>
      <w:ind w:left="1984" w:right="0" w:firstLine="0"/>
      <w:spacing w:after="57"/>
    </w:pPr>
  </w:style>
  <w:style w:type="paragraph" w:styleId="619">
    <w:name w:val="endnote text"/>
    <w:basedOn w:val="600"/>
    <w:link w:val="781"/>
    <w:uiPriority w:val="99"/>
    <w:semiHidden/>
    <w:unhideWhenUsed/>
    <w:qFormat/>
    <w:pPr>
      <w:spacing w:after="0" w:line="240" w:lineRule="auto"/>
    </w:pPr>
    <w:rPr>
      <w:sz w:val="20"/>
    </w:rPr>
  </w:style>
  <w:style w:type="paragraph" w:styleId="620">
    <w:name w:val="Footer"/>
    <w:basedOn w:val="600"/>
    <w:link w:val="784"/>
    <w:uiPriority w:val="0"/>
    <w:qFormat/>
    <w:pPr>
      <w:jc w:val="left"/>
      <w:tabs>
        <w:tab w:val="center" w:pos="4153" w:leader="none"/>
        <w:tab w:val="right" w:pos="8306" w:leader="none"/>
      </w:tabs>
    </w:pPr>
    <w:rPr>
      <w:sz w:val="18"/>
      <w:szCs w:val="18"/>
    </w:rPr>
  </w:style>
  <w:style w:type="paragraph" w:styleId="621">
    <w:name w:val="Header"/>
    <w:basedOn w:val="600"/>
    <w:link w:val="783"/>
    <w:uiPriority w:val="0"/>
    <w:qFormat/>
    <w:pPr>
      <w:jc w:val="center"/>
      <w:tabs>
        <w:tab w:val="center" w:pos="4153" w:leader="none"/>
        <w:tab w:val="right" w:pos="8306" w:leader="none"/>
      </w:tabs>
      <w:pBdr>
        <w:bottom w:val="single" w:color="auto" w:sz="6" w:space="1"/>
      </w:pBdr>
    </w:pPr>
    <w:rPr>
      <w:sz w:val="18"/>
      <w:szCs w:val="18"/>
    </w:rPr>
  </w:style>
  <w:style w:type="paragraph" w:styleId="622">
    <w:name w:val="toc 1"/>
    <w:basedOn w:val="600"/>
    <w:next w:val="600"/>
    <w:uiPriority w:val="39"/>
    <w:unhideWhenUsed/>
    <w:qFormat/>
    <w:pPr>
      <w:ind w:left="0" w:right="0" w:firstLine="0"/>
      <w:spacing w:after="57"/>
    </w:pPr>
  </w:style>
  <w:style w:type="paragraph" w:styleId="623">
    <w:name w:val="toc 4"/>
    <w:basedOn w:val="600"/>
    <w:next w:val="600"/>
    <w:uiPriority w:val="39"/>
    <w:unhideWhenUsed/>
    <w:qFormat/>
    <w:pPr>
      <w:ind w:left="850" w:right="0" w:firstLine="0"/>
      <w:spacing w:after="57"/>
    </w:pPr>
  </w:style>
  <w:style w:type="paragraph" w:styleId="624">
    <w:name w:val="Subtitle"/>
    <w:basedOn w:val="600"/>
    <w:next w:val="600"/>
    <w:link w:val="647"/>
    <w:uiPriority w:val="11"/>
    <w:qFormat/>
    <w:pPr>
      <w:spacing w:before="200" w:after="200"/>
    </w:pPr>
    <w:rPr>
      <w:sz w:val="24"/>
      <w:szCs w:val="24"/>
    </w:rPr>
  </w:style>
  <w:style w:type="paragraph" w:styleId="625">
    <w:name w:val="footnote text"/>
    <w:basedOn w:val="600"/>
    <w:link w:val="780"/>
    <w:uiPriority w:val="99"/>
    <w:semiHidden/>
    <w:unhideWhenUsed/>
    <w:qFormat/>
    <w:pPr>
      <w:spacing w:after="40" w:line="240" w:lineRule="auto"/>
    </w:pPr>
    <w:rPr>
      <w:sz w:val="18"/>
    </w:rPr>
  </w:style>
  <w:style w:type="paragraph" w:styleId="626">
    <w:name w:val="toc 6"/>
    <w:basedOn w:val="600"/>
    <w:next w:val="600"/>
    <w:uiPriority w:val="39"/>
    <w:unhideWhenUsed/>
    <w:qFormat/>
    <w:pPr>
      <w:ind w:left="1417" w:right="0" w:firstLine="0"/>
      <w:spacing w:after="57"/>
    </w:pPr>
  </w:style>
  <w:style w:type="paragraph" w:styleId="627">
    <w:name w:val="table of figures"/>
    <w:basedOn w:val="600"/>
    <w:next w:val="600"/>
    <w:uiPriority w:val="99"/>
    <w:unhideWhenUsed/>
    <w:qFormat/>
    <w:pPr>
      <w:spacing w:after="0" w:afterAutospacing="0"/>
    </w:pPr>
  </w:style>
  <w:style w:type="paragraph" w:styleId="628">
    <w:name w:val="toc 2"/>
    <w:basedOn w:val="600"/>
    <w:next w:val="600"/>
    <w:uiPriority w:val="39"/>
    <w:unhideWhenUsed/>
    <w:qFormat/>
    <w:pPr>
      <w:ind w:left="283" w:right="0" w:firstLine="0"/>
      <w:spacing w:after="57"/>
    </w:pPr>
  </w:style>
  <w:style w:type="paragraph" w:styleId="629">
    <w:name w:val="toc 9"/>
    <w:basedOn w:val="600"/>
    <w:next w:val="600"/>
    <w:uiPriority w:val="39"/>
    <w:unhideWhenUsed/>
    <w:qFormat/>
    <w:pPr>
      <w:ind w:left="2268" w:right="0" w:firstLine="0"/>
      <w:spacing w:after="57"/>
    </w:pPr>
  </w:style>
  <w:style w:type="paragraph" w:styleId="630">
    <w:name w:val="Normal (Web)"/>
    <w:basedOn w:val="600"/>
    <w:link w:val="787"/>
    <w:uiPriority w:val="0"/>
    <w:qFormat/>
    <w:pPr>
      <w:jc w:val="left"/>
      <w:spacing w:beforeAutospacing="1" w:afterAutospacing="1"/>
    </w:pPr>
    <w:rPr>
      <w:rFonts w:cs="Times New Roman"/>
      <w:sz w:val="24"/>
    </w:rPr>
  </w:style>
  <w:style w:type="paragraph" w:styleId="631">
    <w:name w:val="Title"/>
    <w:basedOn w:val="600"/>
    <w:next w:val="600"/>
    <w:link w:val="646"/>
    <w:uiPriority w:val="10"/>
    <w:qFormat/>
    <w:pPr>
      <w:contextualSpacing/>
      <w:spacing w:before="300" w:after="200"/>
    </w:pPr>
    <w:rPr>
      <w:sz w:val="48"/>
      <w:szCs w:val="48"/>
    </w:rPr>
  </w:style>
  <w:style w:type="table" w:styleId="632">
    <w:name w:val="Table Grid"/>
    <w:basedOn w:val="611"/>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3">
    <w:name w:val="endnote reference"/>
    <w:basedOn w:val="610"/>
    <w:uiPriority w:val="99"/>
    <w:semiHidden/>
    <w:unhideWhenUsed/>
    <w:qFormat/>
    <w:rPr>
      <w:vertAlign w:val="superscript"/>
    </w:rPr>
  </w:style>
  <w:style w:type="character" w:styleId="634">
    <w:name w:val="Hyperlink"/>
    <w:uiPriority w:val="99"/>
    <w:unhideWhenUsed/>
    <w:qFormat/>
    <w:rPr>
      <w:color w:val="0563c1" w:themeColor="hyperlink"/>
      <w:u w:val="single"/>
      <w14:textFill>
        <w14:solidFill>
          <w14:schemeClr w14:val="hlink"/>
        </w14:solidFill>
      </w14:textFill>
    </w:rPr>
  </w:style>
  <w:style w:type="character" w:styleId="635">
    <w:name w:val="footnote reference"/>
    <w:basedOn w:val="610"/>
    <w:uiPriority w:val="99"/>
    <w:unhideWhenUsed/>
    <w:qFormat/>
    <w:rPr>
      <w:vertAlign w:val="superscript"/>
    </w:rPr>
  </w:style>
  <w:style w:type="character" w:styleId="636" w:customStyle="1">
    <w:name w:val="Heading 1 Char"/>
    <w:basedOn w:val="610"/>
    <w:link w:val="601"/>
    <w:uiPriority w:val="9"/>
    <w:rPr>
      <w:rFonts w:ascii="Arial" w:hAnsi="Arial" w:eastAsia="Arial" w:cs="Arial"/>
      <w:sz w:val="40"/>
      <w:szCs w:val="40"/>
    </w:rPr>
  </w:style>
  <w:style w:type="character" w:styleId="637" w:customStyle="1">
    <w:name w:val="Heading 2 Char"/>
    <w:basedOn w:val="610"/>
    <w:uiPriority w:val="9"/>
    <w:rPr>
      <w:rFonts w:ascii="Arial" w:hAnsi="Arial" w:eastAsia="Arial" w:cs="Arial"/>
      <w:sz w:val="34"/>
    </w:rPr>
  </w:style>
  <w:style w:type="character" w:styleId="638" w:customStyle="1">
    <w:name w:val="Heading 3 Char"/>
    <w:basedOn w:val="610"/>
    <w:link w:val="603"/>
    <w:uiPriority w:val="9"/>
    <w:rPr>
      <w:rFonts w:ascii="Arial" w:hAnsi="Arial" w:eastAsia="Arial" w:cs="Arial"/>
      <w:sz w:val="30"/>
      <w:szCs w:val="30"/>
    </w:rPr>
  </w:style>
  <w:style w:type="character" w:styleId="639" w:customStyle="1">
    <w:name w:val="Heading 5 Char"/>
    <w:basedOn w:val="610"/>
    <w:link w:val="605"/>
    <w:uiPriority w:val="9"/>
    <w:rPr>
      <w:rFonts w:ascii="Arial" w:hAnsi="Arial" w:eastAsia="Arial" w:cs="Arial"/>
      <w:b/>
      <w:bCs/>
      <w:sz w:val="24"/>
      <w:szCs w:val="24"/>
    </w:rPr>
  </w:style>
  <w:style w:type="character" w:styleId="640" w:customStyle="1">
    <w:name w:val="Heading 6 Char"/>
    <w:basedOn w:val="610"/>
    <w:link w:val="606"/>
    <w:uiPriority w:val="9"/>
    <w:rPr>
      <w:rFonts w:ascii="Arial" w:hAnsi="Arial" w:eastAsia="Arial" w:cs="Arial"/>
      <w:b/>
      <w:bCs/>
      <w:sz w:val="22"/>
      <w:szCs w:val="22"/>
    </w:rPr>
  </w:style>
  <w:style w:type="character" w:styleId="641" w:customStyle="1">
    <w:name w:val="Heading 7 Char"/>
    <w:basedOn w:val="610"/>
    <w:link w:val="607"/>
    <w:uiPriority w:val="9"/>
    <w:rPr>
      <w:rFonts w:ascii="Arial" w:hAnsi="Arial" w:eastAsia="Arial" w:cs="Arial"/>
      <w:b/>
      <w:bCs/>
      <w:i/>
      <w:iCs/>
      <w:sz w:val="22"/>
      <w:szCs w:val="22"/>
    </w:rPr>
  </w:style>
  <w:style w:type="character" w:styleId="642" w:customStyle="1">
    <w:name w:val="Heading 8 Char"/>
    <w:basedOn w:val="610"/>
    <w:link w:val="608"/>
    <w:uiPriority w:val="9"/>
    <w:rPr>
      <w:rFonts w:ascii="Arial" w:hAnsi="Arial" w:eastAsia="Arial" w:cs="Arial"/>
      <w:i/>
      <w:iCs/>
      <w:sz w:val="22"/>
      <w:szCs w:val="22"/>
    </w:rPr>
  </w:style>
  <w:style w:type="character" w:styleId="643" w:customStyle="1">
    <w:name w:val="Heading 9 Char"/>
    <w:basedOn w:val="610"/>
    <w:link w:val="609"/>
    <w:uiPriority w:val="9"/>
    <w:rPr>
      <w:rFonts w:ascii="Arial" w:hAnsi="Arial" w:eastAsia="Arial" w:cs="Arial"/>
      <w:i/>
      <w:iCs/>
      <w:sz w:val="21"/>
      <w:szCs w:val="21"/>
    </w:rPr>
  </w:style>
  <w:style w:type="paragraph" w:styleId="644">
    <w:name w:val="List Paragraph"/>
    <w:basedOn w:val="600"/>
    <w:uiPriority w:val="34"/>
    <w:qFormat/>
    <w:pPr>
      <w:contextualSpacing/>
      <w:ind w:left="720"/>
    </w:pPr>
  </w:style>
  <w:style w:type="paragraph" w:styleId="645">
    <w:name w:val="No Spacing"/>
    <w:uiPriority w:val="1"/>
    <w:qFormat/>
    <w:pPr>
      <w:spacing w:before="0" w:after="0" w:line="240" w:lineRule="auto"/>
    </w:pPr>
    <w:rPr>
      <w:rFonts w:hint="default" w:ascii="Times New Roman" w:hAnsi="Times New Roman" w:eastAsia="宋体" w:cs="Times New Roman"/>
    </w:rPr>
  </w:style>
  <w:style w:type="character" w:styleId="646" w:customStyle="1">
    <w:name w:val="Title Char"/>
    <w:basedOn w:val="610"/>
    <w:link w:val="631"/>
    <w:uiPriority w:val="10"/>
    <w:qFormat/>
    <w:rPr>
      <w:sz w:val="48"/>
      <w:szCs w:val="48"/>
    </w:rPr>
  </w:style>
  <w:style w:type="character" w:styleId="647" w:customStyle="1">
    <w:name w:val="Subtitle Char"/>
    <w:basedOn w:val="610"/>
    <w:link w:val="624"/>
    <w:uiPriority w:val="11"/>
    <w:rPr>
      <w:sz w:val="24"/>
      <w:szCs w:val="24"/>
    </w:rPr>
  </w:style>
  <w:style w:type="paragraph" w:styleId="648">
    <w:name w:val="Quote"/>
    <w:basedOn w:val="600"/>
    <w:next w:val="600"/>
    <w:link w:val="649"/>
    <w:uiPriority w:val="29"/>
    <w:qFormat/>
    <w:pPr>
      <w:ind w:left="720" w:right="720"/>
    </w:pPr>
    <w:rPr>
      <w:i/>
    </w:rPr>
  </w:style>
  <w:style w:type="character" w:styleId="649" w:customStyle="1">
    <w:name w:val="Quote Char"/>
    <w:link w:val="648"/>
    <w:uiPriority w:val="29"/>
    <w:rPr>
      <w:i/>
    </w:rPr>
  </w:style>
  <w:style w:type="paragraph" w:styleId="650">
    <w:name w:val="Intense Quote"/>
    <w:basedOn w:val="600"/>
    <w:next w:val="600"/>
    <w:link w:val="6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1" w:customStyle="1">
    <w:name w:val="Intense Quote Char"/>
    <w:link w:val="650"/>
    <w:uiPriority w:val="30"/>
    <w:qFormat/>
    <w:rPr>
      <w:i/>
    </w:rPr>
  </w:style>
  <w:style w:type="character" w:styleId="652" w:customStyle="1">
    <w:name w:val="Header Char"/>
    <w:basedOn w:val="610"/>
    <w:uiPriority w:val="99"/>
  </w:style>
  <w:style w:type="character" w:styleId="653" w:customStyle="1">
    <w:name w:val="Footer Char"/>
    <w:basedOn w:val="610"/>
    <w:uiPriority w:val="99"/>
  </w:style>
  <w:style w:type="character" w:styleId="654" w:customStyle="1">
    <w:name w:val="Caption Char"/>
    <w:uiPriority w:val="99"/>
    <w:qFormat/>
  </w:style>
  <w:style w:type="table" w:styleId="655" w:customStyle="1">
    <w:name w:val="Table Grid Light"/>
    <w:basedOn w:val="6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56" w:customStyle="1">
    <w:name w:val="Plain Table 1"/>
    <w:basedOn w:val="61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7" w:customStyle="1">
    <w:name w:val="Plain Table 2"/>
    <w:basedOn w:val="61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8" w:customStyle="1">
    <w:name w:val="Plain Table 3"/>
    <w:basedOn w:val="6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9" w:customStyle="1">
    <w:name w:val="Plain Table 4"/>
    <w:basedOn w:val="6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0" w:customStyle="1">
    <w:name w:val="Plain Table 5"/>
    <w:basedOn w:val="61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61" w:customStyle="1">
    <w:name w:val="Grid Table 1 Light"/>
    <w:basedOn w:val="61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2" w:customStyle="1">
    <w:name w:val="Grid Table 1 Light - Accent 1"/>
    <w:basedOn w:val="61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63" w:customStyle="1">
    <w:name w:val="Grid Table 1 Light - Accent 2"/>
    <w:basedOn w:val="611"/>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3"/>
    <w:basedOn w:val="611"/>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4"/>
    <w:basedOn w:val="6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66" w:customStyle="1">
    <w:name w:val="Grid Table 1 Light - Accent 5"/>
    <w:basedOn w:val="61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67" w:customStyle="1">
    <w:name w:val="Grid Table 1 Light - Accent 6"/>
    <w:basedOn w:val="6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68" w:customStyle="1">
    <w:name w:val="Grid Table 2"/>
    <w:basedOn w:val="6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69" w:customStyle="1">
    <w:name w:val="Grid Table 2 - Accent 1"/>
    <w:basedOn w:val="611"/>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70" w:customStyle="1">
    <w:name w:val="Grid Table 2 - Accent 2"/>
    <w:basedOn w:val="6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71" w:customStyle="1">
    <w:name w:val="Grid Table 2 - Accent 3"/>
    <w:basedOn w:val="6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72" w:customStyle="1">
    <w:name w:val="Grid Table 2 - Accent 4"/>
    <w:basedOn w:val="611"/>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73" w:customStyle="1">
    <w:name w:val="Grid Table 2 - Accent 5"/>
    <w:basedOn w:val="61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74" w:customStyle="1">
    <w:name w:val="Grid Table 2 - Accent 6"/>
    <w:basedOn w:val="611"/>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75" w:customStyle="1">
    <w:name w:val="Grid Table 3"/>
    <w:basedOn w:val="6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6" w:customStyle="1">
    <w:name w:val="Grid Table 3 - Accent 1"/>
    <w:basedOn w:val="61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3 - Accent 2"/>
    <w:basedOn w:val="61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3"/>
    <w:basedOn w:val="61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4"/>
    <w:basedOn w:val="61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3 - Accent 5"/>
    <w:basedOn w:val="611"/>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1" w:customStyle="1">
    <w:name w:val="Grid Table 3 - Accent 6"/>
    <w:basedOn w:val="61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2" w:customStyle="1">
    <w:name w:val="Grid Table 4"/>
    <w:basedOn w:val="6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3" w:customStyle="1">
    <w:name w:val="Grid Table 4 - Accent 1"/>
    <w:basedOn w:val="61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684" w:customStyle="1">
    <w:name w:val="Grid Table 4 - Accent 2"/>
    <w:basedOn w:val="611"/>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685" w:customStyle="1">
    <w:name w:val="Grid Table 4 - Accent 3"/>
    <w:basedOn w:val="61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686" w:customStyle="1">
    <w:name w:val="Grid Table 4 - Accent 4"/>
    <w:basedOn w:val="61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687" w:customStyle="1">
    <w:name w:val="Grid Table 4 - Accent 5"/>
    <w:basedOn w:val="61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688" w:customStyle="1">
    <w:name w:val="Grid Table 4 - Accent 6"/>
    <w:basedOn w:val="61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689" w:customStyle="1">
    <w:name w:val="Grid Table 5 Dark"/>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0" w:customStyle="1">
    <w:name w:val="Grid Table 5 Dark- Accent 1"/>
    <w:basedOn w:val="6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691" w:customStyle="1">
    <w:name w:val="Grid Table 5 Dark - Accent 2"/>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692" w:customStyle="1">
    <w:name w:val="Grid Table 5 Dark - Accent 3"/>
    <w:basedOn w:val="6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693" w:customStyle="1">
    <w:name w:val="Grid Table 5 Dark- Accent 4"/>
    <w:basedOn w:val="61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694" w:customStyle="1">
    <w:name w:val="Grid Table 5 Dark - Accent 5"/>
    <w:basedOn w:val="6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695" w:customStyle="1">
    <w:name w:val="Grid Table 5 Dark - Accent 6"/>
    <w:basedOn w:val="6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696" w:customStyle="1">
    <w:name w:val="Grid Table 6 Colorful"/>
    <w:basedOn w:val="61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7" w:customStyle="1">
    <w:name w:val="Grid Table 6 Colorful - Accent 1"/>
    <w:basedOn w:val="611"/>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698" w:customStyle="1">
    <w:name w:val="Grid Table 6 Colorful - Accent 2"/>
    <w:basedOn w:val="6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699" w:customStyle="1">
    <w:name w:val="Grid Table 6 Colorful - Accent 3"/>
    <w:basedOn w:val="611"/>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00" w:customStyle="1">
    <w:name w:val="Grid Table 6 Colorful - Accent 4"/>
    <w:basedOn w:val="6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01" w:customStyle="1">
    <w:name w:val="Grid Table 6 Colorful - Accent 5"/>
    <w:basedOn w:val="61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02" w:customStyle="1">
    <w:name w:val="Grid Table 6 Colorful - Accent 6"/>
    <w:basedOn w:val="611"/>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03" w:customStyle="1">
    <w:name w:val="Grid Table 7 Colorful"/>
    <w:basedOn w:val="61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4" w:customStyle="1">
    <w:name w:val="Grid Table 7 Colorful - Accent 1"/>
    <w:basedOn w:val="611"/>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05" w:customStyle="1">
    <w:name w:val="Grid Table 7 Colorful - Accent 2"/>
    <w:basedOn w:val="611"/>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06" w:customStyle="1">
    <w:name w:val="Grid Table 7 Colorful - Accent 3"/>
    <w:basedOn w:val="611"/>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07" w:customStyle="1">
    <w:name w:val="Grid Table 7 Colorful - Accent 4"/>
    <w:basedOn w:val="611"/>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08" w:customStyle="1">
    <w:name w:val="Grid Table 7 Colorful - Accent 5"/>
    <w:basedOn w:val="611"/>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09" w:customStyle="1">
    <w:name w:val="Grid Table 7 Colorful - Accent 6"/>
    <w:basedOn w:val="611"/>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10" w:customStyle="1">
    <w:name w:val="List Table 1 Light"/>
    <w:basedOn w:val="61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customStyle="1">
    <w:name w:val="List Table 1 Light - Accent 1"/>
    <w:basedOn w:val="61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12" w:customStyle="1">
    <w:name w:val="List Table 1 Light - Accent 2"/>
    <w:basedOn w:val="61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13" w:customStyle="1">
    <w:name w:val="List Table 1 Light - Accent 3"/>
    <w:basedOn w:val="611"/>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14" w:customStyle="1">
    <w:name w:val="List Table 1 Light - Accent 4"/>
    <w:basedOn w:val="611"/>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15" w:customStyle="1">
    <w:name w:val="List Table 1 Light - Accent 5"/>
    <w:basedOn w:val="611"/>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16" w:customStyle="1">
    <w:name w:val="List Table 1 Light - Accent 6"/>
    <w:basedOn w:val="611"/>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17" w:customStyle="1">
    <w:name w:val="List Table 2"/>
    <w:basedOn w:val="61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8" w:customStyle="1">
    <w:name w:val="List Table 2 - Accent 1"/>
    <w:basedOn w:val="61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19" w:customStyle="1">
    <w:name w:val="List Table 2 - Accent 2"/>
    <w:basedOn w:val="611"/>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20" w:customStyle="1">
    <w:name w:val="List Table 2 - Accent 3"/>
    <w:basedOn w:val="611"/>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21" w:customStyle="1">
    <w:name w:val="List Table 2 - Accent 4"/>
    <w:basedOn w:val="61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22" w:customStyle="1">
    <w:name w:val="List Table 2 - Accent 5"/>
    <w:basedOn w:val="611"/>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23" w:customStyle="1">
    <w:name w:val="List Table 2 - Accent 6"/>
    <w:basedOn w:val="611"/>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24" w:customStyle="1">
    <w:name w:val="List Table 3"/>
    <w:basedOn w:val="6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3 - Accent 1"/>
    <w:basedOn w:val="611"/>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26" w:customStyle="1">
    <w:name w:val="List Table 3 - Accent 2"/>
    <w:basedOn w:val="611"/>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27" w:customStyle="1">
    <w:name w:val="List Table 3 - Accent 3"/>
    <w:basedOn w:val="611"/>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28" w:customStyle="1">
    <w:name w:val="List Table 3 - Accent 4"/>
    <w:basedOn w:val="611"/>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29" w:customStyle="1">
    <w:name w:val="List Table 3 - Accent 5"/>
    <w:basedOn w:val="611"/>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30" w:customStyle="1">
    <w:name w:val="List Table 3 - Accent 6"/>
    <w:basedOn w:val="611"/>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31" w:customStyle="1">
    <w:name w:val="List Table 4"/>
    <w:basedOn w:val="61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 Accent 1"/>
    <w:basedOn w:val="611"/>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33" w:customStyle="1">
    <w:name w:val="List Table 4 - Accent 2"/>
    <w:basedOn w:val="611"/>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34" w:customStyle="1">
    <w:name w:val="List Table 4 - Accent 3"/>
    <w:basedOn w:val="611"/>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35" w:customStyle="1">
    <w:name w:val="List Table 4 - Accent 4"/>
    <w:basedOn w:val="611"/>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36" w:customStyle="1">
    <w:name w:val="List Table 4 - Accent 5"/>
    <w:basedOn w:val="61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37" w:customStyle="1">
    <w:name w:val="List Table 4 - Accent 6"/>
    <w:basedOn w:val="611"/>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38" w:customStyle="1">
    <w:name w:val="List Table 5 Dark"/>
    <w:basedOn w:val="61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9" w:customStyle="1">
    <w:name w:val="List Table 5 Dark - Accent 1"/>
    <w:basedOn w:val="611"/>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5 Dark - Accent 2"/>
    <w:basedOn w:val="611"/>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1" w:customStyle="1">
    <w:name w:val="List Table 5 Dark - Accent 3"/>
    <w:basedOn w:val="61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5 Dark - Accent 4"/>
    <w:basedOn w:val="61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5 Dark - Accent 5"/>
    <w:basedOn w:val="611"/>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4" w:customStyle="1">
    <w:name w:val="List Table 5 Dark - Accent 6"/>
    <w:basedOn w:val="611"/>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1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6 Colorful - Accent 1"/>
    <w:basedOn w:val="611"/>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47" w:customStyle="1">
    <w:name w:val="List Table 6 Colorful - Accent 2"/>
    <w:basedOn w:val="611"/>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48" w:customStyle="1">
    <w:name w:val="List Table 6 Colorful - Accent 3"/>
    <w:basedOn w:val="611"/>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49" w:customStyle="1">
    <w:name w:val="List Table 6 Colorful - Accent 4"/>
    <w:basedOn w:val="61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50" w:customStyle="1">
    <w:name w:val="List Table 6 Colorful - Accent 5"/>
    <w:basedOn w:val="611"/>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51" w:customStyle="1">
    <w:name w:val="List Table 6 Colorful - Accent 6"/>
    <w:basedOn w:val="611"/>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52" w:customStyle="1">
    <w:name w:val="List Table 7 Colorful"/>
    <w:basedOn w:val="61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7 Colorful - Accent 1"/>
    <w:basedOn w:val="61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54" w:customStyle="1">
    <w:name w:val="List Table 7 Colorful - Accent 2"/>
    <w:basedOn w:val="611"/>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5" w:customStyle="1">
    <w:name w:val="List Table 7 Colorful - Accent 3"/>
    <w:basedOn w:val="611"/>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56" w:customStyle="1">
    <w:name w:val="List Table 7 Colorful - Accent 4"/>
    <w:basedOn w:val="611"/>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7" w:customStyle="1">
    <w:name w:val="List Table 7 Colorful - Accent 5"/>
    <w:basedOn w:val="61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58" w:customStyle="1">
    <w:name w:val="List Table 7 Colorful - Accent 6"/>
    <w:basedOn w:val="611"/>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59" w:customStyle="1">
    <w:name w:val="Lined - Accent"/>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0" w:customStyle="1">
    <w:name w:val="Lined - Accent 1"/>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61" w:customStyle="1">
    <w:name w:val="Lined - Accent 2"/>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62" w:customStyle="1">
    <w:name w:val="Lined - Accent 3"/>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63" w:customStyle="1">
    <w:name w:val="Lined - Accent 4"/>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64" w:customStyle="1">
    <w:name w:val="Lined - Accent 5"/>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65" w:customStyle="1">
    <w:name w:val="Lined - Accent 6"/>
    <w:basedOn w:val="6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66" w:customStyle="1">
    <w:name w:val="Bordered &amp; Lined - Accent"/>
    <w:basedOn w:val="6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7" w:customStyle="1">
    <w:name w:val="Bordered &amp; Lined - Accent 1"/>
    <w:basedOn w:val="61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68" w:customStyle="1">
    <w:name w:val="Bordered &amp; Lined - Accent 2"/>
    <w:basedOn w:val="61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69" w:customStyle="1">
    <w:name w:val="Bordered &amp; Lined - Accent 3"/>
    <w:basedOn w:val="61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70" w:customStyle="1">
    <w:name w:val="Bordered &amp; Lined - Accent 4"/>
    <w:basedOn w:val="61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71" w:customStyle="1">
    <w:name w:val="Bordered &amp; Lined - Accent 5"/>
    <w:basedOn w:val="61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72" w:customStyle="1">
    <w:name w:val="Bordered &amp; Lined - Accent 6"/>
    <w:basedOn w:val="61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73" w:customStyle="1">
    <w:name w:val="Bordered"/>
    <w:basedOn w:val="6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4" w:customStyle="1">
    <w:name w:val="Bordered - Accent 1"/>
    <w:basedOn w:val="61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75" w:customStyle="1">
    <w:name w:val="Bordered - Accent 2"/>
    <w:basedOn w:val="61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76" w:customStyle="1">
    <w:name w:val="Bordered - Accent 3"/>
    <w:basedOn w:val="61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77" w:customStyle="1">
    <w:name w:val="Bordered - Accent 4"/>
    <w:basedOn w:val="61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778" w:customStyle="1">
    <w:name w:val="Bordered - Accent 5"/>
    <w:basedOn w:val="61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779" w:customStyle="1">
    <w:name w:val="Bordered - Accent 6"/>
    <w:basedOn w:val="61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780" w:customStyle="1">
    <w:name w:val="Footnote Text Char"/>
    <w:link w:val="625"/>
    <w:uiPriority w:val="99"/>
    <w:qFormat/>
    <w:rPr>
      <w:sz w:val="18"/>
    </w:rPr>
  </w:style>
  <w:style w:type="character" w:styleId="781" w:customStyle="1">
    <w:name w:val="Endnote Text Char"/>
    <w:link w:val="619"/>
    <w:uiPriority w:val="99"/>
    <w:qFormat/>
    <w:rPr>
      <w:sz w:val="20"/>
    </w:rPr>
  </w:style>
  <w:style w:type="paragraph" w:styleId="782" w:customStyle="1">
    <w:name w:val="TOC Heading"/>
    <w:uiPriority w:val="39"/>
    <w:unhideWhenUsed/>
    <w:qFormat/>
    <w:rPr>
      <w:rFonts w:hint="default" w:ascii="Times New Roman" w:hAnsi="Times New Roman" w:eastAsia="宋体" w:cs="Times New Roman"/>
    </w:rPr>
  </w:style>
  <w:style w:type="character" w:styleId="783" w:customStyle="1">
    <w:name w:val="页眉 字符"/>
    <w:basedOn w:val="610"/>
    <w:link w:val="621"/>
    <w:uiPriority w:val="0"/>
    <w:qFormat/>
    <w:rPr>
      <w:rFonts w:asciiTheme="minorHAnsi" w:hAnsiTheme="minorHAnsi" w:eastAsiaTheme="minorEastAsia" w:cstheme="minorBidi"/>
      <w:sz w:val="18"/>
      <w:szCs w:val="18"/>
    </w:rPr>
  </w:style>
  <w:style w:type="character" w:styleId="784" w:customStyle="1">
    <w:name w:val="页脚 字符"/>
    <w:basedOn w:val="610"/>
    <w:link w:val="620"/>
    <w:uiPriority w:val="0"/>
    <w:qFormat/>
    <w:rPr>
      <w:rFonts w:asciiTheme="minorHAnsi" w:hAnsiTheme="minorHAnsi" w:eastAsiaTheme="minorEastAsia" w:cstheme="minorBidi"/>
      <w:sz w:val="18"/>
      <w:szCs w:val="18"/>
    </w:rPr>
  </w:style>
  <w:style w:type="paragraph" w:styleId="785" w:customStyle="1">
    <w:name w:val="正文首行缩进 21"/>
    <w:basedOn w:val="786"/>
    <w:uiPriority w:val="0"/>
    <w:qFormat/>
    <w:pPr>
      <w:ind w:firstLine="420"/>
    </w:pPr>
  </w:style>
  <w:style w:type="paragraph" w:styleId="786" w:customStyle="1">
    <w:name w:val="正文文本缩进1"/>
    <w:basedOn w:val="600"/>
    <w:uiPriority w:val="0"/>
    <w:qFormat/>
    <w:pPr>
      <w:ind w:left="420"/>
      <w:spacing w:after="120"/>
    </w:pPr>
  </w:style>
  <w:style w:type="character" w:styleId="787" w:customStyle="1">
    <w:name w:val="普通(网站) 字符"/>
    <w:link w:val="630"/>
    <w:uiPriority w:val="99"/>
    <w:qFormat/>
    <w:rPr>
      <w:rFonts w:asciiTheme="minorHAnsi" w:hAnsiTheme="minorHAnsi" w:eastAsiaTheme="minorEastAsia"/>
      <w:sz w:val="24"/>
      <w:szCs w:val="24"/>
    </w:rPr>
  </w:style>
  <w:style w:type="character" w:styleId="788" w:customStyle="1">
    <w:name w:val="Heading 4 Char"/>
    <w:basedOn w:val="610"/>
    <w:uiPriority w:val="9"/>
    <w:qFormat/>
    <w:rPr>
      <w:rFonts w:ascii="Arial" w:hAnsi="Arial" w:eastAsia="Arial" w:cs="Arial"/>
      <w:b/>
      <w:bCs/>
      <w:sz w:val="26"/>
      <w:szCs w:val="26"/>
    </w:rPr>
  </w:style>
  <w:style w:type="paragraph" w:styleId="789" w:customStyle="1">
    <w:name w:val="普通正文"/>
    <w:basedOn w:val="600"/>
    <w:uiPriority w:val="0"/>
    <w:qFormat/>
    <w:pPr>
      <w:ind w:firstLine="480"/>
      <w:jc w:val="left"/>
      <w:spacing w:before="120" w:after="120" w:line="360" w:lineRule="auto"/>
    </w:pPr>
    <w:rPr>
      <w:rFonts w:ascii="Arial" w:hAnsi="Arial" w:eastAsia="等线" w:cs="Arial"/>
      <w:sz w:val="24"/>
    </w:rPr>
  </w:style>
  <w:style w:type="character" w:styleId="790" w:customStyle="1">
    <w:name w:val="纯文本 字符"/>
    <w:basedOn w:val="610"/>
    <w:link w:val="617"/>
    <w:uiPriority w:val="0"/>
    <w:qFormat/>
    <w:rPr>
      <w:rFonts w:ascii="宋体" w:hAnsi="Courier New" w:eastAsiaTheme="minorEastAsia" w:cstheme="minorBidi"/>
      <w:sz w:val="21"/>
    </w:rPr>
  </w:style>
  <w:style w:type="paragraph" w:styleId="791" w:customStyle="1">
    <w:name w:val="正文_0_0"/>
    <w:uiPriority w:val="0"/>
    <w:qFormat/>
    <w:pPr>
      <w:jc w:val="both"/>
      <w:widowControl w:val="off"/>
    </w:pPr>
    <w:rPr>
      <w:rFonts w:hint="default" w:ascii="Calibri" w:hAnsi="Calibri" w:eastAsia="宋体" w:cs="Times New Roman"/>
      <w:sz w:val="21"/>
      <w:szCs w:val="22"/>
    </w:rPr>
  </w:style>
  <w:style w:type="numbering" w:styleId="6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9a4a9d0a-9ca8-4daf-95e3-c2376e4ce2a0</errorID>
      <errorWord>（</errorWord>
      <group>L1_Punc</group>
      <groupName>标点问题</groupName>
      <ability>L2_Punc_CN</ability>
      <abilityName>标点符号问题</abilityName>
      <candidateList/>
      <explain>同一形式括号套用。</explain>
      <paraID>23933E2B</paraID>
      <start>117</start>
      <end>118</end>
      <status>unmodified</status>
      <modifiedWord/>
      <trackRevisions>false</trackRevisions>
    </reviewItem>
    <reviewItem>
      <errorID>bec661e0-a4cb-438f-9201-eabb026a0dea</errorID>
      <errorWord>）</errorWord>
      <group>L1_Punc</group>
      <groupName>标点问题</groupName>
      <ability>L2_Punc_CN</ability>
      <abilityName>标点符号问题</abilityName>
      <candidateList/>
      <explain>同一形式括号套用。</explain>
      <paraID>23933E2B</paraID>
      <start>128</start>
      <end>129</end>
      <status>unmodified</status>
      <modifiedWord/>
      <trackRevisions>false</trackRevisions>
    </reviewItem>
    <reviewItem>
      <errorID>a8d846e3-c424-4ef1-84b1-d9cd21e4a157</errorID>
      <errorWord>《</errorWord>
      <group>L1_Punc</group>
      <groupName>标点问题</groupName>
      <ability>L2_Punc_CN</ability>
      <abilityName>标点符号问题</abilityName>
      <candidateList/>
      <explain>同一形式括号套用。</explain>
      <paraID>24341DA6</paraID>
      <start>33</start>
      <end>34</end>
      <status>unmodified</status>
      <modifiedWord/>
      <trackRevisions>false</trackRevisions>
    </reviewItem>
    <reviewItem>
      <errorID>706d3227-8549-4a41-96ff-711583508975</errorID>
      <errorWord>》</errorWord>
      <group>L1_Punc</group>
      <groupName>标点问题</groupName>
      <ability>L2_Punc_CN</ability>
      <abilityName>标点符号问题</abilityName>
      <candidateList/>
      <explain>同一形式括号套用。</explain>
      <paraID>24341DA6</paraID>
      <start>50</start>
      <end>51</end>
      <status>unmodified</status>
      <modifiedWord/>
      <trackRevisions>false</trackRevisions>
    </reviewItem>
    <reviewItem>
      <errorID>c042a2c2-c0f0-444a-9752-f6c6514b5f71</errorID>
      <errorWord>《</errorWord>
      <group>L1_Punc</group>
      <groupName>标点问题</groupName>
      <ability>L2_Punc_CN</ability>
      <abilityName>标点符号问题</abilityName>
      <candidateList/>
      <explain>同一形式括号套用。</explain>
      <paraID>24341DA6</paraID>
      <start>51</start>
      <end>52</end>
      <status>unmodified</status>
      <modifiedWord/>
      <trackRevisions>false</trackRevisions>
    </reviewItem>
    <reviewItem>
      <errorID>6a39f5f2-5b45-4581-8315-77e7103be01d</errorID>
      <errorWord>》</errorWord>
      <group>L1_Punc</group>
      <groupName>标点问题</groupName>
      <ability>L2_Punc_CN</ability>
      <abilityName>标点符号问题</abilityName>
      <candidateList/>
      <explain>同一形式括号套用。</explain>
      <paraID>24341DA6</paraID>
      <start>68</start>
      <end>69</end>
      <status>unmodified</status>
      <modifiedWord/>
      <trackRevisions>false</trackRevisions>
    </reviewItem>
    <reviewItem>
      <errorID>08b096f3-28a3-4016-a1a9-339fa53cede0</errorID>
      <errorWord>(</errorWord>
      <group>L1_Format</group>
      <groupName>格式问题</groupName>
      <ability>L2_HalfPunc_CN</ability>
      <abilityName>全半角问题</abilityName>
      <candidateList>
        <item>（</item>
      </candidateList>
      <explain>文本全半角错误。</explain>
      <paraID>7A25E956</paraID>
      <start>44</start>
      <end>45</end>
      <status>unmodified</status>
      <modifiedWord/>
      <trackRevisions>false</trackRevisions>
    </reviewItem>
    <reviewItem>
      <errorID>c4251169-ee8d-4e4e-b0c3-ba84b43620fe</errorID>
      <errorWord>)</errorWord>
      <group>L1_Format</group>
      <groupName>格式问题</groupName>
      <ability>L2_HalfPunc_CN</ability>
      <abilityName>全半角问题</abilityName>
      <candidateList>
        <item>）</item>
      </candidateList>
      <explain>文本全半角错误。</explain>
      <paraID>7A25E956</paraID>
      <start>52</start>
      <end>53</end>
      <status>unmodified</status>
      <modifiedWord/>
      <trackRevisions>false</trackRevisions>
    </reviewItem>
    <reviewItem>
      <errorID>f9c6d3da-51a8-418f-984d-b0b138bed561</errorID>
      <errorWord>及时结算，</errorWord>
      <group>L1_Word</group>
      <groupName>字词问题</groupName>
      <ability>L2_Typo</ability>
      <abilityName>字词错误</abilityName>
      <candidateList>
        <item>即时结算，</item>
      </candidateList>
      <explain/>
      <paraID>7A25E956</paraID>
      <start>63</start>
      <end>68</end>
      <status>unmodified</status>
      <modifiedWord/>
      <trackRevisions>false</trackRevisions>
    </reviewItem>
    <reviewItem>
      <errorID>3c2d37c4-ed34-41ab-9163-0f9f0a026fe3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CED39ED</paraID>
      <start>56</start>
      <end>59</end>
      <status>unmodified</status>
      <modifiedWord/>
      <trackRevisions>false</trackRevisions>
    </reviewItem>
    <reviewItem>
      <errorID>33cf3fb2-0ab4-4524-93ab-cea39aa026bb</errorID>
      <errorWord>(</errorWord>
      <group>L1_Format</group>
      <groupName>格式问题</groupName>
      <ability>L2_HalfPunc_CN</ability>
      <abilityName>全半角问题</abilityName>
      <candidateList>
        <item>（</item>
      </candidateList>
      <explain>文本全半角错误。</explain>
      <paraID>4D0AA297</paraID>
      <start>44</start>
      <end>45</end>
      <status>unmodified</status>
      <modifiedWord/>
      <trackRevisions>false</trackRevisions>
    </reviewItem>
    <reviewItem>
      <errorID>251812a7-af45-40a1-8d87-2336378d6d31</errorID>
      <errorWord>)</errorWord>
      <group>L1_Format</group>
      <groupName>格式问题</groupName>
      <ability>L2_HalfPunc_CN</ability>
      <abilityName>全半角问题</abilityName>
      <candidateList>
        <item>）</item>
      </candidateList>
      <explain>文本全半角错误。</explain>
      <paraID>4D0AA297</paraID>
      <start>52</start>
      <end>53</end>
      <status>unmodified</status>
      <modifiedWord/>
      <trackRevisions>false</trackRevisions>
    </reviewItem>
    <reviewItem>
      <errorID>3bc3410f-a44b-48f1-b947-c974a17b6c90</errorID>
      <errorWord>及时结算，</errorWord>
      <group>L1_Word</group>
      <groupName>字词问题</groupName>
      <ability>L2_Typo</ability>
      <abilityName>字词错误</abilityName>
      <candidateList>
        <item>即时结算，</item>
      </candidateList>
      <explain/>
      <paraID>4D0AA297</paraID>
      <start>63</start>
      <end>68</end>
      <status>unmodified</status>
      <modifiedWord/>
      <trackRevisions>false</trackRevisions>
    </reviewItem>
  </reviewItems>
  <config/>
</contractReview>
</file>

<file path=customXml/itemProps1.xml><?xml version="1.0" encoding="utf-8"?>
<ds:datastoreItem xmlns:ds="http://schemas.openxmlformats.org/officeDocument/2006/customXml" ds:itemID="{1C6FB2CD-8E6D-46C5-ADF8-879D72648AE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陈婷</cp:lastModifiedBy>
  <cp:revision>88</cp:revision>
  <dcterms:created xsi:type="dcterms:W3CDTF">2014-10-29T12:08:00Z</dcterms:created>
  <dcterms:modified xsi:type="dcterms:W3CDTF">2026-09-21T00:59:22Z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80706E27284341BD87DEA11C4D02DF55_13</vt:lpwstr>
  </property>
  <property fmtid="{D5CDD505-2E9C-101B-9397-08002B2CF9AE}" pid="4" name="KSOTemplateDocerSaveRecord">
    <vt:lpwstr>eyJoZGlkIjoiNDY4YTEyMGQ2MzE4MDk0ZWNhMjA3ZDQ5MGZlNjJlZjQiLCJ1c2VySWQiOiI4MDA4ODQ5NjEifQ==</vt:lpwstr>
  </property>
</Properties>
</file>