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pStyle w:val="1205"/>
        <w:rPr>
          <w:color w:val="000000"/>
          <w:highlight w:val="none"/>
        </w:rPr>
      </w:pPr>
      <w:r>
        <w:rPr>
          <w:color w:val="000000"/>
          <w:highlight w:val="none"/>
        </w:rPr>
      </w:r>
      <w:r/>
    </w:p>
    <w:p>
      <w:pPr>
        <w:pStyle w:val="1206"/>
      </w:p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207"/>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205"/>
        <w:rPr>
          <w:color w:val="000000"/>
          <w:highlight w:val="none"/>
        </w:rPr>
      </w:pPr>
      <w:r>
        <w:rPr>
          <w:color w:val="000000"/>
          <w:highlight w:val="none"/>
        </w:rPr>
      </w:r>
      <w:r/>
    </w:p>
    <w:p>
      <w:pPr>
        <w:pStyle w:val="1207"/>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06"/>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06"/>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06"/>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06"/>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06"/>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firstLine="0"/>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 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锡山区云林街道社区卫生服务中心彩超采购</w:t>
      </w:r>
      <w:r>
        <w:rPr>
          <w:rFonts w:hint="eastAsia" w:ascii="宋体" w:hAnsi="宋体" w:eastAsia="宋体" w:cs="宋体"/>
          <w:b/>
          <w:color w:val="000000"/>
          <w:sz w:val="32"/>
          <w:szCs w:val="32"/>
          <w:highlight w:val="none"/>
          <w:lang w:val="en-US" w:eastAsia="zh-CN"/>
        </w:rPr>
        <w:t xml:space="preserve">项目</w:t>
      </w:r>
      <w:r/>
    </w:p>
    <w:p>
      <w:pPr>
        <w:ind w:firstLine="0"/>
        <w:jc w:val="left"/>
        <w:spacing w:line="360" w:lineRule="auto"/>
        <w:rPr>
          <w:rFonts w:hint="default" w:ascii="宋体" w:hAnsi="宋体" w:eastAsia="宋体" w:cs="宋体"/>
          <w:b/>
          <w:bCs/>
          <w:color w:val="000000"/>
          <w:spacing w:val="108"/>
          <w:sz w:val="32"/>
          <w:szCs w:val="32"/>
          <w:highlight w:val="yellow"/>
          <w:lang w:val="en-US" w:eastAsia="zh-CN"/>
        </w:rPr>
      </w:pPr>
      <w:r>
        <w:rPr>
          <w:rFonts w:hint="eastAsia" w:ascii="宋体" w:hAnsi="宋体" w:eastAsia="宋体" w:cs="宋体"/>
          <w:b/>
          <w:color w:val="000000"/>
          <w:spacing w:val="108"/>
          <w:sz w:val="32"/>
          <w:szCs w:val="32"/>
          <w:highlight w:val="none"/>
        </w:rPr>
        <w:t xml:space="preserve"> 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JSZC-320205-JZCG-G2026-0043</w:t>
      </w:r>
      <w:r/>
    </w:p>
    <w:p>
      <w:pPr>
        <w:ind w:firstLine="0"/>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bCs/>
          <w:color w:val="000000"/>
          <w:spacing w:val="108"/>
          <w:sz w:val="32"/>
          <w:szCs w:val="32"/>
          <w:highlight w:val="none"/>
        </w:rPr>
        <w:t xml:space="preserve"> 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val="en-US" w:eastAsia="zh-CN"/>
        </w:rPr>
        <w:t xml:space="preserve">无锡市锡山区云林街道社区卫生服务中心</w:t>
      </w:r>
      <w:r/>
    </w:p>
    <w:p>
      <w:pPr>
        <w:ind w:firstLine="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  集中采购机构：无锡市公共资源交易中心锡山分中心</w:t>
      </w:r>
      <w:r/>
    </w:p>
    <w:p>
      <w:pPr>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643"/>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hint="eastAsia"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八</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二十</w:t>
      </w:r>
      <w:r>
        <w:rPr>
          <w:rFonts w:hint="eastAsia" w:ascii="宋体" w:hAnsi="宋体"/>
          <w:b/>
          <w:color w:val="000000"/>
          <w:sz w:val="40"/>
          <w:szCs w:val="40"/>
          <w:highlight w:val="none"/>
          <w:lang w:val="en-US" w:eastAsia="zh-CN"/>
        </w:rPr>
      </w:r>
      <w:r>
        <w:rPr>
          <w:rFonts w:hint="eastAsia" w:ascii="宋体" w:hAnsi="宋体"/>
          <w:b/>
          <w:color w:val="000000"/>
          <w:sz w:val="40"/>
          <w:szCs w:val="40"/>
          <w:highlight w:val="none"/>
        </w:rPr>
        <w:t xml:space="preserve">日</w:t>
      </w:r>
      <w:r/>
    </w:p>
    <w:p>
      <w:pPr>
        <w:rPr>
          <w:rStyle w:val="1209"/>
          <w:rFonts w:eastAsia="黑体"/>
          <w:bCs/>
          <w:sz w:val="48"/>
          <w:highlight w:val="none"/>
        </w:rPr>
      </w:pPr>
      <w:r>
        <w:rPr>
          <w:rFonts w:eastAsia="黑体"/>
          <w:bCs/>
          <w:sz w:val="48"/>
          <w:highlight w:val="none"/>
        </w:rPr>
      </w:r>
      <w:r/>
    </w:p>
    <w:p>
      <w:pPr>
        <w:rPr>
          <w:rStyle w:val="1209"/>
          <w:rFonts w:eastAsia="黑体"/>
          <w:bCs/>
          <w:sz w:val="48"/>
          <w:highlight w:val="none"/>
        </w:rPr>
        <w:sectPr>
          <w:headerReference w:type="default" r:id="rId9"/>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209"/>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205"/>
        <w:rPr>
          <w:color w:val="000000"/>
          <w:highlight w:val="none"/>
        </w:rPr>
      </w:pPr>
      <w:r>
        <w:rPr>
          <w:color w:val="000000"/>
          <w:highlight w:val="none"/>
        </w:rPr>
      </w:r>
      <w:r/>
    </w:p>
    <w:p>
      <w:pPr>
        <w:pStyle w:val="1210"/>
        <w:jc w:val="both"/>
        <w:rPr>
          <w:rFonts w:ascii="宋体" w:hAnsi="宋体" w:eastAsia="宋体"/>
          <w:bCs/>
          <w:color w:val="000000"/>
          <w:highlight w:val="none"/>
        </w:rPr>
      </w:pPr>
      <w:r>
        <w:rPr>
          <w:rFonts w:hint="eastAsia" w:ascii="宋体" w:hAnsi="宋体" w:eastAsia="宋体"/>
          <w:bCs/>
          <w:color w:val="000000"/>
          <w:highlight w:val="none"/>
        </w:rPr>
        <w:t xml:space="preserve">一、投标邀请函................</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...................3</w:t>
      </w:r>
      <w:r/>
    </w:p>
    <w:p>
      <w:pPr>
        <w:pStyle w:val="1210"/>
        <w:rPr>
          <w:rFonts w:ascii="宋体" w:hAnsi="宋体" w:eastAsia="宋体"/>
          <w:bCs/>
          <w:color w:val="000000"/>
          <w:highlight w:val="none"/>
        </w:rPr>
      </w:pPr>
      <w:r>
        <w:rPr>
          <w:rFonts w:ascii="宋体" w:hAnsi="宋体" w:eastAsia="宋体"/>
          <w:bCs/>
          <w:color w:val="000000"/>
          <w:highlight w:val="none"/>
        </w:rPr>
      </w:r>
      <w:r/>
    </w:p>
    <w:p>
      <w:pPr>
        <w:pStyle w:val="1210"/>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6</w:t>
      </w:r>
      <w:r/>
    </w:p>
    <w:p>
      <w:pPr>
        <w:pStyle w:val="1210"/>
        <w:rPr>
          <w:rFonts w:ascii="宋体" w:hAnsi="宋体" w:eastAsia="宋体"/>
          <w:bCs/>
          <w:color w:val="000000"/>
          <w:highlight w:val="none"/>
        </w:rPr>
      </w:pPr>
      <w:r>
        <w:rPr>
          <w:rFonts w:ascii="宋体" w:hAnsi="宋体" w:eastAsia="宋体"/>
          <w:bCs/>
          <w:color w:val="000000"/>
          <w:highlight w:val="none"/>
        </w:rPr>
      </w:r>
      <w:r/>
    </w:p>
    <w:p>
      <w:pPr>
        <w:pStyle w:val="1210"/>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21</w:t>
      </w:r>
      <w:r/>
    </w:p>
    <w:p>
      <w:pPr>
        <w:pStyle w:val="1210"/>
        <w:rPr>
          <w:rFonts w:ascii="宋体" w:hAnsi="宋体" w:eastAsia="宋体"/>
          <w:bCs/>
          <w:color w:val="000000"/>
          <w:highlight w:val="none"/>
        </w:rPr>
      </w:pPr>
      <w:r>
        <w:rPr>
          <w:rFonts w:ascii="宋体" w:hAnsi="宋体" w:eastAsia="宋体"/>
          <w:bCs/>
          <w:color w:val="000000"/>
          <w:highlight w:val="none"/>
        </w:rPr>
      </w:r>
      <w:r/>
    </w:p>
    <w:p>
      <w:pPr>
        <w:pStyle w:val="1210"/>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48</w:t>
      </w:r>
      <w:r/>
    </w:p>
    <w:p>
      <w:pPr>
        <w:pStyle w:val="1210"/>
        <w:ind w:firstLine="320"/>
        <w:jc w:val="both"/>
        <w:rPr>
          <w:rFonts w:ascii="宋体" w:hAnsi="宋体" w:eastAsia="宋体"/>
          <w:bCs/>
          <w:color w:val="000000"/>
          <w:highlight w:val="none"/>
        </w:rPr>
      </w:pPr>
      <w:r>
        <w:rPr>
          <w:rFonts w:ascii="宋体" w:hAnsi="宋体" w:eastAsia="宋体"/>
          <w:bCs/>
          <w:color w:val="000000"/>
          <w:highlight w:val="none"/>
        </w:rPr>
      </w:r>
      <w:r/>
    </w:p>
    <w:p>
      <w:pPr>
        <w:pStyle w:val="1210"/>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w:t>
      </w:r>
      <w:r>
        <w:rPr>
          <w:rFonts w:hint="eastAsia" w:ascii="宋体" w:hAnsi="宋体" w:eastAsia="宋体"/>
          <w:bCs/>
          <w:color w:val="000000"/>
          <w:highlight w:val="none"/>
        </w:rPr>
        <w:t xml:space="preserve">..........</w:t>
      </w:r>
      <w:r>
        <w:rPr>
          <w:rFonts w:hint="eastAsia" w:ascii="宋体" w:hAnsi="宋体" w:eastAsia="宋体"/>
          <w:bCs/>
          <w:color w:val="000000"/>
          <w:highlight w:val="none"/>
          <w:lang w:val="en-US" w:eastAsia="zh-CN"/>
        </w:rPr>
        <w:t xml:space="preserve">64</w:t>
      </w:r>
      <w:r/>
    </w:p>
    <w:p>
      <w:pPr>
        <w:pStyle w:val="1205"/>
        <w:rPr>
          <w:color w:val="000000"/>
          <w:highlight w:val="none"/>
        </w:rPr>
      </w:pPr>
      <w:r>
        <w:rPr>
          <w:color w:val="000000"/>
          <w:highlight w:val="none"/>
        </w:rPr>
      </w:r>
      <w:r/>
    </w:p>
    <w:p>
      <w:pPr>
        <w:pStyle w:val="1210"/>
        <w:rPr>
          <w:rFonts w:ascii="宋体" w:hAnsi="宋体" w:eastAsia="宋体"/>
          <w:bCs/>
          <w:color w:val="000000"/>
          <w:highlight w:val="none"/>
        </w:rPr>
      </w:pPr>
      <w:r>
        <w:rPr>
          <w:rFonts w:ascii="宋体" w:hAnsi="宋体" w:eastAsia="宋体"/>
          <w:bCs/>
          <w:color w:val="000000"/>
          <w:highlight w:val="none"/>
        </w:rPr>
      </w:r>
      <w:r/>
    </w:p>
    <w:p>
      <w:pPr>
        <w:pStyle w:val="1210"/>
        <w:rPr>
          <w:rFonts w:ascii="宋体" w:hAnsi="宋体" w:eastAsia="宋体"/>
          <w:bCs/>
          <w:color w:val="000000"/>
          <w:highlight w:val="none"/>
        </w:rPr>
      </w:pPr>
      <w:r>
        <w:rPr>
          <w:rFonts w:ascii="宋体" w:hAnsi="宋体" w:eastAsia="宋体"/>
          <w:bCs/>
          <w:color w:val="000000"/>
          <w:highlight w:val="none"/>
        </w:rPr>
      </w:r>
      <w:r/>
    </w:p>
    <w:p>
      <w:pPr>
        <w:pStyle w:val="1210"/>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211"/>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212"/>
        <w:rPr>
          <w:rStyle w:val="1211"/>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无锡市锡山区云林街道社区卫生服务中心</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锡山区云林街道社区卫生服务中心彩超采购</w:t>
      </w:r>
      <w:r>
        <w:rPr>
          <w:rFonts w:hint="eastAsia" w:ascii="宋体" w:hAnsi="宋体" w:eastAsia="宋体" w:cs="宋体"/>
          <w:bCs/>
          <w:color w:val="000000"/>
          <w:sz w:val="24"/>
          <w:szCs w:val="24"/>
          <w:highlight w:val="none"/>
        </w:rPr>
        <w:t xml:space="preserve">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锡山区云林街道社区卫生服务中心彩超采购</w:t>
      </w:r>
      <w:r>
        <w:rPr>
          <w:rFonts w:hint="eastAsia" w:ascii="宋体" w:hAnsi="宋体" w:eastAsia="宋体" w:cs="宋体"/>
          <w:bCs/>
          <w:color w:val="000000"/>
          <w:sz w:val="24"/>
          <w:szCs w:val="24"/>
          <w:highlight w:val="none"/>
          <w:lang w:eastAsia="zh-CN"/>
        </w:rPr>
        <w:t xml:space="preserve">项目</w:t>
      </w:r>
      <w:r/>
    </w:p>
    <w:p>
      <w:pPr>
        <w:ind w:firstLine="48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JSZC-320205-JZCG-G2026-0043</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120</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120</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4.合同履约期限：</w:t>
      </w:r>
      <w:r>
        <w:rPr>
          <w:rFonts w:hint="eastAsia" w:ascii="宋体" w:hAnsi="宋体" w:eastAsia="宋体" w:cs="宋体"/>
          <w:bCs/>
          <w:sz w:val="24"/>
          <w:szCs w:val="24"/>
          <w:lang w:eastAsia="zh-CN"/>
        </w:rPr>
        <w:t xml:space="preserve">合同签订生效后，待接到采购人发货通知后1个月内供货及安装调试完毕，并经采购人验收合格。</w:t>
      </w:r>
      <w:r/>
    </w:p>
    <w:p>
      <w:pPr>
        <w:contextualSpacing/>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5.项目整体质保期：</w:t>
      </w:r>
      <w:r>
        <w:rPr>
          <w:rFonts w:hint="eastAsia" w:ascii="宋体" w:hAnsi="宋体" w:eastAsia="宋体" w:cs="宋体"/>
          <w:color w:val="000000"/>
          <w:sz w:val="24"/>
          <w:szCs w:val="24"/>
          <w:lang w:eastAsia="zh-CN"/>
        </w:rPr>
        <w:t xml:space="preserve">项目经最终验收合格之日起</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年（含探头）</w:t>
      </w:r>
      <w:r>
        <w:rPr>
          <w:rFonts w:hint="eastAsia" w:ascii="宋体" w:hAnsi="宋体" w:eastAsia="宋体" w:cs="宋体"/>
          <w:sz w:val="24"/>
          <w:szCs w:val="24"/>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.采购方式：公开招标</w:t>
      </w:r>
      <w:r/>
    </w:p>
    <w:p>
      <w:pPr>
        <w:ind w:firstLine="480"/>
        <w:spacing w:line="360" w:lineRule="auto"/>
        <w:rPr>
          <w:rFonts w:hint="eastAsia" w:asciiTheme="minorEastAsia" w:hAnsiTheme="minorEastAsia" w:eastAsiaTheme="minorEastAsia" w:cstheme="minorEastAsia"/>
          <w:bCs/>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.采购人：</w:t>
      </w:r>
      <w:r>
        <w:rPr>
          <w:rFonts w:hint="eastAsia" w:asciiTheme="minorEastAsia" w:hAnsiTheme="minorEastAsia" w:eastAsiaTheme="minorEastAsia" w:cstheme="minorEastAsia"/>
          <w:bCs/>
          <w:color w:val="000000"/>
          <w:sz w:val="24"/>
          <w:szCs w:val="24"/>
          <w:highlight w:val="none"/>
          <w:lang w:eastAsia="zh-CN"/>
        </w:rPr>
        <w:t xml:space="preserve">无锡市锡山区云林街道社区卫生服务中心</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9</w:t>
      </w:r>
      <w:r>
        <w:rPr>
          <w:rFonts w:hint="eastAsia" w:asciiTheme="minorEastAsia" w:hAnsiTheme="minorEastAsia" w:eastAsiaTheme="minorEastAsia" w:cstheme="minorEastAsia"/>
          <w:bCs/>
          <w:color w:val="000000"/>
          <w:sz w:val="24"/>
          <w:szCs w:val="24"/>
          <w:highlight w:val="none"/>
        </w:rPr>
        <w:t xml:space="preserve">.本项目是否专门面向</w:t>
      </w:r>
      <w:r>
        <w:rPr>
          <w:rFonts w:hint="eastAsia" w:asciiTheme="minorEastAsia" w:hAnsiTheme="minorEastAsia" w:eastAsiaTheme="minorEastAsia" w:cstheme="minorEastAsia"/>
          <w:bCs/>
          <w:color w:val="000000"/>
          <w:sz w:val="24"/>
          <w:szCs w:val="24"/>
          <w:highlight w:val="none"/>
          <w:lang w:val="en-US" w:eastAsia="zh-CN"/>
        </w:rPr>
        <w:t xml:space="preserve">中</w:t>
      </w:r>
      <w:r>
        <w:rPr>
          <w:rFonts w:hint="eastAsia" w:asciiTheme="minorEastAsia" w:hAnsiTheme="minorEastAsia" w:eastAsiaTheme="minorEastAsia" w:cstheme="minorEastAsia"/>
          <w:bCs/>
          <w:color w:val="000000"/>
          <w:sz w:val="24"/>
          <w:szCs w:val="24"/>
          <w:highlight w:val="none"/>
        </w:rPr>
        <w:t xml:space="preserve">小微企业：</w:t>
      </w:r>
      <w:r>
        <w:rPr>
          <w:rFonts w:hint="eastAsia" w:asciiTheme="minorEastAsia" w:hAnsiTheme="minorEastAsia" w:eastAsiaTheme="minorEastAsia" w:cstheme="minorEastAsia"/>
          <w:bCs/>
          <w:color w:val="000000"/>
          <w:sz w:val="24"/>
          <w:szCs w:val="24"/>
          <w:highlight w:val="none"/>
          <w:lang w:val="en-US" w:eastAsia="zh-CN"/>
        </w:rPr>
        <w:t xml:space="preserve">是</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.本项目</w:t>
      </w:r>
      <w:r>
        <w:rPr>
          <w:rFonts w:hint="eastAsia" w:asciiTheme="minorEastAsia" w:hAnsiTheme="minorEastAsia" w:eastAsiaTheme="minorEastAsia" w:cstheme="minorEastAsia"/>
          <w:b/>
          <w:color w:val="000000"/>
          <w:sz w:val="24"/>
          <w:szCs w:val="24"/>
          <w:highlight w:val="none"/>
        </w:rPr>
        <w:t xml:space="preserve">不接受</w:t>
      </w:r>
      <w:r>
        <w:rPr>
          <w:rFonts w:hint="eastAsia" w:asciiTheme="minorEastAsia" w:hAnsiTheme="minorEastAsia" w:eastAsiaTheme="minorEastAsia" w:cstheme="minorEastAsia"/>
          <w:bCs/>
          <w:color w:val="000000"/>
          <w:sz w:val="24"/>
          <w:szCs w:val="24"/>
          <w:highlight w:val="none"/>
        </w:rPr>
        <w:t xml:space="preserve">联合体投标。</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12.</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本项目</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不接受</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（二）供应商资格要求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2.未被“信用中国”网站（</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color w:val="000000"/>
          <w:sz w:val="24"/>
          <w:szCs w:val="24"/>
          <w:highlight w:val="none"/>
        </w:rPr>
        <w:t xml:space="preserve">www.creditchina.gov.cn</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hint="default"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bCs/>
          <w:color w:val="000000"/>
          <w:sz w:val="24"/>
          <w:szCs w:val="24"/>
          <w:highlight w:val="none"/>
        </w:rPr>
        <w:t xml:space="preserve">3.落实政府采购政策需满足的资格要求：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w:t>
      </w:r>
      <w:bookmarkStart w:id="0" w:name="OLE_LINK3"/>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中型企业/小型企业</w:t>
      </w:r>
      <w:bookmarkEnd w:id="0"/>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/微型企业（监狱企业/残疾人福利性单位视同小微企业）；</w:t>
      </w:r>
      <w:r/>
    </w:p>
    <w:p>
      <w:pPr>
        <w:ind w:firstLine="456"/>
        <w:spacing w:line="360" w:lineRule="auto"/>
        <w:rPr>
          <w:rFonts w:hint="eastAsia" w:asciiTheme="minorEastAsia" w:hAnsiTheme="minorEastAsia" w:eastAsiaTheme="minorEastAsia" w:cstheme="minorEastAsia"/>
          <w:color w:val="000000" w:themeColor="text1"/>
          <w:spacing w:val="-6"/>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sz w:val="24"/>
          <w:szCs w:val="24"/>
          <w:highlight w:val="none"/>
        </w:rPr>
        <w:t xml:space="preserve">4.</w:t>
      </w:r>
      <w:r>
        <w:rPr>
          <w:rFonts w:hint="eastAsia" w:asciiTheme="minorEastAsia" w:hAnsiTheme="minorEastAsia" w:eastAsiaTheme="minorEastAsia" w:cstheme="minorEastAsia"/>
          <w:color w:val="000000"/>
          <w:sz w:val="24"/>
          <w:szCs w:val="24"/>
          <w:highlight w:val="none"/>
        </w:rPr>
        <w:t xml:space="preserve">本项目的特定资格要求：</w:t>
      </w: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宋体" w:hAnsi="宋体" w:eastAsia="宋体" w:cs="宋体"/>
          <w:i w:val="0"/>
          <w:iCs w:val="0"/>
          <w:caps w:val="0"/>
          <w:color w:val="auto"/>
          <w:spacing w:val="0"/>
          <w:sz w:val="25"/>
          <w:szCs w:val="25"/>
          <w:highlight w:val="none"/>
          <w:shd w:val="clear" w:color="auto" w:fill="ffffff"/>
          <w:lang w:val="en-US" w:eastAsia="zh-CN"/>
        </w:rPr>
        <w:t xml:space="preserve">1</w:t>
      </w: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有效完整的医疗器械产品注册证或备案凭证复印件（医疗器械产品注册证如有注册登记表须一并提供）</w:t>
      </w:r>
      <w:r>
        <w:rPr>
          <w:rFonts w:hint="eastAsia" w:asciiTheme="minorEastAsia" w:hAnsiTheme="minorEastAsia" w:eastAsiaTheme="minorEastAsia" w:cstheme="minorEastAsia"/>
          <w:color w:val="000000" w:themeColor="text1"/>
          <w:spacing w:val="-6"/>
          <w:sz w:val="24"/>
          <w:szCs w:val="24"/>
          <w:highlight w:val="none"/>
          <w:lang w:eastAsia="zh-CN"/>
          <w14:textFill>
            <w14:solidFill>
              <w14:schemeClr w14:val="tx1"/>
            </w14:solidFill>
          </w14:textFill>
        </w:rPr>
        <w:t xml:space="preserve">；</w:t>
      </w:r>
      <w:r/>
    </w:p>
    <w:p>
      <w:pPr>
        <w:ind w:firstLine="500"/>
        <w:spacing w:line="360" w:lineRule="auto"/>
        <w:rPr>
          <w:rFonts w:hint="eastAsia" w:ascii="宋体" w:hAnsi="宋体" w:eastAsia="宋体" w:cs="宋体"/>
          <w:i w:val="0"/>
          <w:iCs w:val="0"/>
          <w:caps w:val="0"/>
          <w:color w:val="auto"/>
          <w:spacing w:val="0"/>
          <w:sz w:val="25"/>
          <w:szCs w:val="25"/>
          <w:highlight w:val="none"/>
          <w:shd w:val="clear" w:color="auto" w:fill="ffffff"/>
        </w:rPr>
      </w:pP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宋体" w:hAnsi="宋体" w:eastAsia="宋体" w:cs="宋体"/>
          <w:i w:val="0"/>
          <w:iCs w:val="0"/>
          <w:caps w:val="0"/>
          <w:color w:val="auto"/>
          <w:spacing w:val="0"/>
          <w:sz w:val="25"/>
          <w:szCs w:val="25"/>
          <w:highlight w:val="none"/>
          <w:shd w:val="clear" w:color="auto" w:fill="ffffff"/>
          <w:lang w:val="en-US" w:eastAsia="zh-CN"/>
        </w:rPr>
        <w:t xml:space="preserve">2</w:t>
      </w:r>
      <w:r>
        <w:rPr>
          <w:rFonts w:hint="eastAsia" w:ascii="宋体" w:hAnsi="宋体" w:eastAsia="宋体" w:cs="宋体"/>
          <w:i w:val="0"/>
          <w:iCs w:val="0"/>
          <w:caps w:val="0"/>
          <w:color w:val="auto"/>
          <w:spacing w:val="0"/>
          <w:sz w:val="25"/>
          <w:szCs w:val="25"/>
          <w:highlight w:val="none"/>
          <w:shd w:val="clear" w:color="auto" w:fill="ffffff"/>
        </w:rPr>
        <w:t xml:space="preserve">）投标供应商为代理商</w:t>
      </w:r>
      <w:r>
        <w:rPr>
          <w:rFonts w:hint="eastAsia" w:ascii="宋体" w:hAnsi="宋体" w:cs="宋体"/>
          <w:i w:val="0"/>
          <w:iCs w:val="0"/>
          <w:caps w:val="0"/>
          <w:color w:val="auto"/>
          <w:spacing w:val="0"/>
          <w:sz w:val="25"/>
          <w:szCs w:val="25"/>
          <w:highlight w:val="none"/>
          <w:shd w:val="clear" w:color="auto" w:fill="ffffff"/>
          <w:lang w:val="en-US" w:eastAsia="zh-CN"/>
        </w:rPr>
        <w:t xml:space="preserve">的</w:t>
      </w:r>
      <w:r>
        <w:rPr>
          <w:rFonts w:hint="eastAsia" w:ascii="宋体" w:hAnsi="宋体" w:eastAsia="宋体" w:cs="宋体"/>
          <w:i w:val="0"/>
          <w:iCs w:val="0"/>
          <w:caps w:val="0"/>
          <w:color w:val="auto"/>
          <w:spacing w:val="0"/>
          <w:sz w:val="25"/>
          <w:szCs w:val="25"/>
          <w:highlight w:val="none"/>
          <w:shd w:val="clear" w:color="auto" w:fill="ffffff"/>
        </w:rPr>
        <w:t xml:space="preserve">，须具有药监部门颁发的《医疗器械经营许可证》或医疗器械经营备案凭证；</w:t>
      </w:r>
      <w:r/>
    </w:p>
    <w:p>
      <w:pPr>
        <w:ind w:firstLine="50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宋体" w:hAnsi="宋体" w:eastAsia="宋体" w:cs="宋体"/>
          <w:i w:val="0"/>
          <w:iCs w:val="0"/>
          <w:caps w:val="0"/>
          <w:color w:val="auto"/>
          <w:spacing w:val="0"/>
          <w:sz w:val="25"/>
          <w:szCs w:val="25"/>
          <w:highlight w:val="none"/>
          <w:shd w:val="clear" w:color="auto" w:fill="ffffff"/>
          <w:lang w:val="en-US" w:eastAsia="zh-CN"/>
        </w:rPr>
        <w:t xml:space="preserve">3</w:t>
      </w:r>
      <w:r>
        <w:rPr>
          <w:rFonts w:hint="eastAsia" w:ascii="宋体" w:hAnsi="宋体" w:eastAsia="宋体" w:cs="宋体"/>
          <w:i w:val="0"/>
          <w:iCs w:val="0"/>
          <w:caps w:val="0"/>
          <w:color w:val="auto"/>
          <w:spacing w:val="0"/>
          <w:sz w:val="25"/>
          <w:szCs w:val="25"/>
          <w:highlight w:val="none"/>
          <w:shd w:val="clear" w:color="auto" w:fill="ffffff"/>
        </w:rPr>
        <w:t xml:space="preserve">）投标供应商为生产商</w:t>
      </w:r>
      <w:r>
        <w:rPr>
          <w:rFonts w:hint="eastAsia" w:ascii="宋体" w:hAnsi="宋体" w:cs="宋体"/>
          <w:i w:val="0"/>
          <w:iCs w:val="0"/>
          <w:caps w:val="0"/>
          <w:color w:val="auto"/>
          <w:spacing w:val="0"/>
          <w:sz w:val="25"/>
          <w:szCs w:val="25"/>
          <w:highlight w:val="none"/>
          <w:shd w:val="clear" w:color="auto" w:fill="ffffff"/>
          <w:lang w:val="en-US" w:eastAsia="zh-CN"/>
        </w:rPr>
        <w:t xml:space="preserve">的</w:t>
      </w:r>
      <w:r>
        <w:rPr>
          <w:rFonts w:hint="eastAsia" w:ascii="宋体" w:hAnsi="宋体" w:eastAsia="宋体" w:cs="宋体"/>
          <w:i w:val="0"/>
          <w:iCs w:val="0"/>
          <w:caps w:val="0"/>
          <w:color w:val="auto"/>
          <w:spacing w:val="0"/>
          <w:sz w:val="25"/>
          <w:szCs w:val="25"/>
          <w:highlight w:val="none"/>
          <w:shd w:val="clear" w:color="auto" w:fill="ffffff"/>
        </w:rPr>
        <w:t xml:space="preserve">，须具有药监局颁发的《医疗器械生产许可证》或生产备案凭证（医疗器械生产许可证如有医疗器械生产产品登记表的须一并提供）</w:t>
      </w:r>
      <w:r>
        <w:rPr>
          <w:rFonts w:hint="eastAsia" w:ascii="宋体" w:hAnsi="宋体" w:eastAsia="宋体" w:cs="宋体"/>
          <w:i w:val="0"/>
          <w:iCs w:val="0"/>
          <w:caps w:val="0"/>
          <w:color w:val="auto"/>
          <w:spacing w:val="0"/>
          <w:sz w:val="25"/>
          <w:szCs w:val="25"/>
          <w:highlight w:val="none"/>
          <w:shd w:val="clear" w:color="auto" w:fill="ffffff"/>
          <w:lang w:eastAsia="zh-CN"/>
        </w:rPr>
        <w:t xml:space="preserve">。</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1"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1"/>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2"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2"/>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w:t>
      </w: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lang w:val="en-US" w:eastAsia="zh-CN"/>
        </w:rPr>
        <w:t xml:space="preserve">31</w:t>
      </w:r>
      <w:r>
        <w:rPr>
          <w:rFonts w:hint="eastAsia" w:ascii="宋体" w:hAnsi="宋体" w:eastAsia="宋体" w:cs="宋体"/>
          <w:color w:val="000000" w:themeColor="text1"/>
          <w:sz w:val="24"/>
          <w:szCs w:val="24"/>
          <w:highlight w:val="none"/>
        </w:rPr>
        <w:t xml:space="preserve">日10:00</w:t>
      </w:r>
      <w:r>
        <w:rPr>
          <w:rFonts w:hint="eastAsia" w:ascii="宋体" w:hAnsi="宋体" w:eastAsia="宋体" w:cs="宋体"/>
          <w:color w:val="000000" w:themeColor="text1"/>
          <w:sz w:val="24"/>
          <w:szCs w:val="24"/>
          <w:highlight w:val="none"/>
          <w14:textFill>
            <w14:solidFill>
              <w14:schemeClr w14:val="tx1"/>
            </w14:solidFill>
          </w14:textFill>
        </w:rPr>
        <w:t xml:space="preserve">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JSZC-320205-JZCG-G2026-0043</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3"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3"/>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jc w:val="left"/>
        <w:spacing w:line="360" w:lineRule="auto"/>
        <w:shd w:val="clear" w:color="auto" w:fill="ffffff"/>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投标截止时间（网上投标截止时间苏采云投标客户端投标）：</w:t>
      </w:r>
      <w:r>
        <w:rPr>
          <w:rFonts w:hint="eastAsia" w:ascii="宋体" w:hAnsi="宋体" w:eastAsia="宋体" w:cs="宋体"/>
          <w:b w:val="0"/>
          <w:bCs w:val="0"/>
          <w:color w:val="000000" w:themeColor="text1"/>
          <w:sz w:val="24"/>
          <w:szCs w:val="24"/>
          <w:highlight w:val="none"/>
          <w:lang w:val="en-US" w:eastAsia="zh-CN"/>
        </w:rPr>
        <w:t xml:space="preserve">2026年9月16日9:30，投标截止时间后的投标文件恕不接受。</w:t>
      </w:r>
      <w:r>
        <w:rPr>
          <w:color w:val="000000" w:themeColor="text1"/>
        </w:rPr>
      </w:r>
    </w:p>
    <w:p>
      <w:pPr>
        <w:ind w:firstLine="482"/>
        <w:jc w:val="left"/>
        <w:spacing w:line="360" w:lineRule="auto"/>
        <w:shd w:val="clear" w:color="auto" w:fill="ffffff"/>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开标时间：2026年9月16日9:30</w:t>
      </w:r>
      <w:r>
        <w:rPr>
          <w:color w:val="000000" w:themeColor="text1"/>
        </w:rP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投标及开标地点：江苏省政府采购（苏采云）平台</w:t>
      </w:r>
      <w:r>
        <w:rPr>
          <w:color w:val="000000" w:themeColor="text1"/>
        </w:rP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定标时间：评标结束</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定标地点：无锡市公共资源交易中心锡山分中心</w:t>
      </w:r>
      <w:bookmarkStart w:id="4"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4"/>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5"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陈中飞</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w:t>
      </w:r>
      <w:r>
        <w:rPr>
          <w:rFonts w:hint="eastAsia" w:ascii="宋体" w:hAnsi="宋体" w:eastAsia="宋体"/>
          <w:color w:val="000000"/>
          <w:sz w:val="24"/>
          <w:szCs w:val="24"/>
          <w:highlight w:val="none"/>
          <w:lang w:val="en-US" w:eastAsia="zh-CN"/>
        </w:rPr>
        <w:t xml:space="preserve">81</w:t>
      </w:r>
      <w:r>
        <w:rPr>
          <w:rFonts w:hint="eastAsia" w:ascii="宋体" w:hAnsi="宋体" w:eastAsia="宋体"/>
          <w:color w:val="000000"/>
          <w:sz w:val="24"/>
          <w:szCs w:val="24"/>
          <w:highlight w:val="none"/>
        </w:rPr>
        <w:t xml:space="preserve">7</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无锡市锡山区云林街道社区卫生服务中心</w:t>
      </w:r>
      <w:r/>
    </w:p>
    <w:p>
      <w:pPr>
        <w:ind w:firstLine="480"/>
        <w:jc w:val="left"/>
        <w:spacing w:line="360" w:lineRule="auto"/>
        <w:shd w:val="clear" w:color="auto" w:fill="ffffff"/>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联系人：</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曹华军</w:t>
      </w:r>
      <w:r/>
    </w:p>
    <w:p>
      <w:pPr>
        <w:pStyle w:val="1212"/>
        <w:rPr>
          <w:rFonts w:hint="default" w:ascii="宋体" w:hAnsi="宋体" w:eastAsia="宋体"/>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themeColor="text1"/>
          <w:sz w:val="24"/>
          <w:szCs w:val="24"/>
          <w:highlight w:val="none"/>
          <w14:textFill>
            <w14:solidFill>
              <w14:schemeClr w14:val="tx1"/>
            </w14:solidFill>
          </w14:textFill>
        </w:rPr>
        <w:t xml:space="preserve">电  话：</w:t>
      </w:r>
      <w:r>
        <w:rPr>
          <w:rFonts w:hint="eastAsia" w:ascii="宋体" w:hAnsi="宋体"/>
          <w:color w:val="000000" w:themeColor="text1"/>
          <w:sz w:val="24"/>
          <w:szCs w:val="24"/>
          <w:highlight w:val="none"/>
          <w:lang w:val="en-US" w:eastAsia="zh-CN"/>
          <w14:textFill>
            <w14:solidFill>
              <w14:schemeClr w14:val="tx1"/>
            </w14:solidFill>
          </w14:textFill>
        </w:rPr>
        <w:t xml:space="preserve">13338769883</w:t>
      </w:r>
      <w:r/>
    </w:p>
    <w:p>
      <w:pPr>
        <w:pStyle w:val="1213"/>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6" w:name="_Toc112006911"/>
      <w:r>
        <w:rPr>
          <w:rFonts w:hint="eastAsia" w:ascii="宋体" w:hAnsi="宋体" w:eastAsia="宋体" w:cs="宋体"/>
          <w:b/>
          <w:color w:val="000000"/>
          <w:sz w:val="24"/>
          <w:szCs w:val="24"/>
          <w:highlight w:val="none"/>
        </w:rPr>
        <w:t xml:space="preserve">（一）遵循原则：</w:t>
      </w:r>
      <w:bookmarkEnd w:id="6"/>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7" w:name="_Toc112006912"/>
      <w:r/>
      <w:bookmarkStart w:id="8"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7"/>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9"/>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8"/>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0"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10"/>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1" w:name="_Hlk529436263"/>
      <w:r/>
      <w:bookmarkStart w:id="12" w:name="_Hlk23510977"/>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val="en-US" w:eastAsia="zh-CN"/>
        </w:rPr>
        <w:t xml:space="preserve">10</w:t>
      </w:r>
      <w:r>
        <w:rPr>
          <w:rFonts w:hint="eastAsia" w:ascii="宋体" w:hAnsi="宋体" w:eastAsia="宋体"/>
          <w:bCs/>
          <w:color w:val="000000"/>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1"/>
      <w:r/>
      <w:bookmarkEnd w:id="12"/>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3"/>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4"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5"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5"/>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4"/>
      <w:r/>
      <w:r/>
    </w:p>
    <w:p>
      <w:pPr>
        <w:pStyle w:val="1214"/>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6"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6"/>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1194"/>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小微企业/监狱企业/残疾人福利企业，中小微企业须符合中小微企业划分标准（《工信部联企业〔2011〕300号》）规定，提供《中小企业声明函》，残疾人福利企业提供《残疾人福利性单位声明函》（格式详见格式）</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）有效完整的医疗器械产品注册证或备案凭证复印件（医疗器械产品注册证如有注册登记表须一并提供）</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）投标供应商为代理商</w:t>
            </w:r>
            <w:r>
              <w:rPr>
                <w:rFonts w:hint="eastAsia" w:ascii="宋体" w:hAnsi="宋体" w:eastAsia="宋体" w:cs="宋体"/>
                <w:bCs/>
                <w:color w:val="000000"/>
                <w:sz w:val="24"/>
                <w:szCs w:val="24"/>
                <w:lang w:val="en-US" w:eastAsia="zh-CN"/>
              </w:rPr>
              <w:t xml:space="preserve">的</w:t>
            </w:r>
            <w:r>
              <w:rPr>
                <w:rFonts w:hint="eastAsia" w:ascii="宋体" w:hAnsi="宋体" w:eastAsia="宋体" w:cs="宋体"/>
                <w:bCs/>
                <w:color w:val="000000"/>
                <w:sz w:val="24"/>
                <w:szCs w:val="24"/>
              </w:rPr>
              <w:t xml:space="preserve">，须具有药监部门颁发的《医疗器械经营许可证》或医疗器械经营备案凭证；</w:t>
            </w:r>
            <w:r/>
          </w:p>
          <w:p>
            <w:pP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）投标供应商为生产商</w:t>
            </w:r>
            <w:r>
              <w:rPr>
                <w:rFonts w:hint="eastAsia" w:ascii="宋体" w:hAnsi="宋体" w:eastAsia="宋体" w:cs="宋体"/>
                <w:bCs/>
                <w:color w:val="000000"/>
                <w:sz w:val="24"/>
                <w:szCs w:val="24"/>
                <w:lang w:val="en-US" w:eastAsia="zh-CN"/>
              </w:rPr>
              <w:t xml:space="preserve">的</w:t>
            </w:r>
            <w:r>
              <w:rPr>
                <w:rFonts w:hint="eastAsia" w:ascii="宋体" w:hAnsi="宋体" w:eastAsia="宋体" w:cs="宋体"/>
                <w:bCs/>
                <w:color w:val="000000"/>
                <w:sz w:val="24"/>
                <w:szCs w:val="24"/>
              </w:rPr>
              <w:t xml:space="preserve">，须具有药监局颁发的《医疗器械生产许可证》或生产备案凭证（医疗器械生产许可证如有医疗器械生产产品登记表的须一并提供）</w:t>
            </w:r>
            <w:r>
              <w:rPr>
                <w:rFonts w:hint="eastAsia" w:ascii="宋体" w:hAnsi="宋体" w:eastAsia="宋体" w:cs="宋体"/>
                <w:bCs/>
                <w:color w:val="000000"/>
                <w:sz w:val="24"/>
                <w:szCs w:val="24"/>
                <w:lang w:eastAsia="zh-CN"/>
              </w:rPr>
              <w:t xml:space="preserve">。</w:t>
            </w:r>
            <w:r/>
          </w:p>
          <w:p>
            <w:pPr>
              <w:ind w:firstLine="456"/>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7" w:name="_Toc116946315"/>
      <w:r>
        <w:rPr>
          <w:rFonts w:hint="eastAsia" w:ascii="宋体" w:hAnsi="宋体" w:eastAsia="宋体" w:cs="宋体"/>
          <w:b/>
          <w:color w:val="000000"/>
          <w:sz w:val="24"/>
          <w:szCs w:val="24"/>
          <w:highlight w:val="none"/>
        </w:rPr>
        <w:t xml:space="preserve">符合性审查表</w:t>
      </w:r>
      <w:bookmarkEnd w:id="17"/>
      <w:r/>
      <w:r/>
    </w:p>
    <w:tbl>
      <w:tblPr>
        <w:tblStyle w:val="1194"/>
        <w:tblW w:w="9240" w:type="dxa"/>
        <w:tblInd w:w="17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2460"/>
        <w:gridCol w:w="5985"/>
      </w:tblGrid>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985"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79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795" w:type="dxa"/>
            <w:vAlign w:val="center"/>
            <w:textDirection w:val="lrTb"/>
            <w:noWrap w:val="false"/>
          </w:tcPr>
          <w:p>
            <w:pPr>
              <w:jc w:val="center"/>
              <w:spacing w:line="440" w:lineRule="exact"/>
              <w:tabs>
                <w:tab w:val="left" w:pos="480" w:leader="none"/>
              </w:tabs>
              <w:rPr>
                <w:rFonts w:hint="default"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460"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98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8" w:name="_Toc112006920"/>
      <w:r/>
      <w:bookmarkStart w:id="19" w:name="_Toc112006921"/>
      <w:r/>
      <w:bookmarkStart w:id="20"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8"/>
      <w:r/>
      <w:bookmarkEnd w:id="19"/>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1"/>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3"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3"/>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215"/>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sz w:val="24"/>
          <w:szCs w:val="24"/>
        </w:rPr>
      </w:pPr>
      <w:r>
        <w:rPr>
          <w:rFonts w:hint="eastAsia" w:ascii="宋体" w:hAnsi="宋体" w:eastAsia="宋体" w:cs="宋体"/>
          <w:b/>
          <w:sz w:val="36"/>
          <w:szCs w:val="36"/>
          <w:lang w:bidi="ar"/>
        </w:rPr>
        <w:t xml:space="preserve">项目要求和有关说明</w:t>
      </w:r>
      <w:r/>
    </w:p>
    <w:p>
      <w:pPr>
        <w:ind w:firstLine="480"/>
        <w:spacing w:after="5" w:line="360" w:lineRule="auto"/>
        <w:rPr>
          <w:rFonts w:hint="eastAsia" w:ascii="宋体" w:hAnsi="宋体" w:eastAsia="宋体" w:cs="宋体"/>
          <w:sz w:val="24"/>
          <w:szCs w:val="24"/>
        </w:rPr>
      </w:pPr>
      <w:r>
        <w:rPr>
          <w:rFonts w:hint="eastAsia" w:ascii="宋体" w:hAnsi="宋体" w:eastAsia="宋体" w:cs="宋体"/>
          <w:sz w:val="24"/>
          <w:szCs w:val="24"/>
        </w:rPr>
        <w:t xml:space="preserve">本次采购项目为</w:t>
      </w:r>
      <w:r>
        <w:rPr>
          <w:rFonts w:hint="eastAsia" w:ascii="宋体" w:hAnsi="宋体" w:eastAsia="宋体" w:cs="宋体"/>
          <w:sz w:val="24"/>
          <w:szCs w:val="24"/>
          <w:lang w:eastAsia="zh-CN"/>
        </w:rPr>
        <w:t xml:space="preserve">无锡市锡山区云林街道社区卫生服务中心</w:t>
      </w:r>
      <w:r>
        <w:rPr>
          <w:rFonts w:hint="eastAsia" w:ascii="宋体" w:hAnsi="宋体" w:eastAsia="宋体" w:cs="宋体"/>
          <w:sz w:val="24"/>
          <w:szCs w:val="24"/>
          <w:lang w:val="en-US" w:eastAsia="zh-CN"/>
        </w:rPr>
        <w:t xml:space="preserve">委托</w:t>
      </w:r>
      <w:r>
        <w:rPr>
          <w:rFonts w:hint="eastAsia" w:ascii="宋体" w:hAnsi="宋体" w:eastAsia="宋体" w:cs="宋体"/>
          <w:sz w:val="24"/>
          <w:szCs w:val="24"/>
        </w:rPr>
        <w:t xml:space="preserve">的</w:t>
      </w:r>
      <w:r>
        <w:rPr>
          <w:rFonts w:hint="eastAsia" w:ascii="宋体" w:hAnsi="宋体" w:eastAsia="宋体" w:cs="宋体"/>
          <w:bCs/>
          <w:sz w:val="24"/>
          <w:szCs w:val="24"/>
          <w:lang w:eastAsia="zh-CN"/>
        </w:rPr>
        <w:t xml:space="preserve">云林街道社区卫生服务中心彩超采购</w:t>
      </w:r>
      <w:r>
        <w:rPr>
          <w:rFonts w:hint="eastAsia" w:ascii="宋体" w:hAnsi="宋体" w:eastAsia="宋体" w:cs="宋体"/>
          <w:bCs/>
          <w:sz w:val="24"/>
          <w:szCs w:val="24"/>
          <w:lang w:val="en-US" w:eastAsia="zh-CN"/>
        </w:rPr>
        <w:t xml:space="preserve">项目</w:t>
      </w:r>
      <w:r>
        <w:rPr>
          <w:rFonts w:hint="eastAsia" w:ascii="宋体" w:hAnsi="宋体" w:eastAsia="宋体" w:cs="宋体"/>
          <w:sz w:val="24"/>
          <w:szCs w:val="24"/>
        </w:rPr>
        <w:t xml:space="preserve">，投标人所投内容必须满足以下要求，不得存在负偏离，否则视为无效投标文件处理。项目需求如下：</w:t>
      </w:r>
      <w:r/>
    </w:p>
    <w:p>
      <w:pPr>
        <w:pStyle w:val="1226"/>
        <w:numPr>
          <w:ilvl w:val="1"/>
          <w:numId w:val="0"/>
        </w:numPr>
        <w:ind w:firstLine="480"/>
        <w:rPr>
          <w:rFonts w:hint="eastAsia" w:ascii="宋体" w:eastAsia="宋体" w:cs="宋体"/>
          <w:sz w:val="24"/>
          <w:szCs w:val="24"/>
        </w:rPr>
      </w:pPr>
      <w:r>
        <w:rPr>
          <w:rFonts w:hint="eastAsia" w:ascii="宋体" w:eastAsia="宋体" w:cs="宋体"/>
          <w:sz w:val="24"/>
          <w:szCs w:val="24"/>
        </w:rPr>
        <w:t xml:space="preserve">本项目属性：货物类。</w:t>
      </w:r>
      <w:r/>
    </w:p>
    <w:p>
      <w:pPr>
        <w:contextualSpacing/>
        <w:spacing w:before="240"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一、标的明细表</w:t>
      </w:r>
      <w:r/>
    </w:p>
    <w:p>
      <w:pPr>
        <w:pStyle w:val="1195"/>
        <w:ind w:firstLine="48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本项目为货物采购，</w:t>
      </w:r>
      <w:r>
        <w:rPr>
          <w:rFonts w:hint="eastAsia" w:asciiTheme="minorEastAsia" w:hAnsiTheme="minorEastAsia" w:eastAsiaTheme="minorEastAsia" w:cstheme="minorEastAsia"/>
          <w:b/>
          <w:bCs/>
          <w:sz w:val="24"/>
          <w:szCs w:val="24"/>
          <w:lang w:val="en-US" w:eastAsia="zh-CN"/>
        </w:rPr>
        <w:t xml:space="preserve">中小企业声明函、关于符合本国产品标准的声明函所对应的</w:t>
      </w:r>
      <w:r>
        <w:rPr>
          <w:rFonts w:hint="eastAsia" w:asciiTheme="minorEastAsia" w:hAnsiTheme="minorEastAsia" w:eastAsiaTheme="minorEastAsia" w:cstheme="minorEastAsia"/>
          <w:b/>
          <w:bCs/>
          <w:sz w:val="24"/>
          <w:szCs w:val="24"/>
        </w:rPr>
        <w:t xml:space="preserve">采购标的</w:t>
      </w:r>
      <w:r>
        <w:rPr>
          <w:rFonts w:hint="eastAsia" w:asciiTheme="minorEastAsia" w:hAnsiTheme="minorEastAsia" w:eastAsiaTheme="minorEastAsia" w:cstheme="minorEastAsia"/>
          <w:b/>
          <w:bCs/>
          <w:sz w:val="24"/>
          <w:szCs w:val="24"/>
          <w:lang w:val="en-US" w:eastAsia="zh-CN"/>
        </w:rPr>
        <w:t xml:space="preserve">名称</w:t>
      </w:r>
      <w:r>
        <w:rPr>
          <w:rFonts w:hint="eastAsia" w:asciiTheme="minorEastAsia" w:hAnsiTheme="minorEastAsia" w:eastAsiaTheme="minorEastAsia" w:cstheme="minorEastAsia"/>
          <w:b/>
          <w:bCs/>
          <w:sz w:val="24"/>
          <w:szCs w:val="24"/>
        </w:rPr>
        <w:t xml:space="preserve">及对应的中小企业划分标准所属行业如下表：</w:t>
      </w:r>
      <w:r/>
    </w:p>
    <w:tbl>
      <w:tblPr>
        <w:tblStyle w:val="1194"/>
        <w:tblW w:w="8962" w:type="dxa"/>
        <w:tblInd w:w="197" w:type="dxa"/>
        <w:tblLayout w:type="autofit"/>
        <w:tblCellMar>
          <w:left w:w="108" w:type="dxa"/>
          <w:top w:w="0" w:type="dxa"/>
          <w:right w:w="108" w:type="dxa"/>
          <w:bottom w:w="0" w:type="dxa"/>
        </w:tblCellMar>
        <w:tblLook w:val="04A0" w:firstRow="1" w:lastRow="0" w:firstColumn="1" w:lastColumn="0" w:noHBand="0" w:noVBand="1"/>
      </w:tblPr>
      <w:tblGrid>
        <w:gridCol w:w="1147"/>
        <w:gridCol w:w="3117"/>
        <w:gridCol w:w="2298"/>
        <w:gridCol w:w="2400"/>
      </w:tblGrid>
      <w:tr>
        <w:trPr>
          <w:trHeight w:val="454"/>
        </w:trPr>
        <w:tc>
          <w:tcPr>
            <w:tcBorders>
              <w:top w:val="single" w:color="000000" w:sz="8" w:space="0"/>
              <w:left w:val="single" w:color="000000" w:sz="8" w:space="0"/>
              <w:bottom w:val="single" w:color="000000" w:sz="4" w:space="0"/>
              <w:right w:val="single" w:color="000000" w:sz="4" w:space="0"/>
            </w:tcBorders>
            <w:tcW w:w="1147"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Borders>
              <w:top w:val="single" w:color="000000" w:sz="8" w:space="0"/>
              <w:left w:val="single" w:color="000000" w:sz="4" w:space="0"/>
              <w:bottom w:val="single" w:color="000000" w:sz="4" w:space="0"/>
              <w:right w:val="single" w:color="000000" w:sz="4" w:space="0"/>
            </w:tcBorders>
            <w:tcW w:w="3117"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名称</w:t>
            </w:r>
            <w:r/>
          </w:p>
        </w:tc>
        <w:tc>
          <w:tcPr>
            <w:tcBorders>
              <w:top w:val="single" w:color="000000" w:sz="8" w:space="0"/>
              <w:left w:val="single" w:color="000000" w:sz="4" w:space="0"/>
              <w:bottom w:val="single" w:color="000000" w:sz="4" w:space="0"/>
              <w:right w:val="single" w:color="000000" w:sz="4" w:space="0"/>
            </w:tcBorders>
            <w:tcW w:w="2298"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所属行业</w:t>
            </w:r>
            <w:r/>
          </w:p>
        </w:tc>
        <w:tc>
          <w:tcPr>
            <w:tcBorders>
              <w:top w:val="single" w:color="000000" w:sz="8" w:space="0"/>
              <w:left w:val="single" w:color="000000" w:sz="4" w:space="0"/>
              <w:bottom w:val="single" w:color="000000" w:sz="4" w:space="0"/>
              <w:right w:val="single" w:color="000000" w:sz="4" w:space="0"/>
            </w:tcBorders>
            <w:tcW w:w="2400"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tc>
      </w:tr>
      <w:tr>
        <w:trPr>
          <w:trHeight w:val="454"/>
        </w:trPr>
        <w:tc>
          <w:tcPr>
            <w:tcBorders>
              <w:top w:val="single" w:color="000000" w:sz="4" w:space="0"/>
              <w:left w:val="single" w:color="000000" w:sz="8" w:space="0"/>
              <w:bottom w:val="single" w:color="000000" w:sz="4" w:space="0"/>
              <w:right w:val="single" w:color="000000" w:sz="4" w:space="0"/>
            </w:tcBorders>
            <w:tcW w:w="1147"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彩色多普勒超声波诊断仪</w:t>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ind w:firstLine="480"/>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工业（制造业）</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firstLine="480"/>
              <w:jc w:val="center"/>
              <w:spacing w:after="5"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参数详见下表</w:t>
            </w:r>
            <w:r/>
          </w:p>
        </w:tc>
      </w:tr>
    </w:tbl>
    <w:p>
      <w:pPr>
        <w:rPr>
          <w:rFonts w:hint="default"/>
        </w:rPr>
      </w:pPr>
      <w:r>
        <w:rPr>
          <w:rFonts w:hint="default"/>
        </w:rPr>
      </w:r>
      <w:r/>
    </w:p>
    <w:p>
      <w:pPr>
        <w:pStyle w:val="1192"/>
        <w:numPr>
          <w:ilvl w:val="0"/>
          <w:numId w:val="0"/>
        </w:numPr>
        <w:ind w:firstLine="562"/>
        <w:pageBreakBefore w:val="0"/>
        <w:spacing w:before="0" w:after="0" w:line="240" w:lineRule="auto"/>
        <w:rPr>
          <w:rFonts w:hint="eastAsia" w:ascii="宋体" w:hAnsi="宋体" w:eastAsia="宋体" w:cs="宋体"/>
          <w:b/>
          <w:bCs w:val="0"/>
          <w:sz w:val="28"/>
          <w:szCs w:val="24"/>
          <w:highlight w:val="none"/>
          <w:shd w:val="clear" w:color="auto" w:fill="auto"/>
          <w:lang w:val="en-US" w:eastAsia="zh-CN"/>
        </w:rPr>
      </w:pPr>
      <w:r>
        <w:rPr>
          <w:rFonts w:hint="eastAsia" w:ascii="宋体" w:hAnsi="宋体" w:eastAsia="宋体" w:cs="宋体"/>
          <w:b/>
          <w:bCs w:val="0"/>
          <w:sz w:val="28"/>
          <w:szCs w:val="24"/>
          <w:shd w:val="clear" w:color="auto" w:fill="auto"/>
          <w:lang w:val="en-US" w:eastAsia="zh-CN" w:bidi="ar-SA"/>
        </w:rPr>
        <w:t xml:space="preserve">二、</w:t>
      </w:r>
      <w:r>
        <w:rPr>
          <w:rFonts w:hint="eastAsia" w:ascii="宋体" w:hAnsi="宋体" w:eastAsia="宋体" w:cs="宋体"/>
          <w:b/>
          <w:bCs w:val="0"/>
          <w:sz w:val="28"/>
          <w:szCs w:val="24"/>
          <w:highlight w:val="none"/>
          <w:shd w:val="clear" w:color="auto" w:fill="auto"/>
          <w:lang w:val="en-US" w:eastAsia="zh-CN"/>
        </w:rPr>
        <w:t xml:space="preserve">技术参数部分（</w:t>
      </w:r>
      <w:r>
        <w:rPr>
          <w:rFonts w:hint="eastAsia" w:ascii="宋体" w:hAnsi="宋体" w:eastAsia="宋体" w:cs="宋体"/>
          <w:sz w:val="24"/>
          <w:szCs w:val="24"/>
          <w:highlight w:val="none"/>
        </w:rPr>
        <w:t xml:space="preserve">技术参数要求以下条款投标供应商必须如实地在《投标偏离表》中标明满足与否。</w:t>
      </w:r>
      <w:r>
        <w:rPr>
          <w:rFonts w:hint="eastAsia" w:ascii="宋体" w:hAnsi="宋体" w:eastAsia="宋体" w:cs="宋体"/>
          <w:b/>
          <w:bCs w:val="0"/>
          <w:sz w:val="28"/>
          <w:szCs w:val="24"/>
          <w:highlight w:val="none"/>
          <w:shd w:val="clear" w:color="auto" w:fill="auto"/>
          <w:lang w:val="en-US" w:eastAsia="zh-CN"/>
        </w:rPr>
        <w:t xml:space="preserve">）</w:t>
      </w:r>
      <w:r/>
    </w:p>
    <w:tbl>
      <w:tblPr>
        <w:tblStyle w:val="1194"/>
        <w:tblpPr w:horzAnchor="page" w:tblpX="1624" w:vertAnchor="text" w:tblpY="913" w:leftFromText="180" w:topFromText="0" w:rightFromText="180" w:bottomFromText="0"/>
        <w:tblW w:w="482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76"/>
        <w:gridCol w:w="7794"/>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465" w:type="pct"/>
            <w:vAlign w:val="center"/>
            <w:textDirection w:val="lrTb"/>
            <w:noWrap/>
          </w:tcPr>
          <w:p>
            <w:pPr>
              <w:ind w:firstLine="482"/>
              <w:jc w:val="center"/>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一、</w:t>
            </w:r>
            <w:r/>
          </w:p>
        </w:tc>
        <w:tc>
          <w:tcPr>
            <w:shd w:val="clear" w:color="auto" w:fill="auto"/>
            <w:tcBorders>
              <w:top w:val="single" w:color="auto" w:sz="4" w:space="0"/>
              <w:left w:val="single" w:color="auto" w:sz="4" w:space="0"/>
              <w:bottom w:val="single" w:color="auto" w:sz="4" w:space="0"/>
              <w:right w:val="single" w:color="auto" w:sz="4" w:space="0"/>
            </w:tcBorders>
            <w:tcW w:w="4534" w:type="pct"/>
            <w:vAlign w:val="center"/>
            <w:textDirection w:val="lrTb"/>
            <w:noWrap w:val="false"/>
          </w:tcPr>
          <w:p>
            <w:pPr>
              <w:ind w:firstLine="482"/>
              <w:jc w:val="left"/>
              <w:keepLines w:val="0"/>
              <w:keepNext w:val="0"/>
              <w:pageBreakBefore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设备名称：彩色多普勒超声波诊断仪</w:t>
            </w:r>
            <w:r/>
          </w:p>
        </w:tc>
      </w:tr>
      <w:tr>
        <w:trPr>
          <w:trHeight w:val="567"/>
        </w:trPr>
        <w:tc>
          <w:tcPr>
            <w:shd w:val="clear" w:color="auto" w:fill="auto"/>
            <w:tcBorders>
              <w:top w:val="single" w:color="auto"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二、</w:t>
            </w:r>
            <w:r/>
          </w:p>
        </w:tc>
        <w:tc>
          <w:tcPr>
            <w:shd w:val="clear" w:color="auto" w:fill="auto"/>
            <w:tcBorders>
              <w:top w:val="single" w:color="auto"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数    量：1台</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设备使用单位：</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无锡市锡山区云林街道社区卫生服务中心</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设备用途说明：主要用于腹部、产科、妇科、心脏、小器官、血管、泌尿、儿科、神经、急症等方面的临床诊断工作，提供的机器为全新台式整机，具备持续升级能力，能满足开展新的临床应用需求。</w:t>
            </w:r>
            <w:r/>
          </w:p>
          <w:p>
            <w:pPr>
              <w:jc w:val="left"/>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产品必须是全新、未使用过的原装合格正品，出厂日期须在签订合同之日前3个月内，完全符合采购文件规定的质量、规格和性能的要求，达到国家或行业规定的标准，实行生产许可证制度的，应提供生产许可证；属于国家强制认证的产品，必须通过认证。</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主要规格功能及系统概述</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彩色多普勒超声波诊断仪包括：</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主机可以电动升降调节，显示器:≥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4"/>
                <w:highlight w:val="none"/>
                <w14:textFill>
                  <w14:solidFill>
                    <w14:schemeClr w14:val="tx1"/>
                  </w14:solidFill>
                </w14:textFill>
              </w:rPr>
              <w:t xml:space="preserve">英寸显示器</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具有≥1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英寸超高分辨率、多点触控彩色触摸屏</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动态宽波束发射与接收超声信号，连续动态接收聚焦</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主机自带耦合剂加热装置，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两档</w:t>
            </w:r>
            <w:r>
              <w:rPr>
                <w:rFonts w:hint="eastAsia" w:ascii="宋体" w:hAnsi="宋体" w:eastAsia="宋体" w:cs="宋体"/>
                <w:color w:val="000000" w:themeColor="text1"/>
                <w:sz w:val="24"/>
                <w:szCs w:val="24"/>
                <w:highlight w:val="none"/>
                <w14:textFill>
                  <w14:solidFill>
                    <w14:schemeClr w14:val="tx1"/>
                  </w14:solidFill>
                </w14:textFill>
              </w:rPr>
              <w:t xml:space="preserve">可调（非第三方或加配）</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主机内置探头检测技术，用于评估探头阵元质量，可设置至少5种时间模式定期检测，也可自行手动检测。</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探头支持穿刺功能，具备穿刺针增加显影功能，且具备穿刺针延长线功能，可以在不影响背景图像的前提下独立调节穿刺针增益，有单独的按键来调节</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主机具备多普勒取样容积距离体表深度实时显示功能</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二维灰阶成像单元</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5.1.8.1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所有探头均为宽频、多点变频探头，基波频率、基波与谐波成像频率必须具体在屏幕上显示。</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5.1.8.2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斑点噪声抑制技术, 可以支持所有探头，B模式下支持≥7档调节</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5.1.8.3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实时空间多角度复合成像</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5.1.8.4</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一键式实时自动连续优化图像技术</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5.1.8.5</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可配置实时宽景成像技术</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5.1.8.6</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相控阵探头支持双焦点模式：即在不改变原有中远场焦点的情况下，可在近场增加一个焦点，以提高近场分辨率。该功能具有独立控制按键，一键启动。</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5.1.8.7</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高清晰成像：采用实时双频率复合成像，一键控制启动，以减少噪音和对比度。</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5.1.8.8</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梯形扩展成像技术</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5.1.8.9</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二维灰阶血流显像：非多普勒成像原理，真实反应血管内血流状态；无取样框技术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无角度依赖，清晰显示血流动力学状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态</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5.1.8.10</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心尖扩展成像：相控阵心脏探头采用凸阵扩展技术，实现心尖宽视野显示。成人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相控阵</w:t>
            </w:r>
            <w:r>
              <w:rPr>
                <w:rFonts w:hint="eastAsia" w:ascii="宋体" w:hAnsi="宋体" w:eastAsia="宋体" w:cs="宋体"/>
                <w:color w:val="000000" w:themeColor="text1"/>
                <w:sz w:val="24"/>
                <w:szCs w:val="24"/>
                <w:highlight w:val="none"/>
                <w14:textFill>
                  <w14:solidFill>
                    <w14:schemeClr w14:val="tx1"/>
                  </w14:solidFill>
                </w14:textFill>
              </w:rPr>
              <w:t xml:space="preserve">心脏探头经胸探查最大角度≥1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0°</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彩色多普勒血流成像单元</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5.1.9.1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具有二维彩色模式、能量图模式、速度方差模式、彩色M型模式等多种模式</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5.1.9.2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具体彩色多普勒频率显示，并独立分级可调,≥8级</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5.1.9.3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二维和彩色同步双幅实时显示，亦可应用于冻结和存储的回放图像</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5.1.9.4</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具有组织内彩色优先显示功能，以显示组织内低速血流</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5.1.9.5</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具有彩色去除功能，能在实时、冻结、存储的图像上独立去除彩色信号。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5.1.9.6</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能在冻结和回放的彩色模式下，再次调节彩色图谱、编码方式、方差模式、彩色/组织优先、彩色增益、彩色反转、彩色基线、彩色叠加等多项参数，应用于诊断</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5.1.9.7</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彩色帧频可独立调节</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5.1.9.8</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方向性灰阶血流显像：基于灰阶血流信号的彩色血流方向性显示，保证高帧频、高空间分辨率</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5.1.10</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频谱多普勒显示单元及分析系统</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5.1.11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组织多普勒成像单元</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5.1.11.1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实时一键式组织速度图成像、组织追踪图成像、组织同步化成像、组织应变及应变率成像</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5.1.11.2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具有多普勒信号去除功能，能在实时、冻结、存储的图像上独立去除组织多普勒信号。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5.1.11.3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组织多普勒信号可直接转换为组织追踪图、组织同步化图、应变图和应变率图。</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5.1.11.4</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主机在线同时显示8个节段的心肌速度曲线、位移曲线、应变及应变率曲线</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5.1.12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应变式弹性成像技术</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5.1.12.1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支持探头：线阵探头</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5.1.12.2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具备组织硬度定量分析软件</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5.1.13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超声造影成像单元</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5.1.14</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内置肝肾比测量具备肝脏超声LI-RADS评分系统</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5.1.15</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扫描助手功能：客户自定义操作流程、成像模式设定、测量等操作，减少击键次数，提供在线和离线编辑器，不同设备间可复制使用。</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测量和分析： (B型、M型、频谱多普勒、彩色多普勒、心脏容积模式)</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一般测量功能：直径、面积、体积、狭窄率、压差等</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心脏功能测量与分析</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5.2.2.1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心脏频谱自动测量：可对心脏瓣膜彩色血流频谱及组织多普勒频谱进行多个心动周期的识别并命名，同时进行自动测量并将结果导入到报告系统（包括：E峰、A峰、EDT、E’、E/E’、AV Trace等参数）。</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5.2.2.2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直线解剖M型和曲线解剖M型：实时、冻结或回放图像上可获得M型扫描线360度任意旋转或者多点任意描记，提高测量准确性和效率。可用于二维、彩色血流及组织多普勒模式</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5.2.2.3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自动二维心功能测量，支持单平面和双平面计算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5.2.2.4</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组织多普勒定量在线分析技术: 实时组织多普勒速度彩色显示，单节段运动速度曲线、8个节段运动速度曲线同步显示、同一时间点的不同节段运动速度同步显示; 心肌运动同步性定量分析，快速直观显示峰值速度、达峰时间、间隔侧壁延迟、间隔后壁延迟、基底最大延迟、所有节段最大延迟等多种参数，并具有≥12节段心肌的牛眼图显示</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妇产测量软件包</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5.2.3.1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具有双胎甚至4胎参数测量及生长发育曲线；单胎具有≥20种生长发育曲线</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5.2.3.2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产科自动测量软件：对于常见的胎儿发育指标参数（双顶径、头围、腹围、股骨长、肱骨长等），系统可以自动识别、测量，并计算出结果</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血流测量与分析: 频谱多普勒实时自动包络，参数可自定义设定</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spacing w:after="160" w:line="278" w:lineRule="auto"/>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血管内中膜自动测量: 可以在同切面、且无需180°旋转切面方向的状态下先后自动测量血管前后壁的内中膜厚度</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图像存储与（电影）回放重现单元</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超声图像静态、动态存储，原始数据回放重现</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动态图像、静态图像以AVI、JPEG或MPEGVue格式直接存储于可移动媒体，用于PC计算机，无需特殊软件</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在屏剪帖板和多画面同屏回放功能（≥12幅/屏），不同检查日期所存的图像可以回放至同一屏幕比较分析</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USB接口（≥4个）支持U盘或移动硬盘快速存储屏幕上的图像</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参考信号：心电、心电触发</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输入/输出信号: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输入：ECG，USB</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输出：VGA，HDMI 音频，USB</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所投产品标配ECG导联线，用于心脏彩超检查时判断时相</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图像管理与记录装置：</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内置图像管理系统</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硬盘存储≥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256</w:t>
            </w:r>
            <w:r>
              <w:rPr>
                <w:rFonts w:hint="eastAsia" w:ascii="宋体" w:hAnsi="宋体" w:eastAsia="宋体" w:cs="宋体"/>
                <w:color w:val="000000" w:themeColor="text1"/>
                <w:sz w:val="24"/>
                <w:szCs w:val="24"/>
                <w:highlight w:val="none"/>
                <w14:textFill>
                  <w14:solidFill>
                    <w14:schemeClr w14:val="tx1"/>
                  </w14:solidFill>
                </w14:textFill>
              </w:rPr>
              <w:t xml:space="preserve">GB</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可扩展的存储装置：大容量移动硬盘、DVD-RW、DVR等</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连通性：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支持局域网/PACS/HIS等直接存储、查询与调阅</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可支持DICOM网络连接</w:t>
            </w:r>
            <w:r/>
          </w:p>
        </w:tc>
      </w:tr>
      <w:tr>
        <w:trPr>
          <w:trHeight w:val="56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技术参数及要求：</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系统通用功能</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显示器:≥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4"/>
                <w:highlight w:val="none"/>
                <w14:textFill>
                  <w14:solidFill>
                    <w14:schemeClr w14:val="tx1"/>
                  </w14:solidFill>
                </w14:textFill>
              </w:rPr>
              <w:t xml:space="preserve">英寸,为最新型的高分辨率、无闪烁LCD显示器，分辨率≥1920×1080 Pixel，亮度对比度可根据要求自动和手动调节可调。</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操作面板具有≥1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英寸超高分辨率、多点触控彩色触摸屏；可通过手指进行翻页，直接点击操作菜单、调节参数</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操作面板具有的触摸屏能进行图管理、图像预览和动态图像播放功能、图像输出操作等。</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探头接口：激活探头接口数≥4个，互相通用</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ind w:right="0"/>
              <w:jc w:val="left"/>
              <w:spacing w:beforeAutospacing="0" w:after="0" w:afterAutospacing="0" w:line="324"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aps w:val="0"/>
                <w:color w:val="000000" w:themeColor="text1"/>
                <w:spacing w:val="0"/>
                <w:sz w:val="24"/>
                <w:szCs w:val="24"/>
                <w:highlight w:val="none"/>
                <w:u w:val="none"/>
                <w:lang w:val="en-US" w:eastAsia="zh-CN" w:bidi="ar-SA"/>
                <w14:textFill>
                  <w14:solidFill>
                    <w14:schemeClr w14:val="tx1"/>
                  </w14:solidFill>
                </w14:textFill>
                <w14:ligatures w14:val="none"/>
              </w:rPr>
              <w:t xml:space="preserve">本设备需配备探头个数4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14:ligatures w14:val="none"/>
              </w:rPr>
              <w:t xml:space="preserve">个。</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探头规格</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频率：所配探头均为宽频带多点变频探头,频率范围1.5-18MHz， 中心频率可选择≥3种</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二维、彩色、多普勒均可独立变频</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类型：提供探头，可支持成人心脏、成人腹部、腔内、小器官，且可支持一凸一线和双凸两种双平面探头选配</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B/D兼用：相控阵B/PWD/CWD；线阵B/PWD；凸阵B/PWD</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探头工作频率范围:成人相控阵探头：2-4MHz，电子线阵：4-12MHz</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二维灰阶显像主要参数</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成人相控阵探头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最大</w:t>
            </w:r>
            <w:r>
              <w:rPr>
                <w:rFonts w:hint="eastAsia" w:ascii="宋体" w:hAnsi="宋体" w:eastAsia="宋体" w:cs="宋体"/>
                <w:color w:val="000000" w:themeColor="text1"/>
                <w:sz w:val="24"/>
                <w:szCs w:val="24"/>
                <w:highlight w:val="none"/>
                <w14:textFill>
                  <w14:solidFill>
                    <w14:schemeClr w14:val="tx1"/>
                  </w14:solidFill>
                </w14:textFill>
              </w:rPr>
              <w:t xml:space="preserve">扫描角度：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90</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120</w:t>
            </w:r>
            <w:r>
              <w:rPr>
                <w:rFonts w:hint="eastAsia" w:ascii="宋体" w:hAnsi="宋体" w:eastAsia="宋体" w:cs="宋体"/>
                <w:color w:val="000000" w:themeColor="text1"/>
                <w:sz w:val="24"/>
                <w:szCs w:val="24"/>
                <w:highlight w:val="none"/>
                <w14:textFill>
                  <w14:solidFill>
                    <w14:schemeClr w14:val="tx1"/>
                  </w14:solidFill>
                </w14:textFill>
              </w:rPr>
              <w:t xml:space="preserve">°选择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成像速率: 相控阵探头：90°，18cm深度时，帧速率≥50帧/秒 </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支持高清晰局部放大，放大时增加信息量，提高分辨率和帧频</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发射声束聚焦：发射≥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段</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系统动态范围≥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200</w:t>
            </w:r>
            <w:r>
              <w:rPr>
                <w:rFonts w:hint="eastAsia" w:ascii="宋体" w:hAnsi="宋体" w:eastAsia="宋体" w:cs="宋体"/>
                <w:color w:val="000000" w:themeColor="text1"/>
                <w:sz w:val="24"/>
                <w:szCs w:val="24"/>
                <w:highlight w:val="none"/>
                <w14:textFill>
                  <w14:solidFill>
                    <w14:schemeClr w14:val="tx1"/>
                  </w14:solidFill>
                </w14:textFill>
              </w:rPr>
              <w:t xml:space="preserve">dB</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数字式声束形成器：数字式全程动态聚焦，数字式可变孔径及动态变迹</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回放重现：灰阶图像回放≥3000幅，允许12窗口同屏回放, 多窗口时允许不同时期的图像和实时图像对比</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增益调节：TGC分段≥9，B/M可独立调节</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二次谐波：所配探头支持二次谐波，相控阵探头谐波数≥6组</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6.3.10</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超声系统最大探查深度≥40 cm</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频谱多普勒成像参数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方式： PWD, HPRF，LPRF，CWD</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多普勒发射频率：相控阵：≥九段  线阵：≥三段  凸阵：≥六段</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最大测量速度：PWD：血流速度≥20m/s   CWD：血流速度≥40m/s</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最低测量速度：≤1mm/s(非噪声信号)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显示方式：B、M、B/M、B/M/CFI、B/D、D、B/CFI/D</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电影回放：≥180秒，所有回放的图像仍能调节基线位置、时间轴快慢、比例标尺、角度校正和伪彩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零位移动：≥</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级</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取样宽度及位置范围：宽度1-16mm；分级可调</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显示控制：反转显示(左/右；上/下)、零移位，B—刷新(手控、时间、ECG同步)、D扩展、B/D扩展，局放及移位</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6.4.10</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频谱自动包络并完成测量，参数可自定义，可于实时、冻结和回放图像上完成</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彩色多普勒成像参数</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显示方式：速度分散显示、能量显示、速度显示、方差显示、彩色心肌速度多普勒显示、彩色心肌位移多普勒显示</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实时二同步/三同步显示</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超声功率输出调节:B/M、CWD、PWD、Color Doppler输出功率可调</w:t>
            </w:r>
            <w:r/>
          </w:p>
        </w:tc>
      </w:tr>
      <w:tr>
        <w:trPr>
          <w:trHeight w:val="56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甲状腺智能功能包</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甲状腺病灶征象描述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个，且包含血流分析</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实时恶性概率提示：支持系统给出当前甲状腺病灶的恶性概率</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系统自动分析检出时钟方向，提供≥10种选择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534" w:type="pct"/>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甲状腺报告类型≥2类</w:t>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numPr>
          <w:ilvl w:val="0"/>
          <w:numId w:val="0"/>
        </w:num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商务条款</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1.交货期：</w:t>
      </w:r>
      <w:bookmarkStart w:id="24" w:name="OLE_LINK1"/>
      <w:r>
        <w:rPr>
          <w:rFonts w:hint="eastAsia" w:ascii="宋体" w:hAnsi="宋体" w:eastAsia="宋体" w:cs="宋体"/>
          <w:color w:val="000000" w:themeColor="text1"/>
          <w:sz w:val="24"/>
          <w:szCs w:val="24"/>
          <w:highlight w:val="none"/>
          <w14:textFill>
            <w14:solidFill>
              <w14:schemeClr w14:val="tx1"/>
            </w14:solidFill>
          </w14:textFill>
        </w:rPr>
        <w:t xml:space="preserve">合同签订生效后，待接到院方发货通知后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个月内到货并经采购人验收合格。</w:t>
      </w:r>
      <w:bookmarkEnd w:id="24"/>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2.交付地点：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无锡市锡山区云林街道社区卫生服务中心</w:t>
      </w:r>
      <w:r>
        <w:rPr>
          <w:rFonts w:hint="eastAsia" w:ascii="宋体" w:hAnsi="宋体" w:eastAsia="宋体" w:cs="宋体"/>
          <w:color w:val="000000" w:themeColor="text1"/>
          <w:sz w:val="24"/>
          <w:szCs w:val="24"/>
          <w:highlight w:val="none"/>
          <w14:textFill>
            <w14:solidFill>
              <w14:schemeClr w14:val="tx1"/>
            </w14:solidFill>
          </w14:textFill>
        </w:rPr>
        <w:t xml:space="preserve">，具体以采购人通知时指定交货地点为准。</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3.付款方式：</w:t>
      </w:r>
      <w:r>
        <w:rPr>
          <w:rFonts w:hint="default" w:ascii="宋体" w:hAnsi="宋体" w:eastAsia="宋体" w:cs="宋体"/>
          <w:color w:val="000000" w:themeColor="text1"/>
          <w:sz w:val="24"/>
          <w:szCs w:val="24"/>
          <w:highlight w:val="none"/>
          <w:lang w:eastAsia="zh-CN"/>
          <w14:textFill>
            <w14:solidFill>
              <w14:schemeClr w14:val="tx1"/>
            </w14:solidFill>
          </w14:textFill>
        </w:rPr>
        <w:t xml:space="preserve">采购人收到中标人开具的合法有效发票后，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向</w:t>
      </w:r>
      <w:r>
        <w:rPr>
          <w:rFonts w:hint="eastAsia" w:ascii="宋体" w:hAnsi="宋体" w:eastAsia="宋体" w:cs="宋体"/>
          <w:color w:val="000000" w:themeColor="text1"/>
          <w:sz w:val="24"/>
          <w:szCs w:val="24"/>
          <w:highlight w:val="none"/>
          <w14:textFill>
            <w14:solidFill>
              <w14:schemeClr w14:val="tx1"/>
            </w14:solidFill>
          </w14:textFill>
        </w:rPr>
        <w:t xml:space="preserve">中标方</w:t>
      </w:r>
      <w:r>
        <w:rPr>
          <w:rFonts w:hint="default" w:ascii="宋体" w:hAnsi="宋体" w:eastAsia="宋体" w:cs="宋体"/>
          <w:color w:val="000000" w:themeColor="text1"/>
          <w:sz w:val="24"/>
          <w:szCs w:val="24"/>
          <w:highlight w:val="none"/>
          <w:lang w:eastAsia="zh-CN"/>
          <w14:textFill>
            <w14:solidFill>
              <w14:schemeClr w14:val="tx1"/>
            </w14:solidFill>
          </w14:textFill>
        </w:rPr>
        <w:t xml:space="preserve">支付货款总额的90%</w:t>
      </w:r>
      <w:r>
        <w:rPr>
          <w:rFonts w:hint="eastAsia" w:ascii="宋体" w:hAnsi="宋体" w:eastAsia="宋体" w:cs="宋体"/>
          <w:color w:val="000000" w:themeColor="text1"/>
          <w:sz w:val="24"/>
          <w:szCs w:val="24"/>
          <w:highlight w:val="none"/>
          <w14:textFill>
            <w14:solidFill>
              <w14:schemeClr w14:val="tx1"/>
            </w14:solidFill>
          </w14:textFill>
        </w:rPr>
        <w:t xml:space="preserve">；待全部货物到达采购人指定地点且经验收合格并装机培训结束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余款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质保期满后付清</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每次付款前中标供应商需提供相应金额的税票，采购人原则上应当自收到发票后10个工作日内将资金支付到合同约定的供应商账户。</w:t>
      </w:r>
      <w:r/>
    </w:p>
    <w:p>
      <w:pPr>
        <w:ind w:firstLine="480"/>
        <w:spacing w:line="360" w:lineRule="auto"/>
        <w:widowControl/>
        <w:rPr>
          <w:rFonts w:hint="default"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4.备件、专用工具、资料及其它：需</w:t>
      </w:r>
      <w:r>
        <w:rPr>
          <w:rFonts w:hint="eastAsia" w:ascii="宋体" w:hAnsi="宋体" w:eastAsia="宋体" w:cs="宋体"/>
          <w:color w:val="000000" w:themeColor="text1"/>
          <w:sz w:val="24"/>
          <w:szCs w:val="24"/>
          <w:highlight w:val="none"/>
          <w14:textFill>
            <w14:solidFill>
              <w14:schemeClr w14:val="tx1"/>
            </w14:solidFill>
          </w14:textFill>
        </w:rPr>
        <w:t xml:space="preserve">提供操作手册一套和设备的运行、安装、使用环境要求。在货物到达使用单位后，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14:textFill>
            <w14:solidFill>
              <w14:schemeClr w14:val="tx1"/>
            </w14:solidFill>
          </w14:textFill>
        </w:rPr>
        <w:t xml:space="preserve">应在7天内派工程技术人员到达现场，在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技术人员在场的情况下开箱清点货物，组织安装、调试。需提供彩超工作站（含电脑、打印机及相关联网设备）</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highlight w:val="none"/>
          <w14:textFill>
            <w14:solidFill>
              <w14:schemeClr w14:val="tx1"/>
            </w14:solidFill>
          </w14:textFill>
        </w:rPr>
        <w:t xml:space="preserve">本项目验收标准：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方提供的商品必须符合我国最新颁布的与之相关的技术规范与标准，同时必须满足招标书中所列全部规格、型号、具体配置、技术参数、数量及功能要求和供方承诺的其它指标，并根据制造商的《产品合格证》《出厂清单》《产品说明书》《技术文件》进行现场验收，并由甲、乙双方签署验收报告。如有异议，各方应当在验收后七天内以书面形式通知对方。合同标的物验收合格后由甲方提供货物的存放地点，并负责货物的保管和安全。</w:t>
      </w:r>
      <w:r/>
    </w:p>
    <w:p>
      <w:pPr>
        <w:pStyle w:val="1192"/>
        <w:spacing w:before="0" w:after="0"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24"/>
          <w:szCs w:val="24"/>
          <w:highlight w:val="none"/>
          <w14:textFill>
            <w14:solidFill>
              <w14:schemeClr w14:val="tx1"/>
            </w14:solidFill>
          </w14:textFill>
        </w:rPr>
        <w:t xml:space="preserve">、售后服务要求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1.供应商应保证所供设备是全新的产品。在货物到达使用单位后，卖方应派技术人员到达现场，提供安装、调试、培训等服务。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bookmarkStart w:id="25" w:name="OLE_LINK4"/>
      <w:r>
        <w:rPr>
          <w:rFonts w:hint="eastAsia" w:ascii="宋体" w:hAnsi="宋体" w:eastAsia="宋体" w:cs="宋体"/>
          <w:color w:val="000000" w:themeColor="text1"/>
          <w:sz w:val="24"/>
          <w:szCs w:val="24"/>
          <w:highlight w:val="none"/>
          <w14:textFill>
            <w14:solidFill>
              <w14:schemeClr w14:val="tx1"/>
            </w14:solidFill>
          </w14:textFill>
        </w:rPr>
        <w:t xml:space="preserve">所有设备免费保修期≥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w:t>
      </w:r>
      <w:bookmarkEnd w:id="25"/>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3.卖方须为买方提供现场操作培训，保证操作人员正常使用设备的各种功能，否则持续培训。提供中/英文操作手册和维修手册、软件光盘等，中文操作流程及注意事项塑封挂牌。</w:t>
      </w:r>
      <w:r/>
    </w:p>
    <w:p>
      <w:pPr>
        <w:pStyle w:val="1195"/>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4"/>
          <w:szCs w:val="24"/>
          <w:highlight w:val="none"/>
          <w14:textFill>
            <w14:solidFill>
              <w14:schemeClr w14:val="tx1"/>
            </w14:solidFill>
          </w14:textFill>
        </w:rPr>
        <w:t xml:space="preserve">、其他要求：</w:t>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bookmarkStart w:id="26" w:name="OLE_LINK5"/>
      <w:r>
        <w:rPr>
          <w:rFonts w:hint="eastAsia" w:ascii="宋体" w:hAnsi="宋体" w:eastAsia="宋体" w:cs="宋体"/>
          <w:b/>
          <w:bCs/>
          <w:color w:val="000000" w:themeColor="text1"/>
          <w:sz w:val="24"/>
          <w:szCs w:val="24"/>
          <w:highlight w:val="none"/>
          <w14:textFill>
            <w14:solidFill>
              <w14:schemeClr w14:val="tx1"/>
            </w14:solidFill>
          </w14:textFill>
        </w:rPr>
        <w:t xml:space="preserve">投标人所投产品的中文品名、型号、规格及产品说明书所注适用范围必须与医疗器械产品注册证所标明的完全一致。</w:t>
      </w:r>
      <w:bookmarkEnd w:id="26"/>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bookmarkStart w:id="27" w:name="OLE_LINK6"/>
      <w:r>
        <w:rPr>
          <w:rFonts w:hint="eastAsia" w:ascii="宋体" w:hAnsi="宋体" w:eastAsia="宋体" w:cs="宋体"/>
          <w:color w:val="000000" w:themeColor="text1"/>
          <w:sz w:val="24"/>
          <w:szCs w:val="24"/>
          <w:highlight w:val="none"/>
          <w14:textFill>
            <w14:solidFill>
              <w14:schemeClr w14:val="tx1"/>
            </w14:solidFill>
          </w14:textFill>
        </w:rPr>
        <w:t xml:space="preserve">投标总报价包括满足本项目要求的所有产品及其配件、包装、运杂、安装调试及售后服务等从项目中标起到项目正式交付以及质保期内所发生的一切费用。</w:t>
      </w:r>
      <w:bookmarkEnd w:id="27"/>
      <w:r/>
      <w:r/>
    </w:p>
    <w:p>
      <w:pPr>
        <w:numPr>
          <w:ilvl w:val="255"/>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sz w:val="36"/>
          <w:szCs w:val="36"/>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单位必须根据本采购文件“第三章、项目技术要求和有关说明”中规定的技术配置分别对自己所投产品进行报价，并如实地在《投标偏离表》中逐条标明满足与否，并对其真实性负责，如有偏离请于《投标偏离表》中说明。</w:t>
      </w:r>
      <w:r/>
    </w:p>
    <w:p>
      <w:pPr>
        <w:contextualSpacing/>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contextualSpacing/>
        <w:ind w:firstLine="48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1.</w:t>
      </w:r>
      <w:r>
        <w:rPr>
          <w:rFonts w:ascii="宋体" w:hAnsi="宋体" w:eastAsia="宋体" w:cs="宋体"/>
          <w:b/>
          <w:bCs/>
          <w:sz w:val="24"/>
          <w:szCs w:val="24"/>
          <w:lang w:val="zh-CN"/>
        </w:rPr>
        <w:t xml:space="preserve">本采购需求中涉及量化指标区间的，</w:t>
      </w:r>
      <w:r>
        <w:rPr>
          <w:rFonts w:ascii="宋体" w:hAnsi="宋体" w:eastAsia="宋体" w:cs="宋体"/>
          <w:sz w:val="24"/>
          <w:szCs w:val="24"/>
          <w:lang w:val="zh-CN"/>
        </w:rPr>
        <w:t xml:space="preserve">区间首个数值为最低强制性标准，投标人须全部满足，未达标准视为负偏离</w:t>
      </w:r>
      <w:r>
        <w:rPr>
          <w:rFonts w:hint="eastAsia" w:ascii="宋体" w:hAnsi="宋体" w:eastAsia="宋体" w:cs="宋体"/>
          <w:b/>
          <w:bCs/>
          <w:sz w:val="24"/>
          <w:szCs w:val="24"/>
          <w:lang w:val="zh-CN"/>
        </w:rPr>
        <w:t xml:space="preserve">。</w:t>
      </w:r>
      <w:r/>
    </w:p>
    <w:p>
      <w:pPr>
        <w:ind w:firstLine="48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zh-CN"/>
        </w:rPr>
        <w:t xml:space="preserve">本项目</w:t>
      </w:r>
      <w:r>
        <w:rPr>
          <w:rFonts w:hint="eastAsia" w:ascii="宋体" w:hAnsi="宋体" w:eastAsia="宋体" w:cs="宋体"/>
          <w:b/>
          <w:bCs/>
          <w:sz w:val="24"/>
          <w:szCs w:val="24"/>
          <w:lang w:val="en-US" w:eastAsia="zh-CN"/>
        </w:rPr>
        <w:t xml:space="preserve">不</w:t>
      </w:r>
      <w:r>
        <w:rPr>
          <w:rFonts w:hint="eastAsia" w:ascii="宋体" w:hAnsi="宋体" w:eastAsia="宋体" w:cs="宋体"/>
          <w:b/>
          <w:bCs/>
          <w:sz w:val="24"/>
          <w:szCs w:val="24"/>
          <w:lang w:val="zh-CN"/>
        </w:rPr>
        <w:t xml:space="preserve">收取履约保证金。</w:t>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95"/>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bookmarkStart w:id="28" w:name="_Toc3995"/>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7"/>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8"/>
      <w:r/>
      <w:r/>
    </w:p>
    <w:p>
      <w:pPr>
        <w:pStyle w:val="1195"/>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195"/>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195"/>
        <w:jc w:val="both"/>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195"/>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1195"/>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auto"/>
          <w:sz w:val="44"/>
          <w:szCs w:val="44"/>
          <w:highlight w:val="none"/>
        </w:rPr>
        <w:sectPr>
          <w:headerReference w:type="default" r:id="rId11"/>
          <w:footerReference w:type="default" r:id="rId18"/>
          <w:footnotePr/>
          <w:endnotePr/>
          <w:type w:val="nextPage"/>
          <w:pgSz w:w="11906" w:h="16838" w:orient="portrait"/>
          <w:pgMar w:top="1440" w:right="1800" w:bottom="1440" w:left="1800" w:header="851" w:footer="992" w:gutter="0"/>
          <w:pgNumType w:start="48"/>
          <w:cols w:num="1" w:sep="0" w:space="425" w:equalWidth="1"/>
          <w:docGrid w:linePitch="360"/>
        </w:sectPr>
      </w:pPr>
      <w:r>
        <w:rPr>
          <w:rFonts w:eastAsia="黑体"/>
          <w:color w:val="auto"/>
          <w:sz w:val="44"/>
          <w:szCs w:val="44"/>
          <w:highlight w:val="none"/>
        </w:rPr>
      </w:r>
      <w:r/>
    </w:p>
    <w:p>
      <w:pPr>
        <w:pStyle w:val="1218"/>
        <w:jc w:val="center"/>
        <w:spacing w:line="400" w:lineRule="exact"/>
        <w:rPr>
          <w:rFonts w:hint="eastAsia" w:ascii="黑体" w:hAnsi="华文中宋" w:eastAsia="黑体"/>
          <w:b w:val="0"/>
          <w:bCs w:val="0"/>
          <w:color w:val="000000"/>
          <w:sz w:val="28"/>
          <w:szCs w:val="28"/>
        </w:rPr>
      </w:pPr>
      <w:r/>
      <w:bookmarkStart w:id="29" w:name="_Toc22209"/>
      <w:r/>
      <w:bookmarkStart w:id="30" w:name="_Toc27624"/>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29"/>
      <w:r/>
      <w:r/>
    </w:p>
    <w:p>
      <w:pPr>
        <w:pStyle w:val="1218"/>
        <w:jc w:val="center"/>
        <w:spacing w:line="400" w:lineRule="exact"/>
        <w:rPr>
          <w:rFonts w:hint="eastAsia" w:ascii="黑体" w:hAnsi="华文中宋" w:eastAsia="黑体"/>
          <w:b w:val="0"/>
          <w:bCs w:val="0"/>
          <w:color w:val="000000"/>
          <w:sz w:val="28"/>
          <w:szCs w:val="28"/>
        </w:rPr>
      </w:pPr>
      <w:r>
        <w:rPr>
          <w:rFonts w:hint="eastAsia" w:ascii="黑体" w:hAnsi="华文中宋" w:eastAsia="黑体"/>
          <w:b w:val="0"/>
          <w:bCs w:val="0"/>
          <w:color w:val="000000"/>
          <w:sz w:val="28"/>
          <w:szCs w:val="28"/>
        </w:rPr>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甲方（全称）：</w:t>
      </w:r>
      <w:r>
        <w:rPr>
          <w:rFonts w:hint="eastAsia" w:asciiTheme="minorEastAsia" w:hAnsiTheme="minorEastAsia" w:eastAsiaTheme="minorEastAsia" w:cstheme="minorEastAsia"/>
          <w:color w:val="000000"/>
          <w:szCs w:val="21"/>
          <w:u w:val="single"/>
          <w:lang w:val="en-US" w:eastAsia="zh-CN"/>
        </w:rPr>
        <w:t xml:space="preserve">无锡市锡山区云林街道社区卫生服务中心</w:t>
      </w:r>
      <w:r>
        <w:rPr>
          <w:rFonts w:hint="eastAsia" w:asciiTheme="minorEastAsia" w:hAnsiTheme="minorEastAsia" w:eastAsiaTheme="minorEastAsia" w:cstheme="minorEastAsia"/>
          <w:color w:val="000000"/>
          <w:szCs w:val="21"/>
        </w:rPr>
        <w:t xml:space="preserve">（采购人</w:t>
      </w:r>
      <w:r>
        <w:rPr>
          <w:rFonts w:hint="eastAsia" w:asciiTheme="minorEastAsia" w:hAnsiTheme="minorEastAsia" w:eastAsiaTheme="minorEastAsia" w:cstheme="minorEastAsia"/>
          <w:color w:val="000000"/>
          <w:szCs w:val="21"/>
          <w:lang w:eastAsia="zh-CN"/>
        </w:rPr>
        <w:t xml:space="preserve">、受采购人委托签订合同的单位</w:t>
      </w:r>
      <w:r>
        <w:rPr>
          <w:rFonts w:hint="eastAsia" w:asciiTheme="minorEastAsia" w:hAnsiTheme="minorEastAsia" w:eastAsiaTheme="minorEastAsia" w:cstheme="minorEastAsia"/>
          <w:color w:val="000000"/>
          <w:szCs w:val="21"/>
        </w:rPr>
        <w:t xml:space="preserve">或采购文件约定的合同甲方）</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w:t>
      </w:r>
      <w:r>
        <w:rPr>
          <w:rFonts w:hint="eastAsia" w:asciiTheme="minorEastAsia" w:hAnsiTheme="minorEastAsia" w:eastAsiaTheme="minorEastAsia" w:cstheme="minorEastAsia"/>
          <w:color w:val="000000"/>
          <w:szCs w:val="21"/>
          <w:lang w:val="en-US" w:eastAsia="zh-CN"/>
        </w:rPr>
        <w:t xml:space="preserve">1</w:t>
      </w:r>
      <w:r>
        <w:rPr>
          <w:rFonts w:hint="eastAsia" w:asciiTheme="minorEastAsia" w:hAnsiTheme="minorEastAsia" w:eastAsiaTheme="minorEastAsia" w:cstheme="minorEastAsia"/>
          <w:color w:val="000000"/>
          <w:szCs w:val="21"/>
        </w:rPr>
        <w:t xml:space="preserve">（全称）：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（供应商）</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乙方2（全称）：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（联合体成员供应商或其他合同主体）（如有）</w:t>
      </w:r>
      <w:r/>
    </w:p>
    <w:p>
      <w:pPr>
        <w:spacing w:before="0" w:line="40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lang w:eastAsia="zh-CN"/>
        </w:rPr>
        <w:t xml:space="preserve">乙方</w:t>
      </w:r>
      <w:r>
        <w:rPr>
          <w:rFonts w:hint="eastAsia" w:asciiTheme="minorEastAsia" w:hAnsiTheme="minorEastAsia" w:eastAsiaTheme="minorEastAsia" w:cstheme="minorEastAsia"/>
          <w:color w:val="000000"/>
          <w:szCs w:val="21"/>
          <w:lang w:val="en-US" w:eastAsia="zh-CN"/>
        </w:rPr>
        <w:t xml:space="preserve">3</w:t>
      </w:r>
      <w:r>
        <w:rPr>
          <w:rFonts w:hint="eastAsia" w:asciiTheme="minorEastAsia" w:hAnsiTheme="minorEastAsia" w:eastAsiaTheme="minorEastAsia" w:cstheme="minorEastAsia"/>
          <w:color w:val="000000"/>
          <w:lang w:val="en-US" w:eastAsia="zh-CN"/>
        </w:rPr>
        <w:t xml:space="preserve">（全称）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（联合体成员供应商或其他合同主体）（如有）</w:t>
      </w:r>
      <w:r/>
    </w:p>
    <w:p>
      <w:pPr>
        <w:spacing w:line="400" w:lineRule="exact"/>
        <w:rPr>
          <w:rFonts w:hint="eastAsia" w:asciiTheme="minorEastAsia" w:hAnsiTheme="minorEastAsia" w:eastAsiaTheme="minorEastAsia" w:cstheme="minorEastAsia"/>
          <w:color w:val="000000"/>
          <w:lang w:val="en-US" w:eastAsia="zh-CN"/>
        </w:rPr>
      </w:pPr>
      <w:r>
        <w:rPr>
          <w:rFonts w:hint="eastAsia" w:asciiTheme="minorEastAsia" w:hAnsiTheme="minorEastAsia" w:eastAsiaTheme="minorEastAsia" w:cstheme="minorEastAsia"/>
          <w:color w:val="000000"/>
          <w:lang w:val="en-US" w:eastAsia="zh-CN"/>
        </w:rPr>
      </w:r>
      <w:r/>
    </w:p>
    <w:p>
      <w:pPr>
        <w:ind w:left="0" w:firstLine="420"/>
        <w:jc w:val="both"/>
        <w:spacing w:before="0" w:after="0" w:line="400" w:lineRule="exact"/>
        <w:widowControl w:val="off"/>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 xml:space="preserve">依据《中华人民共和国民法典》《中华人民共和国政府采购法》等有关的法律法规，以及</w:t>
      </w:r>
      <w:r>
        <w:rPr>
          <w:rFonts w:hint="eastAsia" w:asciiTheme="minorEastAsia" w:hAnsiTheme="minorEastAsia" w:eastAsiaTheme="minorEastAsia" w:cstheme="minorEastAsia"/>
          <w:i w:val="0"/>
          <w:iCs w:val="0"/>
          <w:color w:val="000000"/>
          <w:sz w:val="21"/>
          <w:szCs w:val="21"/>
          <w:u w:val="none"/>
          <w:lang w:eastAsia="zh-CN"/>
        </w:rPr>
        <w:t xml:space="preserve">本采购项目</w:t>
      </w:r>
      <w:r>
        <w:rPr>
          <w:rFonts w:hint="eastAsia" w:asciiTheme="minorEastAsia" w:hAnsiTheme="minorEastAsia" w:eastAsiaTheme="minorEastAsia" w:cstheme="minorEastAsia"/>
          <w:color w:val="000000"/>
          <w:sz w:val="21"/>
          <w:szCs w:val="21"/>
          <w:lang w:eastAsia="zh-CN"/>
        </w:rPr>
        <w:t xml:space="preserve">的招标</w:t>
      </w:r>
      <w:r>
        <w:rPr>
          <w:rFonts w:hint="eastAsia" w:asciiTheme="minorEastAsia" w:hAnsiTheme="minorEastAsia" w:eastAsiaTheme="minorEastAsia" w:cstheme="minorEastAsia"/>
          <w:color w:val="000000"/>
          <w:sz w:val="21"/>
          <w:szCs w:val="21"/>
          <w:lang w:val="en-US" w:eastAsia="zh-CN"/>
        </w:rPr>
        <w:t xml:space="preserve">/谈判</w:t>
      </w:r>
      <w:r>
        <w:rPr>
          <w:rFonts w:hint="eastAsia" w:asciiTheme="minorEastAsia" w:hAnsiTheme="minorEastAsia" w:eastAsiaTheme="minorEastAsia" w:cstheme="minorEastAsia"/>
          <w:color w:val="000000"/>
          <w:sz w:val="21"/>
          <w:szCs w:val="21"/>
          <w:lang w:eastAsia="zh-CN"/>
        </w:rPr>
        <w:t xml:space="preserve">文件等采购文件、乙方的《投标（响应）文件》及《中标（成交）通知书》，甲乙双方同意签订本合同。具体情况及要求如下：     </w:t>
      </w:r>
      <w:r/>
    </w:p>
    <w:p>
      <w:pPr>
        <w:numPr>
          <w:ilvl w:val="0"/>
          <w:numId w:val="3"/>
        </w:numPr>
        <w:ind w:firstLine="420"/>
        <w:spacing w:before="0" w:line="400" w:lineRule="exact"/>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项目信息</w:t>
      </w:r>
      <w:r/>
    </w:p>
    <w:p>
      <w:pPr>
        <w:pStyle w:val="1196"/>
        <w:numPr>
          <w:ilvl w:val="0"/>
          <w:numId w:val="0"/>
        </w:numPr>
        <w:ind w:left="0" w:firstLine="420"/>
        <w:spacing w:before="0" w:after="0" w:line="400" w:lineRule="exact"/>
        <w:rPr>
          <w:rFonts w:hint="eastAsia" w:asciiTheme="minorEastAsia" w:hAnsiTheme="minorEastAsia" w:eastAsiaTheme="minorEastAsia" w:cstheme="minorEastAsia"/>
          <w:color w:val="000000"/>
          <w:spacing w:val="0"/>
          <w:sz w:val="21"/>
          <w:szCs w:val="21"/>
          <w:u w:val="single"/>
          <w:lang w:val="en-US" w:eastAsia="zh-CN" w:bidi="ar-SA"/>
        </w:rPr>
      </w:pPr>
      <w:r>
        <w:rPr>
          <w:rFonts w:hint="eastAsia" w:asciiTheme="minorEastAsia" w:hAnsiTheme="minorEastAsia" w:eastAsiaTheme="minorEastAsia" w:cstheme="minorEastAsia"/>
          <w:color w:val="000000"/>
          <w:spacing w:val="0"/>
          <w:sz w:val="21"/>
          <w:szCs w:val="21"/>
          <w:lang w:val="en-US" w:eastAsia="zh-CN" w:bidi="ar-SA"/>
        </w:rPr>
        <w:t xml:space="preserve">（1）采购项目名称</w:t>
      </w:r>
      <w:r>
        <w:rPr>
          <w:rFonts w:hint="eastAsia" w:asciiTheme="minorEastAsia" w:hAnsiTheme="minorEastAsia" w:eastAsiaTheme="minorEastAsia" w:cstheme="minorEastAsia"/>
          <w:color w:val="000000"/>
          <w:spacing w:val="0"/>
          <w:sz w:val="21"/>
          <w:szCs w:val="21"/>
          <w:u w:val="single"/>
          <w:lang w:val="en-US" w:eastAsia="zh-CN" w:bidi="ar-SA"/>
        </w:rPr>
        <w:t xml:space="preserve">：锡山区云林街道社区卫生服务中心彩超采购</w:t>
      </w:r>
      <w:r>
        <w:rPr>
          <w:rFonts w:hint="eastAsia" w:asciiTheme="minorEastAsia" w:hAnsiTheme="minorEastAsia" w:eastAsiaTheme="minorEastAsia" w:cstheme="minorEastAsia"/>
          <w:color w:val="000000"/>
          <w:spacing w:val="0"/>
          <w:sz w:val="21"/>
          <w:szCs w:val="21"/>
          <w:u w:val="single"/>
          <w:lang w:val="en-US" w:eastAsia="zh-CN" w:bidi="ar-SA"/>
        </w:rPr>
        <w:t xml:space="preserve">项目</w:t>
      </w:r>
      <w:r/>
    </w:p>
    <w:p>
      <w:pPr>
        <w:pStyle w:val="1196"/>
        <w:numPr>
          <w:ilvl w:val="0"/>
          <w:numId w:val="0"/>
        </w:numPr>
        <w:ind w:left="0" w:firstLine="420"/>
        <w:spacing w:before="0" w:after="0" w:line="400" w:lineRule="exact"/>
        <w:rPr>
          <w:rFonts w:hint="default" w:asciiTheme="minorEastAsia" w:hAnsiTheme="minorEastAsia" w:eastAsiaTheme="minorEastAsia" w:cstheme="minorEastAsia"/>
          <w:color w:val="000000"/>
          <w:spacing w:val="0"/>
          <w:sz w:val="21"/>
          <w:szCs w:val="21"/>
          <w:lang w:val="en-US" w:eastAsia="zh-CN" w:bidi="ar-SA"/>
        </w:rPr>
      </w:pPr>
      <w:r>
        <w:rPr>
          <w:rFonts w:hint="eastAsia" w:ascii="宋体" w:hAnsi="宋体"/>
          <w:szCs w:val="21"/>
          <w:u w:val="none"/>
          <w:lang w:val="en-US" w:eastAsia="zh-CN"/>
        </w:rPr>
        <w:t xml:space="preserve">    </w:t>
      </w:r>
      <w:r>
        <w:rPr>
          <w:rFonts w:hint="eastAsia" w:asciiTheme="minorEastAsia" w:hAnsiTheme="minorEastAsia" w:eastAsiaTheme="minorEastAsia" w:cstheme="minorEastAsia"/>
          <w:color w:val="000000"/>
          <w:spacing w:val="0"/>
          <w:sz w:val="21"/>
          <w:szCs w:val="21"/>
          <w:lang w:val="en-US" w:eastAsia="zh-CN" w:bidi="ar-SA"/>
        </w:rPr>
        <w:t xml:space="preserve">采购项目编号：</w:t>
      </w:r>
      <w:r>
        <w:rPr>
          <w:rFonts w:hint="eastAsia" w:asciiTheme="minorEastAsia" w:hAnsiTheme="minorEastAsia" w:eastAsiaTheme="minorEastAsia" w:cstheme="minorEastAsia"/>
          <w:color w:val="000000"/>
          <w:spacing w:val="0"/>
          <w:sz w:val="21"/>
          <w:szCs w:val="21"/>
          <w:u w:val="single"/>
          <w:lang w:val="en-US" w:eastAsia="zh-CN" w:bidi="ar-SA"/>
        </w:rPr>
        <w:t xml:space="preserve">                                      </w:t>
      </w:r>
      <w:r>
        <w:rPr>
          <w:rFonts w:hint="eastAsia" w:asciiTheme="minorEastAsia" w:hAnsiTheme="minorEastAsia" w:eastAsiaTheme="minorEastAsia" w:cstheme="minorEastAsia"/>
          <w:color w:val="000000"/>
          <w:spacing w:val="0"/>
          <w:sz w:val="21"/>
          <w:szCs w:val="21"/>
          <w:lang w:val="en-US" w:eastAsia="zh-CN" w:bidi="ar-SA"/>
        </w:rPr>
        <w:t xml:space="preserve">    </w:t>
      </w:r>
      <w:r/>
    </w:p>
    <w:p>
      <w:pPr>
        <w:pStyle w:val="1196"/>
        <w:numPr>
          <w:ilvl w:val="0"/>
          <w:numId w:val="0"/>
        </w:numPr>
        <w:ind w:left="0" w:firstLine="420"/>
        <w:spacing w:before="0" w:after="0" w:line="400" w:lineRule="exact"/>
        <w:rPr>
          <w:rFonts w:hint="eastAsia" w:asciiTheme="minorEastAsia" w:hAnsiTheme="minorEastAsia" w:eastAsiaTheme="minorEastAsia" w:cstheme="minorEastAsia"/>
          <w:color w:val="000000"/>
          <w:spacing w:val="0"/>
          <w:sz w:val="21"/>
          <w:szCs w:val="21"/>
          <w:lang w:val="en-US" w:eastAsia="zh-CN" w:bidi="ar-SA"/>
        </w:rPr>
      </w:pPr>
      <w:r>
        <w:rPr>
          <w:rFonts w:hint="eastAsia" w:asciiTheme="minorEastAsia" w:hAnsiTheme="minorEastAsia" w:eastAsiaTheme="minorEastAsia" w:cstheme="minorEastAsia"/>
          <w:color w:val="000000"/>
          <w:spacing w:val="0"/>
          <w:sz w:val="21"/>
          <w:szCs w:val="21"/>
          <w:lang w:val="en-US" w:eastAsia="zh-CN" w:bidi="ar-SA"/>
        </w:rPr>
        <w:t xml:space="preserve">（2）采购计划编号：</w:t>
      </w:r>
      <w:r>
        <w:rPr>
          <w:rFonts w:hint="eastAsia" w:asciiTheme="minorEastAsia" w:hAnsiTheme="minorEastAsia" w:eastAsiaTheme="minorEastAsia" w:cstheme="minorEastAsia"/>
          <w:color w:val="000000"/>
          <w:spacing w:val="0"/>
          <w:sz w:val="21"/>
          <w:szCs w:val="21"/>
          <w:u w:val="single"/>
          <w:lang w:val="en-US" w:eastAsia="zh-CN" w:bidi="ar-SA"/>
        </w:rPr>
        <w:t xml:space="preserve">                                       </w:t>
      </w:r>
      <w:r>
        <w:rPr>
          <w:rFonts w:hint="eastAsia" w:asciiTheme="minorEastAsia" w:hAnsiTheme="minorEastAsia" w:eastAsiaTheme="minorEastAsia" w:cstheme="minorEastAsia"/>
          <w:color w:val="000000"/>
          <w:spacing w:val="0"/>
          <w:sz w:val="21"/>
          <w:szCs w:val="21"/>
          <w:lang w:val="en-US" w:eastAsia="zh-CN" w:bidi="ar-SA"/>
        </w:rPr>
        <w:t xml:space="preserve">    </w:t>
      </w:r>
      <w:r/>
    </w:p>
    <w:p>
      <w:pPr>
        <w:pStyle w:val="1196"/>
        <w:numPr>
          <w:ilvl w:val="0"/>
          <w:numId w:val="0"/>
        </w:numPr>
        <w:ind w:left="0" w:firstLine="420"/>
        <w:spacing w:before="0" w:after="0" w:line="400" w:lineRule="exact"/>
        <w:rPr>
          <w:rFonts w:hint="eastAsia" w:asciiTheme="minorEastAsia" w:hAnsiTheme="minorEastAsia" w:eastAsiaTheme="minorEastAsia" w:cstheme="minorEastAsia"/>
          <w:color w:val="000000"/>
          <w:spacing w:val="0"/>
          <w:sz w:val="21"/>
          <w:szCs w:val="21"/>
          <w:lang w:val="en-US" w:eastAsia="zh-CN" w:bidi="ar-SA"/>
        </w:rPr>
      </w:pPr>
      <w:r>
        <w:rPr>
          <w:rFonts w:hint="eastAsia" w:asciiTheme="minorEastAsia" w:hAnsiTheme="minorEastAsia" w:eastAsiaTheme="minorEastAsia" w:cstheme="minorEastAsia"/>
          <w:color w:val="000000"/>
          <w:spacing w:val="0"/>
          <w:sz w:val="21"/>
          <w:szCs w:val="21"/>
          <w:lang w:val="en-US" w:eastAsia="zh-CN" w:bidi="ar-SA"/>
        </w:rPr>
        <w:t xml:space="preserve">（3）项目内容：</w:t>
      </w:r>
      <w:r/>
    </w:p>
    <w:p>
      <w:pPr>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2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255"/>
          <w:numId w:val="0"/>
        </w:num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219"/>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219"/>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219"/>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219"/>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219"/>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219"/>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219"/>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þ</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219"/>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219"/>
        <w:numPr>
          <w:ilvl w:val="255"/>
          <w:numId w:val="0"/>
        </w:numPr>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219"/>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219"/>
        <w:numPr>
          <w:ilvl w:val="255"/>
          <w:numId w:val="0"/>
        </w:numPr>
        <w:ind w:firstLine="220"/>
        <w:rPr>
          <w:rFonts w:hint="eastAsia" w:ascii="宋体" w:hAns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rPr>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hint="eastAsia"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219"/>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eastAsia="宋体" w:cs="宋体"/>
          <w:szCs w:val="21"/>
        </w:rPr>
      </w:pPr>
      <w:r>
        <w:rPr>
          <w:rFonts w:hint="eastAsia" w:ascii="宋体" w:hAnsi="宋体" w:eastAsia="宋体" w:cs="宋体"/>
          <w:szCs w:val="21"/>
        </w:rPr>
        <w:t xml:space="preserve">（</w:t>
      </w:r>
      <w:r>
        <w:rPr>
          <w:rFonts w:ascii="宋体" w:hAnsi="宋体" w:cs="宋体"/>
          <w:szCs w:val="21"/>
        </w:rPr>
        <w:t xml:space="preserve">9</w:t>
      </w:r>
      <w:r>
        <w:rPr>
          <w:rFonts w:hint="eastAsia" w:ascii="宋体" w:hAnsi="宋体" w:eastAsia="宋体" w:cs="宋体"/>
          <w:szCs w:val="21"/>
        </w:rPr>
        <w:t xml:space="preserve">）是否涉及进口产品：</w:t>
      </w:r>
      <w:r/>
    </w:p>
    <w:p>
      <w:pPr>
        <w:numPr>
          <w:ilvl w:val="255"/>
          <w:numId w:val="0"/>
        </w:numPr>
        <w:ind w:firstLine="840"/>
        <w:spacing w:line="400" w:lineRule="exact"/>
        <w:rPr>
          <w:rFonts w:hint="eastAsia" w:ascii="宋体" w:hAnsi="宋体" w:eastAsia="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是，</w:t>
      </w:r>
      <w:r>
        <w:rPr>
          <w:rFonts w:hint="eastAsia" w:ascii="宋体" w:hAnsi="宋体" w:cs="宋体"/>
          <w:szCs w:val="21"/>
        </w:rPr>
        <w:t xml:space="preserve">《政府采购品目分类目录》底级品目名称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rPr>
        <w:t xml:space="preserve">金额：</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p>
    <w:p>
      <w:pPr>
        <w:numPr>
          <w:ilvl w:val="255"/>
          <w:numId w:val="0"/>
        </w:numPr>
        <w:ind w:firstLine="840"/>
        <w:spacing w:line="400" w:lineRule="exact"/>
        <w:rPr>
          <w:rFonts w:hint="eastAsia" w:ascii="宋体" w:hAnsi="宋体" w:eastAsia="宋体"/>
          <w:szCs w:val="21"/>
        </w:rPr>
      </w:pPr>
      <w:r>
        <w:rPr>
          <w:rFonts w:hint="eastAsia" w:ascii="宋体" w:hAnsi="宋体" w:cs="宋体"/>
          <w:szCs w:val="21"/>
        </w:rPr>
        <w:t xml:space="preserve">        国别：</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rPr>
          <w:rFonts w:hint="eastAsia" w:ascii="宋体" w:hAnsi="宋体" w:cs="宋体"/>
          <w:szCs w:val="21"/>
        </w:rPr>
        <w:t xml:space="preserve"> </w:t>
      </w:r>
      <w:r>
        <w:rPr>
          <w:rFonts w:hint="eastAsia" w:ascii="宋体" w:hAnsi="宋体" w:eastAsia="宋体" w:cs="宋体"/>
          <w:szCs w:val="21"/>
        </w:rPr>
        <w:t xml:space="preserve">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spacing w:line="400" w:lineRule="exact"/>
        <w:tabs>
          <w:tab w:val="left" w:pos="740" w:leader="none"/>
        </w:tabs>
        <w:rPr>
          <w:rFonts w:hint="eastAsia" w:ascii="宋体" w:hAnsi="宋体" w:eastAsia="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w:t>
      </w:r>
      <w:r>
        <w:rPr>
          <w:rFonts w:hint="eastAsia" w:ascii="宋体" w:hAnsi="宋体" w:eastAsia="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《节能产品政府采购品目清单》的底级品目名称：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eastAsia="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spacing w:line="400" w:lineRule="exact"/>
        <w:tabs>
          <w:tab w:val="left" w:pos="740" w:leader="none"/>
        </w:tabs>
        <w:rPr>
          <w:rFonts w:hint="eastAsia" w:ascii="宋体" w:hAnsi="宋体" w:eastAsia="宋体"/>
          <w:szCs w:val="21"/>
        </w:rPr>
      </w:pPr>
      <w:r>
        <w:rPr>
          <w:rFonts w:hint="eastAsia" w:ascii="宋体" w:hAnsi="宋体"/>
          <w:szCs w:val="21"/>
        </w:rPr>
        <w:t xml:space="preserve">          </w:t>
      </w:r>
      <w:r>
        <w:rPr>
          <w:rFonts w:hint="eastAsia" w:ascii="宋体" w:hAnsi="宋体" w:eastAsia="宋体"/>
          <w:szCs w:val="21"/>
        </w:rPr>
        <w:t xml:space="preserve">是否涉及</w:t>
      </w:r>
      <w:r>
        <w:rPr>
          <w:rFonts w:hint="eastAsia" w:ascii="宋体" w:hAnsi="宋体"/>
          <w:szCs w:val="21"/>
        </w:rPr>
        <w:t xml:space="preserve">环境标志</w:t>
      </w:r>
      <w:r>
        <w:rPr>
          <w:rFonts w:hint="eastAsia" w:ascii="宋体" w:hAnsi="宋体" w:eastAsia="宋体"/>
          <w:szCs w:val="21"/>
        </w:rPr>
        <w:t xml:space="preserve">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《环境标志产品政府采购品目清单》的底级品目名称：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pStyle w:val="1219"/>
        <w:numPr>
          <w:ilvl w:val="255"/>
          <w:numId w:val="0"/>
        </w:numPr>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219"/>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219"/>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eastAsia="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w:t>
      </w:r>
      <w:r>
        <w:rPr>
          <w:rFonts w:hint="eastAsia" w:ascii="宋体" w:hAnsi="宋体" w:eastAsia="宋体"/>
          <w:szCs w:val="21"/>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rPr>
        <w:t xml:space="preserve">明确产品及相关快递服务的具体包装要求：</w:t>
      </w:r>
      <w:r/>
    </w:p>
    <w:p>
      <w:pPr>
        <w:numPr>
          <w:ilvl w:val="255"/>
          <w:numId w:val="0"/>
        </w:numPr>
        <w:ind w:firstLine="840"/>
        <w:spacing w:line="400" w:lineRule="exact"/>
        <w:rPr>
          <w:rFonts w:hint="eastAsia"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eastAsia="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212"/>
        <w:spacing w:line="400" w:lineRule="exact"/>
      </w:pPr>
      <w:r>
        <w:rPr>
          <w:rFonts w:hint="eastAsia" w:ascii="宋体" w:hAnsi="宋体"/>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left="1623" w:hanging="993"/>
        <w:spacing w:line="360" w:lineRule="auto"/>
        <w:widowControl/>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w:t>
      </w:r>
      <w:r>
        <w:rPr>
          <w:rFonts w:hint="default" w:ascii="宋体" w:hAnsi="宋体"/>
          <w:szCs w:val="21"/>
          <w:u w:val="single"/>
          <w:lang w:eastAsia="zh-CN"/>
        </w:rPr>
        <w:t xml:space="preserve">采购人收到中标人开具的合法有效发票后，</w:t>
      </w:r>
      <w:r>
        <w:rPr>
          <w:rFonts w:hint="eastAsia" w:ascii="宋体" w:hAnsi="宋体"/>
          <w:szCs w:val="21"/>
          <w:u w:val="single"/>
          <w:lang w:val="en-US" w:eastAsia="zh-CN"/>
        </w:rPr>
        <w:t xml:space="preserve">向</w:t>
      </w:r>
      <w:r>
        <w:rPr>
          <w:rFonts w:hint="eastAsia" w:ascii="宋体" w:hAnsi="宋体"/>
          <w:szCs w:val="21"/>
          <w:u w:val="single"/>
        </w:rPr>
        <w:t xml:space="preserve">中标方</w:t>
      </w:r>
      <w:r>
        <w:rPr>
          <w:rFonts w:hint="default" w:ascii="宋体" w:hAnsi="宋体"/>
          <w:szCs w:val="21"/>
          <w:u w:val="single"/>
          <w:lang w:eastAsia="zh-CN"/>
        </w:rPr>
        <w:t xml:space="preserve">支付货款总额的90%</w:t>
      </w:r>
      <w:r>
        <w:rPr>
          <w:rFonts w:hint="eastAsia" w:ascii="宋体" w:hAnsi="宋体"/>
          <w:szCs w:val="21"/>
          <w:u w:val="single"/>
        </w:rPr>
        <w:t xml:space="preserve">；待全部货物到达采购人指定地点且经验收合格并装机培训结束</w:t>
      </w:r>
      <w:r>
        <w:rPr>
          <w:rFonts w:hint="eastAsia" w:ascii="宋体" w:hAnsi="宋体"/>
          <w:szCs w:val="21"/>
          <w:u w:val="single"/>
          <w:lang w:eastAsia="zh-CN"/>
        </w:rPr>
        <w:t xml:space="preserve">，</w:t>
      </w:r>
      <w:r>
        <w:rPr>
          <w:rFonts w:hint="eastAsia" w:ascii="宋体" w:hAnsi="宋体"/>
          <w:szCs w:val="21"/>
          <w:u w:val="single"/>
        </w:rPr>
        <w:t xml:space="preserve">余款</w:t>
      </w:r>
      <w:r>
        <w:rPr>
          <w:rFonts w:hint="eastAsia" w:ascii="宋体" w:hAnsi="宋体"/>
          <w:szCs w:val="21"/>
          <w:u w:val="single"/>
          <w:lang w:val="en-US" w:eastAsia="zh-CN"/>
        </w:rPr>
        <w:t xml:space="preserve">质保期满后付清</w:t>
      </w:r>
      <w:r>
        <w:rPr>
          <w:rFonts w:hint="eastAsia" w:ascii="宋体" w:hAnsi="宋体"/>
          <w:szCs w:val="21"/>
          <w:u w:val="single"/>
        </w:rPr>
        <w:t xml:space="preserve">。每次付款前中标供应商需提供相应金额的税票，采购人原则上应当自收到发票后10个工作日内将资金支付到合同约定的供应商账户。</w:t>
      </w:r>
      <w:r/>
    </w:p>
    <w:p>
      <w:pPr>
        <w:ind w:left="1623" w:hanging="993"/>
        <w:spacing w:line="360" w:lineRule="auto"/>
        <w:widowControl/>
        <w:rPr>
          <w:rFonts w:hint="eastAsia"/>
        </w:rPr>
      </w:pP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
        </w:numPr>
        <w:ind w:firstLine="420"/>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eastAsia="宋体" w:cs="宋体"/>
          <w:color w:val="000000"/>
          <w:szCs w:val="21"/>
        </w:rPr>
      </w:pPr>
      <w:r>
        <w:rPr>
          <w:rFonts w:hint="eastAsia" w:ascii="宋体" w:hAnsi="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p>
    <w:p>
      <w:pPr>
        <w:pStyle w:val="1219"/>
        <w:rPr>
          <w:rFonts w:hint="eastAsia" w:ascii="宋体" w:hAnsi="宋体" w:eastAsia="宋体" w:cs="宋体"/>
          <w:bCs/>
          <w:color w:val="000000"/>
          <w:sz w:val="21"/>
        </w:rPr>
      </w:pPr>
      <w:r>
        <w:rPr>
          <w:rFonts w:hint="eastAsia" w:ascii="宋体" w:hAnsi="宋体" w:cs="宋体"/>
          <w:bCs/>
          <w:color w:val="000000"/>
        </w:rPr>
        <w:t xml:space="preserve">  </w:t>
      </w:r>
      <w:r>
        <w:rPr>
          <w:rFonts w:hint="eastAsia" w:ascii="宋体" w:hAnsi="宋体" w:eastAsia="宋体" w:cs="宋体"/>
          <w:bCs/>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219"/>
        <w:rPr>
          <w:rFonts w:hint="eastAsia" w:ascii="宋体" w:hAnsi="宋体" w:eastAsia="宋体" w:cs="宋体"/>
          <w:bCs/>
          <w:color w:val="000000"/>
          <w:sz w:val="21"/>
        </w:rPr>
      </w:pPr>
      <w:r>
        <w:rPr>
          <w:rFonts w:hint="eastAsia" w:ascii="宋体" w:hAnsi="宋体" w:eastAsia="宋体" w:cs="宋体"/>
          <w:bCs/>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420"/>
        <w:spacing w:line="40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pStyle w:val="1219"/>
        <w:ind w:firstLine="630"/>
        <w:rPr>
          <w:rFonts w:hint="eastAsia" w:ascii="宋体" w:hAnsi="宋体" w:eastAsia="宋体" w:cs="宋体"/>
          <w:bCs/>
          <w:color w:val="000000"/>
          <w:sz w:val="21"/>
        </w:rPr>
      </w:pPr>
      <w:r>
        <w:rPr>
          <w:rFonts w:hint="eastAsia" w:ascii="宋体" w:hAnsi="宋体" w:eastAsia="宋体" w:cs="宋体"/>
          <w:bCs/>
          <w:color w:val="000000"/>
          <w:sz w:val="21"/>
        </w:rPr>
        <w:t xml:space="preserve">履约保证金的缴纳时间：</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219"/>
        <w:ind w:firstLine="630"/>
        <w:rPr>
          <w:rFonts w:hint="eastAsia" w:ascii="宋体" w:hAnsi="宋体" w:eastAsia="宋体" w:cs="宋体"/>
          <w:bCs/>
          <w:color w:val="000000"/>
          <w:sz w:val="21"/>
        </w:rPr>
      </w:pPr>
      <w:r>
        <w:rPr>
          <w:rFonts w:hint="eastAsia" w:ascii="宋体" w:hAnsi="宋体" w:eastAsia="宋体" w:cs="宋体"/>
          <w:bCs/>
          <w:color w:val="000000"/>
          <w:sz w:val="21"/>
        </w:rPr>
        <w:t xml:space="preserve">退付办法：</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219"/>
        <w:ind w:left="3360" w:hanging="2730"/>
        <w:rPr>
          <w:rFonts w:hint="eastAsia" w:ascii="宋体" w:hAnsi="宋体" w:eastAsia="宋体" w:cs="宋体"/>
          <w:bCs/>
          <w:color w:val="000000"/>
          <w:sz w:val="21"/>
          <w:u w:val="single"/>
        </w:rPr>
      </w:pPr>
      <w:r>
        <w:rPr>
          <w:rFonts w:hint="eastAsia" w:ascii="宋体" w:hAnsi="宋体" w:eastAsia="宋体" w:cs="宋体"/>
          <w:bCs/>
          <w:color w:val="000000"/>
          <w:sz w:val="21"/>
        </w:rPr>
        <w:t xml:space="preserve">履约保证金不予退还的情形：</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630"/>
        <w:spacing w:line="400" w:lineRule="exact"/>
        <w:rPr>
          <w:rFonts w:hint="eastAsia" w:ascii="宋体" w:hAnsi="宋体" w:cs="宋体"/>
          <w:bCs/>
          <w:color w:val="000000"/>
          <w:szCs w:val="21"/>
        </w:rPr>
      </w:pPr>
      <w:r>
        <w:rPr>
          <w:rFonts w:hint="eastAsia" w:ascii="宋体" w:hAnsi="宋体" w:eastAsia="宋体" w:cs="宋体"/>
          <w:bCs/>
          <w:color w:val="000000"/>
          <w:szCs w:val="21"/>
        </w:rPr>
        <w:t xml:space="preserve">逾期退还履约保证金的违约责任：</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合同验收</w:t>
      </w:r>
      <w:r/>
    </w:p>
    <w:p>
      <w:pPr>
        <w:numPr>
          <w:ilvl w:val="0"/>
          <w:numId w:val="0"/>
        </w:numPr>
        <w:ind w:firstLine="420"/>
        <w:spacing w:line="400" w:lineRule="exact"/>
        <w:rPr>
          <w:rFonts w:hint="eastAsia" w:ascii="宋体" w:hAnsi="宋体"/>
          <w:bCs/>
          <w:szCs w:val="21"/>
        </w:rPr>
      </w:pPr>
      <w:r>
        <w:rPr>
          <w:rFonts w:hint="eastAsia" w:ascii="宋体" w:hAnsi="宋体" w:eastAsia="等线" w:cs="Times New Roman"/>
          <w:bCs/>
          <w:sz w:val="21"/>
          <w:szCs w:val="21"/>
          <w:lang w:val="en-US" w:eastAsia="zh-CN" w:bidi="ar-SA"/>
        </w:rPr>
        <w:t xml:space="preserve">（1）</w:t>
      </w: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eastAsia="宋体"/>
          <w:bCs/>
          <w:szCs w:val="21"/>
          <w:u w:val="single"/>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p>
    <w:p>
      <w:pPr>
        <w:ind w:firstLine="840"/>
        <w:spacing w:line="400" w:lineRule="exact"/>
        <w:rPr>
          <w:rFonts w:hint="eastAsia" w:ascii="宋体" w:hAnsi="宋体" w:eastAsia="宋体"/>
          <w:bCs/>
          <w:szCs w:val="21"/>
        </w:rPr>
      </w:pP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eastAsia="宋体" w:cs="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eastAsia="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219"/>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219"/>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rPr>
      </w:pPr>
      <w:r>
        <w:rPr>
          <w:rFonts w:hint="eastAsia" w:ascii="宋体" w:hAnsi="宋体"/>
          <w:szCs w:val="21"/>
        </w:rPr>
        <w:t xml:space="preserve">附件：具体标的及其技术要求和商务要求、联合协议、分包意向协议等。</w:t>
      </w:r>
      <w:r/>
    </w:p>
    <w:p>
      <w:pPr>
        <w:ind w:firstLine="420"/>
        <w:spacing w:line="400" w:lineRule="exact"/>
        <w:rPr>
          <w:rFonts w:hint="eastAsia" w:ascii="宋体" w:hAnsi="宋体"/>
          <w:szCs w:val="21"/>
        </w:rPr>
      </w:pPr>
      <w:r>
        <w:rPr>
          <w:rFonts w:hint="eastAsia" w:ascii="宋体" w:hAnsi="宋体"/>
          <w:szCs w:val="21"/>
        </w:rPr>
      </w:r>
      <w:r/>
    </w:p>
    <w:p>
      <w:pPr>
        <w:jc w:val="left"/>
        <w:widowControl/>
        <w:rPr>
          <w:rFonts w:ascii="Calibri" w:hAnsi="Calibri" w:eastAsia="宋体"/>
        </w:rPr>
      </w:pPr>
      <w:r>
        <w:br w:type="page" w:clear="all"/>
      </w:r>
      <w:r/>
    </w:p>
    <w:p>
      <w:pPr>
        <w:pStyle w:val="1212"/>
      </w:pPr>
      <w:r/>
      <w:r/>
    </w:p>
    <w:tbl>
      <w:tblPr>
        <w:tblStyle w:val="119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rPr>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rPr>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szCs w:val="21"/>
              </w:rPr>
            </w:pPr>
            <w:r>
              <w:rPr>
                <w:szCs w:val="21"/>
              </w:rPr>
              <w:t xml:space="preserve">法定代表人</w:t>
            </w:r>
            <w:r/>
          </w:p>
          <w:p>
            <w:pPr>
              <w:ind w:firstLine="100"/>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法定代表人</w:t>
            </w:r>
            <w:r/>
          </w:p>
          <w:p>
            <w:pPr>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zCs w:val="21"/>
              </w:rPr>
            </w:pPr>
            <w:r>
              <w:rPr>
                <w:rFonts w:hint="eastAsia"/>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szCs w:val="21"/>
              </w:rPr>
            </w:pPr>
            <w:r>
              <w:rPr>
                <w:rFonts w:hint="eastAsia"/>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1196"/>
              <w:jc w:val="left"/>
              <w:spacing w:before="156"/>
              <w:rPr>
                <w:rFonts w:hint="eastAsia"/>
                <w:spacing w:val="20"/>
                <w:szCs w:val="21"/>
              </w:rPr>
            </w:pPr>
            <w:r>
              <w:rPr>
                <w:rFonts w:hint="eastAsia" w:hAnsi="宋体"/>
                <w:szCs w:val="21"/>
              </w:rPr>
              <w:t xml:space="preserve">注：涉及联合体或其他合同主体的信息应按上表格式加列。</w:t>
            </w:r>
            <w:r/>
          </w:p>
        </w:tc>
      </w:tr>
    </w:tbl>
    <w:p>
      <w:pPr>
        <w:numPr>
          <w:ilvl w:val="0"/>
          <w:numId w:val="3"/>
        </w:numPr>
        <w:ind w:firstLine="420"/>
        <w:spacing w:before="0" w:line="400" w:lineRule="exact"/>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r>
      <w:r/>
    </w:p>
    <w:p>
      <w:pPr>
        <w:pStyle w:val="1192"/>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sz w:val="21"/>
          <w:szCs w:val="21"/>
          <w:u w:val="single"/>
        </w:rPr>
        <w:br w:type="page" w:clear="all"/>
      </w:r>
      <w:bookmarkEnd w:id="30"/>
      <w:r>
        <w:rPr>
          <w:rFonts w:hint="eastAsia" w:ascii="黑体" w:hAnsi="黑体" w:eastAsia="黑体"/>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（1）采购人（以</w:t>
      </w:r>
      <w:r>
        <w:rPr>
          <w:rFonts w:hint="eastAsia" w:ascii="宋体" w:hAnsi="宋体" w:eastAsia="宋体" w:cs="宋体"/>
          <w:color w:val="000000" w:themeColor="text1"/>
          <w:szCs w:val="21"/>
          <w:lang w:eastAsia="zh-CN"/>
          <w14:textFill>
            <w14:solidFill>
              <w14:schemeClr w14:val="tx1"/>
            </w14:solidFill>
          </w14:textFill>
        </w:rPr>
        <w:t xml:space="preserve">下简</w:t>
      </w:r>
      <w:r>
        <w:rPr>
          <w:rFonts w:hint="eastAsia" w:ascii="宋体" w:hAnsi="宋体" w:eastAsia="宋体" w:cs="宋体"/>
          <w:color w:val="000000" w:themeColor="text1"/>
          <w:szCs w:val="21"/>
          <w14:textFill>
            <w14:solidFill>
              <w14:schemeClr w14:val="tx1"/>
            </w14:solidFill>
          </w14:textFill>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（2）供应商（以</w:t>
      </w:r>
      <w:r>
        <w:rPr>
          <w:rFonts w:hint="eastAsia" w:ascii="宋体" w:hAnsi="宋体" w:eastAsia="宋体" w:cs="宋体"/>
          <w:color w:val="000000" w:themeColor="text1"/>
          <w:szCs w:val="21"/>
          <w:lang w:eastAsia="zh-CN"/>
          <w14:textFill>
            <w14:solidFill>
              <w14:schemeClr w14:val="tx1"/>
            </w14:solidFill>
          </w14:textFill>
        </w:rPr>
        <w:t xml:space="preserve">下简</w:t>
      </w:r>
      <w:r>
        <w:rPr>
          <w:rFonts w:hint="eastAsia" w:ascii="宋体" w:hAnsi="宋体" w:eastAsia="宋体" w:cs="宋体"/>
          <w:color w:val="000000" w:themeColor="text1"/>
          <w:szCs w:val="21"/>
          <w14:textFill>
            <w14:solidFill>
              <w14:schemeClr w14:val="tx1"/>
            </w14:solidFill>
          </w14:textFill>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t xml:space="preserve">2.</w:t>
      </w: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乙方应当在约定的时间、地点，按照约定方式履行合同。</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95"/>
        <w:ind w:firstLine="422"/>
        <w:spacing w:line="400" w:lineRule="exact"/>
        <w:rPr>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5.3</w:t>
      </w:r>
      <w:r>
        <w:rPr>
          <w:rFonts w:hint="eastAsia"/>
          <w:color w:val="000000" w:themeColor="text1"/>
          <w:sz w:val="21"/>
          <w:szCs w:val="21"/>
          <w:lang w:eastAsia="zh-CN"/>
          <w14:textFill>
            <w14:solidFill>
              <w14:schemeClr w14:val="tx1"/>
            </w14:solidFill>
          </w14:textFill>
        </w:rPr>
        <w:t xml:space="preserve">乙方有权根据合同约定向甲方收取合同价款。</w:t>
      </w:r>
      <w:r/>
    </w:p>
    <w:p>
      <w:pPr>
        <w:pStyle w:val="1195"/>
        <w:ind w:firstLine="422"/>
        <w:spacing w:line="400" w:lineRule="exact"/>
        <w:rPr>
          <w:color w:val="000000" w:themeColor="text1"/>
          <w:sz w:val="2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5.4</w:t>
      </w:r>
      <w:r>
        <w:rPr>
          <w:rFonts w:hint="eastAsia"/>
          <w:color w:val="000000" w:themeColor="text1"/>
          <w:sz w:val="21"/>
          <w:szCs w:val="21"/>
          <w:lang w:eastAsia="zh-CN"/>
          <w14:textFill>
            <w14:solidFill>
              <w14:schemeClr w14:val="tx1"/>
            </w14:solidFill>
          </w14:textFill>
        </w:rPr>
        <w:t xml:space="preserve">国家法律法规规定及【政府采购合同专用条款】约定应由乙方承担的其他义务和责任。</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t xml:space="preserve">6.</w:t>
      </w: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eastAsia="宋体" w:cs="宋体"/>
          <w:color w:val="000000" w:themeColor="text1"/>
          <w:szCs w:val="21"/>
          <w:lang w:eastAsia="zh-CN"/>
          <w14:textFill>
            <w14:solidFill>
              <w14:schemeClr w14:val="tx1"/>
            </w14:solidFill>
          </w14:textFill>
        </w:rPr>
        <w:t xml:space="preserve">涉及</w:t>
      </w:r>
      <w:r>
        <w:rPr>
          <w:rFonts w:hint="eastAsia" w:ascii="宋体" w:hAnsi="宋体" w:eastAsia="宋体" w:cs="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乙方在运输到达之前应提前通知甲方，并提示货物运输装卸的注意事项，甲方配合乙方做好货物的接收工作。</w:t>
      </w:r>
      <w:r/>
    </w:p>
    <w:p>
      <w:pPr>
        <w:pStyle w:val="1219"/>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1199"/>
        <w:ind w:firstLine="420"/>
        <w:jc w:val="left"/>
        <w:spacing w:line="400" w:lineRule="exact"/>
        <w:rPr>
          <w:rFonts w:hAnsi="宋体" w:eastAsia="宋体" w:cs="宋体"/>
          <w:b/>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8.1 质量标准</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99"/>
        <w:ind w:firstLine="420"/>
        <w:jc w:val="left"/>
        <w:spacing w:line="400" w:lineRule="exact"/>
        <w:rPr>
          <w:rFonts w:hAnsi="宋体" w:eastAsia="宋体" w:cs="宋体"/>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（2）采用中华人民共和国法定计量单位。</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8.2 保证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（3）乙方收到通知后，应在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31"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31"/>
      <w:r>
        <w:rPr>
          <w:rFonts w:hint="eastAsia" w:ascii="宋体" w:hAnsi="宋体" w:eastAsia="宋体" w:cs="宋体"/>
          <w:color w:val="000000" w:themeColor="text1"/>
          <w:szCs w:val="21"/>
          <w14:textFill>
            <w14:solidFill>
              <w14:schemeClr w14:val="tx1"/>
            </w14:solidFill>
          </w14:textFill>
        </w:rPr>
        <w:t xml:space="preserve">。</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spacing w:line="400" w:lineRule="exact"/>
        <w:rPr>
          <w:rFonts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12.1 合同价款支付按照国库集中支付制度及财政管理相关规定执行。</w:t>
      </w:r>
      <w:r/>
    </w:p>
    <w:p>
      <w:pPr>
        <w:ind w:firstLine="480"/>
        <w:spacing w:line="36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12.2</w:t>
      </w:r>
      <w:r>
        <w:rPr>
          <w:rFonts w:hint="default" w:ascii="宋体" w:hAnsi="宋体" w:eastAsia="宋体" w:cs="宋体"/>
          <w:color w:val="000000" w:themeColor="text1"/>
          <w:szCs w:val="21"/>
          <w:lang w:eastAsia="zh-CN"/>
          <w14:textFill>
            <w14:solidFill>
              <w14:schemeClr w14:val="tx1"/>
            </w14:solidFill>
          </w14:textFill>
        </w:rPr>
        <w:t xml:space="preserve">采购人收到中标人开具的合法有效发票后，</w:t>
      </w:r>
      <w:r>
        <w:rPr>
          <w:rFonts w:hint="eastAsia" w:ascii="宋体" w:hAnsi="宋体" w:eastAsia="宋体" w:cs="宋体"/>
          <w:color w:val="000000" w:themeColor="text1"/>
          <w:szCs w:val="21"/>
          <w:lang w:val="en-US" w:eastAsia="zh-CN"/>
          <w14:textFill>
            <w14:solidFill>
              <w14:schemeClr w14:val="tx1"/>
            </w14:solidFill>
          </w14:textFill>
        </w:rPr>
        <w:t xml:space="preserve">向</w:t>
      </w:r>
      <w:r>
        <w:rPr>
          <w:rFonts w:hint="eastAsia" w:ascii="宋体" w:hAnsi="宋体" w:eastAsia="宋体" w:cs="宋体"/>
          <w:color w:val="000000" w:themeColor="text1"/>
          <w:szCs w:val="21"/>
          <w14:textFill>
            <w14:solidFill>
              <w14:schemeClr w14:val="tx1"/>
            </w14:solidFill>
          </w14:textFill>
        </w:rPr>
        <w:t xml:space="preserve">中标方</w:t>
      </w:r>
      <w:r>
        <w:rPr>
          <w:rFonts w:hint="default" w:ascii="宋体" w:hAnsi="宋体" w:eastAsia="宋体" w:cs="宋体"/>
          <w:color w:val="000000" w:themeColor="text1"/>
          <w:szCs w:val="21"/>
          <w:lang w:eastAsia="zh-CN"/>
          <w14:textFill>
            <w14:solidFill>
              <w14:schemeClr w14:val="tx1"/>
            </w14:solidFill>
          </w14:textFill>
        </w:rPr>
        <w:t xml:space="preserve">支付货款总额的90%</w:t>
      </w:r>
      <w:r>
        <w:rPr>
          <w:rFonts w:hint="eastAsia" w:ascii="宋体" w:hAnsi="宋体" w:eastAsia="宋体" w:cs="宋体"/>
          <w:color w:val="000000" w:themeColor="text1"/>
          <w:szCs w:val="21"/>
          <w14:textFill>
            <w14:solidFill>
              <w14:schemeClr w14:val="tx1"/>
            </w14:solidFill>
          </w14:textFill>
        </w:rPr>
        <w:t xml:space="preserve">；待全部货物到达采购人指定地点且经验收合格并装机培训结束</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余款</w:t>
      </w:r>
      <w:r>
        <w:rPr>
          <w:rFonts w:hint="eastAsia" w:ascii="宋体" w:hAnsi="宋体" w:eastAsia="宋体" w:cs="宋体"/>
          <w:color w:val="000000" w:themeColor="text1"/>
          <w:szCs w:val="21"/>
          <w:lang w:val="en-US" w:eastAsia="zh-CN"/>
          <w14:textFill>
            <w14:solidFill>
              <w14:schemeClr w14:val="tx1"/>
            </w14:solidFill>
          </w14:textFill>
        </w:rPr>
        <w:t xml:space="preserve">质保期满后付清</w:t>
      </w:r>
      <w:r>
        <w:rPr>
          <w:rFonts w:hint="eastAsia" w:ascii="宋体" w:hAnsi="宋体" w:eastAsia="宋体" w:cs="宋体"/>
          <w:color w:val="000000" w:themeColor="text1"/>
          <w:szCs w:val="21"/>
          <w14:textFill>
            <w14:solidFill>
              <w14:schemeClr w14:val="tx1"/>
            </w14:solidFill>
          </w14:textFill>
        </w:rPr>
        <w:t xml:space="preserve">。</w:t>
      </w:r>
      <w:r/>
    </w:p>
    <w:p>
      <w:pPr>
        <w:pStyle w:val="1195"/>
        <w:spacing w:line="4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13. 履约保证金</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13.2 如果乙方出现</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约定情形的</w:t>
      </w:r>
      <w:r>
        <w:rPr>
          <w:rFonts w:hint="eastAsia" w:ascii="宋体" w:hAnsi="宋体" w:eastAsia="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13.3 甲方在项目通过验收后按照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规定支付。</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 xml:space="preserve">；</w:t>
      </w:r>
      <w:r/>
    </w:p>
    <w:p>
      <w:pPr>
        <w:pStyle w:val="1219"/>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要求</w:t>
      </w:r>
      <w:r>
        <w:rPr>
          <w:rFonts w:hint="eastAsia" w:ascii="宋体" w:hAnsi="宋体" w:eastAsia="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15.3 迟延支付的违约责任</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规定的逾期付款利息。</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w:t>
      </w:r>
      <w:r/>
    </w:p>
    <w:p>
      <w:pPr>
        <w:pStyle w:val="1198"/>
        <w:ind w:left="0" w:firstLine="42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198"/>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（1）需方内部工作安排、计划调整等自身原因；</w:t>
      </w:r>
      <w:r/>
    </w:p>
    <w:p>
      <w:pPr>
        <w:pStyle w:val="1198"/>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（2）中央、省、市、区级政策变动，以及规划、计划调整等外部原因；</w:t>
      </w:r>
      <w:r/>
    </w:p>
    <w:p>
      <w:pPr>
        <w:pStyle w:val="1198"/>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（3）其他需方原因。</w:t>
      </w:r>
      <w:r/>
    </w:p>
    <w:p>
      <w:pPr>
        <w:pStyle w:val="1198"/>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本合同对合同变更、中止或终止合同有其他特殊约定的，按该特殊约定执行。</w:t>
      </w:r>
      <w:r/>
    </w:p>
    <w:p>
      <w:pPr>
        <w:numPr>
          <w:ilvl w:val="0"/>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16.</w:t>
      </w: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16.1合同的变更</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16.2合同的</w:t>
      </w:r>
      <w:r>
        <w:rPr>
          <w:rFonts w:hint="eastAsia" w:ascii="宋体" w:hAnsi="宋体" w:eastAsia="宋体" w:cs="宋体"/>
          <w:color w:val="000000" w:themeColor="text1"/>
          <w:szCs w:val="21"/>
          <w:lang w:val="en-US" w:eastAsia="zh-CN"/>
          <w14:textFill>
            <w14:solidFill>
              <w14:schemeClr w14:val="tx1"/>
            </w14:solidFill>
          </w14:textFill>
        </w:rPr>
        <w:t xml:space="preserve">中</w:t>
      </w:r>
      <w:r>
        <w:rPr>
          <w:rFonts w:hint="eastAsia" w:ascii="宋体" w:hAnsi="宋体" w:eastAsia="宋体" w:cs="宋体"/>
          <w:color w:val="000000" w:themeColor="text1"/>
          <w:szCs w:val="21"/>
          <w14:textFill>
            <w14:solidFill>
              <w14:schemeClr w14:val="tx1"/>
            </w14:solidFill>
          </w14:textFill>
        </w:rPr>
        <w:t xml:space="preserve">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eastAsia="宋体" w:cs="宋体"/>
          <w:color w:val="000000" w:themeColor="text1"/>
          <w:szCs w:val="21"/>
          <w:lang w:val="en-US" w:eastAsia="zh-CN"/>
          <w14:textFill>
            <w14:solidFill>
              <w14:schemeClr w14:val="tx1"/>
            </w14:solidFill>
          </w14:textFill>
        </w:rPr>
        <w:t xml:space="preserve">中</w:t>
      </w:r>
      <w:r>
        <w:rPr>
          <w:rFonts w:hint="eastAsia" w:ascii="宋体" w:hAnsi="宋体" w:eastAsia="宋体" w:cs="宋体"/>
          <w:color w:val="000000" w:themeColor="text1"/>
          <w:szCs w:val="21"/>
          <w14:textFill>
            <w14:solidFill>
              <w14:schemeClr w14:val="tx1"/>
            </w14:solidFill>
          </w14:textFill>
        </w:rPr>
        <w:t xml:space="preserve">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19"/>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（4）甲方不得以行政区划调整、政府换届、机构或者职能调整以及相关责任人更替为由</w:t>
      </w:r>
      <w:r>
        <w:rPr>
          <w:rFonts w:hint="eastAsia" w:ascii="宋体" w:hAnsi="宋体" w:eastAsia="宋体" w:cs="宋体"/>
          <w:color w:val="000000" w:themeColor="text1"/>
          <w:szCs w:val="21"/>
          <w:lang w:val="en-US" w:eastAsia="zh-CN"/>
          <w14:textFill>
            <w14:solidFill>
              <w14:schemeClr w14:val="tx1"/>
            </w14:solidFill>
          </w14:textFill>
        </w:rPr>
        <w:t xml:space="preserve">中</w:t>
      </w:r>
      <w:r>
        <w:rPr>
          <w:rFonts w:hint="eastAsia" w:ascii="宋体" w:hAnsi="宋体" w:eastAsia="宋体" w:cs="宋体"/>
          <w:color w:val="000000" w:themeColor="text1"/>
          <w:szCs w:val="21"/>
          <w14:textFill>
            <w14:solidFill>
              <w14:schemeClr w14:val="tx1"/>
            </w14:solidFill>
          </w14:textFill>
        </w:rPr>
        <w:t xml:space="preserve">止合同。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16.3合同的终止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（1）合同因有效期限届满而终止；</w:t>
      </w:r>
      <w:r/>
    </w:p>
    <w:p>
      <w:p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pStyle w:val="1219"/>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16.4 </w:t>
      </w:r>
      <w:r>
        <w:rPr>
          <w:rFonts w:hint="eastAsia" w:ascii="宋体" w:hAnsi="宋体" w:eastAsia="宋体" w:cs="宋体"/>
          <w:color w:val="000000" w:themeColor="text1"/>
          <w:sz w:val="21"/>
          <w14:textFill>
            <w14:solidFill>
              <w14:schemeClr w14:val="tx1"/>
            </w14:solidFill>
          </w14:textFill>
        </w:rPr>
        <w:t xml:space="preserve">涉及国家利益、社会公共利益的情形</w:t>
      </w:r>
      <w:r/>
    </w:p>
    <w:p>
      <w:pPr>
        <w:pStyle w:val="1219"/>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1219"/>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19"/>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219"/>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 本合同依法执行政府采购政策的方式和内容，属于合同履约验收的范围。</w:t>
      </w:r>
      <w:r>
        <w:rPr>
          <w:rFonts w:hint="eastAsia" w:ascii="宋体" w:hAnsi="宋体" w:eastAsia="宋体" w:cs="宋体"/>
          <w:color w:val="000000" w:themeColor="text1"/>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14:textFill>
            <w14:solidFill>
              <w14:schemeClr w14:val="tx1"/>
            </w14:solidFill>
          </w14:textFill>
        </w:rPr>
        <w:t xml:space="preserve">，有过错的一方应当承担赔偿责任，双方都有过错的，各自承担相应的责任。</w:t>
      </w:r>
      <w:r/>
    </w:p>
    <w:p>
      <w:pPr>
        <w:pStyle w:val="1195"/>
        <w:ind w:firstLine="420"/>
        <w:spacing w:line="400" w:lineRule="exact"/>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1219"/>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219"/>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1219"/>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219"/>
        <w:ind w:firstLine="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23.</w:t>
      </w: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23.1合同未尽事项见</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w:t>
      </w:r>
      <w:r/>
    </w:p>
    <w:p>
      <w:pPr>
        <w:jc w:val="left"/>
        <w:spacing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    23.2 合同附件与合同正文具有同等的法律效力。</w:t>
      </w:r>
      <w:r/>
    </w:p>
    <w:p>
      <w:pPr>
        <w:jc w:val="center"/>
        <w:rPr>
          <w:rFonts w:cs="等线"/>
          <w:color w:val="000000" w:themeColor="text1"/>
          <w:sz w:val="28"/>
          <w:szCs w:val="28"/>
          <w14:textFill>
            <w14:solidFill>
              <w14:schemeClr w14:val="tx1"/>
            </w14:solidFill>
          </w14:textFill>
        </w:rPr>
      </w:pPr>
      <w:r>
        <w:rPr>
          <w:rFonts w:hint="eastAsia" w:cs="等线"/>
          <w:color w:val="000000" w:themeColor="text1"/>
          <w:sz w:val="28"/>
          <w:szCs w:val="28"/>
          <w14:textFill>
            <w14:solidFill>
              <w14:schemeClr w14:val="tx1"/>
            </w14:solidFill>
          </w14:textFill>
        </w:rPr>
        <w:br w:type="page" w:clear="all"/>
      </w:r>
      <w:r/>
    </w:p>
    <w:p>
      <w:pPr>
        <w:pStyle w:val="1192"/>
        <w:jc w:val="center"/>
        <w:rPr>
          <w:rFonts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t xml:space="preserve">第三节 政府采购合同专用条款</w:t>
      </w:r>
      <w:r/>
    </w:p>
    <w:tbl>
      <w:tblPr>
        <w:tblStyle w:val="119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tabs>
                <w:tab w:val="left" w:pos="673" w:leader="none"/>
              </w:tabs>
              <w:rPr>
                <w:rFonts w:hint="eastAsia" w:ascii="宋体" w:hAnsi="宋体" w:eastAsia="等线"/>
                <w:color w:val="000000" w:themeColor="text1"/>
                <w:szCs w:val="21"/>
                <w:lang w:eastAsia="zh-CN"/>
                <w14:textFill>
                  <w14:solidFill>
                    <w14:schemeClr w14:val="tx1"/>
                  </w14:solidFill>
                </w14:textFill>
              </w:rPr>
            </w:pPr>
            <w:r>
              <w:rPr>
                <w:rFonts w:hint="eastAsia" w:ascii="宋体" w:hAnsi="宋体" w:eastAsia="等线"/>
                <w:color w:val="000000" w:themeColor="text1"/>
                <w:szCs w:val="21"/>
                <w:lang w:eastAsia="zh-CN"/>
                <w14:textFill>
                  <w14:solidFill>
                    <w14:schemeClr w14:val="tx1"/>
                  </w14:solidFill>
                </w14:textFill>
              </w:rPr>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tabs>
                <w:tab w:val="left" w:pos="838" w:leader="none"/>
              </w:tabs>
              <w:rPr>
                <w:rFonts w:hint="eastAsia" w:ascii="宋体" w:hAnsi="宋体" w:eastAsia="宋体"/>
                <w:color w:val="000000" w:themeColor="text1"/>
                <w:szCs w:val="21"/>
                <w:lang w:eastAsia="zh-CN"/>
                <w14:textFill>
                  <w14:solidFill>
                    <w14:schemeClr w14:val="tx1"/>
                  </w14:solidFill>
                </w14:textFill>
              </w:rPr>
            </w:pPr>
            <w:r>
              <w:rPr>
                <w:rFonts w:hint="eastAsia" w:ascii="宋体" w:hAnsi="宋体" w:eastAsia="宋体"/>
                <w:color w:val="000000" w:themeColor="text1"/>
                <w:szCs w:val="21"/>
                <w:lang w:eastAsia="zh-CN"/>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lang w:val="en-US" w:eastAsia="zh-CN"/>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1219"/>
              <w:ind w:firstLine="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hint="eastAsia" w:ascii="宋体" w:hAnsi="宋体" w:eastAsia="等线"/>
                <w:color w:val="000000" w:themeColor="text1"/>
                <w:szCs w:val="21"/>
                <w:lang w:val="en-US" w:eastAsia="zh-CN"/>
                <w14:textFill>
                  <w14:solidFill>
                    <w14:schemeClr w14:val="tx1"/>
                  </w14:solidFill>
                </w14:textFill>
              </w:rPr>
            </w:pPr>
            <w:r>
              <w:rPr>
                <w:rFonts w:hint="eastAsia" w:ascii="宋体" w:hAnsi="宋体" w:eastAsia="等线"/>
                <w:color w:val="000000" w:themeColor="text1"/>
                <w:szCs w:val="21"/>
                <w:lang w:val="en-US" w:eastAsia="zh-CN"/>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修理、重做、更换相关具体规定</w:t>
            </w:r>
            <w:r/>
          </w:p>
        </w:tc>
        <w:tc>
          <w:tcPr>
            <w:tcW w:w="5170" w:type="dxa"/>
            <w:vAlign w:val="center"/>
            <w:textDirection w:val="lrTb"/>
            <w:noWrap w:val="false"/>
          </w:tcPr>
          <w:p>
            <w:pPr>
              <w:jc w:val="left"/>
              <w:rPr>
                <w:rFonts w:hint="eastAsia" w:ascii="宋体" w:hAnsi="宋体" w:eastAsia="等线"/>
                <w:color w:val="000000" w:themeColor="text1"/>
                <w:szCs w:val="21"/>
                <w:lang w:val="en-US" w:eastAsia="zh-CN"/>
                <w14:textFill>
                  <w14:solidFill>
                    <w14:schemeClr w14:val="tx1"/>
                  </w14:solidFill>
                </w14:textFill>
              </w:rPr>
            </w:pPr>
            <w:r>
              <w:rPr>
                <w:rFonts w:hint="eastAsia" w:ascii="宋体" w:hAnsi="宋体" w:eastAsia="等线"/>
                <w:color w:val="000000" w:themeColor="text1"/>
                <w:szCs w:val="21"/>
                <w:lang w:val="en-US" w:eastAsia="zh-CN"/>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spacing w:line="400" w:lineRule="exac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u w:val="single"/>
                <w:lang w:val="en-US" w:eastAsia="zh-CN"/>
                <w14:textFill>
                  <w14:solidFill>
                    <w14:schemeClr w14:val="tx1"/>
                  </w14:solidFill>
                </w14:textFill>
              </w:rPr>
              <w:t xml:space="preserve">2</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（1）向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仲裁委员会申请仲裁，仲裁地点为</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w:t>
            </w:r>
            <w:r/>
          </w:p>
          <w:p>
            <w:pPr>
              <w:jc w:val="left"/>
              <w:rPr>
                <w:rFonts w:ascii="宋体" w:hAnsi="宋体"/>
                <w:color w:val="000000" w:themeColor="text1"/>
                <w:szCs w:val="21"/>
                <w:u w:val="single"/>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（2）向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等线" w:hAnsi="等线" w:eastAsia="等线" w:cs="等线"/>
                <w:iCs/>
                <w:color w:val="000000" w:themeColor="text1"/>
                <w:szCs w:val="21"/>
                <w:u w:val="single"/>
                <w14:textFill>
                  <w14:solidFill>
                    <w14:schemeClr w14:val="tx1"/>
                  </w14:solidFill>
                </w14:textFill>
              </w:rPr>
              <w:t xml:space="preserve">甲方住所地 </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tabs>
                <w:tab w:val="left" w:pos="808" w:leader="none"/>
              </w:tabs>
              <w:rPr>
                <w:rFonts w:hint="default" w:ascii="等线" w:hAnsi="等线" w:eastAsia="等线" w:cs="Times New Roman"/>
                <w:sz w:val="21"/>
                <w:szCs w:val="22"/>
                <w:lang w:val="en-US" w:eastAsia="zh-CN" w:bidi="ar-SA"/>
              </w:rPr>
            </w:pPr>
            <w:r>
              <w:rPr>
                <w:rFonts w:hint="default" w:ascii="等线" w:hAnsi="等线" w:eastAsia="等线" w:cs="Times New Roman"/>
                <w:sz w:val="21"/>
                <w:szCs w:val="22"/>
                <w:lang w:val="en-US" w:eastAsia="zh-CN" w:bidi="ar-SA"/>
              </w:rPr>
            </w:r>
            <w:r/>
          </w:p>
        </w:tc>
      </w:tr>
    </w:tbl>
    <w:p>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1192"/>
        <w:spacing w:before="0" w:after="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附件一</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评分标准（100分）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比较与评价采用综合评分法（计分均保留2位小数），</w:t>
      </w:r>
      <w:r>
        <w:rPr>
          <w:rFonts w:hint="eastAsia" w:ascii="宋体" w:hAnsi="宋体" w:eastAsia="宋体" w:cs="宋体"/>
          <w:color w:val="000000" w:themeColor="text1"/>
          <w:sz w:val="24"/>
          <w:szCs w:val="24"/>
          <w:highlight w:val="none"/>
          <w14:textFill>
            <w14:solidFill>
              <w14:schemeClr w14:val="tx1"/>
            </w14:solidFill>
          </w14:textFill>
        </w:rPr>
        <w:t xml:space="preserve">评审委员会遵循公平、公正、择优原则，独立按照评分标准分别评定投标供应商的分值；</w:t>
      </w:r>
      <w:r>
        <w:rPr>
          <w:rFonts w:hint="eastAsia" w:ascii="宋体" w:hAnsi="宋体" w:eastAsia="宋体" w:cs="宋体"/>
          <w:bCs/>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具体评分标准如下：</w:t>
      </w:r>
      <w:r/>
    </w:p>
    <w:p>
      <w:pPr>
        <w:numPr>
          <w:ilvl w:val="0"/>
          <w:numId w:val="0"/>
        </w:numPr>
        <w:ind w:firstLine="616"/>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评分项目及</w:t>
      </w:r>
      <w:r>
        <w:rPr>
          <w:rFonts w:hint="eastAsia" w:asciiTheme="minorEastAsia" w:hAnsiTheme="minorEastAsia" w:eastAsiaTheme="minorEastAsia" w:cstheme="minorEastAsia"/>
          <w:sz w:val="24"/>
          <w:lang w:val="en-US" w:eastAsia="zh-CN"/>
        </w:rPr>
        <w:t xml:space="preserve">分值</w:t>
      </w:r>
      <w:r/>
    </w:p>
    <w:p>
      <w:pPr>
        <w:numPr>
          <w:ilvl w:val="0"/>
          <w:numId w:val="5"/>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bCs/>
          <w:sz w:val="24"/>
        </w:rPr>
        <w:t xml:space="preserve">投标</w:t>
      </w:r>
      <w:r>
        <w:rPr>
          <w:rFonts w:hint="eastAsia" w:asciiTheme="minorEastAsia" w:hAnsiTheme="minorEastAsia" w:eastAsiaTheme="minorEastAsia" w:cstheme="minorEastAsia"/>
          <w:b/>
          <w:sz w:val="24"/>
        </w:rPr>
        <w:t xml:space="preserve">报价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4</w:t>
      </w:r>
      <w:r>
        <w:rPr>
          <w:rFonts w:hint="eastAsia" w:asciiTheme="minorEastAsia" w:hAnsiTheme="minorEastAsia" w:eastAsiaTheme="minorEastAsia" w:cstheme="minorEastAsia"/>
          <w:b/>
          <w:sz w:val="24"/>
          <w:lang w:val="en-US" w:eastAsia="zh-CN"/>
        </w:rPr>
        <w:t xml:space="preserve">1</w:t>
      </w:r>
      <w:r>
        <w:rPr>
          <w:rFonts w:hint="eastAsia" w:asciiTheme="minorEastAsia" w:hAnsiTheme="minorEastAsia" w:eastAsiaTheme="minorEastAsia" w:cstheme="minorEastAsia"/>
          <w:b/>
          <w:sz w:val="24"/>
        </w:rPr>
        <w:t xml:space="preserve">分</w:t>
      </w:r>
      <w:r/>
    </w:p>
    <w:p>
      <w:pPr>
        <w:numPr>
          <w:ilvl w:val="0"/>
          <w:numId w:val="5"/>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lang w:val="en-US" w:eastAsia="zh-CN"/>
        </w:rPr>
        <w:t xml:space="preserve">业绩案例                                                    2分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2、</w:t>
      </w:r>
      <w:r>
        <w:rPr>
          <w:rFonts w:hint="eastAsia" w:asciiTheme="minorEastAsia" w:hAnsiTheme="minorEastAsia" w:eastAsiaTheme="minorEastAsia" w:cstheme="minorEastAsia"/>
          <w:b/>
          <w:sz w:val="24"/>
          <w:lang w:val="en-US" w:eastAsia="zh-CN"/>
        </w:rPr>
        <w:t xml:space="preserve">项目要求响应情况</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b/>
          <w:sz w:val="24"/>
          <w:szCs w:val="24"/>
          <w:lang w:val="en-US" w:eastAsia="zh-CN"/>
        </w:rPr>
        <w:t xml:space="preserve">                      </w:t>
      </w:r>
      <w:r>
        <w:rPr>
          <w:rFonts w:hint="eastAsia" w:asciiTheme="minorEastAsia" w:hAnsiTheme="minorEastAsia" w:eastAsiaTheme="minorEastAsia" w:cstheme="minorEastAsia"/>
          <w:b/>
          <w:sz w:val="24"/>
          <w:szCs w:val="24"/>
        </w:rPr>
        <w:t xml:space="preserve">   20分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3、</w:t>
      </w:r>
      <w:r>
        <w:rPr>
          <w:rFonts w:hint="eastAsia" w:asciiTheme="minorEastAsia" w:hAnsiTheme="minorEastAsia" w:eastAsiaTheme="minorEastAsia" w:cstheme="minorEastAsia"/>
          <w:b/>
          <w:sz w:val="24"/>
          <w:lang w:val="en-US" w:eastAsia="zh-CN"/>
        </w:rPr>
        <w:t xml:space="preserve">服务方案</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3</w:t>
      </w:r>
      <w:r>
        <w:rPr>
          <w:rFonts w:hint="eastAsia" w:asciiTheme="minorEastAsia" w:hAnsiTheme="minorEastAsia" w:eastAsiaTheme="minorEastAsia" w:cstheme="minorEastAsia"/>
          <w:b/>
          <w:sz w:val="24"/>
        </w:rPr>
        <w:t xml:space="preserve">4分</w:t>
      </w:r>
      <w:r/>
    </w:p>
    <w:p>
      <w:pPr>
        <w:numPr>
          <w:ilvl w:val="0"/>
          <w:numId w:val="0"/>
        </w:numPr>
        <w:ind w:left="361" w:firstLine="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szCs w:val="22"/>
          <w:lang w:val="en-US" w:eastAsia="zh-CN" w:bidi="ar-SA"/>
        </w:rPr>
        <w:t xml:space="preserve">4、加分因素</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      </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 xml:space="preserve">3分</w:t>
      </w:r>
      <w:r/>
    </w:p>
    <w:p>
      <w:pPr>
        <w:pStyle w:val="1220"/>
        <w:ind w:firstLine="422"/>
        <w:spacing w:before="0" w:after="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一、投标报价（4</w:t>
      </w:r>
      <w:r>
        <w:rPr>
          <w:rFonts w:hint="eastAsia" w:asciiTheme="minorEastAsia" w:hAnsiTheme="minorEastAsia" w:eastAsiaTheme="minorEastAsia" w:cstheme="minorEastAsia"/>
          <w:b/>
          <w:lang w:val="en-US" w:eastAsia="zh-CN"/>
        </w:rPr>
        <w:t xml:space="preserve">1</w:t>
      </w:r>
      <w:r>
        <w:rPr>
          <w:rFonts w:hint="eastAsia" w:asciiTheme="minorEastAsia" w:hAnsiTheme="minorEastAsia" w:eastAsiaTheme="minorEastAsia" w:cstheme="minorEastAsia"/>
          <w:b/>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投标报价得分=（评标基准价／投标报价）×价格权值×100。</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价格扣除：专门面向中小/小微企业的项目除外。</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二章投标人须知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第五条第三点：“</w:t>
      </w:r>
      <w:r>
        <w:rPr>
          <w:rFonts w:hint="eastAsia" w:ascii="宋体" w:hAnsi="宋体" w:eastAsia="宋体" w:cs="宋体"/>
          <w:bCs/>
          <w:color w:val="auto"/>
          <w:sz w:val="24"/>
          <w:szCs w:val="24"/>
          <w:highlight w:val="none"/>
        </w:rPr>
        <w:t xml:space="preserve">采购本国产品的支持政策</w:t>
      </w:r>
      <w:r>
        <w:rPr>
          <w:rFonts w:hint="eastAsia" w:ascii="宋体" w:hAnsi="宋体" w:eastAsia="宋体" w:cs="宋体"/>
          <w:b/>
          <w:bCs w:val="0"/>
          <w:color w:val="auto"/>
          <w:sz w:val="24"/>
          <w:szCs w:val="24"/>
          <w:highlight w:val="none"/>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采购人应当在采购文件中明确，政府采购评审中出现下列情形之一的，评审委员会应当启动异常低价投标（响应）审查程序：</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widowControl/>
        <w:tabs>
          <w:tab w:val="left" w:pos="63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360" w:lineRule="auto"/>
        <w:widowControl/>
        <w:tabs>
          <w:tab w:val="left" w:pos="630" w:leader="none"/>
        </w:tabs>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 xml:space="preserve">二、业绩案例（2分）</w:t>
      </w:r>
      <w:r/>
    </w:p>
    <w:p>
      <w:pPr>
        <w:ind w:left="0" w:firstLine="480"/>
        <w:jc w:val="left"/>
        <w:keepLines w:val="0"/>
        <w:keepNext w:val="0"/>
        <w:pageBreakBefore w:val="0"/>
        <w:spacing w:line="360" w:lineRule="auto"/>
        <w:widowControl w:val="off"/>
        <w:rPr>
          <w:rFonts w:hint="eastAsia" w:ascii="宋体" w:hAnsi="宋体" w:eastAsia="宋体" w:cs="宋体"/>
          <w:bCs/>
          <w:sz w:val="24"/>
        </w:rPr>
      </w:pPr>
      <w:r>
        <w:rPr>
          <w:rFonts w:ascii="宋体" w:hAnsi="宋体" w:eastAsia="宋体" w:cs="宋体"/>
          <w:bCs/>
          <w:sz w:val="24"/>
          <w:highlight w:val="none"/>
        </w:rPr>
        <w:t xml:space="preserve">提供投标人自20</w:t>
      </w:r>
      <w:r>
        <w:rPr>
          <w:rFonts w:hint="eastAsia" w:ascii="宋体" w:hAnsi="宋体" w:eastAsia="宋体" w:cs="宋体"/>
          <w:bCs/>
          <w:sz w:val="24"/>
          <w:highlight w:val="none"/>
        </w:rPr>
        <w:t xml:space="preserve">2</w:t>
      </w:r>
      <w:r>
        <w:rPr>
          <w:rFonts w:ascii="宋体" w:hAnsi="宋体" w:eastAsia="宋体" w:cs="宋体"/>
          <w:bCs/>
          <w:sz w:val="24"/>
          <w:highlight w:val="none"/>
        </w:rPr>
        <w:t xml:space="preserve">2年12月1日</w:t>
      </w:r>
      <w:r>
        <w:rPr>
          <w:rFonts w:hint="eastAsia" w:ascii="宋体" w:hAnsi="宋体" w:eastAsia="宋体" w:cs="宋体"/>
          <w:bCs/>
          <w:sz w:val="24"/>
          <w:highlight w:val="none"/>
        </w:rPr>
        <w:t xml:space="preserve">（含）</w:t>
      </w:r>
      <w:r>
        <w:rPr>
          <w:rFonts w:ascii="宋体" w:hAnsi="宋体" w:eastAsia="宋体" w:cs="宋体"/>
          <w:bCs/>
          <w:sz w:val="24"/>
          <w:highlight w:val="none"/>
        </w:rPr>
        <w:t xml:space="preserve">以来（以合同</w:t>
      </w:r>
      <w:r>
        <w:rPr>
          <w:rFonts w:hint="eastAsia" w:ascii="宋体" w:hAnsi="宋体" w:eastAsia="宋体" w:cs="宋体"/>
          <w:bCs/>
          <w:sz w:val="24"/>
          <w:highlight w:val="none"/>
        </w:rPr>
        <w:t xml:space="preserve">签订</w:t>
      </w:r>
      <w:r>
        <w:rPr>
          <w:rFonts w:ascii="宋体" w:hAnsi="宋体" w:eastAsia="宋体" w:cs="宋体"/>
          <w:bCs/>
          <w:sz w:val="24"/>
          <w:highlight w:val="none"/>
        </w:rPr>
        <w:t xml:space="preserve">时间为准）</w:t>
      </w:r>
      <w:r>
        <w:rPr>
          <w:rFonts w:hint="eastAsia" w:ascii="宋体" w:hAnsi="宋体" w:eastAsia="宋体" w:cs="宋体"/>
          <w:bCs/>
          <w:sz w:val="24"/>
          <w:highlight w:val="none"/>
        </w:rPr>
        <w:t xml:space="preserve">，具备类似产品</w:t>
      </w:r>
      <w:r>
        <w:rPr>
          <w:rFonts w:ascii="宋体" w:hAnsi="宋体" w:eastAsia="宋体" w:cs="宋体"/>
          <w:bCs/>
          <w:sz w:val="24"/>
          <w:highlight w:val="none"/>
        </w:rPr>
        <w:t xml:space="preserve">的</w:t>
      </w:r>
      <w:r>
        <w:rPr>
          <w:rFonts w:hint="eastAsia" w:ascii="宋体" w:hAnsi="宋体" w:eastAsia="宋体" w:cs="宋体"/>
          <w:bCs/>
          <w:sz w:val="24"/>
        </w:rPr>
        <w:t xml:space="preserve">销售案例，</w:t>
      </w:r>
      <w:r>
        <w:rPr>
          <w:rFonts w:ascii="宋体" w:hAnsi="宋体" w:eastAsia="宋体" w:cs="宋体"/>
          <w:bCs/>
          <w:sz w:val="24"/>
        </w:rPr>
        <w:t xml:space="preserve">每提供一个得</w:t>
      </w:r>
      <w:r>
        <w:rPr>
          <w:rFonts w:hint="eastAsia" w:ascii="宋体" w:hAnsi="宋体" w:eastAsia="宋体" w:cs="宋体"/>
          <w:bCs/>
          <w:sz w:val="24"/>
          <w:lang w:val="en-US" w:eastAsia="zh-CN"/>
        </w:rPr>
        <w:t xml:space="preserve">1</w:t>
      </w:r>
      <w:r>
        <w:rPr>
          <w:rFonts w:ascii="宋体" w:hAnsi="宋体" w:eastAsia="宋体" w:cs="宋体"/>
          <w:bCs/>
          <w:sz w:val="24"/>
        </w:rPr>
        <w:t xml:space="preserve">分，本项最</w:t>
      </w:r>
      <w:r>
        <w:rPr>
          <w:rFonts w:hint="eastAsia" w:ascii="宋体" w:hAnsi="宋体" w:eastAsia="宋体" w:cs="宋体"/>
          <w:bCs/>
          <w:sz w:val="24"/>
        </w:rPr>
        <w:t xml:space="preserve">高</w:t>
      </w:r>
      <w:r>
        <w:rPr>
          <w:rFonts w:ascii="宋体" w:hAnsi="宋体" w:eastAsia="宋体" w:cs="宋体"/>
          <w:bCs/>
          <w:sz w:val="24"/>
        </w:rPr>
        <w:t xml:space="preserve">得</w:t>
      </w:r>
      <w:r>
        <w:rPr>
          <w:rFonts w:hint="eastAsia" w:ascii="宋体" w:hAnsi="宋体" w:eastAsia="宋体" w:cs="宋体"/>
          <w:bCs/>
          <w:sz w:val="24"/>
          <w:lang w:val="en-US" w:eastAsia="zh-CN"/>
        </w:rPr>
        <w:t xml:space="preserve">2</w:t>
      </w:r>
      <w:r>
        <w:rPr>
          <w:rFonts w:ascii="宋体" w:hAnsi="宋体" w:eastAsia="宋体" w:cs="宋体"/>
          <w:bCs/>
          <w:sz w:val="24"/>
        </w:rPr>
        <w:t xml:space="preserve">分；（投标文件中提供合同</w:t>
      </w:r>
      <w:r>
        <w:rPr>
          <w:rFonts w:hint="eastAsia" w:ascii="宋体" w:hAnsi="宋体" w:eastAsia="宋体" w:cs="宋体"/>
          <w:bCs/>
          <w:sz w:val="24"/>
        </w:rPr>
        <w:t xml:space="preserve">、验收证明（能够证明本项目已完成的证明材料）及资金</w:t>
      </w:r>
      <w:r>
        <w:rPr>
          <w:rFonts w:ascii="宋体" w:hAnsi="宋体" w:eastAsia="宋体" w:cs="宋体"/>
          <w:bCs/>
          <w:sz w:val="24"/>
        </w:rPr>
        <w:t xml:space="preserve">往来凭证扫描件，不提供</w:t>
      </w:r>
      <w:r>
        <w:rPr>
          <w:rFonts w:hint="eastAsia" w:ascii="宋体" w:hAnsi="宋体" w:eastAsia="宋体" w:cs="宋体"/>
          <w:bCs/>
          <w:sz w:val="24"/>
        </w:rPr>
        <w:t xml:space="preserve">或</w:t>
      </w:r>
      <w:r>
        <w:rPr>
          <w:rFonts w:ascii="宋体" w:hAnsi="宋体" w:eastAsia="宋体" w:cs="宋体"/>
          <w:bCs/>
          <w:sz w:val="24"/>
        </w:rPr>
        <w:t xml:space="preserve">提供不全的不得分）</w:t>
      </w:r>
      <w:r>
        <w:rPr>
          <w:rFonts w:hint="eastAsia" w:ascii="宋体" w:hAnsi="宋体" w:eastAsia="宋体" w:cs="宋体"/>
          <w:bCs/>
          <w:sz w:val="24"/>
        </w:rPr>
        <w:t xml:space="preserve">。</w:t>
      </w:r>
      <w:r/>
    </w:p>
    <w:p>
      <w:pPr>
        <w:ind w:firstLine="482"/>
        <w:spacing w:line="360" w:lineRule="auto"/>
        <w:widowControl/>
        <w:tabs>
          <w:tab w:val="left" w:pos="630" w:leader="none"/>
        </w:tabs>
        <w:rPr>
          <w:rFonts w:hint="eastAsia" w:ascii="宋体" w:hAnsi="宋体"/>
          <w:b/>
          <w:sz w:val="24"/>
          <w:szCs w:val="24"/>
        </w:rPr>
      </w:pPr>
      <w:r>
        <w:rPr>
          <w:rFonts w:hint="eastAsia" w:asciiTheme="minorEastAsia" w:hAnsiTheme="minorEastAsia" w:eastAsiaTheme="minorEastAsia" w:cstheme="minorEastAsia"/>
          <w:b/>
          <w:sz w:val="24"/>
          <w:szCs w:val="24"/>
          <w:lang w:val="en-US" w:eastAsia="zh-CN"/>
        </w:rPr>
        <w:t xml:space="preserve">三</w:t>
      </w:r>
      <w:r>
        <w:rPr>
          <w:rFonts w:hint="eastAsia" w:asciiTheme="minorEastAsia" w:hAnsiTheme="minorEastAsia" w:eastAsiaTheme="minorEastAsia" w:cstheme="minorEastAsia"/>
          <w:b/>
          <w:sz w:val="24"/>
          <w:szCs w:val="24"/>
        </w:rPr>
        <w:t xml:space="preserve">、</w:t>
      </w:r>
      <w:r>
        <w:rPr>
          <w:rFonts w:hint="eastAsia" w:ascii="宋体" w:hAnsi="宋体" w:eastAsia="宋体" w:cs="宋体"/>
          <w:b/>
          <w:sz w:val="24"/>
        </w:rPr>
        <w:t xml:space="preserve">项目要求响应情况</w:t>
      </w:r>
      <w:r>
        <w:rPr>
          <w:rFonts w:hint="eastAsia" w:asciiTheme="minorEastAsia" w:hAnsiTheme="minorEastAsia" w:eastAsiaTheme="minorEastAsia" w:cstheme="minorEastAsia"/>
          <w:b/>
          <w:sz w:val="24"/>
          <w:szCs w:val="24"/>
        </w:rPr>
        <w:t xml:space="preserve">（</w:t>
      </w:r>
      <w:r>
        <w:rPr>
          <w:rFonts w:hint="eastAsia" w:asciiTheme="minorEastAsia" w:hAnsiTheme="minorEastAsia" w:eastAsiaTheme="minorEastAsia" w:cstheme="minorEastAsia"/>
          <w:b/>
          <w:sz w:val="24"/>
          <w:szCs w:val="24"/>
          <w:lang w:val="en-US" w:eastAsia="zh-CN"/>
        </w:rPr>
        <w:t xml:space="preserve">2</w:t>
      </w:r>
      <w:r>
        <w:rPr>
          <w:rFonts w:hint="eastAsia" w:asciiTheme="minorEastAsia" w:hAnsiTheme="minorEastAsia" w:eastAsiaTheme="minorEastAsia" w:cstheme="minorEastAsia"/>
          <w:b/>
          <w:sz w:val="24"/>
          <w:szCs w:val="24"/>
        </w:rPr>
        <w:t xml:space="preserve">0分）</w:t>
      </w:r>
      <w:r/>
    </w:p>
    <w:p>
      <w:pPr>
        <w:ind w:firstLine="482"/>
        <w:spacing w:line="360" w:lineRule="auto"/>
        <w:rPr>
          <w:rFonts w:hint="eastAsia" w:ascii="宋体" w:hAnsi="宋体" w:eastAsia="宋体" w:cs="宋体"/>
          <w:bCs/>
          <w:sz w:val="24"/>
          <w:highlight w:val="none"/>
          <w:lang w:val="en-US" w:eastAsia="zh-CN"/>
        </w:rPr>
      </w:pPr>
      <w:r/>
      <w:bookmarkStart w:id="32" w:name="OLE_LINK12"/>
      <w:r>
        <w:rPr>
          <w:rFonts w:hint="eastAsia" w:ascii="宋体" w:hAnsi="宋体" w:eastAsia="宋体" w:cs="宋体"/>
          <w:b/>
          <w:bCs w:val="0"/>
          <w:sz w:val="28"/>
          <w:szCs w:val="28"/>
          <w:highlight w:val="none"/>
          <w:lang w:val="en-US" w:eastAsia="zh-CN"/>
        </w:rPr>
        <w:t xml:space="preserve">得分项目参数必须在《投标偏离表》实报内容中填写并注明为正偏离</w:t>
      </w:r>
      <w:r>
        <w:rPr>
          <w:rFonts w:hint="eastAsia" w:ascii="宋体" w:hAnsi="宋体" w:eastAsia="宋体" w:cs="宋体"/>
          <w:b/>
          <w:bCs w:val="0"/>
          <w:sz w:val="28"/>
          <w:szCs w:val="28"/>
          <w:highlight w:val="none"/>
        </w:rPr>
        <w:t xml:space="preserve">，</w:t>
      </w:r>
      <w:r>
        <w:rPr>
          <w:rFonts w:hint="eastAsia" w:ascii="宋体" w:hAnsi="宋体" w:eastAsia="宋体" w:cs="宋体"/>
          <w:b/>
          <w:bCs w:val="0"/>
          <w:sz w:val="28"/>
          <w:szCs w:val="28"/>
          <w:highlight w:val="none"/>
          <w:lang w:val="en-US" w:eastAsia="zh-CN"/>
        </w:rPr>
        <w:t xml:space="preserve">未按要求提供证明材料和不按要求填写的，不得分。</w:t>
      </w:r>
      <w:r>
        <w:rPr>
          <w:rFonts w:hint="eastAsia" w:ascii="宋体" w:hAnsi="宋体" w:eastAsia="宋体" w:cs="宋体"/>
          <w:b/>
          <w:bCs w:val="0"/>
          <w:sz w:val="28"/>
          <w:szCs w:val="24"/>
          <w:highlight w:val="none"/>
        </w:rPr>
        <w:t xml:space="preserve">以下技术参数需根据</w:t>
      </w:r>
      <w:r>
        <w:rPr>
          <w:rFonts w:ascii="宋体" w:hAnsi="宋体" w:eastAsia="宋体" w:cs="宋体"/>
          <w:b/>
          <w:bCs w:val="0"/>
          <w:sz w:val="28"/>
          <w:szCs w:val="24"/>
          <w:highlight w:val="none"/>
        </w:rPr>
        <w:t xml:space="preserve">要求</w:t>
      </w:r>
      <w:r>
        <w:rPr>
          <w:rFonts w:hint="eastAsia" w:ascii="宋体" w:hAnsi="宋体" w:eastAsia="宋体" w:cs="宋体"/>
          <w:b/>
          <w:bCs w:val="0"/>
          <w:sz w:val="28"/>
          <w:szCs w:val="24"/>
          <w:highlight w:val="none"/>
        </w:rPr>
        <w:t xml:space="preserve">提供相关证明材料（如产品界面截图、科研文章、厂家证明、产品说明书、彩页</w:t>
      </w:r>
      <w:r>
        <w:rPr>
          <w:rFonts w:ascii="宋体" w:hAnsi="宋体" w:eastAsia="宋体" w:cs="宋体"/>
          <w:b/>
          <w:bCs w:val="0"/>
          <w:sz w:val="28"/>
          <w:szCs w:val="24"/>
          <w:highlight w:val="none"/>
        </w:rPr>
        <w:t xml:space="preserve">、</w:t>
      </w:r>
      <w:r>
        <w:rPr>
          <w:rFonts w:hint="eastAsia" w:ascii="宋体" w:hAnsi="宋体" w:eastAsia="宋体" w:cs="宋体"/>
          <w:b/>
          <w:bCs w:val="0"/>
          <w:sz w:val="28"/>
          <w:szCs w:val="24"/>
          <w:highlight w:val="none"/>
        </w:rPr>
        <w:t xml:space="preserve">相关检测报告、白皮书、手册、</w:t>
      </w:r>
      <w:r>
        <w:rPr>
          <w:rFonts w:ascii="宋体" w:hAnsi="宋体" w:eastAsia="宋体" w:cs="宋体"/>
          <w:b/>
          <w:bCs w:val="0"/>
          <w:sz w:val="28"/>
          <w:szCs w:val="24"/>
          <w:highlight w:val="none"/>
        </w:rPr>
        <w:t xml:space="preserve">专利证书</w:t>
      </w:r>
      <w:r>
        <w:rPr>
          <w:rFonts w:hint="eastAsia" w:ascii="宋体" w:hAnsi="宋体" w:eastAsia="宋体" w:cs="宋体"/>
          <w:b/>
          <w:bCs w:val="0"/>
          <w:sz w:val="28"/>
          <w:szCs w:val="24"/>
          <w:highlight w:val="none"/>
        </w:rPr>
        <w:t xml:space="preserve">等）进行说明，并将证明材料扫描件上传至苏彩云投标系统，</w:t>
      </w:r>
      <w:bookmarkStart w:id="33" w:name="OLE_LINK13"/>
      <w:r>
        <w:rPr>
          <w:rFonts w:hint="eastAsia" w:ascii="宋体" w:hAnsi="宋体" w:eastAsia="宋体" w:cs="宋体"/>
          <w:b/>
          <w:bCs w:val="0"/>
          <w:sz w:val="28"/>
          <w:szCs w:val="24"/>
          <w:highlight w:val="none"/>
        </w:rPr>
        <w:t xml:space="preserve">每项按评分</w:t>
      </w:r>
      <w:r>
        <w:rPr>
          <w:rFonts w:ascii="宋体" w:hAnsi="宋体" w:eastAsia="宋体" w:cs="宋体"/>
          <w:b/>
          <w:bCs w:val="0"/>
          <w:sz w:val="28"/>
          <w:szCs w:val="24"/>
          <w:highlight w:val="none"/>
        </w:rPr>
        <w:t xml:space="preserve">标准</w:t>
      </w:r>
      <w:r>
        <w:rPr>
          <w:rFonts w:hint="eastAsia" w:ascii="宋体" w:hAnsi="宋体" w:eastAsia="宋体" w:cs="宋体"/>
          <w:b/>
          <w:bCs w:val="0"/>
          <w:sz w:val="28"/>
          <w:szCs w:val="24"/>
          <w:highlight w:val="none"/>
        </w:rPr>
        <w:t xml:space="preserve">得分，未提供或提供的相关证明材料不能佐证评分参数内容的，评审时不予认可</w:t>
      </w:r>
      <w:bookmarkEnd w:id="32"/>
      <w:r/>
      <w:bookmarkEnd w:id="33"/>
      <w:r>
        <w:rPr>
          <w:rFonts w:hint="eastAsia" w:ascii="宋体" w:hAnsi="宋体" w:eastAsia="宋体" w:cs="宋体"/>
          <w:b/>
          <w:bCs w:val="0"/>
          <w:sz w:val="28"/>
          <w:szCs w:val="24"/>
          <w:highlight w:val="none"/>
          <w:lang w:eastAsia="zh-CN"/>
        </w:rPr>
        <w:t xml:space="preserve">，</w:t>
      </w:r>
      <w:r>
        <w:rPr>
          <w:rFonts w:hint="eastAsia" w:ascii="宋体" w:hAnsi="宋体" w:eastAsia="宋体" w:cs="宋体"/>
          <w:b/>
          <w:bCs w:val="0"/>
          <w:sz w:val="28"/>
          <w:szCs w:val="24"/>
          <w:highlight w:val="none"/>
        </w:rPr>
        <w:t xml:space="preserve">各投标人在提供证明材料时需对所对应的技术参数进行醒目标注，以便评标委员会进行评审。</w:t>
      </w:r>
      <w:r/>
    </w:p>
    <w:tbl>
      <w:tblPr>
        <w:tblStyle w:val="1194"/>
        <w:tblpPr w:horzAnchor="text" w:tblpXSpec="center" w:vertAnchor="text" w:tblpY="1" w:leftFromText="181" w:topFromText="0" w:rightFromText="181" w:bottomFromText="0"/>
        <w:tblW w:w="9381"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2505"/>
        <w:gridCol w:w="4511"/>
        <w:gridCol w:w="1664"/>
      </w:tblGrid>
      <w:tr>
        <w:trPr>
          <w:trHeight w:val="57"/>
        </w:trPr>
        <w:tc>
          <w:tcPr>
            <w:shd w:val="clear" w:color="auto" w:fill="auto"/>
            <w:tcW w:w="7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序号</w:t>
            </w:r>
            <w:r/>
          </w:p>
        </w:tc>
        <w:tc>
          <w:tcPr>
            <w:shd w:val="clear" w:color="auto" w:fill="auto"/>
            <w:tcW w:w="25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设备参数</w:t>
            </w:r>
            <w:r/>
          </w:p>
        </w:tc>
        <w:tc>
          <w:tcPr>
            <w:tcW w:w="45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评分标准</w:t>
            </w:r>
            <w:r/>
          </w:p>
        </w:tc>
        <w:tc>
          <w:tcPr>
            <w:tcW w:w="166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得分标准</w:t>
            </w:r>
            <w:r/>
          </w:p>
        </w:tc>
      </w:tr>
      <w:tr>
        <w:trPr>
          <w:trHeight w:val="57"/>
        </w:trPr>
        <w:tc>
          <w:tcPr>
            <w:shd w:val="clear" w:color="auto" w:fill="auto"/>
            <w:tcW w:w="7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p>
        </w:tc>
        <w:tc>
          <w:tcPr>
            <w:shd w:val="clear" w:color="auto" w:fill="auto"/>
            <w:tcW w:w="250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具有≥13英寸超高分辨率、多点触控彩色触摸屏</w:t>
            </w:r>
            <w:r/>
          </w:p>
        </w:tc>
        <w:tc>
          <w:tcPr>
            <w:tcW w:w="45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13.1英寸</w:t>
            </w:r>
            <w:r>
              <w:rPr>
                <w:rFonts w:hint="eastAsia" w:ascii="宋体" w:hAnsi="宋体" w:eastAsia="宋体" w:cs="宋体"/>
                <w:color w:val="auto"/>
                <w:sz w:val="21"/>
                <w:szCs w:val="21"/>
                <w:lang w:val="en-US" w:eastAsia="zh-CN"/>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彩色触摸屏</w:t>
            </w:r>
            <w:r>
              <w:rPr>
                <w:rFonts w:hint="eastAsia" w:ascii="宋体" w:hAnsi="宋体" w:eastAsia="宋体" w:cs="宋体"/>
                <w:color w:val="auto"/>
                <w:sz w:val="21"/>
                <w:szCs w:val="21"/>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13.5英寸，得0.5分；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13.6英寸</w:t>
            </w:r>
            <w:r>
              <w:rPr>
                <w:rFonts w:hint="eastAsia" w:ascii="宋体" w:hAnsi="宋体" w:eastAsia="宋体" w:cs="宋体"/>
                <w:color w:val="auto"/>
                <w:sz w:val="21"/>
                <w:szCs w:val="21"/>
                <w:lang w:val="en-US" w:eastAsia="zh-CN"/>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彩色触摸屏</w:t>
            </w:r>
            <w:r>
              <w:rPr>
                <w:rFonts w:hint="eastAsia" w:ascii="宋体" w:hAnsi="宋体" w:eastAsia="宋体" w:cs="宋体"/>
                <w:color w:val="auto"/>
                <w:sz w:val="21"/>
                <w:szCs w:val="21"/>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14英寸，得1分；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br/>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14.1英寸</w:t>
            </w:r>
            <w:r>
              <w:rPr>
                <w:rFonts w:hint="eastAsia" w:ascii="宋体" w:hAnsi="宋体" w:eastAsia="宋体" w:cs="宋体"/>
                <w:color w:val="auto"/>
                <w:sz w:val="21"/>
                <w:szCs w:val="21"/>
                <w:lang w:val="en-US" w:eastAsia="zh-CN"/>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彩色触摸屏</w:t>
            </w:r>
            <w:r>
              <w:rPr>
                <w:rFonts w:hint="eastAsia" w:ascii="宋体" w:hAnsi="宋体" w:eastAsia="宋体" w:cs="宋体"/>
                <w:color w:val="auto"/>
                <w:sz w:val="21"/>
                <w:szCs w:val="21"/>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14.5英寸，得1.5分</w:t>
            </w:r>
            <w:r/>
          </w:p>
          <w:p>
            <w:pPr>
              <w:jc w:val="left"/>
              <w:keepLines w:val="0"/>
              <w:keepNext w:val="0"/>
              <w:pageBreakBefore w:val="0"/>
              <w:spacing w:line="360" w:lineRule="auto"/>
              <w:widowControl/>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≥14.6英寸彩色触摸屏，得2分</w:t>
            </w:r>
            <w:r/>
          </w:p>
        </w:tc>
        <w:tc>
          <w:tcPr>
            <w:tcW w:w="1664"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满足要求得相对应得分，不满足得0分。</w:t>
            </w:r>
            <w:r/>
          </w:p>
        </w:tc>
      </w:tr>
      <w:tr>
        <w:trPr>
          <w:trHeight w:val="57"/>
        </w:trPr>
        <w:tc>
          <w:tcPr>
            <w:shd w:val="clear" w:color="auto" w:fill="auto"/>
            <w:tcW w:w="7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p>
        </w:tc>
        <w:tc>
          <w:tcPr>
            <w:shd w:val="clear" w:color="auto" w:fill="auto"/>
            <w:tcW w:w="250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心尖扩展成像：相控阵心脏探头采用凸阵扩展技术，实现心尖宽视野显示。成人相控阵心脏探头经胸探查最大角度≥110°</w:t>
            </w:r>
            <w:r/>
          </w:p>
        </w:tc>
        <w:tc>
          <w:tcPr>
            <w:tcW w:w="45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111°</w:t>
            </w:r>
            <w:r>
              <w:rPr>
                <w:rFonts w:hint="eastAsia" w:ascii="宋体" w:hAnsi="宋体" w:eastAsia="宋体" w:cs="宋体"/>
                <w:color w:val="auto"/>
                <w:sz w:val="21"/>
                <w:szCs w:val="21"/>
                <w:lang w:val="en-US" w:eastAsia="zh-CN"/>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成人相控阵心脏探头经胸探查最大角度</w:t>
            </w:r>
            <w:r>
              <w:rPr>
                <w:rFonts w:hint="eastAsia" w:ascii="宋体" w:hAnsi="宋体" w:eastAsia="宋体" w:cs="宋体"/>
                <w:color w:val="auto"/>
                <w:sz w:val="21"/>
                <w:szCs w:val="21"/>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113°</w:t>
            </w:r>
            <w:r>
              <w:rPr>
                <w:rFonts w:hint="eastAsia" w:ascii="宋体" w:hAnsi="宋体" w:eastAsia="宋体" w:cs="宋体"/>
                <w:color w:val="auto"/>
                <w:sz w:val="21"/>
                <w:szCs w:val="21"/>
              </w:rPr>
              <w:t xml:space="preserve">，且</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得0.5分；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114°</w:t>
            </w:r>
            <w:r>
              <w:rPr>
                <w:rFonts w:hint="eastAsia" w:ascii="宋体" w:hAnsi="宋体" w:eastAsia="宋体" w:cs="宋体"/>
                <w:color w:val="auto"/>
                <w:sz w:val="21"/>
                <w:szCs w:val="21"/>
                <w:lang w:val="en-US" w:eastAsia="zh-CN"/>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成人相控阵心脏探头经胸探查最大角度</w:t>
            </w:r>
            <w:r>
              <w:rPr>
                <w:rFonts w:hint="eastAsia" w:ascii="宋体" w:hAnsi="宋体" w:eastAsia="宋体" w:cs="宋体"/>
                <w:color w:val="auto"/>
                <w:sz w:val="21"/>
                <w:szCs w:val="21"/>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116°得1分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117°</w:t>
            </w:r>
            <w:r>
              <w:rPr>
                <w:rFonts w:hint="eastAsia" w:ascii="宋体" w:hAnsi="宋体" w:eastAsia="宋体" w:cs="宋体"/>
                <w:color w:val="auto"/>
                <w:sz w:val="21"/>
                <w:szCs w:val="21"/>
                <w:lang w:val="en-US" w:eastAsia="zh-CN"/>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成人相控阵心脏探头经胸探查最大角度</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19°得1.5分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成人相控阵心脏探头经胸探查最大角度≥120°得2分</w:t>
            </w:r>
            <w:r/>
          </w:p>
        </w:tc>
        <w:tc>
          <w:tcPr>
            <w:tcW w:w="1664"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满足要求得相对应得分，不满足得0分。</w:t>
            </w:r>
            <w:r/>
          </w:p>
        </w:tc>
      </w:tr>
      <w:tr>
        <w:trPr>
          <w:trHeight w:val="57"/>
        </w:trPr>
        <w:tc>
          <w:tcPr>
            <w:shd w:val="clear" w:color="auto" w:fill="auto"/>
            <w:tcW w:w="7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p>
        </w:tc>
        <w:tc>
          <w:tcPr>
            <w:shd w:val="clear" w:color="auto" w:fill="auto"/>
            <w:tcW w:w="250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超声系统最大探查深度≥40 cm</w:t>
            </w:r>
            <w:r/>
          </w:p>
        </w:tc>
        <w:tc>
          <w:tcPr>
            <w:tcW w:w="45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40.1cm</w:t>
            </w:r>
            <w:r>
              <w:rPr>
                <w:rFonts w:hint="eastAsia" w:ascii="宋体" w:hAnsi="宋体" w:eastAsia="宋体" w:cs="宋体"/>
                <w:color w:val="auto"/>
                <w:sz w:val="21"/>
                <w:szCs w:val="21"/>
                <w:lang w:val="en-US" w:eastAsia="zh-CN"/>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超声系统最大探查深度</w:t>
            </w:r>
            <w:r>
              <w:rPr>
                <w:rFonts w:hint="eastAsia" w:ascii="宋体" w:hAnsi="宋体" w:eastAsia="宋体" w:cs="宋体"/>
                <w:color w:val="auto"/>
                <w:sz w:val="21"/>
                <w:szCs w:val="21"/>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43cm得0.5分；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43.1cm</w:t>
            </w:r>
            <w:r>
              <w:rPr>
                <w:rFonts w:hint="eastAsia" w:ascii="宋体" w:hAnsi="宋体" w:eastAsia="宋体" w:cs="宋体"/>
                <w:color w:val="auto"/>
                <w:sz w:val="21"/>
                <w:szCs w:val="21"/>
                <w:lang w:val="en-US" w:eastAsia="zh-CN"/>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超声系统最大探查深度</w:t>
            </w:r>
            <w:r>
              <w:rPr>
                <w:rFonts w:hint="eastAsia" w:ascii="宋体" w:hAnsi="宋体" w:eastAsia="宋体" w:cs="宋体"/>
                <w:color w:val="auto"/>
                <w:sz w:val="21"/>
                <w:szCs w:val="21"/>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46 cm得1分；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46.1cm</w:t>
            </w:r>
            <w:r>
              <w:rPr>
                <w:rFonts w:hint="eastAsia" w:ascii="宋体" w:hAnsi="宋体" w:eastAsia="宋体" w:cs="宋体"/>
                <w:color w:val="auto"/>
                <w:sz w:val="21"/>
                <w:szCs w:val="21"/>
                <w:lang w:val="en-US" w:eastAsia="zh-CN"/>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超声系统最大探查深度</w:t>
            </w:r>
            <w:r>
              <w:rPr>
                <w:rFonts w:hint="eastAsia" w:ascii="宋体" w:hAnsi="宋体" w:eastAsia="宋体" w:cs="宋体"/>
                <w:color w:val="auto"/>
                <w:sz w:val="21"/>
                <w:szCs w:val="21"/>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49.9 cm得1.5分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超声系统最大探查深度≥50cm得2分；</w:t>
            </w:r>
            <w:r/>
          </w:p>
        </w:tc>
        <w:tc>
          <w:tcPr>
            <w:tcW w:w="1664"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满足要求得相对应得分，不满足得0分。</w:t>
            </w:r>
            <w:r/>
          </w:p>
        </w:tc>
      </w:tr>
      <w:tr>
        <w:trPr>
          <w:trHeight w:val="57"/>
        </w:trPr>
        <w:tc>
          <w:tcPr>
            <w:shd w:val="clear" w:color="auto" w:fill="auto"/>
            <w:tcW w:w="701"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p>
        </w:tc>
        <w:tc>
          <w:tcPr>
            <w:shd w:val="clear" w:color="auto" w:fill="auto"/>
            <w:tcW w:w="250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显示器:≥19英寸</w:t>
            </w:r>
            <w:r/>
          </w:p>
        </w:tc>
        <w:tc>
          <w:tcPr>
            <w:tcW w:w="45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19.1英寸</w:t>
            </w:r>
            <w:r>
              <w:rPr>
                <w:rFonts w:hint="eastAsia" w:ascii="宋体" w:hAnsi="宋体" w:eastAsia="宋体" w:cs="宋体"/>
                <w:color w:val="auto"/>
                <w:sz w:val="21"/>
                <w:szCs w:val="21"/>
                <w:lang w:val="en-US" w:eastAsia="zh-CN"/>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显示器</w:t>
            </w:r>
            <w:r>
              <w:rPr>
                <w:rFonts w:hint="eastAsia" w:ascii="宋体" w:hAnsi="宋体" w:eastAsia="宋体" w:cs="宋体"/>
                <w:color w:val="auto"/>
                <w:sz w:val="21"/>
                <w:szCs w:val="21"/>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19</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5英寸得</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19.6英寸</w:t>
            </w:r>
            <w:r>
              <w:rPr>
                <w:rFonts w:hint="eastAsia" w:ascii="宋体" w:hAnsi="宋体" w:eastAsia="宋体" w:cs="宋体"/>
                <w:color w:val="auto"/>
                <w:sz w:val="21"/>
                <w:szCs w:val="21"/>
                <w:lang w:val="en-US" w:eastAsia="zh-CN"/>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显示器</w:t>
            </w:r>
            <w:r>
              <w:rPr>
                <w:rFonts w:hint="eastAsia" w:ascii="宋体" w:hAnsi="宋体" w:eastAsia="宋体" w:cs="宋体"/>
                <w:color w:val="auto"/>
                <w:sz w:val="21"/>
                <w:szCs w:val="21"/>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20英寸得1分；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20.1英寸</w:t>
            </w:r>
            <w:r>
              <w:rPr>
                <w:rFonts w:hint="eastAsia" w:ascii="宋体" w:hAnsi="宋体" w:eastAsia="宋体" w:cs="宋体"/>
                <w:color w:val="auto"/>
                <w:sz w:val="21"/>
                <w:szCs w:val="21"/>
                <w:lang w:val="en-US" w:eastAsia="zh-CN"/>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显示器</w:t>
            </w:r>
            <w:r>
              <w:rPr>
                <w:rFonts w:hint="eastAsia" w:ascii="宋体" w:hAnsi="宋体" w:eastAsia="宋体" w:cs="宋体"/>
                <w:color w:val="auto"/>
                <w:sz w:val="21"/>
                <w:szCs w:val="21"/>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20</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5英寸得1</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显示器≥20.6英寸得2分；</w:t>
            </w:r>
            <w:r/>
          </w:p>
        </w:tc>
        <w:tc>
          <w:tcPr>
            <w:tcW w:w="1664"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满足要求得相对应得分，不满足得0分。</w:t>
            </w:r>
            <w:r/>
          </w:p>
        </w:tc>
      </w:tr>
      <w:tr>
        <w:trPr>
          <w:trHeight w:val="57"/>
        </w:trPr>
        <w:tc>
          <w:tcPr>
            <w:shd w:val="clear" w:color="auto" w:fill="auto"/>
            <w:tcW w:w="7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w:t>
            </w:r>
            <w:r/>
          </w:p>
        </w:tc>
        <w:tc>
          <w:tcPr>
            <w:shd w:val="clear" w:color="auto" w:fill="auto"/>
            <w:tcW w:w="250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成人相控阵探头最大扫描角度：90°—120°选择</w:t>
            </w:r>
            <w:r/>
          </w:p>
        </w:tc>
        <w:tc>
          <w:tcPr>
            <w:tcW w:w="45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90°＜成人相控阵探头扫描角度≤98°选择得0.5分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99°≤成人相控阵探头扫描角度≤106°选择得1分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107°≤成人相控阵探头扫描角度≤115°选择得1.5分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116°≤成人相控阵探头扫描角度≤120°选择得2分</w:t>
            </w:r>
            <w:r>
              <w:rPr>
                <w:sz w:val="21"/>
              </w:rPr>
            </w:r>
            <w:r/>
          </w:p>
        </w:tc>
        <w:tc>
          <w:tcPr>
            <w:tcW w:w="1664"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满足要求得相对应得分，不满足得0分。</w:t>
            </w:r>
            <w:r/>
          </w:p>
        </w:tc>
      </w:tr>
      <w:tr>
        <w:trPr>
          <w:trHeight w:val="57"/>
        </w:trPr>
        <w:tc>
          <w:tcPr>
            <w:shd w:val="clear" w:color="auto" w:fill="auto"/>
            <w:tcW w:w="7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w:t>
            </w:r>
            <w:r/>
          </w:p>
        </w:tc>
        <w:tc>
          <w:tcPr>
            <w:shd w:val="clear" w:color="auto" w:fill="auto"/>
            <w:tcW w:w="250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发射声束聚焦：发射≥5段</w:t>
            </w:r>
            <w:r/>
          </w:p>
        </w:tc>
        <w:tc>
          <w:tcPr>
            <w:tcW w:w="45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发射声束聚焦：发射＝6段，得0.5分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发射声束聚焦：发射＝7段，得1分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发射声束聚焦：发射≥8段，得1.5分</w:t>
            </w:r>
            <w:r/>
          </w:p>
        </w:tc>
        <w:tc>
          <w:tcPr>
            <w:tcW w:w="1664"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满足要求得相对应得分，不满足得0分。</w:t>
            </w:r>
            <w:r/>
          </w:p>
        </w:tc>
      </w:tr>
      <w:tr>
        <w:trPr>
          <w:trHeight w:val="57"/>
        </w:trPr>
        <w:tc>
          <w:tcPr>
            <w:shd w:val="clear" w:color="auto" w:fill="auto"/>
            <w:tcW w:w="7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7</w:t>
            </w:r>
            <w:r/>
          </w:p>
        </w:tc>
        <w:tc>
          <w:tcPr>
            <w:shd w:val="clear" w:color="auto" w:fill="auto"/>
            <w:tcW w:w="250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系统动态范围≥200dB</w:t>
            </w:r>
            <w:r/>
          </w:p>
        </w:tc>
        <w:tc>
          <w:tcPr>
            <w:tcW w:w="45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200dB＜系统动态范围≤230dB，得0.5分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231≤系统动态范围≤260dB，得1分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261≤系统动态范围≤279dB，得1.5分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系统动态范围≥280dB，得2分</w:t>
            </w:r>
            <w:r>
              <w:rPr>
                <w:sz w:val="21"/>
              </w:rPr>
            </w:r>
            <w:r/>
          </w:p>
        </w:tc>
        <w:tc>
          <w:tcPr>
            <w:tcW w:w="1664"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满足要求得相对应得分，不满足得0分。</w:t>
            </w:r>
            <w:r/>
          </w:p>
        </w:tc>
      </w:tr>
      <w:tr>
        <w:trPr>
          <w:trHeight w:val="57"/>
        </w:trPr>
        <w:tc>
          <w:tcPr>
            <w:shd w:val="clear" w:color="auto" w:fill="auto"/>
            <w:tcW w:w="7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w:t>
            </w:r>
            <w:r/>
          </w:p>
        </w:tc>
        <w:tc>
          <w:tcPr>
            <w:shd w:val="clear" w:color="auto" w:fill="auto"/>
            <w:tcW w:w="250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系统自动分析检出时钟方向，提供≥10种选择</w:t>
            </w:r>
            <w:r/>
          </w:p>
        </w:tc>
        <w:tc>
          <w:tcPr>
            <w:tcW w:w="4511" w:type="dxa"/>
            <w:vAlign w:val="center"/>
            <w:textDirection w:val="lrTb"/>
            <w:noWrap w:val="false"/>
          </w:tcPr>
          <w:p>
            <w:pPr>
              <w:jc w:val="left"/>
              <w:keepLines w:val="0"/>
              <w:keepNext w:val="0"/>
              <w:pageBreakBefore w:val="0"/>
              <w:spacing w:line="360" w:lineRule="auto"/>
              <w:widowControl/>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系统自动分析检出时钟方向，提供11种选择，得0.5分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系统自动分析检出时钟方向，提供≥12种选择，得1分</w:t>
            </w:r>
            <w:r/>
          </w:p>
        </w:tc>
        <w:tc>
          <w:tcPr>
            <w:tcW w:w="1664"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满足要求得相对应得分，不满足得0分。</w:t>
            </w:r>
            <w:r/>
          </w:p>
        </w:tc>
      </w:tr>
      <w:tr>
        <w:trPr>
          <w:trHeight w:val="57"/>
        </w:trPr>
        <w:tc>
          <w:tcPr>
            <w:shd w:val="clear" w:color="auto" w:fill="auto"/>
            <w:tcW w:w="7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9</w:t>
            </w:r>
            <w:r/>
          </w:p>
        </w:tc>
        <w:tc>
          <w:tcPr>
            <w:shd w:val="clear" w:color="auto" w:fill="auto"/>
            <w:tcW w:w="250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甲状腺病灶征象描述</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8个，且包含血流分析</w:t>
            </w:r>
            <w:r/>
          </w:p>
        </w:tc>
        <w:tc>
          <w:tcPr>
            <w:tcW w:w="4511" w:type="dxa"/>
            <w:vAlign w:val="center"/>
            <w:textDirection w:val="lrTb"/>
            <w:noWrap w:val="false"/>
          </w:tcPr>
          <w:p>
            <w:pPr>
              <w:jc w:val="left"/>
              <w:keepLines w:val="0"/>
              <w:keepNext w:val="0"/>
              <w:pageBreakBefore w:val="0"/>
              <w:spacing w:line="360" w:lineRule="auto"/>
              <w:widowControl/>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甲状腺病灶征象：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描述为9个，得0.5分</w:t>
            </w:r>
            <w:r/>
          </w:p>
          <w:p>
            <w:pPr>
              <w:jc w:val="left"/>
              <w:keepLines w:val="0"/>
              <w:keepNext w:val="0"/>
              <w:pageBreakBefore w:val="0"/>
              <w:spacing w:line="360" w:lineRule="auto"/>
              <w:widowControl/>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甲状腺病灶征象：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描述为10个，得1分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甲状腺病灶征象：</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描述为</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11个，得1.5分</w:t>
            </w:r>
            <w:r/>
          </w:p>
        </w:tc>
        <w:tc>
          <w:tcPr>
            <w:tcW w:w="1664"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满足要求得相对应得分，不满足得0分。</w:t>
            </w:r>
            <w:r/>
          </w:p>
        </w:tc>
      </w:tr>
      <w:tr>
        <w:trPr>
          <w:trHeight w:val="57"/>
        </w:trPr>
        <w:tc>
          <w:tcPr>
            <w:shd w:val="clear" w:color="auto" w:fill="auto"/>
            <w:tcW w:w="701"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10</w:t>
            </w:r>
            <w:r/>
          </w:p>
        </w:tc>
        <w:tc>
          <w:tcPr>
            <w:shd w:val="clear" w:color="auto" w:fill="auto"/>
            <w:tcW w:w="250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硬盘存储≥256GB</w:t>
            </w:r>
            <w:r/>
          </w:p>
        </w:tc>
        <w:tc>
          <w:tcPr>
            <w:tcW w:w="45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256GB</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硬盘存储</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300GB得0.5分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301GB</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硬盘存储</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350GB得1分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351GB</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硬盘存储</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400GB得1.5分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硬盘存储 &gt;400GB得2分</w:t>
            </w:r>
            <w:r/>
          </w:p>
        </w:tc>
        <w:tc>
          <w:tcPr>
            <w:tcW w:w="1664"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满足要求得相对应得分，不满足得0分。</w:t>
            </w:r>
            <w:r/>
          </w:p>
        </w:tc>
      </w:tr>
      <w:tr>
        <w:trPr>
          <w:trHeight w:val="57"/>
        </w:trPr>
        <w:tc>
          <w:tcPr>
            <w:shd w:val="clear" w:color="auto" w:fill="auto"/>
            <w:tcW w:w="701"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11</w:t>
            </w:r>
            <w:r/>
          </w:p>
        </w:tc>
        <w:tc>
          <w:tcPr>
            <w:shd w:val="clear" w:color="auto" w:fill="auto"/>
            <w:tcW w:w="250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零位移动：≥6级</w:t>
            </w:r>
            <w:r/>
          </w:p>
        </w:tc>
        <w:tc>
          <w:tcPr>
            <w:tcW w:w="45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零位移动：7级得0.5分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零位移动：8级得1分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零位移动：9级得1.5分</w:t>
            </w:r>
            <w:r/>
          </w:p>
          <w:p>
            <w:pPr>
              <w:jc w:val="left"/>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零位移动：≥10级得2分</w:t>
            </w:r>
            <w:r/>
          </w:p>
        </w:tc>
        <w:tc>
          <w:tcPr>
            <w:tcW w:w="1664"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满足要求得相对应得分，不满足得0分。</w:t>
            </w:r>
            <w:r/>
          </w:p>
        </w:tc>
      </w:tr>
    </w:tbl>
    <w:p>
      <w:pPr>
        <w:ind w:firstLine="48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ind w:firstLine="482"/>
        <w:spacing w:line="360" w:lineRule="auto"/>
        <w:tabs>
          <w:tab w:val="left" w:pos="630" w:leader="none"/>
        </w:tabs>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w:t>
      </w:r>
      <w:r>
        <w:rPr>
          <w:rFonts w:hint="eastAsia" w:asciiTheme="minorEastAsia" w:hAnsiTheme="minorEastAsia" w:eastAsiaTheme="minorEastAsia" w:cstheme="minorEastAsia"/>
          <w:b/>
          <w:sz w:val="24"/>
          <w:szCs w:val="24"/>
          <w:highlight w:val="none"/>
          <w:lang w:val="en-US" w:eastAsia="zh-CN"/>
        </w:rPr>
        <w:t xml:space="preserve">服务方案</w:t>
      </w: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3</w:t>
      </w:r>
      <w:r>
        <w:rPr>
          <w:rFonts w:hint="eastAsia" w:asciiTheme="minorEastAsia" w:hAnsiTheme="minorEastAsia" w:eastAsiaTheme="minorEastAsia" w:cstheme="minorEastAsia"/>
          <w:b/>
          <w:sz w:val="24"/>
          <w:szCs w:val="24"/>
          <w:highlight w:val="none"/>
        </w:rPr>
        <w:t xml:space="preserve">4分）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方案（</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①</w:t>
      </w:r>
      <w:bookmarkStart w:id="34" w:name="OLE_LINK54"/>
      <w:r>
        <w:rPr>
          <w:rFonts w:hint="eastAsia" w:cs="宋体" w:asciiTheme="minorEastAsia" w:hAnsiTheme="minorEastAsia" w:eastAsiaTheme="minorEastAsia"/>
          <w:bCs/>
          <w:sz w:val="24"/>
          <w:szCs w:val="24"/>
          <w:highlight w:val="none"/>
        </w:rPr>
        <w:t xml:space="preserve">设备质量保证措施</w:t>
      </w:r>
      <w:bookmarkEnd w:id="34"/>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②</w:t>
      </w:r>
      <w:bookmarkStart w:id="35" w:name="OLE_LINK56"/>
      <w:r>
        <w:rPr>
          <w:rFonts w:hint="eastAsia" w:cs="宋体" w:asciiTheme="minorEastAsia" w:hAnsiTheme="minorEastAsia" w:eastAsiaTheme="minorEastAsia"/>
          <w:bCs/>
          <w:sz w:val="24"/>
          <w:szCs w:val="24"/>
          <w:highlight w:val="none"/>
        </w:rPr>
        <w:t xml:space="preserve">进度计划保证措施</w:t>
      </w:r>
      <w:bookmarkEnd w:id="35"/>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③</w:t>
      </w:r>
      <w:bookmarkStart w:id="36" w:name="OLE_LINK57"/>
      <w:r>
        <w:rPr>
          <w:rFonts w:hint="eastAsia" w:cs="宋体" w:asciiTheme="minorEastAsia" w:hAnsiTheme="minorEastAsia" w:eastAsiaTheme="minorEastAsia"/>
          <w:bCs/>
          <w:sz w:val="24"/>
          <w:szCs w:val="24"/>
          <w:highlight w:val="none"/>
        </w:rPr>
        <w:t xml:space="preserve">设备包装保护方案</w:t>
      </w:r>
      <w:bookmarkEnd w:id="36"/>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④</w:t>
      </w:r>
      <w:bookmarkStart w:id="37" w:name="OLE_LINK58"/>
      <w:r>
        <w:rPr>
          <w:rFonts w:hint="eastAsia" w:cs="宋体" w:asciiTheme="minorEastAsia" w:hAnsiTheme="minorEastAsia" w:eastAsiaTheme="minorEastAsia"/>
          <w:bCs/>
          <w:sz w:val="24"/>
          <w:szCs w:val="24"/>
          <w:highlight w:val="none"/>
        </w:rPr>
        <w:t xml:space="preserve">物流运输方案</w:t>
      </w:r>
      <w:bookmarkEnd w:id="37"/>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cs="宋体" w:asciiTheme="minorEastAsia" w:hAnsiTheme="minorEastAsia" w:eastAsiaTheme="minorEastAsia"/>
          <w:bCs/>
          <w:sz w:val="24"/>
          <w:szCs w:val="24"/>
          <w:highlight w:val="none"/>
        </w:rPr>
        <w:t xml:space="preserve">⑤</w:t>
      </w:r>
      <w:bookmarkStart w:id="38" w:name="OLE_LINK59"/>
      <w:r>
        <w:rPr>
          <w:rFonts w:hint="eastAsia" w:cs="宋体" w:asciiTheme="minorEastAsia" w:hAnsiTheme="minorEastAsia" w:eastAsiaTheme="minorEastAsia"/>
          <w:bCs/>
          <w:sz w:val="24"/>
          <w:szCs w:val="24"/>
          <w:highlight w:val="none"/>
        </w:rPr>
        <w:t xml:space="preserve">风险评估与管理</w:t>
      </w:r>
      <w:bookmarkEnd w:id="38"/>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eastAsia="zh-CN"/>
        </w:rPr>
        <w:t xml:space="preserve">售后服务方案</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10</w:t>
      </w:r>
      <w:bookmarkStart w:id="55" w:name="_GoBack"/>
      <w:r/>
      <w:bookmarkEnd w:id="55"/>
      <w:r>
        <w:rPr>
          <w:rFonts w:hint="eastAsia" w:asciiTheme="minorEastAsia" w:hAnsiTheme="minorEastAsia" w:eastAsiaTheme="minorEastAsia" w:cstheme="minorEastAsia"/>
          <w:sz w:val="24"/>
          <w:szCs w:val="24"/>
          <w:highlight w:val="none"/>
        </w:rPr>
        <w:t xml:space="preserve">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①</w:t>
      </w:r>
      <w:bookmarkStart w:id="39" w:name="OLE_LINK60"/>
      <w:r>
        <w:rPr>
          <w:rFonts w:hint="eastAsia" w:cs="宋体" w:asciiTheme="minorEastAsia" w:hAnsiTheme="minorEastAsia" w:eastAsiaTheme="minorEastAsia"/>
          <w:bCs/>
          <w:sz w:val="24"/>
          <w:szCs w:val="24"/>
          <w:highlight w:val="none"/>
        </w:rPr>
        <w:t xml:space="preserve">服务体系</w:t>
      </w:r>
      <w:bookmarkEnd w:id="39"/>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②</w:t>
      </w:r>
      <w:bookmarkStart w:id="40" w:name="OLE_LINK62"/>
      <w:r>
        <w:rPr>
          <w:rFonts w:hint="eastAsia" w:cs="宋体" w:asciiTheme="minorEastAsia" w:hAnsiTheme="minorEastAsia" w:eastAsiaTheme="minorEastAsia"/>
          <w:bCs/>
          <w:sz w:val="24"/>
          <w:szCs w:val="24"/>
          <w:highlight w:val="none"/>
        </w:rPr>
        <w:t xml:space="preserve">服务内容</w:t>
      </w:r>
      <w:bookmarkEnd w:id="40"/>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cs="宋体" w:asciiTheme="minorEastAsia" w:hAnsiTheme="minorEastAsia" w:eastAsiaTheme="minorEastAsia"/>
          <w:sz w:val="24"/>
          <w:szCs w:val="24"/>
          <w:highlight w:val="none"/>
          <w14:ligatures w14:val="none"/>
        </w:rPr>
      </w:pPr>
      <w:r>
        <w:rPr>
          <w:rFonts w:hint="eastAsia" w:cs="宋体" w:asciiTheme="minorEastAsia" w:hAnsiTheme="minorEastAsia" w:eastAsiaTheme="minorEastAsia"/>
          <w:sz w:val="24"/>
          <w:szCs w:val="24"/>
          <w:highlight w:val="none"/>
        </w:rPr>
        <w:t xml:space="preserve">③</w:t>
      </w:r>
      <w:bookmarkStart w:id="41" w:name="OLE_LINK63"/>
      <w:r>
        <w:rPr>
          <w:rFonts w:hint="eastAsia" w:cs="宋体" w:asciiTheme="minorEastAsia" w:hAnsiTheme="minorEastAsia" w:eastAsiaTheme="minorEastAsia"/>
          <w:sz w:val="24"/>
          <w:szCs w:val="24"/>
          <w:highlight w:val="none"/>
        </w:rPr>
        <w:t xml:space="preserve">故障解决方案</w:t>
      </w:r>
      <w:bookmarkEnd w:id="41"/>
      <w:r>
        <w:rPr>
          <w:rFonts w:hint="eastAsia" w:cs="宋体" w:asciiTheme="minorEastAsia" w:hAnsiTheme="minorEastAsia" w:eastAsiaTheme="minorEastAsia"/>
          <w:sz w:val="24"/>
          <w:szCs w:val="24"/>
          <w:highlight w:val="none"/>
        </w:rPr>
        <w:t xml:space="preserve">（2分）</w:t>
      </w:r>
      <w:r>
        <w:rPr>
          <w:rFonts w:hint="eastAsia" w:cs="宋体" w:asciiTheme="minorEastAsia" w:hAnsiTheme="minorEastAsia" w:eastAsiaTheme="minorEastAsia"/>
          <w:sz w:val="24"/>
          <w:szCs w:val="24"/>
          <w:highlight w:val="none"/>
        </w:rPr>
      </w:r>
      <w:r/>
    </w:p>
    <w:p>
      <w:pPr>
        <w:ind w:firstLine="480"/>
        <w:spacing w:line="360" w:lineRule="auto"/>
        <w:rPr>
          <w:rFonts w:hint="eastAsia" w:cs="宋体" w:asciiTheme="minorEastAsia" w:hAnsiTheme="minorEastAsia" w:eastAsiaTheme="minorEastAsia"/>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4"/>
          <w:highlight w:val="none"/>
        </w:rPr>
        <w:t xml:space="preserve">④</w:t>
      </w:r>
      <w:bookmarkStart w:id="42" w:name="OLE_LINK64"/>
      <w:r>
        <w:rPr>
          <w:rFonts w:hint="eastAsia" w:cs="宋体" w:asciiTheme="minorEastAsia" w:hAnsiTheme="minorEastAsia" w:eastAsiaTheme="minorEastAsia"/>
          <w:sz w:val="24"/>
          <w:szCs w:val="24"/>
          <w:highlight w:val="none"/>
        </w:rPr>
        <w:t xml:space="preserve">专业技术人员保障及服务电话</w:t>
      </w:r>
      <w:bookmarkEnd w:id="42"/>
      <w:r>
        <w:rPr>
          <w:rFonts w:hint="eastAsia" w:cs="宋体" w:asciiTheme="minorEastAsia" w:hAnsiTheme="minorEastAsia" w:eastAsiaTheme="minorEastAsia"/>
          <w:sz w:val="24"/>
          <w:szCs w:val="24"/>
          <w:highlight w:val="none"/>
        </w:rPr>
        <w:t xml:space="preserve">（2分）</w:t>
      </w:r>
      <w:r>
        <w:rPr>
          <w:rFonts w:hint="eastAsia" w:cs="宋体" w:asciiTheme="minorEastAsia" w:hAnsiTheme="minorEastAsia" w:eastAsiaTheme="minorEastAsia"/>
          <w:sz w:val="24"/>
          <w:szCs w:val="24"/>
          <w:highlight w:val="none"/>
        </w:rPr>
      </w:r>
      <w:r/>
    </w:p>
    <w:p>
      <w:pPr>
        <w:ind w:firstLine="480"/>
        <w:spacing w:line="360" w:lineRule="auto"/>
        <w:rPr>
          <w:rFonts w:hint="eastAsia" w:cs="宋体" w:asciiTheme="minorEastAsia" w:hAnsiTheme="minorEastAsia" w:eastAsiaTheme="minorEastAsia"/>
          <w:sz w:val="24"/>
          <w:szCs w:val="24"/>
          <w:highlight w:val="none"/>
          <w14:ligatures w14:val="none"/>
        </w:rPr>
      </w:pPr>
      <w:r>
        <w:rPr>
          <w:rFonts w:hint="eastAsia" w:cs="宋体" w:asciiTheme="minorEastAsia" w:hAnsiTheme="minorEastAsia" w:eastAsiaTheme="minorEastAsia"/>
          <w:sz w:val="24"/>
          <w:szCs w:val="24"/>
          <w:highlight w:val="none"/>
        </w:rPr>
        <w:t xml:space="preserve">⑤</w:t>
      </w:r>
      <w:bookmarkStart w:id="43" w:name="OLE_LINK65"/>
      <w:r>
        <w:rPr>
          <w:rFonts w:hint="eastAsia" w:cs="宋体" w:asciiTheme="minorEastAsia" w:hAnsiTheme="minorEastAsia" w:eastAsiaTheme="minorEastAsia"/>
          <w:sz w:val="24"/>
          <w:szCs w:val="24"/>
          <w:highlight w:val="none"/>
        </w:rPr>
        <w:t xml:space="preserve">相应的服务细则和规范的管理制度</w:t>
      </w:r>
      <w:bookmarkEnd w:id="43"/>
      <w:r>
        <w:rPr>
          <w:rFonts w:hint="eastAsia" w:cs="宋体" w:asciiTheme="minorEastAsia" w:hAnsiTheme="minorEastAsia" w:eastAsiaTheme="minorEastAsia"/>
          <w:sz w:val="24"/>
          <w:szCs w:val="24"/>
          <w:highlight w:val="none"/>
        </w:rPr>
        <w:t xml:space="preserve">（2分）</w:t>
      </w:r>
      <w:r>
        <w:rPr>
          <w:rFonts w:hint="eastAsia" w:cs="宋体" w:asciiTheme="minorEastAsia" w:hAnsiTheme="minorEastAsia" w:eastAsiaTheme="minorEastAsia"/>
          <w:sz w:val="24"/>
          <w:szCs w:val="24"/>
          <w:highlight w:val="none"/>
        </w:rPr>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10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val="en-US" w:eastAsia="zh-CN"/>
        </w:rPr>
        <w:t xml:space="preserve">实施</w:t>
      </w:r>
      <w:r>
        <w:rPr>
          <w:rFonts w:hint="eastAsia" w:asciiTheme="minorEastAsia" w:hAnsiTheme="minorEastAsia" w:eastAsiaTheme="minorEastAsia" w:cstheme="minorEastAsia"/>
          <w:sz w:val="24"/>
          <w:szCs w:val="24"/>
          <w:highlight w:val="none"/>
        </w:rPr>
        <w:t xml:space="preserve">方案（8分）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①</w:t>
      </w:r>
      <w:bookmarkStart w:id="44" w:name="OLE_LINK66"/>
      <w:r>
        <w:rPr>
          <w:rFonts w:hint="eastAsia" w:cs="宋体" w:asciiTheme="minorEastAsia" w:hAnsiTheme="minorEastAsia" w:eastAsiaTheme="minorEastAsia"/>
          <w:bCs/>
          <w:sz w:val="24"/>
          <w:szCs w:val="24"/>
          <w:highlight w:val="none"/>
        </w:rPr>
        <w:t xml:space="preserve">安装调试人员安排</w:t>
      </w:r>
      <w:bookmarkEnd w:id="44"/>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②</w:t>
      </w:r>
      <w:bookmarkStart w:id="45" w:name="OLE_LINK67"/>
      <w:r>
        <w:rPr>
          <w:rFonts w:hint="eastAsia" w:cs="宋体" w:asciiTheme="minorEastAsia" w:hAnsiTheme="minorEastAsia" w:eastAsiaTheme="minorEastAsia"/>
          <w:bCs/>
          <w:sz w:val="24"/>
          <w:szCs w:val="24"/>
          <w:highlight w:val="none"/>
        </w:rPr>
        <w:t xml:space="preserve">安装调试流程</w:t>
      </w:r>
      <w:bookmarkEnd w:id="45"/>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③</w:t>
      </w:r>
      <w:bookmarkStart w:id="46" w:name="OLE_LINK68"/>
      <w:r>
        <w:rPr>
          <w:rFonts w:hint="eastAsia" w:cs="宋体" w:asciiTheme="minorEastAsia" w:hAnsiTheme="minorEastAsia" w:eastAsiaTheme="minorEastAsia"/>
          <w:bCs/>
          <w:sz w:val="24"/>
          <w:szCs w:val="24"/>
          <w:highlight w:val="none"/>
        </w:rPr>
        <w:t xml:space="preserve">技术重难点</w:t>
      </w:r>
      <w:bookmarkEnd w:id="46"/>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cs="宋体" w:asciiTheme="minorEastAsia" w:hAnsiTheme="minorEastAsia" w:eastAsiaTheme="minorEastAsia"/>
          <w:bCs/>
          <w:sz w:val="24"/>
          <w:szCs w:val="24"/>
          <w:highlight w:val="none"/>
        </w:rPr>
        <w:t xml:space="preserve">④</w:t>
      </w:r>
      <w:bookmarkStart w:id="47" w:name="OLE_LINK69"/>
      <w:r>
        <w:rPr>
          <w:rFonts w:hint="eastAsia" w:cs="宋体" w:asciiTheme="minorEastAsia" w:hAnsiTheme="minorEastAsia" w:eastAsiaTheme="minorEastAsia"/>
          <w:bCs/>
          <w:sz w:val="24"/>
          <w:szCs w:val="24"/>
          <w:highlight w:val="none"/>
        </w:rPr>
        <w:t xml:space="preserve">现场环境保护</w:t>
      </w:r>
      <w:bookmarkEnd w:id="47"/>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val="en-US" w:eastAsia="zh-CN"/>
        </w:rPr>
        <w:t xml:space="preserve">培训方案</w:t>
      </w:r>
      <w:r>
        <w:rPr>
          <w:rFonts w:hint="eastAsia" w:asciiTheme="minorEastAsia" w:hAnsiTheme="minorEastAsia" w:eastAsiaTheme="minorEastAsia" w:cstheme="minorEastAsia"/>
          <w:sz w:val="24"/>
          <w:szCs w:val="24"/>
          <w:highlight w:val="none"/>
        </w:rPr>
        <w:t xml:space="preserve">（6分）</w:t>
      </w:r>
      <w:r/>
    </w:p>
    <w:p>
      <w:pPr>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①</w:t>
      </w:r>
      <w:bookmarkStart w:id="48" w:name="OLE_LINK70"/>
      <w:r>
        <w:rPr>
          <w:rFonts w:hint="eastAsia" w:cs="宋体" w:asciiTheme="minorEastAsia" w:hAnsiTheme="minorEastAsia" w:eastAsiaTheme="minorEastAsia"/>
          <w:bCs/>
          <w:sz w:val="24"/>
          <w:szCs w:val="24"/>
          <w:highlight w:val="none"/>
        </w:rPr>
        <w:t xml:space="preserve">培训内容</w:t>
      </w:r>
      <w:bookmarkEnd w:id="48"/>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cs="宋体" w:asciiTheme="minorEastAsia" w:hAnsiTheme="minorEastAsia" w:eastAsiaTheme="minorEastAsia"/>
          <w:bCs/>
          <w:sz w:val="24"/>
          <w:szCs w:val="24"/>
          <w:highlight w:val="none"/>
        </w:rPr>
        <w:t xml:space="preserve">②</w:t>
      </w:r>
      <w:bookmarkStart w:id="49" w:name="OLE_LINK71"/>
      <w:r>
        <w:rPr>
          <w:rFonts w:hint="eastAsia" w:cs="宋体" w:asciiTheme="minorEastAsia" w:hAnsiTheme="minorEastAsia" w:eastAsiaTheme="minorEastAsia"/>
          <w:bCs/>
          <w:sz w:val="24"/>
          <w:szCs w:val="24"/>
          <w:highlight w:val="none"/>
        </w:rPr>
        <w:t xml:space="preserve">培训人员安排</w:t>
      </w:r>
      <w:bookmarkEnd w:id="49"/>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cs="宋体" w:asciiTheme="minorEastAsia" w:hAnsiTheme="minorEastAsia" w:eastAsiaTheme="minorEastAsia"/>
          <w:bCs/>
          <w:sz w:val="24"/>
          <w:szCs w:val="24"/>
          <w:highlight w:val="none"/>
        </w:rPr>
        <w:t xml:space="preserve">③</w:t>
      </w:r>
      <w:bookmarkStart w:id="50" w:name="OLE_LINK72"/>
      <w:r>
        <w:rPr>
          <w:rFonts w:hint="eastAsia" w:cs="宋体" w:asciiTheme="minorEastAsia" w:hAnsiTheme="minorEastAsia" w:eastAsiaTheme="minorEastAsia"/>
          <w:bCs/>
          <w:sz w:val="24"/>
          <w:szCs w:val="24"/>
          <w:highlight w:val="none"/>
        </w:rPr>
        <w:t xml:space="preserve">培训周期</w:t>
      </w:r>
      <w:bookmarkEnd w:id="50"/>
      <w:r>
        <w:rPr>
          <w:rFonts w:hint="eastAsia" w:asciiTheme="minorEastAsia" w:hAnsiTheme="minorEastAsia" w:eastAsiaTheme="minorEastAsia" w:cstheme="minorEastAsia"/>
          <w:sz w:val="24"/>
          <w:szCs w:val="24"/>
          <w:highlight w:val="none"/>
        </w:rPr>
        <w:t xml:space="preserve">（2分）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6分。</w:t>
      </w:r>
      <w:r/>
    </w:p>
    <w:p>
      <w:pPr>
        <w:ind w:lef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、加分因素</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3</w:t>
      </w:r>
      <w:r>
        <w:rPr>
          <w:rFonts w:hint="eastAsia" w:ascii="宋体" w:hAnsi="宋体" w:eastAsia="宋体" w:cs="宋体"/>
          <w:b/>
          <w:sz w:val="24"/>
          <w:szCs w:val="24"/>
          <w:highlight w:val="none"/>
        </w:rPr>
        <w:t xml:space="preserve">分）</w:t>
      </w:r>
      <w:r/>
    </w:p>
    <w:p>
      <w:pPr>
        <w:pStyle w:val="1214"/>
        <w:ind w:left="0" w:firstLine="480"/>
        <w:keepLines w:val="0"/>
        <w:keepNext w:val="0"/>
        <w:pageBreakBefore w:val="0"/>
        <w:spacing w:line="360" w:lineRule="auto"/>
        <w:rPr>
          <w:rFonts w:hint="eastAsia" w:ascii="宋体" w:hAnsi="宋体" w:cs="宋体"/>
          <w:bCs/>
          <w:sz w:val="24"/>
          <w:szCs w:val="24"/>
        </w:rPr>
      </w:pPr>
      <w:r>
        <w:rPr>
          <w:rFonts w:hint="eastAsia" w:ascii="宋体" w:hAnsi="宋体" w:cs="宋体"/>
          <w:bCs/>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分，最高得</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分。</w:t>
      </w:r>
      <w:r/>
    </w:p>
    <w:p>
      <w:pPr>
        <w:pStyle w:val="1214"/>
        <w:ind w:left="0" w:firstLine="480"/>
        <w:keepLines w:val="0"/>
        <w:keepNext w:val="0"/>
        <w:pageBreakBefore w:val="0"/>
        <w:spacing w:line="360" w:lineRule="auto"/>
        <w:rPr>
          <w:rFonts w:hint="eastAsia" w:ascii="宋体" w:hAnsi="宋体" w:cs="宋体"/>
          <w:bCs/>
          <w:sz w:val="24"/>
          <w:szCs w:val="24"/>
        </w:rPr>
      </w:pPr>
      <w:r>
        <w:rPr>
          <w:rFonts w:hint="eastAsia" w:ascii="宋体" w:hAnsi="宋体" w:cs="宋体"/>
          <w:bCs/>
          <w:sz w:val="24"/>
          <w:szCs w:val="24"/>
        </w:rPr>
        <w:t xml:space="preserve">注：同一产品同时具备节能产品认证证书、环境标志产品认证证书的，不重复计分。投标时提供认证证书复印件。</w:t>
      </w:r>
      <w:r/>
    </w:p>
    <w:p>
      <w:pPr>
        <w:ind w:firstLine="480"/>
        <w:spacing w:line="360" w:lineRule="auto"/>
        <w:rPr>
          <w:rFonts w:hint="eastAsia" w:asciiTheme="minorEastAsia" w:hAnsiTheme="minorEastAsia" w:eastAsiaTheme="minorEastAsia" w:cstheme="minorEastAsia"/>
          <w:sz w:val="24"/>
          <w:szCs w:val="24"/>
        </w:rPr>
      </w:pPr>
      <w:r>
        <w:rPr>
          <w:rFonts w:hint="eastAsia" w:ascii="宋体" w:hAnsi="宋体" w:eastAsia="宋体" w:cs="宋体"/>
          <w:bCs/>
          <w:sz w:val="24"/>
          <w:szCs w:val="24"/>
        </w:rPr>
        <w:t xml:space="preserve">②</w:t>
      </w:r>
      <w:r>
        <w:rPr>
          <w:rFonts w:hint="eastAsia" w:ascii="宋体" w:hAnsi="宋体" w:eastAsia="宋体" w:cs="宋体"/>
          <w:bCs/>
          <w:sz w:val="24"/>
          <w:szCs w:val="24"/>
        </w:rPr>
        <w:tab/>
      </w:r>
      <w:r>
        <w:rPr>
          <w:rFonts w:hint="eastAsia" w:ascii="宋体" w:hAnsi="宋体" w:eastAsia="宋体" w:cs="宋体"/>
          <w:bCs/>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rPr>
          <w:rFonts w:hint="eastAsia" w:asciiTheme="minorEastAsia" w:hAnsiTheme="minorEastAsia" w:eastAsiaTheme="minorEastAsia" w:cstheme="minor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198"/>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198"/>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JSZC-320205-JZCG-G2026-0043</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锡山区云林街道社区卫生服务中心彩超采购</w:t>
      </w:r>
      <w:r>
        <w:rPr>
          <w:rFonts w:hint="eastAsia" w:ascii="宋体" w:hAnsi="宋体" w:cs="宋体"/>
          <w:bCs/>
          <w:color w:val="000000"/>
          <w:sz w:val="28"/>
          <w:szCs w:val="28"/>
          <w:highlight w:val="none"/>
          <w:lang w:eastAsia="zh-CN"/>
        </w:rPr>
        <w:t xml:space="preserve">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198"/>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198"/>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198"/>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w:t>
      </w:r>
      <w:r>
        <w:rPr>
          <w:rFonts w:hint="eastAsia" w:ascii="宋体" w:hAnsi="宋体" w:cs="宋体"/>
          <w:bCs/>
          <w:color w:val="000000"/>
          <w:sz w:val="36"/>
          <w:szCs w:val="36"/>
          <w:highlight w:val="none"/>
          <w:lang w:val="en-US" w:eastAsia="zh-CN"/>
        </w:rPr>
        <w:t xml:space="preserve">六</w:t>
      </w:r>
      <w:r>
        <w:rPr>
          <w:rFonts w:hint="eastAsia" w:ascii="宋体" w:hAnsi="宋体" w:cs="宋体"/>
          <w:bCs/>
          <w:color w:val="000000"/>
          <w:sz w:val="36"/>
          <w:szCs w:val="36"/>
          <w:highlight w:val="none"/>
        </w:rPr>
        <w:t xml:space="preserve">年  月  日</w:t>
      </w:r>
      <w:r/>
    </w:p>
    <w:p>
      <w:pPr>
        <w:pStyle w:val="1212"/>
        <w:ind w:firstLine="0"/>
        <w:rPr>
          <w:color w:val="000000"/>
          <w:highlight w:val="none"/>
        </w:rPr>
      </w:pPr>
      <w:r/>
      <w:bookmarkStart w:id="51" w:name="一．报价函（格式）"/>
      <w:r/>
      <w:bookmarkEnd w:id="51"/>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JSZC-320205-JZCG-G2026-0043</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21"/>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20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205"/>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52" w:name="报价方关于资格的声明函（格式）"/>
      <w:r/>
      <w:bookmarkEnd w:id="52"/>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JSZC-320205-JZCG-G2026-0043</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锡山区云林街道社区卫生服务中心彩超采购</w:t>
      </w:r>
      <w:r>
        <w:rPr>
          <w:rFonts w:hint="eastAsia" w:ascii="Times New Roman" w:hAnsi="Times New Roman" w:eastAsia="宋体"/>
          <w:bCs/>
          <w:color w:val="000000"/>
          <w:sz w:val="24"/>
          <w:szCs w:val="24"/>
          <w:highlight w:val="none"/>
          <w:u w:val="single"/>
          <w:lang w:eastAsia="zh-CN"/>
        </w:rPr>
        <w:t xml:space="preserve">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JSZC-320205-JZCG-G2026-0043</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r>
      <w:r>
        <w:rPr>
          <w:rFonts w:hint="eastAsia" w:ascii="Times New Roman" w:hAnsi="Times New Roman" w:eastAsia="宋体"/>
          <w:bCs/>
          <w:color w:val="000000"/>
          <w:sz w:val="24"/>
          <w:szCs w:val="24"/>
          <w:highlight w:val="none"/>
          <w:u w:val="single"/>
          <w:lang w:eastAsia="zh-CN"/>
        </w:rPr>
        <w:t xml:space="preserve">锡山区云林街道社区卫生服务中心彩超采购</w:t>
      </w:r>
      <w:r>
        <w:rPr>
          <w:rFonts w:hint="eastAsia" w:ascii="Times New Roman" w:hAnsi="Times New Roman" w:eastAsia="宋体"/>
          <w:bCs/>
          <w:color w:val="000000"/>
          <w:sz w:val="24"/>
          <w:szCs w:val="24"/>
          <w:highlight w:val="none"/>
          <w:u w:val="single"/>
          <w:lang w:eastAsia="zh-CN"/>
        </w:rPr>
        <w:t xml:space="preserve">项目</w:t>
      </w:r>
      <w:r>
        <w:rPr>
          <w:rFonts w:hint="eastAsia" w:ascii="Times New Roman" w:hAnsi="Times New Roman" w:eastAsia="宋体"/>
          <w:bCs/>
          <w:color w:val="000000"/>
          <w:sz w:val="24"/>
          <w:szCs w:val="24"/>
          <w:highlight w:val="none"/>
          <w:u w:val="single"/>
          <w:lang w:eastAsia="zh-CN"/>
        </w:rPr>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98"/>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98"/>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0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0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05"/>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20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05"/>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9" o:spid="_x0000_s9"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 o:spid="_x0000_s10"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20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0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0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0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0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0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0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0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0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0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0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06"/>
        <w:rPr>
          <w:color w:val="000000"/>
          <w:highlight w:val="none"/>
        </w:rPr>
      </w:pPr>
      <w:r>
        <w:rPr>
          <w:color w:val="000000"/>
          <w:highlight w:val="none"/>
        </w:rPr>
      </w:r>
      <w:r/>
    </w:p>
    <w:p>
      <w:pPr>
        <w:pStyle w:val="1205"/>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0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0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0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0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0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06"/>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0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0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0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0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06"/>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204"/>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JSZC-320205-JZCG-G2026-0043</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198"/>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119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119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1194"/>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19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9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9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0"/>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198"/>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numPr>
          <w:ilvl w:val="0"/>
          <w:numId w:val="0"/>
        </w:numPr>
        <w:rPr>
          <w:rFonts w:ascii="黑体" w:hAnsi="宋体" w:eastAsia="黑体"/>
          <w:bCs/>
          <w:color w:val="000000"/>
          <w:sz w:val="24"/>
          <w:szCs w:val="24"/>
          <w:highlight w:val="none"/>
        </w:rPr>
        <w:outlineLvl w:val="0"/>
      </w:pPr>
      <w:r>
        <w:rPr>
          <w:rFonts w:hint="eastAsia" w:ascii="黑体" w:hAnsi="宋体" w:eastAsia="黑体" w:cs="Times New Roman"/>
          <w:bCs/>
          <w:color w:val="000000"/>
          <w:sz w:val="24"/>
          <w:szCs w:val="24"/>
          <w:lang w:val="en-US" w:eastAsia="zh-CN" w:bidi="ar-SA"/>
        </w:rPr>
        <w:t xml:space="preserve">（六）</w:t>
      </w:r>
      <w:r>
        <w:rPr>
          <w:rFonts w:hint="eastAsia" w:ascii="黑体" w:hAnsi="宋体" w:eastAsia="黑体"/>
          <w:bCs/>
          <w:color w:val="000000"/>
          <w:sz w:val="24"/>
          <w:szCs w:val="24"/>
          <w:highlight w:val="none"/>
        </w:rPr>
        <w:t xml:space="preserve">报价明细表（格式）：</w:t>
      </w:r>
      <w:r/>
    </w:p>
    <w:p>
      <w:pPr>
        <w:pStyle w:val="1198"/>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1194"/>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651"/>
        <w:gridCol w:w="505"/>
        <w:gridCol w:w="411"/>
        <w:gridCol w:w="967"/>
        <w:gridCol w:w="1017"/>
        <w:gridCol w:w="600"/>
        <w:gridCol w:w="683"/>
        <w:gridCol w:w="450"/>
        <w:gridCol w:w="1000"/>
        <w:gridCol w:w="1041"/>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序号</w:t>
            </w:r>
            <w:r/>
          </w:p>
        </w:tc>
        <w:tc>
          <w:tcPr>
            <w:tcMar>
              <w:left w:w="15" w:type="dxa"/>
              <w:top w:w="15" w:type="dxa"/>
              <w:right w:w="15" w:type="dxa"/>
              <w:bottom w:w="0" w:type="dxa"/>
            </w:tcMar>
            <w:tcW w:w="651"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名称</w:t>
            </w:r>
            <w:r/>
          </w:p>
        </w:tc>
        <w:tc>
          <w:tcPr>
            <w:tcBorders>
              <w:right w:val="single" w:color="auto" w:sz="4" w:space="0"/>
            </w:tcBorders>
            <w:tcMar>
              <w:left w:w="15" w:type="dxa"/>
              <w:top w:w="15" w:type="dxa"/>
              <w:right w:w="15" w:type="dxa"/>
              <w:bottom w:w="0" w:type="dxa"/>
            </w:tcMar>
            <w:tcW w:w="505"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品牌</w:t>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型号</w:t>
            </w:r>
            <w:r/>
          </w:p>
        </w:tc>
        <w:tc>
          <w:tcPr>
            <w:tcBorders>
              <w:left w:val="single" w:color="auto" w:sz="4" w:space="0"/>
            </w:tcBorders>
            <w:tcMar>
              <w:left w:w="15" w:type="dxa"/>
              <w:top w:w="15" w:type="dxa"/>
              <w:right w:w="15" w:type="dxa"/>
              <w:bottom w:w="0" w:type="dxa"/>
            </w:tcMar>
            <w:tcW w:w="967"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lang w:val="en-US" w:eastAsia="zh-CN"/>
                <w14:textFill>
                  <w14:solidFill>
                    <w14:schemeClr w14:val="tx1"/>
                  </w14:solidFill>
                </w14:textFill>
              </w:rPr>
              <w:t xml:space="preserve">规格</w:t>
            </w:r>
            <w:r/>
          </w:p>
        </w:tc>
        <w:tc>
          <w:tcPr>
            <w:tcMar>
              <w:left w:w="15" w:type="dxa"/>
              <w:top w:w="15" w:type="dxa"/>
              <w:right w:w="15" w:type="dxa"/>
              <w:bottom w:w="0" w:type="dxa"/>
            </w:tcMar>
            <w:tcW w:w="1017" w:type="dxa"/>
            <w:vAlign w:val="center"/>
            <w:textDirection w:val="lrTb"/>
            <w:noWrap/>
          </w:tcPr>
          <w:p>
            <w:pPr>
              <w:jc w:val="center"/>
              <w:spacing w:before="5"/>
              <w:rPr>
                <w:rFonts w:hint="default" w:ascii="宋体" w:hAnsi="宋体" w:eastAsia="宋体" w:cs="宋体"/>
                <w:color w:val="000000" w:themeColor="text1"/>
                <w:sz w:val="18"/>
                <w:lang w:val="en-US" w:eastAsia="zh-CN"/>
                <w14:textFill>
                  <w14:solidFill>
                    <w14:schemeClr w14:val="tx1"/>
                  </w14:solidFill>
                </w14:textFill>
              </w:rPr>
            </w:pPr>
            <w:r>
              <w:rPr>
                <w:rFonts w:hint="eastAsia" w:ascii="宋体" w:hAnsi="宋体" w:eastAsia="宋体" w:cs="宋体"/>
                <w:color w:val="000000" w:themeColor="text1"/>
                <w:sz w:val="18"/>
                <w:lang w:val="en-US" w:eastAsia="zh-CN"/>
                <w14:textFill>
                  <w14:solidFill>
                    <w14:schemeClr w14:val="tx1"/>
                  </w14:solidFill>
                </w14:textFill>
              </w:rPr>
              <w:t xml:space="preserve">技术参数</w:t>
            </w:r>
            <w:r/>
          </w:p>
        </w:tc>
        <w:tc>
          <w:tcPr>
            <w:tcMar>
              <w:left w:w="15" w:type="dxa"/>
              <w:top w:w="15" w:type="dxa"/>
              <w:right w:w="15" w:type="dxa"/>
              <w:bottom w:w="0" w:type="dxa"/>
            </w:tcMar>
            <w:tcW w:w="600"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数量</w:t>
            </w:r>
            <w:r/>
          </w:p>
        </w:tc>
        <w:tc>
          <w:tcPr>
            <w:tcMar>
              <w:left w:w="15" w:type="dxa"/>
              <w:top w:w="15" w:type="dxa"/>
              <w:right w:w="15" w:type="dxa"/>
              <w:bottom w:w="0" w:type="dxa"/>
            </w:tcMar>
            <w:tcW w:w="683"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单位</w:t>
            </w:r>
            <w:r/>
          </w:p>
        </w:tc>
        <w:tc>
          <w:tcPr>
            <w:tcMar>
              <w:left w:w="15" w:type="dxa"/>
              <w:top w:w="15" w:type="dxa"/>
              <w:right w:w="15" w:type="dxa"/>
              <w:bottom w:w="0" w:type="dxa"/>
            </w:tcMar>
            <w:tcW w:w="450" w:type="dxa"/>
            <w:vAlign w:val="center"/>
            <w:textDirection w:val="lrTb"/>
            <w:noWrap/>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产地</w:t>
            </w:r>
            <w:r/>
          </w:p>
        </w:tc>
        <w:tc>
          <w:tcPr>
            <w:tcW w:w="1000"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免费质保期</w:t>
            </w:r>
            <w:r/>
          </w:p>
        </w:tc>
        <w:tc>
          <w:tcPr>
            <w:tcW w:w="1041"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单报价（元）</w:t>
            </w:r>
            <w:r/>
          </w:p>
        </w:tc>
        <w:tc>
          <w:tcPr>
            <w:tcW w:w="1062" w:type="dxa"/>
            <w:vAlign w:val="center"/>
            <w:textDirection w:val="lrTb"/>
            <w:noWrap w:val="false"/>
          </w:tcPr>
          <w:p>
            <w:pPr>
              <w:jc w:val="center"/>
              <w:spacing w:before="5"/>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t xml:space="preserve">分项总报价（元）</w:t>
            </w:r>
            <w:r/>
          </w:p>
        </w:tc>
      </w:tr>
      <w:tr>
        <w:trPr>
          <w:cantSplit/>
          <w:trHeight w:val="615"/>
        </w:trPr>
        <w:tc>
          <w:tcPr>
            <w:tcMar>
              <w:left w:w="15" w:type="dxa"/>
              <w:top w:w="15" w:type="dxa"/>
              <w:right w:w="15" w:type="dxa"/>
              <w:bottom w:w="0" w:type="dxa"/>
            </w:tcMar>
            <w:tcW w:w="613" w:type="dxa"/>
            <w:vAlign w:val="center"/>
            <w:textDirection w:val="lrTb"/>
            <w:noWrap/>
          </w:tcPr>
          <w:p>
            <w:pPr>
              <w:pStyle w:val="1222"/>
              <w:spacing w:before="5"/>
              <w:tabs>
                <w:tab w:val="clear" w:pos="4153" w:leader="none"/>
                <w:tab w:val="clear" w:pos="8306" w:leader="none"/>
              </w:tabs>
              <w:rPr>
                <w:rFonts w:hint="eastAsia" w:ascii="宋体" w:hAnsi="宋体" w:eastAsia="宋体" w:cs="宋体"/>
                <w:color w:val="000000" w:themeColor="text1"/>
                <w14:textFill>
                  <w14:solidFill>
                    <w14:schemeClr w14:val="tx1"/>
                  </w14:solidFill>
                </w14:textFill>
              </w:rPr>
              <w:pBdr>
                <w:bottom w:val="none" w:color="000000" w:sz="0" w:space="0"/>
              </w:pBdr>
            </w:pPr>
            <w:r>
              <w:rPr>
                <w:rFonts w:hint="eastAsia" w:ascii="宋体" w:hAnsi="宋体" w:eastAsia="宋体" w:cs="宋体"/>
                <w:color w:val="000000" w:themeColor="text1"/>
                <w14:textFill>
                  <w14:solidFill>
                    <w14:schemeClr w14:val="tx1"/>
                  </w14:solidFill>
                </w14:textFill>
              </w:rPr>
            </w:r>
            <w:r/>
          </w:p>
        </w:tc>
        <w:tc>
          <w:tcPr>
            <w:tcMar>
              <w:left w:w="15" w:type="dxa"/>
              <w:top w:w="15" w:type="dxa"/>
              <w:right w:w="15" w:type="dxa"/>
              <w:bottom w:w="0" w:type="dxa"/>
            </w:tcMar>
            <w:tcW w:w="651" w:type="dxa"/>
            <w:vAlign w:val="center"/>
            <w:textDirection w:val="lrTb"/>
            <w:noWrap/>
          </w:tcPr>
          <w:p>
            <w:pPr>
              <w:pStyle w:val="1222"/>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pStyle w:val="1222"/>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pStyle w:val="1222"/>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pStyle w:val="1222"/>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Mar>
              <w:left w:w="15" w:type="dxa"/>
              <w:top w:w="15" w:type="dxa"/>
              <w:right w:w="15" w:type="dxa"/>
              <w:bottom w:w="0" w:type="dxa"/>
            </w:tcMar>
            <w:tcW w:w="1017" w:type="dxa"/>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00"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83"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Mar>
              <w:left w:w="15" w:type="dxa"/>
              <w:top w:w="15" w:type="dxa"/>
              <w:right w:w="15" w:type="dxa"/>
              <w:bottom w:w="0" w:type="dxa"/>
            </w:tcMar>
            <w:tcW w:w="450"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W w:w="1000" w:type="dxa"/>
            <w:vAlign w:val="center"/>
            <w:textDirection w:val="lrTb"/>
            <w:noWrap w:val="false"/>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W w:w="1041"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1062"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cantSplit/>
          <w:trHeight w:val="567"/>
        </w:trPr>
        <w:tc>
          <w:tcPr>
            <w:tcMar>
              <w:left w:w="15" w:type="dxa"/>
              <w:top w:w="15" w:type="dxa"/>
              <w:right w:w="15" w:type="dxa"/>
              <w:bottom w:w="0" w:type="dxa"/>
            </w:tcMar>
            <w:tcW w:w="613" w:type="dxa"/>
            <w:vAlign w:val="center"/>
            <w:textDirection w:val="lrTb"/>
            <w:noWrap/>
          </w:tcPr>
          <w:p>
            <w:pPr>
              <w:jc w:val="center"/>
              <w:rPr>
                <w:rFonts w:hint="eastAsia" w:ascii="宋体" w:hAnsi="宋体" w:eastAsia="宋体" w:cs="宋体"/>
                <w:color w:val="000000" w:themeColor="text1"/>
                <w:sz w:val="18"/>
                <w14:textFill>
                  <w14:solidFill>
                    <w14:schemeClr w14:val="tx1"/>
                  </w14:solidFill>
                </w14:textFill>
              </w:rPr>
            </w:pPr>
            <w:r>
              <w:rPr>
                <w:rFonts w:hint="eastAsia" w:ascii="宋体" w:hAnsi="宋体" w:eastAsia="宋体" w:cs="宋体"/>
                <w:color w:val="000000" w:themeColor="text1"/>
                <w:sz w:val="18"/>
                <w14:textFill>
                  <w14:solidFill>
                    <w14:schemeClr w14:val="tx1"/>
                  </w14:solidFill>
                </w14:textFill>
              </w:rPr>
            </w:r>
            <w:r/>
          </w:p>
        </w:tc>
        <w:tc>
          <w:tcPr>
            <w:tcMar>
              <w:left w:w="15" w:type="dxa"/>
              <w:top w:w="15" w:type="dxa"/>
              <w:right w:w="15" w:type="dxa"/>
              <w:bottom w:w="0" w:type="dxa"/>
            </w:tcMar>
            <w:tcW w:w="651" w:type="dxa"/>
            <w:vAlign w:val="center"/>
            <w:textDirection w:val="lrTb"/>
            <w:noWrap/>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right w:val="single" w:color="auto" w:sz="4" w:space="0"/>
            </w:tcBorders>
            <w:tcMar>
              <w:left w:w="15" w:type="dxa"/>
              <w:top w:w="15" w:type="dxa"/>
              <w:right w:w="15" w:type="dxa"/>
              <w:bottom w:w="0" w:type="dxa"/>
            </w:tcMar>
            <w:tcW w:w="505" w:type="dxa"/>
            <w:vAlign w:val="center"/>
            <w:textDirection w:val="lrTb"/>
            <w:noWrap w:val="false"/>
          </w:tcPr>
          <w:p>
            <w:pPr>
              <w:pStyle w:val="1222"/>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right w:val="single" w:color="auto" w:sz="4" w:space="0"/>
            </w:tcBorders>
            <w:tcMar>
              <w:left w:w="15" w:type="dxa"/>
              <w:top w:w="15" w:type="dxa"/>
              <w:right w:w="15" w:type="dxa"/>
              <w:bottom w:w="0" w:type="dxa"/>
            </w:tcMar>
            <w:tcW w:w="411" w:type="dxa"/>
            <w:vAlign w:val="center"/>
            <w:textDirection w:val="lrTb"/>
            <w:noWrap w:val="false"/>
          </w:tcPr>
          <w:p>
            <w:pPr>
              <w:pStyle w:val="1222"/>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Borders>
              <w:left w:val="single" w:color="auto" w:sz="4" w:space="0"/>
            </w:tcBorders>
            <w:tcMar>
              <w:left w:w="15" w:type="dxa"/>
              <w:top w:w="15" w:type="dxa"/>
              <w:right w:w="15" w:type="dxa"/>
              <w:bottom w:w="0" w:type="dxa"/>
            </w:tcMar>
            <w:tcW w:w="967" w:type="dxa"/>
            <w:vAlign w:val="center"/>
            <w:textDirection w:val="lrTb"/>
            <w:noWrap w:val="false"/>
          </w:tcPr>
          <w:p>
            <w:pPr>
              <w:pStyle w:val="1222"/>
              <w:tabs>
                <w:tab w:val="clear" w:pos="4153" w:leader="none"/>
                <w:tab w:val="clear" w:pos="8306" w:leader="none"/>
              </w:tabs>
              <w:rPr>
                <w:rFonts w:hint="eastAsia" w:ascii="宋体" w:hAnsi="宋体" w:eastAsia="宋体" w:cs="宋体"/>
                <w:bCs/>
                <w:color w:val="000000" w:themeColor="text1"/>
                <w14:textFill>
                  <w14:solidFill>
                    <w14:schemeClr w14:val="tx1"/>
                  </w14:solidFill>
                </w14:textFill>
              </w:rPr>
              <w:pBdr>
                <w:bottom w:val="none" w:color="000000" w:sz="0" w:space="0"/>
              </w:pBdr>
            </w:pPr>
            <w:r>
              <w:rPr>
                <w:rFonts w:hint="eastAsia" w:ascii="宋体" w:hAnsi="宋体" w:eastAsia="宋体" w:cs="宋体"/>
                <w:bCs/>
                <w:color w:val="000000" w:themeColor="text1"/>
                <w14:textFill>
                  <w14:solidFill>
                    <w14:schemeClr w14:val="tx1"/>
                  </w14:solidFill>
                </w14:textFill>
              </w:rPr>
            </w:r>
            <w:r/>
          </w:p>
        </w:tc>
        <w:tc>
          <w:tcPr>
            <w:tcMar>
              <w:left w:w="15" w:type="dxa"/>
              <w:top w:w="15" w:type="dxa"/>
              <w:right w:w="15" w:type="dxa"/>
              <w:bottom w:w="0" w:type="dxa"/>
            </w:tcMar>
            <w:tcW w:w="1017"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00" w:type="dxa"/>
            <w:vAlign w:val="center"/>
            <w:textDirection w:val="lrTb"/>
            <w:noWrap w:val="false"/>
          </w:tcPr>
          <w:p>
            <w:pPr>
              <w:jc w:val="center"/>
              <w:rPr>
                <w:rFonts w:hint="eastAsia" w:ascii="宋体" w:hAnsi="宋体" w:eastAsia="宋体" w:cs="宋体"/>
                <w:bCs/>
                <w:color w:val="000000" w:themeColor="text1"/>
                <w:sz w:val="18"/>
                <w14:textFill>
                  <w14:solidFill>
                    <w14:schemeClr w14:val="tx1"/>
                  </w14:solidFill>
                </w14:textFill>
              </w:rPr>
            </w:pPr>
            <w:r>
              <w:rPr>
                <w:rFonts w:hint="eastAsia" w:ascii="宋体" w:hAnsi="宋体" w:eastAsia="宋体" w:cs="宋体"/>
                <w:bCs/>
                <w:color w:val="000000" w:themeColor="text1"/>
                <w:sz w:val="18"/>
                <w14:textFill>
                  <w14:solidFill>
                    <w14:schemeClr w14:val="tx1"/>
                  </w14:solidFill>
                </w14:textFill>
              </w:rPr>
            </w:r>
            <w:r/>
          </w:p>
        </w:tc>
        <w:tc>
          <w:tcPr>
            <w:tcMar>
              <w:left w:w="15" w:type="dxa"/>
              <w:top w:w="15" w:type="dxa"/>
              <w:right w:w="15" w:type="dxa"/>
              <w:bottom w:w="0" w:type="dxa"/>
            </w:tcMar>
            <w:tcW w:w="683" w:type="dxa"/>
            <w:vAlign w:val="center"/>
            <w:textDirection w:val="lrTb"/>
            <w:noWrap/>
          </w:tcPr>
          <w:p>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Mar>
              <w:left w:w="15" w:type="dxa"/>
              <w:top w:w="15" w:type="dxa"/>
              <w:right w:w="15" w:type="dxa"/>
              <w:bottom w:w="0" w:type="dxa"/>
            </w:tcMar>
            <w:tcW w:w="450" w:type="dxa"/>
            <w:vAlign w:val="center"/>
            <w:textDirection w:val="lrTb"/>
            <w:noWrap/>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w:t>
            </w:r>
            <w:r/>
          </w:p>
        </w:tc>
        <w:tc>
          <w:tcPr>
            <w:tcW w:w="1000"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　</w:t>
            </w:r>
            <w:r/>
          </w:p>
        </w:tc>
        <w:tc>
          <w:tcPr>
            <w:tcW w:w="1041"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1062"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cantSplit/>
          <w:trHeight w:val="635"/>
        </w:trPr>
        <w:tc>
          <w:tcPr>
            <w:gridSpan w:val="5"/>
            <w:tcMar>
              <w:left w:w="15" w:type="dxa"/>
              <w:top w:w="15" w:type="dxa"/>
              <w:right w:w="15" w:type="dxa"/>
              <w:bottom w:w="0" w:type="dxa"/>
            </w:tcMar>
            <w:tcW w:w="3147" w:type="dxa"/>
            <w:vAlign w:val="center"/>
            <w:textDirection w:val="lrTb"/>
            <w:noWrap/>
          </w:tcPr>
          <w:p>
            <w:pPr>
              <w:pStyle w:val="1222"/>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合计（元）</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r>
      <w:tr>
        <w:trPr>
          <w:cantSplit/>
          <w:trHeight w:val="635"/>
        </w:trPr>
        <w:tc>
          <w:tcPr>
            <w:gridSpan w:val="5"/>
            <w:tcMar>
              <w:left w:w="15" w:type="dxa"/>
              <w:top w:w="15" w:type="dxa"/>
              <w:right w:w="15" w:type="dxa"/>
              <w:bottom w:w="0" w:type="dxa"/>
            </w:tcMar>
            <w:tcW w:w="3147" w:type="dxa"/>
            <w:vAlign w:val="center"/>
            <w:textDirection w:val="lrTb"/>
            <w:noWrap/>
          </w:tcPr>
          <w:p>
            <w:pPr>
              <w:pStyle w:val="1222"/>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完工期</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合同签订生效之日起</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个日历日内交货并安装调试完毕</w:t>
            </w:r>
            <w:r/>
          </w:p>
        </w:tc>
      </w:tr>
      <w:tr>
        <w:trPr>
          <w:cantSplit/>
          <w:trHeight w:val="645"/>
        </w:trPr>
        <w:tc>
          <w:tcPr>
            <w:gridSpan w:val="5"/>
            <w:tcMar>
              <w:left w:w="15" w:type="dxa"/>
              <w:top w:w="15" w:type="dxa"/>
              <w:right w:w="15" w:type="dxa"/>
              <w:bottom w:w="0" w:type="dxa"/>
            </w:tcMar>
            <w:tcW w:w="3147" w:type="dxa"/>
            <w:vAlign w:val="center"/>
            <w:textDirection w:val="lrTb"/>
            <w:noWrap/>
          </w:tcPr>
          <w:p>
            <w:pPr>
              <w:pStyle w:val="1222"/>
              <w:tabs>
                <w:tab w:val="clear" w:pos="4153" w:leader="none"/>
                <w:tab w:val="clear" w:pos="8306" w:leader="none"/>
              </w:tabs>
              <w:rPr>
                <w:rFonts w:hint="eastAsia" w:ascii="宋体" w:hAnsi="宋体" w:eastAsia="宋体" w:cs="宋体"/>
                <w:b/>
                <w:bCs/>
                <w:color w:val="000000" w:themeColor="text1"/>
                <w:sz w:val="24"/>
                <w14:textFill>
                  <w14:solidFill>
                    <w14:schemeClr w14:val="tx1"/>
                  </w14:solidFill>
                </w14:textFill>
              </w:rPr>
              <w:pBdr>
                <w:bottom w:val="none" w:color="000000" w:sz="0" w:space="0"/>
              </w:pBdr>
            </w:pPr>
            <w:r>
              <w:rPr>
                <w:rFonts w:hint="eastAsia" w:ascii="宋体" w:hAnsi="宋体" w:eastAsia="宋体" w:cs="宋体"/>
                <w:b/>
                <w:bCs/>
                <w:color w:val="000000" w:themeColor="text1"/>
                <w:sz w:val="24"/>
                <w14:textFill>
                  <w14:solidFill>
                    <w14:schemeClr w14:val="tx1"/>
                  </w14:solidFill>
                </w14:textFill>
              </w:rPr>
              <w:t xml:space="preserve">项目整体免费质保期</w:t>
            </w:r>
            <w:r/>
          </w:p>
        </w:tc>
        <w:tc>
          <w:tcPr>
            <w:gridSpan w:val="7"/>
            <w:tcMar>
              <w:left w:w="15" w:type="dxa"/>
              <w:top w:w="15" w:type="dxa"/>
              <w:right w:w="15" w:type="dxa"/>
              <w:bottom w:w="0" w:type="dxa"/>
            </w:tcMar>
            <w:tcW w:w="5853"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 xml:space="preserve">项目经最终验收合格之日起____年</w:t>
            </w:r>
            <w:r/>
          </w:p>
        </w:tc>
      </w:tr>
      <w:tr>
        <w:trPr>
          <w:cantSplit/>
          <w:trHeight w:val="645"/>
        </w:trPr>
        <w:tc>
          <w:tcPr>
            <w:gridSpan w:val="12"/>
            <w:tcMar>
              <w:left w:w="15" w:type="dxa"/>
              <w:top w:w="15" w:type="dxa"/>
              <w:right w:w="15" w:type="dxa"/>
              <w:bottom w:w="0" w:type="dxa"/>
            </w:tcMar>
            <w:tcW w:w="9000" w:type="dxa"/>
            <w:vAlign w:val="center"/>
            <w:textDirection w:val="lrTb"/>
            <w:noWrap/>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center"/>
              <w:rPr>
                <w:rFonts w:hint="eastAsia" w:ascii="宋体" w:hAnsi="宋体" w:eastAsia="宋体" w:cs="宋体"/>
                <w:color w:val="000000" w:themeColor="text1"/>
                <w:sz w:val="24"/>
                <w:szCs w:val="28"/>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上述报价表不限于此，结合第三章项目要求和有关说明详细清单自行编制。</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198"/>
        <w:rPr>
          <w:color w:val="000000"/>
          <w:highlight w:val="none"/>
        </w:rPr>
      </w:pPr>
      <w:r>
        <w:rPr>
          <w:color w:val="000000"/>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锡山区云林街道社区卫生服务中心彩超采购</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20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0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0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0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0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0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0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0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06"/>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06"/>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1194"/>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JSZC-320205-JZCG-G2026-0024</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（1）本表不得删除；</w:t>
      </w:r>
      <w:r/>
    </w:p>
    <w:p>
      <w:pPr>
        <w:ind w:firstLine="480"/>
        <w:rPr>
          <w:rFonts w:hint="eastAsia" w:ascii="宋体" w:hAnsi="宋体" w:eastAsia="宋体" w:cs="宋体"/>
          <w:b/>
          <w:bCs w:val="0"/>
          <w:color w:val="ff0000"/>
          <w:sz w:val="36"/>
          <w:szCs w:val="36"/>
          <w:highlight w:val="none"/>
        </w:rPr>
        <w:outlineLvl w:val="0"/>
      </w:pPr>
      <w:r>
        <w:rPr>
          <w:rFonts w:hint="eastAsia" w:ascii="宋体" w:hAnsi="宋体" w:eastAsia="宋体" w:cs="宋体"/>
          <w:b/>
          <w:bCs w:val="0"/>
          <w:color w:val="ff0000"/>
          <w:sz w:val="36"/>
          <w:szCs w:val="36"/>
        </w:rPr>
        <w:t xml:space="preserve">（2）</w:t>
      </w:r>
      <w:r>
        <w:rPr>
          <w:rFonts w:hint="eastAsia" w:ascii="宋体" w:hAnsi="宋体" w:eastAsia="宋体" w:cs="Times New Roman"/>
          <w:b/>
          <w:bCs w:val="0"/>
          <w:color w:val="ff0000"/>
          <w:sz w:val="40"/>
          <w:szCs w:val="40"/>
          <w:highlight w:val="none"/>
          <w:lang w:val="en-US" w:eastAsia="zh-CN"/>
        </w:rPr>
        <w:t xml:space="preserve">货物类采购需按技术参数部分逐条列明，需包含设备名称、规格、数量、单位、技术参数等，若不填写或填写不完整按无效投标文件处理。</w:t>
      </w:r>
      <w:r/>
    </w:p>
    <w:p>
      <w:pPr>
        <w:ind w:firstLine="480"/>
        <w:rPr>
          <w:rFonts w:hint="eastAsia" w:ascii="宋体" w:hAnsi="宋体" w:eastAsia="宋体" w:cs="Times New Roman"/>
          <w:b/>
          <w:bCs w:val="0"/>
          <w:color w:val="ff0000"/>
          <w:sz w:val="40"/>
          <w:szCs w:val="40"/>
          <w:highlight w:val="yellow"/>
          <w:lang w:val="en-US" w:eastAsia="zh-CN"/>
        </w:rPr>
        <w:outlineLvl w:val="0"/>
      </w:pPr>
      <w:r>
        <w:rPr>
          <w:rFonts w:hint="eastAsia" w:ascii="宋体" w:hAnsi="宋体" w:eastAsia="宋体" w:cs="宋体"/>
          <w:b/>
          <w:bCs w:val="0"/>
          <w:color w:val="ff0000"/>
          <w:sz w:val="36"/>
          <w:szCs w:val="36"/>
          <w:highlight w:val="none"/>
        </w:rPr>
        <w:t xml:space="preserve">（3）</w:t>
      </w:r>
      <w:r>
        <w:rPr>
          <w:rFonts w:hint="eastAsia" w:ascii="宋体" w:hAnsi="宋体" w:eastAsia="宋体" w:cs="Times New Roman"/>
          <w:b/>
          <w:bCs w:val="0"/>
          <w:color w:val="ff0000"/>
          <w:sz w:val="40"/>
          <w:szCs w:val="40"/>
          <w:highlight w:val="none"/>
          <w:lang w:val="en-US" w:eastAsia="zh-CN"/>
        </w:rPr>
        <w:t xml:space="preserve">商务部分如无任何服务偏离，请于本表商务部分“偏离说明”中注明“无偏离”，若不填写按无效投标文件处理。</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宋体"/>
          <w:bCs/>
          <w:color w:val="000000" w:themeColor="text1"/>
          <w:sz w:val="32"/>
          <w:szCs w:val="32"/>
          <w14:textFill>
            <w14:solidFill>
              <w14:schemeClr w14:val="tx1"/>
            </w14:solidFill>
          </w14:textFill>
        </w:rPr>
        <w:outlineLvl w:val="0"/>
      </w:pPr>
      <w:r>
        <w:rPr>
          <w:rFonts w:hint="eastAsia" w:ascii="宋体" w:hAnsi="宋体" w:eastAsia="宋体" w:cs="宋体"/>
          <w:bCs/>
          <w:color w:val="000000" w:themeColor="text1"/>
          <w:sz w:val="32"/>
          <w:szCs w:val="32"/>
          <w14:textFill>
            <w14:solidFill>
              <w14:schemeClr w14:val="tx1"/>
            </w14:solidFill>
          </w14:textFill>
        </w:rPr>
        <w:t xml:space="preserve">（5）表格不够可自行延长，但不得改变文本格式；</w:t>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Theme="minorEastAsia" w:hAnsiTheme="minorEastAsia" w:eastAsiaTheme="minorEastAsia" w:cstheme="minorEastAsia"/>
          <w:bCs/>
          <w:color w:val="000000"/>
          <w:sz w:val="24"/>
          <w:szCs w:val="24"/>
          <w:highlight w:val="none"/>
        </w:rPr>
        <w:t xml:space="preserve">（九）投标供应商情况表（格式）</w:t>
      </w:r>
      <w:r/>
    </w:p>
    <w:p>
      <w:pPr>
        <w:pStyle w:val="1216"/>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119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206"/>
        <w:rPr>
          <w:rFonts w:ascii="宋体" w:hAnsi="宋体"/>
          <w:b/>
          <w:bCs/>
          <w:color w:val="000000"/>
          <w:sz w:val="24"/>
          <w:szCs w:val="24"/>
          <w:highlight w:val="none"/>
        </w:rPr>
      </w:pPr>
      <w:r>
        <w:rPr>
          <w:rFonts w:ascii="宋体" w:hAnsi="宋体"/>
          <w:b/>
          <w:bCs/>
          <w:color w:val="000000"/>
          <w:sz w:val="24"/>
          <w:szCs w:val="24"/>
          <w:highlight w:val="none"/>
        </w:rPr>
      </w:r>
      <w:r/>
    </w:p>
    <w:p>
      <w:pPr>
        <w:pStyle w:val="1206"/>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224"/>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53"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53"/>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6"/>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6"/>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6"/>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1195"/>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21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7"/>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1224"/>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04"/>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204"/>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rPr>
      </w:pPr>
      <w:r>
        <w:rPr>
          <w:rFonts w:hint="eastAsia"/>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224"/>
        <w:spacing w:before="160" w:after="160"/>
        <w:rPr>
          <w:b w:val="0"/>
          <w:color w:val="000000"/>
          <w:sz w:val="24"/>
          <w:highlight w:val="none"/>
        </w:rPr>
      </w:pPr>
      <w:r/>
      <w:bookmarkStart w:id="54"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54"/>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汉仪书宋二S">
    <w:panose1 w:val="020B0503020202020204"/>
  </w:font>
  <w:font w:name="楷体_GB2312">
    <w:panose1 w:val="02010609060101010101"/>
  </w:font>
  <w:font w:name="Symbol">
    <w:panose1 w:val="05050102010706020507"/>
  </w:font>
  <w:font w:name="华文楷体">
    <w:panose1 w:val="02010600040101010101"/>
  </w:font>
  <w:font w:name="Wingdings">
    <w:panose1 w:val="05000000000000000000"/>
  </w:font>
  <w:font w:name="Calibri">
    <w:panose1 w:val="020F0502020204030204"/>
  </w:font>
  <w:font w:name="文鼎小标宋简">
    <w:panose1 w:val="020B0503020202020204"/>
  </w:font>
  <w:font w:name="华文中宋">
    <w:panose1 w:val="02010600040101010101"/>
  </w:font>
  <w:font w:name="仿宋_GB2312">
    <w:panose1 w:val="02010609060101010101"/>
  </w:font>
  <w:font w:name="黑体">
    <w:panose1 w:val="02010609060101010101"/>
  </w:font>
  <w:font w:name="Courier New">
    <w:panose1 w:val="02070309020205020404"/>
  </w:font>
  <w:font w:name="MS Sans Serif">
    <w:panose1 w:val="020B0503020202020204"/>
  </w:font>
  <w:font w:name="宋体">
    <w:panose1 w:val="02010600030101010101"/>
  </w:font>
  <w:font w:name="Times New Roman">
    <w:panose1 w:val="02020603050405020304"/>
  </w:font>
  <w:font w:name="等线">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0"/>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0"/>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25"/>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5"/>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5"/>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5"/>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25"/>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5"/>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5"/>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5"/>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jc w:val="both"/>
      <w:rPr>
        <w:rFonts w:hint="eastAsia" w:ascii="宋体" w:hAnsi="宋体" w:eastAsia="宋体" w:cs="宋体"/>
        <w:sz w:val="15"/>
        <w:szCs w:val="15"/>
      </w:rPr>
    </w:pPr>
    <w:r>
      <w:rPr>
        <w:rFonts w:hint="eastAsia" w:eastAsia="楷体_GB2312"/>
        <w:sz w:val="21"/>
        <w:lang w:eastAsia="zh-CN"/>
      </w:rPr>
      <w:t xml:space="preserve">JSZC-320205-JZCG-G2026-0043</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20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rPr>
        <w:rFonts w:ascii="Times New Roman" w:hAnsi="Times New Roman" w:eastAsia="楷体_GB2312"/>
        <w:szCs w:val="21"/>
      </w:rPr>
    </w:pPr>
    <w:r>
      <w:rPr>
        <w:rFonts w:ascii="Times New Roman" w:hAnsi="Times New Roman" w:eastAsia="楷体_GB2312"/>
        <w:szCs w:val="21"/>
      </w:rPr>
    </w:r>
    <w:r/>
  </w:p>
  <w:p>
    <w:pPr>
      <w:pStyle w:val="1222"/>
      <w:jc w:val="both"/>
      <w:rPr>
        <w:rFonts w:hint="eastAsia" w:ascii="宋体" w:hAnsi="宋体" w:eastAsia="宋体" w:cs="宋体"/>
        <w:sz w:val="15"/>
        <w:szCs w:val="15"/>
      </w:rPr>
    </w:pPr>
    <w:r>
      <w:rPr>
        <w:rFonts w:hint="eastAsia" w:eastAsia="楷体_GB2312"/>
        <w:sz w:val="21"/>
        <w:lang w:eastAsia="zh-CN"/>
      </w:rPr>
      <w:t xml:space="preserve">JSZC-320205-JZCG-G2026-0043</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jc w:val="both"/>
      <w:rPr>
        <w:rFonts w:eastAsia="楷体_GB2312"/>
        <w:sz w:val="21"/>
      </w:rPr>
    </w:pPr>
    <w:r>
      <w:rPr>
        <w:rFonts w:eastAsia="楷体_GB2312"/>
        <w:sz w:val="21"/>
      </w:rPr>
    </w:r>
    <w:r/>
  </w:p>
  <w:p>
    <w:pPr>
      <w:pStyle w:val="1222"/>
      <w:jc w:val="both"/>
      <w:rPr>
        <w:rFonts w:hint="eastAsia" w:ascii="宋体" w:hAnsi="宋体" w:eastAsia="宋体" w:cs="宋体"/>
        <w:sz w:val="15"/>
        <w:szCs w:val="15"/>
      </w:rPr>
    </w:pPr>
    <w:r>
      <w:rPr>
        <w:rFonts w:hint="eastAsia" w:eastAsia="楷体_GB2312"/>
        <w:sz w:val="21"/>
        <w:lang w:eastAsia="zh-CN"/>
      </w:rPr>
      <w:t xml:space="preserve">JSZC-320205-JZCG-G2026-0043</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jc w:val="both"/>
      <w:rPr>
        <w:rFonts w:hint="eastAsia"/>
      </w:rPr>
    </w:pPr>
    <w:r>
      <w:rPr>
        <w:rFonts w:hint="eastAsia" w:eastAsia="楷体_GB2312"/>
        <w:sz w:val="21"/>
        <w:lang w:eastAsia="zh-CN"/>
      </w:rPr>
      <w:t xml:space="preserve">JSZC-320205-JZCG-G2026-0043</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JSZC-320205-JZCG-G2026-0043</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jc w:val="both"/>
    </w:pPr>
    <w:r>
      <w:rPr>
        <w:rFonts w:hint="eastAsia" w:eastAsia="楷体_GB2312"/>
        <w:sz w:val="21"/>
        <w:lang w:eastAsia="zh-CN"/>
      </w:rPr>
      <w:t xml:space="preserve">JSZC-320205-JZCG-G2026-0043</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1226"/>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0"/>
  </w:num>
  <w:num w:numId="4">
    <w:abstractNumId w:val="2"/>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8">
    <w:name w:val="Heading 1"/>
    <w:basedOn w:val="1191"/>
    <w:next w:val="1191"/>
    <w:link w:val="1019"/>
    <w:uiPriority w:val="9"/>
    <w:qFormat/>
    <w:pPr>
      <w:keepLines/>
      <w:keepNext/>
      <w:spacing w:before="480" w:after="200"/>
      <w:outlineLvl w:val="0"/>
    </w:pPr>
    <w:rPr>
      <w:rFonts w:ascii="Arial" w:hAnsi="Arial" w:eastAsia="Arial" w:cs="Arial"/>
      <w:sz w:val="40"/>
      <w:szCs w:val="40"/>
    </w:rPr>
  </w:style>
  <w:style w:type="character" w:styleId="1019">
    <w:name w:val="Heading 1 Char"/>
    <w:basedOn w:val="1193"/>
    <w:link w:val="1018"/>
    <w:uiPriority w:val="9"/>
    <w:rPr>
      <w:rFonts w:ascii="Arial" w:hAnsi="Arial" w:eastAsia="Arial" w:cs="Arial"/>
      <w:sz w:val="40"/>
      <w:szCs w:val="40"/>
    </w:rPr>
  </w:style>
  <w:style w:type="character" w:styleId="1020">
    <w:name w:val="Heading 2 Char"/>
    <w:basedOn w:val="1193"/>
    <w:link w:val="1218"/>
    <w:uiPriority w:val="9"/>
    <w:rPr>
      <w:rFonts w:ascii="Arial" w:hAnsi="Arial" w:eastAsia="Arial" w:cs="Arial"/>
      <w:sz w:val="34"/>
    </w:rPr>
  </w:style>
  <w:style w:type="paragraph" w:styleId="1021">
    <w:name w:val="Heading 3"/>
    <w:basedOn w:val="1191"/>
    <w:next w:val="1191"/>
    <w:link w:val="1022"/>
    <w:uiPriority w:val="9"/>
    <w:unhideWhenUsed/>
    <w:qFormat/>
    <w:pPr>
      <w:keepLines/>
      <w:keepNext/>
      <w:spacing w:before="320" w:after="200"/>
      <w:outlineLvl w:val="2"/>
    </w:pPr>
    <w:rPr>
      <w:rFonts w:ascii="Arial" w:hAnsi="Arial" w:eastAsia="Arial" w:cs="Arial"/>
      <w:sz w:val="30"/>
      <w:szCs w:val="30"/>
    </w:rPr>
  </w:style>
  <w:style w:type="character" w:styleId="1022">
    <w:name w:val="Heading 3 Char"/>
    <w:basedOn w:val="1193"/>
    <w:link w:val="1021"/>
    <w:uiPriority w:val="9"/>
    <w:rPr>
      <w:rFonts w:ascii="Arial" w:hAnsi="Arial" w:eastAsia="Arial" w:cs="Arial"/>
      <w:sz w:val="30"/>
      <w:szCs w:val="30"/>
    </w:rPr>
  </w:style>
  <w:style w:type="paragraph" w:styleId="1023">
    <w:name w:val="Heading 4"/>
    <w:basedOn w:val="1191"/>
    <w:next w:val="1191"/>
    <w:link w:val="1024"/>
    <w:uiPriority w:val="9"/>
    <w:unhideWhenUsed/>
    <w:qFormat/>
    <w:pPr>
      <w:keepLines/>
      <w:keepNext/>
      <w:spacing w:before="320" w:after="200"/>
      <w:outlineLvl w:val="3"/>
    </w:pPr>
    <w:rPr>
      <w:rFonts w:ascii="Arial" w:hAnsi="Arial" w:eastAsia="Arial" w:cs="Arial"/>
      <w:b/>
      <w:bCs/>
      <w:sz w:val="26"/>
      <w:szCs w:val="26"/>
    </w:rPr>
  </w:style>
  <w:style w:type="character" w:styleId="1024">
    <w:name w:val="Heading 4 Char"/>
    <w:basedOn w:val="1193"/>
    <w:link w:val="1023"/>
    <w:uiPriority w:val="9"/>
    <w:rPr>
      <w:rFonts w:ascii="Arial" w:hAnsi="Arial" w:eastAsia="Arial" w:cs="Arial"/>
      <w:b/>
      <w:bCs/>
      <w:sz w:val="26"/>
      <w:szCs w:val="26"/>
    </w:rPr>
  </w:style>
  <w:style w:type="paragraph" w:styleId="1025">
    <w:name w:val="Heading 5"/>
    <w:basedOn w:val="1191"/>
    <w:next w:val="1191"/>
    <w:link w:val="1026"/>
    <w:uiPriority w:val="9"/>
    <w:unhideWhenUsed/>
    <w:qFormat/>
    <w:pPr>
      <w:keepLines/>
      <w:keepNext/>
      <w:spacing w:before="320" w:after="200"/>
      <w:outlineLvl w:val="4"/>
    </w:pPr>
    <w:rPr>
      <w:rFonts w:ascii="Arial" w:hAnsi="Arial" w:eastAsia="Arial" w:cs="Arial"/>
      <w:b/>
      <w:bCs/>
      <w:sz w:val="24"/>
      <w:szCs w:val="24"/>
    </w:rPr>
  </w:style>
  <w:style w:type="character" w:styleId="1026">
    <w:name w:val="Heading 5 Char"/>
    <w:basedOn w:val="1193"/>
    <w:link w:val="1025"/>
    <w:uiPriority w:val="9"/>
    <w:rPr>
      <w:rFonts w:ascii="Arial" w:hAnsi="Arial" w:eastAsia="Arial" w:cs="Arial"/>
      <w:b/>
      <w:bCs/>
      <w:sz w:val="24"/>
      <w:szCs w:val="24"/>
    </w:rPr>
  </w:style>
  <w:style w:type="paragraph" w:styleId="1027">
    <w:name w:val="Heading 6"/>
    <w:basedOn w:val="1191"/>
    <w:next w:val="1191"/>
    <w:link w:val="1028"/>
    <w:uiPriority w:val="9"/>
    <w:unhideWhenUsed/>
    <w:qFormat/>
    <w:pPr>
      <w:keepLines/>
      <w:keepNext/>
      <w:spacing w:before="320" w:after="200"/>
      <w:outlineLvl w:val="5"/>
    </w:pPr>
    <w:rPr>
      <w:rFonts w:ascii="Arial" w:hAnsi="Arial" w:eastAsia="Arial" w:cs="Arial"/>
      <w:b/>
      <w:bCs/>
      <w:sz w:val="22"/>
      <w:szCs w:val="22"/>
    </w:rPr>
  </w:style>
  <w:style w:type="character" w:styleId="1028">
    <w:name w:val="Heading 6 Char"/>
    <w:basedOn w:val="1193"/>
    <w:link w:val="1027"/>
    <w:uiPriority w:val="9"/>
    <w:rPr>
      <w:rFonts w:ascii="Arial" w:hAnsi="Arial" w:eastAsia="Arial" w:cs="Arial"/>
      <w:b/>
      <w:bCs/>
      <w:sz w:val="22"/>
      <w:szCs w:val="22"/>
    </w:rPr>
  </w:style>
  <w:style w:type="paragraph" w:styleId="1029">
    <w:name w:val="Heading 7"/>
    <w:basedOn w:val="1191"/>
    <w:next w:val="1191"/>
    <w:link w:val="1030"/>
    <w:uiPriority w:val="9"/>
    <w:unhideWhenUsed/>
    <w:qFormat/>
    <w:pPr>
      <w:keepLines/>
      <w:keepNext/>
      <w:spacing w:before="320" w:after="200"/>
      <w:outlineLvl w:val="6"/>
    </w:pPr>
    <w:rPr>
      <w:rFonts w:ascii="Arial" w:hAnsi="Arial" w:eastAsia="Arial" w:cs="Arial"/>
      <w:b/>
      <w:bCs/>
      <w:i/>
      <w:iCs/>
      <w:sz w:val="22"/>
      <w:szCs w:val="22"/>
    </w:rPr>
  </w:style>
  <w:style w:type="character" w:styleId="1030">
    <w:name w:val="Heading 7 Char"/>
    <w:basedOn w:val="1193"/>
    <w:link w:val="1029"/>
    <w:uiPriority w:val="9"/>
    <w:rPr>
      <w:rFonts w:ascii="Arial" w:hAnsi="Arial" w:eastAsia="Arial" w:cs="Arial"/>
      <w:b/>
      <w:bCs/>
      <w:i/>
      <w:iCs/>
      <w:sz w:val="22"/>
      <w:szCs w:val="22"/>
    </w:rPr>
  </w:style>
  <w:style w:type="paragraph" w:styleId="1031">
    <w:name w:val="Heading 8"/>
    <w:basedOn w:val="1191"/>
    <w:next w:val="1191"/>
    <w:link w:val="1032"/>
    <w:uiPriority w:val="9"/>
    <w:unhideWhenUsed/>
    <w:qFormat/>
    <w:pPr>
      <w:keepLines/>
      <w:keepNext/>
      <w:spacing w:before="320" w:after="200"/>
      <w:outlineLvl w:val="7"/>
    </w:pPr>
    <w:rPr>
      <w:rFonts w:ascii="Arial" w:hAnsi="Arial" w:eastAsia="Arial" w:cs="Arial"/>
      <w:i/>
      <w:iCs/>
      <w:sz w:val="22"/>
      <w:szCs w:val="22"/>
    </w:rPr>
  </w:style>
  <w:style w:type="character" w:styleId="1032">
    <w:name w:val="Heading 8 Char"/>
    <w:basedOn w:val="1193"/>
    <w:link w:val="1031"/>
    <w:uiPriority w:val="9"/>
    <w:rPr>
      <w:rFonts w:ascii="Arial" w:hAnsi="Arial" w:eastAsia="Arial" w:cs="Arial"/>
      <w:i/>
      <w:iCs/>
      <w:sz w:val="22"/>
      <w:szCs w:val="22"/>
    </w:rPr>
  </w:style>
  <w:style w:type="paragraph" w:styleId="1033">
    <w:name w:val="Heading 9"/>
    <w:basedOn w:val="1191"/>
    <w:next w:val="1191"/>
    <w:link w:val="1034"/>
    <w:uiPriority w:val="9"/>
    <w:unhideWhenUsed/>
    <w:qFormat/>
    <w:pPr>
      <w:keepLines/>
      <w:keepNext/>
      <w:spacing w:before="320" w:after="200"/>
      <w:outlineLvl w:val="8"/>
    </w:pPr>
    <w:rPr>
      <w:rFonts w:ascii="Arial" w:hAnsi="Arial" w:eastAsia="Arial" w:cs="Arial"/>
      <w:i/>
      <w:iCs/>
      <w:sz w:val="21"/>
      <w:szCs w:val="21"/>
    </w:rPr>
  </w:style>
  <w:style w:type="character" w:styleId="1034">
    <w:name w:val="Heading 9 Char"/>
    <w:basedOn w:val="1193"/>
    <w:link w:val="1033"/>
    <w:uiPriority w:val="9"/>
    <w:rPr>
      <w:rFonts w:ascii="Arial" w:hAnsi="Arial" w:eastAsia="Arial" w:cs="Arial"/>
      <w:i/>
      <w:iCs/>
      <w:sz w:val="21"/>
      <w:szCs w:val="21"/>
    </w:rPr>
  </w:style>
  <w:style w:type="paragraph" w:styleId="1035">
    <w:name w:val="No Spacing"/>
    <w:uiPriority w:val="1"/>
    <w:qFormat/>
    <w:pPr>
      <w:spacing w:before="0" w:after="0" w:line="240" w:lineRule="auto"/>
    </w:pPr>
  </w:style>
  <w:style w:type="paragraph" w:styleId="1036">
    <w:name w:val="Title"/>
    <w:basedOn w:val="1191"/>
    <w:next w:val="1191"/>
    <w:link w:val="1037"/>
    <w:uiPriority w:val="10"/>
    <w:qFormat/>
    <w:pPr>
      <w:contextualSpacing/>
      <w:spacing w:before="300" w:after="200"/>
    </w:pPr>
    <w:rPr>
      <w:sz w:val="48"/>
      <w:szCs w:val="48"/>
    </w:rPr>
  </w:style>
  <w:style w:type="character" w:styleId="1037">
    <w:name w:val="Title Char"/>
    <w:basedOn w:val="1193"/>
    <w:link w:val="1036"/>
    <w:uiPriority w:val="10"/>
    <w:rPr>
      <w:sz w:val="48"/>
      <w:szCs w:val="48"/>
    </w:rPr>
  </w:style>
  <w:style w:type="paragraph" w:styleId="1038">
    <w:name w:val="Subtitle"/>
    <w:basedOn w:val="1191"/>
    <w:next w:val="1191"/>
    <w:link w:val="1039"/>
    <w:uiPriority w:val="11"/>
    <w:qFormat/>
    <w:pPr>
      <w:spacing w:before="200" w:after="200"/>
    </w:pPr>
    <w:rPr>
      <w:sz w:val="24"/>
      <w:szCs w:val="24"/>
    </w:rPr>
  </w:style>
  <w:style w:type="character" w:styleId="1039">
    <w:name w:val="Subtitle Char"/>
    <w:basedOn w:val="1193"/>
    <w:link w:val="1038"/>
    <w:uiPriority w:val="11"/>
    <w:rPr>
      <w:sz w:val="24"/>
      <w:szCs w:val="24"/>
    </w:rPr>
  </w:style>
  <w:style w:type="paragraph" w:styleId="1040">
    <w:name w:val="Quote"/>
    <w:basedOn w:val="1191"/>
    <w:next w:val="1191"/>
    <w:link w:val="1041"/>
    <w:uiPriority w:val="29"/>
    <w:qFormat/>
    <w:pPr>
      <w:ind w:left="720" w:right="720"/>
    </w:pPr>
    <w:rPr>
      <w:i/>
    </w:rPr>
  </w:style>
  <w:style w:type="character" w:styleId="1041">
    <w:name w:val="Quote Char"/>
    <w:link w:val="1040"/>
    <w:uiPriority w:val="29"/>
    <w:rPr>
      <w:i/>
    </w:rPr>
  </w:style>
  <w:style w:type="paragraph" w:styleId="1042">
    <w:name w:val="Intense Quote"/>
    <w:basedOn w:val="1191"/>
    <w:next w:val="1191"/>
    <w:link w:val="10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3">
    <w:name w:val="Intense Quote Char"/>
    <w:link w:val="1042"/>
    <w:uiPriority w:val="30"/>
    <w:rPr>
      <w:i/>
    </w:rPr>
  </w:style>
  <w:style w:type="character" w:styleId="1044">
    <w:name w:val="Header Char"/>
    <w:basedOn w:val="1193"/>
    <w:link w:val="1201"/>
    <w:uiPriority w:val="99"/>
  </w:style>
  <w:style w:type="character" w:styleId="1045">
    <w:name w:val="Footer Char"/>
    <w:basedOn w:val="1193"/>
    <w:link w:val="1200"/>
    <w:uiPriority w:val="99"/>
  </w:style>
  <w:style w:type="paragraph" w:styleId="1046">
    <w:name w:val="Caption"/>
    <w:basedOn w:val="1191"/>
    <w:next w:val="1191"/>
    <w:uiPriority w:val="35"/>
    <w:semiHidden/>
    <w:unhideWhenUsed/>
    <w:qFormat/>
    <w:pPr>
      <w:spacing w:line="276" w:lineRule="auto"/>
    </w:pPr>
    <w:rPr>
      <w:b/>
      <w:bCs/>
      <w:color w:val="4f81bd" w:themeColor="accent1"/>
      <w:sz w:val="18"/>
      <w:szCs w:val="18"/>
    </w:rPr>
  </w:style>
  <w:style w:type="character" w:styleId="1047">
    <w:name w:val="Caption Char"/>
    <w:basedOn w:val="1046"/>
    <w:link w:val="1200"/>
    <w:uiPriority w:val="99"/>
  </w:style>
  <w:style w:type="table" w:styleId="1048">
    <w:name w:val="Table Grid Light"/>
    <w:basedOn w:val="11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9">
    <w:name w:val="Plain Table 1"/>
    <w:basedOn w:val="11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0">
    <w:name w:val="Plain Table 2"/>
    <w:basedOn w:val="11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1">
    <w:name w:val="Plain Table 3"/>
    <w:basedOn w:val="11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2">
    <w:name w:val="Plain Table 4"/>
    <w:basedOn w:val="11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3">
    <w:name w:val="Plain Table 5"/>
    <w:basedOn w:val="11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4">
    <w:name w:val="Grid Table 1 Light"/>
    <w:basedOn w:val="11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5">
    <w:name w:val="Grid Table 1 Light - Accent 1"/>
    <w:basedOn w:val="11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6">
    <w:name w:val="Grid Table 1 Light - Accent 2"/>
    <w:basedOn w:val="11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7">
    <w:name w:val="Grid Table 1 Light - Accent 3"/>
    <w:basedOn w:val="11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8">
    <w:name w:val="Grid Table 1 Light - Accent 4"/>
    <w:basedOn w:val="11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9">
    <w:name w:val="Grid Table 1 Light - Accent 5"/>
    <w:basedOn w:val="11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60">
    <w:name w:val="Grid Table 1 Light - Accent 6"/>
    <w:basedOn w:val="11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61">
    <w:name w:val="Grid Table 2"/>
    <w:basedOn w:val="11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62">
    <w:name w:val="Grid Table 2 - Accent 1"/>
    <w:basedOn w:val="11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63">
    <w:name w:val="Grid Table 2 - Accent 2"/>
    <w:basedOn w:val="11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4">
    <w:name w:val="Grid Table 2 - Accent 3"/>
    <w:basedOn w:val="11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5">
    <w:name w:val="Grid Table 2 - Accent 4"/>
    <w:basedOn w:val="11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6">
    <w:name w:val="Grid Table 2 - Accent 5"/>
    <w:basedOn w:val="11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7">
    <w:name w:val="Grid Table 2 - Accent 6"/>
    <w:basedOn w:val="11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8">
    <w:name w:val="Grid Table 3"/>
    <w:basedOn w:val="11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9">
    <w:name w:val="Grid Table 3 - Accent 1"/>
    <w:basedOn w:val="11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0">
    <w:name w:val="Grid Table 3 - Accent 2"/>
    <w:basedOn w:val="11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1">
    <w:name w:val="Grid Table 3 - Accent 3"/>
    <w:basedOn w:val="11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2">
    <w:name w:val="Grid Table 3 - Accent 4"/>
    <w:basedOn w:val="11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3">
    <w:name w:val="Grid Table 3 - Accent 5"/>
    <w:basedOn w:val="11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4">
    <w:name w:val="Grid Table 3 - Accent 6"/>
    <w:basedOn w:val="11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5">
    <w:name w:val="Grid Table 4"/>
    <w:basedOn w:val="11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6">
    <w:name w:val="Grid Table 4 - Accent 1"/>
    <w:basedOn w:val="11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7">
    <w:name w:val="Grid Table 4 - Accent 2"/>
    <w:basedOn w:val="11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8">
    <w:name w:val="Grid Table 4 - Accent 3"/>
    <w:basedOn w:val="11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9">
    <w:name w:val="Grid Table 4 - Accent 4"/>
    <w:basedOn w:val="11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80">
    <w:name w:val="Grid Table 4 - Accent 5"/>
    <w:basedOn w:val="11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81">
    <w:name w:val="Grid Table 4 - Accent 6"/>
    <w:basedOn w:val="11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82">
    <w:name w:val="Grid Table 5 Dark"/>
    <w:basedOn w:val="11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3">
    <w:name w:val="Grid Table 5 Dark- Accent 1"/>
    <w:basedOn w:val="11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84">
    <w:name w:val="Grid Table 5 Dark - Accent 2"/>
    <w:basedOn w:val="11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85">
    <w:name w:val="Grid Table 5 Dark - Accent 3"/>
    <w:basedOn w:val="11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86">
    <w:name w:val="Grid Table 5 Dark- Accent 4"/>
    <w:basedOn w:val="11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87">
    <w:name w:val="Grid Table 5 Dark - Accent 5"/>
    <w:basedOn w:val="11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88">
    <w:name w:val="Grid Table 5 Dark - Accent 6"/>
    <w:basedOn w:val="11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89">
    <w:name w:val="Grid Table 6 Colorful"/>
    <w:basedOn w:val="11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90">
    <w:name w:val="Grid Table 6 Colorful - Accent 1"/>
    <w:basedOn w:val="11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91">
    <w:name w:val="Grid Table 6 Colorful - Accent 2"/>
    <w:basedOn w:val="11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92">
    <w:name w:val="Grid Table 6 Colorful - Accent 3"/>
    <w:basedOn w:val="11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93">
    <w:name w:val="Grid Table 6 Colorful - Accent 4"/>
    <w:basedOn w:val="11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94">
    <w:name w:val="Grid Table 6 Colorful - Accent 5"/>
    <w:basedOn w:val="11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95">
    <w:name w:val="Grid Table 6 Colorful - Accent 6"/>
    <w:basedOn w:val="11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96">
    <w:name w:val="Grid Table 7 Colorful"/>
    <w:basedOn w:val="11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7">
    <w:name w:val="Grid Table 7 Colorful - Accent 1"/>
    <w:basedOn w:val="11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8">
    <w:name w:val="Grid Table 7 Colorful - Accent 2"/>
    <w:basedOn w:val="11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9">
    <w:name w:val="Grid Table 7 Colorful - Accent 3"/>
    <w:basedOn w:val="11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00">
    <w:name w:val="Grid Table 7 Colorful - Accent 4"/>
    <w:basedOn w:val="11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01">
    <w:name w:val="Grid Table 7 Colorful - Accent 5"/>
    <w:basedOn w:val="11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02">
    <w:name w:val="Grid Table 7 Colorful - Accent 6"/>
    <w:basedOn w:val="11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03">
    <w:name w:val="List Table 1 Light"/>
    <w:basedOn w:val="11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4">
    <w:name w:val="List Table 1 Light - Accent 1"/>
    <w:basedOn w:val="119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5">
    <w:name w:val="List Table 1 Light - Accent 2"/>
    <w:basedOn w:val="119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6">
    <w:name w:val="List Table 1 Light - Accent 3"/>
    <w:basedOn w:val="119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7">
    <w:name w:val="List Table 1 Light - Accent 4"/>
    <w:basedOn w:val="119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8">
    <w:name w:val="List Table 1 Light - Accent 5"/>
    <w:basedOn w:val="119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9">
    <w:name w:val="List Table 1 Light - Accent 6"/>
    <w:basedOn w:val="119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0">
    <w:name w:val="List Table 2"/>
    <w:basedOn w:val="11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1">
    <w:name w:val="List Table 2 - Accent 1"/>
    <w:basedOn w:val="11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2">
    <w:name w:val="List Table 2 - Accent 2"/>
    <w:basedOn w:val="11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13">
    <w:name w:val="List Table 2 - Accent 3"/>
    <w:basedOn w:val="11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4">
    <w:name w:val="List Table 2 - Accent 4"/>
    <w:basedOn w:val="11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5">
    <w:name w:val="List Table 2 - Accent 5"/>
    <w:basedOn w:val="11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6">
    <w:name w:val="List Table 2 - Accent 6"/>
    <w:basedOn w:val="11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7">
    <w:name w:val="List Table 3"/>
    <w:basedOn w:val="11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8">
    <w:name w:val="List Table 3 - Accent 1"/>
    <w:basedOn w:val="11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19">
    <w:name w:val="List Table 3 - Accent 2"/>
    <w:basedOn w:val="11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20">
    <w:name w:val="List Table 3 - Accent 3"/>
    <w:basedOn w:val="11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21">
    <w:name w:val="List Table 3 - Accent 4"/>
    <w:basedOn w:val="11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22">
    <w:name w:val="List Table 3 - Accent 5"/>
    <w:basedOn w:val="11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23">
    <w:name w:val="List Table 3 - Accent 6"/>
    <w:basedOn w:val="11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24">
    <w:name w:val="List Table 4"/>
    <w:basedOn w:val="11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5">
    <w:name w:val="List Table 4 - Accent 1"/>
    <w:basedOn w:val="11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26">
    <w:name w:val="List Table 4 - Accent 2"/>
    <w:basedOn w:val="11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27">
    <w:name w:val="List Table 4 - Accent 3"/>
    <w:basedOn w:val="11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28">
    <w:name w:val="List Table 4 - Accent 4"/>
    <w:basedOn w:val="11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29">
    <w:name w:val="List Table 4 - Accent 5"/>
    <w:basedOn w:val="11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30">
    <w:name w:val="List Table 4 - Accent 6"/>
    <w:basedOn w:val="11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31">
    <w:name w:val="List Table 5 Dark"/>
    <w:basedOn w:val="11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2">
    <w:name w:val="List Table 5 Dark - Accent 1"/>
    <w:basedOn w:val="11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3">
    <w:name w:val="List Table 5 Dark - Accent 2"/>
    <w:basedOn w:val="11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4">
    <w:name w:val="List Table 5 Dark - Accent 3"/>
    <w:basedOn w:val="11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5">
    <w:name w:val="List Table 5 Dark - Accent 4"/>
    <w:basedOn w:val="11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6">
    <w:name w:val="List Table 5 Dark - Accent 5"/>
    <w:basedOn w:val="11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7">
    <w:name w:val="List Table 5 Dark - Accent 6"/>
    <w:basedOn w:val="11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8">
    <w:name w:val="List Table 6 Colorful"/>
    <w:basedOn w:val="11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9">
    <w:name w:val="List Table 6 Colorful - Accent 1"/>
    <w:basedOn w:val="11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40">
    <w:name w:val="List Table 6 Colorful - Accent 2"/>
    <w:basedOn w:val="11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41">
    <w:name w:val="List Table 6 Colorful - Accent 3"/>
    <w:basedOn w:val="11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42">
    <w:name w:val="List Table 6 Colorful - Accent 4"/>
    <w:basedOn w:val="11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43">
    <w:name w:val="List Table 6 Colorful - Accent 5"/>
    <w:basedOn w:val="11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44">
    <w:name w:val="List Table 6 Colorful - Accent 6"/>
    <w:basedOn w:val="11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45">
    <w:name w:val="List Table 7 Colorful"/>
    <w:basedOn w:val="11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6">
    <w:name w:val="List Table 7 Colorful - Accent 1"/>
    <w:basedOn w:val="11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47">
    <w:name w:val="List Table 7 Colorful - Accent 2"/>
    <w:basedOn w:val="11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48">
    <w:name w:val="List Table 7 Colorful - Accent 3"/>
    <w:basedOn w:val="11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49">
    <w:name w:val="List Table 7 Colorful - Accent 4"/>
    <w:basedOn w:val="11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50">
    <w:name w:val="List Table 7 Colorful - Accent 5"/>
    <w:basedOn w:val="11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51">
    <w:name w:val="List Table 7 Colorful - Accent 6"/>
    <w:basedOn w:val="11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52">
    <w:name w:val="Lined - Accent"/>
    <w:basedOn w:val="11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3">
    <w:name w:val="Lined - Accent 1"/>
    <w:basedOn w:val="11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54">
    <w:name w:val="Lined - Accent 2"/>
    <w:basedOn w:val="11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55">
    <w:name w:val="Lined - Accent 3"/>
    <w:basedOn w:val="11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56">
    <w:name w:val="Lined - Accent 4"/>
    <w:basedOn w:val="11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57">
    <w:name w:val="Lined - Accent 5"/>
    <w:basedOn w:val="11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58">
    <w:name w:val="Lined - Accent 6"/>
    <w:basedOn w:val="11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59">
    <w:name w:val="Bordered &amp; Lined - Accent"/>
    <w:basedOn w:val="11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0">
    <w:name w:val="Bordered &amp; Lined - Accent 1"/>
    <w:basedOn w:val="11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61">
    <w:name w:val="Bordered &amp; Lined - Accent 2"/>
    <w:basedOn w:val="11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62">
    <w:name w:val="Bordered &amp; Lined - Accent 3"/>
    <w:basedOn w:val="11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63">
    <w:name w:val="Bordered &amp; Lined - Accent 4"/>
    <w:basedOn w:val="11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64">
    <w:name w:val="Bordered &amp; Lined - Accent 5"/>
    <w:basedOn w:val="11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65">
    <w:name w:val="Bordered &amp; Lined - Accent 6"/>
    <w:basedOn w:val="11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66">
    <w:name w:val="Bordered"/>
    <w:basedOn w:val="11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7">
    <w:name w:val="Bordered - Accent 1"/>
    <w:basedOn w:val="11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8">
    <w:name w:val="Bordered - Accent 2"/>
    <w:basedOn w:val="11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9">
    <w:name w:val="Bordered - Accent 3"/>
    <w:basedOn w:val="11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70">
    <w:name w:val="Bordered - Accent 4"/>
    <w:basedOn w:val="11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71">
    <w:name w:val="Bordered - Accent 5"/>
    <w:basedOn w:val="11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72">
    <w:name w:val="Bordered - Accent 6"/>
    <w:basedOn w:val="11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73">
    <w:name w:val="Hyperlink"/>
    <w:uiPriority w:val="99"/>
    <w:unhideWhenUsed/>
    <w:rPr>
      <w:color w:val="0000ff" w:themeColor="hyperlink"/>
      <w:u w:val="single"/>
    </w:rPr>
  </w:style>
  <w:style w:type="paragraph" w:styleId="1174">
    <w:name w:val="footnote text"/>
    <w:basedOn w:val="1191"/>
    <w:link w:val="1175"/>
    <w:uiPriority w:val="99"/>
    <w:semiHidden/>
    <w:unhideWhenUsed/>
    <w:pPr>
      <w:spacing w:after="40" w:line="240" w:lineRule="auto"/>
    </w:pPr>
    <w:rPr>
      <w:sz w:val="18"/>
    </w:rPr>
  </w:style>
  <w:style w:type="character" w:styleId="1175">
    <w:name w:val="Footnote Text Char"/>
    <w:link w:val="1174"/>
    <w:uiPriority w:val="99"/>
    <w:rPr>
      <w:sz w:val="18"/>
    </w:rPr>
  </w:style>
  <w:style w:type="character" w:styleId="1176">
    <w:name w:val="footnote reference"/>
    <w:basedOn w:val="1193"/>
    <w:uiPriority w:val="99"/>
    <w:unhideWhenUsed/>
    <w:rPr>
      <w:vertAlign w:val="superscript"/>
    </w:rPr>
  </w:style>
  <w:style w:type="paragraph" w:styleId="1177">
    <w:name w:val="endnote text"/>
    <w:basedOn w:val="1191"/>
    <w:link w:val="1178"/>
    <w:uiPriority w:val="99"/>
    <w:semiHidden/>
    <w:unhideWhenUsed/>
    <w:pPr>
      <w:spacing w:after="0" w:line="240" w:lineRule="auto"/>
    </w:pPr>
    <w:rPr>
      <w:sz w:val="20"/>
    </w:rPr>
  </w:style>
  <w:style w:type="character" w:styleId="1178">
    <w:name w:val="Endnote Text Char"/>
    <w:link w:val="1177"/>
    <w:uiPriority w:val="99"/>
    <w:rPr>
      <w:sz w:val="20"/>
    </w:rPr>
  </w:style>
  <w:style w:type="character" w:styleId="1179">
    <w:name w:val="endnote reference"/>
    <w:basedOn w:val="1193"/>
    <w:uiPriority w:val="99"/>
    <w:semiHidden/>
    <w:unhideWhenUsed/>
    <w:rPr>
      <w:vertAlign w:val="superscript"/>
    </w:rPr>
  </w:style>
  <w:style w:type="paragraph" w:styleId="1180">
    <w:name w:val="toc 1"/>
    <w:basedOn w:val="1191"/>
    <w:next w:val="1191"/>
    <w:uiPriority w:val="39"/>
    <w:unhideWhenUsed/>
    <w:pPr>
      <w:ind w:left="0" w:right="0" w:firstLine="0"/>
      <w:spacing w:after="57"/>
    </w:pPr>
  </w:style>
  <w:style w:type="paragraph" w:styleId="1181">
    <w:name w:val="toc 2"/>
    <w:basedOn w:val="1191"/>
    <w:next w:val="1191"/>
    <w:uiPriority w:val="39"/>
    <w:unhideWhenUsed/>
    <w:pPr>
      <w:ind w:left="283" w:right="0" w:firstLine="0"/>
      <w:spacing w:after="57"/>
    </w:pPr>
  </w:style>
  <w:style w:type="paragraph" w:styleId="1182">
    <w:name w:val="toc 3"/>
    <w:basedOn w:val="1191"/>
    <w:next w:val="1191"/>
    <w:uiPriority w:val="39"/>
    <w:unhideWhenUsed/>
    <w:pPr>
      <w:ind w:left="567" w:right="0" w:firstLine="0"/>
      <w:spacing w:after="57"/>
    </w:pPr>
  </w:style>
  <w:style w:type="paragraph" w:styleId="1183">
    <w:name w:val="toc 4"/>
    <w:basedOn w:val="1191"/>
    <w:next w:val="1191"/>
    <w:uiPriority w:val="39"/>
    <w:unhideWhenUsed/>
    <w:pPr>
      <w:ind w:left="850" w:right="0" w:firstLine="0"/>
      <w:spacing w:after="57"/>
    </w:pPr>
  </w:style>
  <w:style w:type="paragraph" w:styleId="1184">
    <w:name w:val="toc 5"/>
    <w:basedOn w:val="1191"/>
    <w:next w:val="1191"/>
    <w:uiPriority w:val="39"/>
    <w:unhideWhenUsed/>
    <w:pPr>
      <w:ind w:left="1134" w:right="0" w:firstLine="0"/>
      <w:spacing w:after="57"/>
    </w:pPr>
  </w:style>
  <w:style w:type="paragraph" w:styleId="1185">
    <w:name w:val="toc 6"/>
    <w:basedOn w:val="1191"/>
    <w:next w:val="1191"/>
    <w:uiPriority w:val="39"/>
    <w:unhideWhenUsed/>
    <w:pPr>
      <w:ind w:left="1417" w:right="0" w:firstLine="0"/>
      <w:spacing w:after="57"/>
    </w:pPr>
  </w:style>
  <w:style w:type="paragraph" w:styleId="1186">
    <w:name w:val="toc 7"/>
    <w:basedOn w:val="1191"/>
    <w:next w:val="1191"/>
    <w:uiPriority w:val="39"/>
    <w:unhideWhenUsed/>
    <w:pPr>
      <w:ind w:left="1701" w:right="0" w:firstLine="0"/>
      <w:spacing w:after="57"/>
    </w:pPr>
  </w:style>
  <w:style w:type="paragraph" w:styleId="1187">
    <w:name w:val="toc 8"/>
    <w:basedOn w:val="1191"/>
    <w:next w:val="1191"/>
    <w:uiPriority w:val="39"/>
    <w:unhideWhenUsed/>
    <w:pPr>
      <w:ind w:left="1984" w:right="0" w:firstLine="0"/>
      <w:spacing w:after="57"/>
    </w:pPr>
  </w:style>
  <w:style w:type="paragraph" w:styleId="1188">
    <w:name w:val="toc 9"/>
    <w:basedOn w:val="1191"/>
    <w:next w:val="1191"/>
    <w:uiPriority w:val="39"/>
    <w:unhideWhenUsed/>
    <w:pPr>
      <w:ind w:left="2268" w:right="0" w:firstLine="0"/>
      <w:spacing w:after="57"/>
    </w:pPr>
  </w:style>
  <w:style w:type="paragraph" w:styleId="1189">
    <w:name w:val="TOC Heading"/>
    <w:uiPriority w:val="39"/>
    <w:unhideWhenUsed/>
  </w:style>
  <w:style w:type="paragraph" w:styleId="1190">
    <w:name w:val="table of figures"/>
    <w:basedOn w:val="1191"/>
    <w:next w:val="1191"/>
    <w:uiPriority w:val="99"/>
    <w:unhideWhenUsed/>
    <w:pPr>
      <w:spacing w:after="0" w:afterAutospacing="0"/>
    </w:pPr>
  </w:style>
  <w:style w:type="paragraph" w:styleId="1191" w:default="1">
    <w:name w:val="Normal"/>
    <w:link w:val="1221"/>
    <w:uiPriority w:val="0"/>
    <w:qFormat/>
    <w:pPr>
      <w:jc w:val="both"/>
      <w:widowControl w:val="off"/>
    </w:pPr>
    <w:rPr>
      <w:rFonts w:hint="default" w:ascii="等线" w:hAnsi="等线" w:eastAsia="等线" w:cs="Times New Roman"/>
      <w:sz w:val="21"/>
      <w:szCs w:val="22"/>
      <w:lang w:val="en-US" w:eastAsia="zh-CN" w:bidi="ar-SA"/>
    </w:rPr>
  </w:style>
  <w:style w:type="paragraph" w:styleId="1192">
    <w:name w:val="Heading 2"/>
    <w:basedOn w:val="1191"/>
    <w:next w:val="1191"/>
    <w:uiPriority w:val="9"/>
    <w:unhideWhenUsed/>
    <w:qFormat/>
    <w:pPr>
      <w:keepLines/>
      <w:keepNext/>
      <w:spacing w:before="360" w:after="200"/>
      <w:outlineLvl w:val="1"/>
    </w:pPr>
    <w:rPr>
      <w:rFonts w:ascii="Arial" w:hAnsi="Arial" w:eastAsia="Arial" w:cs="Arial"/>
      <w:sz w:val="34"/>
    </w:rPr>
  </w:style>
  <w:style w:type="character" w:styleId="1193" w:default="1">
    <w:name w:val="Default Paragraph Font"/>
    <w:uiPriority w:val="0"/>
    <w:semiHidden/>
    <w:qFormat/>
  </w:style>
  <w:style w:type="table" w:styleId="1194" w:default="1">
    <w:name w:val="Normal Table"/>
    <w:uiPriority w:val="0"/>
    <w:semiHidden/>
    <w:qFormat/>
    <w:tblPr>
      <w:tblCellMar>
        <w:left w:w="108" w:type="dxa"/>
        <w:top w:w="0" w:type="dxa"/>
        <w:right w:w="108" w:type="dxa"/>
        <w:bottom w:w="0" w:type="dxa"/>
      </w:tblCellMar>
    </w:tblPr>
  </w:style>
  <w:style w:type="paragraph" w:styleId="1195">
    <w:name w:val="Body Text"/>
    <w:basedOn w:val="1191"/>
    <w:next w:val="1191"/>
    <w:uiPriority w:val="0"/>
    <w:semiHidden/>
    <w:qFormat/>
    <w:rPr>
      <w:rFonts w:ascii="宋体" w:hAnsi="宋体" w:eastAsia="宋体" w:cs="宋体"/>
      <w:sz w:val="24"/>
      <w:szCs w:val="24"/>
      <w:lang w:eastAsia="en-US"/>
    </w:rPr>
  </w:style>
  <w:style w:type="paragraph" w:styleId="1196">
    <w:name w:val="Body Text Indent"/>
    <w:basedOn w:val="1191"/>
    <w:next w:val="1197"/>
    <w:uiPriority w:val="0"/>
    <w:qFormat/>
    <w:pPr>
      <w:ind w:firstLine="540"/>
      <w:spacing w:line="360" w:lineRule="auto"/>
      <w:widowControl/>
    </w:pPr>
    <w:rPr>
      <w:rFonts w:ascii="宋体" w:hAnsi="MS Sans Serif"/>
      <w:spacing w:val="12"/>
      <w:sz w:val="24"/>
    </w:rPr>
  </w:style>
  <w:style w:type="paragraph" w:styleId="1197">
    <w:name w:val="envelope return"/>
    <w:basedOn w:val="1191"/>
    <w:uiPriority w:val="0"/>
    <w:qFormat/>
    <w:rPr>
      <w:rFonts w:ascii="Arial" w:hAnsi="Arial"/>
    </w:rPr>
  </w:style>
  <w:style w:type="paragraph" w:styleId="1198">
    <w:name w:val="index 4"/>
    <w:basedOn w:val="1191"/>
    <w:next w:val="1191"/>
    <w:uiPriority w:val="99"/>
    <w:qFormat/>
    <w:pPr>
      <w:ind w:left="600"/>
    </w:pPr>
    <w:rPr>
      <w:szCs w:val="24"/>
    </w:rPr>
  </w:style>
  <w:style w:type="paragraph" w:styleId="1199">
    <w:name w:val="Plain Text"/>
    <w:basedOn w:val="1191"/>
    <w:uiPriority w:val="0"/>
    <w:qFormat/>
    <w:rPr>
      <w:rFonts w:ascii="宋体" w:hAnsi="Courier New" w:cs="Courier New"/>
      <w:szCs w:val="21"/>
    </w:rPr>
  </w:style>
  <w:style w:type="paragraph" w:styleId="1200">
    <w:name w:val="Footer"/>
    <w:basedOn w:val="1191"/>
    <w:next w:val="1191"/>
    <w:uiPriority w:val="99"/>
    <w:unhideWhenUsed/>
    <w:qFormat/>
    <w:pPr>
      <w:tabs>
        <w:tab w:val="center" w:pos="7143" w:leader="none"/>
        <w:tab w:val="right" w:pos="14287" w:leader="none"/>
      </w:tabs>
    </w:pPr>
  </w:style>
  <w:style w:type="paragraph" w:styleId="1201">
    <w:name w:val="Header"/>
    <w:basedOn w:val="1191"/>
    <w:uiPriority w:val="99"/>
    <w:unhideWhenUsed/>
    <w:qFormat/>
    <w:pPr>
      <w:tabs>
        <w:tab w:val="center" w:pos="7143" w:leader="none"/>
        <w:tab w:val="right" w:pos="14287" w:leader="none"/>
      </w:tabs>
    </w:pPr>
  </w:style>
  <w:style w:type="table" w:styleId="12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03">
    <w:name w:val="annotation reference"/>
    <w:basedOn w:val="1193"/>
    <w:uiPriority w:val="99"/>
    <w:semiHidden/>
    <w:unhideWhenUsed/>
    <w:qFormat/>
    <w:rPr>
      <w:sz w:val="21"/>
      <w:szCs w:val="21"/>
    </w:rPr>
  </w:style>
  <w:style w:type="paragraph" w:styleId="1204" w:customStyle="1">
    <w:name w:val="索引 41"/>
    <w:basedOn w:val="1191"/>
    <w:next w:val="1191"/>
    <w:uiPriority w:val="99"/>
    <w:qFormat/>
    <w:pPr>
      <w:ind w:left="600"/>
    </w:pPr>
    <w:rPr>
      <w:rFonts w:ascii="Times New Roman" w:hAnsi="Times New Roman" w:eastAsia="宋体"/>
      <w:szCs w:val="24"/>
    </w:rPr>
  </w:style>
  <w:style w:type="paragraph" w:styleId="1205" w:customStyle="1">
    <w:name w:val="正文文本1"/>
    <w:basedOn w:val="1191"/>
    <w:next w:val="1206"/>
    <w:uiPriority w:val="0"/>
    <w:qFormat/>
    <w:rPr>
      <w:rFonts w:ascii="华文中宋" w:hAnsi="Times New Roman" w:eastAsia="华文中宋"/>
      <w:bCs/>
      <w:sz w:val="28"/>
      <w:szCs w:val="20"/>
    </w:rPr>
  </w:style>
  <w:style w:type="paragraph" w:styleId="1206" w:customStyle="1">
    <w:name w:val="正文首行缩进1"/>
    <w:basedOn w:val="1205"/>
    <w:link w:val="1211"/>
    <w:uiPriority w:val="99"/>
    <w:unhideWhenUsed/>
    <w:qFormat/>
    <w:pPr>
      <w:ind w:firstLine="420"/>
      <w:spacing w:after="120"/>
    </w:pPr>
    <w:rPr>
      <w:rFonts w:ascii="等线" w:hAnsi="等线" w:eastAsia="等线"/>
      <w:bCs w:val="0"/>
      <w:sz w:val="21"/>
      <w:szCs w:val="22"/>
    </w:rPr>
  </w:style>
  <w:style w:type="paragraph" w:styleId="1207" w:customStyle="1">
    <w:name w:val="纯文本1"/>
    <w:basedOn w:val="1191"/>
    <w:next w:val="1208"/>
    <w:uiPriority w:val="0"/>
    <w:qFormat/>
    <w:rPr>
      <w:rFonts w:ascii="宋体" w:hAnsi="Courier New" w:eastAsia="宋体"/>
      <w:szCs w:val="20"/>
    </w:rPr>
  </w:style>
  <w:style w:type="paragraph" w:styleId="1208" w:customStyle="1">
    <w:name w:val="目录 21"/>
    <w:basedOn w:val="1191"/>
    <w:next w:val="1191"/>
    <w:uiPriority w:val="39"/>
    <w:unhideWhenUsed/>
    <w:qFormat/>
    <w:pPr>
      <w:ind w:left="420"/>
    </w:pPr>
  </w:style>
  <w:style w:type="character" w:styleId="1209" w:customStyle="1">
    <w:name w:val="已访问的超链接1"/>
    <w:uiPriority w:val="99"/>
    <w:qFormat/>
    <w:rPr>
      <w:color w:val="000000"/>
      <w:u w:val="none"/>
    </w:rPr>
  </w:style>
  <w:style w:type="paragraph" w:styleId="1210" w:customStyle="1">
    <w:name w:val="目录 11"/>
    <w:basedOn w:val="1191"/>
    <w:next w:val="1191"/>
    <w:uiPriority w:val="39"/>
    <w:qFormat/>
    <w:pPr>
      <w:jc w:val="center"/>
      <w:spacing w:before="120" w:after="120"/>
      <w:tabs>
        <w:tab w:val="right" w:pos="9170" w:leader="dot"/>
      </w:tabs>
    </w:pPr>
    <w:rPr>
      <w:rFonts w:eastAsia="文鼎小标宋简"/>
      <w:caps/>
      <w:sz w:val="32"/>
      <w:szCs w:val="32"/>
    </w:rPr>
  </w:style>
  <w:style w:type="character" w:styleId="1211" w:customStyle="1">
    <w:name w:val="正文首行缩进 Char"/>
    <w:link w:val="1206"/>
    <w:uiPriority w:val="99"/>
    <w:semiHidden/>
    <w:qFormat/>
    <w:rPr>
      <w:rFonts w:ascii="等线" w:hAnsi="等线" w:eastAsia="等线"/>
      <w:sz w:val="21"/>
      <w:szCs w:val="22"/>
    </w:rPr>
  </w:style>
  <w:style w:type="paragraph" w:styleId="1212" w:customStyle="1">
    <w:name w:val="列出段落1"/>
    <w:basedOn w:val="1191"/>
    <w:uiPriority w:val="0"/>
    <w:qFormat/>
    <w:pPr>
      <w:ind w:firstLine="420"/>
    </w:pPr>
    <w:rPr>
      <w:rFonts w:ascii="Calibri" w:hAnsi="Calibri" w:eastAsia="宋体"/>
    </w:rPr>
  </w:style>
  <w:style w:type="paragraph" w:styleId="1213" w:customStyle="1">
    <w:name w:val="标题 11"/>
    <w:basedOn w:val="1191"/>
    <w:next w:val="1191"/>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214" w:customStyle="1">
    <w:name w:val="TOC Heading1"/>
    <w:next w:val="1191"/>
    <w:uiPriority w:val="0"/>
    <w:qFormat/>
    <w:rPr>
      <w:rFonts w:hint="default" w:ascii="Times New Roman" w:hAnsi="Times New Roman" w:eastAsia="宋体" w:cs="Times New Roman"/>
      <w:sz w:val="32"/>
      <w:lang w:val="en-US" w:eastAsia="zh-CN" w:bidi="ar-SA"/>
    </w:rPr>
  </w:style>
  <w:style w:type="paragraph" w:styleId="1215" w:customStyle="1">
    <w:name w:val="标题 41"/>
    <w:basedOn w:val="1191"/>
    <w:next w:val="1216"/>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16" w:customStyle="1">
    <w:name w:val="正文缩进1"/>
    <w:basedOn w:val="1191"/>
    <w:next w:val="1191"/>
    <w:uiPriority w:val="0"/>
    <w:qFormat/>
    <w:pPr>
      <w:ind w:firstLine="420"/>
    </w:pPr>
    <w:rPr>
      <w:rFonts w:ascii="Times New Roman" w:hAnsi="Times New Roman" w:eastAsia="宋体"/>
      <w:szCs w:val="20"/>
    </w:rPr>
  </w:style>
  <w:style w:type="character" w:styleId="1217" w:customStyle="1">
    <w:name w:val="NormalCharacter"/>
    <w:uiPriority w:val="0"/>
    <w:qFormat/>
  </w:style>
  <w:style w:type="paragraph" w:styleId="1218" w:customStyle="1">
    <w:name w:val="Heading 2"/>
    <w:next w:val="1191"/>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21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20" w:customStyle="1">
    <w:name w:val="普通正文"/>
    <w:basedOn w:val="1191"/>
    <w:uiPriority w:val="0"/>
    <w:qFormat/>
    <w:pPr>
      <w:ind w:firstLine="480"/>
      <w:jc w:val="left"/>
      <w:spacing w:before="120" w:after="120" w:line="360" w:lineRule="auto"/>
    </w:pPr>
    <w:rPr>
      <w:rFonts w:ascii="Arial" w:hAnsi="Arial"/>
      <w:sz w:val="24"/>
      <w:szCs w:val="24"/>
    </w:rPr>
  </w:style>
  <w:style w:type="character" w:styleId="1221" w:customStyle="1">
    <w:name w:val="HTML 打字机1"/>
    <w:link w:val="1191"/>
    <w:uiPriority w:val="0"/>
    <w:qFormat/>
    <w:rPr>
      <w:rFonts w:hint="default" w:ascii="等线" w:hAnsi="等线" w:eastAsia="等线" w:cs="Times New Roman"/>
      <w:sz w:val="21"/>
      <w:szCs w:val="22"/>
      <w:lang w:val="en-US" w:eastAsia="zh-CN" w:bidi="ar-SA"/>
    </w:rPr>
  </w:style>
  <w:style w:type="paragraph" w:styleId="1222" w:customStyle="1">
    <w:name w:val="页眉1"/>
    <w:basedOn w:val="119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23" w:customStyle="1">
    <w:name w:val="标题 31"/>
    <w:basedOn w:val="1191"/>
    <w:next w:val="119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1224" w:customStyle="1">
    <w:name w:val="标题 21"/>
    <w:basedOn w:val="1191"/>
    <w:next w:val="1191"/>
    <w:uiPriority w:val="9"/>
    <w:qFormat/>
    <w:pPr>
      <w:keepLines/>
      <w:keepNext/>
      <w:spacing w:before="260" w:after="260" w:line="413" w:lineRule="auto"/>
      <w:outlineLvl w:val="1"/>
    </w:pPr>
    <w:rPr>
      <w:rFonts w:ascii="Arial" w:hAnsi="Arial" w:eastAsia="黑体"/>
      <w:b/>
      <w:bCs/>
      <w:sz w:val="32"/>
      <w:szCs w:val="32"/>
    </w:rPr>
  </w:style>
  <w:style w:type="paragraph" w:styleId="1225" w:customStyle="1">
    <w:name w:val="页脚1"/>
    <w:basedOn w:val="1191"/>
    <w:next w:val="1214"/>
    <w:uiPriority w:val="99"/>
    <w:unhideWhenUsed/>
    <w:qFormat/>
    <w:pPr>
      <w:jc w:val="left"/>
      <w:tabs>
        <w:tab w:val="center" w:pos="4153" w:leader="none"/>
        <w:tab w:val="right" w:pos="8306" w:leader="none"/>
      </w:tabs>
    </w:pPr>
    <w:rPr>
      <w:sz w:val="18"/>
      <w:szCs w:val="18"/>
    </w:rPr>
  </w:style>
  <w:style w:type="paragraph" w:styleId="1226" w:customStyle="1">
    <w:name w:val="02-标书-标题2"/>
    <w:uiPriority w:val="0"/>
    <w:qFormat/>
    <w:pPr>
      <w:numPr>
        <w:ilvl w:val="1"/>
        <w:numId w:val="1"/>
      </w:numPr>
      <w:spacing w:line="360" w:lineRule="auto"/>
      <w:outlineLvl w:val="1"/>
    </w:pPr>
    <w:rPr>
      <w:rFonts w:ascii="黑体" w:hAnsi="宋体" w:eastAsia="黑体" w:cs="Calibri"/>
      <w:sz w:val="32"/>
      <w:szCs w:val="28"/>
      <w:lang w:val="en-US" w:eastAsia="zh-CN" w:bidi="ar-SA"/>
    </w:rPr>
  </w:style>
  <w:style w:type="paragraph" w:styleId="1227">
    <w:name w:val="List Paragraph"/>
    <w:basedOn w:val="1191"/>
    <w:uiPriority w:val="0"/>
    <w:qFormat/>
    <w:pPr>
      <w:ind w:firstLine="420"/>
    </w:pPr>
    <w:rPr>
      <w:rFonts w:ascii="Times New Roman" w:hAnsi="Times New Roman" w:eastAsia="宋体"/>
      <w:szCs w:val="21"/>
    </w:rPr>
  </w:style>
  <w:style w:type="numbering" w:styleId="12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2</cp:revision>
  <dcterms:created xsi:type="dcterms:W3CDTF">2026-06-24T08:16:00Z</dcterms:created>
  <dcterms:modified xsi:type="dcterms:W3CDTF">2026-08-20T07:39:21Z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eyJoZGlkIjoiZGUyYTY1ZjhiZjc3ZTYzZWRkMjI3NWI3NzU4OTNkOTkiLCJ1c2VySWQiOiIxMzc5NjEyNDY0In0=</vt:lpwstr>
  </property>
  <property fmtid="{D5CDD505-2E9C-101B-9397-08002B2CF9AE}" pid="4" name="ICV">
    <vt:lpwstr>6F36A4446A2845118C99120C94DE4F16_12</vt:lpwstr>
  </property>
</Properties>
</file>