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50"/>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50"/>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50"/>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tbl>
      <w:tblPr>
        <w:tblStyle w:val="739"/>
        <w:tblpPr w:horzAnchor="page" w:tblpX="1700" w:vertAnchor="text" w:tblpY="83"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2026年度物证检验鉴定消耗性器材（专门面向中小企业）</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JSZC-320700-XHZX-G2026-0029</w:t>
            </w:r>
            <w:r/>
          </w:p>
        </w:tc>
      </w:tr>
    </w:tbl>
    <w:p>
      <w:pPr>
        <w:pStyle w:val="7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9"/>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连云港市公安局</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eastAsia="zh-CN"/>
              </w:rPr>
              <w:t xml:space="preserve">江苏协鸿工程咨询有限公司</w:t>
            </w:r>
            <w:r/>
          </w:p>
        </w:tc>
      </w:tr>
    </w:tbl>
    <w:p>
      <w:pPr>
        <w:pStyle w:val="75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8</w:t>
      </w:r>
      <w:r>
        <w:rPr>
          <w:rFonts w:hint="eastAsia" w:ascii="宋体" w:hAnsi="宋体" w:eastAsia="宋体" w:cs="宋体"/>
          <w:b/>
          <w:bCs/>
          <w:color w:val="auto"/>
          <w:sz w:val="32"/>
          <w:highlight w:val="none"/>
        </w:rPr>
        <w:t xml:space="preserve">月</w:t>
      </w:r>
      <w:r/>
    </w:p>
    <w:p>
      <w:pPr>
        <w:pStyle w:val="750"/>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bookmarkStart w:id="1" w:name="_Toc416"/>
      <w:r>
        <w:rPr>
          <w:rFonts w:hint="eastAsia" w:ascii="宋体" w:hAnsi="宋体" w:eastAsia="宋体" w:cs="宋体"/>
          <w:bCs/>
          <w:color w:val="auto"/>
          <w:sz w:val="44"/>
          <w:szCs w:val="44"/>
          <w:highlight w:val="none"/>
        </w:rPr>
        <w:t xml:space="preserve">目  录</w:t>
      </w:r>
      <w:bookmarkEnd w:id="0"/>
      <w:r/>
      <w:bookmarkEnd w:id="1"/>
      <w:r/>
      <w:r/>
    </w:p>
    <w:p>
      <w:pPr>
        <w:pStyle w:val="757"/>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75"/>
        <w:rPr>
          <w:rFonts w:hint="eastAsia" w:ascii="华文楷体" w:hAnsi="华文楷体" w:eastAsia="华文楷体" w:cs="华文楷体"/>
          <w:color w:val="auto"/>
          <w:sz w:val="22"/>
          <w:szCs w:val="21"/>
          <w:highlight w:val="none"/>
          <w:lang w:val="en-US" w:eastAsia="zh-CN" w:bidi="ar-SA"/>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_Toc416 </w:instrText>
      </w:r>
      <w:r>
        <w:rPr>
          <w:rFonts w:hint="eastAsia"/>
          <w:highlight w:val="none"/>
        </w:rPr>
        <w:fldChar w:fldCharType="separate"/>
      </w:r>
      <w:r>
        <w:rPr>
          <w:rFonts w:hint="eastAsia" w:ascii="宋体" w:hAnsi="宋体" w:eastAsia="宋体" w:cs="宋体"/>
          <w:bCs/>
          <w:szCs w:val="44"/>
          <w:highlight w:val="none"/>
        </w:rPr>
        <w:t xml:space="preserve">目  录</w:t>
      </w:r>
      <w:r>
        <w:tab/>
      </w:r>
      <w:r>
        <w:fldChar w:fldCharType="begin"/>
      </w:r>
      <w:r>
        <w:instrText xml:space="preserve"> PAGEREF _Toc416 \h </w:instrText>
      </w:r>
      <w:r>
        <w:fldChar w:fldCharType="separate"/>
      </w:r>
      <w:r>
        <w:t xml:space="preserve">2</w:t>
      </w:r>
      <w:r>
        <w:fldChar w:fldCharType="end"/>
      </w:r>
      <w:r>
        <w:rPr>
          <w:rFonts w:hint="eastAsia"/>
          <w:color w:val="auto"/>
          <w:highlight w:val="none"/>
        </w:rPr>
        <w:fldChar w:fldCharType="end"/>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_Toc22732 </w:instrText>
      </w:r>
      <w:r>
        <w:rPr>
          <w:rFonts w:hint="eastAsia"/>
          <w:highlight w:val="none"/>
        </w:rPr>
        <w:fldChar w:fldCharType="separate"/>
      </w:r>
      <w:r>
        <w:rPr>
          <w:rFonts w:hint="eastAsia" w:ascii="宋体" w:hAnsi="宋体" w:eastAsia="宋体" w:cs="宋体"/>
          <w:highlight w:val="none"/>
        </w:rPr>
        <w:t xml:space="preserve">第一章  投标邀请</w:t>
      </w:r>
      <w:r>
        <w:tab/>
      </w:r>
      <w:r>
        <w:fldChar w:fldCharType="begin"/>
      </w:r>
      <w:r>
        <w:instrText xml:space="preserve"> PAGEREF _Toc22732 \h </w:instrText>
      </w:r>
      <w:r>
        <w:fldChar w:fldCharType="separate"/>
      </w:r>
      <w:r>
        <w:t xml:space="preserve">3</w:t>
      </w:r>
      <w:r>
        <w:fldChar w:fldCharType="end"/>
      </w:r>
      <w:r>
        <w:rPr>
          <w:rFonts w:hint="eastAsia"/>
          <w:color w:val="auto"/>
          <w:highlight w:val="none"/>
        </w:rPr>
        <w:fldChar w:fldCharType="end"/>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_Toc21760 </w:instrText>
      </w:r>
      <w:r>
        <w:rPr>
          <w:rFonts w:hint="eastAsia"/>
          <w:highlight w:val="none"/>
        </w:rPr>
        <w:fldChar w:fldCharType="separate"/>
      </w:r>
      <w:r>
        <w:rPr>
          <w:rFonts w:hint="eastAsia" w:ascii="宋体" w:hAnsi="宋体" w:eastAsia="宋体" w:cs="宋体"/>
          <w:highlight w:val="none"/>
          <w:lang w:val="en-US" w:eastAsia="zh-CN"/>
        </w:rPr>
        <w:t xml:space="preserve">第二章  供应商须知</w:t>
      </w:r>
      <w:r>
        <w:tab/>
      </w:r>
      <w:r>
        <w:fldChar w:fldCharType="begin"/>
      </w:r>
      <w:r>
        <w:instrText xml:space="preserve"> PAGEREF _Toc21760 \h </w:instrText>
      </w:r>
      <w:r>
        <w:fldChar w:fldCharType="separate"/>
      </w:r>
      <w:r>
        <w:t xml:space="preserve">7</w:t>
      </w:r>
      <w:r>
        <w:fldChar w:fldCharType="end"/>
      </w:r>
      <w:r>
        <w:rPr>
          <w:rFonts w:hint="eastAsia"/>
          <w:color w:val="auto"/>
          <w:highlight w:val="none"/>
        </w:rPr>
        <w:fldChar w:fldCharType="end"/>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_Toc24551 </w:instrText>
      </w:r>
      <w:r>
        <w:rPr>
          <w:rFonts w:hint="eastAsia"/>
          <w:highlight w:val="none"/>
        </w:rPr>
        <w:fldChar w:fldCharType="separate"/>
      </w:r>
      <w:r>
        <w:rPr>
          <w:rFonts w:hint="eastAsia" w:ascii="宋体" w:hAnsi="宋体" w:eastAsia="宋体" w:cs="宋体"/>
          <w:highlight w:val="none"/>
          <w:lang w:val="en-US" w:eastAsia="zh-CN"/>
        </w:rPr>
        <w:t xml:space="preserve">第三章  合同文本</w:t>
      </w:r>
      <w:r>
        <w:tab/>
      </w:r>
      <w:r>
        <w:fldChar w:fldCharType="begin"/>
      </w:r>
      <w:r>
        <w:instrText xml:space="preserve"> PAGEREF _Toc24551 \h </w:instrText>
      </w:r>
      <w:r>
        <w:fldChar w:fldCharType="separate"/>
      </w:r>
      <w:r>
        <w:t xml:space="preserve">24</w:t>
      </w:r>
      <w:r>
        <w:fldChar w:fldCharType="end"/>
      </w:r>
      <w:r>
        <w:rPr>
          <w:rFonts w:hint="eastAsia"/>
          <w:color w:val="auto"/>
          <w:highlight w:val="none"/>
        </w:rPr>
        <w:fldChar w:fldCharType="end"/>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_Toc29335 </w:instrText>
      </w:r>
      <w:r>
        <w:rPr>
          <w:rFonts w:hint="eastAsia"/>
          <w:highlight w:val="none"/>
        </w:rPr>
        <w:fldChar w:fldCharType="separate"/>
      </w:r>
      <w:r>
        <w:rPr>
          <w:rFonts w:hint="eastAsia" w:ascii="宋体" w:hAnsi="宋体" w:eastAsia="宋体" w:cs="宋体"/>
          <w:highlight w:val="none"/>
        </w:rPr>
        <w:t xml:space="preserve">第四章  采购需求</w:t>
      </w:r>
      <w:r>
        <w:tab/>
      </w:r>
      <w:r>
        <w:fldChar w:fldCharType="begin"/>
      </w:r>
      <w:r>
        <w:instrText xml:space="preserve"> PAGEREF _Toc29335 \h </w:instrText>
      </w:r>
      <w:r>
        <w:fldChar w:fldCharType="separate"/>
      </w:r>
      <w:r>
        <w:t xml:space="preserve">39</w:t>
      </w:r>
      <w:r>
        <w:fldChar w:fldCharType="end"/>
      </w:r>
      <w:r>
        <w:rPr>
          <w:rFonts w:hint="eastAsia"/>
          <w:color w:val="auto"/>
          <w:highlight w:val="none"/>
        </w:rPr>
        <w:fldChar w:fldCharType="end"/>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_Toc19082 </w:instrText>
      </w:r>
      <w:r>
        <w:rPr>
          <w:rFonts w:hint="eastAsia"/>
          <w:highlight w:val="none"/>
        </w:rPr>
        <w:fldChar w:fldCharType="separate"/>
      </w:r>
      <w:r>
        <w:rPr>
          <w:rFonts w:hint="eastAsia" w:ascii="宋体" w:hAnsi="宋体" w:eastAsia="宋体" w:cs="宋体"/>
          <w:highlight w:val="none"/>
        </w:rPr>
        <w:t xml:space="preserve">第五章  评标方法与评标标准</w:t>
      </w:r>
      <w:r>
        <w:tab/>
      </w:r>
      <w:r>
        <w:fldChar w:fldCharType="begin"/>
      </w:r>
      <w:r>
        <w:instrText xml:space="preserve"> PAGEREF _Toc19082 \h </w:instrText>
      </w:r>
      <w:r>
        <w:fldChar w:fldCharType="separate"/>
      </w:r>
      <w:r>
        <w:t xml:space="preserve">52</w:t>
      </w:r>
      <w:r>
        <w:fldChar w:fldCharType="end"/>
      </w:r>
      <w:r>
        <w:rPr>
          <w:rFonts w:hint="eastAsia"/>
          <w:color w:val="auto"/>
          <w:highlight w:val="none"/>
        </w:rPr>
        <w:fldChar w:fldCharType="end"/>
      </w:r>
      <w:r/>
    </w:p>
    <w:p>
      <w:pPr>
        <w:pStyle w:val="757"/>
        <w:tabs>
          <w:tab w:val="clear" w:pos="9628" w:leader="none"/>
          <w:tab w:val="right" w:pos="9637" w:leader="dot"/>
        </w:tabs>
      </w:pPr>
      <w:r>
        <w:rPr>
          <w:rFonts w:hint="eastAsia"/>
          <w:color w:val="auto"/>
          <w:highlight w:val="none"/>
        </w:rPr>
        <w:fldChar w:fldCharType="begin"/>
      </w:r>
      <w:r>
        <w:rPr>
          <w:rFonts w:hint="eastAsia"/>
          <w:highlight w:val="none"/>
        </w:rPr>
        <w:instrText xml:space="preserve"> HYPERLINK \l _Toc21532 </w:instrText>
      </w:r>
      <w:r>
        <w:rPr>
          <w:rFonts w:hint="eastAsia"/>
          <w:highlight w:val="none"/>
        </w:rPr>
        <w:fldChar w:fldCharType="separate"/>
      </w:r>
      <w:r>
        <w:rPr>
          <w:rFonts w:hint="eastAsia" w:ascii="宋体" w:hAnsi="宋体" w:eastAsia="宋体" w:cs="宋体"/>
          <w:highlight w:val="none"/>
          <w:lang w:val="en-US" w:eastAsia="zh-CN"/>
        </w:rPr>
        <w:t xml:space="preserve">第六章  投标文件格式</w:t>
      </w:r>
      <w:r>
        <w:tab/>
      </w:r>
      <w:r>
        <w:fldChar w:fldCharType="begin"/>
      </w:r>
      <w:r>
        <w:instrText xml:space="preserve"> PAGEREF _Toc21532 \h </w:instrText>
      </w:r>
      <w:r>
        <w:fldChar w:fldCharType="separate"/>
      </w:r>
      <w:r>
        <w:t xml:space="preserve">58</w:t>
      </w:r>
      <w:r>
        <w:fldChar w:fldCharType="end"/>
      </w:r>
      <w:r>
        <w:rPr>
          <w:rFonts w:hint="eastAsia"/>
          <w:color w:val="auto"/>
          <w:highlight w:val="none"/>
        </w:rPr>
        <w:fldChar w:fldCharType="end"/>
      </w:r>
      <w:r/>
    </w:p>
    <w:p>
      <w:pPr>
        <w:jc w:val="left"/>
        <w:spacing w:line="360" w:lineRule="auto"/>
        <w:widowControl/>
        <w:rPr>
          <w:rFonts w:hint="eastAsia"/>
          <w:color w:val="auto"/>
          <w:highlight w:val="none"/>
        </w:rPr>
      </w:pPr>
      <w:r>
        <w:rPr>
          <w:rFonts w:hint="eastAsia"/>
          <w:color w:val="auto"/>
          <w:highlight w:val="none"/>
        </w:rPr>
        <w:fldChar w:fldCharType="end"/>
      </w:r>
      <w:r/>
    </w:p>
    <w:p>
      <w:pPr>
        <w:pStyle w:val="775"/>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729"/>
        <w:jc w:val="center"/>
        <w:spacing w:line="360" w:lineRule="auto"/>
        <w:rPr>
          <w:rFonts w:hint="eastAsia" w:ascii="宋体" w:hAnsi="宋体" w:eastAsia="宋体" w:cs="宋体"/>
          <w:b w:val="0"/>
          <w:color w:val="auto"/>
          <w:highlight w:val="none"/>
        </w:rPr>
      </w:pPr>
      <w:r/>
      <w:bookmarkStart w:id="2" w:name="_Toc22732"/>
      <w:r/>
      <w:bookmarkStart w:id="3" w:name="_Toc162361610"/>
      <w:r>
        <w:rPr>
          <w:rFonts w:hint="eastAsia" w:ascii="宋体" w:hAnsi="宋体" w:eastAsia="宋体" w:cs="宋体"/>
          <w:b w:val="0"/>
          <w:color w:val="auto"/>
          <w:highlight w:val="none"/>
        </w:rPr>
        <w:t xml:space="preserve">第一章  投标邀请</w:t>
      </w:r>
      <w:bookmarkEnd w:id="2"/>
      <w:r/>
      <w:bookmarkEnd w:id="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江苏协鸿工程咨询有限公司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JSZC-320700-XHZX-G2026-0029</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76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w:t>
            </w:r>
            <w:r>
              <w:rPr>
                <w:rFonts w:hint="eastAsia" w:ascii="宋体" w:hAnsi="宋体" w:eastAsia="宋体" w:cs="宋体"/>
                <w:b/>
                <w:color w:val="auto"/>
                <w:sz w:val="24"/>
                <w:szCs w:val="24"/>
                <w:highlight w:val="none"/>
                <w:u w:val="single"/>
              </w:rPr>
              <w:t xml:space="preserve">年</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月22</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73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JSZC-320700-XHZX-G2026-0029</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2026年度物证检验鉴定消耗性器材（专门面向中小企业）</w:t>
      </w:r>
      <w:r/>
    </w:p>
    <w:p>
      <w:pPr>
        <w:ind w:firstLine="482"/>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w:t>
      </w:r>
      <w:r>
        <w:rPr>
          <w:rFonts w:hint="eastAsia" w:ascii="宋体" w:hAnsi="宋体" w:eastAsia="宋体" w:cs="宋体"/>
          <w:color w:val="auto"/>
          <w:sz w:val="24"/>
          <w:szCs w:val="24"/>
          <w:highlight w:val="none"/>
          <w:lang w:val="en-US" w:eastAsia="zh-CN"/>
        </w:rPr>
        <w:t xml:space="preserve">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58.1</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b w:val="0"/>
          <w:bCs w:val="0"/>
          <w:color w:val="auto"/>
          <w:sz w:val="24"/>
          <w:highlight w:val="none"/>
          <w:lang w:val="en-US" w:eastAsia="zh-CN"/>
        </w:rPr>
        <w:t xml:space="preserve">46.665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采购需求：痕迹、法医专业现勘耗材及设备维护，具体详见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rPr>
        <w:t xml:space="preserve">合同签订之日起三个月内完成供货，</w:t>
      </w:r>
      <w:r>
        <w:rPr>
          <w:rFonts w:hint="eastAsia" w:ascii="宋体" w:hAnsi="宋体" w:eastAsia="宋体" w:cs="宋体"/>
          <w:b/>
          <w:bCs/>
          <w:i w:val="0"/>
          <w:iCs w:val="0"/>
          <w:color w:val="auto"/>
          <w:sz w:val="24"/>
          <w:szCs w:val="24"/>
          <w:highlight w:val="none"/>
          <w:u w:val="none"/>
          <w:lang w:eastAsia="zh-CN"/>
        </w:rPr>
        <w:t xml:space="preserve">现勘系统、解剖室维护维保期自</w:t>
      </w:r>
      <w:r>
        <w:rPr>
          <w:rFonts w:hint="eastAsia" w:ascii="宋体" w:hAnsi="宋体" w:eastAsia="宋体" w:cs="宋体"/>
          <w:b/>
          <w:bCs/>
          <w:i w:val="0"/>
          <w:iCs w:val="0"/>
          <w:color w:val="auto"/>
          <w:sz w:val="24"/>
          <w:szCs w:val="24"/>
          <w:highlight w:val="none"/>
          <w:u w:val="non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本项目（是/否）接受联合体投标：不接受联合体。</w:t>
      </w:r>
      <w:r/>
    </w:p>
    <w:p>
      <w:pPr>
        <w:pStyle w:val="73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rPr>
        <w:t xml:space="preserve">本项目专门面向中型企业、小型企业、微型企业、残疾人福利性单位、监狱企业采购，符合要求的供应商须提供《中小企业声明函》（详见第六章 </w:t>
      </w:r>
      <w:r>
        <w:rPr>
          <w:rFonts w:hint="eastAsia" w:ascii="宋体" w:hAnsi="宋体" w:eastAsia="宋体" w:cs="Times New Roman"/>
          <w:b/>
          <w:bCs/>
          <w:sz w:val="24"/>
          <w:szCs w:val="28"/>
          <w:highlight w:val="none"/>
          <w:lang w:eastAsia="zh-CN"/>
        </w:rPr>
        <w:t xml:space="preserve">投标</w:t>
      </w:r>
      <w:r>
        <w:rPr>
          <w:rFonts w:hint="eastAsia" w:ascii="宋体" w:hAnsi="宋体" w:eastAsia="宋体" w:cs="Times New Roman"/>
          <w:b/>
          <w:bCs/>
          <w:sz w:val="24"/>
          <w:szCs w:val="28"/>
          <w:highlight w:val="none"/>
        </w:rPr>
        <w:t xml:space="preserve">文件格式）或《残疾人福利性单位声明函》（详见第六章 响应文件格式）或属于监狱企业的证明文件，否则按无效响应处理。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3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3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73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3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1.本次招标不收取投标保证金。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i/>
          <w:iCs/>
          <w:color w:val="c00000"/>
          <w:sz w:val="24"/>
          <w:szCs w:val="24"/>
          <w:highlight w:val="none"/>
          <w:u w:val="single"/>
        </w:rPr>
        <w:t xml:space="preserve">斜体且有下划线</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numPr>
          <w:ilvl w:val="0"/>
          <w:numId w:val="0"/>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注：已中标2026年度物证检验鉴定消耗性器材（专门面向中小企业）中的理化专业检验耗材及设备维护、DNA专业试剂盒耗材、</w:t>
      </w:r>
      <w:r>
        <w:rPr>
          <w:rFonts w:hint="eastAsia" w:ascii="宋体" w:hAnsi="宋体" w:eastAsia="宋体" w:cs="宋体"/>
          <w:b/>
          <w:bCs/>
          <w:color w:val="auto"/>
          <w:sz w:val="24"/>
          <w:szCs w:val="24"/>
          <w:highlight w:val="none"/>
          <w:lang w:val="en-US" w:eastAsia="zh-CN"/>
        </w:rPr>
        <w:t xml:space="preserve">DNA专业重点人员血样建库试剂盒</w:t>
      </w:r>
      <w:r>
        <w:rPr>
          <w:rFonts w:hint="eastAsia" w:ascii="宋体" w:hAnsi="宋体" w:eastAsia="宋体" w:cs="宋体"/>
          <w:b/>
          <w:bCs/>
          <w:color w:val="auto"/>
          <w:sz w:val="24"/>
          <w:szCs w:val="24"/>
          <w:highlight w:val="none"/>
          <w:lang w:val="en-US" w:eastAsia="zh-CN" w:bidi="ar-SA"/>
        </w:rPr>
        <w:t xml:space="preserve">采购包的供应商，在</w:t>
      </w:r>
      <w:r>
        <w:rPr>
          <w:rFonts w:hint="eastAsia" w:ascii="宋体" w:hAnsi="宋体" w:eastAsia="宋体" w:cs="宋体"/>
          <w:b/>
          <w:bCs/>
          <w:color w:val="auto"/>
          <w:sz w:val="24"/>
          <w:szCs w:val="24"/>
          <w:highlight w:val="none"/>
          <w:lang w:val="en-US" w:eastAsia="zh-CN"/>
        </w:rPr>
        <w:t xml:space="preserve">痕迹、法医专业现勘耗材及设备维护标段</w:t>
      </w:r>
      <w:r>
        <w:rPr>
          <w:rFonts w:hint="eastAsia" w:ascii="宋体" w:hAnsi="宋体" w:eastAsia="宋体" w:cs="宋体"/>
          <w:b/>
          <w:bCs/>
          <w:color w:val="auto"/>
          <w:sz w:val="24"/>
          <w:szCs w:val="24"/>
          <w:highlight w:val="none"/>
          <w:lang w:val="en-US" w:eastAsia="zh-CN" w:bidi="ar-SA"/>
        </w:rPr>
        <w:t xml:space="preserve">均不予推荐为中标候选人。</w:t>
      </w:r>
      <w:r/>
    </w:p>
    <w:p>
      <w:pPr>
        <w:pStyle w:val="73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连云港市公安局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址：连云港市海州区朝阳东路9号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凌警官</w:t>
      </w:r>
      <w:r>
        <w:rPr>
          <w:rFonts w:hint="eastAsia" w:ascii="宋体" w:hAnsi="宋体" w:eastAsia="宋体" w:cs="宋体"/>
          <w:color w:val="auto"/>
          <w:sz w:val="24"/>
          <w:szCs w:val="24"/>
          <w:highlight w:val="none"/>
          <w:lang w:val="en-US" w:eastAsia="zh-CN"/>
        </w:rPr>
        <w:t xml:space="preserve"> 15861236615</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名    称：江苏协鸿工程咨询有限公司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连云港市海州区秦东门大街兴亿达大厦西厅14楼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人：陈工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联系电话：0518-82341968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凌警官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15861236615</w:t>
      </w:r>
      <w:r/>
    </w:p>
    <w:p>
      <w:pPr>
        <w:rPr>
          <w:rFonts w:hint="eastAsia" w:ascii="宋体" w:hAnsi="宋体" w:eastAsia="宋体" w:cs="宋体"/>
          <w:b w:val="0"/>
          <w:color w:val="auto"/>
          <w:highlight w:val="none"/>
        </w:rPr>
      </w:pPr>
      <w:r/>
      <w:bookmarkStart w:id="4" w:name="_Toc162361611"/>
      <w:r>
        <w:rPr>
          <w:rFonts w:hint="eastAsia" w:ascii="宋体" w:hAnsi="宋体" w:eastAsia="宋体" w:cs="宋体"/>
          <w:b w:val="0"/>
          <w:color w:val="auto"/>
          <w:highlight w:val="none"/>
        </w:rPr>
        <w:br w:type="page" w:clear="all"/>
      </w:r>
      <w:bookmarkEnd w:id="4"/>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5" w:name="_Toc21760"/>
      <w:r/>
      <w:bookmarkStart w:id="6" w:name="_Toc165205795"/>
      <w:r/>
      <w:bookmarkStart w:id="7" w:name="_Toc162361612"/>
      <w:r>
        <w:rPr>
          <w:rFonts w:hint="eastAsia" w:ascii="黑体" w:hAnsi="黑体" w:eastAsia="黑体" w:cs="Times New Roman"/>
          <w:b w:val="0"/>
          <w:bCs/>
          <w:sz w:val="44"/>
          <w:szCs w:val="44"/>
          <w:highlight w:val="none"/>
          <w:lang w:val="en-US" w:eastAsia="zh-CN" w:bidi="ar-SA"/>
        </w:rPr>
        <w:t xml:space="preserve">第二章  供应商须知</w:t>
      </w:r>
      <w:bookmarkEnd w:id="5"/>
      <w:r/>
      <w:bookmarkEnd w:id="6"/>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ascii="Calibri" w:hAnsi="Calibri" w:eastAsia="宋体" w:cs="Calibri"/>
          <w:color w:val="000000"/>
          <w:sz w:val="24"/>
          <w:szCs w:val="24"/>
        </w:rPr>
        <w:t xml:space="preserve">供应商投标时报价须包含代理费（供应商在投标报价时可综合考虑此费用，不单列）。依据本项目委托代理协议约定</w:t>
      </w:r>
      <w:r>
        <w:rPr>
          <w:rFonts w:hint="default" w:ascii="Calibri" w:hAnsi="Calibri" w:eastAsia="宋体" w:cs="Calibri"/>
          <w:color w:val="000000"/>
          <w:sz w:val="24"/>
          <w:szCs w:val="24"/>
        </w:rPr>
        <w:t xml:space="preserve">，本项目采购代理费根据苏招协【2022】002号收费标准的40%计取，由中标人支付。支付方式：电汇、网银、现金。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w:t>
      </w:r>
      <w:r>
        <w:rPr>
          <w:rFonts w:hint="eastAsia" w:eastAsia="宋体" w:cs="Times New Roman"/>
          <w:sz w:val="24"/>
          <w:szCs w:val="24"/>
          <w:highlight w:val="none"/>
          <w:lang w:val="en-US" w:eastAsia="zh-CN"/>
        </w:rPr>
        <w:t xml:space="preserve">评标委员会</w:t>
      </w:r>
      <w:r>
        <w:rPr>
          <w:rFonts w:hint="eastAsia" w:eastAsia="宋体" w:cs="Times New Roman"/>
          <w:sz w:val="24"/>
          <w:szCs w:val="24"/>
          <w:highlight w:val="none"/>
        </w:rPr>
        <w:t xml:space="preserve">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790"/>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7"/>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8" w:name="_Toc24551"/>
      <w:r/>
      <w:bookmarkStart w:id="9" w:name="_Toc165205796"/>
      <w:r/>
      <w:bookmarkStart w:id="10" w:name="_Toc162361613"/>
      <w:r>
        <w:rPr>
          <w:rFonts w:hint="eastAsia" w:ascii="黑体" w:hAnsi="黑体" w:eastAsia="黑体" w:cs="Times New Roman"/>
          <w:b w:val="0"/>
          <w:bCs/>
          <w:sz w:val="44"/>
          <w:szCs w:val="44"/>
          <w:highlight w:val="none"/>
          <w:lang w:val="en-US" w:eastAsia="zh-CN" w:bidi="ar-SA"/>
        </w:rPr>
        <w:t xml:space="preserve">第三章  合同文本</w:t>
      </w:r>
      <w:bookmarkEnd w:id="8"/>
      <w:r/>
      <w:bookmarkEnd w:id="9"/>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11"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jc w:val="left"/>
        <w:widowControl/>
        <w:rPr>
          <w:rFonts w:ascii="黑体" w:hAnsi="黑体" w:eastAsia="黑体" w:cs="Times New Roman"/>
          <w:sz w:val="28"/>
          <w:szCs w:val="28"/>
          <w:highlight w:val="none"/>
        </w:rPr>
      </w:pPr>
      <w:r/>
      <w:bookmarkStart w:id="12"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12"/>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2"/>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3"/>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767"/>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：连云港市公安局</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eastAsia="宋体" w:cs="Times New Roman"/>
                <w:highlight w:val="no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eastAsia="宋体" w:cs="Times New Roman"/>
                <w:highlight w:val="none"/>
                <w:lang w:eastAsia="zh-CN"/>
              </w:rPr>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firstLine="420"/>
              <w:jc w:val="left"/>
              <w:spacing w:line="360" w:lineRule="auto"/>
              <w:widowControl/>
              <w:rPr>
                <w:rFonts w:hint="default" w:ascii="Calibri" w:hAnsi="Calibri" w:eastAsia="宋体" w:cs="Arial"/>
                <w:sz w:val="21"/>
                <w:szCs w:val="20"/>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73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eastAsia="宋体" w:cs="Times New Roman"/>
                <w:highlight w:val="none"/>
              </w:rPr>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jc w:val="center"/>
              <w:rPr>
                <w:rFonts w:hint="eastAsia" w:eastAsia="宋体" w:cs="Times New Roman"/>
                <w:highlight w:val="none"/>
                <w:lang w:eastAsia="zh-CN"/>
              </w:rPr>
            </w:pPr>
            <w:r>
              <w:rPr>
                <w:rFonts w:hint="eastAsia" w:eastAsia="宋体" w:cs="Times New Roman"/>
                <w:highlight w:val="none"/>
                <w:lang w:eastAsia="zh-CN"/>
              </w:rPr>
              <w:t xml:space="preserve">连云港市公安局</w:t>
            </w:r>
            <w:r/>
          </w:p>
        </w:tc>
      </w:tr>
      <w:tr>
        <w:trPr>
          <w:jc w:val="center"/>
          <w:trHeight w:val="772"/>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p>
          <w:p>
            <w:pPr>
              <w:ind w:firstLine="0"/>
              <w:jc w:val="center"/>
              <w:spacing w:line="400" w:lineRule="exact"/>
              <w:rPr>
                <w:rFonts w:hint="default" w:ascii="华文楷体" w:hAnsi="华文楷体" w:eastAsia="华文楷体" w:cs="华文楷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jc w:val="both"/>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如乙方未在</w:t>
            </w:r>
            <w:r>
              <w:rPr>
                <w:rFonts w:hint="eastAsia" w:ascii="宋体" w:hAnsi="宋体" w:eastAsia="宋体" w:cs="Times New Roman"/>
                <w:szCs w:val="21"/>
                <w:highlight w:val="none"/>
              </w:rPr>
              <w:t xml:space="preserve">项目地成立固定的服务团队（专班），</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质保期内发现由于材料、设备或工艺不良造成设备故障时，</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发出服务通知（包含文字通知、口头通知等形式），1小时内技术人员</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到场迅速修复</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旧设备需要送修时，</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在4小时内完成新设备免费更换</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《中华人民共和国产品质量法》第四十条</w:t>
            </w:r>
            <w:r/>
          </w:p>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2.如因乙方未提供备品备件或者备品备件无法代替原货物使用导致甲方损失的，乙方按实赔偿甲方损失，同时每延迟一天交付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jc w:val="left"/>
              <w:rPr>
                <w:rFonts w:ascii="宋体" w:hAnsi="宋体" w:eastAsia="宋体" w:cs="Times New Roman"/>
                <w:szCs w:val="21"/>
                <w:highlight w:val="none"/>
                <w:u w:val="single"/>
              </w:rPr>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在逾期</w:t>
            </w:r>
            <w:r>
              <w:rPr>
                <w:rFonts w:ascii="宋体" w:hAnsi="宋体" w:eastAsia="宋体" w:cs="Times New Roman"/>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因本合同及合同有关事项发生的争议，按下列第（2）种方式解决：</w:t>
            </w:r>
            <w:r/>
          </w:p>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（1）向仲裁委员会申请仲裁，仲裁地点为        ；</w:t>
            </w:r>
            <w:r/>
          </w:p>
          <w:p>
            <w:pPr>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72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r/>
    </w:p>
    <w:p>
      <w:pPr>
        <w:rPr>
          <w:rFonts w:hint="eastAsia"/>
          <w:highlight w:val="none"/>
        </w:rPr>
      </w:pPr>
      <w:r>
        <w:rPr>
          <w:rFonts w:hint="eastAsia"/>
          <w:highlight w:val="none"/>
        </w:rPr>
      </w:r>
      <w:r/>
    </w:p>
    <w:p>
      <w:pPr>
        <w:pStyle w:val="729"/>
        <w:jc w:val="center"/>
        <w:keepLines/>
        <w:keepNext/>
        <w:spacing w:before="20" w:after="20" w:line="360" w:lineRule="auto"/>
        <w:widowControl w:val="off"/>
        <w:rPr>
          <w:rFonts w:hint="eastAsia" w:ascii="宋体" w:hAnsi="宋体" w:eastAsia="宋体" w:cs="宋体"/>
          <w:b w:val="0"/>
          <w:color w:val="auto"/>
          <w:highlight w:val="none"/>
        </w:rPr>
      </w:pPr>
      <w:r/>
      <w:bookmarkStart w:id="13" w:name="_Toc29335"/>
      <w:r>
        <w:rPr>
          <w:rFonts w:hint="eastAsia" w:ascii="宋体" w:hAnsi="宋体" w:eastAsia="宋体" w:cs="宋体"/>
          <w:b w:val="0"/>
          <w:color w:val="auto"/>
          <w:highlight w:val="none"/>
        </w:rPr>
        <w:t xml:space="preserve">第四章  采购需求</w:t>
      </w:r>
      <w:bookmarkEnd w:id="10"/>
      <w:r/>
      <w:bookmarkEnd w:id="13"/>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rPr>
        <w:t xml:space="preserve">货物</w:t>
      </w:r>
      <w:r>
        <w:rPr>
          <w:rFonts w:hint="eastAsia" w:eastAsia="宋体" w:cs="Times New Roman"/>
          <w:sz w:val="24"/>
          <w:szCs w:val="24"/>
          <w:highlight w:val="none"/>
        </w:rPr>
        <w:t xml:space="preserve">，采购标的对应的中小企业划分标准所属行业详见货物（标的）采购清单。</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eastAsia="宋体" w:cs="Times New Roman"/>
          <w:sz w:val="24"/>
          <w:szCs w:val="24"/>
          <w:highlight w:val="none"/>
        </w:rPr>
      </w:pPr>
      <w:r>
        <w:rPr>
          <w:rFonts w:ascii="宋体" w:hAnsi="宋体" w:eastAsia="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sz w:val="24"/>
          <w:szCs w:val="24"/>
          <w:highlight w:val="none"/>
        </w:rPr>
        <w:t xml:space="preserve">本招标文件中</w:t>
      </w:r>
      <w:r>
        <w:rPr>
          <w:rFonts w:hint="eastAsia" w:eastAsia="宋体" w:cs="Times New Roman"/>
          <w:b/>
          <w:i/>
          <w:color w:val="c00000"/>
          <w:sz w:val="24"/>
          <w:szCs w:val="24"/>
          <w:highlight w:val="none"/>
          <w:u w:val="single"/>
        </w:rPr>
        <w:t xml:space="preserve">斜体且有下划线部分</w:t>
      </w:r>
      <w:r>
        <w:rPr>
          <w:rFonts w:hint="eastAsia" w:eastAsia="宋体" w:cs="Times New Roman"/>
          <w:b/>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，由采购人根据实际情况设置，供应商须明确作出满足实质性要求和条件的响应，否则将按无效响应处理。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因本项目的特殊性，请投标人自愿现场考察对采购人现有的仪器设备进行</w:t>
      </w:r>
      <w:r>
        <w:rPr>
          <w:rFonts w:hint="eastAsia" w:ascii="宋体" w:hAnsi="宋体" w:eastAsia="宋体" w:cs="宋体"/>
          <w:b/>
          <w:bCs/>
          <w:color w:val="auto"/>
          <w:sz w:val="24"/>
          <w:szCs w:val="24"/>
          <w:highlight w:val="none"/>
        </w:rPr>
        <w:t xml:space="preserve">现场考察</w:t>
      </w:r>
      <w:r>
        <w:rPr>
          <w:rFonts w:hint="eastAsia" w:ascii="宋体" w:hAnsi="宋体" w:eastAsia="宋体" w:cs="宋体"/>
          <w:color w:val="auto"/>
          <w:sz w:val="24"/>
          <w:szCs w:val="24"/>
          <w:highlight w:val="none"/>
        </w:rPr>
        <w:t xml:space="preserve">。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中标人自行承担并承担一切法律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考察地址：连云港市海州区云台乡九岭</w:t>
      </w:r>
      <w:r>
        <w:rPr>
          <w:rFonts w:hint="eastAsia" w:ascii="宋体" w:hAnsi="宋体" w:eastAsia="宋体" w:cs="宋体"/>
          <w:color w:val="auto"/>
          <w:sz w:val="24"/>
          <w:szCs w:val="24"/>
          <w:highlight w:val="none"/>
          <w:lang w:eastAsia="zh-CN"/>
        </w:rPr>
        <w:t xml:space="preserve">路</w:t>
      </w:r>
      <w:r>
        <w:rPr>
          <w:rFonts w:hint="eastAsia" w:ascii="宋体" w:hAnsi="宋体" w:eastAsia="宋体" w:cs="宋体"/>
          <w:color w:val="auto"/>
          <w:sz w:val="24"/>
          <w:szCs w:val="24"/>
          <w:highlight w:val="none"/>
        </w:rPr>
        <w:t xml:space="preserve">（连云港市公安局物证鉴定</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考察联系人：</w:t>
      </w:r>
      <w:r>
        <w:rPr>
          <w:rFonts w:hint="eastAsia" w:ascii="宋体" w:hAnsi="宋体" w:eastAsia="宋体" w:cs="宋体"/>
          <w:color w:val="auto"/>
          <w:sz w:val="24"/>
          <w:szCs w:val="24"/>
          <w:highlight w:val="none"/>
          <w:lang w:eastAsia="zh-CN"/>
        </w:rPr>
        <w:t xml:space="preserve">凌</w:t>
      </w:r>
      <w:r>
        <w:rPr>
          <w:rFonts w:hint="eastAsia" w:ascii="宋体" w:hAnsi="宋体" w:eastAsia="宋体" w:cs="宋体"/>
          <w:color w:val="auto"/>
          <w:sz w:val="24"/>
          <w:szCs w:val="24"/>
          <w:highlight w:val="none"/>
        </w:rPr>
        <w:t xml:space="preserve">警官        联系电话：</w:t>
      </w:r>
      <w:r>
        <w:rPr>
          <w:rFonts w:hint="eastAsia" w:ascii="宋体" w:hAnsi="宋体" w:eastAsia="宋体" w:cs="宋体"/>
          <w:color w:val="auto"/>
          <w:sz w:val="24"/>
          <w:szCs w:val="24"/>
          <w:highlight w:val="none"/>
          <w:lang w:val="en-US" w:eastAsia="zh-CN"/>
        </w:rPr>
        <w:t xml:space="preserve">15861236615</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考察前请提前联系，预约时间，考察时请携带授权委托书和有效身份证，现场考察的费用由投标人自行承担。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多功能现场搜索光源</w:t>
      </w:r>
      <w:r>
        <w:rPr>
          <w:rFonts w:hint="eastAsia" w:ascii="宋体" w:hAnsi="宋体" w:eastAsia="宋体" w:cs="宋体"/>
          <w:b/>
          <w:bCs/>
          <w:color w:val="003366"/>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739"/>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68"/>
        <w:gridCol w:w="5231"/>
        <w:gridCol w:w="659"/>
        <w:gridCol w:w="732"/>
        <w:gridCol w:w="1198"/>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多功能现场搜索光源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白光（400-700nm）多波段（不少于9个波段）</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带激光测、距功能。白光为矩形光斑</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出光口1米处光照宽度≥1.7米</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光照度≥7500Lx</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多波段光斑为圆形</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20cm处光照直径≥10cm</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光照度≥680Lx</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激光测距仪范围为0.03-50m，精度为毫米。</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台</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left"/>
              <w:spacing w:line="400" w:lineRule="exact"/>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蓝显快速荧光靶向试剂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2、150ml，适用于汗潜指纹，脱落细胞，尿液，精斑等。</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8"/>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绿显荧光靶向试剂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2、60ml，适用于陈旧性痕迹物证。</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荧光潜血试剂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2、400ml，适用于潜血痕迹。</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枪弹建档耗材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阻尼片、硅胶球。（适配卡索干式集弹器）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耐高温防护</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手套</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1"/>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隔热</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250℃ </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防滑</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黄色哑光PVC材质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纸质 厚度1mm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502胶水</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氰基丙烯酸酯粘合剂，25只/盒，20g/只</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茚三酮喷灌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200ml/罐</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罐</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18650锂电池</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1、＞9000mWh</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2、3C认证</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3、配充电器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节</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5米（直径15mm）升级加厚耐磨耐撕咬耐高温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5米（直径25mm）升级加厚耐磨耐撕咬耐高温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多口USB手机充电器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10口自带黑线120W带散热风扇</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U盘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128GB、USB3.2,读写速度400MB/s</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声学监听</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传感器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2"/>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频响范围5hz-40khz</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高灵敏度低失真，中性自然，动圈式换能，封闭式头戴结构</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标准3.5mm接口</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both"/>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高品质刻录盘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3"/>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DVD+R</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4.7G/120MIN</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直径12cm</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最大刻录速度≥16X</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光盘保护袋</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透明光盘袋，100张/包</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移动固态硬盘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1、存储容量：1TB</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2、读取速度：≥1050MB/S</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lang w:val="en-US" w:eastAsia="zh-CN" w:bidi="ar-SA"/>
              </w:rPr>
            </w:pPr>
            <w:r>
              <w:rPr>
                <w:rFonts w:hint="eastAsia" w:ascii="宋体" w:hAnsi="宋体" w:eastAsia="宋体" w:cs="宋体"/>
                <w:i w:val="0"/>
                <w:iCs w:val="0"/>
                <w:color w:val="000000"/>
                <w:sz w:val="21"/>
                <w:szCs w:val="21"/>
                <w:highlight w:val="none"/>
                <w:lang w:val="en-US" w:eastAsia="zh-CN" w:bidi="ar-SA"/>
              </w:rPr>
              <w:t xml:space="preserve">3、接口：Type‑C 接口，USB3.2 Gen2</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▲4、配件：标配 Type</w:t>
            </w:r>
            <w:r>
              <w:rPr>
                <w:rFonts w:hint="eastAsia" w:ascii="宋体" w:hAnsi="宋体" w:eastAsia="宋体" w:cs="宋体"/>
                <w:b w:val="0"/>
                <w:bCs w:val="0"/>
                <w:color w:val="auto"/>
                <w:sz w:val="21"/>
                <w:szCs w:val="21"/>
                <w:highlight w:val="none"/>
                <w:lang w:val="en-US" w:eastAsia="zh-CN" w:bidi="ar-SA"/>
              </w:rPr>
              <w:noBreakHyphen/>
            </w:r>
            <w:r>
              <w:rPr>
                <w:rFonts w:hint="eastAsia" w:ascii="宋体" w:hAnsi="宋体" w:eastAsia="宋体" w:cs="宋体"/>
                <w:b w:val="0"/>
                <w:bCs w:val="0"/>
                <w:color w:val="auto"/>
                <w:sz w:val="21"/>
                <w:szCs w:val="21"/>
                <w:highlight w:val="none"/>
                <w:lang w:val="en-US" w:eastAsia="zh-CN" w:bidi="ar-SA"/>
              </w:rPr>
              <w:t xml:space="preserve">C 数据线，附带 Type</w:t>
            </w:r>
            <w:r>
              <w:rPr>
                <w:rFonts w:hint="eastAsia" w:ascii="宋体" w:hAnsi="宋体" w:eastAsia="宋体" w:cs="宋体"/>
                <w:b w:val="0"/>
                <w:bCs w:val="0"/>
                <w:color w:val="auto"/>
                <w:sz w:val="21"/>
                <w:szCs w:val="21"/>
                <w:highlight w:val="none"/>
                <w:lang w:val="en-US" w:eastAsia="zh-CN" w:bidi="ar-SA"/>
              </w:rPr>
              <w:noBreakHyphen/>
            </w:r>
            <w:r>
              <w:rPr>
                <w:rFonts w:hint="eastAsia" w:ascii="宋体" w:hAnsi="宋体" w:eastAsia="宋体" w:cs="宋体"/>
                <w:b w:val="0"/>
                <w:bCs w:val="0"/>
                <w:color w:val="auto"/>
                <w:sz w:val="21"/>
                <w:szCs w:val="21"/>
                <w:highlight w:val="none"/>
                <w:lang w:val="en-US" w:eastAsia="zh-CN" w:bidi="ar-SA"/>
              </w:rPr>
              <w:t xml:space="preserve">A 转接头（多种转接口）</w:t>
            </w:r>
            <w:r/>
          </w:p>
          <w:p>
            <w:pPr>
              <w:numPr>
                <w:ilvl w:val="0"/>
                <w:numId w:val="0"/>
              </w:numPr>
              <w:jc w:val="left"/>
              <w:spacing w:line="400" w:lineRule="exact"/>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5、产品类型：NVMe 协议移动固态硬盘（PSSD），物理规格、防护、加密、质保等性能参照 WDMyPassport 随行 SSD NVMe 系列同系列产品要求。</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外接光驱</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DVD 刻录机，DVD 读写速度≥8X；支持 USB</w:t>
            </w:r>
            <w:r>
              <w:rPr>
                <w:rFonts w:hint="eastAsia" w:ascii="宋体" w:hAnsi="宋体" w:eastAsia="宋体" w:cs="宋体"/>
                <w:i w:val="0"/>
                <w:iCs w:val="0"/>
                <w:color w:val="auto"/>
                <w:sz w:val="21"/>
                <w:szCs w:val="21"/>
                <w:highlight w:val="none"/>
                <w:u w:val="none"/>
                <w:lang w:val="en-US" w:eastAsia="zh-CN"/>
              </w:rPr>
              <w:noBreakHyphen/>
            </w:r>
            <w:r>
              <w:rPr>
                <w:rFonts w:hint="eastAsia" w:ascii="宋体" w:hAnsi="宋体" w:eastAsia="宋体" w:cs="宋体"/>
                <w:i w:val="0"/>
                <w:iCs w:val="0"/>
                <w:color w:val="auto"/>
                <w:sz w:val="21"/>
                <w:szCs w:val="21"/>
                <w:highlight w:val="none"/>
                <w:u w:val="none"/>
                <w:lang w:val="en-US" w:eastAsia="zh-CN"/>
              </w:rPr>
              <w:t xml:space="preserve">A / Type</w:t>
            </w:r>
            <w:r>
              <w:rPr>
                <w:rFonts w:hint="eastAsia" w:ascii="宋体" w:hAnsi="宋体" w:eastAsia="宋体" w:cs="宋体"/>
                <w:i w:val="0"/>
                <w:iCs w:val="0"/>
                <w:color w:val="auto"/>
                <w:sz w:val="21"/>
                <w:szCs w:val="21"/>
                <w:highlight w:val="none"/>
                <w:u w:val="none"/>
                <w:lang w:val="en-US" w:eastAsia="zh-CN"/>
              </w:rPr>
              <w:noBreakHyphen/>
            </w:r>
            <w:r>
              <w:rPr>
                <w:rFonts w:hint="eastAsia" w:ascii="宋体" w:hAnsi="宋体" w:eastAsia="宋体" w:cs="宋体"/>
                <w:i w:val="0"/>
                <w:iCs w:val="0"/>
                <w:color w:val="auto"/>
                <w:sz w:val="21"/>
                <w:szCs w:val="21"/>
                <w:highlight w:val="none"/>
                <w:u w:val="none"/>
                <w:lang w:val="en-US" w:eastAsia="zh-CN"/>
              </w:rPr>
              <w:t xml:space="preserve">C 双接口，兼容 Windows 及苹果 Mac OS 系统，支持 M</w:t>
            </w:r>
            <w:r>
              <w:rPr>
                <w:rFonts w:hint="eastAsia" w:ascii="宋体" w:hAnsi="宋体" w:eastAsia="宋体" w:cs="宋体"/>
                <w:i w:val="0"/>
                <w:iCs w:val="0"/>
                <w:color w:val="auto"/>
                <w:sz w:val="21"/>
                <w:szCs w:val="21"/>
                <w:highlight w:val="none"/>
                <w:u w:val="none"/>
                <w:lang w:val="en-US" w:eastAsia="zh-CN"/>
              </w:rPr>
              <w:noBreakHyphen/>
            </w:r>
            <w:r>
              <w:rPr>
                <w:rFonts w:hint="eastAsia" w:ascii="宋体" w:hAnsi="宋体" w:eastAsia="宋体" w:cs="宋体"/>
                <w:i w:val="0"/>
                <w:iCs w:val="0"/>
                <w:color w:val="auto"/>
                <w:sz w:val="21"/>
                <w:szCs w:val="21"/>
                <w:highlight w:val="none"/>
                <w:u w:val="none"/>
                <w:lang w:val="en-US" w:eastAsia="zh-CN"/>
              </w:rPr>
              <w:t xml:space="preserve">DISC 碟片刻录。</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新型涉网案件研判平台维护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一、平台需求</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有度慧眼平台依托互联网黑灰产大数据挖掘与智能自动化深度解析技术，对</w:t>
            </w:r>
            <w:bookmarkStart w:id="18" w:name="_GoBack"/>
            <w:r/>
            <w:bookmarkEnd w:id="18"/>
            <w:r>
              <w:rPr>
                <w:rFonts w:hint="eastAsia" w:ascii="宋体" w:hAnsi="宋体" w:eastAsia="宋体" w:cs="宋体"/>
                <w:i w:val="0"/>
                <w:iCs w:val="0"/>
                <w:color w:val="000000"/>
                <w:sz w:val="21"/>
                <w:szCs w:val="21"/>
                <w:highlight w:val="none"/>
                <w:u w:val="none"/>
                <w:lang w:val="en-US" w:eastAsia="zh-CN"/>
              </w:rPr>
              <w:t xml:space="preserve">海量涉诈网站及APP进行全天候动态监测。平台能够实时提取网络请求、页面与代码特征、第三方服务等核心数据，并深度融合AI智能体、知识图谱、自然语言处理及图像识别等前沿技术，对网络行为痕迹进行大数据检索，从而实时向辖区推送高精准度的涉网预警线索，迅速识别并锁定潜在涉诈目标。</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平台全面覆盖“行为发现—阻断拦截—数据分析—串并关联”的全链路闭环，为数据拓展、关联研判、预警拦截及技术反制提供全方位、深层次、多维度的数据支撑。</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在功能架构上，平台集成了大数据检索、研判打击、预警推送、数据中心、统计中心及个人中心等多元化服务模块。</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深度挖掘海量数据中的关键线索，平台利用机器学习与图像识别技术，实现对诈骗团伙及其犯罪行为的精准追踪与动态监控。其数据追踪范围广泛，支持对手机号码、身份证号、银行卡号、QQ号、网站域名、IP地址、邮箱地址、虚拟币地址及各类关键词的快速检索与精准定位。</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二、运维内容</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通过量化、标准化的服务频次，实现对软件系统的主动式、预防性维护。通过高频次的巡检与及时的版本迭代，保障业务连续性与稳定性。</w:t>
            </w:r>
            <w:r/>
          </w:p>
          <w:tbl>
            <w:tblPr>
              <w:tblStyle w:val="739"/>
              <w:tblW w:w="525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621"/>
              <w:gridCol w:w="1884"/>
              <w:gridCol w:w="913"/>
              <w:gridCol w:w="837"/>
            </w:tblGrid>
            <w:tr>
              <w:trPr>
                <w:jc w:val="center"/>
                <w:tblHeader/>
              </w:trPr>
              <w:tc>
                <w:tcPr>
                  <w:tcW w:w="1621"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运维模</w:t>
                  </w:r>
                  <w:r>
                    <w:rPr>
                      <w:rFonts w:ascii="宋体" w:hAnsi="宋体" w:eastAsia="宋体" w:cs="宋体"/>
                      <w:b/>
                      <w:sz w:val="15"/>
                      <w:szCs w:val="15"/>
                      <w:highlight w:val="none"/>
                    </w:rPr>
                    <w:t xml:space="preserve">块</w:t>
                  </w:r>
                  <w:r/>
                </w:p>
              </w:tc>
              <w:tc>
                <w:tcPr>
                  <w:tcW w:w="1884"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内容</w:t>
                  </w:r>
                  <w:r/>
                </w:p>
              </w:tc>
              <w:tc>
                <w:tcPr>
                  <w:tcW w:w="913" w:type="dxa"/>
                  <w:vAlign w:val="center"/>
                  <w:textDirection w:val="lrTb"/>
                  <w:noWrap w:val="false"/>
                </w:tcPr>
                <w:p>
                  <w:pPr>
                    <w:jc w:val="center"/>
                    <w:spacing w:before="120" w:after="120"/>
                    <w:rPr>
                      <w:rFonts w:ascii="宋体" w:eastAsia="宋体"/>
                      <w:b/>
                      <w:sz w:val="15"/>
                      <w:szCs w:val="15"/>
                      <w:highlight w:val="none"/>
                    </w:rPr>
                  </w:pPr>
                  <w:r>
                    <w:rPr>
                      <w:rFonts w:ascii="宋体" w:hAnsi="宋体" w:eastAsia="宋体" w:cs="宋体"/>
                      <w:b/>
                      <w:sz w:val="15"/>
                      <w:szCs w:val="15"/>
                      <w:highlight w:val="none"/>
                    </w:rPr>
                    <w:t xml:space="preserve">频次/数量</w:t>
                  </w:r>
                  <w:r/>
                </w:p>
              </w:tc>
              <w:tc>
                <w:tcPr>
                  <w:tcW w:w="837"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目标</w:t>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运行监控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实时监测核心业务系统在线状态</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365次/年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业务不中断</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监测API接口连通性及数据交互相应速度</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定期巡检</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定期排查报错与异常记录</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12次/年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主动发现潜在隐患</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服务器资源（CPU/内存/磁盘/中间件）与运行状态检查</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调整优化</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业务流程逻辑梳理与优化</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提升用户体验</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页面加载与系统性能调优</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使用支持</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用户操作指导与疑难解答</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保障日常办公顺畅</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账号管理与权限精细化配置</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版本升级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系统功能迭代与新增</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系统功能持续完善</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已知缺陷修复</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bl>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次</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现勘系统维护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传统/新型江苏连云港市全国现场勘验系统运维服务。传统案件勘查现场新增，基本信息，物证信息，尸体信息，涉案视频等材料录入，未知名尸体身源确定，卷宗材料制作，信息通查查询案件，分县局录入情况统计，立案勘查统计，终端录入统计；新型涉网</w:t>
            </w:r>
            <w:r>
              <w:rPr>
                <w:rFonts w:hint="eastAsia" w:ascii="宋体" w:hAnsi="宋体" w:eastAsia="宋体" w:cs="宋体"/>
                <w:i w:val="0"/>
                <w:iCs w:val="0"/>
                <w:color w:val="auto"/>
                <w:sz w:val="21"/>
                <w:szCs w:val="21"/>
                <w:highlight w:val="none"/>
                <w:u w:val="none"/>
                <w:lang w:val="en-US" w:eastAsia="zh-CN"/>
              </w:rPr>
              <w:t xml:space="preserve">现勘新增涉网案件，勘验小结，我的现场展示，现场审核，人工考核，案件分布情况统计，考核统计，声纹统计，厂家数据统计，现场数据抽取，删除现场管理，撤回现场管理，非黑灰APP库管理，APP解析查询列表，终端上报监控，上报上级监控；勘验质量管控，传统案件质量勘查，我的现场质检，单位现场质检，质检详情，勘验质量抽查，质检白名单，电诈事主勘查，传统案件指标分析，传统案件勘查提取统计，电诈案件指标分析，电诈案件勘查提取统计，质量检查设置，质检服务等功能。案件录入完成后，各项材料与省现勘进行对接，完成市库与省库的实时对接。</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维护内容：1.系统应用服务器：①每月释放服务器缓存（减少进程压力大的情况一年12次）；②涉网现勘上传数据（案件内图片，各式聊天记录，转账记录）不完整或者未在规定时间上传至内网</w:t>
            </w:r>
            <w:r>
              <w:rPr>
                <w:rFonts w:hint="eastAsia" w:ascii="宋体" w:hAnsi="宋体" w:eastAsia="宋体" w:cs="宋体"/>
                <w:i w:val="0"/>
                <w:iCs w:val="0"/>
                <w:color w:val="auto"/>
                <w:sz w:val="21"/>
                <w:szCs w:val="21"/>
                <w:highlight w:val="none"/>
                <w:u w:val="none"/>
                <w:lang w:val="en-US" w:eastAsia="zh-CN"/>
              </w:rPr>
              <w:t xml:space="preserve">，需要在上传通道提出并手动传入现勘数据库，全市平均每日三起；③检查现勘应用和数据库服务器运行的服务是否正常，除了节假日每周一次，一年大约52次；2.数据备份：每周定时全量备份，一年大约52次。3.数据整理：①每月核对市库入省库的案件数据，一年12次；②省厅考核的经纬度项目，拉取现勘里警综接口无经纬度信息制表补充，每月一次，一年12次；③不定时通过数据库拉取需要的数据信息。4.其他业务系统对接：①定时检查对接合成作战平台和市局大模型库展示的现勘数据，每月一次，一年大约12次；②用户操作行为日志对接大数据系统。</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全市人员信息一体化采集维护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连云港市人员信息一体化采集管理系统。提供质量管理，考核管理，应用功能，全息查询，统计分析，DNA管理，运维管理，涉毒管理，配置管理，系统设置等功能；从派出所前端采集数据实时反馈至人员信息一体化采集管理系统，采集数据包括但不限于指掌纹，人像，声纹，虹膜，足迹，DNA；上传质量审核，采集错误后修改信息申请审批，省指纹，人像，声纹，虹膜，足迹，DNA库的通道对接，导出各专业采集数据，统计各专业采集数据压缩包，导入离线采集数据包，采集点单位管理，声纹设备注册等功能。</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维护内容：1.系统应用服务器：①每周检查应用服务器运行的中间件（kafka、redis、zookeeper）、框架服务、应用服务是否正常，一周一次，一年大约52次；②每</w:t>
            </w:r>
            <w:r>
              <w:rPr>
                <w:rFonts w:hint="eastAsia" w:ascii="宋体" w:hAnsi="宋体" w:eastAsia="宋体" w:cs="宋体"/>
                <w:i w:val="0"/>
                <w:iCs w:val="0"/>
                <w:color w:val="auto"/>
                <w:sz w:val="21"/>
                <w:szCs w:val="21"/>
                <w:highlight w:val="none"/>
                <w:u w:val="none"/>
                <w:lang w:val="en-US" w:eastAsia="zh-CN"/>
              </w:rPr>
              <w:t xml:space="preserve">月检查应用服务器空间是否超过警告储存量，一月一次，一年12次；③应用系统网页上传通道检查，确保采集数据稳妥进入系统并显示，平均每日三次；④每周两次进行应用数据拉取比对，一年大约24次。2.数据库备份：①每月对数据进行增量备份，一年12次；②每半年对数据进行全量备份，一年两次。3.数据整理：①每个工作日对指掌纹，人像，声纹，虹膜，足迹，DNA各专业上传省库情况进行审查和统计。④其他业务系统对接：①定时检查一体化采集系统对接合成作战平台的数据是否正常，每月一次，一年大约12次；②用户操作行为日志对接大数据系统。</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86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刑事技术管理系统数据维护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刑事技术管理系统每年维保内容包括：操作系统、数据库/中间件、应用软件等运维；以及电话技术支持、E-Mail技术支持、传真技术支持、远程维护支持、现场维护支持、系统性能优化服务、定期回访服务、专家组服务、终身免费技术等服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1、操作系统运维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（2）性能分析12次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（3）调整优化4次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（6）安全加固2次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2、数据库、中间件运维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（6）数据备份和恢复按需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3、应用软件运维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（4）使用支持按需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（6）需求管理按需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（7）系统备份和恢复按需</w:t>
            </w:r>
            <w:r/>
          </w:p>
          <w:p>
            <w:pPr>
              <w:ind w:left="0" w:right="0" w:firstLine="0"/>
              <w:jc w:val="both"/>
              <w:spacing w:line="300" w:lineRule="exact"/>
              <w:widowControl w:val="off"/>
              <w:rPr>
                <w:rFonts w:hint="eastAsia" w:ascii="宋体" w:hAnsi="宋体" w:eastAsia="宋体" w:cs="宋体"/>
                <w:i w:val="0"/>
                <w:iCs w:val="0"/>
                <w:color w:val="auto"/>
                <w:sz w:val="21"/>
                <w:szCs w:val="21"/>
                <w:highlight w:val="none"/>
                <w:u w:val="none"/>
                <w:lang w:val="en-US" w:eastAsia="zh-CN"/>
              </w:rPr>
              <w:outlineLvl w:val="9"/>
            </w:pPr>
            <w:r>
              <w:rPr>
                <w:rFonts w:hint="eastAsia" w:ascii="宋体" w:hAnsi="宋体" w:eastAsia="宋体" w:cs="宋体"/>
                <w:highlight w:val="none"/>
                <w:lang w:val="en-US" w:eastAsia="zh-CN"/>
              </w:rPr>
              <w:t xml:space="preserve">（8）系统迁移按需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普通剪刀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4"/>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中号</w:t>
            </w:r>
            <w:r/>
          </w:p>
          <w:p>
            <w:pPr>
              <w:numPr>
                <w:ilvl w:val="0"/>
                <w:numId w:val="14"/>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不锈钢材质</w:t>
            </w:r>
            <w:r/>
          </w:p>
          <w:p>
            <w:pPr>
              <w:numPr>
                <w:ilvl w:val="0"/>
                <w:numId w:val="14"/>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长度在175-185mm之间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2、直尖、直圆16cm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医用止血钳</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2、14cm，直头，弯头各一半</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展片镊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医用不锈钢，16cm，单弯头，双弯头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5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眼科镊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10cm，直有齿，无镀层</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检验镊子</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不锈钢，标准平头，扁头长约36mm，镊身长约122mm，镊宽约9mm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58"/>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尸体袋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5"/>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单个包装</w:t>
            </w:r>
            <w:r/>
          </w:p>
          <w:p>
            <w:pPr>
              <w:numPr>
                <w:ilvl w:val="0"/>
                <w:numId w:val="15"/>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浅色</w:t>
            </w:r>
            <w:r/>
          </w:p>
          <w:p>
            <w:pPr>
              <w:numPr>
                <w:ilvl w:val="0"/>
                <w:numId w:val="15"/>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防水加厚</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载玻片存储盒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ABS材质，放置标准载玻片，50片装</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双圈黑色皮</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可升降</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带靠背</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坐高40-55cm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封片机专用盖玻片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300片/盒，8盒/套，适配莱卡SPECTRA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封片机专用封片胶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150ml/瓶，2100片/瓶，2瓶/套，适配莱卡SPECTRA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切片用刀片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1、窄刀片，50片/盒，独立包装，适配BIOCUT型手动轮转切片机</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2、刀片长度80mm，刀片厚度0.25mm，刀片宽度8mm</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高硼硅玻璃棒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8*25mm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Masson染色液试剂盒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6×100ml/套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光敏载玻片2500片/箱，光敏打印</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病理检材箱</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1、35-40L</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大小约50-55cm×35-40cm×30-35cm</w:t>
            </w:r>
            <w:r/>
          </w:p>
          <w:p>
            <w:pPr>
              <w:numPr>
                <w:ilvl w:val="0"/>
                <w:numId w:val="17"/>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加厚不透明/防腐蚀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抛光膏</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适配TESCAN  VEGA4电镜</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解剖室设备维护清洁费</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连云港市公安局尸体解剖室及连云港市第一人民医院尸体检验室，每个月至少2次</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微波消解外管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电镜维保</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TESCAN  VEGA4包含一个单次保养，不限次数上门，合约期间配件和耗材9折，保养具体包括：</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1、真空系统保养，换泵油，分子泵油棉垫，导油轴。</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2、电子光路保养，更换光阑支架，检查枪内组件，调整光路对中。</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硅藻提取包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抽滤杯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500ml/个，适配膜过滤系统VF600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硅藻检验样品盒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一次性胶头滴管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1、5ml</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2、100只/包</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通玻器械柜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长900*宽400*高1800mm</w:t>
            </w:r>
            <w:r/>
          </w:p>
          <w:p>
            <w:pPr>
              <w:numPr>
                <w:ilvl w:val="0"/>
                <w:numId w:val="1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304不锈钢</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蜡块柜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冷轧钢板，五节，四十抽，可存放</w:t>
            </w:r>
            <w:r>
              <w:rPr>
                <w:rFonts w:hint="eastAsia" w:eastAsia="宋体"/>
                <w:highlight w:val="none"/>
                <w:lang w:eastAsia="zh-CN"/>
              </w:rPr>
              <w:t xml:space="preserve">蜡块</w:t>
            </w:r>
            <w:r>
              <w:rPr>
                <w:rFonts w:hint="eastAsia" w:ascii="宋体" w:hAnsi="宋体" w:eastAsia="宋体" w:cs="宋体"/>
                <w:i w:val="0"/>
                <w:iCs w:val="0"/>
                <w:color w:val="000000"/>
                <w:sz w:val="21"/>
                <w:szCs w:val="21"/>
                <w:highlight w:val="none"/>
                <w:u w:val="none"/>
                <w:lang w:val="en-US" w:eastAsia="zh-CN"/>
              </w:rPr>
              <w:t xml:space="preserve">12500个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冷轧钢板，十二节，七十二抽，可存放玻片6万张</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病理冷藏</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标本柜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双开门，能存放35L左右病理检材箱，能存放6-8个检材</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现场用头灯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强光高亮Type-C快充，轻便，IPX4级防水，透气头灯带</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相机电池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适配佳能800D</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医用外科口罩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灭菌,独立包装，符合YY0469-2023标准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医用防护口罩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灭菌独立包装，五层防护，医用N95、KN95以上级别，符合GB19083-2023标准，头戴式绿色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现勘日化用品</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洗发水400g-500g×4、沐浴乳≥400ml×4、洗手液400-500g×4、洗手皂（100-120g）×8/套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医疗废弃物垃圾袋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黄色小号，出现场用，手提，加厚</w:t>
            </w:r>
            <w:r/>
          </w:p>
          <w:p>
            <w:pPr>
              <w:numPr>
                <w:ilvl w:val="0"/>
                <w:numId w:val="1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约50cm ×55cm，50只/捆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实验用纸</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符合一般性生活纸类要求，180-200g/卷，有芯卷纸</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卷</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订书机</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省力型，可订25-50页</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防蚊虫喷雾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100ml/瓶，户外野外驱蚊，止痒抑菌</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防蚊虫风油精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6ml/瓶</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蚊香液</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1加热器+4液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实验区垃圾桶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加厚大号，高及直径约30-35cm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记号笔</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小双头，黑色，12支/盒，防水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50只装/包，228ml</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线长1.8m，五位插孔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实验室设备用插排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3米/5米，五位插孔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实验区拖把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海绵，宽38cm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实验区扫把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扫把簸箕套装，加大扫头，25-30cm，加厚环保材质</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5号4粒+7号8粒/份</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77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档案装订线</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10卷/包，每卷30-50米，加粗，每包带钩锥1个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730"/>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1.</w:t>
      </w:r>
      <w:r>
        <w:rPr>
          <w:rFonts w:hint="eastAsia" w:ascii="宋体" w:hAnsi="宋体" w:eastAsia="宋体" w:cs="宋体"/>
          <w:b/>
          <w:bCs/>
          <w:i/>
          <w:iCs/>
          <w:color w:val="auto"/>
          <w:sz w:val="21"/>
          <w:szCs w:val="21"/>
          <w:highlight w:val="none"/>
          <w:u w:val="single"/>
          <w:lang w:val="en-US" w:eastAsia="zh-CN"/>
        </w:rPr>
        <w:t xml:space="preserve">合同履行期限（</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合同签订之日起三个月内完成供货，</w:t>
      </w:r>
      <w:r>
        <w:rPr>
          <w:rFonts w:hint="eastAsia" w:ascii="宋体" w:hAnsi="宋体" w:eastAsia="宋体" w:cs="宋体"/>
          <w:b/>
          <w:bCs/>
          <w:i/>
          <w:iCs/>
          <w:color w:val="auto"/>
          <w:sz w:val="21"/>
          <w:szCs w:val="21"/>
          <w:highlight w:val="none"/>
          <w:u w:val="single"/>
          <w:lang w:eastAsia="zh-CN"/>
        </w:rPr>
        <w:t xml:space="preserve">现勘系统、解剖室维护维保期自</w:t>
      </w:r>
      <w:r>
        <w:rPr>
          <w:rFonts w:hint="eastAsia" w:ascii="宋体" w:hAnsi="宋体" w:eastAsia="宋体" w:cs="宋体"/>
          <w:b/>
          <w:bCs/>
          <w:i/>
          <w:iCs/>
          <w:color w:val="auto"/>
          <w:sz w:val="21"/>
          <w:szCs w:val="21"/>
          <w:highlight w:val="none"/>
          <w:u w:val="singl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lang w:val="en-US" w:eastAsia="zh-CN"/>
        </w:rPr>
        <w:t xml:space="preserve">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合同签订后一个月内支付合同总金额的30%，</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50%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val="0"/>
          <w:bCs w:val="0"/>
          <w:i/>
          <w:iCs/>
          <w:color w:val="auto"/>
          <w:sz w:val="21"/>
          <w:szCs w:val="21"/>
          <w:highlight w:val="none"/>
          <w:u w:val="singl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自愿现场考察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考察联系人：</w:t>
      </w:r>
      <w:r>
        <w:rPr>
          <w:rFonts w:hint="eastAsia" w:ascii="宋体" w:hAnsi="宋体" w:eastAsia="宋体" w:cs="宋体"/>
          <w:color w:val="auto"/>
          <w:sz w:val="21"/>
          <w:szCs w:val="21"/>
          <w:highlight w:val="none"/>
          <w:lang w:eastAsia="zh-CN"/>
        </w:rPr>
        <w:t xml:space="preserve">凌</w:t>
      </w:r>
      <w:r>
        <w:rPr>
          <w:rFonts w:hint="eastAsia" w:ascii="宋体" w:hAnsi="宋体" w:eastAsia="宋体" w:cs="宋体"/>
          <w:color w:val="auto"/>
          <w:sz w:val="21"/>
          <w:szCs w:val="21"/>
          <w:highlight w:val="none"/>
        </w:rPr>
        <w:t xml:space="preserve">警官        联系电话：</w:t>
      </w:r>
      <w:r>
        <w:rPr>
          <w:rFonts w:hint="eastAsia" w:ascii="宋体" w:hAnsi="宋体" w:eastAsia="宋体" w:cs="宋体"/>
          <w:color w:val="auto"/>
          <w:sz w:val="21"/>
          <w:szCs w:val="21"/>
          <w:highlight w:val="none"/>
          <w:lang w:val="en-US" w:eastAsia="zh-CN"/>
        </w:rPr>
        <w:t xml:space="preserve">15861236615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bookmarkStart w:id="14" w:name="_Toc162361614"/>
      <w:r>
        <w:rPr>
          <w:rFonts w:hint="eastAsia" w:ascii="宋体" w:hAnsi="宋体" w:eastAsia="宋体" w:cs="宋体"/>
          <w:color w:val="auto"/>
          <w:sz w:val="24"/>
          <w:szCs w:val="24"/>
          <w:highlight w:val="none"/>
        </w:rPr>
        <w:br w:type="page" w:clear="all"/>
      </w:r>
      <w:r/>
    </w:p>
    <w:p>
      <w:pPr>
        <w:pStyle w:val="729"/>
        <w:jc w:val="center"/>
        <w:spacing w:line="360" w:lineRule="auto"/>
        <w:rPr>
          <w:rFonts w:hint="eastAsia" w:ascii="宋体" w:hAnsi="宋体" w:eastAsia="宋体" w:cs="宋体"/>
          <w:b w:val="0"/>
          <w:color w:val="auto"/>
          <w:highlight w:val="none"/>
        </w:rPr>
      </w:pPr>
      <w:r/>
      <w:bookmarkStart w:id="15" w:name="_Toc19082"/>
      <w:r>
        <w:rPr>
          <w:rFonts w:hint="eastAsia" w:ascii="宋体" w:hAnsi="宋体" w:eastAsia="宋体" w:cs="宋体"/>
          <w:b w:val="0"/>
          <w:color w:val="auto"/>
          <w:highlight w:val="none"/>
        </w:rPr>
        <w:t xml:space="preserve">第五章  评标方法与评标标准</w:t>
      </w:r>
      <w:bookmarkEnd w:id="14"/>
      <w:r/>
      <w:bookmarkEnd w:id="15"/>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w:t>
      </w:r>
      <w:r>
        <w:rPr>
          <w:rFonts w:hint="eastAsia" w:ascii="宋体" w:hAnsi="宋体" w:eastAsia="宋体" w:cs="宋体"/>
          <w:color w:val="auto"/>
          <w:sz w:val="24"/>
          <w:szCs w:val="24"/>
          <w:highlight w:val="none"/>
          <w:lang w:val="en-US" w:eastAsia="zh-CN"/>
        </w:rPr>
        <w:t xml:space="preserve">每个采购包</w:t>
      </w:r>
      <w:r>
        <w:rPr>
          <w:rFonts w:hint="eastAsia" w:ascii="宋体" w:hAnsi="宋体" w:eastAsia="宋体" w:cs="宋体"/>
          <w:color w:val="auto"/>
          <w:sz w:val="24"/>
          <w:szCs w:val="24"/>
          <w:highlight w:val="none"/>
        </w:rPr>
        <w:t xml:space="preserve">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73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7408"/>
      </w:tblGrid>
      <w:tr>
        <w:trPr>
          <w:jc w:val="center"/>
          <w:trHeight w:val="621"/>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0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217"/>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08"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auto"/>
                <w:sz w:val="24"/>
                <w:szCs w:val="24"/>
                <w:highlight w:val="none"/>
                <w:shd w:val="clear" w:color="auto" w:fill="auto"/>
                <w:lang w:val="zh-CN" w:eastAsia="zh-CN" w:bidi="ar-SA"/>
              </w:rPr>
            </w:pP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分；其他规格型号、技术参数</w:t>
            </w:r>
            <w:r>
              <w:rPr>
                <w:rFonts w:hint="eastAsia" w:ascii="宋体" w:hAnsi="宋体" w:eastAsia="宋体" w:cs="宋体"/>
                <w:b/>
                <w:bCs w:val="0"/>
                <w:color w:val="auto"/>
                <w:sz w:val="24"/>
                <w:szCs w:val="24"/>
                <w:highlight w:val="none"/>
                <w:shd w:val="clear" w:color="auto" w:fill="auto"/>
                <w:lang w:val="zh-CN" w:eastAsia="zh-CN" w:bidi="ar-SA"/>
              </w:rPr>
              <w:t xml:space="preserve">，有一项负偏离的扣1分，扣完为止。缺项漏项视为负偏离。</w:t>
            </w:r>
            <w:r/>
          </w:p>
          <w:p>
            <w:pPr>
              <w:pStyle w:val="782"/>
              <w:jc w:val="both"/>
              <w:spacing w:line="360" w:lineRule="auto"/>
              <w:shd w:val="clear" w:color="auto" w:fill="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val="0"/>
                <w:color w:val="auto"/>
                <w:sz w:val="24"/>
                <w:highlight w:val="none"/>
                <w:shd w:val="clear" w:color="auto" w:fill="auto"/>
                <w:lang w:val="zh-CN"/>
              </w:rPr>
              <w:t xml:space="preserve">注：以商务要求响应及偏离表、技术要求响应及偏离表和采购需求中要求提供的证明材料作为评审依据，响应招标参数要求，但未提供招标文件要求的证明材料或提供的材料不满足要求的，视为负偏离。</w:t>
            </w:r>
            <w:r/>
          </w:p>
        </w:tc>
      </w:tr>
      <w:tr>
        <w:trPr>
          <w:jc w:val="center"/>
          <w:trHeight w:val="621"/>
        </w:trPr>
        <w:tc>
          <w:tcPr>
            <w:tcW w:w="20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408" w:type="dxa"/>
            <w:vAlign w:val="center"/>
            <w:textDirection w:val="lrTb"/>
            <w:noWrap w:val="false"/>
          </w:tcPr>
          <w:p>
            <w:pPr>
              <w:pStyle w:val="744"/>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w:t>
            </w:r>
            <w:r>
              <w:rPr>
                <w:rFonts w:hint="eastAsia"/>
                <w:highlight w:val="none"/>
                <w:lang w:val="en-US" w:eastAsia="zh-CN"/>
              </w:rPr>
              <w:t xml:space="preserve">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，投标人具有类似项目业绩的，每有一个得4分，</w:t>
            </w:r>
            <w:r>
              <w:rPr>
                <w:rFonts w:hint="eastAsia" w:ascii="宋体" w:hAnsi="宋体" w:eastAsia="宋体" w:cs="宋体"/>
                <w:b/>
                <w:color w:val="auto"/>
                <w:sz w:val="24"/>
                <w:szCs w:val="24"/>
                <w:highlight w:val="none"/>
              </w:rPr>
              <w:t xml:space="preserve">最高得2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739"/>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2"/>
        <w:gridCol w:w="7429"/>
      </w:tblGrid>
      <w:tr>
        <w:trPr>
          <w:jc w:val="center"/>
          <w:trHeight w:val="613"/>
        </w:trPr>
        <w:tc>
          <w:tcPr>
            <w:tcW w:w="242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2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02"/>
        </w:trPr>
        <w:tc>
          <w:tcPr>
            <w:tcW w:w="2422" w:type="dxa"/>
            <w:vAlign w:val="center"/>
            <w:textDirection w:val="lrTb"/>
            <w:noWrap w:val="false"/>
          </w:tcPr>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b/>
                <w:color w:val="auto"/>
                <w:sz w:val="24"/>
                <w:szCs w:val="28"/>
                <w:highlight w:val="none"/>
                <w:lang w:eastAsia="zh-CN"/>
              </w:rPr>
            </w:pPr>
            <w:r>
              <w:rPr>
                <w:rFonts w:hint="eastAsia" w:ascii="宋体" w:hAnsi="宋体" w:eastAsia="宋体" w:cs="宋体"/>
                <w:b/>
                <w:color w:val="auto"/>
                <w:sz w:val="24"/>
                <w:szCs w:val="28"/>
                <w:highlight w:val="none"/>
              </w:rPr>
              <w:t xml:space="preserve">根据本项目采购需求总体实施方案</w:t>
            </w:r>
            <w:r>
              <w:rPr>
                <w:rFonts w:hint="eastAsia" w:ascii="宋体" w:hAnsi="宋体" w:eastAsia="宋体" w:cs="宋体"/>
                <w:b/>
                <w:color w:val="auto"/>
                <w:sz w:val="24"/>
                <w:szCs w:val="28"/>
                <w:highlight w:val="none"/>
                <w:lang w:eastAsia="zh-CN"/>
              </w:rPr>
              <w:t xml:space="preserve">。</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实施方案描述详细、清晰，科学、合理，思路先进</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实施方案描述清晰程度一般，设计基本合理，针对性较强</w:t>
            </w:r>
            <w:r>
              <w:rPr>
                <w:rFonts w:hint="eastAsia" w:ascii="宋体" w:hAnsi="宋体" w:eastAsia="宋体" w:cs="宋体"/>
                <w:color w:val="auto"/>
                <w:sz w:val="24"/>
                <w:szCs w:val="24"/>
                <w:highlight w:val="none"/>
                <w:lang w:val="en-US" w:eastAsia="zh-CN"/>
              </w:rPr>
              <w:t xml:space="preserve">的得4分；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实施方案描述较含糊，整体方案不完整</w:t>
            </w:r>
            <w:r>
              <w:rPr>
                <w:rFonts w:hint="eastAsia" w:ascii="宋体" w:hAnsi="宋体" w:eastAsia="宋体" w:cs="宋体"/>
                <w:color w:val="auto"/>
                <w:sz w:val="24"/>
                <w:szCs w:val="24"/>
                <w:highlight w:val="none"/>
                <w:lang w:val="en-US" w:eastAsia="zh-CN"/>
              </w:rPr>
              <w:t xml:space="preserve">的得2分；</w:t>
            </w:r>
            <w:r/>
          </w:p>
          <w:p>
            <w:pP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2793"/>
        </w:trPr>
        <w:tc>
          <w:tcPr>
            <w:tcW w:w="2422" w:type="dxa"/>
            <w:vAlign w:val="center"/>
            <w:textDirection w:val="lrTb"/>
            <w:noWrap w:val="false"/>
          </w:tcPr>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项目配送方案</w:t>
            </w:r>
            <w:r/>
          </w:p>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 xml:space="preserve">投标人提供详细的产品配送运输方案</w:t>
            </w:r>
            <w:r>
              <w:rPr>
                <w:rFonts w:hint="eastAsia" w:ascii="宋体" w:hAnsi="宋体" w:eastAsia="宋体" w:cs="宋体"/>
                <w:color w:val="auto"/>
                <w:sz w:val="24"/>
                <w:szCs w:val="28"/>
                <w:highlight w:val="none"/>
              </w:rPr>
              <w:t xml:space="preserve">。方案中应包含仓储、运输的具体条件及具体的配送方式方法等。</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方案非常详细具体，完善可行</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方案比较具体，比较完善可行</w:t>
            </w:r>
            <w:r>
              <w:rPr>
                <w:rFonts w:hint="eastAsia" w:ascii="宋体" w:hAnsi="宋体" w:eastAsia="宋体" w:cs="宋体"/>
                <w:color w:val="auto"/>
                <w:sz w:val="24"/>
                <w:szCs w:val="24"/>
                <w:highlight w:val="none"/>
                <w:lang w:val="en-US" w:eastAsia="zh-CN"/>
              </w:rPr>
              <w:t xml:space="preserve">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方案细致程度一般，可行性一般</w:t>
            </w:r>
            <w:r>
              <w:rPr>
                <w:rFonts w:hint="eastAsia" w:ascii="宋体" w:hAnsi="宋体" w:eastAsia="宋体" w:cs="宋体"/>
                <w:color w:val="auto"/>
                <w:sz w:val="24"/>
                <w:szCs w:val="24"/>
                <w:highlight w:val="none"/>
                <w:lang w:val="en-US" w:eastAsia="zh-CN"/>
              </w:rPr>
              <w:t xml:space="preserve">的得2分；</w:t>
            </w:r>
            <w:r/>
          </w:p>
          <w:p>
            <w:pPr>
              <w:pStyle w:val="782"/>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446"/>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投标人提供售后服务方案</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的得10分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方案比较详细，售后服务计划比较完善可行，服务承诺、服务队伍建设比较规范，能满足项目要求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pStyle w:val="78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021"/>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投标人制定应急保障措施。</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完善可行，在月需求量增大时，制定了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详细的应急响应服务机制，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能够满足项目需求要求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7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bl>
    <w:p>
      <w:pPr>
        <w:jc w:val="left"/>
        <w:spacing w:line="360" w:lineRule="auto"/>
        <w:widowControl w:val="off"/>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both"/>
        <w:keepLines/>
        <w:keepNext/>
        <w:spacing w:before="340" w:after="330" w:line="360" w:lineRule="auto"/>
        <w:shd w:val="clear" w:color="auto" w:fill="auto"/>
        <w:widowControl w:val="off"/>
        <w:rPr>
          <w:rFonts w:hint="eastAsia"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6" w:name="_Toc165205799"/>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7" w:name="_Toc21532"/>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6"/>
      <w:r/>
      <w:bookmarkEnd w:id="17"/>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四、具备履行合同所必需的设备和专业技术能力的声明及证明材料</w:t>
      </w:r>
      <w:r/>
    </w:p>
    <w:p>
      <w:pPr>
        <w:jc w:val="center"/>
        <w:spacing w:line="46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73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eastAsia="zh-CN"/>
        </w:rPr>
        <w:t xml:space="preserve">JSZC-320700-XHZX-G2026-0029</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十三、联合体协议（参考格式）（分包号：**）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7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11"/>
            <w:tcW w:w="850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cs="宋体"/>
                <w:color w:val="000000"/>
              </w:rPr>
              <w:t xml:space="preserve">本采购包中提供的符合本国产品标准的产品成本之和占该采购包提供的全部产品成本之和的比例为</w:t>
            </w:r>
            <w:r>
              <w:rPr>
                <w:rFonts w:ascii="宋体" w:hAnsi="宋体" w:cs="宋体"/>
                <w:color w:val="000000"/>
                <w:u w:val="single"/>
              </w:rPr>
              <w:t xml:space="preserve">    </w:t>
            </w:r>
            <w:r>
              <w:rPr>
                <w:rFonts w:ascii="Times New Roman" w:hAnsi="Times New Roman" w:eastAsia="Times New Roman"/>
                <w:color w:val="000000"/>
              </w:rPr>
              <w:t xml:space="preserve">%</w:t>
            </w:r>
            <w:r>
              <w:rPr>
                <w:rFonts w:ascii="宋体" w:hAnsi="宋体" w:cs="宋体"/>
                <w:color w:val="000000"/>
              </w:rPr>
              <w:t xml:space="preserve">。</w:t>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3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3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73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rPr>
          <w:highlight w:val="none"/>
        </w:rP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仿宋">
    <w:panose1 w:val="02010609060101010101"/>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r/>
  </w:p>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pBdr>
        <w:bottom w:val="none" w:color="auto" w:sz="0" w:space="1"/>
      </w:pBdr>
    </w:pPr>
    <w:r/>
    <w:r/>
  </w:p>
  <w:p>
    <w:pPr>
      <w:pStyle w:val="75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5"/>
  </w:num>
  <w:num w:numId="3">
    <w:abstractNumId w:val="3"/>
  </w:num>
  <w:num w:numId="4">
    <w:abstractNumId w:val="2"/>
  </w:num>
  <w:num w:numId="5">
    <w:abstractNumId w:val="9"/>
  </w:num>
  <w:num w:numId="6">
    <w:abstractNumId w:val="11"/>
  </w:num>
  <w:num w:numId="7">
    <w:abstractNumId w:val="18"/>
  </w:num>
  <w:num w:numId="8">
    <w:abstractNumId w:val="8"/>
  </w:num>
  <w:num w:numId="9">
    <w:abstractNumId w:val="0"/>
  </w:num>
  <w:num w:numId="10">
    <w:abstractNumId w:val="12"/>
  </w:num>
  <w:num w:numId="11">
    <w:abstractNumId w:val="16"/>
  </w:num>
  <w:num w:numId="12">
    <w:abstractNumId w:val="4"/>
  </w:num>
  <w:num w:numId="13">
    <w:abstractNumId w:val="14"/>
  </w:num>
  <w:num w:numId="14">
    <w:abstractNumId w:val="10"/>
  </w:num>
  <w:num w:numId="15">
    <w:abstractNumId w:val="7"/>
  </w:num>
  <w:num w:numId="16">
    <w:abstractNumId w:val="6"/>
  </w:num>
  <w:num w:numId="17">
    <w:abstractNumId w:val="1"/>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729">
    <w:name w:val="Heading 1"/>
    <w:basedOn w:val="728"/>
    <w:next w:val="728"/>
    <w:link w:val="811"/>
    <w:uiPriority w:val="0"/>
    <w:qFormat/>
    <w:pPr>
      <w:keepLines/>
      <w:keepNext/>
      <w:spacing w:before="340" w:after="330" w:line="578" w:lineRule="auto"/>
      <w:outlineLvl w:val="0"/>
    </w:pPr>
    <w:rPr>
      <w:b/>
      <w:bCs/>
      <w:sz w:val="44"/>
      <w:szCs w:val="44"/>
    </w:rPr>
  </w:style>
  <w:style w:type="paragraph" w:styleId="730">
    <w:name w:val="Heading 2"/>
    <w:basedOn w:val="728"/>
    <w:next w:val="728"/>
    <w:link w:val="813"/>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31">
    <w:name w:val="Heading 3"/>
    <w:basedOn w:val="728"/>
    <w:next w:val="728"/>
    <w:link w:val="814"/>
    <w:uiPriority w:val="9"/>
    <w:unhideWhenUsed/>
    <w:qFormat/>
    <w:pPr>
      <w:keepLines/>
      <w:keepNext/>
      <w:spacing w:before="260" w:after="260" w:line="416" w:lineRule="auto"/>
      <w:outlineLvl w:val="2"/>
    </w:pPr>
    <w:rPr>
      <w:b/>
      <w:bCs/>
      <w:sz w:val="32"/>
      <w:szCs w:val="32"/>
    </w:rPr>
  </w:style>
  <w:style w:type="paragraph" w:styleId="732">
    <w:name w:val="Heading 4"/>
    <w:basedOn w:val="728"/>
    <w:next w:val="728"/>
    <w:link w:val="794"/>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95"/>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96"/>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8"/>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9"/>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unhideWhenUsed/>
    <w:qFormat/>
  </w:style>
  <w:style w:type="table" w:styleId="739" w:default="1">
    <w:name w:val="Normal Table"/>
    <w:uiPriority w:val="99"/>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right="0" w:firstLine="0"/>
      <w:spacing w:after="57"/>
    </w:pPr>
  </w:style>
  <w:style w:type="paragraph" w:styleId="741">
    <w:name w:val="Normal Indent"/>
    <w:basedOn w:val="728"/>
    <w:uiPriority w:val="99"/>
    <w:qFormat/>
    <w:pPr>
      <w:ind w:firstLine="420"/>
    </w:pPr>
    <w:rPr>
      <w:rFonts w:eastAsia="Times New Roman"/>
      <w:sz w:val="24"/>
      <w:szCs w:val="20"/>
    </w:rPr>
  </w:style>
  <w:style w:type="paragraph" w:styleId="742">
    <w:name w:val="Caption"/>
    <w:basedOn w:val="728"/>
    <w:next w:val="728"/>
    <w:uiPriority w:val="35"/>
    <w:unhideWhenUsed/>
    <w:qFormat/>
    <w:pPr>
      <w:spacing w:line="276" w:lineRule="auto"/>
    </w:pPr>
    <w:rPr>
      <w:b/>
      <w:bCs/>
      <w:color w:val="4f81bd"/>
      <w:sz w:val="18"/>
      <w:szCs w:val="18"/>
    </w:rPr>
  </w:style>
  <w:style w:type="paragraph" w:styleId="743">
    <w:name w:val="Document Map"/>
    <w:basedOn w:val="728"/>
    <w:link w:val="812"/>
    <w:uiPriority w:val="0"/>
    <w:unhideWhenUsed/>
    <w:qFormat/>
    <w:rPr>
      <w:rFonts w:ascii="宋体" w:eastAsia="宋体"/>
      <w:sz w:val="18"/>
      <w:szCs w:val="18"/>
    </w:rPr>
  </w:style>
  <w:style w:type="paragraph" w:styleId="744">
    <w:name w:val="annotation text"/>
    <w:basedOn w:val="728"/>
    <w:link w:val="816"/>
    <w:uiPriority w:val="0"/>
    <w:qFormat/>
    <w:pPr>
      <w:ind w:firstLine="922"/>
      <w:jc w:val="left"/>
      <w:spacing w:line="360" w:lineRule="auto"/>
    </w:pPr>
    <w:rPr>
      <w:rFonts w:ascii="Times New Roman" w:hAnsi="Times New Roman" w:eastAsia="宋体" w:cs="Times New Roman"/>
      <w:szCs w:val="24"/>
    </w:rPr>
  </w:style>
  <w:style w:type="paragraph" w:styleId="745">
    <w:name w:val="Body Text"/>
    <w:basedOn w:val="728"/>
    <w:next w:val="728"/>
    <w:link w:val="820"/>
    <w:uiPriority w:val="0"/>
    <w:semiHidden/>
    <w:qFormat/>
    <w:rPr>
      <w:rFonts w:ascii="Arial" w:hAnsi="Arial" w:eastAsia="Arial" w:cs="Arial"/>
      <w:szCs w:val="21"/>
      <w:lang w:eastAsia="en-US"/>
    </w:rPr>
  </w:style>
  <w:style w:type="paragraph" w:styleId="746">
    <w:name w:val="Body Text Indent"/>
    <w:basedOn w:val="728"/>
    <w:next w:val="747"/>
    <w:uiPriority w:val="99"/>
    <w:qFormat/>
    <w:pPr>
      <w:ind w:firstLine="301"/>
      <w:spacing w:line="200" w:lineRule="exact"/>
    </w:pPr>
    <w:rPr>
      <w:rFonts w:ascii="Tahoma" w:hAnsi="黑体"/>
      <w:spacing w:val="-4"/>
      <w:sz w:val="18"/>
      <w:szCs w:val="20"/>
    </w:rPr>
  </w:style>
  <w:style w:type="paragraph" w:styleId="747">
    <w:name w:val="envelope return"/>
    <w:basedOn w:val="728"/>
    <w:uiPriority w:val="99"/>
    <w:qFormat/>
    <w:rPr>
      <w:rFonts w:ascii="Arial" w:hAnsi="Arial"/>
    </w:rPr>
  </w:style>
  <w:style w:type="paragraph" w:styleId="748">
    <w:name w:val="toc 5"/>
    <w:basedOn w:val="728"/>
    <w:next w:val="728"/>
    <w:uiPriority w:val="39"/>
    <w:unhideWhenUsed/>
    <w:qFormat/>
    <w:pPr>
      <w:ind w:left="1134" w:right="0" w:firstLine="0"/>
      <w:spacing w:after="57"/>
    </w:pPr>
  </w:style>
  <w:style w:type="paragraph" w:styleId="749">
    <w:name w:val="toc 3"/>
    <w:basedOn w:val="728"/>
    <w:next w:val="728"/>
    <w:uiPriority w:val="39"/>
    <w:unhideWhenUsed/>
    <w:qFormat/>
    <w:pPr>
      <w:ind w:left="567" w:right="0" w:firstLine="0"/>
      <w:spacing w:after="57"/>
    </w:pPr>
  </w:style>
  <w:style w:type="paragraph" w:styleId="750">
    <w:name w:val="Plain Text"/>
    <w:basedOn w:val="728"/>
    <w:link w:val="819"/>
    <w:uiPriority w:val="0"/>
    <w:qFormat/>
    <w:rPr>
      <w:rFonts w:ascii="宋体" w:hAnsi="Courier New" w:eastAsia="宋体" w:cs="Times New Roman"/>
      <w:szCs w:val="20"/>
    </w:rPr>
  </w:style>
  <w:style w:type="paragraph" w:styleId="751">
    <w:name w:val="toc 8"/>
    <w:basedOn w:val="728"/>
    <w:next w:val="728"/>
    <w:uiPriority w:val="39"/>
    <w:unhideWhenUsed/>
    <w:qFormat/>
    <w:pPr>
      <w:ind w:left="1984" w:right="0" w:firstLine="0"/>
      <w:spacing w:after="57"/>
    </w:pPr>
  </w:style>
  <w:style w:type="paragraph" w:styleId="752">
    <w:name w:val="Date"/>
    <w:basedOn w:val="728"/>
    <w:next w:val="728"/>
    <w:link w:val="815"/>
    <w:uiPriority w:val="99"/>
    <w:unhideWhenUsed/>
    <w:qFormat/>
    <w:pPr>
      <w:ind w:left="100"/>
    </w:pPr>
  </w:style>
  <w:style w:type="paragraph" w:styleId="753">
    <w:name w:val="endnote text"/>
    <w:basedOn w:val="728"/>
    <w:link w:val="808"/>
    <w:uiPriority w:val="99"/>
    <w:unhideWhenUsed/>
    <w:qFormat/>
    <w:pPr>
      <w:spacing w:after="0" w:line="240" w:lineRule="auto"/>
    </w:pPr>
    <w:rPr>
      <w:sz w:val="20"/>
    </w:rPr>
  </w:style>
  <w:style w:type="paragraph" w:styleId="754">
    <w:name w:val="Balloon Text"/>
    <w:basedOn w:val="728"/>
    <w:link w:val="817"/>
    <w:uiPriority w:val="0"/>
    <w:unhideWhenUsed/>
    <w:qFormat/>
    <w:rPr>
      <w:sz w:val="18"/>
      <w:szCs w:val="18"/>
    </w:rPr>
  </w:style>
  <w:style w:type="paragraph" w:styleId="755">
    <w:name w:val="Footer"/>
    <w:basedOn w:val="728"/>
    <w:link w:val="810"/>
    <w:uiPriority w:val="0"/>
    <w:unhideWhenUsed/>
    <w:qFormat/>
    <w:pPr>
      <w:jc w:val="left"/>
      <w:tabs>
        <w:tab w:val="center" w:pos="4153" w:leader="none"/>
        <w:tab w:val="right" w:pos="8306" w:leader="none"/>
      </w:tabs>
    </w:pPr>
    <w:rPr>
      <w:sz w:val="18"/>
      <w:szCs w:val="18"/>
    </w:rPr>
  </w:style>
  <w:style w:type="paragraph" w:styleId="756">
    <w:name w:val="Header"/>
    <w:basedOn w:val="728"/>
    <w:link w:val="80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8"/>
    <w:next w:val="728"/>
    <w:uiPriority w:val="39"/>
    <w:unhideWhenUsed/>
    <w:qFormat/>
    <w:pPr>
      <w:jc w:val="center"/>
      <w:spacing w:line="360" w:lineRule="auto"/>
      <w:tabs>
        <w:tab w:val="right" w:pos="9628" w:leader="dot"/>
      </w:tabs>
    </w:pPr>
    <w:rPr>
      <w:sz w:val="32"/>
    </w:rPr>
  </w:style>
  <w:style w:type="paragraph" w:styleId="758">
    <w:name w:val="toc 4"/>
    <w:basedOn w:val="728"/>
    <w:next w:val="728"/>
    <w:uiPriority w:val="39"/>
    <w:unhideWhenUsed/>
    <w:qFormat/>
    <w:pPr>
      <w:ind w:left="850" w:right="0" w:firstLine="0"/>
      <w:spacing w:after="57"/>
    </w:pPr>
  </w:style>
  <w:style w:type="paragraph" w:styleId="759">
    <w:name w:val="Subtitle"/>
    <w:basedOn w:val="728"/>
    <w:next w:val="728"/>
    <w:link w:val="801"/>
    <w:uiPriority w:val="11"/>
    <w:qFormat/>
    <w:pPr>
      <w:spacing w:before="200" w:after="200"/>
    </w:pPr>
    <w:rPr>
      <w:sz w:val="24"/>
      <w:szCs w:val="24"/>
    </w:rPr>
  </w:style>
  <w:style w:type="paragraph" w:styleId="760">
    <w:name w:val="footnote text"/>
    <w:basedOn w:val="728"/>
    <w:link w:val="807"/>
    <w:uiPriority w:val="99"/>
    <w:unhideWhenUsed/>
    <w:qFormat/>
    <w:pPr>
      <w:spacing w:after="40" w:line="240" w:lineRule="auto"/>
    </w:pPr>
    <w:rPr>
      <w:sz w:val="18"/>
    </w:rPr>
  </w:style>
  <w:style w:type="paragraph" w:styleId="761">
    <w:name w:val="toc 6"/>
    <w:basedOn w:val="728"/>
    <w:next w:val="728"/>
    <w:uiPriority w:val="39"/>
    <w:unhideWhenUsed/>
    <w:qFormat/>
    <w:pPr>
      <w:ind w:left="1417" w:right="0" w:firstLine="0"/>
      <w:spacing w:after="57"/>
    </w:pPr>
  </w:style>
  <w:style w:type="paragraph" w:styleId="762">
    <w:name w:val="table of figures"/>
    <w:basedOn w:val="728"/>
    <w:next w:val="728"/>
    <w:uiPriority w:val="99"/>
    <w:unhideWhenUsed/>
    <w:qFormat/>
    <w:pPr>
      <w:spacing w:after="0" w:afterAutospacing="0"/>
    </w:pPr>
  </w:style>
  <w:style w:type="paragraph" w:styleId="763">
    <w:name w:val="toc 2"/>
    <w:basedOn w:val="728"/>
    <w:next w:val="728"/>
    <w:uiPriority w:val="39"/>
    <w:unhideWhenUsed/>
    <w:qFormat/>
    <w:pPr>
      <w:ind w:left="283" w:right="0" w:firstLine="0"/>
      <w:spacing w:after="57"/>
    </w:pPr>
  </w:style>
  <w:style w:type="paragraph" w:styleId="764">
    <w:name w:val="toc 9"/>
    <w:basedOn w:val="728"/>
    <w:next w:val="728"/>
    <w:uiPriority w:val="39"/>
    <w:unhideWhenUsed/>
    <w:qFormat/>
    <w:pPr>
      <w:ind w:left="2268" w:right="0" w:firstLine="0"/>
      <w:spacing w:after="57"/>
    </w:pPr>
  </w:style>
  <w:style w:type="paragraph" w:styleId="765">
    <w:name w:val="Normal (Web)"/>
    <w:basedOn w:val="728"/>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766">
    <w:name w:val="Title"/>
    <w:basedOn w:val="728"/>
    <w:next w:val="728"/>
    <w:link w:val="800"/>
    <w:uiPriority w:val="10"/>
    <w:qFormat/>
    <w:pPr>
      <w:contextualSpacing/>
      <w:spacing w:before="300" w:after="200"/>
    </w:pPr>
    <w:rPr>
      <w:sz w:val="48"/>
      <w:szCs w:val="48"/>
    </w:rPr>
  </w:style>
  <w:style w:type="table" w:styleId="767">
    <w:name w:val="Table Grid"/>
    <w:basedOn w:val="7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basedOn w:val="738"/>
    <w:uiPriority w:val="22"/>
    <w:qFormat/>
    <w:rPr>
      <w:b/>
    </w:rPr>
  </w:style>
  <w:style w:type="character" w:styleId="769">
    <w:name w:val="endnote reference"/>
    <w:basedOn w:val="738"/>
    <w:uiPriority w:val="99"/>
    <w:unhideWhenUsed/>
    <w:qFormat/>
    <w:rPr>
      <w:vertAlign w:val="superscript"/>
    </w:rPr>
  </w:style>
  <w:style w:type="character" w:styleId="770">
    <w:name w:val="page number"/>
    <w:basedOn w:val="738"/>
    <w:uiPriority w:val="99"/>
    <w:unhideWhenUsed/>
    <w:qFormat/>
  </w:style>
  <w:style w:type="character" w:styleId="771">
    <w:name w:val="Emphasis"/>
    <w:basedOn w:val="738"/>
    <w:uiPriority w:val="20"/>
    <w:qFormat/>
    <w:rPr>
      <w:i/>
    </w:rPr>
  </w:style>
  <w:style w:type="character" w:styleId="772">
    <w:name w:val="Hyperlink"/>
    <w:uiPriority w:val="99"/>
    <w:qFormat/>
    <w:rPr>
      <w:color w:val="0000ff"/>
      <w:u w:val="none"/>
    </w:rPr>
  </w:style>
  <w:style w:type="character" w:styleId="773">
    <w:name w:val="annotation reference"/>
    <w:uiPriority w:val="0"/>
    <w:qFormat/>
    <w:rPr>
      <w:sz w:val="21"/>
      <w:szCs w:val="21"/>
    </w:rPr>
  </w:style>
  <w:style w:type="character" w:styleId="774">
    <w:name w:val="footnote reference"/>
    <w:basedOn w:val="738"/>
    <w:uiPriority w:val="99"/>
    <w:unhideWhenUsed/>
    <w:qFormat/>
    <w:rPr>
      <w:vertAlign w:val="superscript"/>
    </w:rPr>
  </w:style>
  <w:style w:type="paragraph" w:styleId="7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776" w:customStyle="1">
    <w:name w:val="Quote1"/>
    <w:basedOn w:val="728"/>
    <w:next w:val="728"/>
    <w:uiPriority w:val="99"/>
    <w:qFormat/>
    <w:pPr>
      <w:ind w:left="864" w:right="864"/>
      <w:jc w:val="center"/>
      <w:spacing w:before="200" w:after="160"/>
      <w:widowControl/>
    </w:pPr>
    <w:rPr>
      <w:rFonts w:ascii="宋体"/>
      <w:i/>
      <w:color w:val="404040"/>
    </w:rPr>
  </w:style>
  <w:style w:type="paragraph" w:styleId="777" w:customStyle="1">
    <w:name w:val="List Paragraph"/>
    <w:basedOn w:val="728"/>
    <w:uiPriority w:val="34"/>
    <w:qFormat/>
    <w:pPr>
      <w:contextualSpacing/>
      <w:ind w:left="720"/>
    </w:pPr>
  </w:style>
  <w:style w:type="paragraph" w:styleId="778"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779" w:customStyle="1">
    <w:name w:val="Quote"/>
    <w:basedOn w:val="728"/>
    <w:next w:val="728"/>
    <w:link w:val="802"/>
    <w:uiPriority w:val="29"/>
    <w:qFormat/>
    <w:pPr>
      <w:ind w:left="720" w:right="720"/>
    </w:pPr>
    <w:rPr>
      <w:i/>
    </w:rPr>
  </w:style>
  <w:style w:type="paragraph" w:styleId="780" w:customStyle="1">
    <w:name w:val="Intense Quote"/>
    <w:basedOn w:val="728"/>
    <w:next w:val="72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1" w:customStyle="1">
    <w:name w:val="TOC Heading"/>
    <w:uiPriority w:val="39"/>
    <w:unhideWhenUsed/>
    <w:qFormat/>
    <w:rPr>
      <w:rFonts w:hint="default" w:ascii="Calibri" w:hAnsi="Calibri" w:eastAsia="Arial" w:cs="Arial"/>
      <w:lang w:val="en-US" w:eastAsia="zh-CN" w:bidi="ar-SA"/>
    </w:rPr>
  </w:style>
  <w:style w:type="paragraph" w:styleId="782" w:customStyle="1">
    <w:name w:val="Default"/>
    <w:link w:val="818"/>
    <w:uiPriority w:val="99"/>
    <w:qFormat/>
    <w:pPr>
      <w:widowControl w:val="off"/>
    </w:pPr>
    <w:rPr>
      <w:rFonts w:hint="default" w:ascii="MS Mincho" w:hAnsi="Calibri" w:eastAsia="宋体" w:cs="Times New Roman"/>
      <w:color w:val="000000"/>
      <w:sz w:val="21"/>
      <w:szCs w:val="24"/>
      <w:lang w:val="en-US" w:eastAsia="zh-CN" w:bidi="ar-SA"/>
    </w:rPr>
  </w:style>
  <w:style w:type="paragraph" w:styleId="78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784" w:customStyle="1">
    <w:name w:val="Table Text"/>
    <w:basedOn w:val="728"/>
    <w:uiPriority w:val="0"/>
    <w:semiHidden/>
    <w:qFormat/>
    <w:rPr>
      <w:rFonts w:ascii="宋体" w:hAnsi="宋体" w:eastAsia="宋体" w:cs="宋体"/>
      <w:sz w:val="24"/>
      <w:szCs w:val="24"/>
      <w:lang w:eastAsia="en-US"/>
    </w:rPr>
  </w:style>
  <w:style w:type="paragraph" w:styleId="785" w:customStyle="1">
    <w:name w:val="纯文本11"/>
    <w:basedOn w:val="728"/>
    <w:next w:val="728"/>
    <w:uiPriority w:val="0"/>
    <w:qFormat/>
    <w:pPr>
      <w:ind w:firstLine="922"/>
      <w:spacing w:line="360" w:lineRule="auto"/>
    </w:pPr>
    <w:rPr>
      <w:rFonts w:ascii="宋体" w:hAnsi="Courier New" w:eastAsia="宋体" w:cs="Times New Roman"/>
      <w:szCs w:val="20"/>
    </w:rPr>
  </w:style>
  <w:style w:type="paragraph" w:styleId="786" w:customStyle="1">
    <w:name w:val="正文文本1"/>
    <w:basedOn w:val="728"/>
    <w:uiPriority w:val="0"/>
    <w:qFormat/>
    <w:pPr>
      <w:ind w:firstLine="922"/>
      <w:spacing w:line="360" w:lineRule="auto"/>
    </w:pPr>
    <w:rPr>
      <w:rFonts w:ascii="金山简黑体" w:hAnsi="Courier New" w:eastAsia="金山简黑体" w:cs="Times New Roman"/>
      <w:b/>
      <w:spacing w:val="-8"/>
      <w:sz w:val="44"/>
      <w:szCs w:val="20"/>
    </w:rPr>
  </w:style>
  <w:style w:type="paragraph" w:styleId="787" w:customStyle="1">
    <w:name w:val="正文1"/>
    <w:basedOn w:val="741"/>
    <w:uiPriority w:val="0"/>
    <w:qFormat/>
    <w:pPr>
      <w:spacing w:line="500" w:lineRule="exact"/>
    </w:pPr>
    <w:rPr>
      <w:rFonts w:hAnsi="新宋体"/>
    </w:rPr>
  </w:style>
  <w:style w:type="paragraph" w:styleId="788" w:customStyle="1">
    <w:name w:val="_Style 6"/>
    <w:basedOn w:val="728"/>
    <w:next w:val="728"/>
    <w:uiPriority w:val="0"/>
    <w:qFormat/>
    <w:pPr>
      <w:ind w:firstLine="420"/>
      <w:spacing w:line="192" w:lineRule="auto"/>
    </w:pPr>
    <w:rPr>
      <w:rFonts w:ascii="Calibri" w:hAnsi="Calibri" w:eastAsia="宋体" w:cs="Times New Roman"/>
      <w:szCs w:val="24"/>
    </w:rPr>
  </w:style>
  <w:style w:type="paragraph" w:styleId="789" w:customStyle="1">
    <w:name w:val="列出段落1"/>
    <w:basedOn w:val="728"/>
    <w:uiPriority w:val="0"/>
    <w:qFormat/>
    <w:pPr>
      <w:ind w:firstLine="420"/>
    </w:pPr>
    <w:rPr>
      <w:szCs w:val="21"/>
    </w:rPr>
  </w:style>
  <w:style w:type="paragraph" w:styleId="790" w:customStyle="1">
    <w:name w:val="标题 31"/>
    <w:basedOn w:val="728"/>
    <w:next w:val="728"/>
    <w:uiPriority w:val="0"/>
    <w:qFormat/>
    <w:pPr>
      <w:keepLines/>
      <w:keepNext/>
      <w:spacing w:before="260" w:after="260" w:line="416" w:lineRule="auto"/>
      <w:outlineLvl w:val="2"/>
    </w:pPr>
    <w:rPr>
      <w:rFonts w:ascii="Times New Roman" w:hAnsi="Times New Roman"/>
      <w:b/>
      <w:bCs/>
      <w:sz w:val="32"/>
      <w:szCs w:val="32"/>
    </w:rPr>
  </w:style>
  <w:style w:type="character" w:styleId="791" w:customStyle="1">
    <w:name w:val="Heading 1 Char"/>
    <w:basedOn w:val="738"/>
    <w:uiPriority w:val="9"/>
    <w:qFormat/>
    <w:rPr>
      <w:rFonts w:ascii="Arial" w:hAnsi="Arial" w:eastAsia="Arial" w:cs="Arial"/>
      <w:sz w:val="40"/>
      <w:szCs w:val="40"/>
    </w:rPr>
  </w:style>
  <w:style w:type="character" w:styleId="792" w:customStyle="1">
    <w:name w:val="Heading 2 Char"/>
    <w:basedOn w:val="738"/>
    <w:uiPriority w:val="9"/>
    <w:qFormat/>
    <w:rPr>
      <w:rFonts w:ascii="Arial" w:hAnsi="Arial" w:eastAsia="Arial" w:cs="Arial"/>
      <w:sz w:val="34"/>
    </w:rPr>
  </w:style>
  <w:style w:type="character" w:styleId="793" w:customStyle="1">
    <w:name w:val="Heading 3 Char"/>
    <w:basedOn w:val="738"/>
    <w:uiPriority w:val="9"/>
    <w:qFormat/>
    <w:rPr>
      <w:rFonts w:ascii="Arial" w:hAnsi="Arial" w:eastAsia="Arial" w:cs="Arial"/>
      <w:sz w:val="30"/>
      <w:szCs w:val="30"/>
    </w:rPr>
  </w:style>
  <w:style w:type="character" w:styleId="794" w:customStyle="1">
    <w:name w:val="Heading 4 Char"/>
    <w:basedOn w:val="738"/>
    <w:link w:val="732"/>
    <w:uiPriority w:val="9"/>
    <w:qFormat/>
    <w:rPr>
      <w:rFonts w:ascii="Arial" w:hAnsi="Arial" w:eastAsia="Arial" w:cs="Arial"/>
      <w:b/>
      <w:bCs/>
      <w:sz w:val="26"/>
      <w:szCs w:val="26"/>
    </w:rPr>
  </w:style>
  <w:style w:type="character" w:styleId="795" w:customStyle="1">
    <w:name w:val="Heading 5 Char"/>
    <w:basedOn w:val="738"/>
    <w:link w:val="733"/>
    <w:uiPriority w:val="9"/>
    <w:qFormat/>
    <w:rPr>
      <w:rFonts w:ascii="Arial" w:hAnsi="Arial" w:eastAsia="Arial" w:cs="Arial"/>
      <w:b/>
      <w:bCs/>
      <w:sz w:val="24"/>
      <w:szCs w:val="24"/>
    </w:rPr>
  </w:style>
  <w:style w:type="character" w:styleId="796" w:customStyle="1">
    <w:name w:val="Heading 6 Char"/>
    <w:basedOn w:val="738"/>
    <w:link w:val="734"/>
    <w:uiPriority w:val="9"/>
    <w:qFormat/>
    <w:rPr>
      <w:rFonts w:ascii="Arial" w:hAnsi="Arial" w:eastAsia="Arial" w:cs="Arial"/>
      <w:b/>
      <w:bCs/>
      <w:sz w:val="22"/>
      <w:szCs w:val="22"/>
    </w:rPr>
  </w:style>
  <w:style w:type="character" w:styleId="797" w:customStyle="1">
    <w:name w:val="Heading 7 Char"/>
    <w:basedOn w:val="738"/>
    <w:link w:val="735"/>
    <w:uiPriority w:val="9"/>
    <w:qFormat/>
    <w:rPr>
      <w:rFonts w:ascii="Arial" w:hAnsi="Arial" w:eastAsia="Arial" w:cs="Arial"/>
      <w:b/>
      <w:bCs/>
      <w:i/>
      <w:iCs/>
      <w:sz w:val="22"/>
      <w:szCs w:val="22"/>
    </w:rPr>
  </w:style>
  <w:style w:type="character" w:styleId="798" w:customStyle="1">
    <w:name w:val="Heading 8 Char"/>
    <w:basedOn w:val="738"/>
    <w:link w:val="736"/>
    <w:uiPriority w:val="9"/>
    <w:qFormat/>
    <w:rPr>
      <w:rFonts w:ascii="Arial" w:hAnsi="Arial" w:eastAsia="Arial" w:cs="Arial"/>
      <w:i/>
      <w:iCs/>
      <w:sz w:val="22"/>
      <w:szCs w:val="22"/>
    </w:rPr>
  </w:style>
  <w:style w:type="character" w:styleId="799" w:customStyle="1">
    <w:name w:val="Heading 9 Char"/>
    <w:basedOn w:val="738"/>
    <w:link w:val="737"/>
    <w:uiPriority w:val="9"/>
    <w:qFormat/>
    <w:rPr>
      <w:rFonts w:ascii="Arial" w:hAnsi="Arial" w:eastAsia="Arial" w:cs="Arial"/>
      <w:i/>
      <w:iCs/>
      <w:sz w:val="21"/>
      <w:szCs w:val="21"/>
    </w:rPr>
  </w:style>
  <w:style w:type="character" w:styleId="800" w:customStyle="1">
    <w:name w:val="Title Char"/>
    <w:basedOn w:val="738"/>
    <w:link w:val="766"/>
    <w:uiPriority w:val="10"/>
    <w:qFormat/>
    <w:rPr>
      <w:sz w:val="48"/>
      <w:szCs w:val="48"/>
    </w:rPr>
  </w:style>
  <w:style w:type="character" w:styleId="801" w:customStyle="1">
    <w:name w:val="Subtitle Char"/>
    <w:basedOn w:val="738"/>
    <w:link w:val="759"/>
    <w:uiPriority w:val="11"/>
    <w:qFormat/>
    <w:rPr>
      <w:sz w:val="24"/>
      <w:szCs w:val="24"/>
    </w:rPr>
  </w:style>
  <w:style w:type="character" w:styleId="802" w:customStyle="1">
    <w:name w:val="Quote Char"/>
    <w:link w:val="779"/>
    <w:uiPriority w:val="29"/>
    <w:qFormat/>
    <w:rPr>
      <w:i/>
    </w:rPr>
  </w:style>
  <w:style w:type="character" w:styleId="803" w:customStyle="1">
    <w:name w:val="Intense Quote Char"/>
    <w:link w:val="780"/>
    <w:uiPriority w:val="30"/>
    <w:qFormat/>
    <w:rPr>
      <w:i/>
    </w:rPr>
  </w:style>
  <w:style w:type="character" w:styleId="804" w:customStyle="1">
    <w:name w:val="Header Char"/>
    <w:basedOn w:val="738"/>
    <w:uiPriority w:val="99"/>
    <w:qFormat/>
  </w:style>
  <w:style w:type="character" w:styleId="805" w:customStyle="1">
    <w:name w:val="Footer Char"/>
    <w:basedOn w:val="738"/>
    <w:uiPriority w:val="99"/>
    <w:qFormat/>
  </w:style>
  <w:style w:type="character" w:styleId="806" w:customStyle="1">
    <w:name w:val="Caption Char"/>
    <w:uiPriority w:val="99"/>
    <w:qFormat/>
  </w:style>
  <w:style w:type="character" w:styleId="807" w:customStyle="1">
    <w:name w:val="Footnote Text Char"/>
    <w:link w:val="760"/>
    <w:uiPriority w:val="99"/>
    <w:qFormat/>
    <w:rPr>
      <w:sz w:val="18"/>
    </w:rPr>
  </w:style>
  <w:style w:type="character" w:styleId="808" w:customStyle="1">
    <w:name w:val="Endnote Text Char"/>
    <w:link w:val="753"/>
    <w:uiPriority w:val="99"/>
    <w:qFormat/>
    <w:rPr>
      <w:sz w:val="20"/>
    </w:rPr>
  </w:style>
  <w:style w:type="character" w:styleId="809" w:customStyle="1">
    <w:name w:val="页眉 Char"/>
    <w:basedOn w:val="738"/>
    <w:link w:val="756"/>
    <w:uiPriority w:val="0"/>
    <w:qFormat/>
    <w:rPr>
      <w:sz w:val="18"/>
      <w:szCs w:val="18"/>
    </w:rPr>
  </w:style>
  <w:style w:type="character" w:styleId="810" w:customStyle="1">
    <w:name w:val="页脚 Char"/>
    <w:basedOn w:val="738"/>
    <w:link w:val="755"/>
    <w:uiPriority w:val="0"/>
    <w:qFormat/>
    <w:rPr>
      <w:sz w:val="18"/>
      <w:szCs w:val="18"/>
    </w:rPr>
  </w:style>
  <w:style w:type="character" w:styleId="811" w:customStyle="1">
    <w:name w:val="标题 1 Char"/>
    <w:basedOn w:val="738"/>
    <w:link w:val="729"/>
    <w:uiPriority w:val="0"/>
    <w:qFormat/>
    <w:rPr>
      <w:b/>
      <w:bCs/>
      <w:sz w:val="44"/>
      <w:szCs w:val="44"/>
    </w:rPr>
  </w:style>
  <w:style w:type="character" w:styleId="812" w:customStyle="1">
    <w:name w:val="文档结构图 Char"/>
    <w:basedOn w:val="738"/>
    <w:link w:val="743"/>
    <w:uiPriority w:val="0"/>
    <w:qFormat/>
    <w:rPr>
      <w:rFonts w:ascii="宋体" w:eastAsia="宋体"/>
      <w:sz w:val="18"/>
      <w:szCs w:val="18"/>
    </w:rPr>
  </w:style>
  <w:style w:type="character" w:styleId="813" w:customStyle="1">
    <w:name w:val="标题 2 Char"/>
    <w:basedOn w:val="738"/>
    <w:link w:val="730"/>
    <w:uiPriority w:val="9"/>
    <w:qFormat/>
    <w:rPr>
      <w:rFonts w:ascii="Cambria" w:hAnsi="Cambria" w:eastAsia="Arial" w:cs="Arial"/>
      <w:b/>
      <w:bCs/>
      <w:sz w:val="32"/>
      <w:szCs w:val="32"/>
    </w:rPr>
  </w:style>
  <w:style w:type="character" w:styleId="814" w:customStyle="1">
    <w:name w:val="标题 3 Char"/>
    <w:basedOn w:val="738"/>
    <w:link w:val="731"/>
    <w:uiPriority w:val="9"/>
    <w:qFormat/>
    <w:rPr>
      <w:b/>
      <w:bCs/>
      <w:sz w:val="32"/>
      <w:szCs w:val="32"/>
    </w:rPr>
  </w:style>
  <w:style w:type="character" w:styleId="815" w:customStyle="1">
    <w:name w:val="日期 Char"/>
    <w:basedOn w:val="738"/>
    <w:link w:val="752"/>
    <w:uiPriority w:val="99"/>
    <w:semiHidden/>
    <w:qFormat/>
  </w:style>
  <w:style w:type="character" w:styleId="816" w:customStyle="1">
    <w:name w:val="批注文字 Char"/>
    <w:basedOn w:val="738"/>
    <w:link w:val="744"/>
    <w:uiPriority w:val="0"/>
    <w:qFormat/>
    <w:rPr>
      <w:rFonts w:ascii="Times New Roman" w:hAnsi="Times New Roman" w:eastAsia="宋体" w:cs="Times New Roman"/>
      <w:szCs w:val="24"/>
    </w:rPr>
  </w:style>
  <w:style w:type="character" w:styleId="817" w:customStyle="1">
    <w:name w:val="批注框文本 Char"/>
    <w:basedOn w:val="738"/>
    <w:link w:val="754"/>
    <w:uiPriority w:val="0"/>
    <w:qFormat/>
    <w:rPr>
      <w:sz w:val="18"/>
      <w:szCs w:val="18"/>
    </w:rPr>
  </w:style>
  <w:style w:type="character" w:styleId="818" w:customStyle="1">
    <w:name w:val="Default Char"/>
    <w:link w:val="782"/>
    <w:uiPriority w:val="99"/>
    <w:qFormat/>
    <w:rPr>
      <w:rFonts w:ascii="MS Mincho" w:hAnsi="Calibri" w:eastAsia="宋体" w:cs="Times New Roman"/>
      <w:color w:val="000000"/>
      <w:szCs w:val="24"/>
    </w:rPr>
  </w:style>
  <w:style w:type="character" w:styleId="819" w:customStyle="1">
    <w:name w:val="纯文本 Char"/>
    <w:basedOn w:val="738"/>
    <w:link w:val="750"/>
    <w:uiPriority w:val="0"/>
    <w:qFormat/>
    <w:rPr>
      <w:rFonts w:ascii="宋体" w:hAnsi="Courier New" w:eastAsia="宋体" w:cs="Times New Roman"/>
      <w:szCs w:val="20"/>
    </w:rPr>
  </w:style>
  <w:style w:type="character" w:styleId="820" w:customStyle="1">
    <w:name w:val="正文文本 Char"/>
    <w:basedOn w:val="738"/>
    <w:link w:val="745"/>
    <w:uiPriority w:val="0"/>
    <w:semiHidden/>
    <w:qFormat/>
    <w:rPr>
      <w:rFonts w:ascii="Arial" w:hAnsi="Arial" w:eastAsia="Arial" w:cs="Arial"/>
      <w:szCs w:val="21"/>
      <w:lang w:eastAsia="en-US"/>
    </w:rPr>
  </w:style>
  <w:style w:type="character" w:styleId="821" w:customStyle="1">
    <w:name w:val="font81"/>
    <w:basedOn w:val="738"/>
    <w:uiPriority w:val="0"/>
    <w:qFormat/>
    <w:rPr>
      <w:rFonts w:hint="eastAsia" w:ascii="宋体" w:hAnsi="宋体" w:eastAsia="宋体" w:cs="宋体"/>
      <w:color w:val="000000"/>
      <w:sz w:val="20"/>
      <w:szCs w:val="20"/>
      <w:u w:val="none"/>
    </w:rPr>
  </w:style>
  <w:style w:type="character" w:styleId="822" w:customStyle="1">
    <w:name w:val="font71"/>
    <w:basedOn w:val="738"/>
    <w:uiPriority w:val="0"/>
    <w:qFormat/>
    <w:rPr>
      <w:rFonts w:hint="default" w:ascii="方正仿宋_GBK" w:hAnsi="方正仿宋_GBK" w:eastAsia="方正仿宋_GBK" w:cs="方正仿宋_GBK"/>
      <w:color w:val="000000"/>
      <w:sz w:val="20"/>
      <w:szCs w:val="20"/>
      <w:u w:val="none"/>
    </w:rPr>
  </w:style>
  <w:style w:type="character" w:styleId="823" w:customStyle="1">
    <w:name w:val="font91"/>
    <w:basedOn w:val="738"/>
    <w:uiPriority w:val="0"/>
    <w:qFormat/>
    <w:rPr>
      <w:rFonts w:hint="eastAsia" w:ascii="宋体" w:hAnsi="宋体" w:eastAsia="宋体" w:cs="宋体"/>
      <w:color w:val="000000"/>
      <w:sz w:val="20"/>
      <w:szCs w:val="20"/>
      <w:u w:val="none"/>
    </w:rPr>
  </w:style>
  <w:style w:type="character" w:styleId="824" w:customStyle="1">
    <w:name w:val="font31"/>
    <w:basedOn w:val="738"/>
    <w:uiPriority w:val="0"/>
    <w:qFormat/>
    <w:rPr>
      <w:rFonts w:hint="default" w:ascii="方正仿宋_GBK" w:hAnsi="方正仿宋_GBK" w:eastAsia="方正仿宋_GBK" w:cs="方正仿宋_GBK"/>
      <w:color w:val="000000"/>
      <w:sz w:val="20"/>
      <w:szCs w:val="20"/>
      <w:u w:val="none"/>
    </w:rPr>
  </w:style>
  <w:style w:type="character" w:styleId="825" w:customStyle="1">
    <w:name w:val="font51"/>
    <w:basedOn w:val="738"/>
    <w:uiPriority w:val="0"/>
    <w:qFormat/>
    <w:rPr>
      <w:rFonts w:hint="default" w:ascii="方正仿宋_GBK" w:hAnsi="方正仿宋_GBK" w:eastAsia="方正仿宋_GBK" w:cs="方正仿宋_GBK"/>
      <w:color w:val="000000"/>
      <w:sz w:val="21"/>
      <w:szCs w:val="21"/>
      <w:u w:val="none"/>
    </w:rPr>
  </w:style>
  <w:style w:type="character" w:styleId="826" w:customStyle="1">
    <w:name w:val="font61"/>
    <w:basedOn w:val="738"/>
    <w:uiPriority w:val="0"/>
    <w:qFormat/>
    <w:rPr>
      <w:rFonts w:hint="default" w:ascii="方正仿宋_GBK" w:hAnsi="方正仿宋_GBK" w:eastAsia="方正仿宋_GBK" w:cs="方正仿宋_GBK"/>
      <w:color w:val="000000"/>
      <w:sz w:val="24"/>
      <w:szCs w:val="24"/>
      <w:u w:val="none"/>
    </w:rPr>
  </w:style>
  <w:style w:type="character" w:styleId="827" w:customStyle="1">
    <w:name w:val="font21"/>
    <w:basedOn w:val="738"/>
    <w:uiPriority w:val="0"/>
    <w:qFormat/>
    <w:rPr>
      <w:rFonts w:hint="default" w:ascii="方正仿宋_GBK" w:hAnsi="方正仿宋_GBK" w:eastAsia="方正仿宋_GBK" w:cs="方正仿宋_GBK"/>
      <w:color w:val="000000"/>
      <w:sz w:val="24"/>
      <w:szCs w:val="24"/>
      <w:u w:val="none"/>
    </w:rPr>
  </w:style>
  <w:style w:type="character" w:styleId="828" w:customStyle="1">
    <w:name w:val="font41"/>
    <w:basedOn w:val="738"/>
    <w:uiPriority w:val="0"/>
    <w:qFormat/>
    <w:rPr>
      <w:rFonts w:ascii="Arial" w:hAnsi="Arial" w:cs="Arial"/>
      <w:color w:val="000000"/>
      <w:sz w:val="24"/>
      <w:szCs w:val="24"/>
      <w:u w:val="none"/>
    </w:rPr>
  </w:style>
  <w:style w:type="character" w:styleId="829" w:customStyle="1">
    <w:name w:val="font11"/>
    <w:basedOn w:val="738"/>
    <w:uiPriority w:val="0"/>
    <w:qFormat/>
    <w:rPr>
      <w:rFonts w:hint="default" w:ascii="方正仿宋_GBK" w:hAnsi="方正仿宋_GBK" w:eastAsia="方正仿宋_GBK" w:cs="方正仿宋_GBK"/>
      <w:color w:val="000000"/>
      <w:sz w:val="24"/>
      <w:szCs w:val="24"/>
      <w:u w:val="none"/>
    </w:rPr>
  </w:style>
  <w:style w:type="table" w:styleId="830" w:customStyle="1">
    <w:name w:val="Table Grid Light"/>
    <w:basedOn w:val="73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1" w:customStyle="1">
    <w:name w:val="Plain Table 1"/>
    <w:basedOn w:val="73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3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3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3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3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1 Light"/>
    <w:basedOn w:val="73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1"/>
    <w:basedOn w:val="73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Grid Table 1 Light - Accent 2"/>
    <w:basedOn w:val="73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9" w:customStyle="1">
    <w:name w:val="Grid Table 1 Light - Accent 3"/>
    <w:basedOn w:val="73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1 Light - Accent 4"/>
    <w:basedOn w:val="73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1" w:customStyle="1">
    <w:name w:val="Grid Table 1 Light - Accent 5"/>
    <w:basedOn w:val="73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2" w:customStyle="1">
    <w:name w:val="Grid Table 1 Light - Accent 6"/>
    <w:basedOn w:val="73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3" w:customStyle="1">
    <w:name w:val="Grid Table 2"/>
    <w:basedOn w:val="73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1"/>
    <w:basedOn w:val="73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2 - Accent 2"/>
    <w:basedOn w:val="73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2 - Accent 3"/>
    <w:basedOn w:val="73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2 - Accent 4"/>
    <w:basedOn w:val="73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2 - Accent 5"/>
    <w:basedOn w:val="73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2 - Accent 6"/>
    <w:basedOn w:val="73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w:basedOn w:val="73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1"/>
    <w:basedOn w:val="73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3 - Accent 2"/>
    <w:basedOn w:val="73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3 - Accent 3"/>
    <w:basedOn w:val="73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3 - Accent 4"/>
    <w:basedOn w:val="73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3 - Accent 5"/>
    <w:basedOn w:val="73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3 - Accent 6"/>
    <w:basedOn w:val="73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w:basedOn w:val="73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4 - Accent 1"/>
    <w:basedOn w:val="739"/>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4 - Accent 2"/>
    <w:basedOn w:val="739"/>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4 - Accent 3"/>
    <w:basedOn w:val="739"/>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4 - Accent 4"/>
    <w:basedOn w:val="739"/>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4 - Accent 5"/>
    <w:basedOn w:val="739"/>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4 - Accent 6"/>
    <w:basedOn w:val="739"/>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5 Dark"/>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5 Dark- Accent 1"/>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5 Dark - Accent 2"/>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5 Dark - Accent 3"/>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5 Dark- Accent 4"/>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5 Dark - Accent 5"/>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5 Dark - Accent 6"/>
    <w:basedOn w:val="73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6 Colorful"/>
    <w:basedOn w:val="73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872" w:customStyle="1">
    <w:name w:val="Grid Table 6 Colorful - Accent 1"/>
    <w:basedOn w:val="739"/>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873" w:customStyle="1">
    <w:name w:val="Grid Table 6 Colorful - Accent 2"/>
    <w:basedOn w:val="739"/>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874" w:customStyle="1">
    <w:name w:val="Grid Table 6 Colorful - Accent 3"/>
    <w:basedOn w:val="739"/>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75" w:customStyle="1">
    <w:name w:val="Grid Table 6 Colorful - Accent 4"/>
    <w:basedOn w:val="739"/>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876" w:customStyle="1">
    <w:name w:val="Grid Table 6 Colorful - Accent 5"/>
    <w:basedOn w:val="739"/>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7" w:customStyle="1">
    <w:name w:val="Grid Table 6 Colorful - Accent 6"/>
    <w:basedOn w:val="739"/>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78" w:customStyle="1">
    <w:name w:val="Grid Table 7 Colorful"/>
    <w:basedOn w:val="73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7 Colorful - Accent 1"/>
    <w:basedOn w:val="739"/>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7 Colorful - Accent 2"/>
    <w:basedOn w:val="739"/>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7 Colorful - Accent 3"/>
    <w:basedOn w:val="739"/>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7 Colorful - Accent 4"/>
    <w:basedOn w:val="739"/>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7 Colorful - Accent 5"/>
    <w:basedOn w:val="739"/>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7 Colorful - Accent 6"/>
    <w:basedOn w:val="739"/>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1 Light"/>
    <w:basedOn w:val="73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1 Light - Accent 1"/>
    <w:basedOn w:val="739"/>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1 Light - Accent 2"/>
    <w:basedOn w:val="739"/>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1 Light - Accent 3"/>
    <w:basedOn w:val="739"/>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 Accent 4"/>
    <w:basedOn w:val="739"/>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List Table 1 Light - Accent 5"/>
    <w:basedOn w:val="739"/>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1 Light - Accent 6"/>
    <w:basedOn w:val="739"/>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2"/>
    <w:basedOn w:val="73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3" w:customStyle="1">
    <w:name w:val="List Table 2 - Accent 1"/>
    <w:basedOn w:val="739"/>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94" w:customStyle="1">
    <w:name w:val="List Table 2 - Accent 2"/>
    <w:basedOn w:val="739"/>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95" w:customStyle="1">
    <w:name w:val="List Table 2 - Accent 3"/>
    <w:basedOn w:val="739"/>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96" w:customStyle="1">
    <w:name w:val="List Table 2 - Accent 4"/>
    <w:basedOn w:val="739"/>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97" w:customStyle="1">
    <w:name w:val="List Table 2 - Accent 5"/>
    <w:basedOn w:val="739"/>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98" w:customStyle="1">
    <w:name w:val="List Table 2 - Accent 6"/>
    <w:basedOn w:val="739"/>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99" w:customStyle="1">
    <w:name w:val="List Table 3"/>
    <w:basedOn w:val="73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0" w:customStyle="1">
    <w:name w:val="List Table 3 - Accent 1"/>
    <w:basedOn w:val="739"/>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1" w:customStyle="1">
    <w:name w:val="List Table 3 - Accent 2"/>
    <w:basedOn w:val="739"/>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2" w:customStyle="1">
    <w:name w:val="List Table 3 - Accent 3"/>
    <w:basedOn w:val="739"/>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3" w:customStyle="1">
    <w:name w:val="List Table 3 - Accent 4"/>
    <w:basedOn w:val="739"/>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4" w:customStyle="1">
    <w:name w:val="List Table 3 - Accent 5"/>
    <w:basedOn w:val="739"/>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5" w:customStyle="1">
    <w:name w:val="List Table 3 - Accent 6"/>
    <w:basedOn w:val="739"/>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6" w:customStyle="1">
    <w:name w:val="List Table 4"/>
    <w:basedOn w:val="73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7" w:customStyle="1">
    <w:name w:val="List Table 4 - Accent 1"/>
    <w:basedOn w:val="739"/>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8" w:customStyle="1">
    <w:name w:val="List Table 4 - Accent 2"/>
    <w:basedOn w:val="739"/>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9" w:customStyle="1">
    <w:name w:val="List Table 4 - Accent 3"/>
    <w:basedOn w:val="739"/>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0" w:customStyle="1">
    <w:name w:val="List Table 4 - Accent 4"/>
    <w:basedOn w:val="739"/>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1" w:customStyle="1">
    <w:name w:val="List Table 4 - Accent 5"/>
    <w:basedOn w:val="739"/>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2" w:customStyle="1">
    <w:name w:val="List Table 4 - Accent 6"/>
    <w:basedOn w:val="739"/>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3" w:customStyle="1">
    <w:name w:val="List Table 5 Dark"/>
    <w:basedOn w:val="73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14" w:customStyle="1">
    <w:name w:val="List Table 5 Dark - Accent 1"/>
    <w:basedOn w:val="739"/>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15" w:customStyle="1">
    <w:name w:val="List Table 5 Dark - Accent 2"/>
    <w:basedOn w:val="739"/>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16" w:customStyle="1">
    <w:name w:val="List Table 5 Dark - Accent 3"/>
    <w:basedOn w:val="739"/>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17" w:customStyle="1">
    <w:name w:val="List Table 5 Dark - Accent 4"/>
    <w:basedOn w:val="739"/>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18" w:customStyle="1">
    <w:name w:val="List Table 5 Dark - Accent 5"/>
    <w:basedOn w:val="739"/>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19" w:customStyle="1">
    <w:name w:val="List Table 5 Dark - Accent 6"/>
    <w:basedOn w:val="739"/>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20" w:customStyle="1">
    <w:name w:val="List Table 6 Colorful"/>
    <w:basedOn w:val="739"/>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6 Colorful - Accent 1"/>
    <w:basedOn w:val="739"/>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6 Colorful - Accent 2"/>
    <w:basedOn w:val="739"/>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6 Colorful - Accent 3"/>
    <w:basedOn w:val="739"/>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6 Colorful - Accent 4"/>
    <w:basedOn w:val="739"/>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6 Colorful - Accent 5"/>
    <w:basedOn w:val="739"/>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6 Colorful - Accent 6"/>
    <w:basedOn w:val="739"/>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7 Colorful"/>
    <w:basedOn w:val="739"/>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7 Colorful - Accent 1"/>
    <w:basedOn w:val="739"/>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2"/>
    <w:basedOn w:val="739"/>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7 Colorful - Accent 3"/>
    <w:basedOn w:val="739"/>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4"/>
    <w:basedOn w:val="739"/>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7 Colorful - Accent 5"/>
    <w:basedOn w:val="739"/>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7 Colorful - Accent 6"/>
    <w:basedOn w:val="739"/>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5"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6"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7"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8"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amp; Lined - Accent"/>
    <w:basedOn w:val="739"/>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2" w:customStyle="1">
    <w:name w:val="Bordered &amp; Lined - Accent 1"/>
    <w:basedOn w:val="739"/>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3" w:customStyle="1">
    <w:name w:val="Bordered &amp; Lined - Accent 2"/>
    <w:basedOn w:val="739"/>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4" w:customStyle="1">
    <w:name w:val="Bordered &amp; Lined - Accent 3"/>
    <w:basedOn w:val="739"/>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5" w:customStyle="1">
    <w:name w:val="Bordered &amp; Lined - Accent 4"/>
    <w:basedOn w:val="739"/>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Bordered &amp; Lined - Accent 5"/>
    <w:basedOn w:val="739"/>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Bordered &amp; Lined - Accent 6"/>
    <w:basedOn w:val="739"/>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w:basedOn w:val="739"/>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Bordered - Accent 1"/>
    <w:basedOn w:val="73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Bordered - Accent 2"/>
    <w:basedOn w:val="73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3"/>
    <w:basedOn w:val="73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4"/>
    <w:basedOn w:val="73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Bordered - Accent 5"/>
    <w:basedOn w:val="73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Bordered - Accent 6"/>
    <w:basedOn w:val="73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numbering" w:styleId="14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陈岩</cp:lastModifiedBy>
  <cp:revision>8</cp:revision>
  <dcterms:created xsi:type="dcterms:W3CDTF">2024-01-04T03:50:00Z</dcterms:created>
  <dcterms:modified xsi:type="dcterms:W3CDTF">2026-08-27T09:39:56Z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eyJoZGlkIjoiZWUwZWNmZWE3OWVkYWZiY2Q2NmVmNzFhNWU1M2E3MTUiLCJ1c2VySWQiOiI5MjU1NTA0NDYifQ==</vt:lpwstr>
  </property>
  <property fmtid="{D5CDD505-2E9C-101B-9397-08002B2CF9AE}" pid="3" name="KSOProductBuildVer">
    <vt:lpwstr>2052-12.1.0.28043</vt:lpwstr>
  </property>
  <property fmtid="{D5CDD505-2E9C-101B-9397-08002B2CF9AE}" pid="4" name="ICV">
    <vt:lpwstr>A793057FD2C7420B9E9C67E13EA97511_13</vt:lpwstr>
  </property>
</Properties>
</file>